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E5DF4" w14:textId="77777777" w:rsidR="00557560" w:rsidRPr="00115F4D" w:rsidRDefault="00557560" w:rsidP="0069183D">
      <w:pPr>
        <w:pStyle w:val="TDC1"/>
      </w:pPr>
    </w:p>
    <w:p w14:paraId="7FAC4303" w14:textId="77777777" w:rsidR="00557560" w:rsidRPr="00115F4D" w:rsidRDefault="00557560" w:rsidP="0069183D">
      <w:pPr>
        <w:pStyle w:val="TDC1"/>
      </w:pPr>
    </w:p>
    <w:p w14:paraId="2ACCCE0C" w14:textId="49A0C933" w:rsidR="00557560" w:rsidRPr="00115F4D" w:rsidRDefault="00557560" w:rsidP="00557560">
      <w:pPr>
        <w:rPr>
          <w:rFonts w:ascii="Arial" w:hAnsi="Arial" w:cs="Arial"/>
          <w:sz w:val="24"/>
          <w:szCs w:val="24"/>
        </w:rPr>
      </w:pPr>
    </w:p>
    <w:p w14:paraId="0E096520" w14:textId="592BD22A" w:rsidR="00557560" w:rsidRPr="00115F4D" w:rsidRDefault="00557560" w:rsidP="00557560">
      <w:r w:rsidRPr="00115F4D">
        <w:rPr>
          <w:noProof/>
          <w:sz w:val="20"/>
        </w:rPr>
        <w:drawing>
          <wp:anchor distT="0" distB="0" distL="114300" distR="114300" simplePos="0" relativeHeight="251658240" behindDoc="0" locked="0" layoutInCell="1" allowOverlap="1" wp14:anchorId="4463D222" wp14:editId="69255B48">
            <wp:simplePos x="0" y="0"/>
            <wp:positionH relativeFrom="column">
              <wp:posOffset>1714500</wp:posOffset>
            </wp:positionH>
            <wp:positionV relativeFrom="paragraph">
              <wp:posOffset>215265</wp:posOffset>
            </wp:positionV>
            <wp:extent cx="2377440" cy="1092835"/>
            <wp:effectExtent l="0" t="0" r="3810" b="0"/>
            <wp:wrapTopAndBottom/>
            <wp:docPr id="384540000" name="Picture 38454000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0000" name="Imagen 2" descr="Logotip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92A09" w14:textId="77777777" w:rsidR="00557560" w:rsidRPr="00115F4D" w:rsidRDefault="00557560" w:rsidP="00557560">
      <w:pPr>
        <w:rPr>
          <w:rFonts w:ascii="Arial" w:hAnsi="Arial" w:cs="Arial"/>
          <w:sz w:val="24"/>
          <w:szCs w:val="24"/>
        </w:rPr>
      </w:pPr>
    </w:p>
    <w:p w14:paraId="7BA58C83" w14:textId="77777777" w:rsidR="004F1854" w:rsidRPr="00115F4D" w:rsidRDefault="004F1854" w:rsidP="00557560">
      <w:pPr>
        <w:rPr>
          <w:rFonts w:ascii="Arial" w:hAnsi="Arial" w:cs="Arial"/>
          <w:sz w:val="24"/>
          <w:szCs w:val="24"/>
        </w:rPr>
      </w:pPr>
    </w:p>
    <w:p w14:paraId="42BA803D" w14:textId="77777777" w:rsidR="004F1854" w:rsidRPr="00115F4D" w:rsidRDefault="004F1854" w:rsidP="00557560">
      <w:pPr>
        <w:rPr>
          <w:rFonts w:ascii="Arial" w:hAnsi="Arial" w:cs="Arial"/>
          <w:sz w:val="24"/>
          <w:szCs w:val="24"/>
        </w:rPr>
      </w:pPr>
    </w:p>
    <w:p w14:paraId="007AE725" w14:textId="77777777" w:rsidR="004F1854" w:rsidRPr="00115F4D" w:rsidRDefault="004F1854" w:rsidP="00557560">
      <w:pPr>
        <w:rPr>
          <w:rFonts w:ascii="Arial" w:hAnsi="Arial" w:cs="Arial"/>
          <w:sz w:val="24"/>
          <w:szCs w:val="24"/>
        </w:rPr>
      </w:pPr>
    </w:p>
    <w:p w14:paraId="7306C64B" w14:textId="30AAA871" w:rsidR="004F1854" w:rsidRPr="00115F4D" w:rsidRDefault="00A96F71" w:rsidP="00FB0E49">
      <w:pPr>
        <w:pStyle w:val="Textoindependiente"/>
        <w:widowControl/>
        <w:autoSpaceDE/>
        <w:autoSpaceDN/>
        <w:jc w:val="center"/>
        <w:rPr>
          <w:rFonts w:ascii="Arial" w:eastAsia="Times New Roman" w:hAnsi="Arial" w:cs="Times New Roman"/>
          <w:b/>
          <w:sz w:val="40"/>
          <w:szCs w:val="20"/>
          <w:lang w:val="es-CO" w:eastAsia="es-ES"/>
        </w:rPr>
      </w:pPr>
      <w:r w:rsidRPr="00115F4D">
        <w:rPr>
          <w:rFonts w:ascii="Arial" w:eastAsia="Times New Roman" w:hAnsi="Arial" w:cs="Times New Roman"/>
          <w:b/>
          <w:sz w:val="40"/>
          <w:szCs w:val="20"/>
          <w:lang w:val="es-CO" w:eastAsia="es-ES"/>
        </w:rPr>
        <w:t>REMUNERACIÓN DE LA ACTIVIDAD DE COMERCIALIZACIÓN DE ENERGÍA ELÉCTRICA A USUARIOS REGULADOS</w:t>
      </w:r>
    </w:p>
    <w:p w14:paraId="2B7378ED" w14:textId="77777777" w:rsidR="004F1854" w:rsidRPr="00115F4D" w:rsidRDefault="004F1854" w:rsidP="00557560">
      <w:pPr>
        <w:rPr>
          <w:rFonts w:ascii="Arial" w:hAnsi="Arial" w:cs="Arial"/>
          <w:sz w:val="24"/>
          <w:szCs w:val="24"/>
        </w:rPr>
      </w:pPr>
    </w:p>
    <w:p w14:paraId="0B590026" w14:textId="77777777" w:rsidR="006078D3" w:rsidRPr="00115F4D" w:rsidRDefault="006078D3" w:rsidP="00557560">
      <w:pPr>
        <w:rPr>
          <w:rFonts w:ascii="Arial" w:hAnsi="Arial" w:cs="Arial"/>
          <w:sz w:val="24"/>
          <w:szCs w:val="24"/>
        </w:rPr>
      </w:pPr>
    </w:p>
    <w:p w14:paraId="67BFE263" w14:textId="77777777" w:rsidR="00F12807" w:rsidRPr="00115F4D" w:rsidRDefault="00F12807" w:rsidP="00557560">
      <w:pPr>
        <w:rPr>
          <w:rFonts w:ascii="Arial" w:hAnsi="Arial" w:cs="Arial"/>
          <w:sz w:val="24"/>
          <w:szCs w:val="24"/>
        </w:rPr>
      </w:pPr>
    </w:p>
    <w:p w14:paraId="0423A278" w14:textId="77777777" w:rsidR="00F12807" w:rsidRPr="00115F4D" w:rsidRDefault="00F12807" w:rsidP="00557560">
      <w:pPr>
        <w:rPr>
          <w:rFonts w:ascii="Arial" w:hAnsi="Arial" w:cs="Arial"/>
          <w:sz w:val="24"/>
          <w:szCs w:val="24"/>
        </w:rPr>
      </w:pPr>
    </w:p>
    <w:p w14:paraId="19996A23" w14:textId="3009F789" w:rsidR="00F12807" w:rsidRPr="00115F4D" w:rsidRDefault="00771206" w:rsidP="00557560">
      <w:pPr>
        <w:rPr>
          <w:rFonts w:ascii="Arial" w:hAnsi="Arial" w:cs="Arial"/>
          <w:b/>
          <w:bCs/>
          <w:sz w:val="40"/>
          <w:szCs w:val="40"/>
        </w:rPr>
      </w:pPr>
      <w:r w:rsidRPr="00115F4D">
        <w:rPr>
          <w:rFonts w:ascii="Arial" w:hAnsi="Arial" w:cs="Arial"/>
          <w:b/>
          <w:bCs/>
          <w:sz w:val="40"/>
          <w:szCs w:val="40"/>
        </w:rPr>
        <w:t xml:space="preserve">DOCUMENTO </w:t>
      </w:r>
      <w:r w:rsidRPr="00115F4D">
        <w:rPr>
          <w:rFonts w:ascii="Arial" w:hAnsi="Arial" w:cs="Arial"/>
          <w:b/>
          <w:bCs/>
          <w:sz w:val="54"/>
          <w:szCs w:val="54"/>
        </w:rPr>
        <w:t>CREG-</w:t>
      </w:r>
      <w:r w:rsidR="0054466B">
        <w:rPr>
          <w:rFonts w:ascii="Arial" w:hAnsi="Arial" w:cs="Arial"/>
          <w:b/>
          <w:bCs/>
          <w:sz w:val="54"/>
          <w:szCs w:val="54"/>
        </w:rPr>
        <w:t xml:space="preserve"> 901 060</w:t>
      </w:r>
    </w:p>
    <w:p w14:paraId="7EB6E72A" w14:textId="0F217EDE" w:rsidR="004F1854" w:rsidRPr="00115F4D" w:rsidRDefault="0054466B" w:rsidP="00557560">
      <w:pPr>
        <w:rPr>
          <w:rFonts w:ascii="Arial" w:hAnsi="Arial" w:cs="Arial"/>
          <w:b/>
          <w:bCs/>
          <w:sz w:val="32"/>
          <w:szCs w:val="32"/>
        </w:rPr>
      </w:pPr>
      <w:r>
        <w:rPr>
          <w:rFonts w:ascii="Arial" w:hAnsi="Arial" w:cs="Arial"/>
          <w:b/>
          <w:bCs/>
          <w:sz w:val="32"/>
          <w:szCs w:val="32"/>
        </w:rPr>
        <w:t>13 DE ABRIL DE 2024</w:t>
      </w:r>
    </w:p>
    <w:p w14:paraId="22CA8979" w14:textId="77777777" w:rsidR="009E239A" w:rsidRPr="00115F4D" w:rsidRDefault="009E239A" w:rsidP="00557560">
      <w:pPr>
        <w:rPr>
          <w:rFonts w:ascii="Arial" w:hAnsi="Arial" w:cs="Arial"/>
          <w:b/>
          <w:bCs/>
          <w:sz w:val="32"/>
          <w:szCs w:val="32"/>
        </w:rPr>
      </w:pPr>
    </w:p>
    <w:p w14:paraId="2B10715E" w14:textId="77777777" w:rsidR="009E239A" w:rsidRPr="00115F4D" w:rsidRDefault="009E239A" w:rsidP="00557560">
      <w:pPr>
        <w:rPr>
          <w:rFonts w:ascii="Arial" w:hAnsi="Arial" w:cs="Arial"/>
          <w:b/>
          <w:bCs/>
          <w:sz w:val="32"/>
          <w:szCs w:val="32"/>
        </w:rPr>
      </w:pPr>
    </w:p>
    <w:p w14:paraId="584E5197" w14:textId="77777777" w:rsidR="00557560" w:rsidRPr="00115F4D" w:rsidRDefault="00557560" w:rsidP="0069183D">
      <w:pPr>
        <w:pStyle w:val="TDC1"/>
      </w:pPr>
    </w:p>
    <w:tbl>
      <w:tblPr>
        <w:tblW w:w="0" w:type="auto"/>
        <w:tblInd w:w="4956" w:type="dxa"/>
        <w:tblCellMar>
          <w:left w:w="70" w:type="dxa"/>
          <w:right w:w="70" w:type="dxa"/>
        </w:tblCellMar>
        <w:tblLook w:val="0000" w:firstRow="0" w:lastRow="0" w:firstColumn="0" w:lastColumn="0" w:noHBand="0" w:noVBand="0"/>
      </w:tblPr>
      <w:tblGrid>
        <w:gridCol w:w="4024"/>
      </w:tblGrid>
      <w:tr w:rsidR="009E239A" w:rsidRPr="00115F4D" w14:paraId="1AF98297" w14:textId="77777777">
        <w:tc>
          <w:tcPr>
            <w:tcW w:w="4024" w:type="dxa"/>
          </w:tcPr>
          <w:p w14:paraId="126DD7B9" w14:textId="77777777" w:rsidR="009E239A" w:rsidRPr="00115F4D" w:rsidRDefault="009E239A" w:rsidP="009E239A">
            <w:pPr>
              <w:spacing w:before="0" w:after="0"/>
              <w:rPr>
                <w:rFonts w:ascii="Arial" w:hAnsi="Arial" w:cs="Arial"/>
                <w:b/>
                <w:bCs/>
              </w:rPr>
            </w:pPr>
            <w:r w:rsidRPr="00115F4D">
              <w:rPr>
                <w:rFonts w:ascii="Arial" w:hAnsi="Arial" w:cs="Arial"/>
                <w:b/>
                <w:bCs/>
              </w:rPr>
              <w:t>CIRCULACIÓN:</w:t>
            </w:r>
          </w:p>
        </w:tc>
      </w:tr>
      <w:tr w:rsidR="009E239A" w:rsidRPr="00115F4D" w14:paraId="18C927B7" w14:textId="77777777">
        <w:tc>
          <w:tcPr>
            <w:tcW w:w="4024" w:type="dxa"/>
          </w:tcPr>
          <w:p w14:paraId="71139F0A" w14:textId="77777777" w:rsidR="009E239A" w:rsidRPr="00115F4D" w:rsidRDefault="009E239A" w:rsidP="009E239A">
            <w:pPr>
              <w:spacing w:before="0" w:after="0"/>
              <w:rPr>
                <w:rFonts w:ascii="Arial" w:hAnsi="Arial" w:cs="Arial"/>
                <w:b/>
                <w:bCs/>
              </w:rPr>
            </w:pPr>
            <w:r w:rsidRPr="00115F4D">
              <w:rPr>
                <w:rFonts w:ascii="Arial" w:hAnsi="Arial" w:cs="Arial"/>
                <w:b/>
                <w:bCs/>
              </w:rPr>
              <w:t>MIEMBROS DE LA COMISIÓN DE</w:t>
            </w:r>
          </w:p>
        </w:tc>
      </w:tr>
      <w:tr w:rsidR="009E239A" w:rsidRPr="00115F4D" w14:paraId="7E4D2858" w14:textId="77777777">
        <w:tc>
          <w:tcPr>
            <w:tcW w:w="4024" w:type="dxa"/>
          </w:tcPr>
          <w:p w14:paraId="78054C4D" w14:textId="6F48D075" w:rsidR="009E239A" w:rsidRPr="00115F4D" w:rsidRDefault="009E239A" w:rsidP="009E239A">
            <w:pPr>
              <w:tabs>
                <w:tab w:val="left" w:pos="4606"/>
                <w:tab w:val="left" w:pos="9142"/>
              </w:tabs>
              <w:spacing w:before="0" w:after="0"/>
              <w:rPr>
                <w:rFonts w:ascii="Arial" w:hAnsi="Arial" w:cs="Arial"/>
                <w:b/>
                <w:bCs/>
              </w:rPr>
            </w:pPr>
            <w:r w:rsidRPr="00115F4D">
              <w:rPr>
                <w:rFonts w:ascii="Arial" w:hAnsi="Arial" w:cs="Arial"/>
                <w:b/>
                <w:bCs/>
              </w:rPr>
              <w:t>REGULACIÓN DE ENERGÍA Y GAS.</w:t>
            </w:r>
          </w:p>
        </w:tc>
      </w:tr>
    </w:tbl>
    <w:p w14:paraId="3FBA541B" w14:textId="77777777" w:rsidR="009E239A" w:rsidRPr="00115F4D" w:rsidRDefault="009E239A" w:rsidP="009E239A"/>
    <w:sdt>
      <w:sdtPr>
        <w:rPr>
          <w:b/>
          <w:bCs/>
        </w:rPr>
        <w:id w:val="1857539601"/>
        <w:docPartObj>
          <w:docPartGallery w:val="Table of Contents"/>
          <w:docPartUnique/>
        </w:docPartObj>
      </w:sdtPr>
      <w:sdtEndPr>
        <w:rPr>
          <w:rFonts w:ascii="Arial" w:hAnsi="Arial" w:cs="Arial"/>
          <w:b w:val="0"/>
          <w:bCs w:val="0"/>
        </w:rPr>
      </w:sdtEndPr>
      <w:sdtContent>
        <w:p w14:paraId="0786EAF8" w14:textId="23CB08E5" w:rsidR="00801900" w:rsidRPr="002A5485" w:rsidRDefault="003634DD">
          <w:pPr>
            <w:pStyle w:val="TDC1"/>
            <w:tabs>
              <w:tab w:val="left" w:pos="440"/>
            </w:tabs>
            <w:rPr>
              <w:rFonts w:ascii="Arial" w:eastAsiaTheme="minorEastAsia" w:hAnsi="Arial" w:cs="Arial"/>
              <w:noProof/>
              <w:kern w:val="2"/>
              <w:sz w:val="24"/>
              <w:szCs w:val="24"/>
              <w:lang w:eastAsia="es-CO"/>
              <w14:ligatures w14:val="standardContextual"/>
            </w:rPr>
          </w:pPr>
          <w:r w:rsidRPr="002A5485">
            <w:rPr>
              <w:rFonts w:ascii="Arial" w:eastAsiaTheme="majorEastAsia" w:hAnsi="Arial" w:cs="Arial"/>
            </w:rPr>
            <w:fldChar w:fldCharType="begin"/>
          </w:r>
          <w:r w:rsidRPr="002A5485">
            <w:rPr>
              <w:rFonts w:ascii="Arial" w:hAnsi="Arial" w:cs="Arial"/>
            </w:rPr>
            <w:instrText xml:space="preserve"> TOC \o "1-3" \h \z \u </w:instrText>
          </w:r>
          <w:r w:rsidRPr="002A5485">
            <w:rPr>
              <w:rFonts w:ascii="Arial" w:eastAsiaTheme="majorEastAsia" w:hAnsi="Arial" w:cs="Arial"/>
            </w:rPr>
            <w:fldChar w:fldCharType="separate"/>
          </w:r>
          <w:hyperlink w:anchor="_Toc165037312" w:history="1">
            <w:r w:rsidR="00801900" w:rsidRPr="002A5485">
              <w:rPr>
                <w:rStyle w:val="Hipervnculo"/>
                <w:rFonts w:ascii="Arial" w:hAnsi="Arial" w:cs="Arial"/>
                <w:noProof/>
              </w:rPr>
              <w:t>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INFORMACIÓN GENERAL</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_Toc165037312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4</w:t>
            </w:r>
            <w:r w:rsidR="00801900" w:rsidRPr="002A5485">
              <w:rPr>
                <w:rFonts w:ascii="Arial" w:hAnsi="Arial" w:cs="Arial"/>
                <w:noProof/>
                <w:webHidden/>
              </w:rPr>
              <w:fldChar w:fldCharType="end"/>
            </w:r>
          </w:hyperlink>
        </w:p>
        <w:p w14:paraId="5DF0DA8C" w14:textId="3F26D453"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13" w:history="1">
            <w:r w:rsidR="00801900" w:rsidRPr="002A5485">
              <w:rPr>
                <w:rStyle w:val="Hipervnculo"/>
                <w:rFonts w:ascii="Arial" w:hAnsi="Arial" w:cs="Arial"/>
                <w:noProof/>
              </w:rPr>
              <w:t>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ANTECEDENTES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_Toc165037313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4</w:t>
            </w:r>
            <w:r w:rsidR="00801900" w:rsidRPr="002A5485">
              <w:rPr>
                <w:rFonts w:ascii="Arial" w:hAnsi="Arial" w:cs="Arial"/>
                <w:noProof/>
                <w:webHidden/>
              </w:rPr>
              <w:fldChar w:fldCharType="end"/>
            </w:r>
          </w:hyperlink>
        </w:p>
        <w:p w14:paraId="7BFD1E5F" w14:textId="215E0DC2"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14" w:history="1">
            <w:r w:rsidR="00801900" w:rsidRPr="002A5485">
              <w:rPr>
                <w:rStyle w:val="Hipervnculo"/>
                <w:rFonts w:ascii="Arial" w:hAnsi="Arial" w:cs="Arial"/>
                <w:noProof/>
              </w:rPr>
              <w:t>3.</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INFORMACIÓN GENERAL</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_Toc165037314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6</w:t>
            </w:r>
            <w:r w:rsidR="00801900" w:rsidRPr="002A5485">
              <w:rPr>
                <w:rFonts w:ascii="Arial" w:hAnsi="Arial" w:cs="Arial"/>
                <w:noProof/>
                <w:webHidden/>
              </w:rPr>
              <w:fldChar w:fldCharType="end"/>
            </w:r>
          </w:hyperlink>
        </w:p>
        <w:p w14:paraId="388329D5" w14:textId="023B263F"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15" w:history="1">
            <w:r w:rsidR="00801900" w:rsidRPr="002A5485">
              <w:rPr>
                <w:rStyle w:val="Hipervnculo"/>
                <w:rFonts w:ascii="Arial" w:hAnsi="Arial" w:cs="Arial"/>
                <w:noProof/>
              </w:rPr>
              <w:t>3.1.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Componente fijo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_Toc165037315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7</w:t>
            </w:r>
            <w:r w:rsidR="00801900" w:rsidRPr="002A5485">
              <w:rPr>
                <w:rFonts w:ascii="Arial" w:hAnsi="Arial" w:cs="Arial"/>
                <w:noProof/>
                <w:webHidden/>
              </w:rPr>
              <w:fldChar w:fldCharType="end"/>
            </w:r>
          </w:hyperlink>
        </w:p>
        <w:p w14:paraId="1AE8AC05" w14:textId="0289599E" w:rsidR="00801900" w:rsidRPr="002A5485" w:rsidRDefault="00E42F3C">
          <w:pPr>
            <w:pStyle w:val="TDC3"/>
            <w:tabs>
              <w:tab w:val="left" w:pos="1200"/>
            </w:tabs>
            <w:rPr>
              <w:rFonts w:ascii="Arial" w:eastAsiaTheme="minorEastAsia" w:hAnsi="Arial" w:cs="Arial"/>
              <w:noProof/>
              <w:kern w:val="2"/>
              <w:sz w:val="24"/>
              <w:szCs w:val="24"/>
              <w:lang w:eastAsia="es-CO"/>
              <w14:ligatures w14:val="standardContextual"/>
            </w:rPr>
          </w:pPr>
          <w:hyperlink w:anchor="_Toc165037316" w:history="1">
            <w:r w:rsidR="00801900" w:rsidRPr="002A5485">
              <w:rPr>
                <w:rStyle w:val="Hipervnculo"/>
                <w:rFonts w:ascii="Arial" w:hAnsi="Arial" w:cs="Arial"/>
                <w:noProof/>
              </w:rPr>
              <w:t>3.1.1.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Costo Base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_Toc165037316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7</w:t>
            </w:r>
            <w:r w:rsidR="00801900" w:rsidRPr="002A5485">
              <w:rPr>
                <w:rFonts w:ascii="Arial" w:hAnsi="Arial" w:cs="Arial"/>
                <w:noProof/>
                <w:webHidden/>
              </w:rPr>
              <w:fldChar w:fldCharType="end"/>
            </w:r>
          </w:hyperlink>
        </w:p>
        <w:p w14:paraId="6B1BF4E9" w14:textId="27D553B3" w:rsidR="00801900" w:rsidRPr="002A5485" w:rsidRDefault="00E42F3C">
          <w:pPr>
            <w:pStyle w:val="TDC3"/>
            <w:tabs>
              <w:tab w:val="left" w:pos="1200"/>
            </w:tabs>
            <w:rPr>
              <w:rFonts w:ascii="Arial" w:eastAsiaTheme="minorEastAsia" w:hAnsi="Arial" w:cs="Arial"/>
              <w:noProof/>
              <w:kern w:val="2"/>
              <w:sz w:val="24"/>
              <w:szCs w:val="24"/>
              <w:lang w:eastAsia="es-CO"/>
              <w14:ligatures w14:val="standardContextual"/>
            </w:rPr>
          </w:pPr>
          <w:hyperlink w:anchor="_Toc165037317" w:history="1">
            <w:r w:rsidR="00801900" w:rsidRPr="002A5485">
              <w:rPr>
                <w:rStyle w:val="Hipervnculo"/>
                <w:rFonts w:ascii="Arial" w:hAnsi="Arial" w:cs="Arial"/>
                <w:noProof/>
              </w:rPr>
              <w:t>3.1.2.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Factor de eficiencia</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_Toc165037317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7</w:t>
            </w:r>
            <w:r w:rsidR="00801900" w:rsidRPr="002A5485">
              <w:rPr>
                <w:rFonts w:ascii="Arial" w:hAnsi="Arial" w:cs="Arial"/>
                <w:noProof/>
                <w:webHidden/>
              </w:rPr>
              <w:fldChar w:fldCharType="end"/>
            </w:r>
          </w:hyperlink>
        </w:p>
        <w:p w14:paraId="2A8F7838" w14:textId="0B8358BE"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18" w:history="1">
            <w:r w:rsidR="00801900" w:rsidRPr="002A5485">
              <w:rPr>
                <w:rStyle w:val="Hipervnculo"/>
                <w:rFonts w:ascii="Arial" w:hAnsi="Arial" w:cs="Arial"/>
                <w:noProof/>
              </w:rPr>
              <w:t>3.2.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Componente variable del costo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_Toc165037318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8</w:t>
            </w:r>
            <w:r w:rsidR="00801900" w:rsidRPr="002A5485">
              <w:rPr>
                <w:rFonts w:ascii="Arial" w:hAnsi="Arial" w:cs="Arial"/>
                <w:noProof/>
                <w:webHidden/>
              </w:rPr>
              <w:fldChar w:fldCharType="end"/>
            </w:r>
          </w:hyperlink>
        </w:p>
        <w:p w14:paraId="5D03D3A2" w14:textId="3E5663F3" w:rsidR="00801900" w:rsidRPr="002A5485" w:rsidRDefault="00E42F3C">
          <w:pPr>
            <w:pStyle w:val="TDC3"/>
            <w:tabs>
              <w:tab w:val="left" w:pos="1200"/>
            </w:tabs>
            <w:rPr>
              <w:rFonts w:ascii="Arial" w:eastAsiaTheme="minorEastAsia" w:hAnsi="Arial" w:cs="Arial"/>
              <w:noProof/>
              <w:kern w:val="2"/>
              <w:sz w:val="24"/>
              <w:szCs w:val="24"/>
              <w:lang w:eastAsia="es-CO"/>
              <w14:ligatures w14:val="standardContextual"/>
            </w:rPr>
          </w:pPr>
          <w:hyperlink w:anchor="_Toc165037319" w:history="1">
            <w:r w:rsidR="00801900" w:rsidRPr="002A5485">
              <w:rPr>
                <w:rStyle w:val="Hipervnculo"/>
                <w:rFonts w:ascii="Arial" w:hAnsi="Arial" w:cs="Arial"/>
                <w:noProof/>
              </w:rPr>
              <w:t>3.2.1.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Margen operacional</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_Toc165037319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8</w:t>
            </w:r>
            <w:r w:rsidR="00801900" w:rsidRPr="002A5485">
              <w:rPr>
                <w:rFonts w:ascii="Arial" w:hAnsi="Arial" w:cs="Arial"/>
                <w:noProof/>
                <w:webHidden/>
              </w:rPr>
              <w:fldChar w:fldCharType="end"/>
            </w:r>
          </w:hyperlink>
        </w:p>
        <w:p w14:paraId="76DADF24" w14:textId="6283B95C" w:rsidR="00801900" w:rsidRPr="002A5485" w:rsidRDefault="00E42F3C">
          <w:pPr>
            <w:pStyle w:val="TDC3"/>
            <w:tabs>
              <w:tab w:val="left" w:pos="1200"/>
            </w:tabs>
            <w:rPr>
              <w:rFonts w:ascii="Arial" w:eastAsiaTheme="minorEastAsia" w:hAnsi="Arial" w:cs="Arial"/>
              <w:noProof/>
              <w:kern w:val="2"/>
              <w:sz w:val="24"/>
              <w:szCs w:val="24"/>
              <w:lang w:eastAsia="es-CO"/>
              <w14:ligatures w14:val="standardContextual"/>
            </w:rPr>
          </w:pPr>
          <w:hyperlink w:anchor="_Toc165037320" w:history="1">
            <w:r w:rsidR="00801900" w:rsidRPr="002A5485">
              <w:rPr>
                <w:rStyle w:val="Hipervnculo"/>
                <w:rFonts w:ascii="Arial" w:hAnsi="Arial" w:cs="Arial"/>
                <w:noProof/>
              </w:rPr>
              <w:t>3.2.2.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Riesgo de cartera</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_Toc165037320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9</w:t>
            </w:r>
            <w:r w:rsidR="00801900" w:rsidRPr="002A5485">
              <w:rPr>
                <w:rFonts w:ascii="Arial" w:hAnsi="Arial" w:cs="Arial"/>
                <w:noProof/>
                <w:webHidden/>
              </w:rPr>
              <w:fldChar w:fldCharType="end"/>
            </w:r>
          </w:hyperlink>
        </w:p>
        <w:p w14:paraId="45AF5A7E" w14:textId="0CBFDCEC" w:rsidR="00801900" w:rsidRPr="002A5485" w:rsidRDefault="00E42F3C">
          <w:pPr>
            <w:pStyle w:val="TDC3"/>
            <w:tabs>
              <w:tab w:val="left" w:pos="1200"/>
            </w:tabs>
            <w:rPr>
              <w:rFonts w:ascii="Arial" w:eastAsiaTheme="minorEastAsia" w:hAnsi="Arial" w:cs="Arial"/>
              <w:noProof/>
              <w:kern w:val="2"/>
              <w:sz w:val="24"/>
              <w:szCs w:val="24"/>
              <w:lang w:eastAsia="es-CO"/>
              <w14:ligatures w14:val="standardContextual"/>
            </w:rPr>
          </w:pPr>
          <w:hyperlink w:anchor="_Toc165037321" w:history="1">
            <w:r w:rsidR="00801900" w:rsidRPr="002A5485">
              <w:rPr>
                <w:rStyle w:val="Hipervnculo"/>
                <w:rFonts w:ascii="Arial" w:hAnsi="Arial" w:cs="Arial"/>
                <w:noProof/>
              </w:rPr>
              <w:t>3.2.3.</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Costos financieros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_Toc165037321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14</w:t>
            </w:r>
            <w:r w:rsidR="00801900" w:rsidRPr="002A5485">
              <w:rPr>
                <w:rFonts w:ascii="Arial" w:hAnsi="Arial" w:cs="Arial"/>
                <w:noProof/>
                <w:webHidden/>
              </w:rPr>
              <w:fldChar w:fldCharType="end"/>
            </w:r>
          </w:hyperlink>
        </w:p>
        <w:p w14:paraId="732F7BB2" w14:textId="6B6E4349"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22" w:history="1">
            <w:r w:rsidR="00801900" w:rsidRPr="002A5485">
              <w:rPr>
                <w:rStyle w:val="Hipervnculo"/>
                <w:rFonts w:ascii="Arial" w:hAnsi="Arial" w:cs="Arial"/>
                <w:noProof/>
              </w:rPr>
              <w:t>3.3.</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Estructura de los componentes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_Toc165037322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15</w:t>
            </w:r>
            <w:r w:rsidR="00801900" w:rsidRPr="002A5485">
              <w:rPr>
                <w:rFonts w:ascii="Arial" w:hAnsi="Arial" w:cs="Arial"/>
                <w:noProof/>
                <w:webHidden/>
              </w:rPr>
              <w:fldChar w:fldCharType="end"/>
            </w:r>
          </w:hyperlink>
        </w:p>
        <w:p w14:paraId="7FA95964" w14:textId="3BCCB540"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23" w:history="1">
            <w:r w:rsidR="00801900" w:rsidRPr="002A5485">
              <w:rPr>
                <w:rStyle w:val="Hipervnculo"/>
                <w:rFonts w:ascii="Arial" w:hAnsi="Arial" w:cs="Arial"/>
                <w:noProof/>
              </w:rPr>
              <w:t>4.</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DEFINICIÓN DEL PROBLEMA</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_Toc165037323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16</w:t>
            </w:r>
            <w:r w:rsidR="00801900" w:rsidRPr="002A5485">
              <w:rPr>
                <w:rFonts w:ascii="Arial" w:hAnsi="Arial" w:cs="Arial"/>
                <w:noProof/>
                <w:webHidden/>
              </w:rPr>
              <w:fldChar w:fldCharType="end"/>
            </w:r>
          </w:hyperlink>
        </w:p>
        <w:p w14:paraId="1ED749BE" w14:textId="684CD0AB"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24" w:history="1">
            <w:r w:rsidR="00801900" w:rsidRPr="002A5485">
              <w:rPr>
                <w:rStyle w:val="Hipervnculo"/>
                <w:rFonts w:ascii="Arial" w:hAnsi="Arial" w:cs="Arial"/>
                <w:noProof/>
              </w:rPr>
              <w:t>5.</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CAUSAS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_Toc165037324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16</w:t>
            </w:r>
            <w:r w:rsidR="00801900" w:rsidRPr="002A5485">
              <w:rPr>
                <w:rFonts w:ascii="Arial" w:hAnsi="Arial" w:cs="Arial"/>
                <w:noProof/>
                <w:webHidden/>
              </w:rPr>
              <w:fldChar w:fldCharType="end"/>
            </w:r>
          </w:hyperlink>
        </w:p>
        <w:p w14:paraId="4434AD9A" w14:textId="7D451762"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25" w:history="1">
            <w:r w:rsidR="00801900" w:rsidRPr="002A5485">
              <w:rPr>
                <w:rStyle w:val="Hipervnculo"/>
                <w:rFonts w:ascii="Arial" w:hAnsi="Arial" w:cs="Arial"/>
                <w:noProof/>
              </w:rPr>
              <w:t>6.</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CONSECUENCIAS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_Toc165037325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16</w:t>
            </w:r>
            <w:r w:rsidR="00801900" w:rsidRPr="002A5485">
              <w:rPr>
                <w:rFonts w:ascii="Arial" w:hAnsi="Arial" w:cs="Arial"/>
                <w:noProof/>
                <w:webHidden/>
              </w:rPr>
              <w:fldChar w:fldCharType="end"/>
            </w:r>
          </w:hyperlink>
        </w:p>
        <w:p w14:paraId="33F4D3E6" w14:textId="142C8CA8"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26" w:history="1">
            <w:r w:rsidR="00801900" w:rsidRPr="002A5485">
              <w:rPr>
                <w:rStyle w:val="Hipervnculo"/>
                <w:rFonts w:ascii="Arial" w:hAnsi="Arial" w:cs="Arial"/>
                <w:noProof/>
              </w:rPr>
              <w:t>7.</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OBJETIVOS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_Toc165037326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16</w:t>
            </w:r>
            <w:r w:rsidR="00801900" w:rsidRPr="002A5485">
              <w:rPr>
                <w:rFonts w:ascii="Arial" w:hAnsi="Arial" w:cs="Arial"/>
                <w:noProof/>
                <w:webHidden/>
              </w:rPr>
              <w:fldChar w:fldCharType="end"/>
            </w:r>
          </w:hyperlink>
        </w:p>
        <w:p w14:paraId="5271E80F" w14:textId="45253CA6"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27" w:history="1">
            <w:r w:rsidR="00801900" w:rsidRPr="002A5485">
              <w:rPr>
                <w:rStyle w:val="Hipervnculo"/>
                <w:rFonts w:ascii="Arial" w:hAnsi="Arial" w:cs="Arial"/>
                <w:noProof/>
              </w:rPr>
              <w:t>8.</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ALTERNATIVAS DE SOLUCIÓN.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_Toc165037327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17</w:t>
            </w:r>
            <w:r w:rsidR="00801900" w:rsidRPr="002A5485">
              <w:rPr>
                <w:rFonts w:ascii="Arial" w:hAnsi="Arial" w:cs="Arial"/>
                <w:noProof/>
                <w:webHidden/>
              </w:rPr>
              <w:fldChar w:fldCharType="end"/>
            </w:r>
          </w:hyperlink>
        </w:p>
        <w:p w14:paraId="76E0688E" w14:textId="1D836443" w:rsidR="00801900" w:rsidRPr="002A5485" w:rsidRDefault="00E42F3C">
          <w:pPr>
            <w:pStyle w:val="TDC2"/>
            <w:tabs>
              <w:tab w:val="right" w:leader="dot" w:pos="9016"/>
            </w:tabs>
            <w:rPr>
              <w:rFonts w:ascii="Arial" w:eastAsiaTheme="minorEastAsia" w:hAnsi="Arial" w:cs="Arial"/>
              <w:noProof/>
              <w:kern w:val="2"/>
              <w:sz w:val="24"/>
              <w:szCs w:val="24"/>
              <w:lang w:eastAsia="es-CO"/>
              <w14:ligatures w14:val="standardContextual"/>
            </w:rPr>
          </w:pPr>
          <w:hyperlink w:anchor="_Toc165037328" w:history="1">
            <w:r w:rsidR="00801900" w:rsidRPr="002A5485">
              <w:rPr>
                <w:rStyle w:val="Hipervnculo"/>
                <w:rFonts w:ascii="Arial" w:hAnsi="Arial" w:cs="Arial"/>
                <w:noProof/>
              </w:rPr>
              <w:t>8.1. Alternativa 1: Mantener la metodología vigente</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_Toc165037328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17</w:t>
            </w:r>
            <w:r w:rsidR="00801900" w:rsidRPr="002A5485">
              <w:rPr>
                <w:rFonts w:ascii="Arial" w:hAnsi="Arial" w:cs="Arial"/>
                <w:noProof/>
                <w:webHidden/>
              </w:rPr>
              <w:fldChar w:fldCharType="end"/>
            </w:r>
          </w:hyperlink>
        </w:p>
        <w:p w14:paraId="1A17F903" w14:textId="1D2C5D12" w:rsidR="00801900" w:rsidRPr="002A5485" w:rsidRDefault="00E42F3C">
          <w:pPr>
            <w:pStyle w:val="TDC2"/>
            <w:tabs>
              <w:tab w:val="right" w:leader="dot" w:pos="9016"/>
            </w:tabs>
            <w:rPr>
              <w:rFonts w:ascii="Arial" w:eastAsiaTheme="minorEastAsia" w:hAnsi="Arial" w:cs="Arial"/>
              <w:noProof/>
              <w:kern w:val="2"/>
              <w:sz w:val="24"/>
              <w:szCs w:val="24"/>
              <w:lang w:eastAsia="es-CO"/>
              <w14:ligatures w14:val="standardContextual"/>
            </w:rPr>
          </w:pPr>
          <w:hyperlink w:anchor="_Toc165037329" w:history="1">
            <w:r w:rsidR="00801900" w:rsidRPr="002A5485">
              <w:rPr>
                <w:rStyle w:val="Hipervnculo"/>
                <w:rFonts w:ascii="Arial" w:hAnsi="Arial" w:cs="Arial"/>
                <w:noProof/>
              </w:rPr>
              <w:t>8.2 Alternativa 2: Ajustar algunos aspectos de la metodología de comercialización vigente</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_Toc165037329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17</w:t>
            </w:r>
            <w:r w:rsidR="00801900" w:rsidRPr="002A5485">
              <w:rPr>
                <w:rFonts w:ascii="Arial" w:hAnsi="Arial" w:cs="Arial"/>
                <w:noProof/>
                <w:webHidden/>
              </w:rPr>
              <w:fldChar w:fldCharType="end"/>
            </w:r>
          </w:hyperlink>
        </w:p>
        <w:p w14:paraId="24B8B172" w14:textId="48B12B4D" w:rsidR="00801900" w:rsidRPr="002A5485" w:rsidRDefault="00E42F3C">
          <w:pPr>
            <w:pStyle w:val="TDC2"/>
            <w:tabs>
              <w:tab w:val="right" w:leader="dot" w:pos="9016"/>
            </w:tabs>
            <w:rPr>
              <w:rFonts w:ascii="Arial" w:eastAsiaTheme="minorEastAsia" w:hAnsi="Arial" w:cs="Arial"/>
              <w:noProof/>
              <w:kern w:val="2"/>
              <w:sz w:val="24"/>
              <w:szCs w:val="24"/>
              <w:lang w:eastAsia="es-CO"/>
              <w14:ligatures w14:val="standardContextual"/>
            </w:rPr>
          </w:pPr>
          <w:hyperlink w:anchor="_Toc165037330" w:history="1">
            <w:r w:rsidR="00801900" w:rsidRPr="002A5485">
              <w:rPr>
                <w:rStyle w:val="Hipervnculo"/>
                <w:rFonts w:ascii="Arial" w:hAnsi="Arial" w:cs="Arial"/>
                <w:noProof/>
              </w:rPr>
              <w:t>8.3. Alternativa 3: Modificar totalmente el esquema de remuneración que se tiene actualmente.</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_Toc165037330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17</w:t>
            </w:r>
            <w:r w:rsidR="00801900" w:rsidRPr="002A5485">
              <w:rPr>
                <w:rFonts w:ascii="Arial" w:hAnsi="Arial" w:cs="Arial"/>
                <w:noProof/>
                <w:webHidden/>
              </w:rPr>
              <w:fldChar w:fldCharType="end"/>
            </w:r>
          </w:hyperlink>
        </w:p>
        <w:p w14:paraId="5C7C3595" w14:textId="0543665F" w:rsidR="00801900" w:rsidRPr="002A5485" w:rsidRDefault="00E42F3C">
          <w:pPr>
            <w:pStyle w:val="TDC1"/>
            <w:tabs>
              <w:tab w:val="left" w:pos="440"/>
            </w:tabs>
            <w:rPr>
              <w:rFonts w:ascii="Arial" w:eastAsiaTheme="minorEastAsia" w:hAnsi="Arial" w:cs="Arial"/>
              <w:noProof/>
              <w:kern w:val="2"/>
              <w:sz w:val="24"/>
              <w:szCs w:val="24"/>
              <w:lang w:eastAsia="es-CO"/>
              <w14:ligatures w14:val="standardContextual"/>
            </w:rPr>
          </w:pPr>
          <w:hyperlink w:anchor="_Toc165037331" w:history="1">
            <w:r w:rsidR="00801900" w:rsidRPr="002A5485">
              <w:rPr>
                <w:rStyle w:val="Hipervnculo"/>
                <w:rFonts w:ascii="Arial" w:hAnsi="Arial" w:cs="Arial"/>
                <w:noProof/>
              </w:rPr>
              <w:t>9.</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EVALUACIÓN DE IMPACTO DE LAS ALTERNATIVAS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_Toc165037331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17</w:t>
            </w:r>
            <w:r w:rsidR="00801900" w:rsidRPr="002A5485">
              <w:rPr>
                <w:rFonts w:ascii="Arial" w:hAnsi="Arial" w:cs="Arial"/>
                <w:noProof/>
                <w:webHidden/>
              </w:rPr>
              <w:fldChar w:fldCharType="end"/>
            </w:r>
          </w:hyperlink>
        </w:p>
        <w:p w14:paraId="242086CC" w14:textId="6F2221F0" w:rsidR="00801900" w:rsidRPr="002A5485" w:rsidRDefault="00E42F3C">
          <w:pPr>
            <w:pStyle w:val="TDC1"/>
            <w:tabs>
              <w:tab w:val="left" w:pos="720"/>
            </w:tabs>
            <w:rPr>
              <w:rFonts w:ascii="Arial" w:eastAsiaTheme="minorEastAsia" w:hAnsi="Arial" w:cs="Arial"/>
              <w:noProof/>
              <w:kern w:val="2"/>
              <w:sz w:val="24"/>
              <w:szCs w:val="24"/>
              <w:lang w:eastAsia="es-CO"/>
              <w14:ligatures w14:val="standardContextual"/>
            </w:rPr>
          </w:pPr>
          <w:hyperlink w:anchor="_Toc165037332" w:history="1">
            <w:r w:rsidR="00801900" w:rsidRPr="002A5485">
              <w:rPr>
                <w:rStyle w:val="Hipervnculo"/>
                <w:rFonts w:ascii="Arial" w:hAnsi="Arial" w:cs="Arial"/>
                <w:noProof/>
              </w:rPr>
              <w:t>10.</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ANÁLISIS Y PROPUESTA DE METODOLOGÍA PARA REMUNERAR LA ACTIVIDAD DE COMERCIALIZACIÓN DE ENERGÍA ELÉCTRICA A USUARIOS REGULADOS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_Toc165037332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19</w:t>
            </w:r>
            <w:r w:rsidR="00801900" w:rsidRPr="002A5485">
              <w:rPr>
                <w:rFonts w:ascii="Arial" w:hAnsi="Arial" w:cs="Arial"/>
                <w:noProof/>
                <w:webHidden/>
              </w:rPr>
              <w:fldChar w:fldCharType="end"/>
            </w:r>
          </w:hyperlink>
        </w:p>
        <w:p w14:paraId="0EE008A5" w14:textId="501DBBAA"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33" w:history="1">
            <w:r w:rsidR="00801900" w:rsidRPr="002A5485">
              <w:rPr>
                <w:rStyle w:val="Hipervnculo"/>
                <w:rFonts w:ascii="Arial" w:hAnsi="Arial" w:cs="Arial"/>
                <w:noProof/>
              </w:rPr>
              <w:t>10.1.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Componente fijo del costo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_Toc165037333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19</w:t>
            </w:r>
            <w:r w:rsidR="00801900" w:rsidRPr="002A5485">
              <w:rPr>
                <w:rFonts w:ascii="Arial" w:hAnsi="Arial" w:cs="Arial"/>
                <w:noProof/>
                <w:webHidden/>
              </w:rPr>
              <w:fldChar w:fldCharType="end"/>
            </w:r>
          </w:hyperlink>
        </w:p>
        <w:p w14:paraId="43B84ED3" w14:textId="06D46440" w:rsidR="00801900" w:rsidRPr="002A5485" w:rsidRDefault="00E42F3C">
          <w:pPr>
            <w:pStyle w:val="TDC3"/>
            <w:tabs>
              <w:tab w:val="left" w:pos="1440"/>
            </w:tabs>
            <w:rPr>
              <w:rFonts w:ascii="Arial" w:eastAsiaTheme="minorEastAsia" w:hAnsi="Arial" w:cs="Arial"/>
              <w:noProof/>
              <w:kern w:val="2"/>
              <w:sz w:val="24"/>
              <w:szCs w:val="24"/>
              <w:lang w:eastAsia="es-CO"/>
              <w14:ligatures w14:val="standardContextual"/>
            </w:rPr>
          </w:pPr>
          <w:hyperlink w:anchor="_Toc165037334" w:history="1">
            <w:r w:rsidR="00801900" w:rsidRPr="002A5485">
              <w:rPr>
                <w:rStyle w:val="Hipervnculo"/>
                <w:rFonts w:ascii="Arial" w:hAnsi="Arial" w:cs="Arial"/>
                <w:noProof/>
              </w:rPr>
              <w:t>10.1.1.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Costo base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_Toc165037334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19</w:t>
            </w:r>
            <w:r w:rsidR="00801900" w:rsidRPr="002A5485">
              <w:rPr>
                <w:rFonts w:ascii="Arial" w:hAnsi="Arial" w:cs="Arial"/>
                <w:noProof/>
                <w:webHidden/>
              </w:rPr>
              <w:fldChar w:fldCharType="end"/>
            </w:r>
          </w:hyperlink>
        </w:p>
        <w:p w14:paraId="10B4C6ED" w14:textId="08836F5B" w:rsidR="00801900" w:rsidRPr="002A5485" w:rsidRDefault="00E42F3C">
          <w:pPr>
            <w:pStyle w:val="TDC3"/>
            <w:tabs>
              <w:tab w:val="left" w:pos="1440"/>
            </w:tabs>
            <w:rPr>
              <w:rFonts w:ascii="Arial" w:eastAsiaTheme="minorEastAsia" w:hAnsi="Arial" w:cs="Arial"/>
              <w:noProof/>
              <w:kern w:val="2"/>
              <w:sz w:val="24"/>
              <w:szCs w:val="24"/>
              <w:lang w:eastAsia="es-CO"/>
              <w14:ligatures w14:val="standardContextual"/>
            </w:rPr>
          </w:pPr>
          <w:hyperlink w:anchor="_Toc165037335" w:history="1">
            <w:r w:rsidR="00801900" w:rsidRPr="002A5485">
              <w:rPr>
                <w:rStyle w:val="Hipervnculo"/>
                <w:rFonts w:ascii="Arial" w:hAnsi="Arial" w:cs="Arial"/>
                <w:noProof/>
              </w:rPr>
              <w:t>10.1.2.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Modelo de eficiencia</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_Toc165037335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22</w:t>
            </w:r>
            <w:r w:rsidR="00801900" w:rsidRPr="002A5485">
              <w:rPr>
                <w:rFonts w:ascii="Arial" w:hAnsi="Arial" w:cs="Arial"/>
                <w:noProof/>
                <w:webHidden/>
              </w:rPr>
              <w:fldChar w:fldCharType="end"/>
            </w:r>
          </w:hyperlink>
        </w:p>
        <w:p w14:paraId="02403683" w14:textId="681CC199"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36" w:history="1">
            <w:r w:rsidR="00801900" w:rsidRPr="002A5485">
              <w:rPr>
                <w:rStyle w:val="Hipervnculo"/>
                <w:rFonts w:ascii="Arial" w:hAnsi="Arial" w:cs="Arial"/>
                <w:noProof/>
              </w:rPr>
              <w:t>10.2.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Componente variable del costo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_Toc165037336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26</w:t>
            </w:r>
            <w:r w:rsidR="00801900" w:rsidRPr="002A5485">
              <w:rPr>
                <w:rFonts w:ascii="Arial" w:hAnsi="Arial" w:cs="Arial"/>
                <w:noProof/>
                <w:webHidden/>
              </w:rPr>
              <w:fldChar w:fldCharType="end"/>
            </w:r>
          </w:hyperlink>
        </w:p>
        <w:p w14:paraId="7477ECD8" w14:textId="44A7707E" w:rsidR="00801900" w:rsidRPr="002A5485" w:rsidRDefault="00E42F3C">
          <w:pPr>
            <w:pStyle w:val="TDC3"/>
            <w:tabs>
              <w:tab w:val="left" w:pos="1440"/>
            </w:tabs>
            <w:rPr>
              <w:rFonts w:ascii="Arial" w:eastAsiaTheme="minorEastAsia" w:hAnsi="Arial" w:cs="Arial"/>
              <w:noProof/>
              <w:kern w:val="2"/>
              <w:sz w:val="24"/>
              <w:szCs w:val="24"/>
              <w:lang w:eastAsia="es-CO"/>
              <w14:ligatures w14:val="standardContextual"/>
            </w:rPr>
          </w:pPr>
          <w:hyperlink w:anchor="_Toc165037337" w:history="1">
            <w:r w:rsidR="00801900" w:rsidRPr="002A5485">
              <w:rPr>
                <w:rStyle w:val="Hipervnculo"/>
                <w:rFonts w:ascii="Arial" w:hAnsi="Arial" w:cs="Arial"/>
                <w:noProof/>
              </w:rPr>
              <w:t>10.2.1.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Margen para remunerar la actividad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_Toc165037337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26</w:t>
            </w:r>
            <w:r w:rsidR="00801900" w:rsidRPr="002A5485">
              <w:rPr>
                <w:rFonts w:ascii="Arial" w:hAnsi="Arial" w:cs="Arial"/>
                <w:noProof/>
                <w:webHidden/>
              </w:rPr>
              <w:fldChar w:fldCharType="end"/>
            </w:r>
          </w:hyperlink>
        </w:p>
        <w:p w14:paraId="37C60F96" w14:textId="4182CCF9" w:rsidR="00801900" w:rsidRPr="002A5485" w:rsidRDefault="00E42F3C">
          <w:pPr>
            <w:pStyle w:val="TDC3"/>
            <w:tabs>
              <w:tab w:val="left" w:pos="1440"/>
            </w:tabs>
            <w:rPr>
              <w:rFonts w:ascii="Arial" w:eastAsiaTheme="minorEastAsia" w:hAnsi="Arial" w:cs="Arial"/>
              <w:noProof/>
              <w:kern w:val="2"/>
              <w:sz w:val="24"/>
              <w:szCs w:val="24"/>
              <w:lang w:eastAsia="es-CO"/>
              <w14:ligatures w14:val="standardContextual"/>
            </w:rPr>
          </w:pPr>
          <w:hyperlink w:anchor="_Toc165037338" w:history="1">
            <w:r w:rsidR="00801900" w:rsidRPr="002A5485">
              <w:rPr>
                <w:rStyle w:val="Hipervnculo"/>
                <w:rFonts w:ascii="Arial" w:hAnsi="Arial" w:cs="Arial"/>
                <w:noProof/>
              </w:rPr>
              <w:t>10.2.2.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Riesgo de cartera reconocido</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_Toc165037338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30</w:t>
            </w:r>
            <w:r w:rsidR="00801900" w:rsidRPr="002A5485">
              <w:rPr>
                <w:rFonts w:ascii="Arial" w:hAnsi="Arial" w:cs="Arial"/>
                <w:noProof/>
                <w:webHidden/>
              </w:rPr>
              <w:fldChar w:fldCharType="end"/>
            </w:r>
          </w:hyperlink>
        </w:p>
        <w:p w14:paraId="4450B44D" w14:textId="2345FE80" w:rsidR="00801900" w:rsidRPr="002A5485" w:rsidRDefault="00E42F3C">
          <w:pPr>
            <w:pStyle w:val="TDC3"/>
            <w:tabs>
              <w:tab w:val="left" w:pos="1440"/>
            </w:tabs>
            <w:rPr>
              <w:rFonts w:ascii="Arial" w:eastAsiaTheme="minorEastAsia" w:hAnsi="Arial" w:cs="Arial"/>
              <w:noProof/>
              <w:kern w:val="2"/>
              <w:sz w:val="24"/>
              <w:szCs w:val="24"/>
              <w:lang w:eastAsia="es-CO"/>
              <w14:ligatures w14:val="standardContextual"/>
            </w:rPr>
          </w:pPr>
          <w:hyperlink w:anchor="_Toc165037339" w:history="1">
            <w:r w:rsidR="00801900" w:rsidRPr="002A5485">
              <w:rPr>
                <w:rStyle w:val="Hipervnculo"/>
                <w:rFonts w:ascii="Arial" w:hAnsi="Arial" w:cs="Arial"/>
                <w:noProof/>
              </w:rPr>
              <w:t>10.2.3.</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Costos Financieros Reconocidos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_Toc165037339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38</w:t>
            </w:r>
            <w:r w:rsidR="00801900" w:rsidRPr="002A5485">
              <w:rPr>
                <w:rFonts w:ascii="Arial" w:hAnsi="Arial" w:cs="Arial"/>
                <w:noProof/>
                <w:webHidden/>
              </w:rPr>
              <w:fldChar w:fldCharType="end"/>
            </w:r>
          </w:hyperlink>
        </w:p>
        <w:p w14:paraId="6721BA66" w14:textId="11BB9297"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40" w:history="1">
            <w:r w:rsidR="00801900" w:rsidRPr="002A5485">
              <w:rPr>
                <w:rStyle w:val="Hipervnculo"/>
                <w:rFonts w:ascii="Arial" w:hAnsi="Arial" w:cs="Arial"/>
                <w:noProof/>
              </w:rPr>
              <w:t>10.3.</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Calidad comercial</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_Toc165037340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46</w:t>
            </w:r>
            <w:r w:rsidR="00801900" w:rsidRPr="002A5485">
              <w:rPr>
                <w:rFonts w:ascii="Arial" w:hAnsi="Arial" w:cs="Arial"/>
                <w:noProof/>
                <w:webHidden/>
              </w:rPr>
              <w:fldChar w:fldCharType="end"/>
            </w:r>
          </w:hyperlink>
        </w:p>
        <w:p w14:paraId="13F8BF63" w14:textId="0BD284E8" w:rsidR="00801900" w:rsidRPr="002A5485" w:rsidRDefault="00E42F3C">
          <w:pPr>
            <w:pStyle w:val="TDC3"/>
            <w:tabs>
              <w:tab w:val="left" w:pos="1440"/>
            </w:tabs>
            <w:rPr>
              <w:rFonts w:ascii="Arial" w:eastAsiaTheme="minorEastAsia" w:hAnsi="Arial" w:cs="Arial"/>
              <w:noProof/>
              <w:kern w:val="2"/>
              <w:sz w:val="24"/>
              <w:szCs w:val="24"/>
              <w:lang w:eastAsia="es-CO"/>
              <w14:ligatures w14:val="standardContextual"/>
            </w:rPr>
          </w:pPr>
          <w:hyperlink w:anchor="_Toc165037341" w:history="1">
            <w:r w:rsidR="00801900" w:rsidRPr="002A5485">
              <w:rPr>
                <w:rStyle w:val="Hipervnculo"/>
                <w:rFonts w:ascii="Arial" w:hAnsi="Arial" w:cs="Arial"/>
                <w:noProof/>
              </w:rPr>
              <w:t>10.3.1.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Antecedentes y generalidades</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_Toc165037341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47</w:t>
            </w:r>
            <w:r w:rsidR="00801900" w:rsidRPr="002A5485">
              <w:rPr>
                <w:rFonts w:ascii="Arial" w:hAnsi="Arial" w:cs="Arial"/>
                <w:noProof/>
                <w:webHidden/>
              </w:rPr>
              <w:fldChar w:fldCharType="end"/>
            </w:r>
          </w:hyperlink>
        </w:p>
        <w:p w14:paraId="48D2F4C2" w14:textId="36C163CC" w:rsidR="00801900" w:rsidRPr="002A5485" w:rsidRDefault="00E42F3C">
          <w:pPr>
            <w:pStyle w:val="TDC3"/>
            <w:tabs>
              <w:tab w:val="left" w:pos="1440"/>
            </w:tabs>
            <w:rPr>
              <w:rFonts w:ascii="Arial" w:eastAsiaTheme="minorEastAsia" w:hAnsi="Arial" w:cs="Arial"/>
              <w:noProof/>
              <w:kern w:val="2"/>
              <w:sz w:val="24"/>
              <w:szCs w:val="24"/>
              <w:lang w:eastAsia="es-CO"/>
              <w14:ligatures w14:val="standardContextual"/>
            </w:rPr>
          </w:pPr>
          <w:hyperlink w:anchor="_Toc165037342" w:history="1">
            <w:r w:rsidR="00801900" w:rsidRPr="002A5485">
              <w:rPr>
                <w:rStyle w:val="Hipervnculo"/>
                <w:rFonts w:ascii="Arial" w:hAnsi="Arial" w:cs="Arial"/>
                <w:noProof/>
              </w:rPr>
              <w:t>10.3.2.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Metodología de evaluación de la calidad comercial</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_Toc165037342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50</w:t>
            </w:r>
            <w:r w:rsidR="00801900" w:rsidRPr="002A5485">
              <w:rPr>
                <w:rFonts w:ascii="Arial" w:hAnsi="Arial" w:cs="Arial"/>
                <w:noProof/>
                <w:webHidden/>
              </w:rPr>
              <w:fldChar w:fldCharType="end"/>
            </w:r>
          </w:hyperlink>
        </w:p>
        <w:p w14:paraId="60048E5E" w14:textId="0A0C5561" w:rsidR="00801900" w:rsidRPr="002A5485" w:rsidRDefault="00E42F3C">
          <w:pPr>
            <w:pStyle w:val="TDC1"/>
            <w:tabs>
              <w:tab w:val="left" w:pos="720"/>
            </w:tabs>
            <w:rPr>
              <w:rFonts w:ascii="Arial" w:eastAsiaTheme="minorEastAsia" w:hAnsi="Arial" w:cs="Arial"/>
              <w:noProof/>
              <w:kern w:val="2"/>
              <w:sz w:val="24"/>
              <w:szCs w:val="24"/>
              <w:lang w:eastAsia="es-CO"/>
              <w14:ligatures w14:val="standardContextual"/>
            </w:rPr>
          </w:pPr>
          <w:hyperlink w:anchor="_Toc165037343" w:history="1">
            <w:r w:rsidR="00801900" w:rsidRPr="002A5485">
              <w:rPr>
                <w:rStyle w:val="Hipervnculo"/>
                <w:rFonts w:ascii="Arial" w:hAnsi="Arial" w:cs="Arial"/>
                <w:noProof/>
              </w:rPr>
              <w:t>11.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APLICACIÓN DE LA PROPUESTA REGULATORIA.</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_Toc165037343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54</w:t>
            </w:r>
            <w:r w:rsidR="00801900" w:rsidRPr="002A5485">
              <w:rPr>
                <w:rFonts w:ascii="Arial" w:hAnsi="Arial" w:cs="Arial"/>
                <w:noProof/>
                <w:webHidden/>
              </w:rPr>
              <w:fldChar w:fldCharType="end"/>
            </w:r>
          </w:hyperlink>
        </w:p>
        <w:p w14:paraId="29D68876" w14:textId="68EBE112" w:rsidR="00801900" w:rsidRPr="002A5485" w:rsidRDefault="00E42F3C">
          <w:pPr>
            <w:pStyle w:val="TDC1"/>
            <w:tabs>
              <w:tab w:val="left" w:pos="720"/>
            </w:tabs>
            <w:rPr>
              <w:rFonts w:ascii="Arial" w:eastAsiaTheme="minorEastAsia" w:hAnsi="Arial" w:cs="Arial"/>
              <w:noProof/>
              <w:kern w:val="2"/>
              <w:sz w:val="24"/>
              <w:szCs w:val="24"/>
              <w:lang w:eastAsia="es-CO"/>
              <w14:ligatures w14:val="standardContextual"/>
            </w:rPr>
          </w:pPr>
          <w:hyperlink w:anchor="_Toc165037344" w:history="1">
            <w:r w:rsidR="00801900" w:rsidRPr="002A5485">
              <w:rPr>
                <w:rStyle w:val="Hipervnculo"/>
                <w:rFonts w:ascii="Arial" w:hAnsi="Arial" w:cs="Arial"/>
                <w:noProof/>
              </w:rPr>
              <w:t>12.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IMPACTOS DE LA METODOLOGIA</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_Toc165037344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57</w:t>
            </w:r>
            <w:r w:rsidR="00801900" w:rsidRPr="002A5485">
              <w:rPr>
                <w:rFonts w:ascii="Arial" w:hAnsi="Arial" w:cs="Arial"/>
                <w:noProof/>
                <w:webHidden/>
              </w:rPr>
              <w:fldChar w:fldCharType="end"/>
            </w:r>
          </w:hyperlink>
        </w:p>
        <w:p w14:paraId="263DE851" w14:textId="294081B5"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45" w:history="1">
            <w:r w:rsidR="00801900" w:rsidRPr="002A5485">
              <w:rPr>
                <w:rStyle w:val="Hipervnculo"/>
                <w:rFonts w:ascii="Arial" w:hAnsi="Arial" w:cs="Arial"/>
                <w:noProof/>
              </w:rPr>
              <w:t>12.1.</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Impacto en el componente fijo del costo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_Toc165037345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57</w:t>
            </w:r>
            <w:r w:rsidR="00801900" w:rsidRPr="002A5485">
              <w:rPr>
                <w:rFonts w:ascii="Arial" w:hAnsi="Arial" w:cs="Arial"/>
                <w:noProof/>
                <w:webHidden/>
              </w:rPr>
              <w:fldChar w:fldCharType="end"/>
            </w:r>
          </w:hyperlink>
        </w:p>
        <w:p w14:paraId="30062FE9" w14:textId="25962407"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46" w:history="1">
            <w:r w:rsidR="00801900" w:rsidRPr="002A5485">
              <w:rPr>
                <w:rStyle w:val="Hipervnculo"/>
                <w:rFonts w:ascii="Arial" w:hAnsi="Arial" w:cs="Arial"/>
                <w:noProof/>
              </w:rPr>
              <w:t>12.2.</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Impacto en el componente variable del costo de comercialización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_Toc165037346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58</w:t>
            </w:r>
            <w:r w:rsidR="00801900" w:rsidRPr="002A5485">
              <w:rPr>
                <w:rFonts w:ascii="Arial" w:hAnsi="Arial" w:cs="Arial"/>
                <w:noProof/>
                <w:webHidden/>
              </w:rPr>
              <w:fldChar w:fldCharType="end"/>
            </w:r>
          </w:hyperlink>
        </w:p>
        <w:p w14:paraId="7868D83B" w14:textId="33C2D5CE" w:rsidR="00801900" w:rsidRPr="002A5485" w:rsidRDefault="00E42F3C">
          <w:pPr>
            <w:pStyle w:val="TDC2"/>
            <w:tabs>
              <w:tab w:val="left" w:pos="960"/>
              <w:tab w:val="right" w:leader="dot" w:pos="9016"/>
            </w:tabs>
            <w:rPr>
              <w:rFonts w:ascii="Arial" w:eastAsiaTheme="minorEastAsia" w:hAnsi="Arial" w:cs="Arial"/>
              <w:noProof/>
              <w:kern w:val="2"/>
              <w:sz w:val="24"/>
              <w:szCs w:val="24"/>
              <w:lang w:eastAsia="es-CO"/>
              <w14:ligatures w14:val="standardContextual"/>
            </w:rPr>
          </w:pPr>
          <w:hyperlink w:anchor="_Toc165037347" w:history="1">
            <w:r w:rsidR="00801900" w:rsidRPr="002A5485">
              <w:rPr>
                <w:rStyle w:val="Hipervnculo"/>
                <w:rFonts w:ascii="Arial" w:hAnsi="Arial" w:cs="Arial"/>
                <w:noProof/>
              </w:rPr>
              <w:t>12.3.</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Impactos total de la metodología</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_Toc165037347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59</w:t>
            </w:r>
            <w:r w:rsidR="00801900" w:rsidRPr="002A5485">
              <w:rPr>
                <w:rFonts w:ascii="Arial" w:hAnsi="Arial" w:cs="Arial"/>
                <w:noProof/>
                <w:webHidden/>
              </w:rPr>
              <w:fldChar w:fldCharType="end"/>
            </w:r>
          </w:hyperlink>
        </w:p>
        <w:p w14:paraId="693C406C" w14:textId="5BAD0960" w:rsidR="00801900" w:rsidRPr="002A5485" w:rsidRDefault="00E42F3C">
          <w:pPr>
            <w:pStyle w:val="TDC1"/>
            <w:tabs>
              <w:tab w:val="left" w:pos="720"/>
            </w:tabs>
            <w:rPr>
              <w:rFonts w:ascii="Arial" w:eastAsiaTheme="minorEastAsia" w:hAnsi="Arial" w:cs="Arial"/>
              <w:noProof/>
              <w:kern w:val="2"/>
              <w:sz w:val="24"/>
              <w:szCs w:val="24"/>
              <w:lang w:eastAsia="es-CO"/>
              <w14:ligatures w14:val="standardContextual"/>
            </w:rPr>
          </w:pPr>
          <w:hyperlink w:anchor="_Toc165037348" w:history="1">
            <w:r w:rsidR="00801900" w:rsidRPr="002A5485">
              <w:rPr>
                <w:rStyle w:val="Hipervnculo"/>
                <w:rFonts w:ascii="Arial" w:hAnsi="Arial" w:cs="Arial"/>
                <w:noProof/>
              </w:rPr>
              <w:t>13.</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INDICADORES DE SEGUIMIENTO</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_Toc165037348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60</w:t>
            </w:r>
            <w:r w:rsidR="00801900" w:rsidRPr="002A5485">
              <w:rPr>
                <w:rFonts w:ascii="Arial" w:hAnsi="Arial" w:cs="Arial"/>
                <w:noProof/>
                <w:webHidden/>
              </w:rPr>
              <w:fldChar w:fldCharType="end"/>
            </w:r>
          </w:hyperlink>
        </w:p>
        <w:p w14:paraId="47806C24" w14:textId="7147F1B5" w:rsidR="00801900" w:rsidRPr="002A5485" w:rsidRDefault="00E42F3C">
          <w:pPr>
            <w:pStyle w:val="TDC1"/>
            <w:tabs>
              <w:tab w:val="left" w:pos="720"/>
            </w:tabs>
            <w:rPr>
              <w:rFonts w:ascii="Arial" w:eastAsiaTheme="minorEastAsia" w:hAnsi="Arial" w:cs="Arial"/>
              <w:noProof/>
              <w:kern w:val="2"/>
              <w:sz w:val="24"/>
              <w:szCs w:val="24"/>
              <w:lang w:eastAsia="es-CO"/>
              <w14:ligatures w14:val="standardContextual"/>
            </w:rPr>
          </w:pPr>
          <w:hyperlink w:anchor="_Toc165037349" w:history="1">
            <w:r w:rsidR="00801900" w:rsidRPr="002A5485">
              <w:rPr>
                <w:rStyle w:val="Hipervnculo"/>
                <w:rFonts w:ascii="Arial" w:hAnsi="Arial" w:cs="Arial"/>
                <w:noProof/>
              </w:rPr>
              <w:t>14.</w:t>
            </w:r>
            <w:r w:rsidR="00801900" w:rsidRPr="002A5485">
              <w:rPr>
                <w:rFonts w:ascii="Arial" w:eastAsiaTheme="minorEastAsia" w:hAnsi="Arial" w:cs="Arial"/>
                <w:noProof/>
                <w:kern w:val="2"/>
                <w:sz w:val="24"/>
                <w:szCs w:val="24"/>
                <w:lang w:eastAsia="es-CO"/>
                <w14:ligatures w14:val="standardContextual"/>
              </w:rPr>
              <w:tab/>
            </w:r>
            <w:r w:rsidR="00801900" w:rsidRPr="002A5485">
              <w:rPr>
                <w:rStyle w:val="Hipervnculo"/>
                <w:rFonts w:ascii="Arial" w:hAnsi="Arial" w:cs="Arial"/>
                <w:noProof/>
              </w:rPr>
              <w:t>CRONOGRAMA PARA LA EXPEDICION DEFINITIVA DE LA METODOLOGÍA Y SU APLICACIÓN</w:t>
            </w:r>
            <w:r w:rsidR="00801900" w:rsidRPr="002A5485">
              <w:rPr>
                <w:rFonts w:ascii="Arial" w:hAnsi="Arial" w:cs="Arial"/>
                <w:noProof/>
                <w:webHidden/>
              </w:rPr>
              <w:tab/>
            </w:r>
            <w:r w:rsidR="00801900" w:rsidRPr="002A5485">
              <w:rPr>
                <w:rFonts w:ascii="Arial" w:hAnsi="Arial" w:cs="Arial"/>
                <w:noProof/>
                <w:webHidden/>
              </w:rPr>
              <w:fldChar w:fldCharType="begin"/>
            </w:r>
            <w:r w:rsidR="00801900" w:rsidRPr="002A5485">
              <w:rPr>
                <w:rFonts w:ascii="Arial" w:hAnsi="Arial" w:cs="Arial"/>
                <w:noProof/>
                <w:webHidden/>
              </w:rPr>
              <w:instrText xml:space="preserve"> PAGEREF _Toc165037349 \h </w:instrText>
            </w:r>
            <w:r w:rsidR="00801900" w:rsidRPr="002A5485">
              <w:rPr>
                <w:rFonts w:ascii="Arial" w:hAnsi="Arial" w:cs="Arial"/>
                <w:noProof/>
                <w:webHidden/>
              </w:rPr>
            </w:r>
            <w:r w:rsidR="00801900" w:rsidRPr="002A5485">
              <w:rPr>
                <w:rFonts w:ascii="Arial" w:hAnsi="Arial" w:cs="Arial"/>
                <w:noProof/>
                <w:webHidden/>
              </w:rPr>
              <w:fldChar w:fldCharType="separate"/>
            </w:r>
            <w:r w:rsidR="002A641D">
              <w:rPr>
                <w:rFonts w:ascii="Arial" w:hAnsi="Arial" w:cs="Arial"/>
                <w:noProof/>
                <w:webHidden/>
              </w:rPr>
              <w:t>61</w:t>
            </w:r>
            <w:r w:rsidR="00801900" w:rsidRPr="002A5485">
              <w:rPr>
                <w:rFonts w:ascii="Arial" w:hAnsi="Arial" w:cs="Arial"/>
                <w:noProof/>
                <w:webHidden/>
              </w:rPr>
              <w:fldChar w:fldCharType="end"/>
            </w:r>
          </w:hyperlink>
        </w:p>
        <w:p w14:paraId="78768023" w14:textId="24C1730D" w:rsidR="003634DD" w:rsidRPr="002A5485" w:rsidRDefault="003634DD" w:rsidP="00A117C7">
          <w:pPr>
            <w:rPr>
              <w:rFonts w:ascii="Arial" w:hAnsi="Arial" w:cs="Arial"/>
            </w:rPr>
          </w:pPr>
          <w:r w:rsidRPr="002A5485">
            <w:rPr>
              <w:rFonts w:ascii="Arial" w:hAnsi="Arial" w:cs="Arial"/>
              <w:b/>
              <w:bCs/>
            </w:rPr>
            <w:fldChar w:fldCharType="end"/>
          </w:r>
        </w:p>
      </w:sdtContent>
    </w:sdt>
    <w:p w14:paraId="4C1F5671" w14:textId="6BCA8448" w:rsidR="002A6B15" w:rsidRPr="00115F4D" w:rsidRDefault="00043E26" w:rsidP="008C7D10">
      <w:pPr>
        <w:spacing w:before="0" w:after="0"/>
        <w:rPr>
          <w:rFonts w:asciiTheme="majorHAnsi" w:hAnsiTheme="majorHAnsi" w:cstheme="majorHAnsi"/>
        </w:rPr>
      </w:pPr>
      <w:r w:rsidRPr="00115F4D">
        <w:rPr>
          <w:rFonts w:asciiTheme="majorHAnsi" w:hAnsiTheme="majorHAnsi" w:cstheme="majorHAnsi"/>
        </w:rPr>
        <w:br w:type="column"/>
      </w:r>
    </w:p>
    <w:p w14:paraId="057A3D6A" w14:textId="342F7307" w:rsidR="00126923" w:rsidRPr="00115F4D" w:rsidRDefault="007B0556" w:rsidP="007B0556">
      <w:pPr>
        <w:pStyle w:val="Ttulo1"/>
      </w:pPr>
      <w:bookmarkStart w:id="0" w:name="_Toc165037312"/>
      <w:r w:rsidRPr="00115F4D">
        <w:t>INFORMACIÓN GENERAL</w:t>
      </w:r>
      <w:bookmarkEnd w:id="0"/>
      <w:r w:rsidRPr="00115F4D">
        <w:t xml:space="preserve"> </w:t>
      </w:r>
    </w:p>
    <w:p w14:paraId="2606F077" w14:textId="556B4DC0" w:rsidR="00DD15BC" w:rsidRDefault="00DD15BC" w:rsidP="00DD15BC">
      <w:pPr>
        <w:jc w:val="both"/>
        <w:rPr>
          <w:rFonts w:ascii="Arial" w:hAnsi="Arial" w:cs="Arial"/>
        </w:rPr>
      </w:pPr>
      <w:r w:rsidRPr="00DD15BC">
        <w:rPr>
          <w:rFonts w:ascii="Arial" w:hAnsi="Arial" w:cs="Arial"/>
        </w:rPr>
        <w:t xml:space="preserve">Mediante la Resolución CREG 180 de 2014 se </w:t>
      </w:r>
      <w:r w:rsidR="001D322C">
        <w:rPr>
          <w:rFonts w:ascii="Arial" w:hAnsi="Arial" w:cs="Arial"/>
        </w:rPr>
        <w:t>encuentra definida</w:t>
      </w:r>
      <w:r w:rsidRPr="00DD15BC">
        <w:rPr>
          <w:rFonts w:ascii="Arial" w:hAnsi="Arial" w:cs="Arial"/>
        </w:rPr>
        <w:t xml:space="preserve"> la metodología de remuneración de la actividad de comercialización a usuarios regulados en el Sistema Interconectado Nacional que </w:t>
      </w:r>
      <w:r>
        <w:rPr>
          <w:rFonts w:ascii="Arial" w:hAnsi="Arial" w:cs="Arial"/>
        </w:rPr>
        <w:t xml:space="preserve">actualmente </w:t>
      </w:r>
      <w:r w:rsidR="001D322C">
        <w:rPr>
          <w:rFonts w:ascii="Arial" w:hAnsi="Arial" w:cs="Arial"/>
        </w:rPr>
        <w:t xml:space="preserve">deben </w:t>
      </w:r>
      <w:r>
        <w:rPr>
          <w:rFonts w:ascii="Arial" w:hAnsi="Arial" w:cs="Arial"/>
        </w:rPr>
        <w:t>aplica</w:t>
      </w:r>
      <w:r w:rsidR="001D322C">
        <w:rPr>
          <w:rFonts w:ascii="Arial" w:hAnsi="Arial" w:cs="Arial"/>
        </w:rPr>
        <w:t>r</w:t>
      </w:r>
      <w:r>
        <w:rPr>
          <w:rFonts w:ascii="Arial" w:hAnsi="Arial" w:cs="Arial"/>
        </w:rPr>
        <w:t xml:space="preserve"> los comercializadores de energía eléctrica que atienden usuarios finales.</w:t>
      </w:r>
    </w:p>
    <w:p w14:paraId="2870EB71" w14:textId="7C09B18E" w:rsidR="00135E50" w:rsidRDefault="001D322C" w:rsidP="00DD15BC">
      <w:pPr>
        <w:jc w:val="both"/>
        <w:rPr>
          <w:rFonts w:ascii="Arial" w:hAnsi="Arial" w:cs="Arial"/>
        </w:rPr>
      </w:pPr>
      <w:r>
        <w:rPr>
          <w:rFonts w:ascii="Arial" w:hAnsi="Arial" w:cs="Arial"/>
        </w:rPr>
        <w:t>Lueg</w:t>
      </w:r>
      <w:r w:rsidR="006C1550">
        <w:rPr>
          <w:rFonts w:ascii="Arial" w:hAnsi="Arial" w:cs="Arial"/>
        </w:rPr>
        <w:t xml:space="preserve">o de más de cinco años de su aplicación en el año 2019 se inició el proceso para </w:t>
      </w:r>
      <w:r w:rsidR="009611D0">
        <w:rPr>
          <w:rFonts w:ascii="Arial" w:hAnsi="Arial" w:cs="Arial"/>
        </w:rPr>
        <w:t xml:space="preserve">fijar una nueva metodología y en ese sentido expidió las bases </w:t>
      </w:r>
      <w:r w:rsidR="009611D0" w:rsidRPr="00115F4D">
        <w:rPr>
          <w:rFonts w:ascii="Arial" w:hAnsi="Arial" w:cs="Arial"/>
        </w:rPr>
        <w:t xml:space="preserve">sobre las cuales se efectuaría el estudio </w:t>
      </w:r>
      <w:r w:rsidR="009611D0">
        <w:rPr>
          <w:rFonts w:ascii="Arial" w:hAnsi="Arial" w:cs="Arial"/>
        </w:rPr>
        <w:t xml:space="preserve">para determinar la metodología </w:t>
      </w:r>
      <w:r w:rsidR="009611D0" w:rsidRPr="00115F4D">
        <w:rPr>
          <w:rFonts w:ascii="Arial" w:hAnsi="Arial" w:cs="Arial"/>
        </w:rPr>
        <w:t>del siguiente periodo tarifario</w:t>
      </w:r>
      <w:r w:rsidR="00C27938">
        <w:rPr>
          <w:rFonts w:ascii="Arial" w:hAnsi="Arial" w:cs="Arial"/>
        </w:rPr>
        <w:t>, las cuales se presentaron mediante la Resolución CREG 155 de 2019.</w:t>
      </w:r>
    </w:p>
    <w:p w14:paraId="7C51DBAF" w14:textId="0D803211" w:rsidR="00F67743" w:rsidRDefault="009611D0" w:rsidP="00187635">
      <w:pPr>
        <w:jc w:val="both"/>
        <w:rPr>
          <w:rFonts w:ascii="Arial" w:hAnsi="Arial" w:cs="Arial"/>
        </w:rPr>
      </w:pPr>
      <w:r>
        <w:rPr>
          <w:rFonts w:ascii="Arial" w:hAnsi="Arial" w:cs="Arial"/>
        </w:rPr>
        <w:t xml:space="preserve">De acuerdo con esto y luego de </w:t>
      </w:r>
      <w:r w:rsidR="00C27938">
        <w:rPr>
          <w:rFonts w:ascii="Arial" w:hAnsi="Arial" w:cs="Arial"/>
        </w:rPr>
        <w:t xml:space="preserve">todos </w:t>
      </w:r>
      <w:r>
        <w:rPr>
          <w:rFonts w:ascii="Arial" w:hAnsi="Arial" w:cs="Arial"/>
        </w:rPr>
        <w:t>los análisis realizados por la Comisión se presenta e</w:t>
      </w:r>
      <w:r w:rsidR="00F67743" w:rsidRPr="00115F4D">
        <w:rPr>
          <w:rFonts w:ascii="Arial" w:hAnsi="Arial" w:cs="Arial"/>
        </w:rPr>
        <w:t xml:space="preserve">n este documento la propuesta </w:t>
      </w:r>
      <w:r w:rsidR="00C27938">
        <w:rPr>
          <w:rFonts w:ascii="Arial" w:hAnsi="Arial" w:cs="Arial"/>
        </w:rPr>
        <w:t xml:space="preserve">de la nueva </w:t>
      </w:r>
      <w:r w:rsidR="00C27938" w:rsidRPr="00115F4D">
        <w:rPr>
          <w:rFonts w:ascii="Arial" w:hAnsi="Arial" w:cs="Arial"/>
        </w:rPr>
        <w:t xml:space="preserve">metodología </w:t>
      </w:r>
      <w:r w:rsidR="00F67743" w:rsidRPr="00115F4D">
        <w:rPr>
          <w:rFonts w:ascii="Arial" w:hAnsi="Arial" w:cs="Arial"/>
        </w:rPr>
        <w:t>para la remuneración de la</w:t>
      </w:r>
      <w:r w:rsidR="00187635" w:rsidRPr="00115F4D">
        <w:rPr>
          <w:rFonts w:ascii="Arial" w:hAnsi="Arial" w:cs="Arial"/>
        </w:rPr>
        <w:t xml:space="preserve"> </w:t>
      </w:r>
      <w:r w:rsidR="00F67743" w:rsidRPr="00115F4D">
        <w:rPr>
          <w:rFonts w:ascii="Arial" w:hAnsi="Arial" w:cs="Arial"/>
        </w:rPr>
        <w:t xml:space="preserve">actividad de comercialización de energía eléctrica </w:t>
      </w:r>
      <w:r w:rsidR="00187635" w:rsidRPr="00115F4D">
        <w:rPr>
          <w:rFonts w:ascii="Arial" w:hAnsi="Arial" w:cs="Arial"/>
        </w:rPr>
        <w:t xml:space="preserve">a usuarios regulados </w:t>
      </w:r>
      <w:r w:rsidR="00F67743" w:rsidRPr="00115F4D">
        <w:rPr>
          <w:rFonts w:ascii="Arial" w:hAnsi="Arial" w:cs="Arial"/>
        </w:rPr>
        <w:t xml:space="preserve">y los fundamentos de </w:t>
      </w:r>
      <w:r w:rsidR="00E27BF3" w:rsidRPr="00115F4D">
        <w:rPr>
          <w:rFonts w:ascii="Arial" w:hAnsi="Arial" w:cs="Arial"/>
        </w:rPr>
        <w:t>esta</w:t>
      </w:r>
      <w:r w:rsidR="00187635" w:rsidRPr="00115F4D">
        <w:rPr>
          <w:rFonts w:ascii="Arial" w:hAnsi="Arial" w:cs="Arial"/>
        </w:rPr>
        <w:t>.</w:t>
      </w:r>
    </w:p>
    <w:p w14:paraId="0A2E4DE6" w14:textId="06C1C892" w:rsidR="00BD6DC2" w:rsidRPr="00115F4D" w:rsidRDefault="00BD6DC2" w:rsidP="00187635">
      <w:pPr>
        <w:jc w:val="both"/>
        <w:rPr>
          <w:rFonts w:ascii="Arial" w:hAnsi="Arial" w:cs="Arial"/>
        </w:rPr>
      </w:pPr>
      <w:r>
        <w:rPr>
          <w:rFonts w:ascii="Arial" w:hAnsi="Arial" w:cs="Arial"/>
        </w:rPr>
        <w:t>E</w:t>
      </w:r>
      <w:r w:rsidR="009E20EA">
        <w:rPr>
          <w:rFonts w:ascii="Arial" w:hAnsi="Arial" w:cs="Arial"/>
        </w:rPr>
        <w:t xml:space="preserve">n la </w:t>
      </w:r>
      <w:r>
        <w:rPr>
          <w:rFonts w:ascii="Arial" w:hAnsi="Arial" w:cs="Arial"/>
        </w:rPr>
        <w:t>primer</w:t>
      </w:r>
      <w:r w:rsidR="009E20EA">
        <w:rPr>
          <w:rFonts w:ascii="Arial" w:hAnsi="Arial" w:cs="Arial"/>
        </w:rPr>
        <w:t xml:space="preserve">a parte </w:t>
      </w:r>
      <w:r w:rsidR="00C27938">
        <w:rPr>
          <w:rFonts w:ascii="Arial" w:hAnsi="Arial" w:cs="Arial"/>
        </w:rPr>
        <w:t xml:space="preserve">del documento </w:t>
      </w:r>
      <w:r w:rsidR="009E20EA">
        <w:rPr>
          <w:rFonts w:ascii="Arial" w:hAnsi="Arial" w:cs="Arial"/>
        </w:rPr>
        <w:t>se h</w:t>
      </w:r>
      <w:r>
        <w:rPr>
          <w:rFonts w:ascii="Arial" w:hAnsi="Arial" w:cs="Arial"/>
        </w:rPr>
        <w:t xml:space="preserve">ace una descripción </w:t>
      </w:r>
      <w:r w:rsidR="00C27938">
        <w:rPr>
          <w:rFonts w:ascii="Arial" w:hAnsi="Arial" w:cs="Arial"/>
        </w:rPr>
        <w:t xml:space="preserve">general </w:t>
      </w:r>
      <w:r>
        <w:rPr>
          <w:rFonts w:ascii="Arial" w:hAnsi="Arial" w:cs="Arial"/>
        </w:rPr>
        <w:t>de la situa</w:t>
      </w:r>
      <w:r w:rsidR="00DB4FD8">
        <w:rPr>
          <w:rFonts w:ascii="Arial" w:hAnsi="Arial" w:cs="Arial"/>
        </w:rPr>
        <w:t>ción actual</w:t>
      </w:r>
      <w:r w:rsidR="00B529D9">
        <w:rPr>
          <w:rFonts w:ascii="Arial" w:hAnsi="Arial" w:cs="Arial"/>
        </w:rPr>
        <w:t>, la definición del problema</w:t>
      </w:r>
      <w:r w:rsidR="009E20EA">
        <w:rPr>
          <w:rFonts w:ascii="Arial" w:hAnsi="Arial" w:cs="Arial"/>
        </w:rPr>
        <w:t xml:space="preserve"> que se quiere solucionar</w:t>
      </w:r>
      <w:r w:rsidR="00B529D9">
        <w:rPr>
          <w:rFonts w:ascii="Arial" w:hAnsi="Arial" w:cs="Arial"/>
        </w:rPr>
        <w:t>, los objetivos</w:t>
      </w:r>
      <w:r w:rsidR="009E20EA">
        <w:rPr>
          <w:rFonts w:ascii="Arial" w:hAnsi="Arial" w:cs="Arial"/>
        </w:rPr>
        <w:t xml:space="preserve"> </w:t>
      </w:r>
      <w:r w:rsidR="000B5053">
        <w:rPr>
          <w:rFonts w:ascii="Arial" w:hAnsi="Arial" w:cs="Arial"/>
        </w:rPr>
        <w:t>y las</w:t>
      </w:r>
      <w:r w:rsidR="00B529D9">
        <w:rPr>
          <w:rFonts w:ascii="Arial" w:hAnsi="Arial" w:cs="Arial"/>
        </w:rPr>
        <w:t xml:space="preserve"> alternativas de solución</w:t>
      </w:r>
      <w:r w:rsidR="007A30B6">
        <w:rPr>
          <w:rFonts w:ascii="Arial" w:hAnsi="Arial" w:cs="Arial"/>
        </w:rPr>
        <w:t xml:space="preserve"> y posteriormente se señala </w:t>
      </w:r>
      <w:r w:rsidR="00857202">
        <w:rPr>
          <w:rFonts w:ascii="Arial" w:hAnsi="Arial" w:cs="Arial"/>
        </w:rPr>
        <w:t xml:space="preserve">el detalle de </w:t>
      </w:r>
      <w:r w:rsidR="000354C6">
        <w:rPr>
          <w:rFonts w:ascii="Arial" w:hAnsi="Arial" w:cs="Arial"/>
        </w:rPr>
        <w:t>la propuesta de meto</w:t>
      </w:r>
      <w:r w:rsidR="000B5053">
        <w:rPr>
          <w:rFonts w:ascii="Arial" w:hAnsi="Arial" w:cs="Arial"/>
        </w:rPr>
        <w:t>do</w:t>
      </w:r>
      <w:r w:rsidR="000354C6">
        <w:rPr>
          <w:rFonts w:ascii="Arial" w:hAnsi="Arial" w:cs="Arial"/>
        </w:rPr>
        <w:t>logía</w:t>
      </w:r>
      <w:r w:rsidR="007A30B6">
        <w:rPr>
          <w:rFonts w:ascii="Arial" w:hAnsi="Arial" w:cs="Arial"/>
        </w:rPr>
        <w:t xml:space="preserve"> y </w:t>
      </w:r>
      <w:r w:rsidR="006C1459">
        <w:rPr>
          <w:rFonts w:ascii="Arial" w:hAnsi="Arial" w:cs="Arial"/>
        </w:rPr>
        <w:t>sus impactos</w:t>
      </w:r>
      <w:r w:rsidR="007A30B6">
        <w:rPr>
          <w:rFonts w:ascii="Arial" w:hAnsi="Arial" w:cs="Arial"/>
        </w:rPr>
        <w:t xml:space="preserve">, así como </w:t>
      </w:r>
      <w:r w:rsidR="001B5894">
        <w:rPr>
          <w:rFonts w:ascii="Arial" w:hAnsi="Arial" w:cs="Arial"/>
        </w:rPr>
        <w:t>los pasos a seguir</w:t>
      </w:r>
      <w:r w:rsidR="007A30B6">
        <w:rPr>
          <w:rFonts w:ascii="Arial" w:hAnsi="Arial" w:cs="Arial"/>
        </w:rPr>
        <w:t xml:space="preserve">, todo esto cubriendo el análisis de impacto normativo </w:t>
      </w:r>
      <w:r w:rsidR="00E31FBD">
        <w:rPr>
          <w:rFonts w:ascii="Arial" w:hAnsi="Arial" w:cs="Arial"/>
        </w:rPr>
        <w:t>– AIN.</w:t>
      </w:r>
    </w:p>
    <w:p w14:paraId="2419D452" w14:textId="24A0482F" w:rsidR="00187635" w:rsidRDefault="00857202" w:rsidP="00187635">
      <w:pPr>
        <w:jc w:val="both"/>
        <w:rPr>
          <w:rFonts w:ascii="Arial" w:hAnsi="Arial" w:cs="Arial"/>
        </w:rPr>
      </w:pPr>
      <w:r w:rsidRPr="00C16DFF">
        <w:rPr>
          <w:rFonts w:ascii="Arial" w:hAnsi="Arial" w:cs="Arial"/>
        </w:rPr>
        <w:t>Se espera</w:t>
      </w:r>
      <w:r w:rsidR="00E31FBD">
        <w:rPr>
          <w:rFonts w:ascii="Arial" w:hAnsi="Arial" w:cs="Arial"/>
        </w:rPr>
        <w:t xml:space="preserve"> finalmente</w:t>
      </w:r>
      <w:r w:rsidRPr="00C16DFF">
        <w:rPr>
          <w:rFonts w:ascii="Arial" w:hAnsi="Arial" w:cs="Arial"/>
        </w:rPr>
        <w:t xml:space="preserve"> recibir retroalimentación </w:t>
      </w:r>
      <w:r w:rsidR="00E31FBD" w:rsidRPr="00C16DFF">
        <w:rPr>
          <w:rFonts w:ascii="Arial" w:hAnsi="Arial" w:cs="Arial"/>
        </w:rPr>
        <w:t xml:space="preserve">de todos los interesados </w:t>
      </w:r>
      <w:r w:rsidR="00E31FBD">
        <w:rPr>
          <w:rFonts w:ascii="Arial" w:hAnsi="Arial" w:cs="Arial"/>
        </w:rPr>
        <w:t xml:space="preserve">como son </w:t>
      </w:r>
      <w:r w:rsidR="005E3C3D">
        <w:rPr>
          <w:rFonts w:ascii="Arial" w:hAnsi="Arial" w:cs="Arial"/>
        </w:rPr>
        <w:t xml:space="preserve">los </w:t>
      </w:r>
      <w:r w:rsidR="00E31FBD">
        <w:rPr>
          <w:rFonts w:ascii="Arial" w:hAnsi="Arial" w:cs="Arial"/>
        </w:rPr>
        <w:t>usuarios, empresas, gre</w:t>
      </w:r>
      <w:r w:rsidR="00A96BFF">
        <w:rPr>
          <w:rFonts w:ascii="Arial" w:hAnsi="Arial" w:cs="Arial"/>
        </w:rPr>
        <w:t>mios</w:t>
      </w:r>
      <w:r w:rsidR="00E31FBD">
        <w:rPr>
          <w:rFonts w:ascii="Arial" w:hAnsi="Arial" w:cs="Arial"/>
        </w:rPr>
        <w:t xml:space="preserve">, entidades de control y </w:t>
      </w:r>
      <w:r w:rsidR="00A3387F">
        <w:rPr>
          <w:rFonts w:ascii="Arial" w:hAnsi="Arial" w:cs="Arial"/>
        </w:rPr>
        <w:t>otros, a</w:t>
      </w:r>
      <w:r w:rsidRPr="00C16DFF">
        <w:rPr>
          <w:rFonts w:ascii="Arial" w:hAnsi="Arial" w:cs="Arial"/>
        </w:rPr>
        <w:t xml:space="preserve"> través de </w:t>
      </w:r>
      <w:r w:rsidR="00A3387F">
        <w:rPr>
          <w:rFonts w:ascii="Arial" w:hAnsi="Arial" w:cs="Arial"/>
        </w:rPr>
        <w:t xml:space="preserve">los </w:t>
      </w:r>
      <w:r w:rsidRPr="00C16DFF">
        <w:rPr>
          <w:rFonts w:ascii="Arial" w:hAnsi="Arial" w:cs="Arial"/>
        </w:rPr>
        <w:t>comentarios y sugerencias</w:t>
      </w:r>
      <w:r w:rsidR="00A3387F">
        <w:rPr>
          <w:rFonts w:ascii="Arial" w:hAnsi="Arial" w:cs="Arial"/>
        </w:rPr>
        <w:t xml:space="preserve"> </w:t>
      </w:r>
      <w:r w:rsidR="001B3B21">
        <w:rPr>
          <w:rFonts w:ascii="Arial" w:hAnsi="Arial" w:cs="Arial"/>
        </w:rPr>
        <w:t>posterior al</w:t>
      </w:r>
      <w:r w:rsidRPr="00C16DFF">
        <w:rPr>
          <w:rFonts w:ascii="Arial" w:hAnsi="Arial" w:cs="Arial"/>
        </w:rPr>
        <w:t xml:space="preserve"> proceso </w:t>
      </w:r>
      <w:r w:rsidR="00C16DFF" w:rsidRPr="00C16DFF">
        <w:rPr>
          <w:rFonts w:ascii="Arial" w:hAnsi="Arial" w:cs="Arial"/>
        </w:rPr>
        <w:t>respectivo</w:t>
      </w:r>
      <w:r w:rsidRPr="00C16DFF">
        <w:rPr>
          <w:rFonts w:ascii="Arial" w:hAnsi="Arial" w:cs="Arial"/>
        </w:rPr>
        <w:t xml:space="preserve"> de divulgación para finalmente expedir la resolución definitiva</w:t>
      </w:r>
      <w:r w:rsidR="00686B8D">
        <w:rPr>
          <w:rFonts w:ascii="Arial" w:hAnsi="Arial" w:cs="Arial"/>
        </w:rPr>
        <w:t xml:space="preserve"> que contenga la metodología a aplicar en el próximo periodo tarifario</w:t>
      </w:r>
      <w:r w:rsidRPr="00C16DFF">
        <w:rPr>
          <w:rFonts w:ascii="Arial" w:hAnsi="Arial" w:cs="Arial"/>
        </w:rPr>
        <w:t>.</w:t>
      </w:r>
    </w:p>
    <w:p w14:paraId="2E34FF61" w14:textId="6F329C2F" w:rsidR="00964CA3" w:rsidRPr="00115F4D" w:rsidRDefault="00424877" w:rsidP="007B0556">
      <w:pPr>
        <w:pStyle w:val="Ttulo1"/>
      </w:pPr>
      <w:bookmarkStart w:id="1" w:name="_Toc165037313"/>
      <w:r w:rsidRPr="00115F4D">
        <w:t>ANTECEDENTES</w:t>
      </w:r>
      <w:bookmarkEnd w:id="1"/>
    </w:p>
    <w:p w14:paraId="586F7EBD" w14:textId="0EB994F6" w:rsidR="008526B9" w:rsidRPr="00115F4D" w:rsidRDefault="008526B9" w:rsidP="00187635">
      <w:pPr>
        <w:jc w:val="both"/>
        <w:rPr>
          <w:rFonts w:ascii="Arial" w:hAnsi="Arial" w:cs="Arial"/>
        </w:rPr>
      </w:pPr>
      <w:r w:rsidRPr="00115F4D">
        <w:rPr>
          <w:rFonts w:ascii="Arial" w:hAnsi="Arial" w:cs="Arial"/>
        </w:rPr>
        <w:t>De acuerdo con lo dispuesto en el Capítulo V de la Ley 142 de 1994, las fórmulas tarifarias tienen una vigencia de cinco años y continuarán rigiendo mientras la Comisión no fije las nuevas; no obstante, la Comisión deberá iniciar la actuación administrativa para fijar las nuevas tarifas, doce meses antes de la fecha prevista para que termine la vigencia de las fórmulas tarifarias y siguiendo el procedimiento establecido en el artículo 11 del Decreto 2696 de 2004 sobre reglas de difusión para la adopción de fórmulas tarifarias.</w:t>
      </w:r>
    </w:p>
    <w:p w14:paraId="4AD82B76" w14:textId="4D626A1A" w:rsidR="00B15B77" w:rsidRPr="00115F4D" w:rsidRDefault="008526B9" w:rsidP="006B2976">
      <w:pPr>
        <w:jc w:val="both"/>
        <w:rPr>
          <w:rFonts w:ascii="Arial" w:hAnsi="Arial" w:cs="Arial"/>
        </w:rPr>
      </w:pPr>
      <w:r w:rsidRPr="00115F4D">
        <w:rPr>
          <w:rFonts w:ascii="Arial" w:hAnsi="Arial" w:cs="Arial"/>
        </w:rPr>
        <w:t>En ese contexto</w:t>
      </w:r>
      <w:r w:rsidR="00551BA9" w:rsidRPr="00115F4D">
        <w:rPr>
          <w:rFonts w:ascii="Arial" w:hAnsi="Arial" w:cs="Arial"/>
        </w:rPr>
        <w:t xml:space="preserve">, </w:t>
      </w:r>
      <w:r w:rsidRPr="00115F4D">
        <w:rPr>
          <w:rFonts w:ascii="Arial" w:hAnsi="Arial" w:cs="Arial"/>
        </w:rPr>
        <w:t xml:space="preserve">la </w:t>
      </w:r>
      <w:r w:rsidR="00B15B77" w:rsidRPr="00115F4D">
        <w:rPr>
          <w:rFonts w:ascii="Arial" w:hAnsi="Arial" w:cs="Arial"/>
        </w:rPr>
        <w:t xml:space="preserve">CREG </w:t>
      </w:r>
      <w:r w:rsidR="006B2976" w:rsidRPr="00115F4D">
        <w:rPr>
          <w:rFonts w:ascii="Arial" w:hAnsi="Arial" w:cs="Arial"/>
        </w:rPr>
        <w:t>mediante la Resolución CREG 155 de 2019, publicó las bases sobre las cuales se efectuaría el estudio para determinar los principios generales, la metodología y fórmulas del siguiente periodo tarifario, para determinar la remuneración de la actividad de comercialización de energía eléctrica a usuarios regulados en el Sistema Interconectado Nacional</w:t>
      </w:r>
      <w:r w:rsidR="00B01B0C" w:rsidRPr="00115F4D">
        <w:rPr>
          <w:rFonts w:ascii="Arial" w:hAnsi="Arial" w:cs="Arial"/>
        </w:rPr>
        <w:t xml:space="preserve"> - SIN</w:t>
      </w:r>
      <w:r w:rsidR="006B2976" w:rsidRPr="00115F4D">
        <w:rPr>
          <w:rFonts w:ascii="Arial" w:hAnsi="Arial" w:cs="Arial"/>
        </w:rPr>
        <w:t>.</w:t>
      </w:r>
    </w:p>
    <w:p w14:paraId="23138C81" w14:textId="4DD1493C" w:rsidR="00067348" w:rsidRPr="00115F4D" w:rsidRDefault="008E3950" w:rsidP="00067348">
      <w:pPr>
        <w:jc w:val="both"/>
        <w:rPr>
          <w:rFonts w:ascii="Arial" w:hAnsi="Arial" w:cs="Arial"/>
        </w:rPr>
      </w:pPr>
      <w:r w:rsidRPr="00115F4D">
        <w:rPr>
          <w:rFonts w:ascii="Arial" w:hAnsi="Arial" w:cs="Arial"/>
        </w:rPr>
        <w:t>Asimismo, l</w:t>
      </w:r>
      <w:r w:rsidR="00067348" w:rsidRPr="00115F4D">
        <w:rPr>
          <w:rFonts w:ascii="Arial" w:hAnsi="Arial" w:cs="Arial"/>
        </w:rPr>
        <w:t xml:space="preserve">a Comisión adelantó un estudio relacionado con el proceso de liberalización gradual del mercado regulado y la revisión de la metodología de remuneración de la actividad de comercialización de energía eléctrica a usuarios regulados del </w:t>
      </w:r>
      <w:r w:rsidR="00190BD7" w:rsidRPr="00115F4D">
        <w:rPr>
          <w:rFonts w:ascii="Arial" w:hAnsi="Arial" w:cs="Arial"/>
        </w:rPr>
        <w:t>SIN</w:t>
      </w:r>
      <w:r w:rsidR="00067348" w:rsidRPr="00115F4D">
        <w:rPr>
          <w:rFonts w:ascii="Arial" w:hAnsi="Arial" w:cs="Arial"/>
        </w:rPr>
        <w:t xml:space="preserve"> con la Universidad Tecnológica de Pereira</w:t>
      </w:r>
      <w:r w:rsidR="00C31012" w:rsidRPr="00115F4D">
        <w:rPr>
          <w:rFonts w:ascii="Arial" w:hAnsi="Arial" w:cs="Arial"/>
        </w:rPr>
        <w:t xml:space="preserve"> -</w:t>
      </w:r>
      <w:r w:rsidR="00067348" w:rsidRPr="00115F4D">
        <w:rPr>
          <w:rFonts w:ascii="Arial" w:hAnsi="Arial" w:cs="Arial"/>
        </w:rPr>
        <w:t xml:space="preserve"> UTP, el cuál fue publicado mediante la Circular CREG 087 de 2021.</w:t>
      </w:r>
      <w:r w:rsidRPr="00115F4D">
        <w:rPr>
          <w:rFonts w:ascii="Arial" w:hAnsi="Arial" w:cs="Arial"/>
        </w:rPr>
        <w:t xml:space="preserve"> </w:t>
      </w:r>
      <w:r w:rsidR="00067348" w:rsidRPr="00115F4D">
        <w:rPr>
          <w:rFonts w:ascii="Arial" w:hAnsi="Arial" w:cs="Arial"/>
        </w:rPr>
        <w:t>Ad</w:t>
      </w:r>
      <w:r w:rsidRPr="00115F4D">
        <w:rPr>
          <w:rFonts w:ascii="Arial" w:hAnsi="Arial" w:cs="Arial"/>
        </w:rPr>
        <w:t>i</w:t>
      </w:r>
      <w:r w:rsidR="00067348" w:rsidRPr="00115F4D">
        <w:rPr>
          <w:rFonts w:ascii="Arial" w:hAnsi="Arial" w:cs="Arial"/>
        </w:rPr>
        <w:t>cionalmente</w:t>
      </w:r>
      <w:r w:rsidR="00EA7529" w:rsidRPr="00115F4D">
        <w:rPr>
          <w:rFonts w:ascii="Arial" w:hAnsi="Arial" w:cs="Arial"/>
        </w:rPr>
        <w:t>,</w:t>
      </w:r>
      <w:r w:rsidR="00067348" w:rsidRPr="00115F4D">
        <w:rPr>
          <w:rFonts w:ascii="Arial" w:hAnsi="Arial" w:cs="Arial"/>
        </w:rPr>
        <w:t xml:space="preserve"> se desarrolló el estudio de indicadores para evaluar la calidad en la atención a los usuarios por parte de las empresas comercializadoras con la firma Di-Avante, el cual fue publicado mediante la Circular CREG 092 de 2021.</w:t>
      </w:r>
      <w:r w:rsidR="00326EEC" w:rsidRPr="00115F4D">
        <w:rPr>
          <w:rFonts w:ascii="Arial" w:hAnsi="Arial" w:cs="Arial"/>
        </w:rPr>
        <w:t xml:space="preserve"> Estos</w:t>
      </w:r>
      <w:r w:rsidR="00C36F05" w:rsidRPr="00115F4D">
        <w:rPr>
          <w:rFonts w:ascii="Arial" w:hAnsi="Arial" w:cs="Arial"/>
        </w:rPr>
        <w:t>, y otros estudios</w:t>
      </w:r>
      <w:r w:rsidR="002D6F02" w:rsidRPr="00115F4D">
        <w:rPr>
          <w:rFonts w:ascii="Arial" w:hAnsi="Arial" w:cs="Arial"/>
        </w:rPr>
        <w:t xml:space="preserve"> adelantados </w:t>
      </w:r>
      <w:r w:rsidR="00326EEC" w:rsidRPr="00115F4D">
        <w:rPr>
          <w:rFonts w:ascii="Arial" w:hAnsi="Arial" w:cs="Arial"/>
        </w:rPr>
        <w:t>por la Comisi</w:t>
      </w:r>
      <w:r w:rsidR="002D6F02" w:rsidRPr="00115F4D">
        <w:rPr>
          <w:rFonts w:ascii="Arial" w:hAnsi="Arial" w:cs="Arial"/>
        </w:rPr>
        <w:t>ó</w:t>
      </w:r>
      <w:r w:rsidR="00326EEC" w:rsidRPr="00115F4D">
        <w:rPr>
          <w:rFonts w:ascii="Arial" w:hAnsi="Arial" w:cs="Arial"/>
        </w:rPr>
        <w:t xml:space="preserve">n </w:t>
      </w:r>
      <w:r w:rsidR="00EB5D89" w:rsidRPr="00115F4D">
        <w:rPr>
          <w:rFonts w:ascii="Arial" w:hAnsi="Arial" w:cs="Arial"/>
        </w:rPr>
        <w:t xml:space="preserve">y los </w:t>
      </w:r>
      <w:r w:rsidR="005E387C" w:rsidRPr="00115F4D">
        <w:rPr>
          <w:rFonts w:ascii="Arial" w:hAnsi="Arial" w:cs="Arial"/>
        </w:rPr>
        <w:t>demás</w:t>
      </w:r>
      <w:r w:rsidR="00EB5D89" w:rsidRPr="00115F4D">
        <w:rPr>
          <w:rFonts w:ascii="Arial" w:hAnsi="Arial" w:cs="Arial"/>
        </w:rPr>
        <w:t xml:space="preserve"> agentes</w:t>
      </w:r>
      <w:r w:rsidR="00C36F05" w:rsidRPr="00115F4D">
        <w:rPr>
          <w:rFonts w:ascii="Arial" w:hAnsi="Arial" w:cs="Arial"/>
        </w:rPr>
        <w:t xml:space="preserve"> del sector, se convierten en insumo fundamental para la </w:t>
      </w:r>
      <w:r w:rsidR="000F74A8" w:rsidRPr="00115F4D">
        <w:rPr>
          <w:rFonts w:ascii="Arial" w:hAnsi="Arial" w:cs="Arial"/>
        </w:rPr>
        <w:t xml:space="preserve">propuesta de </w:t>
      </w:r>
      <w:r w:rsidR="00C36F05" w:rsidRPr="00115F4D">
        <w:rPr>
          <w:rFonts w:ascii="Arial" w:hAnsi="Arial" w:cs="Arial"/>
        </w:rPr>
        <w:t>actualizaci</w:t>
      </w:r>
      <w:r w:rsidR="00B857C6" w:rsidRPr="00115F4D">
        <w:rPr>
          <w:rFonts w:ascii="Arial" w:hAnsi="Arial" w:cs="Arial"/>
        </w:rPr>
        <w:t>ó</w:t>
      </w:r>
      <w:r w:rsidR="00C36F05" w:rsidRPr="00115F4D">
        <w:rPr>
          <w:rFonts w:ascii="Arial" w:hAnsi="Arial" w:cs="Arial"/>
        </w:rPr>
        <w:t>n de la metodolog</w:t>
      </w:r>
      <w:r w:rsidR="00B857C6" w:rsidRPr="00115F4D">
        <w:rPr>
          <w:rFonts w:ascii="Arial" w:hAnsi="Arial" w:cs="Arial"/>
        </w:rPr>
        <w:t>í</w:t>
      </w:r>
      <w:r w:rsidR="00C36F05" w:rsidRPr="00115F4D">
        <w:rPr>
          <w:rFonts w:ascii="Arial" w:hAnsi="Arial" w:cs="Arial"/>
        </w:rPr>
        <w:t xml:space="preserve">a para remunerar la actividad de comercialización </w:t>
      </w:r>
      <w:r w:rsidR="000F74A8" w:rsidRPr="00115F4D">
        <w:rPr>
          <w:rFonts w:ascii="Arial" w:hAnsi="Arial" w:cs="Arial"/>
        </w:rPr>
        <w:t>descrita en este documento</w:t>
      </w:r>
      <w:r w:rsidR="00B857C6" w:rsidRPr="00115F4D">
        <w:rPr>
          <w:rFonts w:ascii="Arial" w:hAnsi="Arial" w:cs="Arial"/>
        </w:rPr>
        <w:t>.</w:t>
      </w:r>
    </w:p>
    <w:p w14:paraId="6C4A2F0C" w14:textId="35B82D49" w:rsidR="00B15B77" w:rsidRPr="00115F4D" w:rsidRDefault="00CE1EC7" w:rsidP="00115F4D">
      <w:pPr>
        <w:jc w:val="both"/>
        <w:rPr>
          <w:rFonts w:ascii="Arial" w:hAnsi="Arial" w:cs="Arial"/>
        </w:rPr>
      </w:pPr>
      <w:r w:rsidRPr="00115F4D">
        <w:rPr>
          <w:rFonts w:ascii="Arial" w:hAnsi="Arial" w:cs="Arial"/>
        </w:rPr>
        <w:lastRenderedPageBreak/>
        <w:t>A continuación, se realiza un breve</w:t>
      </w:r>
      <w:r w:rsidR="00EA7529" w:rsidRPr="00115F4D">
        <w:rPr>
          <w:rFonts w:ascii="Arial" w:hAnsi="Arial" w:cs="Arial"/>
        </w:rPr>
        <w:t xml:space="preserve"> recuento</w:t>
      </w:r>
      <w:r w:rsidRPr="00115F4D">
        <w:rPr>
          <w:rFonts w:ascii="Arial" w:hAnsi="Arial" w:cs="Arial"/>
        </w:rPr>
        <w:t xml:space="preserve"> de los antecedentes normativos referentes a la </w:t>
      </w:r>
      <w:r w:rsidR="005E387C" w:rsidRPr="00115F4D">
        <w:rPr>
          <w:rFonts w:ascii="Arial" w:hAnsi="Arial" w:cs="Arial"/>
        </w:rPr>
        <w:t>comercialización</w:t>
      </w:r>
      <w:r w:rsidRPr="00115F4D">
        <w:rPr>
          <w:rFonts w:ascii="Arial" w:hAnsi="Arial" w:cs="Arial"/>
        </w:rPr>
        <w:t xml:space="preserve"> de </w:t>
      </w:r>
      <w:r w:rsidR="005E387C" w:rsidRPr="00115F4D">
        <w:rPr>
          <w:rFonts w:ascii="Arial" w:hAnsi="Arial" w:cs="Arial"/>
        </w:rPr>
        <w:t>energía</w:t>
      </w:r>
      <w:r w:rsidRPr="00115F4D">
        <w:rPr>
          <w:rFonts w:ascii="Arial" w:hAnsi="Arial" w:cs="Arial"/>
        </w:rPr>
        <w:t xml:space="preserve"> </w:t>
      </w:r>
      <w:r w:rsidR="005E387C" w:rsidRPr="00115F4D">
        <w:rPr>
          <w:rFonts w:ascii="Arial" w:hAnsi="Arial" w:cs="Arial"/>
        </w:rPr>
        <w:t>eléctrica</w:t>
      </w:r>
      <w:r w:rsidRPr="00115F4D">
        <w:rPr>
          <w:rFonts w:ascii="Arial" w:hAnsi="Arial" w:cs="Arial"/>
        </w:rPr>
        <w:t xml:space="preserve"> a usuarios regulados</w:t>
      </w:r>
      <w:r w:rsidR="00115F4D" w:rsidRPr="00115F4D">
        <w:rPr>
          <w:rFonts w:ascii="Arial" w:hAnsi="Arial" w:cs="Arial"/>
        </w:rPr>
        <w:t xml:space="preserve"> en el país</w:t>
      </w:r>
      <w:r w:rsidRPr="00115F4D">
        <w:rPr>
          <w:rFonts w:ascii="Arial" w:hAnsi="Arial" w:cs="Arial"/>
        </w:rPr>
        <w:t>.</w:t>
      </w:r>
    </w:p>
    <w:p w14:paraId="4E8001BF" w14:textId="77777777" w:rsidR="005E42D3" w:rsidRPr="00115F4D" w:rsidRDefault="005E42D3" w:rsidP="00C00C77">
      <w:pPr>
        <w:pStyle w:val="Prrafodelista"/>
        <w:numPr>
          <w:ilvl w:val="0"/>
          <w:numId w:val="7"/>
        </w:numPr>
        <w:jc w:val="both"/>
        <w:rPr>
          <w:rFonts w:ascii="Arial" w:hAnsi="Arial" w:cs="Arial"/>
        </w:rPr>
      </w:pPr>
      <w:r w:rsidRPr="00115F4D">
        <w:rPr>
          <w:rFonts w:ascii="Arial" w:hAnsi="Arial" w:cs="Arial"/>
        </w:rPr>
        <w:t>Mediante el Decreto 387 de 2007, modificado por los Decretos 4977 de 2007 y 1937 de 2013, el Gobierno Nacional estableció políticas generales en relación con la actividad de comercialización del servicio de energía eléctrica, incluyendo a los usuarios del STN como parte de los mercados de comercialización.</w:t>
      </w:r>
    </w:p>
    <w:p w14:paraId="37B01FE2" w14:textId="77777777" w:rsidR="00EA7529" w:rsidRPr="00115F4D" w:rsidRDefault="00EA7529" w:rsidP="00424877">
      <w:pPr>
        <w:pStyle w:val="Prrafodelista"/>
        <w:rPr>
          <w:rFonts w:ascii="Arial" w:hAnsi="Arial" w:cs="Arial"/>
        </w:rPr>
      </w:pPr>
    </w:p>
    <w:p w14:paraId="7C643589" w14:textId="1E8D8392" w:rsidR="005E42D3" w:rsidRPr="00115F4D" w:rsidRDefault="005E42D3" w:rsidP="00C00C77">
      <w:pPr>
        <w:pStyle w:val="Prrafodelista"/>
        <w:numPr>
          <w:ilvl w:val="0"/>
          <w:numId w:val="7"/>
        </w:numPr>
        <w:jc w:val="both"/>
        <w:rPr>
          <w:rFonts w:ascii="Arial" w:hAnsi="Arial" w:cs="Arial"/>
        </w:rPr>
      </w:pPr>
      <w:r w:rsidRPr="00115F4D">
        <w:rPr>
          <w:rFonts w:ascii="Arial" w:hAnsi="Arial" w:cs="Arial"/>
        </w:rPr>
        <w:t>En la Resolución CREG 180 de 2014 se estableció la metodología de remuneración de la actividad de comercialización a usuarios regulados en el Sistema Interconectado Nacional que se encuentra vigente.</w:t>
      </w:r>
    </w:p>
    <w:p w14:paraId="4DD4724F" w14:textId="77777777" w:rsidR="002A19C8" w:rsidRPr="00115F4D" w:rsidRDefault="002A19C8" w:rsidP="00424877">
      <w:pPr>
        <w:pStyle w:val="Prrafodelista"/>
        <w:rPr>
          <w:rFonts w:ascii="Arial" w:hAnsi="Arial" w:cs="Arial"/>
        </w:rPr>
      </w:pPr>
    </w:p>
    <w:p w14:paraId="2B66C30E" w14:textId="6A5BB777" w:rsidR="005E42D3" w:rsidRPr="00115F4D" w:rsidRDefault="005E42D3" w:rsidP="00C00C77">
      <w:pPr>
        <w:pStyle w:val="Prrafodelista"/>
        <w:numPr>
          <w:ilvl w:val="0"/>
          <w:numId w:val="7"/>
        </w:numPr>
        <w:jc w:val="both"/>
        <w:rPr>
          <w:rFonts w:ascii="Arial" w:hAnsi="Arial" w:cs="Arial"/>
        </w:rPr>
      </w:pPr>
      <w:r w:rsidRPr="00115F4D">
        <w:rPr>
          <w:rFonts w:ascii="Arial" w:hAnsi="Arial" w:cs="Arial"/>
        </w:rPr>
        <w:t>En la Resolución CREG 191 de 2014 se modificó y complementó la Resolución CREG</w:t>
      </w:r>
      <w:r w:rsidR="00D373CF">
        <w:rPr>
          <w:rFonts w:ascii="Arial" w:hAnsi="Arial" w:cs="Arial"/>
        </w:rPr>
        <w:t> </w:t>
      </w:r>
      <w:r w:rsidRPr="00115F4D">
        <w:rPr>
          <w:rFonts w:ascii="Arial" w:hAnsi="Arial" w:cs="Arial"/>
        </w:rPr>
        <w:t>119 de 2007, con el objetivo de incorporar las variables definidas en la Resolución CREG 180 de 2014.</w:t>
      </w:r>
    </w:p>
    <w:p w14:paraId="58D51B4B" w14:textId="77777777" w:rsidR="002A19C8" w:rsidRPr="00115F4D" w:rsidRDefault="002A19C8" w:rsidP="00424877">
      <w:pPr>
        <w:pStyle w:val="Prrafodelista"/>
        <w:rPr>
          <w:rFonts w:ascii="Arial" w:hAnsi="Arial" w:cs="Arial"/>
        </w:rPr>
      </w:pPr>
    </w:p>
    <w:p w14:paraId="2055B459" w14:textId="0A1DDC4D" w:rsidR="005E42D3" w:rsidRPr="00115F4D" w:rsidRDefault="005E42D3" w:rsidP="00C00C77">
      <w:pPr>
        <w:pStyle w:val="Prrafodelista"/>
        <w:numPr>
          <w:ilvl w:val="0"/>
          <w:numId w:val="7"/>
        </w:numPr>
        <w:jc w:val="both"/>
        <w:rPr>
          <w:rFonts w:ascii="Arial" w:hAnsi="Arial" w:cs="Arial"/>
        </w:rPr>
      </w:pPr>
      <w:r w:rsidRPr="00115F4D">
        <w:rPr>
          <w:rFonts w:ascii="Arial" w:hAnsi="Arial" w:cs="Arial"/>
        </w:rPr>
        <w:t xml:space="preserve">En la Resolución </w:t>
      </w:r>
      <w:r w:rsidR="00D373CF">
        <w:rPr>
          <w:rFonts w:ascii="Arial" w:hAnsi="Arial" w:cs="Arial"/>
        </w:rPr>
        <w:t>CREG 0</w:t>
      </w:r>
      <w:r w:rsidRPr="00115F4D">
        <w:rPr>
          <w:rFonts w:ascii="Arial" w:hAnsi="Arial" w:cs="Arial"/>
        </w:rPr>
        <w:t>19 de 2018 se hicieron aclaraciones sobre la aplicación del artículo 18 de la Resolución CREG 180 de 2014 relacionado con los costos financieros asociados con el giro de subsidios por parte del Ministerio de Minas y Energía.</w:t>
      </w:r>
    </w:p>
    <w:p w14:paraId="52A6A3D2" w14:textId="77777777" w:rsidR="00D25D94" w:rsidRPr="00115F4D" w:rsidRDefault="00D25D94" w:rsidP="00424877">
      <w:pPr>
        <w:pStyle w:val="Prrafodelista"/>
        <w:rPr>
          <w:rFonts w:ascii="Arial" w:hAnsi="Arial" w:cs="Arial"/>
        </w:rPr>
      </w:pPr>
    </w:p>
    <w:p w14:paraId="12F48005" w14:textId="40BD37A2" w:rsidR="005E42D3" w:rsidRPr="00115F4D" w:rsidRDefault="005E42D3" w:rsidP="00C00C77">
      <w:pPr>
        <w:pStyle w:val="Prrafodelista"/>
        <w:numPr>
          <w:ilvl w:val="0"/>
          <w:numId w:val="7"/>
        </w:numPr>
        <w:jc w:val="both"/>
        <w:rPr>
          <w:rFonts w:ascii="Arial" w:hAnsi="Arial" w:cs="Arial"/>
        </w:rPr>
      </w:pPr>
      <w:r w:rsidRPr="00115F4D">
        <w:rPr>
          <w:rFonts w:ascii="Arial" w:hAnsi="Arial" w:cs="Arial"/>
        </w:rPr>
        <w:t>En la Resolución CREG 101 003 de 2023 se complementan las resoluciones CREG</w:t>
      </w:r>
      <w:r w:rsidR="00D373CF">
        <w:rPr>
          <w:rFonts w:ascii="Arial" w:hAnsi="Arial" w:cs="Arial"/>
        </w:rPr>
        <w:t> </w:t>
      </w:r>
      <w:r w:rsidRPr="00115F4D">
        <w:rPr>
          <w:rFonts w:ascii="Arial" w:hAnsi="Arial" w:cs="Arial"/>
        </w:rPr>
        <w:t>180 de 2014 y 015 de 2018 para tramitar las solicitudes de cargos de las empresas prestadoras del servicio que atienden mercados en Z</w:t>
      </w:r>
      <w:r w:rsidR="00D373CF">
        <w:rPr>
          <w:rFonts w:ascii="Arial" w:hAnsi="Arial" w:cs="Arial"/>
        </w:rPr>
        <w:t xml:space="preserve">onas </w:t>
      </w:r>
      <w:r w:rsidRPr="00115F4D">
        <w:rPr>
          <w:rFonts w:ascii="Arial" w:hAnsi="Arial" w:cs="Arial"/>
        </w:rPr>
        <w:t>N</w:t>
      </w:r>
      <w:r w:rsidR="00D373CF">
        <w:rPr>
          <w:rFonts w:ascii="Arial" w:hAnsi="Arial" w:cs="Arial"/>
        </w:rPr>
        <w:t xml:space="preserve">o </w:t>
      </w:r>
      <w:r w:rsidRPr="00115F4D">
        <w:rPr>
          <w:rFonts w:ascii="Arial" w:hAnsi="Arial" w:cs="Arial"/>
        </w:rPr>
        <w:t>I</w:t>
      </w:r>
      <w:r w:rsidR="00605D5A">
        <w:rPr>
          <w:rFonts w:ascii="Arial" w:hAnsi="Arial" w:cs="Arial"/>
        </w:rPr>
        <w:t>nterconectadas</w:t>
      </w:r>
      <w:r w:rsidRPr="00115F4D">
        <w:rPr>
          <w:rFonts w:ascii="Arial" w:hAnsi="Arial" w:cs="Arial"/>
        </w:rPr>
        <w:t xml:space="preserve"> que se conectan al SIN, entre otras.</w:t>
      </w:r>
    </w:p>
    <w:p w14:paraId="378DB455" w14:textId="77777777" w:rsidR="00EB7AF5" w:rsidRPr="00115F4D" w:rsidRDefault="00EB7AF5" w:rsidP="00424877">
      <w:pPr>
        <w:pStyle w:val="Prrafodelista"/>
        <w:rPr>
          <w:rFonts w:ascii="Arial" w:hAnsi="Arial" w:cs="Arial"/>
        </w:rPr>
      </w:pPr>
    </w:p>
    <w:p w14:paraId="48DFF072" w14:textId="77777777" w:rsidR="005E42D3" w:rsidRPr="00115F4D" w:rsidRDefault="005E42D3" w:rsidP="00C00C77">
      <w:pPr>
        <w:pStyle w:val="Prrafodelista"/>
        <w:numPr>
          <w:ilvl w:val="0"/>
          <w:numId w:val="7"/>
        </w:numPr>
        <w:jc w:val="both"/>
        <w:rPr>
          <w:rFonts w:ascii="Arial" w:hAnsi="Arial" w:cs="Arial"/>
        </w:rPr>
      </w:pPr>
      <w:r w:rsidRPr="00115F4D">
        <w:rPr>
          <w:rFonts w:ascii="Arial" w:hAnsi="Arial" w:cs="Arial"/>
        </w:rPr>
        <w:t>Mediante la Resolución CREG 155 de 2019, la Comisión publicó las bases sobre las cuales se efectuaría el estudio para determinar los principios generales, la metodología y fórmulas del siguiente periodo tarifario, para determinar la remuneración de la actividad de comercialización de energía eléctrica a usuarios regulados en el Sistema Interconectado Nacional. Lo anterior en cumplimiento de lo previsto en los numerales 11.1 y 11.2 del artículo 11 del Decreto 2696 de 2004 cuya publicación se realizó en la página web de la CREG.</w:t>
      </w:r>
    </w:p>
    <w:p w14:paraId="231B25EC" w14:textId="77777777" w:rsidR="00247BD7" w:rsidRPr="00115F4D" w:rsidRDefault="00247BD7" w:rsidP="00424877">
      <w:pPr>
        <w:pStyle w:val="Prrafodelista"/>
        <w:rPr>
          <w:rFonts w:ascii="Arial" w:hAnsi="Arial" w:cs="Arial"/>
        </w:rPr>
      </w:pPr>
    </w:p>
    <w:p w14:paraId="52181AD5" w14:textId="06DA6C63" w:rsidR="005E42D3" w:rsidRPr="00115F4D" w:rsidRDefault="005E42D3" w:rsidP="00C00C77">
      <w:pPr>
        <w:pStyle w:val="Prrafodelista"/>
        <w:numPr>
          <w:ilvl w:val="0"/>
          <w:numId w:val="7"/>
        </w:numPr>
        <w:jc w:val="both"/>
        <w:rPr>
          <w:rFonts w:ascii="Arial" w:hAnsi="Arial" w:cs="Arial"/>
        </w:rPr>
      </w:pPr>
      <w:r w:rsidRPr="00115F4D">
        <w:rPr>
          <w:rFonts w:ascii="Arial" w:hAnsi="Arial" w:cs="Arial"/>
        </w:rPr>
        <w:t>En la Resolución CREG 101 001 de 2022 se establecieron condiciones para la implementación de la infraestructura de medición avanzada en el SIN</w:t>
      </w:r>
      <w:r w:rsidR="00F402AA" w:rsidRPr="00115F4D">
        <w:rPr>
          <w:rFonts w:ascii="Arial" w:hAnsi="Arial" w:cs="Arial"/>
        </w:rPr>
        <w:t>,</w:t>
      </w:r>
      <w:r w:rsidR="00C07BE4" w:rsidRPr="00115F4D">
        <w:rPr>
          <w:rFonts w:ascii="Arial" w:hAnsi="Arial" w:cs="Arial"/>
        </w:rPr>
        <w:t xml:space="preserve"> </w:t>
      </w:r>
      <w:r w:rsidR="00F402AA" w:rsidRPr="00115F4D">
        <w:rPr>
          <w:rFonts w:ascii="Arial" w:hAnsi="Arial" w:cs="Arial"/>
        </w:rPr>
        <w:t>d</w:t>
      </w:r>
      <w:r w:rsidR="00C07BE4" w:rsidRPr="00115F4D">
        <w:rPr>
          <w:rFonts w:ascii="Arial" w:hAnsi="Arial" w:cs="Arial"/>
        </w:rPr>
        <w:t xml:space="preserve">eterminando que un mes posterior a la </w:t>
      </w:r>
      <w:r w:rsidR="00605D5A" w:rsidRPr="00115F4D">
        <w:rPr>
          <w:rFonts w:ascii="Arial" w:hAnsi="Arial" w:cs="Arial"/>
        </w:rPr>
        <w:t>expedición</w:t>
      </w:r>
      <w:r w:rsidR="00255AAF" w:rsidRPr="00115F4D">
        <w:rPr>
          <w:rFonts w:ascii="Arial" w:hAnsi="Arial" w:cs="Arial"/>
        </w:rPr>
        <w:t xml:space="preserve"> de la </w:t>
      </w:r>
      <w:r w:rsidR="00605D5A" w:rsidRPr="00115F4D">
        <w:rPr>
          <w:rFonts w:ascii="Arial" w:hAnsi="Arial" w:cs="Arial"/>
        </w:rPr>
        <w:t>metodología</w:t>
      </w:r>
      <w:r w:rsidR="00255AAF" w:rsidRPr="00115F4D">
        <w:rPr>
          <w:rFonts w:ascii="Arial" w:hAnsi="Arial" w:cs="Arial"/>
        </w:rPr>
        <w:t xml:space="preserve"> que actualice la </w:t>
      </w:r>
      <w:r w:rsidR="00605D5A">
        <w:rPr>
          <w:rFonts w:ascii="Arial" w:hAnsi="Arial" w:cs="Arial"/>
        </w:rPr>
        <w:t>R</w:t>
      </w:r>
      <w:r w:rsidR="00605D5A" w:rsidRPr="00115F4D">
        <w:rPr>
          <w:rFonts w:ascii="Arial" w:hAnsi="Arial" w:cs="Arial"/>
        </w:rPr>
        <w:t>esolución</w:t>
      </w:r>
      <w:r w:rsidR="00C74C01" w:rsidRPr="00115F4D">
        <w:rPr>
          <w:rFonts w:ascii="Arial" w:hAnsi="Arial" w:cs="Arial"/>
        </w:rPr>
        <w:t xml:space="preserve"> CREG 180 de 2014 la responsabilidad de medici</w:t>
      </w:r>
      <w:r w:rsidR="007217E5" w:rsidRPr="00115F4D">
        <w:rPr>
          <w:rFonts w:ascii="Arial" w:hAnsi="Arial" w:cs="Arial"/>
        </w:rPr>
        <w:t>ó</w:t>
      </w:r>
      <w:r w:rsidR="00C74C01" w:rsidRPr="00115F4D">
        <w:rPr>
          <w:rFonts w:ascii="Arial" w:hAnsi="Arial" w:cs="Arial"/>
        </w:rPr>
        <w:t>n a los usuarios regulados será del Operador de Red.</w:t>
      </w:r>
    </w:p>
    <w:p w14:paraId="03C4AD8D" w14:textId="77777777" w:rsidR="00BD0DBB" w:rsidRPr="00115F4D" w:rsidRDefault="00BD0DBB" w:rsidP="00424877">
      <w:pPr>
        <w:pStyle w:val="Prrafodelista"/>
        <w:rPr>
          <w:rFonts w:ascii="Arial" w:hAnsi="Arial" w:cs="Arial"/>
        </w:rPr>
      </w:pPr>
    </w:p>
    <w:p w14:paraId="50543B14" w14:textId="0A4BC942" w:rsidR="00CE1EC7" w:rsidRPr="00115F4D" w:rsidRDefault="00B40B3F" w:rsidP="00C00C77">
      <w:pPr>
        <w:pStyle w:val="Prrafodelista"/>
        <w:numPr>
          <w:ilvl w:val="0"/>
          <w:numId w:val="7"/>
        </w:numPr>
        <w:jc w:val="both"/>
        <w:rPr>
          <w:rFonts w:ascii="Arial" w:hAnsi="Arial" w:cs="Arial"/>
        </w:rPr>
      </w:pPr>
      <w:r w:rsidRPr="00115F4D">
        <w:rPr>
          <w:rFonts w:ascii="Arial" w:hAnsi="Arial" w:cs="Arial"/>
          <w:color w:val="000000" w:themeColor="text1"/>
        </w:rPr>
        <w:t>Mediante la Resolución 40272 del 15 de septiembre de 2020, el Ministerio de Minas y Energía reglamentó lo establecido en el Decreto 1231 de 2020, para las empresas que atendieran el mercado de Electricaribe</w:t>
      </w:r>
      <w:r w:rsidR="008F72B4" w:rsidRPr="00115F4D">
        <w:rPr>
          <w:rFonts w:ascii="Arial" w:hAnsi="Arial" w:cs="Arial"/>
          <w:color w:val="000000" w:themeColor="text1"/>
        </w:rPr>
        <w:t xml:space="preserve"> E.S.P</w:t>
      </w:r>
      <w:r w:rsidR="00B51236" w:rsidRPr="00115F4D">
        <w:rPr>
          <w:rFonts w:ascii="Arial" w:hAnsi="Arial" w:cs="Arial"/>
          <w:color w:val="000000" w:themeColor="text1"/>
        </w:rPr>
        <w:t>.</w:t>
      </w:r>
      <w:r w:rsidRPr="00115F4D">
        <w:rPr>
          <w:rFonts w:ascii="Arial" w:hAnsi="Arial" w:cs="Arial"/>
          <w:color w:val="000000" w:themeColor="text1"/>
        </w:rPr>
        <w:t xml:space="preserve">, </w:t>
      </w:r>
      <w:r w:rsidR="00B51236" w:rsidRPr="00115F4D">
        <w:rPr>
          <w:rFonts w:ascii="Arial" w:hAnsi="Arial" w:cs="Arial"/>
          <w:color w:val="000000" w:themeColor="text1"/>
        </w:rPr>
        <w:t>disponiendo que</w:t>
      </w:r>
      <w:r w:rsidRPr="00115F4D">
        <w:rPr>
          <w:rFonts w:ascii="Arial" w:hAnsi="Arial" w:cs="Arial"/>
          <w:color w:val="000000" w:themeColor="text1"/>
        </w:rPr>
        <w:t xml:space="preserve"> el valor del Costo Base de Comercialización (</w:t>
      </w:r>
      <w:r w:rsidRPr="00461F11">
        <w:rPr>
          <w:rFonts w:ascii="Arial" w:hAnsi="Arial" w:cs="Arial"/>
          <w:i/>
          <w:iCs/>
          <w:color w:val="000000" w:themeColor="text1"/>
        </w:rPr>
        <w:t>Cfj</w:t>
      </w:r>
      <w:r w:rsidRPr="00115F4D">
        <w:rPr>
          <w:rFonts w:ascii="Arial" w:hAnsi="Arial" w:cs="Arial"/>
          <w:color w:val="000000" w:themeColor="text1"/>
        </w:rPr>
        <w:t>) vigente en 2020 se incrementará en 20% y al resultado mensual del cálculo del riesgo de cartera (</w:t>
      </w:r>
      <w:proofErr w:type="gramStart"/>
      <w:r w:rsidRPr="00461F11">
        <w:rPr>
          <w:rFonts w:ascii="Arial" w:hAnsi="Arial" w:cs="Arial"/>
          <w:i/>
          <w:iCs/>
          <w:color w:val="000000" w:themeColor="text1"/>
        </w:rPr>
        <w:t>RCi,j</w:t>
      </w:r>
      <w:proofErr w:type="gramEnd"/>
      <w:r w:rsidRPr="00461F11">
        <w:rPr>
          <w:rFonts w:ascii="Arial" w:hAnsi="Arial" w:cs="Arial"/>
          <w:i/>
          <w:iCs/>
          <w:color w:val="000000" w:themeColor="text1"/>
        </w:rPr>
        <w:t>,m</w:t>
      </w:r>
      <w:r w:rsidRPr="00115F4D">
        <w:rPr>
          <w:rFonts w:ascii="Arial" w:hAnsi="Arial" w:cs="Arial"/>
          <w:color w:val="000000" w:themeColor="text1"/>
        </w:rPr>
        <w:t>), se le adicionarán 300 puntos básicos</w:t>
      </w:r>
      <w:r w:rsidR="00B51236" w:rsidRPr="00115F4D">
        <w:rPr>
          <w:rFonts w:ascii="Arial" w:hAnsi="Arial" w:cs="Arial"/>
          <w:color w:val="000000" w:themeColor="text1"/>
        </w:rPr>
        <w:t>, para estos comercializadores</w:t>
      </w:r>
      <w:r w:rsidRPr="00115F4D">
        <w:rPr>
          <w:rFonts w:ascii="Arial" w:hAnsi="Arial" w:cs="Arial"/>
          <w:color w:val="000000" w:themeColor="text1"/>
        </w:rPr>
        <w:t>.</w:t>
      </w:r>
    </w:p>
    <w:p w14:paraId="1A7159ED" w14:textId="77777777" w:rsidR="00ED1D8F" w:rsidRPr="00115F4D" w:rsidRDefault="00ED1D8F" w:rsidP="00424877">
      <w:pPr>
        <w:pStyle w:val="Prrafodelista"/>
        <w:jc w:val="both"/>
        <w:rPr>
          <w:rFonts w:ascii="Arial" w:hAnsi="Arial" w:cs="Arial"/>
        </w:rPr>
      </w:pPr>
    </w:p>
    <w:p w14:paraId="5D215B5E" w14:textId="7A7CFBAF" w:rsidR="00853C9C" w:rsidRPr="00115F4D" w:rsidRDefault="00957724" w:rsidP="00C00C77">
      <w:pPr>
        <w:pStyle w:val="Prrafodelista"/>
        <w:numPr>
          <w:ilvl w:val="0"/>
          <w:numId w:val="7"/>
        </w:numPr>
        <w:jc w:val="both"/>
        <w:rPr>
          <w:rFonts w:ascii="Arial" w:hAnsi="Arial" w:cs="Arial"/>
        </w:rPr>
      </w:pPr>
      <w:r w:rsidRPr="00115F4D">
        <w:rPr>
          <w:rFonts w:ascii="Arial" w:hAnsi="Arial" w:cs="Arial"/>
        </w:rPr>
        <w:t>El artículo 235 de la Ley 2294 de 2023 “por el cual se expide el plan nacional de desarrollo 2022- 2026” habilitó a los usuarios o potenciales usuarios a constituir comunidades energéticas para comercializar energía eléctrica</w:t>
      </w:r>
      <w:r w:rsidR="00461F11">
        <w:rPr>
          <w:rFonts w:ascii="Arial" w:hAnsi="Arial" w:cs="Arial"/>
        </w:rPr>
        <w:t>.</w:t>
      </w:r>
      <w:r w:rsidRPr="00115F4D">
        <w:rPr>
          <w:rFonts w:ascii="Arial" w:hAnsi="Arial" w:cs="Arial"/>
        </w:rPr>
        <w:t xml:space="preserve"> La Comisión de Regulación de Energía y Gas CREG definirá en el marco de sus competencias las condiciones asociadas a los términos de la prestación del servicio de la Comunidad Energética.</w:t>
      </w:r>
    </w:p>
    <w:p w14:paraId="68DB602E" w14:textId="77777777" w:rsidR="000B5B09" w:rsidRPr="00115F4D" w:rsidRDefault="000B5B09" w:rsidP="00424877">
      <w:pPr>
        <w:pStyle w:val="Prrafodelista"/>
        <w:rPr>
          <w:rFonts w:ascii="Arial" w:hAnsi="Arial" w:cs="Arial"/>
        </w:rPr>
      </w:pPr>
    </w:p>
    <w:p w14:paraId="0CB1D0CE" w14:textId="0D86F8DB" w:rsidR="00981087" w:rsidRPr="00115F4D" w:rsidRDefault="00981087" w:rsidP="00C00C77">
      <w:pPr>
        <w:pStyle w:val="Prrafodelista"/>
        <w:numPr>
          <w:ilvl w:val="0"/>
          <w:numId w:val="7"/>
        </w:numPr>
        <w:jc w:val="both"/>
        <w:rPr>
          <w:rFonts w:ascii="Arial" w:hAnsi="Arial" w:cs="Arial"/>
        </w:rPr>
      </w:pPr>
      <w:r w:rsidRPr="00115F4D">
        <w:rPr>
          <w:rFonts w:ascii="Arial" w:hAnsi="Arial" w:cs="Arial"/>
        </w:rPr>
        <w:lastRenderedPageBreak/>
        <w:t xml:space="preserve">Así mismo, el artículo 2 del decreto MME 0929 del 7 de junio de 2023 por el cual se establecen políticas y lineamientos para promover la eficiencia y la competitividad del servicio público domiciliario de energía eléctrica, estableció los criterios para reglamentar el Prestador de Ultima Instancia, como considerar esquemas competitivos para su selección, considerar de manera diferencial el riesgo de cartera para los agentes que atienden usuarios en áreas especiales e incorporar incentivos que promuevan la gestión eficiente en la prestación </w:t>
      </w:r>
      <w:r w:rsidR="00470232">
        <w:rPr>
          <w:rFonts w:ascii="Arial" w:hAnsi="Arial" w:cs="Arial"/>
        </w:rPr>
        <w:t>del servicio</w:t>
      </w:r>
      <w:r w:rsidRPr="00115F4D">
        <w:rPr>
          <w:rFonts w:ascii="Arial" w:hAnsi="Arial" w:cs="Arial"/>
        </w:rPr>
        <w:t xml:space="preserve"> a los usuarios atendidos por el PUI.</w:t>
      </w:r>
    </w:p>
    <w:p w14:paraId="014367F0" w14:textId="77777777" w:rsidR="002E716A" w:rsidRPr="00115F4D" w:rsidRDefault="002E716A" w:rsidP="00424877">
      <w:pPr>
        <w:pStyle w:val="Prrafodelista"/>
        <w:rPr>
          <w:rFonts w:ascii="Arial" w:hAnsi="Arial" w:cs="Arial"/>
        </w:rPr>
      </w:pPr>
    </w:p>
    <w:p w14:paraId="6946AF36" w14:textId="2B0C9942" w:rsidR="003A4E74" w:rsidRPr="00115F4D" w:rsidRDefault="00FF0542" w:rsidP="00C00C77">
      <w:pPr>
        <w:pStyle w:val="Prrafodelista"/>
        <w:numPr>
          <w:ilvl w:val="0"/>
          <w:numId w:val="7"/>
        </w:numPr>
        <w:jc w:val="both"/>
        <w:rPr>
          <w:rFonts w:ascii="Arial" w:hAnsi="Arial" w:cs="Arial"/>
        </w:rPr>
      </w:pPr>
      <w:r w:rsidRPr="00115F4D">
        <w:rPr>
          <w:rFonts w:ascii="Arial" w:hAnsi="Arial" w:cs="Arial"/>
        </w:rPr>
        <w:t>E</w:t>
      </w:r>
      <w:r w:rsidR="003A4E74" w:rsidRPr="00115F4D">
        <w:rPr>
          <w:rFonts w:ascii="Arial" w:hAnsi="Arial" w:cs="Arial"/>
        </w:rPr>
        <w:t>n la Circular 114 de 2019 se publicaron los formatos para el reporte, por parte de las empresas, de la información de los gastos de Administración, Operación y Mantenimiento, separados por actividades, como parte del modelo de reporte de información con fines regulatorios, ICR.</w:t>
      </w:r>
      <w:r w:rsidR="007A6919" w:rsidRPr="00115F4D">
        <w:rPr>
          <w:rFonts w:ascii="Arial" w:hAnsi="Arial" w:cs="Arial"/>
        </w:rPr>
        <w:t xml:space="preserve"> Asimismo, e</w:t>
      </w:r>
      <w:r w:rsidR="003A4E74" w:rsidRPr="00115F4D">
        <w:rPr>
          <w:rFonts w:ascii="Arial" w:hAnsi="Arial" w:cs="Arial"/>
        </w:rPr>
        <w:t xml:space="preserve">n las Circulares CREG 074 de 2021, CREG 022 de 2023 y CREG 023 de 2023 se </w:t>
      </w:r>
      <w:r w:rsidR="00851DBD" w:rsidRPr="00115F4D">
        <w:rPr>
          <w:rFonts w:ascii="Arial" w:hAnsi="Arial" w:cs="Arial"/>
        </w:rPr>
        <w:t>solicitó</w:t>
      </w:r>
      <w:r w:rsidR="003A4E74" w:rsidRPr="00115F4D">
        <w:rPr>
          <w:rFonts w:ascii="Arial" w:hAnsi="Arial" w:cs="Arial"/>
        </w:rPr>
        <w:t xml:space="preserve"> información general de los usuarios y cartera a las empresas que desarrollan las actividades de distribución y comercialización de energía eléctrica de forma integrada en el SIN.</w:t>
      </w:r>
    </w:p>
    <w:p w14:paraId="343FAE8C" w14:textId="77777777" w:rsidR="005A4467" w:rsidRPr="005A4467" w:rsidRDefault="005A4467" w:rsidP="005A4467">
      <w:pPr>
        <w:pStyle w:val="Prrafodelista"/>
        <w:rPr>
          <w:rFonts w:ascii="Arial" w:hAnsi="Arial" w:cs="Arial"/>
        </w:rPr>
      </w:pPr>
    </w:p>
    <w:p w14:paraId="12BB22E1" w14:textId="4CCCD3C7" w:rsidR="00A21CDF" w:rsidRPr="00115F4D" w:rsidRDefault="00403BC0" w:rsidP="00FE0276">
      <w:pPr>
        <w:pStyle w:val="Ttulo1"/>
      </w:pPr>
      <w:bookmarkStart w:id="2" w:name="_Toc165037314"/>
      <w:r>
        <w:t>INFORMACIÓN GENERAL</w:t>
      </w:r>
      <w:bookmarkEnd w:id="2"/>
    </w:p>
    <w:p w14:paraId="2F72ACDE" w14:textId="450F2B40" w:rsidR="00686B8D" w:rsidRDefault="00686B8D" w:rsidP="00AF0A6D">
      <w:pPr>
        <w:jc w:val="both"/>
        <w:rPr>
          <w:rFonts w:ascii="Arial" w:hAnsi="Arial" w:cs="Arial"/>
        </w:rPr>
      </w:pPr>
      <w:r w:rsidRPr="00851DBD">
        <w:rPr>
          <w:rFonts w:ascii="Arial" w:hAnsi="Arial" w:cs="Arial"/>
        </w:rPr>
        <w:t xml:space="preserve">La resolución CREG </w:t>
      </w:r>
      <w:r w:rsidR="00010D2E">
        <w:rPr>
          <w:rFonts w:ascii="Arial" w:hAnsi="Arial" w:cs="Arial"/>
        </w:rPr>
        <w:t>024 de 1994</w:t>
      </w:r>
      <w:r w:rsidR="00136610">
        <w:rPr>
          <w:rFonts w:ascii="Arial" w:hAnsi="Arial" w:cs="Arial"/>
        </w:rPr>
        <w:t xml:space="preserve"> </w:t>
      </w:r>
      <w:r w:rsidR="00B214AB">
        <w:rPr>
          <w:rFonts w:ascii="Arial" w:hAnsi="Arial" w:cs="Arial"/>
        </w:rPr>
        <w:t>d</w:t>
      </w:r>
      <w:r w:rsidRPr="00851DBD">
        <w:rPr>
          <w:rFonts w:ascii="Arial" w:hAnsi="Arial" w:cs="Arial"/>
        </w:rPr>
        <w:t xml:space="preserve">efine la comercialización como </w:t>
      </w:r>
      <w:r w:rsidR="00B37A18">
        <w:rPr>
          <w:rFonts w:ascii="Arial" w:hAnsi="Arial" w:cs="Arial"/>
        </w:rPr>
        <w:t>la a</w:t>
      </w:r>
      <w:r w:rsidR="00B37A18" w:rsidRPr="00B37A18">
        <w:rPr>
          <w:rFonts w:ascii="Arial" w:hAnsi="Arial" w:cs="Arial"/>
        </w:rPr>
        <w:t>ctividad consistente en la compra y venta de energía eléctrica en el mercado mayorista y su venta con destino a otras operaciones en dicho mercado o a los usuarios finales</w:t>
      </w:r>
      <w:r w:rsidR="00B37A18">
        <w:rPr>
          <w:rFonts w:ascii="Arial" w:hAnsi="Arial" w:cs="Arial"/>
        </w:rPr>
        <w:t>.</w:t>
      </w:r>
    </w:p>
    <w:p w14:paraId="2D68BB2F" w14:textId="187947E1" w:rsidR="005843F1" w:rsidRDefault="00B37A18" w:rsidP="001E41BF">
      <w:pPr>
        <w:jc w:val="both"/>
        <w:rPr>
          <w:rFonts w:ascii="Arial" w:hAnsi="Arial" w:cs="Arial"/>
        </w:rPr>
      </w:pPr>
      <w:r>
        <w:rPr>
          <w:rFonts w:ascii="Arial" w:hAnsi="Arial" w:cs="Arial"/>
        </w:rPr>
        <w:t xml:space="preserve">Es el comercializador </w:t>
      </w:r>
      <w:r w:rsidR="00BC36FB">
        <w:rPr>
          <w:rFonts w:ascii="Arial" w:hAnsi="Arial" w:cs="Arial"/>
        </w:rPr>
        <w:t xml:space="preserve">el agente </w:t>
      </w:r>
      <w:r w:rsidR="00D65074">
        <w:rPr>
          <w:rFonts w:ascii="Arial" w:hAnsi="Arial" w:cs="Arial"/>
        </w:rPr>
        <w:t xml:space="preserve">de cara al usuario que tiene entre sus </w:t>
      </w:r>
      <w:r w:rsidR="00BA67F0">
        <w:rPr>
          <w:rFonts w:ascii="Arial" w:hAnsi="Arial" w:cs="Arial"/>
        </w:rPr>
        <w:t>obligaciones la continuidad del servici</w:t>
      </w:r>
      <w:r w:rsidR="00010CBD">
        <w:rPr>
          <w:rFonts w:ascii="Arial" w:hAnsi="Arial" w:cs="Arial"/>
        </w:rPr>
        <w:t>o</w:t>
      </w:r>
      <w:r w:rsidR="00BA67F0">
        <w:rPr>
          <w:rFonts w:ascii="Arial" w:hAnsi="Arial" w:cs="Arial"/>
        </w:rPr>
        <w:t xml:space="preserve"> </w:t>
      </w:r>
      <w:r w:rsidR="00010CBD">
        <w:rPr>
          <w:rFonts w:ascii="Arial" w:hAnsi="Arial" w:cs="Arial"/>
        </w:rPr>
        <w:t>y están</w:t>
      </w:r>
      <w:r w:rsidR="00BA67F0">
        <w:rPr>
          <w:rFonts w:ascii="Arial" w:hAnsi="Arial" w:cs="Arial"/>
        </w:rPr>
        <w:t xml:space="preserve"> </w:t>
      </w:r>
      <w:r w:rsidR="00D65074">
        <w:rPr>
          <w:rFonts w:ascii="Arial" w:hAnsi="Arial" w:cs="Arial"/>
        </w:rPr>
        <w:t xml:space="preserve">entre sus </w:t>
      </w:r>
      <w:r w:rsidR="009A61D9">
        <w:rPr>
          <w:rFonts w:ascii="Arial" w:hAnsi="Arial" w:cs="Arial"/>
        </w:rPr>
        <w:t>tareas</w:t>
      </w:r>
      <w:r w:rsidR="005843F1">
        <w:rPr>
          <w:rFonts w:ascii="Arial" w:hAnsi="Arial" w:cs="Arial"/>
        </w:rPr>
        <w:t xml:space="preserve"> la </w:t>
      </w:r>
      <w:r w:rsidR="007E08E2">
        <w:rPr>
          <w:rFonts w:ascii="Arial" w:hAnsi="Arial" w:cs="Arial"/>
        </w:rPr>
        <w:t>c</w:t>
      </w:r>
      <w:r w:rsidR="005843F1" w:rsidRPr="005843F1">
        <w:rPr>
          <w:rFonts w:ascii="Arial" w:hAnsi="Arial" w:cs="Arial"/>
        </w:rPr>
        <w:t>ontrata</w:t>
      </w:r>
      <w:r w:rsidR="005843F1" w:rsidRPr="007E165E">
        <w:rPr>
          <w:rFonts w:ascii="Arial" w:hAnsi="Arial" w:cs="Arial"/>
        </w:rPr>
        <w:t>ción de la</w:t>
      </w:r>
      <w:r w:rsidR="005843F1" w:rsidRPr="005843F1">
        <w:rPr>
          <w:rFonts w:ascii="Arial" w:hAnsi="Arial" w:cs="Arial"/>
        </w:rPr>
        <w:t xml:space="preserve"> prestación del servicio</w:t>
      </w:r>
      <w:r w:rsidR="005843F1" w:rsidRPr="007E165E">
        <w:rPr>
          <w:rFonts w:ascii="Arial" w:hAnsi="Arial" w:cs="Arial"/>
        </w:rPr>
        <w:t>, la l</w:t>
      </w:r>
      <w:r w:rsidR="005843F1" w:rsidRPr="005843F1">
        <w:rPr>
          <w:rFonts w:ascii="Arial" w:hAnsi="Arial" w:cs="Arial"/>
        </w:rPr>
        <w:t>ectura de medidores</w:t>
      </w:r>
      <w:r w:rsidR="005843F1" w:rsidRPr="007E165E">
        <w:rPr>
          <w:rFonts w:ascii="Arial" w:hAnsi="Arial" w:cs="Arial"/>
        </w:rPr>
        <w:t>, la liquidación y f</w:t>
      </w:r>
      <w:r w:rsidR="005843F1" w:rsidRPr="005843F1">
        <w:rPr>
          <w:rFonts w:ascii="Arial" w:hAnsi="Arial" w:cs="Arial"/>
        </w:rPr>
        <w:t>actura</w:t>
      </w:r>
      <w:r w:rsidR="005843F1" w:rsidRPr="007E165E">
        <w:rPr>
          <w:rFonts w:ascii="Arial" w:hAnsi="Arial" w:cs="Arial"/>
        </w:rPr>
        <w:t xml:space="preserve">ción, la atención de </w:t>
      </w:r>
      <w:r w:rsidR="00492219">
        <w:rPr>
          <w:rFonts w:ascii="Arial" w:hAnsi="Arial" w:cs="Arial"/>
        </w:rPr>
        <w:t xml:space="preserve">peticiones, quejas y reclamos </w:t>
      </w:r>
      <w:r w:rsidR="00C63758">
        <w:rPr>
          <w:rFonts w:ascii="Arial" w:hAnsi="Arial" w:cs="Arial"/>
        </w:rPr>
        <w:t>(</w:t>
      </w:r>
      <w:r w:rsidR="00814D68">
        <w:rPr>
          <w:rFonts w:ascii="Arial" w:hAnsi="Arial" w:cs="Arial"/>
        </w:rPr>
        <w:t>R</w:t>
      </w:r>
      <w:r w:rsidR="005B3EF0">
        <w:rPr>
          <w:rFonts w:ascii="Arial" w:hAnsi="Arial" w:cs="Arial"/>
        </w:rPr>
        <w:t>esolución CREG</w:t>
      </w:r>
      <w:r w:rsidR="00C63758">
        <w:rPr>
          <w:rFonts w:ascii="Arial" w:hAnsi="Arial" w:cs="Arial"/>
        </w:rPr>
        <w:t>108/97)</w:t>
      </w:r>
      <w:r w:rsidR="00EF5FA1" w:rsidRPr="007E165E">
        <w:rPr>
          <w:rFonts w:ascii="Arial" w:hAnsi="Arial" w:cs="Arial"/>
        </w:rPr>
        <w:t xml:space="preserve">, el </w:t>
      </w:r>
      <w:r w:rsidR="007E165E" w:rsidRPr="007E165E">
        <w:rPr>
          <w:rFonts w:ascii="Arial" w:hAnsi="Arial" w:cs="Arial"/>
        </w:rPr>
        <w:t>recaudo y</w:t>
      </w:r>
      <w:r w:rsidR="00EF5FA1" w:rsidRPr="007E165E">
        <w:rPr>
          <w:rFonts w:ascii="Arial" w:hAnsi="Arial" w:cs="Arial"/>
        </w:rPr>
        <w:t xml:space="preserve"> </w:t>
      </w:r>
      <w:r w:rsidR="008E12C7" w:rsidRPr="007E165E">
        <w:rPr>
          <w:rFonts w:ascii="Arial" w:hAnsi="Arial" w:cs="Arial"/>
        </w:rPr>
        <w:t>pago</w:t>
      </w:r>
      <w:r w:rsidR="008E12C7">
        <w:rPr>
          <w:rFonts w:ascii="Arial" w:hAnsi="Arial" w:cs="Arial"/>
        </w:rPr>
        <w:t xml:space="preserve"> </w:t>
      </w:r>
      <w:r w:rsidR="008E12C7" w:rsidRPr="007E165E">
        <w:rPr>
          <w:rFonts w:ascii="Arial" w:hAnsi="Arial" w:cs="Arial"/>
        </w:rPr>
        <w:t>a</w:t>
      </w:r>
      <w:r w:rsidR="00263415">
        <w:rPr>
          <w:rFonts w:ascii="Arial" w:hAnsi="Arial" w:cs="Arial"/>
        </w:rPr>
        <w:t xml:space="preserve"> los</w:t>
      </w:r>
      <w:r w:rsidR="00EF5FA1" w:rsidRPr="007E165E">
        <w:rPr>
          <w:rFonts w:ascii="Arial" w:hAnsi="Arial" w:cs="Arial"/>
        </w:rPr>
        <w:t xml:space="preserve"> otros </w:t>
      </w:r>
      <w:r w:rsidR="007E165E" w:rsidRPr="007E165E">
        <w:rPr>
          <w:rFonts w:ascii="Arial" w:hAnsi="Arial" w:cs="Arial"/>
        </w:rPr>
        <w:t>agentes</w:t>
      </w:r>
      <w:r w:rsidR="00263415">
        <w:rPr>
          <w:rFonts w:ascii="Arial" w:hAnsi="Arial" w:cs="Arial"/>
        </w:rPr>
        <w:t xml:space="preserve"> de la cadena</w:t>
      </w:r>
      <w:r w:rsidR="007E165E" w:rsidRPr="007E165E">
        <w:rPr>
          <w:rFonts w:ascii="Arial" w:hAnsi="Arial" w:cs="Arial"/>
        </w:rPr>
        <w:t>, la</w:t>
      </w:r>
      <w:r w:rsidR="00EF5FA1" w:rsidRPr="007E165E">
        <w:rPr>
          <w:rFonts w:ascii="Arial" w:hAnsi="Arial" w:cs="Arial"/>
        </w:rPr>
        <w:t xml:space="preserve"> </w:t>
      </w:r>
      <w:r w:rsidR="0095086F">
        <w:rPr>
          <w:rFonts w:ascii="Arial" w:hAnsi="Arial" w:cs="Arial"/>
        </w:rPr>
        <w:t>c</w:t>
      </w:r>
      <w:r w:rsidR="005843F1" w:rsidRPr="005843F1">
        <w:rPr>
          <w:rFonts w:ascii="Arial" w:hAnsi="Arial" w:cs="Arial"/>
        </w:rPr>
        <w:t xml:space="preserve">ompra Excedentes </w:t>
      </w:r>
      <w:r w:rsidR="0095086F">
        <w:rPr>
          <w:rFonts w:ascii="Arial" w:hAnsi="Arial" w:cs="Arial"/>
        </w:rPr>
        <w:t xml:space="preserve">de energía </w:t>
      </w:r>
      <w:r w:rsidR="005843F1" w:rsidRPr="005843F1">
        <w:rPr>
          <w:rFonts w:ascii="Arial" w:hAnsi="Arial" w:cs="Arial"/>
        </w:rPr>
        <w:t>(</w:t>
      </w:r>
      <w:r w:rsidR="005B3EF0">
        <w:rPr>
          <w:rFonts w:ascii="Arial" w:hAnsi="Arial" w:cs="Arial"/>
        </w:rPr>
        <w:t>Resolución CREG</w:t>
      </w:r>
      <w:r w:rsidR="005843F1" w:rsidRPr="005843F1">
        <w:rPr>
          <w:rFonts w:ascii="Arial" w:hAnsi="Arial" w:cs="Arial"/>
        </w:rPr>
        <w:t>174/21)</w:t>
      </w:r>
      <w:r w:rsidR="00EF5FA1" w:rsidRPr="007E165E">
        <w:rPr>
          <w:rFonts w:ascii="Arial" w:hAnsi="Arial" w:cs="Arial"/>
        </w:rPr>
        <w:t xml:space="preserve"> </w:t>
      </w:r>
      <w:r w:rsidR="001E41BF" w:rsidRPr="007E165E">
        <w:rPr>
          <w:rFonts w:ascii="Arial" w:hAnsi="Arial" w:cs="Arial"/>
        </w:rPr>
        <w:t xml:space="preserve">y la </w:t>
      </w:r>
      <w:r w:rsidR="007E165E">
        <w:rPr>
          <w:rFonts w:ascii="Arial" w:hAnsi="Arial" w:cs="Arial"/>
        </w:rPr>
        <w:t>g</w:t>
      </w:r>
      <w:r w:rsidR="005843F1" w:rsidRPr="005843F1">
        <w:rPr>
          <w:rFonts w:ascii="Arial" w:hAnsi="Arial" w:cs="Arial"/>
        </w:rPr>
        <w:t>estión de compra de energía</w:t>
      </w:r>
      <w:r w:rsidR="005C6F48">
        <w:rPr>
          <w:rFonts w:ascii="Arial" w:hAnsi="Arial" w:cs="Arial"/>
        </w:rPr>
        <w:t>,</w:t>
      </w:r>
      <w:r w:rsidR="001E41BF" w:rsidRPr="007E165E">
        <w:rPr>
          <w:rFonts w:ascii="Arial" w:hAnsi="Arial" w:cs="Arial"/>
        </w:rPr>
        <w:t xml:space="preserve"> entre otras</w:t>
      </w:r>
      <w:r w:rsidR="0095086F">
        <w:rPr>
          <w:rFonts w:ascii="Arial" w:hAnsi="Arial" w:cs="Arial"/>
        </w:rPr>
        <w:t xml:space="preserve"> actividades</w:t>
      </w:r>
      <w:r w:rsidR="001E41BF" w:rsidRPr="007E165E">
        <w:rPr>
          <w:rFonts w:ascii="Arial" w:hAnsi="Arial" w:cs="Arial"/>
        </w:rPr>
        <w:t>.</w:t>
      </w:r>
    </w:p>
    <w:p w14:paraId="211ADEA0" w14:textId="2DEE8D9E" w:rsidR="00B214AB" w:rsidRDefault="009E79A5" w:rsidP="00AE189F">
      <w:pPr>
        <w:jc w:val="both"/>
        <w:rPr>
          <w:rFonts w:ascii="Arial" w:hAnsi="Arial" w:cs="Arial"/>
        </w:rPr>
      </w:pPr>
      <w:r>
        <w:rPr>
          <w:rFonts w:ascii="Arial" w:hAnsi="Arial" w:cs="Arial"/>
        </w:rPr>
        <w:t>La metodología</w:t>
      </w:r>
      <w:r w:rsidR="00866F35" w:rsidRPr="00866F35">
        <w:rPr>
          <w:rFonts w:ascii="Arial" w:hAnsi="Arial" w:cs="Arial"/>
        </w:rPr>
        <w:t xml:space="preserve"> actual o contenida en la</w:t>
      </w:r>
      <w:r w:rsidR="00866F35">
        <w:rPr>
          <w:rFonts w:ascii="Arial" w:hAnsi="Arial" w:cs="Arial"/>
        </w:rPr>
        <w:t xml:space="preserve"> Resolución CREG 180 de 2014 </w:t>
      </w:r>
      <w:r w:rsidR="00866F35" w:rsidRPr="00866F35">
        <w:rPr>
          <w:rFonts w:ascii="Arial" w:hAnsi="Arial" w:cs="Arial"/>
        </w:rPr>
        <w:t xml:space="preserve">indica que la comercialización </w:t>
      </w:r>
      <w:r w:rsidR="00CD7D61">
        <w:rPr>
          <w:rFonts w:ascii="Arial" w:hAnsi="Arial" w:cs="Arial"/>
        </w:rPr>
        <w:t xml:space="preserve">se remunera </w:t>
      </w:r>
      <w:r w:rsidR="00723396">
        <w:rPr>
          <w:rFonts w:ascii="Arial" w:hAnsi="Arial" w:cs="Arial"/>
        </w:rPr>
        <w:t>a través de un cargo fijo y cargo variable</w:t>
      </w:r>
      <w:r w:rsidR="00AA53B2">
        <w:rPr>
          <w:rFonts w:ascii="Arial" w:hAnsi="Arial" w:cs="Arial"/>
        </w:rPr>
        <w:t>.</w:t>
      </w:r>
      <w:r w:rsidR="00CD7D61">
        <w:rPr>
          <w:rFonts w:ascii="Arial" w:hAnsi="Arial" w:cs="Arial"/>
        </w:rPr>
        <w:t xml:space="preserve"> No obstante, </w:t>
      </w:r>
      <w:r w:rsidR="001008AC">
        <w:rPr>
          <w:rFonts w:ascii="Arial" w:hAnsi="Arial" w:cs="Arial"/>
        </w:rPr>
        <w:t>el componente de comercialización en la fórmula tarifaria que define el costo de prestación del servicio</w:t>
      </w:r>
      <w:r w:rsidR="00AE1CEC">
        <w:rPr>
          <w:rFonts w:ascii="Arial" w:hAnsi="Arial" w:cs="Arial"/>
        </w:rPr>
        <w:t xml:space="preserve"> </w:t>
      </w:r>
      <w:r>
        <w:rPr>
          <w:rFonts w:ascii="Arial" w:hAnsi="Arial" w:cs="Arial"/>
        </w:rPr>
        <w:t>variabiliza este</w:t>
      </w:r>
      <w:r w:rsidR="00AE1CEC">
        <w:rPr>
          <w:rFonts w:ascii="Arial" w:hAnsi="Arial" w:cs="Arial"/>
        </w:rPr>
        <w:t xml:space="preserve"> costo fij</w:t>
      </w:r>
      <w:r>
        <w:rPr>
          <w:rFonts w:ascii="Arial" w:hAnsi="Arial" w:cs="Arial"/>
        </w:rPr>
        <w:t>o</w:t>
      </w:r>
      <w:r w:rsidR="00AE1CEC">
        <w:rPr>
          <w:rFonts w:ascii="Arial" w:hAnsi="Arial" w:cs="Arial"/>
        </w:rPr>
        <w:t xml:space="preserve"> y permite </w:t>
      </w:r>
      <w:r w:rsidR="00806062">
        <w:rPr>
          <w:rFonts w:ascii="Arial" w:hAnsi="Arial" w:cs="Arial"/>
        </w:rPr>
        <w:t xml:space="preserve">la inclusión de otros costos en que incurre el comercializador y que son definidos en otras </w:t>
      </w:r>
      <w:r>
        <w:rPr>
          <w:rFonts w:ascii="Arial" w:hAnsi="Arial" w:cs="Arial"/>
        </w:rPr>
        <w:t>resoluciones</w:t>
      </w:r>
      <w:r w:rsidR="00806062">
        <w:rPr>
          <w:rFonts w:ascii="Arial" w:hAnsi="Arial" w:cs="Arial"/>
        </w:rPr>
        <w:t>.</w:t>
      </w:r>
    </w:p>
    <w:p w14:paraId="1DDE0F08" w14:textId="77777777" w:rsidR="00E31CC3" w:rsidRDefault="00745B21" w:rsidP="00E31CC3">
      <w:pPr>
        <w:spacing w:after="0"/>
        <w:jc w:val="center"/>
        <w:rPr>
          <w:rFonts w:ascii="Arial" w:hAnsi="Arial" w:cs="Arial"/>
        </w:rPr>
      </w:pPr>
      <w:r>
        <w:rPr>
          <w:rFonts w:ascii="Arial" w:hAnsi="Arial" w:cs="Arial"/>
          <w:noProof/>
        </w:rPr>
        <w:drawing>
          <wp:inline distT="0" distB="0" distL="0" distR="0" wp14:anchorId="7FCE34A4" wp14:editId="59D4847D">
            <wp:extent cx="5208422" cy="2669209"/>
            <wp:effectExtent l="0" t="0" r="0" b="0"/>
            <wp:docPr id="11144178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138" cy="2685463"/>
                    </a:xfrm>
                    <a:prstGeom prst="rect">
                      <a:avLst/>
                    </a:prstGeom>
                    <a:noFill/>
                    <a:ln>
                      <a:noFill/>
                    </a:ln>
                  </pic:spPr>
                </pic:pic>
              </a:graphicData>
            </a:graphic>
          </wp:inline>
        </w:drawing>
      </w:r>
    </w:p>
    <w:p w14:paraId="747E0085" w14:textId="67C884CE" w:rsidR="0084421C" w:rsidRPr="00E31CC3" w:rsidRDefault="009F35F3" w:rsidP="00E31CC3">
      <w:pPr>
        <w:spacing w:before="0" w:after="0"/>
        <w:jc w:val="center"/>
        <w:rPr>
          <w:rFonts w:ascii="Arial" w:hAnsi="Arial" w:cs="Arial"/>
        </w:rPr>
      </w:pPr>
      <w:r w:rsidRPr="00ED63FA">
        <w:rPr>
          <w:rFonts w:ascii="Arial" w:hAnsi="Arial" w:cs="Arial"/>
          <w:b/>
          <w:bCs/>
          <w:i/>
          <w:iCs/>
          <w:sz w:val="16"/>
          <w:szCs w:val="16"/>
        </w:rPr>
        <w:t xml:space="preserve">Figura </w:t>
      </w:r>
      <w:r w:rsidRPr="00ED63FA">
        <w:rPr>
          <w:rFonts w:ascii="Arial" w:hAnsi="Arial" w:cs="Arial"/>
          <w:b/>
          <w:bCs/>
          <w:i/>
          <w:iCs/>
          <w:sz w:val="16"/>
          <w:szCs w:val="16"/>
        </w:rPr>
        <w:fldChar w:fldCharType="begin"/>
      </w:r>
      <w:r w:rsidRPr="00ED63FA">
        <w:rPr>
          <w:rFonts w:ascii="Arial" w:hAnsi="Arial" w:cs="Arial"/>
          <w:b/>
          <w:bCs/>
          <w:i/>
          <w:iCs/>
          <w:sz w:val="16"/>
          <w:szCs w:val="16"/>
        </w:rPr>
        <w:instrText xml:space="preserve"> SEQ Figura \* ARABIC </w:instrText>
      </w:r>
      <w:r w:rsidRPr="00ED63FA">
        <w:rPr>
          <w:rFonts w:ascii="Arial" w:hAnsi="Arial" w:cs="Arial"/>
          <w:b/>
          <w:bCs/>
          <w:i/>
          <w:iCs/>
          <w:sz w:val="16"/>
          <w:szCs w:val="16"/>
        </w:rPr>
        <w:fldChar w:fldCharType="separate"/>
      </w:r>
      <w:r w:rsidR="002A641D">
        <w:rPr>
          <w:rFonts w:ascii="Arial" w:hAnsi="Arial" w:cs="Arial"/>
          <w:b/>
          <w:bCs/>
          <w:i/>
          <w:iCs/>
          <w:noProof/>
          <w:sz w:val="16"/>
          <w:szCs w:val="16"/>
        </w:rPr>
        <w:t>1</w:t>
      </w:r>
      <w:r w:rsidRPr="00ED63FA">
        <w:rPr>
          <w:rFonts w:ascii="Arial" w:hAnsi="Arial" w:cs="Arial"/>
          <w:b/>
          <w:bCs/>
          <w:i/>
          <w:iCs/>
          <w:sz w:val="16"/>
          <w:szCs w:val="16"/>
        </w:rPr>
        <w:fldChar w:fldCharType="end"/>
      </w:r>
      <w:r w:rsidRPr="00ED63FA">
        <w:rPr>
          <w:rFonts w:ascii="Arial" w:hAnsi="Arial" w:cs="Arial"/>
          <w:b/>
          <w:bCs/>
          <w:i/>
          <w:iCs/>
          <w:sz w:val="16"/>
          <w:szCs w:val="16"/>
        </w:rPr>
        <w:t xml:space="preserve"> </w:t>
      </w:r>
      <w:r w:rsidR="0084421C" w:rsidRPr="008C7D10">
        <w:rPr>
          <w:rFonts w:ascii="Arial" w:hAnsi="Arial" w:cs="Arial"/>
          <w:b/>
          <w:bCs/>
          <w:i/>
          <w:iCs/>
          <w:sz w:val="16"/>
          <w:szCs w:val="16"/>
        </w:rPr>
        <w:t>Regulación relacionada con la remuneración de comercialización a usuario</w:t>
      </w:r>
      <w:r w:rsidR="002922AE" w:rsidRPr="008C7D10">
        <w:rPr>
          <w:rFonts w:ascii="Arial" w:hAnsi="Arial" w:cs="Arial"/>
          <w:b/>
          <w:bCs/>
          <w:i/>
          <w:iCs/>
          <w:sz w:val="16"/>
          <w:szCs w:val="16"/>
        </w:rPr>
        <w:t>s</w:t>
      </w:r>
      <w:r w:rsidR="0084421C" w:rsidRPr="008C7D10">
        <w:rPr>
          <w:rFonts w:ascii="Arial" w:hAnsi="Arial" w:cs="Arial"/>
          <w:b/>
          <w:bCs/>
          <w:i/>
          <w:iCs/>
          <w:sz w:val="16"/>
          <w:szCs w:val="16"/>
        </w:rPr>
        <w:t xml:space="preserve"> regulado</w:t>
      </w:r>
      <w:r w:rsidR="002922AE" w:rsidRPr="008C7D10">
        <w:rPr>
          <w:rFonts w:ascii="Arial" w:hAnsi="Arial" w:cs="Arial"/>
          <w:b/>
          <w:bCs/>
          <w:i/>
          <w:iCs/>
          <w:sz w:val="16"/>
          <w:szCs w:val="16"/>
        </w:rPr>
        <w:t>s</w:t>
      </w:r>
      <w:r w:rsidR="004D1EA1" w:rsidRPr="008C7D10">
        <w:rPr>
          <w:rFonts w:ascii="Arial" w:hAnsi="Arial" w:cs="Arial"/>
          <w:b/>
          <w:bCs/>
          <w:i/>
          <w:iCs/>
          <w:sz w:val="16"/>
          <w:szCs w:val="16"/>
        </w:rPr>
        <w:br/>
        <w:t xml:space="preserve">Fuente: </w:t>
      </w:r>
      <w:r w:rsidR="002922AE" w:rsidRPr="008C7D10">
        <w:rPr>
          <w:rFonts w:ascii="Arial" w:hAnsi="Arial" w:cs="Arial"/>
          <w:b/>
          <w:bCs/>
          <w:i/>
          <w:iCs/>
          <w:sz w:val="16"/>
          <w:szCs w:val="16"/>
        </w:rPr>
        <w:t>Elaboración Propia</w:t>
      </w:r>
    </w:p>
    <w:p w14:paraId="361CB03B" w14:textId="31A55EAA" w:rsidR="009E79A5" w:rsidRDefault="009E79A5" w:rsidP="00AF0A6D">
      <w:pPr>
        <w:jc w:val="both"/>
        <w:rPr>
          <w:rFonts w:ascii="Arial" w:hAnsi="Arial" w:cs="Arial"/>
        </w:rPr>
      </w:pPr>
      <w:r>
        <w:rPr>
          <w:rFonts w:ascii="Arial" w:hAnsi="Arial" w:cs="Arial"/>
        </w:rPr>
        <w:lastRenderedPageBreak/>
        <w:t xml:space="preserve">A </w:t>
      </w:r>
      <w:r w:rsidR="00C577A0">
        <w:rPr>
          <w:rFonts w:ascii="Arial" w:hAnsi="Arial" w:cs="Arial"/>
        </w:rPr>
        <w:t>continuación,</w:t>
      </w:r>
      <w:r>
        <w:rPr>
          <w:rFonts w:ascii="Arial" w:hAnsi="Arial" w:cs="Arial"/>
        </w:rPr>
        <w:t xml:space="preserve"> se describe de forma resumida como se determina cada componente de remuneración con la metodología vigente</w:t>
      </w:r>
      <w:r w:rsidR="002C78E0">
        <w:rPr>
          <w:rFonts w:ascii="Arial" w:hAnsi="Arial" w:cs="Arial"/>
        </w:rPr>
        <w:t xml:space="preserve"> y que es objeto del presente análisis</w:t>
      </w:r>
      <w:r w:rsidR="00E64112">
        <w:rPr>
          <w:rFonts w:ascii="Arial" w:hAnsi="Arial" w:cs="Arial"/>
        </w:rPr>
        <w:t>:</w:t>
      </w:r>
    </w:p>
    <w:p w14:paraId="08D8D43E" w14:textId="6F2142A5" w:rsidR="00E64112" w:rsidRPr="00FE0276" w:rsidRDefault="00E64112" w:rsidP="00C00C77">
      <w:pPr>
        <w:pStyle w:val="Ttulo2"/>
        <w:numPr>
          <w:ilvl w:val="1"/>
          <w:numId w:val="15"/>
        </w:numPr>
      </w:pPr>
      <w:bookmarkStart w:id="3" w:name="_Toc165037315"/>
      <w:r w:rsidRPr="00FE0276">
        <w:t>Componente fijo</w:t>
      </w:r>
      <w:r w:rsidR="00416EB1">
        <w:t xml:space="preserve"> de comercialización</w:t>
      </w:r>
      <w:bookmarkEnd w:id="3"/>
    </w:p>
    <w:p w14:paraId="1FC4D871" w14:textId="21705CBA" w:rsidR="00FE0276" w:rsidRPr="00087368" w:rsidRDefault="002C78E0" w:rsidP="00FE0276">
      <w:pPr>
        <w:jc w:val="both"/>
        <w:rPr>
          <w:rFonts w:ascii="Arial" w:hAnsi="Arial" w:cs="Arial"/>
        </w:rPr>
      </w:pPr>
      <w:r>
        <w:rPr>
          <w:rFonts w:ascii="Arial" w:hAnsi="Arial" w:cs="Arial"/>
        </w:rPr>
        <w:t>L</w:t>
      </w:r>
      <w:r w:rsidR="00D17887">
        <w:rPr>
          <w:rFonts w:ascii="Arial" w:hAnsi="Arial" w:cs="Arial"/>
        </w:rPr>
        <w:t xml:space="preserve">a remuneración del componente fijo de la actividad </w:t>
      </w:r>
      <w:r w:rsidR="00BF4661">
        <w:rPr>
          <w:rFonts w:ascii="Arial" w:hAnsi="Arial" w:cs="Arial"/>
        </w:rPr>
        <w:t>de comercialización</w:t>
      </w:r>
      <w:r>
        <w:rPr>
          <w:rFonts w:ascii="Arial" w:hAnsi="Arial" w:cs="Arial"/>
        </w:rPr>
        <w:t xml:space="preserve"> está</w:t>
      </w:r>
      <w:r w:rsidR="00BF4661">
        <w:rPr>
          <w:rFonts w:ascii="Arial" w:hAnsi="Arial" w:cs="Arial"/>
        </w:rPr>
        <w:t xml:space="preserve"> </w:t>
      </w:r>
      <w:proofErr w:type="gramStart"/>
      <w:r w:rsidR="00BF4661">
        <w:rPr>
          <w:rFonts w:ascii="Arial" w:hAnsi="Arial" w:cs="Arial"/>
        </w:rPr>
        <w:t>dividido</w:t>
      </w:r>
      <w:proofErr w:type="gramEnd"/>
      <w:r w:rsidR="00BF4661">
        <w:rPr>
          <w:rFonts w:ascii="Arial" w:hAnsi="Arial" w:cs="Arial"/>
        </w:rPr>
        <w:t xml:space="preserve"> en la remuneración del costo base de comercialización</w:t>
      </w:r>
      <w:r w:rsidR="00C30C42">
        <w:rPr>
          <w:rFonts w:ascii="Arial" w:hAnsi="Arial" w:cs="Arial"/>
        </w:rPr>
        <w:t xml:space="preserve"> y el factor de eficiencia.</w:t>
      </w:r>
    </w:p>
    <w:p w14:paraId="147D6BE8" w14:textId="5DE70A2D" w:rsidR="00E64112" w:rsidRPr="00CF579B" w:rsidRDefault="00C577A0" w:rsidP="00C00C77">
      <w:pPr>
        <w:pStyle w:val="Ttulo3"/>
        <w:numPr>
          <w:ilvl w:val="2"/>
          <w:numId w:val="15"/>
        </w:numPr>
      </w:pPr>
      <w:bookmarkStart w:id="4" w:name="_Toc165037316"/>
      <w:r w:rsidRPr="00FE0276">
        <w:t xml:space="preserve">Costo Base de </w:t>
      </w:r>
      <w:r w:rsidR="00102A0F">
        <w:t>C</w:t>
      </w:r>
      <w:r w:rsidRPr="00FE0276">
        <w:t>omercialización</w:t>
      </w:r>
      <w:bookmarkEnd w:id="4"/>
    </w:p>
    <w:p w14:paraId="23674414" w14:textId="77777777" w:rsidR="00AB475D" w:rsidRPr="00115F4D" w:rsidRDefault="00AB475D" w:rsidP="00AB475D">
      <w:pPr>
        <w:jc w:val="both"/>
        <w:rPr>
          <w:rFonts w:ascii="Arial" w:hAnsi="Arial" w:cs="Arial"/>
        </w:rPr>
      </w:pPr>
      <w:r w:rsidRPr="00115F4D">
        <w:rPr>
          <w:rFonts w:ascii="Arial" w:hAnsi="Arial" w:cs="Arial"/>
        </w:rPr>
        <w:t xml:space="preserve">El costo base de comercialización remunera el costo eficiente de la actividad de comercialización de energía eléctrica a usuarios regulados por cada usuario atendido y obedece a las actividades realizadas por el comercializador, considerando las obligaciones y responsabilidades asignadas en la regulación. </w:t>
      </w:r>
    </w:p>
    <w:p w14:paraId="44D118B6" w14:textId="0A1827A8" w:rsidR="002664AD" w:rsidRPr="0066066C" w:rsidRDefault="00EB4B1B" w:rsidP="0066066C">
      <w:pPr>
        <w:jc w:val="both"/>
        <w:rPr>
          <w:rFonts w:ascii="Arial" w:hAnsi="Arial" w:cs="Arial"/>
        </w:rPr>
      </w:pPr>
      <w:r>
        <w:rPr>
          <w:rFonts w:ascii="Arial" w:hAnsi="Arial" w:cs="Arial"/>
        </w:rPr>
        <w:t>Este costo es</w:t>
      </w:r>
      <w:r w:rsidRPr="00EB4B1B">
        <w:rPr>
          <w:rFonts w:ascii="Arial" w:hAnsi="Arial" w:cs="Arial"/>
        </w:rPr>
        <w:t xml:space="preserve"> calculado para cada mercado de comercialización</w:t>
      </w:r>
      <w:r w:rsidR="004E5F05">
        <w:rPr>
          <w:rFonts w:ascii="Arial" w:hAnsi="Arial" w:cs="Arial"/>
        </w:rPr>
        <w:t>,</w:t>
      </w:r>
      <w:r w:rsidR="0066066C">
        <w:rPr>
          <w:rFonts w:ascii="Arial" w:hAnsi="Arial" w:cs="Arial"/>
        </w:rPr>
        <w:t xml:space="preserve"> teniendo en </w:t>
      </w:r>
      <w:r w:rsidR="00831A04">
        <w:rPr>
          <w:rFonts w:ascii="Arial" w:hAnsi="Arial" w:cs="Arial"/>
        </w:rPr>
        <w:t xml:space="preserve">cuenta </w:t>
      </w:r>
      <w:r w:rsidR="00831A04" w:rsidRPr="0066066C">
        <w:rPr>
          <w:rFonts w:ascii="Arial" w:hAnsi="Arial" w:cs="Arial"/>
        </w:rPr>
        <w:t>los</w:t>
      </w:r>
      <w:r w:rsidR="0066066C" w:rsidRPr="0066066C">
        <w:rPr>
          <w:rFonts w:ascii="Arial" w:hAnsi="Arial" w:cs="Arial"/>
        </w:rPr>
        <w:t xml:space="preserve"> gastos de la unidad de negocio de comercialización de energía eléctrica, del sistema de costeo por actividades ABC reportado al</w:t>
      </w:r>
      <w:r w:rsidR="004F3F2A">
        <w:rPr>
          <w:rFonts w:ascii="Arial" w:hAnsi="Arial" w:cs="Arial"/>
        </w:rPr>
        <w:t xml:space="preserve"> Sistema Único de Información</w:t>
      </w:r>
      <w:r w:rsidR="00326500">
        <w:rPr>
          <w:rFonts w:ascii="Arial" w:hAnsi="Arial" w:cs="Arial"/>
        </w:rPr>
        <w:t>,</w:t>
      </w:r>
      <w:r w:rsidR="0066066C" w:rsidRPr="0066066C">
        <w:rPr>
          <w:rFonts w:ascii="Arial" w:hAnsi="Arial" w:cs="Arial"/>
        </w:rPr>
        <w:t xml:space="preserve"> SUI</w:t>
      </w:r>
      <w:r w:rsidR="00326500">
        <w:rPr>
          <w:rFonts w:ascii="Arial" w:hAnsi="Arial" w:cs="Arial"/>
        </w:rPr>
        <w:t>, de la SSPD</w:t>
      </w:r>
      <w:r w:rsidR="009F6C65">
        <w:rPr>
          <w:rFonts w:ascii="Arial" w:hAnsi="Arial" w:cs="Arial"/>
        </w:rPr>
        <w:t>,</w:t>
      </w:r>
      <w:r w:rsidR="00831A04">
        <w:rPr>
          <w:rFonts w:ascii="Arial" w:hAnsi="Arial" w:cs="Arial"/>
        </w:rPr>
        <w:t xml:space="preserve"> para el año 2013</w:t>
      </w:r>
      <w:r w:rsidR="00567779" w:rsidRPr="0066066C">
        <w:rPr>
          <w:rFonts w:ascii="Arial" w:hAnsi="Arial" w:cs="Arial"/>
        </w:rPr>
        <w:t xml:space="preserve"> </w:t>
      </w:r>
      <w:r w:rsidR="00CF579B">
        <w:rPr>
          <w:rFonts w:ascii="Arial" w:hAnsi="Arial" w:cs="Arial"/>
        </w:rPr>
        <w:t>a los cuales se les resta</w:t>
      </w:r>
      <w:r w:rsidR="00567779" w:rsidRPr="0066066C">
        <w:rPr>
          <w:rFonts w:ascii="Arial" w:hAnsi="Arial" w:cs="Arial"/>
        </w:rPr>
        <w:t xml:space="preserve"> unos conceptos específicos que no corresponden directamente a la actividad</w:t>
      </w:r>
      <w:r w:rsidR="004666C3">
        <w:rPr>
          <w:rFonts w:ascii="Arial" w:hAnsi="Arial" w:cs="Arial"/>
        </w:rPr>
        <w:t>.</w:t>
      </w:r>
      <w:r w:rsidR="00753646">
        <w:rPr>
          <w:rFonts w:ascii="Arial" w:hAnsi="Arial" w:cs="Arial"/>
        </w:rPr>
        <w:t xml:space="preserve"> Este valor</w:t>
      </w:r>
      <w:r w:rsidR="00D17785">
        <w:rPr>
          <w:rFonts w:ascii="Arial" w:hAnsi="Arial" w:cs="Arial"/>
        </w:rPr>
        <w:t xml:space="preserve"> </w:t>
      </w:r>
      <w:r w:rsidR="003B17B0">
        <w:rPr>
          <w:rFonts w:ascii="Arial" w:hAnsi="Arial" w:cs="Arial"/>
        </w:rPr>
        <w:t>de costos</w:t>
      </w:r>
      <w:r w:rsidR="00D17785">
        <w:rPr>
          <w:rFonts w:ascii="Arial" w:hAnsi="Arial" w:cs="Arial"/>
        </w:rPr>
        <w:t xml:space="preserve"> </w:t>
      </w:r>
      <w:r w:rsidR="00753646">
        <w:rPr>
          <w:rFonts w:ascii="Arial" w:hAnsi="Arial" w:cs="Arial"/>
        </w:rPr>
        <w:t xml:space="preserve">es afectado por </w:t>
      </w:r>
      <w:r w:rsidR="00D17785">
        <w:rPr>
          <w:rFonts w:ascii="Arial" w:hAnsi="Arial" w:cs="Arial"/>
        </w:rPr>
        <w:t>un factor de eficiencia</w:t>
      </w:r>
      <w:r w:rsidR="005C082B">
        <w:rPr>
          <w:rFonts w:ascii="Arial" w:hAnsi="Arial" w:cs="Arial"/>
        </w:rPr>
        <w:t xml:space="preserve"> que se obtiene mediante un modelo</w:t>
      </w:r>
      <w:r w:rsidR="005C082B" w:rsidRPr="005C082B">
        <w:rPr>
          <w:rFonts w:ascii="Arial" w:hAnsi="Arial" w:cs="Arial"/>
        </w:rPr>
        <w:t xml:space="preserve"> de frontera </w:t>
      </w:r>
      <w:r w:rsidR="00CA4D77" w:rsidRPr="005C082B">
        <w:rPr>
          <w:rFonts w:ascii="Arial" w:hAnsi="Arial" w:cs="Arial"/>
        </w:rPr>
        <w:t>estocástica</w:t>
      </w:r>
      <w:r w:rsidR="003B17B0">
        <w:rPr>
          <w:rFonts w:ascii="Arial" w:hAnsi="Arial" w:cs="Arial"/>
        </w:rPr>
        <w:t xml:space="preserve"> y </w:t>
      </w:r>
      <w:r w:rsidR="009E03C1">
        <w:rPr>
          <w:rFonts w:ascii="Arial" w:hAnsi="Arial" w:cs="Arial"/>
        </w:rPr>
        <w:t>que luego</w:t>
      </w:r>
      <w:r w:rsidR="00CA4D77">
        <w:rPr>
          <w:rFonts w:ascii="Arial" w:hAnsi="Arial" w:cs="Arial"/>
        </w:rPr>
        <w:t xml:space="preserve"> </w:t>
      </w:r>
      <w:r w:rsidR="005C082B">
        <w:rPr>
          <w:rFonts w:ascii="Arial" w:hAnsi="Arial" w:cs="Arial"/>
        </w:rPr>
        <w:t xml:space="preserve">se divide </w:t>
      </w:r>
      <w:r w:rsidR="003B1A46">
        <w:rPr>
          <w:rFonts w:ascii="Arial" w:hAnsi="Arial" w:cs="Arial"/>
        </w:rPr>
        <w:t>por el número de facturas expedidas en el año 2013</w:t>
      </w:r>
      <w:r w:rsidR="003B17B0">
        <w:rPr>
          <w:rFonts w:ascii="Arial" w:hAnsi="Arial" w:cs="Arial"/>
        </w:rPr>
        <w:t xml:space="preserve"> para obtener un </w:t>
      </w:r>
      <w:r w:rsidR="0038018D">
        <w:rPr>
          <w:rFonts w:ascii="Arial" w:hAnsi="Arial" w:cs="Arial"/>
        </w:rPr>
        <w:t>valor de</w:t>
      </w:r>
      <w:r w:rsidR="003B17B0">
        <w:rPr>
          <w:rFonts w:ascii="Arial" w:hAnsi="Arial" w:cs="Arial"/>
        </w:rPr>
        <w:t xml:space="preserve"> pesos por factura</w:t>
      </w:r>
      <w:r w:rsidR="0038018D">
        <w:rPr>
          <w:rFonts w:ascii="Arial" w:hAnsi="Arial" w:cs="Arial"/>
        </w:rPr>
        <w:t>.</w:t>
      </w:r>
    </w:p>
    <w:p w14:paraId="1746D45A" w14:textId="69B32C0E" w:rsidR="000C0032" w:rsidRPr="00EB4B1B" w:rsidRDefault="00CA4D77" w:rsidP="00EB4B1B">
      <w:pPr>
        <w:spacing w:before="0" w:after="0" w:line="480" w:lineRule="atLeast"/>
        <w:jc w:val="both"/>
        <w:rPr>
          <w:rFonts w:ascii="Arial" w:hAnsi="Arial" w:cs="Arial"/>
        </w:rPr>
      </w:pPr>
      <w:r>
        <w:rPr>
          <w:rFonts w:ascii="Arial" w:hAnsi="Arial" w:cs="Arial"/>
        </w:rPr>
        <w:t>La fórmula de cálculo es la siguiente:</w:t>
      </w:r>
    </w:p>
    <w:p w14:paraId="293730C3" w14:textId="77777777" w:rsidR="00EB4B1B" w:rsidRPr="00EB4B1B" w:rsidRDefault="00EB4B1B" w:rsidP="00EB4B1B">
      <w:pPr>
        <w:spacing w:before="0" w:line="480" w:lineRule="atLeast"/>
        <w:jc w:val="center"/>
        <w:rPr>
          <w:rFonts w:ascii="Merriweather" w:eastAsia="Times New Roman" w:hAnsi="Merriweather" w:cs="Times New Roman"/>
          <w:color w:val="343536"/>
          <w:spacing w:val="2"/>
          <w:sz w:val="27"/>
          <w:szCs w:val="27"/>
          <w:lang w:eastAsia="es-CO"/>
        </w:rPr>
      </w:pPr>
      <w:r w:rsidRPr="00EB4B1B">
        <w:rPr>
          <w:rFonts w:ascii="Merriweather" w:eastAsia="Times New Roman" w:hAnsi="Merriweather" w:cs="Times New Roman"/>
          <w:noProof/>
          <w:color w:val="343536"/>
          <w:spacing w:val="2"/>
          <w:sz w:val="27"/>
          <w:szCs w:val="27"/>
          <w:lang w:eastAsia="es-CO"/>
        </w:rPr>
        <w:drawing>
          <wp:inline distT="0" distB="0" distL="0" distR="0" wp14:anchorId="010305E3" wp14:editId="6C058E55">
            <wp:extent cx="933450" cy="419100"/>
            <wp:effectExtent l="0" t="0" r="0" b="0"/>
            <wp:docPr id="692153516" name="Imagen 69215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p w14:paraId="4556732B" w14:textId="77777777" w:rsidR="00EB4B1B" w:rsidRPr="00EB4B1B" w:rsidRDefault="00EB4B1B" w:rsidP="00FE0276">
      <w:pPr>
        <w:spacing w:before="0" w:after="0" w:line="480" w:lineRule="atLeast"/>
        <w:jc w:val="both"/>
        <w:rPr>
          <w:rFonts w:ascii="Arial" w:hAnsi="Arial" w:cs="Arial"/>
        </w:rPr>
      </w:pPr>
      <w:r w:rsidRPr="00EB4B1B">
        <w:rPr>
          <w:rFonts w:ascii="Arial" w:hAnsi="Arial" w:cs="Arial"/>
        </w:rPr>
        <w:t>Donde: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0"/>
        <w:gridCol w:w="8266"/>
      </w:tblGrid>
      <w:tr w:rsidR="00EB4B1B" w:rsidRPr="00EB4B1B" w14:paraId="79AADF06" w14:textId="77777777" w:rsidTr="00FE0276">
        <w:trPr>
          <w:tblCellSpacing w:w="15" w:type="dxa"/>
        </w:trPr>
        <w:tc>
          <w:tcPr>
            <w:tcW w:w="400" w:type="pct"/>
            <w:tcBorders>
              <w:top w:val="nil"/>
              <w:left w:val="nil"/>
              <w:bottom w:val="nil"/>
              <w:right w:val="nil"/>
            </w:tcBorders>
            <w:tcMar>
              <w:top w:w="0" w:type="dxa"/>
              <w:left w:w="0" w:type="dxa"/>
              <w:bottom w:w="0" w:type="dxa"/>
              <w:right w:w="0" w:type="dxa"/>
            </w:tcMar>
            <w:vAlign w:val="center"/>
            <w:hideMark/>
          </w:tcPr>
          <w:p w14:paraId="208D19A8" w14:textId="77777777" w:rsidR="00EB4B1B" w:rsidRPr="00C6187A" w:rsidRDefault="00EB4B1B" w:rsidP="00EB4B1B">
            <w:pPr>
              <w:spacing w:before="0" w:after="0" w:line="270" w:lineRule="atLeast"/>
              <w:jc w:val="both"/>
              <w:rPr>
                <w:rFonts w:ascii="Arial" w:eastAsia="Times New Roman" w:hAnsi="Arial" w:cs="Arial"/>
                <w:color w:val="343536"/>
                <w:spacing w:val="2"/>
                <w:sz w:val="24"/>
                <w:szCs w:val="24"/>
                <w:lang w:eastAsia="es-CO"/>
              </w:rPr>
            </w:pPr>
            <w:r w:rsidRPr="00C6187A">
              <w:rPr>
                <w:rFonts w:ascii="Arial" w:eastAsia="Times New Roman" w:hAnsi="Arial" w:cs="Arial"/>
                <w:i/>
                <w:iCs/>
                <w:color w:val="343536"/>
                <w:spacing w:val="2"/>
                <w:sz w:val="24"/>
                <w:szCs w:val="24"/>
                <w:lang w:eastAsia="es-CO"/>
              </w:rPr>
              <w:t>Cf</w:t>
            </w:r>
            <w:r w:rsidRPr="00C6187A">
              <w:rPr>
                <w:rFonts w:ascii="Arial" w:eastAsia="Times New Roman" w:hAnsi="Arial" w:cs="Arial"/>
                <w:i/>
                <w:iCs/>
                <w:color w:val="343536"/>
                <w:spacing w:val="2"/>
                <w:sz w:val="24"/>
                <w:szCs w:val="24"/>
                <w:vertAlign w:val="subscript"/>
                <w:lang w:eastAsia="es-CO"/>
              </w:rPr>
              <w:t>j</w:t>
            </w:r>
            <w:r w:rsidRPr="00C6187A">
              <w:rPr>
                <w:rFonts w:ascii="Arial" w:eastAsia="Times New Roman" w:hAnsi="Arial" w:cs="Arial"/>
                <w:i/>
                <w:iCs/>
                <w:color w:val="343536"/>
                <w:spacing w:val="2"/>
                <w:sz w:val="24"/>
                <w:szCs w:val="24"/>
                <w:lang w:eastAsia="es-CO"/>
              </w:rPr>
              <w:t>:</w:t>
            </w:r>
          </w:p>
        </w:tc>
        <w:tc>
          <w:tcPr>
            <w:tcW w:w="4600" w:type="pct"/>
            <w:tcBorders>
              <w:top w:val="nil"/>
              <w:left w:val="nil"/>
              <w:bottom w:val="nil"/>
              <w:right w:val="nil"/>
            </w:tcBorders>
            <w:tcMar>
              <w:top w:w="0" w:type="dxa"/>
              <w:left w:w="0" w:type="dxa"/>
              <w:bottom w:w="0" w:type="dxa"/>
              <w:right w:w="0" w:type="dxa"/>
            </w:tcMar>
            <w:hideMark/>
          </w:tcPr>
          <w:p w14:paraId="601DFE1F" w14:textId="77777777" w:rsidR="00EB4B1B" w:rsidRPr="00C6187A" w:rsidRDefault="00EB4B1B" w:rsidP="00FE0276">
            <w:pPr>
              <w:jc w:val="both"/>
              <w:rPr>
                <w:rFonts w:ascii="Arial" w:hAnsi="Arial" w:cs="Arial"/>
              </w:rPr>
            </w:pPr>
            <w:r w:rsidRPr="00C6187A">
              <w:rPr>
                <w:rFonts w:ascii="Arial" w:hAnsi="Arial" w:cs="Arial"/>
              </w:rPr>
              <w:t>Costo base de comercialización del mercado de comercialización j, expresado en pesos por factura de diciembre de 2013.  </w:t>
            </w:r>
          </w:p>
        </w:tc>
      </w:tr>
      <w:tr w:rsidR="00EB4B1B" w:rsidRPr="00EB4B1B" w14:paraId="4211CB44" w14:textId="77777777" w:rsidTr="00FE0276">
        <w:trPr>
          <w:tblCellSpacing w:w="15" w:type="dxa"/>
        </w:trPr>
        <w:tc>
          <w:tcPr>
            <w:tcW w:w="400" w:type="pct"/>
            <w:tcBorders>
              <w:top w:val="nil"/>
              <w:left w:val="nil"/>
              <w:bottom w:val="nil"/>
              <w:right w:val="nil"/>
            </w:tcBorders>
            <w:tcMar>
              <w:top w:w="0" w:type="dxa"/>
              <w:left w:w="0" w:type="dxa"/>
              <w:bottom w:w="0" w:type="dxa"/>
              <w:right w:w="0" w:type="dxa"/>
            </w:tcMar>
            <w:vAlign w:val="center"/>
            <w:hideMark/>
          </w:tcPr>
          <w:p w14:paraId="2B3ADB5F" w14:textId="77777777" w:rsidR="00EB4B1B" w:rsidRPr="00C6187A" w:rsidRDefault="00EB4B1B" w:rsidP="00EB4B1B">
            <w:pPr>
              <w:spacing w:before="0" w:after="0" w:line="270" w:lineRule="atLeast"/>
              <w:jc w:val="both"/>
              <w:rPr>
                <w:rFonts w:ascii="Arial" w:eastAsia="Times New Roman" w:hAnsi="Arial" w:cs="Arial"/>
                <w:color w:val="343536"/>
                <w:spacing w:val="2"/>
                <w:sz w:val="24"/>
                <w:szCs w:val="24"/>
                <w:lang w:eastAsia="es-CO"/>
              </w:rPr>
            </w:pPr>
            <w:r w:rsidRPr="00C6187A">
              <w:rPr>
                <w:rFonts w:ascii="Arial" w:eastAsia="Times New Roman" w:hAnsi="Arial" w:cs="Arial"/>
                <w:i/>
                <w:iCs/>
                <w:color w:val="343536"/>
                <w:spacing w:val="2"/>
                <w:sz w:val="24"/>
                <w:szCs w:val="24"/>
                <w:lang w:eastAsia="es-CO"/>
              </w:rPr>
              <w:t>GC</w:t>
            </w:r>
            <w:r w:rsidRPr="00C6187A">
              <w:rPr>
                <w:rFonts w:ascii="Arial" w:eastAsia="Times New Roman" w:hAnsi="Arial" w:cs="Arial"/>
                <w:i/>
                <w:iCs/>
                <w:color w:val="343536"/>
                <w:spacing w:val="2"/>
                <w:sz w:val="24"/>
                <w:szCs w:val="24"/>
                <w:vertAlign w:val="subscript"/>
                <w:lang w:eastAsia="es-CO"/>
              </w:rPr>
              <w:t>j</w:t>
            </w:r>
            <w:r w:rsidRPr="00C6187A">
              <w:rPr>
                <w:rFonts w:ascii="Arial" w:eastAsia="Times New Roman" w:hAnsi="Arial" w:cs="Arial"/>
                <w:i/>
                <w:iCs/>
                <w:color w:val="343536"/>
                <w:spacing w:val="2"/>
                <w:sz w:val="24"/>
                <w:szCs w:val="24"/>
                <w:lang w:eastAsia="es-CO"/>
              </w:rPr>
              <w:t>:</w:t>
            </w:r>
          </w:p>
        </w:tc>
        <w:tc>
          <w:tcPr>
            <w:tcW w:w="4600" w:type="pct"/>
            <w:tcBorders>
              <w:top w:val="nil"/>
              <w:left w:val="nil"/>
              <w:bottom w:val="nil"/>
              <w:right w:val="nil"/>
            </w:tcBorders>
            <w:tcMar>
              <w:top w:w="0" w:type="dxa"/>
              <w:left w:w="0" w:type="dxa"/>
              <w:bottom w:w="0" w:type="dxa"/>
              <w:right w:w="0" w:type="dxa"/>
            </w:tcMar>
            <w:hideMark/>
          </w:tcPr>
          <w:p w14:paraId="0BFE9E76" w14:textId="57533905" w:rsidR="00EB4B1B" w:rsidRPr="00C6187A" w:rsidRDefault="00EB4B1B" w:rsidP="00FE0276">
            <w:pPr>
              <w:jc w:val="both"/>
              <w:rPr>
                <w:rFonts w:ascii="Arial" w:hAnsi="Arial" w:cs="Arial"/>
              </w:rPr>
            </w:pPr>
            <w:r w:rsidRPr="00C6187A">
              <w:rPr>
                <w:rFonts w:ascii="Arial" w:hAnsi="Arial" w:cs="Arial"/>
              </w:rPr>
              <w:t>Gastos en la actividad de comercialización, para el año 2013, del comercializador integrado al OR que sirve el mercado de comercialización</w:t>
            </w:r>
            <w:r w:rsidR="00852800" w:rsidRPr="00C6187A">
              <w:rPr>
                <w:rFonts w:ascii="Arial" w:hAnsi="Arial" w:cs="Arial"/>
              </w:rPr>
              <w:t xml:space="preserve"> </w:t>
            </w:r>
            <w:r w:rsidRPr="00C6187A">
              <w:rPr>
                <w:rFonts w:ascii="Arial" w:hAnsi="Arial" w:cs="Arial"/>
              </w:rPr>
              <w:t>j.  </w:t>
            </w:r>
          </w:p>
        </w:tc>
      </w:tr>
      <w:tr w:rsidR="00EB4B1B" w:rsidRPr="00EB4B1B" w14:paraId="46331D3A" w14:textId="77777777" w:rsidTr="00FE0276">
        <w:trPr>
          <w:tblCellSpacing w:w="15" w:type="dxa"/>
        </w:trPr>
        <w:tc>
          <w:tcPr>
            <w:tcW w:w="400" w:type="pct"/>
            <w:tcBorders>
              <w:top w:val="nil"/>
              <w:left w:val="nil"/>
              <w:bottom w:val="nil"/>
              <w:right w:val="nil"/>
            </w:tcBorders>
            <w:tcMar>
              <w:top w:w="0" w:type="dxa"/>
              <w:left w:w="0" w:type="dxa"/>
              <w:bottom w:w="0" w:type="dxa"/>
              <w:right w:w="0" w:type="dxa"/>
            </w:tcMar>
            <w:vAlign w:val="center"/>
            <w:hideMark/>
          </w:tcPr>
          <w:p w14:paraId="3FAFC499" w14:textId="6F2D5175" w:rsidR="00EB4B1B" w:rsidRPr="00C6187A" w:rsidRDefault="00C6187A" w:rsidP="00EB4B1B">
            <w:pPr>
              <w:spacing w:before="0" w:after="0" w:line="270" w:lineRule="atLeast"/>
              <w:jc w:val="both"/>
              <w:rPr>
                <w:rFonts w:ascii="Arial" w:eastAsia="Times New Roman" w:hAnsi="Arial" w:cs="Arial"/>
                <w:i/>
                <w:iCs/>
                <w:color w:val="343536"/>
                <w:spacing w:val="2"/>
                <w:sz w:val="24"/>
                <w:szCs w:val="24"/>
                <w:lang w:eastAsia="es-CO"/>
              </w:rPr>
            </w:pPr>
            <w:r w:rsidRPr="00C6187A">
              <w:rPr>
                <w:rStyle w:val="ui-provider"/>
                <w:rFonts w:ascii="Arial" w:hAnsi="Arial" w:cs="Arial"/>
                <w:i/>
                <w:iCs/>
              </w:rPr>
              <w:t>η</w:t>
            </w:r>
            <w:r w:rsidR="00EB4B1B" w:rsidRPr="00C6187A">
              <w:rPr>
                <w:rFonts w:ascii="Arial" w:eastAsia="Times New Roman" w:hAnsi="Arial" w:cs="Arial"/>
                <w:i/>
                <w:iCs/>
                <w:color w:val="343536"/>
                <w:spacing w:val="2"/>
                <w:sz w:val="24"/>
                <w:szCs w:val="24"/>
                <w:vertAlign w:val="subscript"/>
                <w:lang w:eastAsia="es-CO"/>
              </w:rPr>
              <w:t>j</w:t>
            </w:r>
            <w:r w:rsidR="00EB4B1B" w:rsidRPr="00C6187A">
              <w:rPr>
                <w:rFonts w:ascii="Arial" w:eastAsia="Times New Roman" w:hAnsi="Arial" w:cs="Arial"/>
                <w:i/>
                <w:iCs/>
                <w:color w:val="343536"/>
                <w:spacing w:val="2"/>
                <w:sz w:val="24"/>
                <w:szCs w:val="24"/>
                <w:lang w:eastAsia="es-CO"/>
              </w:rPr>
              <w:t>:</w:t>
            </w:r>
          </w:p>
        </w:tc>
        <w:tc>
          <w:tcPr>
            <w:tcW w:w="4600" w:type="pct"/>
            <w:tcBorders>
              <w:top w:val="nil"/>
              <w:left w:val="nil"/>
              <w:bottom w:val="nil"/>
              <w:right w:val="nil"/>
            </w:tcBorders>
            <w:tcMar>
              <w:top w:w="0" w:type="dxa"/>
              <w:left w:w="0" w:type="dxa"/>
              <w:bottom w:w="0" w:type="dxa"/>
              <w:right w:w="0" w:type="dxa"/>
            </w:tcMar>
            <w:hideMark/>
          </w:tcPr>
          <w:p w14:paraId="5515F3B4" w14:textId="01A24CE8" w:rsidR="00EB4B1B" w:rsidRPr="00C6187A" w:rsidRDefault="00EB4B1B" w:rsidP="00FE0276">
            <w:pPr>
              <w:jc w:val="both"/>
              <w:rPr>
                <w:rFonts w:ascii="Arial" w:hAnsi="Arial" w:cs="Arial"/>
              </w:rPr>
            </w:pPr>
            <w:r w:rsidRPr="00C6187A">
              <w:rPr>
                <w:rFonts w:ascii="Arial" w:hAnsi="Arial" w:cs="Arial"/>
              </w:rPr>
              <w:t>Factor de eficiencia del mercado de comercialización j</w:t>
            </w:r>
          </w:p>
        </w:tc>
      </w:tr>
      <w:tr w:rsidR="00EB4B1B" w:rsidRPr="00EB4B1B" w14:paraId="08385EDE" w14:textId="77777777" w:rsidTr="00FE0276">
        <w:trPr>
          <w:tblCellSpacing w:w="15" w:type="dxa"/>
        </w:trPr>
        <w:tc>
          <w:tcPr>
            <w:tcW w:w="400" w:type="pct"/>
            <w:tcBorders>
              <w:top w:val="nil"/>
              <w:left w:val="nil"/>
              <w:bottom w:val="nil"/>
              <w:right w:val="nil"/>
            </w:tcBorders>
            <w:tcMar>
              <w:top w:w="0" w:type="dxa"/>
              <w:left w:w="0" w:type="dxa"/>
              <w:bottom w:w="0" w:type="dxa"/>
              <w:right w:w="0" w:type="dxa"/>
            </w:tcMar>
            <w:vAlign w:val="center"/>
            <w:hideMark/>
          </w:tcPr>
          <w:p w14:paraId="31F515EF" w14:textId="77777777" w:rsidR="00EB4B1B" w:rsidRPr="00C6187A" w:rsidRDefault="00EB4B1B" w:rsidP="00EB4B1B">
            <w:pPr>
              <w:spacing w:before="0" w:after="0" w:line="270" w:lineRule="atLeast"/>
              <w:jc w:val="both"/>
              <w:rPr>
                <w:rFonts w:ascii="Arial" w:eastAsia="Times New Roman" w:hAnsi="Arial" w:cs="Arial"/>
                <w:color w:val="343536"/>
                <w:spacing w:val="2"/>
                <w:sz w:val="24"/>
                <w:szCs w:val="24"/>
                <w:lang w:eastAsia="es-CO"/>
              </w:rPr>
            </w:pPr>
            <w:r w:rsidRPr="00C6187A">
              <w:rPr>
                <w:rFonts w:ascii="Arial" w:eastAsia="Times New Roman" w:hAnsi="Arial" w:cs="Arial"/>
                <w:i/>
                <w:iCs/>
                <w:color w:val="343536"/>
                <w:spacing w:val="2"/>
                <w:sz w:val="24"/>
                <w:szCs w:val="24"/>
                <w:lang w:eastAsia="es-CO"/>
              </w:rPr>
              <w:t>Fact</w:t>
            </w:r>
            <w:r w:rsidRPr="00C6187A">
              <w:rPr>
                <w:rFonts w:ascii="Arial" w:eastAsia="Times New Roman" w:hAnsi="Arial" w:cs="Arial"/>
                <w:i/>
                <w:iCs/>
                <w:color w:val="343536"/>
                <w:spacing w:val="2"/>
                <w:sz w:val="24"/>
                <w:szCs w:val="24"/>
                <w:vertAlign w:val="subscript"/>
                <w:lang w:eastAsia="es-CO"/>
              </w:rPr>
              <w:t>j</w:t>
            </w:r>
            <w:r w:rsidRPr="00C6187A">
              <w:rPr>
                <w:rFonts w:ascii="Arial" w:eastAsia="Times New Roman" w:hAnsi="Arial" w:cs="Arial"/>
                <w:i/>
                <w:iCs/>
                <w:color w:val="343536"/>
                <w:spacing w:val="2"/>
                <w:sz w:val="24"/>
                <w:szCs w:val="24"/>
                <w:lang w:eastAsia="es-CO"/>
              </w:rPr>
              <w:t>:</w:t>
            </w:r>
          </w:p>
        </w:tc>
        <w:tc>
          <w:tcPr>
            <w:tcW w:w="4600" w:type="pct"/>
            <w:tcBorders>
              <w:top w:val="nil"/>
              <w:left w:val="nil"/>
              <w:bottom w:val="nil"/>
              <w:right w:val="nil"/>
            </w:tcBorders>
            <w:tcMar>
              <w:top w:w="0" w:type="dxa"/>
              <w:left w:w="0" w:type="dxa"/>
              <w:bottom w:w="0" w:type="dxa"/>
              <w:right w:w="0" w:type="dxa"/>
            </w:tcMar>
            <w:hideMark/>
          </w:tcPr>
          <w:p w14:paraId="22573FD4" w14:textId="396BD92F" w:rsidR="00EB4B1B" w:rsidRPr="00C6187A" w:rsidRDefault="00EB4B1B" w:rsidP="00FE0276">
            <w:pPr>
              <w:jc w:val="both"/>
              <w:rPr>
                <w:rFonts w:ascii="Arial" w:hAnsi="Arial" w:cs="Arial"/>
              </w:rPr>
            </w:pPr>
            <w:r w:rsidRPr="00C6187A">
              <w:rPr>
                <w:rFonts w:ascii="Arial" w:hAnsi="Arial" w:cs="Arial"/>
              </w:rPr>
              <w:t>Cantidad de facturas expedidas, en el año 2013, por el comercializador integrado al OR que sirve al mercado de comercialización j.</w:t>
            </w:r>
          </w:p>
        </w:tc>
      </w:tr>
    </w:tbl>
    <w:p w14:paraId="359D5A4E" w14:textId="51BED6B8" w:rsidR="00CA4D77" w:rsidRPr="00FE0276" w:rsidRDefault="00CA4D77" w:rsidP="00C00C77">
      <w:pPr>
        <w:pStyle w:val="Ttulo3"/>
        <w:numPr>
          <w:ilvl w:val="2"/>
          <w:numId w:val="15"/>
        </w:numPr>
      </w:pPr>
      <w:bookmarkStart w:id="5" w:name="_Toc165037317"/>
      <w:r w:rsidRPr="00FE0276">
        <w:t>Factor de eficiencia</w:t>
      </w:r>
      <w:bookmarkEnd w:id="5"/>
    </w:p>
    <w:p w14:paraId="6E010290" w14:textId="77777777" w:rsidR="00E1088E" w:rsidRDefault="00E1088E" w:rsidP="00E1088E">
      <w:pPr>
        <w:spacing w:before="0" w:after="0"/>
        <w:contextualSpacing/>
        <w:rPr>
          <w:rFonts w:ascii="Arial" w:hAnsi="Arial" w:cs="Arial"/>
        </w:rPr>
      </w:pPr>
    </w:p>
    <w:p w14:paraId="2D5174F4" w14:textId="7DFA6464" w:rsidR="00E64188" w:rsidRDefault="008B59E1" w:rsidP="007B7677">
      <w:pPr>
        <w:spacing w:before="0" w:after="0"/>
        <w:contextualSpacing/>
        <w:jc w:val="both"/>
        <w:rPr>
          <w:rFonts w:ascii="Arial" w:hAnsi="Arial" w:cs="Arial"/>
        </w:rPr>
      </w:pPr>
      <w:r w:rsidRPr="62F0DA1A">
        <w:rPr>
          <w:rFonts w:ascii="Arial" w:hAnsi="Arial" w:cs="Arial"/>
        </w:rPr>
        <w:t>En</w:t>
      </w:r>
      <w:r w:rsidRPr="4B8068AD">
        <w:rPr>
          <w:rFonts w:ascii="Arial" w:hAnsi="Arial" w:cs="Arial"/>
        </w:rPr>
        <w:t xml:space="preserve"> el artículo 6 de la Resolución CREG 180 del 2014 </w:t>
      </w:r>
      <w:r w:rsidRPr="03475CAA">
        <w:rPr>
          <w:rFonts w:ascii="Arial" w:hAnsi="Arial" w:cs="Arial"/>
        </w:rPr>
        <w:t xml:space="preserve">se indica </w:t>
      </w:r>
      <w:r w:rsidRPr="54CBBC58">
        <w:rPr>
          <w:rFonts w:ascii="Arial" w:hAnsi="Arial" w:cs="Arial"/>
        </w:rPr>
        <w:t>la forma</w:t>
      </w:r>
      <w:r w:rsidRPr="1425102E">
        <w:rPr>
          <w:rFonts w:ascii="Arial" w:hAnsi="Arial" w:cs="Arial"/>
        </w:rPr>
        <w:t xml:space="preserve"> </w:t>
      </w:r>
      <w:r w:rsidR="00CB3179">
        <w:rPr>
          <w:rFonts w:ascii="Arial" w:hAnsi="Arial" w:cs="Arial"/>
        </w:rPr>
        <w:t>en que se debe</w:t>
      </w:r>
      <w:r w:rsidR="00E64188">
        <w:rPr>
          <w:rFonts w:ascii="Arial" w:hAnsi="Arial" w:cs="Arial"/>
        </w:rPr>
        <w:t xml:space="preserve"> </w:t>
      </w:r>
      <w:r w:rsidRPr="1000056D">
        <w:rPr>
          <w:rFonts w:ascii="Arial" w:hAnsi="Arial" w:cs="Arial"/>
        </w:rPr>
        <w:t xml:space="preserve">evaluar la eficiencia </w:t>
      </w:r>
      <w:r w:rsidR="00E64188">
        <w:rPr>
          <w:rFonts w:ascii="Arial" w:hAnsi="Arial" w:cs="Arial"/>
        </w:rPr>
        <w:t>de</w:t>
      </w:r>
      <w:r w:rsidR="00FE022A">
        <w:rPr>
          <w:rFonts w:ascii="Arial" w:hAnsi="Arial" w:cs="Arial"/>
        </w:rPr>
        <w:t xml:space="preserve"> los costos </w:t>
      </w:r>
      <w:r w:rsidR="00E64188">
        <w:rPr>
          <w:rFonts w:ascii="Arial" w:hAnsi="Arial" w:cs="Arial"/>
        </w:rPr>
        <w:t>del comercializador</w:t>
      </w:r>
      <w:r w:rsidRPr="1000056D">
        <w:rPr>
          <w:rFonts w:ascii="Arial" w:hAnsi="Arial" w:cs="Arial"/>
        </w:rPr>
        <w:t xml:space="preserve"> con </w:t>
      </w:r>
      <w:r w:rsidR="00CB3179">
        <w:rPr>
          <w:rFonts w:ascii="Arial" w:hAnsi="Arial" w:cs="Arial"/>
        </w:rPr>
        <w:t>los</w:t>
      </w:r>
      <w:r w:rsidR="00E64188">
        <w:rPr>
          <w:rFonts w:ascii="Arial" w:hAnsi="Arial" w:cs="Arial"/>
        </w:rPr>
        <w:t xml:space="preserve"> cual</w:t>
      </w:r>
      <w:r w:rsidR="00CB3179">
        <w:rPr>
          <w:rFonts w:ascii="Arial" w:hAnsi="Arial" w:cs="Arial"/>
        </w:rPr>
        <w:t>es</w:t>
      </w:r>
      <w:r w:rsidR="00E64188">
        <w:rPr>
          <w:rFonts w:ascii="Arial" w:hAnsi="Arial" w:cs="Arial"/>
        </w:rPr>
        <w:t xml:space="preserve"> se calcula</w:t>
      </w:r>
      <w:r w:rsidRPr="1000056D">
        <w:rPr>
          <w:rFonts w:ascii="Arial" w:hAnsi="Arial" w:cs="Arial"/>
        </w:rPr>
        <w:t xml:space="preserve"> el costo base de comercialización</w:t>
      </w:r>
      <w:r w:rsidR="00D31DF2">
        <w:rPr>
          <w:rFonts w:ascii="Arial" w:hAnsi="Arial" w:cs="Arial"/>
        </w:rPr>
        <w:t xml:space="preserve">, </w:t>
      </w:r>
      <w:r w:rsidR="0048648F">
        <w:rPr>
          <w:rFonts w:ascii="Arial" w:hAnsi="Arial" w:cs="Arial"/>
        </w:rPr>
        <w:t>esto</w:t>
      </w:r>
      <w:r w:rsidR="00D31DF2">
        <w:rPr>
          <w:rFonts w:ascii="Arial" w:hAnsi="Arial" w:cs="Arial"/>
        </w:rPr>
        <w:t xml:space="preserve"> </w:t>
      </w:r>
      <w:r w:rsidR="00D31DF2" w:rsidRPr="3D1D14AA">
        <w:rPr>
          <w:rFonts w:ascii="Arial" w:hAnsi="Arial" w:cs="Arial"/>
        </w:rPr>
        <w:t>debido a que no</w:t>
      </w:r>
      <w:r w:rsidR="00D31DF2">
        <w:rPr>
          <w:rFonts w:ascii="Arial" w:hAnsi="Arial" w:cs="Arial"/>
        </w:rPr>
        <w:t xml:space="preserve"> se</w:t>
      </w:r>
      <w:r w:rsidR="00D31DF2" w:rsidRPr="3D1D14AA">
        <w:rPr>
          <w:rFonts w:ascii="Arial" w:hAnsi="Arial" w:cs="Arial"/>
        </w:rPr>
        <w:t xml:space="preserve"> reconoce</w:t>
      </w:r>
      <w:r w:rsidR="00D31DF2">
        <w:rPr>
          <w:rFonts w:ascii="Arial" w:hAnsi="Arial" w:cs="Arial"/>
        </w:rPr>
        <w:t>n</w:t>
      </w:r>
      <w:r w:rsidR="00D31DF2" w:rsidRPr="3D1D14AA">
        <w:rPr>
          <w:rFonts w:ascii="Arial" w:hAnsi="Arial" w:cs="Arial"/>
        </w:rPr>
        <w:t xml:space="preserve"> </w:t>
      </w:r>
      <w:r w:rsidR="00F44743">
        <w:rPr>
          <w:rFonts w:ascii="Arial" w:hAnsi="Arial" w:cs="Arial"/>
        </w:rPr>
        <w:t xml:space="preserve">dentro de la remuneración </w:t>
      </w:r>
      <w:r w:rsidR="00D31DF2" w:rsidRPr="3D1D14AA">
        <w:rPr>
          <w:rFonts w:ascii="Arial" w:hAnsi="Arial" w:cs="Arial"/>
        </w:rPr>
        <w:t xml:space="preserve">sobrecostos asociados a </w:t>
      </w:r>
      <w:r w:rsidR="00F44743">
        <w:rPr>
          <w:rFonts w:ascii="Arial" w:hAnsi="Arial" w:cs="Arial"/>
        </w:rPr>
        <w:t>una</w:t>
      </w:r>
      <w:r w:rsidR="00D31DF2" w:rsidRPr="3D1D14AA">
        <w:rPr>
          <w:rFonts w:ascii="Arial" w:hAnsi="Arial" w:cs="Arial"/>
        </w:rPr>
        <w:t xml:space="preserve"> gestión ineficiente del comercializador</w:t>
      </w:r>
    </w:p>
    <w:p w14:paraId="14026665" w14:textId="77777777" w:rsidR="00E64188" w:rsidRDefault="00E64188" w:rsidP="007B7677">
      <w:pPr>
        <w:spacing w:before="0" w:after="0"/>
        <w:contextualSpacing/>
        <w:jc w:val="both"/>
        <w:rPr>
          <w:rFonts w:ascii="Arial" w:hAnsi="Arial" w:cs="Arial"/>
        </w:rPr>
      </w:pPr>
    </w:p>
    <w:p w14:paraId="5D3BC7B0" w14:textId="251867F1" w:rsidR="004C348E" w:rsidRDefault="00DE58E6" w:rsidP="007B7677">
      <w:pPr>
        <w:spacing w:before="0" w:after="0"/>
        <w:contextualSpacing/>
        <w:jc w:val="both"/>
        <w:rPr>
          <w:rFonts w:ascii="Arial" w:hAnsi="Arial" w:cs="Arial"/>
        </w:rPr>
      </w:pPr>
      <w:r>
        <w:rPr>
          <w:rFonts w:ascii="Arial" w:hAnsi="Arial" w:cs="Arial"/>
        </w:rPr>
        <w:t>Para esto se</w:t>
      </w:r>
      <w:r w:rsidR="008B59E1" w:rsidRPr="00115F4D">
        <w:rPr>
          <w:rFonts w:ascii="Arial" w:hAnsi="Arial" w:cs="Arial"/>
        </w:rPr>
        <w:t xml:space="preserve"> utiliza </w:t>
      </w:r>
      <w:r w:rsidR="008B59E1" w:rsidRPr="59BDBD45">
        <w:rPr>
          <w:rFonts w:ascii="Arial" w:hAnsi="Arial" w:cs="Arial"/>
        </w:rPr>
        <w:t>un</w:t>
      </w:r>
      <w:r>
        <w:rPr>
          <w:rFonts w:ascii="Arial" w:hAnsi="Arial" w:cs="Arial"/>
        </w:rPr>
        <w:t xml:space="preserve"> modelo de</w:t>
      </w:r>
      <w:r w:rsidR="008B59E1" w:rsidRPr="00115F4D">
        <w:rPr>
          <w:rFonts w:ascii="Arial" w:hAnsi="Arial" w:cs="Arial"/>
        </w:rPr>
        <w:t xml:space="preserve"> frontera estocástica </w:t>
      </w:r>
      <w:r w:rsidR="004C348E" w:rsidRPr="00BA2DF0">
        <w:rPr>
          <w:rFonts w:ascii="Arial" w:hAnsi="Arial" w:cs="Arial"/>
        </w:rPr>
        <w:t xml:space="preserve">(SFA por sus siglas en inglés) </w:t>
      </w:r>
      <w:r w:rsidR="005867B2" w:rsidRPr="00BA2DF0">
        <w:rPr>
          <w:rFonts w:ascii="Arial" w:hAnsi="Arial" w:cs="Arial"/>
        </w:rPr>
        <w:t xml:space="preserve">el cual </w:t>
      </w:r>
      <w:r w:rsidR="004C348E" w:rsidRPr="00BA2DF0">
        <w:rPr>
          <w:rFonts w:ascii="Arial" w:hAnsi="Arial" w:cs="Arial"/>
        </w:rPr>
        <w:t xml:space="preserve">requiere de una función de producción en la cual los ponderadores se encuentran mediante </w:t>
      </w:r>
      <w:r w:rsidR="004C348E" w:rsidRPr="00BA2DF0">
        <w:rPr>
          <w:rFonts w:ascii="Arial" w:hAnsi="Arial" w:cs="Arial"/>
        </w:rPr>
        <w:lastRenderedPageBreak/>
        <w:t>el método de máxima verosimilitud y que ajustan una variable dependiente a un conjunto de variables independientes explicativas.</w:t>
      </w:r>
    </w:p>
    <w:p w14:paraId="1CBCF54F" w14:textId="77777777" w:rsidR="004C348E" w:rsidRDefault="004C348E" w:rsidP="007B7677">
      <w:pPr>
        <w:spacing w:before="0" w:after="0"/>
        <w:contextualSpacing/>
        <w:jc w:val="both"/>
        <w:rPr>
          <w:rFonts w:ascii="Arial" w:hAnsi="Arial" w:cs="Arial"/>
        </w:rPr>
      </w:pPr>
    </w:p>
    <w:p w14:paraId="7E5BD7C2" w14:textId="426759AC" w:rsidR="002D5931" w:rsidRPr="002D5931" w:rsidRDefault="00BA2DF0" w:rsidP="007B7677">
      <w:pPr>
        <w:spacing w:before="0" w:after="0"/>
        <w:contextualSpacing/>
        <w:jc w:val="both"/>
        <w:rPr>
          <w:rFonts w:ascii="Arial" w:hAnsi="Arial" w:cs="Arial"/>
        </w:rPr>
      </w:pPr>
      <w:r>
        <w:rPr>
          <w:rFonts w:ascii="Arial" w:hAnsi="Arial" w:cs="Arial"/>
        </w:rPr>
        <w:t xml:space="preserve">En este modelo se </w:t>
      </w:r>
      <w:r w:rsidR="007B7677">
        <w:rPr>
          <w:rFonts w:ascii="Arial" w:hAnsi="Arial" w:cs="Arial"/>
        </w:rPr>
        <w:t>considera</w:t>
      </w:r>
      <w:r>
        <w:rPr>
          <w:rFonts w:ascii="Arial" w:hAnsi="Arial" w:cs="Arial"/>
        </w:rPr>
        <w:t>ron</w:t>
      </w:r>
      <w:r w:rsidR="007B7677">
        <w:rPr>
          <w:rFonts w:ascii="Arial" w:hAnsi="Arial" w:cs="Arial"/>
        </w:rPr>
        <w:t xml:space="preserve"> </w:t>
      </w:r>
      <w:r w:rsidR="00E4176F">
        <w:rPr>
          <w:rFonts w:ascii="Arial" w:hAnsi="Arial" w:cs="Arial"/>
        </w:rPr>
        <w:t>var</w:t>
      </w:r>
      <w:r w:rsidR="00AF17EA">
        <w:rPr>
          <w:rFonts w:ascii="Arial" w:hAnsi="Arial" w:cs="Arial"/>
        </w:rPr>
        <w:t>iables</w:t>
      </w:r>
      <w:r w:rsidR="00036ADF">
        <w:rPr>
          <w:rFonts w:ascii="Arial" w:hAnsi="Arial" w:cs="Arial"/>
        </w:rPr>
        <w:t xml:space="preserve"> </w:t>
      </w:r>
      <w:r w:rsidR="00B07A37">
        <w:rPr>
          <w:rFonts w:ascii="Arial" w:hAnsi="Arial" w:cs="Arial"/>
        </w:rPr>
        <w:t xml:space="preserve">explicativas </w:t>
      </w:r>
      <w:r w:rsidR="00C32AB1">
        <w:rPr>
          <w:rFonts w:ascii="Arial" w:hAnsi="Arial" w:cs="Arial"/>
        </w:rPr>
        <w:t>de</w:t>
      </w:r>
      <w:r w:rsidR="00BD0B4B">
        <w:rPr>
          <w:rFonts w:ascii="Arial" w:hAnsi="Arial" w:cs="Arial"/>
        </w:rPr>
        <w:t xml:space="preserve"> tamaño </w:t>
      </w:r>
      <w:r w:rsidR="0075570A">
        <w:rPr>
          <w:rFonts w:ascii="Arial" w:hAnsi="Arial" w:cs="Arial"/>
        </w:rPr>
        <w:t>físico y económico</w:t>
      </w:r>
      <w:r w:rsidR="00BD0B4B">
        <w:rPr>
          <w:rFonts w:ascii="Arial" w:hAnsi="Arial" w:cs="Arial"/>
        </w:rPr>
        <w:t xml:space="preserve"> </w:t>
      </w:r>
      <w:r w:rsidR="00B07A37">
        <w:rPr>
          <w:rFonts w:ascii="Arial" w:hAnsi="Arial" w:cs="Arial"/>
        </w:rPr>
        <w:t>como son los</w:t>
      </w:r>
      <w:r w:rsidR="00CE0CDA">
        <w:rPr>
          <w:rFonts w:ascii="Arial" w:hAnsi="Arial" w:cs="Arial"/>
        </w:rPr>
        <w:t xml:space="preserve"> usuarios totales</w:t>
      </w:r>
      <w:r w:rsidR="00E1088E">
        <w:rPr>
          <w:rFonts w:ascii="Arial" w:hAnsi="Arial" w:cs="Arial"/>
        </w:rPr>
        <w:t xml:space="preserve">, </w:t>
      </w:r>
      <w:r w:rsidR="00E1674F">
        <w:rPr>
          <w:rFonts w:ascii="Arial" w:hAnsi="Arial" w:cs="Arial"/>
        </w:rPr>
        <w:t>r</w:t>
      </w:r>
      <w:r w:rsidR="002D5931" w:rsidRPr="002D5931">
        <w:rPr>
          <w:rFonts w:ascii="Arial" w:hAnsi="Arial" w:cs="Arial"/>
        </w:rPr>
        <w:t>ed rural / usuarios rurales</w:t>
      </w:r>
      <w:r w:rsidR="00606565" w:rsidRPr="007B7677">
        <w:rPr>
          <w:rFonts w:ascii="Arial" w:hAnsi="Arial" w:cs="Arial"/>
        </w:rPr>
        <w:t>, r</w:t>
      </w:r>
      <w:r w:rsidR="002D5931" w:rsidRPr="002D5931">
        <w:rPr>
          <w:rFonts w:ascii="Arial" w:hAnsi="Arial" w:cs="Arial"/>
        </w:rPr>
        <w:t>ed urbana / usuarios urbanos</w:t>
      </w:r>
      <w:r w:rsidR="00606565" w:rsidRPr="007B7677">
        <w:rPr>
          <w:rFonts w:ascii="Arial" w:hAnsi="Arial" w:cs="Arial"/>
        </w:rPr>
        <w:t>, f</w:t>
      </w:r>
      <w:r w:rsidR="002D5931" w:rsidRPr="002D5931">
        <w:rPr>
          <w:rFonts w:ascii="Arial" w:hAnsi="Arial" w:cs="Arial"/>
        </w:rPr>
        <w:t>acturación total</w:t>
      </w:r>
      <w:r w:rsidR="00C32AB1">
        <w:rPr>
          <w:rFonts w:ascii="Arial" w:hAnsi="Arial" w:cs="Arial"/>
        </w:rPr>
        <w:t xml:space="preserve"> y gastos </w:t>
      </w:r>
      <w:r w:rsidR="0001255F">
        <w:rPr>
          <w:rFonts w:ascii="Arial" w:hAnsi="Arial" w:cs="Arial"/>
        </w:rPr>
        <w:t xml:space="preserve">de </w:t>
      </w:r>
      <w:r w:rsidR="007E54A2">
        <w:rPr>
          <w:rFonts w:ascii="Arial" w:hAnsi="Arial" w:cs="Arial"/>
        </w:rPr>
        <w:t>la actividad</w:t>
      </w:r>
      <w:r w:rsidR="00680DB0">
        <w:rPr>
          <w:rFonts w:ascii="Arial" w:hAnsi="Arial" w:cs="Arial"/>
        </w:rPr>
        <w:t>.</w:t>
      </w:r>
    </w:p>
    <w:p w14:paraId="468867CE" w14:textId="2F4018DB" w:rsidR="00C824BF" w:rsidRPr="00C824BF" w:rsidRDefault="00C824BF" w:rsidP="004F2ED9">
      <w:pPr>
        <w:jc w:val="both"/>
        <w:rPr>
          <w:rFonts w:ascii="Arial" w:hAnsi="Arial" w:cs="Arial"/>
        </w:rPr>
      </w:pPr>
      <w:r w:rsidRPr="004F2ED9">
        <w:rPr>
          <w:rFonts w:ascii="Arial" w:hAnsi="Arial" w:cs="Arial"/>
        </w:rPr>
        <w:t xml:space="preserve">Es de anotar que </w:t>
      </w:r>
      <w:r w:rsidR="008B0BE7">
        <w:rPr>
          <w:rFonts w:ascii="Arial" w:hAnsi="Arial" w:cs="Arial"/>
        </w:rPr>
        <w:t>la metodología vigente prev</w:t>
      </w:r>
      <w:r w:rsidR="000C34F9">
        <w:rPr>
          <w:rFonts w:ascii="Arial" w:hAnsi="Arial" w:cs="Arial"/>
        </w:rPr>
        <w:t>eí</w:t>
      </w:r>
      <w:r w:rsidR="008B0BE7">
        <w:rPr>
          <w:rFonts w:ascii="Arial" w:hAnsi="Arial" w:cs="Arial"/>
        </w:rPr>
        <w:t>a</w:t>
      </w:r>
      <w:r w:rsidR="00B37309">
        <w:rPr>
          <w:rFonts w:ascii="Arial" w:hAnsi="Arial" w:cs="Arial"/>
        </w:rPr>
        <w:t>,</w:t>
      </w:r>
      <w:r w:rsidR="008B0BE7">
        <w:rPr>
          <w:rFonts w:ascii="Arial" w:hAnsi="Arial" w:cs="Arial"/>
        </w:rPr>
        <w:t xml:space="preserve"> </w:t>
      </w:r>
      <w:r w:rsidRPr="004F2ED9">
        <w:rPr>
          <w:rFonts w:ascii="Arial" w:hAnsi="Arial" w:cs="Arial"/>
        </w:rPr>
        <w:t>p</w:t>
      </w:r>
      <w:r w:rsidRPr="00C824BF">
        <w:rPr>
          <w:rFonts w:ascii="Arial" w:hAnsi="Arial" w:cs="Arial"/>
        </w:rPr>
        <w:t xml:space="preserve">ara los mercados de comercialización </w:t>
      </w:r>
      <w:r w:rsidR="008B0BE7">
        <w:rPr>
          <w:rFonts w:ascii="Arial" w:hAnsi="Arial" w:cs="Arial"/>
        </w:rPr>
        <w:t>que obtuvieran</w:t>
      </w:r>
      <w:r w:rsidRPr="00C824BF">
        <w:rPr>
          <w:rFonts w:ascii="Arial" w:hAnsi="Arial" w:cs="Arial"/>
        </w:rPr>
        <w:t xml:space="preserve"> un factor de eficiencia inferior al 94%, </w:t>
      </w:r>
      <w:r w:rsidR="00B37309">
        <w:rPr>
          <w:rFonts w:ascii="Arial" w:hAnsi="Arial" w:cs="Arial"/>
        </w:rPr>
        <w:t xml:space="preserve">que </w:t>
      </w:r>
      <w:r w:rsidRPr="004F2ED9">
        <w:rPr>
          <w:rFonts w:ascii="Arial" w:hAnsi="Arial" w:cs="Arial"/>
        </w:rPr>
        <w:t>e</w:t>
      </w:r>
      <w:r w:rsidRPr="00C824BF">
        <w:rPr>
          <w:rFonts w:ascii="Arial" w:hAnsi="Arial" w:cs="Arial"/>
        </w:rPr>
        <w:t xml:space="preserve">l factor a aplicar </w:t>
      </w:r>
      <w:r w:rsidR="008B0BE7">
        <w:rPr>
          <w:rFonts w:ascii="Arial" w:hAnsi="Arial" w:cs="Arial"/>
        </w:rPr>
        <w:t xml:space="preserve">en </w:t>
      </w:r>
      <w:r w:rsidR="004B7185">
        <w:rPr>
          <w:rFonts w:ascii="Arial" w:hAnsi="Arial" w:cs="Arial"/>
        </w:rPr>
        <w:t>primer</w:t>
      </w:r>
      <w:r w:rsidRPr="00C824BF">
        <w:rPr>
          <w:rFonts w:ascii="Arial" w:hAnsi="Arial" w:cs="Arial"/>
        </w:rPr>
        <w:t xml:space="preserve"> año calendario de aprobación del costo base de comercialización</w:t>
      </w:r>
      <w:r w:rsidR="008B0BE7">
        <w:rPr>
          <w:rFonts w:ascii="Arial" w:hAnsi="Arial" w:cs="Arial"/>
        </w:rPr>
        <w:t xml:space="preserve"> </w:t>
      </w:r>
      <w:r w:rsidRPr="00C824BF">
        <w:rPr>
          <w:rFonts w:ascii="Arial" w:hAnsi="Arial" w:cs="Arial"/>
        </w:rPr>
        <w:t>corresponder</w:t>
      </w:r>
      <w:r w:rsidR="004B7185">
        <w:rPr>
          <w:rFonts w:ascii="Arial" w:hAnsi="Arial" w:cs="Arial"/>
        </w:rPr>
        <w:t>ía</w:t>
      </w:r>
      <w:r w:rsidRPr="00C824BF">
        <w:rPr>
          <w:rFonts w:ascii="Arial" w:hAnsi="Arial" w:cs="Arial"/>
        </w:rPr>
        <w:t xml:space="preserve"> al 94 %</w:t>
      </w:r>
      <w:r w:rsidR="00AA7791" w:rsidRPr="004F2ED9">
        <w:rPr>
          <w:rFonts w:ascii="Arial" w:hAnsi="Arial" w:cs="Arial"/>
        </w:rPr>
        <w:t xml:space="preserve"> </w:t>
      </w:r>
      <w:r w:rsidR="008B0BE7">
        <w:rPr>
          <w:rFonts w:ascii="Arial" w:hAnsi="Arial" w:cs="Arial"/>
        </w:rPr>
        <w:t>y p</w:t>
      </w:r>
      <w:r w:rsidRPr="00C824BF">
        <w:rPr>
          <w:rFonts w:ascii="Arial" w:hAnsi="Arial" w:cs="Arial"/>
        </w:rPr>
        <w:t xml:space="preserve">ara los 4 años siguientes se reducirá en un porcentaje anual equivalente la diferencia entre el 94 % y el valor </w:t>
      </w:r>
      <w:r w:rsidR="00D85AB1">
        <w:rPr>
          <w:rFonts w:ascii="Arial" w:hAnsi="Arial" w:cs="Arial"/>
        </w:rPr>
        <w:t>real de eficiencia</w:t>
      </w:r>
      <w:r w:rsidR="004B7185">
        <w:rPr>
          <w:rFonts w:ascii="Arial" w:hAnsi="Arial" w:cs="Arial"/>
        </w:rPr>
        <w:t xml:space="preserve"> </w:t>
      </w:r>
      <w:r w:rsidRPr="00C824BF">
        <w:rPr>
          <w:rFonts w:ascii="Arial" w:hAnsi="Arial" w:cs="Arial"/>
        </w:rPr>
        <w:t>divido por 4.</w:t>
      </w:r>
    </w:p>
    <w:p w14:paraId="11068DB3" w14:textId="77777777" w:rsidR="00C376D2" w:rsidRPr="00C824BF" w:rsidRDefault="00C376D2" w:rsidP="008C7D10">
      <w:pPr>
        <w:spacing w:before="0" w:after="0"/>
        <w:jc w:val="both"/>
        <w:rPr>
          <w:rFonts w:ascii="Arial" w:hAnsi="Arial" w:cs="Arial"/>
        </w:rPr>
      </w:pPr>
    </w:p>
    <w:p w14:paraId="3BCBB66A" w14:textId="77777777" w:rsidR="00416EB1" w:rsidRDefault="00416EB1" w:rsidP="00C00C77">
      <w:pPr>
        <w:pStyle w:val="Ttulo2"/>
        <w:numPr>
          <w:ilvl w:val="1"/>
          <w:numId w:val="15"/>
        </w:numPr>
      </w:pPr>
      <w:bookmarkStart w:id="6" w:name="_Toc165037318"/>
      <w:r w:rsidRPr="00416EB1">
        <w:t>Componente variable del costo de comercialización</w:t>
      </w:r>
      <w:bookmarkEnd w:id="6"/>
    </w:p>
    <w:p w14:paraId="1117A710" w14:textId="7B0D3DF6" w:rsidR="008C7D10" w:rsidRPr="002922BC" w:rsidRDefault="008C7D10" w:rsidP="000D705F">
      <w:pPr>
        <w:jc w:val="both"/>
        <w:rPr>
          <w:rFonts w:ascii="Arial" w:hAnsi="Arial" w:cs="Arial"/>
        </w:rPr>
      </w:pPr>
      <w:r w:rsidRPr="002922BC">
        <w:rPr>
          <w:rFonts w:ascii="Arial" w:hAnsi="Arial" w:cs="Arial"/>
        </w:rPr>
        <w:t>En este numeral se des</w:t>
      </w:r>
      <w:r w:rsidR="00FA1551" w:rsidRPr="002922BC">
        <w:rPr>
          <w:rFonts w:ascii="Arial" w:hAnsi="Arial" w:cs="Arial"/>
        </w:rPr>
        <w:t>cribe la remuneración de los costos variables de la actividad de comercialización a usuarios re</w:t>
      </w:r>
      <w:r w:rsidR="00F963FB">
        <w:rPr>
          <w:rFonts w:ascii="Arial" w:hAnsi="Arial" w:cs="Arial"/>
        </w:rPr>
        <w:t>gulados</w:t>
      </w:r>
      <w:r w:rsidR="00D36B2D">
        <w:rPr>
          <w:rFonts w:ascii="Arial" w:hAnsi="Arial" w:cs="Arial"/>
        </w:rPr>
        <w:t>.</w:t>
      </w:r>
      <w:r w:rsidR="00F963FB">
        <w:rPr>
          <w:rFonts w:ascii="Arial" w:hAnsi="Arial" w:cs="Arial"/>
        </w:rPr>
        <w:t xml:space="preserve"> </w:t>
      </w:r>
    </w:p>
    <w:p w14:paraId="4DEA255C" w14:textId="4C9E9515" w:rsidR="00784CC8" w:rsidRDefault="00784CC8" w:rsidP="00C00C77">
      <w:pPr>
        <w:pStyle w:val="Ttulo3"/>
        <w:numPr>
          <w:ilvl w:val="2"/>
          <w:numId w:val="15"/>
        </w:numPr>
      </w:pPr>
      <w:bookmarkStart w:id="7" w:name="_Toc165037319"/>
      <w:r w:rsidRPr="00A87DB3">
        <w:t>Margen operacional</w:t>
      </w:r>
      <w:bookmarkEnd w:id="7"/>
    </w:p>
    <w:p w14:paraId="76C2F50E" w14:textId="49030788" w:rsidR="0035000D" w:rsidRPr="00115F4D" w:rsidRDefault="0035000D" w:rsidP="0035000D">
      <w:pPr>
        <w:jc w:val="both"/>
        <w:rPr>
          <w:rFonts w:ascii="Arial" w:hAnsi="Arial" w:cs="Arial"/>
        </w:rPr>
      </w:pPr>
      <w:r>
        <w:rPr>
          <w:rFonts w:ascii="Arial" w:hAnsi="Arial" w:cs="Arial"/>
        </w:rPr>
        <w:t>D</w:t>
      </w:r>
      <w:r w:rsidRPr="00115F4D">
        <w:rPr>
          <w:rFonts w:ascii="Arial" w:hAnsi="Arial" w:cs="Arial"/>
        </w:rPr>
        <w:t>e acuerdo con lo establecido en el artículo 87</w:t>
      </w:r>
      <w:r w:rsidR="00AB7E9A">
        <w:rPr>
          <w:rFonts w:ascii="Arial" w:hAnsi="Arial" w:cs="Arial"/>
        </w:rPr>
        <w:t>.</w:t>
      </w:r>
      <w:r w:rsidRPr="00115F4D">
        <w:rPr>
          <w:rFonts w:ascii="Arial" w:hAnsi="Arial" w:cs="Arial"/>
        </w:rPr>
        <w:t>4 de la Ley 142 de 1994</w:t>
      </w:r>
      <w:r>
        <w:rPr>
          <w:rFonts w:ascii="Arial" w:hAnsi="Arial" w:cs="Arial"/>
        </w:rPr>
        <w:t>, p</w:t>
      </w:r>
      <w:r w:rsidRPr="00115F4D">
        <w:rPr>
          <w:rFonts w:ascii="Arial" w:hAnsi="Arial" w:cs="Arial"/>
        </w:rPr>
        <w:t>ara establecer el margen que remunera la actividad de comercialización se emplea como referencia una actividad económica con características similares y que enfrenten riesgos comparables</w:t>
      </w:r>
      <w:r>
        <w:rPr>
          <w:rFonts w:ascii="Arial" w:hAnsi="Arial" w:cs="Arial"/>
        </w:rPr>
        <w:t>, como lo establece el artículo mencionado:</w:t>
      </w:r>
    </w:p>
    <w:p w14:paraId="303FFFD7" w14:textId="77777777" w:rsidR="0035000D" w:rsidRPr="00115F4D" w:rsidRDefault="0035000D" w:rsidP="0035000D">
      <w:pPr>
        <w:ind w:left="851"/>
        <w:jc w:val="both"/>
        <w:rPr>
          <w:rFonts w:ascii="Arial" w:hAnsi="Arial" w:cs="Arial"/>
          <w:i/>
          <w:iCs/>
        </w:rPr>
      </w:pPr>
      <w:r w:rsidRPr="00115F4D">
        <w:rPr>
          <w:rFonts w:ascii="Arial" w:hAnsi="Arial" w:cs="Arial"/>
          <w:i/>
          <w:iCs/>
        </w:rPr>
        <w:t>“Por suficiencia financiera se 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utilizar las tecnologías y sistemas administrativos que garanticen la mejor calidad, continuidad y seguridad a sus usuarios.”</w:t>
      </w:r>
    </w:p>
    <w:p w14:paraId="2246A85C" w14:textId="77777777" w:rsidR="0035000D" w:rsidRPr="00115F4D" w:rsidRDefault="0035000D" w:rsidP="0035000D">
      <w:pPr>
        <w:jc w:val="both"/>
        <w:rPr>
          <w:rFonts w:ascii="Arial" w:hAnsi="Arial" w:cs="Arial"/>
        </w:rPr>
      </w:pPr>
      <w:r w:rsidRPr="00115F4D">
        <w:rPr>
          <w:rFonts w:ascii="Arial" w:hAnsi="Arial" w:cs="Arial"/>
        </w:rPr>
        <w:t>La metodología adoptada por resolución CREG 180 de 2014, reconoció la actividad de comercialización de energía eléctrica como un negocio esencialmente de intermediación económica, similar a la comercialización de bienes y servicios que se producen en otros sectores de la economía. Adicionalmente, la comercialización de energía eléctrica es una actividad poco intensiva en activos fijos que tiene como objetivo suministrar electricidad a los usuarios finales del servicio, para lo cual quienes la desarrollan deben, entre otros, comprar energía en el mercado mayorista, pagar por el uso de las redes de transmisión y distribución, facturar y recaudar los cargos por los consumos de los usuarios, gestionar la cartera, suspender, cortar, reconectar, reinstalar el servicio cuando haya lugar, y atender las peticiones, quejas y recursos de los usuarios.</w:t>
      </w:r>
    </w:p>
    <w:p w14:paraId="0BB58F51" w14:textId="77777777" w:rsidR="0035000D" w:rsidRPr="00115F4D" w:rsidRDefault="0035000D" w:rsidP="0035000D">
      <w:pPr>
        <w:jc w:val="both"/>
        <w:rPr>
          <w:rFonts w:ascii="Arial" w:hAnsi="Arial" w:cs="Arial"/>
        </w:rPr>
      </w:pPr>
      <w:r w:rsidRPr="00115F4D">
        <w:rPr>
          <w:rFonts w:ascii="Arial" w:hAnsi="Arial" w:cs="Arial"/>
        </w:rPr>
        <w:t>Al considerarse la comercialización de energía eléctrica como una actividad poco intensiva en activos fijos, se utiliza el margen operacional como referencia para establecer la rentabilidad para el comercializador, de acuerdo con la siguiente expresión.</w:t>
      </w:r>
    </w:p>
    <w:p w14:paraId="4F47CB40" w14:textId="77777777" w:rsidR="0035000D" w:rsidRPr="00115F4D" w:rsidRDefault="0035000D" w:rsidP="0035000D">
      <w:pPr>
        <w:ind w:left="360"/>
        <w:jc w:val="both"/>
        <w:rPr>
          <w:rFonts w:asciiTheme="majorHAnsi" w:hAnsiTheme="majorHAnsi" w:cstheme="majorHAnsi"/>
          <w:sz w:val="20"/>
          <w:szCs w:val="20"/>
        </w:rPr>
      </w:pPr>
      <m:oMathPara>
        <m:oMath>
          <m:r>
            <w:rPr>
              <w:rFonts w:ascii="Cambria Math" w:hAnsi="Cambria Math" w:cstheme="majorHAnsi"/>
              <w:sz w:val="20"/>
              <w:szCs w:val="20"/>
            </w:rPr>
            <m:t>Margen Operacional=</m:t>
          </m:r>
          <m:f>
            <m:fPr>
              <m:ctrlPr>
                <w:rPr>
                  <w:rFonts w:ascii="Cambria Math" w:hAnsi="Cambria Math" w:cstheme="majorHAnsi"/>
                  <w:i/>
                  <w:iCs/>
                  <w:sz w:val="20"/>
                  <w:szCs w:val="20"/>
                </w:rPr>
              </m:ctrlPr>
            </m:fPr>
            <m:num>
              <m:r>
                <w:rPr>
                  <w:rFonts w:ascii="Cambria Math" w:hAnsi="Cambria Math" w:cstheme="majorHAnsi"/>
                  <w:sz w:val="20"/>
                  <w:szCs w:val="20"/>
                </w:rPr>
                <m:t>Utilidad Operacional</m:t>
              </m:r>
            </m:num>
            <m:den>
              <m:r>
                <w:rPr>
                  <w:rFonts w:ascii="Cambria Math" w:hAnsi="Cambria Math" w:cstheme="majorHAnsi"/>
                  <w:sz w:val="20"/>
                  <w:szCs w:val="20"/>
                </w:rPr>
                <m:t>Ingresos Operacionales</m:t>
              </m:r>
            </m:den>
          </m:f>
        </m:oMath>
      </m:oMathPara>
    </w:p>
    <w:p w14:paraId="104D3244" w14:textId="77777777" w:rsidR="0035000D" w:rsidRPr="00115F4D" w:rsidRDefault="0035000D" w:rsidP="0035000D">
      <w:pPr>
        <w:jc w:val="both"/>
        <w:rPr>
          <w:rFonts w:ascii="Arial" w:hAnsi="Arial" w:cs="Arial"/>
        </w:rPr>
      </w:pPr>
      <w:r w:rsidRPr="00115F4D">
        <w:rPr>
          <w:rFonts w:ascii="Arial" w:hAnsi="Arial" w:cs="Arial"/>
        </w:rPr>
        <w:t xml:space="preserve">De esta manera y al no contar con información histórica desagregada para las empresas de comercialización de energía eléctrica en el país, la metodología buscó identificar sectores con </w:t>
      </w:r>
      <w:r w:rsidRPr="00115F4D">
        <w:rPr>
          <w:rFonts w:ascii="Arial" w:hAnsi="Arial" w:cs="Arial"/>
        </w:rPr>
        <w:lastRenderedPageBreak/>
        <w:t>características similares y que enfrenten riesgos comparables para estimar el margen a ser remunerado, de acuerdo con lo establecido en el artículo 87.4 de la Ley 142 de 1994.</w:t>
      </w:r>
    </w:p>
    <w:p w14:paraId="7C8E1046" w14:textId="77777777" w:rsidR="0035000D" w:rsidRPr="00115F4D" w:rsidRDefault="0035000D" w:rsidP="0035000D">
      <w:pPr>
        <w:rPr>
          <w:rFonts w:ascii="Arial" w:hAnsi="Arial" w:cs="Arial"/>
        </w:rPr>
      </w:pPr>
      <w:r w:rsidRPr="00115F4D">
        <w:rPr>
          <w:rFonts w:ascii="Arial" w:hAnsi="Arial" w:cs="Arial"/>
        </w:rPr>
        <w:t>Los sectores escogidos mediante técnicas de agrupamiento fueron:</w:t>
      </w:r>
    </w:p>
    <w:p w14:paraId="711348C2" w14:textId="77777777" w:rsidR="0035000D" w:rsidRPr="00115F4D" w:rsidRDefault="0035000D" w:rsidP="00E51165">
      <w:pPr>
        <w:pStyle w:val="Prrafodelista"/>
        <w:numPr>
          <w:ilvl w:val="0"/>
          <w:numId w:val="2"/>
        </w:numPr>
        <w:rPr>
          <w:rFonts w:ascii="Arial" w:hAnsi="Arial" w:cs="Arial"/>
        </w:rPr>
      </w:pPr>
      <w:r w:rsidRPr="00115F4D">
        <w:rPr>
          <w:rFonts w:ascii="Arial" w:hAnsi="Arial" w:cs="Arial"/>
        </w:rPr>
        <w:t>G5151: Comercio al por mayor de combustibles sólidos, líquidos y gaseosos y productos conexos.</w:t>
      </w:r>
    </w:p>
    <w:p w14:paraId="0BDB3A15" w14:textId="77777777" w:rsidR="0035000D" w:rsidRPr="00115F4D" w:rsidRDefault="0035000D" w:rsidP="00E51165">
      <w:pPr>
        <w:pStyle w:val="Prrafodelista"/>
        <w:numPr>
          <w:ilvl w:val="0"/>
          <w:numId w:val="2"/>
        </w:numPr>
        <w:rPr>
          <w:rFonts w:ascii="Arial" w:hAnsi="Arial" w:cs="Arial"/>
        </w:rPr>
      </w:pPr>
      <w:r w:rsidRPr="00115F4D">
        <w:rPr>
          <w:rFonts w:ascii="Arial" w:hAnsi="Arial" w:cs="Arial"/>
        </w:rPr>
        <w:t>G5219: Comercio al por menor de productos diferentes de alimentos (víveres en general), bebidas y tabaco en establecimientos no especializados.</w:t>
      </w:r>
    </w:p>
    <w:p w14:paraId="7EFA3DBA" w14:textId="3F99F099" w:rsidR="00163725" w:rsidRDefault="00A2755B" w:rsidP="0035000D">
      <w:pPr>
        <w:jc w:val="both"/>
        <w:rPr>
          <w:rFonts w:ascii="Arial" w:hAnsi="Arial" w:cs="Arial"/>
        </w:rPr>
      </w:pPr>
      <w:r w:rsidRPr="00A2755B">
        <w:rPr>
          <w:rFonts w:ascii="Arial" w:hAnsi="Arial" w:cs="Arial"/>
        </w:rPr>
        <w:t>El margen operacional de la actividad de comercialización de energía eléctrica a usuarios regulados, </w:t>
      </w:r>
      <w:r w:rsidRPr="007432D7">
        <w:rPr>
          <w:rFonts w:ascii="Arial" w:hAnsi="Arial" w:cs="Arial"/>
          <w:i/>
        </w:rPr>
        <w:t>mo</w:t>
      </w:r>
      <w:r w:rsidRPr="00A2755B">
        <w:rPr>
          <w:rFonts w:ascii="Arial" w:hAnsi="Arial" w:cs="Arial"/>
        </w:rPr>
        <w:t>, se definió como máximo igual a 2,73%.</w:t>
      </w:r>
      <w:r w:rsidR="0028059D">
        <w:rPr>
          <w:rFonts w:ascii="Arial" w:hAnsi="Arial" w:cs="Arial"/>
        </w:rPr>
        <w:t xml:space="preserve"> Este se obtuvo p</w:t>
      </w:r>
      <w:r w:rsidR="0035000D" w:rsidRPr="00115F4D">
        <w:rPr>
          <w:rFonts w:ascii="Arial" w:hAnsi="Arial" w:cs="Arial"/>
        </w:rPr>
        <w:t>ara una serie de 2009 a 2013, una vez eliminados datos atípicos.</w:t>
      </w:r>
    </w:p>
    <w:p w14:paraId="744FF7FD" w14:textId="13A38C85" w:rsidR="0035000D" w:rsidRPr="00115F4D" w:rsidRDefault="0035000D" w:rsidP="0035000D">
      <w:pPr>
        <w:jc w:val="both"/>
        <w:rPr>
          <w:rFonts w:ascii="Arial" w:hAnsi="Arial" w:cs="Arial"/>
        </w:rPr>
      </w:pPr>
      <w:r w:rsidRPr="00115F4D">
        <w:rPr>
          <w:rFonts w:ascii="Arial" w:hAnsi="Arial" w:cs="Arial"/>
        </w:rPr>
        <w:t xml:space="preserve">De </w:t>
      </w:r>
      <w:r w:rsidR="00163725">
        <w:rPr>
          <w:rFonts w:ascii="Arial" w:hAnsi="Arial" w:cs="Arial"/>
        </w:rPr>
        <w:t>acuerdo con esto</w:t>
      </w:r>
      <w:r w:rsidRPr="00115F4D">
        <w:rPr>
          <w:rFonts w:ascii="Arial" w:hAnsi="Arial" w:cs="Arial"/>
        </w:rPr>
        <w:t>, el margen reconocido en el año 2022 fue en promedio 15,53 $/kWh, con un mínimo de 13,8 $/kWh y máximo de 19,6 $/kWh. Lo cual representó entre el 9,7% y el 34,6% del total de los costos reconocidos al comercializador como se muestra en la</w:t>
      </w:r>
      <w:r w:rsidR="00C6187A">
        <w:rPr>
          <w:rFonts w:ascii="Arial" w:hAnsi="Arial" w:cs="Arial"/>
        </w:rPr>
        <w:t xml:space="preserve"> </w:t>
      </w:r>
      <w:r w:rsidR="00C6187A">
        <w:rPr>
          <w:rFonts w:ascii="Arial" w:hAnsi="Arial" w:cs="Arial"/>
        </w:rPr>
        <w:fldChar w:fldCharType="begin"/>
      </w:r>
      <w:r w:rsidR="00C6187A">
        <w:rPr>
          <w:rFonts w:ascii="Arial" w:hAnsi="Arial" w:cs="Arial"/>
        </w:rPr>
        <w:instrText xml:space="preserve"> REF _Ref164864380 \h  \* MERGEFORMAT </w:instrText>
      </w:r>
      <w:r w:rsidR="00C6187A">
        <w:rPr>
          <w:rFonts w:ascii="Arial" w:hAnsi="Arial" w:cs="Arial"/>
        </w:rPr>
      </w:r>
      <w:r w:rsidR="00C6187A">
        <w:rPr>
          <w:rFonts w:ascii="Arial" w:hAnsi="Arial" w:cs="Arial"/>
        </w:rPr>
        <w:fldChar w:fldCharType="separate"/>
      </w:r>
      <w:r w:rsidR="002A641D" w:rsidRPr="002A641D">
        <w:rPr>
          <w:rFonts w:ascii="Arial" w:hAnsi="Arial" w:cs="Arial"/>
        </w:rPr>
        <w:t>Figura 2</w:t>
      </w:r>
      <w:r w:rsidR="00C6187A">
        <w:rPr>
          <w:rFonts w:ascii="Arial" w:hAnsi="Arial" w:cs="Arial"/>
        </w:rPr>
        <w:fldChar w:fldCharType="end"/>
      </w:r>
      <w:r w:rsidRPr="00C6187A">
        <w:rPr>
          <w:rFonts w:ascii="Arial" w:hAnsi="Arial" w:cs="Arial"/>
        </w:rPr>
        <w:t>.</w:t>
      </w:r>
      <w:r w:rsidRPr="00115F4D">
        <w:rPr>
          <w:rFonts w:ascii="Arial" w:hAnsi="Arial" w:cs="Arial"/>
        </w:rPr>
        <w:t xml:space="preserve"> </w:t>
      </w:r>
    </w:p>
    <w:p w14:paraId="3AE9A63D" w14:textId="77777777" w:rsidR="0035000D" w:rsidRPr="00115F4D" w:rsidRDefault="0035000D" w:rsidP="0035000D">
      <w:pPr>
        <w:keepNext/>
        <w:spacing w:after="0"/>
        <w:jc w:val="both"/>
        <w:rPr>
          <w:rFonts w:asciiTheme="majorHAnsi" w:hAnsiTheme="majorHAnsi" w:cstheme="majorBidi"/>
        </w:rPr>
      </w:pPr>
      <w:r>
        <w:rPr>
          <w:rFonts w:asciiTheme="majorHAnsi" w:hAnsiTheme="majorHAnsi" w:cstheme="majorBidi"/>
          <w:noProof/>
        </w:rPr>
        <w:drawing>
          <wp:inline distT="0" distB="0" distL="0" distR="0" wp14:anchorId="4DF68DBE" wp14:editId="06A8A3FE">
            <wp:extent cx="5639114" cy="3036627"/>
            <wp:effectExtent l="0" t="0" r="0" b="0"/>
            <wp:docPr id="1334628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5437" cy="3050802"/>
                    </a:xfrm>
                    <a:prstGeom prst="rect">
                      <a:avLst/>
                    </a:prstGeom>
                    <a:noFill/>
                  </pic:spPr>
                </pic:pic>
              </a:graphicData>
            </a:graphic>
          </wp:inline>
        </w:drawing>
      </w:r>
    </w:p>
    <w:p w14:paraId="309B396B" w14:textId="20A49F85" w:rsidR="0035000D" w:rsidRPr="009F35F3" w:rsidRDefault="0035000D" w:rsidP="0070054E">
      <w:pPr>
        <w:pStyle w:val="Descripcin"/>
        <w:spacing w:after="0"/>
        <w:jc w:val="center"/>
        <w:rPr>
          <w:rFonts w:ascii="Arial" w:hAnsi="Arial" w:cs="Arial"/>
          <w:b/>
          <w:iCs w:val="0"/>
          <w:color w:val="auto"/>
          <w:sz w:val="16"/>
          <w:szCs w:val="16"/>
        </w:rPr>
      </w:pPr>
      <w:bookmarkStart w:id="8" w:name="_Ref164864380"/>
      <w:r w:rsidRPr="009F35F3">
        <w:rPr>
          <w:rFonts w:ascii="Arial" w:hAnsi="Arial" w:cs="Arial"/>
          <w:b/>
          <w:iCs w:val="0"/>
          <w:color w:val="auto"/>
          <w:sz w:val="16"/>
          <w:szCs w:val="16"/>
        </w:rPr>
        <w:t xml:space="preserve">Figura </w:t>
      </w:r>
      <w:r w:rsidRPr="009F35F3">
        <w:rPr>
          <w:rFonts w:ascii="Arial" w:hAnsi="Arial" w:cs="Arial"/>
          <w:b/>
          <w:iCs w:val="0"/>
          <w:color w:val="auto"/>
          <w:sz w:val="16"/>
          <w:szCs w:val="16"/>
        </w:rPr>
        <w:fldChar w:fldCharType="begin"/>
      </w:r>
      <w:r w:rsidRPr="009F35F3">
        <w:rPr>
          <w:rFonts w:ascii="Arial" w:hAnsi="Arial" w:cs="Arial"/>
          <w:b/>
          <w:iCs w:val="0"/>
          <w:color w:val="auto"/>
          <w:sz w:val="16"/>
          <w:szCs w:val="16"/>
        </w:rPr>
        <w:instrText xml:space="preserve"> SEQ Figura \* ARABIC </w:instrText>
      </w:r>
      <w:r w:rsidRPr="009F35F3">
        <w:rPr>
          <w:rFonts w:ascii="Arial" w:hAnsi="Arial" w:cs="Arial"/>
          <w:b/>
          <w:iCs w:val="0"/>
          <w:color w:val="auto"/>
          <w:sz w:val="16"/>
          <w:szCs w:val="16"/>
        </w:rPr>
        <w:fldChar w:fldCharType="separate"/>
      </w:r>
      <w:r w:rsidR="002A641D">
        <w:rPr>
          <w:rFonts w:ascii="Arial" w:hAnsi="Arial" w:cs="Arial"/>
          <w:b/>
          <w:iCs w:val="0"/>
          <w:noProof/>
          <w:color w:val="auto"/>
          <w:sz w:val="16"/>
          <w:szCs w:val="16"/>
        </w:rPr>
        <w:t>2</w:t>
      </w:r>
      <w:r w:rsidRPr="009F35F3">
        <w:rPr>
          <w:rFonts w:ascii="Arial" w:hAnsi="Arial" w:cs="Arial"/>
          <w:b/>
          <w:iCs w:val="0"/>
          <w:color w:val="auto"/>
          <w:sz w:val="16"/>
          <w:szCs w:val="16"/>
        </w:rPr>
        <w:fldChar w:fldCharType="end"/>
      </w:r>
      <w:bookmarkEnd w:id="8"/>
      <w:r w:rsidRPr="009F35F3">
        <w:rPr>
          <w:rFonts w:ascii="Arial" w:hAnsi="Arial" w:cs="Arial"/>
          <w:b/>
          <w:iCs w:val="0"/>
          <w:color w:val="auto"/>
          <w:sz w:val="16"/>
          <w:szCs w:val="16"/>
        </w:rPr>
        <w:t xml:space="preserve"> Participación del margen al comercializador en C para el año 2022.</w:t>
      </w:r>
    </w:p>
    <w:p w14:paraId="1F8F57CF" w14:textId="11423106" w:rsidR="00C6187A" w:rsidRPr="009F35F3" w:rsidRDefault="00B81BE7" w:rsidP="00B81BE7">
      <w:pPr>
        <w:pStyle w:val="Descripcin"/>
        <w:jc w:val="center"/>
        <w:rPr>
          <w:rFonts w:ascii="Arial" w:hAnsi="Arial" w:cs="Arial"/>
          <w:b/>
          <w:iCs w:val="0"/>
          <w:color w:val="auto"/>
          <w:sz w:val="16"/>
          <w:szCs w:val="16"/>
        </w:rPr>
      </w:pPr>
      <w:r w:rsidRPr="009F35F3">
        <w:rPr>
          <w:rFonts w:ascii="Arial" w:hAnsi="Arial" w:cs="Arial"/>
          <w:b/>
          <w:iCs w:val="0"/>
          <w:color w:val="auto"/>
          <w:sz w:val="16"/>
          <w:szCs w:val="16"/>
        </w:rPr>
        <w:t>Fuente:</w:t>
      </w:r>
      <w:r w:rsidR="0070054E" w:rsidRPr="009F35F3">
        <w:rPr>
          <w:rFonts w:ascii="Arial" w:hAnsi="Arial" w:cs="Arial"/>
          <w:b/>
          <w:iCs w:val="0"/>
          <w:color w:val="auto"/>
          <w:sz w:val="16"/>
          <w:szCs w:val="16"/>
        </w:rPr>
        <w:t xml:space="preserve"> Elaboración propia a partir del SUI.</w:t>
      </w:r>
    </w:p>
    <w:p w14:paraId="30712F96" w14:textId="344DB505" w:rsidR="002360D2" w:rsidRDefault="002360D2" w:rsidP="00C00C77">
      <w:pPr>
        <w:pStyle w:val="Ttulo3"/>
        <w:numPr>
          <w:ilvl w:val="2"/>
          <w:numId w:val="15"/>
        </w:numPr>
      </w:pPr>
      <w:bookmarkStart w:id="9" w:name="_Toc165037320"/>
      <w:r>
        <w:t>Riesgo de cartera</w:t>
      </w:r>
      <w:bookmarkEnd w:id="9"/>
    </w:p>
    <w:p w14:paraId="257AFCA5" w14:textId="2D6F8571" w:rsidR="00EE3EB9" w:rsidRPr="00115F4D" w:rsidRDefault="00EE3EB9" w:rsidP="00EE3EB9">
      <w:pPr>
        <w:jc w:val="both"/>
      </w:pPr>
      <w:r w:rsidRPr="00115F4D">
        <w:rPr>
          <w:rFonts w:ascii="Arial" w:hAnsi="Arial" w:cs="Arial"/>
        </w:rPr>
        <w:t xml:space="preserve">El concepto de riesgo de cartera fue introducido en el documento CREG </w:t>
      </w:r>
      <w:r>
        <w:rPr>
          <w:rFonts w:ascii="Arial" w:hAnsi="Arial" w:cs="Arial"/>
        </w:rPr>
        <w:t>D-</w:t>
      </w:r>
      <w:r w:rsidRPr="00115F4D">
        <w:rPr>
          <w:rFonts w:ascii="Arial" w:hAnsi="Arial" w:cs="Arial"/>
        </w:rPr>
        <w:t>020</w:t>
      </w:r>
      <w:r>
        <w:rPr>
          <w:rFonts w:ascii="Arial" w:hAnsi="Arial" w:cs="Arial"/>
        </w:rPr>
        <w:t>-</w:t>
      </w:r>
      <w:r w:rsidRPr="00115F4D">
        <w:rPr>
          <w:rFonts w:ascii="Arial" w:hAnsi="Arial" w:cs="Arial"/>
        </w:rPr>
        <w:t>2012 debido a que, al caracterizar la actividad de comercialización de energía eléctrica se encontró que uno de los riesgos a los que están expuestos los agentes, es la no recuperación de la cartera vencida, a pesar de gestionar su recaudo. Por consiguiente, el riesgo de cartera fue definido como la probabilidad de incumplimiento en el pago de las obligaciones de los usuarios que no es gestionable por el comercializador</w:t>
      </w:r>
      <w:r>
        <w:rPr>
          <w:rFonts w:ascii="Arial" w:hAnsi="Arial" w:cs="Arial"/>
        </w:rPr>
        <w:t>.</w:t>
      </w:r>
      <w:r w:rsidRPr="00115F4D">
        <w:rPr>
          <w:rFonts w:ascii="Arial" w:hAnsi="Arial" w:cs="Arial"/>
        </w:rPr>
        <w:t xml:space="preserve"> En el caso de que se pudieran realizar estrategias de recaudo, planes de refinanciamiento o acuerdos de pagos, se estaría hablando de un riesgo gestionable que no hace parte del riesgo de cartera a remunerar a los comercializadores de </w:t>
      </w:r>
      <w:r w:rsidRPr="00C90EA4">
        <w:rPr>
          <w:rFonts w:ascii="Arial" w:hAnsi="Arial" w:cs="Arial"/>
        </w:rPr>
        <w:t>energía eléctrica</w:t>
      </w:r>
      <w:r w:rsidRPr="00115F4D">
        <w:rPr>
          <w:rFonts w:ascii="Arial" w:hAnsi="Arial" w:cs="Arial"/>
        </w:rPr>
        <w:t>.</w:t>
      </w:r>
    </w:p>
    <w:p w14:paraId="7A3AF9DD" w14:textId="605BAE87" w:rsidR="00EE3EB9" w:rsidRPr="00115F4D" w:rsidRDefault="00EE3EB9" w:rsidP="00EE3EB9">
      <w:pPr>
        <w:jc w:val="both"/>
        <w:rPr>
          <w:rFonts w:ascii="Arial" w:hAnsi="Arial" w:cs="Arial"/>
        </w:rPr>
      </w:pPr>
      <w:r w:rsidRPr="00115F4D">
        <w:rPr>
          <w:rFonts w:ascii="Arial" w:hAnsi="Arial" w:cs="Arial"/>
        </w:rPr>
        <w:t xml:space="preserve">Debido a que los comercializadores de energía se encuentran expuestos al riesgo de cartera, </w:t>
      </w:r>
      <w:r>
        <w:rPr>
          <w:rFonts w:ascii="Arial" w:hAnsi="Arial" w:cs="Arial"/>
        </w:rPr>
        <w:t>por responsabilidades dadas por la regulación,</w:t>
      </w:r>
      <w:r w:rsidRPr="00115F4D">
        <w:rPr>
          <w:rFonts w:ascii="Arial" w:hAnsi="Arial" w:cs="Arial"/>
        </w:rPr>
        <w:t xml:space="preserve"> este se incorporó en la metodología de remuneración de la actividad de comercialización establecida en la resolución</w:t>
      </w:r>
      <w:bookmarkStart w:id="10" w:name="OLE_LINK4"/>
      <w:r w:rsidRPr="00115F4D">
        <w:rPr>
          <w:rFonts w:ascii="Arial" w:hAnsi="Arial" w:cs="Arial"/>
        </w:rPr>
        <w:t xml:space="preserve"> CREG 180 de </w:t>
      </w:r>
      <w:r w:rsidRPr="00115F4D">
        <w:rPr>
          <w:rFonts w:ascii="Arial" w:hAnsi="Arial" w:cs="Arial"/>
        </w:rPr>
        <w:lastRenderedPageBreak/>
        <w:t>2014</w:t>
      </w:r>
      <w:bookmarkEnd w:id="10"/>
      <w:r w:rsidRPr="00115F4D">
        <w:rPr>
          <w:rFonts w:ascii="Arial" w:hAnsi="Arial" w:cs="Arial"/>
        </w:rPr>
        <w:t>, donde se reconocen cuatro componentes en el riesgo de cartera: El Riesgo de Cartera de usuarios Tradicionales (</w:t>
      </w:r>
      <w:r w:rsidRPr="00115F4D">
        <w:rPr>
          <w:rFonts w:ascii="Arial" w:hAnsi="Arial" w:cs="Arial"/>
          <w:i/>
          <w:iCs/>
        </w:rPr>
        <w:t>RCT</w:t>
      </w:r>
      <w:r w:rsidRPr="00115F4D">
        <w:rPr>
          <w:rFonts w:ascii="Arial" w:hAnsi="Arial" w:cs="Arial"/>
        </w:rPr>
        <w:t>), el Riesgo de Cartera de usuarios en Áreas Especiales (</w:t>
      </w:r>
      <w:r w:rsidRPr="00115F4D">
        <w:rPr>
          <w:rFonts w:ascii="Arial" w:hAnsi="Arial" w:cs="Arial"/>
          <w:i/>
          <w:iCs/>
        </w:rPr>
        <w:t>RCAE</w:t>
      </w:r>
      <w:r w:rsidRPr="00115F4D">
        <w:rPr>
          <w:rFonts w:ascii="Arial" w:hAnsi="Arial" w:cs="Arial"/>
        </w:rPr>
        <w:t>), el Riesgo de Cartera de usuarios ubicados en barrios Subnormales atendidos por un comercializador diferente al incumbente (</w:t>
      </w:r>
      <w:r w:rsidRPr="00115F4D">
        <w:rPr>
          <w:rFonts w:ascii="Arial" w:hAnsi="Arial" w:cs="Arial"/>
          <w:i/>
          <w:iCs/>
        </w:rPr>
        <w:t>RCSNE</w:t>
      </w:r>
      <w:r w:rsidRPr="00115F4D">
        <w:rPr>
          <w:rFonts w:ascii="Arial" w:hAnsi="Arial" w:cs="Arial"/>
        </w:rPr>
        <w:t>) el Riesgo de Cartera de Nuevos Usuarios regulados incorporados al SIN por planes de expansión de cobertura (</w:t>
      </w:r>
      <w:r w:rsidRPr="00115F4D">
        <w:rPr>
          <w:rFonts w:ascii="Arial" w:hAnsi="Arial" w:cs="Arial"/>
          <w:i/>
          <w:iCs/>
        </w:rPr>
        <w:t>RCNU</w:t>
      </w:r>
      <w:r w:rsidRPr="00115F4D">
        <w:rPr>
          <w:rFonts w:ascii="Arial" w:hAnsi="Arial" w:cs="Arial"/>
        </w:rPr>
        <w:t xml:space="preserve">). </w:t>
      </w:r>
    </w:p>
    <w:p w14:paraId="1BC1DC3B" w14:textId="0C20494C" w:rsidR="00EE3EB9" w:rsidRPr="00115F4D" w:rsidRDefault="00EE3EB9" w:rsidP="00EE3EB9">
      <w:pPr>
        <w:spacing w:after="0"/>
        <w:jc w:val="both"/>
        <w:rPr>
          <w:rFonts w:ascii="Arial" w:hAnsi="Arial" w:cs="Arial"/>
        </w:rPr>
      </w:pPr>
      <w:r w:rsidRPr="00115F4D">
        <w:rPr>
          <w:rFonts w:ascii="Arial" w:hAnsi="Arial" w:cs="Arial"/>
        </w:rPr>
        <w:t xml:space="preserve">En la </w:t>
      </w:r>
      <w:r>
        <w:rPr>
          <w:rFonts w:ascii="Arial" w:hAnsi="Arial" w:cs="Arial"/>
        </w:rPr>
        <w:t xml:space="preserve">Resolución </w:t>
      </w:r>
      <w:r w:rsidRPr="00115F4D">
        <w:rPr>
          <w:rFonts w:ascii="Arial" w:hAnsi="Arial" w:cs="Arial"/>
        </w:rPr>
        <w:t xml:space="preserve">CREG 180 de 2014 se estableció que el riesgo de cartera que se reconoce a los comercializadores de energía eléctrica </w:t>
      </w:r>
      <w:r>
        <w:rPr>
          <w:rFonts w:ascii="Arial" w:hAnsi="Arial" w:cs="Arial"/>
        </w:rPr>
        <w:t>se calcula</w:t>
      </w:r>
      <w:r w:rsidRPr="00115F4D">
        <w:rPr>
          <w:rFonts w:ascii="Arial" w:hAnsi="Arial" w:cs="Arial"/>
        </w:rPr>
        <w:t xml:space="preserve"> con la siguiente </w:t>
      </w:r>
      <w:r>
        <w:rPr>
          <w:rFonts w:ascii="Arial" w:hAnsi="Arial" w:cs="Arial"/>
        </w:rPr>
        <w:t>expresión</w:t>
      </w:r>
      <w:r w:rsidRPr="00115F4D">
        <w:rPr>
          <w:rFonts w:ascii="Arial" w:hAnsi="Arial" w:cs="Arial"/>
        </w:rPr>
        <w:t>:</w:t>
      </w:r>
    </w:p>
    <w:p w14:paraId="772A93E7" w14:textId="1EBD4904" w:rsidR="00EE3EB9" w:rsidRPr="00115F4D" w:rsidRDefault="00E42F3C" w:rsidP="00EE3EB9">
      <w:pPr>
        <w:spacing w:after="0"/>
        <w:rPr>
          <w:rFonts w:cs="Arial"/>
          <w:bCs/>
          <w:sz w:val="18"/>
          <w:szCs w:val="18"/>
        </w:rPr>
      </w:pPr>
      <m:oMathPara>
        <m:oMath>
          <m:sSub>
            <m:sSubPr>
              <m:ctrlPr>
                <w:rPr>
                  <w:rFonts w:ascii="Cambria Math" w:hAnsi="Cambria Math" w:cs="Arial"/>
                  <w:bCs/>
                  <w:i/>
                  <w:iCs/>
                  <w:sz w:val="18"/>
                  <w:szCs w:val="18"/>
                </w:rPr>
              </m:ctrlPr>
            </m:sSubPr>
            <m:e>
              <m:r>
                <w:rPr>
                  <w:rFonts w:ascii="Cambria Math" w:hAnsi="Cambria Math" w:cs="Arial"/>
                  <w:sz w:val="18"/>
                  <w:szCs w:val="18"/>
                </w:rPr>
                <m:t>RC</m:t>
              </m:r>
            </m:e>
            <m:sub>
              <m:r>
                <w:rPr>
                  <w:rFonts w:ascii="Cambria Math" w:hAnsi="Cambria Math" w:cs="Arial"/>
                  <w:sz w:val="18"/>
                  <w:szCs w:val="18"/>
                </w:rPr>
                <m:t>i,j,m</m:t>
              </m:r>
            </m:sub>
          </m:sSub>
          <m:r>
            <w:rPr>
              <w:rFonts w:ascii="Cambria Math" w:hAnsi="Cambria Math" w:cs="Arial"/>
              <w:sz w:val="18"/>
              <w:szCs w:val="18"/>
            </w:rPr>
            <m:t>=</m:t>
          </m:r>
          <m:f>
            <m:fPr>
              <m:ctrlPr>
                <w:rPr>
                  <w:rFonts w:ascii="Cambria Math" w:hAnsi="Cambria Math" w:cs="Arial"/>
                  <w:bCs/>
                  <w:i/>
                  <w:iCs/>
                  <w:sz w:val="18"/>
                  <w:szCs w:val="18"/>
                </w:rPr>
              </m:ctrlPr>
            </m:fPr>
            <m:num>
              <m:d>
                <m:dPr>
                  <m:ctrlPr>
                    <w:rPr>
                      <w:rFonts w:ascii="Cambria Math" w:hAnsi="Cambria Math" w:cs="Arial"/>
                      <w:bCs/>
                      <w:i/>
                      <w:iCs/>
                      <w:sz w:val="18"/>
                      <w:szCs w:val="18"/>
                    </w:rPr>
                  </m:ctrlPr>
                </m:dPr>
                <m:e>
                  <m:sSub>
                    <m:sSubPr>
                      <m:ctrlPr>
                        <w:rPr>
                          <w:rFonts w:ascii="Cambria Math" w:hAnsi="Cambria Math" w:cs="Arial"/>
                          <w:bCs/>
                          <w:i/>
                          <w:iCs/>
                          <w:sz w:val="18"/>
                          <w:szCs w:val="18"/>
                        </w:rPr>
                      </m:ctrlPr>
                    </m:sSubPr>
                    <m:e>
                      <m:r>
                        <w:rPr>
                          <w:rFonts w:ascii="Cambria Math" w:hAnsi="Cambria Math" w:cs="Arial"/>
                          <w:sz w:val="18"/>
                          <w:szCs w:val="18"/>
                        </w:rPr>
                        <m:t>RCT</m:t>
                      </m:r>
                    </m:e>
                    <m:sub>
                      <m:r>
                        <w:rPr>
                          <w:rFonts w:ascii="Cambria Math" w:hAnsi="Cambria Math" w:cs="Arial"/>
                          <w:sz w:val="18"/>
                          <w:szCs w:val="18"/>
                        </w:rPr>
                        <m:t>j</m:t>
                      </m:r>
                    </m:sub>
                  </m:sSub>
                  <m:r>
                    <w:rPr>
                      <w:rFonts w:ascii="Cambria Math" w:hAnsi="Cambria Math" w:cs="Arial"/>
                      <w:sz w:val="18"/>
                      <w:szCs w:val="18"/>
                    </w:rPr>
                    <m:t>×</m:t>
                  </m:r>
                  <m:sSub>
                    <m:sSubPr>
                      <m:ctrlPr>
                        <w:rPr>
                          <w:rFonts w:ascii="Cambria Math" w:hAnsi="Cambria Math" w:cs="Arial"/>
                          <w:bCs/>
                          <w:i/>
                          <w:iCs/>
                          <w:sz w:val="18"/>
                          <w:szCs w:val="18"/>
                        </w:rPr>
                      </m:ctrlPr>
                    </m:sSubPr>
                    <m:e>
                      <m:r>
                        <w:rPr>
                          <w:rFonts w:ascii="Cambria Math" w:hAnsi="Cambria Math" w:cs="Arial"/>
                          <w:sz w:val="18"/>
                          <w:szCs w:val="18"/>
                        </w:rPr>
                        <m:t>VUTr</m:t>
                      </m:r>
                    </m:e>
                    <m:sub>
                      <m:r>
                        <w:rPr>
                          <w:rFonts w:ascii="Cambria Math" w:hAnsi="Cambria Math" w:cs="Arial"/>
                          <w:sz w:val="18"/>
                          <w:szCs w:val="18"/>
                        </w:rPr>
                        <m:t>i,j,m-1</m:t>
                      </m:r>
                    </m:sub>
                  </m:sSub>
                </m:e>
              </m:d>
              <m:r>
                <w:rPr>
                  <w:rFonts w:ascii="Cambria Math" w:hAnsi="Cambria Math" w:cs="Arial"/>
                  <w:sz w:val="18"/>
                  <w:szCs w:val="18"/>
                </w:rPr>
                <m:t>+</m:t>
              </m:r>
              <m:d>
                <m:dPr>
                  <m:ctrlPr>
                    <w:rPr>
                      <w:rFonts w:ascii="Cambria Math" w:hAnsi="Cambria Math" w:cs="Arial"/>
                      <w:bCs/>
                      <w:i/>
                      <w:iCs/>
                      <w:sz w:val="18"/>
                      <w:szCs w:val="18"/>
                    </w:rPr>
                  </m:ctrlPr>
                </m:dPr>
                <m:e>
                  <m:sSub>
                    <m:sSubPr>
                      <m:ctrlPr>
                        <w:rPr>
                          <w:rFonts w:ascii="Cambria Math" w:hAnsi="Cambria Math" w:cs="Arial"/>
                          <w:i/>
                          <w:sz w:val="18"/>
                          <w:szCs w:val="18"/>
                        </w:rPr>
                      </m:ctrlPr>
                    </m:sSubPr>
                    <m:e>
                      <m:r>
                        <w:rPr>
                          <w:rFonts w:ascii="Cambria Math" w:hAnsi="Cambria Math" w:cs="Arial"/>
                          <w:sz w:val="18"/>
                          <w:szCs w:val="18"/>
                        </w:rPr>
                        <m:t>RCAE</m:t>
                      </m:r>
                    </m:e>
                    <m:sub>
                      <m:r>
                        <w:rPr>
                          <w:rFonts w:ascii="Cambria Math" w:hAnsi="Cambria Math" w:cs="Arial"/>
                          <w:sz w:val="18"/>
                          <w:szCs w:val="18"/>
                        </w:rPr>
                        <m:t>j,t</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VAE</m:t>
                      </m:r>
                    </m:e>
                    <m:sub>
                      <m:r>
                        <w:rPr>
                          <w:rFonts w:ascii="Cambria Math" w:hAnsi="Cambria Math" w:cs="Arial"/>
                          <w:sz w:val="18"/>
                          <w:szCs w:val="18"/>
                        </w:rPr>
                        <m:t>i,j,m-1</m:t>
                      </m:r>
                    </m:sub>
                  </m:sSub>
                </m:e>
              </m:d>
              <m:r>
                <w:rPr>
                  <w:rFonts w:ascii="Cambria Math" w:hAnsi="Cambria Math" w:cs="Arial"/>
                  <w:sz w:val="18"/>
                  <w:szCs w:val="18"/>
                </w:rPr>
                <m:t>+</m:t>
              </m:r>
              <m:d>
                <m:dPr>
                  <m:ctrlPr>
                    <w:rPr>
                      <w:rFonts w:ascii="Cambria Math" w:hAnsi="Cambria Math" w:cs="Arial"/>
                      <w:bCs/>
                      <w:i/>
                      <w:iCs/>
                      <w:sz w:val="18"/>
                      <w:szCs w:val="18"/>
                    </w:rPr>
                  </m:ctrlPr>
                </m:dPr>
                <m:e>
                  <m:sSub>
                    <m:sSubPr>
                      <m:ctrlPr>
                        <w:rPr>
                          <w:rFonts w:ascii="Cambria Math" w:hAnsi="Cambria Math" w:cs="Arial"/>
                          <w:i/>
                          <w:sz w:val="18"/>
                          <w:szCs w:val="18"/>
                        </w:rPr>
                      </m:ctrlPr>
                    </m:sSubPr>
                    <m:e>
                      <m:r>
                        <w:rPr>
                          <w:rFonts w:ascii="Cambria Math" w:hAnsi="Cambria Math" w:cs="Arial"/>
                          <w:sz w:val="18"/>
                          <w:szCs w:val="18"/>
                        </w:rPr>
                        <m:t>RCSNE</m:t>
                      </m:r>
                    </m:e>
                    <m:sub>
                      <m:r>
                        <w:rPr>
                          <w:rFonts w:ascii="Cambria Math" w:hAnsi="Cambria Math" w:cs="Arial"/>
                          <w:sz w:val="18"/>
                          <w:szCs w:val="18"/>
                        </w:rPr>
                        <m:t>i,j,t</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VSNE</m:t>
                      </m:r>
                    </m:e>
                    <m:sub>
                      <m:r>
                        <w:rPr>
                          <w:rFonts w:ascii="Cambria Math" w:hAnsi="Cambria Math" w:cs="Arial"/>
                          <w:sz w:val="18"/>
                          <w:szCs w:val="18"/>
                        </w:rPr>
                        <m:t>i,j,m-1</m:t>
                      </m:r>
                    </m:sub>
                  </m:sSub>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RCNU×</m:t>
                  </m:r>
                  <m:sSub>
                    <m:sSubPr>
                      <m:ctrlPr>
                        <w:rPr>
                          <w:rFonts w:ascii="Cambria Math" w:hAnsi="Cambria Math" w:cs="Arial"/>
                          <w:bCs/>
                          <w:i/>
                          <w:iCs/>
                          <w:sz w:val="18"/>
                          <w:szCs w:val="18"/>
                        </w:rPr>
                      </m:ctrlPr>
                    </m:sSubPr>
                    <m:e>
                      <m:r>
                        <w:rPr>
                          <w:rFonts w:ascii="Cambria Math" w:hAnsi="Cambria Math" w:cs="Arial"/>
                          <w:sz w:val="18"/>
                          <w:szCs w:val="18"/>
                        </w:rPr>
                        <m:t>VNU</m:t>
                      </m:r>
                    </m:e>
                    <m:sub>
                      <m:r>
                        <w:rPr>
                          <w:rFonts w:ascii="Cambria Math" w:hAnsi="Cambria Math" w:cs="Arial"/>
                          <w:sz w:val="18"/>
                          <w:szCs w:val="18"/>
                        </w:rPr>
                        <m:t>i,j,m-1</m:t>
                      </m:r>
                    </m:sub>
                  </m:sSub>
                </m:e>
              </m:d>
            </m:num>
            <m:den>
              <m:sSub>
                <m:sSubPr>
                  <m:ctrlPr>
                    <w:rPr>
                      <w:rFonts w:ascii="Cambria Math" w:hAnsi="Cambria Math" w:cs="Arial"/>
                      <w:bCs/>
                      <w:i/>
                      <w:iCs/>
                      <w:sz w:val="18"/>
                      <w:szCs w:val="18"/>
                    </w:rPr>
                  </m:ctrlPr>
                </m:sSubPr>
                <m:e>
                  <m:r>
                    <w:rPr>
                      <w:rFonts w:ascii="Cambria Math" w:hAnsi="Cambria Math" w:cs="Arial"/>
                      <w:sz w:val="18"/>
                      <w:szCs w:val="18"/>
                    </w:rPr>
                    <m:t>VRC</m:t>
                  </m:r>
                </m:e>
                <m:sub>
                  <m:r>
                    <w:rPr>
                      <w:rFonts w:ascii="Cambria Math" w:hAnsi="Cambria Math" w:cs="Arial"/>
                      <w:sz w:val="18"/>
                      <w:szCs w:val="18"/>
                    </w:rPr>
                    <m:t>i,j,m-1</m:t>
                  </m:r>
                </m:sub>
              </m:sSub>
            </m:den>
          </m:f>
        </m:oMath>
      </m:oMathPara>
    </w:p>
    <w:p w14:paraId="37790845" w14:textId="77777777" w:rsidR="00EE3EB9" w:rsidRPr="00115F4D" w:rsidRDefault="00EE3EB9" w:rsidP="00EE3EB9">
      <w:pPr>
        <w:keepNext/>
        <w:spacing w:after="0"/>
        <w:ind w:left="992" w:right="45" w:hanging="992"/>
        <w:rPr>
          <w:rFonts w:ascii="Arial" w:hAnsi="Arial" w:cs="Arial"/>
        </w:rPr>
      </w:pPr>
      <w:r w:rsidRPr="00115F4D">
        <w:rPr>
          <w:rFonts w:ascii="Arial" w:hAnsi="Arial" w:cs="Arial"/>
        </w:rPr>
        <w:t>Donde:</w:t>
      </w:r>
    </w:p>
    <w:p w14:paraId="393F0294" w14:textId="77777777" w:rsidR="00EE3EB9" w:rsidRPr="003A1E3D" w:rsidRDefault="00EE3EB9" w:rsidP="00EE3EB9">
      <w:pPr>
        <w:spacing w:before="200" w:after="200"/>
        <w:ind w:left="1701" w:right="47" w:hanging="1559"/>
        <w:jc w:val="both"/>
        <w:rPr>
          <w:rFonts w:ascii="Arial" w:hAnsi="Arial" w:cs="Arial"/>
          <w:bCs/>
          <w:lang w:eastAsia="ar-SA"/>
        </w:rPr>
      </w:pPr>
      <w:proofErr w:type="gramStart"/>
      <w:r w:rsidRPr="003A1E3D">
        <w:rPr>
          <w:rFonts w:ascii="Arial" w:hAnsi="Arial" w:cs="Arial"/>
          <w:i/>
        </w:rPr>
        <w:t>RC</w:t>
      </w:r>
      <w:r w:rsidRPr="003A1E3D">
        <w:rPr>
          <w:rFonts w:ascii="Arial" w:hAnsi="Arial" w:cs="Arial"/>
          <w:i/>
          <w:vertAlign w:val="subscript"/>
        </w:rPr>
        <w:t>i,j</w:t>
      </w:r>
      <w:proofErr w:type="gramEnd"/>
      <w:r w:rsidRPr="003A1E3D">
        <w:rPr>
          <w:rFonts w:ascii="Arial" w:hAnsi="Arial" w:cs="Arial"/>
          <w:i/>
          <w:vertAlign w:val="subscript"/>
        </w:rPr>
        <w:t>,m</w:t>
      </w:r>
      <w:r w:rsidRPr="003A1E3D">
        <w:rPr>
          <w:rFonts w:ascii="Arial" w:hAnsi="Arial" w:cs="Arial"/>
        </w:rPr>
        <w:t>:</w:t>
      </w:r>
      <w:r w:rsidRPr="003A1E3D">
        <w:rPr>
          <w:rFonts w:ascii="Arial" w:hAnsi="Arial" w:cs="Arial"/>
        </w:rPr>
        <w:tab/>
      </w:r>
      <w:r w:rsidRPr="003A1E3D">
        <w:rPr>
          <w:rFonts w:ascii="Arial" w:hAnsi="Arial" w:cs="Arial"/>
          <w:bCs/>
          <w:lang w:eastAsia="ar-SA"/>
        </w:rPr>
        <w:t xml:space="preserve">Riesgo de cartera del comercializador </w:t>
      </w:r>
      <w:r w:rsidRPr="003A1E3D">
        <w:rPr>
          <w:rFonts w:ascii="Arial" w:hAnsi="Arial" w:cs="Arial"/>
          <w:bCs/>
          <w:i/>
          <w:lang w:eastAsia="ar-SA"/>
        </w:rPr>
        <w:t>i</w:t>
      </w:r>
      <w:r w:rsidRPr="003A1E3D">
        <w:rPr>
          <w:rFonts w:ascii="Arial" w:hAnsi="Arial" w:cs="Arial"/>
          <w:bCs/>
          <w:lang w:eastAsia="ar-SA"/>
        </w:rPr>
        <w:t xml:space="preserve">, en el mercado </w:t>
      </w:r>
      <w:r w:rsidRPr="003A1E3D">
        <w:rPr>
          <w:rFonts w:ascii="Arial" w:hAnsi="Arial" w:cs="Arial"/>
          <w:bCs/>
          <w:i/>
          <w:lang w:eastAsia="ar-SA"/>
        </w:rPr>
        <w:t>j</w:t>
      </w:r>
      <w:r w:rsidRPr="003A1E3D">
        <w:rPr>
          <w:rFonts w:ascii="Arial" w:hAnsi="Arial" w:cs="Arial"/>
          <w:lang w:eastAsia="ar-SA"/>
        </w:rPr>
        <w:t xml:space="preserve">, </w:t>
      </w:r>
      <w:r w:rsidRPr="003A1E3D">
        <w:rPr>
          <w:rFonts w:ascii="Arial" w:hAnsi="Arial" w:cs="Arial"/>
          <w:bCs/>
          <w:lang w:eastAsia="ar-SA"/>
        </w:rPr>
        <w:t xml:space="preserve">para el mes </w:t>
      </w:r>
      <w:r w:rsidRPr="003A1E3D">
        <w:rPr>
          <w:rFonts w:ascii="Arial" w:hAnsi="Arial" w:cs="Arial"/>
          <w:bCs/>
          <w:i/>
          <w:lang w:eastAsia="ar-SA"/>
        </w:rPr>
        <w:t>m</w:t>
      </w:r>
      <w:r w:rsidRPr="003A1E3D">
        <w:rPr>
          <w:rFonts w:ascii="Arial" w:hAnsi="Arial" w:cs="Arial"/>
          <w:bCs/>
          <w:lang w:eastAsia="ar-SA"/>
        </w:rPr>
        <w:t>.</w:t>
      </w:r>
    </w:p>
    <w:p w14:paraId="4152B47E" w14:textId="77777777" w:rsidR="00EE3EB9" w:rsidRPr="003A1E3D" w:rsidRDefault="00EE3EB9" w:rsidP="00EE3EB9">
      <w:pPr>
        <w:spacing w:before="200" w:after="200"/>
        <w:ind w:left="1701" w:right="47" w:hanging="1559"/>
        <w:jc w:val="both"/>
        <w:rPr>
          <w:rFonts w:ascii="Arial" w:hAnsi="Arial" w:cs="Arial"/>
          <w:lang w:eastAsia="ar-SA"/>
        </w:rPr>
      </w:pPr>
      <w:r w:rsidRPr="003A1E3D">
        <w:rPr>
          <w:rFonts w:ascii="Arial" w:hAnsi="Arial" w:cs="Arial"/>
          <w:i/>
          <w:iCs/>
          <w:lang w:eastAsia="ar-SA"/>
        </w:rPr>
        <w:t>RCT</w:t>
      </w:r>
      <w:r w:rsidRPr="003A1E3D">
        <w:rPr>
          <w:rFonts w:ascii="Arial" w:hAnsi="Arial" w:cs="Arial"/>
          <w:i/>
          <w:iCs/>
          <w:vertAlign w:val="subscript"/>
          <w:lang w:eastAsia="ar-SA"/>
        </w:rPr>
        <w:t>j</w:t>
      </w:r>
      <w:r w:rsidRPr="003A1E3D">
        <w:rPr>
          <w:rFonts w:ascii="Arial" w:hAnsi="Arial" w:cs="Arial"/>
          <w:i/>
          <w:iCs/>
          <w:lang w:eastAsia="ar-SA"/>
        </w:rPr>
        <w:t>:</w:t>
      </w:r>
      <w:r w:rsidRPr="003A1E3D">
        <w:rPr>
          <w:rFonts w:ascii="Arial" w:hAnsi="Arial" w:cs="Arial"/>
          <w:lang w:eastAsia="ar-SA"/>
        </w:rPr>
        <w:t xml:space="preserve"> </w:t>
      </w:r>
      <w:r w:rsidRPr="003A1E3D">
        <w:tab/>
      </w:r>
      <w:r w:rsidRPr="003A1E3D">
        <w:rPr>
          <w:rFonts w:ascii="Arial" w:hAnsi="Arial" w:cs="Arial"/>
          <w:lang w:eastAsia="ar-SA"/>
        </w:rPr>
        <w:t xml:space="preserve">Prima por el riesgo de cartera no gestionable de los usuarios tradicionales del mercado de comercialización </w:t>
      </w:r>
      <w:r w:rsidRPr="003A1E3D">
        <w:rPr>
          <w:rFonts w:ascii="Arial" w:hAnsi="Arial" w:cs="Arial"/>
          <w:i/>
          <w:iCs/>
          <w:lang w:eastAsia="ar-SA"/>
        </w:rPr>
        <w:t>j</w:t>
      </w:r>
      <w:r w:rsidRPr="003A1E3D">
        <w:rPr>
          <w:rFonts w:ascii="Arial" w:hAnsi="Arial" w:cs="Arial"/>
          <w:lang w:eastAsia="ar-SA"/>
        </w:rPr>
        <w:t>.</w:t>
      </w:r>
    </w:p>
    <w:p w14:paraId="1CE31F9D" w14:textId="77777777" w:rsidR="00EE3EB9" w:rsidRPr="003A1E3D" w:rsidRDefault="00EE3EB9" w:rsidP="00EE3EB9">
      <w:pPr>
        <w:spacing w:before="200" w:after="200"/>
        <w:ind w:left="1701" w:hanging="1559"/>
        <w:jc w:val="both"/>
        <w:rPr>
          <w:rFonts w:ascii="Arial" w:hAnsi="Arial" w:cs="Arial"/>
          <w:lang w:eastAsia="ar-SA"/>
        </w:rPr>
      </w:pPr>
      <w:proofErr w:type="gramStart"/>
      <w:r w:rsidRPr="003A1E3D">
        <w:rPr>
          <w:rFonts w:ascii="Arial" w:hAnsi="Arial" w:cs="Arial"/>
          <w:i/>
          <w:lang w:eastAsia="ar-SA"/>
        </w:rPr>
        <w:t>VUTr</w:t>
      </w:r>
      <w:r w:rsidRPr="003A1E3D">
        <w:rPr>
          <w:rFonts w:ascii="Arial" w:hAnsi="Arial" w:cs="Arial"/>
          <w:i/>
          <w:vertAlign w:val="subscript"/>
          <w:lang w:eastAsia="ar-SA"/>
        </w:rPr>
        <w:t>i,j</w:t>
      </w:r>
      <w:proofErr w:type="gramEnd"/>
      <w:r w:rsidRPr="003A1E3D">
        <w:rPr>
          <w:rFonts w:ascii="Arial" w:hAnsi="Arial" w:cs="Arial"/>
          <w:i/>
          <w:vertAlign w:val="subscript"/>
          <w:lang w:eastAsia="ar-SA"/>
        </w:rPr>
        <w:t>,m-1</w:t>
      </w:r>
      <w:r w:rsidRPr="003A1E3D">
        <w:rPr>
          <w:rFonts w:ascii="Arial" w:hAnsi="Arial" w:cs="Arial"/>
          <w:lang w:eastAsia="ar-SA"/>
        </w:rPr>
        <w:t xml:space="preserve">: </w:t>
      </w:r>
      <w:r w:rsidRPr="003A1E3D">
        <w:rPr>
          <w:rFonts w:ascii="Arial" w:hAnsi="Arial" w:cs="Arial"/>
          <w:lang w:eastAsia="ar-SA"/>
        </w:rPr>
        <w:tab/>
        <w:t xml:space="preserve">Ventas totales a usuarios regulados del comercializador </w:t>
      </w:r>
      <w:r w:rsidRPr="003A1E3D">
        <w:rPr>
          <w:rFonts w:ascii="Arial" w:hAnsi="Arial" w:cs="Arial"/>
          <w:i/>
          <w:lang w:eastAsia="ar-SA"/>
        </w:rPr>
        <w:t>i</w:t>
      </w:r>
      <w:r w:rsidRPr="003A1E3D">
        <w:rPr>
          <w:rFonts w:ascii="Arial" w:hAnsi="Arial" w:cs="Arial"/>
          <w:lang w:eastAsia="ar-SA"/>
        </w:rPr>
        <w:t xml:space="preserve">, en el mercado de comercialización </w:t>
      </w:r>
      <w:r w:rsidRPr="003A1E3D">
        <w:rPr>
          <w:rFonts w:ascii="Arial" w:hAnsi="Arial" w:cs="Arial"/>
          <w:i/>
          <w:lang w:eastAsia="ar-SA"/>
        </w:rPr>
        <w:t>j</w:t>
      </w:r>
      <w:r w:rsidRPr="003A1E3D">
        <w:rPr>
          <w:rFonts w:ascii="Arial" w:hAnsi="Arial" w:cs="Arial"/>
          <w:lang w:eastAsia="ar-SA"/>
        </w:rPr>
        <w:t xml:space="preserve">, para el mes </w:t>
      </w:r>
      <w:r w:rsidRPr="003A1E3D">
        <w:rPr>
          <w:rFonts w:ascii="Arial" w:hAnsi="Arial" w:cs="Arial"/>
          <w:i/>
          <w:lang w:eastAsia="ar-SA"/>
        </w:rPr>
        <w:t>m-1</w:t>
      </w:r>
      <w:r w:rsidRPr="003A1E3D">
        <w:rPr>
          <w:rFonts w:ascii="Arial" w:hAnsi="Arial" w:cs="Arial"/>
          <w:lang w:eastAsia="ar-SA"/>
        </w:rPr>
        <w:t xml:space="preserve">, descontando los valores de las variables </w:t>
      </w:r>
      <w:r w:rsidRPr="003A1E3D">
        <w:rPr>
          <w:rFonts w:ascii="Arial" w:hAnsi="Arial" w:cs="Arial"/>
          <w:i/>
          <w:lang w:eastAsia="ar-SA"/>
        </w:rPr>
        <w:t>VAE</w:t>
      </w:r>
      <w:r w:rsidRPr="003A1E3D">
        <w:rPr>
          <w:rFonts w:ascii="Arial" w:hAnsi="Arial" w:cs="Arial"/>
          <w:i/>
          <w:vertAlign w:val="subscript"/>
          <w:lang w:eastAsia="ar-SA"/>
        </w:rPr>
        <w:t>i,j,m-1</w:t>
      </w:r>
      <w:r w:rsidRPr="003A1E3D">
        <w:rPr>
          <w:rFonts w:ascii="Arial" w:hAnsi="Arial" w:cs="Arial"/>
          <w:lang w:eastAsia="ar-SA"/>
        </w:rPr>
        <w:t xml:space="preserve">, </w:t>
      </w:r>
      <w:r w:rsidRPr="003A1E3D">
        <w:rPr>
          <w:rFonts w:ascii="Arial" w:hAnsi="Arial" w:cs="Arial"/>
          <w:i/>
          <w:lang w:eastAsia="ar-SA"/>
        </w:rPr>
        <w:t>VSNE</w:t>
      </w:r>
      <w:r w:rsidRPr="003A1E3D">
        <w:rPr>
          <w:rFonts w:ascii="Arial" w:hAnsi="Arial" w:cs="Arial"/>
          <w:i/>
          <w:vertAlign w:val="subscript"/>
          <w:lang w:eastAsia="ar-SA"/>
        </w:rPr>
        <w:t xml:space="preserve">i,j,m-1 </w:t>
      </w:r>
      <w:r w:rsidRPr="003A1E3D">
        <w:rPr>
          <w:rFonts w:ascii="Arial" w:hAnsi="Arial" w:cs="Arial"/>
          <w:lang w:eastAsia="ar-SA"/>
        </w:rPr>
        <w:t xml:space="preserve">y </w:t>
      </w:r>
      <w:r w:rsidRPr="003A1E3D">
        <w:rPr>
          <w:rFonts w:ascii="Arial" w:hAnsi="Arial" w:cs="Arial"/>
          <w:i/>
        </w:rPr>
        <w:t>VNU</w:t>
      </w:r>
      <w:r w:rsidRPr="003A1E3D">
        <w:rPr>
          <w:rFonts w:ascii="Arial" w:hAnsi="Arial" w:cs="Arial"/>
          <w:i/>
          <w:vertAlign w:val="subscript"/>
        </w:rPr>
        <w:t>i,j,m-1</w:t>
      </w:r>
      <w:r w:rsidRPr="003A1E3D">
        <w:rPr>
          <w:rFonts w:ascii="Arial" w:hAnsi="Arial" w:cs="Arial"/>
          <w:lang w:eastAsia="ar-SA"/>
        </w:rPr>
        <w:t xml:space="preserve">. Esta variable se expresa en </w:t>
      </w:r>
      <w:r w:rsidRPr="003A1E3D">
        <w:rPr>
          <w:rFonts w:ascii="Arial" w:hAnsi="Arial" w:cs="Arial"/>
        </w:rPr>
        <w:t>kilovatios hora (</w:t>
      </w:r>
      <w:r w:rsidRPr="003A1E3D">
        <w:rPr>
          <w:rFonts w:ascii="Arial" w:hAnsi="Arial" w:cs="Arial"/>
          <w:lang w:eastAsia="ar-SA"/>
        </w:rPr>
        <w:t>kWh).</w:t>
      </w:r>
    </w:p>
    <w:p w14:paraId="50409BB5" w14:textId="77777777" w:rsidR="00EE3EB9" w:rsidRPr="003A1E3D" w:rsidRDefault="00EE3EB9" w:rsidP="00EE3EB9">
      <w:pPr>
        <w:spacing w:before="200" w:after="200"/>
        <w:ind w:left="1701" w:hanging="1559"/>
        <w:jc w:val="both"/>
        <w:rPr>
          <w:rFonts w:ascii="Arial" w:hAnsi="Arial" w:cs="Arial"/>
          <w:lang w:eastAsia="ar-SA"/>
        </w:rPr>
      </w:pPr>
      <w:proofErr w:type="gramStart"/>
      <w:r w:rsidRPr="003A1E3D">
        <w:rPr>
          <w:rFonts w:ascii="Arial" w:hAnsi="Arial" w:cs="Arial"/>
          <w:i/>
          <w:lang w:eastAsia="ar-SA"/>
        </w:rPr>
        <w:t>RCAE</w:t>
      </w:r>
      <w:r w:rsidRPr="003A1E3D">
        <w:rPr>
          <w:rFonts w:ascii="Arial" w:hAnsi="Arial" w:cs="Arial"/>
          <w:i/>
          <w:vertAlign w:val="subscript"/>
          <w:lang w:eastAsia="ar-SA"/>
        </w:rPr>
        <w:t>j,t</w:t>
      </w:r>
      <w:proofErr w:type="gramEnd"/>
      <w:r w:rsidRPr="003A1E3D">
        <w:rPr>
          <w:rFonts w:ascii="Arial" w:hAnsi="Arial" w:cs="Arial"/>
          <w:i/>
          <w:lang w:eastAsia="ar-SA"/>
        </w:rPr>
        <w:t>:</w:t>
      </w:r>
      <w:r w:rsidRPr="003A1E3D">
        <w:rPr>
          <w:rFonts w:ascii="Arial" w:hAnsi="Arial" w:cs="Arial"/>
          <w:lang w:eastAsia="ar-SA"/>
        </w:rPr>
        <w:tab/>
        <w:t>Prima de riesgo de cartera a reconocer al comercializador integrado al operador de red, por la atención de usuarios en áreas especiales, que</w:t>
      </w:r>
      <w:r w:rsidRPr="003A1E3D">
        <w:rPr>
          <w:rFonts w:ascii="Arial" w:hAnsi="Arial" w:cs="Arial"/>
          <w:bCs/>
          <w:lang w:eastAsia="ar-SA"/>
        </w:rPr>
        <w:t>,</w:t>
      </w:r>
      <w:r w:rsidRPr="003A1E3D">
        <w:rPr>
          <w:rFonts w:ascii="Arial" w:hAnsi="Arial" w:cs="Arial"/>
          <w:lang w:eastAsia="ar-SA"/>
        </w:rPr>
        <w:t xml:space="preserve"> al 31 de diciembre del año 2013, estaban siendo atendidos por dicho comercializador, en el mercado de comercialización </w:t>
      </w:r>
      <w:r w:rsidRPr="003A1E3D">
        <w:rPr>
          <w:rFonts w:ascii="Arial" w:hAnsi="Arial" w:cs="Arial"/>
          <w:i/>
          <w:lang w:eastAsia="ar-SA"/>
        </w:rPr>
        <w:t>j</w:t>
      </w:r>
      <w:r w:rsidRPr="003A1E3D">
        <w:rPr>
          <w:rFonts w:ascii="Arial" w:hAnsi="Arial" w:cs="Arial"/>
          <w:lang w:eastAsia="ar-SA"/>
        </w:rPr>
        <w:t xml:space="preserve">, para el año </w:t>
      </w:r>
      <w:r w:rsidRPr="003A1E3D">
        <w:rPr>
          <w:rFonts w:ascii="Arial" w:hAnsi="Arial" w:cs="Arial"/>
          <w:i/>
          <w:lang w:eastAsia="ar-SA"/>
        </w:rPr>
        <w:t>t</w:t>
      </w:r>
      <w:r w:rsidRPr="003A1E3D">
        <w:rPr>
          <w:rFonts w:ascii="Arial" w:hAnsi="Arial" w:cs="Arial"/>
          <w:lang w:eastAsia="ar-SA"/>
        </w:rPr>
        <w:t>.</w:t>
      </w:r>
    </w:p>
    <w:p w14:paraId="59A24824" w14:textId="77777777" w:rsidR="00EE3EB9" w:rsidRPr="003A1E3D" w:rsidRDefault="00EE3EB9" w:rsidP="00EE3EB9">
      <w:pPr>
        <w:spacing w:before="200" w:after="200"/>
        <w:ind w:left="1701" w:hanging="1559"/>
        <w:jc w:val="both"/>
        <w:rPr>
          <w:rFonts w:ascii="Arial" w:hAnsi="Arial" w:cs="Arial"/>
          <w:lang w:eastAsia="ar-SA"/>
        </w:rPr>
      </w:pPr>
      <w:proofErr w:type="gramStart"/>
      <w:r w:rsidRPr="003A1E3D">
        <w:rPr>
          <w:rFonts w:ascii="Arial" w:hAnsi="Arial" w:cs="Arial"/>
          <w:i/>
          <w:iCs/>
          <w:lang w:eastAsia="ar-SA"/>
        </w:rPr>
        <w:t>VAE</w:t>
      </w:r>
      <w:r w:rsidRPr="003A1E3D">
        <w:rPr>
          <w:rFonts w:ascii="Arial" w:hAnsi="Arial" w:cs="Arial"/>
          <w:i/>
          <w:iCs/>
          <w:vertAlign w:val="subscript"/>
          <w:lang w:eastAsia="ar-SA"/>
        </w:rPr>
        <w:t>i,j</w:t>
      </w:r>
      <w:proofErr w:type="gramEnd"/>
      <w:r w:rsidRPr="003A1E3D">
        <w:rPr>
          <w:rFonts w:ascii="Arial" w:hAnsi="Arial" w:cs="Arial"/>
          <w:i/>
          <w:iCs/>
          <w:vertAlign w:val="subscript"/>
          <w:lang w:eastAsia="ar-SA"/>
        </w:rPr>
        <w:t>,m-1</w:t>
      </w:r>
      <w:r w:rsidRPr="003A1E3D">
        <w:rPr>
          <w:rFonts w:ascii="Arial" w:hAnsi="Arial" w:cs="Arial"/>
          <w:lang w:eastAsia="ar-SA"/>
        </w:rPr>
        <w:t xml:space="preserve">: </w:t>
      </w:r>
      <w:r w:rsidRPr="003A1E3D">
        <w:rPr>
          <w:rFonts w:ascii="Arial" w:hAnsi="Arial" w:cs="Arial"/>
          <w:lang w:eastAsia="ar-SA"/>
        </w:rPr>
        <w:tab/>
        <w:t xml:space="preserve">Ventas totales a los usuarios ubicados en áreas especiales que al 31 de diciembre de 2013 estaban siendo atendidos por el comercializador </w:t>
      </w:r>
      <w:r w:rsidRPr="003A1E3D">
        <w:rPr>
          <w:rFonts w:ascii="Arial" w:hAnsi="Arial" w:cs="Arial"/>
          <w:i/>
          <w:iCs/>
          <w:lang w:eastAsia="ar-SA"/>
        </w:rPr>
        <w:t>i</w:t>
      </w:r>
      <w:r w:rsidRPr="003A1E3D">
        <w:rPr>
          <w:rFonts w:ascii="Arial" w:hAnsi="Arial" w:cs="Arial"/>
          <w:lang w:eastAsia="ar-SA"/>
        </w:rPr>
        <w:t xml:space="preserve">, en el mercado </w:t>
      </w:r>
      <w:r w:rsidRPr="003A1E3D">
        <w:rPr>
          <w:rFonts w:ascii="Arial" w:hAnsi="Arial" w:cs="Arial"/>
          <w:i/>
          <w:iCs/>
          <w:lang w:eastAsia="ar-SA"/>
        </w:rPr>
        <w:t>j</w:t>
      </w:r>
      <w:r w:rsidRPr="003A1E3D">
        <w:rPr>
          <w:rFonts w:ascii="Arial" w:hAnsi="Arial" w:cs="Arial"/>
          <w:lang w:eastAsia="ar-SA"/>
        </w:rPr>
        <w:t xml:space="preserve">, para el mes </w:t>
      </w:r>
      <w:r w:rsidRPr="003A1E3D">
        <w:rPr>
          <w:rFonts w:ascii="Arial" w:hAnsi="Arial" w:cs="Arial"/>
          <w:i/>
          <w:iCs/>
          <w:lang w:eastAsia="ar-SA"/>
        </w:rPr>
        <w:t>m-1</w:t>
      </w:r>
      <w:r w:rsidRPr="003A1E3D">
        <w:rPr>
          <w:rFonts w:ascii="Arial" w:hAnsi="Arial" w:cs="Arial"/>
          <w:lang w:eastAsia="ar-SA"/>
        </w:rPr>
        <w:t xml:space="preserve">. Esta variable se expresa en </w:t>
      </w:r>
      <w:r w:rsidRPr="003A1E3D">
        <w:rPr>
          <w:rFonts w:ascii="Arial" w:hAnsi="Arial" w:cs="Arial"/>
        </w:rPr>
        <w:t>kilovatios hora (</w:t>
      </w:r>
      <w:r w:rsidRPr="003A1E3D">
        <w:rPr>
          <w:rFonts w:ascii="Arial" w:hAnsi="Arial" w:cs="Arial"/>
          <w:lang w:eastAsia="ar-SA"/>
        </w:rPr>
        <w:t xml:space="preserve">kWh). </w:t>
      </w:r>
    </w:p>
    <w:p w14:paraId="41B681AB" w14:textId="77777777" w:rsidR="00EE3EB9" w:rsidRPr="003A1E3D" w:rsidRDefault="00EE3EB9" w:rsidP="00EE3EB9">
      <w:pPr>
        <w:pStyle w:val="Prrafodelista"/>
        <w:spacing w:before="200" w:after="200"/>
        <w:ind w:left="1701" w:hanging="1559"/>
        <w:jc w:val="both"/>
        <w:rPr>
          <w:rFonts w:ascii="Arial" w:hAnsi="Arial" w:cs="Arial"/>
          <w:lang w:eastAsia="ar-SA"/>
        </w:rPr>
      </w:pPr>
      <w:proofErr w:type="gramStart"/>
      <w:r w:rsidRPr="003A1E3D">
        <w:rPr>
          <w:rFonts w:ascii="Arial" w:hAnsi="Arial" w:cs="Arial"/>
          <w:i/>
          <w:lang w:eastAsia="ar-SA"/>
        </w:rPr>
        <w:t>RCSNE</w:t>
      </w:r>
      <w:r w:rsidRPr="003A1E3D">
        <w:rPr>
          <w:rFonts w:ascii="Arial" w:hAnsi="Arial" w:cs="Arial"/>
          <w:i/>
          <w:vertAlign w:val="subscript"/>
          <w:lang w:eastAsia="ar-SA"/>
        </w:rPr>
        <w:t>i,j</w:t>
      </w:r>
      <w:proofErr w:type="gramEnd"/>
      <w:r w:rsidRPr="003A1E3D">
        <w:rPr>
          <w:rFonts w:ascii="Arial" w:hAnsi="Arial" w:cs="Arial"/>
          <w:i/>
          <w:vertAlign w:val="subscript"/>
          <w:lang w:eastAsia="ar-SA"/>
        </w:rPr>
        <w:t>,t</w:t>
      </w:r>
      <w:r w:rsidRPr="003A1E3D">
        <w:rPr>
          <w:rFonts w:ascii="Arial" w:hAnsi="Arial" w:cs="Arial"/>
          <w:i/>
          <w:lang w:eastAsia="ar-SA"/>
        </w:rPr>
        <w:t xml:space="preserve">: </w:t>
      </w:r>
      <w:r w:rsidRPr="003A1E3D">
        <w:rPr>
          <w:rFonts w:ascii="Arial" w:hAnsi="Arial" w:cs="Arial"/>
          <w:i/>
          <w:lang w:eastAsia="ar-SA"/>
        </w:rPr>
        <w:tab/>
      </w:r>
      <w:r w:rsidRPr="003A1E3D">
        <w:rPr>
          <w:rFonts w:ascii="Arial" w:hAnsi="Arial" w:cs="Arial"/>
          <w:lang w:eastAsia="ar-SA"/>
        </w:rPr>
        <w:t xml:space="preserve">Prima de riesgo de cartera a reconocer al comercializador </w:t>
      </w:r>
      <w:r w:rsidRPr="003A1E3D">
        <w:rPr>
          <w:rFonts w:ascii="Arial" w:hAnsi="Arial" w:cs="Arial"/>
          <w:i/>
          <w:lang w:eastAsia="ar-SA"/>
        </w:rPr>
        <w:t>i,</w:t>
      </w:r>
      <w:r w:rsidRPr="003A1E3D">
        <w:rPr>
          <w:rFonts w:ascii="Arial" w:hAnsi="Arial" w:cs="Arial"/>
          <w:lang w:eastAsia="ar-SA"/>
        </w:rPr>
        <w:t xml:space="preserve"> en el mercado de   comercialización </w:t>
      </w:r>
      <w:r w:rsidRPr="003A1E3D">
        <w:rPr>
          <w:rFonts w:ascii="Arial" w:hAnsi="Arial" w:cs="Arial"/>
          <w:i/>
          <w:lang w:eastAsia="ar-SA"/>
        </w:rPr>
        <w:t>j</w:t>
      </w:r>
      <w:r w:rsidRPr="003A1E3D">
        <w:rPr>
          <w:rFonts w:ascii="Arial" w:hAnsi="Arial" w:cs="Arial"/>
          <w:lang w:eastAsia="ar-SA"/>
        </w:rPr>
        <w:t xml:space="preserve">, para el año </w:t>
      </w:r>
      <w:r w:rsidRPr="003A1E3D">
        <w:rPr>
          <w:rFonts w:ascii="Arial" w:hAnsi="Arial" w:cs="Arial"/>
          <w:i/>
          <w:lang w:eastAsia="ar-SA"/>
        </w:rPr>
        <w:t>t</w:t>
      </w:r>
      <w:r w:rsidRPr="003A1E3D">
        <w:rPr>
          <w:rFonts w:ascii="Arial" w:hAnsi="Arial" w:cs="Arial"/>
          <w:lang w:eastAsia="ar-SA"/>
        </w:rPr>
        <w:t>, por atender usuarios ubicados en barrios subnormales que al 31 de diciembre del año 2013 estaban siendo atendidos por un comercializador diferente al integrado al operador de red.</w:t>
      </w:r>
    </w:p>
    <w:p w14:paraId="119948E0" w14:textId="77777777" w:rsidR="00EE3EB9" w:rsidRPr="003A1E3D" w:rsidRDefault="00EE3EB9" w:rsidP="00EE3EB9">
      <w:pPr>
        <w:pStyle w:val="Prrafodelista"/>
        <w:spacing w:before="200" w:after="200"/>
        <w:ind w:left="1701" w:hanging="1559"/>
        <w:jc w:val="both"/>
        <w:rPr>
          <w:rFonts w:ascii="Arial" w:hAnsi="Arial" w:cs="Arial"/>
          <w:bCs/>
          <w:lang w:eastAsia="ar-SA"/>
        </w:rPr>
      </w:pPr>
    </w:p>
    <w:p w14:paraId="408D855A" w14:textId="77777777" w:rsidR="00EE3EB9" w:rsidRPr="003A1E3D" w:rsidRDefault="00EE3EB9" w:rsidP="00EE3EB9">
      <w:pPr>
        <w:pStyle w:val="Prrafodelista"/>
        <w:spacing w:before="200" w:after="200"/>
        <w:ind w:left="1701" w:hanging="1559"/>
        <w:jc w:val="both"/>
        <w:rPr>
          <w:rFonts w:ascii="Arial" w:hAnsi="Arial" w:cs="Arial"/>
          <w:lang w:eastAsia="ar-SA"/>
        </w:rPr>
      </w:pPr>
      <w:proofErr w:type="gramStart"/>
      <w:r w:rsidRPr="003A1E3D">
        <w:rPr>
          <w:rFonts w:ascii="Arial" w:hAnsi="Arial" w:cs="Arial"/>
          <w:i/>
          <w:lang w:eastAsia="ar-SA"/>
        </w:rPr>
        <w:t>VSNE</w:t>
      </w:r>
      <w:r w:rsidRPr="003A1E3D">
        <w:rPr>
          <w:rFonts w:ascii="Arial" w:hAnsi="Arial" w:cs="Arial"/>
          <w:i/>
          <w:vertAlign w:val="subscript"/>
          <w:lang w:eastAsia="ar-SA"/>
        </w:rPr>
        <w:t>i,j</w:t>
      </w:r>
      <w:proofErr w:type="gramEnd"/>
      <w:r w:rsidRPr="003A1E3D">
        <w:rPr>
          <w:rFonts w:ascii="Arial" w:hAnsi="Arial" w:cs="Arial"/>
          <w:i/>
          <w:vertAlign w:val="subscript"/>
          <w:lang w:eastAsia="ar-SA"/>
        </w:rPr>
        <w:t>,m-1</w:t>
      </w:r>
      <w:r w:rsidRPr="003A1E3D">
        <w:rPr>
          <w:rFonts w:ascii="Arial" w:hAnsi="Arial" w:cs="Arial"/>
          <w:i/>
          <w:lang w:eastAsia="ar-SA"/>
        </w:rPr>
        <w:t>:</w:t>
      </w:r>
      <w:r w:rsidRPr="003A1E3D">
        <w:rPr>
          <w:rFonts w:ascii="Arial" w:hAnsi="Arial" w:cs="Arial"/>
          <w:i/>
          <w:iCs/>
          <w:lang w:eastAsia="ar-SA"/>
        </w:rPr>
        <w:t xml:space="preserve"> </w:t>
      </w:r>
      <w:r w:rsidRPr="003A1E3D">
        <w:rPr>
          <w:rFonts w:ascii="Arial" w:hAnsi="Arial" w:cs="Arial"/>
          <w:i/>
          <w:iCs/>
          <w:lang w:eastAsia="ar-SA"/>
        </w:rPr>
        <w:tab/>
      </w:r>
      <w:r w:rsidRPr="003A1E3D">
        <w:rPr>
          <w:rFonts w:ascii="Arial" w:hAnsi="Arial" w:cs="Arial"/>
          <w:lang w:eastAsia="ar-SA"/>
        </w:rPr>
        <w:t xml:space="preserve">Ventas realizadas por el comercializador </w:t>
      </w:r>
      <w:r w:rsidRPr="003A1E3D">
        <w:rPr>
          <w:rFonts w:ascii="Arial" w:hAnsi="Arial" w:cs="Arial"/>
          <w:i/>
          <w:lang w:eastAsia="ar-SA"/>
        </w:rPr>
        <w:t>i</w:t>
      </w:r>
      <w:r w:rsidRPr="003A1E3D">
        <w:rPr>
          <w:rFonts w:ascii="Arial" w:hAnsi="Arial" w:cs="Arial"/>
          <w:lang w:eastAsia="ar-SA"/>
        </w:rPr>
        <w:t xml:space="preserve">, en el mercado </w:t>
      </w:r>
      <w:r w:rsidRPr="003A1E3D">
        <w:rPr>
          <w:rFonts w:ascii="Arial" w:hAnsi="Arial" w:cs="Arial"/>
          <w:i/>
          <w:lang w:eastAsia="ar-SA"/>
        </w:rPr>
        <w:t>j</w:t>
      </w:r>
      <w:r w:rsidRPr="003A1E3D">
        <w:rPr>
          <w:rFonts w:ascii="Arial" w:hAnsi="Arial" w:cs="Arial"/>
          <w:lang w:eastAsia="ar-SA"/>
        </w:rPr>
        <w:t xml:space="preserve">, a usuarios ubicados en barrios subnormales que al 31 de diciembre del año 2013 estaban siendo atendidos por un comercializador diferente al integrado al operador de red, para el mes </w:t>
      </w:r>
      <w:r w:rsidRPr="003A1E3D">
        <w:rPr>
          <w:rFonts w:ascii="Arial" w:hAnsi="Arial" w:cs="Arial"/>
          <w:i/>
          <w:lang w:eastAsia="ar-SA"/>
        </w:rPr>
        <w:t>m-1</w:t>
      </w:r>
      <w:r w:rsidRPr="003A1E3D">
        <w:rPr>
          <w:rFonts w:ascii="Arial" w:hAnsi="Arial" w:cs="Arial"/>
          <w:lang w:eastAsia="ar-SA"/>
        </w:rPr>
        <w:t>. Esta variable se expresa en kilovatios hora (kWh).</w:t>
      </w:r>
    </w:p>
    <w:p w14:paraId="1041AE95" w14:textId="77777777" w:rsidR="00EE3EB9" w:rsidRPr="003A1E3D" w:rsidRDefault="00EE3EB9" w:rsidP="00EE3EB9">
      <w:pPr>
        <w:spacing w:before="200" w:after="200"/>
        <w:ind w:left="1701" w:right="47" w:hanging="1559"/>
        <w:rPr>
          <w:rFonts w:ascii="Arial" w:hAnsi="Arial" w:cs="Arial"/>
        </w:rPr>
      </w:pPr>
      <w:r w:rsidRPr="003A1E3D">
        <w:rPr>
          <w:rFonts w:ascii="Arial" w:hAnsi="Arial" w:cs="Arial"/>
          <w:i/>
        </w:rPr>
        <w:t>RCNU</w:t>
      </w:r>
      <w:r w:rsidRPr="003A1E3D">
        <w:rPr>
          <w:rFonts w:ascii="Arial" w:hAnsi="Arial" w:cs="Arial"/>
        </w:rPr>
        <w:t>:</w:t>
      </w:r>
      <w:r w:rsidRPr="003A1E3D">
        <w:rPr>
          <w:rFonts w:ascii="Arial" w:hAnsi="Arial" w:cs="Arial"/>
        </w:rPr>
        <w:tab/>
        <w:t xml:space="preserve">Prima </w:t>
      </w:r>
      <w:r w:rsidRPr="003A1E3D">
        <w:rPr>
          <w:rFonts w:ascii="Arial" w:hAnsi="Arial" w:cs="Arial"/>
          <w:lang w:eastAsia="ar-SA"/>
        </w:rPr>
        <w:t xml:space="preserve">de riesgo de cartera a reconocer al </w:t>
      </w:r>
      <w:bookmarkStart w:id="11" w:name="_Hlk143784011"/>
      <w:r w:rsidRPr="003A1E3D">
        <w:rPr>
          <w:rFonts w:ascii="Arial" w:hAnsi="Arial" w:cs="Arial"/>
          <w:lang w:eastAsia="ar-SA"/>
        </w:rPr>
        <w:t xml:space="preserve">comercializador por atender nuevos </w:t>
      </w:r>
      <w:r w:rsidRPr="003A1E3D">
        <w:rPr>
          <w:rFonts w:ascii="Arial" w:hAnsi="Arial" w:cs="Arial"/>
        </w:rPr>
        <w:t>usuarios regulados incorporados al SIN mediante planes de expansión de cobertura</w:t>
      </w:r>
      <w:bookmarkEnd w:id="11"/>
      <w:r w:rsidRPr="003A1E3D">
        <w:rPr>
          <w:rFonts w:ascii="Arial" w:hAnsi="Arial" w:cs="Arial"/>
        </w:rPr>
        <w:t>, de conformidad con la política pública definida por el Ministerio de Minas y Energía.</w:t>
      </w:r>
    </w:p>
    <w:p w14:paraId="42D33849" w14:textId="77777777" w:rsidR="00EE3EB9" w:rsidRPr="003A1E3D" w:rsidRDefault="00EE3EB9" w:rsidP="00EE3EB9">
      <w:pPr>
        <w:spacing w:before="200" w:after="200"/>
        <w:ind w:left="1701" w:right="47" w:hanging="1559"/>
        <w:rPr>
          <w:rFonts w:ascii="Arial" w:hAnsi="Arial" w:cs="Arial"/>
        </w:rPr>
      </w:pPr>
      <w:proofErr w:type="gramStart"/>
      <w:r w:rsidRPr="003A1E3D">
        <w:rPr>
          <w:rFonts w:ascii="Arial" w:hAnsi="Arial" w:cs="Arial"/>
          <w:i/>
        </w:rPr>
        <w:t>VNU</w:t>
      </w:r>
      <w:r w:rsidRPr="003A1E3D">
        <w:rPr>
          <w:rFonts w:ascii="Arial" w:hAnsi="Arial" w:cs="Arial"/>
          <w:i/>
          <w:vertAlign w:val="subscript"/>
        </w:rPr>
        <w:t>i,j</w:t>
      </w:r>
      <w:proofErr w:type="gramEnd"/>
      <w:r w:rsidRPr="003A1E3D">
        <w:rPr>
          <w:rFonts w:ascii="Arial" w:hAnsi="Arial" w:cs="Arial"/>
          <w:i/>
          <w:vertAlign w:val="subscript"/>
        </w:rPr>
        <w:t>,m-1</w:t>
      </w:r>
      <w:r w:rsidRPr="003A1E3D">
        <w:rPr>
          <w:rFonts w:ascii="Arial" w:hAnsi="Arial" w:cs="Arial"/>
        </w:rPr>
        <w:t>:</w:t>
      </w:r>
      <w:r w:rsidRPr="003A1E3D">
        <w:rPr>
          <w:rFonts w:ascii="Arial" w:hAnsi="Arial" w:cs="Arial"/>
        </w:rPr>
        <w:tab/>
        <w:t xml:space="preserve">Ventas a los nuevos usuarios regulados incorporados al SIN, atendidos por el comercializador </w:t>
      </w:r>
      <w:r w:rsidRPr="003A1E3D">
        <w:rPr>
          <w:rFonts w:ascii="Arial" w:hAnsi="Arial" w:cs="Arial"/>
          <w:i/>
          <w:lang w:eastAsia="ar-SA"/>
        </w:rPr>
        <w:t>i</w:t>
      </w:r>
      <w:r w:rsidRPr="003A1E3D">
        <w:rPr>
          <w:rFonts w:ascii="Arial" w:hAnsi="Arial" w:cs="Arial"/>
        </w:rPr>
        <w:t xml:space="preserve">, en el mercado de comercialización </w:t>
      </w:r>
      <w:r w:rsidRPr="003A1E3D">
        <w:rPr>
          <w:rFonts w:ascii="Arial" w:hAnsi="Arial" w:cs="Arial"/>
          <w:i/>
          <w:lang w:eastAsia="ar-SA"/>
        </w:rPr>
        <w:t>j</w:t>
      </w:r>
      <w:r w:rsidRPr="003A1E3D">
        <w:rPr>
          <w:rFonts w:ascii="Arial" w:hAnsi="Arial" w:cs="Arial"/>
        </w:rPr>
        <w:t xml:space="preserve">, en el mes </w:t>
      </w:r>
      <w:r w:rsidRPr="003A1E3D">
        <w:rPr>
          <w:rFonts w:ascii="Arial" w:hAnsi="Arial" w:cs="Arial"/>
          <w:i/>
          <w:lang w:eastAsia="ar-SA"/>
        </w:rPr>
        <w:t>m-1</w:t>
      </w:r>
      <w:r w:rsidRPr="003A1E3D">
        <w:rPr>
          <w:rFonts w:ascii="Arial" w:hAnsi="Arial" w:cs="Arial"/>
        </w:rPr>
        <w:t xml:space="preserve">. Esta variable se expresa en </w:t>
      </w:r>
      <w:r w:rsidRPr="003A1E3D">
        <w:rPr>
          <w:rFonts w:ascii="Arial" w:hAnsi="Arial" w:cs="Arial"/>
          <w:lang w:eastAsia="ar-SA"/>
        </w:rPr>
        <w:t>kilovatios hora (kWh)</w:t>
      </w:r>
      <w:r w:rsidRPr="003A1E3D">
        <w:rPr>
          <w:rFonts w:ascii="Arial" w:hAnsi="Arial" w:cs="Arial"/>
        </w:rPr>
        <w:t>.</w:t>
      </w:r>
    </w:p>
    <w:p w14:paraId="3C231E2A" w14:textId="77777777" w:rsidR="00EE3EB9" w:rsidRPr="003A1E3D" w:rsidRDefault="00EE3EB9" w:rsidP="00EE3EB9">
      <w:pPr>
        <w:ind w:left="1701" w:right="47" w:hanging="1559"/>
        <w:rPr>
          <w:rFonts w:ascii="Arial" w:hAnsi="Arial" w:cs="Arial"/>
          <w:lang w:eastAsia="ar-SA"/>
        </w:rPr>
      </w:pPr>
      <w:proofErr w:type="gramStart"/>
      <w:r w:rsidRPr="003A1E3D">
        <w:rPr>
          <w:rFonts w:ascii="Arial" w:hAnsi="Arial" w:cs="Arial"/>
          <w:i/>
          <w:lang w:eastAsia="ar-SA"/>
        </w:rPr>
        <w:t>VRC</w:t>
      </w:r>
      <w:r w:rsidRPr="003A1E3D">
        <w:rPr>
          <w:rFonts w:ascii="Arial" w:hAnsi="Arial" w:cs="Arial"/>
          <w:i/>
          <w:vertAlign w:val="subscript"/>
          <w:lang w:eastAsia="ar-SA"/>
        </w:rPr>
        <w:t>i,j</w:t>
      </w:r>
      <w:proofErr w:type="gramEnd"/>
      <w:r w:rsidRPr="003A1E3D">
        <w:rPr>
          <w:rFonts w:ascii="Arial" w:hAnsi="Arial" w:cs="Arial"/>
          <w:i/>
          <w:vertAlign w:val="subscript"/>
          <w:lang w:eastAsia="ar-SA"/>
        </w:rPr>
        <w:t>,m-1</w:t>
      </w:r>
      <w:r w:rsidRPr="003A1E3D">
        <w:rPr>
          <w:rFonts w:ascii="Arial" w:hAnsi="Arial" w:cs="Arial"/>
          <w:lang w:eastAsia="ar-SA"/>
        </w:rPr>
        <w:t>:</w:t>
      </w:r>
      <w:r w:rsidRPr="003A1E3D">
        <w:rPr>
          <w:rFonts w:ascii="Arial" w:hAnsi="Arial" w:cs="Arial"/>
          <w:lang w:eastAsia="ar-SA"/>
        </w:rPr>
        <w:tab/>
        <w:t xml:space="preserve">Ventas totales a usuarios regulados realizadas por el comercializador </w:t>
      </w:r>
      <w:r w:rsidRPr="003A1E3D">
        <w:rPr>
          <w:rFonts w:ascii="Arial" w:hAnsi="Arial" w:cs="Arial"/>
          <w:i/>
          <w:lang w:eastAsia="ar-SA"/>
        </w:rPr>
        <w:t>i</w:t>
      </w:r>
      <w:r w:rsidRPr="003A1E3D">
        <w:rPr>
          <w:rFonts w:ascii="Arial" w:hAnsi="Arial" w:cs="Arial"/>
          <w:lang w:eastAsia="ar-SA"/>
        </w:rPr>
        <w:t xml:space="preserve">, en el mercado </w:t>
      </w:r>
      <w:r w:rsidRPr="003A1E3D">
        <w:rPr>
          <w:rFonts w:ascii="Arial" w:hAnsi="Arial" w:cs="Arial"/>
          <w:i/>
          <w:lang w:eastAsia="ar-SA"/>
        </w:rPr>
        <w:t>j</w:t>
      </w:r>
      <w:r w:rsidRPr="003A1E3D">
        <w:rPr>
          <w:rFonts w:ascii="Arial" w:hAnsi="Arial" w:cs="Arial"/>
          <w:lang w:eastAsia="ar-SA"/>
        </w:rPr>
        <w:t xml:space="preserve">, en el mes </w:t>
      </w:r>
      <w:r w:rsidRPr="003A1E3D">
        <w:rPr>
          <w:rFonts w:ascii="Arial" w:hAnsi="Arial" w:cs="Arial"/>
          <w:i/>
          <w:lang w:eastAsia="ar-SA"/>
        </w:rPr>
        <w:t>m-1</w:t>
      </w:r>
      <w:r w:rsidRPr="003A1E3D">
        <w:rPr>
          <w:rFonts w:ascii="Arial" w:hAnsi="Arial" w:cs="Arial"/>
          <w:lang w:eastAsia="ar-SA"/>
        </w:rPr>
        <w:t>, expresadas en kilovatios hora (kWh).</w:t>
      </w:r>
    </w:p>
    <w:p w14:paraId="0F49A179" w14:textId="58BBD2DE" w:rsidR="002A717B" w:rsidRPr="00BA55C5" w:rsidRDefault="00BA55C5" w:rsidP="00BA55C5">
      <w:pPr>
        <w:ind w:right="47"/>
        <w:rPr>
          <w:rFonts w:ascii="Arial" w:eastAsiaTheme="majorEastAsia" w:hAnsi="Arial" w:cs="Arial"/>
          <w:b/>
          <w:bCs/>
        </w:rPr>
      </w:pPr>
      <w:r w:rsidRPr="00BA55C5">
        <w:rPr>
          <w:rFonts w:ascii="Arial" w:eastAsiaTheme="majorEastAsia" w:hAnsi="Arial" w:cs="Arial"/>
          <w:b/>
          <w:bCs/>
        </w:rPr>
        <w:lastRenderedPageBreak/>
        <w:t xml:space="preserve">Riesgo de </w:t>
      </w:r>
      <w:r>
        <w:rPr>
          <w:rFonts w:ascii="Arial" w:eastAsiaTheme="majorEastAsia" w:hAnsi="Arial" w:cs="Arial"/>
          <w:b/>
          <w:bCs/>
        </w:rPr>
        <w:t>C</w:t>
      </w:r>
      <w:r w:rsidRPr="00BA55C5">
        <w:rPr>
          <w:rFonts w:ascii="Arial" w:eastAsiaTheme="majorEastAsia" w:hAnsi="Arial" w:cs="Arial"/>
          <w:b/>
          <w:bCs/>
        </w:rPr>
        <w:t xml:space="preserve">artera a </w:t>
      </w:r>
      <w:r>
        <w:rPr>
          <w:rFonts w:ascii="Arial" w:eastAsiaTheme="majorEastAsia" w:hAnsi="Arial" w:cs="Arial"/>
          <w:b/>
          <w:bCs/>
        </w:rPr>
        <w:t>U</w:t>
      </w:r>
      <w:r w:rsidRPr="00BA55C5">
        <w:rPr>
          <w:rFonts w:ascii="Arial" w:eastAsiaTheme="majorEastAsia" w:hAnsi="Arial" w:cs="Arial"/>
          <w:b/>
          <w:bCs/>
        </w:rPr>
        <w:t>suarios Tradicionales</w:t>
      </w:r>
    </w:p>
    <w:p w14:paraId="0D2D7CB0" w14:textId="5A92517B" w:rsidR="00BA55C5" w:rsidRPr="00115F4D" w:rsidRDefault="00BA55C5" w:rsidP="00BA55C5">
      <w:pPr>
        <w:spacing w:after="0"/>
        <w:jc w:val="both"/>
        <w:rPr>
          <w:rFonts w:ascii="Arial" w:hAnsi="Arial" w:cs="Arial"/>
          <w:lang w:eastAsia="es-CO"/>
        </w:rPr>
      </w:pPr>
      <w:r w:rsidRPr="00115F4D">
        <w:rPr>
          <w:rFonts w:ascii="Arial" w:hAnsi="Arial" w:cs="Arial"/>
        </w:rPr>
        <w:t xml:space="preserve">En la resolución 180 de 2014 se estableció que el valor de la variable </w:t>
      </w:r>
      <w:r w:rsidRPr="00115F4D">
        <w:rPr>
          <w:rFonts w:ascii="Arial" w:hAnsi="Arial" w:cs="Arial"/>
          <w:bCs/>
          <w:i/>
          <w:lang w:eastAsia="ar-SA"/>
        </w:rPr>
        <w:t>RCT</w:t>
      </w:r>
      <w:r w:rsidRPr="00115F4D">
        <w:rPr>
          <w:rFonts w:ascii="Arial" w:hAnsi="Arial" w:cs="Arial"/>
          <w:bCs/>
          <w:i/>
          <w:vertAlign w:val="subscript"/>
          <w:lang w:eastAsia="ar-SA"/>
        </w:rPr>
        <w:t>j</w:t>
      </w:r>
      <w:r w:rsidRPr="00115F4D">
        <w:rPr>
          <w:rFonts w:ascii="Arial" w:hAnsi="Arial" w:cs="Arial"/>
          <w:color w:val="000000"/>
        </w:rPr>
        <w:t xml:space="preserve"> será calculado </w:t>
      </w:r>
      <w:r w:rsidRPr="00115F4D">
        <w:rPr>
          <w:rFonts w:ascii="Arial" w:hAnsi="Arial" w:cs="Arial"/>
          <w:lang w:eastAsia="es-CO"/>
        </w:rPr>
        <w:t xml:space="preserve">para cada mercado de comercialización </w:t>
      </w:r>
      <w:r w:rsidRPr="00115F4D">
        <w:rPr>
          <w:rFonts w:ascii="Arial" w:hAnsi="Arial" w:cs="Arial"/>
          <w:i/>
          <w:lang w:eastAsia="es-CO"/>
        </w:rPr>
        <w:t>j</w:t>
      </w:r>
      <w:r w:rsidRPr="00115F4D">
        <w:rPr>
          <w:rFonts w:ascii="Arial" w:hAnsi="Arial" w:cs="Arial"/>
          <w:lang w:eastAsia="es-CO"/>
        </w:rPr>
        <w:t>, conforme a la siguiente ecuación:</w:t>
      </w:r>
    </w:p>
    <w:p w14:paraId="344F2F1B" w14:textId="77777777" w:rsidR="00BA55C5" w:rsidRPr="00115F4D" w:rsidRDefault="00E42F3C" w:rsidP="00BA55C5">
      <w:pPr>
        <w:ind w:right="47"/>
        <w:rPr>
          <w:rFonts w:cs="Arial"/>
          <w:i/>
        </w:rPr>
      </w:pPr>
      <m:oMathPara>
        <m:oMath>
          <m:sSub>
            <m:sSubPr>
              <m:ctrlPr>
                <w:rPr>
                  <w:rFonts w:ascii="Cambria Math" w:hAnsi="Cambria Math" w:cs="Arial"/>
                  <w:i/>
                </w:rPr>
              </m:ctrlPr>
            </m:sSubPr>
            <m:e>
              <m:r>
                <w:rPr>
                  <w:rFonts w:ascii="Cambria Math" w:hAnsi="Cambria Math" w:cs="Arial"/>
                </w:rPr>
                <m:t>RCT</m:t>
              </m:r>
            </m:e>
            <m:sub>
              <m:r>
                <w:rPr>
                  <w:rFonts w:ascii="Cambria Math" w:hAnsi="Cambria Math" w:cs="Arial"/>
                </w:rPr>
                <m:t>j</m:t>
              </m:r>
            </m:sub>
          </m:sSub>
          <m:r>
            <w:rPr>
              <w:rFonts w:ascii="Cambria Math" w:hAnsi="Cambria Math" w:cs="Arial"/>
            </w:rPr>
            <m:t>=</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e=1</m:t>
                  </m:r>
                </m:sub>
                <m:sup>
                  <m:r>
                    <w:rPr>
                      <w:rFonts w:ascii="Cambria Math" w:hAnsi="Cambria Math" w:cs="Arial"/>
                    </w:rPr>
                    <m:t>n</m:t>
                  </m:r>
                </m:sup>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j,e</m:t>
                              </m:r>
                            </m:sub>
                          </m:sSub>
                        </m:num>
                        <m:den>
                          <m:r>
                            <w:rPr>
                              <w:rFonts w:ascii="Cambria Math" w:hAnsi="Cambria Math" w:cs="Arial"/>
                            </w:rPr>
                            <m:t>5</m:t>
                          </m:r>
                        </m:den>
                      </m:f>
                      <m:r>
                        <w:rPr>
                          <w:rFonts w:ascii="Cambria Math" w:hAnsi="Cambria Math" w:cs="Arial"/>
                        </w:rPr>
                        <m:t>×</m:t>
                      </m:r>
                      <m:sSub>
                        <m:sSubPr>
                          <m:ctrlPr>
                            <w:rPr>
                              <w:rFonts w:ascii="Cambria Math" w:hAnsi="Cambria Math" w:cs="Arial"/>
                              <w:i/>
                            </w:rPr>
                          </m:ctrlPr>
                        </m:sSubPr>
                        <m:e>
                          <m:r>
                            <w:rPr>
                              <w:rFonts w:ascii="Cambria Math" w:hAnsi="Cambria Math" w:cs="Arial"/>
                            </w:rPr>
                            <m:t>3×CFM</m:t>
                          </m:r>
                        </m:e>
                        <m:sub>
                          <m:r>
                            <w:rPr>
                              <w:rFonts w:ascii="Cambria Math" w:hAnsi="Cambria Math" w:cs="Arial"/>
                            </w:rPr>
                            <m:t>e,j,t-1</m:t>
                          </m:r>
                        </m:sub>
                      </m:sSub>
                      <m:r>
                        <w:rPr>
                          <w:rFonts w:ascii="Cambria Math" w:hAnsi="Cambria Math" w:cs="Arial"/>
                        </w:rPr>
                        <m:t>×</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Sub</m:t>
                              </m:r>
                            </m:e>
                            <m:sub>
                              <m:r>
                                <w:rPr>
                                  <w:rFonts w:ascii="Cambria Math" w:hAnsi="Cambria Math" w:cs="Arial"/>
                                </w:rPr>
                                <m:t>e,j,t-1</m:t>
                              </m:r>
                            </m:sub>
                          </m:sSub>
                        </m:e>
                      </m:d>
                    </m:e>
                  </m:d>
                </m:e>
              </m:nary>
            </m:num>
            <m:den>
              <m:sSub>
                <m:sSubPr>
                  <m:ctrlPr>
                    <w:rPr>
                      <w:rFonts w:ascii="Cambria Math" w:hAnsi="Cambria Math" w:cs="Arial"/>
                      <w:i/>
                    </w:rPr>
                  </m:ctrlPr>
                </m:sSubPr>
                <m:e>
                  <m:r>
                    <w:rPr>
                      <w:rFonts w:ascii="Cambria Math" w:hAnsi="Cambria Math" w:cs="Arial"/>
                    </w:rPr>
                    <m:t>VR</m:t>
                  </m:r>
                </m:e>
                <m:sub>
                  <m:r>
                    <w:rPr>
                      <w:rFonts w:ascii="Cambria Math" w:hAnsi="Cambria Math" w:cs="Arial"/>
                    </w:rPr>
                    <m:t>j,t-1,</m:t>
                  </m:r>
                </m:sub>
              </m:sSub>
            </m:den>
          </m:f>
        </m:oMath>
      </m:oMathPara>
    </w:p>
    <w:p w14:paraId="5CCEF354" w14:textId="77777777" w:rsidR="00BA55C5" w:rsidRPr="00115F4D" w:rsidRDefault="00BA55C5" w:rsidP="00BA55C5">
      <w:pPr>
        <w:spacing w:before="200" w:after="200"/>
        <w:ind w:right="45"/>
        <w:rPr>
          <w:rFonts w:ascii="Arial" w:hAnsi="Arial" w:cs="Arial"/>
        </w:rPr>
      </w:pPr>
      <w:r w:rsidRPr="00115F4D">
        <w:rPr>
          <w:rFonts w:ascii="Arial" w:hAnsi="Arial" w:cs="Arial"/>
        </w:rPr>
        <w:t>Donde:</w:t>
      </w:r>
    </w:p>
    <w:p w14:paraId="0A59B32A" w14:textId="77777777" w:rsidR="00BA55C5" w:rsidRPr="00115F4D" w:rsidRDefault="00BA55C5" w:rsidP="00BA55C5">
      <w:pPr>
        <w:spacing w:before="200" w:after="200"/>
        <w:ind w:left="1560" w:right="45" w:hanging="1560"/>
        <w:rPr>
          <w:rFonts w:ascii="Arial" w:hAnsi="Arial" w:cs="Arial"/>
        </w:rPr>
      </w:pPr>
      <w:r w:rsidRPr="00115F4D">
        <w:rPr>
          <w:rFonts w:ascii="Arial" w:hAnsi="Arial" w:cs="Arial"/>
          <w:bCs/>
          <w:i/>
          <w:lang w:eastAsia="ar-SA"/>
        </w:rPr>
        <w:t>RCT</w:t>
      </w:r>
      <w:r w:rsidRPr="00115F4D">
        <w:rPr>
          <w:rFonts w:ascii="Arial" w:hAnsi="Arial" w:cs="Arial"/>
          <w:bCs/>
          <w:i/>
          <w:vertAlign w:val="subscript"/>
          <w:lang w:eastAsia="ar-SA"/>
        </w:rPr>
        <w:t>j</w:t>
      </w:r>
      <w:r w:rsidRPr="00115F4D">
        <w:rPr>
          <w:rFonts w:ascii="Arial" w:hAnsi="Arial" w:cs="Arial"/>
        </w:rPr>
        <w:t>:</w:t>
      </w:r>
      <w:r w:rsidRPr="00115F4D">
        <w:rPr>
          <w:rFonts w:ascii="Arial" w:hAnsi="Arial" w:cs="Arial"/>
        </w:rPr>
        <w:tab/>
        <w:t xml:space="preserve">Prima por el riesgo de cartera no gestionable de los usuarios tradicionales del mercado de comercialización </w:t>
      </w:r>
      <w:r w:rsidRPr="00115F4D">
        <w:rPr>
          <w:rFonts w:ascii="Arial" w:hAnsi="Arial" w:cs="Arial"/>
          <w:i/>
        </w:rPr>
        <w:t>j</w:t>
      </w:r>
      <w:r w:rsidRPr="00115F4D">
        <w:rPr>
          <w:rFonts w:ascii="Arial" w:hAnsi="Arial" w:cs="Arial"/>
        </w:rPr>
        <w:t>.</w:t>
      </w:r>
    </w:p>
    <w:p w14:paraId="2E3AF6F9" w14:textId="77777777" w:rsidR="00BA55C5" w:rsidRPr="00115F4D" w:rsidRDefault="00BA55C5" w:rsidP="00BA55C5">
      <w:pPr>
        <w:spacing w:before="200" w:after="200"/>
        <w:ind w:left="1560" w:right="45" w:hanging="1560"/>
        <w:rPr>
          <w:rFonts w:ascii="Arial" w:hAnsi="Arial" w:cs="Arial"/>
        </w:rPr>
      </w:pPr>
      <w:proofErr w:type="gramStart"/>
      <w:r w:rsidRPr="00115F4D">
        <w:rPr>
          <w:rFonts w:ascii="Arial" w:hAnsi="Arial" w:cs="Arial"/>
          <w:i/>
        </w:rPr>
        <w:t>N</w:t>
      </w:r>
      <w:r w:rsidRPr="00115F4D">
        <w:rPr>
          <w:rFonts w:ascii="Arial" w:hAnsi="Arial" w:cs="Arial"/>
          <w:i/>
          <w:vertAlign w:val="subscript"/>
        </w:rPr>
        <w:t>j,e</w:t>
      </w:r>
      <w:proofErr w:type="gramEnd"/>
      <w:r w:rsidRPr="00115F4D">
        <w:rPr>
          <w:rFonts w:ascii="Arial" w:hAnsi="Arial" w:cs="Arial"/>
        </w:rPr>
        <w:t>:</w:t>
      </w:r>
      <w:r w:rsidRPr="00115F4D">
        <w:rPr>
          <w:rFonts w:ascii="Arial" w:hAnsi="Arial" w:cs="Arial"/>
        </w:rPr>
        <w:tab/>
        <w:t xml:space="preserve">Número de usuarios a los que se les cortó y no se les restableció el servicio en el estrato o sector de consumo </w:t>
      </w:r>
      <w:r w:rsidRPr="00115F4D">
        <w:rPr>
          <w:rFonts w:ascii="Arial" w:hAnsi="Arial" w:cs="Arial"/>
          <w:i/>
        </w:rPr>
        <w:t>e</w:t>
      </w:r>
      <w:r w:rsidRPr="00115F4D">
        <w:rPr>
          <w:rFonts w:ascii="Arial" w:hAnsi="Arial" w:cs="Arial"/>
        </w:rPr>
        <w:t xml:space="preserve">, del mercado de comercialización </w:t>
      </w:r>
      <w:r w:rsidRPr="00115F4D">
        <w:rPr>
          <w:rFonts w:ascii="Arial" w:hAnsi="Arial" w:cs="Arial"/>
          <w:i/>
        </w:rPr>
        <w:t>j</w:t>
      </w:r>
      <w:r w:rsidRPr="00115F4D">
        <w:rPr>
          <w:rFonts w:ascii="Arial" w:hAnsi="Arial" w:cs="Arial"/>
        </w:rPr>
        <w:t>, para el periodo 2009 a 2013.</w:t>
      </w:r>
    </w:p>
    <w:p w14:paraId="27218873" w14:textId="0C662950" w:rsidR="00BA55C5" w:rsidRPr="00115F4D" w:rsidRDefault="00BA55C5" w:rsidP="00BA55C5">
      <w:pPr>
        <w:spacing w:before="200" w:after="200"/>
        <w:ind w:left="1560" w:right="45" w:hanging="1560"/>
        <w:rPr>
          <w:rFonts w:ascii="Arial" w:hAnsi="Arial" w:cs="Arial"/>
        </w:rPr>
      </w:pPr>
      <w:proofErr w:type="gramStart"/>
      <w:r w:rsidRPr="00115F4D">
        <w:rPr>
          <w:rFonts w:ascii="Arial" w:hAnsi="Arial" w:cs="Arial"/>
          <w:i/>
        </w:rPr>
        <w:t>CFM</w:t>
      </w:r>
      <w:r w:rsidRPr="00115F4D">
        <w:rPr>
          <w:rFonts w:ascii="Arial" w:hAnsi="Arial" w:cs="Arial"/>
          <w:i/>
          <w:vertAlign w:val="subscript"/>
        </w:rPr>
        <w:t>e,j</w:t>
      </w:r>
      <w:proofErr w:type="gramEnd"/>
      <w:r w:rsidRPr="00115F4D">
        <w:rPr>
          <w:rFonts w:ascii="Arial" w:hAnsi="Arial" w:cs="Arial"/>
          <w:i/>
          <w:vertAlign w:val="subscript"/>
        </w:rPr>
        <w:t>,t-1</w:t>
      </w:r>
      <w:r w:rsidRPr="00115F4D">
        <w:rPr>
          <w:rFonts w:ascii="Arial" w:hAnsi="Arial" w:cs="Arial"/>
        </w:rPr>
        <w:t>:</w:t>
      </w:r>
      <w:r>
        <w:tab/>
      </w:r>
      <w:r w:rsidRPr="00115F4D">
        <w:rPr>
          <w:rFonts w:ascii="Arial" w:hAnsi="Arial" w:cs="Arial"/>
        </w:rPr>
        <w:t xml:space="preserve">Consumo facturado medio para el estrato o sector de consumo </w:t>
      </w:r>
      <w:r w:rsidRPr="00115F4D">
        <w:rPr>
          <w:rFonts w:ascii="Arial" w:hAnsi="Arial" w:cs="Arial"/>
          <w:i/>
        </w:rPr>
        <w:t>e</w:t>
      </w:r>
      <w:r w:rsidRPr="00115F4D">
        <w:rPr>
          <w:rFonts w:ascii="Arial" w:hAnsi="Arial" w:cs="Arial"/>
        </w:rPr>
        <w:t xml:space="preserve">, en el mercado de comercialización </w:t>
      </w:r>
      <w:r w:rsidRPr="00115F4D">
        <w:rPr>
          <w:rFonts w:ascii="Arial" w:hAnsi="Arial" w:cs="Arial"/>
          <w:i/>
        </w:rPr>
        <w:t>j</w:t>
      </w:r>
      <w:r w:rsidRPr="00115F4D">
        <w:rPr>
          <w:rFonts w:ascii="Arial" w:hAnsi="Arial" w:cs="Arial"/>
        </w:rPr>
        <w:t xml:space="preserve">. Calculado como las ventas totales en kWh divididas entre el total de facturas, para el año </w:t>
      </w:r>
      <w:r w:rsidRPr="5E645FEB">
        <w:rPr>
          <w:rFonts w:ascii="Arial" w:hAnsi="Arial" w:cs="Arial"/>
          <w:i/>
          <w:iCs/>
        </w:rPr>
        <w:t>t</w:t>
      </w:r>
      <w:r w:rsidR="00714135">
        <w:rPr>
          <w:rFonts w:ascii="Arial" w:hAnsi="Arial" w:cs="Arial"/>
          <w:i/>
          <w:iCs/>
        </w:rPr>
        <w:t>-</w:t>
      </w:r>
      <w:r w:rsidRPr="5E645FEB">
        <w:rPr>
          <w:rFonts w:ascii="Arial" w:hAnsi="Arial" w:cs="Arial"/>
          <w:i/>
          <w:iCs/>
        </w:rPr>
        <w:t>1</w:t>
      </w:r>
      <w:r w:rsidRPr="00115F4D">
        <w:rPr>
          <w:rFonts w:ascii="Arial" w:hAnsi="Arial" w:cs="Arial"/>
        </w:rPr>
        <w:t>.</w:t>
      </w:r>
    </w:p>
    <w:p w14:paraId="4C7C5D06" w14:textId="1EB044B8" w:rsidR="00BA55C5" w:rsidRPr="00115F4D" w:rsidRDefault="00BA55C5" w:rsidP="00BA55C5">
      <w:pPr>
        <w:spacing w:before="200" w:after="200"/>
        <w:ind w:left="1560" w:right="45" w:hanging="1560"/>
        <w:rPr>
          <w:rFonts w:ascii="Arial" w:hAnsi="Arial" w:cs="Arial"/>
        </w:rPr>
      </w:pPr>
      <w:proofErr w:type="gramStart"/>
      <w:r w:rsidRPr="00115F4D">
        <w:rPr>
          <w:rFonts w:ascii="Arial" w:hAnsi="Arial" w:cs="Arial"/>
          <w:i/>
        </w:rPr>
        <w:t>Sub</w:t>
      </w:r>
      <w:r w:rsidRPr="00115F4D">
        <w:rPr>
          <w:rFonts w:ascii="Arial" w:hAnsi="Arial" w:cs="Arial"/>
          <w:i/>
          <w:vertAlign w:val="subscript"/>
        </w:rPr>
        <w:t>e,j</w:t>
      </w:r>
      <w:proofErr w:type="gramEnd"/>
      <w:r w:rsidRPr="00115F4D">
        <w:rPr>
          <w:rFonts w:ascii="Arial" w:hAnsi="Arial" w:cs="Arial"/>
          <w:i/>
          <w:vertAlign w:val="subscript"/>
        </w:rPr>
        <w:t>,t-1</w:t>
      </w:r>
      <w:r w:rsidRPr="00115F4D">
        <w:rPr>
          <w:rFonts w:ascii="Arial" w:hAnsi="Arial" w:cs="Arial"/>
        </w:rPr>
        <w:t>:</w:t>
      </w:r>
      <w:r>
        <w:tab/>
      </w:r>
      <w:r w:rsidRPr="00115F4D">
        <w:rPr>
          <w:rFonts w:ascii="Arial" w:hAnsi="Arial" w:cs="Arial"/>
        </w:rPr>
        <w:t xml:space="preserve">Relación entre los subsidios y el total facturado en el estrato o sector de consumo </w:t>
      </w:r>
      <w:r w:rsidRPr="00115F4D">
        <w:rPr>
          <w:rFonts w:ascii="Arial" w:hAnsi="Arial" w:cs="Arial"/>
          <w:i/>
        </w:rPr>
        <w:t>e</w:t>
      </w:r>
      <w:r w:rsidRPr="00115F4D">
        <w:rPr>
          <w:rFonts w:ascii="Arial" w:hAnsi="Arial" w:cs="Arial"/>
        </w:rPr>
        <w:t xml:space="preserve">, del mercado de comercialización </w:t>
      </w:r>
      <w:r w:rsidRPr="00115F4D">
        <w:rPr>
          <w:rFonts w:ascii="Arial" w:hAnsi="Arial" w:cs="Arial"/>
          <w:i/>
        </w:rPr>
        <w:t>j</w:t>
      </w:r>
      <w:r w:rsidRPr="00115F4D">
        <w:rPr>
          <w:rFonts w:ascii="Arial" w:hAnsi="Arial" w:cs="Arial"/>
        </w:rPr>
        <w:t xml:space="preserve">, para el año </w:t>
      </w:r>
      <w:r w:rsidRPr="17F749F4">
        <w:rPr>
          <w:rFonts w:ascii="Arial" w:hAnsi="Arial" w:cs="Arial"/>
          <w:i/>
          <w:iCs/>
        </w:rPr>
        <w:t>t</w:t>
      </w:r>
      <w:r w:rsidR="00614D42">
        <w:rPr>
          <w:rFonts w:ascii="Arial" w:hAnsi="Arial" w:cs="Arial"/>
          <w:i/>
          <w:iCs/>
        </w:rPr>
        <w:t>-</w:t>
      </w:r>
      <w:r w:rsidRPr="17F749F4">
        <w:rPr>
          <w:rFonts w:ascii="Arial" w:hAnsi="Arial" w:cs="Arial"/>
          <w:i/>
          <w:iCs/>
        </w:rPr>
        <w:t>1</w:t>
      </w:r>
      <w:r w:rsidRPr="00115F4D">
        <w:rPr>
          <w:rFonts w:ascii="Arial" w:hAnsi="Arial" w:cs="Arial"/>
        </w:rPr>
        <w:t>.</w:t>
      </w:r>
    </w:p>
    <w:p w14:paraId="5A098053" w14:textId="1C92FAA3" w:rsidR="00BA55C5" w:rsidRPr="00115F4D" w:rsidRDefault="00BA55C5" w:rsidP="00BA55C5">
      <w:pPr>
        <w:spacing w:before="200" w:after="200"/>
        <w:ind w:left="1560" w:right="45" w:hanging="1560"/>
        <w:rPr>
          <w:rFonts w:ascii="Arial" w:hAnsi="Arial" w:cs="Arial"/>
          <w:bCs/>
        </w:rPr>
      </w:pPr>
      <w:proofErr w:type="gramStart"/>
      <w:r w:rsidRPr="00115F4D">
        <w:rPr>
          <w:rFonts w:ascii="Arial" w:hAnsi="Arial" w:cs="Arial"/>
          <w:i/>
        </w:rPr>
        <w:t>VR</w:t>
      </w:r>
      <w:r w:rsidRPr="00115F4D">
        <w:rPr>
          <w:rFonts w:ascii="Arial" w:hAnsi="Arial" w:cs="Arial"/>
          <w:i/>
          <w:vertAlign w:val="subscript"/>
        </w:rPr>
        <w:t>j,t</w:t>
      </w:r>
      <w:proofErr w:type="gramEnd"/>
      <w:r w:rsidRPr="00115F4D">
        <w:rPr>
          <w:rFonts w:ascii="Arial" w:hAnsi="Arial" w:cs="Arial"/>
          <w:i/>
          <w:vertAlign w:val="subscript"/>
        </w:rPr>
        <w:t>-1</w:t>
      </w:r>
      <w:r w:rsidRPr="00115F4D">
        <w:rPr>
          <w:rFonts w:ascii="Arial" w:hAnsi="Arial" w:cs="Arial"/>
        </w:rPr>
        <w:t>:</w:t>
      </w:r>
      <w:r>
        <w:tab/>
      </w:r>
      <w:r w:rsidRPr="00115F4D">
        <w:rPr>
          <w:rFonts w:ascii="Arial" w:hAnsi="Arial" w:cs="Arial"/>
          <w:bCs/>
        </w:rPr>
        <w:t xml:space="preserve">Ventas totales a usuarios regulados en el mercado de comercialización </w:t>
      </w:r>
      <w:r w:rsidRPr="00115F4D">
        <w:rPr>
          <w:rFonts w:ascii="Arial" w:hAnsi="Arial" w:cs="Arial"/>
          <w:i/>
        </w:rPr>
        <w:t>j</w:t>
      </w:r>
      <w:r w:rsidRPr="00115F4D">
        <w:rPr>
          <w:rFonts w:ascii="Arial" w:hAnsi="Arial" w:cs="Arial"/>
          <w:bCs/>
        </w:rPr>
        <w:t xml:space="preserve">, para el año </w:t>
      </w:r>
      <w:r w:rsidRPr="22F2A7CC">
        <w:rPr>
          <w:rFonts w:ascii="Arial" w:hAnsi="Arial" w:cs="Arial"/>
          <w:i/>
          <w:iCs/>
        </w:rPr>
        <w:t>t</w:t>
      </w:r>
      <w:r w:rsidR="00C705CC">
        <w:rPr>
          <w:rFonts w:ascii="Arial" w:hAnsi="Arial" w:cs="Arial"/>
          <w:i/>
          <w:iCs/>
        </w:rPr>
        <w:t>-</w:t>
      </w:r>
      <w:r w:rsidRPr="22F2A7CC">
        <w:rPr>
          <w:rFonts w:ascii="Arial" w:hAnsi="Arial" w:cs="Arial"/>
          <w:i/>
          <w:iCs/>
        </w:rPr>
        <w:t>1</w:t>
      </w:r>
      <w:r w:rsidRPr="00115F4D">
        <w:rPr>
          <w:rFonts w:ascii="Arial" w:hAnsi="Arial" w:cs="Arial"/>
          <w:bCs/>
        </w:rPr>
        <w:t>, expresadas en kWh.</w:t>
      </w:r>
    </w:p>
    <w:p w14:paraId="398CE57E" w14:textId="77777777" w:rsidR="00BA55C5" w:rsidRPr="00115F4D" w:rsidRDefault="00BA55C5" w:rsidP="00BA55C5">
      <w:pPr>
        <w:spacing w:before="200" w:after="200"/>
        <w:ind w:left="1560" w:right="45" w:hanging="1560"/>
        <w:rPr>
          <w:rFonts w:ascii="Arial" w:hAnsi="Arial" w:cs="Arial"/>
          <w:bCs/>
        </w:rPr>
      </w:pPr>
      <w:r w:rsidRPr="00115F4D">
        <w:rPr>
          <w:rFonts w:ascii="Arial" w:hAnsi="Arial" w:cs="Arial"/>
          <w:i/>
        </w:rPr>
        <w:t>t - 1</w:t>
      </w:r>
      <w:r w:rsidRPr="00115F4D">
        <w:rPr>
          <w:rFonts w:ascii="Arial" w:hAnsi="Arial" w:cs="Arial"/>
        </w:rPr>
        <w:t>:</w:t>
      </w:r>
      <w:r w:rsidRPr="00115F4D">
        <w:rPr>
          <w:rFonts w:ascii="Arial" w:hAnsi="Arial" w:cs="Arial"/>
        </w:rPr>
        <w:tab/>
        <w:t xml:space="preserve">Corresponde al </w:t>
      </w:r>
      <w:r w:rsidRPr="00115F4D">
        <w:rPr>
          <w:rFonts w:ascii="Arial" w:hAnsi="Arial" w:cs="Arial"/>
          <w:bCs/>
        </w:rPr>
        <w:t>año 2013.</w:t>
      </w:r>
    </w:p>
    <w:p w14:paraId="6D4CD77B" w14:textId="3646A9E0" w:rsidR="00BA55C5" w:rsidRPr="00115F4D" w:rsidRDefault="00BA55C5" w:rsidP="00BA55C5">
      <w:pPr>
        <w:jc w:val="both"/>
        <w:rPr>
          <w:rFonts w:ascii="Arial" w:hAnsi="Arial" w:cs="Arial"/>
        </w:rPr>
      </w:pPr>
      <w:r w:rsidRPr="00115F4D">
        <w:rPr>
          <w:rFonts w:ascii="Arial" w:hAnsi="Arial" w:cs="Arial"/>
        </w:rPr>
        <w:t xml:space="preserve">Una vez se estableció la metodología de cálculo del </w:t>
      </w:r>
      <w:r w:rsidRPr="00115F4D">
        <w:rPr>
          <w:rFonts w:ascii="Arial" w:hAnsi="Arial" w:cs="Arial"/>
          <w:bCs/>
          <w:i/>
          <w:lang w:eastAsia="ar-SA"/>
        </w:rPr>
        <w:t>RCT</w:t>
      </w:r>
      <w:r w:rsidRPr="00115F4D">
        <w:rPr>
          <w:rFonts w:ascii="Arial" w:hAnsi="Arial" w:cs="Arial"/>
          <w:bCs/>
          <w:i/>
          <w:vertAlign w:val="subscript"/>
          <w:lang w:eastAsia="ar-SA"/>
        </w:rPr>
        <w:t>j</w:t>
      </w:r>
      <w:r w:rsidRPr="00115F4D">
        <w:rPr>
          <w:rFonts w:ascii="Arial" w:hAnsi="Arial" w:cs="Arial"/>
        </w:rPr>
        <w:t xml:space="preserve">, cada uno de los agentes comercializadores suministraron la información requerida para realizar el cálculo del </w:t>
      </w:r>
      <w:r w:rsidRPr="00115F4D">
        <w:rPr>
          <w:rFonts w:ascii="Arial" w:hAnsi="Arial" w:cs="Arial"/>
          <w:bCs/>
          <w:i/>
          <w:lang w:eastAsia="ar-SA"/>
        </w:rPr>
        <w:t>RCT</w:t>
      </w:r>
      <w:r w:rsidRPr="00115F4D">
        <w:rPr>
          <w:rFonts w:ascii="Arial" w:hAnsi="Arial" w:cs="Arial"/>
          <w:bCs/>
          <w:i/>
          <w:vertAlign w:val="subscript"/>
          <w:lang w:eastAsia="ar-SA"/>
        </w:rPr>
        <w:t>j</w:t>
      </w:r>
      <w:r w:rsidRPr="00115F4D">
        <w:rPr>
          <w:rFonts w:ascii="Arial" w:hAnsi="Arial" w:cs="Arial"/>
        </w:rPr>
        <w:t xml:space="preserve"> con base la ecuación anteriormente presentada. El resultado final del </w:t>
      </w:r>
      <w:r w:rsidRPr="00115F4D">
        <w:rPr>
          <w:rFonts w:ascii="Arial" w:hAnsi="Arial" w:cs="Arial"/>
          <w:bCs/>
          <w:i/>
          <w:lang w:eastAsia="ar-SA"/>
        </w:rPr>
        <w:t>RCT</w:t>
      </w:r>
      <w:r w:rsidRPr="00115F4D">
        <w:rPr>
          <w:rFonts w:ascii="Arial" w:hAnsi="Arial" w:cs="Arial"/>
          <w:bCs/>
          <w:i/>
          <w:vertAlign w:val="subscript"/>
          <w:lang w:eastAsia="ar-SA"/>
        </w:rPr>
        <w:t>j</w:t>
      </w:r>
      <w:r w:rsidRPr="00115F4D">
        <w:rPr>
          <w:rFonts w:ascii="Arial" w:hAnsi="Arial" w:cs="Arial"/>
        </w:rPr>
        <w:t xml:space="preserve"> calculado y aprobado por la CREG para cada comercializador fue publicado en diferentes resoluciones particulares entre los años 2015 y 2016. La resolución, el mercado y el </w:t>
      </w:r>
      <w:r w:rsidRPr="00940F61">
        <w:rPr>
          <w:rFonts w:ascii="Arial" w:hAnsi="Arial" w:cs="Arial"/>
          <w:i/>
          <w:iCs/>
        </w:rPr>
        <w:t xml:space="preserve">RCTj </w:t>
      </w:r>
      <w:r w:rsidRPr="00115F4D">
        <w:rPr>
          <w:rFonts w:ascii="Arial" w:hAnsi="Arial" w:cs="Arial"/>
        </w:rPr>
        <w:t>que se aprobó para cada mercado se presenta a continuación en la</w:t>
      </w:r>
      <w:r w:rsidR="00F67AE7">
        <w:rPr>
          <w:rFonts w:ascii="Arial" w:hAnsi="Arial" w:cs="Arial"/>
        </w:rPr>
        <w:t xml:space="preserve"> </w:t>
      </w:r>
      <w:r w:rsidR="007D7826">
        <w:rPr>
          <w:rFonts w:ascii="Arial" w:hAnsi="Arial" w:cs="Arial"/>
        </w:rPr>
        <w:fldChar w:fldCharType="begin"/>
      </w:r>
      <w:r w:rsidR="007D7826">
        <w:rPr>
          <w:rFonts w:ascii="Arial" w:hAnsi="Arial" w:cs="Arial"/>
        </w:rPr>
        <w:instrText xml:space="preserve"> REF _Ref164888120 \h  \* MERGEFORMAT </w:instrText>
      </w:r>
      <w:r w:rsidR="007D7826">
        <w:rPr>
          <w:rFonts w:ascii="Arial" w:hAnsi="Arial" w:cs="Arial"/>
        </w:rPr>
      </w:r>
      <w:r w:rsidR="007D7826">
        <w:rPr>
          <w:rFonts w:ascii="Arial" w:hAnsi="Arial" w:cs="Arial"/>
        </w:rPr>
        <w:fldChar w:fldCharType="separate"/>
      </w:r>
      <w:r w:rsidR="002A641D" w:rsidRPr="002A641D">
        <w:rPr>
          <w:rFonts w:ascii="Arial" w:hAnsi="Arial" w:cs="Arial"/>
        </w:rPr>
        <w:t>Tabla 1</w:t>
      </w:r>
      <w:r w:rsidR="007D7826">
        <w:rPr>
          <w:rFonts w:ascii="Arial" w:hAnsi="Arial" w:cs="Arial"/>
        </w:rPr>
        <w:fldChar w:fldCharType="end"/>
      </w:r>
      <w:r w:rsidRPr="00115F4D">
        <w:rPr>
          <w:rFonts w:ascii="Arial" w:hAnsi="Arial" w:cs="Arial"/>
        </w:rPr>
        <w:t>.</w:t>
      </w:r>
    </w:p>
    <w:p w14:paraId="4AFEFB66" w14:textId="712D3305" w:rsidR="00D372A5" w:rsidRDefault="00D372A5" w:rsidP="00D372A5">
      <w:pPr>
        <w:pStyle w:val="Descripcin"/>
        <w:spacing w:after="0"/>
        <w:jc w:val="center"/>
        <w:rPr>
          <w:rFonts w:ascii="Arial" w:hAnsi="Arial" w:cs="Arial"/>
          <w:b/>
          <w:bCs/>
          <w:color w:val="auto"/>
        </w:rPr>
      </w:pPr>
      <w:bookmarkStart w:id="12" w:name="_Ref164888120"/>
      <w:r w:rsidRPr="00D372A5">
        <w:rPr>
          <w:rFonts w:ascii="Arial" w:hAnsi="Arial" w:cs="Arial"/>
          <w:b/>
          <w:bCs/>
          <w:color w:val="auto"/>
        </w:rPr>
        <w:t xml:space="preserve">Tabla </w:t>
      </w:r>
      <w:r w:rsidRPr="00D372A5">
        <w:rPr>
          <w:rFonts w:ascii="Arial" w:hAnsi="Arial" w:cs="Arial"/>
          <w:b/>
          <w:bCs/>
          <w:color w:val="auto"/>
        </w:rPr>
        <w:fldChar w:fldCharType="begin"/>
      </w:r>
      <w:r w:rsidRPr="00D372A5">
        <w:rPr>
          <w:rFonts w:ascii="Arial" w:hAnsi="Arial" w:cs="Arial"/>
          <w:b/>
          <w:bCs/>
          <w:color w:val="auto"/>
        </w:rPr>
        <w:instrText xml:space="preserve"> SEQ Tabla \* ARABIC </w:instrText>
      </w:r>
      <w:r w:rsidRPr="00D372A5">
        <w:rPr>
          <w:rFonts w:ascii="Arial" w:hAnsi="Arial" w:cs="Arial"/>
          <w:b/>
          <w:bCs/>
          <w:color w:val="auto"/>
        </w:rPr>
        <w:fldChar w:fldCharType="separate"/>
      </w:r>
      <w:r w:rsidR="002A641D">
        <w:rPr>
          <w:rFonts w:ascii="Arial" w:hAnsi="Arial" w:cs="Arial"/>
          <w:b/>
          <w:bCs/>
          <w:noProof/>
          <w:color w:val="auto"/>
        </w:rPr>
        <w:t>1</w:t>
      </w:r>
      <w:r w:rsidRPr="00D372A5">
        <w:rPr>
          <w:rFonts w:ascii="Arial" w:hAnsi="Arial" w:cs="Arial"/>
          <w:b/>
          <w:bCs/>
          <w:color w:val="auto"/>
        </w:rPr>
        <w:fldChar w:fldCharType="end"/>
      </w:r>
      <w:bookmarkEnd w:id="12"/>
      <w:r w:rsidRPr="00D372A5">
        <w:rPr>
          <w:rFonts w:ascii="Arial" w:hAnsi="Arial" w:cs="Arial"/>
          <w:b/>
          <w:bCs/>
          <w:color w:val="auto"/>
        </w:rPr>
        <w:t xml:space="preserve"> RCTj actual aprobado para cada mercado de comercialización</w:t>
      </w:r>
    </w:p>
    <w:p w14:paraId="08BE0711" w14:textId="721BE314" w:rsidR="00D372A5" w:rsidRPr="00D372A5" w:rsidRDefault="00D372A5" w:rsidP="00D372A5">
      <w:pPr>
        <w:pStyle w:val="Descripcin"/>
        <w:spacing w:after="0"/>
        <w:jc w:val="center"/>
        <w:rPr>
          <w:rFonts w:ascii="Arial" w:hAnsi="Arial" w:cs="Arial"/>
          <w:b/>
          <w:bCs/>
          <w:color w:val="auto"/>
        </w:rPr>
      </w:pPr>
      <w:r w:rsidRPr="00D372A5">
        <w:rPr>
          <w:rFonts w:ascii="Arial" w:hAnsi="Arial" w:cs="Arial"/>
          <w:b/>
          <w:bCs/>
          <w:color w:val="auto"/>
        </w:rPr>
        <w:t>Fuente: Elaboración Propia.</w:t>
      </w:r>
    </w:p>
    <w:tbl>
      <w:tblPr>
        <w:tblW w:w="8789" w:type="dxa"/>
        <w:tblLayout w:type="fixed"/>
        <w:tblLook w:val="0600" w:firstRow="0" w:lastRow="0" w:firstColumn="0" w:lastColumn="0" w:noHBand="1" w:noVBand="1"/>
      </w:tblPr>
      <w:tblGrid>
        <w:gridCol w:w="2694"/>
        <w:gridCol w:w="3402"/>
        <w:gridCol w:w="2693"/>
      </w:tblGrid>
      <w:tr w:rsidR="00BA55C5" w:rsidRPr="00115F4D" w14:paraId="7A669ABC" w14:textId="77777777">
        <w:trPr>
          <w:trHeight w:val="227"/>
          <w:tblHeader/>
        </w:trPr>
        <w:tc>
          <w:tcPr>
            <w:tcW w:w="2694" w:type="dxa"/>
            <w:tcBorders>
              <w:top w:val="single" w:sz="4" w:space="0" w:color="000000" w:themeColor="text1"/>
              <w:left w:val="nil"/>
              <w:bottom w:val="single" w:sz="4" w:space="0" w:color="000000" w:themeColor="text1"/>
              <w:right w:val="none" w:sz="4" w:space="0" w:color="000000" w:themeColor="text1"/>
            </w:tcBorders>
            <w:tcMar>
              <w:top w:w="15" w:type="dxa"/>
              <w:left w:w="15" w:type="dxa"/>
              <w:right w:w="15" w:type="dxa"/>
            </w:tcMar>
            <w:vAlign w:val="center"/>
          </w:tcPr>
          <w:p w14:paraId="127C97FB" w14:textId="77777777" w:rsidR="00BA55C5" w:rsidRPr="00115F4D" w:rsidRDefault="00BA55C5">
            <w:pPr>
              <w:spacing w:before="24" w:after="0"/>
              <w:jc w:val="center"/>
              <w:rPr>
                <w:rFonts w:ascii="Arial" w:eastAsia="Calibri Light" w:hAnsi="Arial" w:cs="Arial"/>
                <w:b/>
                <w:bCs/>
                <w:sz w:val="20"/>
                <w:szCs w:val="20"/>
              </w:rPr>
            </w:pPr>
            <w:r w:rsidRPr="00115F4D">
              <w:rPr>
                <w:rFonts w:ascii="Arial" w:eastAsia="Calibri Light" w:hAnsi="Arial" w:cs="Arial"/>
                <w:b/>
                <w:bCs/>
                <w:sz w:val="20"/>
                <w:szCs w:val="20"/>
              </w:rPr>
              <w:t>Resolución particular</w:t>
            </w:r>
          </w:p>
        </w:tc>
        <w:tc>
          <w:tcPr>
            <w:tcW w:w="3402" w:type="dxa"/>
            <w:tcBorders>
              <w:top w:val="single" w:sz="4" w:space="0" w:color="000000" w:themeColor="text1"/>
              <w:left w:val="none" w:sz="4" w:space="0" w:color="000000" w:themeColor="text1"/>
              <w:bottom w:val="single" w:sz="4" w:space="0" w:color="000000" w:themeColor="text1"/>
              <w:right w:val="none" w:sz="4" w:space="0" w:color="000000" w:themeColor="text1"/>
            </w:tcBorders>
            <w:tcMar>
              <w:top w:w="15" w:type="dxa"/>
              <w:left w:w="15" w:type="dxa"/>
              <w:right w:w="15" w:type="dxa"/>
            </w:tcMar>
            <w:vAlign w:val="center"/>
          </w:tcPr>
          <w:p w14:paraId="50DF297C" w14:textId="77777777" w:rsidR="00BA55C5" w:rsidRPr="00115F4D" w:rsidRDefault="00BA55C5">
            <w:pPr>
              <w:spacing w:before="24" w:after="0"/>
              <w:jc w:val="center"/>
              <w:rPr>
                <w:rFonts w:ascii="Arial" w:eastAsia="Calibri Light" w:hAnsi="Arial" w:cs="Arial"/>
                <w:b/>
                <w:bCs/>
                <w:sz w:val="20"/>
                <w:szCs w:val="20"/>
              </w:rPr>
            </w:pPr>
            <w:r w:rsidRPr="00115F4D">
              <w:rPr>
                <w:rFonts w:ascii="Arial" w:eastAsia="Calibri Light" w:hAnsi="Arial" w:cs="Arial"/>
                <w:b/>
                <w:bCs/>
                <w:sz w:val="20"/>
                <w:szCs w:val="20"/>
              </w:rPr>
              <w:t>Comercializador incumbente</w:t>
            </w:r>
          </w:p>
        </w:tc>
        <w:tc>
          <w:tcPr>
            <w:tcW w:w="2693" w:type="dxa"/>
            <w:tcBorders>
              <w:top w:val="single" w:sz="4" w:space="0" w:color="000000" w:themeColor="text1"/>
              <w:left w:val="none" w:sz="4" w:space="0" w:color="000000" w:themeColor="text1"/>
              <w:bottom w:val="single" w:sz="4" w:space="0" w:color="000000" w:themeColor="text1"/>
              <w:right w:val="nil"/>
            </w:tcBorders>
            <w:tcMar>
              <w:top w:w="15" w:type="dxa"/>
              <w:left w:w="15" w:type="dxa"/>
              <w:right w:w="15" w:type="dxa"/>
            </w:tcMar>
            <w:vAlign w:val="center"/>
          </w:tcPr>
          <w:p w14:paraId="1C4767D2" w14:textId="77777777" w:rsidR="00BA55C5" w:rsidRPr="00115F4D" w:rsidRDefault="00BA55C5">
            <w:pPr>
              <w:spacing w:before="24" w:after="0"/>
              <w:jc w:val="center"/>
              <w:rPr>
                <w:rFonts w:ascii="Arial" w:eastAsia="Calibri Light" w:hAnsi="Arial" w:cs="Arial"/>
                <w:b/>
                <w:bCs/>
                <w:sz w:val="20"/>
                <w:szCs w:val="20"/>
              </w:rPr>
            </w:pPr>
            <w:r w:rsidRPr="00115F4D">
              <w:rPr>
                <w:rFonts w:ascii="Arial" w:eastAsia="Calibri Light" w:hAnsi="Arial" w:cs="Arial"/>
                <w:b/>
                <w:bCs/>
                <w:sz w:val="20"/>
                <w:szCs w:val="20"/>
              </w:rPr>
              <w:t>Valor del</w:t>
            </w:r>
            <w:r w:rsidRPr="00115F4D">
              <w:rPr>
                <w:rFonts w:ascii="Arial" w:eastAsia="Calibri Light" w:hAnsi="Arial" w:cs="Arial"/>
                <w:b/>
                <w:bCs/>
                <w:i/>
                <w:iCs/>
                <w:sz w:val="20"/>
                <w:szCs w:val="20"/>
              </w:rPr>
              <w:t xml:space="preserve"> RCT</w:t>
            </w:r>
            <w:r w:rsidRPr="00115F4D">
              <w:rPr>
                <w:rFonts w:ascii="Arial" w:eastAsia="Calibri Light" w:hAnsi="Arial" w:cs="Arial"/>
                <w:b/>
                <w:bCs/>
                <w:i/>
                <w:iCs/>
                <w:sz w:val="20"/>
                <w:szCs w:val="20"/>
                <w:vertAlign w:val="subscript"/>
              </w:rPr>
              <w:t xml:space="preserve">j </w:t>
            </w:r>
            <w:r w:rsidRPr="00115F4D">
              <w:rPr>
                <w:rFonts w:ascii="Arial" w:eastAsia="Calibri Light" w:hAnsi="Arial" w:cs="Arial"/>
                <w:b/>
                <w:bCs/>
                <w:sz w:val="20"/>
                <w:szCs w:val="20"/>
              </w:rPr>
              <w:t>Aprobado</w:t>
            </w:r>
          </w:p>
        </w:tc>
      </w:tr>
      <w:tr w:rsidR="00BA55C5" w:rsidRPr="00115F4D" w14:paraId="3CD14129" w14:textId="77777777">
        <w:trPr>
          <w:trHeight w:val="204"/>
        </w:trPr>
        <w:tc>
          <w:tcPr>
            <w:tcW w:w="2694" w:type="dxa"/>
            <w:tcBorders>
              <w:top w:val="single" w:sz="4" w:space="0" w:color="000000" w:themeColor="text1"/>
              <w:left w:val="nil"/>
              <w:bottom w:val="nil"/>
              <w:right w:val="nil"/>
            </w:tcBorders>
            <w:tcMar>
              <w:top w:w="15" w:type="dxa"/>
              <w:left w:w="15" w:type="dxa"/>
              <w:right w:w="15" w:type="dxa"/>
            </w:tcMar>
            <w:vAlign w:val="center"/>
          </w:tcPr>
          <w:p w14:paraId="4D4B0805" w14:textId="155DFD34" w:rsidR="00BA55C5" w:rsidRPr="00115F4D" w:rsidRDefault="00E42F3C">
            <w:pPr>
              <w:spacing w:before="24" w:after="0"/>
              <w:jc w:val="center"/>
              <w:rPr>
                <w:rStyle w:val="Hipervnculo"/>
                <w:rFonts w:ascii="Arial" w:eastAsia="Calibri Light" w:hAnsi="Arial" w:cs="Arial"/>
                <w:sz w:val="20"/>
                <w:szCs w:val="20"/>
              </w:rPr>
            </w:pPr>
            <w:hyperlink r:id="rId15" w:history="1">
              <w:r w:rsidR="00BA55C5" w:rsidRPr="00115F4D">
                <w:rPr>
                  <w:rStyle w:val="Hipervnculo"/>
                  <w:rFonts w:ascii="Arial" w:eastAsia="Calibri Light" w:hAnsi="Arial" w:cs="Arial"/>
                  <w:sz w:val="20"/>
                  <w:szCs w:val="20"/>
                </w:rPr>
                <w:t>Creg017-2016</w:t>
              </w:r>
            </w:hyperlink>
          </w:p>
        </w:tc>
        <w:tc>
          <w:tcPr>
            <w:tcW w:w="3402" w:type="dxa"/>
            <w:tcBorders>
              <w:top w:val="single" w:sz="4" w:space="0" w:color="000000" w:themeColor="text1"/>
              <w:left w:val="nil"/>
              <w:bottom w:val="nil"/>
              <w:right w:val="nil"/>
            </w:tcBorders>
            <w:tcMar>
              <w:top w:w="15" w:type="dxa"/>
              <w:left w:w="15" w:type="dxa"/>
              <w:right w:w="15" w:type="dxa"/>
            </w:tcMar>
            <w:vAlign w:val="center"/>
          </w:tcPr>
          <w:p w14:paraId="527F8D0B"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DISPAC</w:t>
            </w:r>
          </w:p>
        </w:tc>
        <w:tc>
          <w:tcPr>
            <w:tcW w:w="2693" w:type="dxa"/>
            <w:tcBorders>
              <w:top w:val="single" w:sz="4" w:space="0" w:color="000000" w:themeColor="text1"/>
              <w:left w:val="nil"/>
              <w:bottom w:val="nil"/>
              <w:right w:val="nil"/>
            </w:tcBorders>
            <w:tcMar>
              <w:top w:w="15" w:type="dxa"/>
              <w:left w:w="15" w:type="dxa"/>
              <w:right w:w="15" w:type="dxa"/>
            </w:tcMar>
            <w:vAlign w:val="center"/>
          </w:tcPr>
          <w:p w14:paraId="0252C80D"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1.17%</w:t>
            </w:r>
          </w:p>
        </w:tc>
      </w:tr>
      <w:tr w:rsidR="00BA55C5" w:rsidRPr="00115F4D" w14:paraId="62AA4590" w14:textId="77777777">
        <w:trPr>
          <w:trHeight w:val="227"/>
        </w:trPr>
        <w:tc>
          <w:tcPr>
            <w:tcW w:w="2694" w:type="dxa"/>
            <w:tcBorders>
              <w:top w:val="nil"/>
              <w:left w:val="nil"/>
              <w:bottom w:val="nil"/>
              <w:right w:val="nil"/>
            </w:tcBorders>
            <w:tcMar>
              <w:top w:w="15" w:type="dxa"/>
              <w:left w:w="15" w:type="dxa"/>
              <w:right w:w="15" w:type="dxa"/>
            </w:tcMar>
            <w:vAlign w:val="center"/>
          </w:tcPr>
          <w:p w14:paraId="42BDA2B4" w14:textId="69BE53DA" w:rsidR="00BA55C5" w:rsidRPr="00115F4D" w:rsidRDefault="00E42F3C">
            <w:pPr>
              <w:spacing w:before="24" w:after="0"/>
              <w:jc w:val="center"/>
              <w:rPr>
                <w:rStyle w:val="Hipervnculo"/>
                <w:rFonts w:ascii="Arial" w:eastAsia="Calibri Light" w:hAnsi="Arial" w:cs="Arial"/>
                <w:sz w:val="20"/>
                <w:szCs w:val="20"/>
              </w:rPr>
            </w:pPr>
            <w:hyperlink r:id="rId16" w:history="1">
              <w:r w:rsidR="00BA55C5" w:rsidRPr="00115F4D">
                <w:rPr>
                  <w:rStyle w:val="Hipervnculo"/>
                  <w:rFonts w:ascii="Arial" w:eastAsia="Calibri Light" w:hAnsi="Arial" w:cs="Arial"/>
                  <w:sz w:val="20"/>
                  <w:szCs w:val="20"/>
                </w:rPr>
                <w:t>Creg122-2015</w:t>
              </w:r>
            </w:hyperlink>
          </w:p>
        </w:tc>
        <w:tc>
          <w:tcPr>
            <w:tcW w:w="3402" w:type="dxa"/>
            <w:tcBorders>
              <w:top w:val="nil"/>
              <w:left w:val="nil"/>
              <w:bottom w:val="nil"/>
              <w:right w:val="nil"/>
            </w:tcBorders>
            <w:tcMar>
              <w:top w:w="15" w:type="dxa"/>
              <w:left w:w="15" w:type="dxa"/>
              <w:right w:w="15" w:type="dxa"/>
            </w:tcMar>
            <w:vAlign w:val="center"/>
          </w:tcPr>
          <w:p w14:paraId="0017B7F3"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CEDENAR</w:t>
            </w:r>
          </w:p>
        </w:tc>
        <w:tc>
          <w:tcPr>
            <w:tcW w:w="2693" w:type="dxa"/>
            <w:tcBorders>
              <w:top w:val="nil"/>
              <w:left w:val="nil"/>
              <w:bottom w:val="nil"/>
              <w:right w:val="nil"/>
            </w:tcBorders>
            <w:tcMar>
              <w:top w:w="15" w:type="dxa"/>
              <w:left w:w="15" w:type="dxa"/>
              <w:right w:w="15" w:type="dxa"/>
            </w:tcMar>
            <w:vAlign w:val="center"/>
          </w:tcPr>
          <w:p w14:paraId="28F88F9D"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0.62%</w:t>
            </w:r>
          </w:p>
        </w:tc>
      </w:tr>
      <w:tr w:rsidR="00BA55C5" w:rsidRPr="00115F4D" w14:paraId="07623E00" w14:textId="77777777">
        <w:trPr>
          <w:trHeight w:val="227"/>
        </w:trPr>
        <w:tc>
          <w:tcPr>
            <w:tcW w:w="2694" w:type="dxa"/>
            <w:tcBorders>
              <w:top w:val="nil"/>
              <w:left w:val="nil"/>
              <w:bottom w:val="nil"/>
              <w:right w:val="nil"/>
            </w:tcBorders>
            <w:tcMar>
              <w:top w:w="15" w:type="dxa"/>
              <w:left w:w="15" w:type="dxa"/>
              <w:right w:w="15" w:type="dxa"/>
            </w:tcMar>
            <w:vAlign w:val="center"/>
          </w:tcPr>
          <w:p w14:paraId="393B9063" w14:textId="37EB2ED1" w:rsidR="00BA55C5" w:rsidRPr="00115F4D" w:rsidRDefault="00E42F3C">
            <w:pPr>
              <w:spacing w:before="24" w:after="0"/>
              <w:jc w:val="center"/>
              <w:rPr>
                <w:rStyle w:val="Hipervnculo"/>
                <w:rFonts w:ascii="Arial" w:eastAsia="Calibri Light" w:hAnsi="Arial" w:cs="Arial"/>
                <w:sz w:val="20"/>
                <w:szCs w:val="20"/>
              </w:rPr>
            </w:pPr>
            <w:hyperlink r:id="rId17" w:history="1">
              <w:r w:rsidR="00BA55C5" w:rsidRPr="00115F4D">
                <w:rPr>
                  <w:rStyle w:val="Hipervnculo"/>
                  <w:rFonts w:ascii="Arial" w:eastAsia="Calibri Light" w:hAnsi="Arial" w:cs="Arial"/>
                  <w:sz w:val="20"/>
                  <w:szCs w:val="20"/>
                </w:rPr>
                <w:t>Creg119-2015</w:t>
              </w:r>
            </w:hyperlink>
          </w:p>
        </w:tc>
        <w:tc>
          <w:tcPr>
            <w:tcW w:w="3402" w:type="dxa"/>
            <w:tcBorders>
              <w:top w:val="nil"/>
              <w:left w:val="nil"/>
              <w:bottom w:val="nil"/>
              <w:right w:val="nil"/>
            </w:tcBorders>
            <w:tcMar>
              <w:top w:w="15" w:type="dxa"/>
              <w:left w:w="15" w:type="dxa"/>
              <w:right w:w="15" w:type="dxa"/>
            </w:tcMar>
            <w:vAlign w:val="center"/>
          </w:tcPr>
          <w:p w14:paraId="3D1EEF18"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CEO</w:t>
            </w:r>
          </w:p>
        </w:tc>
        <w:tc>
          <w:tcPr>
            <w:tcW w:w="2693" w:type="dxa"/>
            <w:tcBorders>
              <w:top w:val="nil"/>
              <w:left w:val="nil"/>
              <w:bottom w:val="nil"/>
              <w:right w:val="nil"/>
            </w:tcBorders>
            <w:tcMar>
              <w:top w:w="15" w:type="dxa"/>
              <w:left w:w="15" w:type="dxa"/>
              <w:right w:w="15" w:type="dxa"/>
            </w:tcMar>
            <w:vAlign w:val="center"/>
          </w:tcPr>
          <w:p w14:paraId="66C75058"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0.51%</w:t>
            </w:r>
          </w:p>
        </w:tc>
      </w:tr>
      <w:tr w:rsidR="00BA55C5" w:rsidRPr="00115F4D" w14:paraId="2AA400EC" w14:textId="77777777">
        <w:trPr>
          <w:trHeight w:val="227"/>
        </w:trPr>
        <w:tc>
          <w:tcPr>
            <w:tcW w:w="2694" w:type="dxa"/>
            <w:tcBorders>
              <w:top w:val="nil"/>
              <w:left w:val="nil"/>
              <w:bottom w:val="nil"/>
              <w:right w:val="nil"/>
            </w:tcBorders>
            <w:tcMar>
              <w:top w:w="15" w:type="dxa"/>
              <w:left w:w="15" w:type="dxa"/>
              <w:right w:w="15" w:type="dxa"/>
            </w:tcMar>
            <w:vAlign w:val="center"/>
          </w:tcPr>
          <w:p w14:paraId="5EF14D68" w14:textId="5F9197C6" w:rsidR="00BA55C5" w:rsidRPr="00115F4D" w:rsidRDefault="00E42F3C">
            <w:pPr>
              <w:spacing w:before="24" w:after="0"/>
              <w:jc w:val="center"/>
              <w:rPr>
                <w:rStyle w:val="Hipervnculo"/>
                <w:rFonts w:ascii="Arial" w:eastAsia="Calibri Light" w:hAnsi="Arial" w:cs="Arial"/>
                <w:sz w:val="20"/>
                <w:szCs w:val="20"/>
              </w:rPr>
            </w:pPr>
            <w:hyperlink r:id="rId18" w:history="1">
              <w:r w:rsidR="00BA55C5" w:rsidRPr="00115F4D">
                <w:rPr>
                  <w:rStyle w:val="Hipervnculo"/>
                  <w:rFonts w:ascii="Arial" w:eastAsia="Calibri Light" w:hAnsi="Arial" w:cs="Arial"/>
                  <w:sz w:val="20"/>
                  <w:szCs w:val="20"/>
                </w:rPr>
                <w:t>Creg216-2015</w:t>
              </w:r>
            </w:hyperlink>
          </w:p>
        </w:tc>
        <w:tc>
          <w:tcPr>
            <w:tcW w:w="3402" w:type="dxa"/>
            <w:tcBorders>
              <w:top w:val="nil"/>
              <w:left w:val="nil"/>
              <w:bottom w:val="nil"/>
              <w:right w:val="nil"/>
            </w:tcBorders>
            <w:tcMar>
              <w:top w:w="15" w:type="dxa"/>
              <w:left w:w="15" w:type="dxa"/>
              <w:right w:w="15" w:type="dxa"/>
            </w:tcMar>
            <w:vAlign w:val="center"/>
          </w:tcPr>
          <w:p w14:paraId="6A336C97"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HUILA</w:t>
            </w:r>
          </w:p>
        </w:tc>
        <w:tc>
          <w:tcPr>
            <w:tcW w:w="2693" w:type="dxa"/>
            <w:tcBorders>
              <w:top w:val="nil"/>
              <w:left w:val="nil"/>
              <w:bottom w:val="nil"/>
              <w:right w:val="nil"/>
            </w:tcBorders>
            <w:tcMar>
              <w:top w:w="15" w:type="dxa"/>
              <w:left w:w="15" w:type="dxa"/>
              <w:right w:w="15" w:type="dxa"/>
            </w:tcMar>
            <w:vAlign w:val="center"/>
          </w:tcPr>
          <w:p w14:paraId="51D9C694"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0.49%</w:t>
            </w:r>
          </w:p>
        </w:tc>
      </w:tr>
      <w:tr w:rsidR="00BA55C5" w:rsidRPr="00115F4D" w14:paraId="59C037F5" w14:textId="77777777">
        <w:trPr>
          <w:trHeight w:val="227"/>
        </w:trPr>
        <w:tc>
          <w:tcPr>
            <w:tcW w:w="2694" w:type="dxa"/>
            <w:tcBorders>
              <w:top w:val="nil"/>
              <w:left w:val="nil"/>
              <w:bottom w:val="nil"/>
              <w:right w:val="nil"/>
            </w:tcBorders>
            <w:tcMar>
              <w:top w:w="15" w:type="dxa"/>
              <w:left w:w="15" w:type="dxa"/>
              <w:right w:w="15" w:type="dxa"/>
            </w:tcMar>
            <w:vAlign w:val="center"/>
          </w:tcPr>
          <w:p w14:paraId="70C41973" w14:textId="7CB442BB" w:rsidR="00BA55C5" w:rsidRPr="00115F4D" w:rsidRDefault="00E42F3C">
            <w:pPr>
              <w:spacing w:before="24" w:after="0"/>
              <w:jc w:val="center"/>
              <w:rPr>
                <w:rStyle w:val="Hipervnculo"/>
                <w:rFonts w:ascii="Arial" w:eastAsia="Calibri Light" w:hAnsi="Arial" w:cs="Arial"/>
                <w:sz w:val="20"/>
                <w:szCs w:val="20"/>
              </w:rPr>
            </w:pPr>
            <w:hyperlink r:id="rId19" w:history="1">
              <w:r w:rsidR="00BA55C5" w:rsidRPr="00115F4D">
                <w:rPr>
                  <w:rStyle w:val="Hipervnculo"/>
                  <w:rFonts w:ascii="Arial" w:eastAsia="Calibri Light" w:hAnsi="Arial" w:cs="Arial"/>
                  <w:sz w:val="20"/>
                  <w:szCs w:val="20"/>
                </w:rPr>
                <w:t>Creg015-2016</w:t>
              </w:r>
            </w:hyperlink>
          </w:p>
        </w:tc>
        <w:tc>
          <w:tcPr>
            <w:tcW w:w="3402" w:type="dxa"/>
            <w:tcBorders>
              <w:top w:val="nil"/>
              <w:left w:val="nil"/>
              <w:bottom w:val="nil"/>
              <w:right w:val="nil"/>
            </w:tcBorders>
            <w:tcMar>
              <w:top w:w="15" w:type="dxa"/>
              <w:left w:w="15" w:type="dxa"/>
              <w:right w:w="15" w:type="dxa"/>
            </w:tcMar>
            <w:vAlign w:val="center"/>
          </w:tcPr>
          <w:p w14:paraId="2E114811"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ESSA</w:t>
            </w:r>
          </w:p>
        </w:tc>
        <w:tc>
          <w:tcPr>
            <w:tcW w:w="2693" w:type="dxa"/>
            <w:tcBorders>
              <w:top w:val="nil"/>
              <w:left w:val="nil"/>
              <w:bottom w:val="nil"/>
              <w:right w:val="nil"/>
            </w:tcBorders>
            <w:tcMar>
              <w:top w:w="15" w:type="dxa"/>
              <w:left w:w="15" w:type="dxa"/>
              <w:right w:w="15" w:type="dxa"/>
            </w:tcMar>
            <w:vAlign w:val="center"/>
          </w:tcPr>
          <w:p w14:paraId="68066E3E"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0.38%</w:t>
            </w:r>
          </w:p>
        </w:tc>
      </w:tr>
      <w:tr w:rsidR="00BA55C5" w:rsidRPr="00115F4D" w14:paraId="1D118E61" w14:textId="77777777">
        <w:trPr>
          <w:trHeight w:val="227"/>
        </w:trPr>
        <w:tc>
          <w:tcPr>
            <w:tcW w:w="2694" w:type="dxa"/>
            <w:tcBorders>
              <w:top w:val="nil"/>
              <w:left w:val="nil"/>
              <w:bottom w:val="nil"/>
              <w:right w:val="nil"/>
            </w:tcBorders>
            <w:tcMar>
              <w:top w:w="15" w:type="dxa"/>
              <w:left w:w="15" w:type="dxa"/>
              <w:right w:w="15" w:type="dxa"/>
            </w:tcMar>
            <w:vAlign w:val="center"/>
          </w:tcPr>
          <w:p w14:paraId="3E2FA060" w14:textId="488739D8" w:rsidR="00BA55C5" w:rsidRPr="00115F4D" w:rsidRDefault="00E42F3C">
            <w:pPr>
              <w:spacing w:before="24" w:after="0"/>
              <w:jc w:val="center"/>
              <w:rPr>
                <w:rStyle w:val="Hipervnculo"/>
                <w:rFonts w:ascii="Arial" w:eastAsia="Calibri Light" w:hAnsi="Arial" w:cs="Arial"/>
                <w:sz w:val="20"/>
                <w:szCs w:val="20"/>
              </w:rPr>
            </w:pPr>
            <w:hyperlink r:id="rId20" w:history="1">
              <w:r w:rsidR="00BA55C5" w:rsidRPr="00115F4D">
                <w:rPr>
                  <w:rStyle w:val="Hipervnculo"/>
                  <w:rFonts w:ascii="Arial" w:eastAsia="Calibri Light" w:hAnsi="Arial" w:cs="Arial"/>
                  <w:sz w:val="20"/>
                  <w:szCs w:val="20"/>
                </w:rPr>
                <w:t>Creg016-2016</w:t>
              </w:r>
            </w:hyperlink>
          </w:p>
        </w:tc>
        <w:tc>
          <w:tcPr>
            <w:tcW w:w="3402" w:type="dxa"/>
            <w:tcBorders>
              <w:top w:val="nil"/>
              <w:left w:val="nil"/>
              <w:bottom w:val="nil"/>
              <w:right w:val="nil"/>
            </w:tcBorders>
            <w:tcMar>
              <w:top w:w="15" w:type="dxa"/>
              <w:left w:w="15" w:type="dxa"/>
              <w:right w:w="15" w:type="dxa"/>
            </w:tcMar>
            <w:vAlign w:val="center"/>
          </w:tcPr>
          <w:p w14:paraId="44284BB5"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EBSA</w:t>
            </w:r>
          </w:p>
        </w:tc>
        <w:tc>
          <w:tcPr>
            <w:tcW w:w="2693" w:type="dxa"/>
            <w:tcBorders>
              <w:top w:val="nil"/>
              <w:left w:val="nil"/>
              <w:bottom w:val="nil"/>
              <w:right w:val="nil"/>
            </w:tcBorders>
            <w:tcMar>
              <w:top w:w="15" w:type="dxa"/>
              <w:left w:w="15" w:type="dxa"/>
              <w:right w:w="15" w:type="dxa"/>
            </w:tcMar>
            <w:vAlign w:val="center"/>
          </w:tcPr>
          <w:p w14:paraId="58ED278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0.33%</w:t>
            </w:r>
          </w:p>
        </w:tc>
      </w:tr>
      <w:tr w:rsidR="00BA55C5" w:rsidRPr="00115F4D" w14:paraId="7AC5630D" w14:textId="77777777">
        <w:trPr>
          <w:trHeight w:val="227"/>
        </w:trPr>
        <w:tc>
          <w:tcPr>
            <w:tcW w:w="2694" w:type="dxa"/>
            <w:tcBorders>
              <w:top w:val="nil"/>
              <w:left w:val="nil"/>
              <w:bottom w:val="nil"/>
              <w:right w:val="nil"/>
            </w:tcBorders>
            <w:tcMar>
              <w:top w:w="15" w:type="dxa"/>
              <w:left w:w="15" w:type="dxa"/>
              <w:right w:w="15" w:type="dxa"/>
            </w:tcMar>
            <w:vAlign w:val="center"/>
          </w:tcPr>
          <w:p w14:paraId="458FE525" w14:textId="0238BD4B" w:rsidR="00BA55C5" w:rsidRPr="00115F4D" w:rsidRDefault="00E42F3C">
            <w:pPr>
              <w:spacing w:before="24" w:after="0"/>
              <w:jc w:val="center"/>
              <w:rPr>
                <w:rStyle w:val="Hipervnculo"/>
                <w:rFonts w:ascii="Arial" w:eastAsia="Calibri Light" w:hAnsi="Arial" w:cs="Arial"/>
                <w:sz w:val="20"/>
                <w:szCs w:val="20"/>
              </w:rPr>
            </w:pPr>
            <w:hyperlink r:id="rId21" w:history="1">
              <w:r w:rsidR="00BA55C5" w:rsidRPr="00115F4D">
                <w:rPr>
                  <w:rStyle w:val="Hipervnculo"/>
                  <w:rFonts w:ascii="Arial" w:eastAsia="Calibri Light" w:hAnsi="Arial" w:cs="Arial"/>
                  <w:sz w:val="20"/>
                  <w:szCs w:val="20"/>
                </w:rPr>
                <w:t>Creg120-2015</w:t>
              </w:r>
            </w:hyperlink>
          </w:p>
        </w:tc>
        <w:tc>
          <w:tcPr>
            <w:tcW w:w="3402" w:type="dxa"/>
            <w:tcBorders>
              <w:top w:val="nil"/>
              <w:left w:val="nil"/>
              <w:bottom w:val="nil"/>
              <w:right w:val="nil"/>
            </w:tcBorders>
            <w:tcMar>
              <w:top w:w="15" w:type="dxa"/>
              <w:left w:w="15" w:type="dxa"/>
              <w:right w:w="15" w:type="dxa"/>
            </w:tcMar>
            <w:vAlign w:val="center"/>
          </w:tcPr>
          <w:p w14:paraId="3C56A857"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CODENSA</w:t>
            </w:r>
          </w:p>
        </w:tc>
        <w:tc>
          <w:tcPr>
            <w:tcW w:w="2693" w:type="dxa"/>
            <w:tcBorders>
              <w:top w:val="nil"/>
              <w:left w:val="nil"/>
              <w:bottom w:val="nil"/>
              <w:right w:val="nil"/>
            </w:tcBorders>
            <w:tcMar>
              <w:top w:w="15" w:type="dxa"/>
              <w:left w:w="15" w:type="dxa"/>
              <w:right w:w="15" w:type="dxa"/>
            </w:tcMar>
            <w:vAlign w:val="center"/>
          </w:tcPr>
          <w:p w14:paraId="6384DAA9"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0.19%</w:t>
            </w:r>
          </w:p>
        </w:tc>
      </w:tr>
      <w:tr w:rsidR="00BA55C5" w:rsidRPr="00115F4D" w14:paraId="2A998FE5" w14:textId="77777777">
        <w:trPr>
          <w:trHeight w:val="227"/>
        </w:trPr>
        <w:tc>
          <w:tcPr>
            <w:tcW w:w="2694" w:type="dxa"/>
            <w:tcBorders>
              <w:top w:val="nil"/>
              <w:left w:val="nil"/>
              <w:bottom w:val="nil"/>
              <w:right w:val="nil"/>
            </w:tcBorders>
            <w:tcMar>
              <w:top w:w="15" w:type="dxa"/>
              <w:left w:w="15" w:type="dxa"/>
              <w:right w:w="15" w:type="dxa"/>
            </w:tcMar>
            <w:vAlign w:val="center"/>
          </w:tcPr>
          <w:p w14:paraId="0175EBE1" w14:textId="25A9FEB8" w:rsidR="00BA55C5" w:rsidRPr="00115F4D" w:rsidRDefault="00E42F3C">
            <w:pPr>
              <w:spacing w:before="24" w:after="0"/>
              <w:jc w:val="center"/>
              <w:rPr>
                <w:rStyle w:val="Hipervnculo"/>
                <w:rFonts w:ascii="Arial" w:eastAsia="Calibri Light" w:hAnsi="Arial" w:cs="Arial"/>
                <w:sz w:val="20"/>
                <w:szCs w:val="20"/>
              </w:rPr>
            </w:pPr>
            <w:hyperlink r:id="rId22" w:history="1">
              <w:r w:rsidR="00BA55C5" w:rsidRPr="00115F4D">
                <w:rPr>
                  <w:rStyle w:val="Hipervnculo"/>
                  <w:rFonts w:ascii="Arial" w:eastAsia="Calibri Light" w:hAnsi="Arial" w:cs="Arial"/>
                  <w:sz w:val="20"/>
                  <w:szCs w:val="20"/>
                </w:rPr>
                <w:t>Creg118-2015</w:t>
              </w:r>
            </w:hyperlink>
          </w:p>
        </w:tc>
        <w:tc>
          <w:tcPr>
            <w:tcW w:w="3402" w:type="dxa"/>
            <w:tcBorders>
              <w:top w:val="nil"/>
              <w:left w:val="nil"/>
              <w:bottom w:val="nil"/>
              <w:right w:val="nil"/>
            </w:tcBorders>
            <w:tcMar>
              <w:top w:w="15" w:type="dxa"/>
              <w:left w:w="15" w:type="dxa"/>
              <w:right w:w="15" w:type="dxa"/>
            </w:tcMar>
            <w:vAlign w:val="center"/>
          </w:tcPr>
          <w:p w14:paraId="23E6B77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PUTUMAYO</w:t>
            </w:r>
          </w:p>
        </w:tc>
        <w:tc>
          <w:tcPr>
            <w:tcW w:w="2693" w:type="dxa"/>
            <w:tcBorders>
              <w:top w:val="nil"/>
              <w:left w:val="nil"/>
              <w:bottom w:val="nil"/>
              <w:right w:val="nil"/>
            </w:tcBorders>
            <w:tcMar>
              <w:top w:w="15" w:type="dxa"/>
              <w:left w:w="15" w:type="dxa"/>
              <w:right w:w="15" w:type="dxa"/>
            </w:tcMar>
            <w:vAlign w:val="center"/>
          </w:tcPr>
          <w:p w14:paraId="6519D1F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0.18%</w:t>
            </w:r>
          </w:p>
        </w:tc>
      </w:tr>
      <w:tr w:rsidR="00BA55C5" w:rsidRPr="00115F4D" w14:paraId="1D101C3F" w14:textId="77777777">
        <w:trPr>
          <w:trHeight w:val="227"/>
        </w:trPr>
        <w:tc>
          <w:tcPr>
            <w:tcW w:w="2694" w:type="dxa"/>
            <w:tcBorders>
              <w:top w:val="nil"/>
              <w:left w:val="nil"/>
              <w:bottom w:val="nil"/>
              <w:right w:val="nil"/>
            </w:tcBorders>
            <w:tcMar>
              <w:top w:w="15" w:type="dxa"/>
              <w:left w:w="15" w:type="dxa"/>
              <w:right w:w="15" w:type="dxa"/>
            </w:tcMar>
            <w:vAlign w:val="center"/>
          </w:tcPr>
          <w:p w14:paraId="6032102B" w14:textId="0BAF0E57" w:rsidR="00BA55C5" w:rsidRPr="00115F4D" w:rsidRDefault="00E42F3C">
            <w:pPr>
              <w:spacing w:before="24" w:after="0"/>
              <w:jc w:val="center"/>
              <w:rPr>
                <w:rStyle w:val="Hipervnculo"/>
                <w:rFonts w:ascii="Arial" w:eastAsia="Calibri Light" w:hAnsi="Arial" w:cs="Arial"/>
                <w:sz w:val="20"/>
                <w:szCs w:val="20"/>
              </w:rPr>
            </w:pPr>
            <w:hyperlink r:id="rId23" w:history="1">
              <w:r w:rsidR="00BA55C5" w:rsidRPr="00115F4D">
                <w:rPr>
                  <w:rStyle w:val="Hipervnculo"/>
                  <w:rFonts w:ascii="Arial" w:eastAsia="Calibri Light" w:hAnsi="Arial" w:cs="Arial"/>
                  <w:sz w:val="20"/>
                  <w:szCs w:val="20"/>
                </w:rPr>
                <w:t>Creg229-2016</w:t>
              </w:r>
            </w:hyperlink>
          </w:p>
        </w:tc>
        <w:tc>
          <w:tcPr>
            <w:tcW w:w="3402" w:type="dxa"/>
            <w:tcBorders>
              <w:top w:val="nil"/>
              <w:left w:val="nil"/>
              <w:bottom w:val="nil"/>
              <w:right w:val="nil"/>
            </w:tcBorders>
            <w:tcMar>
              <w:top w:w="15" w:type="dxa"/>
              <w:left w:w="15" w:type="dxa"/>
              <w:right w:w="15" w:type="dxa"/>
            </w:tcMar>
            <w:vAlign w:val="center"/>
          </w:tcPr>
          <w:p w14:paraId="7BA32280"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CELSIA</w:t>
            </w:r>
          </w:p>
        </w:tc>
        <w:tc>
          <w:tcPr>
            <w:tcW w:w="2693" w:type="dxa"/>
            <w:tcBorders>
              <w:top w:val="nil"/>
              <w:left w:val="nil"/>
              <w:bottom w:val="nil"/>
              <w:right w:val="nil"/>
            </w:tcBorders>
            <w:tcMar>
              <w:top w:w="15" w:type="dxa"/>
              <w:left w:w="15" w:type="dxa"/>
              <w:right w:w="15" w:type="dxa"/>
            </w:tcMar>
            <w:vAlign w:val="center"/>
          </w:tcPr>
          <w:p w14:paraId="3C6F836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0.11%</w:t>
            </w:r>
          </w:p>
        </w:tc>
      </w:tr>
      <w:tr w:rsidR="00BA55C5" w:rsidRPr="00115F4D" w14:paraId="42FD254A" w14:textId="77777777">
        <w:trPr>
          <w:trHeight w:val="227"/>
        </w:trPr>
        <w:tc>
          <w:tcPr>
            <w:tcW w:w="2694" w:type="dxa"/>
            <w:tcBorders>
              <w:top w:val="nil"/>
              <w:left w:val="nil"/>
              <w:bottom w:val="nil"/>
              <w:right w:val="nil"/>
            </w:tcBorders>
            <w:tcMar>
              <w:top w:w="15" w:type="dxa"/>
              <w:left w:w="15" w:type="dxa"/>
              <w:right w:w="15" w:type="dxa"/>
            </w:tcMar>
            <w:vAlign w:val="center"/>
          </w:tcPr>
          <w:p w14:paraId="0E1867F8" w14:textId="2042A9AF" w:rsidR="00BA55C5" w:rsidRPr="00115F4D" w:rsidRDefault="00E42F3C">
            <w:pPr>
              <w:spacing w:before="24" w:after="0"/>
              <w:jc w:val="center"/>
              <w:rPr>
                <w:rStyle w:val="Hipervnculo"/>
                <w:rFonts w:ascii="Arial" w:eastAsia="Calibri Light" w:hAnsi="Arial" w:cs="Arial"/>
                <w:sz w:val="20"/>
                <w:szCs w:val="20"/>
              </w:rPr>
            </w:pPr>
            <w:hyperlink r:id="rId24" w:history="1">
              <w:r w:rsidR="00BA55C5" w:rsidRPr="00115F4D">
                <w:rPr>
                  <w:rStyle w:val="Hipervnculo"/>
                  <w:rFonts w:ascii="Arial" w:eastAsia="Calibri Light" w:hAnsi="Arial" w:cs="Arial"/>
                  <w:sz w:val="20"/>
                  <w:szCs w:val="20"/>
                </w:rPr>
                <w:t>Creg205-2015</w:t>
              </w:r>
            </w:hyperlink>
          </w:p>
        </w:tc>
        <w:tc>
          <w:tcPr>
            <w:tcW w:w="3402" w:type="dxa"/>
            <w:tcBorders>
              <w:top w:val="nil"/>
              <w:left w:val="nil"/>
              <w:bottom w:val="nil"/>
              <w:right w:val="nil"/>
            </w:tcBorders>
            <w:tcMar>
              <w:top w:w="15" w:type="dxa"/>
              <w:left w:w="15" w:type="dxa"/>
              <w:right w:w="15" w:type="dxa"/>
            </w:tcMar>
            <w:vAlign w:val="center"/>
          </w:tcPr>
          <w:p w14:paraId="595948B8"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EEBP</w:t>
            </w:r>
          </w:p>
        </w:tc>
        <w:tc>
          <w:tcPr>
            <w:tcW w:w="2693" w:type="dxa"/>
            <w:tcBorders>
              <w:top w:val="nil"/>
              <w:left w:val="nil"/>
              <w:bottom w:val="nil"/>
              <w:right w:val="nil"/>
            </w:tcBorders>
            <w:tcMar>
              <w:top w:w="15" w:type="dxa"/>
              <w:left w:w="15" w:type="dxa"/>
              <w:right w:w="15" w:type="dxa"/>
            </w:tcMar>
            <w:vAlign w:val="center"/>
          </w:tcPr>
          <w:p w14:paraId="51479A74"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0.09%</w:t>
            </w:r>
          </w:p>
        </w:tc>
      </w:tr>
      <w:tr w:rsidR="00BA55C5" w:rsidRPr="00115F4D" w14:paraId="72853ECF" w14:textId="77777777">
        <w:trPr>
          <w:trHeight w:val="227"/>
        </w:trPr>
        <w:tc>
          <w:tcPr>
            <w:tcW w:w="2694" w:type="dxa"/>
            <w:tcBorders>
              <w:top w:val="nil"/>
              <w:left w:val="nil"/>
              <w:bottom w:val="nil"/>
              <w:right w:val="nil"/>
            </w:tcBorders>
            <w:tcMar>
              <w:top w:w="15" w:type="dxa"/>
              <w:left w:w="15" w:type="dxa"/>
              <w:right w:w="15" w:type="dxa"/>
            </w:tcMar>
            <w:vAlign w:val="center"/>
          </w:tcPr>
          <w:p w14:paraId="048C56DC" w14:textId="6406312A" w:rsidR="00BA55C5" w:rsidRPr="00115F4D" w:rsidRDefault="00E42F3C">
            <w:pPr>
              <w:spacing w:before="24" w:after="0"/>
              <w:jc w:val="center"/>
              <w:rPr>
                <w:rStyle w:val="Hipervnculo"/>
                <w:rFonts w:ascii="Arial" w:eastAsia="Calibri Light" w:hAnsi="Arial" w:cs="Arial"/>
                <w:sz w:val="20"/>
                <w:szCs w:val="20"/>
              </w:rPr>
            </w:pPr>
            <w:hyperlink r:id="rId25" w:history="1">
              <w:r w:rsidR="00BA55C5" w:rsidRPr="00115F4D">
                <w:rPr>
                  <w:rStyle w:val="Hipervnculo"/>
                  <w:rFonts w:ascii="Arial" w:eastAsia="Calibri Light" w:hAnsi="Arial" w:cs="Arial"/>
                  <w:sz w:val="20"/>
                  <w:szCs w:val="20"/>
                </w:rPr>
                <w:t>Creg188-2015</w:t>
              </w:r>
            </w:hyperlink>
          </w:p>
        </w:tc>
        <w:tc>
          <w:tcPr>
            <w:tcW w:w="3402" w:type="dxa"/>
            <w:tcBorders>
              <w:top w:val="nil"/>
              <w:left w:val="nil"/>
              <w:bottom w:val="nil"/>
              <w:right w:val="nil"/>
            </w:tcBorders>
            <w:tcMar>
              <w:top w:w="15" w:type="dxa"/>
              <w:left w:w="15" w:type="dxa"/>
              <w:right w:w="15" w:type="dxa"/>
            </w:tcMar>
            <w:vAlign w:val="center"/>
          </w:tcPr>
          <w:p w14:paraId="16ECFAA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EMSA</w:t>
            </w:r>
          </w:p>
        </w:tc>
        <w:tc>
          <w:tcPr>
            <w:tcW w:w="2693" w:type="dxa"/>
            <w:tcBorders>
              <w:top w:val="nil"/>
              <w:left w:val="nil"/>
              <w:bottom w:val="nil"/>
              <w:right w:val="nil"/>
            </w:tcBorders>
            <w:tcMar>
              <w:top w:w="15" w:type="dxa"/>
              <w:left w:w="15" w:type="dxa"/>
              <w:right w:w="15" w:type="dxa"/>
            </w:tcMar>
            <w:vAlign w:val="center"/>
          </w:tcPr>
          <w:p w14:paraId="1C57E1F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0.08%</w:t>
            </w:r>
          </w:p>
        </w:tc>
      </w:tr>
      <w:tr w:rsidR="00BA55C5" w:rsidRPr="00115F4D" w14:paraId="61CB0A62" w14:textId="77777777">
        <w:trPr>
          <w:trHeight w:val="227"/>
        </w:trPr>
        <w:tc>
          <w:tcPr>
            <w:tcW w:w="2694" w:type="dxa"/>
            <w:tcBorders>
              <w:top w:val="nil"/>
              <w:left w:val="nil"/>
              <w:bottom w:val="nil"/>
              <w:right w:val="nil"/>
            </w:tcBorders>
            <w:tcMar>
              <w:top w:w="15" w:type="dxa"/>
              <w:left w:w="15" w:type="dxa"/>
              <w:right w:w="15" w:type="dxa"/>
            </w:tcMar>
            <w:vAlign w:val="center"/>
          </w:tcPr>
          <w:p w14:paraId="7CC7893A" w14:textId="76A2CBAD" w:rsidR="00BA55C5" w:rsidRPr="00115F4D" w:rsidRDefault="00E42F3C">
            <w:pPr>
              <w:spacing w:before="24" w:after="0"/>
              <w:jc w:val="center"/>
              <w:rPr>
                <w:rStyle w:val="Hipervnculo"/>
                <w:rFonts w:ascii="Arial" w:eastAsia="Calibri Light" w:hAnsi="Arial" w:cs="Arial"/>
                <w:sz w:val="20"/>
                <w:szCs w:val="20"/>
              </w:rPr>
            </w:pPr>
            <w:hyperlink r:id="rId26" w:history="1">
              <w:r w:rsidR="00BA55C5" w:rsidRPr="00115F4D">
                <w:rPr>
                  <w:rStyle w:val="Hipervnculo"/>
                  <w:rFonts w:ascii="Arial" w:eastAsia="Calibri Light" w:hAnsi="Arial" w:cs="Arial"/>
                  <w:sz w:val="20"/>
                  <w:szCs w:val="20"/>
                </w:rPr>
                <w:t>Creg117-2015</w:t>
              </w:r>
            </w:hyperlink>
          </w:p>
        </w:tc>
        <w:tc>
          <w:tcPr>
            <w:tcW w:w="3402" w:type="dxa"/>
            <w:tcBorders>
              <w:top w:val="nil"/>
              <w:left w:val="nil"/>
              <w:bottom w:val="nil"/>
              <w:right w:val="nil"/>
            </w:tcBorders>
            <w:tcMar>
              <w:top w:w="15" w:type="dxa"/>
              <w:left w:w="15" w:type="dxa"/>
              <w:right w:w="15" w:type="dxa"/>
            </w:tcMar>
            <w:vAlign w:val="center"/>
          </w:tcPr>
          <w:p w14:paraId="0DE863FE"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EDEQ</w:t>
            </w:r>
          </w:p>
        </w:tc>
        <w:tc>
          <w:tcPr>
            <w:tcW w:w="2693" w:type="dxa"/>
            <w:tcBorders>
              <w:top w:val="nil"/>
              <w:left w:val="nil"/>
              <w:bottom w:val="nil"/>
              <w:right w:val="nil"/>
            </w:tcBorders>
            <w:tcMar>
              <w:top w:w="15" w:type="dxa"/>
              <w:left w:w="15" w:type="dxa"/>
              <w:right w:w="15" w:type="dxa"/>
            </w:tcMar>
            <w:vAlign w:val="center"/>
          </w:tcPr>
          <w:p w14:paraId="2750CCB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0.08%</w:t>
            </w:r>
          </w:p>
        </w:tc>
      </w:tr>
      <w:tr w:rsidR="00BA55C5" w:rsidRPr="00115F4D" w14:paraId="1A9C924E" w14:textId="77777777">
        <w:trPr>
          <w:trHeight w:val="227"/>
        </w:trPr>
        <w:tc>
          <w:tcPr>
            <w:tcW w:w="2694" w:type="dxa"/>
            <w:tcBorders>
              <w:top w:val="nil"/>
              <w:left w:val="nil"/>
              <w:bottom w:val="nil"/>
              <w:right w:val="nil"/>
            </w:tcBorders>
            <w:tcMar>
              <w:top w:w="15" w:type="dxa"/>
              <w:left w:w="15" w:type="dxa"/>
              <w:right w:w="15" w:type="dxa"/>
            </w:tcMar>
            <w:vAlign w:val="center"/>
          </w:tcPr>
          <w:p w14:paraId="455A3362" w14:textId="096A87F9" w:rsidR="00BA55C5" w:rsidRPr="00115F4D" w:rsidRDefault="00E42F3C">
            <w:pPr>
              <w:spacing w:before="24" w:after="0"/>
              <w:jc w:val="center"/>
              <w:rPr>
                <w:rStyle w:val="Hipervnculo"/>
                <w:rFonts w:ascii="Arial" w:eastAsia="Calibri Light" w:hAnsi="Arial" w:cs="Arial"/>
                <w:sz w:val="20"/>
                <w:szCs w:val="20"/>
              </w:rPr>
            </w:pPr>
            <w:hyperlink r:id="rId27" w:history="1">
              <w:r w:rsidR="00BA55C5" w:rsidRPr="00115F4D">
                <w:rPr>
                  <w:rStyle w:val="Hipervnculo"/>
                  <w:rFonts w:ascii="Arial" w:eastAsia="Calibri Light" w:hAnsi="Arial" w:cs="Arial"/>
                  <w:sz w:val="20"/>
                  <w:szCs w:val="20"/>
                </w:rPr>
                <w:t>Creg231-2016</w:t>
              </w:r>
            </w:hyperlink>
          </w:p>
        </w:tc>
        <w:tc>
          <w:tcPr>
            <w:tcW w:w="3402" w:type="dxa"/>
            <w:tcBorders>
              <w:top w:val="nil"/>
              <w:left w:val="nil"/>
              <w:bottom w:val="nil"/>
              <w:right w:val="nil"/>
            </w:tcBorders>
            <w:tcMar>
              <w:top w:w="15" w:type="dxa"/>
              <w:left w:w="15" w:type="dxa"/>
              <w:right w:w="15" w:type="dxa"/>
            </w:tcMar>
            <w:vAlign w:val="center"/>
          </w:tcPr>
          <w:p w14:paraId="30721204"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EMEE</w:t>
            </w:r>
          </w:p>
        </w:tc>
        <w:tc>
          <w:tcPr>
            <w:tcW w:w="2693" w:type="dxa"/>
            <w:tcBorders>
              <w:top w:val="nil"/>
              <w:left w:val="nil"/>
              <w:bottom w:val="nil"/>
              <w:right w:val="nil"/>
            </w:tcBorders>
            <w:tcMar>
              <w:top w:w="15" w:type="dxa"/>
              <w:left w:w="15" w:type="dxa"/>
              <w:right w:w="15" w:type="dxa"/>
            </w:tcMar>
            <w:vAlign w:val="center"/>
          </w:tcPr>
          <w:p w14:paraId="2329EE0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0.08%</w:t>
            </w:r>
          </w:p>
        </w:tc>
      </w:tr>
      <w:tr w:rsidR="00BA55C5" w:rsidRPr="00115F4D" w14:paraId="43BB3699" w14:textId="77777777">
        <w:trPr>
          <w:trHeight w:val="227"/>
        </w:trPr>
        <w:tc>
          <w:tcPr>
            <w:tcW w:w="2694" w:type="dxa"/>
            <w:tcBorders>
              <w:top w:val="nil"/>
              <w:left w:val="nil"/>
              <w:bottom w:val="nil"/>
              <w:right w:val="nil"/>
            </w:tcBorders>
            <w:tcMar>
              <w:top w:w="15" w:type="dxa"/>
              <w:left w:w="15" w:type="dxa"/>
              <w:right w:w="15" w:type="dxa"/>
            </w:tcMar>
            <w:vAlign w:val="center"/>
          </w:tcPr>
          <w:p w14:paraId="03A56A12" w14:textId="2E69FDFC" w:rsidR="00BA55C5" w:rsidRPr="00115F4D" w:rsidRDefault="00E42F3C">
            <w:pPr>
              <w:spacing w:before="24" w:after="0"/>
              <w:jc w:val="center"/>
              <w:rPr>
                <w:rStyle w:val="Hipervnculo"/>
                <w:rFonts w:ascii="Arial" w:eastAsia="Calibri Light" w:hAnsi="Arial" w:cs="Arial"/>
                <w:sz w:val="20"/>
                <w:szCs w:val="20"/>
              </w:rPr>
            </w:pPr>
            <w:hyperlink r:id="rId28" w:history="1">
              <w:r w:rsidR="00BA55C5" w:rsidRPr="00115F4D">
                <w:rPr>
                  <w:rStyle w:val="Hipervnculo"/>
                  <w:rFonts w:ascii="Arial" w:eastAsia="Calibri Light" w:hAnsi="Arial" w:cs="Arial"/>
                  <w:sz w:val="20"/>
                  <w:szCs w:val="20"/>
                </w:rPr>
                <w:t>Creg121-2015</w:t>
              </w:r>
            </w:hyperlink>
          </w:p>
        </w:tc>
        <w:tc>
          <w:tcPr>
            <w:tcW w:w="3402" w:type="dxa"/>
            <w:tcBorders>
              <w:top w:val="nil"/>
              <w:left w:val="nil"/>
              <w:bottom w:val="nil"/>
              <w:right w:val="nil"/>
            </w:tcBorders>
            <w:tcMar>
              <w:top w:w="15" w:type="dxa"/>
              <w:left w:w="15" w:type="dxa"/>
              <w:right w:w="15" w:type="dxa"/>
            </w:tcMar>
            <w:vAlign w:val="center"/>
          </w:tcPr>
          <w:p w14:paraId="7BE2DCB3"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ENERCA</w:t>
            </w:r>
          </w:p>
        </w:tc>
        <w:tc>
          <w:tcPr>
            <w:tcW w:w="2693" w:type="dxa"/>
            <w:tcBorders>
              <w:top w:val="nil"/>
              <w:left w:val="nil"/>
              <w:bottom w:val="nil"/>
              <w:right w:val="nil"/>
            </w:tcBorders>
            <w:tcMar>
              <w:top w:w="15" w:type="dxa"/>
              <w:left w:w="15" w:type="dxa"/>
              <w:right w:w="15" w:type="dxa"/>
            </w:tcMar>
            <w:vAlign w:val="center"/>
          </w:tcPr>
          <w:p w14:paraId="4939A6A7"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0.07%</w:t>
            </w:r>
          </w:p>
        </w:tc>
      </w:tr>
      <w:tr w:rsidR="00BA55C5" w:rsidRPr="00115F4D" w14:paraId="48F67F11" w14:textId="77777777">
        <w:trPr>
          <w:trHeight w:val="227"/>
        </w:trPr>
        <w:tc>
          <w:tcPr>
            <w:tcW w:w="2694" w:type="dxa"/>
            <w:tcBorders>
              <w:top w:val="nil"/>
              <w:left w:val="nil"/>
              <w:bottom w:val="nil"/>
              <w:right w:val="nil"/>
            </w:tcBorders>
            <w:tcMar>
              <w:top w:w="15" w:type="dxa"/>
              <w:left w:w="15" w:type="dxa"/>
              <w:right w:w="15" w:type="dxa"/>
            </w:tcMar>
            <w:vAlign w:val="center"/>
          </w:tcPr>
          <w:p w14:paraId="002A74EF" w14:textId="739C77D5" w:rsidR="00BA55C5" w:rsidRPr="00115F4D" w:rsidRDefault="00E42F3C">
            <w:pPr>
              <w:spacing w:before="24" w:after="0"/>
              <w:jc w:val="center"/>
              <w:rPr>
                <w:rStyle w:val="Hipervnculo"/>
                <w:rFonts w:ascii="Arial" w:eastAsia="Calibri Light" w:hAnsi="Arial" w:cs="Arial"/>
                <w:sz w:val="20"/>
                <w:szCs w:val="20"/>
              </w:rPr>
            </w:pPr>
            <w:hyperlink r:id="rId29" w:history="1">
              <w:r w:rsidR="00BA55C5" w:rsidRPr="00115F4D">
                <w:rPr>
                  <w:rStyle w:val="Hipervnculo"/>
                  <w:rFonts w:ascii="Arial" w:eastAsia="Calibri Light" w:hAnsi="Arial" w:cs="Arial"/>
                  <w:sz w:val="20"/>
                  <w:szCs w:val="20"/>
                </w:rPr>
                <w:t>Creg187-2015</w:t>
              </w:r>
            </w:hyperlink>
          </w:p>
        </w:tc>
        <w:tc>
          <w:tcPr>
            <w:tcW w:w="3402" w:type="dxa"/>
            <w:tcBorders>
              <w:top w:val="nil"/>
              <w:left w:val="nil"/>
              <w:bottom w:val="nil"/>
              <w:right w:val="nil"/>
            </w:tcBorders>
            <w:tcMar>
              <w:top w:w="15" w:type="dxa"/>
              <w:left w:w="15" w:type="dxa"/>
              <w:right w:w="15" w:type="dxa"/>
            </w:tcMar>
            <w:vAlign w:val="center"/>
          </w:tcPr>
          <w:p w14:paraId="77D4B72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TOLIMA</w:t>
            </w:r>
          </w:p>
        </w:tc>
        <w:tc>
          <w:tcPr>
            <w:tcW w:w="2693" w:type="dxa"/>
            <w:tcBorders>
              <w:top w:val="nil"/>
              <w:left w:val="nil"/>
              <w:bottom w:val="nil"/>
              <w:right w:val="nil"/>
            </w:tcBorders>
            <w:tcMar>
              <w:top w:w="15" w:type="dxa"/>
              <w:left w:w="15" w:type="dxa"/>
              <w:right w:w="15" w:type="dxa"/>
            </w:tcMar>
            <w:vAlign w:val="center"/>
          </w:tcPr>
          <w:p w14:paraId="36828A0A"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0.07%</w:t>
            </w:r>
          </w:p>
        </w:tc>
      </w:tr>
      <w:tr w:rsidR="00BA55C5" w:rsidRPr="00115F4D" w14:paraId="1F052D32" w14:textId="77777777">
        <w:trPr>
          <w:trHeight w:val="227"/>
        </w:trPr>
        <w:tc>
          <w:tcPr>
            <w:tcW w:w="2694" w:type="dxa"/>
            <w:tcBorders>
              <w:top w:val="nil"/>
              <w:left w:val="nil"/>
              <w:bottom w:val="nil"/>
              <w:right w:val="nil"/>
            </w:tcBorders>
            <w:tcMar>
              <w:top w:w="15" w:type="dxa"/>
              <w:left w:w="15" w:type="dxa"/>
              <w:right w:w="15" w:type="dxa"/>
            </w:tcMar>
            <w:vAlign w:val="center"/>
          </w:tcPr>
          <w:p w14:paraId="33759C6C" w14:textId="36F9E016" w:rsidR="00BA55C5" w:rsidRPr="00115F4D" w:rsidRDefault="00E42F3C">
            <w:pPr>
              <w:spacing w:before="24" w:after="0"/>
              <w:jc w:val="center"/>
              <w:rPr>
                <w:rStyle w:val="Hipervnculo"/>
                <w:rFonts w:ascii="Arial" w:eastAsia="Calibri Light" w:hAnsi="Arial" w:cs="Arial"/>
                <w:sz w:val="20"/>
                <w:szCs w:val="20"/>
              </w:rPr>
            </w:pPr>
            <w:hyperlink r:id="rId30" w:history="1">
              <w:r w:rsidR="00BA55C5" w:rsidRPr="00115F4D">
                <w:rPr>
                  <w:rStyle w:val="Hipervnculo"/>
                  <w:rFonts w:ascii="Arial" w:eastAsia="Calibri Light" w:hAnsi="Arial" w:cs="Arial"/>
                  <w:sz w:val="20"/>
                  <w:szCs w:val="20"/>
                </w:rPr>
                <w:t>Creg217-2015</w:t>
              </w:r>
            </w:hyperlink>
          </w:p>
        </w:tc>
        <w:tc>
          <w:tcPr>
            <w:tcW w:w="3402" w:type="dxa"/>
            <w:tcBorders>
              <w:top w:val="nil"/>
              <w:left w:val="nil"/>
              <w:bottom w:val="nil"/>
              <w:right w:val="nil"/>
            </w:tcBorders>
            <w:tcMar>
              <w:top w:w="15" w:type="dxa"/>
              <w:left w:w="15" w:type="dxa"/>
              <w:right w:w="15" w:type="dxa"/>
            </w:tcMar>
            <w:vAlign w:val="center"/>
          </w:tcPr>
          <w:p w14:paraId="41FEAEA1"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CHEC</w:t>
            </w:r>
          </w:p>
        </w:tc>
        <w:tc>
          <w:tcPr>
            <w:tcW w:w="2693" w:type="dxa"/>
            <w:tcBorders>
              <w:top w:val="nil"/>
              <w:left w:val="nil"/>
              <w:bottom w:val="nil"/>
              <w:right w:val="nil"/>
            </w:tcBorders>
            <w:tcMar>
              <w:top w:w="15" w:type="dxa"/>
              <w:left w:w="15" w:type="dxa"/>
              <w:right w:w="15" w:type="dxa"/>
            </w:tcMar>
            <w:vAlign w:val="center"/>
          </w:tcPr>
          <w:p w14:paraId="627E36B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0.07%</w:t>
            </w:r>
          </w:p>
        </w:tc>
      </w:tr>
      <w:tr w:rsidR="00BA55C5" w:rsidRPr="00115F4D" w14:paraId="6EB899D1" w14:textId="77777777">
        <w:trPr>
          <w:trHeight w:val="227"/>
        </w:trPr>
        <w:tc>
          <w:tcPr>
            <w:tcW w:w="2694" w:type="dxa"/>
            <w:tcBorders>
              <w:top w:val="nil"/>
              <w:left w:val="nil"/>
              <w:bottom w:val="nil"/>
              <w:right w:val="nil"/>
            </w:tcBorders>
            <w:tcMar>
              <w:top w:w="15" w:type="dxa"/>
              <w:left w:w="15" w:type="dxa"/>
              <w:right w:w="15" w:type="dxa"/>
            </w:tcMar>
            <w:vAlign w:val="center"/>
          </w:tcPr>
          <w:p w14:paraId="24A3AB89" w14:textId="1B35A140" w:rsidR="00BA55C5" w:rsidRPr="00115F4D" w:rsidRDefault="00E42F3C">
            <w:pPr>
              <w:spacing w:before="24" w:after="0"/>
              <w:jc w:val="center"/>
              <w:rPr>
                <w:rStyle w:val="Hipervnculo"/>
                <w:rFonts w:ascii="Arial" w:eastAsia="Calibri Light" w:hAnsi="Arial" w:cs="Arial"/>
                <w:sz w:val="20"/>
                <w:szCs w:val="20"/>
              </w:rPr>
            </w:pPr>
            <w:hyperlink r:id="rId31" w:history="1">
              <w:r w:rsidR="00BA55C5" w:rsidRPr="00115F4D">
                <w:rPr>
                  <w:rStyle w:val="Hipervnculo"/>
                  <w:rFonts w:ascii="Arial" w:eastAsia="Calibri Light" w:hAnsi="Arial" w:cs="Arial"/>
                  <w:sz w:val="20"/>
                  <w:szCs w:val="20"/>
                </w:rPr>
                <w:t>Creg036-2015</w:t>
              </w:r>
            </w:hyperlink>
          </w:p>
        </w:tc>
        <w:tc>
          <w:tcPr>
            <w:tcW w:w="3402" w:type="dxa"/>
            <w:tcBorders>
              <w:top w:val="nil"/>
              <w:left w:val="nil"/>
              <w:bottom w:val="nil"/>
              <w:right w:val="nil"/>
            </w:tcBorders>
            <w:tcMar>
              <w:top w:w="15" w:type="dxa"/>
              <w:left w:w="15" w:type="dxa"/>
              <w:right w:w="15" w:type="dxa"/>
            </w:tcMar>
            <w:vAlign w:val="center"/>
          </w:tcPr>
          <w:p w14:paraId="35F86E7A"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ELECTRICARIBE</w:t>
            </w:r>
          </w:p>
        </w:tc>
        <w:tc>
          <w:tcPr>
            <w:tcW w:w="2693" w:type="dxa"/>
            <w:tcBorders>
              <w:top w:val="nil"/>
              <w:left w:val="nil"/>
              <w:bottom w:val="nil"/>
              <w:right w:val="nil"/>
            </w:tcBorders>
            <w:tcMar>
              <w:top w:w="15" w:type="dxa"/>
              <w:left w:w="15" w:type="dxa"/>
              <w:right w:w="15" w:type="dxa"/>
            </w:tcMar>
            <w:vAlign w:val="center"/>
          </w:tcPr>
          <w:p w14:paraId="16B311A5"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0.06%</w:t>
            </w:r>
          </w:p>
        </w:tc>
      </w:tr>
      <w:tr w:rsidR="00BA55C5" w:rsidRPr="00115F4D" w14:paraId="7D9185E1" w14:textId="77777777">
        <w:trPr>
          <w:trHeight w:val="227"/>
        </w:trPr>
        <w:tc>
          <w:tcPr>
            <w:tcW w:w="2694" w:type="dxa"/>
            <w:tcBorders>
              <w:top w:val="nil"/>
              <w:left w:val="nil"/>
              <w:bottom w:val="nil"/>
              <w:right w:val="nil"/>
            </w:tcBorders>
            <w:tcMar>
              <w:top w:w="15" w:type="dxa"/>
              <w:left w:w="15" w:type="dxa"/>
              <w:right w:w="15" w:type="dxa"/>
            </w:tcMar>
            <w:vAlign w:val="center"/>
          </w:tcPr>
          <w:p w14:paraId="3AF1CD94" w14:textId="573E44D5" w:rsidR="00BA55C5" w:rsidRPr="00115F4D" w:rsidRDefault="00E42F3C">
            <w:pPr>
              <w:spacing w:before="24" w:after="0"/>
              <w:jc w:val="center"/>
              <w:rPr>
                <w:rStyle w:val="Hipervnculo"/>
                <w:rFonts w:ascii="Arial" w:eastAsia="Calibri Light" w:hAnsi="Arial" w:cs="Arial"/>
                <w:sz w:val="20"/>
                <w:szCs w:val="20"/>
              </w:rPr>
            </w:pPr>
            <w:hyperlink r:id="rId32" w:history="1">
              <w:r w:rsidR="00BA55C5" w:rsidRPr="00115F4D">
                <w:rPr>
                  <w:rStyle w:val="Hipervnculo"/>
                  <w:rFonts w:ascii="Arial" w:eastAsia="Calibri Light" w:hAnsi="Arial" w:cs="Arial"/>
                  <w:sz w:val="20"/>
                  <w:szCs w:val="20"/>
                </w:rPr>
                <w:t>Creg036-2015</w:t>
              </w:r>
            </w:hyperlink>
          </w:p>
        </w:tc>
        <w:tc>
          <w:tcPr>
            <w:tcW w:w="3402" w:type="dxa"/>
            <w:tcBorders>
              <w:top w:val="nil"/>
              <w:left w:val="nil"/>
              <w:bottom w:val="nil"/>
              <w:right w:val="nil"/>
            </w:tcBorders>
            <w:tcMar>
              <w:top w:w="15" w:type="dxa"/>
              <w:left w:w="15" w:type="dxa"/>
              <w:right w:w="15" w:type="dxa"/>
            </w:tcMar>
            <w:vAlign w:val="center"/>
          </w:tcPr>
          <w:p w14:paraId="69687AE8"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CARIBEMAR*</w:t>
            </w:r>
          </w:p>
        </w:tc>
        <w:tc>
          <w:tcPr>
            <w:tcW w:w="2693" w:type="dxa"/>
            <w:tcBorders>
              <w:top w:val="nil"/>
              <w:left w:val="nil"/>
              <w:bottom w:val="nil"/>
              <w:right w:val="nil"/>
            </w:tcBorders>
            <w:tcMar>
              <w:top w:w="15" w:type="dxa"/>
              <w:left w:w="15" w:type="dxa"/>
              <w:right w:w="15" w:type="dxa"/>
            </w:tcMar>
            <w:vAlign w:val="center"/>
          </w:tcPr>
          <w:p w14:paraId="684015CF"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0.06%</w:t>
            </w:r>
          </w:p>
        </w:tc>
      </w:tr>
      <w:tr w:rsidR="00BA55C5" w:rsidRPr="00115F4D" w14:paraId="29E37BA5" w14:textId="77777777">
        <w:trPr>
          <w:trHeight w:val="227"/>
        </w:trPr>
        <w:tc>
          <w:tcPr>
            <w:tcW w:w="2694" w:type="dxa"/>
            <w:tcBorders>
              <w:top w:val="nil"/>
              <w:left w:val="nil"/>
              <w:bottom w:val="nil"/>
              <w:right w:val="nil"/>
            </w:tcBorders>
            <w:tcMar>
              <w:top w:w="15" w:type="dxa"/>
              <w:left w:w="15" w:type="dxa"/>
              <w:right w:w="15" w:type="dxa"/>
            </w:tcMar>
            <w:vAlign w:val="center"/>
          </w:tcPr>
          <w:p w14:paraId="52CA0737" w14:textId="56D306CE" w:rsidR="00BA55C5" w:rsidRPr="00115F4D" w:rsidRDefault="00E42F3C">
            <w:pPr>
              <w:spacing w:before="24" w:after="0"/>
              <w:jc w:val="center"/>
              <w:rPr>
                <w:rStyle w:val="Hipervnculo"/>
                <w:rFonts w:ascii="Arial" w:eastAsia="Calibri Light" w:hAnsi="Arial" w:cs="Arial"/>
                <w:sz w:val="20"/>
                <w:szCs w:val="20"/>
              </w:rPr>
            </w:pPr>
            <w:hyperlink r:id="rId33" w:history="1">
              <w:r w:rsidR="00BA55C5" w:rsidRPr="00115F4D">
                <w:rPr>
                  <w:rStyle w:val="Hipervnculo"/>
                  <w:rFonts w:ascii="Arial" w:eastAsia="Calibri Light" w:hAnsi="Arial" w:cs="Arial"/>
                  <w:sz w:val="20"/>
                  <w:szCs w:val="20"/>
                </w:rPr>
                <w:t>Creg036-2015</w:t>
              </w:r>
            </w:hyperlink>
          </w:p>
        </w:tc>
        <w:tc>
          <w:tcPr>
            <w:tcW w:w="3402" w:type="dxa"/>
            <w:tcBorders>
              <w:top w:val="nil"/>
              <w:left w:val="nil"/>
              <w:bottom w:val="nil"/>
              <w:right w:val="nil"/>
            </w:tcBorders>
            <w:tcMar>
              <w:top w:w="15" w:type="dxa"/>
              <w:left w:w="15" w:type="dxa"/>
              <w:right w:w="15" w:type="dxa"/>
            </w:tcMar>
            <w:vAlign w:val="center"/>
          </w:tcPr>
          <w:p w14:paraId="2B83BA33"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AIRE*</w:t>
            </w:r>
          </w:p>
        </w:tc>
        <w:tc>
          <w:tcPr>
            <w:tcW w:w="2693" w:type="dxa"/>
            <w:tcBorders>
              <w:top w:val="nil"/>
              <w:left w:val="nil"/>
              <w:bottom w:val="nil"/>
              <w:right w:val="nil"/>
            </w:tcBorders>
            <w:tcMar>
              <w:top w:w="15" w:type="dxa"/>
              <w:left w:w="15" w:type="dxa"/>
              <w:right w:w="15" w:type="dxa"/>
            </w:tcMar>
            <w:vAlign w:val="center"/>
          </w:tcPr>
          <w:p w14:paraId="778AFB9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0.06%</w:t>
            </w:r>
          </w:p>
        </w:tc>
      </w:tr>
      <w:tr w:rsidR="00BA55C5" w:rsidRPr="00115F4D" w14:paraId="53A90F25" w14:textId="77777777">
        <w:trPr>
          <w:trHeight w:val="227"/>
        </w:trPr>
        <w:tc>
          <w:tcPr>
            <w:tcW w:w="2694" w:type="dxa"/>
            <w:tcBorders>
              <w:top w:val="nil"/>
              <w:left w:val="nil"/>
              <w:bottom w:val="nil"/>
              <w:right w:val="nil"/>
            </w:tcBorders>
            <w:tcMar>
              <w:top w:w="15" w:type="dxa"/>
              <w:left w:w="15" w:type="dxa"/>
              <w:right w:w="15" w:type="dxa"/>
            </w:tcMar>
            <w:vAlign w:val="center"/>
          </w:tcPr>
          <w:p w14:paraId="170B390B" w14:textId="67F21277" w:rsidR="00BA55C5" w:rsidRPr="00115F4D" w:rsidRDefault="00E42F3C">
            <w:pPr>
              <w:spacing w:before="24" w:after="0"/>
              <w:jc w:val="center"/>
              <w:rPr>
                <w:rStyle w:val="Hipervnculo"/>
                <w:rFonts w:ascii="Arial" w:eastAsia="Calibri Light" w:hAnsi="Arial" w:cs="Arial"/>
                <w:sz w:val="20"/>
                <w:szCs w:val="20"/>
              </w:rPr>
            </w:pPr>
            <w:hyperlink r:id="rId34" w:history="1">
              <w:r w:rsidR="00BA55C5" w:rsidRPr="00115F4D">
                <w:rPr>
                  <w:rStyle w:val="Hipervnculo"/>
                  <w:rFonts w:ascii="Arial" w:eastAsia="Calibri Light" w:hAnsi="Arial" w:cs="Arial"/>
                  <w:sz w:val="20"/>
                  <w:szCs w:val="20"/>
                </w:rPr>
                <w:t>Creg123-2015</w:t>
              </w:r>
            </w:hyperlink>
          </w:p>
        </w:tc>
        <w:tc>
          <w:tcPr>
            <w:tcW w:w="3402" w:type="dxa"/>
            <w:tcBorders>
              <w:top w:val="nil"/>
              <w:left w:val="nil"/>
              <w:bottom w:val="nil"/>
              <w:right w:val="nil"/>
            </w:tcBorders>
            <w:tcMar>
              <w:top w:w="15" w:type="dxa"/>
              <w:left w:w="15" w:type="dxa"/>
              <w:right w:w="15" w:type="dxa"/>
            </w:tcMar>
            <w:vAlign w:val="center"/>
          </w:tcPr>
          <w:p w14:paraId="24981524"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ENELAR</w:t>
            </w:r>
          </w:p>
        </w:tc>
        <w:tc>
          <w:tcPr>
            <w:tcW w:w="2693" w:type="dxa"/>
            <w:tcBorders>
              <w:top w:val="nil"/>
              <w:left w:val="nil"/>
              <w:bottom w:val="nil"/>
              <w:right w:val="nil"/>
            </w:tcBorders>
            <w:tcMar>
              <w:top w:w="15" w:type="dxa"/>
              <w:left w:w="15" w:type="dxa"/>
              <w:right w:w="15" w:type="dxa"/>
            </w:tcMar>
            <w:vAlign w:val="center"/>
          </w:tcPr>
          <w:p w14:paraId="796FDE1E"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0.06%</w:t>
            </w:r>
          </w:p>
        </w:tc>
      </w:tr>
      <w:tr w:rsidR="00BA55C5" w:rsidRPr="00115F4D" w14:paraId="0C1B3038" w14:textId="77777777">
        <w:trPr>
          <w:trHeight w:val="227"/>
        </w:trPr>
        <w:tc>
          <w:tcPr>
            <w:tcW w:w="2694" w:type="dxa"/>
            <w:tcBorders>
              <w:top w:val="nil"/>
              <w:left w:val="nil"/>
              <w:bottom w:val="nil"/>
              <w:right w:val="nil"/>
            </w:tcBorders>
            <w:tcMar>
              <w:top w:w="15" w:type="dxa"/>
              <w:left w:w="15" w:type="dxa"/>
              <w:right w:w="15" w:type="dxa"/>
            </w:tcMar>
            <w:vAlign w:val="center"/>
          </w:tcPr>
          <w:p w14:paraId="17B6EE2A" w14:textId="4AE17BA7" w:rsidR="00BA55C5" w:rsidRPr="00115F4D" w:rsidRDefault="00E42F3C">
            <w:pPr>
              <w:spacing w:before="24" w:after="0"/>
              <w:jc w:val="center"/>
              <w:rPr>
                <w:rStyle w:val="Hipervnculo"/>
                <w:rFonts w:ascii="Arial" w:eastAsia="Calibri Light" w:hAnsi="Arial" w:cs="Arial"/>
                <w:sz w:val="20"/>
                <w:szCs w:val="20"/>
              </w:rPr>
            </w:pPr>
            <w:hyperlink r:id="rId35" w:history="1">
              <w:r w:rsidR="00BA55C5" w:rsidRPr="00115F4D">
                <w:rPr>
                  <w:rStyle w:val="Hipervnculo"/>
                  <w:rFonts w:ascii="Arial" w:eastAsia="Calibri Light" w:hAnsi="Arial" w:cs="Arial"/>
                  <w:sz w:val="20"/>
                  <w:szCs w:val="20"/>
                </w:rPr>
                <w:t>Creg189-2015</w:t>
              </w:r>
            </w:hyperlink>
          </w:p>
        </w:tc>
        <w:tc>
          <w:tcPr>
            <w:tcW w:w="3402" w:type="dxa"/>
            <w:tcBorders>
              <w:top w:val="nil"/>
              <w:left w:val="nil"/>
              <w:bottom w:val="nil"/>
              <w:right w:val="nil"/>
            </w:tcBorders>
            <w:tcMar>
              <w:top w:w="15" w:type="dxa"/>
              <w:left w:w="15" w:type="dxa"/>
              <w:right w:w="15" w:type="dxa"/>
            </w:tcMar>
            <w:vAlign w:val="center"/>
          </w:tcPr>
          <w:p w14:paraId="5FDB6E10"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EPM</w:t>
            </w:r>
          </w:p>
        </w:tc>
        <w:tc>
          <w:tcPr>
            <w:tcW w:w="2693" w:type="dxa"/>
            <w:tcBorders>
              <w:top w:val="nil"/>
              <w:left w:val="nil"/>
              <w:bottom w:val="nil"/>
              <w:right w:val="nil"/>
            </w:tcBorders>
            <w:tcMar>
              <w:top w:w="15" w:type="dxa"/>
              <w:left w:w="15" w:type="dxa"/>
              <w:right w:w="15" w:type="dxa"/>
            </w:tcMar>
            <w:vAlign w:val="center"/>
          </w:tcPr>
          <w:p w14:paraId="001A4D7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0.05%</w:t>
            </w:r>
          </w:p>
        </w:tc>
      </w:tr>
      <w:tr w:rsidR="00BA55C5" w:rsidRPr="00115F4D" w14:paraId="2995FEA4" w14:textId="77777777">
        <w:trPr>
          <w:trHeight w:val="227"/>
        </w:trPr>
        <w:tc>
          <w:tcPr>
            <w:tcW w:w="2694" w:type="dxa"/>
            <w:tcBorders>
              <w:top w:val="nil"/>
              <w:left w:val="nil"/>
              <w:bottom w:val="nil"/>
              <w:right w:val="nil"/>
            </w:tcBorders>
            <w:tcMar>
              <w:top w:w="15" w:type="dxa"/>
              <w:left w:w="15" w:type="dxa"/>
              <w:right w:w="15" w:type="dxa"/>
            </w:tcMar>
            <w:vAlign w:val="center"/>
          </w:tcPr>
          <w:p w14:paraId="0A15813B" w14:textId="1E268979" w:rsidR="00BA55C5" w:rsidRPr="00115F4D" w:rsidRDefault="00E42F3C">
            <w:pPr>
              <w:spacing w:before="24" w:after="0"/>
              <w:jc w:val="center"/>
              <w:rPr>
                <w:rStyle w:val="Hipervnculo"/>
                <w:rFonts w:ascii="Arial" w:eastAsia="Calibri Light" w:hAnsi="Arial" w:cs="Arial"/>
                <w:sz w:val="20"/>
                <w:szCs w:val="20"/>
              </w:rPr>
            </w:pPr>
            <w:hyperlink r:id="rId36" w:history="1">
              <w:r w:rsidR="00BA55C5" w:rsidRPr="00115F4D">
                <w:rPr>
                  <w:rStyle w:val="Hipervnculo"/>
                  <w:rFonts w:ascii="Arial" w:eastAsia="Calibri Light" w:hAnsi="Arial" w:cs="Arial"/>
                  <w:sz w:val="20"/>
                  <w:szCs w:val="20"/>
                </w:rPr>
                <w:t>Creg190-2015</w:t>
              </w:r>
            </w:hyperlink>
          </w:p>
        </w:tc>
        <w:tc>
          <w:tcPr>
            <w:tcW w:w="3402" w:type="dxa"/>
            <w:tcBorders>
              <w:top w:val="nil"/>
              <w:left w:val="nil"/>
              <w:bottom w:val="nil"/>
              <w:right w:val="nil"/>
            </w:tcBorders>
            <w:tcMar>
              <w:top w:w="15" w:type="dxa"/>
              <w:left w:w="15" w:type="dxa"/>
              <w:right w:w="15" w:type="dxa"/>
            </w:tcMar>
            <w:vAlign w:val="center"/>
          </w:tcPr>
          <w:p w14:paraId="760B6EB7"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EMCALI</w:t>
            </w:r>
          </w:p>
        </w:tc>
        <w:tc>
          <w:tcPr>
            <w:tcW w:w="2693" w:type="dxa"/>
            <w:tcBorders>
              <w:top w:val="nil"/>
              <w:left w:val="nil"/>
              <w:bottom w:val="nil"/>
              <w:right w:val="nil"/>
            </w:tcBorders>
            <w:tcMar>
              <w:top w:w="15" w:type="dxa"/>
              <w:left w:w="15" w:type="dxa"/>
              <w:right w:w="15" w:type="dxa"/>
            </w:tcMar>
            <w:vAlign w:val="center"/>
          </w:tcPr>
          <w:p w14:paraId="2FA35F91"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0.04%</w:t>
            </w:r>
          </w:p>
        </w:tc>
      </w:tr>
      <w:tr w:rsidR="00BA55C5" w:rsidRPr="00115F4D" w14:paraId="713F2ED3" w14:textId="77777777">
        <w:trPr>
          <w:trHeight w:val="227"/>
        </w:trPr>
        <w:tc>
          <w:tcPr>
            <w:tcW w:w="2694" w:type="dxa"/>
            <w:tcBorders>
              <w:top w:val="nil"/>
              <w:left w:val="nil"/>
              <w:bottom w:val="nil"/>
              <w:right w:val="nil"/>
            </w:tcBorders>
            <w:tcMar>
              <w:top w:w="15" w:type="dxa"/>
              <w:left w:w="15" w:type="dxa"/>
              <w:right w:w="15" w:type="dxa"/>
            </w:tcMar>
            <w:vAlign w:val="center"/>
          </w:tcPr>
          <w:p w14:paraId="7A569F8F" w14:textId="5EF96A22" w:rsidR="00BA55C5" w:rsidRPr="00115F4D" w:rsidRDefault="00E42F3C">
            <w:pPr>
              <w:spacing w:before="24" w:after="0"/>
              <w:jc w:val="center"/>
              <w:rPr>
                <w:rStyle w:val="Hipervnculo"/>
                <w:rFonts w:ascii="Arial" w:eastAsia="Calibri Light" w:hAnsi="Arial" w:cs="Arial"/>
                <w:sz w:val="20"/>
                <w:szCs w:val="20"/>
              </w:rPr>
            </w:pPr>
            <w:hyperlink r:id="rId37" w:history="1">
              <w:r w:rsidR="00BA55C5" w:rsidRPr="00115F4D">
                <w:rPr>
                  <w:rStyle w:val="Hipervnculo"/>
                  <w:rFonts w:ascii="Arial" w:eastAsia="Calibri Light" w:hAnsi="Arial" w:cs="Arial"/>
                  <w:sz w:val="20"/>
                  <w:szCs w:val="20"/>
                </w:rPr>
                <w:t>Creg223-2016</w:t>
              </w:r>
            </w:hyperlink>
          </w:p>
        </w:tc>
        <w:tc>
          <w:tcPr>
            <w:tcW w:w="3402" w:type="dxa"/>
            <w:tcBorders>
              <w:top w:val="nil"/>
              <w:left w:val="nil"/>
              <w:bottom w:val="nil"/>
              <w:right w:val="nil"/>
            </w:tcBorders>
            <w:tcMar>
              <w:top w:w="15" w:type="dxa"/>
              <w:left w:w="15" w:type="dxa"/>
              <w:right w:w="15" w:type="dxa"/>
            </w:tcMar>
            <w:vAlign w:val="center"/>
          </w:tcPr>
          <w:p w14:paraId="683423D0"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CETSA</w:t>
            </w:r>
          </w:p>
        </w:tc>
        <w:tc>
          <w:tcPr>
            <w:tcW w:w="2693" w:type="dxa"/>
            <w:tcBorders>
              <w:top w:val="nil"/>
              <w:left w:val="nil"/>
              <w:bottom w:val="nil"/>
              <w:right w:val="nil"/>
            </w:tcBorders>
            <w:tcMar>
              <w:top w:w="15" w:type="dxa"/>
              <w:left w:w="15" w:type="dxa"/>
              <w:right w:w="15" w:type="dxa"/>
            </w:tcMar>
            <w:vAlign w:val="center"/>
          </w:tcPr>
          <w:p w14:paraId="334ECDF0"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0.04%</w:t>
            </w:r>
          </w:p>
        </w:tc>
      </w:tr>
      <w:tr w:rsidR="00BA55C5" w:rsidRPr="00115F4D" w14:paraId="005D9683" w14:textId="77777777">
        <w:trPr>
          <w:trHeight w:val="227"/>
        </w:trPr>
        <w:tc>
          <w:tcPr>
            <w:tcW w:w="2694" w:type="dxa"/>
            <w:tcBorders>
              <w:top w:val="nil"/>
              <w:left w:val="nil"/>
              <w:bottom w:val="nil"/>
              <w:right w:val="nil"/>
            </w:tcBorders>
            <w:tcMar>
              <w:top w:w="15" w:type="dxa"/>
              <w:left w:w="15" w:type="dxa"/>
              <w:right w:w="15" w:type="dxa"/>
            </w:tcMar>
            <w:vAlign w:val="center"/>
          </w:tcPr>
          <w:p w14:paraId="1FF44F2A" w14:textId="680DF147" w:rsidR="00BA55C5" w:rsidRPr="00115F4D" w:rsidRDefault="00E42F3C">
            <w:pPr>
              <w:spacing w:before="24" w:after="0"/>
              <w:jc w:val="center"/>
              <w:rPr>
                <w:rStyle w:val="Hipervnculo"/>
                <w:rFonts w:ascii="Arial" w:eastAsia="Calibri Light" w:hAnsi="Arial" w:cs="Arial"/>
                <w:sz w:val="20"/>
                <w:szCs w:val="20"/>
              </w:rPr>
            </w:pPr>
            <w:hyperlink r:id="rId38" w:history="1">
              <w:r w:rsidR="00BA55C5" w:rsidRPr="00115F4D">
                <w:rPr>
                  <w:rStyle w:val="Hipervnculo"/>
                  <w:rFonts w:ascii="Arial" w:eastAsia="Calibri Light" w:hAnsi="Arial" w:cs="Arial"/>
                  <w:sz w:val="20"/>
                  <w:szCs w:val="20"/>
                </w:rPr>
                <w:t>Creg199-2015</w:t>
              </w:r>
            </w:hyperlink>
          </w:p>
        </w:tc>
        <w:tc>
          <w:tcPr>
            <w:tcW w:w="3402" w:type="dxa"/>
            <w:tcBorders>
              <w:top w:val="nil"/>
              <w:left w:val="nil"/>
              <w:bottom w:val="nil"/>
              <w:right w:val="nil"/>
            </w:tcBorders>
            <w:tcMar>
              <w:top w:w="15" w:type="dxa"/>
              <w:left w:w="15" w:type="dxa"/>
              <w:right w:w="15" w:type="dxa"/>
            </w:tcMar>
            <w:vAlign w:val="center"/>
          </w:tcPr>
          <w:p w14:paraId="7A8DB12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CENS</w:t>
            </w:r>
          </w:p>
        </w:tc>
        <w:tc>
          <w:tcPr>
            <w:tcW w:w="2693" w:type="dxa"/>
            <w:tcBorders>
              <w:top w:val="nil"/>
              <w:left w:val="nil"/>
              <w:bottom w:val="nil"/>
              <w:right w:val="nil"/>
            </w:tcBorders>
            <w:tcMar>
              <w:top w:w="15" w:type="dxa"/>
              <w:left w:w="15" w:type="dxa"/>
              <w:right w:w="15" w:type="dxa"/>
            </w:tcMar>
            <w:vAlign w:val="center"/>
          </w:tcPr>
          <w:p w14:paraId="28D14C01"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0.03%</w:t>
            </w:r>
          </w:p>
        </w:tc>
      </w:tr>
      <w:tr w:rsidR="00BA55C5" w:rsidRPr="00115F4D" w14:paraId="2181B847" w14:textId="77777777">
        <w:trPr>
          <w:trHeight w:val="227"/>
        </w:trPr>
        <w:tc>
          <w:tcPr>
            <w:tcW w:w="2694" w:type="dxa"/>
            <w:tcBorders>
              <w:top w:val="nil"/>
              <w:left w:val="nil"/>
              <w:bottom w:val="nil"/>
              <w:right w:val="nil"/>
            </w:tcBorders>
            <w:tcMar>
              <w:top w:w="15" w:type="dxa"/>
              <w:left w:w="15" w:type="dxa"/>
              <w:right w:w="15" w:type="dxa"/>
            </w:tcMar>
            <w:vAlign w:val="center"/>
          </w:tcPr>
          <w:p w14:paraId="2163D265" w14:textId="3F6214C3" w:rsidR="00BA55C5" w:rsidRPr="00115F4D" w:rsidRDefault="00E42F3C">
            <w:pPr>
              <w:spacing w:before="24" w:after="0"/>
              <w:jc w:val="center"/>
              <w:rPr>
                <w:rStyle w:val="Hipervnculo"/>
                <w:rFonts w:ascii="Arial" w:eastAsia="Calibri Light" w:hAnsi="Arial" w:cs="Arial"/>
                <w:sz w:val="20"/>
                <w:szCs w:val="20"/>
              </w:rPr>
            </w:pPr>
            <w:hyperlink r:id="rId39" w:history="1">
              <w:r w:rsidR="00BA55C5" w:rsidRPr="00115F4D">
                <w:rPr>
                  <w:rStyle w:val="Hipervnculo"/>
                  <w:rFonts w:ascii="Arial" w:eastAsia="Calibri Light" w:hAnsi="Arial" w:cs="Arial"/>
                  <w:sz w:val="20"/>
                  <w:szCs w:val="20"/>
                </w:rPr>
                <w:t>Creg206-2015</w:t>
              </w:r>
            </w:hyperlink>
          </w:p>
        </w:tc>
        <w:tc>
          <w:tcPr>
            <w:tcW w:w="3402" w:type="dxa"/>
            <w:tcBorders>
              <w:top w:val="nil"/>
              <w:left w:val="nil"/>
              <w:bottom w:val="nil"/>
              <w:right w:val="nil"/>
            </w:tcBorders>
            <w:tcMar>
              <w:top w:w="15" w:type="dxa"/>
              <w:left w:w="15" w:type="dxa"/>
              <w:right w:w="15" w:type="dxa"/>
            </w:tcMar>
            <w:vAlign w:val="center"/>
          </w:tcPr>
          <w:p w14:paraId="0D8B2604"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GUAVIARE</w:t>
            </w:r>
          </w:p>
        </w:tc>
        <w:tc>
          <w:tcPr>
            <w:tcW w:w="2693" w:type="dxa"/>
            <w:tcBorders>
              <w:top w:val="nil"/>
              <w:left w:val="nil"/>
              <w:bottom w:val="nil"/>
              <w:right w:val="nil"/>
            </w:tcBorders>
            <w:tcMar>
              <w:top w:w="15" w:type="dxa"/>
              <w:left w:w="15" w:type="dxa"/>
              <w:right w:w="15" w:type="dxa"/>
            </w:tcMar>
            <w:vAlign w:val="center"/>
          </w:tcPr>
          <w:p w14:paraId="2E3E2798"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0.01%</w:t>
            </w:r>
          </w:p>
        </w:tc>
      </w:tr>
      <w:tr w:rsidR="00BA55C5" w:rsidRPr="00115F4D" w14:paraId="4FE7D687" w14:textId="77777777">
        <w:trPr>
          <w:trHeight w:val="227"/>
        </w:trPr>
        <w:tc>
          <w:tcPr>
            <w:tcW w:w="2694" w:type="dxa"/>
            <w:tcBorders>
              <w:top w:val="nil"/>
              <w:left w:val="nil"/>
              <w:bottom w:val="nil"/>
              <w:right w:val="nil"/>
            </w:tcBorders>
            <w:tcMar>
              <w:top w:w="15" w:type="dxa"/>
              <w:left w:w="15" w:type="dxa"/>
              <w:right w:w="15" w:type="dxa"/>
            </w:tcMar>
            <w:vAlign w:val="center"/>
          </w:tcPr>
          <w:p w14:paraId="08874F44" w14:textId="4EB93BB6" w:rsidR="00BA55C5" w:rsidRPr="00115F4D" w:rsidRDefault="00E42F3C">
            <w:pPr>
              <w:spacing w:before="24" w:after="0"/>
              <w:jc w:val="center"/>
              <w:rPr>
                <w:rStyle w:val="Hipervnculo"/>
                <w:rFonts w:ascii="Arial" w:eastAsia="Calibri Light" w:hAnsi="Arial" w:cs="Arial"/>
                <w:sz w:val="20"/>
                <w:szCs w:val="20"/>
              </w:rPr>
            </w:pPr>
            <w:hyperlink r:id="rId40" w:history="1">
              <w:r w:rsidR="00BA55C5" w:rsidRPr="00115F4D">
                <w:rPr>
                  <w:rStyle w:val="Hipervnculo"/>
                  <w:rFonts w:ascii="Arial" w:eastAsia="Calibri Light" w:hAnsi="Arial" w:cs="Arial"/>
                  <w:sz w:val="20"/>
                  <w:szCs w:val="20"/>
                </w:rPr>
                <w:t>Creg230-2016</w:t>
              </w:r>
            </w:hyperlink>
          </w:p>
        </w:tc>
        <w:tc>
          <w:tcPr>
            <w:tcW w:w="3402" w:type="dxa"/>
            <w:tcBorders>
              <w:top w:val="nil"/>
              <w:left w:val="nil"/>
              <w:bottom w:val="nil"/>
              <w:right w:val="nil"/>
            </w:tcBorders>
            <w:tcMar>
              <w:top w:w="15" w:type="dxa"/>
              <w:left w:w="15" w:type="dxa"/>
              <w:right w:w="15" w:type="dxa"/>
            </w:tcMar>
            <w:vAlign w:val="center"/>
          </w:tcPr>
          <w:p w14:paraId="49F8A484"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CARTAGO</w:t>
            </w:r>
          </w:p>
        </w:tc>
        <w:tc>
          <w:tcPr>
            <w:tcW w:w="2693" w:type="dxa"/>
            <w:tcBorders>
              <w:top w:val="nil"/>
              <w:left w:val="nil"/>
              <w:bottom w:val="nil"/>
              <w:right w:val="nil"/>
            </w:tcBorders>
            <w:tcMar>
              <w:top w:w="15" w:type="dxa"/>
              <w:left w:w="15" w:type="dxa"/>
              <w:right w:w="15" w:type="dxa"/>
            </w:tcMar>
            <w:vAlign w:val="center"/>
          </w:tcPr>
          <w:p w14:paraId="62CC3A5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0.01%</w:t>
            </w:r>
          </w:p>
        </w:tc>
      </w:tr>
      <w:tr w:rsidR="00BA55C5" w:rsidRPr="00115F4D" w14:paraId="2742C73C" w14:textId="77777777">
        <w:trPr>
          <w:trHeight w:val="227"/>
        </w:trPr>
        <w:tc>
          <w:tcPr>
            <w:tcW w:w="2694" w:type="dxa"/>
            <w:tcBorders>
              <w:top w:val="nil"/>
              <w:left w:val="nil"/>
              <w:bottom w:val="nil"/>
              <w:right w:val="nil"/>
            </w:tcBorders>
            <w:tcMar>
              <w:top w:w="15" w:type="dxa"/>
              <w:left w:w="15" w:type="dxa"/>
              <w:right w:w="15" w:type="dxa"/>
            </w:tcMar>
            <w:vAlign w:val="center"/>
          </w:tcPr>
          <w:p w14:paraId="0C1DE398" w14:textId="05E3B612" w:rsidR="00BA55C5" w:rsidRPr="00115F4D" w:rsidRDefault="00E42F3C">
            <w:pPr>
              <w:spacing w:before="24" w:after="0"/>
              <w:jc w:val="center"/>
              <w:rPr>
                <w:rStyle w:val="Hipervnculo"/>
                <w:rFonts w:ascii="Arial" w:eastAsia="Calibri Light" w:hAnsi="Arial" w:cs="Arial"/>
                <w:sz w:val="20"/>
                <w:szCs w:val="20"/>
              </w:rPr>
            </w:pPr>
            <w:hyperlink r:id="rId41" w:history="1">
              <w:r w:rsidR="00BA55C5" w:rsidRPr="00115F4D">
                <w:rPr>
                  <w:rStyle w:val="Hipervnculo"/>
                  <w:rFonts w:ascii="Arial" w:eastAsia="Calibri Light" w:hAnsi="Arial" w:cs="Arial"/>
                  <w:sz w:val="20"/>
                  <w:szCs w:val="20"/>
                </w:rPr>
                <w:t>Creg124-2015</w:t>
              </w:r>
            </w:hyperlink>
          </w:p>
        </w:tc>
        <w:tc>
          <w:tcPr>
            <w:tcW w:w="3402" w:type="dxa"/>
            <w:tcBorders>
              <w:top w:val="nil"/>
              <w:left w:val="nil"/>
              <w:bottom w:val="nil"/>
              <w:right w:val="nil"/>
            </w:tcBorders>
            <w:tcMar>
              <w:top w:w="15" w:type="dxa"/>
              <w:left w:w="15" w:type="dxa"/>
              <w:right w:w="15" w:type="dxa"/>
            </w:tcMar>
            <w:vAlign w:val="center"/>
          </w:tcPr>
          <w:p w14:paraId="71B0FCEE"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EEP</w:t>
            </w:r>
          </w:p>
        </w:tc>
        <w:tc>
          <w:tcPr>
            <w:tcW w:w="2693" w:type="dxa"/>
            <w:tcBorders>
              <w:top w:val="nil"/>
              <w:left w:val="nil"/>
              <w:bottom w:val="nil"/>
              <w:right w:val="nil"/>
            </w:tcBorders>
            <w:tcMar>
              <w:top w:w="15" w:type="dxa"/>
              <w:left w:w="15" w:type="dxa"/>
              <w:right w:w="15" w:type="dxa"/>
            </w:tcMar>
            <w:vAlign w:val="center"/>
          </w:tcPr>
          <w:p w14:paraId="2DE437F0"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0.00%</w:t>
            </w:r>
          </w:p>
        </w:tc>
      </w:tr>
      <w:tr w:rsidR="00BA55C5" w:rsidRPr="00115F4D" w14:paraId="121DD9CD" w14:textId="77777777">
        <w:trPr>
          <w:trHeight w:val="227"/>
        </w:trPr>
        <w:tc>
          <w:tcPr>
            <w:tcW w:w="2694" w:type="dxa"/>
            <w:tcBorders>
              <w:top w:val="nil"/>
              <w:left w:val="nil"/>
              <w:bottom w:val="nil"/>
              <w:right w:val="nil"/>
            </w:tcBorders>
            <w:tcMar>
              <w:top w:w="15" w:type="dxa"/>
              <w:left w:w="15" w:type="dxa"/>
              <w:right w:w="15" w:type="dxa"/>
            </w:tcMar>
            <w:vAlign w:val="center"/>
          </w:tcPr>
          <w:p w14:paraId="47E2027E" w14:textId="416CCE0E" w:rsidR="00BA55C5" w:rsidRPr="00115F4D" w:rsidRDefault="00E42F3C">
            <w:pPr>
              <w:spacing w:before="24" w:after="0"/>
              <w:jc w:val="center"/>
              <w:rPr>
                <w:rStyle w:val="Hipervnculo"/>
                <w:rFonts w:ascii="Arial" w:eastAsia="Calibri Light" w:hAnsi="Arial" w:cs="Arial"/>
                <w:sz w:val="20"/>
                <w:szCs w:val="20"/>
              </w:rPr>
            </w:pPr>
            <w:hyperlink r:id="rId42" w:history="1">
              <w:r w:rsidR="00BA55C5" w:rsidRPr="00115F4D">
                <w:rPr>
                  <w:rStyle w:val="Hipervnculo"/>
                  <w:rFonts w:ascii="Arial" w:eastAsia="Calibri Light" w:hAnsi="Arial" w:cs="Arial"/>
                  <w:sz w:val="20"/>
                  <w:szCs w:val="20"/>
                </w:rPr>
                <w:t>Creg014-2016</w:t>
              </w:r>
            </w:hyperlink>
          </w:p>
        </w:tc>
        <w:tc>
          <w:tcPr>
            <w:tcW w:w="3402" w:type="dxa"/>
            <w:tcBorders>
              <w:top w:val="nil"/>
              <w:left w:val="nil"/>
              <w:bottom w:val="nil"/>
              <w:right w:val="nil"/>
            </w:tcBorders>
            <w:tcMar>
              <w:top w:w="15" w:type="dxa"/>
              <w:left w:w="15" w:type="dxa"/>
              <w:right w:w="15" w:type="dxa"/>
            </w:tcMar>
            <w:vAlign w:val="center"/>
          </w:tcPr>
          <w:p w14:paraId="4486705E"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CAQUETA</w:t>
            </w:r>
          </w:p>
        </w:tc>
        <w:tc>
          <w:tcPr>
            <w:tcW w:w="2693" w:type="dxa"/>
            <w:tcBorders>
              <w:top w:val="nil"/>
              <w:left w:val="nil"/>
              <w:bottom w:val="nil"/>
              <w:right w:val="nil"/>
            </w:tcBorders>
            <w:tcMar>
              <w:top w:w="15" w:type="dxa"/>
              <w:left w:w="15" w:type="dxa"/>
              <w:right w:w="15" w:type="dxa"/>
            </w:tcMar>
            <w:vAlign w:val="center"/>
          </w:tcPr>
          <w:p w14:paraId="7491A2C2"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0.00%</w:t>
            </w:r>
          </w:p>
        </w:tc>
      </w:tr>
      <w:tr w:rsidR="00BA55C5" w:rsidRPr="00115F4D" w14:paraId="2EB4D9F8" w14:textId="77777777">
        <w:trPr>
          <w:trHeight w:val="227"/>
        </w:trPr>
        <w:tc>
          <w:tcPr>
            <w:tcW w:w="2694" w:type="dxa"/>
            <w:tcBorders>
              <w:top w:val="nil"/>
              <w:left w:val="nil"/>
              <w:bottom w:val="nil"/>
              <w:right w:val="nil"/>
            </w:tcBorders>
            <w:tcMar>
              <w:top w:w="15" w:type="dxa"/>
              <w:left w:w="15" w:type="dxa"/>
              <w:right w:w="15" w:type="dxa"/>
            </w:tcMar>
            <w:vAlign w:val="center"/>
          </w:tcPr>
          <w:p w14:paraId="1E39418D" w14:textId="0AF44A72" w:rsidR="00BA55C5" w:rsidRPr="00115F4D" w:rsidRDefault="00E42F3C">
            <w:pPr>
              <w:spacing w:before="24" w:after="0"/>
              <w:jc w:val="center"/>
              <w:rPr>
                <w:rStyle w:val="Hipervnculo"/>
                <w:rFonts w:ascii="Arial" w:eastAsia="Calibri Light" w:hAnsi="Arial" w:cs="Arial"/>
                <w:sz w:val="20"/>
                <w:szCs w:val="20"/>
              </w:rPr>
            </w:pPr>
            <w:hyperlink r:id="rId43" w:history="1">
              <w:r w:rsidR="00BA55C5" w:rsidRPr="00115F4D">
                <w:rPr>
                  <w:rStyle w:val="Hipervnculo"/>
                  <w:rFonts w:ascii="Arial" w:eastAsia="Calibri Light" w:hAnsi="Arial" w:cs="Arial"/>
                  <w:sz w:val="20"/>
                  <w:szCs w:val="20"/>
                </w:rPr>
                <w:t>Creg232-2016</w:t>
              </w:r>
            </w:hyperlink>
          </w:p>
        </w:tc>
        <w:tc>
          <w:tcPr>
            <w:tcW w:w="3402" w:type="dxa"/>
            <w:tcBorders>
              <w:top w:val="nil"/>
              <w:left w:val="nil"/>
              <w:bottom w:val="nil"/>
              <w:right w:val="nil"/>
            </w:tcBorders>
            <w:tcMar>
              <w:top w:w="15" w:type="dxa"/>
              <w:left w:w="15" w:type="dxa"/>
              <w:right w:w="15" w:type="dxa"/>
            </w:tcMar>
            <w:vAlign w:val="center"/>
          </w:tcPr>
          <w:p w14:paraId="15947AEB"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RUITOQUE</w:t>
            </w:r>
          </w:p>
        </w:tc>
        <w:tc>
          <w:tcPr>
            <w:tcW w:w="2693" w:type="dxa"/>
            <w:tcBorders>
              <w:top w:val="nil"/>
              <w:left w:val="nil"/>
              <w:bottom w:val="nil"/>
              <w:right w:val="nil"/>
            </w:tcBorders>
            <w:tcMar>
              <w:top w:w="15" w:type="dxa"/>
              <w:left w:w="15" w:type="dxa"/>
              <w:right w:w="15" w:type="dxa"/>
            </w:tcMar>
            <w:vAlign w:val="center"/>
          </w:tcPr>
          <w:p w14:paraId="7C3C41CA"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0.00%</w:t>
            </w:r>
          </w:p>
        </w:tc>
      </w:tr>
      <w:tr w:rsidR="00BA55C5" w:rsidRPr="00115F4D" w14:paraId="3CB0A58B" w14:textId="77777777">
        <w:trPr>
          <w:trHeight w:val="227"/>
        </w:trPr>
        <w:tc>
          <w:tcPr>
            <w:tcW w:w="2694" w:type="dxa"/>
            <w:tcBorders>
              <w:top w:val="nil"/>
              <w:left w:val="nil"/>
              <w:bottom w:val="single" w:sz="4" w:space="0" w:color="auto"/>
              <w:right w:val="nil"/>
            </w:tcBorders>
            <w:tcMar>
              <w:top w:w="15" w:type="dxa"/>
              <w:left w:w="15" w:type="dxa"/>
              <w:right w:w="15" w:type="dxa"/>
            </w:tcMar>
            <w:vAlign w:val="center"/>
          </w:tcPr>
          <w:p w14:paraId="6B1AD509" w14:textId="0E179C5C" w:rsidR="00BA55C5" w:rsidRPr="00115F4D" w:rsidRDefault="00E42F3C">
            <w:pPr>
              <w:spacing w:before="24" w:after="0"/>
              <w:jc w:val="center"/>
              <w:rPr>
                <w:rStyle w:val="Hipervnculo"/>
                <w:rFonts w:ascii="Arial" w:eastAsia="Calibri Light" w:hAnsi="Arial" w:cs="Arial"/>
                <w:sz w:val="20"/>
                <w:szCs w:val="20"/>
              </w:rPr>
            </w:pPr>
            <w:hyperlink r:id="rId44" w:history="1">
              <w:r w:rsidR="00BA55C5" w:rsidRPr="00115F4D">
                <w:rPr>
                  <w:rStyle w:val="Hipervnculo"/>
                  <w:rFonts w:ascii="Arial" w:eastAsia="Calibri Light" w:hAnsi="Arial" w:cs="Arial"/>
                  <w:sz w:val="20"/>
                  <w:szCs w:val="20"/>
                </w:rPr>
                <w:t>Creg013-2016</w:t>
              </w:r>
            </w:hyperlink>
          </w:p>
        </w:tc>
        <w:tc>
          <w:tcPr>
            <w:tcW w:w="3402" w:type="dxa"/>
            <w:tcBorders>
              <w:top w:val="nil"/>
              <w:left w:val="nil"/>
              <w:bottom w:val="single" w:sz="4" w:space="0" w:color="auto"/>
              <w:right w:val="nil"/>
            </w:tcBorders>
            <w:tcMar>
              <w:top w:w="15" w:type="dxa"/>
              <w:left w:w="15" w:type="dxa"/>
              <w:right w:w="15" w:type="dxa"/>
            </w:tcMar>
            <w:vAlign w:val="center"/>
          </w:tcPr>
          <w:p w14:paraId="7F6BA138"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EMEVASI</w:t>
            </w:r>
          </w:p>
        </w:tc>
        <w:tc>
          <w:tcPr>
            <w:tcW w:w="2693" w:type="dxa"/>
            <w:tcBorders>
              <w:top w:val="nil"/>
              <w:left w:val="nil"/>
              <w:bottom w:val="single" w:sz="4" w:space="0" w:color="auto"/>
              <w:right w:val="nil"/>
            </w:tcBorders>
            <w:tcMar>
              <w:top w:w="15" w:type="dxa"/>
              <w:left w:w="15" w:type="dxa"/>
              <w:right w:w="15" w:type="dxa"/>
            </w:tcMar>
            <w:vAlign w:val="center"/>
          </w:tcPr>
          <w:p w14:paraId="5F14D15C" w14:textId="77777777" w:rsidR="00BA55C5" w:rsidRPr="00115F4D" w:rsidRDefault="00BA55C5">
            <w:pPr>
              <w:spacing w:before="24" w:after="0"/>
              <w:jc w:val="center"/>
              <w:rPr>
                <w:rFonts w:ascii="Arial" w:eastAsia="Calibri Light" w:hAnsi="Arial" w:cs="Arial"/>
                <w:color w:val="000000" w:themeColor="text1"/>
                <w:sz w:val="20"/>
                <w:szCs w:val="20"/>
              </w:rPr>
            </w:pPr>
            <w:r w:rsidRPr="00115F4D">
              <w:rPr>
                <w:rFonts w:ascii="Arial" w:eastAsia="Calibri Light" w:hAnsi="Arial" w:cs="Arial"/>
                <w:color w:val="000000" w:themeColor="text1"/>
                <w:sz w:val="20"/>
                <w:szCs w:val="20"/>
              </w:rPr>
              <w:t>0.00%</w:t>
            </w:r>
          </w:p>
        </w:tc>
      </w:tr>
    </w:tbl>
    <w:p w14:paraId="5FCB8748" w14:textId="77777777" w:rsidR="00BA55C5" w:rsidRPr="00115F4D" w:rsidRDefault="00BA55C5" w:rsidP="00BA55C5">
      <w:pPr>
        <w:spacing w:before="120" w:after="0"/>
        <w:jc w:val="both"/>
        <w:rPr>
          <w:rFonts w:ascii="Arial" w:hAnsi="Arial" w:cs="Arial"/>
          <w:sz w:val="18"/>
          <w:szCs w:val="18"/>
        </w:rPr>
      </w:pPr>
      <w:r w:rsidRPr="00115F4D">
        <w:rPr>
          <w:rFonts w:ascii="Arial" w:hAnsi="Arial" w:cs="Arial"/>
          <w:sz w:val="18"/>
          <w:szCs w:val="18"/>
        </w:rPr>
        <w:t>Nota: CARIBEMAR y AIRE marcados con asterisco*, entraron en operación en el segundo semestre de 2020 y tienen asignado el riesgo de cartera que fue aprobado para ELECTRICARIBE en la resolución CREG 036 de 2015.</w:t>
      </w:r>
    </w:p>
    <w:p w14:paraId="0F218139" w14:textId="77777777" w:rsidR="003A1E3D" w:rsidRDefault="003A1E3D" w:rsidP="003A1E3D">
      <w:pPr>
        <w:spacing w:before="0" w:after="0"/>
      </w:pPr>
    </w:p>
    <w:p w14:paraId="4B08C7C1" w14:textId="6EAD72FF" w:rsidR="00892A01" w:rsidRPr="006344CE" w:rsidRDefault="00892A01" w:rsidP="00892A01">
      <w:pPr>
        <w:pStyle w:val="Ttulo5"/>
        <w:rPr>
          <w:rFonts w:ascii="Arial" w:hAnsi="Arial" w:cs="Arial"/>
          <w:b/>
          <w:bCs/>
          <w:color w:val="auto"/>
        </w:rPr>
      </w:pPr>
      <w:r w:rsidRPr="006344CE">
        <w:rPr>
          <w:rFonts w:ascii="Arial" w:hAnsi="Arial" w:cs="Arial"/>
          <w:b/>
          <w:bCs/>
          <w:color w:val="auto"/>
        </w:rPr>
        <w:t>R</w:t>
      </w:r>
      <w:r>
        <w:rPr>
          <w:rFonts w:ascii="Arial" w:hAnsi="Arial" w:cs="Arial"/>
          <w:b/>
          <w:bCs/>
          <w:color w:val="auto"/>
        </w:rPr>
        <w:t>iesgo de Cartera en Áreas Especiales</w:t>
      </w:r>
    </w:p>
    <w:p w14:paraId="2AE424E3" w14:textId="77777777" w:rsidR="00892A01" w:rsidRPr="00115F4D" w:rsidRDefault="00892A01" w:rsidP="00892A01">
      <w:pPr>
        <w:ind w:right="47"/>
        <w:jc w:val="both"/>
        <w:rPr>
          <w:rFonts w:ascii="Arial" w:hAnsi="Arial" w:cs="Arial"/>
          <w:lang w:eastAsia="es-CO"/>
        </w:rPr>
      </w:pPr>
      <w:r w:rsidRPr="00115F4D">
        <w:rPr>
          <w:rFonts w:ascii="Arial" w:hAnsi="Arial" w:cs="Arial"/>
        </w:rPr>
        <w:t xml:space="preserve">La fórmula de cálculo para los usuarios de áreas especiales es diferente a la de usuarios tradicionales, debido a que en algunas áreas especiales no existen elementos técnicos para la desconexión o no es posible que el operador de red desconecte los usuarios. Ante esta situación en la </w:t>
      </w:r>
      <w:r>
        <w:rPr>
          <w:rFonts w:ascii="Arial" w:hAnsi="Arial" w:cs="Arial"/>
        </w:rPr>
        <w:t>R</w:t>
      </w:r>
      <w:r w:rsidRPr="00115F4D">
        <w:rPr>
          <w:rFonts w:ascii="Arial" w:hAnsi="Arial" w:cs="Arial"/>
        </w:rPr>
        <w:t xml:space="preserve">esolución </w:t>
      </w:r>
      <w:r>
        <w:rPr>
          <w:rFonts w:ascii="Arial" w:hAnsi="Arial" w:cs="Arial"/>
        </w:rPr>
        <w:t xml:space="preserve">CREG </w:t>
      </w:r>
      <w:r w:rsidRPr="00115F4D">
        <w:rPr>
          <w:rFonts w:ascii="Arial" w:hAnsi="Arial" w:cs="Arial"/>
        </w:rPr>
        <w:t xml:space="preserve">180 de 2014 se definió una expresión que involucra los cambios en las cuentas por cobrar mayores a año, el castigo de cartera y la facturación total en este tipo de áreas. La variable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color w:val="000000"/>
        </w:rPr>
        <w:t xml:space="preserve"> fue calculada </w:t>
      </w:r>
      <w:r w:rsidRPr="00115F4D">
        <w:rPr>
          <w:rFonts w:ascii="Arial" w:hAnsi="Arial" w:cs="Arial"/>
          <w:lang w:eastAsia="es-CO"/>
        </w:rPr>
        <w:t xml:space="preserve">para cada mercado de comercialización </w:t>
      </w:r>
      <w:r w:rsidRPr="00115F4D">
        <w:rPr>
          <w:rFonts w:ascii="Arial" w:hAnsi="Arial" w:cs="Arial"/>
          <w:i/>
          <w:lang w:eastAsia="es-CO"/>
        </w:rPr>
        <w:t>j</w:t>
      </w:r>
      <w:r w:rsidRPr="00115F4D">
        <w:rPr>
          <w:rFonts w:ascii="Arial" w:hAnsi="Arial" w:cs="Arial"/>
          <w:lang w:eastAsia="es-CO"/>
        </w:rPr>
        <w:t>, conforme a las siguientes ecuaciones:</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459"/>
      </w:tblGrid>
      <w:tr w:rsidR="00892A01" w:rsidRPr="00115F4D" w14:paraId="3047864E" w14:textId="77777777">
        <w:tc>
          <w:tcPr>
            <w:tcW w:w="8364" w:type="dxa"/>
          </w:tcPr>
          <w:p w14:paraId="0D67CFEA" w14:textId="77777777" w:rsidR="00892A01" w:rsidRPr="00115F4D" w:rsidRDefault="00E42F3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RCAE</m:t>
                    </m:r>
                  </m:e>
                  <m:sub>
                    <m:r>
                      <w:rPr>
                        <w:rFonts w:ascii="Cambria Math" w:eastAsiaTheme="minorEastAsia" w:hAnsi="Cambria Math"/>
                      </w:rPr>
                      <m:t>j,t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T=2010</m:t>
                    </m:r>
                  </m:sub>
                  <m:sup>
                    <m:r>
                      <w:rPr>
                        <w:rFonts w:ascii="Cambria Math" w:eastAsiaTheme="minorEastAsia" w:hAnsi="Cambria Math"/>
                      </w:rPr>
                      <m:t>2013</m:t>
                    </m:r>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e>
                </m:nary>
              </m:oMath>
            </m:oMathPara>
          </w:p>
        </w:tc>
        <w:tc>
          <w:tcPr>
            <w:tcW w:w="425" w:type="dxa"/>
            <w:vAlign w:val="center"/>
          </w:tcPr>
          <w:p w14:paraId="62A0075E" w14:textId="77777777" w:rsidR="00892A01" w:rsidRPr="00115F4D" w:rsidRDefault="00892A01">
            <w:r w:rsidRPr="00115F4D">
              <w:t>(1)</w:t>
            </w:r>
          </w:p>
        </w:tc>
      </w:tr>
      <w:tr w:rsidR="00892A01" w:rsidRPr="00115F4D" w14:paraId="4C2A8AF7" w14:textId="77777777">
        <w:tc>
          <w:tcPr>
            <w:tcW w:w="8364" w:type="dxa"/>
          </w:tcPr>
          <w:p w14:paraId="42F81A0E" w14:textId="77777777" w:rsidR="00892A01" w:rsidRPr="00115F4D" w:rsidRDefault="00E42F3C">
            <w:pPr>
              <w:spacing w:before="80" w:after="80"/>
              <w:rPr>
                <w:rFonts w:eastAsia="Calibri" w:cs="Arial"/>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nary>
                      <m:naryPr>
                        <m:chr m:val="∑"/>
                        <m:limLoc m:val="undOvr"/>
                        <m:supHide m:val="1"/>
                        <m:ctrlPr>
                          <w:rPr>
                            <w:rFonts w:ascii="Cambria Math" w:eastAsiaTheme="minorEastAsia" w:hAnsi="Cambria Math"/>
                            <w:i/>
                          </w:rPr>
                        </m:ctrlPr>
                      </m:naryPr>
                      <m:sub>
                        <m:r>
                          <w:rPr>
                            <w:rFonts w:ascii="Cambria Math" w:eastAsiaTheme="minorEastAsia" w:hAnsi="Cambria Math"/>
                          </w:rPr>
                          <m:t>k</m:t>
                        </m:r>
                      </m:sub>
                      <m:sup/>
                      <m:e>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e>
                    </m:nary>
                  </m:den>
                </m:f>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k</m:t>
                    </m:r>
                  </m:sub>
                  <m:sup/>
                  <m:e>
                    <m:r>
                      <w:rPr>
                        <w:rFonts w:ascii="Cambria Math" w:eastAsiaTheme="minorEastAsia" w:hAnsi="Cambria Math"/>
                      </w:rPr>
                      <m:t xml:space="preserve">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e>
                    </m:d>
                  </m:e>
                </m:nary>
              </m:oMath>
            </m:oMathPara>
          </w:p>
          <w:p w14:paraId="430C5C02" w14:textId="77777777" w:rsidR="00892A01" w:rsidRPr="00115F4D" w:rsidRDefault="00892A01">
            <w:pPr>
              <w:spacing w:before="80" w:after="80"/>
              <w:rPr>
                <w:rFonts w:eastAsia="Calibri" w:cs="Arial"/>
              </w:rPr>
            </w:pPr>
          </w:p>
        </w:tc>
        <w:tc>
          <w:tcPr>
            <w:tcW w:w="425" w:type="dxa"/>
            <w:vAlign w:val="center"/>
          </w:tcPr>
          <w:p w14:paraId="4C329929" w14:textId="77777777" w:rsidR="00892A01" w:rsidRPr="00115F4D" w:rsidRDefault="00892A01">
            <w:r w:rsidRPr="00115F4D">
              <w:t>(2)</w:t>
            </w:r>
          </w:p>
        </w:tc>
      </w:tr>
      <w:tr w:rsidR="00892A01" w:rsidRPr="00115F4D" w14:paraId="2880568D" w14:textId="77777777">
        <w:tc>
          <w:tcPr>
            <w:tcW w:w="8364" w:type="dxa"/>
          </w:tcPr>
          <w:p w14:paraId="1722141A" w14:textId="11CEAEBE" w:rsidR="00892A01" w:rsidRPr="00115F4D" w:rsidRDefault="00E42F3C">
            <w:pPr>
              <w:spacing w:before="80" w:after="80"/>
              <w:rPr>
                <w:rFonts w:eastAsia="Calibri" w:cs="Arial"/>
              </w:rPr>
            </w:pPr>
            <m:oMathPara>
              <m:oMath>
                <m:sSubSup>
                  <m:sSubSupPr>
                    <m:ctrlPr>
                      <w:rPr>
                        <w:rFonts w:ascii="Cambria Math" w:eastAsiaTheme="minorEastAsia" w:hAnsi="Cambria Math"/>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rPr>
                        </m:ctrlPr>
                      </m:dPr>
                      <m:e>
                        <m:r>
                          <w:rPr>
                            <w:rFonts w:ascii="Cambria Math" w:eastAsiaTheme="minorEastAsia" w:hAnsi="Cambria Math"/>
                          </w:rPr>
                          <m:t>k</m:t>
                        </m:r>
                      </m:e>
                    </m:d>
                  </m:sup>
                </m:sSubSup>
                <m:r>
                  <m:rPr>
                    <m:sty m:val="p"/>
                  </m:rPr>
                  <w:rPr>
                    <w:rFonts w:ascii="Cambria Math" w:eastAsiaTheme="minorEastAsia" w:hAnsi="Cambria Math"/>
                  </w:rPr>
                  <m:t>=</m:t>
                </m:r>
                <m:f>
                  <m:fPr>
                    <m:ctrlPr>
                      <w:rPr>
                        <w:rFonts w:ascii="Cambria Math" w:eastAsiaTheme="minorEastAsia" w:hAnsi="Cambria Math"/>
                      </w:rPr>
                    </m:ctrlPr>
                  </m:fPr>
                  <m:num>
                    <m:sSubSup>
                      <m:sSubSupPr>
                        <m:ctrlPr>
                          <w:rPr>
                            <w:rFonts w:ascii="Cambria Math" w:eastAsiaTheme="minorEastAsia" w:hAnsi="Cambria Math"/>
                          </w:rPr>
                        </m:ctrlPr>
                      </m:sSubSupPr>
                      <m:e>
                        <m:r>
                          <w:rPr>
                            <w:rFonts w:ascii="Cambria Math" w:eastAsiaTheme="minorEastAsia" w:hAnsi="Cambria Math"/>
                          </w:rPr>
                          <m:t>d</m:t>
                        </m:r>
                      </m:e>
                      <m:sub>
                        <m:r>
                          <w:rPr>
                            <w:rFonts w:ascii="Cambria Math" w:eastAsiaTheme="minorEastAsia" w:hAnsi="Cambria Math"/>
                          </w:rPr>
                          <m:t>T</m:t>
                        </m:r>
                      </m:sub>
                      <m:sup>
                        <m:d>
                          <m:dPr>
                            <m:ctrlPr>
                              <w:rPr>
                                <w:rFonts w:ascii="Cambria Math" w:eastAsiaTheme="minorEastAsia" w:hAnsi="Cambria Math"/>
                              </w:rPr>
                            </m:ctrlPr>
                          </m:dPr>
                          <m:e>
                            <m:r>
                              <w:rPr>
                                <w:rFonts w:ascii="Cambria Math" w:eastAsiaTheme="minorEastAsia" w:hAnsi="Cambria Math"/>
                              </w:rPr>
                              <m:t>k</m:t>
                            </m:r>
                          </m:e>
                        </m:d>
                      </m:sup>
                    </m:sSubSup>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d</m:t>
                        </m:r>
                      </m:e>
                      <m:sub>
                        <m:r>
                          <w:rPr>
                            <w:rFonts w:ascii="Cambria Math" w:eastAsiaTheme="minorEastAsia" w:hAnsi="Cambria Math"/>
                          </w:rPr>
                          <m:t>T</m:t>
                        </m:r>
                        <m:r>
                          <m:rPr>
                            <m:sty m:val="p"/>
                          </m:rPr>
                          <w:rPr>
                            <w:rFonts w:ascii="Cambria Math" w:eastAsiaTheme="minorEastAsia" w:hAnsi="Cambria Math"/>
                          </w:rPr>
                          <m:t>-1</m:t>
                        </m:r>
                      </m:sub>
                      <m:sup>
                        <m:d>
                          <m:dPr>
                            <m:ctrlPr>
                              <w:rPr>
                                <w:rFonts w:ascii="Cambria Math" w:eastAsiaTheme="minorEastAsia" w:hAnsi="Cambria Math"/>
                              </w:rPr>
                            </m:ctrlPr>
                          </m:dPr>
                          <m:e>
                            <m:r>
                              <w:rPr>
                                <w:rFonts w:ascii="Cambria Math" w:eastAsiaTheme="minorEastAsia" w:hAnsi="Cambria Math"/>
                              </w:rPr>
                              <m:t>k</m:t>
                            </m:r>
                          </m:e>
                        </m:d>
                      </m:sup>
                    </m:sSubSup>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Cast</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num>
                  <m:den>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den>
                </m:f>
              </m:oMath>
            </m:oMathPara>
          </w:p>
        </w:tc>
        <w:tc>
          <w:tcPr>
            <w:tcW w:w="425" w:type="dxa"/>
            <w:vAlign w:val="center"/>
          </w:tcPr>
          <w:p w14:paraId="1169F247" w14:textId="77777777" w:rsidR="00892A01" w:rsidRPr="00115F4D" w:rsidRDefault="00892A01">
            <w:r w:rsidRPr="00115F4D">
              <w:t>(3)</w:t>
            </w:r>
          </w:p>
        </w:tc>
      </w:tr>
    </w:tbl>
    <w:p w14:paraId="5E852102" w14:textId="77777777" w:rsidR="00892A01" w:rsidRPr="00115F4D" w:rsidRDefault="00892A01" w:rsidP="00892A01">
      <w:pPr>
        <w:jc w:val="both"/>
        <w:rPr>
          <w:rFonts w:ascii="Arial" w:eastAsiaTheme="minorEastAsia" w:hAnsi="Arial" w:cs="Arial"/>
        </w:rPr>
      </w:pPr>
      <w:r w:rsidRPr="00115F4D">
        <w:rPr>
          <w:rFonts w:ascii="Arial" w:eastAsiaTheme="minorEastAsia" w:hAnsi="Arial" w:cs="Arial"/>
        </w:rPr>
        <w:t>Donde</w:t>
      </w:r>
    </w:p>
    <w:p w14:paraId="34503600" w14:textId="77777777" w:rsidR="00892A01" w:rsidRPr="00115F4D" w:rsidRDefault="00892A01" w:rsidP="00892A01">
      <w:pPr>
        <w:ind w:left="1134" w:hanging="992"/>
        <w:jc w:val="both"/>
        <w:rPr>
          <w:rFonts w:ascii="Arial" w:hAnsi="Arial" w:cs="Arial"/>
          <w:bCs/>
          <w:lang w:eastAsia="ar-SA"/>
        </w:rPr>
      </w:pP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bCs/>
          <w:i/>
          <w:lang w:eastAsia="ar-SA"/>
        </w:rPr>
        <w:t>:</w:t>
      </w:r>
      <w:r w:rsidRPr="00115F4D">
        <w:rPr>
          <w:rFonts w:ascii="Arial" w:hAnsi="Arial" w:cs="Arial"/>
          <w:bCs/>
          <w:lang w:eastAsia="ar-SA"/>
        </w:rPr>
        <w:tab/>
        <w:t xml:space="preserve">Prima de riesgo de cartera a reconocer al comercializador integrado al operador de red, por la atención de usuarios en áreas especiales, que, al 31 de diciembre del año 2013, estaban siendo atendidos por dicho comercializador, en el mercado de comercialización </w:t>
      </w:r>
      <w:r w:rsidRPr="00115F4D">
        <w:rPr>
          <w:rFonts w:ascii="Arial" w:hAnsi="Arial" w:cs="Arial"/>
          <w:bCs/>
          <w:i/>
          <w:lang w:eastAsia="ar-SA"/>
        </w:rPr>
        <w:t>j</w:t>
      </w:r>
      <w:r w:rsidRPr="00115F4D">
        <w:rPr>
          <w:rFonts w:ascii="Arial" w:hAnsi="Arial" w:cs="Arial"/>
          <w:bCs/>
          <w:lang w:eastAsia="ar-SA"/>
        </w:rPr>
        <w:t xml:space="preserve">, para el año </w:t>
      </w:r>
      <w:r w:rsidRPr="00115F4D">
        <w:rPr>
          <w:rFonts w:ascii="Arial" w:hAnsi="Arial" w:cs="Arial"/>
          <w:bCs/>
          <w:i/>
          <w:lang w:eastAsia="ar-SA"/>
        </w:rPr>
        <w:t>t</w:t>
      </w:r>
      <w:r w:rsidRPr="00115F4D">
        <w:rPr>
          <w:rFonts w:ascii="Arial" w:hAnsi="Arial" w:cs="Arial"/>
          <w:bCs/>
          <w:lang w:eastAsia="ar-SA"/>
        </w:rPr>
        <w:t>.</w:t>
      </w:r>
    </w:p>
    <w:p w14:paraId="0434638A" w14:textId="53F3CDA1" w:rsidR="00892A01" w:rsidRPr="00115F4D" w:rsidRDefault="00E42F3C" w:rsidP="00892A01">
      <w:pPr>
        <w:ind w:left="1134" w:hanging="992"/>
        <w:rPr>
          <w:rFonts w:ascii="Arial" w:eastAsiaTheme="minorEastAsia" w:hAnsi="Arial" w:cs="Arial"/>
        </w:rPr>
      </w:pPr>
      <m:oMath>
        <m:sSubSup>
          <m:sSubSupPr>
            <m:ctrlPr>
              <w:rPr>
                <w:rFonts w:ascii="Cambria Math" w:eastAsiaTheme="minorEastAsia" w:hAnsi="Cambria Math" w:cs="Arial"/>
                <w:i/>
              </w:rPr>
            </m:ctrlPr>
          </m:sSubSupPr>
          <m:e>
            <m:r>
              <w:rPr>
                <w:rFonts w:ascii="Cambria Math" w:eastAsiaTheme="minorEastAsia" w:hAnsi="Cambria Math" w:cs="Arial"/>
              </w:rPr>
              <m:t>f</m:t>
            </m:r>
          </m:e>
          <m:sub>
            <m:r>
              <w:rPr>
                <w:rFonts w:ascii="Cambria Math" w:eastAsiaTheme="minorEastAsia" w:hAnsi="Cambria Math" w:cs="Arial"/>
              </w:rPr>
              <m:t>T</m:t>
            </m:r>
          </m:sub>
          <m:sup>
            <m:d>
              <m:dPr>
                <m:ctrlPr>
                  <w:rPr>
                    <w:rFonts w:ascii="Cambria Math" w:eastAsiaTheme="minorEastAsia" w:hAnsi="Cambria Math" w:cs="Arial"/>
                    <w:i/>
                  </w:rPr>
                </m:ctrlPr>
              </m:dPr>
              <m:e>
                <m:r>
                  <w:rPr>
                    <w:rFonts w:ascii="Cambria Math" w:eastAsiaTheme="minorEastAsia" w:hAnsi="Cambria Math" w:cs="Arial"/>
                  </w:rPr>
                  <m:t>k</m:t>
                </m:r>
              </m:e>
            </m:d>
          </m:sup>
        </m:sSubSup>
      </m:oMath>
      <w:r w:rsidR="00892A01" w:rsidRPr="00115F4D">
        <w:rPr>
          <w:rFonts w:ascii="Arial" w:eastAsiaTheme="minorEastAsia" w:hAnsi="Arial" w:cs="Arial"/>
          <w:i/>
        </w:rPr>
        <w:t>:</w:t>
      </w:r>
      <w:r w:rsidR="6C4DA334" w:rsidRPr="337BBD21">
        <w:rPr>
          <w:rFonts w:ascii="Arial" w:eastAsiaTheme="minorEastAsia" w:hAnsi="Arial" w:cs="Arial"/>
          <w:i/>
          <w:iCs/>
        </w:rPr>
        <w:t xml:space="preserve">         </w:t>
      </w:r>
      <w:r w:rsidR="00892A01" w:rsidRPr="00115F4D">
        <w:rPr>
          <w:rFonts w:ascii="Arial" w:eastAsiaTheme="minorEastAsia" w:hAnsi="Arial" w:cs="Arial"/>
        </w:rPr>
        <w:t xml:space="preserve">Fracción de la facturación anual total reportada en cartera con más de un año al final de año contable </w:t>
      </w:r>
      <w:r w:rsidR="00892A01" w:rsidRPr="00115F4D">
        <w:rPr>
          <w:rFonts w:ascii="Arial" w:eastAsiaTheme="minorEastAsia" w:hAnsi="Arial" w:cs="Arial"/>
          <w:i/>
        </w:rPr>
        <w:t xml:space="preserve">T, </w:t>
      </w:r>
      <w:r w:rsidR="00892A01" w:rsidRPr="00115F4D">
        <w:rPr>
          <w:rFonts w:ascii="Arial" w:eastAsiaTheme="minorEastAsia" w:hAnsi="Arial" w:cs="Arial"/>
        </w:rPr>
        <w:t xml:space="preserve">para la categoría </w:t>
      </w:r>
      <w:r w:rsidR="00892A01" w:rsidRPr="00115F4D">
        <w:rPr>
          <w:rFonts w:ascii="Arial" w:eastAsiaTheme="minorEastAsia" w:hAnsi="Arial" w:cs="Arial"/>
          <w:i/>
        </w:rPr>
        <w:t>k</w:t>
      </w:r>
      <w:r w:rsidR="00892A01" w:rsidRPr="00115F4D">
        <w:rPr>
          <w:rFonts w:ascii="Arial" w:eastAsiaTheme="minorEastAsia" w:hAnsi="Arial" w:cs="Arial"/>
        </w:rPr>
        <w:t>.</w:t>
      </w:r>
    </w:p>
    <w:p w14:paraId="68DB47D3" w14:textId="6AD5BC6A" w:rsidR="00892A01" w:rsidRPr="00115F4D" w:rsidRDefault="00E42F3C" w:rsidP="00892A01">
      <w:pPr>
        <w:ind w:left="1134" w:hanging="992"/>
        <w:rPr>
          <w:rFonts w:ascii="Arial" w:eastAsiaTheme="minorEastAsia" w:hAnsi="Arial" w:cs="Arial"/>
          <w:i/>
        </w:rPr>
      </w:pPr>
      <m:oMath>
        <m:sSubSup>
          <m:sSubSupPr>
            <m:ctrlPr>
              <w:rPr>
                <w:rFonts w:ascii="Cambria Math" w:eastAsiaTheme="minorEastAsia" w:hAnsi="Cambria Math" w:cs="Arial"/>
                <w:i/>
              </w:rPr>
            </m:ctrlPr>
          </m:sSubSupPr>
          <m:e>
            <m:r>
              <w:rPr>
                <w:rFonts w:ascii="Cambria Math" w:eastAsiaTheme="minorEastAsia" w:hAnsi="Cambria Math" w:cs="Arial"/>
              </w:rPr>
              <m:t>d</m:t>
            </m:r>
          </m:e>
          <m:sub>
            <m:r>
              <w:rPr>
                <w:rFonts w:ascii="Cambria Math" w:eastAsiaTheme="minorEastAsia" w:hAnsi="Cambria Math" w:cs="Arial"/>
              </w:rPr>
              <m:t>T</m:t>
            </m:r>
          </m:sub>
          <m:sup>
            <m:d>
              <m:dPr>
                <m:ctrlPr>
                  <w:rPr>
                    <w:rFonts w:ascii="Cambria Math" w:eastAsiaTheme="minorEastAsia" w:hAnsi="Cambria Math" w:cs="Arial"/>
                    <w:i/>
                  </w:rPr>
                </m:ctrlPr>
              </m:dPr>
              <m:e>
                <m:r>
                  <w:rPr>
                    <w:rFonts w:ascii="Cambria Math" w:eastAsiaTheme="minorEastAsia" w:hAnsi="Cambria Math" w:cs="Arial"/>
                  </w:rPr>
                  <m:t>k</m:t>
                </m:r>
              </m:e>
            </m:d>
          </m:sup>
        </m:sSubSup>
      </m:oMath>
      <w:r w:rsidR="00892A01" w:rsidRPr="00115F4D">
        <w:rPr>
          <w:rFonts w:ascii="Arial" w:eastAsiaTheme="minorEastAsia" w:hAnsi="Arial" w:cs="Arial"/>
          <w:i/>
        </w:rPr>
        <w:t xml:space="preserve">: </w:t>
      </w:r>
      <w:r w:rsidR="38206A5A" w:rsidRPr="734C9412">
        <w:rPr>
          <w:rFonts w:ascii="Arial" w:eastAsiaTheme="minorEastAsia" w:hAnsi="Arial" w:cs="Arial"/>
          <w:i/>
          <w:iCs/>
        </w:rPr>
        <w:t xml:space="preserve">        </w:t>
      </w:r>
      <w:r w:rsidR="00892A01" w:rsidRPr="00115F4D">
        <w:rPr>
          <w:rFonts w:ascii="Arial" w:eastAsiaTheme="minorEastAsia" w:hAnsi="Arial" w:cs="Arial"/>
        </w:rPr>
        <w:t>Valor</w:t>
      </w:r>
      <w:r w:rsidR="00892A01" w:rsidRPr="00115F4D">
        <w:rPr>
          <w:rFonts w:ascii="Arial" w:eastAsiaTheme="minorEastAsia" w:hAnsi="Arial" w:cs="Arial"/>
          <w:i/>
        </w:rPr>
        <w:t xml:space="preserve"> </w:t>
      </w:r>
      <w:r w:rsidR="00892A01" w:rsidRPr="00115F4D">
        <w:rPr>
          <w:rFonts w:ascii="Arial" w:eastAsiaTheme="minorEastAsia" w:hAnsi="Arial" w:cs="Arial"/>
        </w:rPr>
        <w:t xml:space="preserve">de las cuentas por cobrar, en mora por un año o más, al final del año contable </w:t>
      </w:r>
      <w:r w:rsidR="00892A01" w:rsidRPr="00115F4D">
        <w:rPr>
          <w:rFonts w:ascii="Arial" w:eastAsiaTheme="minorEastAsia" w:hAnsi="Arial" w:cs="Arial"/>
          <w:i/>
        </w:rPr>
        <w:t>T</w:t>
      </w:r>
      <w:r w:rsidR="00892A01" w:rsidRPr="00115F4D">
        <w:rPr>
          <w:rFonts w:ascii="Arial" w:eastAsiaTheme="minorEastAsia" w:hAnsi="Arial" w:cs="Arial"/>
        </w:rPr>
        <w:t xml:space="preserve">, para la categoría </w:t>
      </w:r>
      <w:r w:rsidR="00892A01" w:rsidRPr="00115F4D">
        <w:rPr>
          <w:rFonts w:ascii="Arial" w:eastAsiaTheme="minorEastAsia" w:hAnsi="Arial" w:cs="Arial"/>
          <w:i/>
        </w:rPr>
        <w:t>k</w:t>
      </w:r>
      <w:r w:rsidR="00892A01" w:rsidRPr="00115F4D">
        <w:rPr>
          <w:rFonts w:ascii="Arial" w:eastAsiaTheme="minorEastAsia" w:hAnsi="Arial" w:cs="Arial"/>
        </w:rPr>
        <w:t>. En pesos corrientes.</w:t>
      </w:r>
    </w:p>
    <w:p w14:paraId="3F5F4750" w14:textId="72572495" w:rsidR="00892A01" w:rsidRPr="00115F4D" w:rsidRDefault="00E42F3C" w:rsidP="00892A01">
      <w:pPr>
        <w:ind w:left="1134" w:hanging="992"/>
        <w:rPr>
          <w:rFonts w:ascii="Arial" w:eastAsiaTheme="minorEastAsia" w:hAnsi="Arial" w:cs="Arial"/>
        </w:rPr>
      </w:pPr>
      <m:oMath>
        <m:sSubSup>
          <m:sSubSupPr>
            <m:ctrlPr>
              <w:rPr>
                <w:rFonts w:ascii="Cambria Math" w:eastAsiaTheme="minorEastAsia" w:hAnsi="Cambria Math" w:cs="Arial"/>
                <w:i/>
              </w:rPr>
            </m:ctrlPr>
          </m:sSubSupPr>
          <m:e>
            <m:r>
              <w:rPr>
                <w:rFonts w:ascii="Cambria Math" w:eastAsiaTheme="minorEastAsia" w:hAnsi="Cambria Math" w:cs="Arial"/>
              </w:rPr>
              <m:t>Cast</m:t>
            </m:r>
          </m:e>
          <m:sub>
            <m:r>
              <w:rPr>
                <w:rFonts w:ascii="Cambria Math" w:eastAsiaTheme="minorEastAsia" w:hAnsi="Cambria Math" w:cs="Arial"/>
              </w:rPr>
              <m:t>T</m:t>
            </m:r>
          </m:sub>
          <m:sup>
            <m:d>
              <m:dPr>
                <m:ctrlPr>
                  <w:rPr>
                    <w:rFonts w:ascii="Cambria Math" w:eastAsiaTheme="minorEastAsia" w:hAnsi="Cambria Math" w:cs="Arial"/>
                    <w:i/>
                  </w:rPr>
                </m:ctrlPr>
              </m:dPr>
              <m:e>
                <m:r>
                  <w:rPr>
                    <w:rFonts w:ascii="Cambria Math" w:eastAsiaTheme="minorEastAsia" w:hAnsi="Cambria Math" w:cs="Arial"/>
                  </w:rPr>
                  <m:t>k</m:t>
                </m:r>
              </m:e>
            </m:d>
          </m:sup>
        </m:sSubSup>
      </m:oMath>
      <w:r w:rsidR="00892A01" w:rsidRPr="00115F4D">
        <w:rPr>
          <w:rFonts w:ascii="Arial" w:eastAsiaTheme="minorEastAsia" w:hAnsi="Arial" w:cs="Arial"/>
          <w:i/>
        </w:rPr>
        <w:t>:</w:t>
      </w:r>
      <w:r w:rsidR="48BD86AA" w:rsidRPr="796B861C">
        <w:rPr>
          <w:rFonts w:ascii="Arial" w:eastAsiaTheme="minorEastAsia" w:hAnsi="Arial" w:cs="Arial"/>
          <w:i/>
          <w:iCs/>
        </w:rPr>
        <w:t xml:space="preserve"> </w:t>
      </w:r>
      <w:r w:rsidR="2E3CF94C" w:rsidRPr="707F2D0C">
        <w:rPr>
          <w:rFonts w:ascii="Arial" w:eastAsiaTheme="minorEastAsia" w:hAnsi="Arial" w:cs="Arial"/>
          <w:i/>
          <w:iCs/>
        </w:rPr>
        <w:t xml:space="preserve">   </w:t>
      </w:r>
      <w:r w:rsidR="00892A01" w:rsidRPr="00115F4D">
        <w:rPr>
          <w:rFonts w:ascii="Arial" w:eastAsiaTheme="minorEastAsia" w:hAnsi="Arial" w:cs="Arial"/>
        </w:rPr>
        <w:t xml:space="preserve">Castigo de cartera proveniente de cuentas morosas en el año contable </w:t>
      </w:r>
      <w:r w:rsidR="00892A01" w:rsidRPr="00115F4D">
        <w:rPr>
          <w:rFonts w:ascii="Arial" w:eastAsiaTheme="minorEastAsia" w:hAnsi="Arial" w:cs="Arial"/>
          <w:i/>
        </w:rPr>
        <w:t>T</w:t>
      </w:r>
      <w:r w:rsidR="00892A01" w:rsidRPr="00115F4D">
        <w:rPr>
          <w:rFonts w:ascii="Arial" w:eastAsiaTheme="minorEastAsia" w:hAnsi="Arial" w:cs="Arial"/>
        </w:rPr>
        <w:t xml:space="preserve">, para la categoría </w:t>
      </w:r>
      <w:r w:rsidR="00892A01" w:rsidRPr="00115F4D">
        <w:rPr>
          <w:rFonts w:ascii="Arial" w:eastAsiaTheme="minorEastAsia" w:hAnsi="Arial" w:cs="Arial"/>
          <w:i/>
        </w:rPr>
        <w:t xml:space="preserve">k. </w:t>
      </w:r>
      <w:r w:rsidR="00892A01" w:rsidRPr="00115F4D">
        <w:rPr>
          <w:rFonts w:ascii="Arial" w:eastAsiaTheme="minorEastAsia" w:hAnsi="Arial" w:cs="Arial"/>
        </w:rPr>
        <w:t>En pesos corrientes.</w:t>
      </w:r>
    </w:p>
    <w:p w14:paraId="453FA3DA" w14:textId="007AB87E" w:rsidR="00892A01" w:rsidRPr="00115F4D" w:rsidRDefault="00E42F3C" w:rsidP="00892A01">
      <w:pPr>
        <w:ind w:left="1134" w:hanging="992"/>
        <w:rPr>
          <w:rFonts w:ascii="Arial" w:eastAsiaTheme="minorEastAsia" w:hAnsi="Arial" w:cs="Arial"/>
        </w:rPr>
      </w:pPr>
      <m:oMath>
        <m:sSubSup>
          <m:sSubSupPr>
            <m:ctrlPr>
              <w:rPr>
                <w:rFonts w:ascii="Cambria Math" w:eastAsiaTheme="minorEastAsia" w:hAnsi="Cambria Math" w:cs="Arial"/>
                <w:i/>
              </w:rPr>
            </m:ctrlPr>
          </m:sSubSupPr>
          <m:e>
            <m:r>
              <w:rPr>
                <w:rFonts w:ascii="Cambria Math" w:eastAsiaTheme="minorEastAsia" w:hAnsi="Cambria Math" w:cs="Arial"/>
              </w:rPr>
              <m:t>F</m:t>
            </m:r>
          </m:e>
          <m:sub>
            <m:r>
              <w:rPr>
                <w:rFonts w:ascii="Cambria Math" w:eastAsiaTheme="minorEastAsia" w:hAnsi="Cambria Math" w:cs="Arial"/>
              </w:rPr>
              <m:t>T</m:t>
            </m:r>
          </m:sub>
          <m:sup>
            <m:d>
              <m:dPr>
                <m:ctrlPr>
                  <w:rPr>
                    <w:rFonts w:ascii="Cambria Math" w:eastAsiaTheme="minorEastAsia" w:hAnsi="Cambria Math" w:cs="Arial"/>
                    <w:i/>
                  </w:rPr>
                </m:ctrlPr>
              </m:dPr>
              <m:e>
                <m:r>
                  <w:rPr>
                    <w:rFonts w:ascii="Cambria Math" w:eastAsiaTheme="minorEastAsia" w:hAnsi="Cambria Math" w:cs="Arial"/>
                  </w:rPr>
                  <m:t>k</m:t>
                </m:r>
              </m:e>
            </m:d>
          </m:sup>
        </m:sSubSup>
      </m:oMath>
      <w:r w:rsidR="00892A01" w:rsidRPr="00115F4D">
        <w:rPr>
          <w:rFonts w:ascii="Arial" w:eastAsiaTheme="minorEastAsia" w:hAnsi="Arial" w:cs="Arial"/>
          <w:i/>
        </w:rPr>
        <w:t xml:space="preserve"> </w:t>
      </w:r>
      <w:r w:rsidR="00892A01" w:rsidRPr="337BBD21">
        <w:rPr>
          <w:rFonts w:ascii="Arial" w:eastAsiaTheme="minorEastAsia" w:hAnsi="Arial" w:cs="Arial"/>
          <w:i/>
          <w:iCs/>
        </w:rPr>
        <w:t>:</w:t>
      </w:r>
      <w:r w:rsidR="4BA78912" w:rsidRPr="337BBD21">
        <w:rPr>
          <w:rFonts w:ascii="Arial" w:eastAsiaTheme="minorEastAsia" w:hAnsi="Arial" w:cs="Arial"/>
          <w:i/>
          <w:iCs/>
        </w:rPr>
        <w:t xml:space="preserve"> </w:t>
      </w:r>
      <w:r w:rsidR="297151DB" w:rsidRPr="337BBD21">
        <w:rPr>
          <w:rFonts w:ascii="Arial" w:eastAsiaTheme="minorEastAsia" w:hAnsi="Arial" w:cs="Arial"/>
          <w:i/>
          <w:iCs/>
        </w:rPr>
        <w:t xml:space="preserve">     </w:t>
      </w:r>
      <w:r w:rsidR="4BA78912" w:rsidRPr="725903F0">
        <w:rPr>
          <w:rFonts w:ascii="Arial" w:eastAsiaTheme="minorEastAsia" w:hAnsi="Arial" w:cs="Arial"/>
          <w:i/>
          <w:iCs/>
        </w:rPr>
        <w:t xml:space="preserve"> </w:t>
      </w:r>
      <w:r w:rsidR="00892A01" w:rsidRPr="00115F4D">
        <w:rPr>
          <w:rFonts w:ascii="Arial" w:eastAsiaTheme="minorEastAsia" w:hAnsi="Arial" w:cs="Arial"/>
        </w:rPr>
        <w:t xml:space="preserve">Facturación total en el año contable </w:t>
      </w:r>
      <w:r w:rsidR="00892A01" w:rsidRPr="00115F4D">
        <w:rPr>
          <w:rFonts w:ascii="Arial" w:eastAsiaTheme="minorEastAsia" w:hAnsi="Arial" w:cs="Arial"/>
          <w:i/>
        </w:rPr>
        <w:t>T</w:t>
      </w:r>
      <w:r w:rsidR="00892A01" w:rsidRPr="00115F4D">
        <w:rPr>
          <w:rFonts w:ascii="Arial" w:eastAsiaTheme="minorEastAsia" w:hAnsi="Arial" w:cs="Arial"/>
        </w:rPr>
        <w:t xml:space="preserve">, para la categoría </w:t>
      </w:r>
      <w:r w:rsidR="00892A01" w:rsidRPr="00115F4D">
        <w:rPr>
          <w:rFonts w:ascii="Arial" w:eastAsiaTheme="minorEastAsia" w:hAnsi="Arial" w:cs="Arial"/>
          <w:i/>
        </w:rPr>
        <w:t xml:space="preserve">k. </w:t>
      </w:r>
      <w:r w:rsidR="00892A01" w:rsidRPr="00115F4D">
        <w:rPr>
          <w:rFonts w:ascii="Arial" w:eastAsiaTheme="minorEastAsia" w:hAnsi="Arial" w:cs="Arial"/>
        </w:rPr>
        <w:t>En pesos corrientes. En caso de que esta variable sea cero (0) no será considerada dicha categoría.</w:t>
      </w:r>
    </w:p>
    <w:p w14:paraId="357DA93A" w14:textId="70171A87" w:rsidR="00892A01" w:rsidRPr="00115F4D" w:rsidRDefault="00892A01" w:rsidP="00892A01">
      <w:pPr>
        <w:ind w:left="1134" w:hanging="992"/>
        <w:rPr>
          <w:rFonts w:ascii="Arial" w:eastAsiaTheme="minorEastAsia" w:hAnsi="Arial" w:cs="Arial"/>
        </w:rPr>
      </w:pPr>
      <w:r w:rsidRPr="00115F4D">
        <w:rPr>
          <w:rFonts w:ascii="Arial" w:eastAsiaTheme="minorEastAsia" w:hAnsi="Arial" w:cs="Arial"/>
          <w:i/>
        </w:rPr>
        <w:t xml:space="preserve">T: </w:t>
      </w:r>
      <w:r>
        <w:tab/>
      </w:r>
      <w:r w:rsidR="1E4CC8E6" w:rsidRPr="024FE284">
        <w:rPr>
          <w:rFonts w:ascii="Arial" w:eastAsiaTheme="minorEastAsia" w:hAnsi="Arial" w:cs="Arial"/>
        </w:rPr>
        <w:t xml:space="preserve"> </w:t>
      </w:r>
      <w:r w:rsidRPr="00115F4D">
        <w:rPr>
          <w:rFonts w:ascii="Arial" w:eastAsiaTheme="minorEastAsia" w:hAnsi="Arial" w:cs="Arial"/>
        </w:rPr>
        <w:t>Corresponden los años 2010 a 2013.</w:t>
      </w:r>
    </w:p>
    <w:p w14:paraId="30D1F767" w14:textId="7653BA06" w:rsidR="00892A01" w:rsidRPr="00115F4D" w:rsidRDefault="466C2CAA" w:rsidP="00892A01">
      <w:pPr>
        <w:ind w:left="1134" w:hanging="992"/>
        <w:rPr>
          <w:rFonts w:ascii="Arial" w:eastAsiaTheme="minorEastAsia" w:hAnsi="Arial" w:cs="Arial"/>
        </w:rPr>
      </w:pPr>
      <w:r w:rsidRPr="7A1265DD">
        <w:rPr>
          <w:rFonts w:ascii="Arial" w:eastAsiaTheme="minorEastAsia" w:hAnsi="Arial" w:cs="Arial"/>
          <w:i/>
          <w:iCs/>
        </w:rPr>
        <w:t>K:</w:t>
      </w:r>
      <w:r w:rsidR="00892A01">
        <w:tab/>
      </w:r>
      <w:r w:rsidR="00892A01" w:rsidRPr="00115F4D">
        <w:rPr>
          <w:rFonts w:ascii="Arial" w:eastAsiaTheme="minorEastAsia" w:hAnsi="Arial" w:cs="Arial"/>
        </w:rPr>
        <w:t xml:space="preserve">Categoría </w:t>
      </w:r>
      <w:r w:rsidR="00892A01" w:rsidRPr="00115F4D">
        <w:rPr>
          <w:rFonts w:ascii="Arial" w:eastAsiaTheme="minorEastAsia" w:hAnsi="Arial" w:cs="Arial"/>
          <w:bCs/>
        </w:rPr>
        <w:t>de tipo de usuario. Esta variable corresponderá a usuarios ubicados en: barrios subnormales, SN, áreas rurales de menor desarrollo, MD, y zonas de difícil gestión, DF</w:t>
      </w:r>
      <w:r w:rsidR="00892A01" w:rsidRPr="00115F4D">
        <w:rPr>
          <w:rFonts w:ascii="Arial" w:eastAsiaTheme="minorEastAsia" w:hAnsi="Arial" w:cs="Arial"/>
        </w:rPr>
        <w:t>.</w:t>
      </w:r>
    </w:p>
    <w:p w14:paraId="020D0263" w14:textId="77777777" w:rsidR="00892A01" w:rsidRPr="00115F4D" w:rsidRDefault="00892A01" w:rsidP="00892A01">
      <w:pPr>
        <w:ind w:right="47"/>
        <w:rPr>
          <w:rFonts w:ascii="Arial" w:hAnsi="Arial" w:cs="Arial"/>
        </w:rPr>
      </w:pPr>
      <w:r w:rsidRPr="00115F4D">
        <w:rPr>
          <w:rFonts w:ascii="Arial" w:hAnsi="Arial" w:cs="Arial"/>
        </w:rPr>
        <w:t xml:space="preserve">A partir del segundo año calendario de entrada en vigor de la presente metodología, en los mercados de comercialización para los cuales se apruebe un valor de la variable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 xml:space="preserve"> mayor o igual a 10,0% se deberá aplicar la siguiente ecuación:</w:t>
      </w:r>
    </w:p>
    <w:p w14:paraId="48214CE2" w14:textId="5D7DB763" w:rsidR="00892A01" w:rsidRPr="00115F4D" w:rsidRDefault="00E42F3C" w:rsidP="00892A01">
      <w:pPr>
        <w:spacing w:after="0"/>
        <w:ind w:right="45"/>
        <w:rPr>
          <w:rFonts w:cs="Arial"/>
        </w:rPr>
      </w:pPr>
      <m:oMathPara>
        <m:oMath>
          <m:sSub>
            <m:sSubPr>
              <m:ctrlPr>
                <w:rPr>
                  <w:rFonts w:ascii="Cambria Math" w:hAnsi="Cambria Math" w:cs="Arial"/>
                  <w:i/>
                </w:rPr>
              </m:ctrlPr>
            </m:sSubPr>
            <m:e>
              <m:r>
                <w:rPr>
                  <w:rFonts w:ascii="Cambria Math" w:hAnsi="Cambria Math" w:cs="Arial"/>
                </w:rPr>
                <m:t>RCAE</m:t>
              </m:r>
            </m:e>
            <m:sub>
              <m:r>
                <w:rPr>
                  <w:rFonts w:ascii="Cambria Math" w:hAnsi="Cambria Math" w:cs="Arial"/>
                </w:rPr>
                <m:t>j,t</m:t>
              </m:r>
            </m:sub>
          </m:sSub>
          <m:r>
            <w:rPr>
              <w:rFonts w:ascii="Cambria Math" w:hAnsi="Cambria Math" w:cs="Arial"/>
            </w:rPr>
            <m:t>=</m:t>
          </m:r>
          <m:sSub>
            <m:sSubPr>
              <m:ctrlPr>
                <w:rPr>
                  <w:rFonts w:ascii="Cambria Math" w:hAnsi="Cambria Math" w:cs="Arial"/>
                  <w:i/>
                </w:rPr>
              </m:ctrlPr>
            </m:sSubPr>
            <m:e>
              <m:r>
                <w:rPr>
                  <w:rFonts w:ascii="Cambria Math" w:hAnsi="Cambria Math" w:cs="Arial"/>
                </w:rPr>
                <m:t>RCAE</m:t>
              </m:r>
            </m:e>
            <m:sub>
              <m:r>
                <w:rPr>
                  <w:rFonts w:ascii="Cambria Math" w:hAnsi="Cambria Math" w:cs="Arial"/>
                </w:rPr>
                <m:t>j,t-1</m:t>
              </m:r>
            </m:sub>
          </m:sSub>
          <m:r>
            <w:rPr>
              <w:rFonts w:ascii="Cambria Math" w:hAnsi="Cambria Math" w:cs="Arial"/>
            </w:rPr>
            <m:t>×</m:t>
          </m:r>
          <m:d>
            <m:dPr>
              <m:ctrlPr>
                <w:rPr>
                  <w:rFonts w:ascii="Cambria Math" w:hAnsi="Cambria Math" w:cs="Arial"/>
                  <w:i/>
                </w:rPr>
              </m:ctrlPr>
            </m:dPr>
            <m:e>
              <m:r>
                <w:rPr>
                  <w:rFonts w:ascii="Cambria Math" w:hAnsi="Cambria Math" w:cs="Arial"/>
                </w:rPr>
                <m:t>1-0,05</m:t>
              </m:r>
            </m:e>
          </m:d>
        </m:oMath>
      </m:oMathPara>
    </w:p>
    <w:p w14:paraId="408F476E" w14:textId="77777777" w:rsidR="00892A01" w:rsidRPr="00115F4D" w:rsidRDefault="00892A01" w:rsidP="00892A01">
      <w:pPr>
        <w:ind w:right="47"/>
        <w:rPr>
          <w:rFonts w:ascii="Arial" w:hAnsi="Arial" w:cs="Arial"/>
        </w:rPr>
      </w:pPr>
      <w:r w:rsidRPr="00115F4D">
        <w:rPr>
          <w:rFonts w:ascii="Arial" w:hAnsi="Arial" w:cs="Arial"/>
        </w:rPr>
        <w:t>Donde:</w:t>
      </w:r>
    </w:p>
    <w:p w14:paraId="53B422D2" w14:textId="4EB94F34" w:rsidR="00892A01" w:rsidRPr="00115F4D" w:rsidRDefault="00892A01" w:rsidP="00892A01">
      <w:pPr>
        <w:ind w:left="1410" w:right="47" w:hanging="1410"/>
        <w:rPr>
          <w:rFonts w:ascii="Arial" w:hAnsi="Arial" w:cs="Arial"/>
          <w:bCs/>
          <w:lang w:eastAsia="ar-SA"/>
        </w:rPr>
      </w:pP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w:t>
      </w:r>
      <w:r>
        <w:tab/>
      </w:r>
      <w:r w:rsidRPr="00115F4D">
        <w:rPr>
          <w:rFonts w:ascii="Arial" w:hAnsi="Arial" w:cs="Arial"/>
          <w:bCs/>
          <w:lang w:eastAsia="ar-SA"/>
        </w:rPr>
        <w:t xml:space="preserve">Prima de riesgo de cartera por atender usuarios de áreas especiales correspondiente al mercado de comercialización </w:t>
      </w:r>
      <w:r w:rsidRPr="00115F4D">
        <w:rPr>
          <w:rFonts w:ascii="Arial" w:hAnsi="Arial" w:cs="Arial"/>
          <w:bCs/>
          <w:i/>
          <w:lang w:eastAsia="ar-SA"/>
        </w:rPr>
        <w:t>j</w:t>
      </w:r>
      <w:r w:rsidRPr="00115F4D">
        <w:rPr>
          <w:rFonts w:ascii="Arial" w:hAnsi="Arial" w:cs="Arial"/>
          <w:bCs/>
          <w:lang w:eastAsia="ar-SA"/>
        </w:rPr>
        <w:t xml:space="preserve">, para el año </w:t>
      </w:r>
      <w:r w:rsidRPr="00115F4D">
        <w:rPr>
          <w:rFonts w:ascii="Arial" w:hAnsi="Arial" w:cs="Arial"/>
          <w:bCs/>
          <w:i/>
          <w:lang w:eastAsia="ar-SA"/>
        </w:rPr>
        <w:t>t-1</w:t>
      </w:r>
      <w:r w:rsidRPr="00115F4D">
        <w:rPr>
          <w:rFonts w:ascii="Arial" w:hAnsi="Arial" w:cs="Arial"/>
          <w:bCs/>
          <w:lang w:eastAsia="ar-SA"/>
        </w:rPr>
        <w:t>.</w:t>
      </w:r>
    </w:p>
    <w:p w14:paraId="40A8C6A7" w14:textId="061377F5" w:rsidR="00892A01" w:rsidRPr="00115F4D" w:rsidRDefault="00892A01" w:rsidP="00892A01">
      <w:pPr>
        <w:ind w:left="1410" w:right="47" w:hanging="1410"/>
        <w:rPr>
          <w:rFonts w:ascii="Arial" w:hAnsi="Arial" w:cs="Arial"/>
        </w:rPr>
      </w:pPr>
      <w:r w:rsidRPr="00115F4D">
        <w:rPr>
          <w:rFonts w:ascii="Arial" w:hAnsi="Arial" w:cs="Arial"/>
          <w:i/>
        </w:rPr>
        <w:t>t</w:t>
      </w:r>
      <w:r w:rsidRPr="00115F4D">
        <w:rPr>
          <w:rFonts w:ascii="Arial" w:hAnsi="Arial" w:cs="Arial"/>
        </w:rPr>
        <w:t>:</w:t>
      </w:r>
      <w:r>
        <w:tab/>
      </w:r>
      <w:r w:rsidRPr="00115F4D">
        <w:rPr>
          <w:rFonts w:ascii="Arial" w:hAnsi="Arial" w:cs="Arial"/>
        </w:rPr>
        <w:t xml:space="preserve">Año calendario de vigencia de la metodología de comercialización. </w:t>
      </w:r>
    </w:p>
    <w:p w14:paraId="25D9D1E1" w14:textId="77777777" w:rsidR="00892A01" w:rsidRPr="00115F4D" w:rsidRDefault="00892A01" w:rsidP="00892A01">
      <w:pPr>
        <w:ind w:right="47"/>
        <w:jc w:val="both"/>
        <w:rPr>
          <w:rFonts w:ascii="Arial" w:hAnsi="Arial" w:cs="Arial"/>
        </w:rPr>
      </w:pPr>
      <w:r w:rsidRPr="00115F4D">
        <w:rPr>
          <w:rFonts w:ascii="Arial" w:hAnsi="Arial" w:cs="Arial"/>
        </w:rPr>
        <w:t xml:space="preserve">Cumplido el quinto año calendario de vigencia de la resolución, los comercializadores continuarán aplicando el porcentaje de </w:t>
      </w:r>
      <w:proofErr w:type="gramStart"/>
      <w:r w:rsidRPr="00115F4D">
        <w:rPr>
          <w:rFonts w:ascii="Arial" w:hAnsi="Arial" w:cs="Arial"/>
          <w:i/>
          <w:iCs/>
        </w:rPr>
        <w:t>RCAE</w:t>
      </w:r>
      <w:r w:rsidRPr="00115F4D">
        <w:rPr>
          <w:rFonts w:ascii="Arial" w:hAnsi="Arial" w:cs="Arial"/>
          <w:i/>
          <w:iCs/>
          <w:vertAlign w:val="subscript"/>
        </w:rPr>
        <w:t>j,t</w:t>
      </w:r>
      <w:proofErr w:type="gramEnd"/>
      <w:r w:rsidRPr="00115F4D">
        <w:rPr>
          <w:rFonts w:ascii="Arial" w:hAnsi="Arial" w:cs="Arial"/>
          <w:i/>
          <w:iCs/>
        </w:rPr>
        <w:t xml:space="preserve"> </w:t>
      </w:r>
      <w:r w:rsidRPr="00115F4D">
        <w:rPr>
          <w:rFonts w:ascii="Arial" w:hAnsi="Arial" w:cs="Arial"/>
        </w:rPr>
        <w:t>del año 5, hasta tanto la Comisión establezca una nueva metodología.</w:t>
      </w:r>
    </w:p>
    <w:p w14:paraId="30557D14" w14:textId="0E4C9599" w:rsidR="00892A01" w:rsidRPr="00115F4D" w:rsidRDefault="00892A01" w:rsidP="00892A01">
      <w:pPr>
        <w:jc w:val="both"/>
        <w:rPr>
          <w:rFonts w:ascii="Arial" w:hAnsi="Arial" w:cs="Arial"/>
        </w:rPr>
      </w:pPr>
      <w:r w:rsidRPr="00115F4D">
        <w:rPr>
          <w:rFonts w:ascii="Arial" w:hAnsi="Arial" w:cs="Arial"/>
        </w:rPr>
        <w:t xml:space="preserve">Una vez se estableció la metodología de cálculo del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 xml:space="preserve"> cada uno de los agentes comercializadores incumbentes suministraron la información requerida para realizar el cálculo de cálculo del </w:t>
      </w:r>
      <w:r w:rsidRPr="00115F4D">
        <w:rPr>
          <w:rFonts w:ascii="Arial" w:hAnsi="Arial" w:cs="Arial"/>
          <w:bCs/>
          <w:i/>
          <w:lang w:eastAsia="ar-SA"/>
        </w:rPr>
        <w:t>RCAE</w:t>
      </w:r>
      <w:r w:rsidRPr="00115F4D">
        <w:rPr>
          <w:rFonts w:ascii="Arial" w:hAnsi="Arial" w:cs="Arial"/>
          <w:bCs/>
          <w:i/>
          <w:vertAlign w:val="subscript"/>
          <w:lang w:eastAsia="ar-SA"/>
        </w:rPr>
        <w:t>j,t</w:t>
      </w:r>
      <w:r w:rsidRPr="00115F4D">
        <w:rPr>
          <w:rFonts w:ascii="Arial" w:hAnsi="Arial" w:cs="Arial"/>
        </w:rPr>
        <w:t xml:space="preserve"> con base la ecuación anteriormente presentada. El resultado final del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 xml:space="preserve"> calculado y aprobado por la CREG para cada comercializador fue publicado en diferentes resoluciones particulares entre los años 2015 y 2016. La resolución, el mercado y el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 xml:space="preserve"> que se aprobó para cada mercado se presenta a continuación en la </w:t>
      </w:r>
      <w:r w:rsidR="00F67AE7">
        <w:rPr>
          <w:rFonts w:ascii="Arial" w:hAnsi="Arial" w:cs="Arial"/>
        </w:rPr>
        <w:fldChar w:fldCharType="begin"/>
      </w:r>
      <w:r w:rsidR="00F67AE7">
        <w:rPr>
          <w:rFonts w:ascii="Arial" w:hAnsi="Arial" w:cs="Arial"/>
        </w:rPr>
        <w:instrText xml:space="preserve"> REF _Ref164888072 \h </w:instrText>
      </w:r>
      <w:r w:rsidR="00F67AE7">
        <w:rPr>
          <w:rFonts w:ascii="Arial" w:hAnsi="Arial" w:cs="Arial"/>
        </w:rPr>
      </w:r>
      <w:r w:rsidR="00F67AE7">
        <w:rPr>
          <w:rFonts w:ascii="Arial" w:hAnsi="Arial" w:cs="Arial"/>
        </w:rPr>
        <w:fldChar w:fldCharType="separate"/>
      </w:r>
      <w:r w:rsidR="002A641D" w:rsidRPr="00B32F7A">
        <w:rPr>
          <w:rFonts w:ascii="Arial" w:hAnsi="Arial" w:cs="Arial"/>
          <w:b/>
          <w:bCs/>
        </w:rPr>
        <w:t xml:space="preserve">Tabla </w:t>
      </w:r>
      <w:r w:rsidR="002A641D">
        <w:rPr>
          <w:rFonts w:ascii="Arial" w:hAnsi="Arial" w:cs="Arial"/>
          <w:b/>
          <w:bCs/>
          <w:noProof/>
        </w:rPr>
        <w:t>2</w:t>
      </w:r>
      <w:r w:rsidR="00F67AE7">
        <w:rPr>
          <w:rFonts w:ascii="Arial" w:hAnsi="Arial" w:cs="Arial"/>
        </w:rPr>
        <w:fldChar w:fldCharType="end"/>
      </w:r>
      <w:r w:rsidRPr="00115F4D">
        <w:rPr>
          <w:rFonts w:ascii="Arial" w:hAnsi="Arial" w:cs="Arial"/>
        </w:rPr>
        <w:t>.</w:t>
      </w:r>
    </w:p>
    <w:p w14:paraId="5AAC4806" w14:textId="204D66DA" w:rsidR="00892A01" w:rsidRPr="00B32F7A" w:rsidRDefault="00F67AE7" w:rsidP="00B32F7A">
      <w:pPr>
        <w:pStyle w:val="Descripcin"/>
        <w:spacing w:after="0"/>
        <w:jc w:val="center"/>
        <w:rPr>
          <w:rFonts w:ascii="Arial" w:hAnsi="Arial" w:cs="Arial"/>
          <w:b/>
          <w:bCs/>
          <w:color w:val="auto"/>
        </w:rPr>
      </w:pPr>
      <w:bookmarkStart w:id="13" w:name="_Ref164888072"/>
      <w:r w:rsidRPr="00B32F7A">
        <w:rPr>
          <w:rFonts w:ascii="Arial" w:hAnsi="Arial" w:cs="Arial"/>
          <w:b/>
          <w:bCs/>
          <w:color w:val="auto"/>
        </w:rPr>
        <w:t xml:space="preserve">Tabla </w:t>
      </w:r>
      <w:r w:rsidRPr="00B32F7A">
        <w:rPr>
          <w:rFonts w:ascii="Arial" w:hAnsi="Arial" w:cs="Arial"/>
          <w:b/>
          <w:bCs/>
          <w:color w:val="auto"/>
        </w:rPr>
        <w:fldChar w:fldCharType="begin"/>
      </w:r>
      <w:r w:rsidRPr="00B32F7A">
        <w:rPr>
          <w:rFonts w:ascii="Arial" w:hAnsi="Arial" w:cs="Arial"/>
          <w:b/>
          <w:bCs/>
          <w:color w:val="auto"/>
        </w:rPr>
        <w:instrText xml:space="preserve"> SEQ Tabla \* ARABIC </w:instrText>
      </w:r>
      <w:r w:rsidRPr="00B32F7A">
        <w:rPr>
          <w:rFonts w:ascii="Arial" w:hAnsi="Arial" w:cs="Arial"/>
          <w:b/>
          <w:bCs/>
          <w:color w:val="auto"/>
        </w:rPr>
        <w:fldChar w:fldCharType="separate"/>
      </w:r>
      <w:r w:rsidR="002A641D">
        <w:rPr>
          <w:rFonts w:ascii="Arial" w:hAnsi="Arial" w:cs="Arial"/>
          <w:b/>
          <w:bCs/>
          <w:noProof/>
          <w:color w:val="auto"/>
        </w:rPr>
        <w:t>2</w:t>
      </w:r>
      <w:r w:rsidRPr="00B32F7A">
        <w:rPr>
          <w:rFonts w:ascii="Arial" w:hAnsi="Arial" w:cs="Arial"/>
          <w:b/>
          <w:bCs/>
          <w:color w:val="auto"/>
        </w:rPr>
        <w:fldChar w:fldCharType="end"/>
      </w:r>
      <w:bookmarkEnd w:id="13"/>
      <w:r w:rsidRPr="00B32F7A">
        <w:rPr>
          <w:rFonts w:ascii="Arial" w:hAnsi="Arial" w:cs="Arial"/>
          <w:b/>
          <w:bCs/>
          <w:color w:val="auto"/>
        </w:rPr>
        <w:t xml:space="preserve"> </w:t>
      </w:r>
      <w:proofErr w:type="gramStart"/>
      <w:r w:rsidR="00892A01" w:rsidRPr="00B32F7A">
        <w:rPr>
          <w:rFonts w:ascii="Arial" w:hAnsi="Arial" w:cs="Arial"/>
          <w:b/>
          <w:bCs/>
          <w:color w:val="auto"/>
        </w:rPr>
        <w:t>RCAEj,t</w:t>
      </w:r>
      <w:proofErr w:type="gramEnd"/>
      <w:r w:rsidR="00892A01" w:rsidRPr="00B32F7A">
        <w:rPr>
          <w:rFonts w:ascii="Arial" w:hAnsi="Arial" w:cs="Arial"/>
          <w:b/>
          <w:bCs/>
          <w:color w:val="auto"/>
        </w:rPr>
        <w:t xml:space="preserve"> aprobado por comercializador incumbente</w:t>
      </w:r>
    </w:p>
    <w:p w14:paraId="45AC9D17" w14:textId="6EC87C49" w:rsidR="004D3060" w:rsidRPr="00B32F7A" w:rsidRDefault="004D3060" w:rsidP="00B32F7A">
      <w:pPr>
        <w:pStyle w:val="Descripcin"/>
        <w:spacing w:after="0"/>
        <w:jc w:val="center"/>
        <w:rPr>
          <w:rFonts w:ascii="Arial" w:hAnsi="Arial" w:cs="Arial"/>
          <w:b/>
          <w:bCs/>
          <w:color w:val="auto"/>
        </w:rPr>
      </w:pPr>
      <w:r w:rsidRPr="00B32F7A">
        <w:rPr>
          <w:rFonts w:ascii="Arial" w:hAnsi="Arial" w:cs="Arial"/>
          <w:b/>
          <w:bCs/>
          <w:color w:val="auto"/>
        </w:rPr>
        <w:t>Fuente: Elaboración propia</w:t>
      </w:r>
    </w:p>
    <w:tbl>
      <w:tblPr>
        <w:tblW w:w="6521" w:type="dxa"/>
        <w:jc w:val="center"/>
        <w:tblLayout w:type="fixed"/>
        <w:tblLook w:val="0600" w:firstRow="0" w:lastRow="0" w:firstColumn="0" w:lastColumn="0" w:noHBand="1" w:noVBand="1"/>
      </w:tblPr>
      <w:tblGrid>
        <w:gridCol w:w="2127"/>
        <w:gridCol w:w="1984"/>
        <w:gridCol w:w="2410"/>
      </w:tblGrid>
      <w:tr w:rsidR="002D7B08" w:rsidRPr="00115F4D" w14:paraId="17D36995" w14:textId="77777777" w:rsidTr="00B32F7A">
        <w:trPr>
          <w:trHeight w:val="315"/>
          <w:tblHeader/>
          <w:jc w:val="center"/>
        </w:trPr>
        <w:tc>
          <w:tcPr>
            <w:tcW w:w="2127" w:type="dxa"/>
            <w:tcBorders>
              <w:top w:val="single" w:sz="4" w:space="0" w:color="auto"/>
              <w:left w:val="nil"/>
              <w:bottom w:val="single" w:sz="4" w:space="0" w:color="auto"/>
            </w:tcBorders>
            <w:tcMar>
              <w:top w:w="15" w:type="dxa"/>
              <w:left w:w="15" w:type="dxa"/>
              <w:right w:w="15" w:type="dxa"/>
            </w:tcMar>
            <w:vAlign w:val="center"/>
          </w:tcPr>
          <w:p w14:paraId="1E53ED44" w14:textId="051FD2C8" w:rsidR="002D7B08" w:rsidRPr="00115F4D" w:rsidRDefault="002D7B08" w:rsidP="00B32F7A">
            <w:pPr>
              <w:spacing w:before="24" w:after="0"/>
              <w:jc w:val="center"/>
              <w:rPr>
                <w:rFonts w:ascii="Arial" w:eastAsia="Calibri Light" w:hAnsi="Arial" w:cs="Arial"/>
                <w:b/>
                <w:bCs/>
                <w:sz w:val="20"/>
                <w:szCs w:val="20"/>
              </w:rPr>
            </w:pPr>
            <w:r w:rsidRPr="00115F4D">
              <w:rPr>
                <w:rFonts w:ascii="Arial" w:eastAsia="Calibri Light" w:hAnsi="Arial" w:cs="Arial"/>
                <w:b/>
                <w:bCs/>
                <w:sz w:val="20"/>
                <w:szCs w:val="20"/>
              </w:rPr>
              <w:t>Resolución</w:t>
            </w:r>
          </w:p>
          <w:p w14:paraId="14C21070" w14:textId="77777777" w:rsidR="002D7B08" w:rsidRPr="00115F4D" w:rsidRDefault="002D7B08" w:rsidP="00B32F7A">
            <w:pPr>
              <w:spacing w:before="24" w:after="0"/>
              <w:jc w:val="center"/>
              <w:rPr>
                <w:rFonts w:ascii="Arial" w:eastAsia="Calibri Light" w:hAnsi="Arial" w:cs="Arial"/>
                <w:b/>
                <w:bCs/>
                <w:sz w:val="20"/>
                <w:szCs w:val="20"/>
              </w:rPr>
            </w:pPr>
            <w:r w:rsidRPr="00115F4D">
              <w:rPr>
                <w:rFonts w:ascii="Arial" w:eastAsia="Calibri Light" w:hAnsi="Arial" w:cs="Arial"/>
                <w:b/>
                <w:bCs/>
                <w:sz w:val="20"/>
                <w:szCs w:val="20"/>
              </w:rPr>
              <w:t>particular</w:t>
            </w:r>
          </w:p>
        </w:tc>
        <w:tc>
          <w:tcPr>
            <w:tcW w:w="1984" w:type="dxa"/>
            <w:tcBorders>
              <w:top w:val="single" w:sz="4" w:space="0" w:color="auto"/>
              <w:bottom w:val="single" w:sz="4" w:space="0" w:color="auto"/>
            </w:tcBorders>
            <w:tcMar>
              <w:top w:w="15" w:type="dxa"/>
              <w:left w:w="15" w:type="dxa"/>
              <w:right w:w="15" w:type="dxa"/>
            </w:tcMar>
            <w:vAlign w:val="center"/>
          </w:tcPr>
          <w:p w14:paraId="73FD5E25" w14:textId="77777777" w:rsidR="002D7B08" w:rsidRPr="00115F4D" w:rsidRDefault="002D7B08" w:rsidP="00B32F7A">
            <w:pPr>
              <w:spacing w:before="24" w:after="0"/>
              <w:jc w:val="center"/>
              <w:rPr>
                <w:rFonts w:ascii="Arial" w:eastAsia="Calibri Light" w:hAnsi="Arial" w:cs="Arial"/>
                <w:b/>
                <w:bCs/>
                <w:sz w:val="20"/>
                <w:szCs w:val="20"/>
              </w:rPr>
            </w:pPr>
            <w:r w:rsidRPr="00115F4D">
              <w:rPr>
                <w:rFonts w:ascii="Arial" w:eastAsia="Calibri Light" w:hAnsi="Arial" w:cs="Arial"/>
                <w:b/>
                <w:bCs/>
                <w:sz w:val="20"/>
                <w:szCs w:val="20"/>
              </w:rPr>
              <w:t>Mercado de comercialización</w:t>
            </w:r>
          </w:p>
        </w:tc>
        <w:tc>
          <w:tcPr>
            <w:tcW w:w="2410" w:type="dxa"/>
            <w:tcBorders>
              <w:top w:val="single" w:sz="4" w:space="0" w:color="auto"/>
              <w:bottom w:val="single" w:sz="4" w:space="0" w:color="auto"/>
            </w:tcBorders>
          </w:tcPr>
          <w:p w14:paraId="5A1199E4" w14:textId="30E5EF9D" w:rsidR="002D7B08" w:rsidRPr="00115F4D" w:rsidRDefault="002D7B08" w:rsidP="00B32F7A">
            <w:pPr>
              <w:spacing w:before="24" w:after="0"/>
              <w:jc w:val="center"/>
              <w:rPr>
                <w:rFonts w:ascii="Arial" w:eastAsia="Calibri Light" w:hAnsi="Arial" w:cs="Arial"/>
                <w:b/>
                <w:bCs/>
                <w:i/>
                <w:iCs/>
                <w:sz w:val="20"/>
                <w:szCs w:val="20"/>
                <w:vertAlign w:val="subscript"/>
              </w:rPr>
            </w:pPr>
            <w:r w:rsidRPr="00115F4D">
              <w:rPr>
                <w:rFonts w:ascii="Arial" w:eastAsia="Calibri Light" w:hAnsi="Arial" w:cs="Arial"/>
                <w:b/>
                <w:bCs/>
                <w:sz w:val="20"/>
                <w:szCs w:val="20"/>
              </w:rPr>
              <w:t>Valor del</w:t>
            </w:r>
            <w:r w:rsidRPr="00115F4D">
              <w:rPr>
                <w:rFonts w:ascii="Arial" w:eastAsia="Calibri Light" w:hAnsi="Arial" w:cs="Arial"/>
                <w:b/>
                <w:bCs/>
                <w:i/>
                <w:iCs/>
                <w:sz w:val="20"/>
                <w:szCs w:val="20"/>
              </w:rPr>
              <w:t xml:space="preserve"> </w:t>
            </w:r>
            <w:proofErr w:type="gramStart"/>
            <w:r w:rsidRPr="00115F4D">
              <w:rPr>
                <w:rFonts w:ascii="Arial" w:eastAsia="Calibri Light" w:hAnsi="Arial" w:cs="Arial"/>
                <w:b/>
                <w:bCs/>
                <w:i/>
                <w:iCs/>
                <w:sz w:val="20"/>
                <w:szCs w:val="20"/>
              </w:rPr>
              <w:t>RCAE</w:t>
            </w:r>
            <w:r w:rsidRPr="00115F4D">
              <w:rPr>
                <w:rFonts w:ascii="Arial" w:eastAsia="Calibri Light" w:hAnsi="Arial" w:cs="Arial"/>
                <w:b/>
                <w:bCs/>
                <w:i/>
                <w:iCs/>
                <w:sz w:val="20"/>
                <w:szCs w:val="20"/>
                <w:vertAlign w:val="subscript"/>
              </w:rPr>
              <w:t>j,t</w:t>
            </w:r>
            <w:proofErr w:type="gramEnd"/>
          </w:p>
          <w:p w14:paraId="7049A1C2" w14:textId="77777777" w:rsidR="002D7B08" w:rsidRPr="00115F4D" w:rsidRDefault="002D7B08" w:rsidP="00B32F7A">
            <w:pPr>
              <w:spacing w:before="24" w:after="0"/>
              <w:jc w:val="center"/>
              <w:rPr>
                <w:rFonts w:ascii="Arial" w:eastAsia="Calibri Light" w:hAnsi="Arial" w:cs="Arial"/>
                <w:b/>
                <w:bCs/>
                <w:sz w:val="20"/>
                <w:szCs w:val="20"/>
              </w:rPr>
            </w:pPr>
            <w:r w:rsidRPr="00115F4D">
              <w:rPr>
                <w:rFonts w:ascii="Arial" w:eastAsia="Calibri Light" w:hAnsi="Arial" w:cs="Arial"/>
                <w:b/>
                <w:bCs/>
                <w:sz w:val="20"/>
                <w:szCs w:val="20"/>
              </w:rPr>
              <w:t>Aprobado</w:t>
            </w:r>
          </w:p>
        </w:tc>
      </w:tr>
      <w:tr w:rsidR="002D7B08" w:rsidRPr="00115F4D" w14:paraId="04CA2372" w14:textId="77777777" w:rsidTr="00482CB9">
        <w:trPr>
          <w:trHeight w:val="285"/>
          <w:jc w:val="center"/>
        </w:trPr>
        <w:tc>
          <w:tcPr>
            <w:tcW w:w="2127" w:type="dxa"/>
            <w:tcBorders>
              <w:top w:val="single" w:sz="4" w:space="0" w:color="auto"/>
              <w:left w:val="nil"/>
              <w:bottom w:val="nil"/>
              <w:right w:val="nil"/>
            </w:tcBorders>
            <w:tcMar>
              <w:top w:w="15" w:type="dxa"/>
              <w:left w:w="15" w:type="dxa"/>
              <w:right w:w="15" w:type="dxa"/>
            </w:tcMar>
            <w:vAlign w:val="center"/>
          </w:tcPr>
          <w:p w14:paraId="24863FF0" w14:textId="609AF6E8" w:rsidR="002D7B08" w:rsidRPr="00115F4D" w:rsidRDefault="00E42F3C">
            <w:pPr>
              <w:spacing w:before="24" w:after="0"/>
              <w:rPr>
                <w:rStyle w:val="Hipervnculo"/>
                <w:rFonts w:ascii="Arial" w:eastAsia="Calibri Light" w:hAnsi="Arial" w:cs="Arial"/>
                <w:sz w:val="20"/>
                <w:szCs w:val="20"/>
              </w:rPr>
            </w:pPr>
            <w:hyperlink r:id="rId45" w:history="1">
              <w:r w:rsidR="002D7B08" w:rsidRPr="00115F4D">
                <w:rPr>
                  <w:rStyle w:val="Hipervnculo"/>
                  <w:rFonts w:ascii="Arial" w:hAnsi="Arial" w:cs="Arial"/>
                  <w:sz w:val="20"/>
                  <w:szCs w:val="20"/>
                </w:rPr>
                <w:t>Creg229-2016</w:t>
              </w:r>
            </w:hyperlink>
          </w:p>
        </w:tc>
        <w:tc>
          <w:tcPr>
            <w:tcW w:w="1984" w:type="dxa"/>
            <w:tcBorders>
              <w:top w:val="single" w:sz="4" w:space="0" w:color="auto"/>
              <w:left w:val="nil"/>
              <w:bottom w:val="nil"/>
              <w:right w:val="nil"/>
            </w:tcBorders>
            <w:tcMar>
              <w:top w:w="15" w:type="dxa"/>
              <w:left w:w="15" w:type="dxa"/>
              <w:right w:w="15" w:type="dxa"/>
            </w:tcMar>
            <w:vAlign w:val="center"/>
          </w:tcPr>
          <w:p w14:paraId="4D4FA69D"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CELSIA</w:t>
            </w:r>
          </w:p>
        </w:tc>
        <w:tc>
          <w:tcPr>
            <w:tcW w:w="2410" w:type="dxa"/>
            <w:tcBorders>
              <w:top w:val="single" w:sz="4" w:space="0" w:color="auto"/>
              <w:left w:val="nil"/>
              <w:bottom w:val="nil"/>
              <w:right w:val="nil"/>
            </w:tcBorders>
            <w:vAlign w:val="center"/>
          </w:tcPr>
          <w:p w14:paraId="03B7B95E"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63.43%</w:t>
            </w:r>
          </w:p>
        </w:tc>
      </w:tr>
      <w:tr w:rsidR="002D7B08" w:rsidRPr="00115F4D" w14:paraId="3390F6C2"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59BE825C" w14:textId="5A4B89B7" w:rsidR="002D7B08" w:rsidRPr="00115F4D" w:rsidRDefault="00E42F3C">
            <w:pPr>
              <w:spacing w:before="24" w:after="0"/>
              <w:rPr>
                <w:rStyle w:val="Hipervnculo"/>
                <w:rFonts w:ascii="Arial" w:eastAsia="Calibri Light" w:hAnsi="Arial" w:cs="Arial"/>
                <w:sz w:val="20"/>
                <w:szCs w:val="20"/>
              </w:rPr>
            </w:pPr>
            <w:hyperlink r:id="rId46" w:history="1">
              <w:r w:rsidR="002D7B08" w:rsidRPr="00115F4D">
                <w:rPr>
                  <w:rStyle w:val="Hipervnculo"/>
                  <w:rFonts w:ascii="Arial" w:hAnsi="Arial" w:cs="Arial"/>
                  <w:sz w:val="20"/>
                  <w:szCs w:val="20"/>
                </w:rPr>
                <w:t>Creg017-2016</w:t>
              </w:r>
            </w:hyperlink>
          </w:p>
        </w:tc>
        <w:tc>
          <w:tcPr>
            <w:tcW w:w="1984" w:type="dxa"/>
            <w:tcBorders>
              <w:top w:val="nil"/>
              <w:left w:val="nil"/>
              <w:bottom w:val="nil"/>
              <w:right w:val="nil"/>
            </w:tcBorders>
            <w:tcMar>
              <w:top w:w="15" w:type="dxa"/>
              <w:left w:w="15" w:type="dxa"/>
              <w:right w:w="15" w:type="dxa"/>
            </w:tcMar>
            <w:vAlign w:val="center"/>
          </w:tcPr>
          <w:p w14:paraId="7C9BFB3B"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DISPAC</w:t>
            </w:r>
          </w:p>
        </w:tc>
        <w:tc>
          <w:tcPr>
            <w:tcW w:w="2410" w:type="dxa"/>
            <w:tcBorders>
              <w:top w:val="nil"/>
              <w:left w:val="nil"/>
              <w:bottom w:val="nil"/>
              <w:right w:val="nil"/>
            </w:tcBorders>
            <w:vAlign w:val="center"/>
          </w:tcPr>
          <w:p w14:paraId="0701F149"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34.46%</w:t>
            </w:r>
          </w:p>
        </w:tc>
      </w:tr>
      <w:tr w:rsidR="002D7B08" w:rsidRPr="00115F4D" w14:paraId="6C9EB1BD"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5B573EED" w14:textId="53CE77BF" w:rsidR="002D7B08" w:rsidRPr="00115F4D" w:rsidRDefault="00E42F3C">
            <w:pPr>
              <w:spacing w:before="24" w:after="0"/>
              <w:rPr>
                <w:rStyle w:val="Hipervnculo"/>
                <w:rFonts w:ascii="Arial" w:eastAsia="Calibri Light" w:hAnsi="Arial" w:cs="Arial"/>
                <w:sz w:val="20"/>
                <w:szCs w:val="20"/>
              </w:rPr>
            </w:pPr>
            <w:hyperlink r:id="rId47" w:history="1">
              <w:r w:rsidR="002D7B08" w:rsidRPr="00115F4D">
                <w:rPr>
                  <w:rStyle w:val="Hipervnculo"/>
                  <w:rFonts w:ascii="Arial" w:hAnsi="Arial" w:cs="Arial"/>
                  <w:sz w:val="20"/>
                  <w:szCs w:val="20"/>
                </w:rPr>
                <w:t>Creg119-2015</w:t>
              </w:r>
            </w:hyperlink>
          </w:p>
        </w:tc>
        <w:tc>
          <w:tcPr>
            <w:tcW w:w="1984" w:type="dxa"/>
            <w:tcBorders>
              <w:top w:val="nil"/>
              <w:left w:val="nil"/>
              <w:bottom w:val="nil"/>
              <w:right w:val="nil"/>
            </w:tcBorders>
            <w:tcMar>
              <w:top w:w="15" w:type="dxa"/>
              <w:left w:w="15" w:type="dxa"/>
              <w:right w:w="15" w:type="dxa"/>
            </w:tcMar>
            <w:vAlign w:val="center"/>
          </w:tcPr>
          <w:p w14:paraId="3D15EAC1"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CEO</w:t>
            </w:r>
          </w:p>
        </w:tc>
        <w:tc>
          <w:tcPr>
            <w:tcW w:w="2410" w:type="dxa"/>
            <w:tcBorders>
              <w:top w:val="nil"/>
              <w:left w:val="nil"/>
              <w:bottom w:val="nil"/>
              <w:right w:val="nil"/>
            </w:tcBorders>
            <w:vAlign w:val="center"/>
          </w:tcPr>
          <w:p w14:paraId="0CDBD418"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26.26%</w:t>
            </w:r>
          </w:p>
        </w:tc>
      </w:tr>
      <w:tr w:rsidR="002D7B08" w:rsidRPr="00115F4D" w14:paraId="4F2FEE5E"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1F158437" w14:textId="23891876" w:rsidR="002D7B08" w:rsidRPr="00115F4D" w:rsidRDefault="00E42F3C">
            <w:pPr>
              <w:spacing w:before="24" w:after="0"/>
              <w:rPr>
                <w:rStyle w:val="Hipervnculo"/>
                <w:rFonts w:ascii="Arial" w:eastAsia="Calibri Light" w:hAnsi="Arial" w:cs="Arial"/>
                <w:sz w:val="20"/>
                <w:szCs w:val="20"/>
              </w:rPr>
            </w:pPr>
            <w:hyperlink r:id="rId48" w:history="1">
              <w:r w:rsidR="002D7B08" w:rsidRPr="00115F4D">
                <w:rPr>
                  <w:rStyle w:val="Hipervnculo"/>
                  <w:rFonts w:ascii="Arial" w:hAnsi="Arial" w:cs="Arial"/>
                  <w:sz w:val="20"/>
                  <w:szCs w:val="20"/>
                </w:rPr>
                <w:t>Creg036-2015</w:t>
              </w:r>
            </w:hyperlink>
          </w:p>
        </w:tc>
        <w:tc>
          <w:tcPr>
            <w:tcW w:w="1984" w:type="dxa"/>
            <w:tcBorders>
              <w:top w:val="nil"/>
              <w:left w:val="nil"/>
              <w:bottom w:val="nil"/>
              <w:right w:val="nil"/>
            </w:tcBorders>
            <w:tcMar>
              <w:top w:w="15" w:type="dxa"/>
              <w:left w:w="15" w:type="dxa"/>
              <w:right w:w="15" w:type="dxa"/>
            </w:tcMar>
            <w:vAlign w:val="center"/>
          </w:tcPr>
          <w:p w14:paraId="177E02D5"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CARIBEMAR</w:t>
            </w:r>
          </w:p>
        </w:tc>
        <w:tc>
          <w:tcPr>
            <w:tcW w:w="2410" w:type="dxa"/>
            <w:tcBorders>
              <w:top w:val="nil"/>
              <w:left w:val="nil"/>
              <w:bottom w:val="nil"/>
              <w:right w:val="nil"/>
            </w:tcBorders>
            <w:vAlign w:val="center"/>
          </w:tcPr>
          <w:p w14:paraId="583F587B"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17.82%</w:t>
            </w:r>
          </w:p>
        </w:tc>
      </w:tr>
      <w:tr w:rsidR="002D7B08" w:rsidRPr="00115F4D" w14:paraId="094C7F8A"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7CD87EDC" w14:textId="011924F5" w:rsidR="002D7B08" w:rsidRPr="00115F4D" w:rsidRDefault="00E42F3C">
            <w:pPr>
              <w:spacing w:before="24" w:after="0"/>
              <w:rPr>
                <w:rStyle w:val="Hipervnculo"/>
                <w:rFonts w:ascii="Arial" w:eastAsia="Calibri Light" w:hAnsi="Arial" w:cs="Arial"/>
                <w:sz w:val="20"/>
                <w:szCs w:val="20"/>
              </w:rPr>
            </w:pPr>
            <w:hyperlink r:id="rId49" w:history="1">
              <w:r w:rsidR="002D7B08" w:rsidRPr="00115F4D">
                <w:rPr>
                  <w:rStyle w:val="Hipervnculo"/>
                  <w:rFonts w:ascii="Arial" w:hAnsi="Arial" w:cs="Arial"/>
                  <w:sz w:val="20"/>
                  <w:szCs w:val="20"/>
                </w:rPr>
                <w:t>Creg036-2015</w:t>
              </w:r>
            </w:hyperlink>
          </w:p>
        </w:tc>
        <w:tc>
          <w:tcPr>
            <w:tcW w:w="1984" w:type="dxa"/>
            <w:tcBorders>
              <w:top w:val="nil"/>
              <w:left w:val="nil"/>
              <w:bottom w:val="nil"/>
              <w:right w:val="nil"/>
            </w:tcBorders>
            <w:tcMar>
              <w:top w:w="15" w:type="dxa"/>
              <w:left w:w="15" w:type="dxa"/>
              <w:right w:w="15" w:type="dxa"/>
            </w:tcMar>
            <w:vAlign w:val="center"/>
          </w:tcPr>
          <w:p w14:paraId="1887C1A6"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AIRE</w:t>
            </w:r>
          </w:p>
        </w:tc>
        <w:tc>
          <w:tcPr>
            <w:tcW w:w="2410" w:type="dxa"/>
            <w:tcBorders>
              <w:top w:val="nil"/>
              <w:left w:val="nil"/>
              <w:bottom w:val="nil"/>
              <w:right w:val="nil"/>
            </w:tcBorders>
            <w:vAlign w:val="center"/>
          </w:tcPr>
          <w:p w14:paraId="2B1CBD5F"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17.82%</w:t>
            </w:r>
          </w:p>
        </w:tc>
      </w:tr>
      <w:tr w:rsidR="002D7B08" w:rsidRPr="00115F4D" w14:paraId="6C27A0A2"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56C59192" w14:textId="1B539885" w:rsidR="002D7B08" w:rsidRPr="00115F4D" w:rsidRDefault="00E42F3C">
            <w:pPr>
              <w:spacing w:before="24" w:after="0"/>
              <w:rPr>
                <w:rStyle w:val="Hipervnculo"/>
                <w:rFonts w:ascii="Arial" w:eastAsia="Calibri Light" w:hAnsi="Arial" w:cs="Arial"/>
                <w:sz w:val="20"/>
                <w:szCs w:val="20"/>
              </w:rPr>
            </w:pPr>
            <w:hyperlink r:id="rId50" w:history="1">
              <w:r w:rsidR="002D7B08" w:rsidRPr="00115F4D">
                <w:rPr>
                  <w:rStyle w:val="Hipervnculo"/>
                  <w:rFonts w:ascii="Arial" w:hAnsi="Arial" w:cs="Arial"/>
                  <w:sz w:val="20"/>
                  <w:szCs w:val="20"/>
                </w:rPr>
                <w:t>Creg122-2015</w:t>
              </w:r>
            </w:hyperlink>
          </w:p>
        </w:tc>
        <w:tc>
          <w:tcPr>
            <w:tcW w:w="1984" w:type="dxa"/>
            <w:tcBorders>
              <w:top w:val="nil"/>
              <w:left w:val="nil"/>
              <w:bottom w:val="nil"/>
              <w:right w:val="nil"/>
            </w:tcBorders>
            <w:tcMar>
              <w:top w:w="15" w:type="dxa"/>
              <w:left w:w="15" w:type="dxa"/>
              <w:right w:w="15" w:type="dxa"/>
            </w:tcMar>
            <w:vAlign w:val="center"/>
          </w:tcPr>
          <w:p w14:paraId="746E6FF8"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CEDENAR</w:t>
            </w:r>
          </w:p>
        </w:tc>
        <w:tc>
          <w:tcPr>
            <w:tcW w:w="2410" w:type="dxa"/>
            <w:tcBorders>
              <w:top w:val="nil"/>
              <w:left w:val="nil"/>
              <w:bottom w:val="nil"/>
              <w:right w:val="nil"/>
            </w:tcBorders>
            <w:vAlign w:val="center"/>
          </w:tcPr>
          <w:p w14:paraId="4BCA6671"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7.63%</w:t>
            </w:r>
          </w:p>
        </w:tc>
      </w:tr>
      <w:tr w:rsidR="002D7B08" w:rsidRPr="00115F4D" w14:paraId="6BFFB3AE"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474A5406" w14:textId="66551DE9" w:rsidR="002D7B08" w:rsidRPr="00115F4D" w:rsidRDefault="00E42F3C">
            <w:pPr>
              <w:spacing w:before="24" w:after="0"/>
              <w:rPr>
                <w:rStyle w:val="Hipervnculo"/>
                <w:rFonts w:ascii="Arial" w:eastAsia="Calibri Light" w:hAnsi="Arial" w:cs="Arial"/>
                <w:sz w:val="20"/>
                <w:szCs w:val="20"/>
              </w:rPr>
            </w:pPr>
            <w:hyperlink r:id="rId51" w:history="1">
              <w:r w:rsidR="002D7B08" w:rsidRPr="00115F4D">
                <w:rPr>
                  <w:rStyle w:val="Hipervnculo"/>
                  <w:rFonts w:ascii="Arial" w:hAnsi="Arial" w:cs="Arial"/>
                  <w:sz w:val="20"/>
                  <w:szCs w:val="20"/>
                </w:rPr>
                <w:t>Creg123-2015</w:t>
              </w:r>
            </w:hyperlink>
          </w:p>
        </w:tc>
        <w:tc>
          <w:tcPr>
            <w:tcW w:w="1984" w:type="dxa"/>
            <w:tcBorders>
              <w:top w:val="nil"/>
              <w:left w:val="nil"/>
              <w:bottom w:val="nil"/>
              <w:right w:val="nil"/>
            </w:tcBorders>
            <w:tcMar>
              <w:top w:w="15" w:type="dxa"/>
              <w:left w:w="15" w:type="dxa"/>
              <w:right w:w="15" w:type="dxa"/>
            </w:tcMar>
            <w:vAlign w:val="center"/>
          </w:tcPr>
          <w:p w14:paraId="098636AF"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ENELAR</w:t>
            </w:r>
          </w:p>
        </w:tc>
        <w:tc>
          <w:tcPr>
            <w:tcW w:w="2410" w:type="dxa"/>
            <w:tcBorders>
              <w:top w:val="nil"/>
              <w:left w:val="nil"/>
              <w:bottom w:val="nil"/>
              <w:right w:val="nil"/>
            </w:tcBorders>
            <w:vAlign w:val="center"/>
          </w:tcPr>
          <w:p w14:paraId="7CEC9C81"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6.16%</w:t>
            </w:r>
          </w:p>
        </w:tc>
      </w:tr>
      <w:tr w:rsidR="002D7B08" w:rsidRPr="00115F4D" w14:paraId="5403DEF1"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4B9CF9F8" w14:textId="66F646E3" w:rsidR="002D7B08" w:rsidRPr="00115F4D" w:rsidRDefault="00E42F3C">
            <w:pPr>
              <w:spacing w:before="24" w:after="0"/>
              <w:rPr>
                <w:rStyle w:val="Hipervnculo"/>
                <w:rFonts w:ascii="Arial" w:eastAsia="Calibri Light" w:hAnsi="Arial" w:cs="Arial"/>
                <w:sz w:val="20"/>
                <w:szCs w:val="20"/>
              </w:rPr>
            </w:pPr>
            <w:hyperlink r:id="rId52" w:history="1">
              <w:r w:rsidR="002D7B08" w:rsidRPr="00115F4D">
                <w:rPr>
                  <w:rStyle w:val="Hipervnculo"/>
                  <w:rFonts w:ascii="Arial" w:hAnsi="Arial" w:cs="Arial"/>
                  <w:sz w:val="20"/>
                  <w:szCs w:val="20"/>
                </w:rPr>
                <w:t>Creg187-2015</w:t>
              </w:r>
            </w:hyperlink>
          </w:p>
        </w:tc>
        <w:tc>
          <w:tcPr>
            <w:tcW w:w="1984" w:type="dxa"/>
            <w:tcBorders>
              <w:top w:val="nil"/>
              <w:left w:val="nil"/>
              <w:bottom w:val="nil"/>
              <w:right w:val="nil"/>
            </w:tcBorders>
            <w:tcMar>
              <w:top w:w="15" w:type="dxa"/>
              <w:left w:w="15" w:type="dxa"/>
              <w:right w:w="15" w:type="dxa"/>
            </w:tcMar>
            <w:vAlign w:val="center"/>
          </w:tcPr>
          <w:p w14:paraId="602E7E53"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TOLIMA</w:t>
            </w:r>
          </w:p>
        </w:tc>
        <w:tc>
          <w:tcPr>
            <w:tcW w:w="2410" w:type="dxa"/>
            <w:tcBorders>
              <w:top w:val="nil"/>
              <w:left w:val="nil"/>
              <w:bottom w:val="nil"/>
              <w:right w:val="nil"/>
            </w:tcBorders>
            <w:vAlign w:val="center"/>
          </w:tcPr>
          <w:p w14:paraId="72B1312F"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6.06%</w:t>
            </w:r>
          </w:p>
        </w:tc>
      </w:tr>
      <w:tr w:rsidR="002D7B08" w:rsidRPr="00115F4D" w14:paraId="3FEC5F15"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338CA542" w14:textId="5534C5F4" w:rsidR="002D7B08" w:rsidRPr="00115F4D" w:rsidRDefault="00E42F3C">
            <w:pPr>
              <w:spacing w:before="24" w:after="0"/>
              <w:rPr>
                <w:rStyle w:val="Hipervnculo"/>
                <w:rFonts w:ascii="Arial" w:eastAsia="Calibri Light" w:hAnsi="Arial" w:cs="Arial"/>
                <w:sz w:val="20"/>
                <w:szCs w:val="20"/>
              </w:rPr>
            </w:pPr>
            <w:hyperlink r:id="rId53" w:history="1">
              <w:r w:rsidR="002D7B08" w:rsidRPr="00115F4D">
                <w:rPr>
                  <w:rStyle w:val="Hipervnculo"/>
                  <w:rFonts w:ascii="Arial" w:hAnsi="Arial" w:cs="Arial"/>
                  <w:sz w:val="20"/>
                  <w:szCs w:val="20"/>
                </w:rPr>
                <w:t>Creg080-2016</w:t>
              </w:r>
            </w:hyperlink>
          </w:p>
        </w:tc>
        <w:tc>
          <w:tcPr>
            <w:tcW w:w="1984" w:type="dxa"/>
            <w:tcBorders>
              <w:top w:val="nil"/>
              <w:left w:val="nil"/>
              <w:bottom w:val="nil"/>
              <w:right w:val="nil"/>
            </w:tcBorders>
            <w:tcMar>
              <w:top w:w="15" w:type="dxa"/>
              <w:left w:w="15" w:type="dxa"/>
              <w:right w:w="15" w:type="dxa"/>
            </w:tcMar>
            <w:vAlign w:val="center"/>
          </w:tcPr>
          <w:p w14:paraId="35ACA96C"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EMSA</w:t>
            </w:r>
          </w:p>
        </w:tc>
        <w:tc>
          <w:tcPr>
            <w:tcW w:w="2410" w:type="dxa"/>
            <w:tcBorders>
              <w:top w:val="nil"/>
              <w:left w:val="nil"/>
              <w:bottom w:val="nil"/>
              <w:right w:val="nil"/>
            </w:tcBorders>
            <w:vAlign w:val="center"/>
          </w:tcPr>
          <w:p w14:paraId="3BEC62E9"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sz w:val="20"/>
                <w:szCs w:val="20"/>
              </w:rPr>
              <w:t>5.23%</w:t>
            </w:r>
          </w:p>
        </w:tc>
      </w:tr>
      <w:tr w:rsidR="002D7B08" w:rsidRPr="00115F4D" w14:paraId="1EAD6C6D"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6A088BC2" w14:textId="28B9EED7" w:rsidR="002D7B08" w:rsidRPr="00115F4D" w:rsidRDefault="00E42F3C">
            <w:pPr>
              <w:spacing w:before="24" w:after="0"/>
              <w:rPr>
                <w:rStyle w:val="Hipervnculo"/>
                <w:rFonts w:ascii="Arial" w:eastAsia="Calibri Light" w:hAnsi="Arial" w:cs="Arial"/>
                <w:sz w:val="20"/>
                <w:szCs w:val="20"/>
              </w:rPr>
            </w:pPr>
            <w:hyperlink r:id="rId54" w:history="1">
              <w:r w:rsidR="002D7B08" w:rsidRPr="00115F4D">
                <w:rPr>
                  <w:rStyle w:val="Hipervnculo"/>
                  <w:rFonts w:ascii="Arial" w:hAnsi="Arial" w:cs="Arial"/>
                  <w:sz w:val="20"/>
                  <w:szCs w:val="20"/>
                </w:rPr>
                <w:t>Creg190-2015</w:t>
              </w:r>
            </w:hyperlink>
          </w:p>
        </w:tc>
        <w:tc>
          <w:tcPr>
            <w:tcW w:w="1984" w:type="dxa"/>
            <w:tcBorders>
              <w:top w:val="nil"/>
              <w:left w:val="nil"/>
              <w:bottom w:val="nil"/>
              <w:right w:val="nil"/>
            </w:tcBorders>
            <w:tcMar>
              <w:top w:w="15" w:type="dxa"/>
              <w:left w:w="15" w:type="dxa"/>
              <w:right w:w="15" w:type="dxa"/>
            </w:tcMar>
            <w:vAlign w:val="center"/>
          </w:tcPr>
          <w:p w14:paraId="64E6773A"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EMCALI</w:t>
            </w:r>
          </w:p>
        </w:tc>
        <w:tc>
          <w:tcPr>
            <w:tcW w:w="2410" w:type="dxa"/>
            <w:tcBorders>
              <w:top w:val="nil"/>
              <w:left w:val="nil"/>
              <w:bottom w:val="nil"/>
              <w:right w:val="nil"/>
            </w:tcBorders>
            <w:vAlign w:val="center"/>
          </w:tcPr>
          <w:p w14:paraId="7878DF88"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4.38%</w:t>
            </w:r>
          </w:p>
        </w:tc>
      </w:tr>
      <w:tr w:rsidR="002D7B08" w:rsidRPr="00115F4D" w14:paraId="7BA59E0E"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7E25467E" w14:textId="793E7DCF" w:rsidR="002D7B08" w:rsidRPr="00115F4D" w:rsidRDefault="00E42F3C">
            <w:pPr>
              <w:spacing w:before="24" w:after="0"/>
              <w:rPr>
                <w:rStyle w:val="Hipervnculo"/>
                <w:rFonts w:ascii="Arial" w:eastAsia="Calibri Light" w:hAnsi="Arial" w:cs="Arial"/>
                <w:sz w:val="20"/>
                <w:szCs w:val="20"/>
              </w:rPr>
            </w:pPr>
            <w:hyperlink r:id="rId55" w:history="1">
              <w:r w:rsidR="002D7B08" w:rsidRPr="00115F4D">
                <w:rPr>
                  <w:rStyle w:val="Hipervnculo"/>
                  <w:rFonts w:ascii="Arial" w:hAnsi="Arial" w:cs="Arial"/>
                  <w:sz w:val="20"/>
                  <w:szCs w:val="20"/>
                </w:rPr>
                <w:t>Creg015-2016</w:t>
              </w:r>
            </w:hyperlink>
          </w:p>
        </w:tc>
        <w:tc>
          <w:tcPr>
            <w:tcW w:w="1984" w:type="dxa"/>
            <w:tcBorders>
              <w:top w:val="nil"/>
              <w:left w:val="nil"/>
              <w:bottom w:val="nil"/>
              <w:right w:val="nil"/>
            </w:tcBorders>
            <w:tcMar>
              <w:top w:w="15" w:type="dxa"/>
              <w:left w:w="15" w:type="dxa"/>
              <w:right w:w="15" w:type="dxa"/>
            </w:tcMar>
            <w:vAlign w:val="center"/>
          </w:tcPr>
          <w:p w14:paraId="770E591D"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ESSA</w:t>
            </w:r>
          </w:p>
        </w:tc>
        <w:tc>
          <w:tcPr>
            <w:tcW w:w="2410" w:type="dxa"/>
            <w:tcBorders>
              <w:top w:val="nil"/>
              <w:left w:val="nil"/>
              <w:bottom w:val="nil"/>
              <w:right w:val="nil"/>
            </w:tcBorders>
            <w:vAlign w:val="center"/>
          </w:tcPr>
          <w:p w14:paraId="7C7DABC9"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4.05%</w:t>
            </w:r>
          </w:p>
        </w:tc>
      </w:tr>
      <w:tr w:rsidR="002D7B08" w:rsidRPr="00115F4D" w14:paraId="2A2D5B8B"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1BAD6CDC" w14:textId="1BB83337" w:rsidR="002D7B08" w:rsidRPr="00115F4D" w:rsidRDefault="00E42F3C">
            <w:pPr>
              <w:spacing w:before="24" w:after="0"/>
              <w:rPr>
                <w:rStyle w:val="Hipervnculo"/>
                <w:rFonts w:ascii="Arial" w:eastAsia="Calibri Light" w:hAnsi="Arial" w:cs="Arial"/>
                <w:sz w:val="20"/>
                <w:szCs w:val="20"/>
              </w:rPr>
            </w:pPr>
            <w:hyperlink r:id="rId56" w:history="1">
              <w:r w:rsidR="002D7B08" w:rsidRPr="00115F4D">
                <w:rPr>
                  <w:rStyle w:val="Hipervnculo"/>
                  <w:rFonts w:ascii="Arial" w:hAnsi="Arial" w:cs="Arial"/>
                  <w:sz w:val="20"/>
                  <w:szCs w:val="20"/>
                </w:rPr>
                <w:t>Creg121-2015</w:t>
              </w:r>
            </w:hyperlink>
          </w:p>
        </w:tc>
        <w:tc>
          <w:tcPr>
            <w:tcW w:w="1984" w:type="dxa"/>
            <w:tcBorders>
              <w:top w:val="nil"/>
              <w:left w:val="nil"/>
              <w:bottom w:val="nil"/>
              <w:right w:val="nil"/>
            </w:tcBorders>
            <w:tcMar>
              <w:top w:w="15" w:type="dxa"/>
              <w:left w:w="15" w:type="dxa"/>
              <w:right w:w="15" w:type="dxa"/>
            </w:tcMar>
            <w:vAlign w:val="center"/>
          </w:tcPr>
          <w:p w14:paraId="6735EB71"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ENERCA</w:t>
            </w:r>
          </w:p>
        </w:tc>
        <w:tc>
          <w:tcPr>
            <w:tcW w:w="2410" w:type="dxa"/>
            <w:tcBorders>
              <w:top w:val="nil"/>
              <w:left w:val="nil"/>
              <w:bottom w:val="nil"/>
              <w:right w:val="nil"/>
            </w:tcBorders>
            <w:vAlign w:val="center"/>
          </w:tcPr>
          <w:p w14:paraId="1A963EBF"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2.34%</w:t>
            </w:r>
          </w:p>
        </w:tc>
      </w:tr>
      <w:tr w:rsidR="002D7B08" w:rsidRPr="00115F4D" w14:paraId="4240B487"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291DB0E6" w14:textId="5F59090C" w:rsidR="002D7B08" w:rsidRPr="00115F4D" w:rsidRDefault="00E42F3C">
            <w:pPr>
              <w:spacing w:before="24" w:after="0"/>
              <w:rPr>
                <w:rStyle w:val="Hipervnculo"/>
                <w:rFonts w:ascii="Arial" w:eastAsia="Calibri Light" w:hAnsi="Arial" w:cs="Arial"/>
                <w:sz w:val="20"/>
                <w:szCs w:val="20"/>
              </w:rPr>
            </w:pPr>
            <w:hyperlink r:id="rId57" w:history="1">
              <w:r w:rsidR="002D7B08" w:rsidRPr="00115F4D">
                <w:rPr>
                  <w:rStyle w:val="Hipervnculo"/>
                  <w:rFonts w:ascii="Arial" w:hAnsi="Arial" w:cs="Arial"/>
                  <w:sz w:val="20"/>
                  <w:szCs w:val="20"/>
                </w:rPr>
                <w:t>Creg189-2015</w:t>
              </w:r>
            </w:hyperlink>
          </w:p>
        </w:tc>
        <w:tc>
          <w:tcPr>
            <w:tcW w:w="1984" w:type="dxa"/>
            <w:tcBorders>
              <w:top w:val="nil"/>
              <w:left w:val="nil"/>
              <w:bottom w:val="nil"/>
              <w:right w:val="nil"/>
            </w:tcBorders>
            <w:tcMar>
              <w:top w:w="15" w:type="dxa"/>
              <w:left w:w="15" w:type="dxa"/>
              <w:right w:w="15" w:type="dxa"/>
            </w:tcMar>
            <w:vAlign w:val="center"/>
          </w:tcPr>
          <w:p w14:paraId="73183361"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EPM</w:t>
            </w:r>
          </w:p>
        </w:tc>
        <w:tc>
          <w:tcPr>
            <w:tcW w:w="2410" w:type="dxa"/>
            <w:tcBorders>
              <w:top w:val="nil"/>
              <w:left w:val="nil"/>
              <w:bottom w:val="nil"/>
              <w:right w:val="nil"/>
            </w:tcBorders>
            <w:vAlign w:val="center"/>
          </w:tcPr>
          <w:p w14:paraId="0278098D"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1.45%</w:t>
            </w:r>
          </w:p>
        </w:tc>
      </w:tr>
      <w:tr w:rsidR="002D7B08" w:rsidRPr="00115F4D" w14:paraId="60B70700"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475A840C" w14:textId="705A9E5D" w:rsidR="002D7B08" w:rsidRPr="00115F4D" w:rsidRDefault="00E42F3C">
            <w:pPr>
              <w:spacing w:before="24" w:after="0"/>
              <w:rPr>
                <w:rStyle w:val="Hipervnculo"/>
                <w:rFonts w:ascii="Arial" w:eastAsia="Calibri Light" w:hAnsi="Arial" w:cs="Arial"/>
                <w:sz w:val="20"/>
                <w:szCs w:val="20"/>
              </w:rPr>
            </w:pPr>
            <w:hyperlink r:id="rId58" w:history="1">
              <w:r w:rsidR="002D7B08" w:rsidRPr="00115F4D">
                <w:rPr>
                  <w:rStyle w:val="Hipervnculo"/>
                  <w:rFonts w:ascii="Arial" w:hAnsi="Arial" w:cs="Arial"/>
                  <w:sz w:val="20"/>
                  <w:szCs w:val="20"/>
                </w:rPr>
                <w:t>Creg216-2015</w:t>
              </w:r>
            </w:hyperlink>
          </w:p>
        </w:tc>
        <w:tc>
          <w:tcPr>
            <w:tcW w:w="1984" w:type="dxa"/>
            <w:tcBorders>
              <w:top w:val="nil"/>
              <w:left w:val="nil"/>
              <w:bottom w:val="nil"/>
              <w:right w:val="nil"/>
            </w:tcBorders>
            <w:tcMar>
              <w:top w:w="15" w:type="dxa"/>
              <w:left w:w="15" w:type="dxa"/>
              <w:right w:w="15" w:type="dxa"/>
            </w:tcMar>
            <w:vAlign w:val="center"/>
          </w:tcPr>
          <w:p w14:paraId="76889480"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HUILA</w:t>
            </w:r>
          </w:p>
        </w:tc>
        <w:tc>
          <w:tcPr>
            <w:tcW w:w="2410" w:type="dxa"/>
            <w:tcBorders>
              <w:top w:val="nil"/>
              <w:left w:val="nil"/>
              <w:bottom w:val="nil"/>
              <w:right w:val="nil"/>
            </w:tcBorders>
            <w:vAlign w:val="center"/>
          </w:tcPr>
          <w:p w14:paraId="70B5F206"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1.14%</w:t>
            </w:r>
          </w:p>
        </w:tc>
      </w:tr>
      <w:tr w:rsidR="002D7B08" w:rsidRPr="00115F4D" w14:paraId="07C55115"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68947AF1" w14:textId="70114162" w:rsidR="002D7B08" w:rsidRPr="00115F4D" w:rsidRDefault="00E42F3C">
            <w:pPr>
              <w:spacing w:before="24" w:after="0"/>
              <w:rPr>
                <w:rStyle w:val="Hipervnculo"/>
                <w:rFonts w:ascii="Arial" w:eastAsia="Calibri Light" w:hAnsi="Arial" w:cs="Arial"/>
                <w:sz w:val="20"/>
                <w:szCs w:val="20"/>
              </w:rPr>
            </w:pPr>
            <w:hyperlink r:id="rId59" w:history="1">
              <w:r w:rsidR="002D7B08" w:rsidRPr="00115F4D">
                <w:rPr>
                  <w:rStyle w:val="Hipervnculo"/>
                  <w:rFonts w:ascii="Arial" w:hAnsi="Arial" w:cs="Arial"/>
                  <w:sz w:val="20"/>
                  <w:szCs w:val="20"/>
                </w:rPr>
                <w:t>Creg016-2016</w:t>
              </w:r>
            </w:hyperlink>
          </w:p>
        </w:tc>
        <w:tc>
          <w:tcPr>
            <w:tcW w:w="1984" w:type="dxa"/>
            <w:tcBorders>
              <w:top w:val="nil"/>
              <w:left w:val="nil"/>
              <w:bottom w:val="nil"/>
              <w:right w:val="nil"/>
            </w:tcBorders>
            <w:tcMar>
              <w:top w:w="15" w:type="dxa"/>
              <w:left w:w="15" w:type="dxa"/>
              <w:right w:w="15" w:type="dxa"/>
            </w:tcMar>
            <w:vAlign w:val="center"/>
          </w:tcPr>
          <w:p w14:paraId="233D57A1"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EBSA</w:t>
            </w:r>
          </w:p>
        </w:tc>
        <w:tc>
          <w:tcPr>
            <w:tcW w:w="2410" w:type="dxa"/>
            <w:tcBorders>
              <w:top w:val="nil"/>
              <w:left w:val="nil"/>
              <w:bottom w:val="nil"/>
              <w:right w:val="nil"/>
            </w:tcBorders>
            <w:vAlign w:val="center"/>
          </w:tcPr>
          <w:p w14:paraId="03577A6F"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1.00%</w:t>
            </w:r>
          </w:p>
        </w:tc>
      </w:tr>
      <w:tr w:rsidR="002D7B08" w:rsidRPr="00115F4D" w14:paraId="0238E568"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37C44D73" w14:textId="47E301FF" w:rsidR="002D7B08" w:rsidRPr="00115F4D" w:rsidRDefault="00E42F3C">
            <w:pPr>
              <w:spacing w:before="24" w:after="0"/>
              <w:rPr>
                <w:rStyle w:val="Hipervnculo"/>
                <w:rFonts w:ascii="Arial" w:eastAsia="Calibri Light" w:hAnsi="Arial" w:cs="Arial"/>
                <w:sz w:val="20"/>
                <w:szCs w:val="20"/>
              </w:rPr>
            </w:pPr>
            <w:hyperlink r:id="rId60" w:history="1">
              <w:r w:rsidR="002D7B08" w:rsidRPr="00115F4D">
                <w:rPr>
                  <w:rStyle w:val="Hipervnculo"/>
                  <w:rFonts w:ascii="Arial" w:hAnsi="Arial" w:cs="Arial"/>
                  <w:sz w:val="20"/>
                  <w:szCs w:val="20"/>
                </w:rPr>
                <w:t>Creg118-2015</w:t>
              </w:r>
            </w:hyperlink>
          </w:p>
        </w:tc>
        <w:tc>
          <w:tcPr>
            <w:tcW w:w="1984" w:type="dxa"/>
            <w:tcBorders>
              <w:top w:val="nil"/>
              <w:left w:val="nil"/>
              <w:bottom w:val="nil"/>
              <w:right w:val="nil"/>
            </w:tcBorders>
            <w:tcMar>
              <w:top w:w="15" w:type="dxa"/>
              <w:left w:w="15" w:type="dxa"/>
              <w:right w:w="15" w:type="dxa"/>
            </w:tcMar>
            <w:vAlign w:val="center"/>
          </w:tcPr>
          <w:p w14:paraId="00DBFED0"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PUTUMAYO</w:t>
            </w:r>
          </w:p>
        </w:tc>
        <w:tc>
          <w:tcPr>
            <w:tcW w:w="2410" w:type="dxa"/>
            <w:tcBorders>
              <w:top w:val="nil"/>
              <w:left w:val="nil"/>
              <w:bottom w:val="nil"/>
              <w:right w:val="nil"/>
            </w:tcBorders>
            <w:vAlign w:val="center"/>
          </w:tcPr>
          <w:p w14:paraId="12CB105C"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0.33%</w:t>
            </w:r>
          </w:p>
        </w:tc>
      </w:tr>
      <w:tr w:rsidR="002D7B08" w:rsidRPr="00115F4D" w14:paraId="37C0C414" w14:textId="77777777" w:rsidTr="00482CB9">
        <w:trPr>
          <w:trHeight w:val="285"/>
          <w:jc w:val="center"/>
        </w:trPr>
        <w:tc>
          <w:tcPr>
            <w:tcW w:w="2127" w:type="dxa"/>
            <w:tcBorders>
              <w:top w:val="nil"/>
              <w:left w:val="nil"/>
              <w:bottom w:val="nil"/>
              <w:right w:val="nil"/>
            </w:tcBorders>
            <w:tcMar>
              <w:top w:w="15" w:type="dxa"/>
              <w:left w:w="15" w:type="dxa"/>
              <w:right w:w="15" w:type="dxa"/>
            </w:tcMar>
            <w:vAlign w:val="center"/>
          </w:tcPr>
          <w:p w14:paraId="5BC588FB" w14:textId="5974CDF2" w:rsidR="002D7B08" w:rsidRPr="00115F4D" w:rsidRDefault="00E42F3C">
            <w:pPr>
              <w:spacing w:before="24" w:after="0"/>
              <w:rPr>
                <w:rStyle w:val="Hipervnculo"/>
                <w:rFonts w:ascii="Arial" w:eastAsia="Calibri Light" w:hAnsi="Arial" w:cs="Arial"/>
                <w:sz w:val="20"/>
                <w:szCs w:val="20"/>
              </w:rPr>
            </w:pPr>
            <w:hyperlink r:id="rId61" w:history="1">
              <w:r w:rsidR="002D7B08" w:rsidRPr="00115F4D">
                <w:rPr>
                  <w:rStyle w:val="Hipervnculo"/>
                  <w:rFonts w:ascii="Arial" w:hAnsi="Arial" w:cs="Arial"/>
                  <w:sz w:val="20"/>
                  <w:szCs w:val="20"/>
                </w:rPr>
                <w:t>Creg231-2016</w:t>
              </w:r>
            </w:hyperlink>
          </w:p>
        </w:tc>
        <w:tc>
          <w:tcPr>
            <w:tcW w:w="1984" w:type="dxa"/>
            <w:tcBorders>
              <w:top w:val="nil"/>
              <w:left w:val="nil"/>
              <w:bottom w:val="nil"/>
              <w:right w:val="nil"/>
            </w:tcBorders>
            <w:tcMar>
              <w:top w:w="15" w:type="dxa"/>
              <w:left w:w="15" w:type="dxa"/>
              <w:right w:w="15" w:type="dxa"/>
            </w:tcMar>
            <w:vAlign w:val="center"/>
          </w:tcPr>
          <w:p w14:paraId="4424DE3D"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EMEE</w:t>
            </w:r>
          </w:p>
        </w:tc>
        <w:tc>
          <w:tcPr>
            <w:tcW w:w="2410" w:type="dxa"/>
            <w:tcBorders>
              <w:top w:val="nil"/>
              <w:left w:val="nil"/>
              <w:bottom w:val="nil"/>
              <w:right w:val="nil"/>
            </w:tcBorders>
            <w:vAlign w:val="center"/>
          </w:tcPr>
          <w:p w14:paraId="556EA32D"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0.21%</w:t>
            </w:r>
          </w:p>
        </w:tc>
      </w:tr>
      <w:tr w:rsidR="002D7B08" w:rsidRPr="00115F4D" w14:paraId="46F33340" w14:textId="77777777" w:rsidTr="00482CB9">
        <w:trPr>
          <w:trHeight w:val="285"/>
          <w:jc w:val="center"/>
        </w:trPr>
        <w:tc>
          <w:tcPr>
            <w:tcW w:w="2127" w:type="dxa"/>
            <w:tcBorders>
              <w:top w:val="nil"/>
              <w:left w:val="nil"/>
              <w:right w:val="nil"/>
            </w:tcBorders>
            <w:tcMar>
              <w:top w:w="15" w:type="dxa"/>
              <w:left w:w="15" w:type="dxa"/>
              <w:right w:w="15" w:type="dxa"/>
            </w:tcMar>
            <w:vAlign w:val="center"/>
          </w:tcPr>
          <w:p w14:paraId="792EFD5E" w14:textId="35F7C6C3" w:rsidR="002D7B08" w:rsidRPr="00115F4D" w:rsidRDefault="00E42F3C">
            <w:pPr>
              <w:spacing w:before="24" w:after="0"/>
              <w:rPr>
                <w:rStyle w:val="Hipervnculo"/>
                <w:rFonts w:ascii="Arial" w:eastAsia="Calibri Light" w:hAnsi="Arial" w:cs="Arial"/>
                <w:sz w:val="20"/>
                <w:szCs w:val="20"/>
              </w:rPr>
            </w:pPr>
            <w:hyperlink r:id="rId62" w:history="1">
              <w:r w:rsidR="002D7B08" w:rsidRPr="00115F4D">
                <w:rPr>
                  <w:rStyle w:val="Hipervnculo"/>
                  <w:rFonts w:ascii="Arial" w:hAnsi="Arial" w:cs="Arial"/>
                  <w:sz w:val="20"/>
                  <w:szCs w:val="20"/>
                </w:rPr>
                <w:t>Creg199-2015</w:t>
              </w:r>
            </w:hyperlink>
          </w:p>
        </w:tc>
        <w:tc>
          <w:tcPr>
            <w:tcW w:w="1984" w:type="dxa"/>
            <w:tcBorders>
              <w:top w:val="nil"/>
              <w:left w:val="nil"/>
              <w:right w:val="nil"/>
            </w:tcBorders>
            <w:tcMar>
              <w:top w:w="15" w:type="dxa"/>
              <w:left w:w="15" w:type="dxa"/>
              <w:right w:w="15" w:type="dxa"/>
            </w:tcMar>
            <w:vAlign w:val="center"/>
          </w:tcPr>
          <w:p w14:paraId="1ABAF1A4"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CENS</w:t>
            </w:r>
          </w:p>
        </w:tc>
        <w:tc>
          <w:tcPr>
            <w:tcW w:w="2410" w:type="dxa"/>
            <w:tcBorders>
              <w:top w:val="nil"/>
              <w:left w:val="nil"/>
              <w:right w:val="nil"/>
            </w:tcBorders>
            <w:vAlign w:val="center"/>
          </w:tcPr>
          <w:p w14:paraId="10D4E909"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0.12%</w:t>
            </w:r>
          </w:p>
        </w:tc>
      </w:tr>
      <w:tr w:rsidR="002D7B08" w:rsidRPr="00115F4D" w14:paraId="354170EA" w14:textId="77777777" w:rsidTr="00482CB9">
        <w:trPr>
          <w:trHeight w:val="285"/>
          <w:jc w:val="center"/>
        </w:trPr>
        <w:tc>
          <w:tcPr>
            <w:tcW w:w="2127" w:type="dxa"/>
            <w:tcBorders>
              <w:top w:val="nil"/>
              <w:left w:val="nil"/>
              <w:bottom w:val="single" w:sz="4" w:space="0" w:color="auto"/>
              <w:right w:val="nil"/>
            </w:tcBorders>
            <w:tcMar>
              <w:top w:w="15" w:type="dxa"/>
              <w:left w:w="15" w:type="dxa"/>
              <w:right w:w="15" w:type="dxa"/>
            </w:tcMar>
            <w:vAlign w:val="center"/>
          </w:tcPr>
          <w:p w14:paraId="7B0208A5" w14:textId="3E836881" w:rsidR="002D7B08" w:rsidRPr="00115F4D" w:rsidRDefault="00E42F3C">
            <w:pPr>
              <w:spacing w:before="24" w:after="0"/>
              <w:rPr>
                <w:rStyle w:val="Hipervnculo"/>
                <w:rFonts w:ascii="Arial" w:eastAsia="Calibri Light" w:hAnsi="Arial" w:cs="Arial"/>
                <w:sz w:val="20"/>
                <w:szCs w:val="20"/>
              </w:rPr>
            </w:pPr>
            <w:hyperlink r:id="rId63" w:history="1">
              <w:r w:rsidR="002D7B08" w:rsidRPr="00115F4D">
                <w:rPr>
                  <w:rStyle w:val="Hipervnculo"/>
                  <w:rFonts w:ascii="Arial" w:hAnsi="Arial" w:cs="Arial"/>
                  <w:sz w:val="20"/>
                  <w:szCs w:val="20"/>
                </w:rPr>
                <w:t>Creg217-2015</w:t>
              </w:r>
            </w:hyperlink>
          </w:p>
        </w:tc>
        <w:tc>
          <w:tcPr>
            <w:tcW w:w="1984" w:type="dxa"/>
            <w:tcBorders>
              <w:top w:val="nil"/>
              <w:left w:val="nil"/>
              <w:bottom w:val="single" w:sz="4" w:space="0" w:color="auto"/>
              <w:right w:val="nil"/>
            </w:tcBorders>
            <w:tcMar>
              <w:top w:w="15" w:type="dxa"/>
              <w:left w:w="15" w:type="dxa"/>
              <w:right w:w="15" w:type="dxa"/>
            </w:tcMar>
            <w:vAlign w:val="center"/>
          </w:tcPr>
          <w:p w14:paraId="18129F73" w14:textId="77777777" w:rsidR="002D7B08" w:rsidRPr="00115F4D" w:rsidRDefault="002D7B08">
            <w:pPr>
              <w:spacing w:before="24" w:after="0"/>
              <w:rPr>
                <w:rFonts w:ascii="Arial" w:eastAsia="Calibri Light" w:hAnsi="Arial" w:cs="Arial"/>
                <w:color w:val="000000" w:themeColor="text1"/>
                <w:sz w:val="20"/>
                <w:szCs w:val="20"/>
              </w:rPr>
            </w:pPr>
            <w:r w:rsidRPr="00115F4D">
              <w:rPr>
                <w:rFonts w:ascii="Arial" w:hAnsi="Arial" w:cs="Arial"/>
                <w:color w:val="000000"/>
                <w:sz w:val="20"/>
                <w:szCs w:val="20"/>
              </w:rPr>
              <w:t>CHEC</w:t>
            </w:r>
          </w:p>
        </w:tc>
        <w:tc>
          <w:tcPr>
            <w:tcW w:w="2410" w:type="dxa"/>
            <w:tcBorders>
              <w:top w:val="nil"/>
              <w:left w:val="nil"/>
              <w:bottom w:val="single" w:sz="4" w:space="0" w:color="auto"/>
              <w:right w:val="nil"/>
            </w:tcBorders>
            <w:vAlign w:val="center"/>
          </w:tcPr>
          <w:p w14:paraId="1D7BBBD9" w14:textId="77777777" w:rsidR="002D7B08" w:rsidRPr="00115F4D" w:rsidRDefault="002D7B08">
            <w:pPr>
              <w:spacing w:before="24" w:after="0"/>
              <w:jc w:val="center"/>
              <w:rPr>
                <w:rFonts w:ascii="Arial" w:eastAsia="Calibri Light" w:hAnsi="Arial" w:cs="Arial"/>
                <w:color w:val="000000" w:themeColor="text1"/>
                <w:sz w:val="20"/>
                <w:szCs w:val="20"/>
              </w:rPr>
            </w:pPr>
            <w:r w:rsidRPr="00115F4D">
              <w:rPr>
                <w:rFonts w:ascii="Arial" w:hAnsi="Arial" w:cs="Arial"/>
                <w:color w:val="000000"/>
                <w:sz w:val="20"/>
                <w:szCs w:val="20"/>
              </w:rPr>
              <w:t>0.00%</w:t>
            </w:r>
          </w:p>
        </w:tc>
      </w:tr>
    </w:tbl>
    <w:p w14:paraId="2A9598D3" w14:textId="75B51B0C" w:rsidR="00892A01" w:rsidRPr="00115F4D" w:rsidRDefault="00892A01" w:rsidP="00892A01">
      <w:pPr>
        <w:spacing w:before="120"/>
        <w:jc w:val="both"/>
        <w:rPr>
          <w:rFonts w:ascii="Arial" w:hAnsi="Arial" w:cs="Arial"/>
          <w:sz w:val="18"/>
          <w:szCs w:val="18"/>
        </w:rPr>
      </w:pPr>
      <w:r w:rsidRPr="00115F4D">
        <w:rPr>
          <w:rFonts w:ascii="Arial" w:hAnsi="Arial" w:cs="Arial"/>
          <w:sz w:val="18"/>
          <w:szCs w:val="18"/>
        </w:rPr>
        <w:t xml:space="preserve">Notas: Debido a que en DISPAC, CARIBEMAR, AIRE y CEO el valor aprobado fue mayor o igual a 10,0%, el </w:t>
      </w:r>
      <w:r w:rsidRPr="00115F4D">
        <w:rPr>
          <w:rFonts w:ascii="Arial" w:hAnsi="Arial" w:cs="Arial"/>
          <w:i/>
          <w:iCs/>
          <w:sz w:val="18"/>
          <w:szCs w:val="18"/>
        </w:rPr>
        <w:t>RCAE</w:t>
      </w:r>
      <w:r w:rsidRPr="00115F4D">
        <w:rPr>
          <w:rFonts w:ascii="Arial" w:hAnsi="Arial" w:cs="Arial"/>
          <w:sz w:val="18"/>
          <w:szCs w:val="18"/>
        </w:rPr>
        <w:t xml:space="preserve"> disminuyo 0,05 hasta el año 5, luego de entrar en vigor la metodología.​ Por otro lado, en la información entregada por CELSIA y EMCALI relacionada con la circular 023 de 2023, estos comercializadores manifestaron no contar con áreas especiales.</w:t>
      </w:r>
    </w:p>
    <w:p w14:paraId="406A0F3F" w14:textId="4265B88D" w:rsidR="00374A11" w:rsidRDefault="00851A7B" w:rsidP="00C00C77">
      <w:pPr>
        <w:pStyle w:val="Ttulo3"/>
        <w:numPr>
          <w:ilvl w:val="2"/>
          <w:numId w:val="15"/>
        </w:numPr>
      </w:pPr>
      <w:bookmarkStart w:id="14" w:name="_Toc165037321"/>
      <w:r>
        <w:t>Costos financieros</w:t>
      </w:r>
      <w:bookmarkEnd w:id="14"/>
    </w:p>
    <w:p w14:paraId="1B391343" w14:textId="737777FC" w:rsidR="00851A7B" w:rsidRPr="00115F4D" w:rsidRDefault="00851A7B" w:rsidP="00851A7B">
      <w:pPr>
        <w:jc w:val="both"/>
        <w:rPr>
          <w:rFonts w:ascii="Arial" w:hAnsi="Arial" w:cs="Arial"/>
        </w:rPr>
      </w:pPr>
      <w:r w:rsidRPr="00115F4D">
        <w:rPr>
          <w:rFonts w:ascii="Arial" w:hAnsi="Arial" w:cs="Arial"/>
        </w:rPr>
        <w:t xml:space="preserve">La actividad de comercialización de energía eléctrica a usuarios regulados se enfrenta a costos y beneficios financieros derivados de la tenencia o no de los recursos financieros para cumplir con las obligaciones a otros agentes, y cubrir los propios costos de realizar la actividad. La metodología de la </w:t>
      </w:r>
      <w:r>
        <w:rPr>
          <w:rFonts w:ascii="Arial" w:hAnsi="Arial" w:cs="Arial"/>
        </w:rPr>
        <w:t>R</w:t>
      </w:r>
      <w:r w:rsidRPr="00115F4D">
        <w:rPr>
          <w:rFonts w:ascii="Arial" w:hAnsi="Arial" w:cs="Arial"/>
        </w:rPr>
        <w:t>esolución CREG 180 de 2014, contiene la variable de costo financieros (CFE). Esta variable remunera los costos financieros asociados a los ciclos de facturación de la actividad, así como los ocasionados por el tiempo transcurrido desde el vencimiento de la factura hasta la fecha del giro de los déficits de subsidios a las empresas comercializadoras.</w:t>
      </w:r>
    </w:p>
    <w:p w14:paraId="77A4C1CF" w14:textId="5C0BDA0E" w:rsidR="00851A7B" w:rsidRPr="00115F4D" w:rsidRDefault="00851A7B" w:rsidP="00851A7B">
      <w:pPr>
        <w:jc w:val="both"/>
        <w:rPr>
          <w:rFonts w:ascii="Arial" w:hAnsi="Arial" w:cs="Arial"/>
        </w:rPr>
      </w:pPr>
      <w:r w:rsidRPr="00115F4D">
        <w:rPr>
          <w:rFonts w:ascii="Arial" w:hAnsi="Arial" w:cs="Arial"/>
        </w:rPr>
        <w:t>De acuerdo con la regulación vigente el CFE se compone de una parte fija y una variable. El componente fijo (CFC) fue establecido a través de la metodología de modelación contenida en el Documento D-020-12 y remunera los costos financieros asociados al ciclo de efectivo. Mientras que el componente variable (CFS) corresponde al costo financiero en el que los comercializadores de energía eléctrica incurren para cubrir los subsidios de energía en los mercados deficitarios hasta que se realiza el giro de los recursos.</w:t>
      </w:r>
    </w:p>
    <w:p w14:paraId="793EEA4C" w14:textId="6365CC02" w:rsidR="00851A7B" w:rsidRPr="001E21BF" w:rsidRDefault="0082669E" w:rsidP="00C00C77">
      <w:pPr>
        <w:pStyle w:val="Prrafodelista"/>
        <w:numPr>
          <w:ilvl w:val="3"/>
          <w:numId w:val="15"/>
        </w:numPr>
        <w:jc w:val="both"/>
        <w:rPr>
          <w:rFonts w:ascii="Arial" w:hAnsi="Arial" w:cs="Arial"/>
          <w:b/>
        </w:rPr>
      </w:pPr>
      <w:r w:rsidRPr="001E21BF">
        <w:rPr>
          <w:rFonts w:ascii="Arial" w:hAnsi="Arial" w:cs="Arial"/>
          <w:b/>
        </w:rPr>
        <w:t>Costo financiero del ciclo efectivo</w:t>
      </w:r>
    </w:p>
    <w:p w14:paraId="7718948C" w14:textId="3543D95F" w:rsidR="0082669E" w:rsidRPr="00115F4D" w:rsidRDefault="0082669E" w:rsidP="0082669E">
      <w:pPr>
        <w:autoSpaceDE w:val="0"/>
        <w:autoSpaceDN w:val="0"/>
        <w:adjustRightInd w:val="0"/>
        <w:spacing w:before="0" w:after="0"/>
        <w:jc w:val="both"/>
        <w:rPr>
          <w:rFonts w:ascii="Arial" w:hAnsi="Arial" w:cs="Arial"/>
        </w:rPr>
      </w:pPr>
      <w:r w:rsidRPr="00115F4D">
        <w:rPr>
          <w:rFonts w:ascii="Arial" w:hAnsi="Arial" w:cs="Arial"/>
        </w:rPr>
        <w:t>En el Anexo 6 del documento D-020-12 se presentó el análisis de los costos financieros asociados al ciclo de efectivo de la actividad de comercialización de energía eléctrica a usuarios regulados, en especial los costos derivados de la publicación, aplicación y el cobro de tarifas de acuerdo con los posibles ciclos de facturación. De este análisis se concluyó que los comercializadores se enfrentaban, en promedio, a un costo financiero de 0,071%. Dicho costo financiero fue actualizado a 0,042% en el Documento D-100-14 teniendo en cuenta los valores de las tasas de captación y colocación publicados por el Banco de la Republica.</w:t>
      </w:r>
    </w:p>
    <w:p w14:paraId="7E4EFCE5" w14:textId="1D6043F4" w:rsidR="0082669E" w:rsidRPr="001A5F01" w:rsidRDefault="00E448A2" w:rsidP="00C00C77">
      <w:pPr>
        <w:pStyle w:val="Prrafodelista"/>
        <w:numPr>
          <w:ilvl w:val="3"/>
          <w:numId w:val="15"/>
        </w:numPr>
        <w:jc w:val="both"/>
        <w:rPr>
          <w:rFonts w:ascii="Arial" w:hAnsi="Arial" w:cs="Arial"/>
          <w:b/>
        </w:rPr>
      </w:pPr>
      <w:r w:rsidRPr="001A5F01">
        <w:rPr>
          <w:rFonts w:ascii="Arial" w:hAnsi="Arial" w:cs="Arial"/>
          <w:b/>
        </w:rPr>
        <w:t>Costo financiero del giro de subsidios</w:t>
      </w:r>
    </w:p>
    <w:p w14:paraId="137CB822" w14:textId="77777777" w:rsidR="00580476" w:rsidRPr="00580476" w:rsidRDefault="00580476" w:rsidP="002C1CED">
      <w:pPr>
        <w:jc w:val="both"/>
        <w:rPr>
          <w:rFonts w:ascii="Arial" w:hAnsi="Arial" w:cs="Arial"/>
        </w:rPr>
      </w:pPr>
      <w:r w:rsidRPr="00580476">
        <w:rPr>
          <w:rFonts w:ascii="Arial" w:hAnsi="Arial" w:cs="Arial"/>
        </w:rPr>
        <w:t xml:space="preserve">Una parte del flujo de caja de la actividad de comercialización de energía eléctrica a usuarios regulados proviene del giro de subsidios por parte del Gobierno Nacional, por tanto, existe un costo o beneficio financiero, generado por el retraso o adelanto en los giros causados por déficits en los saldos conciliados de subsidios y contribuciones. </w:t>
      </w:r>
    </w:p>
    <w:p w14:paraId="32B09EA9" w14:textId="77777777" w:rsidR="00580476" w:rsidRPr="00580476" w:rsidRDefault="00580476" w:rsidP="002C1CED">
      <w:pPr>
        <w:jc w:val="both"/>
        <w:rPr>
          <w:rFonts w:ascii="Arial" w:hAnsi="Arial" w:cs="Arial"/>
        </w:rPr>
      </w:pPr>
      <w:r w:rsidRPr="00580476">
        <w:rPr>
          <w:rFonts w:ascii="Arial" w:hAnsi="Arial" w:cs="Arial"/>
        </w:rPr>
        <w:t xml:space="preserve">El Costo financiero asociado al giro de subsidios CFS, se compone de dos partes, la primera parte corresponde al costo de financiación reconocido para aquellos giros de subsidios que se pagan después de terminar el trimestre en el cual los subsidios fueron causados. El costo </w:t>
      </w:r>
      <w:r w:rsidRPr="00580476">
        <w:rPr>
          <w:rFonts w:ascii="Arial" w:hAnsi="Arial" w:cs="Arial"/>
        </w:rPr>
        <w:lastRenderedPageBreak/>
        <w:t xml:space="preserve">de oportunidad (r1) reconocido para esta primera parte es el promedio ponderado de las tasas de interés preferencial o corporativo de los créditos comerciales, vigente desde el segundo mes del último trimestre y hasta el mes anterior al mes de giro del subsidio por parte del Ministerio de Minas. </w:t>
      </w:r>
    </w:p>
    <w:p w14:paraId="3CC3769D" w14:textId="77777777" w:rsidR="00580476" w:rsidRPr="00580476" w:rsidRDefault="00580476" w:rsidP="002C1CED">
      <w:pPr>
        <w:jc w:val="both"/>
        <w:rPr>
          <w:rFonts w:ascii="Arial" w:hAnsi="Arial" w:cs="Arial"/>
        </w:rPr>
      </w:pPr>
      <w:r w:rsidRPr="00580476">
        <w:rPr>
          <w:rFonts w:ascii="Arial" w:hAnsi="Arial" w:cs="Arial"/>
        </w:rPr>
        <w:t>Mientras que la segunda parte del CFS reconoce el costo de financiación de aquellos giros de subsidios para los mercados deficitarios que se realizan antes de finalizar el trimestre en el cual se causa el subsidio. El costo de oportunidad (r2) reconocido para estos casos es calculado como el promedio ponderado de las tasas de interés de los certificados de ahorro a término (CDAT), vigentes desde el segundo mes del último trimestre y hasta el mes anterior al mes de giro del subsidio por parte del Ministerio de Minas y Energía.</w:t>
      </w:r>
    </w:p>
    <w:p w14:paraId="31AA27DF" w14:textId="77777777" w:rsidR="00580476" w:rsidRPr="00580476" w:rsidRDefault="00580476" w:rsidP="002C1CED">
      <w:pPr>
        <w:jc w:val="both"/>
        <w:rPr>
          <w:rFonts w:ascii="Arial" w:hAnsi="Arial" w:cs="Arial"/>
        </w:rPr>
      </w:pPr>
      <w:r w:rsidRPr="00580476">
        <w:rPr>
          <w:rFonts w:ascii="Arial" w:hAnsi="Arial" w:cs="Arial"/>
        </w:rPr>
        <w:t>Con respecto a los subsidios para los cuales se les ha reconocido un costo de financiación se estableció que entre el 1 de enero de 2016 y el 2 de junio de 2022 el MME ha girado subsidios por valor de $13,4 billones de pesos</w:t>
      </w:r>
      <w:r w:rsidRPr="00115F4D">
        <w:rPr>
          <w:rStyle w:val="Refdenotaalpie"/>
          <w:rFonts w:ascii="Arial" w:hAnsi="Arial" w:cs="Arial"/>
        </w:rPr>
        <w:footnoteReference w:id="2"/>
      </w:r>
      <w:r w:rsidRPr="00580476">
        <w:rPr>
          <w:rFonts w:ascii="Arial" w:hAnsi="Arial" w:cs="Arial"/>
        </w:rPr>
        <w:t xml:space="preserve">. El 77% de este valor corresponde a subsidios reconocidos una vez finaliza el trimestre, mientras que el 23% restante corresponde a subsidios reconocidos durante el trimestre. </w:t>
      </w:r>
    </w:p>
    <w:p w14:paraId="67C870BF" w14:textId="77777777" w:rsidR="00580476" w:rsidRPr="00580476" w:rsidRDefault="00580476" w:rsidP="002C1CED">
      <w:pPr>
        <w:jc w:val="both"/>
        <w:rPr>
          <w:rFonts w:ascii="Arial" w:hAnsi="Arial" w:cs="Arial"/>
        </w:rPr>
      </w:pPr>
      <w:r w:rsidRPr="00580476">
        <w:rPr>
          <w:rFonts w:ascii="Arial" w:hAnsi="Arial" w:cs="Arial"/>
        </w:rPr>
        <w:t>Igualmente, se estableció que en promedio</w:t>
      </w:r>
      <w:r w:rsidRPr="00115F4D">
        <w:rPr>
          <w:rStyle w:val="Refdenotaalpie"/>
          <w:rFonts w:ascii="Arial" w:hAnsi="Arial" w:cs="Arial"/>
        </w:rPr>
        <w:footnoteReference w:id="3"/>
      </w:r>
      <w:r w:rsidRPr="00580476">
        <w:rPr>
          <w:rFonts w:ascii="Arial" w:hAnsi="Arial" w:cs="Arial"/>
        </w:rPr>
        <w:t xml:space="preserve"> los giros de subsidios toman cuatro meses en ser autorizados por el MME una vez finaliza el trimestre. Al desagregar la duración en el pago de subsidios entre aquellos reconocidos antes de finalizar el trimestre y una vez finalizado el trimestre y realizar un promedio ponderado para cada segmento, se encontró que los giros de subsidios pagados antes de finalizar el trimestre se realizan con un mes de antelación. Mientras que los giros realizados después de finalizar el trimestre tomaron en promedio 2,7 meses.</w:t>
      </w:r>
    </w:p>
    <w:p w14:paraId="70789A14" w14:textId="5ACA7797" w:rsidR="00374A11" w:rsidRPr="00851DBD" w:rsidRDefault="00580476" w:rsidP="002C1CED">
      <w:pPr>
        <w:jc w:val="both"/>
        <w:rPr>
          <w:rFonts w:ascii="Arial" w:hAnsi="Arial" w:cs="Arial"/>
        </w:rPr>
      </w:pPr>
      <w:r w:rsidRPr="00580476">
        <w:rPr>
          <w:rFonts w:ascii="Arial" w:hAnsi="Arial" w:cs="Arial"/>
        </w:rPr>
        <w:t>En cuanto al porcentaje de destinación de subsidios de acuerdo con el mercado de comercialización, se encontró que aproximadamente el 38% de los giros de subsidios autorizados por el MME con recursos provenientes del Presupuesto General de la Nación fueron destinados para el mercado de Electricaribe, actualmente Afinia y Air-e. El 10% de los giros fue destinado al mercado de Antioquia. Mientras que para los mercados de Codensa y Norte de Santander, se destinó un 6% para cada uno de estos mercados</w:t>
      </w:r>
      <w:r w:rsidR="00DC1E44">
        <w:rPr>
          <w:rFonts w:ascii="Arial" w:hAnsi="Arial" w:cs="Arial"/>
        </w:rPr>
        <w:t>.</w:t>
      </w:r>
    </w:p>
    <w:p w14:paraId="4A0819BB" w14:textId="1891F815" w:rsidR="00B211F9" w:rsidRPr="00416EB1" w:rsidRDefault="009853A6" w:rsidP="00C00C77">
      <w:pPr>
        <w:pStyle w:val="Ttulo2"/>
        <w:numPr>
          <w:ilvl w:val="1"/>
          <w:numId w:val="15"/>
        </w:numPr>
      </w:pPr>
      <w:bookmarkStart w:id="15" w:name="_Toc165037322"/>
      <w:r>
        <w:t>Estructura de</w:t>
      </w:r>
      <w:r w:rsidR="00F003C9">
        <w:t xml:space="preserve"> los c</w:t>
      </w:r>
      <w:r w:rsidR="00B211F9">
        <w:t>omponentes</w:t>
      </w:r>
      <w:r w:rsidR="00B211F9" w:rsidRPr="00416EB1">
        <w:t xml:space="preserve"> de comercialización</w:t>
      </w:r>
      <w:bookmarkEnd w:id="15"/>
      <w:r w:rsidR="00B211F9">
        <w:t xml:space="preserve"> </w:t>
      </w:r>
    </w:p>
    <w:p w14:paraId="0B1227A7" w14:textId="22851D02" w:rsidR="00E83A6D" w:rsidRDefault="00F003C9" w:rsidP="00AF0A6D">
      <w:pPr>
        <w:jc w:val="both"/>
        <w:rPr>
          <w:rFonts w:ascii="Arial" w:hAnsi="Arial" w:cs="Arial"/>
        </w:rPr>
      </w:pPr>
      <w:r>
        <w:rPr>
          <w:rFonts w:ascii="Arial" w:hAnsi="Arial" w:cs="Arial"/>
        </w:rPr>
        <w:t>E</w:t>
      </w:r>
      <w:r w:rsidRPr="009163A6">
        <w:rPr>
          <w:rFonts w:ascii="Arial" w:hAnsi="Arial" w:cs="Arial"/>
        </w:rPr>
        <w:t xml:space="preserve">n la </w:t>
      </w:r>
      <w:r w:rsidR="009163A6" w:rsidRPr="009163A6">
        <w:rPr>
          <w:rFonts w:ascii="Arial" w:hAnsi="Arial" w:cs="Arial"/>
          <w:highlight w:val="yellow"/>
        </w:rPr>
        <w:fldChar w:fldCharType="begin"/>
      </w:r>
      <w:r w:rsidR="009163A6" w:rsidRPr="009163A6">
        <w:rPr>
          <w:rFonts w:ascii="Arial" w:hAnsi="Arial" w:cs="Arial"/>
        </w:rPr>
        <w:instrText xml:space="preserve"> REF _Ref164888314 \h </w:instrText>
      </w:r>
      <w:r w:rsidR="009163A6" w:rsidRPr="009163A6">
        <w:rPr>
          <w:rFonts w:ascii="Arial" w:hAnsi="Arial" w:cs="Arial"/>
          <w:highlight w:val="yellow"/>
        </w:rPr>
        <w:instrText xml:space="preserve"> \* MERGEFORMAT </w:instrText>
      </w:r>
      <w:r w:rsidR="009163A6" w:rsidRPr="009163A6">
        <w:rPr>
          <w:rFonts w:ascii="Arial" w:hAnsi="Arial" w:cs="Arial"/>
          <w:highlight w:val="yellow"/>
        </w:rPr>
      </w:r>
      <w:r w:rsidR="009163A6" w:rsidRPr="009163A6">
        <w:rPr>
          <w:rFonts w:ascii="Arial" w:hAnsi="Arial" w:cs="Arial"/>
          <w:highlight w:val="yellow"/>
        </w:rPr>
        <w:fldChar w:fldCharType="separate"/>
      </w:r>
      <w:r w:rsidR="002A641D" w:rsidRPr="002A641D">
        <w:rPr>
          <w:rFonts w:ascii="Arial" w:hAnsi="Arial" w:cs="Arial"/>
        </w:rPr>
        <w:t xml:space="preserve">Figura </w:t>
      </w:r>
      <w:r w:rsidR="002A641D" w:rsidRPr="002A641D">
        <w:rPr>
          <w:rFonts w:ascii="Arial" w:hAnsi="Arial" w:cs="Arial"/>
          <w:noProof/>
        </w:rPr>
        <w:t>3</w:t>
      </w:r>
      <w:r w:rsidR="009163A6" w:rsidRPr="009163A6">
        <w:rPr>
          <w:rFonts w:ascii="Arial" w:hAnsi="Arial" w:cs="Arial"/>
          <w:highlight w:val="yellow"/>
        </w:rPr>
        <w:fldChar w:fldCharType="end"/>
      </w:r>
      <w:r w:rsidR="009163A6" w:rsidRPr="009163A6">
        <w:rPr>
          <w:rFonts w:ascii="Arial" w:hAnsi="Arial" w:cs="Arial"/>
        </w:rPr>
        <w:t xml:space="preserve"> </w:t>
      </w:r>
      <w:r w:rsidRPr="009163A6">
        <w:rPr>
          <w:rFonts w:ascii="Arial" w:hAnsi="Arial" w:cs="Arial"/>
        </w:rPr>
        <w:t>se presen</w:t>
      </w:r>
      <w:r>
        <w:rPr>
          <w:rFonts w:ascii="Arial" w:hAnsi="Arial" w:cs="Arial"/>
        </w:rPr>
        <w:t xml:space="preserve">ta la estructura de los </w:t>
      </w:r>
      <w:r w:rsidR="006B39B1">
        <w:rPr>
          <w:rFonts w:ascii="Arial" w:hAnsi="Arial" w:cs="Arial"/>
        </w:rPr>
        <w:t>diferentes</w:t>
      </w:r>
      <w:r>
        <w:rPr>
          <w:rFonts w:ascii="Arial" w:hAnsi="Arial" w:cs="Arial"/>
        </w:rPr>
        <w:t xml:space="preserve"> </w:t>
      </w:r>
      <w:r w:rsidR="006B39B1">
        <w:rPr>
          <w:rFonts w:ascii="Arial" w:hAnsi="Arial" w:cs="Arial"/>
        </w:rPr>
        <w:t>componentes</w:t>
      </w:r>
      <w:r>
        <w:rPr>
          <w:rFonts w:ascii="Arial" w:hAnsi="Arial" w:cs="Arial"/>
        </w:rPr>
        <w:t xml:space="preserve"> de</w:t>
      </w:r>
      <w:r w:rsidR="006B39B1">
        <w:rPr>
          <w:rFonts w:ascii="Arial" w:hAnsi="Arial" w:cs="Arial"/>
        </w:rPr>
        <w:t xml:space="preserve"> comercialización y su peso dentro de la remuneración</w:t>
      </w:r>
      <w:r w:rsidR="002D2AF4">
        <w:rPr>
          <w:rFonts w:ascii="Arial" w:hAnsi="Arial" w:cs="Arial"/>
        </w:rPr>
        <w:t xml:space="preserve"> del C</w:t>
      </w:r>
      <w:r w:rsidR="006B39B1">
        <w:rPr>
          <w:rFonts w:ascii="Arial" w:hAnsi="Arial" w:cs="Arial"/>
        </w:rPr>
        <w:t>.</w:t>
      </w:r>
    </w:p>
    <w:p w14:paraId="05795DFC" w14:textId="5D28608A" w:rsidR="006B39B1" w:rsidRDefault="006B39B1" w:rsidP="00AF0A6D">
      <w:pPr>
        <w:jc w:val="both"/>
        <w:rPr>
          <w:rFonts w:ascii="Arial" w:hAnsi="Arial" w:cs="Arial"/>
        </w:rPr>
      </w:pPr>
      <w:r>
        <w:rPr>
          <w:rFonts w:ascii="Arial" w:hAnsi="Arial" w:cs="Arial"/>
        </w:rPr>
        <w:t>De esta se observa que el costo base de comercialización pesa alrededor del 70%</w:t>
      </w:r>
      <w:r w:rsidR="006A4323">
        <w:rPr>
          <w:rFonts w:ascii="Arial" w:hAnsi="Arial" w:cs="Arial"/>
        </w:rPr>
        <w:t xml:space="preserve"> del C, mientras que el margen </w:t>
      </w:r>
      <w:r w:rsidR="002D2AF4">
        <w:rPr>
          <w:rFonts w:ascii="Arial" w:hAnsi="Arial" w:cs="Arial"/>
        </w:rPr>
        <w:t>operacional</w:t>
      </w:r>
      <w:r w:rsidR="006A4323">
        <w:rPr>
          <w:rFonts w:ascii="Arial" w:hAnsi="Arial" w:cs="Arial"/>
        </w:rPr>
        <w:t xml:space="preserve">, el riesgo de </w:t>
      </w:r>
      <w:r w:rsidR="448792DA" w:rsidRPr="1B6A5966">
        <w:rPr>
          <w:rFonts w:ascii="Arial" w:hAnsi="Arial" w:cs="Arial"/>
        </w:rPr>
        <w:t>cartera</w:t>
      </w:r>
      <w:r w:rsidR="006A4323">
        <w:rPr>
          <w:rFonts w:ascii="Arial" w:hAnsi="Arial" w:cs="Arial"/>
        </w:rPr>
        <w:t xml:space="preserve"> y el ciclo deflujo efectivo e</w:t>
      </w:r>
      <w:r w:rsidR="002D2AF4">
        <w:rPr>
          <w:rFonts w:ascii="Arial" w:hAnsi="Arial" w:cs="Arial"/>
        </w:rPr>
        <w:t>l 30% restante.</w:t>
      </w:r>
    </w:p>
    <w:p w14:paraId="35D02CC8" w14:textId="14DD913E" w:rsidR="00E83A6D" w:rsidRDefault="00EE373D" w:rsidP="009163A6">
      <w:pPr>
        <w:spacing w:after="0"/>
        <w:jc w:val="both"/>
        <w:rPr>
          <w:rFonts w:ascii="Arial" w:hAnsi="Arial" w:cs="Arial"/>
        </w:rPr>
      </w:pPr>
      <w:r>
        <w:rPr>
          <w:rFonts w:ascii="Arial" w:hAnsi="Arial" w:cs="Arial"/>
          <w:noProof/>
        </w:rPr>
        <w:lastRenderedPageBreak/>
        <w:drawing>
          <wp:inline distT="0" distB="0" distL="0" distR="0" wp14:anchorId="1E48F70D" wp14:editId="18527D8C">
            <wp:extent cx="5659821" cy="2676797"/>
            <wp:effectExtent l="0" t="0" r="0" b="9525"/>
            <wp:docPr id="2059379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694255" cy="2693083"/>
                    </a:xfrm>
                    <a:prstGeom prst="rect">
                      <a:avLst/>
                    </a:prstGeom>
                    <a:noFill/>
                  </pic:spPr>
                </pic:pic>
              </a:graphicData>
            </a:graphic>
          </wp:inline>
        </w:drawing>
      </w:r>
    </w:p>
    <w:p w14:paraId="13437632" w14:textId="0E1C440A" w:rsidR="009163A6" w:rsidRPr="00115F4D" w:rsidRDefault="009163A6" w:rsidP="009163A6">
      <w:pPr>
        <w:pStyle w:val="Descripcin"/>
        <w:spacing w:after="0"/>
        <w:jc w:val="center"/>
        <w:rPr>
          <w:rFonts w:ascii="Arial" w:hAnsi="Arial" w:cs="Arial"/>
          <w:b/>
          <w:bCs/>
          <w:color w:val="auto"/>
        </w:rPr>
      </w:pPr>
      <w:bookmarkStart w:id="16" w:name="_Ref164888314"/>
      <w:r w:rsidRPr="00115F4D">
        <w:rPr>
          <w:rFonts w:ascii="Arial" w:hAnsi="Arial" w:cs="Arial"/>
          <w:b/>
          <w:bCs/>
          <w:color w:val="auto"/>
        </w:rPr>
        <w:t xml:space="preserve">Figura </w:t>
      </w:r>
      <w:r w:rsidRPr="00115F4D">
        <w:rPr>
          <w:rFonts w:ascii="Arial" w:hAnsi="Arial" w:cs="Arial"/>
          <w:b/>
          <w:bCs/>
          <w:color w:val="auto"/>
        </w:rPr>
        <w:fldChar w:fldCharType="begin"/>
      </w:r>
      <w:r w:rsidRPr="00115F4D">
        <w:rPr>
          <w:rFonts w:ascii="Arial" w:hAnsi="Arial" w:cs="Arial"/>
          <w:b/>
          <w:bCs/>
          <w:color w:val="auto"/>
        </w:rPr>
        <w:instrText xml:space="preserve"> SEQ Figura \* ARABIC </w:instrText>
      </w:r>
      <w:r w:rsidRPr="00115F4D">
        <w:rPr>
          <w:rFonts w:ascii="Arial" w:hAnsi="Arial" w:cs="Arial"/>
          <w:b/>
          <w:bCs/>
          <w:color w:val="auto"/>
        </w:rPr>
        <w:fldChar w:fldCharType="separate"/>
      </w:r>
      <w:r w:rsidR="002A641D">
        <w:rPr>
          <w:rFonts w:ascii="Arial" w:hAnsi="Arial" w:cs="Arial"/>
          <w:b/>
          <w:bCs/>
          <w:noProof/>
          <w:color w:val="auto"/>
        </w:rPr>
        <w:t>3</w:t>
      </w:r>
      <w:r w:rsidRPr="00115F4D">
        <w:rPr>
          <w:rFonts w:ascii="Arial" w:hAnsi="Arial" w:cs="Arial"/>
          <w:b/>
          <w:bCs/>
          <w:color w:val="auto"/>
        </w:rPr>
        <w:fldChar w:fldCharType="end"/>
      </w:r>
      <w:bookmarkEnd w:id="16"/>
      <w:r>
        <w:rPr>
          <w:rFonts w:ascii="Arial" w:hAnsi="Arial" w:cs="Arial"/>
          <w:b/>
          <w:bCs/>
          <w:color w:val="auto"/>
        </w:rPr>
        <w:t xml:space="preserve"> Estructura del componente de comercialización.</w:t>
      </w:r>
    </w:p>
    <w:p w14:paraId="1E1A0813" w14:textId="78BECFCD" w:rsidR="009163A6" w:rsidRPr="00A62AA5" w:rsidRDefault="009163A6" w:rsidP="009163A6">
      <w:pPr>
        <w:pStyle w:val="Descripcin"/>
        <w:jc w:val="center"/>
        <w:rPr>
          <w:rFonts w:ascii="Arial" w:hAnsi="Arial" w:cs="Arial"/>
          <w:b/>
          <w:bCs/>
          <w:color w:val="auto"/>
        </w:rPr>
      </w:pPr>
      <w:r w:rsidRPr="00A62AA5">
        <w:rPr>
          <w:rFonts w:ascii="Arial" w:hAnsi="Arial" w:cs="Arial"/>
          <w:b/>
          <w:bCs/>
          <w:color w:val="auto"/>
        </w:rPr>
        <w:t xml:space="preserve">Fuente: </w:t>
      </w:r>
      <w:r>
        <w:rPr>
          <w:rFonts w:ascii="Arial" w:hAnsi="Arial" w:cs="Arial"/>
          <w:b/>
          <w:bCs/>
          <w:color w:val="auto"/>
        </w:rPr>
        <w:t>Elaboración propia con información del SUI</w:t>
      </w:r>
    </w:p>
    <w:p w14:paraId="1BA8AA3F" w14:textId="58BD7E47" w:rsidR="00126923" w:rsidRPr="00115F4D" w:rsidRDefault="00B16F00" w:rsidP="007B0556">
      <w:pPr>
        <w:pStyle w:val="Ttulo1"/>
      </w:pPr>
      <w:bookmarkStart w:id="17" w:name="_Toc165037323"/>
      <w:r w:rsidRPr="00115F4D">
        <w:t>DEFINICIÓN DEL PROBLEMA</w:t>
      </w:r>
      <w:bookmarkEnd w:id="17"/>
    </w:p>
    <w:p w14:paraId="0282DB73" w14:textId="13C7C29B" w:rsidR="00575202" w:rsidRPr="00115F4D" w:rsidRDefault="00802985" w:rsidP="00297841">
      <w:pPr>
        <w:jc w:val="both"/>
        <w:rPr>
          <w:rFonts w:ascii="Arial" w:hAnsi="Arial" w:cs="Arial"/>
        </w:rPr>
      </w:pPr>
      <w:r w:rsidRPr="00115F4D">
        <w:rPr>
          <w:rFonts w:ascii="Arial" w:hAnsi="Arial" w:cs="Arial"/>
        </w:rPr>
        <w:t xml:space="preserve">El documento CREG </w:t>
      </w:r>
      <w:r w:rsidR="0071466A" w:rsidRPr="00115F4D">
        <w:rPr>
          <w:rFonts w:ascii="Arial" w:hAnsi="Arial" w:cs="Arial"/>
        </w:rPr>
        <w:t>D-</w:t>
      </w:r>
      <w:r w:rsidR="003379A3" w:rsidRPr="00115F4D">
        <w:rPr>
          <w:rFonts w:ascii="Arial" w:hAnsi="Arial" w:cs="Arial"/>
        </w:rPr>
        <w:t>1</w:t>
      </w:r>
      <w:r w:rsidRPr="00115F4D">
        <w:rPr>
          <w:rFonts w:ascii="Arial" w:hAnsi="Arial" w:cs="Arial"/>
        </w:rPr>
        <w:t>10</w:t>
      </w:r>
      <w:r w:rsidR="0071466A" w:rsidRPr="00115F4D">
        <w:rPr>
          <w:rFonts w:ascii="Arial" w:hAnsi="Arial" w:cs="Arial"/>
        </w:rPr>
        <w:t>-</w:t>
      </w:r>
      <w:r w:rsidRPr="00115F4D">
        <w:rPr>
          <w:rFonts w:ascii="Arial" w:hAnsi="Arial" w:cs="Arial"/>
        </w:rPr>
        <w:t>2019</w:t>
      </w:r>
      <w:r w:rsidR="003379A3" w:rsidRPr="00115F4D">
        <w:rPr>
          <w:rFonts w:ascii="Arial" w:hAnsi="Arial" w:cs="Arial"/>
        </w:rPr>
        <w:t xml:space="preserve">, publicado en la </w:t>
      </w:r>
      <w:r w:rsidR="002756F3" w:rsidRPr="00115F4D">
        <w:rPr>
          <w:rFonts w:ascii="Arial" w:hAnsi="Arial" w:cs="Arial"/>
        </w:rPr>
        <w:t>Resolución CREG 155 de 2019</w:t>
      </w:r>
      <w:r w:rsidR="003379A3" w:rsidRPr="00115F4D">
        <w:rPr>
          <w:rFonts w:ascii="Arial" w:hAnsi="Arial" w:cs="Arial"/>
        </w:rPr>
        <w:t>,</w:t>
      </w:r>
      <w:r w:rsidRPr="00115F4D">
        <w:rPr>
          <w:rFonts w:ascii="Arial" w:hAnsi="Arial" w:cs="Arial"/>
        </w:rPr>
        <w:t xml:space="preserve"> </w:t>
      </w:r>
      <w:r w:rsidR="00575202" w:rsidRPr="00115F4D">
        <w:rPr>
          <w:rFonts w:ascii="Arial" w:hAnsi="Arial" w:cs="Arial"/>
        </w:rPr>
        <w:t xml:space="preserve">identificó que la metodología </w:t>
      </w:r>
      <w:r w:rsidR="00297841" w:rsidRPr="00115F4D">
        <w:rPr>
          <w:rFonts w:ascii="Arial" w:hAnsi="Arial" w:cs="Arial"/>
        </w:rPr>
        <w:t>para</w:t>
      </w:r>
      <w:r w:rsidR="00575202" w:rsidRPr="00115F4D">
        <w:rPr>
          <w:rFonts w:ascii="Arial" w:hAnsi="Arial" w:cs="Arial"/>
        </w:rPr>
        <w:t xml:space="preserve"> </w:t>
      </w:r>
      <w:r w:rsidR="00FE5845" w:rsidRPr="00115F4D">
        <w:rPr>
          <w:rFonts w:ascii="Arial" w:hAnsi="Arial" w:cs="Arial"/>
        </w:rPr>
        <w:t>la remuneración de la comercialización a usuarios regulados no responde a las nuevas dinámicas del secto</w:t>
      </w:r>
      <w:r w:rsidR="0003161D" w:rsidRPr="00115F4D">
        <w:rPr>
          <w:rFonts w:ascii="Arial" w:hAnsi="Arial" w:cs="Arial"/>
        </w:rPr>
        <w:t xml:space="preserve">r y que, </w:t>
      </w:r>
      <w:r w:rsidR="00575202" w:rsidRPr="00115F4D">
        <w:rPr>
          <w:rFonts w:ascii="Arial" w:hAnsi="Arial" w:cs="Arial"/>
        </w:rPr>
        <w:t>dadas las barreras de entrada existentes en la actividad de comercialización, los comercializadores no tienen incentivos suficientes para realizar una adecuada gestión de los intereses del usuario.</w:t>
      </w:r>
    </w:p>
    <w:p w14:paraId="1A3E95CC" w14:textId="77777777" w:rsidR="00505677" w:rsidRDefault="00505677" w:rsidP="00505677">
      <w:pPr>
        <w:pStyle w:val="Ttulo1"/>
      </w:pPr>
      <w:bookmarkStart w:id="18" w:name="_Toc165037324"/>
      <w:r w:rsidRPr="00E32A30">
        <w:t>CAUSAS</w:t>
      </w:r>
      <w:bookmarkEnd w:id="18"/>
    </w:p>
    <w:p w14:paraId="757DE714" w14:textId="39A03C33" w:rsidR="00505677" w:rsidRPr="00E53EF6" w:rsidRDefault="00EA448D" w:rsidP="00EA448D">
      <w:pPr>
        <w:jc w:val="both"/>
        <w:rPr>
          <w:rFonts w:ascii="Arial" w:hAnsi="Arial" w:cs="Arial"/>
        </w:rPr>
      </w:pPr>
      <w:r w:rsidRPr="00E53EF6">
        <w:rPr>
          <w:rFonts w:ascii="Arial" w:hAnsi="Arial" w:cs="Arial"/>
        </w:rPr>
        <w:t xml:space="preserve">Se pueden identificar como causas de la </w:t>
      </w:r>
      <w:r w:rsidR="004B7502" w:rsidRPr="00E53EF6">
        <w:rPr>
          <w:rFonts w:ascii="Arial" w:hAnsi="Arial" w:cs="Arial"/>
        </w:rPr>
        <w:t>problemática las siguientes:</w:t>
      </w:r>
    </w:p>
    <w:p w14:paraId="63BBBF0E" w14:textId="5B1BABCE" w:rsidR="004B7502" w:rsidRDefault="00E53EF6" w:rsidP="00C00C77">
      <w:pPr>
        <w:pStyle w:val="Prrafodelista"/>
        <w:numPr>
          <w:ilvl w:val="0"/>
          <w:numId w:val="16"/>
        </w:numPr>
        <w:jc w:val="both"/>
        <w:rPr>
          <w:rFonts w:ascii="Arial" w:hAnsi="Arial" w:cs="Arial"/>
        </w:rPr>
      </w:pPr>
      <w:r w:rsidRPr="00E53EF6">
        <w:rPr>
          <w:rFonts w:ascii="Arial" w:hAnsi="Arial" w:cs="Arial"/>
        </w:rPr>
        <w:t>Regulación</w:t>
      </w:r>
      <w:r w:rsidR="00141B05" w:rsidRPr="00E53EF6">
        <w:rPr>
          <w:rFonts w:ascii="Arial" w:hAnsi="Arial" w:cs="Arial"/>
        </w:rPr>
        <w:t xml:space="preserve"> desactualizada que no contemplaba </w:t>
      </w:r>
      <w:r w:rsidR="008E0453">
        <w:rPr>
          <w:rFonts w:ascii="Arial" w:hAnsi="Arial" w:cs="Arial"/>
        </w:rPr>
        <w:t xml:space="preserve">la posibilidad de </w:t>
      </w:r>
      <w:r w:rsidR="00141B05" w:rsidRPr="00E53EF6">
        <w:rPr>
          <w:rFonts w:ascii="Arial" w:hAnsi="Arial" w:cs="Arial"/>
        </w:rPr>
        <w:t>avance</w:t>
      </w:r>
      <w:r w:rsidR="008E0453">
        <w:rPr>
          <w:rFonts w:ascii="Arial" w:hAnsi="Arial" w:cs="Arial"/>
        </w:rPr>
        <w:t>s</w:t>
      </w:r>
      <w:r w:rsidR="00141B05" w:rsidRPr="00E53EF6">
        <w:rPr>
          <w:rFonts w:ascii="Arial" w:hAnsi="Arial" w:cs="Arial"/>
        </w:rPr>
        <w:t xml:space="preserve"> </w:t>
      </w:r>
      <w:r w:rsidRPr="00E53EF6">
        <w:rPr>
          <w:rFonts w:ascii="Arial" w:hAnsi="Arial" w:cs="Arial"/>
        </w:rPr>
        <w:t>tecnológico</w:t>
      </w:r>
      <w:r w:rsidR="008E0453">
        <w:rPr>
          <w:rFonts w:ascii="Arial" w:hAnsi="Arial" w:cs="Arial"/>
        </w:rPr>
        <w:t>s</w:t>
      </w:r>
      <w:r w:rsidRPr="00E53EF6">
        <w:rPr>
          <w:rFonts w:ascii="Arial" w:hAnsi="Arial" w:cs="Arial"/>
        </w:rPr>
        <w:t xml:space="preserve"> en el sector</w:t>
      </w:r>
      <w:r w:rsidR="008E0453">
        <w:rPr>
          <w:rFonts w:ascii="Arial" w:hAnsi="Arial" w:cs="Arial"/>
        </w:rPr>
        <w:t>.</w:t>
      </w:r>
    </w:p>
    <w:p w14:paraId="2B7E1096" w14:textId="0D4AFC94" w:rsidR="008E39C4" w:rsidRDefault="00B30651" w:rsidP="00C00C77">
      <w:pPr>
        <w:pStyle w:val="Prrafodelista"/>
        <w:numPr>
          <w:ilvl w:val="0"/>
          <w:numId w:val="16"/>
        </w:numPr>
        <w:jc w:val="both"/>
        <w:rPr>
          <w:rFonts w:ascii="Arial" w:hAnsi="Arial" w:cs="Arial"/>
        </w:rPr>
      </w:pPr>
      <w:r>
        <w:rPr>
          <w:rFonts w:ascii="Arial" w:hAnsi="Arial" w:cs="Arial"/>
        </w:rPr>
        <w:t>Limitado acceso a la información por parte del usuario</w:t>
      </w:r>
      <w:r w:rsidR="003E2CBA">
        <w:rPr>
          <w:rFonts w:ascii="Arial" w:hAnsi="Arial" w:cs="Arial"/>
        </w:rPr>
        <w:t>.</w:t>
      </w:r>
    </w:p>
    <w:p w14:paraId="50C5C7CA" w14:textId="21DDA586" w:rsidR="00FE4EC2" w:rsidRDefault="004C1CF2" w:rsidP="00C00C77">
      <w:pPr>
        <w:pStyle w:val="Prrafodelista"/>
        <w:numPr>
          <w:ilvl w:val="0"/>
          <w:numId w:val="16"/>
        </w:numPr>
        <w:jc w:val="both"/>
        <w:rPr>
          <w:rFonts w:ascii="Arial" w:hAnsi="Arial" w:cs="Arial"/>
        </w:rPr>
      </w:pPr>
      <w:r>
        <w:rPr>
          <w:rFonts w:ascii="Arial" w:hAnsi="Arial" w:cs="Arial"/>
        </w:rPr>
        <w:t xml:space="preserve">Bajo interés </w:t>
      </w:r>
      <w:r w:rsidR="00EF371F">
        <w:rPr>
          <w:rFonts w:ascii="Arial" w:hAnsi="Arial" w:cs="Arial"/>
        </w:rPr>
        <w:t xml:space="preserve">del comercializador </w:t>
      </w:r>
      <w:r>
        <w:rPr>
          <w:rFonts w:ascii="Arial" w:hAnsi="Arial" w:cs="Arial"/>
        </w:rPr>
        <w:t>por las necesidades del usuario</w:t>
      </w:r>
      <w:r w:rsidR="00A651E0">
        <w:rPr>
          <w:rFonts w:ascii="Arial" w:hAnsi="Arial" w:cs="Arial"/>
        </w:rPr>
        <w:t>.</w:t>
      </w:r>
    </w:p>
    <w:p w14:paraId="512E250E" w14:textId="3FD7A057" w:rsidR="00E53EF6" w:rsidRDefault="002C5D5F" w:rsidP="00C00C77">
      <w:pPr>
        <w:pStyle w:val="Prrafodelista"/>
        <w:numPr>
          <w:ilvl w:val="0"/>
          <w:numId w:val="16"/>
        </w:numPr>
        <w:jc w:val="both"/>
        <w:rPr>
          <w:rFonts w:ascii="Arial" w:hAnsi="Arial" w:cs="Arial"/>
        </w:rPr>
      </w:pPr>
      <w:r>
        <w:rPr>
          <w:rFonts w:ascii="Arial" w:hAnsi="Arial" w:cs="Arial"/>
        </w:rPr>
        <w:t xml:space="preserve">Falta de claridad en las </w:t>
      </w:r>
      <w:r w:rsidR="00DA4B51">
        <w:rPr>
          <w:rFonts w:ascii="Arial" w:hAnsi="Arial" w:cs="Arial"/>
        </w:rPr>
        <w:t>obligaciones</w:t>
      </w:r>
      <w:r>
        <w:rPr>
          <w:rFonts w:ascii="Arial" w:hAnsi="Arial" w:cs="Arial"/>
        </w:rPr>
        <w:t xml:space="preserve"> de calidad comercial </w:t>
      </w:r>
      <w:r w:rsidR="008E39C4">
        <w:rPr>
          <w:rFonts w:ascii="Arial" w:hAnsi="Arial" w:cs="Arial"/>
        </w:rPr>
        <w:t>por parte del comercializador</w:t>
      </w:r>
      <w:r w:rsidR="00A651E0">
        <w:rPr>
          <w:rFonts w:ascii="Arial" w:hAnsi="Arial" w:cs="Arial"/>
        </w:rPr>
        <w:t>.</w:t>
      </w:r>
    </w:p>
    <w:p w14:paraId="631F4C69" w14:textId="0AA96172" w:rsidR="00201F15" w:rsidRPr="00115F4D" w:rsidRDefault="00201F15" w:rsidP="00C00C77">
      <w:pPr>
        <w:pStyle w:val="Prrafodelista"/>
        <w:numPr>
          <w:ilvl w:val="0"/>
          <w:numId w:val="16"/>
        </w:numPr>
        <w:jc w:val="both"/>
        <w:rPr>
          <w:rFonts w:ascii="Arial" w:hAnsi="Arial" w:cs="Arial"/>
        </w:rPr>
      </w:pPr>
      <w:r>
        <w:rPr>
          <w:rFonts w:ascii="Arial" w:hAnsi="Arial" w:cs="Arial"/>
        </w:rPr>
        <w:t xml:space="preserve">Reconocimiento de costos </w:t>
      </w:r>
      <w:r w:rsidR="00E176EA">
        <w:rPr>
          <w:rFonts w:ascii="Arial" w:hAnsi="Arial" w:cs="Arial"/>
        </w:rPr>
        <w:t xml:space="preserve">externos </w:t>
      </w:r>
      <w:r w:rsidR="00542925">
        <w:rPr>
          <w:rFonts w:ascii="Arial" w:hAnsi="Arial" w:cs="Arial"/>
        </w:rPr>
        <w:t>a los</w:t>
      </w:r>
      <w:r>
        <w:rPr>
          <w:rFonts w:ascii="Arial" w:hAnsi="Arial" w:cs="Arial"/>
        </w:rPr>
        <w:t xml:space="preserve"> </w:t>
      </w:r>
      <w:r w:rsidR="00117D7B">
        <w:rPr>
          <w:rFonts w:ascii="Arial" w:hAnsi="Arial" w:cs="Arial"/>
        </w:rPr>
        <w:t>definidos</w:t>
      </w:r>
      <w:r>
        <w:rPr>
          <w:rFonts w:ascii="Arial" w:hAnsi="Arial" w:cs="Arial"/>
        </w:rPr>
        <w:t xml:space="preserve"> </w:t>
      </w:r>
      <w:r w:rsidR="0057012C">
        <w:rPr>
          <w:rFonts w:ascii="Arial" w:hAnsi="Arial" w:cs="Arial"/>
        </w:rPr>
        <w:t xml:space="preserve">en la </w:t>
      </w:r>
      <w:r>
        <w:rPr>
          <w:rFonts w:ascii="Arial" w:hAnsi="Arial" w:cs="Arial"/>
        </w:rPr>
        <w:t xml:space="preserve">metodología general. </w:t>
      </w:r>
    </w:p>
    <w:p w14:paraId="4E2BDB55" w14:textId="77777777" w:rsidR="00201F15" w:rsidRPr="00E53EF6" w:rsidRDefault="00201F15" w:rsidP="00201F15">
      <w:pPr>
        <w:pStyle w:val="Prrafodelista"/>
        <w:jc w:val="both"/>
        <w:rPr>
          <w:rFonts w:ascii="Arial" w:hAnsi="Arial" w:cs="Arial"/>
        </w:rPr>
      </w:pPr>
    </w:p>
    <w:p w14:paraId="6E0566A8" w14:textId="77777777" w:rsidR="00505677" w:rsidRPr="000972E3" w:rsidRDefault="00505677" w:rsidP="00505677">
      <w:pPr>
        <w:pStyle w:val="Ttulo1"/>
      </w:pPr>
      <w:bookmarkStart w:id="19" w:name="_Toc165037325"/>
      <w:r w:rsidRPr="000972E3">
        <w:t>CONSECUENCIAS</w:t>
      </w:r>
      <w:bookmarkEnd w:id="19"/>
    </w:p>
    <w:p w14:paraId="6D255655" w14:textId="05ADDA78" w:rsidR="001A5F01" w:rsidRDefault="00D6790B" w:rsidP="00C00C77">
      <w:pPr>
        <w:pStyle w:val="Prrafodelista"/>
        <w:numPr>
          <w:ilvl w:val="0"/>
          <w:numId w:val="16"/>
        </w:numPr>
        <w:jc w:val="both"/>
        <w:rPr>
          <w:rFonts w:ascii="Arial" w:hAnsi="Arial" w:cs="Arial"/>
        </w:rPr>
      </w:pPr>
      <w:r>
        <w:rPr>
          <w:rFonts w:ascii="Arial" w:hAnsi="Arial" w:cs="Arial"/>
        </w:rPr>
        <w:t>Mayores costos pagados por el usuario</w:t>
      </w:r>
      <w:r w:rsidR="006774B5">
        <w:rPr>
          <w:rFonts w:ascii="Arial" w:hAnsi="Arial" w:cs="Arial"/>
        </w:rPr>
        <w:t>.</w:t>
      </w:r>
    </w:p>
    <w:p w14:paraId="10519606" w14:textId="3A6308A1" w:rsidR="00D6790B" w:rsidRDefault="005F2F19" w:rsidP="00C00C77">
      <w:pPr>
        <w:pStyle w:val="Prrafodelista"/>
        <w:numPr>
          <w:ilvl w:val="0"/>
          <w:numId w:val="16"/>
        </w:numPr>
        <w:jc w:val="both"/>
        <w:rPr>
          <w:rFonts w:ascii="Arial" w:hAnsi="Arial" w:cs="Arial"/>
        </w:rPr>
      </w:pPr>
      <w:r>
        <w:rPr>
          <w:rFonts w:ascii="Arial" w:hAnsi="Arial" w:cs="Arial"/>
        </w:rPr>
        <w:t>Usuarios insatisfechos con su servicio y el costo de su factura</w:t>
      </w:r>
      <w:r w:rsidR="00794E9A">
        <w:rPr>
          <w:rFonts w:ascii="Arial" w:hAnsi="Arial" w:cs="Arial"/>
        </w:rPr>
        <w:t>.</w:t>
      </w:r>
    </w:p>
    <w:p w14:paraId="777BE6D9" w14:textId="4B9E837B" w:rsidR="005F2F19" w:rsidRDefault="00D05614" w:rsidP="00C00C77">
      <w:pPr>
        <w:pStyle w:val="Prrafodelista"/>
        <w:numPr>
          <w:ilvl w:val="0"/>
          <w:numId w:val="16"/>
        </w:numPr>
        <w:jc w:val="both"/>
        <w:rPr>
          <w:rFonts w:ascii="Arial" w:hAnsi="Arial" w:cs="Arial"/>
        </w:rPr>
      </w:pPr>
      <w:r>
        <w:rPr>
          <w:rFonts w:ascii="Arial" w:hAnsi="Arial" w:cs="Arial"/>
        </w:rPr>
        <w:t>Empresas distantes</w:t>
      </w:r>
      <w:r w:rsidR="00731C2F">
        <w:rPr>
          <w:rFonts w:ascii="Arial" w:hAnsi="Arial" w:cs="Arial"/>
        </w:rPr>
        <w:t xml:space="preserve"> de los usuarios.</w:t>
      </w:r>
    </w:p>
    <w:p w14:paraId="02EB53CE" w14:textId="044EE69A" w:rsidR="00537BA8" w:rsidRDefault="00537BA8" w:rsidP="00C00C77">
      <w:pPr>
        <w:pStyle w:val="Prrafodelista"/>
        <w:numPr>
          <w:ilvl w:val="0"/>
          <w:numId w:val="16"/>
        </w:numPr>
        <w:jc w:val="both"/>
        <w:rPr>
          <w:rFonts w:ascii="Arial" w:hAnsi="Arial" w:cs="Arial"/>
        </w:rPr>
      </w:pPr>
      <w:r>
        <w:rPr>
          <w:rFonts w:ascii="Arial" w:hAnsi="Arial" w:cs="Arial"/>
        </w:rPr>
        <w:t>Usuarios poco informados</w:t>
      </w:r>
      <w:r w:rsidR="00794E9A">
        <w:rPr>
          <w:rFonts w:ascii="Arial" w:hAnsi="Arial" w:cs="Arial"/>
        </w:rPr>
        <w:t>.</w:t>
      </w:r>
    </w:p>
    <w:p w14:paraId="337682A8" w14:textId="03305A9A" w:rsidR="00D6790B" w:rsidRPr="00E57C5F" w:rsidRDefault="00E57C5F" w:rsidP="00C00C77">
      <w:pPr>
        <w:pStyle w:val="Prrafodelista"/>
        <w:numPr>
          <w:ilvl w:val="0"/>
          <w:numId w:val="16"/>
        </w:numPr>
        <w:jc w:val="both"/>
        <w:rPr>
          <w:rFonts w:ascii="Arial" w:hAnsi="Arial" w:cs="Arial"/>
        </w:rPr>
      </w:pPr>
      <w:r>
        <w:rPr>
          <w:rFonts w:ascii="Arial" w:hAnsi="Arial" w:cs="Arial"/>
        </w:rPr>
        <w:t xml:space="preserve">Reconocimiento de costos </w:t>
      </w:r>
      <w:r w:rsidR="00C456E1">
        <w:rPr>
          <w:rFonts w:ascii="Arial" w:hAnsi="Arial" w:cs="Arial"/>
        </w:rPr>
        <w:t>adicionales</w:t>
      </w:r>
      <w:r>
        <w:rPr>
          <w:rFonts w:ascii="Arial" w:hAnsi="Arial" w:cs="Arial"/>
        </w:rPr>
        <w:t xml:space="preserve"> a la actividad de comercialización</w:t>
      </w:r>
      <w:r w:rsidR="008D1C44">
        <w:rPr>
          <w:rFonts w:ascii="Arial" w:hAnsi="Arial" w:cs="Arial"/>
        </w:rPr>
        <w:t xml:space="preserve">. </w:t>
      </w:r>
    </w:p>
    <w:p w14:paraId="0631E975" w14:textId="039674B3" w:rsidR="00281A64" w:rsidRPr="00115F4D" w:rsidRDefault="00B16F00" w:rsidP="007B0556">
      <w:pPr>
        <w:pStyle w:val="Ttulo1"/>
      </w:pPr>
      <w:bookmarkStart w:id="20" w:name="_Toc165037326"/>
      <w:r w:rsidRPr="00115F4D">
        <w:t>OBJETIVOS</w:t>
      </w:r>
      <w:bookmarkEnd w:id="20"/>
    </w:p>
    <w:p w14:paraId="2D327942" w14:textId="0DBC1B55" w:rsidR="00281A64" w:rsidRPr="00115F4D" w:rsidRDefault="00281A64" w:rsidP="00281A64">
      <w:pPr>
        <w:jc w:val="both"/>
        <w:rPr>
          <w:rFonts w:ascii="Arial" w:hAnsi="Arial" w:cs="Arial"/>
        </w:rPr>
      </w:pPr>
      <w:r w:rsidRPr="00115F4D">
        <w:rPr>
          <w:rFonts w:ascii="Arial" w:hAnsi="Arial" w:cs="Arial"/>
        </w:rPr>
        <w:t>As</w:t>
      </w:r>
      <w:r w:rsidR="00804F7C">
        <w:rPr>
          <w:rFonts w:ascii="Arial" w:hAnsi="Arial" w:cs="Arial"/>
        </w:rPr>
        <w:t xml:space="preserve">í </w:t>
      </w:r>
      <w:r w:rsidRPr="00115F4D">
        <w:rPr>
          <w:rFonts w:ascii="Arial" w:hAnsi="Arial" w:cs="Arial"/>
        </w:rPr>
        <w:t>mismo, el Documento D-110-2019 planteó el objetivo de la actualización de la metodología para la remuneración de la comercialización a usuarios regulados como alinear el concepto de comercialización a las dinámicas actuales del sector y lograr que los comercializadores hagan una gestión adecuada de los intereses de sus usuarios.</w:t>
      </w:r>
    </w:p>
    <w:p w14:paraId="0462ADB9" w14:textId="2B09B0E7" w:rsidR="00281A64" w:rsidRPr="00115F4D" w:rsidRDefault="00281A64" w:rsidP="00281A64">
      <w:pPr>
        <w:jc w:val="both"/>
        <w:rPr>
          <w:rFonts w:ascii="Arial" w:hAnsi="Arial" w:cs="Arial"/>
        </w:rPr>
      </w:pPr>
      <w:r w:rsidRPr="00115F4D">
        <w:rPr>
          <w:rFonts w:ascii="Arial" w:hAnsi="Arial" w:cs="Arial"/>
        </w:rPr>
        <w:lastRenderedPageBreak/>
        <w:t xml:space="preserve">De cara al usuario, </w:t>
      </w:r>
      <w:r w:rsidR="005D40B7" w:rsidRPr="00115F4D">
        <w:rPr>
          <w:rFonts w:ascii="Arial" w:hAnsi="Arial" w:cs="Arial"/>
        </w:rPr>
        <w:t xml:space="preserve">la metodología </w:t>
      </w:r>
      <w:r w:rsidRPr="00115F4D">
        <w:rPr>
          <w:rFonts w:ascii="Arial" w:hAnsi="Arial" w:cs="Arial"/>
        </w:rPr>
        <w:t>debe llevar a que los beneficios de los avances tecnológicos sean compartidos entre las empresas y los consumidores y a un traslado de costos eficientes por la prestación del servicio. Se requiere, además, que el usuario tenga mejor y mayor acceso a información para tomar decisiones, que reduzcan o eliminen las restricciones de cambio de prestador para los usuarios y logren una mejor atención de sus necesidades.</w:t>
      </w:r>
    </w:p>
    <w:p w14:paraId="4C369696" w14:textId="58AF5664" w:rsidR="00281A64" w:rsidRDefault="00281A64" w:rsidP="00424877">
      <w:pPr>
        <w:jc w:val="both"/>
        <w:rPr>
          <w:rFonts w:asciiTheme="majorHAnsi" w:hAnsiTheme="majorHAnsi" w:cstheme="majorBidi"/>
        </w:rPr>
      </w:pPr>
      <w:r w:rsidRPr="00115F4D">
        <w:rPr>
          <w:rFonts w:ascii="Arial" w:hAnsi="Arial" w:cs="Arial"/>
        </w:rPr>
        <w:t>De cara al comercializador, es necesario promover la competencia entre los agentes de este eslabón de la cadena de prestación del servicio, con el propósito de darle liquidez al mercado y generar incentivos a la mejora en la calidad de la prestación del servicio</w:t>
      </w:r>
      <w:r w:rsidRPr="00115F4D">
        <w:rPr>
          <w:rFonts w:asciiTheme="majorHAnsi" w:hAnsiTheme="majorHAnsi" w:cstheme="majorBidi"/>
        </w:rPr>
        <w:t>.</w:t>
      </w:r>
    </w:p>
    <w:p w14:paraId="7AFC09CA" w14:textId="4B53BC3D" w:rsidR="003973CB" w:rsidRPr="008004C7" w:rsidRDefault="00417573" w:rsidP="007B0556">
      <w:pPr>
        <w:pStyle w:val="Ttulo1"/>
      </w:pPr>
      <w:bookmarkStart w:id="21" w:name="_Toc165037327"/>
      <w:r w:rsidRPr="008004C7">
        <w:t>ALTERNATIVAS DE SOLUCIÓN.</w:t>
      </w:r>
      <w:bookmarkEnd w:id="21"/>
    </w:p>
    <w:p w14:paraId="35E41741" w14:textId="3EABD23D" w:rsidR="00417573" w:rsidRDefault="00215164" w:rsidP="004470B6">
      <w:pPr>
        <w:jc w:val="both"/>
        <w:rPr>
          <w:rFonts w:ascii="Arial" w:hAnsi="Arial" w:cs="Arial"/>
        </w:rPr>
      </w:pPr>
      <w:r w:rsidRPr="004470B6">
        <w:rPr>
          <w:rFonts w:ascii="Arial" w:hAnsi="Arial" w:cs="Arial"/>
        </w:rPr>
        <w:t xml:space="preserve">De acuerdo con lo anterior se identifican </w:t>
      </w:r>
      <w:r w:rsidR="006928AE">
        <w:rPr>
          <w:rFonts w:ascii="Arial" w:hAnsi="Arial" w:cs="Arial"/>
        </w:rPr>
        <w:t>tres</w:t>
      </w:r>
      <w:r w:rsidR="00417573" w:rsidRPr="004470B6">
        <w:rPr>
          <w:rFonts w:ascii="Arial" w:hAnsi="Arial" w:cs="Arial"/>
        </w:rPr>
        <w:t xml:space="preserve"> alternativas</w:t>
      </w:r>
      <w:r w:rsidR="004470B6" w:rsidRPr="004470B6">
        <w:rPr>
          <w:rFonts w:ascii="Arial" w:hAnsi="Arial" w:cs="Arial"/>
        </w:rPr>
        <w:t xml:space="preserve"> de solución:</w:t>
      </w:r>
      <w:r w:rsidR="00417573" w:rsidRPr="004470B6">
        <w:rPr>
          <w:rFonts w:ascii="Arial" w:hAnsi="Arial" w:cs="Arial"/>
        </w:rPr>
        <w:t xml:space="preserve"> </w:t>
      </w:r>
    </w:p>
    <w:p w14:paraId="4F9E0F45" w14:textId="7E81FA28" w:rsidR="00B30418" w:rsidRDefault="00F94EF9" w:rsidP="00F94EF9">
      <w:pPr>
        <w:pStyle w:val="Ttulo2"/>
        <w:numPr>
          <w:ilvl w:val="0"/>
          <w:numId w:val="0"/>
        </w:numPr>
      </w:pPr>
      <w:bookmarkStart w:id="22" w:name="_Toc165037328"/>
      <w:r>
        <w:t>8</w:t>
      </w:r>
      <w:r w:rsidR="006538E4">
        <w:t xml:space="preserve">.1. </w:t>
      </w:r>
      <w:r w:rsidR="00B30418" w:rsidRPr="00B30418">
        <w:t>Alternativa 1: Mantener la metodología vigente</w:t>
      </w:r>
      <w:bookmarkEnd w:id="22"/>
    </w:p>
    <w:p w14:paraId="48D1117C" w14:textId="42F8B55B" w:rsidR="00321955" w:rsidRDefault="00321955" w:rsidP="00B30418">
      <w:pPr>
        <w:jc w:val="both"/>
        <w:rPr>
          <w:rFonts w:ascii="Arial" w:hAnsi="Arial" w:cs="Arial"/>
        </w:rPr>
      </w:pPr>
      <w:r>
        <w:rPr>
          <w:rFonts w:ascii="Arial" w:hAnsi="Arial" w:cs="Arial"/>
        </w:rPr>
        <w:t xml:space="preserve">Esta alternativa considera </w:t>
      </w:r>
      <w:r w:rsidR="006466DE">
        <w:rPr>
          <w:rFonts w:ascii="Arial" w:hAnsi="Arial" w:cs="Arial"/>
        </w:rPr>
        <w:t>no actualizar la metodología que se viene aplicando y que se encuentra consignada en la Resolución CREG 180 de 2014.</w:t>
      </w:r>
      <w:r w:rsidR="00D56ACF">
        <w:rPr>
          <w:rFonts w:ascii="Arial" w:hAnsi="Arial" w:cs="Arial"/>
        </w:rPr>
        <w:t xml:space="preserve"> En este caso se seguirían aplicando los cargos aprobados mediante actos administrativos particulares.</w:t>
      </w:r>
    </w:p>
    <w:p w14:paraId="7634C961" w14:textId="6EF3DC75" w:rsidR="00B30418" w:rsidRPr="00B30418" w:rsidRDefault="00F94EF9" w:rsidP="008E6B0A">
      <w:pPr>
        <w:pStyle w:val="Ttulo2"/>
        <w:numPr>
          <w:ilvl w:val="0"/>
          <w:numId w:val="0"/>
        </w:numPr>
      </w:pPr>
      <w:bookmarkStart w:id="23" w:name="_Toc165037329"/>
      <w:r>
        <w:t>8</w:t>
      </w:r>
      <w:r w:rsidR="008E6B0A">
        <w:t xml:space="preserve">.2 </w:t>
      </w:r>
      <w:r w:rsidR="00B30418">
        <w:t>Al</w:t>
      </w:r>
      <w:r w:rsidR="002D5041">
        <w:t>t</w:t>
      </w:r>
      <w:r w:rsidR="00B30418">
        <w:t>ernativa 2</w:t>
      </w:r>
      <w:r w:rsidR="002D5041">
        <w:t xml:space="preserve">: Ajustar </w:t>
      </w:r>
      <w:r w:rsidR="008E6B0A">
        <w:t xml:space="preserve">algunos aspectos de </w:t>
      </w:r>
      <w:r w:rsidR="002D5041">
        <w:t>la metodología de comercialización</w:t>
      </w:r>
      <w:r w:rsidR="008E6B0A">
        <w:t xml:space="preserve"> vigente</w:t>
      </w:r>
      <w:bookmarkEnd w:id="23"/>
    </w:p>
    <w:p w14:paraId="2F4FE159" w14:textId="7EE379E7" w:rsidR="006466DE" w:rsidRPr="00B30418" w:rsidRDefault="005C4A05" w:rsidP="00B30418">
      <w:pPr>
        <w:jc w:val="both"/>
        <w:rPr>
          <w:rFonts w:ascii="Arial" w:hAnsi="Arial" w:cs="Arial"/>
        </w:rPr>
      </w:pPr>
      <w:r>
        <w:rPr>
          <w:rFonts w:ascii="Arial" w:hAnsi="Arial" w:cs="Arial"/>
        </w:rPr>
        <w:t xml:space="preserve">Esta contempla ajustar algunos aspectos de la metodología </w:t>
      </w:r>
      <w:r w:rsidR="00755265">
        <w:rPr>
          <w:rFonts w:ascii="Arial" w:hAnsi="Arial" w:cs="Arial"/>
        </w:rPr>
        <w:t>vigente y que implican</w:t>
      </w:r>
      <w:r>
        <w:rPr>
          <w:rFonts w:ascii="Arial" w:hAnsi="Arial" w:cs="Arial"/>
        </w:rPr>
        <w:t xml:space="preserve"> mejorar eficiencias en la remuneración de</w:t>
      </w:r>
      <w:r w:rsidR="00755265">
        <w:rPr>
          <w:rFonts w:ascii="Arial" w:hAnsi="Arial" w:cs="Arial"/>
        </w:rPr>
        <w:t xml:space="preserve"> la actividad.</w:t>
      </w:r>
      <w:r w:rsidR="00952EE0">
        <w:rPr>
          <w:rFonts w:ascii="Arial" w:hAnsi="Arial" w:cs="Arial"/>
        </w:rPr>
        <w:t xml:space="preserve"> Esta considera actualizar </w:t>
      </w:r>
      <w:r w:rsidR="003E72CC">
        <w:rPr>
          <w:rFonts w:ascii="Arial" w:hAnsi="Arial" w:cs="Arial"/>
        </w:rPr>
        <w:t>los costos y gastos</w:t>
      </w:r>
      <w:r w:rsidR="007A5485">
        <w:rPr>
          <w:rFonts w:ascii="Arial" w:hAnsi="Arial" w:cs="Arial"/>
        </w:rPr>
        <w:t>, la eficiencia</w:t>
      </w:r>
      <w:r w:rsidR="008F4DE7">
        <w:rPr>
          <w:rFonts w:ascii="Arial" w:hAnsi="Arial" w:cs="Arial"/>
        </w:rPr>
        <w:t>, el margen operacional</w:t>
      </w:r>
      <w:r w:rsidR="00975E9C">
        <w:rPr>
          <w:rFonts w:ascii="Arial" w:hAnsi="Arial" w:cs="Arial"/>
        </w:rPr>
        <w:t>, el costo de cartera</w:t>
      </w:r>
      <w:r w:rsidR="004657C3">
        <w:rPr>
          <w:rFonts w:ascii="Arial" w:hAnsi="Arial" w:cs="Arial"/>
        </w:rPr>
        <w:t xml:space="preserve"> y revisar la base sobre la que se aplican estas variables. Así mismo, la posibilidad de una aplicación inmediata de la metodología para la determinación de los cargos.</w:t>
      </w:r>
    </w:p>
    <w:p w14:paraId="0CE53236" w14:textId="5D917029" w:rsidR="00755265" w:rsidRPr="00B30418" w:rsidRDefault="00F94EF9" w:rsidP="008E6B0A">
      <w:pPr>
        <w:pStyle w:val="Ttulo2"/>
        <w:numPr>
          <w:ilvl w:val="0"/>
          <w:numId w:val="0"/>
        </w:numPr>
        <w:jc w:val="both"/>
      </w:pPr>
      <w:bookmarkStart w:id="24" w:name="_Toc165037330"/>
      <w:r>
        <w:t>8</w:t>
      </w:r>
      <w:r w:rsidR="008E6B0A">
        <w:t xml:space="preserve">.3. </w:t>
      </w:r>
      <w:r w:rsidR="00755265">
        <w:t>Alternativa 3: Modificar totalmente el esquema de remuneración que se tiene actualmente.</w:t>
      </w:r>
      <w:bookmarkEnd w:id="24"/>
    </w:p>
    <w:p w14:paraId="3CF78AA9" w14:textId="669679F0" w:rsidR="00894844" w:rsidRPr="00B30418" w:rsidRDefault="00894844" w:rsidP="00B30418">
      <w:pPr>
        <w:jc w:val="both"/>
        <w:rPr>
          <w:rFonts w:ascii="Arial" w:hAnsi="Arial" w:cs="Arial"/>
        </w:rPr>
      </w:pPr>
      <w:r>
        <w:rPr>
          <w:rFonts w:ascii="Arial" w:hAnsi="Arial" w:cs="Arial"/>
        </w:rPr>
        <w:t>Esta alternativa buscaría plantear un nuevo modelo de remuneración para los comercializadores</w:t>
      </w:r>
      <w:r w:rsidR="006C03C8">
        <w:rPr>
          <w:rFonts w:ascii="Arial" w:hAnsi="Arial" w:cs="Arial"/>
        </w:rPr>
        <w:t xml:space="preserve"> tal como una </w:t>
      </w:r>
      <w:r w:rsidR="00144B5A">
        <w:rPr>
          <w:rFonts w:ascii="Arial" w:hAnsi="Arial" w:cs="Arial"/>
        </w:rPr>
        <w:t>liberalización</w:t>
      </w:r>
      <w:r w:rsidR="006C03C8">
        <w:rPr>
          <w:rFonts w:ascii="Arial" w:hAnsi="Arial" w:cs="Arial"/>
        </w:rPr>
        <w:t xml:space="preserve"> total del mercado</w:t>
      </w:r>
      <w:r w:rsidR="00144B5A">
        <w:rPr>
          <w:rFonts w:ascii="Arial" w:hAnsi="Arial" w:cs="Arial"/>
        </w:rPr>
        <w:t xml:space="preserve"> y sin llevar a cabo una transición de régime</w:t>
      </w:r>
      <w:r w:rsidR="00A743DE">
        <w:rPr>
          <w:rFonts w:ascii="Arial" w:hAnsi="Arial" w:cs="Arial"/>
        </w:rPr>
        <w:t>n</w:t>
      </w:r>
      <w:r>
        <w:rPr>
          <w:rFonts w:ascii="Arial" w:hAnsi="Arial" w:cs="Arial"/>
        </w:rPr>
        <w:t>.</w:t>
      </w:r>
    </w:p>
    <w:p w14:paraId="04B8DFBF" w14:textId="7F902A42" w:rsidR="005F59B0" w:rsidRPr="00F13A80" w:rsidRDefault="00196C9B" w:rsidP="00F13A80">
      <w:pPr>
        <w:pStyle w:val="Ttulo1"/>
      </w:pPr>
      <w:bookmarkStart w:id="25" w:name="_Toc165037331"/>
      <w:r w:rsidRPr="00F13A80">
        <w:t>EVALUACIÓN DE IMPACTO DE LAS ALTERNATIVAS</w:t>
      </w:r>
      <w:bookmarkEnd w:id="25"/>
    </w:p>
    <w:p w14:paraId="2FC70F29" w14:textId="7E3DEEA2" w:rsidR="00BD311D" w:rsidRPr="00075769" w:rsidRDefault="00BD311D" w:rsidP="00075769">
      <w:pPr>
        <w:jc w:val="both"/>
        <w:rPr>
          <w:rFonts w:ascii="Arial" w:hAnsi="Arial" w:cs="Arial"/>
        </w:rPr>
      </w:pPr>
      <w:r w:rsidRPr="00075769">
        <w:rPr>
          <w:rFonts w:ascii="Arial" w:hAnsi="Arial" w:cs="Arial"/>
        </w:rPr>
        <w:t>El análisis de impactos</w:t>
      </w:r>
      <w:r>
        <w:rPr>
          <w:rFonts w:ascii="Arial" w:hAnsi="Arial" w:cs="Arial"/>
        </w:rPr>
        <w:t xml:space="preserve"> </w:t>
      </w:r>
      <w:r w:rsidRPr="00075769">
        <w:rPr>
          <w:rFonts w:ascii="Arial" w:hAnsi="Arial" w:cs="Arial"/>
        </w:rPr>
        <w:t>comprende una comparación entre las tres alternativas propuestas a través de un análisis multicriterio.</w:t>
      </w:r>
      <w:r w:rsidR="00FA0B71">
        <w:rPr>
          <w:rFonts w:ascii="Arial" w:hAnsi="Arial" w:cs="Arial"/>
        </w:rPr>
        <w:t xml:space="preserve"> </w:t>
      </w:r>
      <w:r w:rsidRPr="00075769">
        <w:rPr>
          <w:rFonts w:ascii="Arial" w:hAnsi="Arial" w:cs="Arial"/>
        </w:rPr>
        <w:t xml:space="preserve">Para el análisis se identificaron unos posibles impactos de las alternativas y se les da un peso teniendo en cuenta los objetivos que se quieren conseguir. Posteriormente, se procede a dar una calificación entre </w:t>
      </w:r>
      <w:r w:rsidR="00F97D40">
        <w:rPr>
          <w:rFonts w:ascii="Arial" w:hAnsi="Arial" w:cs="Arial"/>
        </w:rPr>
        <w:t>1</w:t>
      </w:r>
      <w:r w:rsidRPr="00075769">
        <w:rPr>
          <w:rFonts w:ascii="Arial" w:hAnsi="Arial" w:cs="Arial"/>
        </w:rPr>
        <w:t xml:space="preserve"> y 5 para cada impacto en cada una de las alternativas y se establece un valor ponderado entre el peso y </w:t>
      </w:r>
      <w:r w:rsidRPr="399A1272">
        <w:rPr>
          <w:rFonts w:ascii="Arial" w:hAnsi="Arial" w:cs="Arial"/>
        </w:rPr>
        <w:t>la</w:t>
      </w:r>
      <w:r w:rsidR="7106D821" w:rsidRPr="399A1272">
        <w:rPr>
          <w:rFonts w:ascii="Arial" w:hAnsi="Arial" w:cs="Arial"/>
        </w:rPr>
        <w:t xml:space="preserve"> </w:t>
      </w:r>
      <w:r w:rsidRPr="5B34C7C6">
        <w:rPr>
          <w:rFonts w:ascii="Arial" w:hAnsi="Arial" w:cs="Arial"/>
        </w:rPr>
        <w:t>calificación</w:t>
      </w:r>
      <w:r w:rsidRPr="00075769">
        <w:rPr>
          <w:rFonts w:ascii="Arial" w:hAnsi="Arial" w:cs="Arial"/>
        </w:rPr>
        <w:t xml:space="preserve">. </w:t>
      </w:r>
    </w:p>
    <w:p w14:paraId="32A9ACDC" w14:textId="45703B12" w:rsidR="005E4092" w:rsidRDefault="00EA4766" w:rsidP="00075769">
      <w:pPr>
        <w:jc w:val="both"/>
        <w:rPr>
          <w:rFonts w:ascii="Arial" w:hAnsi="Arial" w:cs="Arial"/>
        </w:rPr>
      </w:pPr>
      <w:r>
        <w:rPr>
          <w:rFonts w:ascii="Arial" w:hAnsi="Arial" w:cs="Arial"/>
        </w:rPr>
        <w:t xml:space="preserve">Los posibles impactos </w:t>
      </w:r>
      <w:r w:rsidR="00345259">
        <w:rPr>
          <w:rFonts w:ascii="Arial" w:hAnsi="Arial" w:cs="Arial"/>
        </w:rPr>
        <w:t>por</w:t>
      </w:r>
      <w:r>
        <w:rPr>
          <w:rFonts w:ascii="Arial" w:hAnsi="Arial" w:cs="Arial"/>
        </w:rPr>
        <w:t xml:space="preserve"> valorar </w:t>
      </w:r>
      <w:r w:rsidR="00B242E9">
        <w:rPr>
          <w:rFonts w:ascii="Arial" w:hAnsi="Arial" w:cs="Arial"/>
        </w:rPr>
        <w:t xml:space="preserve">y sus criterios </w:t>
      </w:r>
      <w:r>
        <w:rPr>
          <w:rFonts w:ascii="Arial" w:hAnsi="Arial" w:cs="Arial"/>
        </w:rPr>
        <w:t xml:space="preserve">son: </w:t>
      </w:r>
    </w:p>
    <w:p w14:paraId="0BAF6D23" w14:textId="0B2E4F1A" w:rsidR="005E4092" w:rsidRPr="005E4092" w:rsidRDefault="005E4092" w:rsidP="00C00C77">
      <w:pPr>
        <w:pStyle w:val="Prrafodelista"/>
        <w:numPr>
          <w:ilvl w:val="0"/>
          <w:numId w:val="17"/>
        </w:numPr>
        <w:jc w:val="both"/>
        <w:rPr>
          <w:rFonts w:ascii="Arial" w:hAnsi="Arial" w:cs="Arial"/>
        </w:rPr>
      </w:pPr>
      <w:r>
        <w:rPr>
          <w:rFonts w:ascii="Arial" w:hAnsi="Arial" w:cs="Arial"/>
        </w:rPr>
        <w:t>E</w:t>
      </w:r>
      <w:r w:rsidR="00F326BB" w:rsidRPr="005E4092">
        <w:rPr>
          <w:rFonts w:ascii="Arial" w:hAnsi="Arial" w:cs="Arial"/>
        </w:rPr>
        <w:t>fecto</w:t>
      </w:r>
      <w:r w:rsidR="00F326BB">
        <w:rPr>
          <w:rFonts w:ascii="Arial" w:hAnsi="Arial" w:cs="Arial"/>
        </w:rPr>
        <w:t xml:space="preserve"> en costos de los usuarios</w:t>
      </w:r>
      <w:r w:rsidR="00884B7F">
        <w:rPr>
          <w:rFonts w:ascii="Arial" w:hAnsi="Arial" w:cs="Arial"/>
        </w:rPr>
        <w:t>.</w:t>
      </w:r>
    </w:p>
    <w:p w14:paraId="1323017B" w14:textId="51E35279" w:rsidR="005E4092" w:rsidRDefault="00F326BB" w:rsidP="00C00C77">
      <w:pPr>
        <w:pStyle w:val="Prrafodelista"/>
        <w:numPr>
          <w:ilvl w:val="0"/>
          <w:numId w:val="17"/>
        </w:numPr>
        <w:jc w:val="both"/>
        <w:rPr>
          <w:rFonts w:ascii="Arial" w:hAnsi="Arial" w:cs="Arial"/>
        </w:rPr>
      </w:pPr>
      <w:r>
        <w:rPr>
          <w:rFonts w:ascii="Arial" w:hAnsi="Arial" w:cs="Arial"/>
        </w:rPr>
        <w:t>Mejora en la calidad del servicio</w:t>
      </w:r>
      <w:r w:rsidR="00884B7F">
        <w:rPr>
          <w:rFonts w:ascii="Arial" w:hAnsi="Arial" w:cs="Arial"/>
        </w:rPr>
        <w:t>.</w:t>
      </w:r>
    </w:p>
    <w:p w14:paraId="208CC1E6" w14:textId="18DFBD8F" w:rsidR="005E4092" w:rsidRDefault="00F326BB" w:rsidP="00C00C77">
      <w:pPr>
        <w:pStyle w:val="Prrafodelista"/>
        <w:numPr>
          <w:ilvl w:val="0"/>
          <w:numId w:val="17"/>
        </w:numPr>
        <w:jc w:val="both"/>
        <w:rPr>
          <w:rFonts w:ascii="Arial" w:hAnsi="Arial" w:cs="Arial"/>
        </w:rPr>
      </w:pPr>
      <w:r>
        <w:rPr>
          <w:rFonts w:ascii="Arial" w:hAnsi="Arial" w:cs="Arial"/>
        </w:rPr>
        <w:t>Acceso a la información</w:t>
      </w:r>
      <w:r w:rsidR="00884B7F">
        <w:rPr>
          <w:rFonts w:ascii="Arial" w:hAnsi="Arial" w:cs="Arial"/>
        </w:rPr>
        <w:t>.</w:t>
      </w:r>
    </w:p>
    <w:p w14:paraId="7796C9F3" w14:textId="17133104" w:rsidR="005E4092" w:rsidRDefault="005E4092" w:rsidP="00C00C77">
      <w:pPr>
        <w:pStyle w:val="Prrafodelista"/>
        <w:numPr>
          <w:ilvl w:val="0"/>
          <w:numId w:val="17"/>
        </w:numPr>
        <w:jc w:val="both"/>
        <w:rPr>
          <w:rFonts w:ascii="Arial" w:hAnsi="Arial" w:cs="Arial"/>
        </w:rPr>
      </w:pPr>
      <w:r>
        <w:rPr>
          <w:rFonts w:ascii="Arial" w:hAnsi="Arial" w:cs="Arial"/>
        </w:rPr>
        <w:t>C</w:t>
      </w:r>
      <w:r w:rsidR="00F326BB" w:rsidRPr="005E4092">
        <w:rPr>
          <w:rFonts w:ascii="Arial" w:hAnsi="Arial" w:cs="Arial"/>
        </w:rPr>
        <w:t>ostos</w:t>
      </w:r>
      <w:r w:rsidR="00F326BB">
        <w:rPr>
          <w:rFonts w:ascii="Arial" w:hAnsi="Arial" w:cs="Arial"/>
        </w:rPr>
        <w:t xml:space="preserve"> para los agentes y </w:t>
      </w:r>
    </w:p>
    <w:p w14:paraId="3191D600" w14:textId="77777777" w:rsidR="00FA0B71" w:rsidRDefault="005E4092" w:rsidP="00C00C77">
      <w:pPr>
        <w:pStyle w:val="Prrafodelista"/>
        <w:numPr>
          <w:ilvl w:val="0"/>
          <w:numId w:val="17"/>
        </w:numPr>
        <w:jc w:val="both"/>
        <w:rPr>
          <w:rFonts w:ascii="Arial" w:hAnsi="Arial" w:cs="Arial"/>
        </w:rPr>
      </w:pPr>
      <w:r w:rsidRPr="00FA0B71">
        <w:rPr>
          <w:rFonts w:ascii="Arial" w:hAnsi="Arial" w:cs="Arial"/>
        </w:rPr>
        <w:t>S</w:t>
      </w:r>
      <w:r w:rsidR="00F326BB" w:rsidRPr="00FA0B71">
        <w:rPr>
          <w:rFonts w:ascii="Arial" w:hAnsi="Arial" w:cs="Arial"/>
        </w:rPr>
        <w:t>implicidad en la aplicación.</w:t>
      </w:r>
    </w:p>
    <w:p w14:paraId="5EC256BE" w14:textId="69164068" w:rsidR="00081BE2" w:rsidRDefault="00F97D40" w:rsidP="004D3060">
      <w:pPr>
        <w:jc w:val="both"/>
        <w:rPr>
          <w:rFonts w:ascii="Arial" w:hAnsi="Arial" w:cs="Arial"/>
        </w:rPr>
      </w:pPr>
      <w:r w:rsidRPr="00FA0B71">
        <w:rPr>
          <w:rFonts w:ascii="Arial" w:hAnsi="Arial" w:cs="Arial"/>
        </w:rPr>
        <w:t xml:space="preserve">En la </w:t>
      </w:r>
      <w:r w:rsidR="006F1ED8">
        <w:rPr>
          <w:rFonts w:ascii="Arial" w:hAnsi="Arial" w:cs="Arial"/>
          <w:highlight w:val="yellow"/>
        </w:rPr>
        <w:fldChar w:fldCharType="begin"/>
      </w:r>
      <w:r w:rsidR="006F1ED8">
        <w:rPr>
          <w:rFonts w:ascii="Arial" w:hAnsi="Arial" w:cs="Arial"/>
          <w:highlight w:val="yellow"/>
        </w:rPr>
        <w:instrText xml:space="preserve"> REF _Ref164888673 \h </w:instrText>
      </w:r>
      <w:r w:rsidR="006F1ED8">
        <w:rPr>
          <w:rFonts w:ascii="Arial" w:hAnsi="Arial" w:cs="Arial"/>
          <w:highlight w:val="yellow"/>
        </w:rPr>
      </w:r>
      <w:r w:rsidR="006F1ED8">
        <w:rPr>
          <w:rFonts w:ascii="Arial" w:hAnsi="Arial" w:cs="Arial"/>
          <w:highlight w:val="yellow"/>
        </w:rPr>
        <w:fldChar w:fldCharType="separate"/>
      </w:r>
      <w:r w:rsidR="002A641D" w:rsidRPr="00F67AE7">
        <w:rPr>
          <w:rFonts w:ascii="Arial" w:hAnsi="Arial" w:cs="Arial"/>
          <w:b/>
          <w:bCs/>
        </w:rPr>
        <w:t xml:space="preserve">Tabla </w:t>
      </w:r>
      <w:r w:rsidR="002A641D">
        <w:rPr>
          <w:rFonts w:ascii="Arial" w:hAnsi="Arial" w:cs="Arial"/>
          <w:b/>
          <w:bCs/>
          <w:noProof/>
        </w:rPr>
        <w:t>3</w:t>
      </w:r>
      <w:r w:rsidR="006F1ED8">
        <w:rPr>
          <w:rFonts w:ascii="Arial" w:hAnsi="Arial" w:cs="Arial"/>
          <w:highlight w:val="yellow"/>
        </w:rPr>
        <w:fldChar w:fldCharType="end"/>
      </w:r>
      <w:r w:rsidR="006F1ED8">
        <w:rPr>
          <w:rFonts w:ascii="Arial" w:hAnsi="Arial" w:cs="Arial"/>
        </w:rPr>
        <w:t xml:space="preserve"> </w:t>
      </w:r>
      <w:r w:rsidRPr="00FA0B71">
        <w:rPr>
          <w:rFonts w:ascii="Arial" w:hAnsi="Arial" w:cs="Arial"/>
        </w:rPr>
        <w:t xml:space="preserve">se presenta el peso y la escala de calificación elegida. </w:t>
      </w:r>
    </w:p>
    <w:p w14:paraId="611A8F35" w14:textId="64976E54" w:rsidR="004D3060" w:rsidRDefault="004D3060" w:rsidP="004D3060">
      <w:pPr>
        <w:jc w:val="both"/>
        <w:rPr>
          <w:rFonts w:ascii="Arial" w:hAnsi="Arial" w:cs="Arial"/>
        </w:rPr>
        <w:sectPr w:rsidR="004D3060" w:rsidSect="002D64BB">
          <w:headerReference w:type="default" r:id="rId65"/>
          <w:footerReference w:type="default" r:id="rId66"/>
          <w:pgSz w:w="11906" w:h="16838"/>
          <w:pgMar w:top="1440" w:right="1440" w:bottom="1440" w:left="1440" w:header="720" w:footer="720" w:gutter="0"/>
          <w:cols w:space="720"/>
          <w:titlePg/>
          <w:docGrid w:linePitch="360"/>
        </w:sectPr>
      </w:pPr>
    </w:p>
    <w:p w14:paraId="6096F066" w14:textId="148A5665" w:rsidR="00224E5D" w:rsidRDefault="00224E5D" w:rsidP="00224E5D">
      <w:pPr>
        <w:spacing w:after="0"/>
        <w:jc w:val="center"/>
        <w:rPr>
          <w:rFonts w:ascii="Arial" w:hAnsi="Arial" w:cs="Arial"/>
          <w:b/>
          <w:bCs/>
        </w:rPr>
      </w:pPr>
      <w:bookmarkStart w:id="26" w:name="_Ref164888673"/>
      <w:bookmarkStart w:id="27" w:name="_Ref164888668"/>
      <w:r w:rsidRPr="00F67AE7">
        <w:rPr>
          <w:rFonts w:ascii="Arial" w:hAnsi="Arial" w:cs="Arial"/>
          <w:b/>
          <w:bCs/>
        </w:rPr>
        <w:lastRenderedPageBreak/>
        <w:t xml:space="preserve">Tabla </w:t>
      </w:r>
      <w:r w:rsidRPr="00F67AE7">
        <w:rPr>
          <w:rFonts w:ascii="Arial" w:hAnsi="Arial" w:cs="Arial"/>
          <w:b/>
          <w:bCs/>
        </w:rPr>
        <w:fldChar w:fldCharType="begin"/>
      </w:r>
      <w:r w:rsidRPr="00F67AE7">
        <w:rPr>
          <w:rFonts w:ascii="Arial" w:hAnsi="Arial" w:cs="Arial"/>
          <w:b/>
          <w:bCs/>
        </w:rPr>
        <w:instrText xml:space="preserve"> SEQ Tabla \* ARABIC </w:instrText>
      </w:r>
      <w:r w:rsidRPr="00F67AE7">
        <w:rPr>
          <w:rFonts w:ascii="Arial" w:hAnsi="Arial" w:cs="Arial"/>
          <w:b/>
          <w:bCs/>
        </w:rPr>
        <w:fldChar w:fldCharType="separate"/>
      </w:r>
      <w:r w:rsidR="002A641D">
        <w:rPr>
          <w:rFonts w:ascii="Arial" w:hAnsi="Arial" w:cs="Arial"/>
          <w:b/>
          <w:bCs/>
          <w:noProof/>
        </w:rPr>
        <w:t>3</w:t>
      </w:r>
      <w:r w:rsidRPr="00F67AE7">
        <w:rPr>
          <w:rFonts w:ascii="Arial" w:hAnsi="Arial" w:cs="Arial"/>
          <w:b/>
          <w:bCs/>
        </w:rPr>
        <w:fldChar w:fldCharType="end"/>
      </w:r>
      <w:bookmarkEnd w:id="26"/>
      <w:r>
        <w:rPr>
          <w:rFonts w:ascii="Arial" w:hAnsi="Arial" w:cs="Arial"/>
          <w:b/>
          <w:bCs/>
        </w:rPr>
        <w:t xml:space="preserve"> Criterios de Evaluación</w:t>
      </w:r>
      <w:bookmarkEnd w:id="27"/>
    </w:p>
    <w:p w14:paraId="1991627B" w14:textId="77777777" w:rsidR="00224E5D" w:rsidRPr="00F67AE7" w:rsidRDefault="00224E5D" w:rsidP="00224E5D">
      <w:pPr>
        <w:spacing w:before="0" w:after="0"/>
        <w:jc w:val="center"/>
        <w:rPr>
          <w:rFonts w:ascii="Arial" w:hAnsi="Arial" w:cs="Arial"/>
          <w:b/>
          <w:bCs/>
        </w:rPr>
      </w:pPr>
      <w:r>
        <w:rPr>
          <w:rFonts w:ascii="Arial" w:hAnsi="Arial" w:cs="Arial"/>
          <w:b/>
          <w:bCs/>
        </w:rPr>
        <w:t>Fuente: Elaboración propia</w:t>
      </w:r>
    </w:p>
    <w:tbl>
      <w:tblPr>
        <w:tblW w:w="5000" w:type="pct"/>
        <w:tblCellMar>
          <w:left w:w="70" w:type="dxa"/>
          <w:right w:w="70" w:type="dxa"/>
        </w:tblCellMar>
        <w:tblLook w:val="04A0" w:firstRow="1" w:lastRow="0" w:firstColumn="1" w:lastColumn="0" w:noHBand="0" w:noVBand="1"/>
      </w:tblPr>
      <w:tblGrid>
        <w:gridCol w:w="2480"/>
        <w:gridCol w:w="957"/>
        <w:gridCol w:w="2293"/>
        <w:gridCol w:w="2293"/>
        <w:gridCol w:w="1911"/>
        <w:gridCol w:w="1911"/>
        <w:gridCol w:w="2103"/>
      </w:tblGrid>
      <w:tr w:rsidR="004D3060" w:rsidRPr="005F0E05" w14:paraId="52FFD991" w14:textId="77777777">
        <w:trPr>
          <w:trHeight w:val="315"/>
        </w:trPr>
        <w:tc>
          <w:tcPr>
            <w:tcW w:w="889"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F1434E7" w14:textId="77777777" w:rsidR="004D3060" w:rsidRPr="005F0E05" w:rsidRDefault="004D3060">
            <w:pPr>
              <w:spacing w:before="0" w:after="0"/>
              <w:jc w:val="center"/>
              <w:rPr>
                <w:rFonts w:ascii="Arial" w:eastAsia="Times New Roman" w:hAnsi="Arial" w:cs="Arial"/>
                <w:b/>
                <w:bCs/>
                <w:color w:val="000000"/>
                <w:sz w:val="18"/>
                <w:szCs w:val="18"/>
                <w:lang w:eastAsia="es-CO"/>
              </w:rPr>
            </w:pPr>
            <w:r w:rsidRPr="005F0E05">
              <w:rPr>
                <w:rFonts w:ascii="Arial" w:eastAsia="Times New Roman" w:hAnsi="Arial" w:cs="Arial"/>
                <w:b/>
                <w:bCs/>
                <w:color w:val="000000"/>
                <w:sz w:val="18"/>
                <w:szCs w:val="18"/>
                <w:lang w:eastAsia="es-CO"/>
              </w:rPr>
              <w:t xml:space="preserve">Listado de criterios </w:t>
            </w:r>
          </w:p>
        </w:tc>
        <w:tc>
          <w:tcPr>
            <w:tcW w:w="343" w:type="pct"/>
            <w:tcBorders>
              <w:top w:val="single" w:sz="4" w:space="0" w:color="auto"/>
              <w:left w:val="nil"/>
              <w:bottom w:val="single" w:sz="4" w:space="0" w:color="auto"/>
              <w:right w:val="single" w:sz="4" w:space="0" w:color="auto"/>
            </w:tcBorders>
            <w:shd w:val="clear" w:color="D9D9D9" w:fill="D9D9D9"/>
            <w:vAlign w:val="bottom"/>
            <w:hideMark/>
          </w:tcPr>
          <w:p w14:paraId="553E4FEB" w14:textId="77777777" w:rsidR="004D3060" w:rsidRPr="005F0E05" w:rsidRDefault="004D3060">
            <w:pPr>
              <w:spacing w:before="0" w:after="0"/>
              <w:jc w:val="center"/>
              <w:rPr>
                <w:rFonts w:ascii="Arial" w:eastAsia="Times New Roman" w:hAnsi="Arial" w:cs="Arial"/>
                <w:b/>
                <w:bCs/>
                <w:color w:val="000000"/>
                <w:sz w:val="18"/>
                <w:szCs w:val="18"/>
                <w:lang w:eastAsia="es-CO"/>
              </w:rPr>
            </w:pPr>
            <w:r w:rsidRPr="005F0E05">
              <w:rPr>
                <w:rFonts w:ascii="Arial" w:eastAsia="Times New Roman" w:hAnsi="Arial" w:cs="Arial"/>
                <w:b/>
                <w:bCs/>
                <w:color w:val="000000"/>
                <w:sz w:val="18"/>
                <w:szCs w:val="18"/>
                <w:lang w:eastAsia="es-CO"/>
              </w:rPr>
              <w:t>Peso</w:t>
            </w:r>
          </w:p>
        </w:tc>
        <w:tc>
          <w:tcPr>
            <w:tcW w:w="822" w:type="pct"/>
            <w:tcBorders>
              <w:top w:val="single" w:sz="4" w:space="0" w:color="auto"/>
              <w:left w:val="nil"/>
              <w:bottom w:val="single" w:sz="4" w:space="0" w:color="auto"/>
              <w:right w:val="single" w:sz="4" w:space="0" w:color="auto"/>
            </w:tcBorders>
            <w:shd w:val="clear" w:color="D9D9D9" w:fill="D9D9D9"/>
            <w:noWrap/>
            <w:vAlign w:val="bottom"/>
            <w:hideMark/>
          </w:tcPr>
          <w:p w14:paraId="528CC795" w14:textId="77777777" w:rsidR="004D3060" w:rsidRPr="005F0E05" w:rsidRDefault="004D3060">
            <w:pPr>
              <w:spacing w:before="0" w:after="0"/>
              <w:jc w:val="center"/>
              <w:rPr>
                <w:rFonts w:ascii="Arial" w:eastAsia="Times New Roman" w:hAnsi="Arial" w:cs="Arial"/>
                <w:b/>
                <w:bCs/>
                <w:color w:val="000000"/>
                <w:sz w:val="18"/>
                <w:szCs w:val="18"/>
                <w:lang w:eastAsia="es-CO"/>
              </w:rPr>
            </w:pPr>
            <w:r w:rsidRPr="005F0E05">
              <w:rPr>
                <w:rFonts w:ascii="Arial" w:eastAsia="Times New Roman" w:hAnsi="Arial" w:cs="Arial"/>
                <w:b/>
                <w:bCs/>
                <w:color w:val="000000"/>
                <w:sz w:val="18"/>
                <w:szCs w:val="18"/>
                <w:lang w:eastAsia="es-CO"/>
              </w:rPr>
              <w:t>Puntaje: 1</w:t>
            </w:r>
          </w:p>
        </w:tc>
        <w:tc>
          <w:tcPr>
            <w:tcW w:w="822" w:type="pct"/>
            <w:tcBorders>
              <w:top w:val="single" w:sz="4" w:space="0" w:color="auto"/>
              <w:left w:val="nil"/>
              <w:bottom w:val="single" w:sz="4" w:space="0" w:color="auto"/>
              <w:right w:val="single" w:sz="4" w:space="0" w:color="auto"/>
            </w:tcBorders>
            <w:shd w:val="clear" w:color="D9D9D9" w:fill="D9D9D9"/>
            <w:noWrap/>
            <w:vAlign w:val="bottom"/>
            <w:hideMark/>
          </w:tcPr>
          <w:p w14:paraId="7DD17777" w14:textId="77777777" w:rsidR="004D3060" w:rsidRPr="005F0E05" w:rsidRDefault="004D3060">
            <w:pPr>
              <w:spacing w:before="0" w:after="0"/>
              <w:jc w:val="center"/>
              <w:rPr>
                <w:rFonts w:ascii="Arial" w:eastAsia="Times New Roman" w:hAnsi="Arial" w:cs="Arial"/>
                <w:b/>
                <w:bCs/>
                <w:color w:val="000000"/>
                <w:sz w:val="18"/>
                <w:szCs w:val="18"/>
                <w:lang w:eastAsia="es-CO"/>
              </w:rPr>
            </w:pPr>
            <w:r w:rsidRPr="005F0E05">
              <w:rPr>
                <w:rFonts w:ascii="Arial" w:eastAsia="Times New Roman" w:hAnsi="Arial" w:cs="Arial"/>
                <w:b/>
                <w:bCs/>
                <w:color w:val="000000"/>
                <w:sz w:val="18"/>
                <w:szCs w:val="18"/>
                <w:lang w:eastAsia="es-CO"/>
              </w:rPr>
              <w:t>Puntaje: 2</w:t>
            </w:r>
          </w:p>
        </w:tc>
        <w:tc>
          <w:tcPr>
            <w:tcW w:w="685" w:type="pct"/>
            <w:tcBorders>
              <w:top w:val="single" w:sz="4" w:space="0" w:color="auto"/>
              <w:left w:val="nil"/>
              <w:bottom w:val="single" w:sz="4" w:space="0" w:color="auto"/>
              <w:right w:val="single" w:sz="4" w:space="0" w:color="auto"/>
            </w:tcBorders>
            <w:shd w:val="clear" w:color="D9D9D9" w:fill="D9D9D9"/>
            <w:noWrap/>
            <w:vAlign w:val="bottom"/>
            <w:hideMark/>
          </w:tcPr>
          <w:p w14:paraId="67E1165A" w14:textId="77777777" w:rsidR="004D3060" w:rsidRPr="005F0E05" w:rsidRDefault="004D3060">
            <w:pPr>
              <w:spacing w:before="0" w:after="0"/>
              <w:jc w:val="center"/>
              <w:rPr>
                <w:rFonts w:ascii="Arial" w:eastAsia="Times New Roman" w:hAnsi="Arial" w:cs="Arial"/>
                <w:b/>
                <w:bCs/>
                <w:color w:val="000000"/>
                <w:sz w:val="18"/>
                <w:szCs w:val="18"/>
                <w:lang w:eastAsia="es-CO"/>
              </w:rPr>
            </w:pPr>
            <w:r w:rsidRPr="005F0E05">
              <w:rPr>
                <w:rFonts w:ascii="Arial" w:eastAsia="Times New Roman" w:hAnsi="Arial" w:cs="Arial"/>
                <w:b/>
                <w:bCs/>
                <w:color w:val="000000"/>
                <w:sz w:val="18"/>
                <w:szCs w:val="18"/>
                <w:lang w:eastAsia="es-CO"/>
              </w:rPr>
              <w:t>Puntaje: 3</w:t>
            </w:r>
          </w:p>
        </w:tc>
        <w:tc>
          <w:tcPr>
            <w:tcW w:w="685" w:type="pct"/>
            <w:tcBorders>
              <w:top w:val="single" w:sz="4" w:space="0" w:color="auto"/>
              <w:left w:val="nil"/>
              <w:bottom w:val="single" w:sz="4" w:space="0" w:color="auto"/>
              <w:right w:val="single" w:sz="4" w:space="0" w:color="auto"/>
            </w:tcBorders>
            <w:shd w:val="clear" w:color="D9D9D9" w:fill="D9D9D9"/>
            <w:noWrap/>
            <w:vAlign w:val="bottom"/>
            <w:hideMark/>
          </w:tcPr>
          <w:p w14:paraId="412359EE" w14:textId="77777777" w:rsidR="004D3060" w:rsidRPr="005F0E05" w:rsidRDefault="004D3060">
            <w:pPr>
              <w:spacing w:before="0" w:after="0"/>
              <w:jc w:val="center"/>
              <w:rPr>
                <w:rFonts w:ascii="Arial" w:eastAsia="Times New Roman" w:hAnsi="Arial" w:cs="Arial"/>
                <w:b/>
                <w:bCs/>
                <w:color w:val="000000"/>
                <w:sz w:val="18"/>
                <w:szCs w:val="18"/>
                <w:lang w:eastAsia="es-CO"/>
              </w:rPr>
            </w:pPr>
            <w:r w:rsidRPr="005F0E05">
              <w:rPr>
                <w:rFonts w:ascii="Arial" w:eastAsia="Times New Roman" w:hAnsi="Arial" w:cs="Arial"/>
                <w:b/>
                <w:bCs/>
                <w:color w:val="000000"/>
                <w:sz w:val="18"/>
                <w:szCs w:val="18"/>
                <w:lang w:eastAsia="es-CO"/>
              </w:rPr>
              <w:t>Puntaje: 4</w:t>
            </w:r>
          </w:p>
        </w:tc>
        <w:tc>
          <w:tcPr>
            <w:tcW w:w="754" w:type="pct"/>
            <w:tcBorders>
              <w:top w:val="single" w:sz="4" w:space="0" w:color="auto"/>
              <w:left w:val="nil"/>
              <w:bottom w:val="single" w:sz="4" w:space="0" w:color="auto"/>
              <w:right w:val="single" w:sz="4" w:space="0" w:color="auto"/>
            </w:tcBorders>
            <w:shd w:val="clear" w:color="D9D9D9" w:fill="D9D9D9"/>
            <w:noWrap/>
            <w:vAlign w:val="bottom"/>
            <w:hideMark/>
          </w:tcPr>
          <w:p w14:paraId="043DD422" w14:textId="77777777" w:rsidR="004D3060" w:rsidRPr="005F0E05" w:rsidRDefault="004D3060">
            <w:pPr>
              <w:spacing w:before="0" w:after="0"/>
              <w:jc w:val="center"/>
              <w:rPr>
                <w:rFonts w:ascii="Arial" w:eastAsia="Times New Roman" w:hAnsi="Arial" w:cs="Arial"/>
                <w:b/>
                <w:bCs/>
                <w:color w:val="000000"/>
                <w:sz w:val="18"/>
                <w:szCs w:val="18"/>
                <w:lang w:eastAsia="es-CO"/>
              </w:rPr>
            </w:pPr>
            <w:r w:rsidRPr="005F0E05">
              <w:rPr>
                <w:rFonts w:ascii="Arial" w:eastAsia="Times New Roman" w:hAnsi="Arial" w:cs="Arial"/>
                <w:b/>
                <w:bCs/>
                <w:color w:val="000000"/>
                <w:sz w:val="18"/>
                <w:szCs w:val="18"/>
                <w:lang w:eastAsia="es-CO"/>
              </w:rPr>
              <w:t>Puntaje: 5</w:t>
            </w:r>
          </w:p>
        </w:tc>
      </w:tr>
      <w:tr w:rsidR="004D3060" w:rsidRPr="005F0E05" w14:paraId="442AEA57" w14:textId="77777777">
        <w:trPr>
          <w:trHeight w:val="85"/>
        </w:trPr>
        <w:tc>
          <w:tcPr>
            <w:tcW w:w="889" w:type="pct"/>
            <w:tcBorders>
              <w:top w:val="nil"/>
              <w:left w:val="single" w:sz="4" w:space="0" w:color="auto"/>
              <w:bottom w:val="single" w:sz="4" w:space="0" w:color="auto"/>
              <w:right w:val="single" w:sz="4" w:space="0" w:color="auto"/>
            </w:tcBorders>
            <w:shd w:val="clear" w:color="auto" w:fill="auto"/>
            <w:vAlign w:val="center"/>
            <w:hideMark/>
          </w:tcPr>
          <w:p w14:paraId="3C4A78E0" w14:textId="77777777" w:rsidR="004D3060" w:rsidRPr="005F0E05" w:rsidRDefault="004D3060">
            <w:pPr>
              <w:spacing w:before="0" w:after="0"/>
              <w:jc w:val="both"/>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1. Efecto en costos de los usuarios</w:t>
            </w:r>
          </w:p>
        </w:tc>
        <w:tc>
          <w:tcPr>
            <w:tcW w:w="343" w:type="pct"/>
            <w:tcBorders>
              <w:top w:val="nil"/>
              <w:left w:val="nil"/>
              <w:bottom w:val="single" w:sz="4" w:space="0" w:color="auto"/>
              <w:right w:val="single" w:sz="4" w:space="0" w:color="auto"/>
            </w:tcBorders>
            <w:shd w:val="clear" w:color="D0E0E3" w:fill="F8CBAD"/>
            <w:vAlign w:val="center"/>
            <w:hideMark/>
          </w:tcPr>
          <w:p w14:paraId="100C041E" w14:textId="77777777" w:rsidR="004D3060" w:rsidRPr="005F0E05" w:rsidRDefault="004D3060">
            <w:pPr>
              <w:spacing w:before="0" w:after="0"/>
              <w:jc w:val="center"/>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50%</w:t>
            </w:r>
          </w:p>
        </w:tc>
        <w:tc>
          <w:tcPr>
            <w:tcW w:w="822" w:type="pct"/>
            <w:tcBorders>
              <w:top w:val="nil"/>
              <w:left w:val="nil"/>
              <w:bottom w:val="single" w:sz="4" w:space="0" w:color="auto"/>
              <w:right w:val="single" w:sz="4" w:space="0" w:color="auto"/>
            </w:tcBorders>
            <w:shd w:val="clear" w:color="EAD1DC" w:fill="DCDADA"/>
            <w:vAlign w:val="center"/>
            <w:hideMark/>
          </w:tcPr>
          <w:p w14:paraId="3806A51A"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no hay beneficio en costo para los usuarios</w:t>
            </w:r>
          </w:p>
        </w:tc>
        <w:tc>
          <w:tcPr>
            <w:tcW w:w="822" w:type="pct"/>
            <w:tcBorders>
              <w:top w:val="nil"/>
              <w:left w:val="nil"/>
              <w:bottom w:val="single" w:sz="4" w:space="0" w:color="auto"/>
              <w:right w:val="single" w:sz="4" w:space="0" w:color="auto"/>
            </w:tcBorders>
            <w:shd w:val="clear" w:color="EAD1DC" w:fill="DCDADA"/>
            <w:vAlign w:val="center"/>
            <w:hideMark/>
          </w:tcPr>
          <w:p w14:paraId="71F8A4BE"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hay un poco de beneficio en costo para el usuario </w:t>
            </w:r>
          </w:p>
        </w:tc>
        <w:tc>
          <w:tcPr>
            <w:tcW w:w="685" w:type="pct"/>
            <w:tcBorders>
              <w:top w:val="nil"/>
              <w:left w:val="nil"/>
              <w:bottom w:val="single" w:sz="4" w:space="0" w:color="auto"/>
              <w:right w:val="single" w:sz="4" w:space="0" w:color="auto"/>
            </w:tcBorders>
            <w:shd w:val="clear" w:color="EAD1DC" w:fill="DCDADA"/>
            <w:vAlign w:val="center"/>
            <w:hideMark/>
          </w:tcPr>
          <w:p w14:paraId="6AD5061B"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hay un beneficio en costo para el usuario</w:t>
            </w:r>
          </w:p>
        </w:tc>
        <w:tc>
          <w:tcPr>
            <w:tcW w:w="685" w:type="pct"/>
            <w:tcBorders>
              <w:top w:val="nil"/>
              <w:left w:val="nil"/>
              <w:bottom w:val="single" w:sz="4" w:space="0" w:color="auto"/>
              <w:right w:val="single" w:sz="4" w:space="0" w:color="auto"/>
            </w:tcBorders>
            <w:shd w:val="clear" w:color="EAD1DC" w:fill="DCDADA"/>
            <w:vAlign w:val="center"/>
            <w:hideMark/>
          </w:tcPr>
          <w:p w14:paraId="09582808"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se tiene un buen beneficio en costo para el usuario</w:t>
            </w:r>
          </w:p>
        </w:tc>
        <w:tc>
          <w:tcPr>
            <w:tcW w:w="754" w:type="pct"/>
            <w:tcBorders>
              <w:top w:val="nil"/>
              <w:left w:val="nil"/>
              <w:bottom w:val="single" w:sz="4" w:space="0" w:color="auto"/>
              <w:right w:val="single" w:sz="4" w:space="0" w:color="auto"/>
            </w:tcBorders>
            <w:shd w:val="clear" w:color="EAD1DC" w:fill="DCDADA"/>
            <w:vAlign w:val="center"/>
            <w:hideMark/>
          </w:tcPr>
          <w:p w14:paraId="160475E1"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se tiene un alto beneficio en costo para el usuario</w:t>
            </w:r>
          </w:p>
        </w:tc>
      </w:tr>
      <w:tr w:rsidR="004D3060" w:rsidRPr="005F0E05" w14:paraId="6B644A11" w14:textId="77777777">
        <w:trPr>
          <w:trHeight w:val="85"/>
        </w:trPr>
        <w:tc>
          <w:tcPr>
            <w:tcW w:w="889" w:type="pct"/>
            <w:tcBorders>
              <w:top w:val="nil"/>
              <w:left w:val="single" w:sz="4" w:space="0" w:color="auto"/>
              <w:bottom w:val="single" w:sz="4" w:space="0" w:color="auto"/>
              <w:right w:val="single" w:sz="4" w:space="0" w:color="auto"/>
            </w:tcBorders>
            <w:shd w:val="clear" w:color="auto" w:fill="auto"/>
            <w:vAlign w:val="center"/>
            <w:hideMark/>
          </w:tcPr>
          <w:p w14:paraId="3D6CEEE3" w14:textId="77777777" w:rsidR="004D3060" w:rsidRPr="005F0E05" w:rsidRDefault="004D3060">
            <w:pPr>
              <w:spacing w:before="0" w:after="0"/>
              <w:jc w:val="both"/>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2. Mejora en la calidad del servicio comercial</w:t>
            </w:r>
          </w:p>
        </w:tc>
        <w:tc>
          <w:tcPr>
            <w:tcW w:w="343" w:type="pct"/>
            <w:tcBorders>
              <w:top w:val="nil"/>
              <w:left w:val="nil"/>
              <w:bottom w:val="single" w:sz="4" w:space="0" w:color="auto"/>
              <w:right w:val="single" w:sz="4" w:space="0" w:color="auto"/>
            </w:tcBorders>
            <w:shd w:val="clear" w:color="D0E0E3" w:fill="F8CBAD"/>
            <w:vAlign w:val="center"/>
            <w:hideMark/>
          </w:tcPr>
          <w:p w14:paraId="171547CB" w14:textId="77777777" w:rsidR="004D3060" w:rsidRPr="005F0E05" w:rsidRDefault="004D3060">
            <w:pPr>
              <w:spacing w:before="0" w:after="0"/>
              <w:jc w:val="center"/>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20%</w:t>
            </w:r>
          </w:p>
        </w:tc>
        <w:tc>
          <w:tcPr>
            <w:tcW w:w="822" w:type="pct"/>
            <w:tcBorders>
              <w:top w:val="nil"/>
              <w:left w:val="nil"/>
              <w:bottom w:val="single" w:sz="4" w:space="0" w:color="auto"/>
              <w:right w:val="single" w:sz="4" w:space="0" w:color="auto"/>
            </w:tcBorders>
            <w:shd w:val="clear" w:color="EAD1DC" w:fill="DCDADA"/>
            <w:vAlign w:val="center"/>
            <w:hideMark/>
          </w:tcPr>
          <w:p w14:paraId="266FFB9B"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no hay mejora en la calidad comercial</w:t>
            </w:r>
          </w:p>
        </w:tc>
        <w:tc>
          <w:tcPr>
            <w:tcW w:w="822" w:type="pct"/>
            <w:tcBorders>
              <w:top w:val="nil"/>
              <w:left w:val="nil"/>
              <w:bottom w:val="single" w:sz="4" w:space="0" w:color="auto"/>
              <w:right w:val="single" w:sz="4" w:space="0" w:color="auto"/>
            </w:tcBorders>
            <w:shd w:val="clear" w:color="EAD1DC" w:fill="DCDADA"/>
            <w:vAlign w:val="center"/>
            <w:hideMark/>
          </w:tcPr>
          <w:p w14:paraId="31144060"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se tiene un poco de mejora en la calidad comercial </w:t>
            </w:r>
          </w:p>
        </w:tc>
        <w:tc>
          <w:tcPr>
            <w:tcW w:w="685" w:type="pct"/>
            <w:tcBorders>
              <w:top w:val="nil"/>
              <w:left w:val="nil"/>
              <w:bottom w:val="single" w:sz="4" w:space="0" w:color="auto"/>
              <w:right w:val="single" w:sz="4" w:space="0" w:color="auto"/>
            </w:tcBorders>
            <w:shd w:val="clear" w:color="EAD1DC" w:fill="DCDADA"/>
            <w:vAlign w:val="center"/>
            <w:hideMark/>
          </w:tcPr>
          <w:p w14:paraId="70F67F42"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se tiene una mejora en la calidad comercial</w:t>
            </w:r>
          </w:p>
        </w:tc>
        <w:tc>
          <w:tcPr>
            <w:tcW w:w="685" w:type="pct"/>
            <w:tcBorders>
              <w:top w:val="nil"/>
              <w:left w:val="nil"/>
              <w:bottom w:val="single" w:sz="4" w:space="0" w:color="auto"/>
              <w:right w:val="single" w:sz="4" w:space="0" w:color="auto"/>
            </w:tcBorders>
            <w:shd w:val="clear" w:color="EAD1DC" w:fill="DCDADA"/>
            <w:vAlign w:val="center"/>
            <w:hideMark/>
          </w:tcPr>
          <w:p w14:paraId="3B7D05C1"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se tiene una buena mejora en la calidad comercial </w:t>
            </w:r>
          </w:p>
        </w:tc>
        <w:tc>
          <w:tcPr>
            <w:tcW w:w="754" w:type="pct"/>
            <w:tcBorders>
              <w:top w:val="nil"/>
              <w:left w:val="nil"/>
              <w:bottom w:val="single" w:sz="4" w:space="0" w:color="auto"/>
              <w:right w:val="single" w:sz="4" w:space="0" w:color="auto"/>
            </w:tcBorders>
            <w:shd w:val="clear" w:color="EAD1DC" w:fill="DCDADA"/>
            <w:vAlign w:val="center"/>
            <w:hideMark/>
          </w:tcPr>
          <w:p w14:paraId="4652A3D7"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se tiene una alta mejora en la calidad comercial</w:t>
            </w:r>
          </w:p>
        </w:tc>
      </w:tr>
      <w:tr w:rsidR="004D3060" w:rsidRPr="005F0E05" w14:paraId="1E71C333" w14:textId="77777777">
        <w:trPr>
          <w:trHeight w:val="85"/>
        </w:trPr>
        <w:tc>
          <w:tcPr>
            <w:tcW w:w="889" w:type="pct"/>
            <w:tcBorders>
              <w:top w:val="nil"/>
              <w:left w:val="single" w:sz="4" w:space="0" w:color="auto"/>
              <w:bottom w:val="single" w:sz="4" w:space="0" w:color="auto"/>
              <w:right w:val="single" w:sz="4" w:space="0" w:color="auto"/>
            </w:tcBorders>
            <w:shd w:val="clear" w:color="auto" w:fill="auto"/>
            <w:vAlign w:val="center"/>
            <w:hideMark/>
          </w:tcPr>
          <w:p w14:paraId="017A5BA6" w14:textId="77777777" w:rsidR="004D3060" w:rsidRPr="005F0E05" w:rsidRDefault="004D3060">
            <w:pPr>
              <w:spacing w:before="0" w:after="0"/>
              <w:jc w:val="both"/>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3.    Acceso a la información</w:t>
            </w:r>
          </w:p>
        </w:tc>
        <w:tc>
          <w:tcPr>
            <w:tcW w:w="343" w:type="pct"/>
            <w:tcBorders>
              <w:top w:val="nil"/>
              <w:left w:val="nil"/>
              <w:bottom w:val="single" w:sz="4" w:space="0" w:color="auto"/>
              <w:right w:val="single" w:sz="4" w:space="0" w:color="auto"/>
            </w:tcBorders>
            <w:shd w:val="clear" w:color="D0E0E3" w:fill="F8CBAD"/>
            <w:vAlign w:val="center"/>
            <w:hideMark/>
          </w:tcPr>
          <w:p w14:paraId="4E1AB151" w14:textId="77777777" w:rsidR="004D3060" w:rsidRPr="005F0E05" w:rsidRDefault="004D3060">
            <w:pPr>
              <w:spacing w:before="0" w:after="0"/>
              <w:jc w:val="center"/>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10%</w:t>
            </w:r>
          </w:p>
        </w:tc>
        <w:tc>
          <w:tcPr>
            <w:tcW w:w="822" w:type="pct"/>
            <w:tcBorders>
              <w:top w:val="nil"/>
              <w:left w:val="nil"/>
              <w:bottom w:val="single" w:sz="4" w:space="0" w:color="auto"/>
              <w:right w:val="single" w:sz="4" w:space="0" w:color="auto"/>
            </w:tcBorders>
            <w:shd w:val="clear" w:color="EAD1DC" w:fill="DCDADA"/>
            <w:vAlign w:val="center"/>
            <w:hideMark/>
          </w:tcPr>
          <w:p w14:paraId="71114B3D"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no hay mejora al acceso a la información</w:t>
            </w:r>
          </w:p>
        </w:tc>
        <w:tc>
          <w:tcPr>
            <w:tcW w:w="822" w:type="pct"/>
            <w:tcBorders>
              <w:top w:val="nil"/>
              <w:left w:val="nil"/>
              <w:bottom w:val="single" w:sz="4" w:space="0" w:color="auto"/>
              <w:right w:val="single" w:sz="4" w:space="0" w:color="auto"/>
            </w:tcBorders>
            <w:shd w:val="clear" w:color="EAD1DC" w:fill="DCDADA"/>
            <w:vAlign w:val="center"/>
            <w:hideMark/>
          </w:tcPr>
          <w:p w14:paraId="3F804E28"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es indiferente la mejora al acceso de la información</w:t>
            </w:r>
          </w:p>
        </w:tc>
        <w:tc>
          <w:tcPr>
            <w:tcW w:w="685" w:type="pct"/>
            <w:tcBorders>
              <w:top w:val="nil"/>
              <w:left w:val="nil"/>
              <w:bottom w:val="single" w:sz="4" w:space="0" w:color="auto"/>
              <w:right w:val="single" w:sz="4" w:space="0" w:color="auto"/>
            </w:tcBorders>
            <w:shd w:val="clear" w:color="EAD1DC" w:fill="DCDADA"/>
            <w:vAlign w:val="center"/>
            <w:hideMark/>
          </w:tcPr>
          <w:p w14:paraId="38433D0F"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se tiene un poco de mejora en el acceso a la información</w:t>
            </w:r>
          </w:p>
        </w:tc>
        <w:tc>
          <w:tcPr>
            <w:tcW w:w="685" w:type="pct"/>
            <w:tcBorders>
              <w:top w:val="nil"/>
              <w:left w:val="nil"/>
              <w:bottom w:val="single" w:sz="4" w:space="0" w:color="auto"/>
              <w:right w:val="single" w:sz="4" w:space="0" w:color="auto"/>
            </w:tcBorders>
            <w:shd w:val="clear" w:color="EAD1DC" w:fill="DCDADA"/>
            <w:vAlign w:val="center"/>
            <w:hideMark/>
          </w:tcPr>
          <w:p w14:paraId="068A2AD7"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se tiene una buena mejora al acceso de la información</w:t>
            </w:r>
          </w:p>
        </w:tc>
        <w:tc>
          <w:tcPr>
            <w:tcW w:w="754" w:type="pct"/>
            <w:tcBorders>
              <w:top w:val="nil"/>
              <w:left w:val="nil"/>
              <w:bottom w:val="single" w:sz="4" w:space="0" w:color="auto"/>
              <w:right w:val="single" w:sz="4" w:space="0" w:color="auto"/>
            </w:tcBorders>
            <w:shd w:val="clear" w:color="EAD1DC" w:fill="DCDADA"/>
            <w:vAlign w:val="center"/>
            <w:hideMark/>
          </w:tcPr>
          <w:p w14:paraId="7D9A2B08"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Cuando se tiene una alta mejora en el acceso de la información</w:t>
            </w:r>
          </w:p>
        </w:tc>
      </w:tr>
      <w:tr w:rsidR="004D3060" w:rsidRPr="005F0E05" w14:paraId="1C6CE658" w14:textId="77777777">
        <w:trPr>
          <w:trHeight w:val="85"/>
        </w:trPr>
        <w:tc>
          <w:tcPr>
            <w:tcW w:w="889" w:type="pct"/>
            <w:tcBorders>
              <w:top w:val="nil"/>
              <w:left w:val="single" w:sz="4" w:space="0" w:color="auto"/>
              <w:bottom w:val="single" w:sz="4" w:space="0" w:color="auto"/>
              <w:right w:val="single" w:sz="4" w:space="0" w:color="auto"/>
            </w:tcBorders>
            <w:shd w:val="clear" w:color="auto" w:fill="auto"/>
            <w:vAlign w:val="center"/>
            <w:hideMark/>
          </w:tcPr>
          <w:p w14:paraId="0D5A4795" w14:textId="77777777" w:rsidR="004D3060" w:rsidRPr="005F0E05" w:rsidRDefault="004D3060">
            <w:pPr>
              <w:spacing w:before="0" w:after="0"/>
              <w:jc w:val="both"/>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4. Costos para los agentes</w:t>
            </w:r>
          </w:p>
        </w:tc>
        <w:tc>
          <w:tcPr>
            <w:tcW w:w="343" w:type="pct"/>
            <w:tcBorders>
              <w:top w:val="nil"/>
              <w:left w:val="nil"/>
              <w:bottom w:val="single" w:sz="4" w:space="0" w:color="auto"/>
              <w:right w:val="single" w:sz="4" w:space="0" w:color="auto"/>
            </w:tcBorders>
            <w:shd w:val="clear" w:color="000000" w:fill="F8CBAD"/>
            <w:noWrap/>
            <w:vAlign w:val="center"/>
            <w:hideMark/>
          </w:tcPr>
          <w:p w14:paraId="5B78E09D" w14:textId="77777777" w:rsidR="004D3060" w:rsidRPr="005F0E05" w:rsidRDefault="004D3060">
            <w:pPr>
              <w:spacing w:before="0" w:after="0"/>
              <w:jc w:val="center"/>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15%</w:t>
            </w:r>
          </w:p>
        </w:tc>
        <w:tc>
          <w:tcPr>
            <w:tcW w:w="822" w:type="pct"/>
            <w:tcBorders>
              <w:top w:val="nil"/>
              <w:left w:val="nil"/>
              <w:bottom w:val="single" w:sz="4" w:space="0" w:color="auto"/>
              <w:right w:val="single" w:sz="4" w:space="0" w:color="auto"/>
            </w:tcBorders>
            <w:shd w:val="clear" w:color="EAD1DC" w:fill="DCDADA"/>
            <w:vAlign w:val="center"/>
            <w:hideMark/>
          </w:tcPr>
          <w:p w14:paraId="474DDDCC"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hay un alto incremento en los costos y gastos </w:t>
            </w:r>
            <w:r>
              <w:rPr>
                <w:rFonts w:ascii="Arial" w:eastAsia="Times New Roman" w:hAnsi="Arial" w:cs="Arial"/>
                <w:color w:val="000000"/>
                <w:sz w:val="18"/>
                <w:szCs w:val="18"/>
                <w:lang w:eastAsia="es-CO"/>
              </w:rPr>
              <w:t xml:space="preserve">en </w:t>
            </w:r>
            <w:r w:rsidRPr="005F0E05">
              <w:rPr>
                <w:rFonts w:ascii="Arial" w:eastAsia="Times New Roman" w:hAnsi="Arial" w:cs="Arial"/>
                <w:color w:val="000000"/>
                <w:sz w:val="18"/>
                <w:szCs w:val="18"/>
                <w:lang w:eastAsia="es-CO"/>
              </w:rPr>
              <w:t xml:space="preserve">que deben </w:t>
            </w:r>
            <w:r>
              <w:rPr>
                <w:rFonts w:ascii="Arial" w:eastAsia="Times New Roman" w:hAnsi="Arial" w:cs="Arial"/>
                <w:color w:val="000000"/>
                <w:sz w:val="18"/>
                <w:szCs w:val="18"/>
                <w:lang w:eastAsia="es-CO"/>
              </w:rPr>
              <w:t>incurrir las empresas</w:t>
            </w:r>
            <w:r w:rsidRPr="005F0E05">
              <w:rPr>
                <w:rFonts w:ascii="Arial" w:eastAsia="Times New Roman" w:hAnsi="Arial" w:cs="Arial"/>
                <w:color w:val="000000"/>
                <w:sz w:val="18"/>
                <w:szCs w:val="18"/>
                <w:lang w:eastAsia="es-CO"/>
              </w:rPr>
              <w:t xml:space="preserve"> </w:t>
            </w:r>
          </w:p>
        </w:tc>
        <w:tc>
          <w:tcPr>
            <w:tcW w:w="822" w:type="pct"/>
            <w:tcBorders>
              <w:top w:val="nil"/>
              <w:left w:val="nil"/>
              <w:bottom w:val="single" w:sz="4" w:space="0" w:color="auto"/>
              <w:right w:val="single" w:sz="4" w:space="0" w:color="auto"/>
            </w:tcBorders>
            <w:shd w:val="clear" w:color="EAD1DC" w:fill="DCDADA"/>
            <w:vAlign w:val="center"/>
            <w:hideMark/>
          </w:tcPr>
          <w:p w14:paraId="1142B121"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hay un buen incremento en los costos y gastos </w:t>
            </w:r>
            <w:r>
              <w:rPr>
                <w:rFonts w:ascii="Arial" w:eastAsia="Times New Roman" w:hAnsi="Arial" w:cs="Arial"/>
                <w:color w:val="000000"/>
                <w:sz w:val="18"/>
                <w:szCs w:val="18"/>
                <w:lang w:eastAsia="es-CO"/>
              </w:rPr>
              <w:t xml:space="preserve">en </w:t>
            </w:r>
            <w:r w:rsidRPr="005F0E05">
              <w:rPr>
                <w:rFonts w:ascii="Arial" w:eastAsia="Times New Roman" w:hAnsi="Arial" w:cs="Arial"/>
                <w:color w:val="000000"/>
                <w:sz w:val="18"/>
                <w:szCs w:val="18"/>
                <w:lang w:eastAsia="es-CO"/>
              </w:rPr>
              <w:t xml:space="preserve">que deben </w:t>
            </w:r>
            <w:r>
              <w:rPr>
                <w:rFonts w:ascii="Arial" w:eastAsia="Times New Roman" w:hAnsi="Arial" w:cs="Arial"/>
                <w:color w:val="000000"/>
                <w:sz w:val="18"/>
                <w:szCs w:val="18"/>
                <w:lang w:eastAsia="es-CO"/>
              </w:rPr>
              <w:t>incurrir las empresas.</w:t>
            </w:r>
            <w:r w:rsidRPr="005F0E05">
              <w:rPr>
                <w:rFonts w:ascii="Arial" w:eastAsia="Times New Roman" w:hAnsi="Arial" w:cs="Arial"/>
                <w:color w:val="000000"/>
                <w:sz w:val="18"/>
                <w:szCs w:val="18"/>
                <w:lang w:eastAsia="es-CO"/>
              </w:rPr>
              <w:t xml:space="preserve"> </w:t>
            </w:r>
          </w:p>
        </w:tc>
        <w:tc>
          <w:tcPr>
            <w:tcW w:w="685" w:type="pct"/>
            <w:tcBorders>
              <w:top w:val="nil"/>
              <w:left w:val="nil"/>
              <w:bottom w:val="single" w:sz="4" w:space="0" w:color="auto"/>
              <w:right w:val="single" w:sz="4" w:space="0" w:color="auto"/>
            </w:tcBorders>
            <w:shd w:val="clear" w:color="EAD1DC" w:fill="DCDADA"/>
            <w:vAlign w:val="center"/>
            <w:hideMark/>
          </w:tcPr>
          <w:p w14:paraId="4692068B"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hay un incremento en los costos y gastos </w:t>
            </w:r>
            <w:r>
              <w:rPr>
                <w:rFonts w:ascii="Arial" w:eastAsia="Times New Roman" w:hAnsi="Arial" w:cs="Arial"/>
                <w:color w:val="000000"/>
                <w:sz w:val="18"/>
                <w:szCs w:val="18"/>
                <w:lang w:eastAsia="es-CO"/>
              </w:rPr>
              <w:t xml:space="preserve">en </w:t>
            </w:r>
            <w:r w:rsidRPr="005F0E05">
              <w:rPr>
                <w:rFonts w:ascii="Arial" w:eastAsia="Times New Roman" w:hAnsi="Arial" w:cs="Arial"/>
                <w:color w:val="000000"/>
                <w:sz w:val="18"/>
                <w:szCs w:val="18"/>
                <w:lang w:eastAsia="es-CO"/>
              </w:rPr>
              <w:t xml:space="preserve">que deben </w:t>
            </w:r>
            <w:r>
              <w:rPr>
                <w:rFonts w:ascii="Arial" w:eastAsia="Times New Roman" w:hAnsi="Arial" w:cs="Arial"/>
                <w:color w:val="000000"/>
                <w:sz w:val="18"/>
                <w:szCs w:val="18"/>
                <w:lang w:eastAsia="es-CO"/>
              </w:rPr>
              <w:t>incurrir las empresas</w:t>
            </w:r>
            <w:r w:rsidRPr="005F0E05">
              <w:rPr>
                <w:rFonts w:ascii="Arial" w:eastAsia="Times New Roman" w:hAnsi="Arial" w:cs="Arial"/>
                <w:color w:val="000000"/>
                <w:sz w:val="18"/>
                <w:szCs w:val="18"/>
                <w:lang w:eastAsia="es-CO"/>
              </w:rPr>
              <w:t xml:space="preserve"> </w:t>
            </w:r>
          </w:p>
        </w:tc>
        <w:tc>
          <w:tcPr>
            <w:tcW w:w="685" w:type="pct"/>
            <w:tcBorders>
              <w:top w:val="nil"/>
              <w:left w:val="nil"/>
              <w:bottom w:val="single" w:sz="4" w:space="0" w:color="auto"/>
              <w:right w:val="single" w:sz="4" w:space="0" w:color="auto"/>
            </w:tcBorders>
            <w:shd w:val="clear" w:color="EAD1DC" w:fill="DCDADA"/>
            <w:vAlign w:val="center"/>
            <w:hideMark/>
          </w:tcPr>
          <w:p w14:paraId="6B11EE3E"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se tiene un bajo incremento en los costos y gastos </w:t>
            </w:r>
            <w:r>
              <w:rPr>
                <w:rFonts w:ascii="Arial" w:eastAsia="Times New Roman" w:hAnsi="Arial" w:cs="Arial"/>
                <w:color w:val="000000"/>
                <w:sz w:val="18"/>
                <w:szCs w:val="18"/>
                <w:lang w:eastAsia="es-CO"/>
              </w:rPr>
              <w:t xml:space="preserve">en </w:t>
            </w:r>
            <w:r w:rsidRPr="005F0E05">
              <w:rPr>
                <w:rFonts w:ascii="Arial" w:eastAsia="Times New Roman" w:hAnsi="Arial" w:cs="Arial"/>
                <w:color w:val="000000"/>
                <w:sz w:val="18"/>
                <w:szCs w:val="18"/>
                <w:lang w:eastAsia="es-CO"/>
              </w:rPr>
              <w:t xml:space="preserve">que deben </w:t>
            </w:r>
            <w:r>
              <w:rPr>
                <w:rFonts w:ascii="Arial" w:eastAsia="Times New Roman" w:hAnsi="Arial" w:cs="Arial"/>
                <w:color w:val="000000"/>
                <w:sz w:val="18"/>
                <w:szCs w:val="18"/>
                <w:lang w:eastAsia="es-CO"/>
              </w:rPr>
              <w:t>incurrir las empresas</w:t>
            </w:r>
          </w:p>
        </w:tc>
        <w:tc>
          <w:tcPr>
            <w:tcW w:w="754" w:type="pct"/>
            <w:tcBorders>
              <w:top w:val="nil"/>
              <w:left w:val="nil"/>
              <w:bottom w:val="single" w:sz="4" w:space="0" w:color="auto"/>
              <w:right w:val="single" w:sz="4" w:space="0" w:color="auto"/>
            </w:tcBorders>
            <w:shd w:val="clear" w:color="EAD1DC" w:fill="DCDADA"/>
            <w:vAlign w:val="center"/>
            <w:hideMark/>
          </w:tcPr>
          <w:p w14:paraId="29EDA202" w14:textId="77777777" w:rsidR="004D3060" w:rsidRPr="005F0E05" w:rsidRDefault="004D3060">
            <w:pPr>
              <w:spacing w:before="0" w:after="0"/>
              <w:ind w:hanging="1884"/>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se tiene nada de incremento en los costos y gastos que deben </w:t>
            </w:r>
            <w:r>
              <w:rPr>
                <w:rFonts w:ascii="Arial" w:eastAsia="Times New Roman" w:hAnsi="Arial" w:cs="Arial"/>
                <w:color w:val="000000"/>
                <w:sz w:val="18"/>
                <w:szCs w:val="18"/>
                <w:lang w:eastAsia="es-CO"/>
              </w:rPr>
              <w:t>incurrir las empresas</w:t>
            </w:r>
          </w:p>
        </w:tc>
      </w:tr>
      <w:tr w:rsidR="004D3060" w:rsidRPr="005F0E05" w14:paraId="397C2A3F" w14:textId="77777777">
        <w:trPr>
          <w:trHeight w:val="85"/>
        </w:trPr>
        <w:tc>
          <w:tcPr>
            <w:tcW w:w="889" w:type="pct"/>
            <w:tcBorders>
              <w:top w:val="nil"/>
              <w:left w:val="single" w:sz="4" w:space="0" w:color="auto"/>
              <w:bottom w:val="single" w:sz="4" w:space="0" w:color="auto"/>
              <w:right w:val="single" w:sz="4" w:space="0" w:color="auto"/>
            </w:tcBorders>
            <w:shd w:val="clear" w:color="auto" w:fill="auto"/>
            <w:vAlign w:val="center"/>
            <w:hideMark/>
          </w:tcPr>
          <w:p w14:paraId="18CD799D" w14:textId="77777777" w:rsidR="004D3060" w:rsidRPr="005F0E05" w:rsidRDefault="004D3060">
            <w:pPr>
              <w:spacing w:before="0" w:after="0"/>
              <w:jc w:val="both"/>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5. Simplicidad en la aplicación</w:t>
            </w:r>
          </w:p>
        </w:tc>
        <w:tc>
          <w:tcPr>
            <w:tcW w:w="343" w:type="pct"/>
            <w:tcBorders>
              <w:top w:val="nil"/>
              <w:left w:val="nil"/>
              <w:bottom w:val="single" w:sz="4" w:space="0" w:color="auto"/>
              <w:right w:val="single" w:sz="4" w:space="0" w:color="auto"/>
            </w:tcBorders>
            <w:shd w:val="clear" w:color="000000" w:fill="F8CBAD"/>
            <w:noWrap/>
            <w:vAlign w:val="center"/>
            <w:hideMark/>
          </w:tcPr>
          <w:p w14:paraId="1DBF45FE" w14:textId="77777777" w:rsidR="004D3060" w:rsidRPr="005F0E05" w:rsidRDefault="004D3060">
            <w:pPr>
              <w:spacing w:before="0" w:after="0"/>
              <w:jc w:val="center"/>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5%</w:t>
            </w:r>
          </w:p>
        </w:tc>
        <w:tc>
          <w:tcPr>
            <w:tcW w:w="822" w:type="pct"/>
            <w:tcBorders>
              <w:top w:val="nil"/>
              <w:left w:val="nil"/>
              <w:bottom w:val="single" w:sz="4" w:space="0" w:color="auto"/>
              <w:right w:val="single" w:sz="4" w:space="0" w:color="auto"/>
            </w:tcBorders>
            <w:shd w:val="clear" w:color="EAD1DC" w:fill="DCDADA"/>
            <w:vAlign w:val="center"/>
            <w:hideMark/>
          </w:tcPr>
          <w:p w14:paraId="4DECDF77"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es altamente compleja la aplicación de la metodología </w:t>
            </w:r>
          </w:p>
        </w:tc>
        <w:tc>
          <w:tcPr>
            <w:tcW w:w="822" w:type="pct"/>
            <w:tcBorders>
              <w:top w:val="nil"/>
              <w:left w:val="nil"/>
              <w:bottom w:val="single" w:sz="4" w:space="0" w:color="auto"/>
              <w:right w:val="single" w:sz="4" w:space="0" w:color="auto"/>
            </w:tcBorders>
            <w:shd w:val="clear" w:color="EAD1DC" w:fill="DCDADA"/>
            <w:vAlign w:val="center"/>
            <w:hideMark/>
          </w:tcPr>
          <w:p w14:paraId="1345A8EE"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es compleja la aplicación de la metodología </w:t>
            </w:r>
          </w:p>
        </w:tc>
        <w:tc>
          <w:tcPr>
            <w:tcW w:w="685" w:type="pct"/>
            <w:tcBorders>
              <w:top w:val="nil"/>
              <w:left w:val="nil"/>
              <w:bottom w:val="single" w:sz="4" w:space="0" w:color="auto"/>
              <w:right w:val="single" w:sz="4" w:space="0" w:color="auto"/>
            </w:tcBorders>
            <w:shd w:val="clear" w:color="EAD1DC" w:fill="DCDADA"/>
            <w:vAlign w:val="center"/>
            <w:hideMark/>
          </w:tcPr>
          <w:p w14:paraId="726E7DFC"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es medianamente compleja la aplicación de la metodología </w:t>
            </w:r>
          </w:p>
        </w:tc>
        <w:tc>
          <w:tcPr>
            <w:tcW w:w="685" w:type="pct"/>
            <w:tcBorders>
              <w:top w:val="nil"/>
              <w:left w:val="nil"/>
              <w:bottom w:val="single" w:sz="4" w:space="0" w:color="auto"/>
              <w:right w:val="single" w:sz="4" w:space="0" w:color="auto"/>
            </w:tcBorders>
            <w:shd w:val="clear" w:color="EAD1DC" w:fill="DCDADA"/>
            <w:vAlign w:val="center"/>
            <w:hideMark/>
          </w:tcPr>
          <w:p w14:paraId="13E43059"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es poco compleja la aplicación de la metodología </w:t>
            </w:r>
          </w:p>
        </w:tc>
        <w:tc>
          <w:tcPr>
            <w:tcW w:w="754" w:type="pct"/>
            <w:tcBorders>
              <w:top w:val="nil"/>
              <w:left w:val="nil"/>
              <w:bottom w:val="single" w:sz="4" w:space="0" w:color="auto"/>
              <w:right w:val="single" w:sz="4" w:space="0" w:color="auto"/>
            </w:tcBorders>
            <w:shd w:val="clear" w:color="EAD1DC" w:fill="DCDADA"/>
            <w:vAlign w:val="center"/>
            <w:hideMark/>
          </w:tcPr>
          <w:p w14:paraId="341F8D4A"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xml:space="preserve">Cuando no es nada compleja la aplicación de la metodología </w:t>
            </w:r>
          </w:p>
        </w:tc>
      </w:tr>
      <w:tr w:rsidR="004D3060" w:rsidRPr="005F0E05" w14:paraId="6B30625B" w14:textId="77777777">
        <w:trPr>
          <w:trHeight w:val="290"/>
        </w:trPr>
        <w:tc>
          <w:tcPr>
            <w:tcW w:w="889" w:type="pct"/>
            <w:tcBorders>
              <w:top w:val="nil"/>
              <w:left w:val="single" w:sz="4" w:space="0" w:color="auto"/>
              <w:bottom w:val="single" w:sz="4" w:space="0" w:color="auto"/>
              <w:right w:val="single" w:sz="4" w:space="0" w:color="auto"/>
            </w:tcBorders>
            <w:shd w:val="clear" w:color="auto" w:fill="auto"/>
            <w:vAlign w:val="center"/>
            <w:hideMark/>
          </w:tcPr>
          <w:p w14:paraId="6B6D8EF9" w14:textId="77777777" w:rsidR="004D3060" w:rsidRPr="005F0E05" w:rsidRDefault="004D3060">
            <w:pPr>
              <w:spacing w:before="0" w:after="0"/>
              <w:jc w:val="both"/>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TOTAL</w:t>
            </w:r>
          </w:p>
        </w:tc>
        <w:tc>
          <w:tcPr>
            <w:tcW w:w="343" w:type="pct"/>
            <w:tcBorders>
              <w:top w:val="nil"/>
              <w:left w:val="nil"/>
              <w:bottom w:val="single" w:sz="4" w:space="0" w:color="auto"/>
              <w:right w:val="single" w:sz="4" w:space="0" w:color="auto"/>
            </w:tcBorders>
            <w:shd w:val="clear" w:color="auto" w:fill="auto"/>
            <w:noWrap/>
            <w:vAlign w:val="bottom"/>
            <w:hideMark/>
          </w:tcPr>
          <w:p w14:paraId="6512C95C" w14:textId="77777777" w:rsidR="004D3060" w:rsidRPr="005F0E05" w:rsidRDefault="004D3060">
            <w:pPr>
              <w:spacing w:before="0" w:after="0"/>
              <w:jc w:val="center"/>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100%</w:t>
            </w:r>
          </w:p>
        </w:tc>
        <w:tc>
          <w:tcPr>
            <w:tcW w:w="822" w:type="pct"/>
            <w:tcBorders>
              <w:top w:val="nil"/>
              <w:left w:val="nil"/>
              <w:bottom w:val="single" w:sz="4" w:space="0" w:color="auto"/>
              <w:right w:val="single" w:sz="4" w:space="0" w:color="auto"/>
            </w:tcBorders>
            <w:shd w:val="clear" w:color="auto" w:fill="auto"/>
            <w:vAlign w:val="center"/>
            <w:hideMark/>
          </w:tcPr>
          <w:p w14:paraId="1CC3C5A3"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w:t>
            </w:r>
          </w:p>
        </w:tc>
        <w:tc>
          <w:tcPr>
            <w:tcW w:w="822" w:type="pct"/>
            <w:tcBorders>
              <w:top w:val="nil"/>
              <w:left w:val="nil"/>
              <w:bottom w:val="single" w:sz="4" w:space="0" w:color="auto"/>
              <w:right w:val="single" w:sz="4" w:space="0" w:color="auto"/>
            </w:tcBorders>
            <w:shd w:val="clear" w:color="auto" w:fill="auto"/>
            <w:vAlign w:val="center"/>
            <w:hideMark/>
          </w:tcPr>
          <w:p w14:paraId="1D81B152"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w:t>
            </w:r>
          </w:p>
        </w:tc>
        <w:tc>
          <w:tcPr>
            <w:tcW w:w="685" w:type="pct"/>
            <w:tcBorders>
              <w:top w:val="nil"/>
              <w:left w:val="nil"/>
              <w:bottom w:val="single" w:sz="4" w:space="0" w:color="auto"/>
              <w:right w:val="single" w:sz="4" w:space="0" w:color="auto"/>
            </w:tcBorders>
            <w:shd w:val="clear" w:color="auto" w:fill="auto"/>
            <w:vAlign w:val="center"/>
            <w:hideMark/>
          </w:tcPr>
          <w:p w14:paraId="137C459F"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w:t>
            </w:r>
          </w:p>
        </w:tc>
        <w:tc>
          <w:tcPr>
            <w:tcW w:w="685" w:type="pct"/>
            <w:tcBorders>
              <w:top w:val="nil"/>
              <w:left w:val="nil"/>
              <w:bottom w:val="single" w:sz="4" w:space="0" w:color="auto"/>
              <w:right w:val="single" w:sz="4" w:space="0" w:color="auto"/>
            </w:tcBorders>
            <w:shd w:val="clear" w:color="auto" w:fill="auto"/>
            <w:vAlign w:val="center"/>
            <w:hideMark/>
          </w:tcPr>
          <w:p w14:paraId="2187AC65"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w:t>
            </w:r>
          </w:p>
        </w:tc>
        <w:tc>
          <w:tcPr>
            <w:tcW w:w="754" w:type="pct"/>
            <w:tcBorders>
              <w:top w:val="nil"/>
              <w:left w:val="nil"/>
              <w:bottom w:val="single" w:sz="4" w:space="0" w:color="auto"/>
              <w:right w:val="single" w:sz="4" w:space="0" w:color="auto"/>
            </w:tcBorders>
            <w:shd w:val="clear" w:color="auto" w:fill="auto"/>
            <w:vAlign w:val="center"/>
            <w:hideMark/>
          </w:tcPr>
          <w:p w14:paraId="6CED6B0A" w14:textId="77777777" w:rsidR="004D3060" w:rsidRPr="005F0E05" w:rsidRDefault="004D3060">
            <w:pPr>
              <w:spacing w:before="0" w:after="0"/>
              <w:rPr>
                <w:rFonts w:ascii="Arial" w:eastAsia="Times New Roman" w:hAnsi="Arial" w:cs="Arial"/>
                <w:color w:val="000000"/>
                <w:sz w:val="18"/>
                <w:szCs w:val="18"/>
                <w:lang w:eastAsia="es-CO"/>
              </w:rPr>
            </w:pPr>
            <w:r w:rsidRPr="005F0E05">
              <w:rPr>
                <w:rFonts w:ascii="Arial" w:eastAsia="Times New Roman" w:hAnsi="Arial" w:cs="Arial"/>
                <w:color w:val="000000"/>
                <w:sz w:val="18"/>
                <w:szCs w:val="18"/>
                <w:lang w:eastAsia="es-CO"/>
              </w:rPr>
              <w:t> </w:t>
            </w:r>
          </w:p>
        </w:tc>
      </w:tr>
    </w:tbl>
    <w:p w14:paraId="0CC7ED7F" w14:textId="1E24A976" w:rsidR="002B0EAC" w:rsidRDefault="002B0EAC" w:rsidP="005851D0">
      <w:pPr>
        <w:jc w:val="both"/>
        <w:rPr>
          <w:rFonts w:ascii="Arial" w:hAnsi="Arial" w:cs="Arial"/>
        </w:rPr>
      </w:pPr>
      <w:r w:rsidRPr="005851D0">
        <w:rPr>
          <w:rFonts w:ascii="Arial" w:hAnsi="Arial" w:cs="Arial"/>
        </w:rPr>
        <w:t>Finalmente se suma y de acuerdo con el mayor puntaje se determina la más beneficiosa.</w:t>
      </w:r>
    </w:p>
    <w:p w14:paraId="1E82D91F" w14:textId="3F95A85C" w:rsidR="00D64653" w:rsidRDefault="00D64653" w:rsidP="00D64653">
      <w:pPr>
        <w:spacing w:after="0"/>
        <w:jc w:val="center"/>
        <w:rPr>
          <w:rFonts w:ascii="Arial" w:hAnsi="Arial" w:cs="Arial"/>
          <w:b/>
          <w:bCs/>
        </w:rPr>
      </w:pPr>
      <w:r w:rsidRPr="00F67AE7">
        <w:rPr>
          <w:rFonts w:ascii="Arial" w:hAnsi="Arial" w:cs="Arial"/>
          <w:b/>
          <w:bCs/>
        </w:rPr>
        <w:t xml:space="preserve">Tabla </w:t>
      </w:r>
      <w:r w:rsidRPr="00F67AE7">
        <w:rPr>
          <w:rFonts w:ascii="Arial" w:hAnsi="Arial" w:cs="Arial"/>
          <w:b/>
          <w:bCs/>
        </w:rPr>
        <w:fldChar w:fldCharType="begin"/>
      </w:r>
      <w:r w:rsidRPr="00F67AE7">
        <w:rPr>
          <w:rFonts w:ascii="Arial" w:hAnsi="Arial" w:cs="Arial"/>
          <w:b/>
          <w:bCs/>
        </w:rPr>
        <w:instrText xml:space="preserve"> SEQ Tabla \* ARABIC </w:instrText>
      </w:r>
      <w:r w:rsidRPr="00F67AE7">
        <w:rPr>
          <w:rFonts w:ascii="Arial" w:hAnsi="Arial" w:cs="Arial"/>
          <w:b/>
          <w:bCs/>
        </w:rPr>
        <w:fldChar w:fldCharType="separate"/>
      </w:r>
      <w:r w:rsidR="002A641D">
        <w:rPr>
          <w:rFonts w:ascii="Arial" w:hAnsi="Arial" w:cs="Arial"/>
          <w:b/>
          <w:bCs/>
          <w:noProof/>
        </w:rPr>
        <w:t>4</w:t>
      </w:r>
      <w:r w:rsidRPr="00F67AE7">
        <w:rPr>
          <w:rFonts w:ascii="Arial" w:hAnsi="Arial" w:cs="Arial"/>
          <w:b/>
          <w:bCs/>
        </w:rPr>
        <w:fldChar w:fldCharType="end"/>
      </w:r>
      <w:r>
        <w:rPr>
          <w:rFonts w:ascii="Arial" w:hAnsi="Arial" w:cs="Arial"/>
          <w:b/>
          <w:bCs/>
        </w:rPr>
        <w:t xml:space="preserve"> Resultados de Evaluación</w:t>
      </w:r>
    </w:p>
    <w:p w14:paraId="1CD0414C" w14:textId="77777777" w:rsidR="00D64653" w:rsidRPr="00F67AE7" w:rsidRDefault="00D64653" w:rsidP="00D64653">
      <w:pPr>
        <w:spacing w:before="0" w:after="0"/>
        <w:jc w:val="center"/>
        <w:rPr>
          <w:rFonts w:ascii="Arial" w:hAnsi="Arial" w:cs="Arial"/>
          <w:b/>
          <w:bCs/>
        </w:rPr>
      </w:pPr>
      <w:r>
        <w:rPr>
          <w:rFonts w:ascii="Arial" w:hAnsi="Arial" w:cs="Arial"/>
          <w:b/>
          <w:bCs/>
        </w:rPr>
        <w:t>Fuente: Elaboración propia</w:t>
      </w:r>
    </w:p>
    <w:tbl>
      <w:tblPr>
        <w:tblW w:w="0" w:type="auto"/>
        <w:jc w:val="center"/>
        <w:tblCellMar>
          <w:left w:w="70" w:type="dxa"/>
          <w:right w:w="70" w:type="dxa"/>
        </w:tblCellMar>
        <w:tblLook w:val="04A0" w:firstRow="1" w:lastRow="0" w:firstColumn="1" w:lastColumn="0" w:noHBand="0" w:noVBand="1"/>
      </w:tblPr>
      <w:tblGrid>
        <w:gridCol w:w="3722"/>
        <w:gridCol w:w="619"/>
        <w:gridCol w:w="797"/>
        <w:gridCol w:w="1097"/>
        <w:gridCol w:w="797"/>
        <w:gridCol w:w="1097"/>
        <w:gridCol w:w="797"/>
        <w:gridCol w:w="1097"/>
      </w:tblGrid>
      <w:tr w:rsidR="00D64653" w:rsidRPr="00952EE0" w14:paraId="418F8B49" w14:textId="77777777" w:rsidTr="00D64653">
        <w:trPr>
          <w:trHeight w:val="67"/>
          <w:jc w:val="center"/>
        </w:trPr>
        <w:tc>
          <w:tcPr>
            <w:tcW w:w="0" w:type="auto"/>
            <w:vMerge w:val="restart"/>
            <w:tcBorders>
              <w:top w:val="single" w:sz="8" w:space="0" w:color="auto"/>
              <w:left w:val="single" w:sz="8" w:space="0" w:color="auto"/>
              <w:bottom w:val="nil"/>
              <w:right w:val="single" w:sz="8" w:space="0" w:color="auto"/>
            </w:tcBorders>
            <w:shd w:val="clear" w:color="000000" w:fill="D9D9D9"/>
            <w:vAlign w:val="center"/>
            <w:hideMark/>
          </w:tcPr>
          <w:p w14:paraId="28B71922" w14:textId="77777777" w:rsidR="00D64653" w:rsidRPr="00952EE0" w:rsidRDefault="00D64653" w:rsidP="00D64653">
            <w:pPr>
              <w:spacing w:before="0" w:after="0"/>
              <w:jc w:val="center"/>
              <w:rPr>
                <w:rFonts w:ascii="Arial" w:eastAsia="Times New Roman" w:hAnsi="Arial" w:cs="Arial"/>
                <w:b/>
                <w:bCs/>
                <w:color w:val="000000"/>
                <w:sz w:val="20"/>
                <w:szCs w:val="20"/>
                <w:lang w:eastAsia="es-CO"/>
              </w:rPr>
            </w:pPr>
            <w:r w:rsidRPr="00952EE0">
              <w:rPr>
                <w:rFonts w:ascii="Arial" w:eastAsia="Times New Roman" w:hAnsi="Arial" w:cs="Arial"/>
                <w:b/>
                <w:bCs/>
                <w:color w:val="000000"/>
                <w:sz w:val="20"/>
                <w:szCs w:val="20"/>
                <w:lang w:val="es-MX" w:eastAsia="es-CO"/>
              </w:rPr>
              <w:t>MPACTO</w:t>
            </w:r>
          </w:p>
          <w:p w14:paraId="43C48472" w14:textId="134BF822" w:rsidR="00D64653" w:rsidRPr="00952EE0" w:rsidRDefault="00D64653" w:rsidP="00952EE0">
            <w:pPr>
              <w:spacing w:before="0" w:after="0"/>
              <w:jc w:val="center"/>
              <w:rPr>
                <w:rFonts w:ascii="Arial" w:eastAsia="Times New Roman" w:hAnsi="Arial" w:cs="Arial"/>
                <w:b/>
                <w:bCs/>
                <w:color w:val="000000"/>
                <w:sz w:val="20"/>
                <w:szCs w:val="20"/>
                <w:lang w:eastAsia="es-CO"/>
              </w:rPr>
            </w:pPr>
            <w:r w:rsidRPr="00952EE0">
              <w:rPr>
                <w:rFonts w:ascii="Arial" w:eastAsia="Times New Roman" w:hAnsi="Arial" w:cs="Arial"/>
                <w:b/>
                <w:bCs/>
                <w:color w:val="000000"/>
                <w:sz w:val="20"/>
                <w:szCs w:val="20"/>
                <w:lang w:eastAsia="es-CO"/>
              </w:rPr>
              <w:t> </w:t>
            </w:r>
          </w:p>
        </w:tc>
        <w:tc>
          <w:tcPr>
            <w:tcW w:w="0" w:type="auto"/>
            <w:vMerge w:val="restart"/>
            <w:tcBorders>
              <w:top w:val="single" w:sz="8" w:space="0" w:color="auto"/>
              <w:left w:val="single" w:sz="8" w:space="0" w:color="auto"/>
              <w:right w:val="single" w:sz="8" w:space="0" w:color="auto"/>
            </w:tcBorders>
            <w:shd w:val="clear" w:color="000000" w:fill="D9D9D9"/>
            <w:vAlign w:val="center"/>
            <w:hideMark/>
          </w:tcPr>
          <w:p w14:paraId="5C53FB78" w14:textId="77777777" w:rsidR="00D64653" w:rsidRPr="00952EE0" w:rsidRDefault="00D64653" w:rsidP="00D64653">
            <w:pPr>
              <w:spacing w:before="0" w:after="0"/>
              <w:jc w:val="center"/>
              <w:rPr>
                <w:rFonts w:ascii="Arial" w:eastAsia="Times New Roman" w:hAnsi="Arial" w:cs="Arial"/>
                <w:b/>
                <w:bCs/>
                <w:color w:val="000000"/>
                <w:sz w:val="20"/>
                <w:szCs w:val="20"/>
                <w:lang w:eastAsia="es-CO"/>
              </w:rPr>
            </w:pPr>
            <w:r w:rsidRPr="00952EE0">
              <w:rPr>
                <w:rFonts w:ascii="Arial" w:eastAsia="Times New Roman" w:hAnsi="Arial" w:cs="Arial"/>
                <w:b/>
                <w:bCs/>
                <w:color w:val="000000"/>
                <w:sz w:val="20"/>
                <w:szCs w:val="20"/>
                <w:lang w:val="es-MX" w:eastAsia="es-CO"/>
              </w:rPr>
              <w:t>Peso</w:t>
            </w:r>
          </w:p>
          <w:p w14:paraId="6519E7F9" w14:textId="1CE30F73" w:rsidR="00D64653" w:rsidRPr="00952EE0" w:rsidRDefault="00D64653" w:rsidP="00952EE0">
            <w:pPr>
              <w:spacing w:before="0" w:after="0"/>
              <w:jc w:val="center"/>
              <w:rPr>
                <w:rFonts w:ascii="Arial" w:eastAsia="Times New Roman" w:hAnsi="Arial" w:cs="Arial"/>
                <w:b/>
                <w:bCs/>
                <w:color w:val="000000"/>
                <w:sz w:val="20"/>
                <w:szCs w:val="20"/>
                <w:lang w:eastAsia="es-CO"/>
              </w:rPr>
            </w:pPr>
            <w:r w:rsidRPr="00952EE0">
              <w:rPr>
                <w:rFonts w:ascii="Arial" w:eastAsia="Times New Roman" w:hAnsi="Arial" w:cs="Arial"/>
                <w:b/>
                <w:bCs/>
                <w:color w:val="000000"/>
                <w:sz w:val="20"/>
                <w:szCs w:val="20"/>
                <w:lang w:eastAsia="es-CO"/>
              </w:rPr>
              <w:t> </w:t>
            </w:r>
          </w:p>
        </w:tc>
        <w:tc>
          <w:tcPr>
            <w:tcW w:w="0" w:type="auto"/>
            <w:gridSpan w:val="2"/>
            <w:tcBorders>
              <w:top w:val="single" w:sz="8" w:space="0" w:color="auto"/>
              <w:left w:val="nil"/>
              <w:bottom w:val="nil"/>
              <w:right w:val="single" w:sz="8" w:space="0" w:color="000000"/>
            </w:tcBorders>
            <w:shd w:val="clear" w:color="000000" w:fill="D9D9D9"/>
            <w:vAlign w:val="center"/>
            <w:hideMark/>
          </w:tcPr>
          <w:p w14:paraId="2DE51E24" w14:textId="77777777" w:rsidR="00D64653" w:rsidRPr="00952EE0" w:rsidRDefault="00D64653" w:rsidP="00D64653">
            <w:pPr>
              <w:spacing w:before="0" w:after="0"/>
              <w:jc w:val="center"/>
              <w:rPr>
                <w:rFonts w:ascii="Arial" w:eastAsia="Times New Roman" w:hAnsi="Arial" w:cs="Arial"/>
                <w:b/>
                <w:bCs/>
                <w:color w:val="000000"/>
                <w:sz w:val="20"/>
                <w:szCs w:val="20"/>
                <w:lang w:eastAsia="es-CO"/>
              </w:rPr>
            </w:pPr>
            <w:r w:rsidRPr="00952EE0">
              <w:rPr>
                <w:rFonts w:ascii="Arial" w:eastAsia="Times New Roman" w:hAnsi="Arial" w:cs="Arial"/>
                <w:b/>
                <w:bCs/>
                <w:color w:val="000000"/>
                <w:sz w:val="20"/>
                <w:szCs w:val="20"/>
                <w:lang w:val="es-MX" w:eastAsia="es-CO"/>
              </w:rPr>
              <w:t>Alternativa 1</w:t>
            </w:r>
          </w:p>
        </w:tc>
        <w:tc>
          <w:tcPr>
            <w:tcW w:w="0" w:type="auto"/>
            <w:gridSpan w:val="2"/>
            <w:tcBorders>
              <w:top w:val="single" w:sz="8" w:space="0" w:color="auto"/>
              <w:left w:val="single" w:sz="8" w:space="0" w:color="000000"/>
              <w:bottom w:val="nil"/>
              <w:right w:val="single" w:sz="8" w:space="0" w:color="000000"/>
            </w:tcBorders>
            <w:shd w:val="clear" w:color="000000" w:fill="D9D9D9"/>
            <w:vAlign w:val="center"/>
            <w:hideMark/>
          </w:tcPr>
          <w:p w14:paraId="49C20705" w14:textId="77777777" w:rsidR="00D64653" w:rsidRPr="00952EE0" w:rsidRDefault="00D64653" w:rsidP="00D64653">
            <w:pPr>
              <w:spacing w:before="0" w:after="0"/>
              <w:jc w:val="center"/>
              <w:rPr>
                <w:rFonts w:ascii="Arial" w:eastAsia="Times New Roman" w:hAnsi="Arial" w:cs="Arial"/>
                <w:b/>
                <w:bCs/>
                <w:color w:val="000000"/>
                <w:sz w:val="20"/>
                <w:szCs w:val="20"/>
                <w:lang w:eastAsia="es-CO"/>
              </w:rPr>
            </w:pPr>
            <w:r w:rsidRPr="00952EE0">
              <w:rPr>
                <w:rFonts w:ascii="Arial" w:eastAsia="Times New Roman" w:hAnsi="Arial" w:cs="Arial"/>
                <w:b/>
                <w:bCs/>
                <w:color w:val="000000"/>
                <w:sz w:val="20"/>
                <w:szCs w:val="20"/>
                <w:lang w:val="es-MX" w:eastAsia="es-CO"/>
              </w:rPr>
              <w:t>Alternativa 2</w:t>
            </w:r>
          </w:p>
        </w:tc>
        <w:tc>
          <w:tcPr>
            <w:tcW w:w="0" w:type="auto"/>
            <w:gridSpan w:val="2"/>
            <w:tcBorders>
              <w:top w:val="single" w:sz="8" w:space="0" w:color="auto"/>
              <w:left w:val="single" w:sz="8" w:space="0" w:color="000000"/>
              <w:bottom w:val="nil"/>
              <w:right w:val="single" w:sz="8" w:space="0" w:color="000000"/>
            </w:tcBorders>
            <w:shd w:val="clear" w:color="000000" w:fill="D9D9D9"/>
            <w:vAlign w:val="center"/>
            <w:hideMark/>
          </w:tcPr>
          <w:p w14:paraId="339430A5" w14:textId="77777777" w:rsidR="00D64653" w:rsidRPr="00952EE0" w:rsidRDefault="00D64653" w:rsidP="00D64653">
            <w:pPr>
              <w:spacing w:before="0" w:after="0"/>
              <w:jc w:val="center"/>
              <w:rPr>
                <w:rFonts w:ascii="Arial" w:eastAsia="Times New Roman" w:hAnsi="Arial" w:cs="Arial"/>
                <w:b/>
                <w:bCs/>
                <w:color w:val="000000"/>
                <w:sz w:val="20"/>
                <w:szCs w:val="20"/>
                <w:lang w:eastAsia="es-CO"/>
              </w:rPr>
            </w:pPr>
            <w:r w:rsidRPr="00952EE0">
              <w:rPr>
                <w:rFonts w:ascii="Arial" w:eastAsia="Times New Roman" w:hAnsi="Arial" w:cs="Arial"/>
                <w:b/>
                <w:bCs/>
                <w:color w:val="000000"/>
                <w:sz w:val="20"/>
                <w:szCs w:val="20"/>
                <w:lang w:eastAsia="es-CO"/>
              </w:rPr>
              <w:t>Alternativa 3</w:t>
            </w:r>
          </w:p>
        </w:tc>
      </w:tr>
      <w:tr w:rsidR="00D64653" w:rsidRPr="00952EE0" w14:paraId="443DDC1C" w14:textId="77777777">
        <w:trPr>
          <w:trHeight w:val="320"/>
          <w:jc w:val="center"/>
        </w:trPr>
        <w:tc>
          <w:tcPr>
            <w:tcW w:w="0" w:type="auto"/>
            <w:vMerge/>
            <w:tcBorders>
              <w:left w:val="single" w:sz="8" w:space="0" w:color="auto"/>
              <w:bottom w:val="single" w:sz="8" w:space="0" w:color="auto"/>
              <w:right w:val="single" w:sz="8" w:space="0" w:color="auto"/>
            </w:tcBorders>
            <w:shd w:val="clear" w:color="000000" w:fill="D9D9D9"/>
            <w:vAlign w:val="center"/>
            <w:hideMark/>
          </w:tcPr>
          <w:p w14:paraId="7F0C4C98" w14:textId="3EA82589" w:rsidR="00D64653" w:rsidRPr="00952EE0" w:rsidRDefault="00D64653" w:rsidP="00952EE0">
            <w:pPr>
              <w:spacing w:before="0" w:after="0"/>
              <w:jc w:val="center"/>
              <w:rPr>
                <w:rFonts w:ascii="Arial" w:eastAsia="Times New Roman" w:hAnsi="Arial" w:cs="Arial"/>
                <w:b/>
                <w:bCs/>
                <w:color w:val="000000"/>
                <w:sz w:val="20"/>
                <w:szCs w:val="20"/>
                <w:lang w:eastAsia="es-CO"/>
              </w:rPr>
            </w:pPr>
          </w:p>
        </w:tc>
        <w:tc>
          <w:tcPr>
            <w:tcW w:w="0" w:type="auto"/>
            <w:vMerge/>
            <w:tcBorders>
              <w:left w:val="single" w:sz="8" w:space="0" w:color="auto"/>
              <w:bottom w:val="single" w:sz="8" w:space="0" w:color="auto"/>
              <w:right w:val="single" w:sz="8" w:space="0" w:color="auto"/>
            </w:tcBorders>
            <w:shd w:val="clear" w:color="000000" w:fill="D9D9D9"/>
            <w:vAlign w:val="center"/>
            <w:hideMark/>
          </w:tcPr>
          <w:p w14:paraId="15E3544A" w14:textId="61E8A509" w:rsidR="00D64653" w:rsidRPr="00952EE0" w:rsidRDefault="00D64653" w:rsidP="00952EE0">
            <w:pPr>
              <w:spacing w:before="0" w:after="0"/>
              <w:jc w:val="center"/>
              <w:rPr>
                <w:rFonts w:ascii="Arial" w:eastAsia="Times New Roman" w:hAnsi="Arial" w:cs="Arial"/>
                <w:b/>
                <w:bCs/>
                <w:color w:val="000000"/>
                <w:sz w:val="20"/>
                <w:szCs w:val="20"/>
                <w:lang w:eastAsia="es-CO"/>
              </w:rPr>
            </w:pP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4D25521B" w14:textId="77777777" w:rsidR="00D64653" w:rsidRPr="00952EE0" w:rsidRDefault="00D64653" w:rsidP="00952EE0">
            <w:pPr>
              <w:spacing w:before="0" w:after="0"/>
              <w:jc w:val="center"/>
              <w:rPr>
                <w:rFonts w:ascii="Arial" w:eastAsia="Times New Roman" w:hAnsi="Arial" w:cs="Arial"/>
                <w:color w:val="000000"/>
                <w:sz w:val="20"/>
                <w:szCs w:val="20"/>
                <w:lang w:eastAsia="es-CO"/>
              </w:rPr>
            </w:pPr>
            <w:r w:rsidRPr="00952EE0">
              <w:rPr>
                <w:rFonts w:ascii="Arial" w:eastAsia="Times New Roman" w:hAnsi="Arial" w:cs="Arial"/>
                <w:color w:val="000000"/>
                <w:sz w:val="20"/>
                <w:szCs w:val="20"/>
                <w:lang w:eastAsia="es-CO"/>
              </w:rPr>
              <w:t>puntaje</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2BCBAAA1" w14:textId="77777777" w:rsidR="00D64653" w:rsidRPr="00952EE0" w:rsidRDefault="00D64653" w:rsidP="00952EE0">
            <w:pPr>
              <w:spacing w:before="0" w:after="0"/>
              <w:jc w:val="center"/>
              <w:rPr>
                <w:rFonts w:ascii="Arial" w:eastAsia="Times New Roman" w:hAnsi="Arial" w:cs="Arial"/>
                <w:color w:val="000000"/>
                <w:sz w:val="20"/>
                <w:szCs w:val="20"/>
                <w:lang w:eastAsia="es-CO"/>
              </w:rPr>
            </w:pPr>
            <w:r w:rsidRPr="00952EE0">
              <w:rPr>
                <w:rFonts w:ascii="Arial" w:eastAsia="Times New Roman" w:hAnsi="Arial" w:cs="Arial"/>
                <w:color w:val="000000"/>
                <w:sz w:val="20"/>
                <w:szCs w:val="20"/>
                <w:lang w:eastAsia="es-CO"/>
              </w:rPr>
              <w:t>ponderado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3F5DADA4" w14:textId="77777777" w:rsidR="00D64653" w:rsidRPr="00952EE0" w:rsidRDefault="00D64653" w:rsidP="00952EE0">
            <w:pPr>
              <w:spacing w:before="0" w:after="0"/>
              <w:jc w:val="center"/>
              <w:rPr>
                <w:rFonts w:ascii="Arial" w:eastAsia="Times New Roman" w:hAnsi="Arial" w:cs="Arial"/>
                <w:color w:val="000000"/>
                <w:sz w:val="20"/>
                <w:szCs w:val="20"/>
                <w:lang w:eastAsia="es-CO"/>
              </w:rPr>
            </w:pPr>
            <w:r w:rsidRPr="00952EE0">
              <w:rPr>
                <w:rFonts w:ascii="Arial" w:eastAsia="Times New Roman" w:hAnsi="Arial" w:cs="Arial"/>
                <w:color w:val="000000"/>
                <w:sz w:val="20"/>
                <w:szCs w:val="20"/>
                <w:lang w:eastAsia="es-CO"/>
              </w:rPr>
              <w:t>puntaje</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07DB4D8A" w14:textId="77777777" w:rsidR="00D64653" w:rsidRPr="00952EE0" w:rsidRDefault="00D64653" w:rsidP="00952EE0">
            <w:pPr>
              <w:spacing w:before="0" w:after="0"/>
              <w:jc w:val="center"/>
              <w:rPr>
                <w:rFonts w:ascii="Arial" w:eastAsia="Times New Roman" w:hAnsi="Arial" w:cs="Arial"/>
                <w:color w:val="000000"/>
                <w:sz w:val="20"/>
                <w:szCs w:val="20"/>
                <w:lang w:eastAsia="es-CO"/>
              </w:rPr>
            </w:pPr>
            <w:r w:rsidRPr="00952EE0">
              <w:rPr>
                <w:rFonts w:ascii="Arial" w:eastAsia="Times New Roman" w:hAnsi="Arial" w:cs="Arial"/>
                <w:color w:val="000000"/>
                <w:sz w:val="20"/>
                <w:szCs w:val="20"/>
                <w:lang w:eastAsia="es-CO"/>
              </w:rPr>
              <w:t>ponderado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033A5C43" w14:textId="77777777" w:rsidR="00D64653" w:rsidRPr="00952EE0" w:rsidRDefault="00D64653" w:rsidP="00952EE0">
            <w:pPr>
              <w:spacing w:before="0" w:after="0"/>
              <w:jc w:val="center"/>
              <w:rPr>
                <w:rFonts w:ascii="Arial" w:eastAsia="Times New Roman" w:hAnsi="Arial" w:cs="Arial"/>
                <w:color w:val="000000"/>
                <w:sz w:val="20"/>
                <w:szCs w:val="20"/>
                <w:lang w:eastAsia="es-CO"/>
              </w:rPr>
            </w:pPr>
            <w:r w:rsidRPr="00952EE0">
              <w:rPr>
                <w:rFonts w:ascii="Arial" w:eastAsia="Times New Roman" w:hAnsi="Arial" w:cs="Arial"/>
                <w:color w:val="000000"/>
                <w:sz w:val="20"/>
                <w:szCs w:val="20"/>
                <w:lang w:eastAsia="es-CO"/>
              </w:rPr>
              <w:t>puntaje</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70F2217F" w14:textId="77777777" w:rsidR="00D64653" w:rsidRPr="00952EE0" w:rsidRDefault="00D64653" w:rsidP="00952EE0">
            <w:pPr>
              <w:spacing w:before="0" w:after="0"/>
              <w:jc w:val="center"/>
              <w:rPr>
                <w:rFonts w:ascii="Arial" w:eastAsia="Times New Roman" w:hAnsi="Arial" w:cs="Arial"/>
                <w:color w:val="000000"/>
                <w:sz w:val="20"/>
                <w:szCs w:val="20"/>
                <w:lang w:eastAsia="es-CO"/>
              </w:rPr>
            </w:pPr>
            <w:r w:rsidRPr="00952EE0">
              <w:rPr>
                <w:rFonts w:ascii="Arial" w:eastAsia="Times New Roman" w:hAnsi="Arial" w:cs="Arial"/>
                <w:color w:val="000000"/>
                <w:sz w:val="20"/>
                <w:szCs w:val="20"/>
                <w:lang w:eastAsia="es-CO"/>
              </w:rPr>
              <w:t>ponderado</w:t>
            </w:r>
          </w:p>
        </w:tc>
      </w:tr>
      <w:tr w:rsidR="00D64653" w:rsidRPr="00952EE0" w14:paraId="33164C0D" w14:textId="77777777" w:rsidTr="00D64653">
        <w:trPr>
          <w:trHeight w:val="320"/>
          <w:jc w:val="center"/>
        </w:trPr>
        <w:tc>
          <w:tcPr>
            <w:tcW w:w="0" w:type="auto"/>
            <w:tcBorders>
              <w:top w:val="nil"/>
              <w:left w:val="single" w:sz="4" w:space="0" w:color="auto"/>
              <w:bottom w:val="single" w:sz="4" w:space="0" w:color="auto"/>
              <w:right w:val="nil"/>
            </w:tcBorders>
            <w:shd w:val="clear" w:color="auto" w:fill="auto"/>
            <w:vAlign w:val="center"/>
            <w:hideMark/>
          </w:tcPr>
          <w:p w14:paraId="1432067A" w14:textId="77777777" w:rsidR="00D64653" w:rsidRPr="00952EE0" w:rsidRDefault="00D64653" w:rsidP="00952EE0">
            <w:pPr>
              <w:spacing w:before="0" w:after="0"/>
              <w:jc w:val="both"/>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1. Efecto en costos de los usuarios</w:t>
            </w:r>
          </w:p>
        </w:tc>
        <w:tc>
          <w:tcPr>
            <w:tcW w:w="0" w:type="auto"/>
            <w:tcBorders>
              <w:top w:val="nil"/>
              <w:left w:val="single" w:sz="8" w:space="0" w:color="auto"/>
              <w:bottom w:val="single" w:sz="4" w:space="0" w:color="auto"/>
              <w:right w:val="single" w:sz="8" w:space="0" w:color="auto"/>
            </w:tcBorders>
            <w:shd w:val="clear" w:color="D0E0E3" w:fill="F8CBAD"/>
            <w:vAlign w:val="center"/>
            <w:hideMark/>
          </w:tcPr>
          <w:p w14:paraId="5E2F23CD"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50%</w:t>
            </w:r>
          </w:p>
        </w:tc>
        <w:tc>
          <w:tcPr>
            <w:tcW w:w="0" w:type="auto"/>
            <w:tcBorders>
              <w:top w:val="nil"/>
              <w:left w:val="nil"/>
              <w:bottom w:val="single" w:sz="8" w:space="0" w:color="auto"/>
              <w:right w:val="single" w:sz="8" w:space="0" w:color="auto"/>
            </w:tcBorders>
            <w:shd w:val="clear" w:color="auto" w:fill="auto"/>
            <w:vAlign w:val="center"/>
            <w:hideMark/>
          </w:tcPr>
          <w:p w14:paraId="517D5320"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1</w:t>
            </w:r>
          </w:p>
        </w:tc>
        <w:tc>
          <w:tcPr>
            <w:tcW w:w="0" w:type="auto"/>
            <w:tcBorders>
              <w:top w:val="nil"/>
              <w:left w:val="nil"/>
              <w:bottom w:val="single" w:sz="8" w:space="0" w:color="auto"/>
              <w:right w:val="single" w:sz="8" w:space="0" w:color="auto"/>
            </w:tcBorders>
            <w:shd w:val="clear" w:color="auto" w:fill="auto"/>
            <w:vAlign w:val="center"/>
            <w:hideMark/>
          </w:tcPr>
          <w:p w14:paraId="4FEAE2CB"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0,5</w:t>
            </w:r>
          </w:p>
        </w:tc>
        <w:tc>
          <w:tcPr>
            <w:tcW w:w="0" w:type="auto"/>
            <w:tcBorders>
              <w:top w:val="nil"/>
              <w:left w:val="nil"/>
              <w:bottom w:val="single" w:sz="8" w:space="0" w:color="auto"/>
              <w:right w:val="single" w:sz="8" w:space="0" w:color="auto"/>
            </w:tcBorders>
            <w:shd w:val="clear" w:color="auto" w:fill="auto"/>
            <w:vAlign w:val="center"/>
            <w:hideMark/>
          </w:tcPr>
          <w:p w14:paraId="010B5C5E"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4</w:t>
            </w:r>
          </w:p>
        </w:tc>
        <w:tc>
          <w:tcPr>
            <w:tcW w:w="0" w:type="auto"/>
            <w:tcBorders>
              <w:top w:val="nil"/>
              <w:left w:val="nil"/>
              <w:bottom w:val="single" w:sz="8" w:space="0" w:color="auto"/>
              <w:right w:val="single" w:sz="8" w:space="0" w:color="auto"/>
            </w:tcBorders>
            <w:shd w:val="clear" w:color="auto" w:fill="auto"/>
            <w:vAlign w:val="center"/>
            <w:hideMark/>
          </w:tcPr>
          <w:p w14:paraId="2BE334BA"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2</w:t>
            </w:r>
          </w:p>
        </w:tc>
        <w:tc>
          <w:tcPr>
            <w:tcW w:w="0" w:type="auto"/>
            <w:tcBorders>
              <w:top w:val="nil"/>
              <w:left w:val="nil"/>
              <w:bottom w:val="single" w:sz="8" w:space="0" w:color="auto"/>
              <w:right w:val="single" w:sz="8" w:space="0" w:color="auto"/>
            </w:tcBorders>
            <w:shd w:val="clear" w:color="auto" w:fill="auto"/>
            <w:vAlign w:val="center"/>
            <w:hideMark/>
          </w:tcPr>
          <w:p w14:paraId="466A8E5A"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3</w:t>
            </w:r>
          </w:p>
        </w:tc>
        <w:tc>
          <w:tcPr>
            <w:tcW w:w="0" w:type="auto"/>
            <w:tcBorders>
              <w:top w:val="nil"/>
              <w:left w:val="nil"/>
              <w:bottom w:val="single" w:sz="8" w:space="0" w:color="auto"/>
              <w:right w:val="single" w:sz="8" w:space="0" w:color="auto"/>
            </w:tcBorders>
            <w:shd w:val="clear" w:color="auto" w:fill="auto"/>
            <w:vAlign w:val="center"/>
            <w:hideMark/>
          </w:tcPr>
          <w:p w14:paraId="00E3DC51"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1,5</w:t>
            </w:r>
          </w:p>
        </w:tc>
      </w:tr>
      <w:tr w:rsidR="00D64653" w:rsidRPr="00952EE0" w14:paraId="190B794C" w14:textId="77777777" w:rsidTr="00D64653">
        <w:trPr>
          <w:trHeight w:val="331"/>
          <w:jc w:val="center"/>
        </w:trPr>
        <w:tc>
          <w:tcPr>
            <w:tcW w:w="0" w:type="auto"/>
            <w:tcBorders>
              <w:top w:val="nil"/>
              <w:left w:val="single" w:sz="4" w:space="0" w:color="auto"/>
              <w:bottom w:val="single" w:sz="4" w:space="0" w:color="auto"/>
              <w:right w:val="nil"/>
            </w:tcBorders>
            <w:shd w:val="clear" w:color="auto" w:fill="auto"/>
            <w:vAlign w:val="center"/>
            <w:hideMark/>
          </w:tcPr>
          <w:p w14:paraId="79704EC8" w14:textId="77777777" w:rsidR="00D64653" w:rsidRPr="00952EE0" w:rsidRDefault="00D64653" w:rsidP="00952EE0">
            <w:pPr>
              <w:spacing w:before="0" w:after="0"/>
              <w:jc w:val="both"/>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2. Mejora en la calidad del servicio comercial</w:t>
            </w:r>
          </w:p>
        </w:tc>
        <w:tc>
          <w:tcPr>
            <w:tcW w:w="0" w:type="auto"/>
            <w:tcBorders>
              <w:top w:val="nil"/>
              <w:left w:val="single" w:sz="8" w:space="0" w:color="auto"/>
              <w:bottom w:val="single" w:sz="4" w:space="0" w:color="auto"/>
              <w:right w:val="single" w:sz="8" w:space="0" w:color="auto"/>
            </w:tcBorders>
            <w:shd w:val="clear" w:color="D0E0E3" w:fill="F8CBAD"/>
            <w:vAlign w:val="center"/>
            <w:hideMark/>
          </w:tcPr>
          <w:p w14:paraId="648B5A78"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20%</w:t>
            </w:r>
          </w:p>
        </w:tc>
        <w:tc>
          <w:tcPr>
            <w:tcW w:w="0" w:type="auto"/>
            <w:tcBorders>
              <w:top w:val="nil"/>
              <w:left w:val="nil"/>
              <w:bottom w:val="single" w:sz="8" w:space="0" w:color="auto"/>
              <w:right w:val="single" w:sz="8" w:space="0" w:color="auto"/>
            </w:tcBorders>
            <w:shd w:val="clear" w:color="auto" w:fill="auto"/>
            <w:vAlign w:val="center"/>
            <w:hideMark/>
          </w:tcPr>
          <w:p w14:paraId="511AABB3"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1</w:t>
            </w:r>
          </w:p>
        </w:tc>
        <w:tc>
          <w:tcPr>
            <w:tcW w:w="0" w:type="auto"/>
            <w:tcBorders>
              <w:top w:val="nil"/>
              <w:left w:val="nil"/>
              <w:bottom w:val="single" w:sz="8" w:space="0" w:color="auto"/>
              <w:right w:val="single" w:sz="8" w:space="0" w:color="auto"/>
            </w:tcBorders>
            <w:shd w:val="clear" w:color="auto" w:fill="auto"/>
            <w:vAlign w:val="center"/>
            <w:hideMark/>
          </w:tcPr>
          <w:p w14:paraId="0739C068"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0,2</w:t>
            </w:r>
          </w:p>
        </w:tc>
        <w:tc>
          <w:tcPr>
            <w:tcW w:w="0" w:type="auto"/>
            <w:tcBorders>
              <w:top w:val="nil"/>
              <w:left w:val="nil"/>
              <w:bottom w:val="single" w:sz="8" w:space="0" w:color="auto"/>
              <w:right w:val="single" w:sz="8" w:space="0" w:color="auto"/>
            </w:tcBorders>
            <w:shd w:val="clear" w:color="auto" w:fill="auto"/>
            <w:vAlign w:val="center"/>
            <w:hideMark/>
          </w:tcPr>
          <w:p w14:paraId="4D97091B"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4</w:t>
            </w:r>
          </w:p>
        </w:tc>
        <w:tc>
          <w:tcPr>
            <w:tcW w:w="0" w:type="auto"/>
            <w:tcBorders>
              <w:top w:val="nil"/>
              <w:left w:val="nil"/>
              <w:bottom w:val="single" w:sz="8" w:space="0" w:color="auto"/>
              <w:right w:val="single" w:sz="8" w:space="0" w:color="auto"/>
            </w:tcBorders>
            <w:shd w:val="clear" w:color="auto" w:fill="auto"/>
            <w:vAlign w:val="center"/>
            <w:hideMark/>
          </w:tcPr>
          <w:p w14:paraId="36453AE8"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0,8</w:t>
            </w:r>
          </w:p>
        </w:tc>
        <w:tc>
          <w:tcPr>
            <w:tcW w:w="0" w:type="auto"/>
            <w:tcBorders>
              <w:top w:val="nil"/>
              <w:left w:val="nil"/>
              <w:bottom w:val="single" w:sz="8" w:space="0" w:color="auto"/>
              <w:right w:val="single" w:sz="8" w:space="0" w:color="auto"/>
            </w:tcBorders>
            <w:shd w:val="clear" w:color="auto" w:fill="auto"/>
            <w:vAlign w:val="center"/>
            <w:hideMark/>
          </w:tcPr>
          <w:p w14:paraId="18F1B7EA"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4</w:t>
            </w:r>
          </w:p>
        </w:tc>
        <w:tc>
          <w:tcPr>
            <w:tcW w:w="0" w:type="auto"/>
            <w:tcBorders>
              <w:top w:val="nil"/>
              <w:left w:val="nil"/>
              <w:bottom w:val="single" w:sz="8" w:space="0" w:color="auto"/>
              <w:right w:val="single" w:sz="8" w:space="0" w:color="auto"/>
            </w:tcBorders>
            <w:shd w:val="clear" w:color="auto" w:fill="auto"/>
            <w:vAlign w:val="center"/>
            <w:hideMark/>
          </w:tcPr>
          <w:p w14:paraId="0C29597D"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0,8</w:t>
            </w:r>
          </w:p>
        </w:tc>
      </w:tr>
      <w:tr w:rsidR="00D64653" w:rsidRPr="00952EE0" w14:paraId="0306EABD" w14:textId="77777777" w:rsidTr="00D64653">
        <w:trPr>
          <w:trHeight w:val="320"/>
          <w:jc w:val="center"/>
        </w:trPr>
        <w:tc>
          <w:tcPr>
            <w:tcW w:w="0" w:type="auto"/>
            <w:tcBorders>
              <w:top w:val="nil"/>
              <w:left w:val="single" w:sz="4" w:space="0" w:color="auto"/>
              <w:bottom w:val="single" w:sz="4" w:space="0" w:color="auto"/>
              <w:right w:val="nil"/>
            </w:tcBorders>
            <w:shd w:val="clear" w:color="auto" w:fill="auto"/>
            <w:vAlign w:val="center"/>
            <w:hideMark/>
          </w:tcPr>
          <w:p w14:paraId="68390F61" w14:textId="64826006" w:rsidR="00D64653" w:rsidRPr="00952EE0" w:rsidRDefault="00D64653" w:rsidP="00952EE0">
            <w:pPr>
              <w:spacing w:before="0" w:after="0"/>
              <w:jc w:val="both"/>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3. Acceso a la información</w:t>
            </w:r>
          </w:p>
        </w:tc>
        <w:tc>
          <w:tcPr>
            <w:tcW w:w="0" w:type="auto"/>
            <w:tcBorders>
              <w:top w:val="nil"/>
              <w:left w:val="single" w:sz="8" w:space="0" w:color="auto"/>
              <w:bottom w:val="single" w:sz="4" w:space="0" w:color="auto"/>
              <w:right w:val="single" w:sz="8" w:space="0" w:color="auto"/>
            </w:tcBorders>
            <w:shd w:val="clear" w:color="D0E0E3" w:fill="F8CBAD"/>
            <w:vAlign w:val="center"/>
            <w:hideMark/>
          </w:tcPr>
          <w:p w14:paraId="700FF3F9"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10%</w:t>
            </w:r>
          </w:p>
        </w:tc>
        <w:tc>
          <w:tcPr>
            <w:tcW w:w="0" w:type="auto"/>
            <w:tcBorders>
              <w:top w:val="nil"/>
              <w:left w:val="nil"/>
              <w:bottom w:val="single" w:sz="8" w:space="0" w:color="auto"/>
              <w:right w:val="single" w:sz="8" w:space="0" w:color="auto"/>
            </w:tcBorders>
            <w:shd w:val="clear" w:color="auto" w:fill="auto"/>
            <w:vAlign w:val="center"/>
            <w:hideMark/>
          </w:tcPr>
          <w:p w14:paraId="2F0F7B56"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2</w:t>
            </w:r>
          </w:p>
        </w:tc>
        <w:tc>
          <w:tcPr>
            <w:tcW w:w="0" w:type="auto"/>
            <w:tcBorders>
              <w:top w:val="nil"/>
              <w:left w:val="nil"/>
              <w:bottom w:val="single" w:sz="8" w:space="0" w:color="auto"/>
              <w:right w:val="single" w:sz="8" w:space="0" w:color="auto"/>
            </w:tcBorders>
            <w:shd w:val="clear" w:color="auto" w:fill="auto"/>
            <w:vAlign w:val="center"/>
            <w:hideMark/>
          </w:tcPr>
          <w:p w14:paraId="7FFB7106"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0,2</w:t>
            </w:r>
          </w:p>
        </w:tc>
        <w:tc>
          <w:tcPr>
            <w:tcW w:w="0" w:type="auto"/>
            <w:tcBorders>
              <w:top w:val="nil"/>
              <w:left w:val="nil"/>
              <w:bottom w:val="single" w:sz="8" w:space="0" w:color="auto"/>
              <w:right w:val="single" w:sz="8" w:space="0" w:color="auto"/>
            </w:tcBorders>
            <w:shd w:val="clear" w:color="auto" w:fill="auto"/>
            <w:vAlign w:val="center"/>
            <w:hideMark/>
          </w:tcPr>
          <w:p w14:paraId="6C2BEAC3"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4</w:t>
            </w:r>
          </w:p>
        </w:tc>
        <w:tc>
          <w:tcPr>
            <w:tcW w:w="0" w:type="auto"/>
            <w:tcBorders>
              <w:top w:val="nil"/>
              <w:left w:val="nil"/>
              <w:bottom w:val="single" w:sz="8" w:space="0" w:color="auto"/>
              <w:right w:val="single" w:sz="8" w:space="0" w:color="auto"/>
            </w:tcBorders>
            <w:shd w:val="clear" w:color="auto" w:fill="auto"/>
            <w:vAlign w:val="center"/>
            <w:hideMark/>
          </w:tcPr>
          <w:p w14:paraId="6BDA3725"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0,4</w:t>
            </w:r>
          </w:p>
        </w:tc>
        <w:tc>
          <w:tcPr>
            <w:tcW w:w="0" w:type="auto"/>
            <w:tcBorders>
              <w:top w:val="nil"/>
              <w:left w:val="nil"/>
              <w:bottom w:val="single" w:sz="8" w:space="0" w:color="auto"/>
              <w:right w:val="single" w:sz="8" w:space="0" w:color="auto"/>
            </w:tcBorders>
            <w:shd w:val="clear" w:color="auto" w:fill="auto"/>
            <w:vAlign w:val="center"/>
            <w:hideMark/>
          </w:tcPr>
          <w:p w14:paraId="2D826D78"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val="es-MX" w:eastAsia="es-CO"/>
              </w:rPr>
              <w:t>3</w:t>
            </w:r>
          </w:p>
        </w:tc>
        <w:tc>
          <w:tcPr>
            <w:tcW w:w="0" w:type="auto"/>
            <w:tcBorders>
              <w:top w:val="nil"/>
              <w:left w:val="nil"/>
              <w:bottom w:val="single" w:sz="8" w:space="0" w:color="auto"/>
              <w:right w:val="single" w:sz="8" w:space="0" w:color="auto"/>
            </w:tcBorders>
            <w:shd w:val="clear" w:color="auto" w:fill="auto"/>
            <w:vAlign w:val="center"/>
            <w:hideMark/>
          </w:tcPr>
          <w:p w14:paraId="7FAE6523"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0,3</w:t>
            </w:r>
          </w:p>
        </w:tc>
      </w:tr>
      <w:tr w:rsidR="00D64653" w:rsidRPr="00952EE0" w14:paraId="6E2FF48D" w14:textId="77777777" w:rsidTr="00D64653">
        <w:trPr>
          <w:trHeight w:val="320"/>
          <w:jc w:val="center"/>
        </w:trPr>
        <w:tc>
          <w:tcPr>
            <w:tcW w:w="0" w:type="auto"/>
            <w:tcBorders>
              <w:top w:val="nil"/>
              <w:left w:val="single" w:sz="4" w:space="0" w:color="auto"/>
              <w:bottom w:val="single" w:sz="4" w:space="0" w:color="auto"/>
              <w:right w:val="nil"/>
            </w:tcBorders>
            <w:shd w:val="clear" w:color="auto" w:fill="auto"/>
            <w:vAlign w:val="center"/>
            <w:hideMark/>
          </w:tcPr>
          <w:p w14:paraId="3B68025E" w14:textId="77777777" w:rsidR="00D64653" w:rsidRPr="00952EE0" w:rsidRDefault="00D64653" w:rsidP="00952EE0">
            <w:pPr>
              <w:spacing w:before="0" w:after="0"/>
              <w:jc w:val="both"/>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4. Costos para los agentes</w:t>
            </w:r>
          </w:p>
        </w:tc>
        <w:tc>
          <w:tcPr>
            <w:tcW w:w="0" w:type="auto"/>
            <w:tcBorders>
              <w:top w:val="nil"/>
              <w:left w:val="single" w:sz="8" w:space="0" w:color="auto"/>
              <w:bottom w:val="single" w:sz="4" w:space="0" w:color="auto"/>
              <w:right w:val="single" w:sz="8" w:space="0" w:color="auto"/>
            </w:tcBorders>
            <w:shd w:val="clear" w:color="000000" w:fill="F8CBAD"/>
            <w:noWrap/>
            <w:vAlign w:val="bottom"/>
            <w:hideMark/>
          </w:tcPr>
          <w:p w14:paraId="202FA259"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15%</w:t>
            </w:r>
          </w:p>
        </w:tc>
        <w:tc>
          <w:tcPr>
            <w:tcW w:w="0" w:type="auto"/>
            <w:tcBorders>
              <w:top w:val="nil"/>
              <w:left w:val="nil"/>
              <w:bottom w:val="single" w:sz="8" w:space="0" w:color="auto"/>
              <w:right w:val="single" w:sz="8" w:space="0" w:color="auto"/>
            </w:tcBorders>
            <w:shd w:val="clear" w:color="auto" w:fill="auto"/>
            <w:vAlign w:val="center"/>
            <w:hideMark/>
          </w:tcPr>
          <w:p w14:paraId="5E7404C6"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5</w:t>
            </w:r>
          </w:p>
        </w:tc>
        <w:tc>
          <w:tcPr>
            <w:tcW w:w="0" w:type="auto"/>
            <w:tcBorders>
              <w:top w:val="nil"/>
              <w:left w:val="nil"/>
              <w:bottom w:val="single" w:sz="8" w:space="0" w:color="auto"/>
              <w:right w:val="single" w:sz="8" w:space="0" w:color="auto"/>
            </w:tcBorders>
            <w:shd w:val="clear" w:color="auto" w:fill="auto"/>
            <w:vAlign w:val="center"/>
            <w:hideMark/>
          </w:tcPr>
          <w:p w14:paraId="23E814F8"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0,75</w:t>
            </w:r>
          </w:p>
        </w:tc>
        <w:tc>
          <w:tcPr>
            <w:tcW w:w="0" w:type="auto"/>
            <w:tcBorders>
              <w:top w:val="nil"/>
              <w:left w:val="nil"/>
              <w:bottom w:val="single" w:sz="8" w:space="0" w:color="auto"/>
              <w:right w:val="single" w:sz="8" w:space="0" w:color="auto"/>
            </w:tcBorders>
            <w:shd w:val="clear" w:color="auto" w:fill="auto"/>
            <w:vAlign w:val="center"/>
            <w:hideMark/>
          </w:tcPr>
          <w:p w14:paraId="19793D4C"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5</w:t>
            </w:r>
          </w:p>
        </w:tc>
        <w:tc>
          <w:tcPr>
            <w:tcW w:w="0" w:type="auto"/>
            <w:tcBorders>
              <w:top w:val="nil"/>
              <w:left w:val="nil"/>
              <w:bottom w:val="single" w:sz="8" w:space="0" w:color="auto"/>
              <w:right w:val="single" w:sz="8" w:space="0" w:color="auto"/>
            </w:tcBorders>
            <w:shd w:val="clear" w:color="auto" w:fill="auto"/>
            <w:vAlign w:val="center"/>
            <w:hideMark/>
          </w:tcPr>
          <w:p w14:paraId="5B313FDC"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0,75</w:t>
            </w:r>
          </w:p>
        </w:tc>
        <w:tc>
          <w:tcPr>
            <w:tcW w:w="0" w:type="auto"/>
            <w:tcBorders>
              <w:top w:val="nil"/>
              <w:left w:val="nil"/>
              <w:bottom w:val="single" w:sz="8" w:space="0" w:color="auto"/>
              <w:right w:val="single" w:sz="8" w:space="0" w:color="auto"/>
            </w:tcBorders>
            <w:shd w:val="clear" w:color="auto" w:fill="auto"/>
            <w:vAlign w:val="center"/>
            <w:hideMark/>
          </w:tcPr>
          <w:p w14:paraId="0B6BBE0E"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2</w:t>
            </w:r>
          </w:p>
        </w:tc>
        <w:tc>
          <w:tcPr>
            <w:tcW w:w="0" w:type="auto"/>
            <w:tcBorders>
              <w:top w:val="nil"/>
              <w:left w:val="nil"/>
              <w:bottom w:val="single" w:sz="8" w:space="0" w:color="auto"/>
              <w:right w:val="single" w:sz="8" w:space="0" w:color="auto"/>
            </w:tcBorders>
            <w:shd w:val="clear" w:color="auto" w:fill="auto"/>
            <w:vAlign w:val="center"/>
            <w:hideMark/>
          </w:tcPr>
          <w:p w14:paraId="3F66DE7A"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0,3</w:t>
            </w:r>
          </w:p>
        </w:tc>
      </w:tr>
      <w:tr w:rsidR="00D64653" w:rsidRPr="00952EE0" w14:paraId="606CD12F" w14:textId="77777777" w:rsidTr="00D64653">
        <w:trPr>
          <w:trHeight w:val="320"/>
          <w:jc w:val="center"/>
        </w:trPr>
        <w:tc>
          <w:tcPr>
            <w:tcW w:w="0" w:type="auto"/>
            <w:tcBorders>
              <w:top w:val="nil"/>
              <w:left w:val="single" w:sz="4" w:space="0" w:color="auto"/>
              <w:bottom w:val="single" w:sz="4" w:space="0" w:color="auto"/>
              <w:right w:val="nil"/>
            </w:tcBorders>
            <w:shd w:val="clear" w:color="auto" w:fill="auto"/>
            <w:vAlign w:val="center"/>
            <w:hideMark/>
          </w:tcPr>
          <w:p w14:paraId="40C5A8A7" w14:textId="77777777" w:rsidR="00D64653" w:rsidRPr="00952EE0" w:rsidRDefault="00D64653" w:rsidP="00952EE0">
            <w:pPr>
              <w:spacing w:before="0" w:after="0"/>
              <w:jc w:val="both"/>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5. Simplicidad en la aplicación</w:t>
            </w:r>
          </w:p>
        </w:tc>
        <w:tc>
          <w:tcPr>
            <w:tcW w:w="0" w:type="auto"/>
            <w:tcBorders>
              <w:top w:val="nil"/>
              <w:left w:val="single" w:sz="8" w:space="0" w:color="auto"/>
              <w:bottom w:val="single" w:sz="4" w:space="0" w:color="auto"/>
              <w:right w:val="single" w:sz="8" w:space="0" w:color="auto"/>
            </w:tcBorders>
            <w:shd w:val="clear" w:color="000000" w:fill="F8CBAD"/>
            <w:noWrap/>
            <w:vAlign w:val="bottom"/>
            <w:hideMark/>
          </w:tcPr>
          <w:p w14:paraId="79E3EA01"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5%</w:t>
            </w:r>
          </w:p>
        </w:tc>
        <w:tc>
          <w:tcPr>
            <w:tcW w:w="0" w:type="auto"/>
            <w:tcBorders>
              <w:top w:val="nil"/>
              <w:left w:val="nil"/>
              <w:bottom w:val="single" w:sz="8" w:space="0" w:color="auto"/>
              <w:right w:val="single" w:sz="8" w:space="0" w:color="auto"/>
            </w:tcBorders>
            <w:shd w:val="clear" w:color="auto" w:fill="auto"/>
            <w:vAlign w:val="center"/>
            <w:hideMark/>
          </w:tcPr>
          <w:p w14:paraId="37951250"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2</w:t>
            </w:r>
          </w:p>
        </w:tc>
        <w:tc>
          <w:tcPr>
            <w:tcW w:w="0" w:type="auto"/>
            <w:tcBorders>
              <w:top w:val="nil"/>
              <w:left w:val="nil"/>
              <w:bottom w:val="single" w:sz="8" w:space="0" w:color="auto"/>
              <w:right w:val="single" w:sz="8" w:space="0" w:color="auto"/>
            </w:tcBorders>
            <w:shd w:val="clear" w:color="auto" w:fill="auto"/>
            <w:vAlign w:val="center"/>
            <w:hideMark/>
          </w:tcPr>
          <w:p w14:paraId="6CEC5AE8"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0,1</w:t>
            </w:r>
          </w:p>
        </w:tc>
        <w:tc>
          <w:tcPr>
            <w:tcW w:w="0" w:type="auto"/>
            <w:tcBorders>
              <w:top w:val="nil"/>
              <w:left w:val="nil"/>
              <w:bottom w:val="single" w:sz="8" w:space="0" w:color="auto"/>
              <w:right w:val="single" w:sz="8" w:space="0" w:color="auto"/>
            </w:tcBorders>
            <w:shd w:val="clear" w:color="auto" w:fill="auto"/>
            <w:vAlign w:val="center"/>
            <w:hideMark/>
          </w:tcPr>
          <w:p w14:paraId="426859F0"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5</w:t>
            </w:r>
          </w:p>
        </w:tc>
        <w:tc>
          <w:tcPr>
            <w:tcW w:w="0" w:type="auto"/>
            <w:tcBorders>
              <w:top w:val="nil"/>
              <w:left w:val="nil"/>
              <w:bottom w:val="single" w:sz="8" w:space="0" w:color="auto"/>
              <w:right w:val="single" w:sz="8" w:space="0" w:color="auto"/>
            </w:tcBorders>
            <w:shd w:val="clear" w:color="auto" w:fill="auto"/>
            <w:vAlign w:val="center"/>
            <w:hideMark/>
          </w:tcPr>
          <w:p w14:paraId="384F1624"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0,25</w:t>
            </w:r>
          </w:p>
        </w:tc>
        <w:tc>
          <w:tcPr>
            <w:tcW w:w="0" w:type="auto"/>
            <w:tcBorders>
              <w:top w:val="nil"/>
              <w:left w:val="nil"/>
              <w:bottom w:val="single" w:sz="8" w:space="0" w:color="auto"/>
              <w:right w:val="single" w:sz="8" w:space="0" w:color="auto"/>
            </w:tcBorders>
            <w:shd w:val="clear" w:color="auto" w:fill="auto"/>
            <w:vAlign w:val="center"/>
            <w:hideMark/>
          </w:tcPr>
          <w:p w14:paraId="4D1147A2"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1</w:t>
            </w:r>
          </w:p>
        </w:tc>
        <w:tc>
          <w:tcPr>
            <w:tcW w:w="0" w:type="auto"/>
            <w:tcBorders>
              <w:top w:val="nil"/>
              <w:left w:val="nil"/>
              <w:bottom w:val="single" w:sz="8" w:space="0" w:color="auto"/>
              <w:right w:val="single" w:sz="8" w:space="0" w:color="auto"/>
            </w:tcBorders>
            <w:shd w:val="clear" w:color="auto" w:fill="auto"/>
            <w:vAlign w:val="center"/>
            <w:hideMark/>
          </w:tcPr>
          <w:p w14:paraId="2AF5E28D" w14:textId="77777777" w:rsidR="00D64653" w:rsidRPr="00952EE0" w:rsidRDefault="00D64653" w:rsidP="00952EE0">
            <w:pPr>
              <w:spacing w:before="0" w:after="0"/>
              <w:jc w:val="center"/>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0,05</w:t>
            </w:r>
          </w:p>
        </w:tc>
      </w:tr>
      <w:tr w:rsidR="00D64653" w:rsidRPr="00952EE0" w14:paraId="0CB2A312" w14:textId="77777777" w:rsidTr="00D64653">
        <w:trPr>
          <w:trHeight w:val="320"/>
          <w:jc w:val="center"/>
        </w:trPr>
        <w:tc>
          <w:tcPr>
            <w:tcW w:w="0" w:type="auto"/>
            <w:tcBorders>
              <w:top w:val="nil"/>
              <w:left w:val="single" w:sz="8" w:space="0" w:color="auto"/>
              <w:bottom w:val="single" w:sz="8" w:space="0" w:color="auto"/>
              <w:right w:val="nil"/>
            </w:tcBorders>
            <w:shd w:val="clear" w:color="000000" w:fill="D9D9D9"/>
            <w:vAlign w:val="center"/>
            <w:hideMark/>
          </w:tcPr>
          <w:p w14:paraId="49A1E552" w14:textId="77777777" w:rsidR="00D64653" w:rsidRPr="00952EE0" w:rsidRDefault="00D64653" w:rsidP="00952EE0">
            <w:pPr>
              <w:spacing w:before="0" w:after="0"/>
              <w:jc w:val="both"/>
              <w:rPr>
                <w:rFonts w:ascii="Arial" w:eastAsia="Times New Roman" w:hAnsi="Arial" w:cs="Arial"/>
                <w:b/>
                <w:color w:val="000000"/>
                <w:sz w:val="18"/>
                <w:szCs w:val="18"/>
                <w:lang w:eastAsia="es-CO"/>
              </w:rPr>
            </w:pPr>
            <w:r w:rsidRPr="00952EE0">
              <w:rPr>
                <w:rFonts w:ascii="Arial" w:eastAsia="Times New Roman" w:hAnsi="Arial" w:cs="Arial"/>
                <w:b/>
                <w:color w:val="000000"/>
                <w:sz w:val="18"/>
                <w:szCs w:val="18"/>
                <w:lang w:eastAsia="es-CO"/>
              </w:rPr>
              <w:t>CALIFICACIÓN TOTAL</w:t>
            </w:r>
          </w:p>
        </w:tc>
        <w:tc>
          <w:tcPr>
            <w:tcW w:w="0" w:type="auto"/>
            <w:tcBorders>
              <w:top w:val="nil"/>
              <w:left w:val="single" w:sz="8" w:space="0" w:color="auto"/>
              <w:bottom w:val="single" w:sz="8" w:space="0" w:color="auto"/>
              <w:right w:val="single" w:sz="8" w:space="0" w:color="auto"/>
            </w:tcBorders>
            <w:shd w:val="clear" w:color="000000" w:fill="D9D9D9"/>
            <w:noWrap/>
            <w:vAlign w:val="center"/>
            <w:hideMark/>
          </w:tcPr>
          <w:p w14:paraId="62E74E2F" w14:textId="77777777" w:rsidR="00D64653" w:rsidRPr="00952EE0" w:rsidRDefault="00D64653" w:rsidP="00952EE0">
            <w:pPr>
              <w:spacing w:before="0" w:after="0"/>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5EAF4148" w14:textId="77777777" w:rsidR="00D64653" w:rsidRPr="00952EE0" w:rsidRDefault="00D64653" w:rsidP="00952EE0">
            <w:pPr>
              <w:spacing w:before="0" w:after="0"/>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046849B1" w14:textId="77777777" w:rsidR="00D64653" w:rsidRPr="00952EE0" w:rsidRDefault="00D64653" w:rsidP="00952EE0">
            <w:pPr>
              <w:spacing w:before="0" w:after="0"/>
              <w:jc w:val="center"/>
              <w:rPr>
                <w:rFonts w:ascii="Arial" w:eastAsia="Times New Roman" w:hAnsi="Arial" w:cs="Arial"/>
                <w:b/>
                <w:color w:val="000000"/>
                <w:sz w:val="18"/>
                <w:szCs w:val="18"/>
                <w:lang w:eastAsia="es-CO"/>
              </w:rPr>
            </w:pPr>
            <w:r w:rsidRPr="00952EE0">
              <w:rPr>
                <w:rFonts w:ascii="Arial" w:eastAsia="Times New Roman" w:hAnsi="Arial" w:cs="Arial"/>
                <w:b/>
                <w:color w:val="000000"/>
                <w:sz w:val="18"/>
                <w:szCs w:val="18"/>
                <w:lang w:eastAsia="es-CO"/>
              </w:rPr>
              <w:t>1,75</w:t>
            </w:r>
          </w:p>
        </w:tc>
        <w:tc>
          <w:tcPr>
            <w:tcW w:w="0" w:type="auto"/>
            <w:tcBorders>
              <w:top w:val="nil"/>
              <w:left w:val="nil"/>
              <w:bottom w:val="single" w:sz="8" w:space="0" w:color="auto"/>
              <w:right w:val="single" w:sz="8" w:space="0" w:color="auto"/>
            </w:tcBorders>
            <w:shd w:val="clear" w:color="000000" w:fill="D9D9D9"/>
            <w:noWrap/>
            <w:vAlign w:val="center"/>
            <w:hideMark/>
          </w:tcPr>
          <w:p w14:paraId="2FDFB94F" w14:textId="77777777" w:rsidR="00D64653" w:rsidRPr="00952EE0" w:rsidRDefault="00D64653" w:rsidP="00952EE0">
            <w:pPr>
              <w:spacing w:before="0" w:after="0"/>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4D4D368" w14:textId="77777777" w:rsidR="00D64653" w:rsidRPr="00952EE0" w:rsidRDefault="00D64653" w:rsidP="00952EE0">
            <w:pPr>
              <w:spacing w:before="0" w:after="0"/>
              <w:jc w:val="center"/>
              <w:rPr>
                <w:rFonts w:ascii="Arial" w:eastAsia="Times New Roman" w:hAnsi="Arial" w:cs="Arial"/>
                <w:b/>
                <w:color w:val="000000"/>
                <w:sz w:val="18"/>
                <w:szCs w:val="18"/>
                <w:lang w:eastAsia="es-CO"/>
              </w:rPr>
            </w:pPr>
            <w:r w:rsidRPr="00952EE0">
              <w:rPr>
                <w:rFonts w:ascii="Arial" w:eastAsia="Times New Roman" w:hAnsi="Arial" w:cs="Arial"/>
                <w:b/>
                <w:color w:val="000000"/>
                <w:sz w:val="18"/>
                <w:szCs w:val="18"/>
                <w:lang w:eastAsia="es-CO"/>
              </w:rPr>
              <w:t>4,2</w:t>
            </w:r>
          </w:p>
        </w:tc>
        <w:tc>
          <w:tcPr>
            <w:tcW w:w="0" w:type="auto"/>
            <w:tcBorders>
              <w:top w:val="nil"/>
              <w:left w:val="nil"/>
              <w:bottom w:val="single" w:sz="8" w:space="0" w:color="auto"/>
              <w:right w:val="single" w:sz="8" w:space="0" w:color="auto"/>
            </w:tcBorders>
            <w:shd w:val="clear" w:color="000000" w:fill="D9D9D9"/>
            <w:noWrap/>
            <w:vAlign w:val="center"/>
            <w:hideMark/>
          </w:tcPr>
          <w:p w14:paraId="63BF101A" w14:textId="77777777" w:rsidR="00D64653" w:rsidRPr="00952EE0" w:rsidRDefault="00D64653" w:rsidP="00952EE0">
            <w:pPr>
              <w:spacing w:before="0" w:after="0"/>
              <w:rPr>
                <w:rFonts w:ascii="Arial" w:eastAsia="Times New Roman" w:hAnsi="Arial" w:cs="Arial"/>
                <w:color w:val="000000"/>
                <w:sz w:val="18"/>
                <w:szCs w:val="18"/>
                <w:lang w:eastAsia="es-CO"/>
              </w:rPr>
            </w:pPr>
            <w:r w:rsidRPr="00952EE0">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33D98EB0" w14:textId="77777777" w:rsidR="00D64653" w:rsidRPr="00952EE0" w:rsidRDefault="00D64653" w:rsidP="00952EE0">
            <w:pPr>
              <w:spacing w:before="0" w:after="0"/>
              <w:jc w:val="center"/>
              <w:rPr>
                <w:rFonts w:ascii="Arial" w:eastAsia="Times New Roman" w:hAnsi="Arial" w:cs="Arial"/>
                <w:b/>
                <w:color w:val="000000"/>
                <w:sz w:val="18"/>
                <w:szCs w:val="18"/>
                <w:lang w:eastAsia="es-CO"/>
              </w:rPr>
            </w:pPr>
            <w:r w:rsidRPr="00952EE0">
              <w:rPr>
                <w:rFonts w:ascii="Arial" w:eastAsia="Times New Roman" w:hAnsi="Arial" w:cs="Arial"/>
                <w:b/>
                <w:color w:val="000000"/>
                <w:sz w:val="18"/>
                <w:szCs w:val="18"/>
                <w:lang w:eastAsia="es-CO"/>
              </w:rPr>
              <w:t>2,95</w:t>
            </w:r>
          </w:p>
        </w:tc>
      </w:tr>
    </w:tbl>
    <w:p w14:paraId="52F4D71E" w14:textId="77777777" w:rsidR="00081BE2" w:rsidRDefault="00081BE2" w:rsidP="005851D0">
      <w:pPr>
        <w:jc w:val="both"/>
        <w:rPr>
          <w:rFonts w:ascii="Arial" w:hAnsi="Arial" w:cs="Arial"/>
        </w:rPr>
        <w:sectPr w:rsidR="00081BE2" w:rsidSect="002D64BB">
          <w:pgSz w:w="16838" w:h="11906" w:orient="landscape"/>
          <w:pgMar w:top="1440" w:right="1440" w:bottom="1440" w:left="1440" w:header="720" w:footer="720" w:gutter="0"/>
          <w:cols w:space="720"/>
          <w:titlePg/>
          <w:docGrid w:linePitch="360"/>
        </w:sectPr>
      </w:pPr>
    </w:p>
    <w:p w14:paraId="5D263DBA" w14:textId="5A8792C7" w:rsidR="00952EE0" w:rsidRDefault="00952EE0" w:rsidP="00952EE0">
      <w:pPr>
        <w:jc w:val="both"/>
        <w:rPr>
          <w:rFonts w:ascii="Arial" w:hAnsi="Arial" w:cs="Arial"/>
        </w:rPr>
      </w:pPr>
      <w:r>
        <w:rPr>
          <w:rFonts w:ascii="Arial" w:hAnsi="Arial" w:cs="Arial"/>
        </w:rPr>
        <w:lastRenderedPageBreak/>
        <w:t xml:space="preserve">De acuerdo con esta evaluación se tiene que la alternativa más beneficiosa </w:t>
      </w:r>
      <w:r w:rsidR="00A743DE">
        <w:rPr>
          <w:rFonts w:ascii="Arial" w:hAnsi="Arial" w:cs="Arial"/>
        </w:rPr>
        <w:t xml:space="preserve">corresponde </w:t>
      </w:r>
      <w:r w:rsidR="00795D9E">
        <w:rPr>
          <w:rFonts w:ascii="Arial" w:hAnsi="Arial" w:cs="Arial"/>
        </w:rPr>
        <w:t>al</w:t>
      </w:r>
      <w:r>
        <w:rPr>
          <w:rFonts w:ascii="Arial" w:hAnsi="Arial" w:cs="Arial"/>
        </w:rPr>
        <w:t xml:space="preserve"> número dos, </w:t>
      </w:r>
      <w:r w:rsidR="00795D9E">
        <w:rPr>
          <w:rFonts w:ascii="Arial" w:hAnsi="Arial" w:cs="Arial"/>
        </w:rPr>
        <w:t>dado que consigue el mayor puntaje. Esta</w:t>
      </w:r>
      <w:r>
        <w:rPr>
          <w:rFonts w:ascii="Arial" w:hAnsi="Arial" w:cs="Arial"/>
        </w:rPr>
        <w:t xml:space="preserve"> contempla ajustar algunos aspectos de la metodología vigente que implican mejorar eficiencias en la remuneración de la actividad y simplicidad en su aplicación.</w:t>
      </w:r>
    </w:p>
    <w:p w14:paraId="52C227F2" w14:textId="0B063BBA" w:rsidR="00126923" w:rsidRPr="00F13A80" w:rsidRDefault="007D20E1" w:rsidP="00F13A80">
      <w:pPr>
        <w:pStyle w:val="Ttulo1"/>
      </w:pPr>
      <w:bookmarkStart w:id="28" w:name="_Toc165037332"/>
      <w:r>
        <w:t xml:space="preserve">ANÁLISIS Y </w:t>
      </w:r>
      <w:r w:rsidR="00B16F00" w:rsidRPr="00115F4D">
        <w:t>PROPUESTA DE METODOLOGÍA PARA REMUNERAR LA ACTIVIDAD DE COMERCIALIZACIÓN DE ENERGÍA ELÉCTRICA A USUARIOS REGULADOS</w:t>
      </w:r>
      <w:bookmarkEnd w:id="28"/>
      <w:r w:rsidR="00B16F00" w:rsidRPr="00115F4D">
        <w:t xml:space="preserve"> </w:t>
      </w:r>
    </w:p>
    <w:p w14:paraId="52A6B0A3" w14:textId="2C2D06E1" w:rsidR="00BC1C7A" w:rsidRPr="00115F4D" w:rsidRDefault="00CC0BEF" w:rsidP="00DC1806">
      <w:pPr>
        <w:jc w:val="both"/>
        <w:rPr>
          <w:rFonts w:ascii="Arial" w:hAnsi="Arial" w:cs="Arial"/>
        </w:rPr>
      </w:pPr>
      <w:r w:rsidRPr="00115F4D">
        <w:rPr>
          <w:rFonts w:ascii="Arial" w:hAnsi="Arial" w:cs="Arial"/>
        </w:rPr>
        <w:t xml:space="preserve">La </w:t>
      </w:r>
      <w:r w:rsidR="004441CC">
        <w:rPr>
          <w:rFonts w:ascii="Arial" w:hAnsi="Arial" w:cs="Arial"/>
        </w:rPr>
        <w:t>alternativa seleccionada considera l</w:t>
      </w:r>
      <w:r w:rsidR="00DA7D2D" w:rsidRPr="00115F4D">
        <w:rPr>
          <w:rFonts w:ascii="Arial" w:hAnsi="Arial" w:cs="Arial"/>
        </w:rPr>
        <w:t>a estructura de la metodología de la resolución CREG 180 de 2014</w:t>
      </w:r>
      <w:r w:rsidR="00477E5C">
        <w:rPr>
          <w:rFonts w:ascii="Arial" w:hAnsi="Arial" w:cs="Arial"/>
        </w:rPr>
        <w:t>, realizando</w:t>
      </w:r>
      <w:r w:rsidR="00785394" w:rsidRPr="00115F4D">
        <w:rPr>
          <w:rFonts w:ascii="Arial" w:hAnsi="Arial" w:cs="Arial"/>
        </w:rPr>
        <w:t xml:space="preserve"> ajustes </w:t>
      </w:r>
      <w:r w:rsidR="00477E5C">
        <w:rPr>
          <w:rFonts w:ascii="Arial" w:hAnsi="Arial" w:cs="Arial"/>
        </w:rPr>
        <w:t>en algunos aspectos en</w:t>
      </w:r>
      <w:r w:rsidR="00785394" w:rsidRPr="00115F4D">
        <w:rPr>
          <w:rFonts w:ascii="Arial" w:hAnsi="Arial" w:cs="Arial"/>
        </w:rPr>
        <w:t xml:space="preserve"> la metodología de remuneración </w:t>
      </w:r>
      <w:r w:rsidR="0030211A" w:rsidRPr="00115F4D">
        <w:rPr>
          <w:rFonts w:ascii="Arial" w:hAnsi="Arial" w:cs="Arial"/>
        </w:rPr>
        <w:t>con el objetivo de capturar los beneficios producto de la actualización tecnológica</w:t>
      </w:r>
      <w:r w:rsidR="003602F4" w:rsidRPr="00115F4D">
        <w:rPr>
          <w:rFonts w:ascii="Arial" w:hAnsi="Arial" w:cs="Arial"/>
        </w:rPr>
        <w:t xml:space="preserve"> y mejorar la información de cara al usuario, que </w:t>
      </w:r>
      <w:r w:rsidR="00A275D3" w:rsidRPr="00115F4D">
        <w:rPr>
          <w:rFonts w:ascii="Arial" w:hAnsi="Arial" w:cs="Arial"/>
        </w:rPr>
        <w:t>deriven en una mayor competencia en el sector</w:t>
      </w:r>
      <w:r w:rsidR="00A36642">
        <w:rPr>
          <w:rFonts w:ascii="Arial" w:hAnsi="Arial" w:cs="Arial"/>
        </w:rPr>
        <w:t xml:space="preserve">, de acuerdo con los objetivos planteados en el </w:t>
      </w:r>
      <w:r w:rsidR="00A36642" w:rsidRPr="00115F4D">
        <w:rPr>
          <w:rFonts w:ascii="Arial" w:hAnsi="Arial" w:cs="Arial"/>
        </w:rPr>
        <w:t>documento CREG D-110-2019</w:t>
      </w:r>
      <w:r w:rsidR="00A275D3" w:rsidRPr="00115F4D">
        <w:rPr>
          <w:rFonts w:ascii="Arial" w:hAnsi="Arial" w:cs="Arial"/>
        </w:rPr>
        <w:t xml:space="preserve">. </w:t>
      </w:r>
    </w:p>
    <w:p w14:paraId="7047AD97" w14:textId="3CE099B8" w:rsidR="00A668EE" w:rsidRPr="00115F4D" w:rsidRDefault="00D86D2A" w:rsidP="00DC1806">
      <w:pPr>
        <w:jc w:val="both"/>
        <w:rPr>
          <w:rFonts w:ascii="Arial" w:hAnsi="Arial" w:cs="Arial"/>
        </w:rPr>
      </w:pPr>
      <w:r w:rsidRPr="00115F4D">
        <w:rPr>
          <w:rFonts w:ascii="Arial" w:hAnsi="Arial" w:cs="Arial"/>
        </w:rPr>
        <w:t>La propuesta metodológica</w:t>
      </w:r>
      <w:r w:rsidR="00A275D3" w:rsidRPr="00115F4D">
        <w:rPr>
          <w:rFonts w:ascii="Arial" w:hAnsi="Arial" w:cs="Arial"/>
        </w:rPr>
        <w:t xml:space="preserve"> </w:t>
      </w:r>
      <w:r w:rsidR="0031776B">
        <w:rPr>
          <w:rFonts w:ascii="Arial" w:hAnsi="Arial" w:cs="Arial"/>
        </w:rPr>
        <w:t xml:space="preserve">para remunerar la actividad de comercialización de energía eléctrica </w:t>
      </w:r>
      <w:r w:rsidR="00E120E1">
        <w:rPr>
          <w:rFonts w:ascii="Arial" w:hAnsi="Arial" w:cs="Arial"/>
        </w:rPr>
        <w:t>a usuarios regulados</w:t>
      </w:r>
      <w:r w:rsidR="00A275D3" w:rsidRPr="00115F4D">
        <w:rPr>
          <w:rFonts w:ascii="Arial" w:hAnsi="Arial" w:cs="Arial"/>
        </w:rPr>
        <w:t xml:space="preserve"> se describe a continuación</w:t>
      </w:r>
      <w:r w:rsidR="00BC1C7A" w:rsidRPr="00115F4D">
        <w:rPr>
          <w:rFonts w:ascii="Arial" w:hAnsi="Arial" w:cs="Arial"/>
        </w:rPr>
        <w:t xml:space="preserve">, partiendo del componente </w:t>
      </w:r>
      <w:r w:rsidR="007D2BFC" w:rsidRPr="00115F4D">
        <w:rPr>
          <w:rFonts w:ascii="Arial" w:hAnsi="Arial" w:cs="Arial"/>
        </w:rPr>
        <w:t>fijo del costo de comercialización, costo base y modelo de eficiencia</w:t>
      </w:r>
      <w:r w:rsidR="00F36570" w:rsidRPr="00115F4D">
        <w:rPr>
          <w:rFonts w:ascii="Arial" w:hAnsi="Arial" w:cs="Arial"/>
        </w:rPr>
        <w:t xml:space="preserve">, para continuar con </w:t>
      </w:r>
      <w:r w:rsidR="00843D1A" w:rsidRPr="00115F4D">
        <w:rPr>
          <w:rFonts w:ascii="Arial" w:hAnsi="Arial" w:cs="Arial"/>
        </w:rPr>
        <w:t xml:space="preserve">el componente variable del costo, con el margen operacional, riesgo de cartera y </w:t>
      </w:r>
      <w:r w:rsidR="00506471" w:rsidRPr="00115F4D">
        <w:rPr>
          <w:rFonts w:ascii="Arial" w:hAnsi="Arial" w:cs="Arial"/>
        </w:rPr>
        <w:t xml:space="preserve">costo del flujo de efectivo. </w:t>
      </w:r>
    </w:p>
    <w:p w14:paraId="78429863" w14:textId="7D9D2ABC" w:rsidR="00FB14BA" w:rsidRPr="00115F4D" w:rsidRDefault="004A1D22" w:rsidP="00C00C77">
      <w:pPr>
        <w:pStyle w:val="Ttulo2"/>
        <w:numPr>
          <w:ilvl w:val="1"/>
          <w:numId w:val="24"/>
        </w:numPr>
      </w:pPr>
      <w:bookmarkStart w:id="29" w:name="_Toc165037333"/>
      <w:r>
        <w:t>C</w:t>
      </w:r>
      <w:r w:rsidR="001D7355" w:rsidRPr="00115F4D">
        <w:t>omponente fijo del costo de comercialización</w:t>
      </w:r>
      <w:bookmarkEnd w:id="29"/>
    </w:p>
    <w:p w14:paraId="6AA9E79F" w14:textId="5A16532E" w:rsidR="00D84413" w:rsidRPr="00115F4D" w:rsidRDefault="005B7C97" w:rsidP="00D351BE">
      <w:pPr>
        <w:jc w:val="both"/>
        <w:rPr>
          <w:rFonts w:ascii="Arial" w:hAnsi="Arial" w:cs="Arial"/>
        </w:rPr>
      </w:pPr>
      <w:r w:rsidRPr="00115F4D">
        <w:rPr>
          <w:rFonts w:ascii="Arial" w:hAnsi="Arial" w:cs="Arial"/>
        </w:rPr>
        <w:t xml:space="preserve">En este numeral </w:t>
      </w:r>
      <w:r w:rsidR="007D189B" w:rsidRPr="00115F4D">
        <w:rPr>
          <w:rFonts w:ascii="Arial" w:hAnsi="Arial" w:cs="Arial"/>
        </w:rPr>
        <w:t xml:space="preserve">se </w:t>
      </w:r>
      <w:r w:rsidR="0039379F" w:rsidRPr="00115F4D">
        <w:rPr>
          <w:rFonts w:ascii="Arial" w:hAnsi="Arial" w:cs="Arial"/>
        </w:rPr>
        <w:t>describe la propuesta para renumerar el componente fijo del costo base de comercialización</w:t>
      </w:r>
      <w:r w:rsidR="00A149E5">
        <w:rPr>
          <w:rFonts w:ascii="Arial" w:hAnsi="Arial" w:cs="Arial"/>
        </w:rPr>
        <w:t>, partiendo de</w:t>
      </w:r>
      <w:r w:rsidR="0062304A">
        <w:rPr>
          <w:rFonts w:ascii="Arial" w:hAnsi="Arial" w:cs="Arial"/>
        </w:rPr>
        <w:t xml:space="preserve"> la determinación del costo </w:t>
      </w:r>
      <w:r w:rsidR="00E2457D">
        <w:rPr>
          <w:rFonts w:ascii="Arial" w:hAnsi="Arial" w:cs="Arial"/>
        </w:rPr>
        <w:t xml:space="preserve">base </w:t>
      </w:r>
      <w:r w:rsidR="0062304A">
        <w:rPr>
          <w:rFonts w:ascii="Arial" w:hAnsi="Arial" w:cs="Arial"/>
        </w:rPr>
        <w:t xml:space="preserve">para realizar la actividad </w:t>
      </w:r>
      <w:r w:rsidR="00F0779C">
        <w:rPr>
          <w:rFonts w:ascii="Arial" w:hAnsi="Arial" w:cs="Arial"/>
        </w:rPr>
        <w:t>y el modelo de eficiencia asociado</w:t>
      </w:r>
      <w:r w:rsidR="00353BE8" w:rsidRPr="00115F4D">
        <w:rPr>
          <w:rFonts w:ascii="Arial" w:hAnsi="Arial" w:cs="Arial"/>
        </w:rPr>
        <w:t>.</w:t>
      </w:r>
    </w:p>
    <w:p w14:paraId="2C4D9ABF" w14:textId="6A350BC2" w:rsidR="00A97396" w:rsidRPr="00115F4D" w:rsidRDefault="00A97396" w:rsidP="00C00C77">
      <w:pPr>
        <w:pStyle w:val="Ttulo3"/>
        <w:numPr>
          <w:ilvl w:val="2"/>
          <w:numId w:val="24"/>
        </w:numPr>
      </w:pPr>
      <w:bookmarkStart w:id="30" w:name="_Toc165037334"/>
      <w:r w:rsidRPr="00115F4D">
        <w:t>Costo base de comercialización</w:t>
      </w:r>
      <w:bookmarkEnd w:id="30"/>
      <w:r w:rsidRPr="00115F4D">
        <w:t xml:space="preserve"> </w:t>
      </w:r>
    </w:p>
    <w:p w14:paraId="5BCAD325" w14:textId="46C77661" w:rsidR="002436AE" w:rsidRPr="00115F4D" w:rsidRDefault="002436AE" w:rsidP="00FF5A82">
      <w:pPr>
        <w:jc w:val="both"/>
        <w:rPr>
          <w:rFonts w:ascii="Arial" w:hAnsi="Arial" w:cs="Arial"/>
        </w:rPr>
      </w:pPr>
      <w:r w:rsidRPr="00115F4D">
        <w:rPr>
          <w:rFonts w:ascii="Arial" w:hAnsi="Arial" w:cs="Arial"/>
        </w:rPr>
        <w:t xml:space="preserve">Para determinar los costos y gastos a ser </w:t>
      </w:r>
      <w:r w:rsidR="00E2457D">
        <w:rPr>
          <w:rFonts w:ascii="Arial" w:hAnsi="Arial" w:cs="Arial"/>
        </w:rPr>
        <w:t>reconocidos</w:t>
      </w:r>
      <w:r w:rsidR="00EF0E00" w:rsidRPr="00115F4D">
        <w:rPr>
          <w:rFonts w:ascii="Arial" w:hAnsi="Arial" w:cs="Arial"/>
        </w:rPr>
        <w:t>, la comisión en el marco del estudio realizado por la Universidad Tecnológica de Pereira y publicado en la Circular CREG 087 de 2021, adelant</w:t>
      </w:r>
      <w:r w:rsidR="00440F00" w:rsidRPr="00115F4D">
        <w:rPr>
          <w:rFonts w:ascii="Arial" w:hAnsi="Arial" w:cs="Arial"/>
        </w:rPr>
        <w:t>ó</w:t>
      </w:r>
      <w:r w:rsidR="00EF0E00" w:rsidRPr="00115F4D">
        <w:rPr>
          <w:rFonts w:ascii="Arial" w:hAnsi="Arial" w:cs="Arial"/>
        </w:rPr>
        <w:t xml:space="preserve"> el análisis de los conceptos </w:t>
      </w:r>
      <w:r w:rsidR="00FF07F9" w:rsidRPr="00115F4D">
        <w:rPr>
          <w:rFonts w:ascii="Arial" w:hAnsi="Arial" w:cs="Arial"/>
        </w:rPr>
        <w:t>que deberían ser reconocidos</w:t>
      </w:r>
      <w:r w:rsidR="00440F00" w:rsidRPr="00115F4D">
        <w:rPr>
          <w:rFonts w:ascii="Arial" w:hAnsi="Arial" w:cs="Arial"/>
        </w:rPr>
        <w:t xml:space="preserve">, considerando la normatividad contable </w:t>
      </w:r>
      <w:r w:rsidR="003F468F" w:rsidRPr="00115F4D">
        <w:rPr>
          <w:rFonts w:ascii="Arial" w:hAnsi="Arial" w:cs="Arial"/>
        </w:rPr>
        <w:t>vigente en el país</w:t>
      </w:r>
      <w:r w:rsidR="00321CC2" w:rsidRPr="00115F4D">
        <w:rPr>
          <w:rFonts w:ascii="Arial" w:hAnsi="Arial" w:cs="Arial"/>
        </w:rPr>
        <w:t xml:space="preserve"> y los cambios en la actividad derivadas de </w:t>
      </w:r>
      <w:r w:rsidR="00050388" w:rsidRPr="00115F4D">
        <w:rPr>
          <w:rFonts w:ascii="Arial" w:hAnsi="Arial" w:cs="Arial"/>
        </w:rPr>
        <w:t xml:space="preserve">la dinámica del mercado, integración de </w:t>
      </w:r>
      <w:r w:rsidR="008C1639" w:rsidRPr="00115F4D">
        <w:rPr>
          <w:rFonts w:ascii="Arial" w:hAnsi="Arial" w:cs="Arial"/>
        </w:rPr>
        <w:t>nuevas alternativas tecnológicas</w:t>
      </w:r>
      <w:r w:rsidR="00050388" w:rsidRPr="00115F4D">
        <w:rPr>
          <w:rFonts w:ascii="Arial" w:hAnsi="Arial" w:cs="Arial"/>
        </w:rPr>
        <w:t xml:space="preserve"> y la </w:t>
      </w:r>
      <w:r w:rsidR="00E2457D" w:rsidRPr="00115F4D">
        <w:rPr>
          <w:rFonts w:ascii="Arial" w:hAnsi="Arial" w:cs="Arial"/>
        </w:rPr>
        <w:t>interacción</w:t>
      </w:r>
      <w:r w:rsidR="00050388" w:rsidRPr="00115F4D">
        <w:rPr>
          <w:rFonts w:ascii="Arial" w:hAnsi="Arial" w:cs="Arial"/>
        </w:rPr>
        <w:t xml:space="preserve"> </w:t>
      </w:r>
      <w:r w:rsidR="00C46203">
        <w:rPr>
          <w:rFonts w:ascii="Arial" w:hAnsi="Arial" w:cs="Arial"/>
        </w:rPr>
        <w:t>con</w:t>
      </w:r>
      <w:r w:rsidR="00050388" w:rsidRPr="00115F4D">
        <w:rPr>
          <w:rFonts w:ascii="Arial" w:hAnsi="Arial" w:cs="Arial"/>
        </w:rPr>
        <w:t xml:space="preserve"> los usuarios</w:t>
      </w:r>
      <w:r w:rsidR="00222F55" w:rsidRPr="00115F4D">
        <w:rPr>
          <w:rFonts w:ascii="Arial" w:hAnsi="Arial" w:cs="Arial"/>
        </w:rPr>
        <w:t xml:space="preserve">, cada vez </w:t>
      </w:r>
      <w:r w:rsidR="003E4527" w:rsidRPr="00115F4D">
        <w:rPr>
          <w:rFonts w:ascii="Arial" w:hAnsi="Arial" w:cs="Arial"/>
        </w:rPr>
        <w:t>más</w:t>
      </w:r>
      <w:r w:rsidR="00222F55" w:rsidRPr="00115F4D">
        <w:rPr>
          <w:rFonts w:ascii="Arial" w:hAnsi="Arial" w:cs="Arial"/>
        </w:rPr>
        <w:t xml:space="preserve"> activos en la toma de decisiones del sistema </w:t>
      </w:r>
      <w:r w:rsidR="003E4527" w:rsidRPr="00115F4D">
        <w:rPr>
          <w:rFonts w:ascii="Arial" w:hAnsi="Arial" w:cs="Arial"/>
        </w:rPr>
        <w:t>energético</w:t>
      </w:r>
      <w:r w:rsidR="003F468F" w:rsidRPr="00115F4D">
        <w:rPr>
          <w:rFonts w:ascii="Arial" w:hAnsi="Arial" w:cs="Arial"/>
        </w:rPr>
        <w:t>.</w:t>
      </w:r>
    </w:p>
    <w:p w14:paraId="3472D629" w14:textId="77777777" w:rsidR="00930710" w:rsidRDefault="003E4527" w:rsidP="00FF5A82">
      <w:pPr>
        <w:jc w:val="both"/>
        <w:rPr>
          <w:rFonts w:ascii="Arial" w:hAnsi="Arial" w:cs="Arial"/>
        </w:rPr>
      </w:pPr>
      <w:r w:rsidRPr="00115F4D">
        <w:rPr>
          <w:rFonts w:ascii="Arial" w:hAnsi="Arial" w:cs="Arial"/>
        </w:rPr>
        <w:t xml:space="preserve">Adicionalmente, la </w:t>
      </w:r>
      <w:r w:rsidR="00ED108A" w:rsidRPr="00115F4D">
        <w:rPr>
          <w:rFonts w:ascii="Arial" w:hAnsi="Arial" w:cs="Arial"/>
        </w:rPr>
        <w:t>C</w:t>
      </w:r>
      <w:r w:rsidRPr="00115F4D">
        <w:rPr>
          <w:rFonts w:ascii="Arial" w:hAnsi="Arial" w:cs="Arial"/>
        </w:rPr>
        <w:t>omisión</w:t>
      </w:r>
      <w:r w:rsidR="00ED108A" w:rsidRPr="00115F4D">
        <w:rPr>
          <w:rFonts w:ascii="Arial" w:hAnsi="Arial" w:cs="Arial"/>
        </w:rPr>
        <w:t xml:space="preserve"> </w:t>
      </w:r>
      <w:r w:rsidRPr="00115F4D">
        <w:rPr>
          <w:rFonts w:ascii="Arial" w:hAnsi="Arial" w:cs="Arial"/>
        </w:rPr>
        <w:t xml:space="preserve">ha venido trabajando en mejorar la disponibilidad y </w:t>
      </w:r>
      <w:r w:rsidR="00EB0D73" w:rsidRPr="00115F4D">
        <w:rPr>
          <w:rFonts w:ascii="Arial" w:hAnsi="Arial" w:cs="Arial"/>
        </w:rPr>
        <w:t>calidad de información para la regulación,</w:t>
      </w:r>
      <w:r w:rsidR="00ED108A" w:rsidRPr="00115F4D">
        <w:rPr>
          <w:rFonts w:ascii="Arial" w:hAnsi="Arial" w:cs="Arial"/>
        </w:rPr>
        <w:t xml:space="preserve"> </w:t>
      </w:r>
      <w:r w:rsidR="003A7523" w:rsidRPr="00115F4D">
        <w:rPr>
          <w:rFonts w:ascii="Arial" w:hAnsi="Arial" w:cs="Arial"/>
        </w:rPr>
        <w:t>en ese sentido se</w:t>
      </w:r>
      <w:r w:rsidR="00ED108A" w:rsidRPr="00115F4D">
        <w:rPr>
          <w:rFonts w:ascii="Arial" w:hAnsi="Arial" w:cs="Arial"/>
        </w:rPr>
        <w:t xml:space="preserve"> introduce </w:t>
      </w:r>
      <w:r w:rsidR="003A7523" w:rsidRPr="00115F4D">
        <w:rPr>
          <w:rFonts w:ascii="Arial" w:hAnsi="Arial" w:cs="Arial"/>
        </w:rPr>
        <w:t xml:space="preserve">el concepto de </w:t>
      </w:r>
      <w:r w:rsidR="00ED108A" w:rsidRPr="00115F4D">
        <w:rPr>
          <w:rFonts w:ascii="Arial" w:hAnsi="Arial" w:cs="Arial"/>
        </w:rPr>
        <w:t xml:space="preserve">la Información de Costos para Regulación (ICR) con el fin obtener, para fines regulatorios, información desagregada de costos y gastos de las diferentes actividades de la cadena de prestación de </w:t>
      </w:r>
      <w:r w:rsidR="00E355ED">
        <w:rPr>
          <w:rFonts w:ascii="Arial" w:hAnsi="Arial" w:cs="Arial"/>
        </w:rPr>
        <w:t>los</w:t>
      </w:r>
      <w:r w:rsidR="00ED108A" w:rsidRPr="00115F4D">
        <w:rPr>
          <w:rFonts w:ascii="Arial" w:hAnsi="Arial" w:cs="Arial"/>
        </w:rPr>
        <w:t xml:space="preserve"> servicios públicos que están sujetas a la regulación. El enfoque ICR permite capturar información de los gastos de Administración, Operación y Mantenimiento, separados por actividades</w:t>
      </w:r>
      <w:r w:rsidR="00E2212E" w:rsidRPr="00115F4D">
        <w:rPr>
          <w:rFonts w:ascii="Arial" w:hAnsi="Arial" w:cs="Arial"/>
        </w:rPr>
        <w:t xml:space="preserve">. </w:t>
      </w:r>
    </w:p>
    <w:p w14:paraId="1FD98A9B" w14:textId="3A4C97AD" w:rsidR="00EB0D73" w:rsidRPr="00115F4D" w:rsidRDefault="00930710" w:rsidP="00FF5A82">
      <w:pPr>
        <w:jc w:val="both"/>
        <w:rPr>
          <w:rFonts w:ascii="Arial" w:hAnsi="Arial" w:cs="Arial"/>
        </w:rPr>
      </w:pPr>
      <w:r>
        <w:rPr>
          <w:rFonts w:ascii="Arial" w:hAnsi="Arial" w:cs="Arial"/>
        </w:rPr>
        <w:t xml:space="preserve">En comparación </w:t>
      </w:r>
      <w:r w:rsidR="00FB4CEC">
        <w:rPr>
          <w:rFonts w:ascii="Arial" w:hAnsi="Arial" w:cs="Arial"/>
        </w:rPr>
        <w:t xml:space="preserve">con la metodología vigente, establecida en la resolución </w:t>
      </w:r>
      <w:r w:rsidR="00412B31">
        <w:rPr>
          <w:rFonts w:ascii="Arial" w:hAnsi="Arial" w:cs="Arial"/>
        </w:rPr>
        <w:t xml:space="preserve">CREG </w:t>
      </w:r>
      <w:r w:rsidR="00FB4CEC">
        <w:rPr>
          <w:rFonts w:ascii="Arial" w:hAnsi="Arial" w:cs="Arial"/>
        </w:rPr>
        <w:t xml:space="preserve">180 de 2014, </w:t>
      </w:r>
      <w:r w:rsidR="00B36907">
        <w:rPr>
          <w:rFonts w:ascii="Arial" w:hAnsi="Arial" w:cs="Arial"/>
        </w:rPr>
        <w:t xml:space="preserve">para remunerar el Costo Base de Comercialización, </w:t>
      </w:r>
      <w:r w:rsidR="00412B31">
        <w:rPr>
          <w:rFonts w:ascii="Arial" w:hAnsi="Arial" w:cs="Arial"/>
        </w:rPr>
        <w:t>a</w:t>
      </w:r>
      <w:r w:rsidR="00E2212E" w:rsidRPr="00115F4D">
        <w:rPr>
          <w:rFonts w:ascii="Arial" w:hAnsi="Arial" w:cs="Arial"/>
        </w:rPr>
        <w:t xml:space="preserve"> partir de la información disponible en ICR,</w:t>
      </w:r>
      <w:r w:rsidR="00EB0D73" w:rsidRPr="00115F4D">
        <w:rPr>
          <w:rFonts w:ascii="Arial" w:hAnsi="Arial" w:cs="Arial"/>
        </w:rPr>
        <w:t xml:space="preserve"> </w:t>
      </w:r>
      <w:r w:rsidR="009E7FD8" w:rsidRPr="00115F4D">
        <w:rPr>
          <w:rFonts w:ascii="Arial" w:hAnsi="Arial" w:cs="Arial"/>
        </w:rPr>
        <w:t>se pasa de un enfoque de información construida de arriba hacia abajo,</w:t>
      </w:r>
      <w:r w:rsidR="000405F5" w:rsidRPr="00115F4D">
        <w:rPr>
          <w:rFonts w:ascii="Arial" w:hAnsi="Arial" w:cs="Arial"/>
        </w:rPr>
        <w:t xml:space="preserve"> en el que a un valor agregado se le descuentan </w:t>
      </w:r>
      <w:r w:rsidR="00B36907">
        <w:rPr>
          <w:rFonts w:ascii="Arial" w:hAnsi="Arial" w:cs="Arial"/>
        </w:rPr>
        <w:t>algunos</w:t>
      </w:r>
      <w:r w:rsidR="000405F5" w:rsidRPr="00115F4D">
        <w:rPr>
          <w:rFonts w:ascii="Arial" w:hAnsi="Arial" w:cs="Arial"/>
        </w:rPr>
        <w:t xml:space="preserve"> elementos contables para determinar un valor reconocido, a un enfoque</w:t>
      </w:r>
      <w:r w:rsidR="007D4006" w:rsidRPr="00115F4D">
        <w:rPr>
          <w:rFonts w:ascii="Arial" w:hAnsi="Arial" w:cs="Arial"/>
        </w:rPr>
        <w:t xml:space="preserve"> de abajo</w:t>
      </w:r>
      <w:r w:rsidR="000405F5" w:rsidRPr="00115F4D">
        <w:rPr>
          <w:rFonts w:ascii="Arial" w:hAnsi="Arial" w:cs="Arial"/>
        </w:rPr>
        <w:t xml:space="preserve"> hacia arriba en el que se suman los conceptos contables para </w:t>
      </w:r>
      <w:r w:rsidR="007D4006" w:rsidRPr="00115F4D">
        <w:rPr>
          <w:rFonts w:ascii="Arial" w:hAnsi="Arial" w:cs="Arial"/>
        </w:rPr>
        <w:t>establecer el valor reconocido</w:t>
      </w:r>
      <w:r w:rsidR="009D5FAC" w:rsidRPr="00115F4D">
        <w:rPr>
          <w:rFonts w:ascii="Arial" w:hAnsi="Arial" w:cs="Arial"/>
        </w:rPr>
        <w:t>.</w:t>
      </w:r>
    </w:p>
    <w:p w14:paraId="6AB0D780" w14:textId="19A388F0" w:rsidR="002D5F2B" w:rsidRPr="00115F4D" w:rsidRDefault="002D5F2B" w:rsidP="00FF5A82">
      <w:pPr>
        <w:jc w:val="both"/>
        <w:rPr>
          <w:rFonts w:ascii="Arial" w:hAnsi="Arial" w:cs="Arial"/>
        </w:rPr>
      </w:pPr>
      <w:r w:rsidRPr="00115F4D">
        <w:rPr>
          <w:rFonts w:ascii="Arial" w:hAnsi="Arial" w:cs="Arial"/>
        </w:rPr>
        <w:t xml:space="preserve">En </w:t>
      </w:r>
      <w:r w:rsidR="0042223C">
        <w:rPr>
          <w:rFonts w:ascii="Arial" w:hAnsi="Arial" w:cs="Arial"/>
        </w:rPr>
        <w:t xml:space="preserve">ese sentido, en </w:t>
      </w:r>
      <w:r w:rsidRPr="00115F4D">
        <w:rPr>
          <w:rFonts w:ascii="Arial" w:hAnsi="Arial" w:cs="Arial"/>
        </w:rPr>
        <w:t xml:space="preserve">la Circular </w:t>
      </w:r>
      <w:r w:rsidR="0042223C">
        <w:rPr>
          <w:rFonts w:ascii="Arial" w:hAnsi="Arial" w:cs="Arial"/>
        </w:rPr>
        <w:t>CREG</w:t>
      </w:r>
      <w:r w:rsidRPr="00115F4D">
        <w:rPr>
          <w:rFonts w:ascii="Arial" w:hAnsi="Arial" w:cs="Arial"/>
        </w:rPr>
        <w:t xml:space="preserve"> 114 de 2019 se publicaron los formatos para el reporte, por parte de las empresas</w:t>
      </w:r>
      <w:r w:rsidR="00842F39">
        <w:rPr>
          <w:rFonts w:ascii="Arial" w:hAnsi="Arial" w:cs="Arial"/>
        </w:rPr>
        <w:t xml:space="preserve"> </w:t>
      </w:r>
      <w:r w:rsidRPr="00115F4D">
        <w:rPr>
          <w:rFonts w:ascii="Arial" w:hAnsi="Arial" w:cs="Arial"/>
        </w:rPr>
        <w:t>de la información de los gastos de Administración, Operación y Mantenimiento, separados por actividades, como parte del modelo de reporte de información con fines regulatorios, ICR</w:t>
      </w:r>
      <w:r w:rsidR="009D5FAC" w:rsidRPr="00115F4D">
        <w:rPr>
          <w:rFonts w:ascii="Arial" w:hAnsi="Arial" w:cs="Arial"/>
        </w:rPr>
        <w:t>.</w:t>
      </w:r>
    </w:p>
    <w:p w14:paraId="10ABF92F" w14:textId="37B953AD" w:rsidR="00615614" w:rsidRPr="00115F4D" w:rsidRDefault="00615614" w:rsidP="00FF5A82">
      <w:pPr>
        <w:jc w:val="both"/>
        <w:rPr>
          <w:rFonts w:ascii="Arial" w:hAnsi="Arial" w:cs="Arial"/>
        </w:rPr>
      </w:pPr>
      <w:r w:rsidRPr="00115F4D">
        <w:rPr>
          <w:rFonts w:ascii="Arial" w:hAnsi="Arial" w:cs="Arial"/>
        </w:rPr>
        <w:lastRenderedPageBreak/>
        <w:t xml:space="preserve">Con la implementación de nuevas fuentes se proporciona información relevante para la remuneración de las actividades regulatorias y garantiza la información separada por actividades, simplificando la información en 128 conceptos regulados, acordes con los nuevos marcos normativos contables NIIF. </w:t>
      </w:r>
      <w:r w:rsidR="00120057" w:rsidRPr="00115F4D">
        <w:rPr>
          <w:rFonts w:ascii="Arial" w:hAnsi="Arial" w:cs="Arial"/>
        </w:rPr>
        <w:t xml:space="preserve">El análisis realizado por la </w:t>
      </w:r>
      <w:r w:rsidR="006C048D" w:rsidRPr="00115F4D">
        <w:rPr>
          <w:rFonts w:ascii="Arial" w:hAnsi="Arial" w:cs="Arial"/>
        </w:rPr>
        <w:t>Universidad</w:t>
      </w:r>
      <w:r w:rsidR="000A1E0C" w:rsidRPr="00115F4D">
        <w:rPr>
          <w:rFonts w:ascii="Arial" w:hAnsi="Arial" w:cs="Arial"/>
        </w:rPr>
        <w:t xml:space="preserve"> sugiere reconocer </w:t>
      </w:r>
      <w:r w:rsidR="0075386F">
        <w:rPr>
          <w:rFonts w:ascii="Arial" w:hAnsi="Arial" w:cs="Arial"/>
        </w:rPr>
        <w:t>54</w:t>
      </w:r>
      <w:r w:rsidR="000A1E0C" w:rsidRPr="00115F4D">
        <w:rPr>
          <w:rFonts w:ascii="Arial" w:hAnsi="Arial" w:cs="Arial"/>
        </w:rPr>
        <w:t xml:space="preserve"> conceptos CREG que están asociadas a la actividad de comercialización de usuarios regulados</w:t>
      </w:r>
      <w:r w:rsidR="006C048D" w:rsidRPr="00115F4D">
        <w:rPr>
          <w:rFonts w:ascii="Arial" w:hAnsi="Arial" w:cs="Arial"/>
        </w:rPr>
        <w:t>, y sugiere</w:t>
      </w:r>
      <w:r w:rsidR="000A1E0C" w:rsidRPr="00115F4D">
        <w:rPr>
          <w:rFonts w:ascii="Arial" w:hAnsi="Arial" w:cs="Arial"/>
        </w:rPr>
        <w:t xml:space="preserve"> no incluir 51 conceptos CREG (equivalente al 39.8%) que no están asociadas a la actividad.</w:t>
      </w:r>
    </w:p>
    <w:p w14:paraId="5B109E3F" w14:textId="5A17D63A" w:rsidR="000A1E0C" w:rsidRPr="00115F4D" w:rsidRDefault="006C048D" w:rsidP="00FF5A82">
      <w:pPr>
        <w:jc w:val="both"/>
        <w:rPr>
          <w:rFonts w:ascii="Arial" w:hAnsi="Arial" w:cs="Arial"/>
        </w:rPr>
      </w:pPr>
      <w:r w:rsidRPr="00115F4D">
        <w:rPr>
          <w:rFonts w:ascii="Arial" w:hAnsi="Arial" w:cs="Arial"/>
        </w:rPr>
        <w:t>La comisión actualiz</w:t>
      </w:r>
      <w:r w:rsidR="00874F5F" w:rsidRPr="00115F4D">
        <w:rPr>
          <w:rFonts w:ascii="Arial" w:hAnsi="Arial" w:cs="Arial"/>
        </w:rPr>
        <w:t>ó</w:t>
      </w:r>
      <w:r w:rsidRPr="00115F4D">
        <w:rPr>
          <w:rFonts w:ascii="Arial" w:hAnsi="Arial" w:cs="Arial"/>
        </w:rPr>
        <w:t xml:space="preserve"> el análisis realizado por la </w:t>
      </w:r>
      <w:r w:rsidR="00365FE2">
        <w:rPr>
          <w:rFonts w:ascii="Arial" w:hAnsi="Arial" w:cs="Arial"/>
        </w:rPr>
        <w:t>U</w:t>
      </w:r>
      <w:r w:rsidRPr="00115F4D">
        <w:rPr>
          <w:rFonts w:ascii="Arial" w:hAnsi="Arial" w:cs="Arial"/>
        </w:rPr>
        <w:t xml:space="preserve">niversidad, así como el análisis de </w:t>
      </w:r>
      <w:r w:rsidR="00ED1FE1" w:rsidRPr="00115F4D">
        <w:rPr>
          <w:rFonts w:ascii="Arial" w:hAnsi="Arial" w:cs="Arial"/>
        </w:rPr>
        <w:t xml:space="preserve">conceptos </w:t>
      </w:r>
      <w:r w:rsidR="0043325F" w:rsidRPr="00115F4D">
        <w:rPr>
          <w:rFonts w:ascii="Arial" w:hAnsi="Arial" w:cs="Arial"/>
        </w:rPr>
        <w:t xml:space="preserve">reconocidos en el marco de la integración de la </w:t>
      </w:r>
      <w:r w:rsidR="00F6623D" w:rsidRPr="00115F4D">
        <w:rPr>
          <w:rFonts w:ascii="Arial" w:hAnsi="Arial" w:cs="Arial"/>
        </w:rPr>
        <w:t>I</w:t>
      </w:r>
      <w:r w:rsidR="0043325F" w:rsidRPr="00115F4D">
        <w:rPr>
          <w:rFonts w:ascii="Arial" w:hAnsi="Arial" w:cs="Arial"/>
        </w:rPr>
        <w:t xml:space="preserve">nfraestructura de </w:t>
      </w:r>
      <w:r w:rsidR="00F6623D" w:rsidRPr="00115F4D">
        <w:rPr>
          <w:rFonts w:ascii="Arial" w:hAnsi="Arial" w:cs="Arial"/>
        </w:rPr>
        <w:t>M</w:t>
      </w:r>
      <w:r w:rsidR="0043325F" w:rsidRPr="00115F4D">
        <w:rPr>
          <w:rFonts w:ascii="Arial" w:hAnsi="Arial" w:cs="Arial"/>
        </w:rPr>
        <w:t xml:space="preserve">edición </w:t>
      </w:r>
      <w:r w:rsidR="00F6623D" w:rsidRPr="00115F4D">
        <w:rPr>
          <w:rFonts w:ascii="Arial" w:hAnsi="Arial" w:cs="Arial"/>
        </w:rPr>
        <w:t>A</w:t>
      </w:r>
      <w:r w:rsidR="0043325F" w:rsidRPr="00115F4D">
        <w:rPr>
          <w:rFonts w:ascii="Arial" w:hAnsi="Arial" w:cs="Arial"/>
        </w:rPr>
        <w:t>vanzada</w:t>
      </w:r>
      <w:r w:rsidR="00F6623D" w:rsidRPr="00115F4D">
        <w:rPr>
          <w:rFonts w:ascii="Arial" w:hAnsi="Arial" w:cs="Arial"/>
        </w:rPr>
        <w:t xml:space="preserve"> </w:t>
      </w:r>
      <w:r w:rsidR="00936A58" w:rsidRPr="00115F4D">
        <w:rPr>
          <w:rFonts w:ascii="Arial" w:hAnsi="Arial" w:cs="Arial"/>
        </w:rPr>
        <w:t>–</w:t>
      </w:r>
      <w:r w:rsidR="00F6623D" w:rsidRPr="00115F4D">
        <w:rPr>
          <w:rFonts w:ascii="Arial" w:hAnsi="Arial" w:cs="Arial"/>
        </w:rPr>
        <w:t xml:space="preserve"> </w:t>
      </w:r>
      <w:r w:rsidRPr="00115F4D">
        <w:rPr>
          <w:rFonts w:ascii="Arial" w:hAnsi="Arial" w:cs="Arial"/>
        </w:rPr>
        <w:t>AMI</w:t>
      </w:r>
      <w:r w:rsidR="00936A58" w:rsidRPr="00115F4D">
        <w:rPr>
          <w:rFonts w:ascii="Arial" w:hAnsi="Arial" w:cs="Arial"/>
        </w:rPr>
        <w:t xml:space="preserve">, arrojando como resultado un total de </w:t>
      </w:r>
      <w:r w:rsidR="00F01746" w:rsidRPr="00115F4D">
        <w:rPr>
          <w:rFonts w:ascii="Arial" w:hAnsi="Arial" w:cs="Arial"/>
        </w:rPr>
        <w:t>5</w:t>
      </w:r>
      <w:r w:rsidR="00EE7F64" w:rsidRPr="00115F4D">
        <w:rPr>
          <w:rFonts w:ascii="Arial" w:hAnsi="Arial" w:cs="Arial"/>
        </w:rPr>
        <w:t>0</w:t>
      </w:r>
      <w:r w:rsidR="00F01746" w:rsidRPr="00115F4D">
        <w:rPr>
          <w:rFonts w:ascii="Arial" w:hAnsi="Arial" w:cs="Arial"/>
        </w:rPr>
        <w:t xml:space="preserve"> conceptos </w:t>
      </w:r>
      <w:r w:rsidR="00365FE2">
        <w:rPr>
          <w:rFonts w:ascii="Arial" w:hAnsi="Arial" w:cs="Arial"/>
        </w:rPr>
        <w:t>a reconocer</w:t>
      </w:r>
      <w:r w:rsidR="00B508DC">
        <w:rPr>
          <w:rFonts w:ascii="Arial" w:hAnsi="Arial" w:cs="Arial"/>
        </w:rPr>
        <w:t>, más el concepto asociado al costo de lectura,</w:t>
      </w:r>
      <w:r w:rsidR="00F22662">
        <w:rPr>
          <w:rFonts w:ascii="Arial" w:hAnsi="Arial" w:cs="Arial"/>
        </w:rPr>
        <w:t xml:space="preserve"> </w:t>
      </w:r>
      <w:r w:rsidR="00F01746" w:rsidRPr="00115F4D">
        <w:rPr>
          <w:rFonts w:ascii="Arial" w:hAnsi="Arial" w:cs="Arial"/>
        </w:rPr>
        <w:t>los cuales se listan a continuación</w:t>
      </w:r>
      <w:r w:rsidR="00EA55DD" w:rsidRPr="00115F4D">
        <w:rPr>
          <w:rFonts w:ascii="Arial" w:hAnsi="Arial" w:cs="Arial"/>
        </w:rPr>
        <w:t>:</w:t>
      </w:r>
    </w:p>
    <w:p w14:paraId="550D561D" w14:textId="3106EFA2" w:rsidR="00EE7F64" w:rsidRDefault="00EE7F64" w:rsidP="00CC0567">
      <w:pPr>
        <w:pStyle w:val="Descripcin"/>
        <w:spacing w:after="0"/>
        <w:jc w:val="center"/>
        <w:rPr>
          <w:rFonts w:ascii="Arial" w:hAnsi="Arial" w:cs="Arial"/>
          <w:b/>
          <w:bCs/>
          <w:color w:val="auto"/>
        </w:rPr>
      </w:pPr>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5</w:t>
      </w:r>
      <w:r w:rsidRPr="00115F4D">
        <w:rPr>
          <w:rFonts w:ascii="Arial" w:hAnsi="Arial" w:cs="Arial"/>
          <w:b/>
          <w:bCs/>
          <w:color w:val="auto"/>
        </w:rPr>
        <w:fldChar w:fldCharType="end"/>
      </w:r>
      <w:r w:rsidRPr="00115F4D">
        <w:rPr>
          <w:rFonts w:ascii="Arial" w:hAnsi="Arial" w:cs="Arial"/>
          <w:b/>
          <w:bCs/>
          <w:color w:val="auto"/>
        </w:rPr>
        <w:t xml:space="preserve"> Conceptos ICR reconocidos</w:t>
      </w:r>
    </w:p>
    <w:p w14:paraId="58D939CF" w14:textId="142CB8A8" w:rsidR="00CC0567" w:rsidRPr="00CC0567" w:rsidRDefault="00CC0567" w:rsidP="00CC0567">
      <w:pPr>
        <w:pStyle w:val="Descripcin"/>
        <w:spacing w:after="0"/>
        <w:jc w:val="center"/>
        <w:rPr>
          <w:rFonts w:ascii="Arial" w:hAnsi="Arial" w:cs="Arial"/>
          <w:b/>
          <w:bCs/>
          <w:color w:val="auto"/>
        </w:rPr>
      </w:pPr>
      <w:r w:rsidRPr="00CC0567">
        <w:rPr>
          <w:rFonts w:ascii="Arial" w:hAnsi="Arial" w:cs="Arial"/>
          <w:b/>
          <w:bCs/>
          <w:color w:val="auto"/>
        </w:rPr>
        <w:t>Fuente: Elaboración propia.</w:t>
      </w:r>
    </w:p>
    <w:tbl>
      <w:tblPr>
        <w:tblStyle w:val="Tablaconcuadrcula1clara-nfasis3"/>
        <w:tblW w:w="9016" w:type="dxa"/>
        <w:tblLook w:val="04A0" w:firstRow="1" w:lastRow="0" w:firstColumn="1" w:lastColumn="0" w:noHBand="0" w:noVBand="1"/>
      </w:tblPr>
      <w:tblGrid>
        <w:gridCol w:w="720"/>
        <w:gridCol w:w="1179"/>
        <w:gridCol w:w="7117"/>
      </w:tblGrid>
      <w:tr w:rsidR="00EE7F64" w:rsidRPr="009924CB" w14:paraId="5AC654AA" w14:textId="77777777" w:rsidTr="00E46EC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20" w:type="dxa"/>
            <w:noWrap/>
            <w:hideMark/>
          </w:tcPr>
          <w:p w14:paraId="7BAD78FD" w14:textId="77777777" w:rsidR="00EE7F64" w:rsidRPr="009924CB" w:rsidRDefault="00EE7F64" w:rsidP="00FF5A82">
            <w:pPr>
              <w:spacing w:before="0" w:after="0"/>
              <w:jc w:val="center"/>
              <w:rPr>
                <w:rFonts w:ascii="Arial" w:hAnsi="Arial" w:cs="Arial"/>
                <w:b w:val="0"/>
                <w:sz w:val="20"/>
                <w:szCs w:val="20"/>
                <w:lang w:eastAsia="es-CO"/>
              </w:rPr>
            </w:pPr>
            <w:r w:rsidRPr="009924CB">
              <w:rPr>
                <w:rFonts w:ascii="Arial" w:hAnsi="Arial" w:cs="Arial"/>
                <w:sz w:val="20"/>
                <w:szCs w:val="20"/>
                <w:lang w:eastAsia="es-CO"/>
              </w:rPr>
              <w:t>Item</w:t>
            </w:r>
          </w:p>
        </w:tc>
        <w:tc>
          <w:tcPr>
            <w:tcW w:w="1179" w:type="dxa"/>
            <w:hideMark/>
          </w:tcPr>
          <w:p w14:paraId="490775AD" w14:textId="77777777" w:rsidR="00EE7F64" w:rsidRPr="009924CB" w:rsidRDefault="00EE7F64" w:rsidP="00FF5A82">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eastAsia="es-CO"/>
              </w:rPr>
            </w:pPr>
            <w:r w:rsidRPr="009924CB">
              <w:rPr>
                <w:rFonts w:ascii="Arial" w:hAnsi="Arial" w:cs="Arial"/>
                <w:sz w:val="20"/>
                <w:szCs w:val="20"/>
                <w:lang w:eastAsia="es-CO"/>
              </w:rPr>
              <w:t>Código Concepto</w:t>
            </w:r>
          </w:p>
        </w:tc>
        <w:tc>
          <w:tcPr>
            <w:tcW w:w="7117" w:type="dxa"/>
            <w:noWrap/>
            <w:hideMark/>
          </w:tcPr>
          <w:p w14:paraId="3E3A39C0" w14:textId="77777777" w:rsidR="00EE7F64" w:rsidRPr="009924CB" w:rsidRDefault="00EE7F64" w:rsidP="00FF5A82">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eastAsia="es-CO"/>
              </w:rPr>
            </w:pPr>
            <w:r w:rsidRPr="009924CB">
              <w:rPr>
                <w:rFonts w:ascii="Arial" w:hAnsi="Arial" w:cs="Arial"/>
                <w:sz w:val="20"/>
                <w:szCs w:val="20"/>
                <w:lang w:eastAsia="es-CO"/>
              </w:rPr>
              <w:t>Descripción Concepto</w:t>
            </w:r>
          </w:p>
        </w:tc>
      </w:tr>
      <w:tr w:rsidR="00EE7F64" w:rsidRPr="009924CB" w14:paraId="1548F659"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05AAD667"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w:t>
            </w:r>
          </w:p>
        </w:tc>
        <w:tc>
          <w:tcPr>
            <w:tcW w:w="1179" w:type="dxa"/>
            <w:noWrap/>
            <w:hideMark/>
          </w:tcPr>
          <w:p w14:paraId="05EFDC54"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01010100</w:t>
            </w:r>
          </w:p>
        </w:tc>
        <w:tc>
          <w:tcPr>
            <w:tcW w:w="7117" w:type="dxa"/>
            <w:noWrap/>
            <w:hideMark/>
          </w:tcPr>
          <w:p w14:paraId="5DE42AC0"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Sueldos y salarios</w:t>
            </w:r>
          </w:p>
        </w:tc>
      </w:tr>
      <w:tr w:rsidR="00EE7F64" w:rsidRPr="009924CB" w14:paraId="2601454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B1F6BB5"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w:t>
            </w:r>
          </w:p>
        </w:tc>
        <w:tc>
          <w:tcPr>
            <w:tcW w:w="1179" w:type="dxa"/>
            <w:noWrap/>
            <w:hideMark/>
          </w:tcPr>
          <w:p w14:paraId="6F73BB25"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01010201</w:t>
            </w:r>
          </w:p>
        </w:tc>
        <w:tc>
          <w:tcPr>
            <w:tcW w:w="7117" w:type="dxa"/>
            <w:hideMark/>
          </w:tcPr>
          <w:p w14:paraId="45DF63B7"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Primas y prestaciones sociales - Establecidas en el CST o el REP</w:t>
            </w:r>
          </w:p>
        </w:tc>
      </w:tr>
      <w:tr w:rsidR="00EE7F64" w:rsidRPr="009924CB" w14:paraId="68DC89C1"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9CAF6C1"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w:t>
            </w:r>
          </w:p>
        </w:tc>
        <w:tc>
          <w:tcPr>
            <w:tcW w:w="1179" w:type="dxa"/>
            <w:noWrap/>
            <w:hideMark/>
          </w:tcPr>
          <w:p w14:paraId="1A6914AB"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01010301</w:t>
            </w:r>
          </w:p>
        </w:tc>
        <w:tc>
          <w:tcPr>
            <w:tcW w:w="7117" w:type="dxa"/>
            <w:hideMark/>
          </w:tcPr>
          <w:p w14:paraId="4C4AB3B2"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Aportes a seguridad social y aportes a la nómina - Establecidas en el CST o el REP</w:t>
            </w:r>
          </w:p>
        </w:tc>
      </w:tr>
      <w:tr w:rsidR="00EE7F64" w:rsidRPr="009924CB" w14:paraId="368B8B70"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F9DA600"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w:t>
            </w:r>
          </w:p>
        </w:tc>
        <w:tc>
          <w:tcPr>
            <w:tcW w:w="1179" w:type="dxa"/>
            <w:noWrap/>
            <w:hideMark/>
          </w:tcPr>
          <w:p w14:paraId="0DF635A1"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01010600</w:t>
            </w:r>
          </w:p>
        </w:tc>
        <w:tc>
          <w:tcPr>
            <w:tcW w:w="7117" w:type="dxa"/>
            <w:noWrap/>
            <w:hideMark/>
          </w:tcPr>
          <w:p w14:paraId="39741D0F"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Terminación del vínculo laboral</w:t>
            </w:r>
          </w:p>
        </w:tc>
      </w:tr>
      <w:tr w:rsidR="00EE7F64" w:rsidRPr="009924CB" w14:paraId="4F3EFB91"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2710A00"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5</w:t>
            </w:r>
          </w:p>
        </w:tc>
        <w:tc>
          <w:tcPr>
            <w:tcW w:w="1179" w:type="dxa"/>
            <w:noWrap/>
            <w:hideMark/>
          </w:tcPr>
          <w:p w14:paraId="65997252"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01011000</w:t>
            </w:r>
          </w:p>
        </w:tc>
        <w:tc>
          <w:tcPr>
            <w:tcW w:w="7117" w:type="dxa"/>
            <w:noWrap/>
            <w:hideMark/>
          </w:tcPr>
          <w:p w14:paraId="4AC3A934"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Gastos de personal sin vínculo laboral</w:t>
            </w:r>
          </w:p>
        </w:tc>
      </w:tr>
      <w:tr w:rsidR="00EE7F64" w:rsidRPr="009924CB" w14:paraId="67D67CA0"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3E45D50C"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6</w:t>
            </w:r>
          </w:p>
        </w:tc>
        <w:tc>
          <w:tcPr>
            <w:tcW w:w="1179" w:type="dxa"/>
            <w:noWrap/>
            <w:hideMark/>
          </w:tcPr>
          <w:p w14:paraId="180B125E"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01020100</w:t>
            </w:r>
          </w:p>
        </w:tc>
        <w:tc>
          <w:tcPr>
            <w:tcW w:w="7117" w:type="dxa"/>
            <w:noWrap/>
            <w:hideMark/>
          </w:tcPr>
          <w:p w14:paraId="7BCC4DED"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Gastos de organización y puesta en marcha</w:t>
            </w:r>
          </w:p>
        </w:tc>
      </w:tr>
      <w:tr w:rsidR="00EE7F64" w:rsidRPr="009924CB" w14:paraId="05EBA3A6"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A77E5F6"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7</w:t>
            </w:r>
          </w:p>
        </w:tc>
        <w:tc>
          <w:tcPr>
            <w:tcW w:w="1179" w:type="dxa"/>
            <w:noWrap/>
            <w:hideMark/>
          </w:tcPr>
          <w:p w14:paraId="54BDCE0E"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01020200</w:t>
            </w:r>
          </w:p>
        </w:tc>
        <w:tc>
          <w:tcPr>
            <w:tcW w:w="7117" w:type="dxa"/>
            <w:noWrap/>
            <w:hideMark/>
          </w:tcPr>
          <w:p w14:paraId="1096D810"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Estudios y proyectos</w:t>
            </w:r>
          </w:p>
        </w:tc>
      </w:tr>
      <w:tr w:rsidR="00EE7F64" w:rsidRPr="009924CB" w14:paraId="5348CF8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3BF1D5DF"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8</w:t>
            </w:r>
          </w:p>
        </w:tc>
        <w:tc>
          <w:tcPr>
            <w:tcW w:w="1179" w:type="dxa"/>
            <w:noWrap/>
            <w:hideMark/>
          </w:tcPr>
          <w:p w14:paraId="47A69930"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01020500</w:t>
            </w:r>
          </w:p>
        </w:tc>
        <w:tc>
          <w:tcPr>
            <w:tcW w:w="7117" w:type="dxa"/>
            <w:noWrap/>
            <w:hideMark/>
          </w:tcPr>
          <w:p w14:paraId="5D4FA3B9"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 xml:space="preserve">Gastos de administración y funcionamiento </w:t>
            </w:r>
          </w:p>
        </w:tc>
      </w:tr>
      <w:tr w:rsidR="00EE7F64" w:rsidRPr="009924CB" w14:paraId="3369806F"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B4DD698"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9</w:t>
            </w:r>
          </w:p>
        </w:tc>
        <w:tc>
          <w:tcPr>
            <w:tcW w:w="1179" w:type="dxa"/>
            <w:noWrap/>
            <w:hideMark/>
          </w:tcPr>
          <w:p w14:paraId="642E3E50"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01020600</w:t>
            </w:r>
          </w:p>
        </w:tc>
        <w:tc>
          <w:tcPr>
            <w:tcW w:w="7117" w:type="dxa"/>
            <w:noWrap/>
            <w:hideMark/>
          </w:tcPr>
          <w:p w14:paraId="5D196CA3"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Arrendamiento operativo</w:t>
            </w:r>
          </w:p>
        </w:tc>
      </w:tr>
      <w:tr w:rsidR="00EE7F64" w:rsidRPr="009924CB" w14:paraId="5DFB3CF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170E648"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10</w:t>
            </w:r>
          </w:p>
        </w:tc>
        <w:tc>
          <w:tcPr>
            <w:tcW w:w="1179" w:type="dxa"/>
            <w:noWrap/>
            <w:hideMark/>
          </w:tcPr>
          <w:p w14:paraId="133F4EB2"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01030100</w:t>
            </w:r>
          </w:p>
        </w:tc>
        <w:tc>
          <w:tcPr>
            <w:tcW w:w="7117" w:type="dxa"/>
            <w:noWrap/>
            <w:hideMark/>
          </w:tcPr>
          <w:p w14:paraId="7EBAC3EC"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Impuestos municipales y de operación</w:t>
            </w:r>
          </w:p>
        </w:tc>
      </w:tr>
      <w:tr w:rsidR="00EE7F64" w:rsidRPr="009924CB" w14:paraId="4E89BB86"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0A5E3F2D"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11</w:t>
            </w:r>
          </w:p>
        </w:tc>
        <w:tc>
          <w:tcPr>
            <w:tcW w:w="1179" w:type="dxa"/>
            <w:noWrap/>
            <w:hideMark/>
          </w:tcPr>
          <w:p w14:paraId="5CAA4F5A"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01030200</w:t>
            </w:r>
          </w:p>
        </w:tc>
        <w:tc>
          <w:tcPr>
            <w:tcW w:w="7117" w:type="dxa"/>
            <w:noWrap/>
            <w:hideMark/>
          </w:tcPr>
          <w:p w14:paraId="0CB31DC5"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 predial unificado</w:t>
            </w:r>
          </w:p>
        </w:tc>
      </w:tr>
      <w:tr w:rsidR="00EE7F64" w:rsidRPr="009924CB" w14:paraId="3A14F59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4EBDCEC"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12</w:t>
            </w:r>
          </w:p>
        </w:tc>
        <w:tc>
          <w:tcPr>
            <w:tcW w:w="1179" w:type="dxa"/>
            <w:noWrap/>
            <w:hideMark/>
          </w:tcPr>
          <w:p w14:paraId="37870A06"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01030300</w:t>
            </w:r>
          </w:p>
        </w:tc>
        <w:tc>
          <w:tcPr>
            <w:tcW w:w="7117" w:type="dxa"/>
            <w:noWrap/>
            <w:hideMark/>
          </w:tcPr>
          <w:p w14:paraId="52985C2C"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 de industria y comercio</w:t>
            </w:r>
          </w:p>
        </w:tc>
      </w:tr>
      <w:tr w:rsidR="00EE7F64" w:rsidRPr="009924CB" w14:paraId="11A7FCEF"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511DF054"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13</w:t>
            </w:r>
          </w:p>
        </w:tc>
        <w:tc>
          <w:tcPr>
            <w:tcW w:w="1179" w:type="dxa"/>
            <w:noWrap/>
            <w:hideMark/>
          </w:tcPr>
          <w:p w14:paraId="04999DE3"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01030400</w:t>
            </w:r>
          </w:p>
        </w:tc>
        <w:tc>
          <w:tcPr>
            <w:tcW w:w="7117" w:type="dxa"/>
            <w:noWrap/>
            <w:hideMark/>
          </w:tcPr>
          <w:p w14:paraId="144AB900"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 sobre vehículos automotores</w:t>
            </w:r>
          </w:p>
        </w:tc>
      </w:tr>
      <w:tr w:rsidR="00EE7F64" w:rsidRPr="009924CB" w14:paraId="66BD9BC6"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49F1EAF"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14</w:t>
            </w:r>
          </w:p>
        </w:tc>
        <w:tc>
          <w:tcPr>
            <w:tcW w:w="1179" w:type="dxa"/>
            <w:noWrap/>
            <w:hideMark/>
          </w:tcPr>
          <w:p w14:paraId="176912D1"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01030500</w:t>
            </w:r>
          </w:p>
        </w:tc>
        <w:tc>
          <w:tcPr>
            <w:tcW w:w="7117" w:type="dxa"/>
            <w:noWrap/>
            <w:hideMark/>
          </w:tcPr>
          <w:p w14:paraId="35039D7D"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 a las ventas, IVA no descontable</w:t>
            </w:r>
          </w:p>
        </w:tc>
      </w:tr>
      <w:tr w:rsidR="00EE7F64" w:rsidRPr="009924CB" w14:paraId="59127DC5"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30DF331"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15</w:t>
            </w:r>
          </w:p>
        </w:tc>
        <w:tc>
          <w:tcPr>
            <w:tcW w:w="1179" w:type="dxa"/>
            <w:noWrap/>
            <w:hideMark/>
          </w:tcPr>
          <w:p w14:paraId="193766BC"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01030600</w:t>
            </w:r>
          </w:p>
        </w:tc>
        <w:tc>
          <w:tcPr>
            <w:tcW w:w="7117" w:type="dxa"/>
            <w:noWrap/>
            <w:hideMark/>
          </w:tcPr>
          <w:p w14:paraId="7D6CFC28"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Gravamen a los movimientos financieros</w:t>
            </w:r>
          </w:p>
        </w:tc>
      </w:tr>
      <w:tr w:rsidR="00EE7F64" w:rsidRPr="009924CB" w14:paraId="2FB04BC1"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356FD67E"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16</w:t>
            </w:r>
          </w:p>
        </w:tc>
        <w:tc>
          <w:tcPr>
            <w:tcW w:w="1179" w:type="dxa"/>
            <w:noWrap/>
            <w:hideMark/>
          </w:tcPr>
          <w:p w14:paraId="1E847724"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01031000</w:t>
            </w:r>
          </w:p>
        </w:tc>
        <w:tc>
          <w:tcPr>
            <w:tcW w:w="7117" w:type="dxa"/>
            <w:noWrap/>
            <w:hideMark/>
          </w:tcPr>
          <w:p w14:paraId="5ADB71F9"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 de alumbrado público</w:t>
            </w:r>
          </w:p>
        </w:tc>
      </w:tr>
      <w:tr w:rsidR="00EE7F64" w:rsidRPr="009924CB" w14:paraId="3676B37B"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956ECFA"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17</w:t>
            </w:r>
          </w:p>
        </w:tc>
        <w:tc>
          <w:tcPr>
            <w:tcW w:w="1179" w:type="dxa"/>
            <w:noWrap/>
            <w:hideMark/>
          </w:tcPr>
          <w:p w14:paraId="36CDFFB3"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01060100</w:t>
            </w:r>
          </w:p>
        </w:tc>
        <w:tc>
          <w:tcPr>
            <w:tcW w:w="7117" w:type="dxa"/>
            <w:noWrap/>
            <w:hideMark/>
          </w:tcPr>
          <w:p w14:paraId="17D73771"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Depreciación</w:t>
            </w:r>
          </w:p>
        </w:tc>
      </w:tr>
      <w:tr w:rsidR="00EE7F64" w:rsidRPr="009924CB" w14:paraId="0302D107"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02D04FD4"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18</w:t>
            </w:r>
          </w:p>
        </w:tc>
        <w:tc>
          <w:tcPr>
            <w:tcW w:w="1179" w:type="dxa"/>
            <w:noWrap/>
            <w:hideMark/>
          </w:tcPr>
          <w:p w14:paraId="0C9318D6"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02010100</w:t>
            </w:r>
          </w:p>
        </w:tc>
        <w:tc>
          <w:tcPr>
            <w:tcW w:w="7117" w:type="dxa"/>
            <w:noWrap/>
            <w:hideMark/>
          </w:tcPr>
          <w:p w14:paraId="022C92A7"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Sueldos y salarios</w:t>
            </w:r>
          </w:p>
        </w:tc>
      </w:tr>
      <w:tr w:rsidR="00EE7F64" w:rsidRPr="009924CB" w14:paraId="0C6A5451"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E199EE4"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19</w:t>
            </w:r>
          </w:p>
        </w:tc>
        <w:tc>
          <w:tcPr>
            <w:tcW w:w="1179" w:type="dxa"/>
            <w:noWrap/>
            <w:hideMark/>
          </w:tcPr>
          <w:p w14:paraId="57F14DE1"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02010201</w:t>
            </w:r>
          </w:p>
        </w:tc>
        <w:tc>
          <w:tcPr>
            <w:tcW w:w="7117" w:type="dxa"/>
            <w:hideMark/>
          </w:tcPr>
          <w:p w14:paraId="5F459B79"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Primas y prestaciones sociales - Establecidas en el CST o el REP</w:t>
            </w:r>
          </w:p>
        </w:tc>
      </w:tr>
      <w:tr w:rsidR="00EE7F64" w:rsidRPr="009924CB" w14:paraId="307E4B1C"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631555B"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20</w:t>
            </w:r>
          </w:p>
        </w:tc>
        <w:tc>
          <w:tcPr>
            <w:tcW w:w="1179" w:type="dxa"/>
            <w:noWrap/>
            <w:hideMark/>
          </w:tcPr>
          <w:p w14:paraId="0DA46B2A"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02010301</w:t>
            </w:r>
          </w:p>
        </w:tc>
        <w:tc>
          <w:tcPr>
            <w:tcW w:w="7117" w:type="dxa"/>
            <w:hideMark/>
          </w:tcPr>
          <w:p w14:paraId="77AFDB55"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Aportes a seguridad social y aportes a la nómina - Establecidas en el CST o el REP</w:t>
            </w:r>
          </w:p>
        </w:tc>
      </w:tr>
      <w:tr w:rsidR="00EE7F64" w:rsidRPr="009924CB" w14:paraId="3DA04F31"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8143521"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21</w:t>
            </w:r>
          </w:p>
        </w:tc>
        <w:tc>
          <w:tcPr>
            <w:tcW w:w="1179" w:type="dxa"/>
            <w:noWrap/>
            <w:hideMark/>
          </w:tcPr>
          <w:p w14:paraId="3A472987"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02010600</w:t>
            </w:r>
          </w:p>
        </w:tc>
        <w:tc>
          <w:tcPr>
            <w:tcW w:w="7117" w:type="dxa"/>
            <w:noWrap/>
            <w:hideMark/>
          </w:tcPr>
          <w:p w14:paraId="5710E14E"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Terminación del vínculo laboral</w:t>
            </w:r>
          </w:p>
        </w:tc>
      </w:tr>
      <w:tr w:rsidR="00EE7F64" w:rsidRPr="009924CB" w14:paraId="662B89EB"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A0AED2E"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22</w:t>
            </w:r>
          </w:p>
        </w:tc>
        <w:tc>
          <w:tcPr>
            <w:tcW w:w="1179" w:type="dxa"/>
            <w:noWrap/>
            <w:hideMark/>
          </w:tcPr>
          <w:p w14:paraId="2039EA82"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02011000</w:t>
            </w:r>
          </w:p>
        </w:tc>
        <w:tc>
          <w:tcPr>
            <w:tcW w:w="7117" w:type="dxa"/>
            <w:noWrap/>
            <w:hideMark/>
          </w:tcPr>
          <w:p w14:paraId="68E64D2C"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Gastos de personal sin vínculo laboral</w:t>
            </w:r>
          </w:p>
        </w:tc>
      </w:tr>
      <w:tr w:rsidR="00EE7F64" w:rsidRPr="009924CB" w14:paraId="4C5E8C18"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F56DCA8"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23</w:t>
            </w:r>
          </w:p>
        </w:tc>
        <w:tc>
          <w:tcPr>
            <w:tcW w:w="1179" w:type="dxa"/>
            <w:noWrap/>
            <w:hideMark/>
          </w:tcPr>
          <w:p w14:paraId="325BDC2B"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02020100</w:t>
            </w:r>
          </w:p>
        </w:tc>
        <w:tc>
          <w:tcPr>
            <w:tcW w:w="7117" w:type="dxa"/>
            <w:noWrap/>
            <w:hideMark/>
          </w:tcPr>
          <w:p w14:paraId="091A2DDF"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Estudios y proyectos</w:t>
            </w:r>
          </w:p>
        </w:tc>
      </w:tr>
      <w:tr w:rsidR="00EE7F64" w:rsidRPr="009924CB" w14:paraId="006E813A"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2314484"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24</w:t>
            </w:r>
          </w:p>
        </w:tc>
        <w:tc>
          <w:tcPr>
            <w:tcW w:w="1179" w:type="dxa"/>
            <w:noWrap/>
            <w:hideMark/>
          </w:tcPr>
          <w:p w14:paraId="171E66F4"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02020300</w:t>
            </w:r>
          </w:p>
        </w:tc>
        <w:tc>
          <w:tcPr>
            <w:tcW w:w="7117" w:type="dxa"/>
            <w:noWrap/>
            <w:hideMark/>
          </w:tcPr>
          <w:p w14:paraId="046060CE"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Promoción y divulgación</w:t>
            </w:r>
          </w:p>
        </w:tc>
      </w:tr>
      <w:tr w:rsidR="00EE7F64" w:rsidRPr="009924CB" w14:paraId="053E78A1"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A603F00"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25</w:t>
            </w:r>
          </w:p>
        </w:tc>
        <w:tc>
          <w:tcPr>
            <w:tcW w:w="1179" w:type="dxa"/>
            <w:noWrap/>
            <w:hideMark/>
          </w:tcPr>
          <w:p w14:paraId="495DADEE"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02020400</w:t>
            </w:r>
          </w:p>
        </w:tc>
        <w:tc>
          <w:tcPr>
            <w:tcW w:w="7117" w:type="dxa"/>
            <w:noWrap/>
            <w:hideMark/>
          </w:tcPr>
          <w:p w14:paraId="29E65B04"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Transporte, fletes y acarreos</w:t>
            </w:r>
          </w:p>
        </w:tc>
      </w:tr>
      <w:tr w:rsidR="00EE7F64" w:rsidRPr="009924CB" w14:paraId="2E9C545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8A6799A"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26</w:t>
            </w:r>
          </w:p>
        </w:tc>
        <w:tc>
          <w:tcPr>
            <w:tcW w:w="1179" w:type="dxa"/>
            <w:noWrap/>
            <w:hideMark/>
          </w:tcPr>
          <w:p w14:paraId="3593DCDE"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02020500</w:t>
            </w:r>
          </w:p>
        </w:tc>
        <w:tc>
          <w:tcPr>
            <w:tcW w:w="7117" w:type="dxa"/>
            <w:noWrap/>
            <w:hideMark/>
          </w:tcPr>
          <w:p w14:paraId="048CF4E9"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Gastos de operación</w:t>
            </w:r>
          </w:p>
        </w:tc>
      </w:tr>
      <w:tr w:rsidR="00EE7F64" w:rsidRPr="009924CB" w14:paraId="128D31AD"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3E5BF182"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27</w:t>
            </w:r>
          </w:p>
        </w:tc>
        <w:tc>
          <w:tcPr>
            <w:tcW w:w="1179" w:type="dxa"/>
            <w:noWrap/>
            <w:hideMark/>
          </w:tcPr>
          <w:p w14:paraId="684CDDA5"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02030100</w:t>
            </w:r>
          </w:p>
        </w:tc>
        <w:tc>
          <w:tcPr>
            <w:tcW w:w="7117" w:type="dxa"/>
            <w:noWrap/>
            <w:hideMark/>
          </w:tcPr>
          <w:p w14:paraId="67DFDF7A"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Impuestos municipales y de operación</w:t>
            </w:r>
          </w:p>
        </w:tc>
      </w:tr>
      <w:tr w:rsidR="00EE7F64" w:rsidRPr="009924CB" w14:paraId="740FA2CA"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DB771F8"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28</w:t>
            </w:r>
          </w:p>
        </w:tc>
        <w:tc>
          <w:tcPr>
            <w:tcW w:w="1179" w:type="dxa"/>
            <w:noWrap/>
            <w:hideMark/>
          </w:tcPr>
          <w:p w14:paraId="119C12CF"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02030200</w:t>
            </w:r>
          </w:p>
        </w:tc>
        <w:tc>
          <w:tcPr>
            <w:tcW w:w="7117" w:type="dxa"/>
            <w:noWrap/>
            <w:hideMark/>
          </w:tcPr>
          <w:p w14:paraId="2B8A4F44"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 predial unificado</w:t>
            </w:r>
          </w:p>
        </w:tc>
      </w:tr>
      <w:tr w:rsidR="00EE7F64" w:rsidRPr="009924CB" w14:paraId="654B0D56"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6E51D57"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29</w:t>
            </w:r>
          </w:p>
        </w:tc>
        <w:tc>
          <w:tcPr>
            <w:tcW w:w="1179" w:type="dxa"/>
            <w:noWrap/>
            <w:hideMark/>
          </w:tcPr>
          <w:p w14:paraId="6EA3531E"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02030300</w:t>
            </w:r>
          </w:p>
        </w:tc>
        <w:tc>
          <w:tcPr>
            <w:tcW w:w="7117" w:type="dxa"/>
            <w:noWrap/>
            <w:hideMark/>
          </w:tcPr>
          <w:p w14:paraId="0AB88ECD"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Impuesto sobre vehículos automotores</w:t>
            </w:r>
          </w:p>
        </w:tc>
      </w:tr>
      <w:tr w:rsidR="00EE7F64" w:rsidRPr="009924CB" w14:paraId="6FB98B2B"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0B4B854C"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30</w:t>
            </w:r>
          </w:p>
        </w:tc>
        <w:tc>
          <w:tcPr>
            <w:tcW w:w="1179" w:type="dxa"/>
            <w:noWrap/>
            <w:hideMark/>
          </w:tcPr>
          <w:p w14:paraId="6B455B0C"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02030400</w:t>
            </w:r>
          </w:p>
        </w:tc>
        <w:tc>
          <w:tcPr>
            <w:tcW w:w="7117" w:type="dxa"/>
            <w:noWrap/>
            <w:hideMark/>
          </w:tcPr>
          <w:p w14:paraId="5EC2BC2A"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Otros Impuestos</w:t>
            </w:r>
          </w:p>
        </w:tc>
      </w:tr>
      <w:tr w:rsidR="00EE7F64" w:rsidRPr="009924CB" w14:paraId="5A0C4B4C"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3C1CF0C0"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lastRenderedPageBreak/>
              <w:t>31</w:t>
            </w:r>
          </w:p>
        </w:tc>
        <w:tc>
          <w:tcPr>
            <w:tcW w:w="1179" w:type="dxa"/>
            <w:noWrap/>
            <w:hideMark/>
          </w:tcPr>
          <w:p w14:paraId="3D4CC09B"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02040100</w:t>
            </w:r>
          </w:p>
        </w:tc>
        <w:tc>
          <w:tcPr>
            <w:tcW w:w="7117" w:type="dxa"/>
            <w:noWrap/>
            <w:hideMark/>
          </w:tcPr>
          <w:p w14:paraId="4485BF64"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Terrenos</w:t>
            </w:r>
          </w:p>
        </w:tc>
      </w:tr>
      <w:tr w:rsidR="00EE7F64" w:rsidRPr="009924CB" w14:paraId="163ADF1A"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4B19900"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32</w:t>
            </w:r>
          </w:p>
        </w:tc>
        <w:tc>
          <w:tcPr>
            <w:tcW w:w="1179" w:type="dxa"/>
            <w:noWrap/>
            <w:hideMark/>
          </w:tcPr>
          <w:p w14:paraId="4C47482D"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02040200</w:t>
            </w:r>
          </w:p>
        </w:tc>
        <w:tc>
          <w:tcPr>
            <w:tcW w:w="7117" w:type="dxa"/>
            <w:noWrap/>
            <w:hideMark/>
          </w:tcPr>
          <w:p w14:paraId="65A8C282"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Construcciones y edificaciones</w:t>
            </w:r>
          </w:p>
        </w:tc>
      </w:tr>
      <w:tr w:rsidR="00EE7F64" w:rsidRPr="009924CB" w14:paraId="7CBE1B69"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B8DB52B"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33</w:t>
            </w:r>
          </w:p>
        </w:tc>
        <w:tc>
          <w:tcPr>
            <w:tcW w:w="1179" w:type="dxa"/>
            <w:noWrap/>
            <w:hideMark/>
          </w:tcPr>
          <w:p w14:paraId="366C32D3"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02040300</w:t>
            </w:r>
          </w:p>
        </w:tc>
        <w:tc>
          <w:tcPr>
            <w:tcW w:w="7117" w:type="dxa"/>
            <w:noWrap/>
            <w:hideMark/>
          </w:tcPr>
          <w:p w14:paraId="6FE69A66"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Otros arrendamientos</w:t>
            </w:r>
          </w:p>
        </w:tc>
      </w:tr>
      <w:tr w:rsidR="00EE7F64" w:rsidRPr="009924CB" w14:paraId="2E93BC0E"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242E7BC4"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34</w:t>
            </w:r>
          </w:p>
        </w:tc>
        <w:tc>
          <w:tcPr>
            <w:tcW w:w="1179" w:type="dxa"/>
            <w:noWrap/>
            <w:hideMark/>
          </w:tcPr>
          <w:p w14:paraId="264EC1FB"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02050000</w:t>
            </w:r>
          </w:p>
        </w:tc>
        <w:tc>
          <w:tcPr>
            <w:tcW w:w="7117" w:type="dxa"/>
            <w:noWrap/>
            <w:hideMark/>
          </w:tcPr>
          <w:p w14:paraId="3674815E"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Depreciaciones</w:t>
            </w:r>
          </w:p>
        </w:tc>
      </w:tr>
      <w:tr w:rsidR="00EE7F64" w:rsidRPr="009924CB" w14:paraId="1A9D32BB"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4A234CF"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35</w:t>
            </w:r>
          </w:p>
        </w:tc>
        <w:tc>
          <w:tcPr>
            <w:tcW w:w="1179" w:type="dxa"/>
            <w:noWrap/>
            <w:hideMark/>
          </w:tcPr>
          <w:p w14:paraId="0DD0CD3B"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02090400</w:t>
            </w:r>
          </w:p>
        </w:tc>
        <w:tc>
          <w:tcPr>
            <w:tcW w:w="7117" w:type="dxa"/>
            <w:noWrap/>
            <w:hideMark/>
          </w:tcPr>
          <w:p w14:paraId="1E5E16CB"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Comité de estratificación - Ley 505 De 1999</w:t>
            </w:r>
          </w:p>
        </w:tc>
      </w:tr>
      <w:tr w:rsidR="00EE7F64" w:rsidRPr="009924CB" w14:paraId="1B4C8C23"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BAFE044"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36</w:t>
            </w:r>
          </w:p>
        </w:tc>
        <w:tc>
          <w:tcPr>
            <w:tcW w:w="1179" w:type="dxa"/>
            <w:noWrap/>
            <w:hideMark/>
          </w:tcPr>
          <w:p w14:paraId="453B4A40"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02110100</w:t>
            </w:r>
          </w:p>
        </w:tc>
        <w:tc>
          <w:tcPr>
            <w:tcW w:w="7117" w:type="dxa"/>
            <w:noWrap/>
            <w:hideMark/>
          </w:tcPr>
          <w:p w14:paraId="0E9C3FE9"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Mantenimiento de otros activos</w:t>
            </w:r>
          </w:p>
        </w:tc>
      </w:tr>
      <w:tr w:rsidR="00EE7F64" w:rsidRPr="009924CB" w14:paraId="1B78DD40"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62A8E0EC"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37</w:t>
            </w:r>
          </w:p>
        </w:tc>
        <w:tc>
          <w:tcPr>
            <w:tcW w:w="1179" w:type="dxa"/>
            <w:noWrap/>
            <w:hideMark/>
          </w:tcPr>
          <w:p w14:paraId="03C99F25"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02110200</w:t>
            </w:r>
          </w:p>
        </w:tc>
        <w:tc>
          <w:tcPr>
            <w:tcW w:w="7117" w:type="dxa"/>
            <w:noWrap/>
            <w:hideMark/>
          </w:tcPr>
          <w:p w14:paraId="68EB0703"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Mantenimiento de activos asociados a la actividad</w:t>
            </w:r>
          </w:p>
        </w:tc>
      </w:tr>
      <w:tr w:rsidR="00EE7F64" w:rsidRPr="009924CB" w14:paraId="48391547"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06CCADF4"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38</w:t>
            </w:r>
          </w:p>
        </w:tc>
        <w:tc>
          <w:tcPr>
            <w:tcW w:w="1179" w:type="dxa"/>
            <w:noWrap/>
            <w:hideMark/>
          </w:tcPr>
          <w:p w14:paraId="753A2AFA"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02110300</w:t>
            </w:r>
          </w:p>
        </w:tc>
        <w:tc>
          <w:tcPr>
            <w:tcW w:w="7117" w:type="dxa"/>
            <w:noWrap/>
            <w:hideMark/>
          </w:tcPr>
          <w:p w14:paraId="538FA1A5"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Reparación de otros activos</w:t>
            </w:r>
          </w:p>
        </w:tc>
      </w:tr>
      <w:tr w:rsidR="00EE7F64" w:rsidRPr="009924CB" w14:paraId="575DF41E"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50F21291"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39</w:t>
            </w:r>
          </w:p>
        </w:tc>
        <w:tc>
          <w:tcPr>
            <w:tcW w:w="1179" w:type="dxa"/>
            <w:noWrap/>
            <w:hideMark/>
          </w:tcPr>
          <w:p w14:paraId="71BF3358"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02110400</w:t>
            </w:r>
          </w:p>
        </w:tc>
        <w:tc>
          <w:tcPr>
            <w:tcW w:w="7117" w:type="dxa"/>
            <w:noWrap/>
            <w:hideMark/>
          </w:tcPr>
          <w:p w14:paraId="4F219BAC"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Reparación de activos asociados a la actividad</w:t>
            </w:r>
          </w:p>
        </w:tc>
      </w:tr>
      <w:tr w:rsidR="00EE7F64" w:rsidRPr="009924CB" w14:paraId="4364EE13"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A6B0C8C"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40</w:t>
            </w:r>
          </w:p>
        </w:tc>
        <w:tc>
          <w:tcPr>
            <w:tcW w:w="1179" w:type="dxa"/>
            <w:noWrap/>
            <w:hideMark/>
          </w:tcPr>
          <w:p w14:paraId="07CD350C"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02110500</w:t>
            </w:r>
          </w:p>
        </w:tc>
        <w:tc>
          <w:tcPr>
            <w:tcW w:w="7117" w:type="dxa"/>
            <w:noWrap/>
            <w:hideMark/>
          </w:tcPr>
          <w:p w14:paraId="6678CD32"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Otros contratos de mantenimiento y reparaciones</w:t>
            </w:r>
          </w:p>
        </w:tc>
      </w:tr>
      <w:tr w:rsidR="00EE7F64" w:rsidRPr="009924CB" w14:paraId="7A20C2AE"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120E32DC"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41</w:t>
            </w:r>
          </w:p>
        </w:tc>
        <w:tc>
          <w:tcPr>
            <w:tcW w:w="1179" w:type="dxa"/>
            <w:noWrap/>
            <w:hideMark/>
          </w:tcPr>
          <w:p w14:paraId="45C1E13C"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02120000</w:t>
            </w:r>
          </w:p>
        </w:tc>
        <w:tc>
          <w:tcPr>
            <w:tcW w:w="7117" w:type="dxa"/>
            <w:noWrap/>
            <w:hideMark/>
          </w:tcPr>
          <w:p w14:paraId="39EAA74B"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Servicios públicos</w:t>
            </w:r>
          </w:p>
        </w:tc>
      </w:tr>
      <w:tr w:rsidR="00EE7F64" w:rsidRPr="009924CB" w14:paraId="727D2B6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55D996A1"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42</w:t>
            </w:r>
          </w:p>
        </w:tc>
        <w:tc>
          <w:tcPr>
            <w:tcW w:w="1179" w:type="dxa"/>
            <w:noWrap/>
            <w:hideMark/>
          </w:tcPr>
          <w:p w14:paraId="17747D6D"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02130100</w:t>
            </w:r>
          </w:p>
        </w:tc>
        <w:tc>
          <w:tcPr>
            <w:tcW w:w="7117" w:type="dxa"/>
            <w:noWrap/>
            <w:hideMark/>
          </w:tcPr>
          <w:p w14:paraId="6AFC7764"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Repuestos para vehículos</w:t>
            </w:r>
          </w:p>
        </w:tc>
      </w:tr>
      <w:tr w:rsidR="00EE7F64" w:rsidRPr="009924CB" w14:paraId="2EB0CD0C"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6F6831B"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43</w:t>
            </w:r>
          </w:p>
        </w:tc>
        <w:tc>
          <w:tcPr>
            <w:tcW w:w="1179" w:type="dxa"/>
            <w:noWrap/>
            <w:hideMark/>
          </w:tcPr>
          <w:p w14:paraId="7A106C4F"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02130200</w:t>
            </w:r>
          </w:p>
        </w:tc>
        <w:tc>
          <w:tcPr>
            <w:tcW w:w="7117" w:type="dxa"/>
            <w:noWrap/>
            <w:hideMark/>
          </w:tcPr>
          <w:p w14:paraId="63181A2B"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Combustibles y lubricantes</w:t>
            </w:r>
          </w:p>
        </w:tc>
      </w:tr>
      <w:tr w:rsidR="00EE7F64" w:rsidRPr="009924CB" w14:paraId="374872C9"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FB70EA3"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44</w:t>
            </w:r>
          </w:p>
        </w:tc>
        <w:tc>
          <w:tcPr>
            <w:tcW w:w="1179" w:type="dxa"/>
            <w:noWrap/>
            <w:hideMark/>
          </w:tcPr>
          <w:p w14:paraId="3CB975C8"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02130300</w:t>
            </w:r>
          </w:p>
        </w:tc>
        <w:tc>
          <w:tcPr>
            <w:tcW w:w="7117" w:type="dxa"/>
            <w:noWrap/>
            <w:hideMark/>
          </w:tcPr>
          <w:p w14:paraId="31E84915"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Materiales</w:t>
            </w:r>
          </w:p>
        </w:tc>
      </w:tr>
      <w:tr w:rsidR="00EE7F64" w:rsidRPr="009924CB" w14:paraId="5E91117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1685FC9"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45</w:t>
            </w:r>
          </w:p>
        </w:tc>
        <w:tc>
          <w:tcPr>
            <w:tcW w:w="1179" w:type="dxa"/>
            <w:noWrap/>
            <w:hideMark/>
          </w:tcPr>
          <w:p w14:paraId="4C2F88E5"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02140100</w:t>
            </w:r>
          </w:p>
        </w:tc>
        <w:tc>
          <w:tcPr>
            <w:tcW w:w="7117" w:type="dxa"/>
            <w:noWrap/>
            <w:hideMark/>
          </w:tcPr>
          <w:p w14:paraId="56A3A22A"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 xml:space="preserve">De terrorismo   </w:t>
            </w:r>
          </w:p>
        </w:tc>
      </w:tr>
      <w:tr w:rsidR="00EE7F64" w:rsidRPr="009924CB" w14:paraId="4AEB7E54"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E577411"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46</w:t>
            </w:r>
          </w:p>
        </w:tc>
        <w:tc>
          <w:tcPr>
            <w:tcW w:w="1179" w:type="dxa"/>
            <w:noWrap/>
            <w:hideMark/>
          </w:tcPr>
          <w:p w14:paraId="7C0CA3B6"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02140200</w:t>
            </w:r>
          </w:p>
        </w:tc>
        <w:tc>
          <w:tcPr>
            <w:tcW w:w="7117" w:type="dxa"/>
            <w:noWrap/>
            <w:hideMark/>
          </w:tcPr>
          <w:p w14:paraId="0BF180EB"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Otros Seguros Generales</w:t>
            </w:r>
          </w:p>
        </w:tc>
      </w:tr>
      <w:tr w:rsidR="00EE7F64" w:rsidRPr="009924CB" w14:paraId="5D7E94CC"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75A36E1"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47</w:t>
            </w:r>
          </w:p>
        </w:tc>
        <w:tc>
          <w:tcPr>
            <w:tcW w:w="1179" w:type="dxa"/>
            <w:noWrap/>
            <w:hideMark/>
          </w:tcPr>
          <w:p w14:paraId="6AF831D3"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02150100</w:t>
            </w:r>
          </w:p>
        </w:tc>
        <w:tc>
          <w:tcPr>
            <w:tcW w:w="7117" w:type="dxa"/>
            <w:noWrap/>
            <w:hideMark/>
          </w:tcPr>
          <w:p w14:paraId="4E9C4E8F"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Servicio de aseo y vigilancia</w:t>
            </w:r>
          </w:p>
        </w:tc>
      </w:tr>
      <w:tr w:rsidR="00EE7F64" w:rsidRPr="009924CB" w14:paraId="590A7255"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5C1F2F93" w14:textId="77777777"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48</w:t>
            </w:r>
          </w:p>
        </w:tc>
        <w:tc>
          <w:tcPr>
            <w:tcW w:w="1179" w:type="dxa"/>
            <w:noWrap/>
            <w:hideMark/>
          </w:tcPr>
          <w:p w14:paraId="3370EF99"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02150200</w:t>
            </w:r>
          </w:p>
        </w:tc>
        <w:tc>
          <w:tcPr>
            <w:tcW w:w="7117" w:type="dxa"/>
            <w:noWrap/>
            <w:hideMark/>
          </w:tcPr>
          <w:p w14:paraId="0EA48838"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Casino y cafetería</w:t>
            </w:r>
          </w:p>
        </w:tc>
      </w:tr>
      <w:tr w:rsidR="00EE7F64" w:rsidRPr="009924CB" w14:paraId="02F052DD"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4E822358" w14:textId="67D05446"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49</w:t>
            </w:r>
          </w:p>
        </w:tc>
        <w:tc>
          <w:tcPr>
            <w:tcW w:w="1179" w:type="dxa"/>
            <w:noWrap/>
            <w:hideMark/>
          </w:tcPr>
          <w:p w14:paraId="7192BB1C"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02150400</w:t>
            </w:r>
          </w:p>
        </w:tc>
        <w:tc>
          <w:tcPr>
            <w:tcW w:w="7117" w:type="dxa"/>
            <w:noWrap/>
            <w:hideMark/>
          </w:tcPr>
          <w:p w14:paraId="252120B4"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Entrega de facturas</w:t>
            </w:r>
          </w:p>
        </w:tc>
      </w:tr>
      <w:tr w:rsidR="00EE7F64" w:rsidRPr="009924CB" w14:paraId="25E627C2" w14:textId="77777777" w:rsidTr="257BFD43">
        <w:trPr>
          <w:trHeight w:val="300"/>
        </w:trPr>
        <w:tc>
          <w:tcPr>
            <w:cnfStyle w:val="001000000000" w:firstRow="0" w:lastRow="0" w:firstColumn="1" w:lastColumn="0" w:oddVBand="0" w:evenVBand="0" w:oddHBand="0" w:evenHBand="0" w:firstRowFirstColumn="0" w:firstRowLastColumn="0" w:lastRowFirstColumn="0" w:lastRowLastColumn="0"/>
            <w:tcW w:w="720" w:type="dxa"/>
            <w:noWrap/>
            <w:hideMark/>
          </w:tcPr>
          <w:p w14:paraId="58A7A7F9" w14:textId="68FA363E" w:rsidR="00EE7F64" w:rsidRPr="009924CB" w:rsidRDefault="00EE7F64" w:rsidP="00FF5A82">
            <w:pPr>
              <w:spacing w:before="0" w:after="0"/>
              <w:jc w:val="center"/>
              <w:rPr>
                <w:rFonts w:ascii="Arial" w:hAnsi="Arial" w:cs="Arial"/>
                <w:sz w:val="20"/>
                <w:szCs w:val="20"/>
                <w:lang w:eastAsia="es-CO"/>
              </w:rPr>
            </w:pPr>
            <w:r w:rsidRPr="009924CB">
              <w:rPr>
                <w:rFonts w:ascii="Arial" w:hAnsi="Arial" w:cs="Arial"/>
                <w:sz w:val="20"/>
                <w:szCs w:val="20"/>
                <w:lang w:eastAsia="es-CO"/>
              </w:rPr>
              <w:t>50</w:t>
            </w:r>
          </w:p>
        </w:tc>
        <w:tc>
          <w:tcPr>
            <w:tcW w:w="1179" w:type="dxa"/>
            <w:noWrap/>
            <w:hideMark/>
          </w:tcPr>
          <w:p w14:paraId="32E3E46F" w14:textId="77777777" w:rsidR="00EE7F64" w:rsidRPr="009924CB" w:rsidRDefault="00EE7F64" w:rsidP="00FF5A82">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02150600</w:t>
            </w:r>
          </w:p>
        </w:tc>
        <w:tc>
          <w:tcPr>
            <w:tcW w:w="7117" w:type="dxa"/>
            <w:noWrap/>
            <w:hideMark/>
          </w:tcPr>
          <w:p w14:paraId="6BBF5328" w14:textId="77777777" w:rsidR="00EE7F64" w:rsidRPr="009924CB" w:rsidRDefault="00EE7F64"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9924CB">
              <w:rPr>
                <w:rFonts w:ascii="Arial" w:hAnsi="Arial" w:cs="Arial"/>
                <w:sz w:val="20"/>
                <w:szCs w:val="20"/>
                <w:lang w:eastAsia="es-CO"/>
              </w:rPr>
              <w:t>Servicios informáticos</w:t>
            </w:r>
          </w:p>
        </w:tc>
      </w:tr>
    </w:tbl>
    <w:p w14:paraId="07FF7033" w14:textId="2F782132" w:rsidR="004D05AE" w:rsidRDefault="00A03525" w:rsidP="00FF5A82">
      <w:pPr>
        <w:jc w:val="both"/>
        <w:rPr>
          <w:rFonts w:ascii="Arial" w:hAnsi="Arial" w:cs="Arial"/>
        </w:rPr>
      </w:pPr>
      <w:r>
        <w:rPr>
          <w:rFonts w:ascii="Arial" w:hAnsi="Arial" w:cs="Arial"/>
        </w:rPr>
        <w:t>Adicionalmente</w:t>
      </w:r>
      <w:r w:rsidR="001B043D">
        <w:rPr>
          <w:rFonts w:ascii="Arial" w:hAnsi="Arial" w:cs="Arial"/>
        </w:rPr>
        <w:t>, de acuerdo con lo establecido en la resolución CREG</w:t>
      </w:r>
      <w:r w:rsidR="00F06BA1">
        <w:rPr>
          <w:rFonts w:ascii="Arial" w:hAnsi="Arial" w:cs="Arial"/>
        </w:rPr>
        <w:t xml:space="preserve"> 101 </w:t>
      </w:r>
      <w:r>
        <w:rPr>
          <w:rFonts w:ascii="Arial" w:hAnsi="Arial" w:cs="Arial"/>
        </w:rPr>
        <w:t xml:space="preserve">001 de 2022, la responsabilidad de la lectura de los medidores para todos los usuarios </w:t>
      </w:r>
      <w:r w:rsidR="00181D69">
        <w:rPr>
          <w:rFonts w:ascii="Arial" w:hAnsi="Arial" w:cs="Arial"/>
        </w:rPr>
        <w:t xml:space="preserve">en un mercado </w:t>
      </w:r>
      <w:r w:rsidR="005D3544">
        <w:rPr>
          <w:rFonts w:ascii="Arial" w:hAnsi="Arial" w:cs="Arial"/>
        </w:rPr>
        <w:t xml:space="preserve">determinado pasará a ser responsabilidad </w:t>
      </w:r>
      <w:r w:rsidR="004E1808">
        <w:rPr>
          <w:rFonts w:ascii="Arial" w:hAnsi="Arial" w:cs="Arial"/>
        </w:rPr>
        <w:t xml:space="preserve">del Operador de Red, y en ese sentido </w:t>
      </w:r>
      <w:r w:rsidR="00357B2C">
        <w:rPr>
          <w:rFonts w:ascii="Arial" w:hAnsi="Arial" w:cs="Arial"/>
        </w:rPr>
        <w:t xml:space="preserve">esta actividad, incluida en el concepto ICR </w:t>
      </w:r>
      <w:r w:rsidR="00077DEA" w:rsidRPr="00077DEA">
        <w:rPr>
          <w:rFonts w:ascii="Arial" w:hAnsi="Arial" w:cs="Arial"/>
        </w:rPr>
        <w:t>02150300</w:t>
      </w:r>
      <w:r w:rsidR="00077DEA">
        <w:rPr>
          <w:rFonts w:ascii="Arial" w:hAnsi="Arial" w:cs="Arial"/>
        </w:rPr>
        <w:t xml:space="preserve">, no deberá ser </w:t>
      </w:r>
      <w:r w:rsidR="00060A43">
        <w:rPr>
          <w:rFonts w:ascii="Arial" w:hAnsi="Arial" w:cs="Arial"/>
        </w:rPr>
        <w:t>remunerada al comercializa</w:t>
      </w:r>
      <w:r w:rsidR="00C11D71">
        <w:rPr>
          <w:rFonts w:ascii="Arial" w:hAnsi="Arial" w:cs="Arial"/>
        </w:rPr>
        <w:t>dor</w:t>
      </w:r>
      <w:r w:rsidR="00060A43">
        <w:rPr>
          <w:rFonts w:ascii="Arial" w:hAnsi="Arial" w:cs="Arial"/>
        </w:rPr>
        <w:t xml:space="preserve"> una vez </w:t>
      </w:r>
      <w:r w:rsidR="00694327">
        <w:rPr>
          <w:rFonts w:ascii="Arial" w:hAnsi="Arial" w:cs="Arial"/>
        </w:rPr>
        <w:t xml:space="preserve">se inicie con los planes de implementación de la infraestructura de medición avanzada. </w:t>
      </w:r>
    </w:p>
    <w:p w14:paraId="2C261AEE" w14:textId="61D9DCC0" w:rsidR="00E228D0" w:rsidRPr="00115F4D" w:rsidRDefault="00730A75" w:rsidP="00FF5A82">
      <w:pPr>
        <w:jc w:val="both"/>
        <w:rPr>
          <w:rFonts w:ascii="Arial" w:hAnsi="Arial" w:cs="Arial"/>
        </w:rPr>
      </w:pPr>
      <w:r>
        <w:rPr>
          <w:rFonts w:ascii="Arial" w:hAnsi="Arial" w:cs="Arial"/>
        </w:rPr>
        <w:t>En ese contexto, l</w:t>
      </w:r>
      <w:r w:rsidR="00E228D0" w:rsidRPr="00115F4D">
        <w:rPr>
          <w:rFonts w:ascii="Arial" w:hAnsi="Arial" w:cs="Arial"/>
        </w:rPr>
        <w:t>os gastos reconocidos para la actividad de comercialización se calcularán de acuerdo con lo establecido en la siguiente</w:t>
      </w:r>
      <w:r>
        <w:rPr>
          <w:rFonts w:ascii="Arial" w:hAnsi="Arial" w:cs="Arial"/>
        </w:rPr>
        <w:t xml:space="preserve"> </w:t>
      </w:r>
      <w:r w:rsidR="00BC7DB3">
        <w:rPr>
          <w:rFonts w:ascii="Arial" w:hAnsi="Arial" w:cs="Arial"/>
        </w:rPr>
        <w:t>expresión</w:t>
      </w:r>
      <w:r w:rsidR="00E228D0" w:rsidRPr="00115F4D">
        <w:rPr>
          <w:rFonts w:ascii="Arial" w:hAnsi="Arial" w:cs="Arial"/>
        </w:rPr>
        <w:t>:</w:t>
      </w:r>
    </w:p>
    <w:p w14:paraId="26FF3652" w14:textId="77777777" w:rsidR="00145793" w:rsidRPr="00B45BE6" w:rsidRDefault="00E42F3C" w:rsidP="00FF5A82">
      <w:pPr>
        <w:jc w:val="center"/>
        <w:rPr>
          <w:snapToGrid w:val="0"/>
          <w:lang w:val="es-ES"/>
        </w:rPr>
      </w:pPr>
      <m:oMathPara>
        <m:oMath>
          <m:sSub>
            <m:sSubPr>
              <m:ctrlPr>
                <w:rPr>
                  <w:rFonts w:ascii="Cambria Math" w:hAnsi="Cambria Math"/>
                  <w:snapToGrid w:val="0"/>
                  <w:lang w:val="es-ES_tradnl"/>
                </w:rPr>
              </m:ctrlPr>
            </m:sSubPr>
            <m:e>
              <m:r>
                <w:rPr>
                  <w:rFonts w:ascii="Cambria Math" w:hAnsi="Cambria Math"/>
                  <w:snapToGrid w:val="0"/>
                  <w:lang w:val="es-ES_tradnl"/>
                </w:rPr>
                <m:t>Cf</m:t>
              </m:r>
            </m:e>
            <m:sub>
              <m:r>
                <w:rPr>
                  <w:rFonts w:ascii="Cambria Math" w:hAnsi="Cambria Math"/>
                  <w:snapToGrid w:val="0"/>
                  <w:lang w:val="es-ES_tradnl"/>
                </w:rPr>
                <m:t>j</m:t>
              </m:r>
              <m:r>
                <m:rPr>
                  <m:sty m:val="p"/>
                </m:rPr>
                <w:rPr>
                  <w:rFonts w:ascii="Cambria Math" w:hAnsi="Cambria Math"/>
                  <w:snapToGrid w:val="0"/>
                  <w:lang w:val="es-ES_tradnl"/>
                </w:rPr>
                <m:t>,</m:t>
              </m:r>
              <m:r>
                <w:rPr>
                  <w:rFonts w:ascii="Cambria Math" w:hAnsi="Cambria Math"/>
                  <w:snapToGrid w:val="0"/>
                  <w:lang w:val="es-ES_tradnl"/>
                </w:rPr>
                <m:t>t</m:t>
              </m:r>
            </m:sub>
          </m:sSub>
          <m:r>
            <m:rPr>
              <m:sty m:val="p"/>
            </m:rPr>
            <w:rPr>
              <w:rFonts w:ascii="Cambria Math" w:hAnsi="Cambria Math"/>
              <w:snapToGrid w:val="0"/>
              <w:lang w:val="es-ES_tradnl"/>
            </w:rPr>
            <m:t>=</m:t>
          </m:r>
          <m:f>
            <m:fPr>
              <m:ctrlPr>
                <w:rPr>
                  <w:rFonts w:ascii="Cambria Math" w:hAnsi="Cambria Math"/>
                  <w:snapToGrid w:val="0"/>
                  <w:lang w:val="es-ES_tradnl"/>
                </w:rPr>
              </m:ctrlPr>
            </m:fPr>
            <m:num>
              <m:sSub>
                <m:sSubPr>
                  <m:ctrlPr>
                    <w:rPr>
                      <w:rFonts w:ascii="Cambria Math" w:hAnsi="Cambria Math"/>
                      <w:snapToGrid w:val="0"/>
                      <w:lang w:val="es-ES_tradnl"/>
                    </w:rPr>
                  </m:ctrlPr>
                </m:sSubPr>
                <m:e>
                  <m:r>
                    <w:rPr>
                      <w:rFonts w:ascii="Cambria Math" w:hAnsi="Cambria Math"/>
                      <w:snapToGrid w:val="0"/>
                      <w:lang w:val="es-ES_tradnl"/>
                    </w:rPr>
                    <m:t>GC</m:t>
                  </m:r>
                </m:e>
                <m:sub>
                  <m:r>
                    <w:rPr>
                      <w:rFonts w:ascii="Cambria Math" w:hAnsi="Cambria Math"/>
                      <w:snapToGrid w:val="0"/>
                      <w:lang w:val="es-ES_tradnl"/>
                    </w:rPr>
                    <m:t>i,j</m:t>
                  </m:r>
                </m:sub>
              </m:sSub>
              <m:r>
                <w:rPr>
                  <w:rFonts w:ascii="Cambria Math" w:hAnsi="Cambria Math"/>
                  <w:snapToGrid w:val="0"/>
                  <w:lang w:val="es-ES_tradnl"/>
                </w:rPr>
                <m:t>+</m:t>
              </m:r>
              <m:sSub>
                <m:sSubPr>
                  <m:ctrlPr>
                    <w:rPr>
                      <w:rFonts w:ascii="Cambria Math" w:hAnsi="Cambria Math"/>
                      <w:i/>
                      <w:snapToGrid w:val="0"/>
                      <w:lang w:val="es-ES_tradnl"/>
                    </w:rPr>
                  </m:ctrlPr>
                </m:sSubPr>
                <m:e>
                  <m:r>
                    <w:rPr>
                      <w:rFonts w:ascii="Cambria Math" w:hAnsi="Cambria Math"/>
                      <w:snapToGrid w:val="0"/>
                      <w:lang w:val="es-ES_tradnl"/>
                    </w:rPr>
                    <m:t>CL</m:t>
                  </m:r>
                </m:e>
                <m:sub>
                  <m:r>
                    <w:rPr>
                      <w:rFonts w:ascii="Cambria Math" w:hAnsi="Cambria Math"/>
                      <w:snapToGrid w:val="0"/>
                      <w:lang w:val="es-ES_tradnl"/>
                    </w:rPr>
                    <m:t>ij</m:t>
                  </m:r>
                </m:sub>
              </m:sSub>
            </m:num>
            <m:den>
              <m:sSub>
                <m:sSubPr>
                  <m:ctrlPr>
                    <w:rPr>
                      <w:rFonts w:ascii="Cambria Math" w:hAnsi="Cambria Math"/>
                      <w:snapToGrid w:val="0"/>
                      <w:lang w:val="es-ES_tradnl"/>
                    </w:rPr>
                  </m:ctrlPr>
                </m:sSubPr>
                <m:e>
                  <m:r>
                    <w:rPr>
                      <w:rFonts w:ascii="Cambria Math" w:hAnsi="Cambria Math"/>
                      <w:snapToGrid w:val="0"/>
                      <w:lang w:val="es-ES_tradnl"/>
                    </w:rPr>
                    <m:t>Fact</m:t>
                  </m:r>
                </m:e>
                <m:sub>
                  <m:r>
                    <w:rPr>
                      <w:rFonts w:ascii="Cambria Math" w:hAnsi="Cambria Math"/>
                      <w:snapToGrid w:val="0"/>
                      <w:lang w:val="es-ES_tradnl"/>
                    </w:rPr>
                    <m:t>i,j</m:t>
                  </m:r>
                </m:sub>
              </m:sSub>
            </m:den>
          </m:f>
          <m:r>
            <w:rPr>
              <w:rFonts w:ascii="Cambria Math" w:hAnsi="Cambria Math"/>
              <w:snapToGrid w:val="0"/>
              <w:lang w:val="es-ES_tradnl"/>
            </w:rPr>
            <m:t>*</m:t>
          </m:r>
          <m:sSub>
            <m:sSubPr>
              <m:ctrlPr>
                <w:rPr>
                  <w:rFonts w:ascii="Cambria Math" w:hAnsi="Cambria Math"/>
                  <w:i/>
                  <w:snapToGrid w:val="0"/>
                  <w:lang w:val="es-ES_tradnl"/>
                </w:rPr>
              </m:ctrlPr>
            </m:sSubPr>
            <m:e>
              <m:r>
                <w:rPr>
                  <w:rFonts w:ascii="Cambria Math" w:hAnsi="Cambria Math"/>
                  <w:snapToGrid w:val="0"/>
                  <w:lang w:val="es-ES_tradnl"/>
                </w:rPr>
                <m:t>η</m:t>
              </m:r>
            </m:e>
            <m:sub>
              <m:r>
                <w:rPr>
                  <w:rFonts w:ascii="Cambria Math" w:hAnsi="Cambria Math"/>
                  <w:snapToGrid w:val="0"/>
                  <w:lang w:val="es-ES_tradnl"/>
                </w:rPr>
                <m:t>j,t</m:t>
              </m:r>
            </m:sub>
          </m:sSub>
        </m:oMath>
      </m:oMathPara>
    </w:p>
    <w:p w14:paraId="5F6C72D8" w14:textId="77777777" w:rsidR="00E228D0" w:rsidRPr="00115F4D" w:rsidRDefault="00E228D0" w:rsidP="00FF5A82">
      <w:pPr>
        <w:rPr>
          <w:rFonts w:ascii="Arial" w:hAnsi="Arial" w:cs="Arial"/>
        </w:rPr>
      </w:pPr>
      <w:r w:rsidRPr="00115F4D">
        <w:rPr>
          <w:rFonts w:ascii="Arial" w:hAnsi="Arial" w:cs="Arial"/>
        </w:rPr>
        <w:t>Donde:</w:t>
      </w:r>
    </w:p>
    <w:p w14:paraId="5E7EAF92" w14:textId="77777777" w:rsidR="00170C4F" w:rsidRPr="00CD5C6F" w:rsidRDefault="00170C4F" w:rsidP="00FF5A82">
      <w:pPr>
        <w:ind w:left="1418" w:right="45" w:hanging="1418"/>
        <w:rPr>
          <w:rFonts w:ascii="Arial" w:hAnsi="Arial" w:cs="Arial"/>
        </w:rPr>
      </w:pPr>
      <w:proofErr w:type="gramStart"/>
      <w:r w:rsidRPr="00E14E1B">
        <w:rPr>
          <w:rFonts w:ascii="Arial" w:hAnsi="Arial" w:cs="Arial"/>
          <w:i/>
        </w:rPr>
        <w:t>Cf</w:t>
      </w:r>
      <w:r w:rsidRPr="00E14E1B">
        <w:rPr>
          <w:rFonts w:ascii="Arial" w:hAnsi="Arial" w:cs="Arial"/>
          <w:i/>
          <w:vertAlign w:val="subscript"/>
        </w:rPr>
        <w:t>j,t</w:t>
      </w:r>
      <w:proofErr w:type="gramEnd"/>
      <w:r w:rsidRPr="00E14E1B">
        <w:rPr>
          <w:rFonts w:ascii="Arial" w:hAnsi="Arial" w:cs="Arial"/>
          <w:i/>
          <w:vertAlign w:val="subscript"/>
        </w:rPr>
        <w:t>:</w:t>
      </w:r>
      <w:r w:rsidRPr="00CD5C6F">
        <w:rPr>
          <w:rFonts w:ascii="Arial" w:hAnsi="Arial" w:cs="Arial"/>
          <w:vertAlign w:val="subscript"/>
        </w:rPr>
        <w:tab/>
      </w:r>
      <w:r w:rsidRPr="00CD5C6F">
        <w:rPr>
          <w:rFonts w:ascii="Arial" w:hAnsi="Arial" w:cs="Arial"/>
        </w:rPr>
        <w:t xml:space="preserve">Costo base de comercialización del mercado de comercialización </w:t>
      </w:r>
      <w:r w:rsidRPr="00CD5C6F">
        <w:rPr>
          <w:rFonts w:ascii="Arial" w:hAnsi="Arial" w:cs="Arial"/>
          <w:i/>
        </w:rPr>
        <w:t>j</w:t>
      </w:r>
      <w:r w:rsidRPr="00CD5C6F">
        <w:rPr>
          <w:rFonts w:ascii="Arial" w:hAnsi="Arial" w:cs="Arial"/>
        </w:rPr>
        <w:t xml:space="preserve">, para el año </w:t>
      </w:r>
      <w:r w:rsidRPr="00CD5C6F">
        <w:rPr>
          <w:rFonts w:ascii="Arial" w:hAnsi="Arial" w:cs="Arial"/>
          <w:i/>
        </w:rPr>
        <w:t>t</w:t>
      </w:r>
      <w:r w:rsidRPr="00CD5C6F">
        <w:rPr>
          <w:rFonts w:ascii="Arial" w:hAnsi="Arial" w:cs="Arial"/>
        </w:rPr>
        <w:t>, expresado en pesos por factura de diciembre del año anterior a la expedición de esta Resolución.</w:t>
      </w:r>
    </w:p>
    <w:p w14:paraId="3D224B7B" w14:textId="77777777" w:rsidR="00170C4F" w:rsidRPr="00CD5C6F" w:rsidRDefault="00170C4F" w:rsidP="00FF5A82">
      <w:pPr>
        <w:ind w:left="1418" w:right="45" w:hanging="1418"/>
        <w:rPr>
          <w:rFonts w:ascii="Arial" w:hAnsi="Arial" w:cs="Arial"/>
          <w:iCs/>
        </w:rPr>
      </w:pPr>
      <w:r w:rsidRPr="00CD5C6F">
        <w:rPr>
          <w:rFonts w:ascii="Arial" w:hAnsi="Arial" w:cs="Arial"/>
          <w:i/>
        </w:rPr>
        <w:tab/>
      </w:r>
      <w:r w:rsidRPr="00CD5C6F">
        <w:rPr>
          <w:rFonts w:ascii="Arial" w:hAnsi="Arial" w:cs="Arial"/>
          <w:iCs/>
        </w:rPr>
        <w:t xml:space="preserve">Para los comercializadores que no cuenten con la información para el cálculo del costo base de comercialización, o que esta información se considere un valor(es) atípico(s) con respecto a su histórico o la de otros comercializadores, el costo base de comercialización será igual al 90% del menor costo base de comercialización calculado con esta metodología. </w:t>
      </w:r>
    </w:p>
    <w:p w14:paraId="67B6868C" w14:textId="4C26CADC" w:rsidR="00170C4F" w:rsidRPr="00CD5C6F" w:rsidRDefault="00170C4F" w:rsidP="00FF5A82">
      <w:pPr>
        <w:ind w:left="1418" w:right="45" w:hanging="1418"/>
        <w:rPr>
          <w:rFonts w:ascii="Arial" w:hAnsi="Arial" w:cs="Arial"/>
        </w:rPr>
      </w:pPr>
      <w:proofErr w:type="gramStart"/>
      <w:r w:rsidRPr="00E14E1B">
        <w:rPr>
          <w:rFonts w:ascii="Arial" w:hAnsi="Arial" w:cs="Arial"/>
          <w:i/>
        </w:rPr>
        <w:t>GC</w:t>
      </w:r>
      <w:r w:rsidRPr="00E14E1B">
        <w:rPr>
          <w:rFonts w:ascii="Arial" w:hAnsi="Arial" w:cs="Arial"/>
          <w:i/>
          <w:vertAlign w:val="subscript"/>
        </w:rPr>
        <w:t>i,j</w:t>
      </w:r>
      <w:proofErr w:type="gramEnd"/>
      <w:r w:rsidRPr="00E14E1B">
        <w:rPr>
          <w:rFonts w:ascii="Arial" w:hAnsi="Arial" w:cs="Arial"/>
          <w:i/>
        </w:rPr>
        <w:t>:</w:t>
      </w:r>
      <w:r w:rsidRPr="00CD5C6F">
        <w:rPr>
          <w:rFonts w:ascii="Arial" w:hAnsi="Arial" w:cs="Arial"/>
        </w:rPr>
        <w:tab/>
        <w:t xml:space="preserve">Gastos reconocidos en la actividad de comercialización </w:t>
      </w:r>
      <w:r w:rsidRPr="00CD5C6F">
        <w:rPr>
          <w:rFonts w:ascii="Arial" w:hAnsi="Arial" w:cs="Arial"/>
          <w:lang w:eastAsia="es-CO"/>
        </w:rPr>
        <w:t xml:space="preserve">del comercializador </w:t>
      </w:r>
      <w:r w:rsidRPr="00CD5C6F">
        <w:rPr>
          <w:rFonts w:ascii="Arial" w:hAnsi="Arial" w:cs="Arial"/>
          <w:i/>
          <w:iCs/>
          <w:lang w:eastAsia="es-CO"/>
        </w:rPr>
        <w:t>i</w:t>
      </w:r>
      <w:r w:rsidRPr="00CD5C6F">
        <w:rPr>
          <w:rFonts w:ascii="Arial" w:hAnsi="Arial" w:cs="Arial"/>
          <w:lang w:eastAsia="es-CO"/>
        </w:rPr>
        <w:t xml:space="preserve"> integrado al OR que sirve el mercado de comercialización</w:t>
      </w:r>
      <w:r w:rsidRPr="00CD5C6F">
        <w:rPr>
          <w:rFonts w:ascii="Arial" w:hAnsi="Arial" w:cs="Arial"/>
        </w:rPr>
        <w:t xml:space="preserve"> </w:t>
      </w:r>
      <w:r w:rsidRPr="00CD5C6F">
        <w:rPr>
          <w:rFonts w:ascii="Arial" w:hAnsi="Arial" w:cs="Arial"/>
          <w:i/>
        </w:rPr>
        <w:t>j</w:t>
      </w:r>
      <w:r w:rsidRPr="00CD5C6F">
        <w:rPr>
          <w:rFonts w:ascii="Arial" w:hAnsi="Arial" w:cs="Arial"/>
        </w:rPr>
        <w:t>.</w:t>
      </w:r>
    </w:p>
    <w:p w14:paraId="60549308" w14:textId="77777777" w:rsidR="00170C4F" w:rsidRPr="00CD5C6F" w:rsidRDefault="00170C4F" w:rsidP="00FF5A82">
      <w:pPr>
        <w:ind w:left="1418" w:right="45" w:hanging="1418"/>
        <w:rPr>
          <w:rFonts w:ascii="Arial" w:hAnsi="Arial" w:cs="Arial"/>
        </w:rPr>
      </w:pPr>
      <w:proofErr w:type="gramStart"/>
      <w:r w:rsidRPr="00CD5C6F">
        <w:rPr>
          <w:rFonts w:ascii="Arial" w:hAnsi="Arial" w:cs="Arial"/>
          <w:i/>
        </w:rPr>
        <w:lastRenderedPageBreak/>
        <w:t>CL</w:t>
      </w:r>
      <w:r w:rsidRPr="00CD5C6F">
        <w:rPr>
          <w:rFonts w:ascii="Arial" w:hAnsi="Arial" w:cs="Arial"/>
          <w:i/>
          <w:vertAlign w:val="subscript"/>
        </w:rPr>
        <w:t>i,j</w:t>
      </w:r>
      <w:proofErr w:type="gramEnd"/>
      <w:r w:rsidRPr="00CD5C6F">
        <w:rPr>
          <w:rFonts w:ascii="Arial" w:hAnsi="Arial" w:cs="Arial"/>
        </w:rPr>
        <w:t>:</w:t>
      </w:r>
      <w:r w:rsidRPr="00CD5C6F">
        <w:rPr>
          <w:rFonts w:ascii="Arial" w:hAnsi="Arial" w:cs="Arial"/>
        </w:rPr>
        <w:tab/>
        <w:t xml:space="preserve">Gastos reconocidos en la actividad de comercialización </w:t>
      </w:r>
      <w:r w:rsidRPr="00CD5C6F">
        <w:rPr>
          <w:rFonts w:ascii="Arial" w:hAnsi="Arial" w:cs="Arial"/>
          <w:lang w:eastAsia="es-CO"/>
        </w:rPr>
        <w:t xml:space="preserve">del comercializador </w:t>
      </w:r>
      <w:r w:rsidRPr="00CD5C6F">
        <w:rPr>
          <w:rFonts w:ascii="Arial" w:hAnsi="Arial" w:cs="Arial"/>
          <w:i/>
          <w:iCs/>
          <w:lang w:eastAsia="es-CO"/>
        </w:rPr>
        <w:t>i</w:t>
      </w:r>
      <w:r w:rsidRPr="00CD5C6F">
        <w:rPr>
          <w:rFonts w:ascii="Arial" w:hAnsi="Arial" w:cs="Arial"/>
          <w:lang w:eastAsia="es-CO"/>
        </w:rPr>
        <w:t xml:space="preserve"> integrado al OR que sirve el mercado de comercialización</w:t>
      </w:r>
      <w:r w:rsidRPr="00CD5C6F">
        <w:rPr>
          <w:rFonts w:ascii="Arial" w:hAnsi="Arial" w:cs="Arial"/>
        </w:rPr>
        <w:t xml:space="preserve"> </w:t>
      </w:r>
      <w:r w:rsidRPr="00CD5C6F">
        <w:rPr>
          <w:rFonts w:ascii="Arial" w:hAnsi="Arial" w:cs="Arial"/>
          <w:i/>
        </w:rPr>
        <w:t>j</w:t>
      </w:r>
      <w:r w:rsidRPr="00CD5C6F">
        <w:rPr>
          <w:rFonts w:ascii="Arial" w:hAnsi="Arial" w:cs="Arial"/>
          <w:iCs/>
        </w:rPr>
        <w:t>,</w:t>
      </w:r>
      <w:r w:rsidRPr="00CD5C6F">
        <w:rPr>
          <w:rFonts w:ascii="Arial" w:hAnsi="Arial" w:cs="Arial"/>
        </w:rPr>
        <w:t xml:space="preserve"> en el valor del concepto ICR 02150300 relacionado con la toma de lectura.</w:t>
      </w:r>
    </w:p>
    <w:p w14:paraId="27998282" w14:textId="1355121F" w:rsidR="00170C4F" w:rsidRPr="00CD5C6F" w:rsidRDefault="00170C4F" w:rsidP="00FF5A82">
      <w:pPr>
        <w:ind w:left="1418" w:right="45"/>
        <w:rPr>
          <w:rFonts w:ascii="Arial" w:hAnsi="Arial" w:cs="Arial"/>
        </w:rPr>
      </w:pPr>
      <w:r w:rsidRPr="00CD5C6F">
        <w:rPr>
          <w:rFonts w:ascii="Arial" w:hAnsi="Arial" w:cs="Arial"/>
        </w:rPr>
        <w:t xml:space="preserve">El valor de </w:t>
      </w:r>
      <w:proofErr w:type="gramStart"/>
      <w:r w:rsidRPr="00CD5C6F">
        <w:rPr>
          <w:rFonts w:ascii="Arial" w:hAnsi="Arial" w:cs="Arial"/>
          <w:i/>
          <w:iCs/>
        </w:rPr>
        <w:t>CL</w:t>
      </w:r>
      <w:r w:rsidRPr="00CD5C6F">
        <w:rPr>
          <w:rFonts w:ascii="Arial" w:hAnsi="Arial" w:cs="Arial"/>
          <w:i/>
          <w:iCs/>
          <w:vertAlign w:val="subscript"/>
        </w:rPr>
        <w:t>i,j</w:t>
      </w:r>
      <w:proofErr w:type="gramEnd"/>
      <w:r w:rsidRPr="00CD5C6F">
        <w:rPr>
          <w:rFonts w:ascii="Arial" w:hAnsi="Arial" w:cs="Arial"/>
          <w:i/>
          <w:iCs/>
          <w:vertAlign w:val="subscript"/>
        </w:rPr>
        <w:t xml:space="preserve"> </w:t>
      </w:r>
      <w:r w:rsidRPr="00CD5C6F">
        <w:rPr>
          <w:rFonts w:ascii="Arial" w:hAnsi="Arial" w:cs="Arial"/>
        </w:rPr>
        <w:t xml:space="preserve"> será cero una vez se aprueben los planes de implementación de la Infraestructura de Medición Avanzada, AMI previstos en la Resolución CREG 101 001 de 2022,</w:t>
      </w:r>
      <w:r w:rsidR="00C14BC1">
        <w:rPr>
          <w:rFonts w:ascii="Arial" w:hAnsi="Arial" w:cs="Arial"/>
        </w:rPr>
        <w:t xml:space="preserve"> en el mercado de comercialización</w:t>
      </w:r>
      <w:r w:rsidR="00171698">
        <w:rPr>
          <w:rFonts w:ascii="Arial" w:hAnsi="Arial" w:cs="Arial"/>
        </w:rPr>
        <w:t xml:space="preserve"> </w:t>
      </w:r>
      <w:r w:rsidR="00171698" w:rsidRPr="00171698">
        <w:rPr>
          <w:rFonts w:ascii="Arial" w:hAnsi="Arial" w:cs="Arial"/>
          <w:i/>
          <w:iCs/>
        </w:rPr>
        <w:t>j</w:t>
      </w:r>
      <w:r w:rsidRPr="00CD5C6F">
        <w:rPr>
          <w:rFonts w:ascii="Arial" w:hAnsi="Arial" w:cs="Arial"/>
        </w:rPr>
        <w:t xml:space="preserve"> o aquellas que la modifiquen, complementen o sustituyan.</w:t>
      </w:r>
    </w:p>
    <w:p w14:paraId="47307E95" w14:textId="6B435352" w:rsidR="00170C4F" w:rsidRPr="00CD5C6F" w:rsidRDefault="00170C4F" w:rsidP="00FF5A82">
      <w:pPr>
        <w:ind w:left="1418" w:right="45" w:hanging="1418"/>
        <w:rPr>
          <w:rFonts w:ascii="Arial" w:hAnsi="Arial" w:cs="Arial"/>
        </w:rPr>
      </w:pPr>
      <w:proofErr w:type="gramStart"/>
      <w:r w:rsidRPr="00CD5C6F">
        <w:rPr>
          <w:rFonts w:ascii="Arial" w:hAnsi="Arial" w:cs="Arial"/>
          <w:i/>
        </w:rPr>
        <w:t>Fact</w:t>
      </w:r>
      <w:r w:rsidRPr="00CD5C6F">
        <w:rPr>
          <w:rFonts w:ascii="Arial" w:hAnsi="Arial" w:cs="Arial"/>
          <w:i/>
          <w:vertAlign w:val="subscript"/>
        </w:rPr>
        <w:t>i,j</w:t>
      </w:r>
      <w:proofErr w:type="gramEnd"/>
      <w:r w:rsidRPr="00CD5C6F">
        <w:rPr>
          <w:rFonts w:ascii="Arial" w:hAnsi="Arial" w:cs="Arial"/>
        </w:rPr>
        <w:t>:</w:t>
      </w:r>
      <w:r w:rsidRPr="00CD5C6F">
        <w:rPr>
          <w:rFonts w:ascii="Arial" w:hAnsi="Arial" w:cs="Arial"/>
        </w:rPr>
        <w:tab/>
        <w:t xml:space="preserve">Cantidad de facturas para usuarios regulados expedidas en el año anterior a la expedición de esta Resolución por el comercializador </w:t>
      </w:r>
      <w:r w:rsidRPr="00CD5C6F">
        <w:rPr>
          <w:rFonts w:ascii="Arial" w:hAnsi="Arial" w:cs="Arial"/>
          <w:i/>
          <w:iCs/>
        </w:rPr>
        <w:t>i</w:t>
      </w:r>
      <w:r w:rsidRPr="00CD5C6F">
        <w:rPr>
          <w:rFonts w:ascii="Arial" w:hAnsi="Arial" w:cs="Arial"/>
        </w:rPr>
        <w:t xml:space="preserve"> integrado al OR que sirve al mercado de comercialización</w:t>
      </w:r>
      <w:r w:rsidRPr="00CD5C6F">
        <w:rPr>
          <w:rFonts w:ascii="Arial" w:hAnsi="Arial" w:cs="Arial"/>
          <w:i/>
        </w:rPr>
        <w:t xml:space="preserve"> j</w:t>
      </w:r>
      <w:r w:rsidRPr="00CD5C6F">
        <w:rPr>
          <w:rFonts w:ascii="Arial" w:hAnsi="Arial" w:cs="Arial"/>
        </w:rPr>
        <w:t xml:space="preserve">. </w:t>
      </w:r>
    </w:p>
    <w:p w14:paraId="2A74ED4D" w14:textId="2390FE54" w:rsidR="00170C4F" w:rsidRPr="00CD5C6F" w:rsidRDefault="00F32949" w:rsidP="00FF5A82">
      <w:pPr>
        <w:ind w:left="1418" w:right="45" w:hanging="1418"/>
        <w:rPr>
          <w:rFonts w:ascii="Arial" w:hAnsi="Arial" w:cs="Arial"/>
        </w:rPr>
      </w:pPr>
      <w:r w:rsidRPr="00171698">
        <w:rPr>
          <w:rStyle w:val="ui-provider"/>
          <w:rFonts w:ascii="Arial" w:hAnsi="Arial" w:cs="Arial"/>
          <w:i/>
          <w:iCs/>
        </w:rPr>
        <w:t>η</w:t>
      </w:r>
      <w:proofErr w:type="gramStart"/>
      <w:r w:rsidR="00170C4F" w:rsidRPr="00171698">
        <w:rPr>
          <w:rFonts w:ascii="Arial" w:hAnsi="Arial" w:cs="Arial"/>
          <w:i/>
          <w:iCs/>
          <w:vertAlign w:val="subscript"/>
        </w:rPr>
        <w:t>j,</w:t>
      </w:r>
      <w:r w:rsidR="00170C4F" w:rsidRPr="00171698">
        <w:rPr>
          <w:rFonts w:ascii="Arial" w:hAnsi="Arial" w:cs="Arial"/>
          <w:i/>
          <w:vertAlign w:val="subscript"/>
        </w:rPr>
        <w:t>t</w:t>
      </w:r>
      <w:proofErr w:type="gramEnd"/>
      <w:r w:rsidR="00170C4F" w:rsidRPr="00171698">
        <w:rPr>
          <w:rFonts w:ascii="Arial" w:hAnsi="Arial" w:cs="Arial"/>
        </w:rPr>
        <w:t>:</w:t>
      </w:r>
      <w:r w:rsidR="00170C4F" w:rsidRPr="00CD5C6F">
        <w:rPr>
          <w:rFonts w:ascii="Arial" w:hAnsi="Arial" w:cs="Arial"/>
        </w:rPr>
        <w:t xml:space="preserve"> </w:t>
      </w:r>
      <w:r w:rsidR="00170C4F">
        <w:tab/>
      </w:r>
      <w:r w:rsidR="00170C4F" w:rsidRPr="00CD5C6F">
        <w:rPr>
          <w:rFonts w:ascii="Arial" w:hAnsi="Arial" w:cs="Arial"/>
        </w:rPr>
        <w:t xml:space="preserve">Factor de eficiencia del mercado de comercialización </w:t>
      </w:r>
      <w:r w:rsidR="00170C4F" w:rsidRPr="00CD5C6F">
        <w:rPr>
          <w:rFonts w:ascii="Arial" w:hAnsi="Arial" w:cs="Arial"/>
          <w:i/>
          <w:lang w:eastAsia="es-CO"/>
        </w:rPr>
        <w:t>j</w:t>
      </w:r>
      <w:r w:rsidR="00170C4F" w:rsidRPr="00CD5C6F">
        <w:rPr>
          <w:rFonts w:ascii="Arial" w:hAnsi="Arial" w:cs="Arial"/>
          <w:lang w:eastAsia="es-CO"/>
        </w:rPr>
        <w:t xml:space="preserve">, para el año </w:t>
      </w:r>
      <w:r w:rsidR="00170C4F" w:rsidRPr="00CD5C6F">
        <w:rPr>
          <w:rFonts w:ascii="Arial" w:hAnsi="Arial" w:cs="Arial"/>
          <w:i/>
          <w:iCs/>
          <w:lang w:eastAsia="es-CO"/>
        </w:rPr>
        <w:t>t</w:t>
      </w:r>
      <w:r w:rsidR="00170C4F" w:rsidRPr="00CD5C6F">
        <w:rPr>
          <w:rFonts w:ascii="Arial" w:hAnsi="Arial" w:cs="Arial"/>
        </w:rPr>
        <w:t xml:space="preserve">. </w:t>
      </w:r>
    </w:p>
    <w:p w14:paraId="6720EF8D" w14:textId="3798DD33" w:rsidR="001407F8" w:rsidRPr="001407F8" w:rsidRDefault="001407F8" w:rsidP="00FF5A82">
      <w:pPr>
        <w:ind w:right="45"/>
        <w:rPr>
          <w:rFonts w:ascii="Arial" w:hAnsi="Arial" w:cs="Arial"/>
          <w:iCs/>
        </w:rPr>
      </w:pPr>
      <w:bookmarkStart w:id="31" w:name="_Ref164754649"/>
      <w:r>
        <w:rPr>
          <w:rFonts w:ascii="Arial" w:hAnsi="Arial" w:cs="Arial"/>
          <w:iCs/>
        </w:rPr>
        <w:t xml:space="preserve">En la </w:t>
      </w:r>
      <w:r w:rsidR="00215281" w:rsidRPr="00215281">
        <w:rPr>
          <w:rFonts w:ascii="Arial" w:hAnsi="Arial" w:cs="Arial"/>
          <w:iCs/>
        </w:rPr>
        <w:fldChar w:fldCharType="begin"/>
      </w:r>
      <w:r w:rsidR="00215281" w:rsidRPr="00215281">
        <w:rPr>
          <w:rFonts w:ascii="Arial" w:hAnsi="Arial" w:cs="Arial"/>
          <w:iCs/>
        </w:rPr>
        <w:instrText xml:space="preserve"> REF _Ref164754687 \h  \* MERGEFORMAT </w:instrText>
      </w:r>
      <w:r w:rsidR="00215281" w:rsidRPr="00215281">
        <w:rPr>
          <w:rFonts w:ascii="Arial" w:hAnsi="Arial" w:cs="Arial"/>
          <w:iCs/>
        </w:rPr>
      </w:r>
      <w:r w:rsidR="00215281" w:rsidRPr="00215281">
        <w:rPr>
          <w:rFonts w:ascii="Arial" w:hAnsi="Arial" w:cs="Arial"/>
          <w:iCs/>
        </w:rPr>
        <w:fldChar w:fldCharType="separate"/>
      </w:r>
      <w:r w:rsidR="002A641D" w:rsidRPr="002A641D">
        <w:rPr>
          <w:rFonts w:ascii="Arial" w:hAnsi="Arial" w:cs="Arial"/>
        </w:rPr>
        <w:t xml:space="preserve">Tabla </w:t>
      </w:r>
      <w:r w:rsidR="002A641D" w:rsidRPr="002A641D">
        <w:rPr>
          <w:rFonts w:ascii="Arial" w:hAnsi="Arial" w:cs="Arial"/>
          <w:noProof/>
        </w:rPr>
        <w:t>6</w:t>
      </w:r>
      <w:r w:rsidR="00215281" w:rsidRPr="00215281">
        <w:rPr>
          <w:rFonts w:ascii="Arial" w:hAnsi="Arial" w:cs="Arial"/>
          <w:iCs/>
        </w:rPr>
        <w:fldChar w:fldCharType="end"/>
      </w:r>
      <w:r>
        <w:rPr>
          <w:rFonts w:ascii="Arial" w:hAnsi="Arial" w:cs="Arial"/>
          <w:iCs/>
        </w:rPr>
        <w:t xml:space="preserve"> se resumen los cambios </w:t>
      </w:r>
      <w:r w:rsidR="00B82486">
        <w:rPr>
          <w:rFonts w:ascii="Arial" w:hAnsi="Arial" w:cs="Arial"/>
          <w:iCs/>
        </w:rPr>
        <w:t>en</w:t>
      </w:r>
      <w:r w:rsidR="00612ECA">
        <w:rPr>
          <w:rFonts w:ascii="Arial" w:hAnsi="Arial" w:cs="Arial"/>
          <w:iCs/>
        </w:rPr>
        <w:t xml:space="preserve"> la </w:t>
      </w:r>
      <w:r w:rsidR="00B82486">
        <w:rPr>
          <w:rFonts w:ascii="Arial" w:hAnsi="Arial" w:cs="Arial"/>
          <w:iCs/>
        </w:rPr>
        <w:t>remuneración</w:t>
      </w:r>
      <w:r w:rsidR="00C02900">
        <w:rPr>
          <w:rFonts w:ascii="Arial" w:hAnsi="Arial" w:cs="Arial"/>
          <w:iCs/>
        </w:rPr>
        <w:t xml:space="preserve"> </w:t>
      </w:r>
      <w:r w:rsidR="008E6373">
        <w:rPr>
          <w:rFonts w:ascii="Arial" w:hAnsi="Arial" w:cs="Arial"/>
          <w:iCs/>
        </w:rPr>
        <w:t xml:space="preserve">del componente del costo base de comercialización respecto a la </w:t>
      </w:r>
      <w:r w:rsidR="00640B28">
        <w:rPr>
          <w:rFonts w:ascii="Arial" w:hAnsi="Arial" w:cs="Arial"/>
          <w:iCs/>
        </w:rPr>
        <w:t>metodología vigente.</w:t>
      </w:r>
    </w:p>
    <w:p w14:paraId="5D2DBDBC" w14:textId="198C7B7B" w:rsidR="00752856" w:rsidRDefault="00752856" w:rsidP="00E46ECE">
      <w:pPr>
        <w:pStyle w:val="Descripcin"/>
        <w:tabs>
          <w:tab w:val="left" w:pos="1276"/>
        </w:tabs>
        <w:spacing w:after="0"/>
        <w:jc w:val="center"/>
        <w:rPr>
          <w:rFonts w:ascii="Arial" w:hAnsi="Arial" w:cs="Arial"/>
          <w:b/>
          <w:bCs/>
          <w:color w:val="auto"/>
        </w:rPr>
      </w:pPr>
      <w:bookmarkStart w:id="32" w:name="_Ref164754687"/>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6</w:t>
      </w:r>
      <w:r w:rsidRPr="00115F4D">
        <w:rPr>
          <w:rFonts w:ascii="Arial" w:hAnsi="Arial" w:cs="Arial"/>
          <w:b/>
          <w:bCs/>
          <w:color w:val="auto"/>
        </w:rPr>
        <w:fldChar w:fldCharType="end"/>
      </w:r>
      <w:bookmarkEnd w:id="31"/>
      <w:bookmarkEnd w:id="32"/>
      <w:r w:rsidRPr="00115F4D">
        <w:rPr>
          <w:rFonts w:ascii="Arial" w:hAnsi="Arial" w:cs="Arial"/>
          <w:b/>
          <w:bCs/>
          <w:color w:val="auto"/>
        </w:rPr>
        <w:t xml:space="preserve"> </w:t>
      </w:r>
      <w:r w:rsidR="00191AD6">
        <w:rPr>
          <w:rFonts w:ascii="Arial" w:hAnsi="Arial" w:cs="Arial"/>
          <w:b/>
          <w:bCs/>
          <w:color w:val="auto"/>
        </w:rPr>
        <w:t>Comparación metodología de remuneración Costo Base de Comercialización</w:t>
      </w:r>
    </w:p>
    <w:p w14:paraId="79336C6C" w14:textId="61C3F81A" w:rsidR="00F1239B" w:rsidRPr="00E46ECE" w:rsidRDefault="00E46ECE" w:rsidP="00E46ECE">
      <w:pPr>
        <w:pStyle w:val="Descripcin"/>
        <w:tabs>
          <w:tab w:val="left" w:pos="1276"/>
        </w:tabs>
        <w:spacing w:after="0"/>
        <w:jc w:val="center"/>
        <w:rPr>
          <w:rFonts w:ascii="Arial" w:hAnsi="Arial" w:cs="Arial"/>
          <w:b/>
          <w:bCs/>
          <w:color w:val="auto"/>
        </w:rPr>
      </w:pPr>
      <w:r w:rsidRPr="00E46ECE">
        <w:rPr>
          <w:rFonts w:ascii="Arial" w:hAnsi="Arial" w:cs="Arial"/>
          <w:b/>
          <w:bCs/>
          <w:color w:val="auto"/>
        </w:rPr>
        <w:t>Fuente: Elaboración propia.</w:t>
      </w:r>
    </w:p>
    <w:tbl>
      <w:tblPr>
        <w:tblStyle w:val="Tablaconcuadrcula1clara-nfasis3"/>
        <w:tblW w:w="9016" w:type="dxa"/>
        <w:tblLook w:val="0620" w:firstRow="1" w:lastRow="0" w:firstColumn="0" w:lastColumn="0" w:noHBand="1" w:noVBand="1"/>
      </w:tblPr>
      <w:tblGrid>
        <w:gridCol w:w="1725"/>
        <w:gridCol w:w="3447"/>
        <w:gridCol w:w="3844"/>
      </w:tblGrid>
      <w:tr w:rsidR="00363248" w:rsidRPr="00363248" w14:paraId="0E51CBEB" w14:textId="77777777" w:rsidTr="34109A4B">
        <w:trPr>
          <w:cnfStyle w:val="100000000000" w:firstRow="1" w:lastRow="0" w:firstColumn="0" w:lastColumn="0" w:oddVBand="0" w:evenVBand="0" w:oddHBand="0" w:evenHBand="0" w:firstRowFirstColumn="0" w:firstRowLastColumn="0" w:lastRowFirstColumn="0" w:lastRowLastColumn="0"/>
          <w:trHeight w:val="25"/>
        </w:trPr>
        <w:tc>
          <w:tcPr>
            <w:tcW w:w="1725" w:type="dxa"/>
            <w:hideMark/>
          </w:tcPr>
          <w:p w14:paraId="203247F1" w14:textId="271DC756" w:rsidR="00363248" w:rsidRPr="00220ADD" w:rsidRDefault="00752856" w:rsidP="00FF5A82">
            <w:pPr>
              <w:spacing w:before="0" w:after="0"/>
              <w:ind w:right="45"/>
              <w:rPr>
                <w:rFonts w:ascii="Arial" w:hAnsi="Arial" w:cs="Arial"/>
                <w:sz w:val="20"/>
                <w:szCs w:val="20"/>
              </w:rPr>
            </w:pPr>
            <w:r w:rsidRPr="00220ADD">
              <w:rPr>
                <w:rFonts w:ascii="Arial" w:hAnsi="Arial" w:cs="Arial"/>
                <w:iCs/>
                <w:sz w:val="20"/>
                <w:szCs w:val="20"/>
              </w:rPr>
              <w:t>Estructura</w:t>
            </w:r>
          </w:p>
        </w:tc>
        <w:tc>
          <w:tcPr>
            <w:tcW w:w="3447" w:type="dxa"/>
            <w:hideMark/>
          </w:tcPr>
          <w:p w14:paraId="43FEB2F4" w14:textId="77777777" w:rsidR="00363248" w:rsidRPr="00363248" w:rsidRDefault="00363248" w:rsidP="00FF5A82">
            <w:pPr>
              <w:spacing w:before="0" w:after="0"/>
              <w:ind w:right="45"/>
              <w:jc w:val="center"/>
              <w:rPr>
                <w:rFonts w:ascii="Arial" w:hAnsi="Arial" w:cs="Arial"/>
                <w:iCs/>
                <w:sz w:val="20"/>
                <w:szCs w:val="20"/>
              </w:rPr>
            </w:pPr>
            <w:r w:rsidRPr="00363248">
              <w:rPr>
                <w:rFonts w:ascii="Arial" w:hAnsi="Arial" w:cs="Arial"/>
                <w:sz w:val="20"/>
                <w:szCs w:val="20"/>
                <w:lang w:val="es-MX"/>
              </w:rPr>
              <w:t>Actual</w:t>
            </w:r>
          </w:p>
        </w:tc>
        <w:tc>
          <w:tcPr>
            <w:tcW w:w="3844" w:type="dxa"/>
            <w:hideMark/>
          </w:tcPr>
          <w:p w14:paraId="1D2422A5" w14:textId="77777777" w:rsidR="00363248" w:rsidRPr="00363248" w:rsidRDefault="00363248" w:rsidP="00FF5A82">
            <w:pPr>
              <w:spacing w:before="0" w:after="0"/>
              <w:ind w:right="45"/>
              <w:jc w:val="center"/>
              <w:rPr>
                <w:rFonts w:ascii="Arial" w:hAnsi="Arial" w:cs="Arial"/>
                <w:iCs/>
                <w:sz w:val="20"/>
                <w:szCs w:val="20"/>
              </w:rPr>
            </w:pPr>
            <w:r w:rsidRPr="00363248">
              <w:rPr>
                <w:rFonts w:ascii="Arial" w:hAnsi="Arial" w:cs="Arial"/>
                <w:sz w:val="20"/>
                <w:szCs w:val="20"/>
                <w:lang w:val="es-MX"/>
              </w:rPr>
              <w:t>Propuesta</w:t>
            </w:r>
          </w:p>
        </w:tc>
      </w:tr>
      <w:tr w:rsidR="00363248" w:rsidRPr="00363248" w14:paraId="2560FF63" w14:textId="77777777" w:rsidTr="34109A4B">
        <w:trPr>
          <w:trHeight w:val="464"/>
        </w:trPr>
        <w:tc>
          <w:tcPr>
            <w:tcW w:w="1725" w:type="dxa"/>
            <w:hideMark/>
          </w:tcPr>
          <w:p w14:paraId="73089DC8" w14:textId="77777777" w:rsidR="00363248" w:rsidRPr="00363248" w:rsidRDefault="00363248" w:rsidP="00FF5A82">
            <w:pPr>
              <w:spacing w:before="0" w:after="0"/>
              <w:ind w:right="45"/>
              <w:rPr>
                <w:rFonts w:ascii="Arial" w:hAnsi="Arial" w:cs="Arial"/>
                <w:iCs/>
                <w:sz w:val="20"/>
                <w:szCs w:val="20"/>
              </w:rPr>
            </w:pPr>
            <w:r w:rsidRPr="00363248">
              <w:rPr>
                <w:rFonts w:ascii="Arial" w:hAnsi="Arial" w:cs="Arial"/>
                <w:b/>
                <w:bCs/>
                <w:iCs/>
                <w:sz w:val="20"/>
                <w:szCs w:val="20"/>
              </w:rPr>
              <w:t>Gastos reconocidos</w:t>
            </w:r>
          </w:p>
        </w:tc>
        <w:tc>
          <w:tcPr>
            <w:tcW w:w="3447" w:type="dxa"/>
            <w:hideMark/>
          </w:tcPr>
          <w:p w14:paraId="2C99F054" w14:textId="61DA9790" w:rsidR="00363248" w:rsidRPr="00363248" w:rsidRDefault="00363248" w:rsidP="00C00C77">
            <w:pPr>
              <w:numPr>
                <w:ilvl w:val="0"/>
                <w:numId w:val="12"/>
              </w:numPr>
              <w:tabs>
                <w:tab w:val="clear" w:pos="720"/>
                <w:tab w:val="num" w:pos="185"/>
              </w:tabs>
              <w:spacing w:before="0" w:after="0"/>
              <w:ind w:left="185" w:right="45" w:hanging="142"/>
              <w:rPr>
                <w:rFonts w:ascii="Arial" w:hAnsi="Arial" w:cs="Arial"/>
                <w:iCs/>
                <w:sz w:val="20"/>
                <w:szCs w:val="20"/>
              </w:rPr>
            </w:pPr>
            <w:r w:rsidRPr="00363248">
              <w:rPr>
                <w:rFonts w:ascii="Arial" w:hAnsi="Arial" w:cs="Arial"/>
                <w:iCs/>
                <w:sz w:val="20"/>
                <w:szCs w:val="20"/>
                <w:lang w:val="es-MX"/>
              </w:rPr>
              <w:t xml:space="preserve">Enfoque </w:t>
            </w:r>
            <w:r w:rsidRPr="00363248">
              <w:rPr>
                <w:rFonts w:ascii="Arial" w:hAnsi="Arial" w:cs="Arial"/>
                <w:b/>
                <w:bCs/>
                <w:iCs/>
                <w:sz w:val="20"/>
                <w:szCs w:val="20"/>
                <w:lang w:val="es-MX"/>
              </w:rPr>
              <w:t>Top-down</w:t>
            </w:r>
            <w:r w:rsidR="00FB7C90">
              <w:rPr>
                <w:rFonts w:ascii="Arial" w:hAnsi="Arial" w:cs="Arial"/>
                <w:b/>
                <w:bCs/>
                <w:iCs/>
                <w:sz w:val="20"/>
                <w:szCs w:val="20"/>
                <w:lang w:val="es-MX"/>
              </w:rPr>
              <w:t>.</w:t>
            </w:r>
          </w:p>
          <w:p w14:paraId="28A584EF" w14:textId="77777777" w:rsidR="00363248" w:rsidRPr="00363248" w:rsidRDefault="00363248" w:rsidP="00C00C77">
            <w:pPr>
              <w:numPr>
                <w:ilvl w:val="0"/>
                <w:numId w:val="12"/>
              </w:numPr>
              <w:tabs>
                <w:tab w:val="clear" w:pos="720"/>
                <w:tab w:val="num" w:pos="185"/>
              </w:tabs>
              <w:spacing w:before="0" w:after="0"/>
              <w:ind w:left="185" w:right="45" w:hanging="142"/>
              <w:rPr>
                <w:rFonts w:ascii="Arial" w:hAnsi="Arial" w:cs="Arial"/>
                <w:iCs/>
                <w:sz w:val="20"/>
                <w:szCs w:val="20"/>
              </w:rPr>
            </w:pPr>
            <w:r w:rsidRPr="00363248">
              <w:rPr>
                <w:rFonts w:ascii="Arial" w:hAnsi="Arial" w:cs="Arial"/>
                <w:iCs/>
                <w:sz w:val="20"/>
                <w:szCs w:val="20"/>
                <w:lang w:val="es-MX"/>
              </w:rPr>
              <w:t xml:space="preserve">Fuente: información histórica </w:t>
            </w:r>
            <w:r w:rsidRPr="00363248">
              <w:rPr>
                <w:rFonts w:ascii="Arial" w:hAnsi="Arial" w:cs="Arial"/>
                <w:b/>
                <w:bCs/>
                <w:iCs/>
                <w:sz w:val="20"/>
                <w:szCs w:val="20"/>
                <w:lang w:val="es-MX"/>
              </w:rPr>
              <w:t>PUC</w:t>
            </w:r>
            <w:r w:rsidRPr="00363248">
              <w:rPr>
                <w:rFonts w:ascii="Arial" w:hAnsi="Arial" w:cs="Arial"/>
                <w:iCs/>
                <w:sz w:val="20"/>
                <w:szCs w:val="20"/>
                <w:lang w:val="es-MX"/>
              </w:rPr>
              <w:t xml:space="preserve"> (Plan Único de Cuentas - SUI)</w:t>
            </w:r>
          </w:p>
          <w:p w14:paraId="70E98410" w14:textId="6C6C1FEE" w:rsidR="00363248" w:rsidRPr="00363248" w:rsidRDefault="00363248" w:rsidP="00C00C77">
            <w:pPr>
              <w:numPr>
                <w:ilvl w:val="0"/>
                <w:numId w:val="12"/>
              </w:numPr>
              <w:tabs>
                <w:tab w:val="clear" w:pos="720"/>
                <w:tab w:val="num" w:pos="185"/>
              </w:tabs>
              <w:spacing w:before="0" w:after="0"/>
              <w:ind w:left="185" w:right="45" w:hanging="142"/>
              <w:rPr>
                <w:rFonts w:ascii="Arial" w:hAnsi="Arial" w:cs="Arial"/>
                <w:iCs/>
                <w:sz w:val="20"/>
                <w:szCs w:val="20"/>
              </w:rPr>
            </w:pPr>
            <w:r w:rsidRPr="00363248">
              <w:rPr>
                <w:rFonts w:ascii="Arial" w:hAnsi="Arial" w:cs="Arial"/>
                <w:iCs/>
                <w:sz w:val="20"/>
                <w:szCs w:val="20"/>
                <w:lang w:val="es-MX"/>
              </w:rPr>
              <w:t>No se incluyen cuentas no relacionadas</w:t>
            </w:r>
            <w:r w:rsidR="00FB7C90">
              <w:rPr>
                <w:rFonts w:ascii="Arial" w:hAnsi="Arial" w:cs="Arial"/>
                <w:iCs/>
                <w:sz w:val="20"/>
                <w:szCs w:val="20"/>
                <w:lang w:val="es-MX"/>
              </w:rPr>
              <w:t>.</w:t>
            </w:r>
          </w:p>
        </w:tc>
        <w:tc>
          <w:tcPr>
            <w:tcW w:w="3844" w:type="dxa"/>
            <w:hideMark/>
          </w:tcPr>
          <w:p w14:paraId="497C3F57" w14:textId="19F548DB" w:rsidR="00363248" w:rsidRPr="00363248" w:rsidRDefault="00363248" w:rsidP="00C00C77">
            <w:pPr>
              <w:numPr>
                <w:ilvl w:val="0"/>
                <w:numId w:val="12"/>
              </w:numPr>
              <w:tabs>
                <w:tab w:val="clear" w:pos="720"/>
                <w:tab w:val="num" w:pos="185"/>
              </w:tabs>
              <w:spacing w:before="0" w:after="0"/>
              <w:ind w:left="185" w:right="45" w:hanging="142"/>
              <w:rPr>
                <w:rFonts w:ascii="Arial" w:hAnsi="Arial" w:cs="Arial"/>
                <w:sz w:val="20"/>
                <w:szCs w:val="20"/>
                <w:lang w:val="es-MX"/>
              </w:rPr>
            </w:pPr>
            <w:r w:rsidRPr="00363248">
              <w:rPr>
                <w:rFonts w:ascii="Arial" w:hAnsi="Arial" w:cs="Arial"/>
                <w:iCs/>
                <w:sz w:val="20"/>
                <w:szCs w:val="20"/>
                <w:lang w:val="es-MX"/>
              </w:rPr>
              <w:t>Enfoque</w:t>
            </w:r>
            <w:r w:rsidRPr="00363248">
              <w:rPr>
                <w:rFonts w:ascii="Arial" w:hAnsi="Arial" w:cs="Arial"/>
                <w:b/>
                <w:sz w:val="20"/>
                <w:szCs w:val="20"/>
                <w:lang w:val="es-MX"/>
              </w:rPr>
              <w:t xml:space="preserve"> Bottom-up</w:t>
            </w:r>
            <w:r w:rsidR="00FB7C90">
              <w:rPr>
                <w:rFonts w:ascii="Arial" w:hAnsi="Arial" w:cs="Arial"/>
                <w:b/>
                <w:bCs/>
                <w:iCs/>
                <w:sz w:val="20"/>
                <w:szCs w:val="20"/>
                <w:lang w:val="es-MX"/>
              </w:rPr>
              <w:t>.</w:t>
            </w:r>
          </w:p>
          <w:p w14:paraId="3E96CB3E" w14:textId="71F8AF5B" w:rsidR="00363248" w:rsidRPr="00363248" w:rsidRDefault="00363248" w:rsidP="00C00C77">
            <w:pPr>
              <w:numPr>
                <w:ilvl w:val="0"/>
                <w:numId w:val="12"/>
              </w:numPr>
              <w:tabs>
                <w:tab w:val="clear" w:pos="720"/>
                <w:tab w:val="num" w:pos="185"/>
              </w:tabs>
              <w:spacing w:before="0" w:after="0"/>
              <w:ind w:left="185" w:right="45" w:hanging="142"/>
              <w:rPr>
                <w:rFonts w:ascii="Arial" w:hAnsi="Arial" w:cs="Arial"/>
                <w:sz w:val="20"/>
                <w:szCs w:val="20"/>
                <w:lang w:val="es-MX"/>
              </w:rPr>
            </w:pPr>
            <w:r w:rsidRPr="00363248">
              <w:rPr>
                <w:rFonts w:ascii="Arial" w:hAnsi="Arial" w:cs="Arial"/>
                <w:iCs/>
                <w:sz w:val="20"/>
                <w:szCs w:val="20"/>
                <w:lang w:val="es-MX"/>
              </w:rPr>
              <w:t xml:space="preserve">Fuente: Información Cuentas para la Regulación - </w:t>
            </w:r>
            <w:r w:rsidRPr="00363248">
              <w:rPr>
                <w:rFonts w:ascii="Arial" w:hAnsi="Arial" w:cs="Arial"/>
                <w:b/>
                <w:sz w:val="20"/>
                <w:szCs w:val="20"/>
                <w:lang w:val="es-MX"/>
              </w:rPr>
              <w:t>ICR</w:t>
            </w:r>
            <w:r w:rsidRPr="00363248">
              <w:rPr>
                <w:rFonts w:ascii="Arial" w:hAnsi="Arial" w:cs="Arial"/>
                <w:iCs/>
                <w:sz w:val="20"/>
                <w:szCs w:val="20"/>
                <w:lang w:val="es-MX"/>
              </w:rPr>
              <w:t xml:space="preserve"> (reporte a </w:t>
            </w:r>
            <w:r w:rsidR="001943EF" w:rsidRPr="00363248">
              <w:rPr>
                <w:rFonts w:ascii="Arial" w:hAnsi="Arial" w:cs="Arial"/>
                <w:iCs/>
                <w:sz w:val="20"/>
                <w:szCs w:val="20"/>
                <w:lang w:val="es-MX"/>
              </w:rPr>
              <w:t>CREG</w:t>
            </w:r>
            <w:r w:rsidR="001943EF">
              <w:rPr>
                <w:rFonts w:ascii="Arial" w:hAnsi="Arial" w:cs="Arial"/>
                <w:iCs/>
                <w:sz w:val="20"/>
                <w:szCs w:val="20"/>
                <w:lang w:val="es-MX"/>
              </w:rPr>
              <w:t>-SSPD</w:t>
            </w:r>
            <w:r w:rsidRPr="00363248">
              <w:rPr>
                <w:rFonts w:ascii="Arial" w:hAnsi="Arial" w:cs="Arial"/>
                <w:iCs/>
                <w:sz w:val="20"/>
                <w:szCs w:val="20"/>
                <w:lang w:val="es-MX"/>
              </w:rPr>
              <w:t>)</w:t>
            </w:r>
            <w:r w:rsidR="00FB7C90">
              <w:rPr>
                <w:rFonts w:ascii="Arial" w:hAnsi="Arial" w:cs="Arial"/>
                <w:iCs/>
                <w:sz w:val="20"/>
                <w:szCs w:val="20"/>
                <w:lang w:val="es-MX"/>
              </w:rPr>
              <w:t>.</w:t>
            </w:r>
          </w:p>
          <w:p w14:paraId="39FFCCCF" w14:textId="067C1913" w:rsidR="00363248" w:rsidRPr="00363248" w:rsidRDefault="00363248" w:rsidP="00C00C77">
            <w:pPr>
              <w:numPr>
                <w:ilvl w:val="0"/>
                <w:numId w:val="12"/>
              </w:numPr>
              <w:tabs>
                <w:tab w:val="clear" w:pos="720"/>
                <w:tab w:val="num" w:pos="185"/>
              </w:tabs>
              <w:spacing w:before="0" w:after="0"/>
              <w:ind w:left="185" w:right="45" w:hanging="142"/>
              <w:rPr>
                <w:rFonts w:ascii="Arial" w:hAnsi="Arial" w:cs="Arial"/>
                <w:sz w:val="20"/>
                <w:szCs w:val="20"/>
                <w:lang w:val="es-MX"/>
              </w:rPr>
            </w:pPr>
            <w:r w:rsidRPr="00363248">
              <w:rPr>
                <w:rFonts w:ascii="Arial" w:hAnsi="Arial" w:cs="Arial"/>
                <w:iCs/>
                <w:sz w:val="20"/>
                <w:szCs w:val="20"/>
                <w:lang w:val="es-MX"/>
              </w:rPr>
              <w:t>Definición de conceptos relacionados y no relacionados</w:t>
            </w:r>
            <w:r w:rsidR="00FB7C90">
              <w:rPr>
                <w:rFonts w:ascii="Arial" w:hAnsi="Arial" w:cs="Arial"/>
                <w:iCs/>
                <w:sz w:val="20"/>
                <w:szCs w:val="20"/>
                <w:lang w:val="es-MX"/>
              </w:rPr>
              <w:t>.</w:t>
            </w:r>
          </w:p>
        </w:tc>
      </w:tr>
      <w:tr w:rsidR="00363248" w:rsidRPr="00363248" w14:paraId="00331345" w14:textId="77777777" w:rsidTr="34109A4B">
        <w:trPr>
          <w:trHeight w:val="25"/>
        </w:trPr>
        <w:tc>
          <w:tcPr>
            <w:tcW w:w="1725" w:type="dxa"/>
            <w:hideMark/>
          </w:tcPr>
          <w:p w14:paraId="153238CF" w14:textId="77777777" w:rsidR="00363248" w:rsidRPr="00363248" w:rsidRDefault="00363248" w:rsidP="00FF5A82">
            <w:pPr>
              <w:spacing w:before="0" w:after="0"/>
              <w:ind w:right="45"/>
              <w:rPr>
                <w:rFonts w:ascii="Arial" w:hAnsi="Arial" w:cs="Arial"/>
                <w:iCs/>
                <w:sz w:val="20"/>
                <w:szCs w:val="20"/>
              </w:rPr>
            </w:pPr>
            <w:r w:rsidRPr="00363248">
              <w:rPr>
                <w:rFonts w:ascii="Arial" w:hAnsi="Arial" w:cs="Arial"/>
                <w:b/>
                <w:bCs/>
                <w:iCs/>
                <w:sz w:val="20"/>
                <w:szCs w:val="20"/>
              </w:rPr>
              <w:t>Actividades reconocidas</w:t>
            </w:r>
          </w:p>
        </w:tc>
        <w:tc>
          <w:tcPr>
            <w:tcW w:w="3447" w:type="dxa"/>
            <w:hideMark/>
          </w:tcPr>
          <w:p w14:paraId="42BA0762" w14:textId="0B11E0A1" w:rsidR="00363248" w:rsidRPr="00363248" w:rsidRDefault="00363248" w:rsidP="00FF5A82">
            <w:pPr>
              <w:spacing w:before="0" w:after="0"/>
              <w:ind w:right="45"/>
              <w:rPr>
                <w:rFonts w:ascii="Arial" w:hAnsi="Arial" w:cs="Arial"/>
                <w:iCs/>
                <w:sz w:val="20"/>
                <w:szCs w:val="20"/>
              </w:rPr>
            </w:pPr>
            <w:r w:rsidRPr="00363248">
              <w:rPr>
                <w:rFonts w:ascii="Arial" w:hAnsi="Arial" w:cs="Arial"/>
                <w:iCs/>
                <w:sz w:val="20"/>
                <w:szCs w:val="20"/>
                <w:lang w:val="es-MX"/>
              </w:rPr>
              <w:t xml:space="preserve">Con base en </w:t>
            </w:r>
            <w:r w:rsidRPr="00363248">
              <w:rPr>
                <w:rFonts w:ascii="Arial" w:hAnsi="Arial" w:cs="Arial"/>
                <w:b/>
                <w:bCs/>
                <w:iCs/>
                <w:sz w:val="20"/>
                <w:szCs w:val="20"/>
                <w:lang w:val="es-MX"/>
              </w:rPr>
              <w:t>actividades del comercializador agregadas</w:t>
            </w:r>
            <w:r w:rsidR="00FB7C90">
              <w:rPr>
                <w:rFonts w:ascii="Arial" w:hAnsi="Arial" w:cs="Arial"/>
                <w:b/>
                <w:bCs/>
                <w:iCs/>
                <w:sz w:val="20"/>
                <w:szCs w:val="20"/>
                <w:lang w:val="es-MX"/>
              </w:rPr>
              <w:t>.</w:t>
            </w:r>
          </w:p>
        </w:tc>
        <w:tc>
          <w:tcPr>
            <w:tcW w:w="3844" w:type="dxa"/>
            <w:hideMark/>
          </w:tcPr>
          <w:p w14:paraId="75BA1E8E" w14:textId="7CE9F594" w:rsidR="00363248" w:rsidRPr="00363248" w:rsidRDefault="00363248" w:rsidP="00FF5A82">
            <w:pPr>
              <w:spacing w:before="0" w:after="0"/>
              <w:ind w:right="45"/>
              <w:rPr>
                <w:rFonts w:ascii="Arial" w:hAnsi="Arial" w:cs="Arial"/>
                <w:iCs/>
                <w:sz w:val="20"/>
                <w:szCs w:val="20"/>
              </w:rPr>
            </w:pPr>
            <w:r w:rsidRPr="00363248">
              <w:rPr>
                <w:rFonts w:ascii="Arial" w:hAnsi="Arial" w:cs="Arial"/>
                <w:b/>
                <w:bCs/>
                <w:iCs/>
                <w:sz w:val="20"/>
                <w:szCs w:val="20"/>
                <w:lang w:val="es-MX"/>
              </w:rPr>
              <w:t xml:space="preserve">Estudio UTP conceptos relacionados directamente con la actividad de comercialización </w:t>
            </w:r>
            <w:r w:rsidR="00F047AA">
              <w:rPr>
                <w:rFonts w:ascii="Arial" w:hAnsi="Arial" w:cs="Arial"/>
                <w:b/>
                <w:bCs/>
                <w:iCs/>
                <w:sz w:val="20"/>
                <w:szCs w:val="20"/>
                <w:lang w:val="es-MX"/>
              </w:rPr>
              <w:t>y análisis CREG</w:t>
            </w:r>
            <w:r w:rsidRPr="00363248">
              <w:rPr>
                <w:rFonts w:ascii="Arial" w:hAnsi="Arial" w:cs="Arial"/>
                <w:b/>
                <w:sz w:val="20"/>
                <w:szCs w:val="20"/>
                <w:lang w:val="es-MX"/>
              </w:rPr>
              <w:t>-</w:t>
            </w:r>
            <w:r w:rsidRPr="00363248">
              <w:rPr>
                <w:rFonts w:ascii="Arial" w:hAnsi="Arial" w:cs="Arial"/>
                <w:iCs/>
                <w:sz w:val="20"/>
                <w:szCs w:val="20"/>
                <w:lang w:val="es-MX"/>
              </w:rPr>
              <w:t xml:space="preserve"> Responsabilidad lectura del OR – Regulación AMI.</w:t>
            </w:r>
          </w:p>
        </w:tc>
      </w:tr>
      <w:tr w:rsidR="00363248" w:rsidRPr="00363248" w14:paraId="4AD35D5C" w14:textId="77777777" w:rsidTr="34109A4B">
        <w:trPr>
          <w:trHeight w:val="25"/>
        </w:trPr>
        <w:tc>
          <w:tcPr>
            <w:tcW w:w="1725" w:type="dxa"/>
            <w:hideMark/>
          </w:tcPr>
          <w:p w14:paraId="4276DDE9" w14:textId="77777777" w:rsidR="00363248" w:rsidRPr="00363248" w:rsidRDefault="00363248" w:rsidP="00FF5A82">
            <w:pPr>
              <w:spacing w:before="0" w:after="0"/>
              <w:ind w:right="45"/>
              <w:rPr>
                <w:rFonts w:ascii="Arial" w:hAnsi="Arial" w:cs="Arial"/>
                <w:iCs/>
                <w:sz w:val="20"/>
                <w:szCs w:val="20"/>
              </w:rPr>
            </w:pPr>
            <w:r w:rsidRPr="00363248">
              <w:rPr>
                <w:rFonts w:ascii="Arial" w:hAnsi="Arial" w:cs="Arial"/>
                <w:b/>
                <w:bCs/>
                <w:iCs/>
                <w:sz w:val="20"/>
                <w:szCs w:val="20"/>
              </w:rPr>
              <w:t>Facturas</w:t>
            </w:r>
          </w:p>
        </w:tc>
        <w:tc>
          <w:tcPr>
            <w:tcW w:w="3447" w:type="dxa"/>
            <w:hideMark/>
          </w:tcPr>
          <w:p w14:paraId="652C150D" w14:textId="735B903E" w:rsidR="00363248" w:rsidRPr="00363248" w:rsidRDefault="00363248" w:rsidP="00FF5A82">
            <w:pPr>
              <w:spacing w:before="0" w:after="0"/>
              <w:ind w:right="45"/>
              <w:rPr>
                <w:rFonts w:ascii="Arial" w:hAnsi="Arial" w:cs="Arial"/>
                <w:iCs/>
                <w:sz w:val="20"/>
                <w:szCs w:val="20"/>
              </w:rPr>
            </w:pPr>
            <w:r w:rsidRPr="00363248">
              <w:rPr>
                <w:rFonts w:ascii="Arial" w:hAnsi="Arial" w:cs="Arial"/>
                <w:iCs/>
                <w:sz w:val="20"/>
                <w:szCs w:val="20"/>
                <w:lang w:val="es-MX"/>
              </w:rPr>
              <w:t xml:space="preserve">Información </w:t>
            </w:r>
            <w:r w:rsidRPr="00363248">
              <w:rPr>
                <w:rFonts w:ascii="Arial" w:hAnsi="Arial" w:cs="Arial"/>
                <w:b/>
                <w:bCs/>
                <w:iCs/>
                <w:sz w:val="20"/>
                <w:szCs w:val="20"/>
                <w:lang w:val="es-MX"/>
              </w:rPr>
              <w:t xml:space="preserve">reportada por comercializador </w:t>
            </w:r>
            <w:r w:rsidRPr="00363248">
              <w:rPr>
                <w:rFonts w:ascii="Arial" w:hAnsi="Arial" w:cs="Arial"/>
                <w:iCs/>
                <w:sz w:val="20"/>
                <w:szCs w:val="20"/>
                <w:lang w:val="es-MX"/>
              </w:rPr>
              <w:t>en actuación administrativa particular</w:t>
            </w:r>
            <w:r w:rsidR="00FB7C90">
              <w:rPr>
                <w:rFonts w:ascii="Arial" w:hAnsi="Arial" w:cs="Arial"/>
                <w:iCs/>
                <w:sz w:val="20"/>
                <w:szCs w:val="20"/>
                <w:lang w:val="es-MX"/>
              </w:rPr>
              <w:t>.</w:t>
            </w:r>
          </w:p>
        </w:tc>
        <w:tc>
          <w:tcPr>
            <w:tcW w:w="3844" w:type="dxa"/>
            <w:hideMark/>
          </w:tcPr>
          <w:p w14:paraId="6730810A" w14:textId="694A3929" w:rsidR="00363248" w:rsidRPr="00363248" w:rsidRDefault="00363248" w:rsidP="00FF5A82">
            <w:pPr>
              <w:spacing w:before="0" w:after="0"/>
              <w:ind w:right="45"/>
              <w:rPr>
                <w:rFonts w:ascii="Arial" w:hAnsi="Arial" w:cs="Arial"/>
                <w:iCs/>
                <w:sz w:val="20"/>
                <w:szCs w:val="20"/>
              </w:rPr>
            </w:pPr>
            <w:r w:rsidRPr="00363248">
              <w:rPr>
                <w:rFonts w:ascii="Arial" w:hAnsi="Arial" w:cs="Arial"/>
                <w:iCs/>
                <w:sz w:val="20"/>
                <w:szCs w:val="20"/>
                <w:lang w:val="es-MX"/>
              </w:rPr>
              <w:t xml:space="preserve">Información </w:t>
            </w:r>
            <w:r w:rsidR="009751DB">
              <w:rPr>
                <w:rFonts w:ascii="Arial" w:hAnsi="Arial" w:cs="Arial"/>
                <w:iCs/>
                <w:sz w:val="20"/>
                <w:szCs w:val="20"/>
                <w:lang w:val="es-MX"/>
              </w:rPr>
              <w:t>reportada en el</w:t>
            </w:r>
            <w:r w:rsidRPr="00363248">
              <w:rPr>
                <w:rFonts w:ascii="Arial" w:hAnsi="Arial" w:cs="Arial"/>
                <w:iCs/>
                <w:sz w:val="20"/>
                <w:szCs w:val="20"/>
                <w:lang w:val="es-MX"/>
              </w:rPr>
              <w:t xml:space="preserve"> </w:t>
            </w:r>
            <w:r w:rsidRPr="00363248">
              <w:rPr>
                <w:rFonts w:ascii="Arial" w:hAnsi="Arial" w:cs="Arial"/>
                <w:b/>
                <w:bCs/>
                <w:iCs/>
                <w:sz w:val="20"/>
                <w:szCs w:val="20"/>
                <w:lang w:val="es-MX"/>
              </w:rPr>
              <w:t>SUI</w:t>
            </w:r>
            <w:r w:rsidR="00FB7C90">
              <w:rPr>
                <w:rFonts w:ascii="Arial" w:hAnsi="Arial" w:cs="Arial"/>
                <w:b/>
                <w:bCs/>
                <w:iCs/>
                <w:sz w:val="20"/>
                <w:szCs w:val="20"/>
                <w:lang w:val="es-MX"/>
              </w:rPr>
              <w:t>.</w:t>
            </w:r>
          </w:p>
        </w:tc>
      </w:tr>
      <w:tr w:rsidR="00363248" w:rsidRPr="00363248" w14:paraId="056316FF" w14:textId="77777777" w:rsidTr="34109A4B">
        <w:trPr>
          <w:trHeight w:val="25"/>
        </w:trPr>
        <w:tc>
          <w:tcPr>
            <w:tcW w:w="1725" w:type="dxa"/>
            <w:hideMark/>
          </w:tcPr>
          <w:p w14:paraId="29B16E83" w14:textId="77777777" w:rsidR="00363248" w:rsidRPr="00363248" w:rsidRDefault="00363248" w:rsidP="00FF5A82">
            <w:pPr>
              <w:spacing w:before="0" w:after="0"/>
              <w:ind w:right="45"/>
              <w:rPr>
                <w:rFonts w:ascii="Arial" w:hAnsi="Arial" w:cs="Arial"/>
                <w:iCs/>
                <w:sz w:val="20"/>
                <w:szCs w:val="20"/>
              </w:rPr>
            </w:pPr>
            <w:r w:rsidRPr="00363248">
              <w:rPr>
                <w:rFonts w:ascii="Arial" w:hAnsi="Arial" w:cs="Arial"/>
                <w:b/>
                <w:bCs/>
                <w:iCs/>
                <w:sz w:val="20"/>
                <w:szCs w:val="20"/>
                <w:lang w:val="es-MX"/>
              </w:rPr>
              <w:t>Actualización</w:t>
            </w:r>
          </w:p>
        </w:tc>
        <w:tc>
          <w:tcPr>
            <w:tcW w:w="3447" w:type="dxa"/>
            <w:hideMark/>
          </w:tcPr>
          <w:p w14:paraId="16E95422" w14:textId="1AB99688" w:rsidR="00363248" w:rsidRPr="00363248" w:rsidRDefault="00363248" w:rsidP="00FF5A82">
            <w:pPr>
              <w:spacing w:before="0" w:after="0"/>
              <w:ind w:right="45"/>
              <w:rPr>
                <w:rFonts w:ascii="Arial" w:hAnsi="Arial" w:cs="Arial"/>
                <w:iCs/>
                <w:sz w:val="20"/>
                <w:szCs w:val="20"/>
              </w:rPr>
            </w:pPr>
            <w:r w:rsidRPr="00363248">
              <w:rPr>
                <w:rFonts w:ascii="Arial" w:hAnsi="Arial" w:cs="Arial"/>
                <w:iCs/>
                <w:sz w:val="20"/>
                <w:szCs w:val="20"/>
                <w:lang w:val="es-MX"/>
              </w:rPr>
              <w:t xml:space="preserve">Se actualiza mensualmente con </w:t>
            </w:r>
            <w:r w:rsidR="001943EF" w:rsidRPr="00363248">
              <w:rPr>
                <w:rFonts w:ascii="Arial" w:hAnsi="Arial" w:cs="Arial"/>
                <w:b/>
                <w:bCs/>
                <w:iCs/>
                <w:sz w:val="20"/>
                <w:szCs w:val="20"/>
                <w:lang w:val="es-MX"/>
              </w:rPr>
              <w:t>Í</w:t>
            </w:r>
            <w:r w:rsidR="001943EF">
              <w:rPr>
                <w:rFonts w:ascii="Arial" w:hAnsi="Arial" w:cs="Arial"/>
                <w:b/>
                <w:bCs/>
                <w:iCs/>
                <w:sz w:val="20"/>
                <w:szCs w:val="20"/>
                <w:lang w:val="es-MX"/>
              </w:rPr>
              <w:t xml:space="preserve">ndice </w:t>
            </w:r>
            <w:r w:rsidRPr="00363248">
              <w:rPr>
                <w:rFonts w:ascii="Arial" w:hAnsi="Arial" w:cs="Arial"/>
                <w:b/>
                <w:bCs/>
                <w:iCs/>
                <w:sz w:val="20"/>
                <w:szCs w:val="20"/>
                <w:lang w:val="es-MX"/>
              </w:rPr>
              <w:t>P</w:t>
            </w:r>
            <w:r w:rsidR="001943EF">
              <w:rPr>
                <w:rFonts w:ascii="Arial" w:hAnsi="Arial" w:cs="Arial"/>
                <w:b/>
                <w:bCs/>
                <w:iCs/>
                <w:sz w:val="20"/>
                <w:szCs w:val="20"/>
                <w:lang w:val="es-MX"/>
              </w:rPr>
              <w:t xml:space="preserve">recios al </w:t>
            </w:r>
            <w:r w:rsidRPr="00363248">
              <w:rPr>
                <w:rFonts w:ascii="Arial" w:hAnsi="Arial" w:cs="Arial"/>
                <w:b/>
                <w:bCs/>
                <w:iCs/>
                <w:sz w:val="20"/>
                <w:szCs w:val="20"/>
                <w:lang w:val="es-MX"/>
              </w:rPr>
              <w:t>C</w:t>
            </w:r>
            <w:r w:rsidR="001943EF">
              <w:rPr>
                <w:rFonts w:ascii="Arial" w:hAnsi="Arial" w:cs="Arial"/>
                <w:b/>
                <w:bCs/>
                <w:iCs/>
                <w:sz w:val="20"/>
                <w:szCs w:val="20"/>
                <w:lang w:val="es-MX"/>
              </w:rPr>
              <w:t>onsumidor</w:t>
            </w:r>
            <w:r w:rsidRPr="00363248">
              <w:rPr>
                <w:rFonts w:ascii="Arial" w:hAnsi="Arial" w:cs="Arial"/>
                <w:iCs/>
                <w:sz w:val="20"/>
                <w:szCs w:val="20"/>
                <w:lang w:val="es-MX"/>
              </w:rPr>
              <w:t xml:space="preserve"> y factor de productividad</w:t>
            </w:r>
            <w:r w:rsidR="00FB7C90">
              <w:rPr>
                <w:rFonts w:ascii="Arial" w:hAnsi="Arial" w:cs="Arial"/>
                <w:iCs/>
                <w:sz w:val="20"/>
                <w:szCs w:val="20"/>
                <w:lang w:val="es-MX"/>
              </w:rPr>
              <w:t>.</w:t>
            </w:r>
          </w:p>
        </w:tc>
        <w:tc>
          <w:tcPr>
            <w:tcW w:w="3844" w:type="dxa"/>
            <w:hideMark/>
          </w:tcPr>
          <w:p w14:paraId="104D6D34" w14:textId="5CD0AA8F" w:rsidR="00363248" w:rsidRPr="00363248" w:rsidRDefault="00363248" w:rsidP="00FF5A82">
            <w:pPr>
              <w:spacing w:before="0" w:after="0"/>
              <w:ind w:right="45"/>
              <w:rPr>
                <w:rFonts w:ascii="Arial" w:hAnsi="Arial" w:cs="Arial"/>
                <w:iCs/>
                <w:sz w:val="20"/>
                <w:szCs w:val="20"/>
              </w:rPr>
            </w:pPr>
            <w:r w:rsidRPr="00363248">
              <w:rPr>
                <w:rFonts w:ascii="Arial" w:hAnsi="Arial" w:cs="Arial"/>
                <w:iCs/>
                <w:sz w:val="20"/>
                <w:szCs w:val="20"/>
                <w:lang w:val="es-MX"/>
              </w:rPr>
              <w:t xml:space="preserve">Se actualiza mensualmente con </w:t>
            </w:r>
            <w:r w:rsidRPr="00363248">
              <w:rPr>
                <w:rFonts w:ascii="Arial" w:hAnsi="Arial" w:cs="Arial"/>
                <w:b/>
                <w:bCs/>
                <w:iCs/>
                <w:sz w:val="20"/>
                <w:szCs w:val="20"/>
                <w:lang w:val="es-MX"/>
              </w:rPr>
              <w:t xml:space="preserve">índice aprobado </w:t>
            </w:r>
            <w:r w:rsidRPr="00363248">
              <w:rPr>
                <w:rFonts w:ascii="Arial" w:hAnsi="Arial" w:cs="Arial"/>
                <w:iCs/>
                <w:sz w:val="20"/>
                <w:szCs w:val="20"/>
                <w:lang w:val="es-MX"/>
              </w:rPr>
              <w:t>por la CREG para sector (propuesta en discusión)</w:t>
            </w:r>
            <w:r w:rsidR="00FB7C90">
              <w:rPr>
                <w:rFonts w:ascii="Arial" w:hAnsi="Arial" w:cs="Arial"/>
                <w:iCs/>
                <w:sz w:val="20"/>
                <w:szCs w:val="20"/>
                <w:lang w:val="es-MX"/>
              </w:rPr>
              <w:t>.</w:t>
            </w:r>
          </w:p>
        </w:tc>
      </w:tr>
    </w:tbl>
    <w:p w14:paraId="051F7DC8" w14:textId="77777777" w:rsidR="00640B28" w:rsidRPr="001407F8" w:rsidRDefault="00640B28" w:rsidP="00FF5A82">
      <w:pPr>
        <w:spacing w:before="0" w:after="0"/>
        <w:ind w:right="45"/>
        <w:rPr>
          <w:rFonts w:ascii="Arial" w:hAnsi="Arial" w:cs="Arial"/>
          <w:iCs/>
        </w:rPr>
      </w:pPr>
    </w:p>
    <w:p w14:paraId="57575E74" w14:textId="67E8ED56" w:rsidR="00B70266" w:rsidRPr="00115F4D" w:rsidRDefault="00D84413" w:rsidP="00C00C77">
      <w:pPr>
        <w:pStyle w:val="Ttulo3"/>
        <w:numPr>
          <w:ilvl w:val="2"/>
          <w:numId w:val="24"/>
        </w:numPr>
      </w:pPr>
      <w:bookmarkStart w:id="33" w:name="_Toc143788387"/>
      <w:bookmarkStart w:id="34" w:name="_Toc143788388"/>
      <w:bookmarkStart w:id="35" w:name="_Toc143788389"/>
      <w:bookmarkStart w:id="36" w:name="_Toc165037335"/>
      <w:bookmarkEnd w:id="33"/>
      <w:bookmarkEnd w:id="34"/>
      <w:bookmarkEnd w:id="35"/>
      <w:r w:rsidRPr="00115F4D">
        <w:t>Modelo de eficiencia</w:t>
      </w:r>
      <w:bookmarkEnd w:id="36"/>
    </w:p>
    <w:p w14:paraId="16C9CF1C" w14:textId="3934B345" w:rsidR="0039170A" w:rsidRPr="00115F4D" w:rsidRDefault="008B59E1" w:rsidP="00FF5A82">
      <w:pPr>
        <w:jc w:val="both"/>
        <w:rPr>
          <w:rFonts w:ascii="Arial" w:hAnsi="Arial" w:cs="Arial"/>
        </w:rPr>
      </w:pPr>
      <w:r>
        <w:rPr>
          <w:rFonts w:ascii="Arial" w:hAnsi="Arial" w:cs="Arial"/>
        </w:rPr>
        <w:t>E</w:t>
      </w:r>
      <w:r w:rsidR="00A42B0A">
        <w:rPr>
          <w:rFonts w:ascii="Arial" w:hAnsi="Arial" w:cs="Arial"/>
        </w:rPr>
        <w:t>n busca de actualizar la propuesta metodológica, e</w:t>
      </w:r>
      <w:r w:rsidR="0039170A" w:rsidRPr="00115F4D">
        <w:rPr>
          <w:rFonts w:ascii="Arial" w:hAnsi="Arial" w:cs="Arial"/>
        </w:rPr>
        <w:t xml:space="preserve">n el estudio </w:t>
      </w:r>
      <w:r w:rsidR="004A196D" w:rsidRPr="00115F4D">
        <w:rPr>
          <w:rFonts w:ascii="Arial" w:hAnsi="Arial" w:cs="Arial"/>
        </w:rPr>
        <w:t>publicado en la circular 08</w:t>
      </w:r>
      <w:r w:rsidR="00A4160A" w:rsidRPr="00115F4D">
        <w:rPr>
          <w:rFonts w:ascii="Arial" w:hAnsi="Arial" w:cs="Arial"/>
        </w:rPr>
        <w:t>7 de 2021,</w:t>
      </w:r>
      <w:r w:rsidR="0039170A" w:rsidRPr="00115F4D">
        <w:rPr>
          <w:rFonts w:ascii="Arial" w:hAnsi="Arial" w:cs="Arial"/>
        </w:rPr>
        <w:t xml:space="preserve"> se construyeron tres modelos </w:t>
      </w:r>
      <w:r w:rsidR="00A24686" w:rsidRPr="00115F4D">
        <w:rPr>
          <w:rFonts w:ascii="Arial" w:hAnsi="Arial" w:cs="Arial"/>
        </w:rPr>
        <w:t xml:space="preserve">para determinar el costo base de comercialización eficiente, </w:t>
      </w:r>
      <w:r w:rsidR="00E83054" w:rsidRPr="00115F4D">
        <w:rPr>
          <w:rFonts w:ascii="Arial" w:hAnsi="Arial" w:cs="Arial"/>
        </w:rPr>
        <w:t xml:space="preserve">dos modelos de </w:t>
      </w:r>
      <w:r w:rsidR="00D800F0" w:rsidRPr="00115F4D">
        <w:rPr>
          <w:rFonts w:ascii="Arial" w:hAnsi="Arial" w:cs="Arial"/>
        </w:rPr>
        <w:t>F</w:t>
      </w:r>
      <w:r w:rsidR="00E83054" w:rsidRPr="00115F4D">
        <w:rPr>
          <w:rFonts w:ascii="Arial" w:hAnsi="Arial" w:cs="Arial"/>
        </w:rPr>
        <w:t xml:space="preserve">rontera </w:t>
      </w:r>
      <w:r w:rsidR="00D800F0" w:rsidRPr="00115F4D">
        <w:rPr>
          <w:rFonts w:ascii="Arial" w:hAnsi="Arial" w:cs="Arial"/>
        </w:rPr>
        <w:t>E</w:t>
      </w:r>
      <w:r w:rsidR="00E83054" w:rsidRPr="00115F4D">
        <w:rPr>
          <w:rFonts w:ascii="Arial" w:hAnsi="Arial" w:cs="Arial"/>
        </w:rPr>
        <w:t>stocástica</w:t>
      </w:r>
      <w:r w:rsidR="00D800F0" w:rsidRPr="00115F4D">
        <w:rPr>
          <w:rFonts w:ascii="Arial" w:hAnsi="Arial" w:cs="Arial"/>
        </w:rPr>
        <w:t xml:space="preserve"> (SFA)</w:t>
      </w:r>
      <w:r w:rsidR="00E83054" w:rsidRPr="00115F4D">
        <w:rPr>
          <w:rFonts w:ascii="Arial" w:hAnsi="Arial" w:cs="Arial"/>
        </w:rPr>
        <w:t xml:space="preserve"> y un modelo de Análisis de Envolvente de Datos (DEA)</w:t>
      </w:r>
      <w:r w:rsidR="0079202D" w:rsidRPr="00115F4D">
        <w:rPr>
          <w:rFonts w:ascii="Arial" w:hAnsi="Arial" w:cs="Arial"/>
        </w:rPr>
        <w:t>, además de la comparación con la reconstrucción del modelo establecido por la metodología vigente</w:t>
      </w:r>
      <w:r w:rsidR="00E83054" w:rsidRPr="00115F4D">
        <w:rPr>
          <w:rFonts w:ascii="Arial" w:hAnsi="Arial" w:cs="Arial"/>
        </w:rPr>
        <w:t>.</w:t>
      </w:r>
    </w:p>
    <w:p w14:paraId="526CB4AB" w14:textId="543C3FE5" w:rsidR="7A573E42" w:rsidRDefault="00146C2F" w:rsidP="00FF5A82">
      <w:pPr>
        <w:jc w:val="both"/>
        <w:rPr>
          <w:rFonts w:ascii="Arial" w:hAnsi="Arial" w:cs="Arial"/>
        </w:rPr>
      </w:pPr>
      <w:r w:rsidRPr="00115F4D">
        <w:rPr>
          <w:rFonts w:ascii="Arial" w:hAnsi="Arial" w:cs="Arial"/>
        </w:rPr>
        <w:t xml:space="preserve">Los modelos de SFA y DEA son dos herramientas de eficiencia comparada para establecer la eficiencia de un grupo de empresas. DEA es una técnica no paramétrica que usa optimización matemática para determinar una frontera con la cual se comparan las empresas. </w:t>
      </w:r>
      <w:bookmarkStart w:id="37" w:name="_Int_qPSy2U68"/>
      <w:r w:rsidRPr="00115F4D">
        <w:rPr>
          <w:rFonts w:ascii="Arial" w:hAnsi="Arial" w:cs="Arial"/>
        </w:rPr>
        <w:t>Por otro lado, SFA es una técnica paramétrica que realiza una hipótesis sobre una forma funcional de una frontera la cual es construida a través de la estimación de unos parámetros.</w:t>
      </w:r>
      <w:bookmarkEnd w:id="37"/>
    </w:p>
    <w:p w14:paraId="21BB5397" w14:textId="175750EF" w:rsidR="11B21423" w:rsidRDefault="1C531143" w:rsidP="00FF5A82">
      <w:pPr>
        <w:jc w:val="both"/>
        <w:rPr>
          <w:rFonts w:ascii="Arial" w:eastAsia="Arial" w:hAnsi="Arial" w:cs="Arial"/>
        </w:rPr>
      </w:pPr>
      <w:r w:rsidRPr="78F5C2B4">
        <w:rPr>
          <w:rFonts w:ascii="Arial" w:eastAsia="Arial" w:hAnsi="Arial" w:cs="Arial"/>
        </w:rPr>
        <w:t>U</w:t>
      </w:r>
      <w:r w:rsidR="187931B5" w:rsidRPr="78F5C2B4">
        <w:rPr>
          <w:rFonts w:ascii="Arial" w:eastAsia="Arial" w:hAnsi="Arial" w:cs="Arial"/>
        </w:rPr>
        <w:t>na</w:t>
      </w:r>
      <w:r w:rsidR="187931B5" w:rsidRPr="7A573E42">
        <w:rPr>
          <w:rFonts w:ascii="Arial" w:eastAsia="Arial" w:hAnsi="Arial" w:cs="Arial"/>
        </w:rPr>
        <w:t xml:space="preserve"> comparación de las ventajas y desventajas de cada enfoque para análisis de eficiencia</w:t>
      </w:r>
      <w:r w:rsidR="187931B5" w:rsidRPr="1CDA6F7D">
        <w:rPr>
          <w:rFonts w:ascii="Arial" w:eastAsia="Arial" w:hAnsi="Arial" w:cs="Arial"/>
        </w:rPr>
        <w:t xml:space="preserve"> se presenta en la </w:t>
      </w:r>
      <w:r w:rsidR="00515531" w:rsidRPr="00515531">
        <w:rPr>
          <w:rFonts w:ascii="Arial" w:eastAsia="Arial" w:hAnsi="Arial" w:cs="Arial"/>
        </w:rPr>
        <w:fldChar w:fldCharType="begin"/>
      </w:r>
      <w:r w:rsidR="00515531">
        <w:rPr>
          <w:rFonts w:ascii="Arial" w:eastAsia="Arial" w:hAnsi="Arial" w:cs="Arial"/>
        </w:rPr>
        <w:instrText xml:space="preserve"> REF _Ref164889627 \h  \* MERGEFORMAT </w:instrText>
      </w:r>
      <w:r w:rsidR="00515531" w:rsidRPr="00515531">
        <w:rPr>
          <w:rFonts w:ascii="Arial" w:eastAsia="Arial" w:hAnsi="Arial" w:cs="Arial"/>
        </w:rPr>
      </w:r>
      <w:r w:rsidR="00515531" w:rsidRPr="00515531">
        <w:rPr>
          <w:rFonts w:ascii="Arial" w:eastAsia="Arial" w:hAnsi="Arial" w:cs="Arial"/>
        </w:rPr>
        <w:fldChar w:fldCharType="separate"/>
      </w:r>
      <w:r w:rsidR="002A641D" w:rsidRPr="002A641D">
        <w:rPr>
          <w:rFonts w:ascii="Arial" w:eastAsia="Arial" w:hAnsi="Arial" w:cs="Arial"/>
        </w:rPr>
        <w:t>Tabla 7</w:t>
      </w:r>
      <w:r w:rsidR="00515531" w:rsidRPr="00515531">
        <w:rPr>
          <w:rFonts w:ascii="Arial" w:eastAsia="Arial" w:hAnsi="Arial" w:cs="Arial"/>
        </w:rPr>
        <w:fldChar w:fldCharType="end"/>
      </w:r>
      <w:r w:rsidR="00515531">
        <w:rPr>
          <w:rFonts w:ascii="Arial" w:eastAsia="Arial" w:hAnsi="Arial" w:cs="Arial"/>
        </w:rPr>
        <w:t>.</w:t>
      </w:r>
    </w:p>
    <w:p w14:paraId="75A3BB06" w14:textId="77777777" w:rsidR="00C371DE" w:rsidRDefault="00C371DE" w:rsidP="00FF5A82">
      <w:pPr>
        <w:jc w:val="both"/>
        <w:rPr>
          <w:rFonts w:ascii="Arial" w:eastAsia="Arial" w:hAnsi="Arial" w:cs="Arial"/>
        </w:rPr>
      </w:pPr>
    </w:p>
    <w:p w14:paraId="31A0E95F" w14:textId="3D20DF13" w:rsidR="00515531" w:rsidRDefault="00515531" w:rsidP="00515531">
      <w:pPr>
        <w:pStyle w:val="Descripcin"/>
        <w:tabs>
          <w:tab w:val="left" w:pos="1276"/>
        </w:tabs>
        <w:spacing w:after="0"/>
        <w:jc w:val="center"/>
        <w:rPr>
          <w:rFonts w:ascii="Arial" w:hAnsi="Arial" w:cs="Arial"/>
          <w:b/>
          <w:bCs/>
          <w:color w:val="auto"/>
        </w:rPr>
      </w:pPr>
      <w:bookmarkStart w:id="38" w:name="_Ref164889627"/>
      <w:r w:rsidRPr="00115F4D">
        <w:rPr>
          <w:rFonts w:ascii="Arial" w:hAnsi="Arial" w:cs="Arial"/>
          <w:b/>
          <w:bCs/>
          <w:color w:val="auto"/>
        </w:rPr>
        <w:lastRenderedPageBreak/>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7</w:t>
      </w:r>
      <w:r w:rsidRPr="00115F4D">
        <w:rPr>
          <w:rFonts w:ascii="Arial" w:hAnsi="Arial" w:cs="Arial"/>
          <w:b/>
          <w:bCs/>
          <w:color w:val="auto"/>
        </w:rPr>
        <w:fldChar w:fldCharType="end"/>
      </w:r>
      <w:bookmarkEnd w:id="38"/>
      <w:r w:rsidRPr="00115F4D">
        <w:rPr>
          <w:rFonts w:ascii="Arial" w:hAnsi="Arial" w:cs="Arial"/>
          <w:b/>
          <w:bCs/>
          <w:color w:val="auto"/>
        </w:rPr>
        <w:t xml:space="preserve"> </w:t>
      </w:r>
      <w:r>
        <w:rPr>
          <w:rFonts w:ascii="Arial" w:hAnsi="Arial" w:cs="Arial"/>
          <w:b/>
          <w:bCs/>
          <w:color w:val="auto"/>
        </w:rPr>
        <w:t>Ventajas y desventajas SFA y DEA</w:t>
      </w:r>
    </w:p>
    <w:p w14:paraId="0525B642" w14:textId="69D8AB6C" w:rsidR="00515531" w:rsidRPr="00E46ECE" w:rsidRDefault="00515531" w:rsidP="00515531">
      <w:pPr>
        <w:pStyle w:val="Descripcin"/>
        <w:tabs>
          <w:tab w:val="left" w:pos="1276"/>
        </w:tabs>
        <w:spacing w:after="0"/>
        <w:jc w:val="center"/>
        <w:rPr>
          <w:rFonts w:ascii="Arial" w:hAnsi="Arial" w:cs="Arial"/>
          <w:b/>
          <w:bCs/>
          <w:color w:val="auto"/>
        </w:rPr>
      </w:pPr>
      <w:r w:rsidRPr="00E46ECE">
        <w:rPr>
          <w:rFonts w:ascii="Arial" w:hAnsi="Arial" w:cs="Arial"/>
          <w:b/>
          <w:bCs/>
          <w:color w:val="auto"/>
        </w:rPr>
        <w:t xml:space="preserve">Fuente: </w:t>
      </w:r>
      <w:r>
        <w:rPr>
          <w:rFonts w:ascii="Arial" w:hAnsi="Arial" w:cs="Arial"/>
          <w:b/>
          <w:bCs/>
          <w:color w:val="auto"/>
        </w:rPr>
        <w:t>Circular 087 de 2021</w:t>
      </w:r>
      <w:r w:rsidRPr="00E46ECE">
        <w:rPr>
          <w:rFonts w:ascii="Arial" w:hAnsi="Arial" w:cs="Arial"/>
          <w:b/>
          <w:bCs/>
          <w:color w:val="auto"/>
        </w:rPr>
        <w:t>.</w:t>
      </w:r>
    </w:p>
    <w:tbl>
      <w:tblPr>
        <w:tblStyle w:val="Tablaconcuadrcula1clara-nfasis3"/>
        <w:tblW w:w="9014" w:type="dxa"/>
        <w:tblLayout w:type="fixed"/>
        <w:tblLook w:val="06A0" w:firstRow="1" w:lastRow="0" w:firstColumn="1" w:lastColumn="0" w:noHBand="1" w:noVBand="1"/>
      </w:tblPr>
      <w:tblGrid>
        <w:gridCol w:w="1826"/>
        <w:gridCol w:w="3636"/>
        <w:gridCol w:w="3552"/>
      </w:tblGrid>
      <w:tr w:rsidR="11B21423" w:rsidRPr="000C501A" w14:paraId="3970CD0A" w14:textId="77777777" w:rsidTr="00E46ECE">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826" w:type="dxa"/>
          </w:tcPr>
          <w:p w14:paraId="0A2266E6" w14:textId="753DE0EE" w:rsidR="11B21423" w:rsidRPr="000C501A" w:rsidRDefault="11B21423" w:rsidP="00E46ECE">
            <w:pPr>
              <w:spacing w:before="0" w:after="0"/>
              <w:rPr>
                <w:rFonts w:ascii="Arial" w:hAnsi="Arial" w:cs="Arial"/>
                <w:sz w:val="20"/>
                <w:szCs w:val="20"/>
              </w:rPr>
            </w:pPr>
          </w:p>
        </w:tc>
        <w:tc>
          <w:tcPr>
            <w:tcW w:w="3636" w:type="dxa"/>
          </w:tcPr>
          <w:p w14:paraId="21B7E849" w14:textId="4B847D82" w:rsidR="11B21423" w:rsidRPr="000C501A" w:rsidRDefault="11B21423" w:rsidP="00E46ECE">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Narrow" w:hAnsi="Arial" w:cs="Arial"/>
                <w:color w:val="000000" w:themeColor="text1"/>
                <w:sz w:val="20"/>
                <w:szCs w:val="20"/>
              </w:rPr>
              <w:t xml:space="preserve"> Ventajas </w:t>
            </w:r>
          </w:p>
        </w:tc>
        <w:tc>
          <w:tcPr>
            <w:tcW w:w="3552" w:type="dxa"/>
          </w:tcPr>
          <w:p w14:paraId="2E624B9A" w14:textId="4F5AF8F7" w:rsidR="11B21423" w:rsidRPr="000C501A" w:rsidRDefault="11B21423" w:rsidP="00E46ECE">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Narrow" w:hAnsi="Arial" w:cs="Arial"/>
                <w:color w:val="000000" w:themeColor="text1"/>
                <w:sz w:val="20"/>
                <w:szCs w:val="20"/>
              </w:rPr>
              <w:t xml:space="preserve"> Desventajas </w:t>
            </w:r>
          </w:p>
        </w:tc>
      </w:tr>
      <w:tr w:rsidR="004D3249" w:rsidRPr="000C501A" w14:paraId="58B878E1" w14:textId="77777777" w:rsidTr="00C371DE">
        <w:trPr>
          <w:trHeight w:val="1800"/>
        </w:trPr>
        <w:tc>
          <w:tcPr>
            <w:cnfStyle w:val="001000000000" w:firstRow="0" w:lastRow="0" w:firstColumn="1" w:lastColumn="0" w:oddVBand="0" w:evenVBand="0" w:oddHBand="0" w:evenHBand="0" w:firstRowFirstColumn="0" w:firstRowLastColumn="0" w:lastRowFirstColumn="0" w:lastRowLastColumn="0"/>
            <w:tcW w:w="1826" w:type="dxa"/>
            <w:vMerge w:val="restart"/>
            <w:vAlign w:val="center"/>
          </w:tcPr>
          <w:p w14:paraId="14EDF3EC" w14:textId="567D105A" w:rsidR="004D3249" w:rsidRPr="000C501A" w:rsidRDefault="004D3249" w:rsidP="00C371DE">
            <w:pPr>
              <w:spacing w:before="0" w:after="0"/>
              <w:rPr>
                <w:rFonts w:ascii="Arial" w:hAnsi="Arial" w:cs="Arial"/>
                <w:sz w:val="20"/>
                <w:szCs w:val="20"/>
              </w:rPr>
            </w:pPr>
            <w:r w:rsidRPr="000C501A">
              <w:rPr>
                <w:rFonts w:ascii="Arial" w:eastAsia="Aptos Narrow" w:hAnsi="Arial" w:cs="Arial"/>
                <w:color w:val="000000" w:themeColor="text1"/>
                <w:sz w:val="20"/>
                <w:szCs w:val="20"/>
              </w:rPr>
              <w:t>Análisis por frontera estocástica</w:t>
            </w:r>
          </w:p>
        </w:tc>
        <w:tc>
          <w:tcPr>
            <w:tcW w:w="3636" w:type="dxa"/>
            <w:vAlign w:val="center"/>
          </w:tcPr>
          <w:p w14:paraId="3D80FCBC" w14:textId="7B0AFDFA" w:rsidR="004D3249" w:rsidRPr="000C501A" w:rsidRDefault="004D3249" w:rsidP="00C371D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 Permite cálculos de eficiencia a partir de paneles de datos desbalanceados, varias de las comercializadoras no reportan información completa en la ventana de análisis.</w:t>
            </w:r>
          </w:p>
        </w:tc>
        <w:tc>
          <w:tcPr>
            <w:tcW w:w="3552" w:type="dxa"/>
            <w:vMerge w:val="restart"/>
            <w:vAlign w:val="center"/>
          </w:tcPr>
          <w:p w14:paraId="7097925F" w14:textId="3DDFFAD2" w:rsidR="004D3249" w:rsidRPr="000C501A" w:rsidRDefault="004D3249" w:rsidP="00C371D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 El cálculo de la eficiencia tiene un enfoque generalista que no permite un análisis de sensibilidad y el manejo del detalle para los comercializadores.</w:t>
            </w:r>
          </w:p>
        </w:tc>
      </w:tr>
      <w:tr w:rsidR="004D3249" w:rsidRPr="000C501A" w14:paraId="62A71B07" w14:textId="77777777" w:rsidTr="00C371DE">
        <w:trPr>
          <w:trHeight w:val="900"/>
        </w:trPr>
        <w:tc>
          <w:tcPr>
            <w:cnfStyle w:val="001000000000" w:firstRow="0" w:lastRow="0" w:firstColumn="1" w:lastColumn="0" w:oddVBand="0" w:evenVBand="0" w:oddHBand="0" w:evenHBand="0" w:firstRowFirstColumn="0" w:firstRowLastColumn="0" w:lastRowFirstColumn="0" w:lastRowLastColumn="0"/>
            <w:tcW w:w="1826" w:type="dxa"/>
            <w:vMerge/>
            <w:vAlign w:val="center"/>
          </w:tcPr>
          <w:p w14:paraId="7E5E4B47" w14:textId="77777777" w:rsidR="004D3249" w:rsidRPr="000C501A" w:rsidRDefault="004D3249" w:rsidP="00C371DE">
            <w:pPr>
              <w:rPr>
                <w:rFonts w:ascii="Arial" w:hAnsi="Arial" w:cs="Arial"/>
                <w:sz w:val="20"/>
                <w:szCs w:val="20"/>
              </w:rPr>
            </w:pPr>
          </w:p>
        </w:tc>
        <w:tc>
          <w:tcPr>
            <w:tcW w:w="3636" w:type="dxa"/>
            <w:vAlign w:val="center"/>
          </w:tcPr>
          <w:p w14:paraId="7044FBA8" w14:textId="422CDEF0" w:rsidR="004D3249" w:rsidRPr="000C501A" w:rsidRDefault="004D3249" w:rsidP="00C371D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 Los valores de ponderación en la función de producción son iguales para todas las comercializadoras facilitando el cálculo de los errores y las eficiencias a partir de la ecuación de la frontera.</w:t>
            </w:r>
          </w:p>
        </w:tc>
        <w:tc>
          <w:tcPr>
            <w:tcW w:w="3552" w:type="dxa"/>
            <w:vMerge/>
            <w:vAlign w:val="center"/>
          </w:tcPr>
          <w:p w14:paraId="26A8EB51" w14:textId="77777777" w:rsidR="004D3249" w:rsidRPr="000C501A" w:rsidRDefault="004D3249" w:rsidP="00C371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D3249" w:rsidRPr="000C501A" w14:paraId="124C6251" w14:textId="77777777" w:rsidTr="00C371DE">
        <w:trPr>
          <w:trHeight w:val="800"/>
        </w:trPr>
        <w:tc>
          <w:tcPr>
            <w:cnfStyle w:val="001000000000" w:firstRow="0" w:lastRow="0" w:firstColumn="1" w:lastColumn="0" w:oddVBand="0" w:evenVBand="0" w:oddHBand="0" w:evenHBand="0" w:firstRowFirstColumn="0" w:firstRowLastColumn="0" w:lastRowFirstColumn="0" w:lastRowLastColumn="0"/>
            <w:tcW w:w="1826" w:type="dxa"/>
            <w:vMerge w:val="restart"/>
            <w:vAlign w:val="center"/>
          </w:tcPr>
          <w:p w14:paraId="4D9264B1" w14:textId="41D9D65C" w:rsidR="004D3249" w:rsidRPr="000C501A" w:rsidRDefault="004D3249" w:rsidP="00C371DE">
            <w:pPr>
              <w:spacing w:before="0" w:after="0"/>
              <w:rPr>
                <w:rFonts w:ascii="Arial" w:hAnsi="Arial" w:cs="Arial"/>
                <w:sz w:val="20"/>
                <w:szCs w:val="20"/>
              </w:rPr>
            </w:pPr>
            <w:r w:rsidRPr="000C501A">
              <w:rPr>
                <w:rFonts w:ascii="Arial" w:eastAsia="Aptos" w:hAnsi="Arial" w:cs="Arial"/>
                <w:color w:val="000000" w:themeColor="text1"/>
                <w:sz w:val="20"/>
                <w:szCs w:val="20"/>
              </w:rPr>
              <w:t>Análisis envolvente de datos (modelo propuesto DEA-VRS-I-PCA)</w:t>
            </w:r>
          </w:p>
        </w:tc>
        <w:tc>
          <w:tcPr>
            <w:tcW w:w="3636" w:type="dxa"/>
            <w:vAlign w:val="center"/>
          </w:tcPr>
          <w:p w14:paraId="16AA2F51" w14:textId="3BB1C72A" w:rsidR="004D3249" w:rsidRPr="000C501A" w:rsidRDefault="004D3249" w:rsidP="00C371D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 Permite calcular puntaje de eficiencia lo suficientemente altos como para no depender de metodologías complementarias, por ejemplo, la construcción de un intervalo de confianza del cual se toma el límite superior cómo eficiencia final reconocida.</w:t>
            </w:r>
          </w:p>
        </w:tc>
        <w:tc>
          <w:tcPr>
            <w:tcW w:w="3552" w:type="dxa"/>
            <w:vAlign w:val="center"/>
          </w:tcPr>
          <w:p w14:paraId="43B9DC56" w14:textId="5182D2D3" w:rsidR="004D3249" w:rsidRPr="000C501A" w:rsidRDefault="004D3249" w:rsidP="00C371D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Es altamente sensible frente a información faltante, ya sea que no se tenga el dato o que este haya sido reportado con un valor de 0. En cualquier caso, para posibilitar el análisis por DEA se deben desarrollar estimaciones o sustituciones.</w:t>
            </w:r>
          </w:p>
        </w:tc>
      </w:tr>
      <w:tr w:rsidR="004D3249" w:rsidRPr="000C501A" w14:paraId="70E10600" w14:textId="77777777" w:rsidTr="00C371DE">
        <w:trPr>
          <w:trHeight w:val="900"/>
        </w:trPr>
        <w:tc>
          <w:tcPr>
            <w:cnfStyle w:val="001000000000" w:firstRow="0" w:lastRow="0" w:firstColumn="1" w:lastColumn="0" w:oddVBand="0" w:evenVBand="0" w:oddHBand="0" w:evenHBand="0" w:firstRowFirstColumn="0" w:firstRowLastColumn="0" w:lastRowFirstColumn="0" w:lastRowLastColumn="0"/>
            <w:tcW w:w="1826" w:type="dxa"/>
            <w:vMerge/>
            <w:vAlign w:val="center"/>
          </w:tcPr>
          <w:p w14:paraId="27AC7B30" w14:textId="77777777" w:rsidR="004D3249" w:rsidRPr="000C501A" w:rsidRDefault="004D3249" w:rsidP="00C371DE">
            <w:pPr>
              <w:rPr>
                <w:rFonts w:ascii="Arial" w:hAnsi="Arial" w:cs="Arial"/>
                <w:sz w:val="20"/>
                <w:szCs w:val="20"/>
              </w:rPr>
            </w:pPr>
          </w:p>
        </w:tc>
        <w:tc>
          <w:tcPr>
            <w:tcW w:w="3636" w:type="dxa"/>
            <w:vAlign w:val="center"/>
          </w:tcPr>
          <w:p w14:paraId="4E18F825" w14:textId="0AA963A3" w:rsidR="004D3249" w:rsidRPr="000C501A" w:rsidRDefault="004D3249" w:rsidP="00C371D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 xml:space="preserve"> · Permite identificar acciones de mejora que llevarían a las comercializadoras a la frontera eficiente, esto mediante comparaciones con sus pares.</w:t>
            </w:r>
          </w:p>
        </w:tc>
        <w:tc>
          <w:tcPr>
            <w:tcW w:w="3552" w:type="dxa"/>
            <w:vMerge w:val="restart"/>
            <w:vAlign w:val="center"/>
          </w:tcPr>
          <w:p w14:paraId="713059F7" w14:textId="7E6C0B2D" w:rsidR="004D3249" w:rsidRPr="000C501A" w:rsidRDefault="004D3249" w:rsidP="00C371DE">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 Para cada año se podría tener un conjunto de pesos diferentes con los cuales se está evaluando a la comercializadora, lo cual incrementa la complejidad al desarrollar los cálculos</w:t>
            </w:r>
          </w:p>
        </w:tc>
      </w:tr>
      <w:tr w:rsidR="004D3249" w:rsidRPr="000C501A" w14:paraId="081228D6" w14:textId="77777777" w:rsidTr="00E46ECE">
        <w:trPr>
          <w:trHeight w:val="900"/>
        </w:trPr>
        <w:tc>
          <w:tcPr>
            <w:cnfStyle w:val="001000000000" w:firstRow="0" w:lastRow="0" w:firstColumn="1" w:lastColumn="0" w:oddVBand="0" w:evenVBand="0" w:oddHBand="0" w:evenHBand="0" w:firstRowFirstColumn="0" w:firstRowLastColumn="0" w:lastRowFirstColumn="0" w:lastRowLastColumn="0"/>
            <w:tcW w:w="1826" w:type="dxa"/>
            <w:vMerge/>
          </w:tcPr>
          <w:p w14:paraId="6EB83A5C" w14:textId="77777777" w:rsidR="004D3249" w:rsidRPr="000C501A" w:rsidRDefault="004D3249" w:rsidP="00FF5A82">
            <w:pPr>
              <w:rPr>
                <w:rFonts w:ascii="Arial" w:hAnsi="Arial" w:cs="Arial"/>
                <w:sz w:val="20"/>
                <w:szCs w:val="20"/>
              </w:rPr>
            </w:pPr>
          </w:p>
        </w:tc>
        <w:tc>
          <w:tcPr>
            <w:tcW w:w="3636" w:type="dxa"/>
          </w:tcPr>
          <w:p w14:paraId="0BDDD17B" w14:textId="7265951E" w:rsidR="004D3249" w:rsidRPr="000C501A" w:rsidRDefault="004D3249" w:rsidP="00FF5A8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01A">
              <w:rPr>
                <w:rFonts w:ascii="Arial" w:eastAsia="Aptos" w:hAnsi="Arial" w:cs="Arial"/>
                <w:color w:val="000000" w:themeColor="text1"/>
                <w:sz w:val="20"/>
                <w:szCs w:val="20"/>
              </w:rPr>
              <w:t>· El enfoque DEA se aplica para cada año, con lo que se obtienen eficiencias específicas en los distintos periodos posibilitando análisis transversales por año y para cada</w:t>
            </w:r>
          </w:p>
        </w:tc>
        <w:tc>
          <w:tcPr>
            <w:tcW w:w="3552" w:type="dxa"/>
            <w:vMerge/>
          </w:tcPr>
          <w:p w14:paraId="4EA6CB40" w14:textId="77777777" w:rsidR="004D3249" w:rsidRPr="000C501A" w:rsidRDefault="004D3249" w:rsidP="00FF5A8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75D775E" w14:textId="3B3928E4" w:rsidR="288F5329" w:rsidRDefault="62CF067C" w:rsidP="00FF5A82">
      <w:pPr>
        <w:jc w:val="both"/>
        <w:rPr>
          <w:rFonts w:ascii="Arial" w:hAnsi="Arial" w:cs="Arial"/>
        </w:rPr>
      </w:pPr>
      <w:r w:rsidRPr="39B686A8">
        <w:rPr>
          <w:rFonts w:ascii="Arial" w:hAnsi="Arial" w:cs="Arial"/>
        </w:rPr>
        <w:t>Las</w:t>
      </w:r>
      <w:r w:rsidR="54034D5E" w:rsidRPr="743C3689">
        <w:rPr>
          <w:rFonts w:ascii="Arial" w:hAnsi="Arial" w:cs="Arial"/>
        </w:rPr>
        <w:t xml:space="preserve"> variables utilizadas </w:t>
      </w:r>
      <w:r w:rsidR="458787A0" w:rsidRPr="7E1476C4">
        <w:rPr>
          <w:rFonts w:ascii="Arial" w:hAnsi="Arial" w:cs="Arial"/>
        </w:rPr>
        <w:t>para los modelos de SFA</w:t>
      </w:r>
      <w:r w:rsidR="458787A0" w:rsidRPr="7B753C30">
        <w:rPr>
          <w:rFonts w:ascii="Arial" w:hAnsi="Arial" w:cs="Arial"/>
        </w:rPr>
        <w:t>,</w:t>
      </w:r>
      <w:r w:rsidR="54034D5E" w:rsidRPr="5D3D547F">
        <w:rPr>
          <w:rFonts w:ascii="Arial" w:hAnsi="Arial" w:cs="Arial"/>
        </w:rPr>
        <w:t xml:space="preserve"> </w:t>
      </w:r>
      <w:r w:rsidR="328025A4" w:rsidRPr="5683658F">
        <w:rPr>
          <w:rFonts w:ascii="Arial" w:hAnsi="Arial" w:cs="Arial"/>
        </w:rPr>
        <w:t>correspondientes al año 2021</w:t>
      </w:r>
      <w:r w:rsidR="328025A4" w:rsidRPr="20093270">
        <w:rPr>
          <w:rFonts w:ascii="Arial" w:hAnsi="Arial" w:cs="Arial"/>
        </w:rPr>
        <w:t>,</w:t>
      </w:r>
      <w:r w:rsidR="328025A4" w:rsidRPr="5683658F">
        <w:rPr>
          <w:rFonts w:ascii="Arial" w:hAnsi="Arial" w:cs="Arial"/>
        </w:rPr>
        <w:t xml:space="preserve"> </w:t>
      </w:r>
      <w:r w:rsidR="54034D5E" w:rsidRPr="743C3689">
        <w:rPr>
          <w:rFonts w:ascii="Arial" w:hAnsi="Arial" w:cs="Arial"/>
        </w:rPr>
        <w:t xml:space="preserve">para caracterizar el sector </w:t>
      </w:r>
      <w:r w:rsidRPr="39B686A8">
        <w:rPr>
          <w:rFonts w:ascii="Arial" w:hAnsi="Arial" w:cs="Arial"/>
        </w:rPr>
        <w:t>son</w:t>
      </w:r>
      <w:r w:rsidR="288F5329" w:rsidRPr="743C3689">
        <w:rPr>
          <w:rFonts w:ascii="Arial" w:hAnsi="Arial" w:cs="Arial"/>
        </w:rPr>
        <w:t>:</w:t>
      </w:r>
    </w:p>
    <w:p w14:paraId="2CF1809D" w14:textId="2CC2F723" w:rsidR="288F5329" w:rsidRDefault="288F5329" w:rsidP="00C00C77">
      <w:pPr>
        <w:pStyle w:val="Prrafodelista"/>
        <w:numPr>
          <w:ilvl w:val="0"/>
          <w:numId w:val="13"/>
        </w:numPr>
        <w:jc w:val="both"/>
        <w:rPr>
          <w:rFonts w:ascii="Arial" w:hAnsi="Arial" w:cs="Arial"/>
        </w:rPr>
      </w:pPr>
      <w:r w:rsidRPr="4899E4DD">
        <w:rPr>
          <w:rFonts w:ascii="Arial" w:hAnsi="Arial" w:cs="Arial"/>
        </w:rPr>
        <w:t>Costos totales</w:t>
      </w:r>
    </w:p>
    <w:p w14:paraId="1114FC94" w14:textId="2DD42025" w:rsidR="288F5329" w:rsidRDefault="288F5329" w:rsidP="00C00C77">
      <w:pPr>
        <w:pStyle w:val="Prrafodelista"/>
        <w:numPr>
          <w:ilvl w:val="0"/>
          <w:numId w:val="13"/>
        </w:numPr>
        <w:jc w:val="both"/>
        <w:rPr>
          <w:rFonts w:ascii="Arial" w:hAnsi="Arial" w:cs="Arial"/>
        </w:rPr>
      </w:pPr>
      <w:r w:rsidRPr="4899E4DD">
        <w:rPr>
          <w:rFonts w:ascii="Arial" w:hAnsi="Arial" w:cs="Arial"/>
        </w:rPr>
        <w:t xml:space="preserve">Gastos </w:t>
      </w:r>
      <w:r w:rsidR="475B37A9" w:rsidRPr="13D316E5">
        <w:rPr>
          <w:rFonts w:ascii="Arial" w:hAnsi="Arial" w:cs="Arial"/>
        </w:rPr>
        <w:t>totales</w:t>
      </w:r>
    </w:p>
    <w:p w14:paraId="3E15AA22" w14:textId="72B33648" w:rsidR="288F5329" w:rsidRDefault="532502B4" w:rsidP="00C00C77">
      <w:pPr>
        <w:pStyle w:val="Prrafodelista"/>
        <w:numPr>
          <w:ilvl w:val="0"/>
          <w:numId w:val="13"/>
        </w:numPr>
        <w:jc w:val="both"/>
        <w:rPr>
          <w:rFonts w:ascii="Arial" w:hAnsi="Arial" w:cs="Arial"/>
        </w:rPr>
      </w:pPr>
      <w:r w:rsidRPr="39B71E20">
        <w:rPr>
          <w:rFonts w:ascii="Arial" w:hAnsi="Arial" w:cs="Arial"/>
        </w:rPr>
        <w:t>L</w:t>
      </w:r>
      <w:r w:rsidR="288F5329" w:rsidRPr="39B71E20">
        <w:rPr>
          <w:rFonts w:ascii="Arial" w:hAnsi="Arial" w:cs="Arial"/>
        </w:rPr>
        <w:t>ongitud</w:t>
      </w:r>
      <w:r w:rsidR="288F5329" w:rsidRPr="4899E4DD">
        <w:rPr>
          <w:rFonts w:ascii="Arial" w:hAnsi="Arial" w:cs="Arial"/>
        </w:rPr>
        <w:t xml:space="preserve"> de red urbana</w:t>
      </w:r>
    </w:p>
    <w:p w14:paraId="2F1452FE" w14:textId="451511DD" w:rsidR="288F5329" w:rsidRDefault="49D18520" w:rsidP="00C00C77">
      <w:pPr>
        <w:pStyle w:val="Prrafodelista"/>
        <w:numPr>
          <w:ilvl w:val="0"/>
          <w:numId w:val="13"/>
        </w:numPr>
        <w:jc w:val="both"/>
        <w:rPr>
          <w:rFonts w:ascii="Arial" w:hAnsi="Arial" w:cs="Arial"/>
        </w:rPr>
      </w:pPr>
      <w:r w:rsidRPr="39B71E20">
        <w:rPr>
          <w:rFonts w:ascii="Arial" w:hAnsi="Arial" w:cs="Arial"/>
        </w:rPr>
        <w:t>L</w:t>
      </w:r>
      <w:r w:rsidR="288F5329" w:rsidRPr="39B71E20">
        <w:rPr>
          <w:rFonts w:ascii="Arial" w:hAnsi="Arial" w:cs="Arial"/>
        </w:rPr>
        <w:t>ongitud</w:t>
      </w:r>
      <w:r w:rsidR="288F5329" w:rsidRPr="4899E4DD">
        <w:rPr>
          <w:rFonts w:ascii="Arial" w:hAnsi="Arial" w:cs="Arial"/>
        </w:rPr>
        <w:t xml:space="preserve"> de red rural </w:t>
      </w:r>
    </w:p>
    <w:p w14:paraId="00B8959E" w14:textId="61D277A0" w:rsidR="288F5329" w:rsidRDefault="0A8E5610" w:rsidP="00C00C77">
      <w:pPr>
        <w:pStyle w:val="Prrafodelista"/>
        <w:numPr>
          <w:ilvl w:val="0"/>
          <w:numId w:val="13"/>
        </w:numPr>
        <w:jc w:val="both"/>
        <w:rPr>
          <w:rFonts w:ascii="Arial" w:hAnsi="Arial" w:cs="Arial"/>
        </w:rPr>
      </w:pPr>
      <w:r w:rsidRPr="39B71E20">
        <w:rPr>
          <w:rFonts w:ascii="Arial" w:hAnsi="Arial" w:cs="Arial"/>
        </w:rPr>
        <w:t>U</w:t>
      </w:r>
      <w:r w:rsidR="288F5329" w:rsidRPr="39B71E20">
        <w:rPr>
          <w:rFonts w:ascii="Arial" w:hAnsi="Arial" w:cs="Arial"/>
        </w:rPr>
        <w:t>suarios</w:t>
      </w:r>
      <w:r w:rsidR="288F5329" w:rsidRPr="4899E4DD">
        <w:rPr>
          <w:rFonts w:ascii="Arial" w:hAnsi="Arial" w:cs="Arial"/>
        </w:rPr>
        <w:t xml:space="preserve"> urbanos</w:t>
      </w:r>
    </w:p>
    <w:p w14:paraId="543EC703" w14:textId="1BC68A57" w:rsidR="288F5329" w:rsidRDefault="74F1DDD5" w:rsidP="00C00C77">
      <w:pPr>
        <w:pStyle w:val="Prrafodelista"/>
        <w:numPr>
          <w:ilvl w:val="0"/>
          <w:numId w:val="13"/>
        </w:numPr>
        <w:jc w:val="both"/>
        <w:rPr>
          <w:rFonts w:ascii="Arial" w:hAnsi="Arial" w:cs="Arial"/>
        </w:rPr>
      </w:pPr>
      <w:r w:rsidRPr="39B71E20">
        <w:rPr>
          <w:rFonts w:ascii="Arial" w:hAnsi="Arial" w:cs="Arial"/>
        </w:rPr>
        <w:t>U</w:t>
      </w:r>
      <w:r w:rsidR="288F5329" w:rsidRPr="39B71E20">
        <w:rPr>
          <w:rFonts w:ascii="Arial" w:hAnsi="Arial" w:cs="Arial"/>
        </w:rPr>
        <w:t>suarios</w:t>
      </w:r>
      <w:r w:rsidR="288F5329" w:rsidRPr="4899E4DD">
        <w:rPr>
          <w:rFonts w:ascii="Arial" w:hAnsi="Arial" w:cs="Arial"/>
        </w:rPr>
        <w:t xml:space="preserve"> rurales </w:t>
      </w:r>
    </w:p>
    <w:p w14:paraId="6ABEDCBF" w14:textId="7D5E13F1" w:rsidR="288F5329" w:rsidRDefault="554E1A36" w:rsidP="00C00C77">
      <w:pPr>
        <w:pStyle w:val="Prrafodelista"/>
        <w:numPr>
          <w:ilvl w:val="0"/>
          <w:numId w:val="13"/>
        </w:numPr>
        <w:jc w:val="both"/>
        <w:rPr>
          <w:rFonts w:ascii="Arial" w:hAnsi="Arial" w:cs="Arial"/>
        </w:rPr>
      </w:pPr>
      <w:r w:rsidRPr="39B71E20">
        <w:rPr>
          <w:rFonts w:ascii="Arial" w:hAnsi="Arial" w:cs="Arial"/>
        </w:rPr>
        <w:t>U</w:t>
      </w:r>
      <w:r w:rsidR="288F5329" w:rsidRPr="39B71E20">
        <w:rPr>
          <w:rFonts w:ascii="Arial" w:hAnsi="Arial" w:cs="Arial"/>
        </w:rPr>
        <w:t>suarios</w:t>
      </w:r>
      <w:r w:rsidR="288F5329" w:rsidRPr="4899E4DD">
        <w:rPr>
          <w:rFonts w:ascii="Arial" w:hAnsi="Arial" w:cs="Arial"/>
        </w:rPr>
        <w:t xml:space="preserve"> totales</w:t>
      </w:r>
    </w:p>
    <w:p w14:paraId="66870928" w14:textId="4E34EABB" w:rsidR="288F5329" w:rsidRDefault="0B386418" w:rsidP="00C00C77">
      <w:pPr>
        <w:pStyle w:val="Prrafodelista"/>
        <w:numPr>
          <w:ilvl w:val="0"/>
          <w:numId w:val="13"/>
        </w:numPr>
        <w:jc w:val="both"/>
        <w:rPr>
          <w:rFonts w:ascii="Arial" w:hAnsi="Arial" w:cs="Arial"/>
        </w:rPr>
      </w:pPr>
      <w:r w:rsidRPr="39B71E20">
        <w:rPr>
          <w:rFonts w:ascii="Arial" w:hAnsi="Arial" w:cs="Arial"/>
        </w:rPr>
        <w:t>F</w:t>
      </w:r>
      <w:r w:rsidR="288F5329" w:rsidRPr="39B71E20">
        <w:rPr>
          <w:rFonts w:ascii="Arial" w:hAnsi="Arial" w:cs="Arial"/>
        </w:rPr>
        <w:t>acturación</w:t>
      </w:r>
      <w:r w:rsidR="288F5329" w:rsidRPr="4899E4DD">
        <w:rPr>
          <w:rFonts w:ascii="Arial" w:hAnsi="Arial" w:cs="Arial"/>
        </w:rPr>
        <w:t xml:space="preserve"> total</w:t>
      </w:r>
    </w:p>
    <w:p w14:paraId="3FA09D5C" w14:textId="13480E55" w:rsidR="288F5329" w:rsidRDefault="288F5329" w:rsidP="00C00C77">
      <w:pPr>
        <w:pStyle w:val="Prrafodelista"/>
        <w:numPr>
          <w:ilvl w:val="0"/>
          <w:numId w:val="13"/>
        </w:numPr>
        <w:jc w:val="both"/>
        <w:rPr>
          <w:rFonts w:ascii="Arial" w:hAnsi="Arial" w:cs="Arial"/>
        </w:rPr>
      </w:pPr>
      <w:r w:rsidRPr="4899E4DD">
        <w:rPr>
          <w:rFonts w:ascii="Arial" w:hAnsi="Arial" w:cs="Arial"/>
        </w:rPr>
        <w:t>Consumo total (kWh</w:t>
      </w:r>
      <w:r w:rsidR="49508145" w:rsidRPr="244D2CA5">
        <w:rPr>
          <w:rFonts w:ascii="Arial" w:hAnsi="Arial" w:cs="Arial"/>
        </w:rPr>
        <w:t>)</w:t>
      </w:r>
    </w:p>
    <w:p w14:paraId="5C09184A" w14:textId="2C629A17" w:rsidR="6A55AA6F" w:rsidRDefault="214DC33A" w:rsidP="00FF5A82">
      <w:pPr>
        <w:jc w:val="both"/>
        <w:rPr>
          <w:rFonts w:ascii="Arial" w:hAnsi="Arial" w:cs="Arial"/>
        </w:rPr>
      </w:pPr>
      <w:r w:rsidRPr="3306432A">
        <w:rPr>
          <w:rFonts w:ascii="Arial" w:hAnsi="Arial" w:cs="Arial"/>
        </w:rPr>
        <w:t xml:space="preserve">Estas </w:t>
      </w:r>
      <w:r w:rsidR="7E932054" w:rsidRPr="3306432A">
        <w:rPr>
          <w:rFonts w:ascii="Arial" w:hAnsi="Arial" w:cs="Arial"/>
        </w:rPr>
        <w:t>variables</w:t>
      </w:r>
      <w:r w:rsidR="46068CC4" w:rsidRPr="3306432A">
        <w:rPr>
          <w:rFonts w:ascii="Arial" w:hAnsi="Arial" w:cs="Arial"/>
        </w:rPr>
        <w:t xml:space="preserve"> </w:t>
      </w:r>
      <w:r w:rsidR="6EDD212C" w:rsidRPr="66123A42">
        <w:rPr>
          <w:rFonts w:ascii="Arial" w:hAnsi="Arial" w:cs="Arial"/>
        </w:rPr>
        <w:t xml:space="preserve">para </w:t>
      </w:r>
      <w:r w:rsidR="6EDD212C" w:rsidRPr="2193CC73">
        <w:rPr>
          <w:rFonts w:ascii="Arial" w:hAnsi="Arial" w:cs="Arial"/>
        </w:rPr>
        <w:t>el</w:t>
      </w:r>
      <w:r w:rsidR="6EDD212C" w:rsidRPr="66123A42">
        <w:rPr>
          <w:rFonts w:ascii="Arial" w:hAnsi="Arial" w:cs="Arial"/>
        </w:rPr>
        <w:t xml:space="preserve"> </w:t>
      </w:r>
      <w:r w:rsidR="6EDD212C" w:rsidRPr="7DC149AA">
        <w:rPr>
          <w:rFonts w:ascii="Arial" w:hAnsi="Arial" w:cs="Arial"/>
        </w:rPr>
        <w:t>modelo</w:t>
      </w:r>
      <w:r w:rsidR="6EDD212C" w:rsidRPr="66123A42">
        <w:rPr>
          <w:rFonts w:ascii="Arial" w:hAnsi="Arial" w:cs="Arial"/>
        </w:rPr>
        <w:t xml:space="preserve"> de SFA</w:t>
      </w:r>
      <w:r w:rsidR="46068CC4" w:rsidRPr="66123A42">
        <w:rPr>
          <w:rFonts w:ascii="Arial" w:hAnsi="Arial" w:cs="Arial"/>
        </w:rPr>
        <w:t xml:space="preserve"> </w:t>
      </w:r>
      <w:r w:rsidR="46068CC4" w:rsidRPr="3306432A">
        <w:rPr>
          <w:rFonts w:ascii="Arial" w:hAnsi="Arial" w:cs="Arial"/>
        </w:rPr>
        <w:t>se actualizarán</w:t>
      </w:r>
      <w:r w:rsidR="00C371DE">
        <w:rPr>
          <w:rFonts w:ascii="Arial" w:hAnsi="Arial" w:cs="Arial"/>
        </w:rPr>
        <w:t xml:space="preserve"> para determinar el factor </w:t>
      </w:r>
      <w:r w:rsidR="00C314A5">
        <w:rPr>
          <w:rFonts w:ascii="Arial" w:hAnsi="Arial" w:cs="Arial"/>
        </w:rPr>
        <w:t xml:space="preserve">de eficiencia </w:t>
      </w:r>
      <w:r w:rsidR="00D141F8">
        <w:rPr>
          <w:rFonts w:ascii="Arial" w:hAnsi="Arial" w:cs="Arial"/>
        </w:rPr>
        <w:t xml:space="preserve">a aplicar en la metodología. </w:t>
      </w:r>
    </w:p>
    <w:p w14:paraId="78B140A0" w14:textId="1524BA82" w:rsidR="009C5F4A" w:rsidRPr="00115F4D" w:rsidRDefault="009C5F4A" w:rsidP="00FF5A82">
      <w:pPr>
        <w:jc w:val="both"/>
        <w:rPr>
          <w:rFonts w:ascii="Arial" w:hAnsi="Arial" w:cs="Arial"/>
        </w:rPr>
      </w:pPr>
      <w:r w:rsidRPr="00115F4D">
        <w:rPr>
          <w:rFonts w:ascii="Arial" w:hAnsi="Arial" w:cs="Arial"/>
        </w:rPr>
        <w:t>De acuerdo con los análisis realizados por la uni</w:t>
      </w:r>
      <w:r w:rsidR="00780225" w:rsidRPr="00115F4D">
        <w:rPr>
          <w:rFonts w:ascii="Arial" w:hAnsi="Arial" w:cs="Arial"/>
        </w:rPr>
        <w:t xml:space="preserve">versidad, </w:t>
      </w:r>
      <w:r w:rsidR="002A1590" w:rsidRPr="00115F4D">
        <w:rPr>
          <w:rFonts w:ascii="Arial" w:hAnsi="Arial" w:cs="Arial"/>
        </w:rPr>
        <w:t>d</w:t>
      </w:r>
      <w:r w:rsidRPr="00115F4D">
        <w:rPr>
          <w:rFonts w:ascii="Arial" w:hAnsi="Arial" w:cs="Arial"/>
        </w:rPr>
        <w:t>e los dos modelos de frontera estocástica, se recomienda el modelo de frontera estocástica con variable dependiente de los costos y gastos y cuyas variables explicativas corresponden a los usuarios y consumo totales (como proxy del tamaño físico), la facturación total (como proxy del tamaño económico) y los kilómetros de red por usuario rural y urbano (como proxy de la densidad del mercado).</w:t>
      </w:r>
      <w:r w:rsidR="00A6765A" w:rsidRPr="00115F4D">
        <w:rPr>
          <w:rFonts w:ascii="Arial" w:hAnsi="Arial" w:cs="Arial"/>
        </w:rPr>
        <w:t xml:space="preserve"> </w:t>
      </w:r>
    </w:p>
    <w:p w14:paraId="6771F928" w14:textId="7A8CC121" w:rsidR="27BD78D6" w:rsidRDefault="27BD78D6" w:rsidP="00FF5A82">
      <w:pPr>
        <w:jc w:val="both"/>
        <w:rPr>
          <w:rFonts w:ascii="Arial" w:hAnsi="Arial" w:cs="Arial"/>
        </w:rPr>
      </w:pPr>
      <w:r w:rsidRPr="1EF74555">
        <w:rPr>
          <w:rFonts w:ascii="Arial" w:hAnsi="Arial" w:cs="Arial"/>
        </w:rPr>
        <w:lastRenderedPageBreak/>
        <w:t>Este enfoque es diferente al modelo de frontera estocástica planteado en 2014</w:t>
      </w:r>
      <w:r w:rsidR="544428CC" w:rsidRPr="445E109A">
        <w:rPr>
          <w:rFonts w:ascii="Arial" w:hAnsi="Arial" w:cs="Arial"/>
        </w:rPr>
        <w:t>,</w:t>
      </w:r>
      <w:r w:rsidRPr="1EF74555">
        <w:rPr>
          <w:rFonts w:ascii="Arial" w:hAnsi="Arial" w:cs="Arial"/>
        </w:rPr>
        <w:t xml:space="preserve"> en el </w:t>
      </w:r>
      <w:r w:rsidR="544428CC" w:rsidRPr="445E109A">
        <w:rPr>
          <w:rFonts w:ascii="Arial" w:hAnsi="Arial" w:cs="Arial"/>
        </w:rPr>
        <w:t>que</w:t>
      </w:r>
      <w:r w:rsidRPr="1EF74555">
        <w:rPr>
          <w:rFonts w:ascii="Arial" w:hAnsi="Arial" w:cs="Arial"/>
        </w:rPr>
        <w:t xml:space="preserve"> se </w:t>
      </w:r>
      <w:r w:rsidR="544428CC" w:rsidRPr="445E109A">
        <w:rPr>
          <w:rFonts w:ascii="Arial" w:hAnsi="Arial" w:cs="Arial"/>
        </w:rPr>
        <w:t>emplean</w:t>
      </w:r>
      <w:r w:rsidRPr="1EF74555">
        <w:rPr>
          <w:rFonts w:ascii="Arial" w:hAnsi="Arial" w:cs="Arial"/>
        </w:rPr>
        <w:t xml:space="preserve"> los costos como variable dependiente y los gastos como explicativa; </w:t>
      </w:r>
      <w:r w:rsidR="544428CC" w:rsidRPr="445E109A">
        <w:rPr>
          <w:rFonts w:ascii="Arial" w:hAnsi="Arial" w:cs="Arial"/>
        </w:rPr>
        <w:t>pero</w:t>
      </w:r>
      <w:r w:rsidRPr="1EF74555">
        <w:rPr>
          <w:rFonts w:ascii="Arial" w:hAnsi="Arial" w:cs="Arial"/>
        </w:rPr>
        <w:t xml:space="preserve"> por la alta correlación existente entre ambas variables es más apropiado reunir ambos rubros </w:t>
      </w:r>
      <w:r w:rsidR="544428CC" w:rsidRPr="445E109A">
        <w:rPr>
          <w:rFonts w:ascii="Arial" w:hAnsi="Arial" w:cs="Arial"/>
        </w:rPr>
        <w:t>en</w:t>
      </w:r>
      <w:r w:rsidRPr="1EF74555">
        <w:rPr>
          <w:rFonts w:ascii="Arial" w:hAnsi="Arial" w:cs="Arial"/>
        </w:rPr>
        <w:t xml:space="preserve"> un solo valor y emplearlo como dependiente en el modelo</w:t>
      </w:r>
      <w:r w:rsidR="544428CC" w:rsidRPr="445E109A">
        <w:rPr>
          <w:rFonts w:ascii="Arial" w:hAnsi="Arial" w:cs="Arial"/>
        </w:rPr>
        <w:t>.</w:t>
      </w:r>
    </w:p>
    <w:p w14:paraId="7F154319" w14:textId="2626647B" w:rsidR="00B93019" w:rsidRPr="00C636F1" w:rsidRDefault="00BE503F" w:rsidP="00FF5A82">
      <w:pPr>
        <w:jc w:val="both"/>
        <w:rPr>
          <w:rFonts w:ascii="Arial" w:hAnsi="Arial" w:cs="Arial"/>
        </w:rPr>
      </w:pPr>
      <w:r w:rsidRPr="00115F4D">
        <w:rPr>
          <w:rFonts w:ascii="Arial" w:hAnsi="Arial" w:cs="Arial"/>
        </w:rPr>
        <w:t>Así las cosas, l</w:t>
      </w:r>
      <w:r w:rsidR="00196F15" w:rsidRPr="00115F4D">
        <w:rPr>
          <w:rFonts w:ascii="Arial" w:hAnsi="Arial" w:cs="Arial"/>
        </w:rPr>
        <w:t xml:space="preserve">a propuesta para la aplicación del modelo de eficiencia </w:t>
      </w:r>
      <w:r w:rsidR="00C03A7B">
        <w:rPr>
          <w:rFonts w:ascii="Arial" w:hAnsi="Arial" w:cs="Arial"/>
        </w:rPr>
        <w:t xml:space="preserve">para la variable </w:t>
      </w:r>
      <w:r w:rsidR="00A17858" w:rsidRPr="00F32949">
        <w:rPr>
          <w:rStyle w:val="ui-provider"/>
          <w:i/>
          <w:iCs/>
        </w:rPr>
        <w:t>η</w:t>
      </w:r>
      <w:proofErr w:type="gramStart"/>
      <w:r w:rsidR="00A17858" w:rsidRPr="00F32949">
        <w:rPr>
          <w:rFonts w:ascii="Arial" w:hAnsi="Arial" w:cs="Arial"/>
          <w:i/>
          <w:iCs/>
          <w:vertAlign w:val="subscript"/>
        </w:rPr>
        <w:t>j,</w:t>
      </w:r>
      <w:r w:rsidR="00A17858" w:rsidRPr="00CD5C6F">
        <w:rPr>
          <w:rFonts w:ascii="Arial" w:hAnsi="Arial" w:cs="Arial"/>
          <w:i/>
          <w:vertAlign w:val="subscript"/>
        </w:rPr>
        <w:t>t</w:t>
      </w:r>
      <w:proofErr w:type="gramEnd"/>
      <w:r w:rsidR="00A17858" w:rsidRPr="00CD5C6F">
        <w:rPr>
          <w:rFonts w:ascii="Arial" w:hAnsi="Arial" w:cs="Arial"/>
        </w:rPr>
        <w:t xml:space="preserve"> </w:t>
      </w:r>
      <w:r w:rsidR="009241AC" w:rsidRPr="009241AC">
        <w:rPr>
          <w:rFonts w:ascii="Arial" w:hAnsi="Arial" w:cs="Arial"/>
        </w:rPr>
        <w:t xml:space="preserve">  es el siguiente:</w:t>
      </w:r>
    </w:p>
    <w:p w14:paraId="187F52EE" w14:textId="77777777" w:rsidR="00E4121E" w:rsidRPr="00115F4D" w:rsidRDefault="00E42F3C" w:rsidP="00FF5A82">
      <w:pPr>
        <w:spacing w:line="360" w:lineRule="auto"/>
        <w:jc w:val="center"/>
        <w:rPr>
          <w:i/>
        </w:rPr>
      </w:pPr>
      <m:oMathPara>
        <m:oMathParaPr>
          <m:jc m:val="left"/>
        </m:oMathParaPr>
        <m:oMath>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it</m:t>
                      </m:r>
                    </m:sub>
                  </m:sSub>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Ut</m:t>
                      </m:r>
                    </m:e>
                    <m:sub>
                      <m:r>
                        <w:rPr>
                          <w:rFonts w:ascii="Cambria Math" w:hAnsi="Cambria Math"/>
                        </w:rPr>
                        <m:t>it</m:t>
                      </m:r>
                    </m:sub>
                  </m:sSub>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m:t>
              </m:r>
            </m:sub>
          </m:sSub>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Co</m:t>
                      </m:r>
                    </m:e>
                    <m:sub>
                      <m:r>
                        <w:rPr>
                          <w:rFonts w:ascii="Cambria Math" w:hAnsi="Cambria Math"/>
                        </w:rPr>
                        <m:t>it</m:t>
                      </m:r>
                    </m:sub>
                  </m:sSub>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Fa</m:t>
                      </m:r>
                    </m:e>
                    <m:sub>
                      <m:r>
                        <w:rPr>
                          <w:rFonts w:ascii="Cambria Math" w:hAnsi="Cambria Math"/>
                        </w:rPr>
                        <m:t>it</m:t>
                      </m:r>
                    </m:sub>
                  </m:sSub>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4</m:t>
              </m:r>
            </m:sub>
          </m:sSub>
          <m:func>
            <m:funcPr>
              <m:ctrlPr>
                <w:rPr>
                  <w:rFonts w:ascii="Cambria Math" w:hAnsi="Cambria Math"/>
                  <w:i/>
                </w:rPr>
              </m:ctrlPr>
            </m:funcPr>
            <m:fName>
              <m: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Ur</m:t>
                          </m:r>
                        </m:e>
                        <m:sub>
                          <m:r>
                            <w:rPr>
                              <w:rFonts w:ascii="Cambria Math" w:hAnsi="Cambria Math"/>
                            </w:rPr>
                            <m:t>it</m:t>
                          </m:r>
                        </m:sub>
                      </m:sSub>
                    </m:num>
                    <m:den>
                      <m:sSub>
                        <m:sSubPr>
                          <m:ctrlPr>
                            <w:rPr>
                              <w:rFonts w:ascii="Cambria Math" w:hAnsi="Cambria Math"/>
                              <w:i/>
                            </w:rPr>
                          </m:ctrlPr>
                        </m:sSubPr>
                        <m:e>
                          <m:r>
                            <w:rPr>
                              <w:rFonts w:ascii="Cambria Math" w:hAnsi="Cambria Math"/>
                            </w:rPr>
                            <m:t>lr</m:t>
                          </m:r>
                        </m:e>
                        <m:sub>
                          <m:r>
                            <w:rPr>
                              <w:rFonts w:ascii="Cambria Math" w:hAnsi="Cambria Math"/>
                            </w:rPr>
                            <m:t>it</m:t>
                          </m:r>
                        </m:sub>
                      </m:sSub>
                    </m:den>
                  </m:f>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Uu</m:t>
                      </m:r>
                    </m:e>
                    <m:sub>
                      <m:r>
                        <w:rPr>
                          <w:rFonts w:ascii="Cambria Math" w:hAnsi="Cambria Math"/>
                        </w:rPr>
                        <m:t>it</m:t>
                      </m:r>
                    </m:sub>
                  </m:sSub>
                </m:num>
                <m:den>
                  <m:sSub>
                    <m:sSubPr>
                      <m:ctrlPr>
                        <w:rPr>
                          <w:rFonts w:ascii="Cambria Math" w:hAnsi="Cambria Math"/>
                          <w:i/>
                        </w:rPr>
                      </m:ctrlPr>
                    </m:sSubPr>
                    <m:e>
                      <m:r>
                        <w:rPr>
                          <w:rFonts w:ascii="Cambria Math" w:hAnsi="Cambria Math"/>
                        </w:rPr>
                        <m:t>lu</m:t>
                      </m:r>
                    </m:e>
                    <m:sub>
                      <m:r>
                        <w:rPr>
                          <w:rFonts w:ascii="Cambria Math" w:hAnsi="Cambria Math"/>
                        </w:rPr>
                        <m:t>it</m:t>
                      </m:r>
                    </m:sub>
                  </m:sSub>
                </m:den>
              </m:f>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oMath>
      </m:oMathPara>
    </w:p>
    <w:p w14:paraId="12E3F5EE" w14:textId="77777777" w:rsidR="00E4121E" w:rsidRPr="00115F4D" w:rsidRDefault="00E4121E" w:rsidP="00FF5A82">
      <w:pPr>
        <w:rPr>
          <w:rFonts w:ascii="Arial" w:hAnsi="Arial" w:cs="Arial"/>
        </w:rPr>
      </w:pPr>
      <w:r w:rsidRPr="00115F4D">
        <w:rPr>
          <w:rFonts w:ascii="Arial" w:hAnsi="Arial" w:cs="Arial"/>
        </w:rPr>
        <w:t xml:space="preserve">Donde: </w:t>
      </w:r>
    </w:p>
    <w:p w14:paraId="5288714C" w14:textId="570402A0" w:rsidR="1204CD34" w:rsidRDefault="1204CD34" w:rsidP="00FF5A82">
      <w:pPr>
        <w:ind w:left="1418" w:right="45" w:hanging="567"/>
        <w:rPr>
          <w:rFonts w:ascii="Arial" w:hAnsi="Arial" w:cs="Arial"/>
        </w:rPr>
      </w:pPr>
      <w:r w:rsidRPr="6C170F39">
        <w:rPr>
          <w:rFonts w:ascii="Arial" w:hAnsi="Arial" w:cs="Arial"/>
          <w:i/>
          <w:iCs/>
        </w:rPr>
        <w:t>C</w:t>
      </w:r>
      <w:r w:rsidRPr="6C170F39">
        <w:rPr>
          <w:rFonts w:ascii="Arial" w:hAnsi="Arial" w:cs="Arial"/>
          <w:i/>
          <w:iCs/>
          <w:vertAlign w:val="subscript"/>
        </w:rPr>
        <w:t>it</w:t>
      </w:r>
      <w:r w:rsidRPr="6C170F39">
        <w:rPr>
          <w:rFonts w:ascii="Arial" w:hAnsi="Arial" w:cs="Arial"/>
        </w:rPr>
        <w:t>:</w:t>
      </w:r>
      <w:r>
        <w:tab/>
      </w:r>
      <w:r w:rsidRPr="0CC9EAAD">
        <w:rPr>
          <w:rFonts w:ascii="Arial" w:hAnsi="Arial" w:cs="Arial"/>
        </w:rPr>
        <w:t>Costos</w:t>
      </w:r>
      <w:r w:rsidRPr="0692EE30">
        <w:rPr>
          <w:rFonts w:ascii="Arial" w:hAnsi="Arial" w:cs="Arial"/>
        </w:rPr>
        <w:t xml:space="preserve"> totales en el mercado de comercialización </w:t>
      </w:r>
      <w:r w:rsidRPr="0692EE30">
        <w:rPr>
          <w:rFonts w:ascii="Arial" w:hAnsi="Arial" w:cs="Arial"/>
          <w:i/>
          <w:iCs/>
        </w:rPr>
        <w:t>j, en el año t</w:t>
      </w:r>
      <w:r w:rsidRPr="0692EE30">
        <w:rPr>
          <w:rFonts w:ascii="Arial" w:hAnsi="Arial" w:cs="Arial"/>
        </w:rPr>
        <w:t>.</w:t>
      </w:r>
    </w:p>
    <w:p w14:paraId="1DDCDB38" w14:textId="3939FD83" w:rsidR="1204CD34" w:rsidRDefault="1204CD34" w:rsidP="00FF5A82">
      <w:pPr>
        <w:ind w:left="1418" w:right="45" w:hanging="567"/>
        <w:rPr>
          <w:rFonts w:ascii="Arial" w:hAnsi="Arial" w:cs="Arial"/>
        </w:rPr>
      </w:pPr>
      <w:r w:rsidRPr="0CC9EAAD">
        <w:rPr>
          <w:rFonts w:ascii="Arial" w:hAnsi="Arial" w:cs="Arial"/>
          <w:i/>
          <w:iCs/>
        </w:rPr>
        <w:t>G</w:t>
      </w:r>
      <w:r w:rsidRPr="0CC9EAAD">
        <w:rPr>
          <w:rFonts w:ascii="Arial" w:hAnsi="Arial" w:cs="Arial"/>
          <w:i/>
          <w:iCs/>
          <w:vertAlign w:val="subscript"/>
        </w:rPr>
        <w:t>it</w:t>
      </w:r>
      <w:r w:rsidRPr="0692EE30">
        <w:rPr>
          <w:rFonts w:ascii="Arial" w:hAnsi="Arial" w:cs="Arial"/>
        </w:rPr>
        <w:t>:</w:t>
      </w:r>
      <w:r>
        <w:tab/>
      </w:r>
      <w:r w:rsidRPr="3A08A432">
        <w:rPr>
          <w:rFonts w:ascii="Arial" w:hAnsi="Arial" w:cs="Arial"/>
        </w:rPr>
        <w:t>Gastos</w:t>
      </w:r>
      <w:r w:rsidRPr="0692EE30">
        <w:rPr>
          <w:rFonts w:ascii="Arial" w:hAnsi="Arial" w:cs="Arial"/>
        </w:rPr>
        <w:t xml:space="preserve"> totales en el mercado de comercialización </w:t>
      </w:r>
      <w:r w:rsidRPr="0692EE30">
        <w:rPr>
          <w:rFonts w:ascii="Arial" w:hAnsi="Arial" w:cs="Arial"/>
          <w:i/>
          <w:iCs/>
        </w:rPr>
        <w:t>j, en el año t</w:t>
      </w:r>
      <w:r w:rsidRPr="0692EE30">
        <w:rPr>
          <w:rFonts w:ascii="Arial" w:hAnsi="Arial" w:cs="Arial"/>
        </w:rPr>
        <w:t>.</w:t>
      </w:r>
    </w:p>
    <w:p w14:paraId="4E5E7A0F" w14:textId="484526FE" w:rsidR="00E4121E" w:rsidRPr="00115F4D" w:rsidRDefault="00E4121E" w:rsidP="00FF5A82">
      <w:pPr>
        <w:ind w:left="1418" w:right="45" w:hanging="567"/>
        <w:rPr>
          <w:rFonts w:ascii="Arial" w:hAnsi="Arial" w:cs="Arial"/>
        </w:rPr>
      </w:pPr>
      <w:r w:rsidRPr="534D5A5E">
        <w:rPr>
          <w:rFonts w:ascii="Arial" w:hAnsi="Arial" w:cs="Arial"/>
          <w:i/>
          <w:iCs/>
        </w:rPr>
        <w:t>Ut</w:t>
      </w:r>
      <w:r w:rsidRPr="534D5A5E">
        <w:rPr>
          <w:rFonts w:ascii="Arial" w:hAnsi="Arial" w:cs="Arial"/>
          <w:i/>
          <w:iCs/>
          <w:vertAlign w:val="subscript"/>
        </w:rPr>
        <w:t>i</w:t>
      </w:r>
      <w:r w:rsidR="3849E970" w:rsidRPr="534D5A5E">
        <w:rPr>
          <w:rFonts w:ascii="Arial" w:hAnsi="Arial" w:cs="Arial"/>
          <w:i/>
          <w:iCs/>
          <w:vertAlign w:val="subscript"/>
        </w:rPr>
        <w:t>t</w:t>
      </w:r>
      <w:r w:rsidRPr="00115F4D">
        <w:rPr>
          <w:rFonts w:ascii="Arial" w:hAnsi="Arial" w:cs="Arial"/>
        </w:rPr>
        <w:t>:</w:t>
      </w:r>
      <w:r>
        <w:tab/>
      </w:r>
      <w:r w:rsidRPr="00115F4D">
        <w:rPr>
          <w:rFonts w:ascii="Arial" w:hAnsi="Arial" w:cs="Arial"/>
        </w:rPr>
        <w:t xml:space="preserve">Usuarios totales en el mercado de comercialización </w:t>
      </w:r>
      <w:r w:rsidRPr="00115F4D">
        <w:rPr>
          <w:rFonts w:ascii="Arial" w:hAnsi="Arial" w:cs="Arial"/>
          <w:i/>
        </w:rPr>
        <w:t>j</w:t>
      </w:r>
      <w:r w:rsidR="34EBA420" w:rsidRPr="07F4723B">
        <w:rPr>
          <w:rFonts w:ascii="Arial" w:hAnsi="Arial" w:cs="Arial"/>
          <w:i/>
          <w:iCs/>
        </w:rPr>
        <w:t>, en el año t</w:t>
      </w:r>
      <w:r w:rsidRPr="00115F4D">
        <w:rPr>
          <w:rFonts w:ascii="Arial" w:hAnsi="Arial" w:cs="Arial"/>
        </w:rPr>
        <w:t xml:space="preserve">. </w:t>
      </w:r>
    </w:p>
    <w:p w14:paraId="18B071ED" w14:textId="69D5B96D" w:rsidR="00E4121E" w:rsidRPr="00115F4D" w:rsidRDefault="00E4121E" w:rsidP="00FF5A82">
      <w:pPr>
        <w:ind w:left="1418" w:right="45" w:hanging="567"/>
        <w:rPr>
          <w:rFonts w:ascii="Arial" w:hAnsi="Arial" w:cs="Arial"/>
        </w:rPr>
      </w:pPr>
      <w:r w:rsidRPr="07F4723B">
        <w:rPr>
          <w:rFonts w:ascii="Arial" w:hAnsi="Arial" w:cs="Arial"/>
          <w:i/>
          <w:iCs/>
        </w:rPr>
        <w:t>Co</w:t>
      </w:r>
      <w:r w:rsidRPr="07F4723B">
        <w:rPr>
          <w:rFonts w:ascii="Arial" w:hAnsi="Arial" w:cs="Arial"/>
          <w:i/>
          <w:iCs/>
          <w:vertAlign w:val="subscript"/>
        </w:rPr>
        <w:t>i</w:t>
      </w:r>
      <w:r w:rsidR="5343B50F" w:rsidRPr="07F4723B">
        <w:rPr>
          <w:rFonts w:ascii="Arial" w:hAnsi="Arial" w:cs="Arial"/>
          <w:i/>
          <w:iCs/>
          <w:vertAlign w:val="subscript"/>
        </w:rPr>
        <w:t>t</w:t>
      </w:r>
      <w:r w:rsidRPr="001125BC">
        <w:rPr>
          <w:rFonts w:ascii="Arial" w:hAnsi="Arial" w:cs="Arial"/>
        </w:rPr>
        <w:t>:</w:t>
      </w:r>
      <w:r>
        <w:tab/>
      </w:r>
      <w:r w:rsidRPr="001125BC">
        <w:rPr>
          <w:rFonts w:ascii="Arial" w:hAnsi="Arial" w:cs="Arial"/>
        </w:rPr>
        <w:t xml:space="preserve">Consumo total kWh en el mercado de comercialización </w:t>
      </w:r>
      <w:r w:rsidRPr="001125BC">
        <w:rPr>
          <w:rFonts w:ascii="Arial" w:hAnsi="Arial" w:cs="Arial"/>
          <w:i/>
        </w:rPr>
        <w:t>j</w:t>
      </w:r>
      <w:r w:rsidR="4AA2DB65" w:rsidRPr="7169B017">
        <w:rPr>
          <w:rFonts w:ascii="Arial" w:hAnsi="Arial" w:cs="Arial"/>
          <w:i/>
          <w:iCs/>
        </w:rPr>
        <w:t>, en el año t</w:t>
      </w:r>
      <w:r w:rsidRPr="001125BC">
        <w:rPr>
          <w:rFonts w:ascii="Arial" w:hAnsi="Arial" w:cs="Arial"/>
        </w:rPr>
        <w:t>.</w:t>
      </w:r>
      <w:r w:rsidRPr="00115F4D">
        <w:rPr>
          <w:rFonts w:ascii="Arial" w:hAnsi="Arial" w:cs="Arial"/>
        </w:rPr>
        <w:t xml:space="preserve"> </w:t>
      </w:r>
    </w:p>
    <w:p w14:paraId="7EA603BA" w14:textId="5F11F2AD" w:rsidR="00E4121E" w:rsidRPr="00115F4D" w:rsidRDefault="00E4121E" w:rsidP="00FF5A82">
      <w:pPr>
        <w:ind w:left="1418" w:right="45" w:hanging="567"/>
        <w:rPr>
          <w:rFonts w:ascii="Arial" w:hAnsi="Arial" w:cs="Arial"/>
        </w:rPr>
      </w:pPr>
      <w:r w:rsidRPr="1091E19E">
        <w:rPr>
          <w:rFonts w:ascii="Arial" w:hAnsi="Arial" w:cs="Arial"/>
          <w:i/>
          <w:iCs/>
        </w:rPr>
        <w:t>Fs</w:t>
      </w:r>
      <w:r w:rsidRPr="1091E19E">
        <w:rPr>
          <w:rFonts w:ascii="Arial" w:hAnsi="Arial" w:cs="Arial"/>
          <w:i/>
          <w:iCs/>
          <w:vertAlign w:val="subscript"/>
        </w:rPr>
        <w:t>i</w:t>
      </w:r>
      <w:r w:rsidR="1950CC18" w:rsidRPr="1091E19E">
        <w:rPr>
          <w:rFonts w:ascii="Arial" w:hAnsi="Arial" w:cs="Arial"/>
          <w:i/>
          <w:iCs/>
          <w:vertAlign w:val="subscript"/>
        </w:rPr>
        <w:t>t</w:t>
      </w:r>
      <w:r w:rsidRPr="00115F4D">
        <w:rPr>
          <w:rFonts w:ascii="Arial" w:hAnsi="Arial" w:cs="Arial"/>
        </w:rPr>
        <w:t>:</w:t>
      </w:r>
      <w:r>
        <w:tab/>
      </w:r>
      <w:r w:rsidRPr="00115F4D">
        <w:rPr>
          <w:rFonts w:ascii="Arial" w:hAnsi="Arial" w:cs="Arial"/>
        </w:rPr>
        <w:t xml:space="preserve">Facturación total, $ en el mercado de comercialización </w:t>
      </w:r>
      <w:r w:rsidRPr="00115F4D">
        <w:rPr>
          <w:rFonts w:ascii="Arial" w:hAnsi="Arial" w:cs="Arial"/>
          <w:i/>
        </w:rPr>
        <w:t>j</w:t>
      </w:r>
      <w:r w:rsidR="670AB381" w:rsidRPr="076AB72E">
        <w:rPr>
          <w:rFonts w:ascii="Arial" w:hAnsi="Arial" w:cs="Arial"/>
          <w:i/>
          <w:iCs/>
        </w:rPr>
        <w:t>, en el año t.</w:t>
      </w:r>
    </w:p>
    <w:p w14:paraId="54B8E102" w14:textId="0F12E0CF" w:rsidR="1042E778" w:rsidRDefault="1042E778" w:rsidP="00FF5A82">
      <w:pPr>
        <w:ind w:left="1418" w:right="45" w:hanging="567"/>
        <w:rPr>
          <w:rFonts w:ascii="Arial" w:hAnsi="Arial" w:cs="Arial"/>
        </w:rPr>
      </w:pPr>
      <w:r w:rsidRPr="5388CE36">
        <w:rPr>
          <w:rFonts w:ascii="Arial" w:hAnsi="Arial" w:cs="Arial"/>
          <w:i/>
          <w:iCs/>
        </w:rPr>
        <w:t>Ur</w:t>
      </w:r>
      <w:r w:rsidRPr="5388CE36">
        <w:rPr>
          <w:rFonts w:ascii="Arial" w:hAnsi="Arial" w:cs="Arial"/>
          <w:i/>
          <w:iCs/>
          <w:vertAlign w:val="subscript"/>
        </w:rPr>
        <w:t>i</w:t>
      </w:r>
      <w:r w:rsidR="4016A488" w:rsidRPr="5388CE36">
        <w:rPr>
          <w:rFonts w:ascii="Arial" w:hAnsi="Arial" w:cs="Arial"/>
          <w:i/>
          <w:iCs/>
          <w:vertAlign w:val="subscript"/>
        </w:rPr>
        <w:t>t</w:t>
      </w:r>
      <w:r w:rsidRPr="5388CE36">
        <w:rPr>
          <w:rFonts w:ascii="Arial" w:hAnsi="Arial" w:cs="Arial"/>
        </w:rPr>
        <w:t>:</w:t>
      </w:r>
      <w:r>
        <w:tab/>
      </w:r>
      <w:r w:rsidRPr="5388CE36">
        <w:rPr>
          <w:rFonts w:ascii="Arial" w:hAnsi="Arial" w:cs="Arial"/>
        </w:rPr>
        <w:t xml:space="preserve">Usuarios rurales en el mercado de comercialización </w:t>
      </w:r>
      <w:r w:rsidRPr="5388CE36">
        <w:rPr>
          <w:rFonts w:ascii="Arial" w:hAnsi="Arial" w:cs="Arial"/>
          <w:i/>
          <w:iCs/>
        </w:rPr>
        <w:t>j</w:t>
      </w:r>
      <w:r w:rsidR="7590BB16" w:rsidRPr="5388CE36">
        <w:rPr>
          <w:rFonts w:ascii="Arial" w:hAnsi="Arial" w:cs="Arial"/>
          <w:i/>
          <w:iCs/>
        </w:rPr>
        <w:t>, en el año t.</w:t>
      </w:r>
    </w:p>
    <w:p w14:paraId="25A37D86" w14:textId="51EA71C7" w:rsidR="00E4121E" w:rsidRDefault="00E4121E" w:rsidP="00FF5A82">
      <w:pPr>
        <w:ind w:left="1418" w:right="45" w:hanging="567"/>
        <w:rPr>
          <w:rFonts w:ascii="Arial" w:hAnsi="Arial" w:cs="Arial"/>
        </w:rPr>
      </w:pPr>
      <w:r w:rsidRPr="3518D473">
        <w:rPr>
          <w:rFonts w:ascii="Arial" w:hAnsi="Arial" w:cs="Arial"/>
          <w:i/>
          <w:iCs/>
        </w:rPr>
        <w:t>lr</w:t>
      </w:r>
      <w:r w:rsidRPr="3518D473">
        <w:rPr>
          <w:rFonts w:ascii="Arial" w:hAnsi="Arial" w:cs="Arial"/>
          <w:i/>
          <w:iCs/>
          <w:vertAlign w:val="subscript"/>
        </w:rPr>
        <w:t>i</w:t>
      </w:r>
      <w:r w:rsidR="5AC5C597" w:rsidRPr="3518D473">
        <w:rPr>
          <w:rFonts w:ascii="Arial" w:hAnsi="Arial" w:cs="Arial"/>
          <w:i/>
          <w:iCs/>
          <w:vertAlign w:val="subscript"/>
        </w:rPr>
        <w:t>t</w:t>
      </w:r>
      <w:r w:rsidRPr="3518D473">
        <w:rPr>
          <w:rFonts w:ascii="Arial" w:hAnsi="Arial" w:cs="Arial"/>
        </w:rPr>
        <w:t>:</w:t>
      </w:r>
      <w:r>
        <w:tab/>
      </w:r>
      <w:r w:rsidRPr="3518D473">
        <w:rPr>
          <w:rFonts w:ascii="Arial" w:hAnsi="Arial" w:cs="Arial"/>
        </w:rPr>
        <w:t>Longitud de redes rurales</w:t>
      </w:r>
      <w:r w:rsidR="004AE33E" w:rsidRPr="3518D473">
        <w:rPr>
          <w:rFonts w:ascii="Arial" w:hAnsi="Arial" w:cs="Arial"/>
        </w:rPr>
        <w:t xml:space="preserve"> (km)</w:t>
      </w:r>
      <w:r w:rsidRPr="3518D473">
        <w:rPr>
          <w:rFonts w:ascii="Arial" w:hAnsi="Arial" w:cs="Arial"/>
        </w:rPr>
        <w:t xml:space="preserve"> en el mercado de comercialización </w:t>
      </w:r>
      <w:r w:rsidRPr="3518D473">
        <w:rPr>
          <w:rFonts w:ascii="Arial" w:hAnsi="Arial" w:cs="Arial"/>
          <w:i/>
          <w:iCs/>
        </w:rPr>
        <w:t>j</w:t>
      </w:r>
      <w:r w:rsidR="4CD52D3B" w:rsidRPr="3518D473">
        <w:rPr>
          <w:rFonts w:ascii="Arial" w:hAnsi="Arial" w:cs="Arial"/>
          <w:i/>
          <w:iCs/>
        </w:rPr>
        <w:t>, en el año t.</w:t>
      </w:r>
    </w:p>
    <w:p w14:paraId="35FB7302" w14:textId="57BBEA25" w:rsidR="00E4121E" w:rsidRDefault="00E4121E" w:rsidP="00FF5A82">
      <w:pPr>
        <w:ind w:left="1418" w:right="45" w:hanging="567"/>
        <w:rPr>
          <w:rFonts w:ascii="Arial" w:hAnsi="Arial" w:cs="Arial"/>
        </w:rPr>
      </w:pPr>
      <w:r w:rsidRPr="69CFFB2B">
        <w:rPr>
          <w:rFonts w:ascii="Arial" w:hAnsi="Arial" w:cs="Arial"/>
        </w:rPr>
        <w:t xml:space="preserve"> </w:t>
      </w:r>
      <w:r w:rsidRPr="69CFFB2B">
        <w:rPr>
          <w:rFonts w:ascii="Arial" w:hAnsi="Arial" w:cs="Arial"/>
          <w:i/>
          <w:iCs/>
        </w:rPr>
        <w:t>Uu</w:t>
      </w:r>
      <w:r w:rsidRPr="69CFFB2B">
        <w:rPr>
          <w:rFonts w:ascii="Arial" w:hAnsi="Arial" w:cs="Arial"/>
          <w:i/>
          <w:iCs/>
          <w:vertAlign w:val="subscript"/>
        </w:rPr>
        <w:t>i</w:t>
      </w:r>
      <w:r w:rsidR="5B765803" w:rsidRPr="69CFFB2B">
        <w:rPr>
          <w:rFonts w:ascii="Arial" w:hAnsi="Arial" w:cs="Arial"/>
          <w:i/>
          <w:iCs/>
          <w:vertAlign w:val="subscript"/>
        </w:rPr>
        <w:t>t</w:t>
      </w:r>
      <w:r w:rsidRPr="69CFFB2B">
        <w:rPr>
          <w:rFonts w:ascii="Arial" w:hAnsi="Arial" w:cs="Arial"/>
        </w:rPr>
        <w:t>:</w:t>
      </w:r>
      <w:r>
        <w:tab/>
      </w:r>
      <w:r w:rsidRPr="69CFFB2B">
        <w:rPr>
          <w:rFonts w:ascii="Arial" w:hAnsi="Arial" w:cs="Arial"/>
        </w:rPr>
        <w:t xml:space="preserve">Usuarios urbanos en el mercado de comercialización </w:t>
      </w:r>
      <w:r w:rsidRPr="69CFFB2B">
        <w:rPr>
          <w:rFonts w:ascii="Arial" w:hAnsi="Arial" w:cs="Arial"/>
          <w:i/>
          <w:iCs/>
        </w:rPr>
        <w:t>j</w:t>
      </w:r>
      <w:r w:rsidR="48308002" w:rsidRPr="69CFFB2B">
        <w:rPr>
          <w:rFonts w:ascii="Arial" w:hAnsi="Arial" w:cs="Arial"/>
          <w:i/>
          <w:iCs/>
        </w:rPr>
        <w:t>, en el año t.</w:t>
      </w:r>
    </w:p>
    <w:p w14:paraId="7AC1D960" w14:textId="0EE394A1" w:rsidR="00E4121E" w:rsidRPr="00115F4D" w:rsidRDefault="00E4121E" w:rsidP="00FF5A82">
      <w:pPr>
        <w:ind w:left="1418" w:right="45" w:hanging="567"/>
        <w:rPr>
          <w:rFonts w:ascii="Arial" w:hAnsi="Arial" w:cs="Arial"/>
        </w:rPr>
      </w:pPr>
      <w:r w:rsidRPr="69CFFB2B">
        <w:rPr>
          <w:rFonts w:ascii="Arial" w:hAnsi="Arial" w:cs="Arial"/>
          <w:i/>
          <w:iCs/>
        </w:rPr>
        <w:t>lu</w:t>
      </w:r>
      <w:r w:rsidRPr="69CFFB2B">
        <w:rPr>
          <w:rFonts w:ascii="Arial" w:hAnsi="Arial" w:cs="Arial"/>
          <w:i/>
          <w:iCs/>
          <w:vertAlign w:val="subscript"/>
        </w:rPr>
        <w:t>i</w:t>
      </w:r>
      <w:r w:rsidR="08769F9A" w:rsidRPr="69CFFB2B">
        <w:rPr>
          <w:rFonts w:ascii="Arial" w:hAnsi="Arial" w:cs="Arial"/>
          <w:i/>
          <w:iCs/>
          <w:vertAlign w:val="subscript"/>
        </w:rPr>
        <w:t>t</w:t>
      </w:r>
      <w:r w:rsidRPr="00115F4D">
        <w:rPr>
          <w:rFonts w:ascii="Arial" w:hAnsi="Arial" w:cs="Arial"/>
        </w:rPr>
        <w:t>:</w:t>
      </w:r>
      <w:r>
        <w:tab/>
      </w:r>
      <w:r w:rsidRPr="00115F4D">
        <w:rPr>
          <w:rFonts w:ascii="Arial" w:hAnsi="Arial" w:cs="Arial"/>
        </w:rPr>
        <w:t xml:space="preserve">Longitud de redes urbanas </w:t>
      </w:r>
      <w:r w:rsidR="51CE13FC" w:rsidRPr="314402D0">
        <w:rPr>
          <w:rFonts w:ascii="Arial" w:hAnsi="Arial" w:cs="Arial"/>
        </w:rPr>
        <w:t>(km)</w:t>
      </w:r>
      <w:r w:rsidRPr="13824D2C">
        <w:rPr>
          <w:rFonts w:ascii="Arial" w:hAnsi="Arial" w:cs="Arial"/>
        </w:rPr>
        <w:t xml:space="preserve"> </w:t>
      </w:r>
      <w:r w:rsidRPr="00115F4D">
        <w:rPr>
          <w:rFonts w:ascii="Arial" w:hAnsi="Arial" w:cs="Arial"/>
        </w:rPr>
        <w:t xml:space="preserve">en el mercado de comercialización </w:t>
      </w:r>
      <w:r w:rsidRPr="00115F4D">
        <w:rPr>
          <w:rFonts w:ascii="Arial" w:hAnsi="Arial" w:cs="Arial"/>
          <w:i/>
        </w:rPr>
        <w:t>j</w:t>
      </w:r>
      <w:r w:rsidR="2394D9E9" w:rsidRPr="314402D0">
        <w:rPr>
          <w:rFonts w:ascii="Arial" w:hAnsi="Arial" w:cs="Arial"/>
          <w:i/>
          <w:iCs/>
        </w:rPr>
        <w:t>, en el año t.</w:t>
      </w:r>
    </w:p>
    <w:p w14:paraId="2CD13614" w14:textId="7810FA88" w:rsidR="7C864C95" w:rsidRDefault="7C864C95" w:rsidP="00FF5A82">
      <w:pPr>
        <w:rPr>
          <w:rFonts w:ascii="Arial" w:hAnsi="Arial" w:cs="Arial"/>
        </w:rPr>
      </w:pPr>
      <w:r w:rsidRPr="230846E2">
        <w:rPr>
          <w:rFonts w:ascii="Arial" w:hAnsi="Arial" w:cs="Arial"/>
        </w:rPr>
        <w:t xml:space="preserve">La estimación de </w:t>
      </w:r>
      <w:r w:rsidRPr="0624436F">
        <w:rPr>
          <w:rFonts w:ascii="Arial" w:hAnsi="Arial" w:cs="Arial"/>
        </w:rPr>
        <w:t>los</w:t>
      </w:r>
      <w:r w:rsidRPr="7228E1CE">
        <w:rPr>
          <w:rFonts w:ascii="Arial" w:hAnsi="Arial" w:cs="Arial"/>
        </w:rPr>
        <w:t xml:space="preserve"> parámetros del modelo </w:t>
      </w:r>
      <w:r w:rsidR="75F8CADE" w:rsidRPr="4038C928">
        <w:rPr>
          <w:rFonts w:ascii="Arial" w:hAnsi="Arial" w:cs="Arial"/>
        </w:rPr>
        <w:t>es</w:t>
      </w:r>
      <w:r w:rsidRPr="7228E1CE">
        <w:rPr>
          <w:rFonts w:ascii="Arial" w:hAnsi="Arial" w:cs="Arial"/>
        </w:rPr>
        <w:t>:</w:t>
      </w:r>
    </w:p>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2588"/>
        <w:gridCol w:w="1183"/>
        <w:gridCol w:w="1440"/>
        <w:gridCol w:w="459"/>
        <w:gridCol w:w="939"/>
        <w:gridCol w:w="1311"/>
        <w:gridCol w:w="998"/>
        <w:gridCol w:w="108"/>
      </w:tblGrid>
      <w:tr w:rsidR="0045443C" w14:paraId="3108366F" w14:textId="77777777" w:rsidTr="004D4899">
        <w:trPr>
          <w:gridAfter w:val="1"/>
          <w:wAfter w:w="108" w:type="dxa"/>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3DDC1E20" w14:textId="57C6A64A" w:rsidR="7228E1CE" w:rsidRDefault="0DE23F09" w:rsidP="00FF5A82">
            <w:pPr>
              <w:spacing w:before="0" w:after="0"/>
              <w:jc w:val="center"/>
            </w:pPr>
            <w:r w:rsidRPr="0DE23F09">
              <w:rPr>
                <w:rFonts w:ascii="Arial" w:eastAsia="Arial" w:hAnsi="Arial" w:cs="Arial"/>
              </w:rPr>
              <w:t xml:space="preserve"> </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4161087" w14:textId="016D2BD1" w:rsidR="7228E1CE" w:rsidRDefault="7228E1CE" w:rsidP="00FF5A82">
            <w:pPr>
              <w:spacing w:before="0" w:after="0"/>
              <w:jc w:val="center"/>
              <w:rPr>
                <w:rFonts w:ascii="Arial" w:eastAsia="Arial" w:hAnsi="Arial" w:cs="Arial"/>
              </w:rPr>
            </w:pP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FAD6CEB" w14:textId="4F4E5FA4" w:rsidR="7228E1CE" w:rsidRDefault="7228E1CE" w:rsidP="00FF5A82">
            <w:pPr>
              <w:spacing w:before="0" w:after="0"/>
              <w:jc w:val="center"/>
              <w:rPr>
                <w:rFonts w:ascii="Arial" w:eastAsia="Arial" w:hAnsi="Arial" w:cs="Arial"/>
              </w:rPr>
            </w:pPr>
          </w:p>
        </w:tc>
        <w:tc>
          <w:tcPr>
            <w:tcW w:w="2250" w:type="dxa"/>
            <w:gridSpan w:val="2"/>
            <w:tcBorders>
              <w:top w:val="none" w:sz="12" w:space="0" w:color="000000" w:themeColor="text1"/>
              <w:bottom w:val="none" w:sz="12" w:space="0" w:color="000000" w:themeColor="text1"/>
              <w:right w:val="none" w:sz="12" w:space="0" w:color="000000" w:themeColor="text1"/>
            </w:tcBorders>
            <w:vAlign w:val="center"/>
          </w:tcPr>
          <w:p w14:paraId="3541A489" w14:textId="7B22E06F" w:rsidR="7228E1CE" w:rsidRDefault="7228E1CE" w:rsidP="00FF5A82">
            <w:pPr>
              <w:spacing w:before="0" w:after="0"/>
              <w:jc w:val="center"/>
              <w:rPr>
                <w:rFonts w:ascii="Arial" w:eastAsia="Arial" w:hAnsi="Arial" w:cs="Arial"/>
              </w:rPr>
            </w:pPr>
          </w:p>
        </w:tc>
        <w:tc>
          <w:tcPr>
            <w:tcW w:w="998" w:type="dxa"/>
            <w:tcBorders>
              <w:top w:val="none" w:sz="12" w:space="0" w:color="000000" w:themeColor="text1"/>
              <w:bottom w:val="none" w:sz="12" w:space="0" w:color="000000" w:themeColor="text1"/>
              <w:right w:val="none" w:sz="12" w:space="0" w:color="000000" w:themeColor="text1"/>
            </w:tcBorders>
            <w:vAlign w:val="bottom"/>
          </w:tcPr>
          <w:p w14:paraId="6A98828C" w14:textId="07CC6C90" w:rsidR="7228E1CE" w:rsidRDefault="7228E1CE" w:rsidP="00FF5A82">
            <w:pPr>
              <w:spacing w:before="0" w:after="0"/>
            </w:pPr>
            <w:r w:rsidRPr="7228E1CE">
              <w:rPr>
                <w:rFonts w:eastAsia="Calibri Light"/>
              </w:rPr>
              <w:t xml:space="preserve"> </w:t>
            </w:r>
          </w:p>
        </w:tc>
      </w:tr>
      <w:tr w:rsidR="0045443C" w14:paraId="54479B86"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365F4FF" w14:textId="6D4F9949" w:rsidR="7228E1CE" w:rsidRDefault="7228E1CE" w:rsidP="00FF5A82">
            <w:pPr>
              <w:spacing w:before="0" w:after="0"/>
              <w:jc w:val="center"/>
              <w:rPr>
                <w:rFonts w:ascii="Arial" w:eastAsia="Arial" w:hAnsi="Arial" w:cs="Arial"/>
              </w:rPr>
            </w:pP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5AFAA34" w14:textId="228B3BB8" w:rsidR="5381E1B5" w:rsidRDefault="5381E1B5" w:rsidP="00FF5A82">
            <w:pPr>
              <w:spacing w:before="0" w:after="0"/>
              <w:jc w:val="center"/>
              <w:rPr>
                <w:rFonts w:ascii="Arial" w:eastAsia="Arial" w:hAnsi="Arial" w:cs="Arial"/>
              </w:rPr>
            </w:pPr>
            <w:r w:rsidRPr="21C114B0">
              <w:rPr>
                <w:rFonts w:ascii="Arial" w:eastAsia="Arial" w:hAnsi="Arial" w:cs="Arial"/>
              </w:rPr>
              <w:t>Estimate</w:t>
            </w:r>
          </w:p>
          <w:p w14:paraId="122C49BA" w14:textId="0B4EE54E" w:rsidR="7228E1CE" w:rsidRDefault="7228E1CE" w:rsidP="00FF5A82">
            <w:pPr>
              <w:spacing w:before="0" w:after="0"/>
              <w:jc w:val="center"/>
              <w:rPr>
                <w:rFonts w:ascii="Arial" w:eastAsia="Arial" w:hAnsi="Arial" w:cs="Arial"/>
              </w:rPr>
            </w:pP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88F5E11" w14:textId="0DA081CC" w:rsidR="7228E1CE" w:rsidRDefault="5381E1B5" w:rsidP="00FF5A82">
            <w:pPr>
              <w:spacing w:before="0" w:after="0"/>
              <w:jc w:val="center"/>
            </w:pPr>
            <w:r w:rsidRPr="3704D772">
              <w:rPr>
                <w:rFonts w:ascii="Arial" w:eastAsia="Arial" w:hAnsi="Arial" w:cs="Arial"/>
              </w:rPr>
              <w:t xml:space="preserve">Std. </w:t>
            </w:r>
            <w:r w:rsidR="7228E1CE" w:rsidRPr="7228E1CE">
              <w:rPr>
                <w:rFonts w:ascii="Arial" w:eastAsia="Arial" w:hAnsi="Arial" w:cs="Arial"/>
              </w:rPr>
              <w:t>Error</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33E047CD" w14:textId="5D456156" w:rsidR="0AE29F2F" w:rsidRDefault="0AE29F2F" w:rsidP="00FF5A82">
            <w:pPr>
              <w:spacing w:before="0" w:after="0"/>
              <w:jc w:val="center"/>
              <w:rPr>
                <w:rFonts w:ascii="Aptos Narrow" w:eastAsia="Aptos Narrow" w:hAnsi="Aptos Narrow" w:cs="Aptos Narrow"/>
                <w:color w:val="000000" w:themeColor="text1"/>
              </w:rPr>
            </w:pPr>
            <w:r w:rsidRPr="28FD7499">
              <w:rPr>
                <w:rFonts w:ascii="Arial" w:eastAsia="Arial" w:hAnsi="Arial" w:cs="Arial"/>
              </w:rPr>
              <w:t xml:space="preserve">Z </w:t>
            </w:r>
            <w:r w:rsidRPr="28FD7499">
              <w:rPr>
                <w:rFonts w:ascii="Aptos Narrow" w:eastAsia="Aptos Narrow" w:hAnsi="Aptos Narrow" w:cs="Aptos Narrow"/>
                <w:color w:val="000000" w:themeColor="text1"/>
              </w:rPr>
              <w:t>value</w:t>
            </w:r>
          </w:p>
          <w:p w14:paraId="0398B97C" w14:textId="6279916D" w:rsidR="7228E1CE" w:rsidRDefault="7228E1CE" w:rsidP="00FF5A82">
            <w:pPr>
              <w:spacing w:before="0" w:after="0"/>
              <w:jc w:val="center"/>
              <w:rPr>
                <w:rFonts w:ascii="Arial" w:eastAsia="Arial" w:hAnsi="Arial" w:cs="Arial"/>
              </w:rPr>
            </w:pP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6BED8E6" w14:textId="33C34275" w:rsidR="0AE29F2F" w:rsidRDefault="0AE29F2F" w:rsidP="00FF5A82">
            <w:pPr>
              <w:spacing w:before="0" w:after="0"/>
              <w:jc w:val="center"/>
            </w:pPr>
            <w:r w:rsidRPr="284EDB66">
              <w:rPr>
                <w:rFonts w:ascii="Aptos Narrow" w:eastAsia="Aptos Narrow" w:hAnsi="Aptos Narrow" w:cs="Aptos Narrow"/>
                <w:color w:val="000000" w:themeColor="text1"/>
              </w:rPr>
              <w:t>Pr(&gt;|z|)</w:t>
            </w:r>
          </w:p>
          <w:p w14:paraId="1B345927" w14:textId="2B26A816" w:rsidR="7228E1CE" w:rsidRDefault="7228E1CE" w:rsidP="00FF5A82">
            <w:pPr>
              <w:spacing w:before="0" w:after="0"/>
              <w:jc w:val="center"/>
              <w:rPr>
                <w:rFonts w:ascii="Aptos Narrow" w:eastAsia="Aptos Narrow" w:hAnsi="Aptos Narrow" w:cs="Aptos Narrow"/>
                <w:color w:val="000000" w:themeColor="text1"/>
              </w:rPr>
            </w:pP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35D70666" w14:textId="729AA85B" w:rsidR="7228E1CE" w:rsidRDefault="7228E1CE" w:rsidP="00FF5A82">
            <w:pPr>
              <w:spacing w:before="0" w:after="0"/>
              <w:jc w:val="center"/>
              <w:rPr>
                <w:rFonts w:ascii="Aptos Narrow" w:eastAsia="Aptos Narrow" w:hAnsi="Aptos Narrow" w:cs="Aptos Narrow"/>
                <w:color w:val="000000" w:themeColor="text1"/>
              </w:rPr>
            </w:pPr>
          </w:p>
        </w:tc>
      </w:tr>
      <w:tr w:rsidR="0045443C" w14:paraId="5E0236D6"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EF0D284" w14:textId="56E9BA65" w:rsidR="7228E1CE" w:rsidRDefault="7228E1CE" w:rsidP="00FF5A82">
            <w:pPr>
              <w:spacing w:before="0" w:after="0"/>
              <w:jc w:val="center"/>
            </w:pPr>
            <w:r w:rsidRPr="7228E1CE">
              <w:rPr>
                <w:rFonts w:ascii="Arial" w:eastAsia="Arial" w:hAnsi="Arial" w:cs="Arial"/>
              </w:rPr>
              <w:t>(Intercept)</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CC43671" w14:textId="799BDFAF" w:rsidR="7228E1CE" w:rsidRDefault="7228E1CE" w:rsidP="00FF5A82">
            <w:pPr>
              <w:spacing w:before="0" w:after="0"/>
              <w:jc w:val="center"/>
            </w:pPr>
            <w:r w:rsidRPr="7228E1CE">
              <w:rPr>
                <w:rFonts w:ascii="Aptos Narrow" w:eastAsia="Aptos Narrow" w:hAnsi="Aptos Narrow" w:cs="Aptos Narrow"/>
                <w:color w:val="000000" w:themeColor="text1"/>
              </w:rPr>
              <w:t>8.491</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E91395E" w14:textId="2F6F22E6" w:rsidR="7228E1CE" w:rsidRDefault="7228E1CE" w:rsidP="00FF5A82">
            <w:pPr>
              <w:spacing w:before="0" w:after="0"/>
              <w:jc w:val="center"/>
            </w:pPr>
            <w:r w:rsidRPr="7228E1CE">
              <w:rPr>
                <w:rFonts w:ascii="Aptos Narrow" w:eastAsia="Aptos Narrow" w:hAnsi="Aptos Narrow" w:cs="Aptos Narrow"/>
                <w:color w:val="000000" w:themeColor="text1"/>
              </w:rPr>
              <w:t>1.855</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3CC56CAA" w14:textId="1F676A82" w:rsidR="7228E1CE" w:rsidRDefault="7228E1CE" w:rsidP="00FF5A82">
            <w:pPr>
              <w:spacing w:before="0" w:after="0"/>
              <w:jc w:val="center"/>
            </w:pPr>
            <w:r w:rsidRPr="7228E1CE">
              <w:rPr>
                <w:rFonts w:ascii="Aptos Narrow" w:eastAsia="Aptos Narrow" w:hAnsi="Aptos Narrow" w:cs="Aptos Narrow"/>
                <w:color w:val="000000" w:themeColor="text1"/>
              </w:rPr>
              <w:t>4.576</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8E48BFC" w14:textId="180C466F" w:rsidR="7228E1CE" w:rsidRDefault="7228E1CE" w:rsidP="00FF5A82">
            <w:pPr>
              <w:spacing w:before="0" w:after="0"/>
              <w:jc w:val="center"/>
            </w:pPr>
            <w:r w:rsidRPr="7228E1CE">
              <w:rPr>
                <w:rFonts w:ascii="Aptos Narrow" w:eastAsia="Aptos Narrow" w:hAnsi="Aptos Narrow" w:cs="Aptos Narrow"/>
                <w:color w:val="000000" w:themeColor="text1"/>
              </w:rPr>
              <w:t>4.74E-06</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9EA0557" w14:textId="12B9E5DE" w:rsidR="7228E1CE" w:rsidRDefault="7228E1CE" w:rsidP="00FF5A82">
            <w:pPr>
              <w:spacing w:before="0" w:after="0"/>
              <w:jc w:val="center"/>
            </w:pPr>
            <w:r w:rsidRPr="7228E1CE">
              <w:rPr>
                <w:rFonts w:ascii="Aptos Narrow" w:eastAsia="Aptos Narrow" w:hAnsi="Aptos Narrow" w:cs="Aptos Narrow"/>
                <w:color w:val="000000" w:themeColor="text1"/>
              </w:rPr>
              <w:t>***</w:t>
            </w:r>
          </w:p>
        </w:tc>
      </w:tr>
      <w:tr w:rsidR="0045443C" w14:paraId="1A5F0C31"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2A12600" w14:textId="701A13B5" w:rsidR="7228E1CE" w:rsidRDefault="7228E1CE" w:rsidP="00FF5A82">
            <w:pPr>
              <w:spacing w:before="0" w:after="0"/>
              <w:jc w:val="center"/>
            </w:pPr>
            <w:r w:rsidRPr="7228E1CE">
              <w:rPr>
                <w:rFonts w:ascii="Arial" w:eastAsia="Arial" w:hAnsi="Arial" w:cs="Arial"/>
              </w:rPr>
              <w:t>I(log(total.usu))</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2FE8A96" w14:textId="51E35B35" w:rsidR="7228E1CE" w:rsidRDefault="7228E1CE" w:rsidP="00FF5A82">
            <w:pPr>
              <w:spacing w:before="0" w:after="0"/>
              <w:jc w:val="center"/>
            </w:pPr>
            <w:r w:rsidRPr="7228E1CE">
              <w:rPr>
                <w:rFonts w:ascii="Aptos Narrow" w:eastAsia="Aptos Narrow" w:hAnsi="Aptos Narrow" w:cs="Aptos Narrow"/>
                <w:color w:val="000000" w:themeColor="text1"/>
              </w:rPr>
              <w:t>0.416</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39AB0DC7" w14:textId="5780B8F7" w:rsidR="7228E1CE" w:rsidRDefault="7228E1CE" w:rsidP="00FF5A82">
            <w:pPr>
              <w:spacing w:before="0" w:after="0"/>
              <w:jc w:val="center"/>
            </w:pPr>
            <w:r w:rsidRPr="7228E1CE">
              <w:rPr>
                <w:rFonts w:ascii="Aptos Narrow" w:eastAsia="Aptos Narrow" w:hAnsi="Aptos Narrow" w:cs="Aptos Narrow"/>
                <w:color w:val="000000" w:themeColor="text1"/>
              </w:rPr>
              <w:t>0.165</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32AA223B" w14:textId="14461EE0" w:rsidR="7228E1CE" w:rsidRDefault="7228E1CE" w:rsidP="00FF5A82">
            <w:pPr>
              <w:spacing w:before="0" w:after="0"/>
              <w:jc w:val="center"/>
            </w:pPr>
            <w:r w:rsidRPr="7228E1CE">
              <w:rPr>
                <w:rFonts w:ascii="Aptos Narrow" w:eastAsia="Aptos Narrow" w:hAnsi="Aptos Narrow" w:cs="Aptos Narrow"/>
                <w:color w:val="000000" w:themeColor="text1"/>
              </w:rPr>
              <w:t>2.529</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1C9FA5AE" w14:textId="64039857" w:rsidR="7228E1CE" w:rsidRDefault="7228E1CE" w:rsidP="00FF5A82">
            <w:pPr>
              <w:spacing w:before="0" w:after="0"/>
              <w:jc w:val="center"/>
            </w:pPr>
            <w:r w:rsidRPr="7228E1CE">
              <w:rPr>
                <w:rFonts w:ascii="Aptos Narrow" w:eastAsia="Aptos Narrow" w:hAnsi="Aptos Narrow" w:cs="Aptos Narrow"/>
                <w:color w:val="000000" w:themeColor="text1"/>
              </w:rPr>
              <w:t>0.011429</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11149B1" w14:textId="1913923F" w:rsidR="7228E1CE" w:rsidRDefault="7228E1CE" w:rsidP="00FF5A82">
            <w:pPr>
              <w:spacing w:before="0" w:after="0"/>
              <w:jc w:val="center"/>
            </w:pPr>
            <w:r w:rsidRPr="7228E1CE">
              <w:rPr>
                <w:rFonts w:ascii="Aptos Narrow" w:eastAsia="Aptos Narrow" w:hAnsi="Aptos Narrow" w:cs="Aptos Narrow"/>
                <w:color w:val="000000" w:themeColor="text1"/>
              </w:rPr>
              <w:t>*</w:t>
            </w:r>
          </w:p>
        </w:tc>
      </w:tr>
      <w:tr w:rsidR="0045443C" w14:paraId="71E4A126" w14:textId="77777777" w:rsidTr="004D4899">
        <w:trPr>
          <w:trHeight w:val="57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C865B71" w14:textId="69C0609E" w:rsidR="7228E1CE" w:rsidRDefault="7228E1CE" w:rsidP="00FF5A82">
            <w:pPr>
              <w:spacing w:before="0" w:after="0"/>
              <w:jc w:val="center"/>
            </w:pPr>
            <w:r w:rsidRPr="7228E1CE">
              <w:rPr>
                <w:rFonts w:ascii="Arial" w:eastAsia="Arial" w:hAnsi="Arial" w:cs="Arial"/>
              </w:rPr>
              <w:t>I(log(consum.tot))</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A38F750" w14:textId="6677C88B" w:rsidR="7228E1CE" w:rsidRDefault="7228E1CE" w:rsidP="00FF5A82">
            <w:pPr>
              <w:spacing w:before="0" w:after="0"/>
              <w:jc w:val="center"/>
            </w:pPr>
            <w:r w:rsidRPr="7228E1CE">
              <w:rPr>
                <w:rFonts w:ascii="Aptos Narrow" w:eastAsia="Aptos Narrow" w:hAnsi="Aptos Narrow" w:cs="Aptos Narrow"/>
                <w:color w:val="000000" w:themeColor="text1"/>
              </w:rPr>
              <w:t>0.371</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3328FC1" w14:textId="5F9D2DF4" w:rsidR="7228E1CE" w:rsidRDefault="7228E1CE" w:rsidP="00FF5A82">
            <w:pPr>
              <w:spacing w:before="0" w:after="0"/>
              <w:jc w:val="center"/>
            </w:pPr>
            <w:r w:rsidRPr="7228E1CE">
              <w:rPr>
                <w:rFonts w:ascii="Aptos Narrow" w:eastAsia="Aptos Narrow" w:hAnsi="Aptos Narrow" w:cs="Aptos Narrow"/>
                <w:color w:val="000000" w:themeColor="text1"/>
              </w:rPr>
              <w:t>0.13</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514A480B" w14:textId="306DB844" w:rsidR="7228E1CE" w:rsidRDefault="7228E1CE" w:rsidP="00FF5A82">
            <w:pPr>
              <w:spacing w:before="0" w:after="0"/>
              <w:jc w:val="center"/>
            </w:pPr>
            <w:r w:rsidRPr="7228E1CE">
              <w:rPr>
                <w:rFonts w:ascii="Aptos Narrow" w:eastAsia="Aptos Narrow" w:hAnsi="Aptos Narrow" w:cs="Aptos Narrow"/>
                <w:color w:val="000000" w:themeColor="text1"/>
              </w:rPr>
              <w:t>2.854</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EC474CD" w14:textId="0C6776AF" w:rsidR="7228E1CE" w:rsidRDefault="7228E1CE" w:rsidP="00FF5A82">
            <w:pPr>
              <w:spacing w:before="0" w:after="0"/>
              <w:jc w:val="center"/>
            </w:pPr>
            <w:r w:rsidRPr="7228E1CE">
              <w:rPr>
                <w:rFonts w:ascii="Aptos Narrow" w:eastAsia="Aptos Narrow" w:hAnsi="Aptos Narrow" w:cs="Aptos Narrow"/>
                <w:color w:val="000000" w:themeColor="text1"/>
              </w:rPr>
              <w:t>0.004311</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690F865" w14:textId="097A0E9F" w:rsidR="7228E1CE" w:rsidRDefault="7228E1CE" w:rsidP="00FF5A82">
            <w:pPr>
              <w:spacing w:before="0" w:after="0"/>
              <w:jc w:val="center"/>
            </w:pPr>
            <w:r w:rsidRPr="7228E1CE">
              <w:rPr>
                <w:rFonts w:ascii="Aptos Narrow" w:eastAsia="Aptos Narrow" w:hAnsi="Aptos Narrow" w:cs="Aptos Narrow"/>
                <w:color w:val="000000" w:themeColor="text1"/>
              </w:rPr>
              <w:t>**</w:t>
            </w:r>
          </w:p>
        </w:tc>
      </w:tr>
      <w:tr w:rsidR="0045443C" w14:paraId="50A215D9"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5B8BEEF" w14:textId="75A5720E" w:rsidR="7228E1CE" w:rsidRDefault="7228E1CE" w:rsidP="00FF5A82">
            <w:pPr>
              <w:spacing w:before="0" w:after="0"/>
              <w:jc w:val="center"/>
            </w:pPr>
            <w:r w:rsidRPr="7228E1CE">
              <w:rPr>
                <w:rFonts w:ascii="Arial" w:eastAsia="Arial" w:hAnsi="Arial" w:cs="Arial"/>
              </w:rPr>
              <w:t>I(log(factur.tot))</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3D2F002B" w14:textId="40AD59A2" w:rsidR="7228E1CE" w:rsidRDefault="7228E1CE" w:rsidP="00FF5A82">
            <w:pPr>
              <w:spacing w:before="0" w:after="0"/>
              <w:jc w:val="center"/>
            </w:pPr>
            <w:r w:rsidRPr="7228E1CE">
              <w:rPr>
                <w:rFonts w:ascii="Aptos Narrow" w:eastAsia="Aptos Narrow" w:hAnsi="Aptos Narrow" w:cs="Aptos Narrow"/>
                <w:color w:val="000000" w:themeColor="text1"/>
              </w:rPr>
              <w:t>0.192</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4E04433" w14:textId="4AF70877" w:rsidR="7228E1CE" w:rsidRDefault="7228E1CE" w:rsidP="00FF5A82">
            <w:pPr>
              <w:spacing w:before="0" w:after="0"/>
              <w:jc w:val="center"/>
            </w:pPr>
            <w:r w:rsidRPr="7228E1CE">
              <w:rPr>
                <w:rFonts w:ascii="Aptos Narrow" w:eastAsia="Aptos Narrow" w:hAnsi="Aptos Narrow" w:cs="Aptos Narrow"/>
                <w:color w:val="000000" w:themeColor="text1"/>
              </w:rPr>
              <w:t>0.089</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5E5AD66F" w14:textId="5DC628A3" w:rsidR="7228E1CE" w:rsidRDefault="7228E1CE" w:rsidP="00FF5A82">
            <w:pPr>
              <w:spacing w:before="0" w:after="0"/>
              <w:jc w:val="center"/>
            </w:pPr>
            <w:r w:rsidRPr="7228E1CE">
              <w:rPr>
                <w:rFonts w:ascii="Aptos Narrow" w:eastAsia="Aptos Narrow" w:hAnsi="Aptos Narrow" w:cs="Aptos Narrow"/>
                <w:color w:val="000000" w:themeColor="text1"/>
              </w:rPr>
              <w:t>2.156</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BD34B86" w14:textId="6DC7549B" w:rsidR="7228E1CE" w:rsidRDefault="7228E1CE" w:rsidP="00FF5A82">
            <w:pPr>
              <w:spacing w:before="0" w:after="0"/>
              <w:jc w:val="center"/>
            </w:pPr>
            <w:r w:rsidRPr="7228E1CE">
              <w:rPr>
                <w:rFonts w:ascii="Aptos Narrow" w:eastAsia="Aptos Narrow" w:hAnsi="Aptos Narrow" w:cs="Aptos Narrow"/>
                <w:color w:val="000000" w:themeColor="text1"/>
              </w:rPr>
              <w:t>0.031121</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18259C9" w14:textId="29DD1D64" w:rsidR="7228E1CE" w:rsidRDefault="7228E1CE" w:rsidP="00FF5A82">
            <w:pPr>
              <w:spacing w:before="0" w:after="0"/>
              <w:jc w:val="center"/>
            </w:pPr>
            <w:r w:rsidRPr="7228E1CE">
              <w:rPr>
                <w:rFonts w:ascii="Aptos Narrow" w:eastAsia="Aptos Narrow" w:hAnsi="Aptos Narrow" w:cs="Aptos Narrow"/>
                <w:color w:val="000000" w:themeColor="text1"/>
              </w:rPr>
              <w:t>*</w:t>
            </w:r>
          </w:p>
        </w:tc>
      </w:tr>
      <w:tr w:rsidR="0045443C" w14:paraId="7E0C75B0" w14:textId="77777777" w:rsidTr="004D4899">
        <w:trPr>
          <w:trHeight w:val="57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DD6E791" w14:textId="1562BDCE" w:rsidR="7228E1CE" w:rsidRPr="00A40222" w:rsidRDefault="7228E1CE" w:rsidP="00FF5A82">
            <w:pPr>
              <w:spacing w:before="0" w:after="0"/>
              <w:jc w:val="center"/>
              <w:rPr>
                <w:lang w:val="en-US"/>
              </w:rPr>
            </w:pPr>
            <w:r w:rsidRPr="7228E1CE">
              <w:rPr>
                <w:rFonts w:ascii="Arial" w:eastAsia="Arial" w:hAnsi="Arial" w:cs="Arial"/>
                <w:lang w:val="en-US"/>
              </w:rPr>
              <w:t>I(log(usu.rur/red.rur))</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34EEE01" w14:textId="2E683DA1" w:rsidR="7228E1CE" w:rsidRDefault="7228E1CE" w:rsidP="00FF5A82">
            <w:pPr>
              <w:spacing w:before="0" w:after="0"/>
              <w:jc w:val="center"/>
            </w:pPr>
            <w:r w:rsidRPr="7228E1CE">
              <w:rPr>
                <w:rFonts w:ascii="Aptos Narrow" w:eastAsia="Aptos Narrow" w:hAnsi="Aptos Narrow" w:cs="Aptos Narrow"/>
                <w:color w:val="000000" w:themeColor="text1"/>
              </w:rPr>
              <w:t>-0.135</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AEE27FA" w14:textId="15638258" w:rsidR="7228E1CE" w:rsidRDefault="7228E1CE" w:rsidP="00FF5A82">
            <w:pPr>
              <w:spacing w:before="0" w:after="0"/>
              <w:jc w:val="center"/>
            </w:pPr>
            <w:r w:rsidRPr="7228E1CE">
              <w:rPr>
                <w:rFonts w:ascii="Aptos Narrow" w:eastAsia="Aptos Narrow" w:hAnsi="Aptos Narrow" w:cs="Aptos Narrow"/>
                <w:color w:val="000000" w:themeColor="text1"/>
              </w:rPr>
              <w:t>0.053</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19EB8102" w14:textId="508B528F" w:rsidR="7228E1CE" w:rsidRDefault="7228E1CE" w:rsidP="00FF5A82">
            <w:pPr>
              <w:spacing w:before="0" w:after="0"/>
              <w:jc w:val="center"/>
            </w:pPr>
            <w:r w:rsidRPr="7228E1CE">
              <w:rPr>
                <w:rFonts w:ascii="Aptos Narrow" w:eastAsia="Aptos Narrow" w:hAnsi="Aptos Narrow" w:cs="Aptos Narrow"/>
                <w:color w:val="000000" w:themeColor="text1"/>
              </w:rPr>
              <w:t>-2.569</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8E186D8" w14:textId="6A7DF924" w:rsidR="7228E1CE" w:rsidRDefault="7228E1CE" w:rsidP="00FF5A82">
            <w:pPr>
              <w:spacing w:before="0" w:after="0"/>
              <w:jc w:val="center"/>
            </w:pPr>
            <w:r w:rsidRPr="7228E1CE">
              <w:rPr>
                <w:rFonts w:ascii="Aptos Narrow" w:eastAsia="Aptos Narrow" w:hAnsi="Aptos Narrow" w:cs="Aptos Narrow"/>
                <w:color w:val="000000" w:themeColor="text1"/>
              </w:rPr>
              <w:t>0.010212</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4DF193E" w14:textId="4DA4F287" w:rsidR="7228E1CE" w:rsidRDefault="7228E1CE" w:rsidP="00FF5A82">
            <w:pPr>
              <w:spacing w:before="0" w:after="0"/>
              <w:jc w:val="center"/>
            </w:pPr>
            <w:r w:rsidRPr="7228E1CE">
              <w:rPr>
                <w:rFonts w:ascii="Aptos Narrow" w:eastAsia="Aptos Narrow" w:hAnsi="Aptos Narrow" w:cs="Aptos Narrow"/>
                <w:color w:val="000000" w:themeColor="text1"/>
              </w:rPr>
              <w:t>*</w:t>
            </w:r>
          </w:p>
        </w:tc>
      </w:tr>
      <w:tr w:rsidR="0045443C" w14:paraId="19A2D7B0" w14:textId="77777777" w:rsidTr="004D4899">
        <w:trPr>
          <w:trHeight w:val="57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6DEAD9C" w14:textId="10205924" w:rsidR="7228E1CE" w:rsidRPr="00A40222" w:rsidRDefault="7228E1CE" w:rsidP="00FF5A82">
            <w:pPr>
              <w:spacing w:before="0" w:after="0"/>
              <w:jc w:val="center"/>
              <w:rPr>
                <w:lang w:val="en-US"/>
              </w:rPr>
            </w:pPr>
            <w:r w:rsidRPr="7228E1CE">
              <w:rPr>
                <w:rFonts w:ascii="Arial" w:eastAsia="Arial" w:hAnsi="Arial" w:cs="Arial"/>
                <w:lang w:val="en-US"/>
              </w:rPr>
              <w:t>I(log(usu.urb/red.urb))</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E9BDB7D" w14:textId="221756EA" w:rsidR="7228E1CE" w:rsidRDefault="7228E1CE" w:rsidP="00FF5A82">
            <w:pPr>
              <w:spacing w:before="0" w:after="0"/>
              <w:jc w:val="center"/>
            </w:pPr>
            <w:r w:rsidRPr="7228E1CE">
              <w:rPr>
                <w:rFonts w:ascii="Aptos Narrow" w:eastAsia="Aptos Narrow" w:hAnsi="Aptos Narrow" w:cs="Aptos Narrow"/>
                <w:color w:val="000000" w:themeColor="text1"/>
              </w:rPr>
              <w:t>0.054</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1DBC80CD" w14:textId="2B769967" w:rsidR="7228E1CE" w:rsidRDefault="7228E1CE" w:rsidP="00FF5A82">
            <w:pPr>
              <w:spacing w:before="0" w:after="0"/>
              <w:jc w:val="center"/>
            </w:pPr>
            <w:r w:rsidRPr="7228E1CE">
              <w:rPr>
                <w:rFonts w:ascii="Aptos Narrow" w:eastAsia="Aptos Narrow" w:hAnsi="Aptos Narrow" w:cs="Aptos Narrow"/>
                <w:color w:val="000000" w:themeColor="text1"/>
              </w:rPr>
              <w:t>0.089</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1BAB9F88" w14:textId="1D8F07AF" w:rsidR="7228E1CE" w:rsidRDefault="7228E1CE" w:rsidP="00FF5A82">
            <w:pPr>
              <w:spacing w:before="0" w:after="0"/>
              <w:jc w:val="center"/>
            </w:pPr>
            <w:r w:rsidRPr="7228E1CE">
              <w:rPr>
                <w:rFonts w:ascii="Aptos Narrow" w:eastAsia="Aptos Narrow" w:hAnsi="Aptos Narrow" w:cs="Aptos Narrow"/>
                <w:color w:val="000000" w:themeColor="text1"/>
              </w:rPr>
              <w:t>0.607</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3D18175D" w14:textId="45D5E66B" w:rsidR="7228E1CE" w:rsidRDefault="7228E1CE" w:rsidP="00FF5A82">
            <w:pPr>
              <w:spacing w:before="0" w:after="0"/>
              <w:jc w:val="center"/>
            </w:pPr>
            <w:r w:rsidRPr="7228E1CE">
              <w:rPr>
                <w:rFonts w:ascii="Aptos Narrow" w:eastAsia="Aptos Narrow" w:hAnsi="Aptos Narrow" w:cs="Aptos Narrow"/>
                <w:color w:val="000000" w:themeColor="text1"/>
              </w:rPr>
              <w:t>0.543799</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8068E76" w14:textId="107253AE" w:rsidR="7228E1CE" w:rsidRDefault="7228E1CE" w:rsidP="00FF5A82">
            <w:pPr>
              <w:spacing w:before="0" w:after="0"/>
              <w:jc w:val="center"/>
            </w:pPr>
            <w:r w:rsidRPr="7228E1CE">
              <w:rPr>
                <w:rFonts w:ascii="Segoe UI" w:eastAsia="Segoe UI" w:hAnsi="Segoe UI" w:cs="Segoe UI"/>
                <w:sz w:val="18"/>
                <w:szCs w:val="18"/>
              </w:rPr>
              <w:t xml:space="preserve"> </w:t>
            </w:r>
          </w:p>
        </w:tc>
      </w:tr>
      <w:tr w:rsidR="0045443C" w14:paraId="54F71266"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FCAEEA4" w14:textId="288B58C4" w:rsidR="7228E1CE" w:rsidRDefault="7228E1CE" w:rsidP="00FF5A82">
            <w:pPr>
              <w:spacing w:before="0" w:after="0"/>
              <w:jc w:val="center"/>
              <w:rPr>
                <w:rFonts w:ascii="Arial" w:eastAsia="Arial" w:hAnsi="Arial" w:cs="Arial"/>
              </w:rPr>
            </w:pPr>
            <w:r w:rsidRPr="7228E1CE">
              <w:rPr>
                <w:rFonts w:ascii="Arial" w:eastAsia="Arial" w:hAnsi="Arial" w:cs="Arial"/>
              </w:rPr>
              <w:t>sigmaSq</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3C40AF4" w14:textId="55A76228" w:rsidR="7228E1CE" w:rsidRDefault="7228E1CE" w:rsidP="00FF5A82">
            <w:pPr>
              <w:spacing w:before="0" w:after="0"/>
              <w:jc w:val="center"/>
            </w:pPr>
            <w:r w:rsidRPr="7228E1CE">
              <w:rPr>
                <w:rFonts w:ascii="Aptos Narrow" w:eastAsia="Aptos Narrow" w:hAnsi="Aptos Narrow" w:cs="Aptos Narrow"/>
                <w:color w:val="000000" w:themeColor="text1"/>
              </w:rPr>
              <w:t>0.099</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BF44FA5" w14:textId="6B1961C3" w:rsidR="7228E1CE" w:rsidRDefault="7228E1CE" w:rsidP="00FF5A82">
            <w:pPr>
              <w:spacing w:before="0" w:after="0"/>
              <w:jc w:val="center"/>
            </w:pPr>
            <w:r w:rsidRPr="7228E1CE">
              <w:rPr>
                <w:rFonts w:ascii="Aptos Narrow" w:eastAsia="Aptos Narrow" w:hAnsi="Aptos Narrow" w:cs="Aptos Narrow"/>
                <w:color w:val="000000" w:themeColor="text1"/>
              </w:rPr>
              <w:t>0.03</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2E7C36EA" w14:textId="513717B0" w:rsidR="7228E1CE" w:rsidRDefault="7228E1CE" w:rsidP="00FF5A82">
            <w:pPr>
              <w:spacing w:before="0" w:after="0"/>
              <w:jc w:val="center"/>
            </w:pPr>
            <w:r w:rsidRPr="7228E1CE">
              <w:rPr>
                <w:rFonts w:ascii="Aptos Narrow" w:eastAsia="Aptos Narrow" w:hAnsi="Aptos Narrow" w:cs="Aptos Narrow"/>
                <w:color w:val="000000" w:themeColor="text1"/>
              </w:rPr>
              <w:t>3.233</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9D26A79" w14:textId="736EA90F" w:rsidR="7228E1CE" w:rsidRDefault="7228E1CE" w:rsidP="00FF5A82">
            <w:pPr>
              <w:spacing w:before="0" w:after="0"/>
              <w:jc w:val="center"/>
            </w:pPr>
            <w:r w:rsidRPr="7228E1CE">
              <w:rPr>
                <w:rFonts w:ascii="Aptos Narrow" w:eastAsia="Aptos Narrow" w:hAnsi="Aptos Narrow" w:cs="Aptos Narrow"/>
                <w:color w:val="000000" w:themeColor="text1"/>
              </w:rPr>
              <w:t>0.001224</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A98EFF4" w14:textId="56CE05B3" w:rsidR="7228E1CE" w:rsidRDefault="7228E1CE" w:rsidP="00FF5A82">
            <w:pPr>
              <w:spacing w:before="0" w:after="0"/>
              <w:jc w:val="center"/>
            </w:pPr>
            <w:r w:rsidRPr="7228E1CE">
              <w:rPr>
                <w:rFonts w:ascii="Aptos Narrow" w:eastAsia="Aptos Narrow" w:hAnsi="Aptos Narrow" w:cs="Aptos Narrow"/>
                <w:color w:val="000000" w:themeColor="text1"/>
              </w:rPr>
              <w:t>**</w:t>
            </w:r>
          </w:p>
        </w:tc>
      </w:tr>
      <w:tr w:rsidR="0045443C" w14:paraId="27C705F0"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B2BF563" w14:textId="7FB81C38" w:rsidR="7228E1CE" w:rsidRDefault="7228E1CE" w:rsidP="00FF5A82">
            <w:pPr>
              <w:spacing w:before="0" w:after="0"/>
              <w:jc w:val="center"/>
            </w:pPr>
            <w:r w:rsidRPr="7228E1CE">
              <w:rPr>
                <w:rFonts w:ascii="Arial" w:eastAsia="Arial" w:hAnsi="Arial" w:cs="Arial"/>
              </w:rPr>
              <w:t>gamma</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9096B7B" w14:textId="2F984008" w:rsidR="7228E1CE" w:rsidRDefault="7228E1CE" w:rsidP="00FF5A82">
            <w:pPr>
              <w:spacing w:before="0" w:after="0"/>
              <w:jc w:val="center"/>
            </w:pPr>
            <w:r w:rsidRPr="7228E1CE">
              <w:rPr>
                <w:rFonts w:ascii="Aptos Narrow" w:eastAsia="Aptos Narrow" w:hAnsi="Aptos Narrow" w:cs="Aptos Narrow"/>
                <w:color w:val="000000" w:themeColor="text1"/>
              </w:rPr>
              <w:t>0.618</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2CAEEAF" w14:textId="7A6258B2" w:rsidR="7228E1CE" w:rsidRDefault="7228E1CE" w:rsidP="00FF5A82">
            <w:pPr>
              <w:spacing w:before="0" w:after="0"/>
              <w:jc w:val="center"/>
            </w:pPr>
            <w:r w:rsidRPr="7228E1CE">
              <w:rPr>
                <w:rFonts w:ascii="Aptos Narrow" w:eastAsia="Aptos Narrow" w:hAnsi="Aptos Narrow" w:cs="Aptos Narrow"/>
                <w:color w:val="000000" w:themeColor="text1"/>
              </w:rPr>
              <w:t>0.137</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4F7330A4" w14:textId="10B6DE4D" w:rsidR="7228E1CE" w:rsidRDefault="7228E1CE" w:rsidP="00FF5A82">
            <w:pPr>
              <w:spacing w:before="0" w:after="0"/>
              <w:jc w:val="center"/>
            </w:pPr>
            <w:r w:rsidRPr="7228E1CE">
              <w:rPr>
                <w:rFonts w:ascii="Aptos Narrow" w:eastAsia="Aptos Narrow" w:hAnsi="Aptos Narrow" w:cs="Aptos Narrow"/>
                <w:color w:val="000000" w:themeColor="text1"/>
              </w:rPr>
              <w:t>4.524</w:t>
            </w:r>
          </w:p>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148DF682" w14:textId="0252B5FA" w:rsidR="7228E1CE" w:rsidRDefault="7228E1CE" w:rsidP="00FF5A82">
            <w:pPr>
              <w:spacing w:before="0" w:after="0"/>
              <w:jc w:val="center"/>
            </w:pPr>
            <w:r w:rsidRPr="7228E1CE">
              <w:rPr>
                <w:rFonts w:ascii="Aptos Narrow" w:eastAsia="Aptos Narrow" w:hAnsi="Aptos Narrow" w:cs="Aptos Narrow"/>
                <w:color w:val="000000" w:themeColor="text1"/>
              </w:rPr>
              <w:t>6.06E-06</w:t>
            </w:r>
          </w:p>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962D732" w14:textId="6B86CCC9" w:rsidR="7228E1CE" w:rsidRDefault="7228E1CE" w:rsidP="00FF5A82">
            <w:pPr>
              <w:spacing w:before="0" w:after="0"/>
              <w:jc w:val="center"/>
            </w:pPr>
            <w:r w:rsidRPr="7228E1CE">
              <w:rPr>
                <w:rFonts w:ascii="Aptos Narrow" w:eastAsia="Aptos Narrow" w:hAnsi="Aptos Narrow" w:cs="Aptos Narrow"/>
                <w:color w:val="000000" w:themeColor="text1"/>
              </w:rPr>
              <w:t>***</w:t>
            </w:r>
          </w:p>
        </w:tc>
      </w:tr>
      <w:tr w:rsidR="0045443C" w14:paraId="7466B8AC"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7A9DAF1" w14:textId="2C67B887" w:rsidR="7228E1CE" w:rsidRDefault="7228E1CE" w:rsidP="00FF5A82">
            <w:pPr>
              <w:spacing w:before="0" w:after="0"/>
              <w:jc w:val="center"/>
            </w:pPr>
            <w:r w:rsidRPr="7228E1CE">
              <w:rPr>
                <w:rFonts w:ascii="Arial" w:eastAsia="Arial" w:hAnsi="Arial" w:cs="Arial"/>
              </w:rPr>
              <w:lastRenderedPageBreak/>
              <w:t>---</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2C4A292" w14:textId="275ABD43" w:rsidR="7228E1CE" w:rsidRDefault="7228E1CE" w:rsidP="00FF5A82"/>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32899A0" w14:textId="42A7CA0B" w:rsidR="7228E1CE" w:rsidRDefault="7228E1CE" w:rsidP="00FF5A82"/>
        </w:tc>
        <w:tc>
          <w:tcPr>
            <w:tcW w:w="939" w:type="dxa"/>
            <w:tcBorders>
              <w:top w:val="none" w:sz="12" w:space="0" w:color="000000" w:themeColor="text1"/>
              <w:bottom w:val="none" w:sz="12" w:space="0" w:color="000000" w:themeColor="text1"/>
              <w:right w:val="none" w:sz="12" w:space="0" w:color="000000" w:themeColor="text1"/>
            </w:tcBorders>
            <w:vAlign w:val="center"/>
          </w:tcPr>
          <w:p w14:paraId="20924B5E" w14:textId="6DE12E21" w:rsidR="7228E1CE" w:rsidRDefault="7228E1CE" w:rsidP="00FF5A82"/>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233B623" w14:textId="1F92EB0A" w:rsidR="7228E1CE" w:rsidRDefault="7228E1CE" w:rsidP="00FF5A82"/>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633383CE" w14:textId="70F99BF9" w:rsidR="7228E1CE" w:rsidRDefault="7228E1CE" w:rsidP="00FF5A82"/>
        </w:tc>
      </w:tr>
      <w:tr w:rsidR="0045443C" w14:paraId="370ECB4C" w14:textId="77777777" w:rsidTr="004D4899">
        <w:trPr>
          <w:trHeight w:val="36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BC4CBF1" w14:textId="42FC8DC5" w:rsidR="7228E1CE" w:rsidRDefault="7228E1CE" w:rsidP="00FF5A82">
            <w:pPr>
              <w:spacing w:before="0" w:after="0"/>
              <w:jc w:val="center"/>
            </w:pPr>
            <w:r w:rsidRPr="7228E1CE">
              <w:rPr>
                <w:rFonts w:ascii="Calibri" w:eastAsia="Calibri" w:hAnsi="Calibri" w:cs="Calibri"/>
                <w:color w:val="000000" w:themeColor="text1"/>
              </w:rPr>
              <w:t>Log likelihood</w:t>
            </w:r>
            <w:r w:rsidRPr="7228E1CE">
              <w:rPr>
                <w:rFonts w:ascii="Aptos Narrow" w:eastAsia="Aptos Narrow" w:hAnsi="Aptos Narrow" w:cs="Aptos Narrow"/>
                <w:color w:val="000000" w:themeColor="text1"/>
              </w:rPr>
              <w:t xml:space="preserve"> value:</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9319124" w14:textId="20FDC777" w:rsidR="7228E1CE" w:rsidRDefault="7228E1CE" w:rsidP="00FF5A82">
            <w:pPr>
              <w:spacing w:before="0" w:after="0"/>
            </w:pPr>
            <w:r w:rsidRPr="7228E1CE">
              <w:rPr>
                <w:rFonts w:ascii="Calibri" w:eastAsia="Calibri" w:hAnsi="Calibri" w:cs="Calibri"/>
                <w:color w:val="000000" w:themeColor="text1"/>
              </w:rPr>
              <w:t>6.217519</w:t>
            </w:r>
          </w:p>
        </w:tc>
        <w:tc>
          <w:tcPr>
            <w:tcW w:w="1899"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FBA2CCB" w14:textId="17702F8B" w:rsidR="7228E1CE" w:rsidRDefault="7228E1CE" w:rsidP="00FF5A82">
            <w:pPr>
              <w:spacing w:before="0" w:after="0"/>
            </w:pPr>
            <w:r w:rsidRPr="7228E1CE">
              <w:rPr>
                <w:rFonts w:ascii="Segoe UI" w:eastAsia="Segoe UI" w:hAnsi="Segoe UI" w:cs="Segoe UI"/>
                <w:sz w:val="18"/>
                <w:szCs w:val="18"/>
                <w:lang w:val="es"/>
              </w:rPr>
              <w:t xml:space="preserve"> </w:t>
            </w:r>
          </w:p>
        </w:tc>
        <w:tc>
          <w:tcPr>
            <w:tcW w:w="939" w:type="dxa"/>
            <w:tcBorders>
              <w:top w:val="none" w:sz="12" w:space="0" w:color="000000" w:themeColor="text1"/>
              <w:bottom w:val="none" w:sz="12" w:space="0" w:color="000000" w:themeColor="text1"/>
              <w:right w:val="none" w:sz="12" w:space="0" w:color="000000" w:themeColor="text1"/>
            </w:tcBorders>
            <w:vAlign w:val="center"/>
          </w:tcPr>
          <w:p w14:paraId="493A8563" w14:textId="1F6C6480" w:rsidR="7228E1CE" w:rsidRDefault="7228E1CE" w:rsidP="00FF5A82"/>
        </w:tc>
        <w:tc>
          <w:tcPr>
            <w:tcW w:w="131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2BB939C4" w14:textId="27DCB3D5" w:rsidR="7228E1CE" w:rsidRDefault="7228E1CE" w:rsidP="00FF5A82"/>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3C7D759" w14:textId="5E7174BA" w:rsidR="7228E1CE" w:rsidRDefault="7228E1CE" w:rsidP="00FF5A82"/>
        </w:tc>
      </w:tr>
      <w:tr w:rsidR="005C6A0B" w14:paraId="185FF4AF" w14:textId="77777777" w:rsidTr="004D4899">
        <w:trPr>
          <w:trHeight w:val="300"/>
        </w:trPr>
        <w:tc>
          <w:tcPr>
            <w:tcW w:w="2588"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5016B4F1" w14:textId="5253B956" w:rsidR="7228E1CE" w:rsidRDefault="7228E1CE" w:rsidP="00FF5A82">
            <w:pPr>
              <w:spacing w:before="0" w:after="0"/>
              <w:jc w:val="center"/>
            </w:pPr>
            <w:r w:rsidRPr="7228E1CE">
              <w:rPr>
                <w:rFonts w:ascii="Calibri" w:eastAsia="Calibri" w:hAnsi="Calibri" w:cs="Calibri"/>
                <w:color w:val="000000" w:themeColor="text1"/>
              </w:rPr>
              <w:t xml:space="preserve">Mean </w:t>
            </w:r>
            <w:r w:rsidRPr="7228E1CE">
              <w:rPr>
                <w:rFonts w:ascii="Aptos Narrow" w:eastAsia="Aptos Narrow" w:hAnsi="Aptos Narrow" w:cs="Aptos Narrow"/>
                <w:color w:val="000000" w:themeColor="text1"/>
              </w:rPr>
              <w:t>efficiency:</w:t>
            </w:r>
          </w:p>
        </w:tc>
        <w:tc>
          <w:tcPr>
            <w:tcW w:w="118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3521EDDC" w14:textId="6AB714ED" w:rsidR="7228E1CE" w:rsidRDefault="7228E1CE" w:rsidP="00FF5A82">
            <w:pPr>
              <w:spacing w:before="0" w:after="0"/>
            </w:pPr>
            <w:r w:rsidRPr="7228E1CE">
              <w:rPr>
                <w:rFonts w:ascii="Aptos Narrow" w:eastAsia="Aptos Narrow" w:hAnsi="Aptos Narrow" w:cs="Aptos Narrow"/>
                <w:color w:val="000000" w:themeColor="text1"/>
              </w:rPr>
              <w:t>0.8265558</w:t>
            </w:r>
          </w:p>
        </w:tc>
        <w:tc>
          <w:tcPr>
            <w:tcW w:w="1440"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0345745C" w14:textId="4BBE5AEF" w:rsidR="7228E1CE" w:rsidRDefault="7228E1CE" w:rsidP="00FF5A82"/>
        </w:tc>
        <w:tc>
          <w:tcPr>
            <w:tcW w:w="1398" w:type="dxa"/>
            <w:gridSpan w:val="2"/>
            <w:tcBorders>
              <w:top w:val="nil"/>
              <w:left w:val="none" w:sz="12" w:space="0" w:color="000000" w:themeColor="text1"/>
              <w:bottom w:val="none" w:sz="12" w:space="0" w:color="000000" w:themeColor="text1"/>
              <w:right w:val="none" w:sz="12" w:space="0" w:color="000000" w:themeColor="text1"/>
            </w:tcBorders>
            <w:vAlign w:val="center"/>
          </w:tcPr>
          <w:p w14:paraId="6E15E38D" w14:textId="1C8D78F2" w:rsidR="7228E1CE" w:rsidRDefault="7228E1CE" w:rsidP="00FF5A82">
            <w:pPr>
              <w:spacing w:before="0" w:after="0"/>
              <w:jc w:val="center"/>
            </w:pPr>
            <w:r w:rsidRPr="7228E1CE">
              <w:rPr>
                <w:rFonts w:ascii="Segoe UI" w:eastAsia="Segoe UI" w:hAnsi="Segoe UI" w:cs="Segoe UI"/>
                <w:sz w:val="18"/>
                <w:szCs w:val="18"/>
              </w:rPr>
              <w:t xml:space="preserve"> </w:t>
            </w:r>
          </w:p>
        </w:tc>
        <w:tc>
          <w:tcPr>
            <w:tcW w:w="1311" w:type="dxa"/>
            <w:tcBorders>
              <w:top w:val="none" w:sz="12" w:space="0" w:color="000000" w:themeColor="text1"/>
              <w:bottom w:val="none" w:sz="12" w:space="0" w:color="000000" w:themeColor="text1"/>
              <w:right w:val="none" w:sz="12" w:space="0" w:color="000000" w:themeColor="text1"/>
            </w:tcBorders>
            <w:vAlign w:val="center"/>
          </w:tcPr>
          <w:p w14:paraId="531C50FD" w14:textId="6820F6D7" w:rsidR="7228E1CE" w:rsidRDefault="7228E1CE" w:rsidP="00FF5A82"/>
        </w:tc>
        <w:tc>
          <w:tcPr>
            <w:tcW w:w="1106"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77F696FC" w14:textId="50DAFFD6" w:rsidR="7228E1CE" w:rsidRDefault="7228E1CE" w:rsidP="00FF5A82"/>
        </w:tc>
      </w:tr>
    </w:tbl>
    <w:p w14:paraId="77EBA393" w14:textId="77777777" w:rsidR="001835FA" w:rsidRDefault="001835FA" w:rsidP="001835FA">
      <w:pPr>
        <w:pStyle w:val="Descripcin"/>
        <w:tabs>
          <w:tab w:val="left" w:pos="1276"/>
        </w:tabs>
        <w:spacing w:after="0"/>
        <w:rPr>
          <w:rFonts w:ascii="Arial" w:hAnsi="Arial" w:cs="Arial"/>
          <w:b/>
          <w:bCs/>
          <w:i w:val="0"/>
          <w:iCs w:val="0"/>
          <w:color w:val="auto"/>
        </w:rPr>
      </w:pPr>
    </w:p>
    <w:p w14:paraId="66F0EA17" w14:textId="6FC57B02" w:rsidR="001835FA" w:rsidRPr="005D2B8E" w:rsidRDefault="001835FA" w:rsidP="001835FA">
      <w:pPr>
        <w:rPr>
          <w:rFonts w:ascii="Arial" w:hAnsi="Arial" w:cs="Arial"/>
        </w:rPr>
      </w:pPr>
      <w:r w:rsidRPr="005D2B8E">
        <w:rPr>
          <w:rFonts w:ascii="Arial" w:hAnsi="Arial" w:cs="Arial"/>
        </w:rPr>
        <w:t xml:space="preserve">A </w:t>
      </w:r>
      <w:r w:rsidR="005D2B8E" w:rsidRPr="005D2B8E">
        <w:rPr>
          <w:rFonts w:ascii="Arial" w:hAnsi="Arial" w:cs="Arial"/>
        </w:rPr>
        <w:t>continuación,</w:t>
      </w:r>
      <w:r w:rsidR="003F3DF5" w:rsidRPr="005D2B8E">
        <w:rPr>
          <w:rFonts w:ascii="Arial" w:hAnsi="Arial" w:cs="Arial"/>
        </w:rPr>
        <w:t xml:space="preserve"> se presentan los resultados del modelo de frontera estocástica</w:t>
      </w:r>
      <w:r w:rsidR="008652D4">
        <w:rPr>
          <w:rFonts w:ascii="Arial" w:hAnsi="Arial" w:cs="Arial"/>
        </w:rPr>
        <w:t xml:space="preserve"> obtenidos en el estudio realizado con la UPT y publicado en la </w:t>
      </w:r>
      <w:r w:rsidR="00C86048">
        <w:rPr>
          <w:rFonts w:ascii="Arial" w:hAnsi="Arial" w:cs="Arial"/>
        </w:rPr>
        <w:t>Circular 087 de 2021</w:t>
      </w:r>
      <w:r w:rsidR="00DE3A97">
        <w:rPr>
          <w:rFonts w:ascii="Arial" w:hAnsi="Arial" w:cs="Arial"/>
        </w:rPr>
        <w:t>.</w:t>
      </w:r>
    </w:p>
    <w:p w14:paraId="02C0CA38" w14:textId="61293B90" w:rsidR="004D4899" w:rsidRDefault="004D4899" w:rsidP="004D4899">
      <w:pPr>
        <w:pStyle w:val="Descripcin"/>
        <w:tabs>
          <w:tab w:val="left" w:pos="1276"/>
        </w:tabs>
        <w:spacing w:after="0"/>
        <w:jc w:val="center"/>
        <w:rPr>
          <w:rFonts w:ascii="Arial" w:hAnsi="Arial" w:cs="Arial"/>
          <w:b/>
          <w:bCs/>
          <w:color w:val="auto"/>
        </w:rPr>
      </w:pPr>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8</w:t>
      </w:r>
      <w:r w:rsidRPr="00115F4D">
        <w:rPr>
          <w:rFonts w:ascii="Arial" w:hAnsi="Arial" w:cs="Arial"/>
          <w:b/>
          <w:bCs/>
          <w:color w:val="auto"/>
        </w:rPr>
        <w:fldChar w:fldCharType="end"/>
      </w:r>
      <w:r w:rsidR="00561F6A">
        <w:rPr>
          <w:rFonts w:ascii="Arial" w:hAnsi="Arial" w:cs="Arial"/>
          <w:b/>
          <w:bCs/>
          <w:color w:val="auto"/>
        </w:rPr>
        <w:t xml:space="preserve"> Resultados Factor de eficiencia</w:t>
      </w:r>
    </w:p>
    <w:p w14:paraId="391A86DC" w14:textId="77777777" w:rsidR="004D4899" w:rsidRPr="00E46ECE" w:rsidRDefault="004D4899" w:rsidP="004D4899">
      <w:pPr>
        <w:pStyle w:val="Descripcin"/>
        <w:tabs>
          <w:tab w:val="left" w:pos="1276"/>
        </w:tabs>
        <w:spacing w:after="0"/>
        <w:jc w:val="center"/>
        <w:rPr>
          <w:rFonts w:ascii="Arial" w:hAnsi="Arial" w:cs="Arial"/>
          <w:b/>
          <w:bCs/>
          <w:color w:val="auto"/>
        </w:rPr>
      </w:pPr>
      <w:r w:rsidRPr="00E46ECE">
        <w:rPr>
          <w:rFonts w:ascii="Arial" w:hAnsi="Arial" w:cs="Arial"/>
          <w:b/>
          <w:bCs/>
          <w:color w:val="auto"/>
        </w:rPr>
        <w:t xml:space="preserve">Fuente: </w:t>
      </w:r>
      <w:r>
        <w:rPr>
          <w:rFonts w:ascii="Arial" w:hAnsi="Arial" w:cs="Arial"/>
          <w:b/>
          <w:bCs/>
          <w:color w:val="auto"/>
        </w:rPr>
        <w:t>Circular 087 de 2021</w:t>
      </w:r>
      <w:r w:rsidRPr="00E46ECE">
        <w:rPr>
          <w:rFonts w:ascii="Arial" w:hAnsi="Arial" w:cs="Arial"/>
          <w:b/>
          <w:bCs/>
          <w:color w:val="auto"/>
        </w:rPr>
        <w:t>.</w:t>
      </w:r>
    </w:p>
    <w:tbl>
      <w:tblPr>
        <w:tblW w:w="3880" w:type="dxa"/>
        <w:jc w:val="center"/>
        <w:tblCellMar>
          <w:left w:w="70" w:type="dxa"/>
          <w:right w:w="70" w:type="dxa"/>
        </w:tblCellMar>
        <w:tblLook w:val="04A0" w:firstRow="1" w:lastRow="0" w:firstColumn="1" w:lastColumn="0" w:noHBand="0" w:noVBand="1"/>
      </w:tblPr>
      <w:tblGrid>
        <w:gridCol w:w="2680"/>
        <w:gridCol w:w="1200"/>
      </w:tblGrid>
      <w:tr w:rsidR="006E1124" w:rsidRPr="009B1E1E" w14:paraId="4EDCFE0D" w14:textId="77777777" w:rsidTr="006E1124">
        <w:trPr>
          <w:trHeight w:val="330"/>
          <w:jc w:val="center"/>
        </w:trPr>
        <w:tc>
          <w:tcPr>
            <w:tcW w:w="2680" w:type="dxa"/>
            <w:tcBorders>
              <w:top w:val="single" w:sz="8" w:space="0" w:color="DBDBDB"/>
              <w:left w:val="single" w:sz="8" w:space="0" w:color="DBDBDB"/>
              <w:bottom w:val="single" w:sz="12" w:space="0" w:color="C9C9C9"/>
              <w:right w:val="single" w:sz="8" w:space="0" w:color="DBDBDB"/>
            </w:tcBorders>
            <w:shd w:val="clear" w:color="auto" w:fill="auto"/>
            <w:vAlign w:val="center"/>
            <w:hideMark/>
          </w:tcPr>
          <w:p w14:paraId="5AF2409A" w14:textId="77777777" w:rsidR="006E1124" w:rsidRPr="009B1E1E" w:rsidRDefault="006E1124" w:rsidP="006E1124">
            <w:pPr>
              <w:spacing w:before="0" w:after="0"/>
              <w:jc w:val="center"/>
              <w:rPr>
                <w:rFonts w:ascii="Arial" w:eastAsia="Times New Roman" w:hAnsi="Arial" w:cs="Arial"/>
                <w:b/>
                <w:color w:val="000000"/>
                <w:sz w:val="20"/>
                <w:szCs w:val="20"/>
                <w:lang w:eastAsia="es-CO"/>
              </w:rPr>
            </w:pPr>
            <w:r w:rsidRPr="009B1E1E">
              <w:rPr>
                <w:rFonts w:ascii="Arial" w:eastAsia="Calibri" w:hAnsi="Arial" w:cs="Arial"/>
                <w:b/>
                <w:color w:val="000000"/>
                <w:sz w:val="20"/>
                <w:szCs w:val="20"/>
                <w:lang w:eastAsia="es-CO"/>
              </w:rPr>
              <w:t>Empresa</w:t>
            </w:r>
          </w:p>
        </w:tc>
        <w:tc>
          <w:tcPr>
            <w:tcW w:w="1200" w:type="dxa"/>
            <w:tcBorders>
              <w:top w:val="single" w:sz="8" w:space="0" w:color="DBDBDB"/>
              <w:left w:val="nil"/>
              <w:bottom w:val="single" w:sz="12" w:space="0" w:color="C9C9C9"/>
              <w:right w:val="single" w:sz="8" w:space="0" w:color="DBDBDB"/>
            </w:tcBorders>
            <w:shd w:val="clear" w:color="auto" w:fill="auto"/>
            <w:vAlign w:val="center"/>
            <w:hideMark/>
          </w:tcPr>
          <w:p w14:paraId="1AA53488" w14:textId="77777777" w:rsidR="006E1124" w:rsidRPr="009B1E1E" w:rsidRDefault="006E1124" w:rsidP="006E1124">
            <w:pPr>
              <w:spacing w:before="0" w:after="0"/>
              <w:jc w:val="center"/>
              <w:rPr>
                <w:rFonts w:ascii="Arial" w:eastAsia="Times New Roman" w:hAnsi="Arial" w:cs="Arial"/>
                <w:b/>
                <w:color w:val="000000"/>
                <w:sz w:val="20"/>
                <w:szCs w:val="20"/>
                <w:lang w:eastAsia="es-CO"/>
              </w:rPr>
            </w:pPr>
            <w:r w:rsidRPr="009B1E1E">
              <w:rPr>
                <w:rFonts w:ascii="Arial" w:eastAsia="Calibri" w:hAnsi="Arial" w:cs="Arial"/>
                <w:b/>
                <w:color w:val="000000"/>
                <w:sz w:val="20"/>
                <w:szCs w:val="20"/>
                <w:lang w:eastAsia="es-CO"/>
              </w:rPr>
              <w:t>Eficiencia</w:t>
            </w:r>
          </w:p>
        </w:tc>
      </w:tr>
      <w:tr w:rsidR="006E1124" w:rsidRPr="009B1E1E" w14:paraId="20C64602" w14:textId="77777777" w:rsidTr="006E1124">
        <w:trPr>
          <w:trHeight w:val="345"/>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0F0B1EDA"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w:t>
            </w:r>
          </w:p>
        </w:tc>
        <w:tc>
          <w:tcPr>
            <w:tcW w:w="1200" w:type="dxa"/>
            <w:tcBorders>
              <w:top w:val="nil"/>
              <w:left w:val="nil"/>
              <w:bottom w:val="single" w:sz="8" w:space="0" w:color="DBDBDB"/>
              <w:right w:val="single" w:sz="8" w:space="0" w:color="DBDBDB"/>
            </w:tcBorders>
            <w:shd w:val="clear" w:color="auto" w:fill="auto"/>
            <w:vAlign w:val="center"/>
            <w:hideMark/>
          </w:tcPr>
          <w:p w14:paraId="38AB5AC7"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0,9462</w:t>
            </w:r>
          </w:p>
        </w:tc>
      </w:tr>
      <w:tr w:rsidR="006E1124" w:rsidRPr="009B1E1E" w14:paraId="7BA0C10C"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717879AA"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2</w:t>
            </w:r>
          </w:p>
        </w:tc>
        <w:tc>
          <w:tcPr>
            <w:tcW w:w="1200" w:type="dxa"/>
            <w:tcBorders>
              <w:top w:val="nil"/>
              <w:left w:val="nil"/>
              <w:bottom w:val="single" w:sz="8" w:space="0" w:color="DBDBDB"/>
              <w:right w:val="single" w:sz="8" w:space="0" w:color="DBDBDB"/>
            </w:tcBorders>
            <w:shd w:val="clear" w:color="auto" w:fill="auto"/>
            <w:vAlign w:val="center"/>
            <w:hideMark/>
          </w:tcPr>
          <w:p w14:paraId="35E05EC7"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0,9442</w:t>
            </w:r>
          </w:p>
        </w:tc>
      </w:tr>
      <w:tr w:rsidR="006E1124" w:rsidRPr="009B1E1E" w14:paraId="3E9037C6"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611AD182"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3</w:t>
            </w:r>
          </w:p>
        </w:tc>
        <w:tc>
          <w:tcPr>
            <w:tcW w:w="1200" w:type="dxa"/>
            <w:tcBorders>
              <w:top w:val="nil"/>
              <w:left w:val="nil"/>
              <w:bottom w:val="single" w:sz="8" w:space="0" w:color="DBDBDB"/>
              <w:right w:val="single" w:sz="8" w:space="0" w:color="DBDBDB"/>
            </w:tcBorders>
            <w:shd w:val="clear" w:color="auto" w:fill="auto"/>
            <w:vAlign w:val="center"/>
            <w:hideMark/>
          </w:tcPr>
          <w:p w14:paraId="5CE454A5"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0,944</w:t>
            </w:r>
          </w:p>
        </w:tc>
      </w:tr>
      <w:tr w:rsidR="006E1124" w:rsidRPr="009B1E1E" w14:paraId="1BB3B917"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3DB88E1B"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4</w:t>
            </w:r>
          </w:p>
        </w:tc>
        <w:tc>
          <w:tcPr>
            <w:tcW w:w="1200" w:type="dxa"/>
            <w:tcBorders>
              <w:top w:val="nil"/>
              <w:left w:val="nil"/>
              <w:bottom w:val="single" w:sz="8" w:space="0" w:color="DBDBDB"/>
              <w:right w:val="single" w:sz="8" w:space="0" w:color="DBDBDB"/>
            </w:tcBorders>
            <w:shd w:val="clear" w:color="auto" w:fill="auto"/>
            <w:vAlign w:val="center"/>
            <w:hideMark/>
          </w:tcPr>
          <w:p w14:paraId="6C308037"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0,9321</w:t>
            </w:r>
          </w:p>
        </w:tc>
      </w:tr>
      <w:tr w:rsidR="006E1124" w:rsidRPr="009B1E1E" w14:paraId="5002C69F"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58D06B9D"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5</w:t>
            </w:r>
          </w:p>
        </w:tc>
        <w:tc>
          <w:tcPr>
            <w:tcW w:w="1200" w:type="dxa"/>
            <w:tcBorders>
              <w:top w:val="nil"/>
              <w:left w:val="nil"/>
              <w:bottom w:val="single" w:sz="8" w:space="0" w:color="DBDBDB"/>
              <w:right w:val="single" w:sz="8" w:space="0" w:color="DBDBDB"/>
            </w:tcBorders>
            <w:shd w:val="clear" w:color="auto" w:fill="auto"/>
            <w:vAlign w:val="center"/>
            <w:hideMark/>
          </w:tcPr>
          <w:p w14:paraId="4EBD5215"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0,9263</w:t>
            </w:r>
          </w:p>
        </w:tc>
      </w:tr>
      <w:tr w:rsidR="006E1124" w:rsidRPr="009B1E1E" w14:paraId="4435033D"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158A972F"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6</w:t>
            </w:r>
          </w:p>
        </w:tc>
        <w:tc>
          <w:tcPr>
            <w:tcW w:w="1200" w:type="dxa"/>
            <w:tcBorders>
              <w:top w:val="nil"/>
              <w:left w:val="nil"/>
              <w:bottom w:val="single" w:sz="8" w:space="0" w:color="DBDBDB"/>
              <w:right w:val="single" w:sz="8" w:space="0" w:color="DBDBDB"/>
            </w:tcBorders>
            <w:shd w:val="clear" w:color="auto" w:fill="auto"/>
            <w:vAlign w:val="center"/>
            <w:hideMark/>
          </w:tcPr>
          <w:p w14:paraId="00D69C40"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0,915</w:t>
            </w:r>
          </w:p>
        </w:tc>
      </w:tr>
      <w:tr w:rsidR="006E1124" w:rsidRPr="009B1E1E" w14:paraId="47C57B4F"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40CA19A5"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7</w:t>
            </w:r>
          </w:p>
        </w:tc>
        <w:tc>
          <w:tcPr>
            <w:tcW w:w="1200" w:type="dxa"/>
            <w:tcBorders>
              <w:top w:val="nil"/>
              <w:left w:val="nil"/>
              <w:bottom w:val="single" w:sz="8" w:space="0" w:color="DBDBDB"/>
              <w:right w:val="single" w:sz="8" w:space="0" w:color="DBDBDB"/>
            </w:tcBorders>
            <w:shd w:val="clear" w:color="auto" w:fill="auto"/>
            <w:vAlign w:val="center"/>
            <w:hideMark/>
          </w:tcPr>
          <w:p w14:paraId="2446B61F"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0,8789</w:t>
            </w:r>
          </w:p>
        </w:tc>
      </w:tr>
      <w:tr w:rsidR="006E1124" w:rsidRPr="009B1E1E" w14:paraId="04C251D0"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7E185A71"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8</w:t>
            </w:r>
          </w:p>
        </w:tc>
        <w:tc>
          <w:tcPr>
            <w:tcW w:w="1200" w:type="dxa"/>
            <w:tcBorders>
              <w:top w:val="nil"/>
              <w:left w:val="nil"/>
              <w:bottom w:val="single" w:sz="8" w:space="0" w:color="DBDBDB"/>
              <w:right w:val="single" w:sz="8" w:space="0" w:color="DBDBDB"/>
            </w:tcBorders>
            <w:shd w:val="clear" w:color="auto" w:fill="auto"/>
            <w:vAlign w:val="center"/>
            <w:hideMark/>
          </w:tcPr>
          <w:p w14:paraId="07528B9A"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0,8742</w:t>
            </w:r>
          </w:p>
        </w:tc>
      </w:tr>
      <w:tr w:rsidR="006E1124" w:rsidRPr="009B1E1E" w14:paraId="45509A88"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2DC95B40"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9</w:t>
            </w:r>
          </w:p>
        </w:tc>
        <w:tc>
          <w:tcPr>
            <w:tcW w:w="1200" w:type="dxa"/>
            <w:tcBorders>
              <w:top w:val="nil"/>
              <w:left w:val="nil"/>
              <w:bottom w:val="single" w:sz="8" w:space="0" w:color="DBDBDB"/>
              <w:right w:val="single" w:sz="8" w:space="0" w:color="DBDBDB"/>
            </w:tcBorders>
            <w:shd w:val="clear" w:color="auto" w:fill="auto"/>
            <w:vAlign w:val="center"/>
            <w:hideMark/>
          </w:tcPr>
          <w:p w14:paraId="20BE730E"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0,8641</w:t>
            </w:r>
          </w:p>
        </w:tc>
      </w:tr>
      <w:tr w:rsidR="006E1124" w:rsidRPr="009B1E1E" w14:paraId="3671C045"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404520F5"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10</w:t>
            </w:r>
          </w:p>
        </w:tc>
        <w:tc>
          <w:tcPr>
            <w:tcW w:w="1200" w:type="dxa"/>
            <w:tcBorders>
              <w:top w:val="nil"/>
              <w:left w:val="nil"/>
              <w:bottom w:val="single" w:sz="8" w:space="0" w:color="DBDBDB"/>
              <w:right w:val="single" w:sz="8" w:space="0" w:color="DBDBDB"/>
            </w:tcBorders>
            <w:shd w:val="clear" w:color="auto" w:fill="auto"/>
            <w:vAlign w:val="center"/>
            <w:hideMark/>
          </w:tcPr>
          <w:p w14:paraId="370E30C5"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0,8604</w:t>
            </w:r>
          </w:p>
        </w:tc>
      </w:tr>
      <w:tr w:rsidR="006E1124" w:rsidRPr="009B1E1E" w14:paraId="08F03FAD"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44E9F494"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11</w:t>
            </w:r>
          </w:p>
        </w:tc>
        <w:tc>
          <w:tcPr>
            <w:tcW w:w="1200" w:type="dxa"/>
            <w:tcBorders>
              <w:top w:val="nil"/>
              <w:left w:val="nil"/>
              <w:bottom w:val="single" w:sz="8" w:space="0" w:color="DBDBDB"/>
              <w:right w:val="single" w:sz="8" w:space="0" w:color="DBDBDB"/>
            </w:tcBorders>
            <w:shd w:val="clear" w:color="auto" w:fill="auto"/>
            <w:vAlign w:val="center"/>
            <w:hideMark/>
          </w:tcPr>
          <w:p w14:paraId="5E589F9D"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0,8587</w:t>
            </w:r>
          </w:p>
        </w:tc>
      </w:tr>
      <w:tr w:rsidR="006E1124" w:rsidRPr="009B1E1E" w14:paraId="781D2A33"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03C78A12"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12</w:t>
            </w:r>
          </w:p>
        </w:tc>
        <w:tc>
          <w:tcPr>
            <w:tcW w:w="1200" w:type="dxa"/>
            <w:tcBorders>
              <w:top w:val="nil"/>
              <w:left w:val="nil"/>
              <w:bottom w:val="single" w:sz="8" w:space="0" w:color="DBDBDB"/>
              <w:right w:val="single" w:sz="8" w:space="0" w:color="DBDBDB"/>
            </w:tcBorders>
            <w:shd w:val="clear" w:color="auto" w:fill="auto"/>
            <w:vAlign w:val="center"/>
            <w:hideMark/>
          </w:tcPr>
          <w:p w14:paraId="19088D30"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0,8353</w:t>
            </w:r>
          </w:p>
        </w:tc>
      </w:tr>
      <w:tr w:rsidR="006E1124" w:rsidRPr="009B1E1E" w14:paraId="2AE4C22B"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11E8D679"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13</w:t>
            </w:r>
          </w:p>
        </w:tc>
        <w:tc>
          <w:tcPr>
            <w:tcW w:w="1200" w:type="dxa"/>
            <w:tcBorders>
              <w:top w:val="nil"/>
              <w:left w:val="nil"/>
              <w:bottom w:val="single" w:sz="8" w:space="0" w:color="DBDBDB"/>
              <w:right w:val="single" w:sz="8" w:space="0" w:color="DBDBDB"/>
            </w:tcBorders>
            <w:shd w:val="clear" w:color="auto" w:fill="auto"/>
            <w:vAlign w:val="center"/>
            <w:hideMark/>
          </w:tcPr>
          <w:p w14:paraId="2C78A1D2"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0,829</w:t>
            </w:r>
          </w:p>
        </w:tc>
      </w:tr>
      <w:tr w:rsidR="006E1124" w:rsidRPr="009B1E1E" w14:paraId="7817DC2A"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24F9AD09"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14</w:t>
            </w:r>
          </w:p>
        </w:tc>
        <w:tc>
          <w:tcPr>
            <w:tcW w:w="1200" w:type="dxa"/>
            <w:tcBorders>
              <w:top w:val="nil"/>
              <w:left w:val="nil"/>
              <w:bottom w:val="single" w:sz="8" w:space="0" w:color="DBDBDB"/>
              <w:right w:val="single" w:sz="8" w:space="0" w:color="DBDBDB"/>
            </w:tcBorders>
            <w:shd w:val="clear" w:color="auto" w:fill="auto"/>
            <w:vAlign w:val="center"/>
            <w:hideMark/>
          </w:tcPr>
          <w:p w14:paraId="196FFBB4"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0,8214</w:t>
            </w:r>
          </w:p>
        </w:tc>
      </w:tr>
      <w:tr w:rsidR="006E1124" w:rsidRPr="009B1E1E" w14:paraId="7F9AF77C"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466624CE"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15</w:t>
            </w:r>
          </w:p>
        </w:tc>
        <w:tc>
          <w:tcPr>
            <w:tcW w:w="1200" w:type="dxa"/>
            <w:tcBorders>
              <w:top w:val="nil"/>
              <w:left w:val="nil"/>
              <w:bottom w:val="single" w:sz="8" w:space="0" w:color="DBDBDB"/>
              <w:right w:val="single" w:sz="8" w:space="0" w:color="DBDBDB"/>
            </w:tcBorders>
            <w:shd w:val="clear" w:color="auto" w:fill="auto"/>
            <w:vAlign w:val="center"/>
            <w:hideMark/>
          </w:tcPr>
          <w:p w14:paraId="579EBBE4"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0,8116</w:t>
            </w:r>
          </w:p>
        </w:tc>
      </w:tr>
      <w:tr w:rsidR="006E1124" w:rsidRPr="009B1E1E" w14:paraId="64B9703A"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77155232"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16</w:t>
            </w:r>
          </w:p>
        </w:tc>
        <w:tc>
          <w:tcPr>
            <w:tcW w:w="1200" w:type="dxa"/>
            <w:tcBorders>
              <w:top w:val="nil"/>
              <w:left w:val="nil"/>
              <w:bottom w:val="single" w:sz="8" w:space="0" w:color="DBDBDB"/>
              <w:right w:val="single" w:sz="8" w:space="0" w:color="DBDBDB"/>
            </w:tcBorders>
            <w:shd w:val="clear" w:color="auto" w:fill="auto"/>
            <w:vAlign w:val="center"/>
            <w:hideMark/>
          </w:tcPr>
          <w:p w14:paraId="07FF35A3"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0,7874</w:t>
            </w:r>
          </w:p>
        </w:tc>
      </w:tr>
      <w:tr w:rsidR="006E1124" w:rsidRPr="009B1E1E" w14:paraId="72D63364"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39133BE2"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17</w:t>
            </w:r>
          </w:p>
        </w:tc>
        <w:tc>
          <w:tcPr>
            <w:tcW w:w="1200" w:type="dxa"/>
            <w:tcBorders>
              <w:top w:val="nil"/>
              <w:left w:val="nil"/>
              <w:bottom w:val="single" w:sz="8" w:space="0" w:color="DBDBDB"/>
              <w:right w:val="single" w:sz="8" w:space="0" w:color="DBDBDB"/>
            </w:tcBorders>
            <w:shd w:val="clear" w:color="auto" w:fill="auto"/>
            <w:vAlign w:val="center"/>
            <w:hideMark/>
          </w:tcPr>
          <w:p w14:paraId="31ED2CA3"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0,7339</w:t>
            </w:r>
          </w:p>
        </w:tc>
      </w:tr>
      <w:tr w:rsidR="006E1124" w:rsidRPr="009B1E1E" w14:paraId="33FEE05E"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1E7E7CCA"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18</w:t>
            </w:r>
          </w:p>
        </w:tc>
        <w:tc>
          <w:tcPr>
            <w:tcW w:w="1200" w:type="dxa"/>
            <w:tcBorders>
              <w:top w:val="nil"/>
              <w:left w:val="nil"/>
              <w:bottom w:val="single" w:sz="8" w:space="0" w:color="DBDBDB"/>
              <w:right w:val="single" w:sz="8" w:space="0" w:color="DBDBDB"/>
            </w:tcBorders>
            <w:shd w:val="clear" w:color="auto" w:fill="auto"/>
            <w:vAlign w:val="center"/>
            <w:hideMark/>
          </w:tcPr>
          <w:p w14:paraId="758615CA"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0,7231</w:t>
            </w:r>
          </w:p>
        </w:tc>
      </w:tr>
      <w:tr w:rsidR="006E1124" w:rsidRPr="009B1E1E" w14:paraId="0230EBB4"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53F244E6"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19</w:t>
            </w:r>
          </w:p>
        </w:tc>
        <w:tc>
          <w:tcPr>
            <w:tcW w:w="1200" w:type="dxa"/>
            <w:tcBorders>
              <w:top w:val="nil"/>
              <w:left w:val="nil"/>
              <w:bottom w:val="single" w:sz="8" w:space="0" w:color="DBDBDB"/>
              <w:right w:val="single" w:sz="8" w:space="0" w:color="DBDBDB"/>
            </w:tcBorders>
            <w:shd w:val="clear" w:color="auto" w:fill="auto"/>
            <w:vAlign w:val="center"/>
            <w:hideMark/>
          </w:tcPr>
          <w:p w14:paraId="104A01BA"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0,7063</w:t>
            </w:r>
          </w:p>
        </w:tc>
      </w:tr>
      <w:tr w:rsidR="006E1124" w:rsidRPr="009B1E1E" w14:paraId="47453714"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29CF1589"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20</w:t>
            </w:r>
          </w:p>
        </w:tc>
        <w:tc>
          <w:tcPr>
            <w:tcW w:w="1200" w:type="dxa"/>
            <w:tcBorders>
              <w:top w:val="nil"/>
              <w:left w:val="nil"/>
              <w:bottom w:val="single" w:sz="8" w:space="0" w:color="DBDBDB"/>
              <w:right w:val="single" w:sz="8" w:space="0" w:color="DBDBDB"/>
            </w:tcBorders>
            <w:shd w:val="clear" w:color="auto" w:fill="auto"/>
            <w:vAlign w:val="center"/>
            <w:hideMark/>
          </w:tcPr>
          <w:p w14:paraId="0879E4A5"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0,7038</w:t>
            </w:r>
          </w:p>
        </w:tc>
      </w:tr>
      <w:tr w:rsidR="006E1124" w:rsidRPr="009B1E1E" w14:paraId="7DB0DEB4"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455EC964"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21</w:t>
            </w:r>
          </w:p>
        </w:tc>
        <w:tc>
          <w:tcPr>
            <w:tcW w:w="1200" w:type="dxa"/>
            <w:tcBorders>
              <w:top w:val="nil"/>
              <w:left w:val="nil"/>
              <w:bottom w:val="single" w:sz="8" w:space="0" w:color="DBDBDB"/>
              <w:right w:val="single" w:sz="8" w:space="0" w:color="DBDBDB"/>
            </w:tcBorders>
            <w:shd w:val="clear" w:color="auto" w:fill="auto"/>
            <w:vAlign w:val="center"/>
            <w:hideMark/>
          </w:tcPr>
          <w:p w14:paraId="6060D3F9"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0,6547</w:t>
            </w:r>
          </w:p>
        </w:tc>
      </w:tr>
      <w:tr w:rsidR="006E1124" w:rsidRPr="009B1E1E" w14:paraId="4E27A640" w14:textId="77777777" w:rsidTr="006E1124">
        <w:trPr>
          <w:trHeight w:val="330"/>
          <w:jc w:val="center"/>
        </w:trPr>
        <w:tc>
          <w:tcPr>
            <w:tcW w:w="2680" w:type="dxa"/>
            <w:tcBorders>
              <w:top w:val="nil"/>
              <w:left w:val="single" w:sz="8" w:space="0" w:color="DBDBDB"/>
              <w:bottom w:val="single" w:sz="8" w:space="0" w:color="DBDBDB"/>
              <w:right w:val="single" w:sz="8" w:space="0" w:color="DBDBDB"/>
            </w:tcBorders>
            <w:shd w:val="clear" w:color="auto" w:fill="auto"/>
            <w:vAlign w:val="center"/>
            <w:hideMark/>
          </w:tcPr>
          <w:p w14:paraId="055CAB23" w14:textId="77777777" w:rsidR="006E1124" w:rsidRPr="009B1E1E" w:rsidRDefault="006E1124" w:rsidP="006E1124">
            <w:pPr>
              <w:spacing w:before="0" w:after="0"/>
              <w:rPr>
                <w:rFonts w:ascii="Arial" w:eastAsia="Times New Roman" w:hAnsi="Arial" w:cs="Arial"/>
                <w:b/>
                <w:bCs/>
                <w:color w:val="000000"/>
                <w:sz w:val="20"/>
                <w:szCs w:val="20"/>
                <w:lang w:eastAsia="es-CO"/>
              </w:rPr>
            </w:pPr>
            <w:r w:rsidRPr="009B1E1E">
              <w:rPr>
                <w:rFonts w:ascii="Arial" w:eastAsia="Times New Roman" w:hAnsi="Arial" w:cs="Arial"/>
                <w:b/>
                <w:bCs/>
                <w:color w:val="000000"/>
                <w:sz w:val="20"/>
                <w:szCs w:val="20"/>
                <w:lang w:eastAsia="es-CO"/>
              </w:rPr>
              <w:t>Comercializador 22</w:t>
            </w:r>
          </w:p>
        </w:tc>
        <w:tc>
          <w:tcPr>
            <w:tcW w:w="1200" w:type="dxa"/>
            <w:tcBorders>
              <w:top w:val="nil"/>
              <w:left w:val="nil"/>
              <w:bottom w:val="single" w:sz="8" w:space="0" w:color="DBDBDB"/>
              <w:right w:val="single" w:sz="8" w:space="0" w:color="DBDBDB"/>
            </w:tcBorders>
            <w:shd w:val="clear" w:color="auto" w:fill="auto"/>
            <w:vAlign w:val="center"/>
            <w:hideMark/>
          </w:tcPr>
          <w:p w14:paraId="4F1E080C" w14:textId="77777777" w:rsidR="006E1124" w:rsidRPr="009B1E1E" w:rsidRDefault="006E1124" w:rsidP="006E1124">
            <w:pPr>
              <w:spacing w:before="0" w:after="0"/>
              <w:jc w:val="right"/>
              <w:rPr>
                <w:rFonts w:ascii="Arial" w:eastAsia="Times New Roman" w:hAnsi="Arial" w:cs="Arial"/>
                <w:color w:val="000000"/>
                <w:sz w:val="20"/>
                <w:szCs w:val="20"/>
                <w:lang w:eastAsia="es-CO"/>
              </w:rPr>
            </w:pPr>
            <w:r w:rsidRPr="009B1E1E">
              <w:rPr>
                <w:rFonts w:ascii="Arial" w:eastAsia="Times New Roman" w:hAnsi="Arial" w:cs="Arial"/>
                <w:color w:val="000000"/>
                <w:sz w:val="20"/>
                <w:szCs w:val="20"/>
                <w:lang w:eastAsia="es-CO"/>
              </w:rPr>
              <w:t>0,6336</w:t>
            </w:r>
          </w:p>
        </w:tc>
      </w:tr>
    </w:tbl>
    <w:p w14:paraId="7BEED8B0" w14:textId="47279049" w:rsidR="00AC64E6" w:rsidRPr="00C72CB2" w:rsidRDefault="00AC64E6" w:rsidP="00E30693">
      <w:pPr>
        <w:jc w:val="both"/>
        <w:rPr>
          <w:rFonts w:ascii="Arial" w:hAnsi="Arial" w:cs="Arial"/>
        </w:rPr>
      </w:pPr>
      <w:bookmarkStart w:id="39" w:name="_Toc143161949"/>
      <w:bookmarkStart w:id="40" w:name="_Toc143786255"/>
      <w:bookmarkStart w:id="41" w:name="_Toc143788391"/>
      <w:bookmarkStart w:id="42" w:name="_Toc143161950"/>
      <w:bookmarkStart w:id="43" w:name="_Toc143786256"/>
      <w:bookmarkStart w:id="44" w:name="_Toc143788392"/>
      <w:bookmarkEnd w:id="39"/>
      <w:bookmarkEnd w:id="40"/>
      <w:bookmarkEnd w:id="41"/>
      <w:bookmarkEnd w:id="42"/>
      <w:bookmarkEnd w:id="43"/>
      <w:bookmarkEnd w:id="44"/>
      <w:r w:rsidRPr="00C72CB2">
        <w:rPr>
          <w:rFonts w:ascii="Arial" w:hAnsi="Arial" w:cs="Arial"/>
        </w:rPr>
        <w:t xml:space="preserve">La propuesta incluye la aplicación de la </w:t>
      </w:r>
      <w:r w:rsidR="00943599" w:rsidRPr="00C72CB2">
        <w:rPr>
          <w:rFonts w:ascii="Arial" w:hAnsi="Arial" w:cs="Arial"/>
        </w:rPr>
        <w:t xml:space="preserve">eficiencia desde el primer año de </w:t>
      </w:r>
      <w:r w:rsidR="00561F6A">
        <w:rPr>
          <w:rFonts w:ascii="Arial" w:hAnsi="Arial" w:cs="Arial"/>
        </w:rPr>
        <w:t xml:space="preserve">implementación </w:t>
      </w:r>
      <w:r w:rsidR="00C72CB2" w:rsidRPr="00C72CB2">
        <w:rPr>
          <w:rFonts w:ascii="Arial" w:hAnsi="Arial" w:cs="Arial"/>
        </w:rPr>
        <w:t xml:space="preserve">de la metodología. </w:t>
      </w:r>
    </w:p>
    <w:p w14:paraId="60FC27AF" w14:textId="6031FFBD" w:rsidR="00175272" w:rsidRPr="00115F4D" w:rsidRDefault="001448B5" w:rsidP="00C00C77">
      <w:pPr>
        <w:pStyle w:val="Ttulo2"/>
        <w:numPr>
          <w:ilvl w:val="1"/>
          <w:numId w:val="24"/>
        </w:numPr>
      </w:pPr>
      <w:bookmarkStart w:id="45" w:name="_Toc165037336"/>
      <w:r w:rsidRPr="00115F4D">
        <w:lastRenderedPageBreak/>
        <w:t xml:space="preserve">Componente </w:t>
      </w:r>
      <w:r w:rsidR="001125BC">
        <w:t>v</w:t>
      </w:r>
      <w:r w:rsidRPr="00115F4D">
        <w:t>ariable del costo de comercialización</w:t>
      </w:r>
      <w:bookmarkEnd w:id="45"/>
    </w:p>
    <w:p w14:paraId="604C1EEA" w14:textId="79A3612C" w:rsidR="001E13E9" w:rsidRPr="00115F4D" w:rsidRDefault="001E13E9" w:rsidP="00891C31">
      <w:pPr>
        <w:jc w:val="both"/>
        <w:rPr>
          <w:rFonts w:ascii="Arial" w:hAnsi="Arial" w:cs="Arial"/>
        </w:rPr>
      </w:pPr>
      <w:r w:rsidRPr="00115F4D">
        <w:rPr>
          <w:rFonts w:ascii="Arial" w:hAnsi="Arial" w:cs="Arial"/>
        </w:rPr>
        <w:t xml:space="preserve">Este </w:t>
      </w:r>
      <w:r w:rsidR="00E30693">
        <w:rPr>
          <w:rFonts w:ascii="Arial" w:hAnsi="Arial" w:cs="Arial"/>
        </w:rPr>
        <w:t>num</w:t>
      </w:r>
      <w:r w:rsidR="00D3727E">
        <w:rPr>
          <w:rFonts w:ascii="Arial" w:hAnsi="Arial" w:cs="Arial"/>
        </w:rPr>
        <w:t xml:space="preserve">eral </w:t>
      </w:r>
      <w:r w:rsidRPr="00115F4D">
        <w:rPr>
          <w:rFonts w:ascii="Arial" w:hAnsi="Arial" w:cs="Arial"/>
        </w:rPr>
        <w:t>presenta una propuesta para la estimación y valoración de los componentes del costo variable de comercialización</w:t>
      </w:r>
      <w:r w:rsidR="00E814A0" w:rsidRPr="00115F4D">
        <w:rPr>
          <w:rFonts w:ascii="Arial" w:hAnsi="Arial" w:cs="Arial"/>
        </w:rPr>
        <w:t xml:space="preserve"> </w:t>
      </w:r>
      <w:r w:rsidRPr="00115F4D">
        <w:rPr>
          <w:rFonts w:ascii="Arial" w:hAnsi="Arial" w:cs="Arial"/>
        </w:rPr>
        <w:t>y en particular en lo referente con la estimación y valoración de los riesgos por la atención a usuarios regulados.</w:t>
      </w:r>
    </w:p>
    <w:p w14:paraId="126F748E" w14:textId="634ADBEB" w:rsidR="002A6B15" w:rsidRPr="00115F4D" w:rsidRDefault="002A6B15" w:rsidP="00C00C77">
      <w:pPr>
        <w:pStyle w:val="Ttulo3"/>
        <w:numPr>
          <w:ilvl w:val="2"/>
          <w:numId w:val="24"/>
        </w:numPr>
      </w:pPr>
      <w:bookmarkStart w:id="46" w:name="_Toc165037337"/>
      <w:r w:rsidRPr="00115F4D">
        <w:t xml:space="preserve">Margen </w:t>
      </w:r>
      <w:r w:rsidR="00DD21D4" w:rsidRPr="00115F4D">
        <w:t>para remunerar la actividad de comerciali</w:t>
      </w:r>
      <w:r w:rsidR="00362C07" w:rsidRPr="00115F4D">
        <w:t>zación</w:t>
      </w:r>
      <w:r w:rsidR="005A0B66" w:rsidRPr="00115F4D">
        <w:t>.</w:t>
      </w:r>
      <w:bookmarkEnd w:id="46"/>
    </w:p>
    <w:p w14:paraId="67126227" w14:textId="67AF5922" w:rsidR="00B61560" w:rsidRPr="00115F4D" w:rsidRDefault="00935F72" w:rsidP="00891C31">
      <w:pPr>
        <w:jc w:val="both"/>
        <w:rPr>
          <w:rFonts w:ascii="Arial" w:hAnsi="Arial" w:cs="Arial"/>
        </w:rPr>
      </w:pPr>
      <w:r w:rsidRPr="00115F4D">
        <w:rPr>
          <w:rFonts w:ascii="Arial" w:hAnsi="Arial" w:cs="Arial"/>
        </w:rPr>
        <w:t xml:space="preserve">En el estudio </w:t>
      </w:r>
      <w:r w:rsidR="001017F1" w:rsidRPr="00115F4D">
        <w:rPr>
          <w:rFonts w:ascii="Arial" w:hAnsi="Arial" w:cs="Arial"/>
        </w:rPr>
        <w:t>publicado</w:t>
      </w:r>
      <w:r w:rsidRPr="00115F4D">
        <w:rPr>
          <w:rFonts w:ascii="Arial" w:hAnsi="Arial" w:cs="Arial"/>
        </w:rPr>
        <w:t xml:space="preserve"> en la </w:t>
      </w:r>
      <w:r w:rsidR="00FE21BF">
        <w:rPr>
          <w:rFonts w:ascii="Arial" w:hAnsi="Arial" w:cs="Arial"/>
        </w:rPr>
        <w:t>C</w:t>
      </w:r>
      <w:r w:rsidRPr="00115F4D">
        <w:rPr>
          <w:rFonts w:ascii="Arial" w:hAnsi="Arial" w:cs="Arial"/>
        </w:rPr>
        <w:t xml:space="preserve">ircular 087 de 2021, </w:t>
      </w:r>
      <w:r w:rsidR="00120C50" w:rsidRPr="00115F4D">
        <w:rPr>
          <w:rFonts w:ascii="Arial" w:hAnsi="Arial" w:cs="Arial"/>
        </w:rPr>
        <w:t>se</w:t>
      </w:r>
      <w:r w:rsidR="00B439C3" w:rsidRPr="00115F4D">
        <w:rPr>
          <w:rFonts w:ascii="Arial" w:hAnsi="Arial" w:cs="Arial"/>
        </w:rPr>
        <w:t xml:space="preserve"> considera adecuada la estrategia emple</w:t>
      </w:r>
      <w:r w:rsidR="0097353F" w:rsidRPr="00115F4D">
        <w:rPr>
          <w:rFonts w:ascii="Arial" w:hAnsi="Arial" w:cs="Arial"/>
        </w:rPr>
        <w:t>a</w:t>
      </w:r>
      <w:r w:rsidR="00ED6951" w:rsidRPr="00115F4D">
        <w:rPr>
          <w:rFonts w:ascii="Arial" w:hAnsi="Arial" w:cs="Arial"/>
        </w:rPr>
        <w:t>d</w:t>
      </w:r>
      <w:r w:rsidR="00B439C3" w:rsidRPr="00115F4D">
        <w:rPr>
          <w:rFonts w:ascii="Arial" w:hAnsi="Arial" w:cs="Arial"/>
        </w:rPr>
        <w:t xml:space="preserve">a para determinar el margen, </w:t>
      </w:r>
      <w:r w:rsidR="00B16F00" w:rsidRPr="00115F4D">
        <w:rPr>
          <w:rFonts w:ascii="Arial" w:hAnsi="Arial" w:cs="Arial"/>
        </w:rPr>
        <w:t>y realiza</w:t>
      </w:r>
      <w:r w:rsidR="00B439C3" w:rsidRPr="00115F4D">
        <w:rPr>
          <w:rFonts w:ascii="Arial" w:hAnsi="Arial" w:cs="Arial"/>
        </w:rPr>
        <w:t xml:space="preserve"> la estimación de los márgenes para los sectores equivalentes a G5151 y G5219, dado que la codificación </w:t>
      </w:r>
      <w:r w:rsidR="00FC1565" w:rsidRPr="00115F4D">
        <w:rPr>
          <w:rFonts w:ascii="Arial" w:hAnsi="Arial" w:cs="Arial"/>
        </w:rPr>
        <w:t xml:space="preserve">de </w:t>
      </w:r>
      <w:r w:rsidR="00FC1565" w:rsidRPr="00115F4D">
        <w:rPr>
          <w:rFonts w:ascii="Arial" w:hAnsi="Arial" w:cs="Arial"/>
          <w:i/>
          <w:iCs/>
        </w:rPr>
        <w:t>Clasificación industrial internacional uniforme de todas las actividades económicas</w:t>
      </w:r>
      <w:r w:rsidR="00B61560" w:rsidRPr="00115F4D">
        <w:rPr>
          <w:rFonts w:ascii="Arial" w:hAnsi="Arial" w:cs="Arial"/>
          <w:i/>
          <w:iCs/>
        </w:rPr>
        <w:t xml:space="preserve"> </w:t>
      </w:r>
      <w:r w:rsidR="00B61560" w:rsidRPr="00115F4D">
        <w:rPr>
          <w:rFonts w:ascii="Arial" w:hAnsi="Arial" w:cs="Arial"/>
        </w:rPr>
        <w:t>cambio</w:t>
      </w:r>
      <w:r w:rsidR="00B4729D" w:rsidRPr="00115F4D">
        <w:rPr>
          <w:rFonts w:ascii="Arial" w:hAnsi="Arial" w:cs="Arial"/>
        </w:rPr>
        <w:t xml:space="preserve"> respecto a la contemplada en la metodología vigente</w:t>
      </w:r>
      <w:r w:rsidR="0052168F" w:rsidRPr="00115F4D">
        <w:rPr>
          <w:rFonts w:ascii="Arial" w:hAnsi="Arial" w:cs="Arial"/>
        </w:rPr>
        <w:t>, l</w:t>
      </w:r>
      <w:r w:rsidR="00B61560" w:rsidRPr="00115F4D">
        <w:rPr>
          <w:rFonts w:ascii="Arial" w:hAnsi="Arial" w:cs="Arial"/>
        </w:rPr>
        <w:t>os nuevos códigos son</w:t>
      </w:r>
      <w:r w:rsidR="00960F83" w:rsidRPr="00115F4D">
        <w:rPr>
          <w:rFonts w:ascii="Arial" w:hAnsi="Arial" w:cs="Arial"/>
        </w:rPr>
        <w:t>:</w:t>
      </w:r>
    </w:p>
    <w:p w14:paraId="6513BD10" w14:textId="53B275DA" w:rsidR="00960F83" w:rsidRPr="00115F4D" w:rsidRDefault="00960F83" w:rsidP="00891C31">
      <w:pPr>
        <w:pStyle w:val="Prrafodelista"/>
        <w:numPr>
          <w:ilvl w:val="0"/>
          <w:numId w:val="2"/>
        </w:numPr>
        <w:rPr>
          <w:rFonts w:ascii="Arial" w:hAnsi="Arial" w:cs="Arial"/>
        </w:rPr>
      </w:pPr>
      <w:r w:rsidRPr="00115F4D">
        <w:rPr>
          <w:rFonts w:ascii="Arial" w:hAnsi="Arial" w:cs="Arial"/>
        </w:rPr>
        <w:t xml:space="preserve">G4661: </w:t>
      </w:r>
      <w:r w:rsidR="00166080" w:rsidRPr="00115F4D">
        <w:rPr>
          <w:rFonts w:ascii="Arial" w:hAnsi="Arial" w:cs="Arial"/>
        </w:rPr>
        <w:t>C</w:t>
      </w:r>
      <w:r w:rsidRPr="00115F4D">
        <w:rPr>
          <w:rFonts w:ascii="Arial" w:hAnsi="Arial" w:cs="Arial"/>
        </w:rPr>
        <w:t>omercio al por mayor de combustibles sólidos, líquidos, gaseosos y productos conexos</w:t>
      </w:r>
      <w:r w:rsidR="00166080" w:rsidRPr="00115F4D">
        <w:rPr>
          <w:rFonts w:ascii="Arial" w:hAnsi="Arial" w:cs="Arial"/>
        </w:rPr>
        <w:t>.</w:t>
      </w:r>
    </w:p>
    <w:p w14:paraId="6A02D245" w14:textId="7E028261" w:rsidR="00960F83" w:rsidRPr="00115F4D" w:rsidRDefault="00960F83" w:rsidP="00891C31">
      <w:pPr>
        <w:pStyle w:val="Prrafodelista"/>
        <w:numPr>
          <w:ilvl w:val="0"/>
          <w:numId w:val="2"/>
        </w:numPr>
        <w:rPr>
          <w:rFonts w:ascii="Arial" w:hAnsi="Arial" w:cs="Arial"/>
        </w:rPr>
      </w:pPr>
      <w:r w:rsidRPr="00115F4D">
        <w:rPr>
          <w:rFonts w:ascii="Arial" w:hAnsi="Arial" w:cs="Arial"/>
        </w:rPr>
        <w:t xml:space="preserve">G4719: </w:t>
      </w:r>
      <w:r w:rsidR="00166080" w:rsidRPr="00115F4D">
        <w:rPr>
          <w:rFonts w:ascii="Arial" w:hAnsi="Arial" w:cs="Arial"/>
        </w:rPr>
        <w:t>C</w:t>
      </w:r>
      <w:r w:rsidRPr="00115F4D">
        <w:rPr>
          <w:rFonts w:ascii="Arial" w:hAnsi="Arial" w:cs="Arial"/>
        </w:rPr>
        <w:t>omercio al por menor en establecimientos no especializados, con surtido compuesto principalmente por productos diferentes de alimentos (víveres en general), bebidas y tabaco.</w:t>
      </w:r>
    </w:p>
    <w:p w14:paraId="0E93B5A6" w14:textId="2A32DCC6" w:rsidR="00721234" w:rsidRPr="00115F4D" w:rsidRDefault="00190BA8" w:rsidP="00891C31">
      <w:pPr>
        <w:jc w:val="both"/>
        <w:rPr>
          <w:rFonts w:ascii="Arial" w:hAnsi="Arial" w:cs="Arial"/>
        </w:rPr>
      </w:pPr>
      <w:r w:rsidRPr="00115F4D">
        <w:rPr>
          <w:rFonts w:ascii="Arial" w:hAnsi="Arial" w:cs="Arial"/>
        </w:rPr>
        <w:t xml:space="preserve">Inicialmente, al analizar el comportamiento del margen reconocido </w:t>
      </w:r>
      <w:r w:rsidR="003A2835" w:rsidRPr="00115F4D">
        <w:rPr>
          <w:rFonts w:ascii="Arial" w:hAnsi="Arial" w:cs="Arial"/>
        </w:rPr>
        <w:t>a los comercializadores desde la aplicación de la metodología definida en la resolución CREG 180 de 201</w:t>
      </w:r>
      <w:r w:rsidR="00712AE3" w:rsidRPr="00115F4D">
        <w:rPr>
          <w:rFonts w:ascii="Arial" w:hAnsi="Arial" w:cs="Arial"/>
        </w:rPr>
        <w:t>4 se ha</w:t>
      </w:r>
      <w:r w:rsidR="00172E58">
        <w:rPr>
          <w:rFonts w:ascii="Arial" w:hAnsi="Arial" w:cs="Arial"/>
        </w:rPr>
        <w:t xml:space="preserve"> </w:t>
      </w:r>
      <w:r w:rsidR="00712AE3" w:rsidRPr="00115F4D">
        <w:rPr>
          <w:rFonts w:ascii="Arial" w:hAnsi="Arial" w:cs="Arial"/>
        </w:rPr>
        <w:t xml:space="preserve">identificado </w:t>
      </w:r>
      <w:r w:rsidR="00120C50" w:rsidRPr="00115F4D">
        <w:rPr>
          <w:rFonts w:ascii="Arial" w:hAnsi="Arial" w:cs="Arial"/>
        </w:rPr>
        <w:t>lo siguiente</w:t>
      </w:r>
      <w:r w:rsidR="00C52BCD" w:rsidRPr="00115F4D">
        <w:rPr>
          <w:rFonts w:ascii="Arial" w:hAnsi="Arial" w:cs="Arial"/>
        </w:rPr>
        <w:t xml:space="preserve">: </w:t>
      </w:r>
    </w:p>
    <w:p w14:paraId="79137382" w14:textId="23B519A7" w:rsidR="00166F31" w:rsidRPr="00115F4D" w:rsidRDefault="00721234" w:rsidP="00C00C77">
      <w:pPr>
        <w:pStyle w:val="Prrafodelista"/>
        <w:numPr>
          <w:ilvl w:val="0"/>
          <w:numId w:val="6"/>
        </w:numPr>
        <w:jc w:val="both"/>
        <w:rPr>
          <w:rFonts w:ascii="Arial" w:hAnsi="Arial" w:cs="Arial"/>
        </w:rPr>
      </w:pPr>
      <w:r w:rsidRPr="00115F4D">
        <w:rPr>
          <w:rFonts w:ascii="Arial" w:hAnsi="Arial" w:cs="Arial"/>
        </w:rPr>
        <w:t xml:space="preserve">Alta dependencia del margen </w:t>
      </w:r>
      <w:r w:rsidR="00C52BCD" w:rsidRPr="00115F4D">
        <w:rPr>
          <w:rFonts w:ascii="Arial" w:hAnsi="Arial" w:cs="Arial"/>
        </w:rPr>
        <w:t>que remunera la actividad de comercialización de energía eléctrica de</w:t>
      </w:r>
      <w:r w:rsidR="00166F31" w:rsidRPr="00115F4D">
        <w:rPr>
          <w:rFonts w:ascii="Arial" w:hAnsi="Arial" w:cs="Arial"/>
        </w:rPr>
        <w:t xml:space="preserve">l </w:t>
      </w:r>
      <w:r w:rsidRPr="00115F4D">
        <w:rPr>
          <w:rFonts w:ascii="Arial" w:hAnsi="Arial" w:cs="Arial"/>
        </w:rPr>
        <w:t>precio del producto comercializado, que no refleja la gestión o el esfuerzo del agente.</w:t>
      </w:r>
    </w:p>
    <w:p w14:paraId="3DD7988C" w14:textId="7C298EE1" w:rsidR="00166F31" w:rsidRPr="00115F4D" w:rsidRDefault="00721234" w:rsidP="00C00C77">
      <w:pPr>
        <w:pStyle w:val="Prrafodelista"/>
        <w:numPr>
          <w:ilvl w:val="0"/>
          <w:numId w:val="6"/>
        </w:numPr>
        <w:jc w:val="both"/>
        <w:rPr>
          <w:rFonts w:ascii="Arial" w:hAnsi="Arial" w:cs="Arial"/>
        </w:rPr>
      </w:pPr>
      <w:r w:rsidRPr="00115F4D">
        <w:rPr>
          <w:rFonts w:ascii="Arial" w:hAnsi="Arial" w:cs="Arial"/>
        </w:rPr>
        <w:t xml:space="preserve">Volatilidad mensual del margen al estar asociado </w:t>
      </w:r>
      <w:r w:rsidR="00166F31" w:rsidRPr="00115F4D">
        <w:rPr>
          <w:rFonts w:ascii="Arial" w:hAnsi="Arial" w:cs="Arial"/>
        </w:rPr>
        <w:t xml:space="preserve">directamente </w:t>
      </w:r>
      <w:r w:rsidR="0052168F" w:rsidRPr="00115F4D">
        <w:rPr>
          <w:rFonts w:ascii="Arial" w:hAnsi="Arial" w:cs="Arial"/>
        </w:rPr>
        <w:t xml:space="preserve">al </w:t>
      </w:r>
      <w:r w:rsidR="004708A9" w:rsidRPr="00115F4D">
        <w:rPr>
          <w:rFonts w:ascii="Arial" w:hAnsi="Arial" w:cs="Arial"/>
        </w:rPr>
        <w:t>precio del producto</w:t>
      </w:r>
      <w:r w:rsidRPr="00115F4D">
        <w:rPr>
          <w:rFonts w:ascii="Arial" w:hAnsi="Arial" w:cs="Arial"/>
        </w:rPr>
        <w:t xml:space="preserve"> </w:t>
      </w:r>
      <w:r w:rsidR="00166F31" w:rsidRPr="00115F4D">
        <w:rPr>
          <w:rFonts w:ascii="Arial" w:hAnsi="Arial" w:cs="Arial"/>
        </w:rPr>
        <w:t>del mes anterior</w:t>
      </w:r>
      <w:r w:rsidR="0052168F" w:rsidRPr="00115F4D">
        <w:rPr>
          <w:rFonts w:ascii="Arial" w:hAnsi="Arial" w:cs="Arial"/>
        </w:rPr>
        <w:t xml:space="preserve">, esto puede afectar o </w:t>
      </w:r>
      <w:r w:rsidR="005B5BEF" w:rsidRPr="00115F4D">
        <w:rPr>
          <w:rFonts w:ascii="Arial" w:hAnsi="Arial" w:cs="Arial"/>
        </w:rPr>
        <w:t xml:space="preserve">beneficiar tanto </w:t>
      </w:r>
      <w:r w:rsidRPr="00115F4D">
        <w:rPr>
          <w:rFonts w:ascii="Arial" w:hAnsi="Arial" w:cs="Arial"/>
        </w:rPr>
        <w:t xml:space="preserve">al agente </w:t>
      </w:r>
      <w:r w:rsidR="005B5BEF" w:rsidRPr="00115F4D">
        <w:rPr>
          <w:rFonts w:ascii="Arial" w:hAnsi="Arial" w:cs="Arial"/>
        </w:rPr>
        <w:t>como al</w:t>
      </w:r>
      <w:r w:rsidRPr="00115F4D">
        <w:rPr>
          <w:rFonts w:ascii="Arial" w:hAnsi="Arial" w:cs="Arial"/>
        </w:rPr>
        <w:t xml:space="preserve"> usuario.</w:t>
      </w:r>
    </w:p>
    <w:p w14:paraId="5B9BB6D6" w14:textId="56D5F2B3" w:rsidR="003E0902" w:rsidRPr="00115F4D" w:rsidRDefault="00721234" w:rsidP="00C00C77">
      <w:pPr>
        <w:pStyle w:val="Prrafodelista"/>
        <w:numPr>
          <w:ilvl w:val="0"/>
          <w:numId w:val="6"/>
        </w:numPr>
        <w:jc w:val="both"/>
        <w:rPr>
          <w:rFonts w:ascii="Arial" w:hAnsi="Arial" w:cs="Arial"/>
        </w:rPr>
      </w:pPr>
      <w:r w:rsidRPr="00115F4D">
        <w:rPr>
          <w:rFonts w:ascii="Arial" w:hAnsi="Arial" w:cs="Arial"/>
        </w:rPr>
        <w:t xml:space="preserve">Bajo incentivo en gestionar una reducción </w:t>
      </w:r>
      <w:r w:rsidR="003E0902" w:rsidRPr="00115F4D">
        <w:rPr>
          <w:rFonts w:ascii="Arial" w:hAnsi="Arial" w:cs="Arial"/>
        </w:rPr>
        <w:t>en el componente de generación, gestionado por el comercializador</w:t>
      </w:r>
      <w:r w:rsidRPr="00115F4D">
        <w:rPr>
          <w:rFonts w:ascii="Arial" w:hAnsi="Arial" w:cs="Arial"/>
        </w:rPr>
        <w:t xml:space="preserve">, ya que esta implica una reducción en el margen o </w:t>
      </w:r>
      <w:r w:rsidR="00DB0ABA">
        <w:rPr>
          <w:rFonts w:ascii="Arial" w:hAnsi="Arial" w:cs="Arial"/>
        </w:rPr>
        <w:t>rentabilidad</w:t>
      </w:r>
      <w:r w:rsidRPr="00115F4D">
        <w:rPr>
          <w:rFonts w:ascii="Arial" w:hAnsi="Arial" w:cs="Arial"/>
        </w:rPr>
        <w:t>.</w:t>
      </w:r>
    </w:p>
    <w:p w14:paraId="0B71A48A" w14:textId="471C9052" w:rsidR="008A268F" w:rsidRPr="00115F4D" w:rsidRDefault="008A268F" w:rsidP="00C00C77">
      <w:pPr>
        <w:pStyle w:val="Prrafodelista"/>
        <w:numPr>
          <w:ilvl w:val="0"/>
          <w:numId w:val="6"/>
        </w:numPr>
        <w:jc w:val="both"/>
        <w:rPr>
          <w:rFonts w:ascii="Arial" w:hAnsi="Arial" w:cs="Arial"/>
        </w:rPr>
      </w:pPr>
      <w:r w:rsidRPr="00115F4D">
        <w:rPr>
          <w:rFonts w:ascii="Arial" w:hAnsi="Arial" w:cs="Arial"/>
        </w:rPr>
        <w:t xml:space="preserve">Bajo incentivo a mejorar la </w:t>
      </w:r>
      <w:r w:rsidR="00721234" w:rsidRPr="00115F4D">
        <w:rPr>
          <w:rFonts w:ascii="Arial" w:hAnsi="Arial" w:cs="Arial"/>
        </w:rPr>
        <w:t>calidad en la atención a los usuarios</w:t>
      </w:r>
      <w:r w:rsidR="005B5BEF" w:rsidRPr="00115F4D">
        <w:rPr>
          <w:rFonts w:ascii="Arial" w:hAnsi="Arial" w:cs="Arial"/>
        </w:rPr>
        <w:t xml:space="preserve">, ya que la rentabilidad no depende </w:t>
      </w:r>
      <w:r w:rsidR="00D20D29" w:rsidRPr="00115F4D">
        <w:rPr>
          <w:rFonts w:ascii="Arial" w:hAnsi="Arial" w:cs="Arial"/>
        </w:rPr>
        <w:t>de la calidad</w:t>
      </w:r>
      <w:r w:rsidR="005B5BEF" w:rsidRPr="00115F4D">
        <w:rPr>
          <w:rFonts w:ascii="Arial" w:hAnsi="Arial" w:cs="Arial"/>
        </w:rPr>
        <w:t xml:space="preserve"> del servicio</w:t>
      </w:r>
      <w:r w:rsidR="00D20D29" w:rsidRPr="00115F4D">
        <w:rPr>
          <w:rFonts w:ascii="Arial" w:hAnsi="Arial" w:cs="Arial"/>
        </w:rPr>
        <w:t xml:space="preserve"> ofrecido por el comercializador</w:t>
      </w:r>
      <w:r w:rsidR="00721234" w:rsidRPr="00115F4D">
        <w:rPr>
          <w:rFonts w:ascii="Arial" w:hAnsi="Arial" w:cs="Arial"/>
        </w:rPr>
        <w:t>.</w:t>
      </w:r>
    </w:p>
    <w:p w14:paraId="56A9FB3C" w14:textId="17D483E3" w:rsidR="00721234" w:rsidRPr="00115F4D" w:rsidRDefault="00BA1131" w:rsidP="00891C31">
      <w:pPr>
        <w:rPr>
          <w:rFonts w:ascii="Arial" w:hAnsi="Arial" w:cs="Arial"/>
        </w:rPr>
      </w:pPr>
      <w:r w:rsidRPr="00115F4D">
        <w:rPr>
          <w:rFonts w:ascii="Arial" w:hAnsi="Arial" w:cs="Arial"/>
        </w:rPr>
        <w:t>Algunas de las causas identificadas de est</w:t>
      </w:r>
      <w:r w:rsidR="00457E16" w:rsidRPr="00115F4D">
        <w:rPr>
          <w:rFonts w:ascii="Arial" w:hAnsi="Arial" w:cs="Arial"/>
        </w:rPr>
        <w:t xml:space="preserve">os problemas u oportunidades de mejora son: </w:t>
      </w:r>
    </w:p>
    <w:p w14:paraId="140DDF0C" w14:textId="77777777" w:rsidR="0086565F" w:rsidRPr="00115F4D" w:rsidRDefault="00721234" w:rsidP="00C00C77">
      <w:pPr>
        <w:pStyle w:val="Prrafodelista"/>
        <w:numPr>
          <w:ilvl w:val="0"/>
          <w:numId w:val="6"/>
        </w:numPr>
        <w:jc w:val="both"/>
        <w:rPr>
          <w:rFonts w:ascii="Arial" w:hAnsi="Arial" w:cs="Arial"/>
        </w:rPr>
      </w:pPr>
      <w:r w:rsidRPr="00115F4D">
        <w:rPr>
          <w:rFonts w:ascii="Arial" w:hAnsi="Arial" w:cs="Arial"/>
        </w:rPr>
        <w:t>La base para determinar la rentabilidad es el costo de prestación del servicio sin incluir el costo de comercialización, lo que no refleja el esfuerzo en realizar la actividad.</w:t>
      </w:r>
    </w:p>
    <w:p w14:paraId="257F665B" w14:textId="77777777" w:rsidR="004E3033" w:rsidRPr="00115F4D" w:rsidRDefault="00721234" w:rsidP="00C00C77">
      <w:pPr>
        <w:pStyle w:val="Prrafodelista"/>
        <w:numPr>
          <w:ilvl w:val="0"/>
          <w:numId w:val="6"/>
        </w:numPr>
        <w:jc w:val="both"/>
        <w:rPr>
          <w:rFonts w:ascii="Arial" w:hAnsi="Arial" w:cs="Arial"/>
        </w:rPr>
      </w:pPr>
      <w:r w:rsidRPr="00115F4D">
        <w:rPr>
          <w:rFonts w:ascii="Arial" w:hAnsi="Arial" w:cs="Arial"/>
        </w:rPr>
        <w:t>Al considerar la remuneración con base en el volumen de ventas y no en los costos asociados con la actividad no se refleja el esfuerzo o la gestión en realizar la actividad.</w:t>
      </w:r>
    </w:p>
    <w:p w14:paraId="5BF27111" w14:textId="24122083" w:rsidR="004E3033" w:rsidRPr="00115F4D" w:rsidRDefault="00721234" w:rsidP="00C00C77">
      <w:pPr>
        <w:pStyle w:val="Prrafodelista"/>
        <w:numPr>
          <w:ilvl w:val="0"/>
          <w:numId w:val="6"/>
        </w:numPr>
        <w:jc w:val="both"/>
        <w:rPr>
          <w:rFonts w:ascii="Arial" w:hAnsi="Arial" w:cs="Arial"/>
        </w:rPr>
      </w:pPr>
      <w:r w:rsidRPr="00115F4D">
        <w:rPr>
          <w:rFonts w:ascii="Arial" w:hAnsi="Arial" w:cs="Arial"/>
        </w:rPr>
        <w:t>Dentro del precio del producto existen componentes que puede gestionar el comercializador</w:t>
      </w:r>
      <w:r w:rsidR="00DB0ABA">
        <w:rPr>
          <w:rFonts w:ascii="Arial" w:hAnsi="Arial" w:cs="Arial"/>
        </w:rPr>
        <w:t xml:space="preserve"> de forma directa</w:t>
      </w:r>
      <w:r w:rsidRPr="00115F4D">
        <w:rPr>
          <w:rFonts w:ascii="Arial" w:hAnsi="Arial" w:cs="Arial"/>
        </w:rPr>
        <w:t>.</w:t>
      </w:r>
    </w:p>
    <w:p w14:paraId="624EC83A" w14:textId="77777777" w:rsidR="004E3033" w:rsidRPr="00115F4D" w:rsidRDefault="00721234" w:rsidP="00C00C77">
      <w:pPr>
        <w:pStyle w:val="Prrafodelista"/>
        <w:numPr>
          <w:ilvl w:val="0"/>
          <w:numId w:val="6"/>
        </w:numPr>
        <w:jc w:val="both"/>
        <w:rPr>
          <w:rFonts w:ascii="Arial" w:hAnsi="Arial" w:cs="Arial"/>
        </w:rPr>
      </w:pPr>
      <w:r w:rsidRPr="00115F4D">
        <w:rPr>
          <w:rFonts w:ascii="Arial" w:hAnsi="Arial" w:cs="Arial"/>
        </w:rPr>
        <w:t>Ausencia de incentivos para mejorar la calidad comercial</w:t>
      </w:r>
    </w:p>
    <w:p w14:paraId="541E82FD" w14:textId="77777777" w:rsidR="00D96D59" w:rsidRPr="00115F4D" w:rsidRDefault="00721234" w:rsidP="00C00C77">
      <w:pPr>
        <w:pStyle w:val="Prrafodelista"/>
        <w:numPr>
          <w:ilvl w:val="0"/>
          <w:numId w:val="6"/>
        </w:numPr>
        <w:jc w:val="both"/>
        <w:rPr>
          <w:rFonts w:ascii="Arial" w:hAnsi="Arial" w:cs="Arial"/>
        </w:rPr>
      </w:pPr>
      <w:r w:rsidRPr="00115F4D">
        <w:rPr>
          <w:rFonts w:ascii="Arial" w:hAnsi="Arial" w:cs="Arial"/>
        </w:rPr>
        <w:t xml:space="preserve">El precio del producto se ve afectado por factores como cambio de metodologías, variaciones en el precio de bolsa, </w:t>
      </w:r>
      <w:r w:rsidR="004E3033" w:rsidRPr="00115F4D">
        <w:rPr>
          <w:rFonts w:ascii="Arial" w:hAnsi="Arial" w:cs="Arial"/>
        </w:rPr>
        <w:t>incremento de los índices de precios,</w:t>
      </w:r>
      <w:r w:rsidR="00D96D59" w:rsidRPr="00115F4D">
        <w:rPr>
          <w:rFonts w:ascii="Arial" w:hAnsi="Arial" w:cs="Arial"/>
        </w:rPr>
        <w:t xml:space="preserve"> entre otras, que tienen impacto en la volatilidad del margen.</w:t>
      </w:r>
    </w:p>
    <w:p w14:paraId="202F6416" w14:textId="72D2B0EE" w:rsidR="00721234" w:rsidRPr="00115F4D" w:rsidRDefault="00D96D59" w:rsidP="00891C31">
      <w:pPr>
        <w:jc w:val="both"/>
        <w:rPr>
          <w:rFonts w:ascii="Arial" w:hAnsi="Arial" w:cs="Arial"/>
        </w:rPr>
      </w:pPr>
      <w:r w:rsidRPr="00115F4D">
        <w:rPr>
          <w:rFonts w:ascii="Arial" w:hAnsi="Arial" w:cs="Arial"/>
        </w:rPr>
        <w:t>En ese sentido, es necesari</w:t>
      </w:r>
      <w:r w:rsidR="00C80071" w:rsidRPr="00115F4D">
        <w:rPr>
          <w:rFonts w:ascii="Arial" w:hAnsi="Arial" w:cs="Arial"/>
        </w:rPr>
        <w:t>a</w:t>
      </w:r>
      <w:r w:rsidRPr="00115F4D">
        <w:rPr>
          <w:rFonts w:ascii="Arial" w:hAnsi="Arial" w:cs="Arial"/>
        </w:rPr>
        <w:t xml:space="preserve"> la revisión de la</w:t>
      </w:r>
      <w:r w:rsidR="00721234" w:rsidRPr="00115F4D">
        <w:rPr>
          <w:rFonts w:ascii="Arial" w:hAnsi="Arial" w:cs="Arial"/>
        </w:rPr>
        <w:t xml:space="preserve"> metodología </w:t>
      </w:r>
      <w:r w:rsidR="00EA0ABC" w:rsidRPr="00115F4D">
        <w:rPr>
          <w:rFonts w:ascii="Arial" w:hAnsi="Arial" w:cs="Arial"/>
        </w:rPr>
        <w:t>con el objetivo de que</w:t>
      </w:r>
      <w:r w:rsidR="00721234" w:rsidRPr="00115F4D">
        <w:rPr>
          <w:rFonts w:ascii="Arial" w:hAnsi="Arial" w:cs="Arial"/>
        </w:rPr>
        <w:t xml:space="preserve"> </w:t>
      </w:r>
      <w:r w:rsidR="2B0855C5" w:rsidRPr="61763011">
        <w:rPr>
          <w:rFonts w:ascii="Arial" w:hAnsi="Arial" w:cs="Arial"/>
        </w:rPr>
        <w:t xml:space="preserve">el </w:t>
      </w:r>
      <w:r w:rsidR="00721234" w:rsidRPr="00115F4D">
        <w:rPr>
          <w:rFonts w:ascii="Arial" w:hAnsi="Arial" w:cs="Arial"/>
        </w:rPr>
        <w:t>agente obtenga una remuneración</w:t>
      </w:r>
      <w:r w:rsidR="00C80071" w:rsidRPr="00115F4D">
        <w:rPr>
          <w:rFonts w:ascii="Arial" w:hAnsi="Arial" w:cs="Arial"/>
        </w:rPr>
        <w:t xml:space="preserve"> </w:t>
      </w:r>
      <w:r w:rsidR="00721234" w:rsidRPr="00115F4D">
        <w:rPr>
          <w:rFonts w:ascii="Arial" w:hAnsi="Arial" w:cs="Arial"/>
        </w:rPr>
        <w:t>adecuada de acuerdo con las condiciones particulares de la actividad y el esfuerzo realizado, considerando los riesgos asociados, la calidad del servicio y el nivel de exposición o cubrimiento.</w:t>
      </w:r>
      <w:r w:rsidR="00F94633" w:rsidRPr="00115F4D">
        <w:rPr>
          <w:rFonts w:ascii="Arial" w:hAnsi="Arial" w:cs="Arial"/>
        </w:rPr>
        <w:t xml:space="preserve"> </w:t>
      </w:r>
      <w:r w:rsidR="003917C8" w:rsidRPr="00115F4D">
        <w:rPr>
          <w:rFonts w:ascii="Arial" w:hAnsi="Arial" w:cs="Arial"/>
        </w:rPr>
        <w:t>Adicionalmente, el margen reconocido debe</w:t>
      </w:r>
      <w:r w:rsidR="00F94633" w:rsidRPr="00115F4D">
        <w:rPr>
          <w:rFonts w:ascii="Arial" w:hAnsi="Arial" w:cs="Arial"/>
        </w:rPr>
        <w:t xml:space="preserve"> </w:t>
      </w:r>
      <w:r w:rsidR="00721234" w:rsidRPr="00115F4D">
        <w:rPr>
          <w:rFonts w:ascii="Arial" w:hAnsi="Arial" w:cs="Arial"/>
        </w:rPr>
        <w:t xml:space="preserve">alinear los incentivos del comercializador respecto a su papel como representante del usuario ante el mercado. </w:t>
      </w:r>
    </w:p>
    <w:p w14:paraId="3E625B66" w14:textId="36B1568E" w:rsidR="00E73191" w:rsidRPr="00115F4D" w:rsidRDefault="001666CF" w:rsidP="00891C31">
      <w:pPr>
        <w:jc w:val="both"/>
        <w:rPr>
          <w:rFonts w:ascii="Arial" w:hAnsi="Arial" w:cs="Arial"/>
        </w:rPr>
      </w:pPr>
      <w:r w:rsidRPr="00115F4D">
        <w:rPr>
          <w:rFonts w:ascii="Arial" w:hAnsi="Arial" w:cs="Arial"/>
        </w:rPr>
        <w:lastRenderedPageBreak/>
        <w:t>L</w:t>
      </w:r>
      <w:r w:rsidR="00536410" w:rsidRPr="00115F4D">
        <w:rPr>
          <w:rFonts w:ascii="Arial" w:hAnsi="Arial" w:cs="Arial"/>
        </w:rPr>
        <w:t xml:space="preserve">a </w:t>
      </w:r>
      <w:r w:rsidR="00432349">
        <w:rPr>
          <w:rFonts w:ascii="Arial" w:hAnsi="Arial" w:cs="Arial"/>
        </w:rPr>
        <w:t>expresión</w:t>
      </w:r>
      <w:r w:rsidR="00536410" w:rsidRPr="00115F4D">
        <w:rPr>
          <w:rFonts w:ascii="Arial" w:hAnsi="Arial" w:cs="Arial"/>
        </w:rPr>
        <w:t xml:space="preserve"> </w:t>
      </w:r>
      <w:r w:rsidR="00E73191" w:rsidRPr="00115F4D">
        <w:rPr>
          <w:rFonts w:ascii="Arial" w:hAnsi="Arial" w:cs="Arial"/>
        </w:rPr>
        <w:t xml:space="preserve">matemática para determinar el margen </w:t>
      </w:r>
      <w:r w:rsidR="007C1093" w:rsidRPr="00115F4D">
        <w:rPr>
          <w:rFonts w:ascii="Arial" w:hAnsi="Arial" w:cs="Arial"/>
        </w:rPr>
        <w:t>del</w:t>
      </w:r>
      <w:r w:rsidR="00E73191" w:rsidRPr="00115F4D">
        <w:rPr>
          <w:rFonts w:ascii="Arial" w:hAnsi="Arial" w:cs="Arial"/>
        </w:rPr>
        <w:t xml:space="preserve"> comercializador establecida en la metodología de la resolución </w:t>
      </w:r>
      <w:r w:rsidR="00EC632B" w:rsidRPr="00115F4D">
        <w:rPr>
          <w:rFonts w:ascii="Arial" w:hAnsi="Arial" w:cs="Arial"/>
        </w:rPr>
        <w:t>CREG 180 de 2014</w:t>
      </w:r>
      <w:r w:rsidR="007C1093" w:rsidRPr="00115F4D">
        <w:rPr>
          <w:rFonts w:ascii="Arial" w:hAnsi="Arial" w:cs="Arial"/>
        </w:rPr>
        <w:t>, tienen dos componentes principales, el primero es la base c</w:t>
      </w:r>
      <w:r w:rsidR="001D35B5" w:rsidRPr="00115F4D">
        <w:rPr>
          <w:rFonts w:ascii="Arial" w:hAnsi="Arial" w:cs="Arial"/>
        </w:rPr>
        <w:t>onformada por los componentes del costo unitario de prestación del servicio de energía eléctrica</w:t>
      </w:r>
      <w:r w:rsidR="00466FBC" w:rsidRPr="00115F4D">
        <w:rPr>
          <w:rFonts w:ascii="Arial" w:hAnsi="Arial" w:cs="Arial"/>
        </w:rPr>
        <w:t xml:space="preserve"> sin el componente de comercialización; el segundo</w:t>
      </w:r>
      <w:r w:rsidR="00191ACA" w:rsidRPr="00115F4D">
        <w:rPr>
          <w:rFonts w:ascii="Arial" w:hAnsi="Arial" w:cs="Arial"/>
        </w:rPr>
        <w:t xml:space="preserve"> </w:t>
      </w:r>
      <w:r w:rsidR="005705F7" w:rsidRPr="00115F4D">
        <w:rPr>
          <w:rFonts w:ascii="Arial" w:hAnsi="Arial" w:cs="Arial"/>
        </w:rPr>
        <w:t>corresponde al</w:t>
      </w:r>
      <w:r w:rsidR="00191ACA" w:rsidRPr="00115F4D">
        <w:rPr>
          <w:rFonts w:ascii="Arial" w:hAnsi="Arial" w:cs="Arial"/>
        </w:rPr>
        <w:t xml:space="preserve"> margen operacional aplicable a la actividad de comercialización de energía eléctrica</w:t>
      </w:r>
      <w:r w:rsidR="00EC632B" w:rsidRPr="00115F4D">
        <w:rPr>
          <w:rFonts w:ascii="Arial" w:hAnsi="Arial" w:cs="Arial"/>
        </w:rPr>
        <w:t>.</w:t>
      </w:r>
    </w:p>
    <w:p w14:paraId="16D83477" w14:textId="77777777" w:rsidR="006D3311" w:rsidRPr="00115F4D" w:rsidRDefault="00E42F3C" w:rsidP="00891C31">
      <w:pPr>
        <w:ind w:left="360"/>
        <w:jc w:val="both"/>
        <w:rPr>
          <w:rFonts w:asciiTheme="majorHAnsi" w:hAnsiTheme="majorHAnsi" w:cstheme="majorHAnsi"/>
        </w:rPr>
      </w:pPr>
      <m:oMathPara>
        <m:oMath>
          <m:d>
            <m:dPr>
              <m:ctrlPr>
                <w:rPr>
                  <w:rFonts w:ascii="Cambria Math" w:hAnsi="Cambria Math" w:cstheme="majorHAnsi"/>
                  <w:i/>
                  <w:iCs/>
                </w:rPr>
              </m:ctrlPr>
            </m:dPr>
            <m:e>
              <m:sSub>
                <m:sSubPr>
                  <m:ctrlPr>
                    <w:rPr>
                      <w:rFonts w:ascii="Cambria Math" w:hAnsi="Cambria Math" w:cstheme="majorHAnsi"/>
                      <w:i/>
                      <w:iCs/>
                    </w:rPr>
                  </m:ctrlPr>
                </m:sSubPr>
                <m:e>
                  <m:r>
                    <w:rPr>
                      <w:rFonts w:ascii="Cambria Math" w:hAnsi="Cambria Math" w:cstheme="majorHAnsi"/>
                    </w:rPr>
                    <m:t>G</m:t>
                  </m:r>
                </m:e>
                <m:sub>
                  <m:r>
                    <w:rPr>
                      <w:rFonts w:ascii="Cambria Math" w:hAnsi="Cambria Math" w:cstheme="majorHAnsi"/>
                    </w:rPr>
                    <m:t>i</m:t>
                  </m:r>
                  <m:r>
                    <m:rPr>
                      <m:sty m:val="p"/>
                    </m:rPr>
                    <w:rPr>
                      <w:rFonts w:ascii="Cambria Math" w:hAnsi="Cambria Math" w:cstheme="majorHAnsi"/>
                    </w:rPr>
                    <m:t>,</m:t>
                  </m:r>
                  <m:r>
                    <w:rPr>
                      <w:rFonts w:ascii="Cambria Math" w:hAnsi="Cambria Math" w:cstheme="majorHAnsi"/>
                    </w:rPr>
                    <m:t>j</m:t>
                  </m:r>
                  <m:r>
                    <m:rPr>
                      <m:sty m:val="p"/>
                    </m:rPr>
                    <w:rPr>
                      <w:rFonts w:ascii="Cambria Math" w:hAnsi="Cambria Math" w:cstheme="majorHAnsi"/>
                    </w:rPr>
                    <m:t>,</m:t>
                  </m:r>
                  <m:r>
                    <w:rPr>
                      <w:rFonts w:ascii="Cambria Math" w:hAnsi="Cambria Math" w:cstheme="majorHAnsi"/>
                    </w:rPr>
                    <m:t>m</m:t>
                  </m:r>
                  <m:r>
                    <m:rPr>
                      <m:sty m:val="p"/>
                    </m:rPr>
                    <w:rPr>
                      <w:rFonts w:ascii="Cambria Math" w:hAnsi="Cambria Math" w:cstheme="majorHAnsi"/>
                    </w:rPr>
                    <m:t>-1</m:t>
                  </m:r>
                </m:sub>
              </m:sSub>
              <m:r>
                <m:rPr>
                  <m:sty m:val="p"/>
                </m:rPr>
                <w:rPr>
                  <w:rFonts w:ascii="Cambria Math" w:hAnsi="Cambria Math" w:cstheme="majorHAnsi"/>
                </w:rPr>
                <m:t>+</m:t>
              </m:r>
              <m:sSub>
                <m:sSubPr>
                  <m:ctrlPr>
                    <w:rPr>
                      <w:rFonts w:ascii="Cambria Math" w:hAnsi="Cambria Math" w:cstheme="majorHAnsi"/>
                      <w:i/>
                      <w:iCs/>
                    </w:rPr>
                  </m:ctrlPr>
                </m:sSubPr>
                <m:e>
                  <m:r>
                    <w:rPr>
                      <w:rFonts w:ascii="Cambria Math" w:hAnsi="Cambria Math" w:cstheme="majorHAnsi"/>
                    </w:rPr>
                    <m:t>T</m:t>
                  </m:r>
                </m:e>
                <m:sub>
                  <m:r>
                    <w:rPr>
                      <w:rFonts w:ascii="Cambria Math" w:hAnsi="Cambria Math" w:cstheme="majorHAnsi"/>
                    </w:rPr>
                    <m:t>m</m:t>
                  </m:r>
                  <m:r>
                    <m:rPr>
                      <m:sty m:val="p"/>
                    </m:rPr>
                    <w:rPr>
                      <w:rFonts w:ascii="Cambria Math" w:hAnsi="Cambria Math" w:cstheme="majorHAnsi"/>
                    </w:rPr>
                    <m:t>-1</m:t>
                  </m:r>
                </m:sub>
              </m:sSub>
              <m:r>
                <m:rPr>
                  <m:sty m:val="p"/>
                </m:rPr>
                <w:rPr>
                  <w:rFonts w:ascii="Cambria Math" w:hAnsi="Cambria Math" w:cstheme="majorHAnsi"/>
                </w:rPr>
                <m:t>+</m:t>
              </m:r>
              <m:sSub>
                <m:sSubPr>
                  <m:ctrlPr>
                    <w:rPr>
                      <w:rFonts w:ascii="Cambria Math" w:hAnsi="Cambria Math" w:cstheme="majorHAnsi"/>
                      <w:i/>
                      <w:iCs/>
                    </w:rPr>
                  </m:ctrlPr>
                </m:sSubPr>
                <m:e>
                  <m:r>
                    <w:rPr>
                      <w:rFonts w:ascii="Cambria Math" w:hAnsi="Cambria Math" w:cstheme="majorHAnsi"/>
                    </w:rPr>
                    <m:t>D</m:t>
                  </m:r>
                </m:e>
                <m:sub>
                  <m:r>
                    <m:rPr>
                      <m:sty m:val="p"/>
                    </m:rPr>
                    <w:rPr>
                      <w:rFonts w:ascii="Cambria Math" w:hAnsi="Cambria Math" w:cstheme="majorHAnsi"/>
                    </w:rPr>
                    <m:t>1,</m:t>
                  </m:r>
                  <m:r>
                    <w:rPr>
                      <w:rFonts w:ascii="Cambria Math" w:hAnsi="Cambria Math" w:cstheme="majorHAnsi"/>
                    </w:rPr>
                    <m:t>j</m:t>
                  </m:r>
                  <m:r>
                    <m:rPr>
                      <m:sty m:val="p"/>
                    </m:rPr>
                    <w:rPr>
                      <w:rFonts w:ascii="Cambria Math" w:hAnsi="Cambria Math" w:cstheme="majorHAnsi"/>
                    </w:rPr>
                    <m:t>,</m:t>
                  </m:r>
                  <m:r>
                    <w:rPr>
                      <w:rFonts w:ascii="Cambria Math" w:hAnsi="Cambria Math" w:cstheme="majorHAnsi"/>
                    </w:rPr>
                    <m:t>m</m:t>
                  </m:r>
                  <m:r>
                    <m:rPr>
                      <m:sty m:val="p"/>
                    </m:rPr>
                    <w:rPr>
                      <w:rFonts w:ascii="Cambria Math" w:hAnsi="Cambria Math" w:cstheme="majorHAnsi"/>
                    </w:rPr>
                    <m:t>-1</m:t>
                  </m:r>
                </m:sub>
              </m:sSub>
              <m:r>
                <m:rPr>
                  <m:sty m:val="p"/>
                </m:rPr>
                <w:rPr>
                  <w:rFonts w:ascii="Cambria Math" w:hAnsi="Cambria Math" w:cstheme="majorHAnsi"/>
                </w:rPr>
                <m:t>+</m:t>
              </m:r>
              <m:sSub>
                <m:sSubPr>
                  <m:ctrlPr>
                    <w:rPr>
                      <w:rFonts w:ascii="Cambria Math" w:hAnsi="Cambria Math" w:cstheme="majorHAnsi"/>
                      <w:i/>
                      <w:iCs/>
                    </w:rPr>
                  </m:ctrlPr>
                </m:sSubPr>
                <m:e>
                  <m:r>
                    <w:rPr>
                      <w:rFonts w:ascii="Cambria Math" w:hAnsi="Cambria Math" w:cstheme="majorHAnsi"/>
                    </w:rPr>
                    <m:t>PR</m:t>
                  </m:r>
                </m:e>
                <m:sub>
                  <m:r>
                    <m:rPr>
                      <m:sty m:val="p"/>
                    </m:rPr>
                    <w:rPr>
                      <w:rFonts w:ascii="Cambria Math" w:hAnsi="Cambria Math" w:cstheme="majorHAnsi"/>
                    </w:rPr>
                    <m:t>1,</m:t>
                  </m:r>
                  <m:r>
                    <w:rPr>
                      <w:rFonts w:ascii="Cambria Math" w:hAnsi="Cambria Math" w:cstheme="majorHAnsi"/>
                    </w:rPr>
                    <m:t>j</m:t>
                  </m:r>
                  <m:r>
                    <m:rPr>
                      <m:sty m:val="p"/>
                    </m:rPr>
                    <w:rPr>
                      <w:rFonts w:ascii="Cambria Math" w:hAnsi="Cambria Math" w:cstheme="majorHAnsi"/>
                    </w:rPr>
                    <m:t>,</m:t>
                  </m:r>
                  <m:r>
                    <w:rPr>
                      <w:rFonts w:ascii="Cambria Math" w:hAnsi="Cambria Math" w:cstheme="majorHAnsi"/>
                    </w:rPr>
                    <m:t>m</m:t>
                  </m:r>
                  <m:r>
                    <m:rPr>
                      <m:sty m:val="p"/>
                    </m:rPr>
                    <w:rPr>
                      <w:rFonts w:ascii="Cambria Math" w:hAnsi="Cambria Math" w:cstheme="majorHAnsi"/>
                    </w:rPr>
                    <m:t>-1</m:t>
                  </m:r>
                </m:sub>
              </m:sSub>
              <m:r>
                <m:rPr>
                  <m:sty m:val="p"/>
                </m:rPr>
                <w:rPr>
                  <w:rFonts w:ascii="Cambria Math" w:hAnsi="Cambria Math" w:cstheme="majorHAnsi"/>
                </w:rPr>
                <m:t>+</m:t>
              </m:r>
              <m:sSub>
                <m:sSubPr>
                  <m:ctrlPr>
                    <w:rPr>
                      <w:rFonts w:ascii="Cambria Math" w:hAnsi="Cambria Math" w:cstheme="majorHAnsi"/>
                      <w:i/>
                      <w:iCs/>
                    </w:rPr>
                  </m:ctrlPr>
                </m:sSubPr>
                <m:e>
                  <m:r>
                    <w:rPr>
                      <w:rFonts w:ascii="Cambria Math" w:hAnsi="Cambria Math" w:cstheme="majorHAnsi"/>
                    </w:rPr>
                    <m:t>R</m:t>
                  </m:r>
                </m:e>
                <m:sub>
                  <m:r>
                    <w:rPr>
                      <w:rFonts w:ascii="Cambria Math" w:hAnsi="Cambria Math" w:cstheme="majorHAnsi"/>
                    </w:rPr>
                    <m:t>i</m:t>
                  </m:r>
                  <m:r>
                    <m:rPr>
                      <m:sty m:val="p"/>
                    </m:rPr>
                    <w:rPr>
                      <w:rFonts w:ascii="Cambria Math" w:hAnsi="Cambria Math" w:cstheme="majorHAnsi"/>
                    </w:rPr>
                    <m:t>,</m:t>
                  </m:r>
                  <m:r>
                    <w:rPr>
                      <w:rFonts w:ascii="Cambria Math" w:hAnsi="Cambria Math" w:cstheme="majorHAnsi"/>
                    </w:rPr>
                    <m:t>m</m:t>
                  </m:r>
                  <m:r>
                    <m:rPr>
                      <m:sty m:val="p"/>
                    </m:rPr>
                    <w:rPr>
                      <w:rFonts w:ascii="Cambria Math" w:hAnsi="Cambria Math" w:cstheme="majorHAnsi"/>
                    </w:rPr>
                    <m:t>-1</m:t>
                  </m:r>
                </m:sub>
              </m:sSub>
            </m:e>
          </m:d>
          <m:r>
            <m:rPr>
              <m:sty m:val="p"/>
            </m:rPr>
            <w:rPr>
              <w:rFonts w:ascii="Cambria Math" w:hAnsi="Cambria Math" w:cstheme="majorHAnsi"/>
            </w:rPr>
            <m:t>×</m:t>
          </m:r>
          <m:d>
            <m:dPr>
              <m:ctrlPr>
                <w:rPr>
                  <w:rFonts w:ascii="Cambria Math" w:hAnsi="Cambria Math" w:cstheme="majorHAnsi"/>
                  <w:i/>
                  <w:iCs/>
                </w:rPr>
              </m:ctrlPr>
            </m:dPr>
            <m:e>
              <m:r>
                <w:rPr>
                  <w:rFonts w:ascii="Cambria Math" w:hAnsi="Cambria Math" w:cstheme="majorHAnsi"/>
                </w:rPr>
                <m:t>mo</m:t>
              </m:r>
            </m:e>
          </m:d>
        </m:oMath>
      </m:oMathPara>
    </w:p>
    <w:p w14:paraId="03105A0B" w14:textId="202E3D65" w:rsidR="00944C49" w:rsidRPr="00115F4D" w:rsidRDefault="003F2A9A" w:rsidP="00891C31">
      <w:pPr>
        <w:jc w:val="both"/>
        <w:rPr>
          <w:rFonts w:ascii="Arial" w:hAnsi="Arial" w:cs="Arial"/>
        </w:rPr>
      </w:pPr>
      <w:r w:rsidRPr="00115F4D">
        <w:rPr>
          <w:rFonts w:ascii="Arial" w:hAnsi="Arial" w:cs="Arial"/>
        </w:rPr>
        <w:t>Para</w:t>
      </w:r>
      <w:r w:rsidR="007C1093" w:rsidRPr="00115F4D">
        <w:rPr>
          <w:rFonts w:ascii="Arial" w:hAnsi="Arial" w:cs="Arial"/>
        </w:rPr>
        <w:t xml:space="preserve"> determinar el valor de</w:t>
      </w:r>
      <w:r w:rsidR="0025616A" w:rsidRPr="00115F4D">
        <w:rPr>
          <w:rFonts w:ascii="Arial" w:hAnsi="Arial" w:cs="Arial"/>
        </w:rPr>
        <w:t>l margen operacional</w:t>
      </w:r>
      <w:r w:rsidR="00A8350E">
        <w:rPr>
          <w:rFonts w:ascii="Arial" w:hAnsi="Arial" w:cs="Arial"/>
        </w:rPr>
        <w:t xml:space="preserve">, </w:t>
      </w:r>
      <w:r w:rsidR="007C1093" w:rsidRPr="00115F4D">
        <w:rPr>
          <w:rFonts w:ascii="Arial" w:hAnsi="Arial" w:cs="Arial"/>
          <w:i/>
          <w:iCs/>
        </w:rPr>
        <w:t>mo</w:t>
      </w:r>
      <w:r w:rsidR="00A32D68">
        <w:rPr>
          <w:rFonts w:ascii="Arial" w:hAnsi="Arial" w:cs="Arial"/>
          <w:i/>
          <w:iCs/>
        </w:rPr>
        <w:t xml:space="preserve">, </w:t>
      </w:r>
      <w:r w:rsidR="004259E8" w:rsidRPr="00115F4D">
        <w:rPr>
          <w:rFonts w:ascii="Arial" w:hAnsi="Arial" w:cs="Arial"/>
        </w:rPr>
        <w:t>l</w:t>
      </w:r>
      <w:r w:rsidR="0028315B" w:rsidRPr="00115F4D">
        <w:rPr>
          <w:rFonts w:ascii="Arial" w:hAnsi="Arial" w:cs="Arial"/>
        </w:rPr>
        <w:t xml:space="preserve">a metodología establecida en la </w:t>
      </w:r>
      <w:r w:rsidR="000D5F9C" w:rsidRPr="00115F4D">
        <w:rPr>
          <w:rFonts w:ascii="Arial" w:hAnsi="Arial" w:cs="Arial"/>
        </w:rPr>
        <w:t xml:space="preserve">resolución </w:t>
      </w:r>
      <w:r w:rsidR="00AE31A4" w:rsidRPr="00115F4D">
        <w:rPr>
          <w:rFonts w:ascii="Arial" w:hAnsi="Arial" w:cs="Arial"/>
        </w:rPr>
        <w:t>CREG 180 de 201</w:t>
      </w:r>
      <w:r w:rsidR="00CD2522" w:rsidRPr="00115F4D">
        <w:rPr>
          <w:rFonts w:ascii="Arial" w:hAnsi="Arial" w:cs="Arial"/>
        </w:rPr>
        <w:t xml:space="preserve">4 </w:t>
      </w:r>
      <w:r w:rsidR="00111E73" w:rsidRPr="00115F4D">
        <w:rPr>
          <w:rFonts w:ascii="Arial" w:hAnsi="Arial" w:cs="Arial"/>
        </w:rPr>
        <w:t>realizó</w:t>
      </w:r>
      <w:r w:rsidR="004937EA" w:rsidRPr="00115F4D">
        <w:rPr>
          <w:rFonts w:ascii="Arial" w:hAnsi="Arial" w:cs="Arial"/>
        </w:rPr>
        <w:t xml:space="preserve"> un </w:t>
      </w:r>
      <w:r w:rsidR="00FB542F" w:rsidRPr="00115F4D">
        <w:rPr>
          <w:rFonts w:ascii="Arial" w:hAnsi="Arial" w:cs="Arial"/>
          <w:i/>
          <w:iCs/>
        </w:rPr>
        <w:t>b</w:t>
      </w:r>
      <w:r w:rsidR="004937EA" w:rsidRPr="00115F4D">
        <w:rPr>
          <w:rFonts w:ascii="Arial" w:hAnsi="Arial" w:cs="Arial"/>
          <w:i/>
          <w:iCs/>
        </w:rPr>
        <w:t>enchmark</w:t>
      </w:r>
      <w:r w:rsidR="00FB542F" w:rsidRPr="00115F4D">
        <w:rPr>
          <w:rFonts w:ascii="Arial" w:hAnsi="Arial" w:cs="Arial"/>
          <w:i/>
          <w:iCs/>
        </w:rPr>
        <w:t>ing</w:t>
      </w:r>
      <w:r w:rsidR="004937EA" w:rsidRPr="00115F4D">
        <w:rPr>
          <w:rFonts w:ascii="Arial" w:hAnsi="Arial" w:cs="Arial"/>
        </w:rPr>
        <w:t xml:space="preserve"> conformado por empresas de los sectores de comercialización al por mayor de combustibles sólidos, líquidos, gaseosos</w:t>
      </w:r>
      <w:r w:rsidR="0046440C" w:rsidRPr="00115F4D">
        <w:rPr>
          <w:rFonts w:ascii="Arial" w:hAnsi="Arial" w:cs="Arial"/>
        </w:rPr>
        <w:t>,</w:t>
      </w:r>
      <w:r w:rsidR="004937EA" w:rsidRPr="00115F4D">
        <w:rPr>
          <w:rFonts w:ascii="Arial" w:hAnsi="Arial" w:cs="Arial"/>
        </w:rPr>
        <w:t xml:space="preserve"> y comercio al por menor de víveres en general</w:t>
      </w:r>
      <w:r w:rsidR="00E21AA7" w:rsidRPr="00115F4D">
        <w:rPr>
          <w:rFonts w:ascii="Arial" w:hAnsi="Arial" w:cs="Arial"/>
        </w:rPr>
        <w:t>,</w:t>
      </w:r>
      <w:r w:rsidR="0046440C" w:rsidRPr="00115F4D">
        <w:rPr>
          <w:rFonts w:ascii="Arial" w:hAnsi="Arial" w:cs="Arial"/>
        </w:rPr>
        <w:t xml:space="preserve"> sectores G4661 y el G4719 </w:t>
      </w:r>
      <w:r w:rsidR="00111E73" w:rsidRPr="00115F4D">
        <w:rPr>
          <w:rFonts w:ascii="Arial" w:hAnsi="Arial" w:cs="Arial"/>
        </w:rPr>
        <w:t>respectivamente</w:t>
      </w:r>
      <w:r w:rsidR="00FB542F" w:rsidRPr="00115F4D">
        <w:rPr>
          <w:rFonts w:ascii="Arial" w:hAnsi="Arial" w:cs="Arial"/>
        </w:rPr>
        <w:t xml:space="preserve">, </w:t>
      </w:r>
      <w:r w:rsidR="00B55ABA" w:rsidRPr="00115F4D">
        <w:rPr>
          <w:rFonts w:ascii="Arial" w:hAnsi="Arial" w:cs="Arial"/>
        </w:rPr>
        <w:t xml:space="preserve">sectores que fueron seleccionados producto de un análisis </w:t>
      </w:r>
      <w:r w:rsidR="003A3544" w:rsidRPr="00115F4D">
        <w:rPr>
          <w:rFonts w:ascii="Arial" w:hAnsi="Arial" w:cs="Arial"/>
        </w:rPr>
        <w:t>para determinar las compañías de referencia cuya actividad económica fuese comparable a las empresas del sector que se está regulando</w:t>
      </w:r>
      <w:r w:rsidR="00944C49" w:rsidRPr="00115F4D">
        <w:rPr>
          <w:rFonts w:ascii="Arial" w:hAnsi="Arial" w:cs="Arial"/>
        </w:rPr>
        <w:t>.</w:t>
      </w:r>
    </w:p>
    <w:p w14:paraId="00D1BAE2" w14:textId="7063DDBC" w:rsidR="009D2574" w:rsidRPr="00115F4D" w:rsidRDefault="009D2574" w:rsidP="00891C31">
      <w:pPr>
        <w:jc w:val="both"/>
        <w:rPr>
          <w:rFonts w:ascii="Arial" w:hAnsi="Arial" w:cs="Arial"/>
        </w:rPr>
      </w:pPr>
      <w:r w:rsidRPr="00115F4D">
        <w:rPr>
          <w:rFonts w:ascii="Arial" w:hAnsi="Arial" w:cs="Arial"/>
        </w:rPr>
        <w:t xml:space="preserve">La información utilizada para el cálculo </w:t>
      </w:r>
      <w:r w:rsidR="004F2FD0" w:rsidRPr="00115F4D">
        <w:rPr>
          <w:rFonts w:ascii="Arial" w:hAnsi="Arial" w:cs="Arial"/>
        </w:rPr>
        <w:t xml:space="preserve">del margen operacional de </w:t>
      </w:r>
      <w:r w:rsidRPr="00115F4D">
        <w:rPr>
          <w:rFonts w:ascii="Arial" w:hAnsi="Arial" w:cs="Arial"/>
        </w:rPr>
        <w:t xml:space="preserve">dichas empresas corresponde a los estados de resultados y a la de los estados de situación financiera reportados por las empresas a la Superintendencia de Sociedades </w:t>
      </w:r>
      <w:r w:rsidR="000C4972">
        <w:rPr>
          <w:rFonts w:ascii="Arial" w:hAnsi="Arial" w:cs="Arial"/>
        </w:rPr>
        <w:t>y disponible en el p</w:t>
      </w:r>
      <w:r w:rsidRPr="00115F4D">
        <w:rPr>
          <w:rFonts w:ascii="Arial" w:hAnsi="Arial" w:cs="Arial"/>
        </w:rPr>
        <w:t>ortal de Información Empresarial -PIE-.</w:t>
      </w:r>
      <w:r w:rsidR="00796B79" w:rsidRPr="00115F4D">
        <w:rPr>
          <w:rFonts w:ascii="Arial" w:hAnsi="Arial" w:cs="Arial"/>
        </w:rPr>
        <w:t xml:space="preserve"> De los estados de resultados se utiliza la información de ingresos de actividades ordinarias y ganancia (pérdida) por actividades de operación. </w:t>
      </w:r>
      <w:r w:rsidR="00C06260">
        <w:rPr>
          <w:rFonts w:ascii="Arial" w:hAnsi="Arial" w:cs="Arial"/>
        </w:rPr>
        <w:t>Dicha información</w:t>
      </w:r>
      <w:r w:rsidR="002F7346">
        <w:rPr>
          <w:rFonts w:ascii="Arial" w:hAnsi="Arial" w:cs="Arial"/>
        </w:rPr>
        <w:t>, es sometida a un proceso de depuración que se describe a continuación:</w:t>
      </w:r>
    </w:p>
    <w:p w14:paraId="4D71153C" w14:textId="491D1A3B" w:rsidR="00EF373E" w:rsidRDefault="00EF373E" w:rsidP="00C00C77">
      <w:pPr>
        <w:pStyle w:val="Prrafodelista"/>
        <w:numPr>
          <w:ilvl w:val="0"/>
          <w:numId w:val="9"/>
        </w:numPr>
        <w:jc w:val="both"/>
        <w:rPr>
          <w:rFonts w:ascii="Arial" w:hAnsi="Arial" w:cs="Arial"/>
        </w:rPr>
      </w:pPr>
      <w:r>
        <w:rPr>
          <w:rFonts w:ascii="Arial" w:hAnsi="Arial" w:cs="Arial"/>
        </w:rPr>
        <w:t>Solo se considera la información del periodo actual</w:t>
      </w:r>
      <w:r w:rsidR="00796B79" w:rsidRPr="00115F4D">
        <w:rPr>
          <w:rFonts w:ascii="Arial" w:hAnsi="Arial" w:cs="Arial"/>
        </w:rPr>
        <w:t>, es decir, se elimina</w:t>
      </w:r>
      <w:r>
        <w:rPr>
          <w:rFonts w:ascii="Arial" w:hAnsi="Arial" w:cs="Arial"/>
        </w:rPr>
        <w:t>n</w:t>
      </w:r>
      <w:r w:rsidR="00796B79" w:rsidRPr="00115F4D">
        <w:rPr>
          <w:rFonts w:ascii="Arial" w:hAnsi="Arial" w:cs="Arial"/>
        </w:rPr>
        <w:t xml:space="preserve"> los registros del periodo anterior y de periodos trimestrales o semestrales.</w:t>
      </w:r>
    </w:p>
    <w:p w14:paraId="49B1C36E" w14:textId="08089CB9" w:rsidR="00455B7D" w:rsidRPr="00115F4D" w:rsidRDefault="00796B79" w:rsidP="00C00C77">
      <w:pPr>
        <w:pStyle w:val="Prrafodelista"/>
        <w:numPr>
          <w:ilvl w:val="0"/>
          <w:numId w:val="9"/>
        </w:numPr>
        <w:jc w:val="both"/>
        <w:rPr>
          <w:rFonts w:ascii="Arial" w:hAnsi="Arial" w:cs="Arial"/>
        </w:rPr>
      </w:pPr>
      <w:r w:rsidRPr="00115F4D">
        <w:rPr>
          <w:rFonts w:ascii="Arial" w:hAnsi="Arial" w:cs="Arial"/>
        </w:rPr>
        <w:t>De igual forma, se eliminan los registros cuya fecha de corte sea diferente al 31 de diciembre del correspondiente año.</w:t>
      </w:r>
    </w:p>
    <w:p w14:paraId="244F7837" w14:textId="56DB5BBF" w:rsidR="00796B79" w:rsidRPr="00115F4D" w:rsidRDefault="00796B79" w:rsidP="00C00C77">
      <w:pPr>
        <w:pStyle w:val="Prrafodelista"/>
        <w:numPr>
          <w:ilvl w:val="0"/>
          <w:numId w:val="9"/>
        </w:numPr>
        <w:jc w:val="both"/>
        <w:rPr>
          <w:rFonts w:ascii="Arial" w:hAnsi="Arial" w:cs="Arial"/>
        </w:rPr>
      </w:pPr>
      <w:r w:rsidRPr="00115F4D">
        <w:rPr>
          <w:rFonts w:ascii="Arial" w:hAnsi="Arial" w:cs="Arial"/>
        </w:rPr>
        <w:t>Se elimina</w:t>
      </w:r>
      <w:r w:rsidR="00CB77E0">
        <w:rPr>
          <w:rFonts w:ascii="Arial" w:hAnsi="Arial" w:cs="Arial"/>
        </w:rPr>
        <w:t>n</w:t>
      </w:r>
      <w:r w:rsidRPr="00115F4D">
        <w:rPr>
          <w:rFonts w:ascii="Arial" w:hAnsi="Arial" w:cs="Arial"/>
        </w:rPr>
        <w:t xml:space="preserve"> los registros que no reportan información.</w:t>
      </w:r>
    </w:p>
    <w:p w14:paraId="17C38E1B" w14:textId="0C697DB2" w:rsidR="00796B79" w:rsidRPr="00115F4D" w:rsidRDefault="00796B79" w:rsidP="00C00C77">
      <w:pPr>
        <w:pStyle w:val="Prrafodelista"/>
        <w:numPr>
          <w:ilvl w:val="0"/>
          <w:numId w:val="9"/>
        </w:numPr>
        <w:jc w:val="both"/>
        <w:rPr>
          <w:rFonts w:ascii="Arial" w:hAnsi="Arial" w:cs="Arial"/>
        </w:rPr>
      </w:pPr>
      <w:r w:rsidRPr="00115F4D">
        <w:rPr>
          <w:rFonts w:ascii="Arial" w:hAnsi="Arial" w:cs="Arial"/>
        </w:rPr>
        <w:t>Se elimina</w:t>
      </w:r>
      <w:r w:rsidR="00CB77E0">
        <w:rPr>
          <w:rFonts w:ascii="Arial" w:hAnsi="Arial" w:cs="Arial"/>
        </w:rPr>
        <w:t>n</w:t>
      </w:r>
      <w:r w:rsidRPr="00115F4D">
        <w:rPr>
          <w:rFonts w:ascii="Arial" w:hAnsi="Arial" w:cs="Arial"/>
        </w:rPr>
        <w:t xml:space="preserve"> los registros repetidos, es decir, en caso de haber dos o más registros iguales para un periodo, se mantiene solamente uno.</w:t>
      </w:r>
    </w:p>
    <w:p w14:paraId="7B99A592" w14:textId="1082290A" w:rsidR="00125F7F" w:rsidRPr="00115F4D" w:rsidRDefault="00125F7F" w:rsidP="00891C31">
      <w:pPr>
        <w:jc w:val="both"/>
        <w:rPr>
          <w:rFonts w:ascii="Arial" w:hAnsi="Arial" w:cs="Arial"/>
        </w:rPr>
      </w:pPr>
      <w:r w:rsidRPr="00115F4D">
        <w:rPr>
          <w:rFonts w:ascii="Arial" w:hAnsi="Arial" w:cs="Arial"/>
        </w:rPr>
        <w:t>Se calculó el margen operacional de cada una de las empresas de</w:t>
      </w:r>
      <w:r w:rsidR="00CB77E0">
        <w:rPr>
          <w:rFonts w:ascii="Arial" w:hAnsi="Arial" w:cs="Arial"/>
        </w:rPr>
        <w:t xml:space="preserve"> los</w:t>
      </w:r>
      <w:r w:rsidRPr="00115F4D">
        <w:rPr>
          <w:rFonts w:ascii="Arial" w:hAnsi="Arial" w:cs="Arial"/>
        </w:rPr>
        <w:t xml:space="preserve"> sector</w:t>
      </w:r>
      <w:r w:rsidR="00CB77E0">
        <w:rPr>
          <w:rFonts w:ascii="Arial" w:hAnsi="Arial" w:cs="Arial"/>
        </w:rPr>
        <w:t>es</w:t>
      </w:r>
      <w:r w:rsidRPr="00115F4D">
        <w:rPr>
          <w:rFonts w:ascii="Arial" w:hAnsi="Arial" w:cs="Arial"/>
        </w:rPr>
        <w:t xml:space="preserve"> y se eliminan los datos extremos de margen operacional de cada uno de los periodos. Un dato se considera extremo si es inferior a Q1−3×IQR o si es superior a Q3+3×IQR, donde:</w:t>
      </w:r>
    </w:p>
    <w:p w14:paraId="3AE8D745" w14:textId="1714FE87" w:rsidR="00125F7F" w:rsidRPr="00115F4D" w:rsidRDefault="00125F7F" w:rsidP="00891C31">
      <w:pPr>
        <w:ind w:left="708" w:hanging="708"/>
        <w:jc w:val="both"/>
        <w:rPr>
          <w:rFonts w:ascii="Arial" w:hAnsi="Arial" w:cs="Arial"/>
        </w:rPr>
      </w:pPr>
      <w:r w:rsidRPr="00115F4D">
        <w:rPr>
          <w:rFonts w:ascii="Arial" w:hAnsi="Arial" w:cs="Arial"/>
        </w:rPr>
        <w:t>Q1</w:t>
      </w:r>
      <w:r w:rsidRPr="00115F4D">
        <w:rPr>
          <w:rFonts w:ascii="Arial" w:hAnsi="Arial" w:cs="Arial"/>
        </w:rPr>
        <w:tab/>
        <w:t>Corresponde al primer cuartil. Por debajo de este valor se encuentra, como máximo, el 25% de las observaciones.</w:t>
      </w:r>
    </w:p>
    <w:p w14:paraId="729B8838" w14:textId="7A7B0357" w:rsidR="00125F7F" w:rsidRPr="00115F4D" w:rsidRDefault="00125F7F" w:rsidP="00891C31">
      <w:pPr>
        <w:ind w:left="708" w:hanging="708"/>
        <w:jc w:val="both"/>
        <w:rPr>
          <w:rFonts w:ascii="Arial" w:hAnsi="Arial" w:cs="Arial"/>
        </w:rPr>
      </w:pPr>
      <w:r w:rsidRPr="00115F4D">
        <w:rPr>
          <w:rFonts w:ascii="Arial" w:hAnsi="Arial" w:cs="Arial"/>
        </w:rPr>
        <w:t>Q3</w:t>
      </w:r>
      <w:r w:rsidRPr="00115F4D">
        <w:rPr>
          <w:rFonts w:ascii="Arial" w:hAnsi="Arial" w:cs="Arial"/>
        </w:rPr>
        <w:tab/>
        <w:t>Corresponde al tercer cuartil. Por debajo de este valor se encuentra, como máximo, el 75% de las observaciones.</w:t>
      </w:r>
    </w:p>
    <w:p w14:paraId="0BF91383" w14:textId="77777777" w:rsidR="00125F7F" w:rsidRPr="00115F4D" w:rsidRDefault="00125F7F" w:rsidP="00891C31">
      <w:pPr>
        <w:ind w:left="708" w:hanging="708"/>
        <w:jc w:val="both"/>
        <w:rPr>
          <w:rFonts w:ascii="Arial" w:hAnsi="Arial" w:cs="Arial"/>
        </w:rPr>
      </w:pPr>
      <w:r w:rsidRPr="00115F4D">
        <w:rPr>
          <w:rFonts w:ascii="Arial" w:hAnsi="Arial" w:cs="Arial"/>
        </w:rPr>
        <w:t>IQR</w:t>
      </w:r>
      <w:r w:rsidRPr="00115F4D">
        <w:rPr>
          <w:rFonts w:ascii="Arial" w:hAnsi="Arial" w:cs="Arial"/>
        </w:rPr>
        <w:tab/>
        <w:t xml:space="preserve">Corresponde al rango intercuartil. Se calcula se acuerdo con la siguiente ecuación: </w:t>
      </w:r>
    </w:p>
    <w:p w14:paraId="2AC3DCF7" w14:textId="6D6E401C" w:rsidR="00125F7F" w:rsidRPr="00115F4D" w:rsidRDefault="00125F7F" w:rsidP="00891C31">
      <w:pPr>
        <w:ind w:left="708" w:hanging="708"/>
        <w:jc w:val="center"/>
        <w:rPr>
          <w:rFonts w:ascii="Arial" w:hAnsi="Arial" w:cs="Arial"/>
        </w:rPr>
      </w:pPr>
      <w:r w:rsidRPr="00115F4D">
        <w:rPr>
          <w:rFonts w:ascii="Arial" w:hAnsi="Arial" w:cs="Arial"/>
        </w:rPr>
        <w:t>IQR=Q3−Q1</w:t>
      </w:r>
    </w:p>
    <w:p w14:paraId="3286904B" w14:textId="77777777" w:rsidR="00741B8B" w:rsidRPr="00115F4D" w:rsidRDefault="00741B8B" w:rsidP="00891C31">
      <w:pPr>
        <w:autoSpaceDE w:val="0"/>
        <w:autoSpaceDN w:val="0"/>
        <w:adjustRightInd w:val="0"/>
        <w:spacing w:before="0" w:after="0"/>
        <w:jc w:val="both"/>
        <w:rPr>
          <w:rFonts w:ascii="Arial" w:hAnsi="Arial" w:cs="Arial"/>
          <w:color w:val="000000"/>
        </w:rPr>
      </w:pPr>
      <w:r w:rsidRPr="00115F4D">
        <w:rPr>
          <w:rFonts w:ascii="Arial" w:hAnsi="Arial" w:cs="Arial"/>
          <w:color w:val="000000"/>
        </w:rPr>
        <w:t xml:space="preserve">Como se mencionó anteriormente, este análisis se realiza por periodo. Es decir, se determinan cinco rangos intercuartiles, uno por cada año de análisis. </w:t>
      </w:r>
    </w:p>
    <w:p w14:paraId="33B4DE0D" w14:textId="0D806D5B" w:rsidR="00125F7F" w:rsidRPr="00115F4D" w:rsidRDefault="00741B8B" w:rsidP="00891C31">
      <w:pPr>
        <w:jc w:val="both"/>
        <w:rPr>
          <w:rFonts w:ascii="Arial" w:hAnsi="Arial" w:cs="Arial"/>
          <w:color w:val="000000"/>
        </w:rPr>
      </w:pPr>
      <w:r w:rsidRPr="00115F4D">
        <w:rPr>
          <w:rFonts w:ascii="Arial" w:hAnsi="Arial" w:cs="Arial"/>
          <w:color w:val="000000"/>
        </w:rPr>
        <w:t>Se determina un margen operacional para cada año de análisis como un promedio ponderado por ingresos del margen operacional de las empresas de los sectores. Finalmente, se determina un único margen operacional, el cual se calcula como el promedio simple de los márgenes obtenidos en cada uno de los años analizados.</w:t>
      </w:r>
    </w:p>
    <w:p w14:paraId="1C7F6138" w14:textId="30E779B1" w:rsidR="004514FE" w:rsidRPr="00115F4D" w:rsidRDefault="004514FE" w:rsidP="00891C31">
      <w:pPr>
        <w:jc w:val="both"/>
        <w:rPr>
          <w:rFonts w:ascii="Arial" w:hAnsi="Arial" w:cs="Arial"/>
        </w:rPr>
      </w:pPr>
      <w:r w:rsidRPr="00115F4D">
        <w:rPr>
          <w:rFonts w:ascii="Arial" w:hAnsi="Arial" w:cs="Arial"/>
        </w:rPr>
        <w:t>Inicialmente, al actualizar la metodología</w:t>
      </w:r>
      <w:r w:rsidR="00D458F3" w:rsidRPr="00115F4D">
        <w:rPr>
          <w:rFonts w:ascii="Arial" w:hAnsi="Arial" w:cs="Arial"/>
        </w:rPr>
        <w:t xml:space="preserve"> de </w:t>
      </w:r>
      <w:r w:rsidRPr="00115F4D">
        <w:rPr>
          <w:rFonts w:ascii="Arial" w:hAnsi="Arial" w:cs="Arial"/>
        </w:rPr>
        <w:t>la resolución CREG 180 de 2014</w:t>
      </w:r>
      <w:r w:rsidR="00B649CD" w:rsidRPr="00115F4D">
        <w:rPr>
          <w:rFonts w:ascii="Arial" w:hAnsi="Arial" w:cs="Arial"/>
        </w:rPr>
        <w:t>, para los subsectores mencionados, usando la información</w:t>
      </w:r>
      <w:r w:rsidR="00EE01C6" w:rsidRPr="00115F4D">
        <w:rPr>
          <w:rFonts w:ascii="Arial" w:hAnsi="Arial" w:cs="Arial"/>
        </w:rPr>
        <w:t xml:space="preserve"> </w:t>
      </w:r>
      <w:r w:rsidR="00021C5F" w:rsidRPr="00115F4D">
        <w:rPr>
          <w:rFonts w:ascii="Arial" w:hAnsi="Arial" w:cs="Arial"/>
        </w:rPr>
        <w:t xml:space="preserve">reportada por las empresas a la </w:t>
      </w:r>
      <w:r w:rsidR="00021C5F" w:rsidRPr="00115F4D">
        <w:rPr>
          <w:rFonts w:ascii="Arial" w:hAnsi="Arial" w:cs="Arial"/>
        </w:rPr>
        <w:lastRenderedPageBreak/>
        <w:t xml:space="preserve">Superintendencia de </w:t>
      </w:r>
      <w:r w:rsidR="006B0246" w:rsidRPr="00115F4D">
        <w:rPr>
          <w:rFonts w:ascii="Arial" w:hAnsi="Arial" w:cs="Arial"/>
        </w:rPr>
        <w:t>S</w:t>
      </w:r>
      <w:r w:rsidR="00021C5F" w:rsidRPr="00115F4D">
        <w:rPr>
          <w:rFonts w:ascii="Arial" w:hAnsi="Arial" w:cs="Arial"/>
        </w:rPr>
        <w:t>ociedades para los años 201</w:t>
      </w:r>
      <w:r w:rsidR="00CC5626" w:rsidRPr="00115F4D">
        <w:rPr>
          <w:rFonts w:ascii="Arial" w:hAnsi="Arial" w:cs="Arial"/>
        </w:rPr>
        <w:t>8</w:t>
      </w:r>
      <w:r w:rsidR="00021C5F" w:rsidRPr="00115F4D">
        <w:rPr>
          <w:rFonts w:ascii="Arial" w:hAnsi="Arial" w:cs="Arial"/>
        </w:rPr>
        <w:t xml:space="preserve"> a 202</w:t>
      </w:r>
      <w:r w:rsidR="00CC5626" w:rsidRPr="00115F4D">
        <w:rPr>
          <w:rFonts w:ascii="Arial" w:hAnsi="Arial" w:cs="Arial"/>
        </w:rPr>
        <w:t>2</w:t>
      </w:r>
      <w:r w:rsidR="00D458F3" w:rsidRPr="00115F4D">
        <w:rPr>
          <w:rFonts w:ascii="Arial" w:hAnsi="Arial" w:cs="Arial"/>
        </w:rPr>
        <w:t xml:space="preserve">, se obtienen los </w:t>
      </w:r>
      <w:r w:rsidR="00C977A7" w:rsidRPr="00115F4D">
        <w:rPr>
          <w:rFonts w:ascii="Arial" w:hAnsi="Arial" w:cs="Arial"/>
        </w:rPr>
        <w:t xml:space="preserve">márgenes operacionales mostrados en la </w:t>
      </w:r>
      <w:r w:rsidR="005F4C84" w:rsidRPr="00115F4D">
        <w:rPr>
          <w:rFonts w:ascii="Arial" w:hAnsi="Arial" w:cs="Arial"/>
        </w:rPr>
        <w:fldChar w:fldCharType="begin"/>
      </w:r>
      <w:r w:rsidR="005F4C84" w:rsidRPr="00115F4D">
        <w:rPr>
          <w:rFonts w:ascii="Arial" w:hAnsi="Arial" w:cs="Arial"/>
        </w:rPr>
        <w:instrText xml:space="preserve"> REF _Ref144364470 \h  \* MERGEFORMAT </w:instrText>
      </w:r>
      <w:r w:rsidR="005F4C84" w:rsidRPr="00115F4D">
        <w:rPr>
          <w:rFonts w:ascii="Arial" w:hAnsi="Arial" w:cs="Arial"/>
        </w:rPr>
      </w:r>
      <w:r w:rsidR="005F4C84" w:rsidRPr="00115F4D">
        <w:rPr>
          <w:rFonts w:ascii="Arial" w:hAnsi="Arial" w:cs="Arial"/>
        </w:rPr>
        <w:fldChar w:fldCharType="separate"/>
      </w:r>
      <w:r w:rsidR="002A641D" w:rsidRPr="002A641D">
        <w:rPr>
          <w:rFonts w:ascii="Arial" w:hAnsi="Arial" w:cs="Arial"/>
        </w:rPr>
        <w:t>Figura 4</w:t>
      </w:r>
      <w:r w:rsidR="005F4C84" w:rsidRPr="00115F4D">
        <w:rPr>
          <w:rFonts w:ascii="Arial" w:hAnsi="Arial" w:cs="Arial"/>
        </w:rPr>
        <w:fldChar w:fldCharType="end"/>
      </w:r>
      <w:r w:rsidR="00021C5F" w:rsidRPr="00115F4D">
        <w:rPr>
          <w:rFonts w:ascii="Arial" w:hAnsi="Arial" w:cs="Arial"/>
        </w:rPr>
        <w:t>.</w:t>
      </w:r>
    </w:p>
    <w:p w14:paraId="25F74E06" w14:textId="77777777" w:rsidR="00496BC5" w:rsidRPr="00115F4D" w:rsidRDefault="00496BC5" w:rsidP="00891C31">
      <w:pPr>
        <w:spacing w:after="0"/>
        <w:ind w:left="360"/>
        <w:jc w:val="center"/>
        <w:rPr>
          <w:rFonts w:asciiTheme="majorHAnsi" w:hAnsiTheme="majorHAnsi" w:cstheme="majorBidi"/>
        </w:rPr>
      </w:pPr>
      <w:r w:rsidRPr="00115F4D">
        <w:rPr>
          <w:rFonts w:asciiTheme="majorHAnsi" w:hAnsiTheme="majorHAnsi" w:cstheme="majorHAnsi"/>
          <w:noProof/>
        </w:rPr>
        <mc:AlternateContent>
          <mc:Choice Requires="cx1">
            <w:drawing>
              <wp:inline distT="0" distB="0" distL="0" distR="0" wp14:anchorId="339439B8" wp14:editId="274147B8">
                <wp:extent cx="5058410" cy="2896820"/>
                <wp:effectExtent l="0" t="0" r="8890" b="18415"/>
                <wp:docPr id="1345623008" name="Chart 1345623008">
                  <a:extLst xmlns:a="http://schemas.openxmlformats.org/drawingml/2006/main">
                    <a:ext uri="{FF2B5EF4-FFF2-40B4-BE49-F238E27FC236}">
                      <a16:creationId xmlns:a16="http://schemas.microsoft.com/office/drawing/2014/main" id="{1F49CA55-297E-3127-DBDC-98768C633FA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7"/>
                  </a:graphicData>
                </a:graphic>
              </wp:inline>
            </w:drawing>
          </mc:Choice>
          <mc:Fallback>
            <w:drawing>
              <wp:inline distT="0" distB="0" distL="0" distR="0" wp14:anchorId="339439B8" wp14:editId="274147B8">
                <wp:extent cx="5058410" cy="2896820"/>
                <wp:effectExtent l="0" t="0" r="8890" b="18415"/>
                <wp:docPr id="1345623008" name="Chart 1345623008">
                  <a:extLst xmlns:a="http://schemas.openxmlformats.org/drawingml/2006/main">
                    <a:ext uri="{FF2B5EF4-FFF2-40B4-BE49-F238E27FC236}">
                      <a16:creationId xmlns:a16="http://schemas.microsoft.com/office/drawing/2014/main" id="{1F49CA55-297E-3127-DBDC-98768C633FA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45623008" name="Chart 1345623008">
                          <a:extLst>
                            <a:ext uri="{FF2B5EF4-FFF2-40B4-BE49-F238E27FC236}">
                              <a16:creationId xmlns:a16="http://schemas.microsoft.com/office/drawing/2014/main" id="{1F49CA55-297E-3127-DBDC-98768C633FAE}"/>
                            </a:ext>
                          </a:extLst>
                        </pic:cNvPr>
                        <pic:cNvPicPr>
                          <a:picLocks noGrp="1" noRot="1" noChangeAspect="1" noMove="1" noResize="1" noEditPoints="1" noAdjustHandles="1" noChangeArrowheads="1" noChangeShapeType="1"/>
                        </pic:cNvPicPr>
                      </pic:nvPicPr>
                      <pic:blipFill>
                        <a:blip r:embed="rId68"/>
                        <a:stretch>
                          <a:fillRect/>
                        </a:stretch>
                      </pic:blipFill>
                      <pic:spPr>
                        <a:xfrm>
                          <a:off x="0" y="0"/>
                          <a:ext cx="5058410" cy="2896235"/>
                        </a:xfrm>
                        <a:prstGeom prst="rect">
                          <a:avLst/>
                        </a:prstGeom>
                      </pic:spPr>
                    </pic:pic>
                  </a:graphicData>
                </a:graphic>
              </wp:inline>
            </w:drawing>
          </mc:Fallback>
        </mc:AlternateContent>
      </w:r>
    </w:p>
    <w:p w14:paraId="1BDA38EB" w14:textId="37389DB2" w:rsidR="003138EB" w:rsidRPr="00115F4D" w:rsidRDefault="003138EB" w:rsidP="00891C31">
      <w:pPr>
        <w:pStyle w:val="Descripcin"/>
        <w:jc w:val="center"/>
        <w:rPr>
          <w:rFonts w:ascii="Arial" w:hAnsi="Arial" w:cs="Arial"/>
          <w:b/>
          <w:bCs/>
          <w:color w:val="auto"/>
        </w:rPr>
      </w:pPr>
      <w:bookmarkStart w:id="47" w:name="_Ref144364470"/>
      <w:bookmarkStart w:id="48" w:name="_Hlk140132331"/>
      <w:r w:rsidRPr="00115F4D">
        <w:rPr>
          <w:rFonts w:ascii="Arial" w:hAnsi="Arial" w:cs="Arial"/>
          <w:b/>
          <w:bCs/>
          <w:color w:val="auto"/>
        </w:rPr>
        <w:t xml:space="preserve">Figura </w:t>
      </w:r>
      <w:r w:rsidRPr="00115F4D">
        <w:rPr>
          <w:rFonts w:ascii="Arial" w:hAnsi="Arial" w:cs="Arial"/>
          <w:b/>
          <w:bCs/>
          <w:color w:val="auto"/>
        </w:rPr>
        <w:fldChar w:fldCharType="begin"/>
      </w:r>
      <w:r w:rsidRPr="00115F4D">
        <w:rPr>
          <w:rFonts w:ascii="Arial" w:hAnsi="Arial" w:cs="Arial"/>
          <w:b/>
          <w:bCs/>
          <w:color w:val="auto"/>
        </w:rPr>
        <w:instrText xml:space="preserve"> SEQ Figura \* ARABIC </w:instrText>
      </w:r>
      <w:r w:rsidRPr="00115F4D">
        <w:rPr>
          <w:rFonts w:ascii="Arial" w:hAnsi="Arial" w:cs="Arial"/>
          <w:b/>
          <w:bCs/>
          <w:color w:val="auto"/>
        </w:rPr>
        <w:fldChar w:fldCharType="separate"/>
      </w:r>
      <w:r w:rsidR="002A641D">
        <w:rPr>
          <w:rFonts w:ascii="Arial" w:hAnsi="Arial" w:cs="Arial"/>
          <w:b/>
          <w:bCs/>
          <w:noProof/>
          <w:color w:val="auto"/>
        </w:rPr>
        <w:t>4</w:t>
      </w:r>
      <w:r w:rsidRPr="00115F4D">
        <w:rPr>
          <w:rFonts w:ascii="Arial" w:hAnsi="Arial" w:cs="Arial"/>
          <w:b/>
          <w:bCs/>
          <w:color w:val="auto"/>
        </w:rPr>
        <w:fldChar w:fldCharType="end"/>
      </w:r>
      <w:bookmarkEnd w:id="47"/>
      <w:r w:rsidRPr="00115F4D">
        <w:rPr>
          <w:rFonts w:ascii="Arial" w:hAnsi="Arial" w:cs="Arial"/>
          <w:b/>
          <w:bCs/>
          <w:color w:val="auto"/>
        </w:rPr>
        <w:t xml:space="preserve"> </w:t>
      </w:r>
      <w:r w:rsidR="00BC3109" w:rsidRPr="00115F4D">
        <w:rPr>
          <w:rFonts w:ascii="Arial" w:hAnsi="Arial" w:cs="Arial"/>
          <w:b/>
          <w:bCs/>
          <w:color w:val="auto"/>
        </w:rPr>
        <w:t>Margen operacional para empresas de los sector</w:t>
      </w:r>
      <w:r w:rsidR="005323A7" w:rsidRPr="00115F4D">
        <w:rPr>
          <w:rFonts w:ascii="Arial" w:hAnsi="Arial" w:cs="Arial"/>
          <w:b/>
          <w:bCs/>
          <w:color w:val="auto"/>
        </w:rPr>
        <w:t>e</w:t>
      </w:r>
      <w:r w:rsidR="00BC3109" w:rsidRPr="00115F4D">
        <w:rPr>
          <w:rFonts w:ascii="Arial" w:hAnsi="Arial" w:cs="Arial"/>
          <w:b/>
          <w:bCs/>
          <w:color w:val="auto"/>
        </w:rPr>
        <w:t>s G4661 y G</w:t>
      </w:r>
      <w:r w:rsidR="005323A7" w:rsidRPr="00115F4D">
        <w:rPr>
          <w:rFonts w:ascii="Arial" w:hAnsi="Arial" w:cs="Arial"/>
          <w:b/>
          <w:bCs/>
          <w:color w:val="auto"/>
        </w:rPr>
        <w:t>4719</w:t>
      </w:r>
      <w:r w:rsidRPr="00115F4D">
        <w:rPr>
          <w:rFonts w:ascii="Arial" w:hAnsi="Arial" w:cs="Arial"/>
          <w:b/>
          <w:bCs/>
          <w:color w:val="auto"/>
        </w:rPr>
        <w:t>.</w:t>
      </w:r>
      <w:bookmarkEnd w:id="48"/>
    </w:p>
    <w:p w14:paraId="09D0FA3C" w14:textId="49B14786" w:rsidR="00496BC5" w:rsidRPr="00115F4D" w:rsidRDefault="008169C6" w:rsidP="00891C31">
      <w:pPr>
        <w:jc w:val="both"/>
        <w:rPr>
          <w:rFonts w:ascii="Arial" w:hAnsi="Arial" w:cs="Arial"/>
        </w:rPr>
      </w:pPr>
      <w:r w:rsidRPr="00115F4D">
        <w:rPr>
          <w:rFonts w:ascii="Arial" w:hAnsi="Arial" w:cs="Arial"/>
        </w:rPr>
        <w:t xml:space="preserve">Una vez </w:t>
      </w:r>
      <w:r w:rsidR="00B3279A" w:rsidRPr="00115F4D">
        <w:rPr>
          <w:rFonts w:ascii="Arial" w:hAnsi="Arial" w:cs="Arial"/>
        </w:rPr>
        <w:t>realizado el procedimiento</w:t>
      </w:r>
      <w:r w:rsidR="006B0246" w:rsidRPr="00115F4D">
        <w:rPr>
          <w:rFonts w:ascii="Arial" w:hAnsi="Arial" w:cs="Arial"/>
        </w:rPr>
        <w:t xml:space="preserve"> estadístico para depurar la información y </w:t>
      </w:r>
      <w:r w:rsidR="00B3279A" w:rsidRPr="00115F4D">
        <w:rPr>
          <w:rFonts w:ascii="Arial" w:hAnsi="Arial" w:cs="Arial"/>
        </w:rPr>
        <w:t>eliminar los datos atípicos, para cada sector se obtiene</w:t>
      </w:r>
      <w:r w:rsidR="00926866" w:rsidRPr="00115F4D">
        <w:rPr>
          <w:rFonts w:ascii="Arial" w:hAnsi="Arial" w:cs="Arial"/>
        </w:rPr>
        <w:t xml:space="preserve"> que el valor promedio del margen de operación para el periodo descrito es de 3,1</w:t>
      </w:r>
      <w:r w:rsidR="00CB4D5B" w:rsidRPr="00115F4D">
        <w:rPr>
          <w:rFonts w:ascii="Arial" w:hAnsi="Arial" w:cs="Arial"/>
        </w:rPr>
        <w:t>8</w:t>
      </w:r>
      <w:r w:rsidR="00926866" w:rsidRPr="00115F4D">
        <w:rPr>
          <w:rFonts w:ascii="Arial" w:hAnsi="Arial" w:cs="Arial"/>
        </w:rPr>
        <w:t>%</w:t>
      </w:r>
      <w:r w:rsidR="00496BC5" w:rsidRPr="00115F4D">
        <w:rPr>
          <w:rFonts w:ascii="Arial" w:hAnsi="Arial" w:cs="Arial"/>
        </w:rPr>
        <w:t>.</w:t>
      </w:r>
    </w:p>
    <w:tbl>
      <w:tblPr>
        <w:tblW w:w="4280" w:type="dxa"/>
        <w:jc w:val="center"/>
        <w:tblCellMar>
          <w:left w:w="70" w:type="dxa"/>
          <w:right w:w="70" w:type="dxa"/>
        </w:tblCellMar>
        <w:tblLook w:val="04A0" w:firstRow="1" w:lastRow="0" w:firstColumn="1" w:lastColumn="0" w:noHBand="0" w:noVBand="1"/>
      </w:tblPr>
      <w:tblGrid>
        <w:gridCol w:w="1929"/>
        <w:gridCol w:w="2351"/>
      </w:tblGrid>
      <w:tr w:rsidR="00CB4D5B" w:rsidRPr="00115F4D" w14:paraId="579A6C13" w14:textId="77777777" w:rsidTr="00732761">
        <w:trPr>
          <w:trHeight w:val="290"/>
          <w:tblHeader/>
          <w:jc w:val="center"/>
        </w:trPr>
        <w:tc>
          <w:tcPr>
            <w:tcW w:w="42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EC7F" w14:textId="74CB46BC" w:rsidR="00CB4D5B" w:rsidRPr="00115F4D" w:rsidRDefault="00CB4D5B" w:rsidP="00891C31">
            <w:pPr>
              <w:spacing w:before="0" w:after="0"/>
              <w:jc w:val="center"/>
              <w:rPr>
                <w:rFonts w:ascii="Arial" w:eastAsia="Times New Roman" w:hAnsi="Arial" w:cs="Arial"/>
                <w:b/>
                <w:bCs/>
                <w:color w:val="000000"/>
                <w:sz w:val="18"/>
                <w:szCs w:val="18"/>
                <w:lang w:eastAsia="es-CO"/>
              </w:rPr>
            </w:pPr>
            <w:r w:rsidRPr="00115F4D">
              <w:rPr>
                <w:rFonts w:ascii="Arial" w:eastAsia="Times New Roman" w:hAnsi="Arial" w:cs="Arial"/>
                <w:b/>
                <w:bCs/>
                <w:color w:val="000000"/>
                <w:sz w:val="18"/>
                <w:szCs w:val="18"/>
                <w:lang w:eastAsia="es-CO"/>
              </w:rPr>
              <w:t>Márgenes Operacionales Anuales</w:t>
            </w:r>
          </w:p>
        </w:tc>
      </w:tr>
      <w:tr w:rsidR="00CB4D5B" w:rsidRPr="00115F4D" w14:paraId="3022FA71" w14:textId="77777777" w:rsidTr="00F044C8">
        <w:trPr>
          <w:trHeight w:val="56"/>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5A30E79F" w14:textId="77777777" w:rsidR="00CB4D5B" w:rsidRPr="00115F4D" w:rsidRDefault="00CB4D5B" w:rsidP="00891C31">
            <w:pPr>
              <w:spacing w:before="0" w:after="0"/>
              <w:jc w:val="center"/>
              <w:rPr>
                <w:rFonts w:ascii="Arial" w:eastAsia="Times New Roman" w:hAnsi="Arial" w:cs="Arial"/>
                <w:b/>
                <w:bCs/>
                <w:color w:val="000000"/>
                <w:sz w:val="18"/>
                <w:szCs w:val="18"/>
                <w:lang w:eastAsia="es-CO"/>
              </w:rPr>
            </w:pPr>
            <w:r w:rsidRPr="00115F4D">
              <w:rPr>
                <w:rFonts w:ascii="Arial" w:eastAsia="Times New Roman" w:hAnsi="Arial" w:cs="Arial"/>
                <w:b/>
                <w:bCs/>
                <w:color w:val="000000"/>
                <w:sz w:val="18"/>
                <w:szCs w:val="18"/>
                <w:lang w:eastAsia="es-CO"/>
              </w:rPr>
              <w:t>2018</w:t>
            </w:r>
          </w:p>
        </w:tc>
        <w:tc>
          <w:tcPr>
            <w:tcW w:w="2351" w:type="dxa"/>
            <w:tcBorders>
              <w:top w:val="nil"/>
              <w:left w:val="nil"/>
              <w:bottom w:val="single" w:sz="4" w:space="0" w:color="auto"/>
              <w:right w:val="single" w:sz="4" w:space="0" w:color="auto"/>
            </w:tcBorders>
            <w:shd w:val="clear" w:color="auto" w:fill="auto"/>
            <w:noWrap/>
            <w:vAlign w:val="bottom"/>
            <w:hideMark/>
          </w:tcPr>
          <w:p w14:paraId="2132ACFC" w14:textId="77777777" w:rsidR="00CB4D5B" w:rsidRPr="00115F4D" w:rsidRDefault="00CB4D5B" w:rsidP="00891C31">
            <w:pPr>
              <w:spacing w:before="0" w:after="0"/>
              <w:jc w:val="center"/>
              <w:rPr>
                <w:rFonts w:ascii="Arial" w:eastAsia="Times New Roman" w:hAnsi="Arial" w:cs="Arial"/>
                <w:color w:val="000000"/>
                <w:sz w:val="18"/>
                <w:szCs w:val="18"/>
                <w:lang w:eastAsia="es-CO"/>
              </w:rPr>
            </w:pPr>
            <w:r w:rsidRPr="00115F4D">
              <w:rPr>
                <w:rFonts w:ascii="Arial" w:eastAsia="Times New Roman" w:hAnsi="Arial" w:cs="Arial"/>
                <w:color w:val="000000"/>
                <w:sz w:val="18"/>
                <w:szCs w:val="18"/>
                <w:lang w:eastAsia="es-CO"/>
              </w:rPr>
              <w:t>3,11%</w:t>
            </w:r>
          </w:p>
        </w:tc>
      </w:tr>
      <w:tr w:rsidR="00CB4D5B" w:rsidRPr="00115F4D" w14:paraId="712DAECA" w14:textId="77777777" w:rsidTr="00F044C8">
        <w:trPr>
          <w:trHeight w:val="56"/>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48EE920C" w14:textId="77777777" w:rsidR="00CB4D5B" w:rsidRPr="00115F4D" w:rsidRDefault="00CB4D5B" w:rsidP="00891C31">
            <w:pPr>
              <w:spacing w:before="0" w:after="0"/>
              <w:jc w:val="center"/>
              <w:rPr>
                <w:rFonts w:ascii="Arial" w:eastAsia="Times New Roman" w:hAnsi="Arial" w:cs="Arial"/>
                <w:b/>
                <w:bCs/>
                <w:color w:val="000000"/>
                <w:sz w:val="18"/>
                <w:szCs w:val="18"/>
                <w:lang w:eastAsia="es-CO"/>
              </w:rPr>
            </w:pPr>
            <w:r w:rsidRPr="00115F4D">
              <w:rPr>
                <w:rFonts w:ascii="Arial" w:eastAsia="Times New Roman" w:hAnsi="Arial" w:cs="Arial"/>
                <w:b/>
                <w:bCs/>
                <w:color w:val="000000"/>
                <w:sz w:val="18"/>
                <w:szCs w:val="18"/>
                <w:lang w:eastAsia="es-CO"/>
              </w:rPr>
              <w:t>2019</w:t>
            </w:r>
          </w:p>
        </w:tc>
        <w:tc>
          <w:tcPr>
            <w:tcW w:w="2351" w:type="dxa"/>
            <w:tcBorders>
              <w:top w:val="nil"/>
              <w:left w:val="nil"/>
              <w:bottom w:val="single" w:sz="4" w:space="0" w:color="auto"/>
              <w:right w:val="single" w:sz="4" w:space="0" w:color="auto"/>
            </w:tcBorders>
            <w:shd w:val="clear" w:color="auto" w:fill="auto"/>
            <w:noWrap/>
            <w:vAlign w:val="bottom"/>
            <w:hideMark/>
          </w:tcPr>
          <w:p w14:paraId="0365BDC4" w14:textId="77777777" w:rsidR="00CB4D5B" w:rsidRPr="00115F4D" w:rsidRDefault="00CB4D5B" w:rsidP="00891C31">
            <w:pPr>
              <w:spacing w:before="0" w:after="0"/>
              <w:jc w:val="center"/>
              <w:rPr>
                <w:rFonts w:ascii="Arial" w:eastAsia="Times New Roman" w:hAnsi="Arial" w:cs="Arial"/>
                <w:color w:val="000000"/>
                <w:sz w:val="18"/>
                <w:szCs w:val="18"/>
                <w:lang w:eastAsia="es-CO"/>
              </w:rPr>
            </w:pPr>
            <w:r w:rsidRPr="00115F4D">
              <w:rPr>
                <w:rFonts w:ascii="Arial" w:eastAsia="Times New Roman" w:hAnsi="Arial" w:cs="Arial"/>
                <w:color w:val="000000"/>
                <w:sz w:val="18"/>
                <w:szCs w:val="18"/>
                <w:lang w:eastAsia="es-CO"/>
              </w:rPr>
              <w:t>3,00%</w:t>
            </w:r>
          </w:p>
        </w:tc>
      </w:tr>
      <w:tr w:rsidR="00CB4D5B" w:rsidRPr="00115F4D" w14:paraId="67DBB2DD" w14:textId="77777777" w:rsidTr="00F044C8">
        <w:trPr>
          <w:trHeight w:val="56"/>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00976A22" w14:textId="77777777" w:rsidR="00CB4D5B" w:rsidRPr="00115F4D" w:rsidRDefault="00CB4D5B" w:rsidP="00891C31">
            <w:pPr>
              <w:spacing w:before="0" w:after="0"/>
              <w:jc w:val="center"/>
              <w:rPr>
                <w:rFonts w:ascii="Arial" w:eastAsia="Times New Roman" w:hAnsi="Arial" w:cs="Arial"/>
                <w:b/>
                <w:bCs/>
                <w:color w:val="000000"/>
                <w:sz w:val="18"/>
                <w:szCs w:val="18"/>
                <w:lang w:eastAsia="es-CO"/>
              </w:rPr>
            </w:pPr>
            <w:r w:rsidRPr="00115F4D">
              <w:rPr>
                <w:rFonts w:ascii="Arial" w:eastAsia="Times New Roman" w:hAnsi="Arial" w:cs="Arial"/>
                <w:b/>
                <w:bCs/>
                <w:color w:val="000000"/>
                <w:sz w:val="18"/>
                <w:szCs w:val="18"/>
                <w:lang w:eastAsia="es-CO"/>
              </w:rPr>
              <w:t>2020</w:t>
            </w:r>
          </w:p>
        </w:tc>
        <w:tc>
          <w:tcPr>
            <w:tcW w:w="2351" w:type="dxa"/>
            <w:tcBorders>
              <w:top w:val="nil"/>
              <w:left w:val="nil"/>
              <w:bottom w:val="single" w:sz="4" w:space="0" w:color="auto"/>
              <w:right w:val="single" w:sz="4" w:space="0" w:color="auto"/>
            </w:tcBorders>
            <w:shd w:val="clear" w:color="auto" w:fill="auto"/>
            <w:noWrap/>
            <w:vAlign w:val="bottom"/>
            <w:hideMark/>
          </w:tcPr>
          <w:p w14:paraId="4BCF3972" w14:textId="77777777" w:rsidR="00CB4D5B" w:rsidRPr="00115F4D" w:rsidRDefault="00CB4D5B" w:rsidP="00891C31">
            <w:pPr>
              <w:spacing w:before="0" w:after="0"/>
              <w:jc w:val="center"/>
              <w:rPr>
                <w:rFonts w:ascii="Arial" w:eastAsia="Times New Roman" w:hAnsi="Arial" w:cs="Arial"/>
                <w:color w:val="000000"/>
                <w:sz w:val="18"/>
                <w:szCs w:val="18"/>
                <w:lang w:eastAsia="es-CO"/>
              </w:rPr>
            </w:pPr>
            <w:r w:rsidRPr="00115F4D">
              <w:rPr>
                <w:rFonts w:ascii="Arial" w:eastAsia="Times New Roman" w:hAnsi="Arial" w:cs="Arial"/>
                <w:color w:val="000000"/>
                <w:sz w:val="18"/>
                <w:szCs w:val="18"/>
                <w:lang w:eastAsia="es-CO"/>
              </w:rPr>
              <w:t>2,92%</w:t>
            </w:r>
          </w:p>
        </w:tc>
      </w:tr>
      <w:tr w:rsidR="00CB4D5B" w:rsidRPr="00115F4D" w14:paraId="4E9399C1" w14:textId="77777777" w:rsidTr="00F044C8">
        <w:trPr>
          <w:trHeight w:val="56"/>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7269B587" w14:textId="77777777" w:rsidR="00CB4D5B" w:rsidRPr="00115F4D" w:rsidRDefault="00CB4D5B" w:rsidP="00891C31">
            <w:pPr>
              <w:spacing w:before="0" w:after="0"/>
              <w:jc w:val="center"/>
              <w:rPr>
                <w:rFonts w:ascii="Arial" w:eastAsia="Times New Roman" w:hAnsi="Arial" w:cs="Arial"/>
                <w:b/>
                <w:bCs/>
                <w:color w:val="000000"/>
                <w:sz w:val="18"/>
                <w:szCs w:val="18"/>
                <w:lang w:eastAsia="es-CO"/>
              </w:rPr>
            </w:pPr>
            <w:r w:rsidRPr="00115F4D">
              <w:rPr>
                <w:rFonts w:ascii="Arial" w:eastAsia="Times New Roman" w:hAnsi="Arial" w:cs="Arial"/>
                <w:b/>
                <w:bCs/>
                <w:color w:val="000000"/>
                <w:sz w:val="18"/>
                <w:szCs w:val="18"/>
                <w:lang w:eastAsia="es-CO"/>
              </w:rPr>
              <w:t>2021</w:t>
            </w:r>
          </w:p>
        </w:tc>
        <w:tc>
          <w:tcPr>
            <w:tcW w:w="2351" w:type="dxa"/>
            <w:tcBorders>
              <w:top w:val="nil"/>
              <w:left w:val="nil"/>
              <w:bottom w:val="single" w:sz="4" w:space="0" w:color="auto"/>
              <w:right w:val="single" w:sz="4" w:space="0" w:color="auto"/>
            </w:tcBorders>
            <w:shd w:val="clear" w:color="auto" w:fill="auto"/>
            <w:noWrap/>
            <w:vAlign w:val="bottom"/>
            <w:hideMark/>
          </w:tcPr>
          <w:p w14:paraId="5C65F5CD" w14:textId="77777777" w:rsidR="00CB4D5B" w:rsidRPr="00115F4D" w:rsidRDefault="00CB4D5B" w:rsidP="00891C31">
            <w:pPr>
              <w:spacing w:before="0" w:after="0"/>
              <w:jc w:val="center"/>
              <w:rPr>
                <w:rFonts w:ascii="Arial" w:eastAsia="Times New Roman" w:hAnsi="Arial" w:cs="Arial"/>
                <w:color w:val="000000"/>
                <w:sz w:val="18"/>
                <w:szCs w:val="18"/>
                <w:lang w:eastAsia="es-CO"/>
              </w:rPr>
            </w:pPr>
            <w:r w:rsidRPr="00115F4D">
              <w:rPr>
                <w:rFonts w:ascii="Arial" w:eastAsia="Times New Roman" w:hAnsi="Arial" w:cs="Arial"/>
                <w:color w:val="000000"/>
                <w:sz w:val="18"/>
                <w:szCs w:val="18"/>
                <w:lang w:eastAsia="es-CO"/>
              </w:rPr>
              <w:t>3,99%</w:t>
            </w:r>
          </w:p>
        </w:tc>
      </w:tr>
      <w:tr w:rsidR="00CB4D5B" w:rsidRPr="00115F4D" w14:paraId="70B88D99" w14:textId="77777777" w:rsidTr="00F044C8">
        <w:trPr>
          <w:trHeight w:val="56"/>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0F7E6A9E" w14:textId="77777777" w:rsidR="00CB4D5B" w:rsidRPr="00115F4D" w:rsidRDefault="00CB4D5B" w:rsidP="00891C31">
            <w:pPr>
              <w:spacing w:before="0" w:after="0"/>
              <w:jc w:val="center"/>
              <w:rPr>
                <w:rFonts w:ascii="Arial" w:eastAsia="Times New Roman" w:hAnsi="Arial" w:cs="Arial"/>
                <w:b/>
                <w:bCs/>
                <w:color w:val="000000"/>
                <w:sz w:val="18"/>
                <w:szCs w:val="18"/>
                <w:lang w:eastAsia="es-CO"/>
              </w:rPr>
            </w:pPr>
            <w:r w:rsidRPr="00115F4D">
              <w:rPr>
                <w:rFonts w:ascii="Arial" w:eastAsia="Times New Roman" w:hAnsi="Arial" w:cs="Arial"/>
                <w:b/>
                <w:bCs/>
                <w:color w:val="000000"/>
                <w:sz w:val="18"/>
                <w:szCs w:val="18"/>
                <w:lang w:eastAsia="es-CO"/>
              </w:rPr>
              <w:t>2022</w:t>
            </w:r>
          </w:p>
        </w:tc>
        <w:tc>
          <w:tcPr>
            <w:tcW w:w="2351" w:type="dxa"/>
            <w:tcBorders>
              <w:top w:val="nil"/>
              <w:left w:val="nil"/>
              <w:bottom w:val="single" w:sz="4" w:space="0" w:color="auto"/>
              <w:right w:val="single" w:sz="4" w:space="0" w:color="auto"/>
            </w:tcBorders>
            <w:shd w:val="clear" w:color="auto" w:fill="auto"/>
            <w:noWrap/>
            <w:vAlign w:val="bottom"/>
            <w:hideMark/>
          </w:tcPr>
          <w:p w14:paraId="7FCCD948" w14:textId="77777777" w:rsidR="00CB4D5B" w:rsidRPr="00115F4D" w:rsidRDefault="00CB4D5B" w:rsidP="00891C31">
            <w:pPr>
              <w:spacing w:before="0" w:after="0"/>
              <w:jc w:val="center"/>
              <w:rPr>
                <w:rFonts w:ascii="Arial" w:eastAsia="Times New Roman" w:hAnsi="Arial" w:cs="Arial"/>
                <w:color w:val="000000"/>
                <w:sz w:val="18"/>
                <w:szCs w:val="18"/>
                <w:lang w:eastAsia="es-CO"/>
              </w:rPr>
            </w:pPr>
            <w:r w:rsidRPr="00115F4D">
              <w:rPr>
                <w:rFonts w:ascii="Arial" w:eastAsia="Times New Roman" w:hAnsi="Arial" w:cs="Arial"/>
                <w:color w:val="000000"/>
                <w:sz w:val="18"/>
                <w:szCs w:val="18"/>
                <w:lang w:eastAsia="es-CO"/>
              </w:rPr>
              <w:t>2,90%</w:t>
            </w:r>
          </w:p>
        </w:tc>
      </w:tr>
      <w:tr w:rsidR="00CB4D5B" w:rsidRPr="00115F4D" w14:paraId="3E05AC12" w14:textId="77777777" w:rsidTr="00F044C8">
        <w:trPr>
          <w:trHeight w:val="56"/>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14:paraId="731D1CE4" w14:textId="093B5D08" w:rsidR="00CB4D5B" w:rsidRPr="00115F4D" w:rsidRDefault="00C300AD" w:rsidP="00891C31">
            <w:pPr>
              <w:spacing w:before="0" w:after="0"/>
              <w:jc w:val="center"/>
              <w:rPr>
                <w:rFonts w:ascii="Arial" w:eastAsia="Times New Roman" w:hAnsi="Arial" w:cs="Arial"/>
                <w:b/>
                <w:bCs/>
                <w:color w:val="000000"/>
                <w:sz w:val="18"/>
                <w:szCs w:val="18"/>
                <w:lang w:eastAsia="es-CO"/>
              </w:rPr>
            </w:pPr>
            <w:r w:rsidRPr="00115F4D">
              <w:rPr>
                <w:rFonts w:ascii="Arial" w:eastAsia="Times New Roman" w:hAnsi="Arial" w:cs="Arial"/>
                <w:b/>
                <w:bCs/>
                <w:color w:val="000000"/>
                <w:sz w:val="18"/>
                <w:szCs w:val="18"/>
                <w:lang w:eastAsia="es-CO"/>
              </w:rPr>
              <w:t>Promedio Simple</w:t>
            </w:r>
          </w:p>
        </w:tc>
        <w:tc>
          <w:tcPr>
            <w:tcW w:w="2351" w:type="dxa"/>
            <w:tcBorders>
              <w:top w:val="nil"/>
              <w:left w:val="nil"/>
              <w:bottom w:val="single" w:sz="4" w:space="0" w:color="auto"/>
              <w:right w:val="single" w:sz="4" w:space="0" w:color="auto"/>
            </w:tcBorders>
            <w:shd w:val="clear" w:color="000000" w:fill="EBF1DE"/>
            <w:noWrap/>
            <w:vAlign w:val="bottom"/>
            <w:hideMark/>
          </w:tcPr>
          <w:p w14:paraId="3EEA4FD6" w14:textId="77777777" w:rsidR="00CB4D5B" w:rsidRPr="00115F4D" w:rsidRDefault="00CB4D5B" w:rsidP="00891C31">
            <w:pPr>
              <w:spacing w:before="0" w:after="0"/>
              <w:jc w:val="center"/>
              <w:rPr>
                <w:rFonts w:ascii="Arial" w:eastAsia="Times New Roman" w:hAnsi="Arial" w:cs="Arial"/>
                <w:color w:val="000000"/>
                <w:sz w:val="18"/>
                <w:szCs w:val="18"/>
                <w:lang w:eastAsia="es-CO"/>
              </w:rPr>
            </w:pPr>
            <w:r w:rsidRPr="00115F4D">
              <w:rPr>
                <w:rFonts w:ascii="Arial" w:eastAsia="Times New Roman" w:hAnsi="Arial" w:cs="Arial"/>
                <w:color w:val="000000"/>
                <w:sz w:val="18"/>
                <w:szCs w:val="18"/>
                <w:lang w:eastAsia="es-CO"/>
              </w:rPr>
              <w:t>3,18%</w:t>
            </w:r>
          </w:p>
        </w:tc>
      </w:tr>
    </w:tbl>
    <w:p w14:paraId="159C91BF" w14:textId="75074A96" w:rsidR="00CC5626" w:rsidRPr="00115F4D" w:rsidRDefault="00F34D92" w:rsidP="00891C31">
      <w:pPr>
        <w:jc w:val="both"/>
        <w:rPr>
          <w:rFonts w:ascii="Arial" w:hAnsi="Arial" w:cs="Arial"/>
        </w:rPr>
      </w:pPr>
      <w:r w:rsidRPr="00115F4D">
        <w:rPr>
          <w:rFonts w:ascii="Arial" w:hAnsi="Arial" w:cs="Arial"/>
        </w:rPr>
        <w:t>De acuerdo con lo anterior, se propone utilizar un único margen operacional igual a 3,18% para todas las empresas que realizan la actividad de comercialización.</w:t>
      </w:r>
    </w:p>
    <w:p w14:paraId="2BCD836A" w14:textId="580647D6" w:rsidR="004E0031" w:rsidRDefault="00A83BF3" w:rsidP="00891C31">
      <w:pPr>
        <w:jc w:val="both"/>
        <w:rPr>
          <w:rFonts w:ascii="Arial" w:hAnsi="Arial" w:cs="Arial"/>
        </w:rPr>
      </w:pPr>
      <w:r w:rsidRPr="00115F4D">
        <w:rPr>
          <w:rFonts w:ascii="Arial" w:hAnsi="Arial" w:cs="Arial"/>
        </w:rPr>
        <w:t xml:space="preserve">Ahora bien, </w:t>
      </w:r>
      <w:r w:rsidR="00FE1012" w:rsidRPr="00115F4D">
        <w:rPr>
          <w:rFonts w:ascii="Arial" w:hAnsi="Arial" w:cs="Arial"/>
        </w:rPr>
        <w:t>en el caso de la</w:t>
      </w:r>
      <w:r w:rsidRPr="00115F4D">
        <w:rPr>
          <w:rFonts w:ascii="Arial" w:hAnsi="Arial" w:cs="Arial"/>
        </w:rPr>
        <w:t xml:space="preserve"> base para calcular la rentabilidad</w:t>
      </w:r>
      <w:r w:rsidR="00FE1012" w:rsidRPr="00115F4D">
        <w:rPr>
          <w:rFonts w:ascii="Arial" w:hAnsi="Arial" w:cs="Arial"/>
        </w:rPr>
        <w:t xml:space="preserve"> del comercializador</w:t>
      </w:r>
      <w:r w:rsidR="00F172CF" w:rsidRPr="00115F4D">
        <w:rPr>
          <w:rFonts w:ascii="Arial" w:hAnsi="Arial" w:cs="Arial"/>
        </w:rPr>
        <w:t>, y con el ánimo de responder a las situaciones identificadas por la comisión,</w:t>
      </w:r>
      <w:r w:rsidRPr="00115F4D">
        <w:rPr>
          <w:rFonts w:ascii="Arial" w:hAnsi="Arial" w:cs="Arial"/>
        </w:rPr>
        <w:t xml:space="preserve"> se propone </w:t>
      </w:r>
      <w:r w:rsidR="00473B0E" w:rsidRPr="00115F4D">
        <w:rPr>
          <w:rFonts w:ascii="Arial" w:hAnsi="Arial" w:cs="Arial"/>
        </w:rPr>
        <w:t xml:space="preserve">usar </w:t>
      </w:r>
      <w:r w:rsidR="004D1913" w:rsidRPr="00115F4D">
        <w:rPr>
          <w:rFonts w:ascii="Arial" w:hAnsi="Arial" w:cs="Arial"/>
        </w:rPr>
        <w:t>los valores históricos</w:t>
      </w:r>
      <w:r w:rsidR="00FD6200" w:rsidRPr="00115F4D">
        <w:rPr>
          <w:rFonts w:ascii="Arial" w:hAnsi="Arial" w:cs="Arial"/>
        </w:rPr>
        <w:t xml:space="preserve"> de</w:t>
      </w:r>
      <w:r w:rsidR="00222098" w:rsidRPr="00115F4D">
        <w:rPr>
          <w:rFonts w:ascii="Arial" w:hAnsi="Arial" w:cs="Arial"/>
        </w:rPr>
        <w:t xml:space="preserve"> los componentes del costo unitario de prestación del servicio, asociado </w:t>
      </w:r>
      <w:r w:rsidR="00CB3330" w:rsidRPr="00115F4D">
        <w:rPr>
          <w:rFonts w:ascii="Arial" w:hAnsi="Arial" w:cs="Arial"/>
        </w:rPr>
        <w:t>de forma directa a los ingresos operacionales de las empresas que desarrollan la actividad de comercialización de energía eléctrica a usuarios regulados</w:t>
      </w:r>
      <w:r w:rsidR="000D55B7">
        <w:rPr>
          <w:rFonts w:ascii="Arial" w:hAnsi="Arial" w:cs="Arial"/>
        </w:rPr>
        <w:t xml:space="preserve"> y cuyo c</w:t>
      </w:r>
      <w:r w:rsidR="00C159F5">
        <w:rPr>
          <w:rFonts w:ascii="Arial" w:hAnsi="Arial" w:cs="Arial"/>
        </w:rPr>
        <w:t>á</w:t>
      </w:r>
      <w:r w:rsidR="000D55B7">
        <w:rPr>
          <w:rFonts w:ascii="Arial" w:hAnsi="Arial" w:cs="Arial"/>
        </w:rPr>
        <w:t xml:space="preserve">lculo obedece al </w:t>
      </w:r>
      <w:r w:rsidR="00C159F5">
        <w:rPr>
          <w:rFonts w:ascii="Arial" w:hAnsi="Arial" w:cs="Arial"/>
        </w:rPr>
        <w:t xml:space="preserve">mismo </w:t>
      </w:r>
      <w:r w:rsidR="000D55B7">
        <w:rPr>
          <w:rFonts w:ascii="Arial" w:hAnsi="Arial" w:cs="Arial"/>
        </w:rPr>
        <w:t xml:space="preserve">periodo de tiempo con el cual </w:t>
      </w:r>
      <w:r w:rsidR="00C159F5">
        <w:rPr>
          <w:rFonts w:ascii="Arial" w:hAnsi="Arial" w:cs="Arial"/>
        </w:rPr>
        <w:t>es calculado el margen operacional para los sectores de referencia</w:t>
      </w:r>
      <w:r w:rsidR="00473B0E" w:rsidRPr="00115F4D">
        <w:rPr>
          <w:rFonts w:ascii="Arial" w:hAnsi="Arial" w:cs="Arial"/>
        </w:rPr>
        <w:t>.</w:t>
      </w:r>
    </w:p>
    <w:p w14:paraId="6B03B74D" w14:textId="1C794FE9" w:rsidR="006E3E92" w:rsidRPr="00115F4D" w:rsidRDefault="00541D33" w:rsidP="00891C31">
      <w:pPr>
        <w:jc w:val="both"/>
        <w:rPr>
          <w:rFonts w:ascii="Arial" w:hAnsi="Arial" w:cs="Arial"/>
        </w:rPr>
      </w:pPr>
      <w:r>
        <w:rPr>
          <w:rFonts w:ascii="Arial" w:hAnsi="Arial" w:cs="Arial"/>
        </w:rPr>
        <w:t>De otro lado, s</w:t>
      </w:r>
      <w:r w:rsidR="00042D6C">
        <w:rPr>
          <w:rFonts w:ascii="Arial" w:hAnsi="Arial" w:cs="Arial"/>
        </w:rPr>
        <w:t xml:space="preserve">e propone </w:t>
      </w:r>
      <w:r w:rsidR="00CF7656">
        <w:rPr>
          <w:rFonts w:ascii="Arial" w:hAnsi="Arial" w:cs="Arial"/>
        </w:rPr>
        <w:t xml:space="preserve">incluir un incentivo para mejorar </w:t>
      </w:r>
      <w:r w:rsidR="00E333D2">
        <w:rPr>
          <w:rFonts w:ascii="Arial" w:hAnsi="Arial" w:cs="Arial"/>
        </w:rPr>
        <w:t xml:space="preserve">la calidad del servicio comercial en el reconocimiento del margen operacional, </w:t>
      </w:r>
      <w:r w:rsidR="002A0CC9">
        <w:rPr>
          <w:rFonts w:ascii="Arial" w:hAnsi="Arial" w:cs="Arial"/>
        </w:rPr>
        <w:t xml:space="preserve">el cual se describe en el numeral </w:t>
      </w:r>
      <w:r w:rsidR="002A0CC9">
        <w:rPr>
          <w:rFonts w:ascii="Arial" w:hAnsi="Arial" w:cs="Arial"/>
        </w:rPr>
        <w:fldChar w:fldCharType="begin"/>
      </w:r>
      <w:r w:rsidR="002A0CC9">
        <w:rPr>
          <w:rFonts w:ascii="Arial" w:hAnsi="Arial" w:cs="Arial"/>
        </w:rPr>
        <w:instrText xml:space="preserve"> REF _Ref164925828 \r \h </w:instrText>
      </w:r>
      <w:r w:rsidR="002A0CC9">
        <w:rPr>
          <w:rFonts w:ascii="Arial" w:hAnsi="Arial" w:cs="Arial"/>
        </w:rPr>
      </w:r>
      <w:r w:rsidR="002A0CC9">
        <w:rPr>
          <w:rFonts w:ascii="Arial" w:hAnsi="Arial" w:cs="Arial"/>
        </w:rPr>
        <w:fldChar w:fldCharType="separate"/>
      </w:r>
      <w:r w:rsidR="002A641D">
        <w:rPr>
          <w:rFonts w:ascii="Arial" w:hAnsi="Arial" w:cs="Arial"/>
        </w:rPr>
        <w:t>10.3</w:t>
      </w:r>
      <w:r w:rsidR="002A0CC9">
        <w:rPr>
          <w:rFonts w:ascii="Arial" w:hAnsi="Arial" w:cs="Arial"/>
        </w:rPr>
        <w:fldChar w:fldCharType="end"/>
      </w:r>
      <w:r w:rsidR="00D2007F">
        <w:rPr>
          <w:rFonts w:ascii="Arial" w:hAnsi="Arial" w:cs="Arial"/>
        </w:rPr>
        <w:t xml:space="preserve"> del documento. </w:t>
      </w:r>
    </w:p>
    <w:p w14:paraId="7C48CB4E" w14:textId="311F70CF" w:rsidR="00FB2682" w:rsidRPr="00115F4D" w:rsidRDefault="00960DBB" w:rsidP="00891C31">
      <w:pPr>
        <w:jc w:val="both"/>
        <w:rPr>
          <w:rFonts w:ascii="Arial" w:hAnsi="Arial" w:cs="Arial"/>
        </w:rPr>
      </w:pPr>
      <w:r>
        <w:rPr>
          <w:rFonts w:ascii="Arial" w:hAnsi="Arial" w:cs="Arial"/>
        </w:rPr>
        <w:t>En ese contexto, e</w:t>
      </w:r>
      <w:r w:rsidR="00FB2682" w:rsidRPr="00115F4D">
        <w:rPr>
          <w:rFonts w:ascii="Arial" w:hAnsi="Arial" w:cs="Arial"/>
        </w:rPr>
        <w:t>l margen para remunerar la actividad de comercialización se define de la siguiente manera:</w:t>
      </w:r>
    </w:p>
    <w:p w14:paraId="624EEE49" w14:textId="77777777" w:rsidR="00D03A1A" w:rsidRPr="000A29D6" w:rsidRDefault="00E42F3C" w:rsidP="00891C31">
      <w:pPr>
        <w:rPr>
          <w:highlight w:val="lightGray"/>
        </w:rPr>
      </w:pPr>
      <m:oMathPara>
        <m:oMath>
          <m:sSub>
            <m:sSubPr>
              <m:ctrlPr>
                <w:rPr>
                  <w:rFonts w:ascii="Cambria Math" w:hAnsi="Cambria Math"/>
                </w:rPr>
              </m:ctrlPr>
            </m:sSubPr>
            <m:e>
              <m:r>
                <w:rPr>
                  <w:rFonts w:ascii="Cambria Math" w:hAnsi="Cambria Math"/>
                </w:rPr>
                <m:t>MO</m:t>
              </m:r>
            </m:e>
            <m:sub>
              <m:r>
                <w:rPr>
                  <w:rFonts w:ascii="Cambria Math" w:hAnsi="Cambria Math"/>
                </w:rPr>
                <m:t>i,j,m</m:t>
              </m:r>
            </m:sub>
          </m:sSub>
          <m:r>
            <w:rPr>
              <w:rFonts w:ascii="Cambria Math" w:hAnsi="Cambria Math"/>
            </w:rPr>
            <m:t>=</m:t>
          </m:r>
          <m:sSub>
            <m:sSubPr>
              <m:ctrlPr>
                <w:rPr>
                  <w:rFonts w:ascii="Cambria Math" w:hAnsi="Cambria Math"/>
                  <w:i/>
                </w:rPr>
              </m:ctrlPr>
            </m:sSubPr>
            <m:e>
              <m:r>
                <w:rPr>
                  <w:rFonts w:ascii="Cambria Math" w:hAnsi="Cambria Math"/>
                </w:rPr>
                <m:t>CUC</m:t>
              </m:r>
            </m:e>
            <m:sub>
              <m:r>
                <w:rPr>
                  <w:rFonts w:ascii="Cambria Math" w:hAnsi="Cambria Math"/>
                </w:rPr>
                <m:t>i,j</m:t>
              </m:r>
            </m:sub>
          </m:sSub>
          <m:r>
            <w:rPr>
              <w:rFonts w:ascii="Cambria Math" w:hAnsi="Cambria Math"/>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IPCEE</m:t>
                  </m:r>
                </m:e>
                <m:sub>
                  <m:r>
                    <w:rPr>
                      <w:rFonts w:ascii="Cambria Math" w:hAnsi="Cambria Math"/>
                      <w:color w:val="000000"/>
                    </w:rPr>
                    <m:t>m-1</m:t>
                  </m:r>
                </m:sub>
              </m:sSub>
            </m:num>
            <m:den>
              <m:sSub>
                <m:sSubPr>
                  <m:ctrlPr>
                    <w:rPr>
                      <w:rFonts w:ascii="Cambria Math" w:hAnsi="Cambria Math"/>
                      <w:i/>
                      <w:color w:val="000000"/>
                    </w:rPr>
                  </m:ctrlPr>
                </m:sSubPr>
                <m:e>
                  <m:r>
                    <w:rPr>
                      <w:rFonts w:ascii="Cambria Math" w:hAnsi="Cambria Math"/>
                      <w:color w:val="000000"/>
                    </w:rPr>
                    <m:t>IPCEE</m:t>
                  </m:r>
                </m:e>
                <m:sub>
                  <m:r>
                    <w:rPr>
                      <w:rFonts w:ascii="Cambria Math" w:hAnsi="Cambria Math"/>
                      <w:color w:val="000000"/>
                    </w:rPr>
                    <m:t>0</m:t>
                  </m:r>
                </m:sub>
              </m:sSub>
            </m:den>
          </m:f>
          <m:r>
            <w:rPr>
              <w:rFonts w:ascii="Cambria Math" w:hAnsi="Cambria Math"/>
              <w:color w:val="000000"/>
            </w:rPr>
            <m:t>*mo*</m:t>
          </m:r>
          <m:sSub>
            <m:sSubPr>
              <m:ctrlPr>
                <w:rPr>
                  <w:rFonts w:ascii="Cambria Math" w:hAnsi="Cambria Math"/>
                  <w:i/>
                  <w:color w:val="000000"/>
                </w:rPr>
              </m:ctrlPr>
            </m:sSubPr>
            <m:e>
              <m:r>
                <w:rPr>
                  <w:rFonts w:ascii="Cambria Math" w:hAnsi="Cambria Math"/>
                  <w:color w:val="000000"/>
                </w:rPr>
                <m:t>ACS</m:t>
              </m:r>
            </m:e>
            <m:sub>
              <m:r>
                <w:rPr>
                  <w:rFonts w:ascii="Cambria Math" w:hAnsi="Cambria Math"/>
                  <w:color w:val="000000"/>
                </w:rPr>
                <m:t>i,j,t</m:t>
              </m:r>
            </m:sub>
          </m:sSub>
        </m:oMath>
      </m:oMathPara>
    </w:p>
    <w:p w14:paraId="091862D4" w14:textId="2FECFBF9" w:rsidR="00D03A1A" w:rsidRPr="00804771" w:rsidRDefault="00D03A1A" w:rsidP="005535B8">
      <w:pPr>
        <w:ind w:left="1130" w:hanging="1130"/>
        <w:jc w:val="both"/>
        <w:rPr>
          <w:rFonts w:ascii="Arial" w:hAnsi="Arial" w:cs="Arial"/>
        </w:rPr>
      </w:pPr>
      <w:proofErr w:type="gramStart"/>
      <w:r w:rsidRPr="00804771">
        <w:rPr>
          <w:rFonts w:ascii="Arial" w:hAnsi="Arial" w:cs="Arial"/>
          <w:i/>
          <w:lang w:eastAsia="ar-SA"/>
        </w:rPr>
        <w:lastRenderedPageBreak/>
        <w:t>MO</w:t>
      </w:r>
      <w:r w:rsidRPr="00804771">
        <w:rPr>
          <w:rFonts w:ascii="Arial" w:hAnsi="Arial" w:cs="Arial"/>
          <w:i/>
          <w:vertAlign w:val="subscript"/>
          <w:lang w:eastAsia="ar-SA"/>
        </w:rPr>
        <w:t>i,j</w:t>
      </w:r>
      <w:proofErr w:type="gramEnd"/>
      <w:r w:rsidRPr="00804771">
        <w:rPr>
          <w:rFonts w:ascii="Arial" w:hAnsi="Arial" w:cs="Arial"/>
          <w:i/>
          <w:vertAlign w:val="subscript"/>
          <w:lang w:eastAsia="ar-SA"/>
        </w:rPr>
        <w:t>,m</w:t>
      </w:r>
      <w:r w:rsidRPr="00804771">
        <w:rPr>
          <w:rFonts w:ascii="Arial" w:hAnsi="Arial" w:cs="Arial"/>
          <w:lang w:eastAsia="ar-SA"/>
        </w:rPr>
        <w:t>:</w:t>
      </w:r>
      <w:r w:rsidRPr="00804771">
        <w:rPr>
          <w:rFonts w:ascii="Arial" w:hAnsi="Arial" w:cs="Arial"/>
          <w:lang w:eastAsia="ar-SA"/>
        </w:rPr>
        <w:tab/>
      </w:r>
      <w:r w:rsidRPr="00804771">
        <w:rPr>
          <w:rFonts w:ascii="Arial" w:hAnsi="Arial" w:cs="Arial"/>
        </w:rPr>
        <w:t xml:space="preserve">Margen para remunerar la actividad de comercialización del comercializador </w:t>
      </w:r>
      <w:r w:rsidRPr="00804771">
        <w:rPr>
          <w:rFonts w:ascii="Arial" w:hAnsi="Arial" w:cs="Arial"/>
          <w:i/>
        </w:rPr>
        <w:t>i</w:t>
      </w:r>
      <w:r w:rsidRPr="00804771">
        <w:rPr>
          <w:rFonts w:ascii="Arial" w:hAnsi="Arial" w:cs="Arial"/>
        </w:rPr>
        <w:t xml:space="preserve">, en el mercado de comercialización j, en el mes </w:t>
      </w:r>
      <w:r w:rsidRPr="00804771">
        <w:rPr>
          <w:rFonts w:ascii="Arial" w:hAnsi="Arial" w:cs="Arial"/>
          <w:i/>
          <w:iCs/>
        </w:rPr>
        <w:t>m</w:t>
      </w:r>
      <w:r w:rsidR="00A70D82">
        <w:rPr>
          <w:rFonts w:ascii="Arial" w:hAnsi="Arial" w:cs="Arial"/>
        </w:rPr>
        <w:t xml:space="preserve">. </w:t>
      </w:r>
      <w:r w:rsidRPr="00804771">
        <w:rPr>
          <w:rFonts w:ascii="Arial" w:hAnsi="Arial" w:cs="Arial"/>
        </w:rPr>
        <w:t>Esta variable se expresa en pesos por kilovatio hora ($/kWh).</w:t>
      </w:r>
    </w:p>
    <w:p w14:paraId="07941F9C" w14:textId="77777777" w:rsidR="00FB2682" w:rsidRPr="00115F4D" w:rsidRDefault="00FB2682" w:rsidP="005535B8">
      <w:pPr>
        <w:ind w:left="1130" w:hanging="1130"/>
        <w:jc w:val="both"/>
        <w:rPr>
          <w:rFonts w:ascii="Arial" w:hAnsi="Arial" w:cs="Arial"/>
        </w:rPr>
      </w:pPr>
      <w:r w:rsidRPr="00115F4D">
        <w:rPr>
          <w:rFonts w:ascii="Arial" w:hAnsi="Arial" w:cs="Arial"/>
          <w:i/>
          <w:iCs/>
        </w:rPr>
        <w:t>mo:</w:t>
      </w:r>
      <w:r w:rsidRPr="00115F4D">
        <w:rPr>
          <w:rFonts w:ascii="Arial" w:hAnsi="Arial" w:cs="Arial"/>
          <w:i/>
          <w:iCs/>
        </w:rPr>
        <w:tab/>
      </w:r>
      <w:r w:rsidRPr="00115F4D">
        <w:rPr>
          <w:rFonts w:ascii="Arial" w:hAnsi="Arial" w:cs="Arial"/>
        </w:rPr>
        <w:t xml:space="preserve">El margen operacional de la actividad de comercialización de energía eléctrica a usuarios regulados, </w:t>
      </w:r>
      <w:r w:rsidRPr="00115F4D">
        <w:rPr>
          <w:rFonts w:ascii="Arial" w:hAnsi="Arial" w:cs="Arial"/>
          <w:i/>
          <w:iCs/>
        </w:rPr>
        <w:t>mo</w:t>
      </w:r>
      <w:r w:rsidRPr="00115F4D">
        <w:rPr>
          <w:rFonts w:ascii="Arial" w:hAnsi="Arial" w:cs="Arial"/>
        </w:rPr>
        <w:t xml:space="preserve">, será como máximo igual a </w:t>
      </w:r>
      <w:r w:rsidRPr="00804771">
        <w:rPr>
          <w:rFonts w:ascii="Arial" w:hAnsi="Arial" w:cs="Arial"/>
        </w:rPr>
        <w:t>3,1</w:t>
      </w:r>
      <w:r w:rsidR="00F0309F" w:rsidRPr="00804771">
        <w:rPr>
          <w:rFonts w:ascii="Arial" w:hAnsi="Arial" w:cs="Arial"/>
        </w:rPr>
        <w:t>8</w:t>
      </w:r>
      <w:r w:rsidRPr="00804771">
        <w:rPr>
          <w:rFonts w:ascii="Arial" w:hAnsi="Arial" w:cs="Arial"/>
        </w:rPr>
        <w:t>%.</w:t>
      </w:r>
    </w:p>
    <w:p w14:paraId="3EE27AAC" w14:textId="42219286" w:rsidR="00D03A1A" w:rsidRPr="00804771" w:rsidRDefault="00D03A1A" w:rsidP="005535B8">
      <w:pPr>
        <w:ind w:left="1130" w:hanging="1130"/>
        <w:jc w:val="both"/>
        <w:rPr>
          <w:rFonts w:ascii="Arial" w:hAnsi="Arial" w:cs="Arial"/>
        </w:rPr>
      </w:pPr>
      <w:proofErr w:type="gramStart"/>
      <w:r w:rsidRPr="00804771">
        <w:rPr>
          <w:rFonts w:ascii="Arial" w:hAnsi="Arial" w:cs="Arial"/>
          <w:i/>
          <w:iCs/>
        </w:rPr>
        <w:t>CUC</w:t>
      </w:r>
      <w:r w:rsidRPr="00804771">
        <w:rPr>
          <w:rFonts w:ascii="Arial" w:hAnsi="Arial" w:cs="Arial"/>
          <w:i/>
          <w:iCs/>
          <w:vertAlign w:val="subscript"/>
        </w:rPr>
        <w:t>i,j</w:t>
      </w:r>
      <w:proofErr w:type="gramEnd"/>
      <w:r w:rsidRPr="00804771">
        <w:rPr>
          <w:rFonts w:ascii="Arial" w:hAnsi="Arial" w:cs="Arial"/>
          <w:i/>
          <w:iCs/>
        </w:rPr>
        <w:t>:</w:t>
      </w:r>
      <w:r w:rsidRPr="00804771">
        <w:rPr>
          <w:rFonts w:ascii="Arial" w:hAnsi="Arial" w:cs="Arial"/>
          <w:i/>
          <w:iCs/>
        </w:rPr>
        <w:tab/>
      </w:r>
      <w:r w:rsidRPr="00804771">
        <w:rPr>
          <w:rFonts w:ascii="Arial" w:hAnsi="Arial" w:cs="Arial"/>
        </w:rPr>
        <w:t xml:space="preserve">Promedio simple del Costo Unitario de Prestación del Servicio menos el componente de Comercialización para el comercializador </w:t>
      </w:r>
      <w:r w:rsidRPr="00804771">
        <w:rPr>
          <w:rFonts w:ascii="Arial" w:hAnsi="Arial" w:cs="Arial"/>
          <w:i/>
          <w:iCs/>
        </w:rPr>
        <w:t>i</w:t>
      </w:r>
      <w:r w:rsidRPr="00804771">
        <w:rPr>
          <w:rFonts w:ascii="Arial" w:hAnsi="Arial" w:cs="Arial"/>
        </w:rPr>
        <w:t>, en el mercado de comercialización</w:t>
      </w:r>
      <w:r w:rsidRPr="00804771">
        <w:rPr>
          <w:rFonts w:ascii="Arial" w:hAnsi="Arial" w:cs="Arial"/>
          <w:i/>
          <w:iCs/>
        </w:rPr>
        <w:t xml:space="preserve"> j</w:t>
      </w:r>
      <w:r w:rsidRPr="00804771">
        <w:rPr>
          <w:rFonts w:ascii="Arial" w:hAnsi="Arial" w:cs="Arial"/>
        </w:rPr>
        <w:t>, en el nivel de tensión 1, durante los 60 meses anteriores a la fecha base de la metodología, en $/kWh constantes de la fecha base de la metodología.</w:t>
      </w:r>
    </w:p>
    <w:p w14:paraId="1188DB8C" w14:textId="3F611BC7" w:rsidR="00D03A1A" w:rsidRPr="00804771" w:rsidRDefault="00D03A1A" w:rsidP="005535B8">
      <w:pPr>
        <w:ind w:left="1130" w:hanging="1130"/>
        <w:jc w:val="both"/>
        <w:rPr>
          <w:rFonts w:ascii="Arial" w:hAnsi="Arial" w:cs="Arial"/>
        </w:rPr>
      </w:pPr>
      <w:proofErr w:type="gramStart"/>
      <w:r w:rsidRPr="00804771">
        <w:rPr>
          <w:rFonts w:ascii="Arial" w:hAnsi="Arial" w:cs="Arial"/>
          <w:i/>
          <w:lang w:eastAsia="ar-SA"/>
        </w:rPr>
        <w:t>ACS</w:t>
      </w:r>
      <w:r w:rsidRPr="00804771">
        <w:rPr>
          <w:rFonts w:ascii="Arial" w:hAnsi="Arial" w:cs="Arial"/>
          <w:i/>
          <w:vertAlign w:val="subscript"/>
          <w:lang w:eastAsia="ar-SA"/>
        </w:rPr>
        <w:t>i,j</w:t>
      </w:r>
      <w:proofErr w:type="gramEnd"/>
      <w:r w:rsidRPr="00804771">
        <w:rPr>
          <w:rFonts w:ascii="Arial" w:hAnsi="Arial" w:cs="Arial"/>
          <w:i/>
          <w:vertAlign w:val="subscript"/>
          <w:lang w:eastAsia="ar-SA"/>
        </w:rPr>
        <w:t>,t</w:t>
      </w:r>
      <w:r w:rsidRPr="00804771">
        <w:rPr>
          <w:rFonts w:ascii="Arial" w:hAnsi="Arial" w:cs="Arial"/>
          <w:lang w:eastAsia="ar-SA"/>
        </w:rPr>
        <w:t>:</w:t>
      </w:r>
      <w:r w:rsidRPr="00804771">
        <w:rPr>
          <w:rFonts w:ascii="Arial" w:hAnsi="Arial" w:cs="Arial"/>
          <w:lang w:eastAsia="ar-SA"/>
        </w:rPr>
        <w:tab/>
        <w:t xml:space="preserve">Factor de ajuste al margen operacional, </w:t>
      </w:r>
      <w:r w:rsidRPr="00804771">
        <w:rPr>
          <w:rFonts w:ascii="Arial" w:hAnsi="Arial" w:cs="Arial"/>
          <w:i/>
          <w:iCs/>
          <w:lang w:eastAsia="ar-SA"/>
        </w:rPr>
        <w:t>mo</w:t>
      </w:r>
      <w:r w:rsidRPr="00804771">
        <w:rPr>
          <w:rFonts w:ascii="Arial" w:hAnsi="Arial" w:cs="Arial"/>
          <w:lang w:eastAsia="ar-SA"/>
        </w:rPr>
        <w:t>,</w:t>
      </w:r>
      <w:bookmarkStart w:id="49" w:name="_Hlk164324547"/>
      <w:r w:rsidRPr="00804771">
        <w:rPr>
          <w:rFonts w:ascii="Arial" w:hAnsi="Arial" w:cs="Arial"/>
          <w:lang w:eastAsia="ar-SA"/>
        </w:rPr>
        <w:t xml:space="preserve">  por la calidad del servicio comercial del año </w:t>
      </w:r>
      <w:r w:rsidRPr="00804771">
        <w:rPr>
          <w:rFonts w:ascii="Arial" w:hAnsi="Arial" w:cs="Arial"/>
          <w:i/>
          <w:iCs/>
          <w:lang w:eastAsia="ar-SA"/>
        </w:rPr>
        <w:t>t</w:t>
      </w:r>
      <w:r w:rsidRPr="00804771">
        <w:rPr>
          <w:rFonts w:ascii="Arial" w:hAnsi="Arial" w:cs="Arial"/>
          <w:lang w:eastAsia="ar-SA"/>
        </w:rPr>
        <w:t>, para el come</w:t>
      </w:r>
      <w:r w:rsidRPr="00A32901">
        <w:rPr>
          <w:rFonts w:ascii="Arial" w:hAnsi="Arial" w:cs="Arial"/>
          <w:lang w:eastAsia="ar-SA"/>
        </w:rPr>
        <w:t xml:space="preserve">rcializador </w:t>
      </w:r>
      <m:oMath>
        <m:r>
          <w:rPr>
            <w:rFonts w:ascii="Cambria Math" w:hAnsi="Cambria Math" w:cs="Arial"/>
            <w:lang w:eastAsia="ar-SA"/>
          </w:rPr>
          <m:t>i</m:t>
        </m:r>
      </m:oMath>
      <w:r w:rsidRPr="00A32901">
        <w:rPr>
          <w:rFonts w:ascii="Arial" w:hAnsi="Arial" w:cs="Arial"/>
          <w:lang w:eastAsia="ar-SA"/>
        </w:rPr>
        <w:t xml:space="preserve">, en el mercado </w:t>
      </w:r>
      <m:oMath>
        <m:r>
          <w:rPr>
            <w:rFonts w:ascii="Cambria Math" w:hAnsi="Cambria Math" w:cs="Arial"/>
            <w:lang w:eastAsia="ar-SA"/>
          </w:rPr>
          <m:t>j</m:t>
        </m:r>
      </m:oMath>
      <w:bookmarkEnd w:id="49"/>
      <w:r w:rsidR="00211518">
        <w:rPr>
          <w:rFonts w:ascii="Arial" w:hAnsi="Arial" w:cs="Arial"/>
          <w:lang w:eastAsia="ar-SA"/>
        </w:rPr>
        <w:t>.</w:t>
      </w:r>
    </w:p>
    <w:p w14:paraId="4A5B5324" w14:textId="77777777" w:rsidR="00D03A1A" w:rsidRPr="00804771" w:rsidRDefault="00D03A1A" w:rsidP="005535B8">
      <w:pPr>
        <w:tabs>
          <w:tab w:val="left" w:pos="858"/>
        </w:tabs>
        <w:ind w:left="1134" w:hanging="1134"/>
        <w:jc w:val="both"/>
        <w:rPr>
          <w:rFonts w:ascii="Arial" w:hAnsi="Arial" w:cs="Arial"/>
        </w:rPr>
      </w:pPr>
      <w:r w:rsidRPr="00804771">
        <w:rPr>
          <w:rFonts w:ascii="Arial" w:hAnsi="Arial" w:cs="Arial"/>
          <w:i/>
          <w:color w:val="000000"/>
        </w:rPr>
        <w:t>IPCEE</w:t>
      </w:r>
      <w:r w:rsidRPr="00804771">
        <w:rPr>
          <w:rFonts w:ascii="Arial" w:hAnsi="Arial" w:cs="Arial"/>
          <w:i/>
          <w:color w:val="000000"/>
          <w:vertAlign w:val="subscript"/>
        </w:rPr>
        <w:t>m-1</w:t>
      </w:r>
      <w:r w:rsidRPr="00804771">
        <w:rPr>
          <w:rFonts w:ascii="Arial" w:hAnsi="Arial" w:cs="Arial"/>
          <w:color w:val="000000"/>
        </w:rPr>
        <w:t>:</w:t>
      </w:r>
      <w:r w:rsidRPr="00804771">
        <w:rPr>
          <w:rFonts w:ascii="Arial" w:hAnsi="Arial" w:cs="Arial"/>
        </w:rPr>
        <w:tab/>
        <w:t xml:space="preserve">Índice de precios aplicable a la actividad de comercialización de energía eléctrica para el mes </w:t>
      </w:r>
      <w:r w:rsidRPr="00804771">
        <w:rPr>
          <w:rFonts w:ascii="Arial" w:hAnsi="Arial" w:cs="Arial"/>
          <w:i/>
        </w:rPr>
        <w:t>m-1</w:t>
      </w:r>
      <w:r w:rsidRPr="00804771">
        <w:rPr>
          <w:rFonts w:ascii="Arial" w:hAnsi="Arial" w:cs="Arial"/>
          <w:iCs/>
        </w:rPr>
        <w:t>,</w:t>
      </w:r>
      <w:r w:rsidRPr="00804771">
        <w:rPr>
          <w:rFonts w:ascii="Arial" w:hAnsi="Arial" w:cs="Arial"/>
          <w:i/>
        </w:rPr>
        <w:t xml:space="preserve"> </w:t>
      </w:r>
      <w:r w:rsidRPr="00804771">
        <w:rPr>
          <w:rFonts w:ascii="Arial" w:hAnsi="Arial" w:cs="Arial"/>
        </w:rPr>
        <w:t>de acuerdo con la Resolución que emita la CREG, o aquella que la modifique, complemente o sustituya.</w:t>
      </w:r>
    </w:p>
    <w:p w14:paraId="2C915848" w14:textId="77777777" w:rsidR="00D03A1A" w:rsidRPr="00804771" w:rsidRDefault="00D03A1A" w:rsidP="005535B8">
      <w:pPr>
        <w:tabs>
          <w:tab w:val="left" w:pos="858"/>
        </w:tabs>
        <w:ind w:left="1134" w:hanging="1134"/>
        <w:jc w:val="both"/>
        <w:rPr>
          <w:rFonts w:ascii="Arial" w:hAnsi="Arial" w:cs="Arial"/>
          <w:iCs/>
        </w:rPr>
      </w:pPr>
      <w:r w:rsidRPr="00804771">
        <w:rPr>
          <w:rFonts w:ascii="Arial" w:hAnsi="Arial" w:cs="Arial"/>
          <w:i/>
          <w:color w:val="000000"/>
        </w:rPr>
        <w:tab/>
      </w:r>
      <w:r w:rsidRPr="00804771">
        <w:rPr>
          <w:rFonts w:ascii="Arial" w:hAnsi="Arial" w:cs="Arial"/>
          <w:i/>
          <w:color w:val="000000"/>
        </w:rPr>
        <w:tab/>
      </w:r>
      <w:r w:rsidRPr="00804771">
        <w:rPr>
          <w:rFonts w:ascii="Arial" w:hAnsi="Arial" w:cs="Arial"/>
          <w:iCs/>
          <w:color w:val="000000"/>
        </w:rPr>
        <w:t>Mientras la Comisión indica el índice de precios aplicable a la actividad de comercialización de energía eléctrica se usará el Índice de Precios al Consumidor publicado por el DANE.</w:t>
      </w:r>
    </w:p>
    <w:p w14:paraId="5EF49194" w14:textId="66844147" w:rsidR="00D03A1A" w:rsidRPr="00804771" w:rsidRDefault="00D03A1A" w:rsidP="005535B8">
      <w:pPr>
        <w:tabs>
          <w:tab w:val="left" w:pos="858"/>
        </w:tabs>
        <w:ind w:left="1134" w:hanging="1134"/>
        <w:jc w:val="both"/>
        <w:rPr>
          <w:rFonts w:ascii="Arial" w:hAnsi="Arial" w:cs="Arial"/>
        </w:rPr>
      </w:pPr>
      <w:r w:rsidRPr="00804771">
        <w:rPr>
          <w:rFonts w:ascii="Arial" w:hAnsi="Arial" w:cs="Arial"/>
          <w:i/>
          <w:color w:val="000000"/>
        </w:rPr>
        <w:t>IPCEE</w:t>
      </w:r>
      <w:r w:rsidRPr="00804771">
        <w:rPr>
          <w:rFonts w:ascii="Arial" w:hAnsi="Arial" w:cs="Arial"/>
          <w:i/>
          <w:color w:val="000000"/>
          <w:vertAlign w:val="subscript"/>
        </w:rPr>
        <w:t>0</w:t>
      </w:r>
      <w:r w:rsidRPr="00804771">
        <w:rPr>
          <w:rFonts w:ascii="Arial" w:hAnsi="Arial" w:cs="Arial"/>
          <w:color w:val="000000"/>
        </w:rPr>
        <w:t>:</w:t>
      </w:r>
      <w:r w:rsidRPr="00804771">
        <w:rPr>
          <w:rFonts w:ascii="Arial" w:hAnsi="Arial" w:cs="Arial"/>
        </w:rPr>
        <w:tab/>
      </w:r>
      <w:r w:rsidR="00804771">
        <w:rPr>
          <w:rFonts w:ascii="Arial" w:hAnsi="Arial" w:cs="Arial"/>
        </w:rPr>
        <w:t xml:space="preserve">    </w:t>
      </w:r>
      <w:r w:rsidRPr="00804771">
        <w:rPr>
          <w:rFonts w:ascii="Arial" w:hAnsi="Arial" w:cs="Arial"/>
        </w:rPr>
        <w:t>Índice de precios aplicable a la actividad de comercialización de energía eléctrica para diciembre del año anterior a la expedición de la Resolución, de acuerdo con la Resolución que emita la Comisión, o la que lo modifique, complemente o sustituya.</w:t>
      </w:r>
    </w:p>
    <w:p w14:paraId="51A71B00" w14:textId="7B9AB875" w:rsidR="00CD1BD8" w:rsidRDefault="00804771" w:rsidP="005535B8">
      <w:pPr>
        <w:tabs>
          <w:tab w:val="left" w:pos="858"/>
        </w:tabs>
        <w:ind w:left="1134" w:hanging="1134"/>
        <w:jc w:val="both"/>
        <w:rPr>
          <w:b/>
          <w:caps/>
          <w:spacing w:val="4"/>
        </w:rPr>
      </w:pPr>
      <w:r>
        <w:rPr>
          <w:rFonts w:ascii="Arial" w:hAnsi="Arial" w:cs="Arial"/>
          <w:iCs/>
          <w:color w:val="000000"/>
        </w:rPr>
        <w:tab/>
      </w:r>
      <w:r>
        <w:rPr>
          <w:rFonts w:ascii="Arial" w:hAnsi="Arial" w:cs="Arial"/>
          <w:iCs/>
          <w:color w:val="000000"/>
        </w:rPr>
        <w:tab/>
      </w:r>
      <w:r w:rsidR="00D03A1A" w:rsidRPr="00804771">
        <w:rPr>
          <w:rFonts w:ascii="Arial" w:hAnsi="Arial" w:cs="Arial"/>
          <w:iCs/>
          <w:color w:val="000000"/>
        </w:rPr>
        <w:t>Mientras la Comisión indica el índice de precios aplicable a la actividad de comercialización de energía eléctrica se usará el Índice de Precios al Consumidor publicado por el DANE.</w:t>
      </w:r>
    </w:p>
    <w:p w14:paraId="6B5477D0" w14:textId="08198E6A" w:rsidR="00DB2740" w:rsidRPr="00B678DC" w:rsidRDefault="002C5A86" w:rsidP="00891C31">
      <w:pPr>
        <w:rPr>
          <w:rFonts w:ascii="Arial" w:hAnsi="Arial" w:cs="Arial"/>
          <w:iCs/>
        </w:rPr>
      </w:pPr>
      <w:bookmarkStart w:id="50" w:name="_Ref164758119"/>
      <w:r>
        <w:rPr>
          <w:rFonts w:ascii="Arial" w:hAnsi="Arial" w:cs="Arial"/>
          <w:iCs/>
        </w:rPr>
        <w:t xml:space="preserve">En la </w:t>
      </w:r>
      <w:r w:rsidR="00660F2C">
        <w:rPr>
          <w:rFonts w:ascii="Arial" w:hAnsi="Arial" w:cs="Arial"/>
          <w:iCs/>
        </w:rPr>
        <w:fldChar w:fldCharType="begin"/>
      </w:r>
      <w:r w:rsidR="00660F2C">
        <w:rPr>
          <w:rFonts w:ascii="Arial" w:hAnsi="Arial" w:cs="Arial"/>
          <w:iCs/>
        </w:rPr>
        <w:instrText xml:space="preserve"> REF _Ref164758122 \h  \* MERGEFORMAT </w:instrText>
      </w:r>
      <w:r w:rsidR="00660F2C">
        <w:rPr>
          <w:rFonts w:ascii="Arial" w:hAnsi="Arial" w:cs="Arial"/>
          <w:iCs/>
        </w:rPr>
      </w:r>
      <w:r w:rsidR="00660F2C">
        <w:rPr>
          <w:rFonts w:ascii="Arial" w:hAnsi="Arial" w:cs="Arial"/>
          <w:iCs/>
        </w:rPr>
        <w:fldChar w:fldCharType="separate"/>
      </w:r>
      <w:r w:rsidR="002A641D" w:rsidRPr="002A641D">
        <w:rPr>
          <w:rFonts w:ascii="Arial" w:hAnsi="Arial" w:cs="Arial"/>
          <w:iCs/>
        </w:rPr>
        <w:t>Tabla 9</w:t>
      </w:r>
      <w:r w:rsidR="00660F2C">
        <w:rPr>
          <w:rFonts w:ascii="Arial" w:hAnsi="Arial" w:cs="Arial"/>
          <w:iCs/>
        </w:rPr>
        <w:fldChar w:fldCharType="end"/>
      </w:r>
      <w:r>
        <w:rPr>
          <w:rFonts w:ascii="Arial" w:hAnsi="Arial" w:cs="Arial"/>
          <w:iCs/>
        </w:rPr>
        <w:t>, se presenta la comparación de la metodología para determinar el margen del comercializador con la metodología vigente.</w:t>
      </w:r>
    </w:p>
    <w:p w14:paraId="3F065F24" w14:textId="7644A345" w:rsidR="00FD2CDB" w:rsidRDefault="00FD2CDB" w:rsidP="00891C31">
      <w:pPr>
        <w:pStyle w:val="Descripcin"/>
        <w:tabs>
          <w:tab w:val="left" w:pos="1276"/>
        </w:tabs>
        <w:spacing w:after="0"/>
        <w:rPr>
          <w:rFonts w:ascii="Arial" w:hAnsi="Arial" w:cs="Arial"/>
          <w:b/>
          <w:bCs/>
          <w:color w:val="auto"/>
        </w:rPr>
      </w:pPr>
      <w:bookmarkStart w:id="51" w:name="_Ref164758122"/>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9</w:t>
      </w:r>
      <w:r w:rsidRPr="00115F4D">
        <w:rPr>
          <w:rFonts w:ascii="Arial" w:hAnsi="Arial" w:cs="Arial"/>
          <w:b/>
          <w:bCs/>
          <w:color w:val="auto"/>
        </w:rPr>
        <w:fldChar w:fldCharType="end"/>
      </w:r>
      <w:bookmarkEnd w:id="50"/>
      <w:bookmarkEnd w:id="51"/>
      <w:r w:rsidRPr="00115F4D">
        <w:rPr>
          <w:rFonts w:ascii="Arial" w:hAnsi="Arial" w:cs="Arial"/>
          <w:b/>
          <w:bCs/>
          <w:color w:val="auto"/>
        </w:rPr>
        <w:t xml:space="preserve"> </w:t>
      </w:r>
      <w:r>
        <w:rPr>
          <w:rFonts w:ascii="Arial" w:hAnsi="Arial" w:cs="Arial"/>
          <w:b/>
          <w:bCs/>
          <w:color w:val="auto"/>
        </w:rPr>
        <w:t>Comparación metodología de reconocimiento de</w:t>
      </w:r>
      <w:r w:rsidR="00433F62">
        <w:rPr>
          <w:rFonts w:ascii="Arial" w:hAnsi="Arial" w:cs="Arial"/>
          <w:b/>
          <w:bCs/>
          <w:color w:val="auto"/>
        </w:rPr>
        <w:t>l m</w:t>
      </w:r>
      <w:r w:rsidR="001660AD">
        <w:rPr>
          <w:rFonts w:ascii="Arial" w:hAnsi="Arial" w:cs="Arial"/>
          <w:b/>
          <w:bCs/>
          <w:color w:val="auto"/>
        </w:rPr>
        <w:t>argen</w:t>
      </w:r>
      <w:r>
        <w:rPr>
          <w:rFonts w:ascii="Arial" w:hAnsi="Arial" w:cs="Arial"/>
          <w:b/>
          <w:bCs/>
          <w:color w:val="auto"/>
        </w:rPr>
        <w:t xml:space="preserve">. </w:t>
      </w:r>
    </w:p>
    <w:tbl>
      <w:tblPr>
        <w:tblW w:w="5000" w:type="pct"/>
        <w:tblCellMar>
          <w:left w:w="0" w:type="dxa"/>
          <w:right w:w="0" w:type="dxa"/>
        </w:tblCellMar>
        <w:tblLook w:val="0620" w:firstRow="1" w:lastRow="0" w:firstColumn="0" w:lastColumn="0" w:noHBand="1" w:noVBand="1"/>
      </w:tblPr>
      <w:tblGrid>
        <w:gridCol w:w="1555"/>
        <w:gridCol w:w="3586"/>
        <w:gridCol w:w="3879"/>
      </w:tblGrid>
      <w:tr w:rsidR="00313BF3" w:rsidRPr="00313BF3" w14:paraId="36E64880" w14:textId="77777777" w:rsidTr="00433F62">
        <w:trPr>
          <w:trHeight w:val="24"/>
        </w:trPr>
        <w:tc>
          <w:tcPr>
            <w:tcW w:w="862"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3AF09E1A" w14:textId="77777777" w:rsidR="00313BF3" w:rsidRPr="00313BF3" w:rsidRDefault="00313BF3" w:rsidP="00891C31">
            <w:pPr>
              <w:spacing w:before="0" w:after="0"/>
              <w:rPr>
                <w:rFonts w:ascii="Arial" w:eastAsia="Times New Roman" w:hAnsi="Arial" w:cs="Arial"/>
                <w:sz w:val="20"/>
                <w:szCs w:val="20"/>
                <w:lang w:eastAsia="es-CO"/>
              </w:rPr>
            </w:pPr>
          </w:p>
        </w:tc>
        <w:tc>
          <w:tcPr>
            <w:tcW w:w="1988"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3BEE1F97" w14:textId="77777777" w:rsidR="00313BF3" w:rsidRPr="00313BF3" w:rsidRDefault="00313BF3" w:rsidP="00891C31">
            <w:pPr>
              <w:spacing w:before="0" w:after="0"/>
              <w:jc w:val="center"/>
              <w:rPr>
                <w:rFonts w:ascii="Arial" w:eastAsia="Times New Roman" w:hAnsi="Arial" w:cs="Arial"/>
                <w:sz w:val="20"/>
                <w:szCs w:val="20"/>
                <w:lang w:eastAsia="es-CO"/>
              </w:rPr>
            </w:pPr>
            <w:r w:rsidRPr="00313BF3">
              <w:rPr>
                <w:rFonts w:ascii="Arial" w:eastAsia="Times New Roman" w:hAnsi="Arial" w:cs="Arial"/>
                <w:b/>
                <w:color w:val="000000" w:themeColor="text1"/>
                <w:kern w:val="24"/>
                <w:sz w:val="20"/>
                <w:szCs w:val="20"/>
                <w:lang w:val="es-MX" w:eastAsia="es-CO"/>
              </w:rPr>
              <w:t>Actual</w:t>
            </w:r>
          </w:p>
        </w:tc>
        <w:tc>
          <w:tcPr>
            <w:tcW w:w="2150"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393EBD05" w14:textId="77777777" w:rsidR="00313BF3" w:rsidRPr="00313BF3" w:rsidRDefault="00313BF3" w:rsidP="00891C31">
            <w:pPr>
              <w:spacing w:before="0" w:after="0"/>
              <w:jc w:val="center"/>
              <w:rPr>
                <w:rFonts w:ascii="Arial" w:eastAsia="Times New Roman" w:hAnsi="Arial" w:cs="Arial"/>
                <w:sz w:val="20"/>
                <w:szCs w:val="20"/>
                <w:lang w:eastAsia="es-CO"/>
              </w:rPr>
            </w:pPr>
            <w:r w:rsidRPr="00313BF3">
              <w:rPr>
                <w:rFonts w:ascii="Arial" w:eastAsia="Times New Roman" w:hAnsi="Arial" w:cs="Arial"/>
                <w:b/>
                <w:color w:val="000000" w:themeColor="text1"/>
                <w:kern w:val="24"/>
                <w:sz w:val="20"/>
                <w:szCs w:val="20"/>
                <w:lang w:val="es-MX" w:eastAsia="es-CO"/>
              </w:rPr>
              <w:t>Propuesta</w:t>
            </w:r>
          </w:p>
        </w:tc>
      </w:tr>
      <w:tr w:rsidR="00313BF3" w:rsidRPr="00313BF3" w14:paraId="4ED36D3D" w14:textId="77777777" w:rsidTr="00433F62">
        <w:trPr>
          <w:trHeight w:val="226"/>
        </w:trPr>
        <w:tc>
          <w:tcPr>
            <w:tcW w:w="862"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3B782E9E" w14:textId="77777777" w:rsidR="00313BF3" w:rsidRPr="00313BF3" w:rsidRDefault="00313BF3" w:rsidP="00891C31">
            <w:pPr>
              <w:spacing w:before="0" w:after="0"/>
              <w:jc w:val="center"/>
              <w:rPr>
                <w:rFonts w:ascii="Arial" w:eastAsia="Times New Roman" w:hAnsi="Arial" w:cs="Arial"/>
                <w:sz w:val="20"/>
                <w:szCs w:val="20"/>
                <w:lang w:eastAsia="es-CO"/>
              </w:rPr>
            </w:pPr>
            <w:r w:rsidRPr="00313BF3">
              <w:rPr>
                <w:rFonts w:ascii="Arial" w:eastAsiaTheme="minorEastAsia" w:hAnsi="Arial" w:cs="Arial"/>
                <w:b/>
                <w:color w:val="000000" w:themeColor="text1"/>
                <w:kern w:val="24"/>
                <w:sz w:val="20"/>
                <w:szCs w:val="20"/>
                <w:lang w:eastAsia="es-CO"/>
              </w:rPr>
              <w:t>Referencia</w:t>
            </w:r>
            <w:r w:rsidRPr="00313BF3">
              <w:rPr>
                <w:rFonts w:ascii="Arial" w:eastAsiaTheme="minorEastAsia" w:hAnsi="Arial" w:cs="Arial"/>
                <w:b/>
                <w:color w:val="000000" w:themeColor="text1"/>
                <w:kern w:val="24"/>
                <w:sz w:val="20"/>
                <w:szCs w:val="20"/>
                <w:lang w:val="pt-BR" w:eastAsia="es-CO"/>
              </w:rPr>
              <w:t xml:space="preserve"> de cálculo</w:t>
            </w:r>
          </w:p>
        </w:tc>
        <w:tc>
          <w:tcPr>
            <w:tcW w:w="1988"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4D2C707" w14:textId="77777777" w:rsidR="00313BF3" w:rsidRPr="00313BF3" w:rsidRDefault="00313BF3" w:rsidP="00C00C77">
            <w:pPr>
              <w:numPr>
                <w:ilvl w:val="0"/>
                <w:numId w:val="14"/>
              </w:numPr>
              <w:spacing w:before="0" w:after="0"/>
              <w:ind w:left="137" w:hanging="142"/>
              <w:contextualSpacing/>
              <w:rPr>
                <w:rFonts w:ascii="Arial" w:eastAsia="Times New Roman" w:hAnsi="Arial" w:cs="Arial"/>
                <w:sz w:val="20"/>
                <w:szCs w:val="20"/>
                <w:lang w:eastAsia="es-CO"/>
              </w:rPr>
            </w:pPr>
            <w:r w:rsidRPr="00313BF3">
              <w:rPr>
                <w:rFonts w:ascii="Arial" w:eastAsiaTheme="minorEastAsia" w:hAnsi="Arial" w:cs="Arial"/>
                <w:kern w:val="24"/>
                <w:sz w:val="20"/>
                <w:szCs w:val="20"/>
                <w:lang w:val="es-MX" w:eastAsia="es-CO"/>
              </w:rPr>
              <w:t>Valor CU – C (aplica para todos los costos variables).</w:t>
            </w:r>
          </w:p>
          <w:p w14:paraId="1E7838B3" w14:textId="1D05DBED" w:rsidR="00313BF3" w:rsidRPr="00313BF3" w:rsidRDefault="00313BF3" w:rsidP="00C00C77">
            <w:pPr>
              <w:numPr>
                <w:ilvl w:val="0"/>
                <w:numId w:val="14"/>
              </w:numPr>
              <w:spacing w:before="0" w:after="0"/>
              <w:ind w:left="137" w:hanging="142"/>
              <w:contextualSpacing/>
              <w:rPr>
                <w:rFonts w:ascii="Arial" w:eastAsia="Times New Roman" w:hAnsi="Arial" w:cs="Arial"/>
                <w:sz w:val="20"/>
                <w:szCs w:val="20"/>
                <w:lang w:eastAsia="es-CO"/>
              </w:rPr>
            </w:pPr>
            <w:r w:rsidRPr="00313BF3">
              <w:rPr>
                <w:rFonts w:ascii="Arial" w:eastAsiaTheme="minorEastAsia" w:hAnsi="Arial" w:cs="Arial"/>
                <w:kern w:val="24"/>
                <w:sz w:val="20"/>
                <w:szCs w:val="20"/>
                <w:lang w:val="es-MX" w:eastAsia="es-CO"/>
              </w:rPr>
              <w:t>Cambia mensualmente en función de las variaciones de otros componentes del CU.</w:t>
            </w:r>
          </w:p>
        </w:tc>
        <w:tc>
          <w:tcPr>
            <w:tcW w:w="2150"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523F0A4"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Valor CU – C (CUC) promedio en el periodo de 5 años para cada mercado. Actualizado mensualmente con índice aprobado por la CREG para sector (propuesta en discusión)</w:t>
            </w:r>
          </w:p>
        </w:tc>
      </w:tr>
      <w:tr w:rsidR="00313BF3" w:rsidRPr="00313BF3" w14:paraId="35DCB461" w14:textId="77777777" w:rsidTr="00433F62">
        <w:trPr>
          <w:trHeight w:val="344"/>
        </w:trPr>
        <w:tc>
          <w:tcPr>
            <w:tcW w:w="862"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201296B4" w14:textId="77777777" w:rsidR="00313BF3" w:rsidRPr="00313BF3" w:rsidRDefault="00313BF3" w:rsidP="00891C31">
            <w:pPr>
              <w:spacing w:before="0" w:after="0"/>
              <w:jc w:val="center"/>
              <w:rPr>
                <w:rFonts w:ascii="Arial" w:eastAsia="Times New Roman" w:hAnsi="Arial" w:cs="Arial"/>
                <w:sz w:val="20"/>
                <w:szCs w:val="20"/>
                <w:lang w:eastAsia="es-CO"/>
              </w:rPr>
            </w:pPr>
            <w:r w:rsidRPr="00313BF3">
              <w:rPr>
                <w:rFonts w:ascii="Arial" w:eastAsiaTheme="minorEastAsia" w:hAnsi="Arial" w:cs="Arial"/>
                <w:b/>
                <w:color w:val="000000" w:themeColor="text1"/>
                <w:kern w:val="24"/>
                <w:sz w:val="20"/>
                <w:szCs w:val="20"/>
                <w:lang w:eastAsia="es-CO"/>
              </w:rPr>
              <w:t>Margen (rentabilidad)</w:t>
            </w:r>
            <w:r w:rsidRPr="00313BF3">
              <w:rPr>
                <w:rFonts w:ascii="Arial" w:eastAsiaTheme="minorEastAsia" w:hAnsi="Arial" w:cs="Arial"/>
                <w:b/>
                <w:i/>
                <w:color w:val="000000" w:themeColor="text1"/>
                <w:kern w:val="24"/>
                <w:sz w:val="20"/>
                <w:szCs w:val="20"/>
                <w:lang w:eastAsia="es-CO"/>
              </w:rPr>
              <w:br/>
              <w:t>mo</w:t>
            </w:r>
          </w:p>
        </w:tc>
        <w:tc>
          <w:tcPr>
            <w:tcW w:w="1988"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42C2D31"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Factor estimado con base en rentabilidad de empresas de sectores competitivos con actividades asimilables en últimos 5 años.</w:t>
            </w:r>
          </w:p>
          <w:p w14:paraId="2DCE7450"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 xml:space="preserve">Se aplica el mismo porcentaje, </w:t>
            </w:r>
            <w:r w:rsidRPr="00313BF3">
              <w:rPr>
                <w:rFonts w:ascii="Arial" w:eastAsiaTheme="minorEastAsia" w:hAnsi="Arial" w:cs="Arial"/>
                <w:i/>
                <w:kern w:val="24"/>
                <w:sz w:val="20"/>
                <w:szCs w:val="20"/>
                <w:lang w:val="es-MX" w:eastAsia="es-CO"/>
              </w:rPr>
              <w:t>mo</w:t>
            </w:r>
            <w:r w:rsidRPr="00313BF3">
              <w:rPr>
                <w:rFonts w:ascii="Arial" w:eastAsiaTheme="minorEastAsia" w:hAnsi="Arial" w:cs="Arial"/>
                <w:kern w:val="24"/>
                <w:sz w:val="20"/>
                <w:szCs w:val="20"/>
                <w:lang w:val="es-MX" w:eastAsia="es-CO"/>
              </w:rPr>
              <w:t>, a todos los comercializadores.</w:t>
            </w:r>
          </w:p>
        </w:tc>
        <w:tc>
          <w:tcPr>
            <w:tcW w:w="2150"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6450EDCA"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Factor estimado con base en rentabilidad de empresas de sectores competitivos con actividades asimilables – actualizado.</w:t>
            </w:r>
          </w:p>
          <w:p w14:paraId="0FBF383A"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Se aplica el mismo porcentaje,</w:t>
            </w:r>
            <w:r w:rsidRPr="00313BF3">
              <w:rPr>
                <w:rFonts w:ascii="Arial" w:eastAsiaTheme="minorEastAsia" w:hAnsi="Arial" w:cs="Arial"/>
                <w:i/>
                <w:kern w:val="24"/>
                <w:sz w:val="20"/>
                <w:szCs w:val="20"/>
                <w:lang w:val="es-MX" w:eastAsia="es-CO"/>
              </w:rPr>
              <w:t xml:space="preserve"> mo</w:t>
            </w:r>
            <w:r w:rsidRPr="00313BF3">
              <w:rPr>
                <w:rFonts w:ascii="Arial" w:eastAsiaTheme="minorEastAsia" w:hAnsi="Arial" w:cs="Arial"/>
                <w:kern w:val="24"/>
                <w:sz w:val="20"/>
                <w:szCs w:val="20"/>
                <w:lang w:val="es-MX" w:eastAsia="es-CO"/>
              </w:rPr>
              <w:t>, a todos los comercializadores.</w:t>
            </w:r>
          </w:p>
        </w:tc>
      </w:tr>
      <w:tr w:rsidR="00313BF3" w:rsidRPr="00313BF3" w14:paraId="2E11A082" w14:textId="77777777" w:rsidTr="00433F62">
        <w:trPr>
          <w:trHeight w:val="1627"/>
        </w:trPr>
        <w:tc>
          <w:tcPr>
            <w:tcW w:w="862"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6F00C6A0" w14:textId="77777777" w:rsidR="00313BF3" w:rsidRPr="00313BF3" w:rsidRDefault="00313BF3" w:rsidP="00891C31">
            <w:pPr>
              <w:spacing w:before="0" w:after="0"/>
              <w:jc w:val="center"/>
              <w:rPr>
                <w:rFonts w:ascii="Arial" w:eastAsia="Times New Roman" w:hAnsi="Arial" w:cs="Arial"/>
                <w:sz w:val="20"/>
                <w:szCs w:val="20"/>
                <w:lang w:eastAsia="es-CO"/>
              </w:rPr>
            </w:pPr>
            <w:r w:rsidRPr="00313BF3">
              <w:rPr>
                <w:rFonts w:ascii="Arial" w:eastAsiaTheme="minorEastAsia" w:hAnsi="Arial" w:cs="Arial"/>
                <w:b/>
                <w:color w:val="000000" w:themeColor="text1"/>
                <w:kern w:val="24"/>
                <w:sz w:val="20"/>
                <w:szCs w:val="20"/>
                <w:lang w:val="es-MX" w:eastAsia="es-CO"/>
              </w:rPr>
              <w:lastRenderedPageBreak/>
              <w:t>Calidad Comercial</w:t>
            </w:r>
          </w:p>
        </w:tc>
        <w:tc>
          <w:tcPr>
            <w:tcW w:w="1988"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BD0DCB8"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No aplica</w:t>
            </w:r>
          </w:p>
        </w:tc>
        <w:tc>
          <w:tcPr>
            <w:tcW w:w="2150"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66B0243B"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Ajuste de remuneración por desempeño en calidad del servicio comercial.</w:t>
            </w:r>
          </w:p>
          <w:p w14:paraId="0E6ADDC7" w14:textId="77777777" w:rsidR="00313BF3" w:rsidRPr="00313BF3" w:rsidRDefault="00313BF3" w:rsidP="00C00C77">
            <w:pPr>
              <w:numPr>
                <w:ilvl w:val="0"/>
                <w:numId w:val="14"/>
              </w:numPr>
              <w:spacing w:before="0" w:after="0"/>
              <w:ind w:left="137" w:hanging="142"/>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Indicadores de evaluación asociados a:</w:t>
            </w:r>
          </w:p>
          <w:p w14:paraId="34CAD5D0" w14:textId="77777777" w:rsidR="00313BF3" w:rsidRPr="00313BF3" w:rsidRDefault="00313BF3" w:rsidP="00C00C77">
            <w:pPr>
              <w:numPr>
                <w:ilvl w:val="1"/>
                <w:numId w:val="14"/>
              </w:numPr>
              <w:tabs>
                <w:tab w:val="clear" w:pos="1440"/>
              </w:tabs>
              <w:spacing w:before="0" w:after="0"/>
              <w:ind w:left="666" w:hanging="207"/>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Quejas y Reclamos</w:t>
            </w:r>
          </w:p>
          <w:p w14:paraId="64796114" w14:textId="77777777" w:rsidR="00313BF3" w:rsidRPr="00313BF3" w:rsidRDefault="00313BF3" w:rsidP="00C00C77">
            <w:pPr>
              <w:numPr>
                <w:ilvl w:val="1"/>
                <w:numId w:val="14"/>
              </w:numPr>
              <w:tabs>
                <w:tab w:val="clear" w:pos="1440"/>
              </w:tabs>
              <w:spacing w:before="0" w:after="0"/>
              <w:ind w:left="666" w:hanging="207"/>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Servicio al cliente</w:t>
            </w:r>
          </w:p>
          <w:p w14:paraId="1F8E3846" w14:textId="77777777" w:rsidR="00313BF3" w:rsidRPr="00313BF3" w:rsidRDefault="00313BF3" w:rsidP="00C00C77">
            <w:pPr>
              <w:numPr>
                <w:ilvl w:val="1"/>
                <w:numId w:val="14"/>
              </w:numPr>
              <w:tabs>
                <w:tab w:val="clear" w:pos="1440"/>
              </w:tabs>
              <w:spacing w:before="0" w:after="0"/>
              <w:ind w:left="666" w:hanging="207"/>
              <w:contextualSpacing/>
              <w:rPr>
                <w:rFonts w:ascii="Arial" w:eastAsiaTheme="minorEastAsia" w:hAnsi="Arial" w:cs="Arial"/>
                <w:kern w:val="24"/>
                <w:sz w:val="20"/>
                <w:szCs w:val="20"/>
                <w:lang w:val="es-MX" w:eastAsia="es-CO"/>
              </w:rPr>
            </w:pPr>
            <w:r w:rsidRPr="00313BF3">
              <w:rPr>
                <w:rFonts w:ascii="Arial" w:eastAsiaTheme="minorEastAsia" w:hAnsi="Arial" w:cs="Arial"/>
                <w:kern w:val="24"/>
                <w:sz w:val="20"/>
                <w:szCs w:val="20"/>
                <w:lang w:val="es-MX" w:eastAsia="es-CO"/>
              </w:rPr>
              <w:t>Facturación</w:t>
            </w:r>
          </w:p>
        </w:tc>
      </w:tr>
    </w:tbl>
    <w:p w14:paraId="24F75F26" w14:textId="77777777" w:rsidR="0054671D" w:rsidRPr="00B678DC" w:rsidRDefault="0054671D" w:rsidP="00891C31">
      <w:pPr>
        <w:spacing w:before="0" w:after="0"/>
        <w:rPr>
          <w:rFonts w:ascii="Arial" w:hAnsi="Arial" w:cs="Arial"/>
          <w:iCs/>
        </w:rPr>
      </w:pPr>
    </w:p>
    <w:p w14:paraId="40A7B22D" w14:textId="2ED3756E" w:rsidR="00140BC6" w:rsidRPr="00115F4D" w:rsidRDefault="00140BC6" w:rsidP="00C00C77">
      <w:pPr>
        <w:pStyle w:val="Ttulo3"/>
        <w:numPr>
          <w:ilvl w:val="2"/>
          <w:numId w:val="24"/>
        </w:numPr>
      </w:pPr>
      <w:bookmarkStart w:id="52" w:name="_Toc165037338"/>
      <w:r w:rsidRPr="00115F4D">
        <w:t>Riesgo de cartera</w:t>
      </w:r>
      <w:r w:rsidR="003A0DE5" w:rsidRPr="00115F4D">
        <w:t xml:space="preserve"> </w:t>
      </w:r>
      <w:r w:rsidR="00440E60">
        <w:t>reconocido</w:t>
      </w:r>
      <w:bookmarkEnd w:id="52"/>
    </w:p>
    <w:p w14:paraId="13F550D3" w14:textId="48699E6A" w:rsidR="00FE52D7" w:rsidRPr="00115F4D" w:rsidRDefault="00FE52D7" w:rsidP="00891C31">
      <w:pPr>
        <w:jc w:val="both"/>
        <w:rPr>
          <w:rFonts w:ascii="Arial" w:hAnsi="Arial" w:cs="Arial"/>
          <w:sz w:val="18"/>
          <w:szCs w:val="18"/>
        </w:rPr>
      </w:pPr>
      <w:r w:rsidRPr="00115F4D">
        <w:rPr>
          <w:rFonts w:ascii="Arial" w:hAnsi="Arial" w:cs="Arial"/>
        </w:rPr>
        <w:t xml:space="preserve">En </w:t>
      </w:r>
      <w:r w:rsidR="005E340A">
        <w:rPr>
          <w:rFonts w:ascii="Arial" w:hAnsi="Arial" w:cs="Arial"/>
        </w:rPr>
        <w:t xml:space="preserve">el informe del estudio </w:t>
      </w:r>
      <w:r w:rsidRPr="00115F4D">
        <w:rPr>
          <w:rFonts w:ascii="Arial" w:hAnsi="Arial" w:cs="Arial"/>
        </w:rPr>
        <w:t>realizad</w:t>
      </w:r>
      <w:r w:rsidR="005E340A">
        <w:rPr>
          <w:rFonts w:ascii="Arial" w:hAnsi="Arial" w:cs="Arial"/>
        </w:rPr>
        <w:t>o</w:t>
      </w:r>
      <w:r w:rsidRPr="00115F4D">
        <w:rPr>
          <w:rFonts w:ascii="Arial" w:hAnsi="Arial" w:cs="Arial"/>
        </w:rPr>
        <w:t xml:space="preserve"> por la Universidad Tecnológica de Pereira (UTP) a la CREG y que se encuentra en anexo de la Circular 087 de 2021, la </w:t>
      </w:r>
      <w:r w:rsidR="008A1244">
        <w:rPr>
          <w:rFonts w:ascii="Arial" w:hAnsi="Arial" w:cs="Arial"/>
        </w:rPr>
        <w:t>Universidad</w:t>
      </w:r>
      <w:r w:rsidRPr="00115F4D">
        <w:rPr>
          <w:rFonts w:ascii="Arial" w:hAnsi="Arial" w:cs="Arial"/>
        </w:rPr>
        <w:t xml:space="preserve"> consider</w:t>
      </w:r>
      <w:r w:rsidR="008A1244">
        <w:rPr>
          <w:rFonts w:ascii="Arial" w:hAnsi="Arial" w:cs="Arial"/>
        </w:rPr>
        <w:t>ó</w:t>
      </w:r>
      <w:r w:rsidRPr="00115F4D">
        <w:rPr>
          <w:rFonts w:ascii="Arial" w:hAnsi="Arial" w:cs="Arial"/>
        </w:rPr>
        <w:t xml:space="preserve"> pertinente esta metodología de cálculo del RC, sin embargo, sugirió eliminar el componente </w:t>
      </w:r>
      <w:r w:rsidRPr="00115F4D">
        <w:rPr>
          <w:rFonts w:ascii="Arial" w:hAnsi="Arial" w:cs="Arial"/>
          <w:i/>
          <w:iCs/>
        </w:rPr>
        <w:t>RCSNE</w:t>
      </w:r>
      <w:r w:rsidRPr="00115F4D">
        <w:rPr>
          <w:rFonts w:ascii="Arial" w:hAnsi="Arial" w:cs="Arial"/>
        </w:rPr>
        <w:t xml:space="preserve"> ya que es una tipología de riesgo que fue definida bajo un contexto económico y sectorial específico que ha cambiado a través del tiempo y no se encuentra vigente. Además, recomendó clasificar los nuevos usuarios de la categoría </w:t>
      </w:r>
      <w:r w:rsidRPr="00115F4D">
        <w:rPr>
          <w:rFonts w:ascii="Arial" w:hAnsi="Arial" w:cs="Arial"/>
          <w:i/>
          <w:iCs/>
        </w:rPr>
        <w:t>RCNU</w:t>
      </w:r>
      <w:r w:rsidRPr="00115F4D">
        <w:rPr>
          <w:rFonts w:ascii="Arial" w:hAnsi="Arial" w:cs="Arial"/>
        </w:rPr>
        <w:t xml:space="preserve"> en alguna de las categorías existentes </w:t>
      </w:r>
      <w:r w:rsidRPr="00115F4D">
        <w:rPr>
          <w:rFonts w:ascii="Arial" w:hAnsi="Arial" w:cs="Arial"/>
          <w:i/>
          <w:iCs/>
        </w:rPr>
        <w:t>RCT</w:t>
      </w:r>
      <w:r w:rsidRPr="00115F4D">
        <w:rPr>
          <w:rFonts w:ascii="Arial" w:hAnsi="Arial" w:cs="Arial"/>
        </w:rPr>
        <w:t xml:space="preserve"> o </w:t>
      </w:r>
      <w:r w:rsidRPr="00115F4D">
        <w:rPr>
          <w:rFonts w:ascii="Arial" w:hAnsi="Arial" w:cs="Arial"/>
          <w:i/>
          <w:iCs/>
        </w:rPr>
        <w:t>RCAE</w:t>
      </w:r>
      <w:r w:rsidRPr="00115F4D">
        <w:rPr>
          <w:rFonts w:ascii="Arial" w:hAnsi="Arial" w:cs="Arial"/>
        </w:rPr>
        <w:t xml:space="preserve">, y aplicar un factor de estímulo sobre la prima de riesgo que permita diferenciar la atención a estos nuevos usuarios. </w:t>
      </w:r>
    </w:p>
    <w:p w14:paraId="6549E31B" w14:textId="63BE1E6B" w:rsidR="00FE52D7" w:rsidRPr="00115F4D" w:rsidRDefault="00FE52D7" w:rsidP="00891C31">
      <w:pPr>
        <w:spacing w:after="0"/>
        <w:jc w:val="both"/>
        <w:rPr>
          <w:rFonts w:ascii="Arial" w:hAnsi="Arial" w:cs="Arial"/>
        </w:rPr>
      </w:pPr>
      <w:r w:rsidRPr="00115F4D">
        <w:rPr>
          <w:rFonts w:ascii="Arial" w:hAnsi="Arial" w:cs="Arial"/>
        </w:rPr>
        <w:t xml:space="preserve">Para la actualización de la formula general del caculo del </w:t>
      </w:r>
      <w:proofErr w:type="gramStart"/>
      <w:r w:rsidRPr="00115F4D">
        <w:rPr>
          <w:rFonts w:ascii="Arial" w:hAnsi="Arial" w:cs="Arial"/>
          <w:i/>
        </w:rPr>
        <w:t>RC</w:t>
      </w:r>
      <w:r w:rsidRPr="00115F4D">
        <w:rPr>
          <w:rFonts w:ascii="Arial" w:hAnsi="Arial" w:cs="Arial"/>
          <w:i/>
          <w:vertAlign w:val="subscript"/>
        </w:rPr>
        <w:t>i,j</w:t>
      </w:r>
      <w:proofErr w:type="gramEnd"/>
      <w:r w:rsidRPr="00115F4D">
        <w:rPr>
          <w:rFonts w:ascii="Arial" w:hAnsi="Arial" w:cs="Arial"/>
          <w:i/>
          <w:vertAlign w:val="subscript"/>
        </w:rPr>
        <w:t>,m</w:t>
      </w:r>
      <w:r w:rsidRPr="00115F4D">
        <w:rPr>
          <w:rFonts w:ascii="Arial" w:hAnsi="Arial" w:cs="Arial"/>
        </w:rPr>
        <w:t xml:space="preserve"> se proponen</w:t>
      </w:r>
      <w:r w:rsidR="00B21BF1" w:rsidRPr="00115F4D">
        <w:rPr>
          <w:rFonts w:ascii="Arial" w:hAnsi="Arial" w:cs="Arial"/>
        </w:rPr>
        <w:t xml:space="preserve"> específicamente</w:t>
      </w:r>
      <w:r w:rsidRPr="00115F4D">
        <w:rPr>
          <w:rFonts w:ascii="Arial" w:hAnsi="Arial" w:cs="Arial"/>
        </w:rPr>
        <w:t xml:space="preserve"> tres cambios:</w:t>
      </w:r>
    </w:p>
    <w:p w14:paraId="5E9A5FB8" w14:textId="0ACC4FD5" w:rsidR="00FE52D7" w:rsidRPr="00115F4D" w:rsidRDefault="00FE52D7" w:rsidP="00C00C77">
      <w:pPr>
        <w:pStyle w:val="Prrafodelista"/>
        <w:numPr>
          <w:ilvl w:val="0"/>
          <w:numId w:val="10"/>
        </w:numPr>
        <w:spacing w:before="120" w:after="120"/>
        <w:contextualSpacing w:val="0"/>
        <w:jc w:val="both"/>
        <w:rPr>
          <w:rFonts w:ascii="Arial" w:hAnsi="Arial" w:cs="Arial"/>
          <w:bCs/>
        </w:rPr>
      </w:pPr>
      <w:r w:rsidRPr="00850236">
        <w:rPr>
          <w:rFonts w:ascii="Arial" w:hAnsi="Arial" w:cs="Arial"/>
          <w:bCs/>
        </w:rPr>
        <w:t>Clasificar los nuevos usuarios regulados incorporados al SIN mediante planes de expansión de cobertura ya sea en la categoría de Riesgo de Cartera de usuarios Tradicionales (</w:t>
      </w:r>
      <w:r w:rsidRPr="00850236">
        <w:rPr>
          <w:rFonts w:ascii="Arial" w:hAnsi="Arial" w:cs="Arial"/>
          <w:bCs/>
          <w:i/>
          <w:iCs/>
        </w:rPr>
        <w:t>RCT)</w:t>
      </w:r>
      <w:r w:rsidRPr="00850236">
        <w:rPr>
          <w:rFonts w:ascii="Arial" w:hAnsi="Arial" w:cs="Arial"/>
          <w:bCs/>
        </w:rPr>
        <w:t xml:space="preserve"> o en la categoría de Riesgo de Cartera de usuarios de Áreas Especiales (</w:t>
      </w:r>
      <w:r w:rsidRPr="00850236">
        <w:rPr>
          <w:rFonts w:ascii="Arial" w:hAnsi="Arial" w:cs="Arial"/>
          <w:bCs/>
          <w:i/>
          <w:iCs/>
        </w:rPr>
        <w:t>RCAE</w:t>
      </w:r>
      <w:r w:rsidRPr="00850236">
        <w:rPr>
          <w:rFonts w:ascii="Arial" w:hAnsi="Arial" w:cs="Arial"/>
          <w:bCs/>
        </w:rPr>
        <w:t>), según corresponda.</w:t>
      </w:r>
      <w:r w:rsidRPr="00115F4D">
        <w:rPr>
          <w:rFonts w:ascii="Arial" w:hAnsi="Arial" w:cs="Arial"/>
        </w:rPr>
        <w:t xml:space="preserve"> Se propone este cambio dado que los nuevos usuarios se encuentran naturalmente </w:t>
      </w:r>
      <w:r w:rsidR="008A1244">
        <w:rPr>
          <w:rFonts w:ascii="Arial" w:hAnsi="Arial" w:cs="Arial"/>
        </w:rPr>
        <w:t xml:space="preserve">en algunos de las tipologías ya definidas, </w:t>
      </w:r>
      <w:r w:rsidRPr="00115F4D">
        <w:rPr>
          <w:rFonts w:ascii="Arial" w:hAnsi="Arial" w:cs="Arial"/>
        </w:rPr>
        <w:t xml:space="preserve">ya sea en la categoría de usuarios Tradicionales o de Áreas Especiales y, por lo tanto, no resulta necesario tener la categoría </w:t>
      </w:r>
      <w:r w:rsidRPr="00115F4D">
        <w:rPr>
          <w:rFonts w:ascii="Arial" w:hAnsi="Arial" w:cs="Arial"/>
          <w:i/>
          <w:iCs/>
        </w:rPr>
        <w:t>RCNU</w:t>
      </w:r>
      <w:r w:rsidRPr="00115F4D">
        <w:rPr>
          <w:rFonts w:ascii="Arial" w:hAnsi="Arial" w:cs="Arial"/>
        </w:rPr>
        <w:t>.</w:t>
      </w:r>
    </w:p>
    <w:p w14:paraId="6356F8AC" w14:textId="2DE0A37E" w:rsidR="00FE52D7" w:rsidRPr="00115F4D" w:rsidRDefault="00FE52D7" w:rsidP="00C00C77">
      <w:pPr>
        <w:pStyle w:val="Prrafodelista"/>
        <w:numPr>
          <w:ilvl w:val="0"/>
          <w:numId w:val="10"/>
        </w:numPr>
        <w:spacing w:before="120" w:after="120"/>
        <w:contextualSpacing w:val="0"/>
        <w:jc w:val="both"/>
        <w:rPr>
          <w:rFonts w:ascii="Arial" w:hAnsi="Arial" w:cs="Arial"/>
          <w:bCs/>
        </w:rPr>
      </w:pPr>
      <w:r w:rsidRPr="001D6BA1">
        <w:rPr>
          <w:rFonts w:ascii="Arial" w:hAnsi="Arial" w:cs="Arial"/>
          <w:bCs/>
          <w:iCs/>
          <w:lang w:eastAsia="ar-SA"/>
        </w:rPr>
        <w:t xml:space="preserve">Eliminar la tipología </w:t>
      </w:r>
      <w:r w:rsidRPr="001D6BA1">
        <w:rPr>
          <w:rFonts w:ascii="Arial" w:hAnsi="Arial" w:cs="Arial"/>
          <w:bCs/>
          <w:i/>
          <w:lang w:eastAsia="ar-SA"/>
        </w:rPr>
        <w:t>RCSNE</w:t>
      </w:r>
      <w:r w:rsidRPr="001D6BA1">
        <w:rPr>
          <w:rFonts w:ascii="Arial" w:hAnsi="Arial" w:cs="Arial"/>
          <w:bCs/>
          <w:iCs/>
          <w:lang w:eastAsia="ar-SA"/>
        </w:rPr>
        <w:t xml:space="preserve"> que corresponde a la prima de riesgo de cartera por atender usuarios ubicados en barrios subnormales que al 31 de diciembre del año 2013 estaban siendo atendidos por un comercializador diferente al integrado al operador de red</w:t>
      </w:r>
      <w:r w:rsidRPr="00115F4D">
        <w:rPr>
          <w:rFonts w:ascii="Arial" w:hAnsi="Arial" w:cs="Arial"/>
          <w:iCs/>
          <w:lang w:eastAsia="ar-SA"/>
        </w:rPr>
        <w:t xml:space="preserve">. </w:t>
      </w:r>
      <w:r w:rsidRPr="00115F4D">
        <w:rPr>
          <w:rFonts w:ascii="Arial" w:hAnsi="Arial" w:cs="Arial"/>
        </w:rPr>
        <w:t xml:space="preserve">Se sugiere </w:t>
      </w:r>
      <w:r w:rsidRPr="00115F4D">
        <w:rPr>
          <w:rFonts w:ascii="Arial" w:hAnsi="Arial" w:cs="Arial"/>
          <w:iCs/>
          <w:lang w:eastAsia="ar-SA"/>
        </w:rPr>
        <w:t xml:space="preserve">eliminar esta tipología puesto que ya no existe, entendiendo que fue una clasificación especial y temporal realizada para algunos usuarios al momento de expedir la resolución </w:t>
      </w:r>
      <w:r w:rsidR="00137307">
        <w:rPr>
          <w:rFonts w:ascii="Arial" w:hAnsi="Arial" w:cs="Arial"/>
          <w:iCs/>
          <w:lang w:eastAsia="ar-SA"/>
        </w:rPr>
        <w:t xml:space="preserve">CREG </w:t>
      </w:r>
      <w:r w:rsidRPr="00115F4D">
        <w:rPr>
          <w:rFonts w:ascii="Arial" w:hAnsi="Arial" w:cs="Arial"/>
          <w:iCs/>
          <w:lang w:eastAsia="ar-SA"/>
        </w:rPr>
        <w:t>180 de 2014</w:t>
      </w:r>
      <w:hyperlink r:id="rId69" w:history="1">
        <w:r w:rsidR="00AC638D" w:rsidRPr="00AC638D">
          <w:rPr>
            <w:rStyle w:val="Hipervnculo"/>
          </w:rPr>
          <w:t>https://gestornormativo.creg.gov.co/gestor/entorno/docs/resolucion_creg_0180_2014.htm</w:t>
        </w:r>
      </w:hyperlink>
      <w:r w:rsidRPr="00115F4D">
        <w:rPr>
          <w:rFonts w:ascii="Arial" w:hAnsi="Arial" w:cs="Arial"/>
          <w:iCs/>
          <w:lang w:eastAsia="ar-SA"/>
        </w:rPr>
        <w:t>.</w:t>
      </w:r>
    </w:p>
    <w:p w14:paraId="1A8ECEBB" w14:textId="1CAC9790" w:rsidR="00FE52D7" w:rsidRPr="00FF32C0" w:rsidRDefault="00FE52D7" w:rsidP="00C00C77">
      <w:pPr>
        <w:pStyle w:val="Prrafodelista"/>
        <w:numPr>
          <w:ilvl w:val="0"/>
          <w:numId w:val="10"/>
        </w:numPr>
        <w:spacing w:before="0" w:after="0"/>
        <w:contextualSpacing w:val="0"/>
        <w:jc w:val="both"/>
        <w:rPr>
          <w:rFonts w:ascii="Arial" w:hAnsi="Arial" w:cs="Arial"/>
          <w:bCs/>
        </w:rPr>
      </w:pPr>
      <w:r w:rsidRPr="0075648D">
        <w:rPr>
          <w:rFonts w:ascii="Arial" w:hAnsi="Arial" w:cs="Arial"/>
          <w:bCs/>
        </w:rPr>
        <w:t>Ponderar el Riesgo de Cartera de usuarios Tradicionales (</w:t>
      </w:r>
      <w:r w:rsidRPr="0075648D">
        <w:rPr>
          <w:rFonts w:ascii="Arial" w:hAnsi="Arial" w:cs="Arial"/>
          <w:bCs/>
          <w:i/>
          <w:iCs/>
        </w:rPr>
        <w:t>RCT)</w:t>
      </w:r>
      <w:r w:rsidRPr="0075648D">
        <w:rPr>
          <w:rFonts w:ascii="Arial" w:hAnsi="Arial" w:cs="Arial"/>
          <w:bCs/>
        </w:rPr>
        <w:t xml:space="preserve"> utilizando la facturación total en pesos</w:t>
      </w:r>
      <w:r w:rsidR="00137307">
        <w:rPr>
          <w:rFonts w:ascii="Arial" w:hAnsi="Arial" w:cs="Arial"/>
          <w:bCs/>
        </w:rPr>
        <w:t>,</w:t>
      </w:r>
      <w:r w:rsidRPr="0075648D">
        <w:rPr>
          <w:rFonts w:ascii="Arial" w:hAnsi="Arial" w:cs="Arial"/>
          <w:bCs/>
        </w:rPr>
        <w:t xml:space="preserve"> en </w:t>
      </w:r>
      <w:r w:rsidR="00137307">
        <w:rPr>
          <w:rFonts w:ascii="Arial" w:hAnsi="Arial" w:cs="Arial"/>
          <w:bCs/>
        </w:rPr>
        <w:t>lugar</w:t>
      </w:r>
      <w:r w:rsidRPr="0075648D">
        <w:rPr>
          <w:rFonts w:ascii="Arial" w:hAnsi="Arial" w:cs="Arial"/>
          <w:bCs/>
        </w:rPr>
        <w:t xml:space="preserve"> de las ventas expresadas en kilovatios hora (kWh).</w:t>
      </w:r>
      <w:r w:rsidRPr="00115F4D">
        <w:rPr>
          <w:rFonts w:ascii="Arial" w:hAnsi="Arial" w:cs="Arial"/>
        </w:rPr>
        <w:t xml:space="preserve"> </w:t>
      </w:r>
      <w:r w:rsidR="00942FC8">
        <w:rPr>
          <w:rFonts w:ascii="Arial" w:hAnsi="Arial" w:cs="Arial"/>
        </w:rPr>
        <w:t>La razón</w:t>
      </w:r>
      <w:r w:rsidRPr="00115F4D">
        <w:rPr>
          <w:rFonts w:ascii="Arial" w:hAnsi="Arial" w:cs="Arial"/>
        </w:rPr>
        <w:t xml:space="preserve"> fundamental para plantear este cambio es que el riesgo de cartera se materializa por la imposibilidad de recuperar la facturación total en pesos de los usuarios en mora, esta facturación total ya incluye los conceptos de facturación por consumo de</w:t>
      </w:r>
      <w:r w:rsidR="00936071" w:rsidRPr="00115F4D">
        <w:rPr>
          <w:rFonts w:ascii="Arial" w:hAnsi="Arial" w:cs="Arial"/>
        </w:rPr>
        <w:t xml:space="preserve"> energía eléctrica</w:t>
      </w:r>
      <w:r w:rsidRPr="00115F4D">
        <w:rPr>
          <w:rFonts w:ascii="Arial" w:hAnsi="Arial" w:cs="Arial"/>
        </w:rPr>
        <w:t xml:space="preserve">, subsidios, contribuciones y refacturaciones. Como se encuentra actualmente plateado no se encuentran incluidas las contribuciones que también deben ser recaudadas por los comercializadores y por lo tanto deberían incluirse en el riesgo de cartera. </w:t>
      </w:r>
      <w:r w:rsidR="00327A90">
        <w:rPr>
          <w:rFonts w:ascii="Arial" w:hAnsi="Arial" w:cs="Arial"/>
        </w:rPr>
        <w:t>Por otro lado</w:t>
      </w:r>
      <w:r w:rsidRPr="00115F4D">
        <w:rPr>
          <w:rFonts w:ascii="Arial" w:hAnsi="Arial" w:cs="Arial"/>
        </w:rPr>
        <w:t xml:space="preserve">, </w:t>
      </w:r>
      <w:r w:rsidR="00977538">
        <w:rPr>
          <w:rFonts w:ascii="Arial" w:hAnsi="Arial" w:cs="Arial"/>
        </w:rPr>
        <w:t>con este cambio</w:t>
      </w:r>
      <w:r w:rsidR="007C3833">
        <w:rPr>
          <w:rFonts w:ascii="Arial" w:hAnsi="Arial" w:cs="Arial"/>
        </w:rPr>
        <w:t xml:space="preserve"> todas</w:t>
      </w:r>
      <w:r w:rsidR="00977538">
        <w:rPr>
          <w:rFonts w:ascii="Arial" w:hAnsi="Arial" w:cs="Arial"/>
        </w:rPr>
        <w:t xml:space="preserve"> las variables </w:t>
      </w:r>
      <w:r w:rsidR="00FE5714">
        <w:rPr>
          <w:rFonts w:ascii="Arial" w:hAnsi="Arial" w:cs="Arial"/>
        </w:rPr>
        <w:t xml:space="preserve">para expresar los porcentajes </w:t>
      </w:r>
      <w:r w:rsidR="00977538">
        <w:rPr>
          <w:rFonts w:ascii="Arial" w:hAnsi="Arial" w:cs="Arial"/>
        </w:rPr>
        <w:t>de</w:t>
      </w:r>
      <w:r w:rsidR="005E4587">
        <w:rPr>
          <w:rFonts w:ascii="Arial" w:hAnsi="Arial" w:cs="Arial"/>
        </w:rPr>
        <w:t>l riesgo de cartera estarían</w:t>
      </w:r>
      <w:r w:rsidR="007C3833">
        <w:rPr>
          <w:rFonts w:ascii="Arial" w:hAnsi="Arial" w:cs="Arial"/>
        </w:rPr>
        <w:t xml:space="preserve"> expresadas en pesos</w:t>
      </w:r>
      <w:r w:rsidR="00082F56">
        <w:rPr>
          <w:rFonts w:ascii="Arial" w:hAnsi="Arial" w:cs="Arial"/>
        </w:rPr>
        <w:t xml:space="preserve"> y se simplifica </w:t>
      </w:r>
      <w:r w:rsidR="00EA3A0F">
        <w:rPr>
          <w:rFonts w:ascii="Arial" w:hAnsi="Arial" w:cs="Arial"/>
        </w:rPr>
        <w:t xml:space="preserve">la expresión </w:t>
      </w:r>
      <w:r w:rsidR="00750EB0">
        <w:rPr>
          <w:rFonts w:ascii="Arial" w:hAnsi="Arial" w:cs="Arial"/>
        </w:rPr>
        <w:t xml:space="preserve">utilizada para el </w:t>
      </w:r>
      <w:r w:rsidR="00750EB0" w:rsidRPr="00750EB0">
        <w:rPr>
          <w:rFonts w:ascii="Arial" w:hAnsi="Arial" w:cs="Arial"/>
          <w:i/>
          <w:iCs/>
        </w:rPr>
        <w:t>RCT</w:t>
      </w:r>
      <w:r w:rsidR="00750EB0">
        <w:rPr>
          <w:rFonts w:ascii="Arial" w:hAnsi="Arial" w:cs="Arial"/>
        </w:rPr>
        <w:t>.</w:t>
      </w:r>
      <w:r w:rsidRPr="00115F4D">
        <w:rPr>
          <w:rFonts w:ascii="Arial" w:hAnsi="Arial" w:cs="Arial"/>
        </w:rPr>
        <w:t xml:space="preserve"> Por lo tanto, est</w:t>
      </w:r>
      <w:r w:rsidR="008C5E57">
        <w:rPr>
          <w:rFonts w:ascii="Arial" w:hAnsi="Arial" w:cs="Arial"/>
        </w:rPr>
        <w:t>a propuesta</w:t>
      </w:r>
      <w:r w:rsidRPr="00115F4D">
        <w:rPr>
          <w:rFonts w:ascii="Arial" w:hAnsi="Arial" w:cs="Arial"/>
        </w:rPr>
        <w:t xml:space="preserve"> permitirá estimar una prima de riesgo de cartera acorde con la realidad de los comercializadores y aportará </w:t>
      </w:r>
      <w:r w:rsidR="00457B8D">
        <w:rPr>
          <w:rFonts w:ascii="Arial" w:hAnsi="Arial" w:cs="Arial"/>
        </w:rPr>
        <w:t xml:space="preserve">una </w:t>
      </w:r>
      <w:r w:rsidRPr="00115F4D">
        <w:rPr>
          <w:rFonts w:ascii="Arial" w:hAnsi="Arial" w:cs="Arial"/>
        </w:rPr>
        <w:t xml:space="preserve">mayor claridad y simplificación del cálculo de las variables contenidas en el </w:t>
      </w:r>
      <w:r w:rsidRPr="00115F4D">
        <w:rPr>
          <w:rFonts w:ascii="Arial" w:hAnsi="Arial" w:cs="Arial"/>
          <w:i/>
          <w:iCs/>
        </w:rPr>
        <w:t>RC</w:t>
      </w:r>
      <w:r w:rsidR="00FF32C0">
        <w:rPr>
          <w:rFonts w:ascii="Arial" w:hAnsi="Arial" w:cs="Arial"/>
        </w:rPr>
        <w:t>.</w:t>
      </w:r>
    </w:p>
    <w:p w14:paraId="058259DA" w14:textId="317B2DB7" w:rsidR="00FE52D7" w:rsidRPr="00115F4D" w:rsidRDefault="00FE52D7" w:rsidP="00891C31">
      <w:pPr>
        <w:spacing w:after="0"/>
        <w:jc w:val="both"/>
        <w:rPr>
          <w:rFonts w:ascii="Arial" w:hAnsi="Arial" w:cs="Arial"/>
          <w:iCs/>
        </w:rPr>
      </w:pPr>
      <w:r w:rsidRPr="00115F4D">
        <w:rPr>
          <w:rFonts w:ascii="Arial" w:hAnsi="Arial" w:cs="Arial"/>
        </w:rPr>
        <w:lastRenderedPageBreak/>
        <w:t>Con la implementación de los tres cambios mencionados la nueva expresión general propuesta para el cálculo del riesgo de cartera (</w:t>
      </w:r>
      <w:proofErr w:type="gramStart"/>
      <w:r w:rsidRPr="00115F4D">
        <w:rPr>
          <w:rFonts w:ascii="Arial" w:hAnsi="Arial" w:cs="Arial"/>
          <w:i/>
        </w:rPr>
        <w:t>RC</w:t>
      </w:r>
      <w:r w:rsidRPr="00115F4D">
        <w:rPr>
          <w:rFonts w:ascii="Arial" w:hAnsi="Arial" w:cs="Arial"/>
          <w:i/>
          <w:vertAlign w:val="subscript"/>
        </w:rPr>
        <w:t>i,j</w:t>
      </w:r>
      <w:proofErr w:type="gramEnd"/>
      <w:r w:rsidRPr="00115F4D">
        <w:rPr>
          <w:rFonts w:ascii="Arial" w:hAnsi="Arial" w:cs="Arial"/>
          <w:i/>
          <w:vertAlign w:val="subscript"/>
        </w:rPr>
        <w:t xml:space="preserve">,m </w:t>
      </w:r>
      <w:r w:rsidRPr="00115F4D">
        <w:rPr>
          <w:rFonts w:ascii="Arial" w:hAnsi="Arial" w:cs="Arial"/>
          <w:iCs/>
        </w:rPr>
        <w:t>)</w:t>
      </w:r>
      <w:r w:rsidRPr="00115F4D">
        <w:rPr>
          <w:rFonts w:ascii="Arial" w:hAnsi="Arial" w:cs="Arial"/>
          <w:i/>
        </w:rPr>
        <w:t xml:space="preserve"> </w:t>
      </w:r>
      <w:r w:rsidRPr="00115F4D">
        <w:rPr>
          <w:rFonts w:ascii="Arial" w:hAnsi="Arial" w:cs="Arial"/>
        </w:rPr>
        <w:t>es la siguiente:</w:t>
      </w:r>
      <w:r w:rsidRPr="00115F4D">
        <w:rPr>
          <w:rFonts w:ascii="Arial" w:hAnsi="Arial" w:cs="Arial"/>
          <w:iCs/>
        </w:rPr>
        <w:t xml:space="preserve"> </w:t>
      </w:r>
    </w:p>
    <w:p w14:paraId="0F30547E" w14:textId="77777777" w:rsidR="00C638D2" w:rsidRPr="00C638D2" w:rsidRDefault="00E42F3C" w:rsidP="00891C31">
      <w:pPr>
        <w:rPr>
          <w:rFonts w:ascii="Arial" w:hAnsi="Arial" w:cs="Arial"/>
          <w:bCs/>
          <w:sz w:val="21"/>
          <w:szCs w:val="21"/>
        </w:rPr>
      </w:pPr>
      <m:oMathPara>
        <m:oMath>
          <m:sSub>
            <m:sSubPr>
              <m:ctrlPr>
                <w:rPr>
                  <w:rFonts w:ascii="Cambria Math" w:hAnsi="Cambria Math" w:cs="Arial"/>
                  <w:bCs/>
                  <w:i/>
                  <w:iCs/>
                  <w:sz w:val="20"/>
                  <w:szCs w:val="21"/>
                </w:rPr>
              </m:ctrlPr>
            </m:sSubPr>
            <m:e>
              <m:r>
                <w:rPr>
                  <w:rFonts w:ascii="Cambria Math" w:hAnsi="Cambria Math" w:cs="Arial"/>
                  <w:sz w:val="20"/>
                  <w:szCs w:val="21"/>
                </w:rPr>
                <m:t>FRC</m:t>
              </m:r>
            </m:e>
            <m:sub>
              <m:r>
                <w:rPr>
                  <w:rFonts w:ascii="Cambria Math" w:hAnsi="Cambria Math" w:cs="Arial"/>
                  <w:sz w:val="20"/>
                  <w:szCs w:val="21"/>
                </w:rPr>
                <m:t>i,j,m</m:t>
              </m:r>
            </m:sub>
          </m:sSub>
          <m:r>
            <w:rPr>
              <w:rFonts w:ascii="Cambria Math" w:hAnsi="Cambria Math" w:cs="Arial"/>
              <w:sz w:val="20"/>
              <w:szCs w:val="21"/>
            </w:rPr>
            <m:t>=</m:t>
          </m:r>
          <m:f>
            <m:fPr>
              <m:ctrlPr>
                <w:rPr>
                  <w:rFonts w:ascii="Cambria Math" w:hAnsi="Cambria Math" w:cs="Arial"/>
                  <w:bCs/>
                  <w:i/>
                  <w:iCs/>
                  <w:sz w:val="20"/>
                  <w:szCs w:val="21"/>
                </w:rPr>
              </m:ctrlPr>
            </m:fPr>
            <m:num>
              <m:sSub>
                <m:sSubPr>
                  <m:ctrlPr>
                    <w:rPr>
                      <w:rFonts w:ascii="Cambria Math" w:hAnsi="Cambria Math" w:cs="Arial"/>
                      <w:bCs/>
                      <w:i/>
                      <w:iCs/>
                      <w:sz w:val="20"/>
                      <w:szCs w:val="21"/>
                    </w:rPr>
                  </m:ctrlPr>
                </m:sSubPr>
                <m:e>
                  <m:r>
                    <w:rPr>
                      <w:rFonts w:ascii="Cambria Math" w:hAnsi="Cambria Math" w:cs="Arial"/>
                      <w:sz w:val="20"/>
                      <w:szCs w:val="21"/>
                    </w:rPr>
                    <m:t>RCT</m:t>
                  </m:r>
                </m:e>
                <m:sub>
                  <m:r>
                    <w:rPr>
                      <w:rFonts w:ascii="Cambria Math" w:hAnsi="Cambria Math" w:cs="Arial"/>
                      <w:sz w:val="20"/>
                      <w:szCs w:val="21"/>
                    </w:rPr>
                    <m:t>j</m:t>
                  </m:r>
                </m:sub>
              </m:sSub>
              <m:r>
                <w:rPr>
                  <w:rFonts w:ascii="Cambria Math" w:hAnsi="Cambria Math" w:cs="Arial"/>
                  <w:sz w:val="20"/>
                  <w:szCs w:val="21"/>
                </w:rPr>
                <m:t>*</m:t>
              </m:r>
              <m:sSub>
                <m:sSubPr>
                  <m:ctrlPr>
                    <w:rPr>
                      <w:rFonts w:ascii="Cambria Math" w:hAnsi="Cambria Math" w:cs="Arial"/>
                      <w:bCs/>
                      <w:i/>
                      <w:iCs/>
                      <w:sz w:val="20"/>
                      <w:szCs w:val="21"/>
                    </w:rPr>
                  </m:ctrlPr>
                </m:sSubPr>
                <m:e>
                  <m:r>
                    <w:rPr>
                      <w:rFonts w:ascii="Cambria Math" w:hAnsi="Cambria Math" w:cs="Arial"/>
                      <w:sz w:val="20"/>
                      <w:szCs w:val="21"/>
                    </w:rPr>
                    <m:t>FTTr</m:t>
                  </m:r>
                </m:e>
                <m:sub>
                  <m:r>
                    <w:rPr>
                      <w:rFonts w:ascii="Cambria Math" w:hAnsi="Cambria Math" w:cs="Arial"/>
                      <w:sz w:val="20"/>
                      <w:szCs w:val="21"/>
                    </w:rPr>
                    <m:t>i,j,m-1</m:t>
                  </m:r>
                </m:sub>
              </m:sSub>
              <m:r>
                <w:rPr>
                  <w:rFonts w:ascii="Cambria Math" w:hAnsi="Cambria Math" w:cs="Arial"/>
                  <w:sz w:val="20"/>
                  <w:szCs w:val="21"/>
                </w:rPr>
                <m:t>+</m:t>
              </m:r>
              <m:sSub>
                <m:sSubPr>
                  <m:ctrlPr>
                    <w:rPr>
                      <w:rFonts w:ascii="Cambria Math" w:hAnsi="Cambria Math" w:cs="Arial"/>
                      <w:i/>
                      <w:color w:val="000000"/>
                      <w:sz w:val="20"/>
                      <w:szCs w:val="21"/>
                    </w:rPr>
                  </m:ctrlPr>
                </m:sSubPr>
                <m:e>
                  <m:r>
                    <w:rPr>
                      <w:rFonts w:ascii="Cambria Math" w:hAnsi="Cambria Math" w:cs="Arial"/>
                      <w:color w:val="000000"/>
                      <w:sz w:val="20"/>
                      <w:szCs w:val="21"/>
                    </w:rPr>
                    <m:t>RCAE</m:t>
                  </m:r>
                </m:e>
                <m:sub>
                  <m:r>
                    <w:rPr>
                      <w:rFonts w:ascii="Cambria Math" w:hAnsi="Cambria Math" w:cs="Arial"/>
                      <w:color w:val="000000"/>
                      <w:sz w:val="20"/>
                      <w:szCs w:val="21"/>
                    </w:rPr>
                    <m:t>j,t</m:t>
                  </m:r>
                </m:sub>
              </m:sSub>
              <m:r>
                <w:rPr>
                  <w:rFonts w:ascii="Cambria Math" w:hAnsi="Cambria Math" w:cs="Arial"/>
                  <w:color w:val="000000"/>
                  <w:sz w:val="20"/>
                  <w:szCs w:val="21"/>
                </w:rPr>
                <m:t>*</m:t>
              </m:r>
              <m:sSub>
                <m:sSubPr>
                  <m:ctrlPr>
                    <w:rPr>
                      <w:rFonts w:ascii="Cambria Math" w:hAnsi="Cambria Math" w:cs="Arial"/>
                      <w:i/>
                      <w:color w:val="000000"/>
                      <w:sz w:val="20"/>
                      <w:szCs w:val="21"/>
                    </w:rPr>
                  </m:ctrlPr>
                </m:sSubPr>
                <m:e>
                  <m:r>
                    <w:rPr>
                      <w:rFonts w:ascii="Cambria Math" w:hAnsi="Cambria Math" w:cs="Arial"/>
                      <w:color w:val="000000"/>
                      <w:sz w:val="20"/>
                      <w:szCs w:val="21"/>
                    </w:rPr>
                    <m:t>FTAE</m:t>
                  </m:r>
                </m:e>
                <m:sub>
                  <m:r>
                    <w:rPr>
                      <w:rFonts w:ascii="Cambria Math" w:hAnsi="Cambria Math" w:cs="Arial"/>
                      <w:color w:val="000000"/>
                      <w:sz w:val="20"/>
                      <w:szCs w:val="21"/>
                    </w:rPr>
                    <m:t>i,j,m-1</m:t>
                  </m:r>
                </m:sub>
              </m:sSub>
            </m:num>
            <m:den>
              <m:sSub>
                <m:sSubPr>
                  <m:ctrlPr>
                    <w:rPr>
                      <w:rFonts w:ascii="Cambria Math" w:hAnsi="Cambria Math" w:cs="Arial"/>
                      <w:bCs/>
                      <w:i/>
                      <w:iCs/>
                      <w:sz w:val="20"/>
                      <w:szCs w:val="21"/>
                    </w:rPr>
                  </m:ctrlPr>
                </m:sSubPr>
                <m:e>
                  <m:r>
                    <w:rPr>
                      <w:rFonts w:ascii="Cambria Math" w:hAnsi="Cambria Math" w:cs="Arial"/>
                      <w:sz w:val="20"/>
                      <w:szCs w:val="21"/>
                    </w:rPr>
                    <m:t>FTR</m:t>
                  </m:r>
                </m:e>
                <m:sub>
                  <m:r>
                    <w:rPr>
                      <w:rFonts w:ascii="Cambria Math" w:hAnsi="Cambria Math" w:cs="Arial"/>
                      <w:sz w:val="20"/>
                      <w:szCs w:val="21"/>
                    </w:rPr>
                    <m:t>i,j,m-1</m:t>
                  </m:r>
                </m:sub>
              </m:sSub>
            </m:den>
          </m:f>
        </m:oMath>
      </m:oMathPara>
    </w:p>
    <w:p w14:paraId="4C261547" w14:textId="77777777" w:rsidR="00C638D2" w:rsidRPr="00C638D2" w:rsidRDefault="00C638D2" w:rsidP="00891C31">
      <w:pPr>
        <w:keepNext/>
        <w:ind w:left="992" w:right="45" w:hanging="992"/>
        <w:rPr>
          <w:rFonts w:ascii="Arial" w:hAnsi="Arial" w:cs="Arial"/>
        </w:rPr>
      </w:pPr>
      <w:r w:rsidRPr="00C638D2">
        <w:rPr>
          <w:rFonts w:ascii="Arial" w:hAnsi="Arial" w:cs="Arial"/>
        </w:rPr>
        <w:t>Donde:</w:t>
      </w:r>
    </w:p>
    <w:p w14:paraId="6C0B24C6" w14:textId="77777777" w:rsidR="00C638D2" w:rsidRPr="00C638D2" w:rsidRDefault="00C638D2" w:rsidP="00891C31">
      <w:pPr>
        <w:ind w:left="1559" w:right="45" w:hanging="1559"/>
        <w:rPr>
          <w:rFonts w:ascii="Arial" w:hAnsi="Arial" w:cs="Arial"/>
          <w:bCs/>
          <w:lang w:eastAsia="ar-SA"/>
        </w:rPr>
      </w:pPr>
      <w:proofErr w:type="gramStart"/>
      <w:r w:rsidRPr="00C638D2">
        <w:rPr>
          <w:rFonts w:ascii="Arial" w:hAnsi="Arial" w:cs="Arial"/>
          <w:i/>
        </w:rPr>
        <w:t>FRC</w:t>
      </w:r>
      <w:r w:rsidRPr="00C638D2">
        <w:rPr>
          <w:rFonts w:ascii="Arial" w:hAnsi="Arial" w:cs="Arial"/>
          <w:i/>
          <w:vertAlign w:val="subscript"/>
        </w:rPr>
        <w:t>i,j</w:t>
      </w:r>
      <w:proofErr w:type="gramEnd"/>
      <w:r w:rsidRPr="00C638D2">
        <w:rPr>
          <w:rFonts w:ascii="Arial" w:hAnsi="Arial" w:cs="Arial"/>
          <w:i/>
          <w:vertAlign w:val="subscript"/>
        </w:rPr>
        <w:t>,m</w:t>
      </w:r>
      <w:r w:rsidRPr="00C638D2">
        <w:rPr>
          <w:rFonts w:ascii="Arial" w:hAnsi="Arial" w:cs="Arial"/>
        </w:rPr>
        <w:t>:</w:t>
      </w:r>
      <w:r w:rsidRPr="00C638D2">
        <w:rPr>
          <w:rFonts w:ascii="Arial" w:hAnsi="Arial" w:cs="Arial"/>
        </w:rPr>
        <w:tab/>
      </w:r>
      <w:r w:rsidRPr="00C638D2">
        <w:rPr>
          <w:rFonts w:ascii="Arial" w:hAnsi="Arial" w:cs="Arial"/>
          <w:lang w:eastAsia="ar-SA"/>
        </w:rPr>
        <w:t xml:space="preserve">Factor correspondiente al riesgo de cartera reconocido al comercializador </w:t>
      </w:r>
      <w:r w:rsidRPr="00C638D2">
        <w:rPr>
          <w:rFonts w:ascii="Arial" w:hAnsi="Arial" w:cs="Arial"/>
          <w:i/>
        </w:rPr>
        <w:t>i</w:t>
      </w:r>
      <w:r w:rsidRPr="00C638D2">
        <w:rPr>
          <w:rFonts w:ascii="Arial" w:hAnsi="Arial" w:cs="Arial"/>
          <w:lang w:eastAsia="ar-SA"/>
        </w:rPr>
        <w:t xml:space="preserve">, en el mercado de comercialización </w:t>
      </w:r>
      <w:r w:rsidRPr="00C638D2">
        <w:rPr>
          <w:rFonts w:ascii="Arial" w:hAnsi="Arial" w:cs="Arial"/>
          <w:i/>
        </w:rPr>
        <w:t>j</w:t>
      </w:r>
      <w:r w:rsidRPr="00C638D2">
        <w:rPr>
          <w:rFonts w:ascii="Arial" w:hAnsi="Arial" w:cs="Arial"/>
          <w:lang w:eastAsia="ar-SA"/>
        </w:rPr>
        <w:t xml:space="preserve">, para el mes </w:t>
      </w:r>
      <w:r w:rsidRPr="00C638D2">
        <w:rPr>
          <w:rFonts w:ascii="Arial" w:hAnsi="Arial" w:cs="Arial"/>
          <w:i/>
          <w:lang w:eastAsia="ar-SA"/>
        </w:rPr>
        <w:t>m</w:t>
      </w:r>
      <w:r w:rsidRPr="00C638D2">
        <w:rPr>
          <w:rFonts w:ascii="Arial" w:hAnsi="Arial" w:cs="Arial"/>
          <w:lang w:eastAsia="ar-SA"/>
        </w:rPr>
        <w:t xml:space="preserve">. </w:t>
      </w:r>
    </w:p>
    <w:p w14:paraId="028EB3EC" w14:textId="77777777" w:rsidR="00C638D2" w:rsidRPr="00C638D2" w:rsidRDefault="00C638D2" w:rsidP="00891C31">
      <w:pPr>
        <w:ind w:left="1559" w:right="45" w:hanging="1559"/>
        <w:rPr>
          <w:rFonts w:ascii="Arial" w:hAnsi="Arial" w:cs="Arial"/>
          <w:bCs/>
          <w:lang w:eastAsia="ar-SA"/>
        </w:rPr>
      </w:pPr>
      <w:r w:rsidRPr="00C638D2">
        <w:rPr>
          <w:rFonts w:ascii="Arial" w:hAnsi="Arial" w:cs="Arial"/>
          <w:bCs/>
          <w:i/>
          <w:lang w:eastAsia="ar-SA"/>
        </w:rPr>
        <w:t>RCT</w:t>
      </w:r>
      <w:r w:rsidRPr="00C638D2">
        <w:rPr>
          <w:rFonts w:ascii="Arial" w:hAnsi="Arial" w:cs="Arial"/>
          <w:bCs/>
          <w:i/>
          <w:vertAlign w:val="subscript"/>
          <w:lang w:eastAsia="ar-SA"/>
        </w:rPr>
        <w:t>j</w:t>
      </w:r>
      <w:r w:rsidRPr="00C638D2">
        <w:rPr>
          <w:rFonts w:ascii="Arial" w:hAnsi="Arial" w:cs="Arial"/>
          <w:bCs/>
          <w:i/>
          <w:lang w:eastAsia="ar-SA"/>
        </w:rPr>
        <w:t>:</w:t>
      </w:r>
      <w:r w:rsidRPr="00C638D2">
        <w:rPr>
          <w:rFonts w:ascii="Arial" w:hAnsi="Arial" w:cs="Arial"/>
          <w:bCs/>
          <w:lang w:eastAsia="ar-SA"/>
        </w:rPr>
        <w:t xml:space="preserve"> </w:t>
      </w:r>
      <w:r w:rsidRPr="00C638D2">
        <w:rPr>
          <w:rFonts w:ascii="Arial" w:hAnsi="Arial" w:cs="Arial"/>
          <w:bCs/>
          <w:lang w:eastAsia="ar-SA"/>
        </w:rPr>
        <w:tab/>
        <w:t xml:space="preserve">Prima por el riesgo de cartera no gestionable de los usuarios tradicionales del mercado de comercialización </w:t>
      </w:r>
      <w:r w:rsidRPr="00C638D2">
        <w:rPr>
          <w:rFonts w:ascii="Arial" w:hAnsi="Arial" w:cs="Arial"/>
          <w:bCs/>
          <w:i/>
          <w:lang w:eastAsia="ar-SA"/>
        </w:rPr>
        <w:t>j</w:t>
      </w:r>
      <w:r w:rsidRPr="00C638D2">
        <w:rPr>
          <w:rFonts w:ascii="Arial" w:hAnsi="Arial" w:cs="Arial"/>
          <w:bCs/>
          <w:lang w:eastAsia="ar-SA"/>
        </w:rPr>
        <w:t xml:space="preserve">. </w:t>
      </w:r>
    </w:p>
    <w:p w14:paraId="37991F1B" w14:textId="77777777" w:rsidR="00C638D2" w:rsidRPr="00C638D2" w:rsidRDefault="00C638D2" w:rsidP="00891C31">
      <w:pPr>
        <w:ind w:left="1559" w:right="45" w:hanging="1559"/>
        <w:rPr>
          <w:rFonts w:ascii="Arial" w:hAnsi="Arial" w:cs="Arial"/>
          <w:bCs/>
          <w:lang w:eastAsia="ar-SA"/>
        </w:rPr>
      </w:pPr>
      <w:proofErr w:type="gramStart"/>
      <w:r w:rsidRPr="00C638D2">
        <w:rPr>
          <w:rFonts w:ascii="Arial" w:hAnsi="Arial" w:cs="Arial"/>
          <w:bCs/>
          <w:i/>
          <w:lang w:eastAsia="ar-SA"/>
        </w:rPr>
        <w:t>FTTr</w:t>
      </w:r>
      <w:r w:rsidRPr="00C638D2">
        <w:rPr>
          <w:rFonts w:ascii="Arial" w:hAnsi="Arial" w:cs="Arial"/>
          <w:bCs/>
          <w:i/>
          <w:vertAlign w:val="subscript"/>
          <w:lang w:eastAsia="ar-SA"/>
        </w:rPr>
        <w:t>i,j</w:t>
      </w:r>
      <w:proofErr w:type="gramEnd"/>
      <w:r w:rsidRPr="00C638D2">
        <w:rPr>
          <w:rFonts w:ascii="Arial" w:hAnsi="Arial" w:cs="Arial"/>
          <w:bCs/>
          <w:i/>
          <w:vertAlign w:val="subscript"/>
          <w:lang w:eastAsia="ar-SA"/>
        </w:rPr>
        <w:t>,m-1</w:t>
      </w:r>
      <w:r w:rsidRPr="00C638D2">
        <w:rPr>
          <w:rFonts w:ascii="Arial" w:hAnsi="Arial" w:cs="Arial"/>
          <w:bCs/>
          <w:lang w:eastAsia="ar-SA"/>
        </w:rPr>
        <w:t>:</w:t>
      </w:r>
      <w:r w:rsidRPr="00C638D2">
        <w:rPr>
          <w:rFonts w:ascii="Arial" w:hAnsi="Arial" w:cs="Arial"/>
          <w:bCs/>
          <w:lang w:eastAsia="ar-SA"/>
        </w:rPr>
        <w:tab/>
        <w:t xml:space="preserve">Facturación Total en pesos a usuarios regulados del comercializador </w:t>
      </w:r>
      <w:r w:rsidRPr="00C638D2">
        <w:rPr>
          <w:rFonts w:ascii="Arial" w:hAnsi="Arial" w:cs="Arial"/>
          <w:bCs/>
          <w:i/>
          <w:lang w:eastAsia="ar-SA"/>
        </w:rPr>
        <w:t>i</w:t>
      </w:r>
      <w:r w:rsidRPr="00C638D2">
        <w:rPr>
          <w:rFonts w:ascii="Arial" w:hAnsi="Arial" w:cs="Arial"/>
          <w:bCs/>
          <w:lang w:eastAsia="ar-SA"/>
        </w:rPr>
        <w:t xml:space="preserve">, en el mercado de comercialización </w:t>
      </w:r>
      <w:r w:rsidRPr="00C638D2">
        <w:rPr>
          <w:rFonts w:ascii="Arial" w:hAnsi="Arial" w:cs="Arial"/>
          <w:bCs/>
          <w:i/>
          <w:lang w:eastAsia="ar-SA"/>
        </w:rPr>
        <w:t>j</w:t>
      </w:r>
      <w:r w:rsidRPr="00C638D2">
        <w:rPr>
          <w:rFonts w:ascii="Arial" w:hAnsi="Arial" w:cs="Arial"/>
          <w:bCs/>
          <w:lang w:eastAsia="ar-SA"/>
        </w:rPr>
        <w:t xml:space="preserve">, para el mes </w:t>
      </w:r>
      <w:r w:rsidRPr="00C638D2">
        <w:rPr>
          <w:rFonts w:ascii="Arial" w:hAnsi="Arial" w:cs="Arial"/>
          <w:bCs/>
          <w:i/>
          <w:lang w:eastAsia="ar-SA"/>
        </w:rPr>
        <w:t>m-1</w:t>
      </w:r>
      <w:r w:rsidRPr="00C638D2">
        <w:rPr>
          <w:rFonts w:ascii="Arial" w:hAnsi="Arial" w:cs="Arial"/>
          <w:bCs/>
          <w:lang w:eastAsia="ar-SA"/>
        </w:rPr>
        <w:t xml:space="preserve">, descontando el valor de la variable </w:t>
      </w:r>
      <w:r w:rsidRPr="00C638D2">
        <w:rPr>
          <w:rFonts w:ascii="Arial" w:hAnsi="Arial" w:cs="Arial"/>
          <w:bCs/>
          <w:i/>
          <w:lang w:eastAsia="ar-SA"/>
        </w:rPr>
        <w:t>FTAE</w:t>
      </w:r>
      <w:r w:rsidRPr="00C638D2">
        <w:rPr>
          <w:rFonts w:ascii="Arial" w:hAnsi="Arial" w:cs="Arial"/>
          <w:bCs/>
          <w:i/>
          <w:vertAlign w:val="subscript"/>
          <w:lang w:eastAsia="ar-SA"/>
        </w:rPr>
        <w:t>i,j,m-1</w:t>
      </w:r>
      <w:r w:rsidRPr="00C638D2">
        <w:rPr>
          <w:rFonts w:ascii="Arial" w:hAnsi="Arial" w:cs="Arial"/>
          <w:bCs/>
          <w:lang w:eastAsia="ar-SA"/>
        </w:rPr>
        <w:t>.</w:t>
      </w:r>
    </w:p>
    <w:p w14:paraId="084B1566" w14:textId="77777777" w:rsidR="00C638D2" w:rsidRPr="00C638D2" w:rsidRDefault="00C638D2" w:rsidP="00891C31">
      <w:pPr>
        <w:ind w:left="1559" w:right="45" w:hanging="1559"/>
        <w:rPr>
          <w:rFonts w:ascii="Arial" w:hAnsi="Arial" w:cs="Arial"/>
          <w:bCs/>
          <w:lang w:eastAsia="ar-SA"/>
        </w:rPr>
      </w:pPr>
      <w:proofErr w:type="gramStart"/>
      <w:r w:rsidRPr="00C638D2">
        <w:rPr>
          <w:rFonts w:ascii="Arial" w:hAnsi="Arial" w:cs="Arial"/>
          <w:bCs/>
          <w:i/>
          <w:lang w:eastAsia="ar-SA"/>
        </w:rPr>
        <w:t>RCAE</w:t>
      </w:r>
      <w:r w:rsidRPr="00C638D2">
        <w:rPr>
          <w:rFonts w:ascii="Arial" w:hAnsi="Arial" w:cs="Arial"/>
          <w:bCs/>
          <w:i/>
          <w:vertAlign w:val="subscript"/>
          <w:lang w:eastAsia="ar-SA"/>
        </w:rPr>
        <w:t>j,t</w:t>
      </w:r>
      <w:proofErr w:type="gramEnd"/>
      <w:r w:rsidRPr="00C638D2">
        <w:rPr>
          <w:rFonts w:ascii="Arial" w:hAnsi="Arial" w:cs="Arial"/>
          <w:lang w:eastAsia="ar-SA"/>
        </w:rPr>
        <w:t>:</w:t>
      </w:r>
      <w:r w:rsidRPr="00C638D2">
        <w:rPr>
          <w:rFonts w:ascii="Arial" w:hAnsi="Arial" w:cs="Arial"/>
          <w:bCs/>
          <w:lang w:eastAsia="ar-SA"/>
        </w:rPr>
        <w:tab/>
        <w:t xml:space="preserve">Prima de riesgo de cartera a reconocer al comercializador integrado al operador de red o al prestador de última instancia, por la atención de usuarios en áreas especiales, en el mercado de comercialización </w:t>
      </w:r>
      <w:r w:rsidRPr="00C638D2">
        <w:rPr>
          <w:rFonts w:ascii="Arial" w:hAnsi="Arial" w:cs="Arial"/>
          <w:bCs/>
          <w:i/>
          <w:lang w:eastAsia="ar-SA"/>
        </w:rPr>
        <w:t>j</w:t>
      </w:r>
      <w:r w:rsidRPr="00C638D2">
        <w:rPr>
          <w:rFonts w:ascii="Arial" w:hAnsi="Arial" w:cs="Arial"/>
          <w:bCs/>
          <w:lang w:eastAsia="ar-SA"/>
        </w:rPr>
        <w:t xml:space="preserve">, para el año </w:t>
      </w:r>
      <w:r w:rsidRPr="00C638D2">
        <w:rPr>
          <w:rFonts w:ascii="Arial" w:hAnsi="Arial" w:cs="Arial"/>
          <w:bCs/>
          <w:i/>
          <w:lang w:eastAsia="ar-SA"/>
        </w:rPr>
        <w:t>t</w:t>
      </w:r>
      <w:r w:rsidRPr="00C638D2">
        <w:rPr>
          <w:rFonts w:ascii="Arial" w:hAnsi="Arial" w:cs="Arial"/>
          <w:bCs/>
          <w:lang w:eastAsia="ar-SA"/>
        </w:rPr>
        <w:t xml:space="preserve">. </w:t>
      </w:r>
    </w:p>
    <w:p w14:paraId="43809237" w14:textId="77777777" w:rsidR="00C638D2" w:rsidRPr="00C638D2" w:rsidRDefault="00C638D2" w:rsidP="00891C31">
      <w:pPr>
        <w:ind w:left="1559" w:right="45" w:hanging="1559"/>
        <w:rPr>
          <w:rFonts w:ascii="Arial" w:hAnsi="Arial" w:cs="Arial"/>
          <w:bCs/>
          <w:lang w:eastAsia="ar-SA"/>
        </w:rPr>
      </w:pPr>
      <w:proofErr w:type="gramStart"/>
      <w:r w:rsidRPr="00C638D2">
        <w:rPr>
          <w:rFonts w:ascii="Arial" w:hAnsi="Arial" w:cs="Arial"/>
          <w:bCs/>
          <w:i/>
          <w:lang w:eastAsia="ar-SA"/>
        </w:rPr>
        <w:t>FTAE</w:t>
      </w:r>
      <w:r w:rsidRPr="00C638D2">
        <w:rPr>
          <w:rFonts w:ascii="Arial" w:hAnsi="Arial" w:cs="Arial"/>
          <w:bCs/>
          <w:i/>
          <w:vertAlign w:val="subscript"/>
          <w:lang w:eastAsia="ar-SA"/>
        </w:rPr>
        <w:t>i,j</w:t>
      </w:r>
      <w:proofErr w:type="gramEnd"/>
      <w:r w:rsidRPr="00C638D2">
        <w:rPr>
          <w:rFonts w:ascii="Arial" w:hAnsi="Arial" w:cs="Arial"/>
          <w:bCs/>
          <w:i/>
          <w:vertAlign w:val="subscript"/>
          <w:lang w:eastAsia="ar-SA"/>
        </w:rPr>
        <w:t>,m-1</w:t>
      </w:r>
      <w:r w:rsidRPr="00C638D2">
        <w:rPr>
          <w:rFonts w:ascii="Arial" w:hAnsi="Arial" w:cs="Arial"/>
          <w:bCs/>
          <w:lang w:eastAsia="ar-SA"/>
        </w:rPr>
        <w:t>:</w:t>
      </w:r>
      <w:r w:rsidRPr="00C638D2">
        <w:rPr>
          <w:rFonts w:ascii="Arial" w:hAnsi="Arial" w:cs="Arial"/>
          <w:bCs/>
          <w:lang w:eastAsia="ar-SA"/>
        </w:rPr>
        <w:tab/>
        <w:t xml:space="preserve">Facturación total en pesos a los usuarios ubicados en áreas especiales atendidos por el comercializador </w:t>
      </w:r>
      <w:r w:rsidRPr="00C638D2">
        <w:rPr>
          <w:rFonts w:ascii="Arial" w:hAnsi="Arial" w:cs="Arial"/>
          <w:bCs/>
          <w:i/>
          <w:lang w:eastAsia="ar-SA"/>
        </w:rPr>
        <w:t>i</w:t>
      </w:r>
      <w:r w:rsidRPr="00C638D2">
        <w:rPr>
          <w:rFonts w:ascii="Arial" w:hAnsi="Arial" w:cs="Arial"/>
          <w:bCs/>
          <w:lang w:eastAsia="ar-SA"/>
        </w:rPr>
        <w:t xml:space="preserve">, en el mercado de comercialización </w:t>
      </w:r>
      <w:r w:rsidRPr="00C638D2">
        <w:rPr>
          <w:rFonts w:ascii="Arial" w:hAnsi="Arial" w:cs="Arial"/>
          <w:bCs/>
          <w:i/>
          <w:lang w:eastAsia="ar-SA"/>
        </w:rPr>
        <w:t>j</w:t>
      </w:r>
      <w:r w:rsidRPr="00C638D2">
        <w:rPr>
          <w:rFonts w:ascii="Arial" w:hAnsi="Arial" w:cs="Arial"/>
          <w:lang w:eastAsia="ar-SA"/>
        </w:rPr>
        <w:t xml:space="preserve">, </w:t>
      </w:r>
      <w:r w:rsidRPr="00C638D2">
        <w:rPr>
          <w:rFonts w:ascii="Arial" w:hAnsi="Arial" w:cs="Arial"/>
          <w:bCs/>
          <w:lang w:eastAsia="ar-SA"/>
        </w:rPr>
        <w:t xml:space="preserve">para el mes </w:t>
      </w:r>
      <w:r w:rsidRPr="00C638D2">
        <w:rPr>
          <w:rFonts w:ascii="Arial" w:hAnsi="Arial" w:cs="Arial"/>
          <w:bCs/>
          <w:i/>
          <w:lang w:eastAsia="ar-SA"/>
        </w:rPr>
        <w:t>m-1</w:t>
      </w:r>
      <w:r w:rsidRPr="00C638D2">
        <w:rPr>
          <w:rFonts w:ascii="Arial" w:hAnsi="Arial" w:cs="Arial"/>
          <w:bCs/>
          <w:lang w:eastAsia="ar-SA"/>
        </w:rPr>
        <w:t>.</w:t>
      </w:r>
      <w:r w:rsidRPr="00C638D2" w:rsidDel="00122108">
        <w:rPr>
          <w:rFonts w:ascii="Arial" w:hAnsi="Arial" w:cs="Arial"/>
          <w:lang w:eastAsia="ar-SA"/>
        </w:rPr>
        <w:t xml:space="preserve"> </w:t>
      </w:r>
    </w:p>
    <w:p w14:paraId="36762F9B" w14:textId="77777777" w:rsidR="00C638D2" w:rsidRPr="00C638D2" w:rsidRDefault="00C638D2" w:rsidP="00891C31">
      <w:pPr>
        <w:ind w:left="1559" w:right="45" w:hanging="1559"/>
        <w:rPr>
          <w:rFonts w:ascii="Arial" w:hAnsi="Arial" w:cs="Arial"/>
          <w:bCs/>
          <w:lang w:eastAsia="ar-SA"/>
        </w:rPr>
      </w:pPr>
      <w:proofErr w:type="gramStart"/>
      <w:r w:rsidRPr="00C638D2">
        <w:rPr>
          <w:rFonts w:ascii="Arial" w:hAnsi="Arial" w:cs="Arial"/>
          <w:bCs/>
          <w:i/>
          <w:lang w:eastAsia="ar-SA"/>
        </w:rPr>
        <w:t>FTR</w:t>
      </w:r>
      <w:r w:rsidRPr="00C638D2">
        <w:rPr>
          <w:rFonts w:ascii="Arial" w:hAnsi="Arial" w:cs="Arial"/>
          <w:bCs/>
          <w:i/>
          <w:vertAlign w:val="subscript"/>
          <w:lang w:eastAsia="ar-SA"/>
        </w:rPr>
        <w:t>i,j</w:t>
      </w:r>
      <w:proofErr w:type="gramEnd"/>
      <w:r w:rsidRPr="00C638D2">
        <w:rPr>
          <w:rFonts w:ascii="Arial" w:hAnsi="Arial" w:cs="Arial"/>
          <w:bCs/>
          <w:i/>
          <w:vertAlign w:val="subscript"/>
          <w:lang w:eastAsia="ar-SA"/>
        </w:rPr>
        <w:t>,m-1</w:t>
      </w:r>
      <w:r w:rsidRPr="00C638D2">
        <w:rPr>
          <w:rFonts w:ascii="Arial" w:hAnsi="Arial" w:cs="Arial"/>
          <w:bCs/>
          <w:lang w:eastAsia="ar-SA"/>
        </w:rPr>
        <w:t>:</w:t>
      </w:r>
      <w:r w:rsidRPr="00C638D2">
        <w:rPr>
          <w:rFonts w:ascii="Arial" w:hAnsi="Arial" w:cs="Arial"/>
          <w:bCs/>
          <w:lang w:eastAsia="ar-SA"/>
        </w:rPr>
        <w:tab/>
        <w:t xml:space="preserve">Facturación total en pesos a usuarios regulados realizadas por el comercializador </w:t>
      </w:r>
      <w:r w:rsidRPr="00C638D2">
        <w:rPr>
          <w:rFonts w:ascii="Arial" w:hAnsi="Arial" w:cs="Arial"/>
          <w:bCs/>
          <w:i/>
          <w:lang w:eastAsia="ar-SA"/>
        </w:rPr>
        <w:t>i</w:t>
      </w:r>
      <w:r w:rsidRPr="00C638D2">
        <w:rPr>
          <w:rFonts w:ascii="Arial" w:hAnsi="Arial" w:cs="Arial"/>
          <w:bCs/>
          <w:lang w:eastAsia="ar-SA"/>
        </w:rPr>
        <w:t xml:space="preserve">, en el mercado de comercialización </w:t>
      </w:r>
      <w:r w:rsidRPr="00C638D2">
        <w:rPr>
          <w:rFonts w:ascii="Arial" w:hAnsi="Arial" w:cs="Arial"/>
          <w:bCs/>
          <w:i/>
          <w:lang w:eastAsia="ar-SA"/>
        </w:rPr>
        <w:t>j</w:t>
      </w:r>
      <w:r w:rsidRPr="00C638D2">
        <w:rPr>
          <w:rFonts w:ascii="Arial" w:hAnsi="Arial" w:cs="Arial"/>
          <w:bCs/>
          <w:lang w:eastAsia="ar-SA"/>
        </w:rPr>
        <w:t xml:space="preserve">, en el mes </w:t>
      </w:r>
      <w:r w:rsidRPr="00C638D2">
        <w:rPr>
          <w:rFonts w:ascii="Arial" w:hAnsi="Arial" w:cs="Arial"/>
          <w:bCs/>
          <w:i/>
          <w:lang w:eastAsia="ar-SA"/>
        </w:rPr>
        <w:t>m-1</w:t>
      </w:r>
      <w:r w:rsidRPr="00C638D2">
        <w:rPr>
          <w:rFonts w:ascii="Arial" w:hAnsi="Arial" w:cs="Arial"/>
          <w:bCs/>
          <w:lang w:eastAsia="ar-SA"/>
        </w:rPr>
        <w:t xml:space="preserve">. </w:t>
      </w:r>
    </w:p>
    <w:p w14:paraId="6F0D2F2A" w14:textId="77777777" w:rsidR="00C638D2" w:rsidRPr="00C638D2" w:rsidRDefault="00C638D2" w:rsidP="00891C31">
      <w:pPr>
        <w:ind w:left="1559" w:right="45"/>
        <w:rPr>
          <w:rFonts w:ascii="Arial" w:hAnsi="Arial" w:cs="Arial"/>
          <w:bCs/>
          <w:lang w:eastAsia="ar-SA"/>
        </w:rPr>
      </w:pPr>
      <w:r w:rsidRPr="00C638D2">
        <w:rPr>
          <w:rFonts w:ascii="Arial" w:hAnsi="Arial" w:cs="Arial"/>
          <w:bCs/>
          <w:lang w:eastAsia="ar-SA"/>
        </w:rPr>
        <w:t xml:space="preserve">La suma de las variables </w:t>
      </w:r>
      <w:proofErr w:type="gramStart"/>
      <w:r w:rsidRPr="00C638D2">
        <w:rPr>
          <w:rFonts w:ascii="Arial" w:hAnsi="Arial" w:cs="Arial"/>
          <w:bCs/>
          <w:i/>
          <w:lang w:eastAsia="ar-SA"/>
        </w:rPr>
        <w:t>FTTr</w:t>
      </w:r>
      <w:r w:rsidRPr="00C638D2">
        <w:rPr>
          <w:rFonts w:ascii="Arial" w:hAnsi="Arial" w:cs="Arial"/>
          <w:bCs/>
          <w:i/>
          <w:vertAlign w:val="subscript"/>
          <w:lang w:eastAsia="ar-SA"/>
        </w:rPr>
        <w:t>i,j</w:t>
      </w:r>
      <w:proofErr w:type="gramEnd"/>
      <w:r w:rsidRPr="00C638D2">
        <w:rPr>
          <w:rFonts w:ascii="Arial" w:hAnsi="Arial" w:cs="Arial"/>
          <w:bCs/>
          <w:i/>
          <w:vertAlign w:val="subscript"/>
          <w:lang w:eastAsia="ar-SA"/>
        </w:rPr>
        <w:t>,m-1</w:t>
      </w:r>
      <w:r w:rsidRPr="00C638D2">
        <w:rPr>
          <w:rFonts w:ascii="Arial" w:hAnsi="Arial" w:cs="Arial"/>
          <w:bCs/>
          <w:i/>
          <w:lang w:eastAsia="ar-SA"/>
        </w:rPr>
        <w:t xml:space="preserve"> </w:t>
      </w:r>
      <w:r w:rsidRPr="00C638D2">
        <w:rPr>
          <w:rFonts w:ascii="Arial" w:hAnsi="Arial" w:cs="Arial"/>
          <w:bCs/>
          <w:iCs/>
          <w:lang w:eastAsia="ar-SA"/>
        </w:rPr>
        <w:t>y</w:t>
      </w:r>
      <w:r w:rsidRPr="00C638D2">
        <w:rPr>
          <w:rFonts w:ascii="Arial" w:hAnsi="Arial" w:cs="Arial"/>
          <w:bCs/>
          <w:i/>
          <w:lang w:eastAsia="ar-SA"/>
        </w:rPr>
        <w:t xml:space="preserve"> FTAE</w:t>
      </w:r>
      <w:r w:rsidRPr="00C638D2">
        <w:rPr>
          <w:rFonts w:ascii="Arial" w:hAnsi="Arial" w:cs="Arial"/>
          <w:bCs/>
          <w:i/>
          <w:vertAlign w:val="subscript"/>
          <w:lang w:eastAsia="ar-SA"/>
        </w:rPr>
        <w:t xml:space="preserve">i,j,m-1 </w:t>
      </w:r>
      <w:r w:rsidRPr="00C638D2">
        <w:rPr>
          <w:rFonts w:ascii="Arial" w:hAnsi="Arial" w:cs="Arial"/>
          <w:bCs/>
          <w:lang w:eastAsia="ar-SA"/>
        </w:rPr>
        <w:t xml:space="preserve">debe ser igual a la variable </w:t>
      </w:r>
      <w:r w:rsidRPr="00C638D2">
        <w:rPr>
          <w:rFonts w:ascii="Arial" w:hAnsi="Arial" w:cs="Arial"/>
          <w:bCs/>
          <w:i/>
          <w:lang w:eastAsia="ar-SA"/>
        </w:rPr>
        <w:t>FTR</w:t>
      </w:r>
      <w:r w:rsidRPr="00C638D2">
        <w:rPr>
          <w:rFonts w:ascii="Arial" w:hAnsi="Arial" w:cs="Arial"/>
          <w:bCs/>
          <w:i/>
          <w:vertAlign w:val="subscript"/>
          <w:lang w:eastAsia="ar-SA"/>
        </w:rPr>
        <w:t>i,j,m-1</w:t>
      </w:r>
      <w:r w:rsidRPr="00C638D2">
        <w:rPr>
          <w:rFonts w:ascii="Arial" w:hAnsi="Arial" w:cs="Arial"/>
          <w:bCs/>
          <w:lang w:eastAsia="ar-SA"/>
        </w:rPr>
        <w:t>.</w:t>
      </w:r>
    </w:p>
    <w:p w14:paraId="6AD6E0DD" w14:textId="673F355E" w:rsidR="00691F14" w:rsidRDefault="00691F14" w:rsidP="00891C31">
      <w:pPr>
        <w:rPr>
          <w:rFonts w:ascii="Arial" w:hAnsi="Arial" w:cs="Arial"/>
          <w:iCs/>
        </w:rPr>
      </w:pPr>
      <w:r>
        <w:rPr>
          <w:rFonts w:ascii="Arial" w:hAnsi="Arial" w:cs="Arial"/>
          <w:iCs/>
        </w:rPr>
        <w:t xml:space="preserve">En </w:t>
      </w:r>
      <w:r w:rsidR="00B352C2">
        <w:rPr>
          <w:rFonts w:ascii="Arial" w:hAnsi="Arial" w:cs="Arial"/>
          <w:iCs/>
        </w:rPr>
        <w:fldChar w:fldCharType="begin"/>
      </w:r>
      <w:r w:rsidR="00B352C2">
        <w:rPr>
          <w:rFonts w:ascii="Arial" w:hAnsi="Arial" w:cs="Arial"/>
          <w:iCs/>
        </w:rPr>
        <w:instrText xml:space="preserve"> REF _Ref164779010 \h  \* MERGEFORMAT </w:instrText>
      </w:r>
      <w:r w:rsidR="00B352C2">
        <w:rPr>
          <w:rFonts w:ascii="Arial" w:hAnsi="Arial" w:cs="Arial"/>
          <w:iCs/>
        </w:rPr>
      </w:r>
      <w:r w:rsidR="00B352C2">
        <w:rPr>
          <w:rFonts w:ascii="Arial" w:hAnsi="Arial" w:cs="Arial"/>
          <w:iCs/>
        </w:rPr>
        <w:fldChar w:fldCharType="separate"/>
      </w:r>
      <w:r w:rsidR="002A641D" w:rsidRPr="002A641D">
        <w:rPr>
          <w:rFonts w:ascii="Arial" w:hAnsi="Arial" w:cs="Arial"/>
          <w:iCs/>
        </w:rPr>
        <w:t>Tabla 10</w:t>
      </w:r>
      <w:r w:rsidR="00B352C2">
        <w:rPr>
          <w:rFonts w:ascii="Arial" w:hAnsi="Arial" w:cs="Arial"/>
          <w:iCs/>
        </w:rPr>
        <w:fldChar w:fldCharType="end"/>
      </w:r>
      <w:r>
        <w:rPr>
          <w:rFonts w:ascii="Arial" w:hAnsi="Arial" w:cs="Arial"/>
          <w:iCs/>
        </w:rPr>
        <w:t xml:space="preserve"> se presenta la comparación de la metodología para determinar </w:t>
      </w:r>
      <w:r w:rsidR="00DB1769">
        <w:rPr>
          <w:rFonts w:ascii="Arial" w:hAnsi="Arial" w:cs="Arial"/>
          <w:iCs/>
        </w:rPr>
        <w:t xml:space="preserve">el riesgo de cartera reconocido respecto a la </w:t>
      </w:r>
      <w:r>
        <w:rPr>
          <w:rFonts w:ascii="Arial" w:hAnsi="Arial" w:cs="Arial"/>
          <w:iCs/>
        </w:rPr>
        <w:t>metodología vigente.</w:t>
      </w:r>
    </w:p>
    <w:p w14:paraId="21B296D0" w14:textId="114C3835" w:rsidR="00027089" w:rsidRDefault="00027089" w:rsidP="00891C31">
      <w:pPr>
        <w:pStyle w:val="Descripcin"/>
        <w:tabs>
          <w:tab w:val="left" w:pos="1276"/>
        </w:tabs>
        <w:spacing w:after="0"/>
        <w:rPr>
          <w:rFonts w:ascii="Arial" w:hAnsi="Arial" w:cs="Arial"/>
          <w:b/>
          <w:bCs/>
          <w:color w:val="auto"/>
        </w:rPr>
      </w:pPr>
      <w:bookmarkStart w:id="53" w:name="_Ref164779010"/>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10</w:t>
      </w:r>
      <w:r w:rsidRPr="00115F4D">
        <w:rPr>
          <w:rFonts w:ascii="Arial" w:hAnsi="Arial" w:cs="Arial"/>
          <w:b/>
          <w:bCs/>
          <w:color w:val="auto"/>
        </w:rPr>
        <w:fldChar w:fldCharType="end"/>
      </w:r>
      <w:bookmarkEnd w:id="53"/>
      <w:r w:rsidRPr="00115F4D">
        <w:rPr>
          <w:rFonts w:ascii="Arial" w:hAnsi="Arial" w:cs="Arial"/>
          <w:b/>
          <w:bCs/>
          <w:color w:val="auto"/>
        </w:rPr>
        <w:t xml:space="preserve"> </w:t>
      </w:r>
      <w:r>
        <w:rPr>
          <w:rFonts w:ascii="Arial" w:hAnsi="Arial" w:cs="Arial"/>
          <w:b/>
          <w:bCs/>
          <w:color w:val="auto"/>
        </w:rPr>
        <w:t xml:space="preserve">Comparación metodología de reconocimiento Riesgo de Cartera. </w:t>
      </w:r>
    </w:p>
    <w:tbl>
      <w:tblPr>
        <w:tblW w:w="5000" w:type="pct"/>
        <w:tblCellMar>
          <w:left w:w="0" w:type="dxa"/>
          <w:right w:w="0" w:type="dxa"/>
        </w:tblCellMar>
        <w:tblLook w:val="0620" w:firstRow="1" w:lastRow="0" w:firstColumn="0" w:lastColumn="0" w:noHBand="1" w:noVBand="1"/>
      </w:tblPr>
      <w:tblGrid>
        <w:gridCol w:w="1512"/>
        <w:gridCol w:w="3705"/>
        <w:gridCol w:w="3803"/>
      </w:tblGrid>
      <w:tr w:rsidR="00685254" w:rsidRPr="00685254" w14:paraId="73D491F4" w14:textId="77777777" w:rsidTr="00027089">
        <w:trPr>
          <w:trHeight w:val="24"/>
        </w:trPr>
        <w:tc>
          <w:tcPr>
            <w:tcW w:w="838"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68DE0960" w14:textId="743A1063" w:rsidR="00685254" w:rsidRPr="00685254" w:rsidRDefault="00685254" w:rsidP="00891C31">
            <w:pPr>
              <w:spacing w:before="0" w:after="0"/>
              <w:rPr>
                <w:rFonts w:ascii="Arial" w:eastAsia="Times New Roman" w:hAnsi="Arial" w:cs="Arial"/>
                <w:b/>
                <w:bCs/>
                <w:sz w:val="20"/>
                <w:szCs w:val="20"/>
                <w:lang w:eastAsia="es-CO"/>
              </w:rPr>
            </w:pPr>
            <w:r w:rsidRPr="00685254">
              <w:rPr>
                <w:rFonts w:ascii="Arial" w:eastAsia="Times New Roman" w:hAnsi="Arial" w:cs="Arial"/>
                <w:b/>
                <w:bCs/>
                <w:sz w:val="20"/>
                <w:szCs w:val="20"/>
                <w:lang w:eastAsia="es-CO"/>
              </w:rPr>
              <w:t>Componente</w:t>
            </w:r>
          </w:p>
        </w:tc>
        <w:tc>
          <w:tcPr>
            <w:tcW w:w="2054"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291A9293" w14:textId="77777777" w:rsidR="00685254" w:rsidRPr="00685254" w:rsidRDefault="00685254" w:rsidP="00891C31">
            <w:pPr>
              <w:spacing w:before="0" w:after="0"/>
              <w:jc w:val="center"/>
              <w:rPr>
                <w:rFonts w:ascii="Arial" w:eastAsia="Times New Roman" w:hAnsi="Arial" w:cs="Arial"/>
                <w:b/>
                <w:bCs/>
                <w:sz w:val="20"/>
                <w:szCs w:val="20"/>
                <w:lang w:eastAsia="es-CO"/>
              </w:rPr>
            </w:pPr>
            <w:r w:rsidRPr="00685254">
              <w:rPr>
                <w:rFonts w:ascii="Arial" w:eastAsia="Times New Roman" w:hAnsi="Arial" w:cs="Arial"/>
                <w:b/>
                <w:color w:val="000000" w:themeColor="text1"/>
                <w:kern w:val="24"/>
                <w:sz w:val="20"/>
                <w:szCs w:val="20"/>
                <w:lang w:val="es-MX" w:eastAsia="es-CO"/>
              </w:rPr>
              <w:t>Actual</w:t>
            </w:r>
          </w:p>
        </w:tc>
        <w:tc>
          <w:tcPr>
            <w:tcW w:w="2109"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7B75DE0D" w14:textId="77777777" w:rsidR="00685254" w:rsidRPr="00685254" w:rsidRDefault="00685254" w:rsidP="00891C31">
            <w:pPr>
              <w:spacing w:before="0" w:after="0"/>
              <w:jc w:val="center"/>
              <w:rPr>
                <w:rFonts w:ascii="Arial" w:eastAsia="Times New Roman" w:hAnsi="Arial" w:cs="Arial"/>
                <w:sz w:val="20"/>
                <w:szCs w:val="20"/>
                <w:lang w:eastAsia="es-CO"/>
              </w:rPr>
            </w:pPr>
            <w:r w:rsidRPr="00685254">
              <w:rPr>
                <w:rFonts w:ascii="Arial" w:eastAsia="Times New Roman" w:hAnsi="Arial" w:cs="Arial"/>
                <w:b/>
                <w:color w:val="000000" w:themeColor="text1"/>
                <w:kern w:val="24"/>
                <w:sz w:val="20"/>
                <w:szCs w:val="20"/>
                <w:lang w:val="es-MX" w:eastAsia="es-CO"/>
              </w:rPr>
              <w:t>Propuesta</w:t>
            </w:r>
          </w:p>
        </w:tc>
      </w:tr>
      <w:tr w:rsidR="00685254" w:rsidRPr="00685254" w14:paraId="12FD502B" w14:textId="77777777" w:rsidTr="00C21F64">
        <w:trPr>
          <w:trHeight w:val="251"/>
        </w:trPr>
        <w:tc>
          <w:tcPr>
            <w:tcW w:w="838"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3CF039F2" w14:textId="77777777" w:rsidR="00685254" w:rsidRPr="00685254" w:rsidRDefault="00685254" w:rsidP="00891C31">
            <w:pPr>
              <w:spacing w:before="0" w:after="0"/>
              <w:jc w:val="center"/>
              <w:rPr>
                <w:rFonts w:ascii="Arial" w:eastAsia="Times New Roman" w:hAnsi="Arial" w:cs="Arial"/>
                <w:sz w:val="20"/>
                <w:szCs w:val="20"/>
                <w:lang w:eastAsia="es-CO"/>
              </w:rPr>
            </w:pPr>
            <w:proofErr w:type="gramStart"/>
            <w:r w:rsidRPr="00685254">
              <w:rPr>
                <w:rFonts w:ascii="Arial" w:eastAsiaTheme="minorEastAsia" w:hAnsi="Arial" w:cs="Arial"/>
                <w:b/>
                <w:color w:val="000000" w:themeColor="text1"/>
                <w:kern w:val="24"/>
                <w:sz w:val="20"/>
                <w:szCs w:val="20"/>
                <w:lang w:val="pt-BR" w:eastAsia="es-CO"/>
              </w:rPr>
              <w:t>Referencia</w:t>
            </w:r>
            <w:proofErr w:type="gramEnd"/>
            <w:r w:rsidRPr="00685254">
              <w:rPr>
                <w:rFonts w:ascii="Arial" w:eastAsiaTheme="minorEastAsia" w:hAnsi="Arial" w:cs="Arial"/>
                <w:b/>
                <w:color w:val="000000" w:themeColor="text1"/>
                <w:kern w:val="24"/>
                <w:sz w:val="20"/>
                <w:szCs w:val="20"/>
                <w:lang w:val="pt-BR" w:eastAsia="es-CO"/>
              </w:rPr>
              <w:t xml:space="preserve"> de cálculo</w:t>
            </w:r>
          </w:p>
        </w:tc>
        <w:tc>
          <w:tcPr>
            <w:tcW w:w="2054"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66EBDFF0" w14:textId="77777777" w:rsidR="00685254" w:rsidRPr="00685254" w:rsidRDefault="00685254" w:rsidP="00C00C77">
            <w:pPr>
              <w:numPr>
                <w:ilvl w:val="0"/>
                <w:numId w:val="18"/>
              </w:numPr>
              <w:spacing w:before="0" w:after="0"/>
              <w:ind w:left="375"/>
              <w:contextualSpacing/>
              <w:rPr>
                <w:rFonts w:ascii="Arial" w:eastAsia="Times New Roman" w:hAnsi="Arial" w:cs="Arial"/>
                <w:color w:val="E7B53D"/>
                <w:sz w:val="20"/>
                <w:szCs w:val="20"/>
                <w:lang w:eastAsia="es-CO"/>
              </w:rPr>
            </w:pPr>
            <w:r w:rsidRPr="00685254">
              <w:rPr>
                <w:rFonts w:ascii="Arial" w:eastAsiaTheme="minorEastAsia" w:hAnsi="Arial" w:cs="Arial"/>
                <w:kern w:val="24"/>
                <w:sz w:val="20"/>
                <w:szCs w:val="20"/>
                <w:lang w:val="es-MX" w:eastAsia="es-CO"/>
              </w:rPr>
              <w:t>Valor CU – C (aplica para todos los costos variables)</w:t>
            </w:r>
          </w:p>
        </w:tc>
        <w:tc>
          <w:tcPr>
            <w:tcW w:w="2109"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1FAF107" w14:textId="77777777" w:rsidR="00685254" w:rsidRPr="00685254" w:rsidRDefault="00685254" w:rsidP="00C00C77">
            <w:pPr>
              <w:numPr>
                <w:ilvl w:val="0"/>
                <w:numId w:val="18"/>
              </w:numPr>
              <w:spacing w:before="0" w:after="0"/>
              <w:ind w:left="375"/>
              <w:contextualSpacing/>
              <w:rPr>
                <w:rFonts w:ascii="Arial" w:eastAsia="Times New Roman" w:hAnsi="Arial" w:cs="Arial"/>
                <w:color w:val="E7B53D"/>
                <w:sz w:val="20"/>
                <w:szCs w:val="20"/>
                <w:lang w:eastAsia="es-CO"/>
              </w:rPr>
            </w:pPr>
            <w:r w:rsidRPr="00685254">
              <w:rPr>
                <w:rFonts w:ascii="Arial" w:eastAsiaTheme="minorEastAsia" w:hAnsi="Arial" w:cs="Arial"/>
                <w:kern w:val="24"/>
                <w:sz w:val="20"/>
                <w:szCs w:val="20"/>
                <w:lang w:val="es-MX" w:eastAsia="es-CO"/>
              </w:rPr>
              <w:t xml:space="preserve">Se mantiene base, los costos asociados con la cartera están directamente relacionados con el valor mensual de la energía comercializada </w:t>
            </w:r>
          </w:p>
        </w:tc>
      </w:tr>
      <w:tr w:rsidR="00685254" w:rsidRPr="00685254" w14:paraId="03826B5A" w14:textId="77777777" w:rsidTr="00027089">
        <w:trPr>
          <w:trHeight w:val="788"/>
        </w:trPr>
        <w:tc>
          <w:tcPr>
            <w:tcW w:w="838"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1AF94510" w14:textId="77777777" w:rsidR="00685254" w:rsidRPr="00685254" w:rsidRDefault="00685254" w:rsidP="00891C31">
            <w:pPr>
              <w:spacing w:before="0" w:after="0"/>
              <w:jc w:val="center"/>
              <w:rPr>
                <w:rFonts w:ascii="Arial" w:eastAsia="Times New Roman" w:hAnsi="Arial" w:cs="Arial"/>
                <w:sz w:val="20"/>
                <w:szCs w:val="20"/>
                <w:lang w:eastAsia="es-CO"/>
              </w:rPr>
            </w:pPr>
            <w:r w:rsidRPr="00685254">
              <w:rPr>
                <w:rFonts w:ascii="Arial" w:eastAsiaTheme="minorEastAsia" w:hAnsi="Arial" w:cs="Arial"/>
                <w:b/>
                <w:color w:val="000000" w:themeColor="text1"/>
                <w:kern w:val="24"/>
                <w:sz w:val="20"/>
                <w:szCs w:val="20"/>
                <w:lang w:eastAsia="es-CO"/>
              </w:rPr>
              <w:t xml:space="preserve">Riesgo de cartera – RC </w:t>
            </w:r>
          </w:p>
        </w:tc>
        <w:tc>
          <w:tcPr>
            <w:tcW w:w="2054"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67DB2D35" w14:textId="77777777" w:rsidR="00685254" w:rsidRPr="00685254" w:rsidRDefault="00685254" w:rsidP="00C00C77">
            <w:pPr>
              <w:numPr>
                <w:ilvl w:val="0"/>
                <w:numId w:val="18"/>
              </w:numPr>
              <w:spacing w:before="0" w:after="0"/>
              <w:ind w:left="375"/>
              <w:contextualSpacing/>
              <w:rPr>
                <w:rFonts w:ascii="Arial" w:eastAsia="Times New Roman" w:hAnsi="Arial" w:cs="Arial"/>
                <w:sz w:val="20"/>
                <w:szCs w:val="20"/>
                <w:lang w:eastAsia="es-CO"/>
              </w:rPr>
            </w:pPr>
            <w:r w:rsidRPr="00685254">
              <w:rPr>
                <w:rFonts w:ascii="Arial" w:eastAsiaTheme="minorEastAsia" w:hAnsi="Arial" w:cs="Arial"/>
                <w:kern w:val="24"/>
                <w:sz w:val="20"/>
                <w:szCs w:val="20"/>
                <w:lang w:val="es-MX" w:eastAsia="es-CO"/>
              </w:rPr>
              <w:t xml:space="preserve">Valor de la facturación no recaudada (después de gestión comercial) y que el comercializador si debe pagar a los demás agentes de la cadena. </w:t>
            </w:r>
          </w:p>
          <w:p w14:paraId="5E624582" w14:textId="77777777" w:rsidR="00685254" w:rsidRPr="00685254" w:rsidRDefault="00685254" w:rsidP="00C00C77">
            <w:pPr>
              <w:numPr>
                <w:ilvl w:val="0"/>
                <w:numId w:val="18"/>
              </w:numPr>
              <w:spacing w:before="0" w:after="0"/>
              <w:ind w:left="375"/>
              <w:contextualSpacing/>
              <w:rPr>
                <w:rFonts w:ascii="Arial" w:eastAsia="Times New Roman" w:hAnsi="Arial" w:cs="Arial"/>
                <w:sz w:val="20"/>
                <w:szCs w:val="20"/>
                <w:lang w:eastAsia="es-CO"/>
              </w:rPr>
            </w:pPr>
            <w:r w:rsidRPr="00685254">
              <w:rPr>
                <w:rFonts w:ascii="Arial" w:eastAsiaTheme="minorEastAsia" w:hAnsi="Arial" w:cs="Arial"/>
                <w:kern w:val="24"/>
                <w:sz w:val="20"/>
                <w:szCs w:val="20"/>
                <w:lang w:val="es-MX" w:eastAsia="es-CO"/>
              </w:rPr>
              <w:t xml:space="preserve">4 categorías de usuarios: </w:t>
            </w:r>
          </w:p>
          <w:p w14:paraId="7B1184B5" w14:textId="77777777" w:rsidR="00685254" w:rsidRPr="00685254" w:rsidRDefault="00685254" w:rsidP="00C00C77">
            <w:pPr>
              <w:numPr>
                <w:ilvl w:val="2"/>
                <w:numId w:val="18"/>
              </w:numPr>
              <w:tabs>
                <w:tab w:val="clear" w:pos="2160"/>
              </w:tabs>
              <w:spacing w:before="0" w:after="0"/>
              <w:ind w:left="698"/>
              <w:contextualSpacing/>
              <w:rPr>
                <w:rFonts w:ascii="Arial" w:eastAsia="Times New Roman" w:hAnsi="Arial" w:cs="Arial"/>
                <w:sz w:val="20"/>
                <w:szCs w:val="20"/>
                <w:lang w:eastAsia="es-CO"/>
              </w:rPr>
            </w:pPr>
            <w:r w:rsidRPr="00685254">
              <w:rPr>
                <w:rFonts w:ascii="Arial" w:eastAsiaTheme="minorEastAsia" w:hAnsi="Arial" w:cs="Arial"/>
                <w:b/>
                <w:bCs/>
                <w:kern w:val="24"/>
                <w:sz w:val="20"/>
                <w:szCs w:val="20"/>
                <w:lang w:val="es-MX" w:eastAsia="es-CO"/>
              </w:rPr>
              <w:t>Tradicional</w:t>
            </w:r>
          </w:p>
          <w:p w14:paraId="6A1D16F3" w14:textId="77777777" w:rsidR="00685254" w:rsidRPr="00685254" w:rsidRDefault="00685254" w:rsidP="00C00C77">
            <w:pPr>
              <w:numPr>
                <w:ilvl w:val="2"/>
                <w:numId w:val="18"/>
              </w:numPr>
              <w:tabs>
                <w:tab w:val="clear" w:pos="2160"/>
              </w:tabs>
              <w:spacing w:before="0" w:after="0"/>
              <w:ind w:left="698"/>
              <w:contextualSpacing/>
              <w:rPr>
                <w:rFonts w:ascii="Arial" w:eastAsia="Times New Roman" w:hAnsi="Arial" w:cs="Arial"/>
                <w:sz w:val="20"/>
                <w:szCs w:val="20"/>
                <w:lang w:eastAsia="es-CO"/>
              </w:rPr>
            </w:pPr>
            <w:r w:rsidRPr="00685254">
              <w:rPr>
                <w:rFonts w:ascii="Arial" w:eastAsiaTheme="minorEastAsia" w:hAnsi="Arial" w:cs="Arial"/>
                <w:b/>
                <w:bCs/>
                <w:kern w:val="24"/>
                <w:sz w:val="20"/>
                <w:szCs w:val="20"/>
                <w:lang w:val="es-MX" w:eastAsia="es-CO"/>
              </w:rPr>
              <w:t>Áreas especiales</w:t>
            </w:r>
          </w:p>
          <w:p w14:paraId="79066A93" w14:textId="77777777" w:rsidR="00685254" w:rsidRPr="00685254" w:rsidRDefault="00685254" w:rsidP="00C00C77">
            <w:pPr>
              <w:numPr>
                <w:ilvl w:val="2"/>
                <w:numId w:val="18"/>
              </w:numPr>
              <w:tabs>
                <w:tab w:val="clear" w:pos="2160"/>
              </w:tabs>
              <w:spacing w:before="0" w:after="0"/>
              <w:ind w:left="698"/>
              <w:contextualSpacing/>
              <w:rPr>
                <w:rFonts w:ascii="Arial" w:eastAsia="Times New Roman" w:hAnsi="Arial" w:cs="Arial"/>
                <w:sz w:val="20"/>
                <w:szCs w:val="20"/>
                <w:lang w:eastAsia="es-CO"/>
              </w:rPr>
            </w:pPr>
            <w:r w:rsidRPr="00685254">
              <w:rPr>
                <w:rFonts w:ascii="Arial" w:eastAsiaTheme="minorEastAsia" w:hAnsi="Arial" w:cs="Arial"/>
                <w:b/>
                <w:bCs/>
                <w:kern w:val="24"/>
                <w:sz w:val="20"/>
                <w:szCs w:val="20"/>
                <w:lang w:val="es-MX" w:eastAsia="es-CO"/>
              </w:rPr>
              <w:t xml:space="preserve">Nuevo </w:t>
            </w:r>
            <w:r w:rsidRPr="00685254">
              <w:rPr>
                <w:rFonts w:ascii="Arial" w:eastAsiaTheme="minorEastAsia" w:hAnsi="Arial" w:cs="Arial"/>
                <w:kern w:val="24"/>
                <w:sz w:val="20"/>
                <w:szCs w:val="20"/>
                <w:lang w:val="es-MX" w:eastAsia="es-CO"/>
              </w:rPr>
              <w:t>(en el SIN)</w:t>
            </w:r>
          </w:p>
          <w:p w14:paraId="063384BD" w14:textId="77777777" w:rsidR="00685254" w:rsidRPr="00685254" w:rsidRDefault="00685254" w:rsidP="00C00C77">
            <w:pPr>
              <w:numPr>
                <w:ilvl w:val="2"/>
                <w:numId w:val="18"/>
              </w:numPr>
              <w:tabs>
                <w:tab w:val="clear" w:pos="2160"/>
              </w:tabs>
              <w:spacing w:before="0" w:after="0"/>
              <w:ind w:left="698"/>
              <w:contextualSpacing/>
              <w:rPr>
                <w:rFonts w:ascii="Arial" w:eastAsia="Times New Roman" w:hAnsi="Arial" w:cs="Arial"/>
                <w:sz w:val="20"/>
                <w:szCs w:val="20"/>
                <w:lang w:eastAsia="es-CO"/>
              </w:rPr>
            </w:pPr>
            <w:r w:rsidRPr="00685254">
              <w:rPr>
                <w:rFonts w:ascii="Arial" w:eastAsiaTheme="minorEastAsia" w:hAnsi="Arial" w:cs="Arial"/>
                <w:b/>
                <w:bCs/>
                <w:kern w:val="24"/>
                <w:sz w:val="20"/>
                <w:szCs w:val="20"/>
                <w:lang w:val="es-MX" w:eastAsia="es-CO"/>
              </w:rPr>
              <w:t xml:space="preserve">Barrios Subnormales </w:t>
            </w:r>
            <w:r w:rsidRPr="00685254">
              <w:rPr>
                <w:rFonts w:ascii="Arial" w:eastAsiaTheme="minorEastAsia" w:hAnsi="Arial" w:cs="Arial"/>
                <w:kern w:val="24"/>
                <w:sz w:val="20"/>
                <w:szCs w:val="20"/>
                <w:lang w:val="es-MX" w:eastAsia="es-CO"/>
              </w:rPr>
              <w:t xml:space="preserve">atendidos por otro </w:t>
            </w:r>
            <w:r w:rsidRPr="00685254">
              <w:rPr>
                <w:rFonts w:ascii="Arial" w:eastAsiaTheme="minorEastAsia" w:hAnsi="Arial" w:cs="Arial"/>
                <w:kern w:val="24"/>
                <w:sz w:val="20"/>
                <w:szCs w:val="20"/>
                <w:lang w:val="es-MX" w:eastAsia="es-CO"/>
              </w:rPr>
              <w:lastRenderedPageBreak/>
              <w:t>comercializador (Energía Social de la Costa).</w:t>
            </w:r>
          </w:p>
        </w:tc>
        <w:tc>
          <w:tcPr>
            <w:tcW w:w="2109"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177F98A" w14:textId="77777777" w:rsidR="00685254" w:rsidRPr="00685254" w:rsidRDefault="00685254" w:rsidP="00C00C77">
            <w:pPr>
              <w:numPr>
                <w:ilvl w:val="0"/>
                <w:numId w:val="18"/>
              </w:numPr>
              <w:spacing w:before="0" w:after="0"/>
              <w:ind w:left="416"/>
              <w:contextualSpacing/>
              <w:rPr>
                <w:rFonts w:ascii="Arial" w:eastAsia="Times New Roman" w:hAnsi="Arial" w:cs="Arial"/>
                <w:sz w:val="20"/>
                <w:szCs w:val="20"/>
                <w:lang w:eastAsia="es-CO"/>
              </w:rPr>
            </w:pPr>
            <w:r w:rsidRPr="00685254">
              <w:rPr>
                <w:rFonts w:ascii="Arial" w:eastAsiaTheme="minorEastAsia" w:hAnsi="Arial" w:cs="Arial"/>
                <w:kern w:val="24"/>
                <w:sz w:val="20"/>
                <w:szCs w:val="20"/>
                <w:lang w:val="es-MX" w:eastAsia="es-CO"/>
              </w:rPr>
              <w:lastRenderedPageBreak/>
              <w:t xml:space="preserve">No se considera valor diferencial para nuevos </w:t>
            </w:r>
            <w:r w:rsidRPr="00685254">
              <w:rPr>
                <w:rFonts w:ascii="Arial" w:eastAsiaTheme="minorEastAsia" w:hAnsi="Arial" w:cs="Arial"/>
                <w:b/>
                <w:bCs/>
                <w:kern w:val="24"/>
                <w:sz w:val="20"/>
                <w:szCs w:val="20"/>
                <w:lang w:val="es-MX" w:eastAsia="es-CO"/>
              </w:rPr>
              <w:t>usuarios en el SIN.</w:t>
            </w:r>
          </w:p>
          <w:p w14:paraId="72ACE36B" w14:textId="1858D02F" w:rsidR="00685254" w:rsidRPr="00685254" w:rsidRDefault="00685254" w:rsidP="00C00C77">
            <w:pPr>
              <w:numPr>
                <w:ilvl w:val="0"/>
                <w:numId w:val="18"/>
              </w:numPr>
              <w:spacing w:before="0" w:after="0"/>
              <w:ind w:left="416"/>
              <w:contextualSpacing/>
              <w:rPr>
                <w:rFonts w:ascii="Arial" w:eastAsia="Times New Roman" w:hAnsi="Arial" w:cs="Arial"/>
                <w:sz w:val="20"/>
                <w:szCs w:val="20"/>
                <w:lang w:eastAsia="es-CO"/>
              </w:rPr>
            </w:pPr>
            <w:r w:rsidRPr="00685254">
              <w:rPr>
                <w:rFonts w:ascii="Arial" w:eastAsiaTheme="minorEastAsia" w:hAnsi="Arial" w:cs="Arial"/>
                <w:kern w:val="24"/>
                <w:sz w:val="20"/>
                <w:szCs w:val="20"/>
                <w:lang w:val="es-MX" w:eastAsia="es-CO"/>
              </w:rPr>
              <w:t xml:space="preserve">No se considera </w:t>
            </w:r>
            <w:r w:rsidRPr="00685254">
              <w:rPr>
                <w:rFonts w:ascii="Arial" w:eastAsiaTheme="minorEastAsia" w:hAnsi="Arial" w:cs="Arial"/>
                <w:b/>
                <w:bCs/>
                <w:kern w:val="24"/>
                <w:sz w:val="20"/>
                <w:szCs w:val="20"/>
                <w:lang w:val="es-MX" w:eastAsia="es-CO"/>
              </w:rPr>
              <w:t xml:space="preserve">Usuarios BS </w:t>
            </w:r>
            <w:r w:rsidRPr="00685254">
              <w:rPr>
                <w:rFonts w:ascii="Arial" w:eastAsiaTheme="minorEastAsia" w:hAnsi="Arial" w:cs="Arial"/>
                <w:kern w:val="24"/>
                <w:sz w:val="20"/>
                <w:szCs w:val="20"/>
                <w:lang w:val="es-MX" w:eastAsia="es-CO"/>
              </w:rPr>
              <w:t xml:space="preserve">atendidos por otro </w:t>
            </w:r>
            <w:r w:rsidR="00A821CF" w:rsidRPr="00685254">
              <w:rPr>
                <w:rFonts w:ascii="Arial" w:eastAsiaTheme="minorEastAsia" w:hAnsi="Arial" w:cs="Arial"/>
                <w:kern w:val="24"/>
                <w:sz w:val="20"/>
                <w:szCs w:val="20"/>
                <w:lang w:val="es-MX" w:eastAsia="es-CO"/>
              </w:rPr>
              <w:t>comercializador (</w:t>
            </w:r>
            <w:r w:rsidRPr="00685254">
              <w:rPr>
                <w:rFonts w:ascii="Arial" w:eastAsiaTheme="minorEastAsia" w:hAnsi="Arial" w:cs="Arial"/>
                <w:kern w:val="24"/>
                <w:sz w:val="20"/>
                <w:szCs w:val="20"/>
                <w:lang w:val="es-MX" w:eastAsia="es-CO"/>
              </w:rPr>
              <w:t>previsto desde la CREG 180 de 2014).</w:t>
            </w:r>
          </w:p>
          <w:p w14:paraId="6D9D7A3A" w14:textId="4FBF0147" w:rsidR="00685254" w:rsidRPr="00685254" w:rsidRDefault="00685254" w:rsidP="00C00C77">
            <w:pPr>
              <w:numPr>
                <w:ilvl w:val="0"/>
                <w:numId w:val="18"/>
              </w:numPr>
              <w:spacing w:before="0" w:after="0"/>
              <w:ind w:left="416"/>
              <w:contextualSpacing/>
              <w:rPr>
                <w:rFonts w:ascii="Arial" w:eastAsia="Times New Roman" w:hAnsi="Arial" w:cs="Arial"/>
                <w:sz w:val="20"/>
                <w:szCs w:val="20"/>
                <w:lang w:eastAsia="es-CO"/>
              </w:rPr>
            </w:pPr>
            <w:r w:rsidRPr="00685254">
              <w:rPr>
                <w:rFonts w:ascii="Arial" w:eastAsiaTheme="minorEastAsia" w:hAnsi="Arial" w:cs="Arial"/>
                <w:kern w:val="24"/>
                <w:sz w:val="20"/>
                <w:szCs w:val="20"/>
                <w:lang w:val="es-MX" w:eastAsia="es-CO"/>
              </w:rPr>
              <w:t>Ponderación de los riesgos en función de</w:t>
            </w:r>
            <w:r w:rsidR="00EE7B0F">
              <w:rPr>
                <w:rFonts w:ascii="Arial" w:eastAsiaTheme="minorEastAsia" w:hAnsi="Arial" w:cs="Arial"/>
                <w:kern w:val="24"/>
                <w:sz w:val="20"/>
                <w:szCs w:val="20"/>
                <w:lang w:val="es-MX" w:eastAsia="es-CO"/>
              </w:rPr>
              <w:t xml:space="preserve"> la facturación </w:t>
            </w:r>
            <w:r w:rsidRPr="00685254">
              <w:rPr>
                <w:rFonts w:ascii="Arial" w:eastAsiaTheme="minorEastAsia" w:hAnsi="Arial" w:cs="Arial"/>
                <w:kern w:val="24"/>
                <w:sz w:val="20"/>
                <w:szCs w:val="20"/>
                <w:lang w:val="es-MX" w:eastAsia="es-CO"/>
              </w:rPr>
              <w:t>por categoría.</w:t>
            </w:r>
          </w:p>
          <w:p w14:paraId="4D670046" w14:textId="77777777" w:rsidR="00685254" w:rsidRPr="00685254" w:rsidRDefault="00685254" w:rsidP="00C00C77">
            <w:pPr>
              <w:numPr>
                <w:ilvl w:val="0"/>
                <w:numId w:val="18"/>
              </w:numPr>
              <w:spacing w:before="0" w:after="0"/>
              <w:ind w:left="416"/>
              <w:contextualSpacing/>
              <w:rPr>
                <w:rFonts w:ascii="Arial" w:eastAsia="Times New Roman" w:hAnsi="Arial" w:cs="Arial"/>
                <w:color w:val="E7B53D"/>
                <w:sz w:val="20"/>
                <w:szCs w:val="20"/>
                <w:lang w:eastAsia="es-CO"/>
              </w:rPr>
            </w:pPr>
            <w:r w:rsidRPr="00685254">
              <w:rPr>
                <w:rFonts w:ascii="Arial" w:eastAsiaTheme="minorEastAsia" w:hAnsi="Arial" w:cs="Arial"/>
                <w:kern w:val="24"/>
                <w:sz w:val="20"/>
                <w:szCs w:val="20"/>
                <w:lang w:val="es-MX" w:eastAsia="es-CO"/>
              </w:rPr>
              <w:t xml:space="preserve">Riesgo de cartera diferenciado para </w:t>
            </w:r>
            <w:r w:rsidRPr="00685254">
              <w:rPr>
                <w:rFonts w:ascii="Arial" w:eastAsiaTheme="minorEastAsia" w:hAnsi="Arial" w:cs="Arial"/>
                <w:b/>
                <w:bCs/>
                <w:kern w:val="24"/>
                <w:sz w:val="20"/>
                <w:szCs w:val="20"/>
                <w:lang w:val="es-MX" w:eastAsia="es-CO"/>
              </w:rPr>
              <w:t>Áreas Especiales de acuerdo con decreto del MME.</w:t>
            </w:r>
          </w:p>
        </w:tc>
      </w:tr>
    </w:tbl>
    <w:p w14:paraId="417AA326" w14:textId="77777777" w:rsidR="002A4F99" w:rsidRPr="002A4F99" w:rsidRDefault="002A4F99" w:rsidP="00891C31">
      <w:pPr>
        <w:spacing w:before="0" w:after="0"/>
      </w:pPr>
    </w:p>
    <w:p w14:paraId="59684C4D" w14:textId="23A35431" w:rsidR="00A027B5" w:rsidRPr="00115F4D" w:rsidRDefault="2EF32787" w:rsidP="00891C31">
      <w:pPr>
        <w:pStyle w:val="Ttulo4"/>
      </w:pPr>
      <w:r w:rsidRPr="00115F4D">
        <w:t>Riesgo de Cartera de u</w:t>
      </w:r>
      <w:r w:rsidR="7EC0CE15" w:rsidRPr="00115F4D">
        <w:t xml:space="preserve">suarios </w:t>
      </w:r>
      <w:r w:rsidR="17D8B302" w:rsidRPr="00115F4D">
        <w:t>T</w:t>
      </w:r>
      <w:r w:rsidR="7EC0CE15" w:rsidRPr="00115F4D">
        <w:t>radicionales</w:t>
      </w:r>
      <w:r w:rsidR="6A014524" w:rsidRPr="00115F4D">
        <w:t xml:space="preserve"> (RCT)</w:t>
      </w:r>
    </w:p>
    <w:p w14:paraId="6E369E24" w14:textId="7D789556" w:rsidR="00E61B8A" w:rsidRPr="00115F4D" w:rsidRDefault="00E61B8A" w:rsidP="00891C31">
      <w:pPr>
        <w:jc w:val="both"/>
        <w:rPr>
          <w:rFonts w:ascii="Arial" w:hAnsi="Arial" w:cs="Arial"/>
        </w:rPr>
      </w:pPr>
      <w:r w:rsidRPr="00115F4D">
        <w:rPr>
          <w:rFonts w:ascii="Arial" w:hAnsi="Arial" w:cs="Arial"/>
        </w:rPr>
        <w:t>El riesgo de cartera de la comercialización de energía eléctrica a usuarios tradicionales corresponde a la probabilidad de incumplimiento en el pago de las obligaciones de los usuarios que no es gestionable, es decir, que se sale del alcance de la gestión del comercializador. En este sentido, el riesgo</w:t>
      </w:r>
      <w:r w:rsidR="00D472E2">
        <w:rPr>
          <w:rFonts w:ascii="Arial" w:hAnsi="Arial" w:cs="Arial"/>
        </w:rPr>
        <w:t xml:space="preserve"> de cartera para los usuarios tradicionales</w:t>
      </w:r>
      <w:r w:rsidRPr="00115F4D">
        <w:rPr>
          <w:rFonts w:ascii="Arial" w:hAnsi="Arial" w:cs="Arial"/>
        </w:rPr>
        <w:t xml:space="preserve"> puede plantearse como el caso de un usuario que no paga la factura de energía eléctrica al prestador del servicio, por lo que este se ve obligado a suspender y posteriormente a cortar el servicio</w:t>
      </w:r>
      <w:r w:rsidR="00501339">
        <w:rPr>
          <w:rFonts w:ascii="Arial" w:hAnsi="Arial" w:cs="Arial"/>
        </w:rPr>
        <w:t xml:space="preserve"> de forma definitiva</w:t>
      </w:r>
      <w:r w:rsidR="00D472E2">
        <w:rPr>
          <w:rFonts w:ascii="Arial" w:hAnsi="Arial" w:cs="Arial"/>
        </w:rPr>
        <w:t xml:space="preserve">, ocasionando que </w:t>
      </w:r>
      <w:r w:rsidR="006872E7">
        <w:rPr>
          <w:rFonts w:ascii="Arial" w:hAnsi="Arial" w:cs="Arial"/>
        </w:rPr>
        <w:t>el usuario se retire del sistema manteniendo una deuda con el comercializador que no es gestionable por este</w:t>
      </w:r>
      <w:r w:rsidRPr="00115F4D">
        <w:rPr>
          <w:rFonts w:ascii="Arial" w:hAnsi="Arial" w:cs="Arial"/>
        </w:rPr>
        <w:t>.</w:t>
      </w:r>
    </w:p>
    <w:p w14:paraId="405DC297" w14:textId="51FD4F51" w:rsidR="00E61B8A" w:rsidRPr="00115F4D" w:rsidRDefault="00E61B8A" w:rsidP="00891C31">
      <w:pPr>
        <w:jc w:val="both"/>
        <w:rPr>
          <w:rFonts w:ascii="Arial" w:hAnsi="Arial" w:cs="Arial"/>
        </w:rPr>
      </w:pPr>
      <w:r w:rsidRPr="00115F4D">
        <w:rPr>
          <w:rFonts w:ascii="Arial" w:hAnsi="Arial" w:cs="Arial"/>
        </w:rPr>
        <w:t>En este contexto, la materialización del riesgo de cartera se presenta con el corte definitivo del servicio al usuario y/o con la terminación del contrato de condiciones uniformes. Por consiguiente, la magnitud del riesgo de cartera para el comercializador de energía eléctrica está dada por las facturas no pagadas de los usuarios a los que se les realizó el corte definitivo del servicio y/o terminación del contrato de condiciones uniformes por no tomar las acciones orientadas a solucionar las causales del corte</w:t>
      </w:r>
      <w:r w:rsidR="0033187B">
        <w:rPr>
          <w:rFonts w:ascii="Arial" w:hAnsi="Arial" w:cs="Arial"/>
        </w:rPr>
        <w:t xml:space="preserve">, </w:t>
      </w:r>
      <w:r w:rsidR="00673F1D">
        <w:rPr>
          <w:rFonts w:ascii="Arial" w:hAnsi="Arial" w:cs="Arial"/>
        </w:rPr>
        <w:t xml:space="preserve">la suspensión del servicio puede realizarse de acuerdo con el </w:t>
      </w:r>
      <w:r w:rsidR="006A05D6">
        <w:rPr>
          <w:rFonts w:ascii="Arial" w:hAnsi="Arial" w:cs="Arial"/>
        </w:rPr>
        <w:t xml:space="preserve">periodo de facturación </w:t>
      </w:r>
      <w:r w:rsidR="000C1AD9">
        <w:rPr>
          <w:rFonts w:ascii="Arial" w:hAnsi="Arial" w:cs="Arial"/>
        </w:rPr>
        <w:t xml:space="preserve">y </w:t>
      </w:r>
      <w:r w:rsidR="00B04B6B">
        <w:rPr>
          <w:rFonts w:ascii="Arial" w:hAnsi="Arial" w:cs="Arial"/>
        </w:rPr>
        <w:t>la estrategia de la empresa</w:t>
      </w:r>
      <w:r w:rsidR="0086361F">
        <w:rPr>
          <w:rFonts w:ascii="Arial" w:hAnsi="Arial" w:cs="Arial"/>
        </w:rPr>
        <w:t xml:space="preserve">, </w:t>
      </w:r>
      <w:r w:rsidR="006A05D6">
        <w:rPr>
          <w:rFonts w:ascii="Arial" w:hAnsi="Arial" w:cs="Arial"/>
        </w:rPr>
        <w:t>entre uno y tres meses</w:t>
      </w:r>
      <w:r w:rsidR="0086361F">
        <w:rPr>
          <w:rFonts w:ascii="Arial" w:hAnsi="Arial" w:cs="Arial"/>
        </w:rPr>
        <w:t xml:space="preserve">, la propuesta </w:t>
      </w:r>
      <w:r w:rsidR="00AD45CD">
        <w:rPr>
          <w:rFonts w:ascii="Arial" w:hAnsi="Arial" w:cs="Arial"/>
        </w:rPr>
        <w:t xml:space="preserve">incluye el reconocimiento de </w:t>
      </w:r>
      <w:r w:rsidR="005A2743">
        <w:rPr>
          <w:rFonts w:ascii="Arial" w:hAnsi="Arial" w:cs="Arial"/>
        </w:rPr>
        <w:t xml:space="preserve">1,5 meses </w:t>
      </w:r>
      <w:r w:rsidR="00E44A44">
        <w:rPr>
          <w:rFonts w:ascii="Arial" w:hAnsi="Arial" w:cs="Arial"/>
        </w:rPr>
        <w:t>de consumo de energía, asociado a los tiempos en que se realiza la lectura, facturación y recaudo al usuario</w:t>
      </w:r>
      <w:r w:rsidRPr="00115F4D">
        <w:rPr>
          <w:rFonts w:ascii="Arial" w:hAnsi="Arial" w:cs="Arial"/>
        </w:rPr>
        <w:t>.</w:t>
      </w:r>
    </w:p>
    <w:p w14:paraId="16EFA658" w14:textId="3CCFCD63" w:rsidR="00CF52A5" w:rsidRDefault="00E61B8A" w:rsidP="00891C31">
      <w:pPr>
        <w:jc w:val="both"/>
        <w:rPr>
          <w:rFonts w:ascii="Arial" w:hAnsi="Arial" w:cs="Arial"/>
        </w:rPr>
      </w:pPr>
      <w:r w:rsidRPr="00115F4D">
        <w:rPr>
          <w:rFonts w:ascii="Arial" w:hAnsi="Arial" w:cs="Arial"/>
        </w:rPr>
        <w:t xml:space="preserve">No habrá riesgo de cartera a reconocer en aquellos casos en que a un usuario le sea reconectado o reinstalado el servicio, dado que el usuario debió cancelar todas sus obligaciones, o suscribir un acuerdo de pago para la reconexión o reinstalación. Tampoco se reconocerá energía consumida producto de conexiones fraudulentas, dado que </w:t>
      </w:r>
      <w:r w:rsidRPr="006E34FC">
        <w:rPr>
          <w:rFonts w:ascii="Arial" w:hAnsi="Arial" w:cs="Arial"/>
        </w:rPr>
        <w:t>la ley</w:t>
      </w:r>
      <w:r w:rsidRPr="00115F4D">
        <w:rPr>
          <w:rFonts w:ascii="Arial" w:hAnsi="Arial" w:cs="Arial"/>
        </w:rPr>
        <w:t xml:space="preserve"> prevé el corte del servicio ante un evento de esa naturaleza.</w:t>
      </w:r>
    </w:p>
    <w:p w14:paraId="4F649F6F" w14:textId="77777777" w:rsidR="003A2D26" w:rsidRDefault="003A2D26" w:rsidP="003A2D26">
      <w:pPr>
        <w:jc w:val="both"/>
        <w:rPr>
          <w:rFonts w:ascii="Arial" w:hAnsi="Arial" w:cs="Arial"/>
        </w:rPr>
      </w:pPr>
      <w:r w:rsidRPr="009933F5">
        <w:rPr>
          <w:rFonts w:ascii="Arial" w:hAnsi="Arial" w:cs="Arial"/>
        </w:rPr>
        <w:t xml:space="preserve">En el informe UTP anexo de la Circular 087 de 2021, la UTP considero también pertinente esta metodología de cálculo del </w:t>
      </w:r>
      <w:r w:rsidRPr="009933F5">
        <w:rPr>
          <w:rFonts w:ascii="Arial" w:hAnsi="Arial" w:cs="Arial"/>
          <w:i/>
        </w:rPr>
        <w:t>RCT</w:t>
      </w:r>
      <w:r w:rsidRPr="009933F5">
        <w:rPr>
          <w:rFonts w:ascii="Arial" w:hAnsi="Arial" w:cs="Arial"/>
        </w:rPr>
        <w:t>, pero propuso modificar los valores constantes de la formulación actual (5 y 3) en términos de parámetros generales cuyos valores específicos se incluyan en la definición de las variables para cada periodo regulatorio. También sugirió la actualización de la base de cálculo cada dos años, precisar las definiciones de las variables y modificar la formulación a través del cálculo de promedios móviles.</w:t>
      </w:r>
    </w:p>
    <w:p w14:paraId="71766406" w14:textId="7BBDDB75" w:rsidR="7FCE9AEE" w:rsidRPr="00115F4D" w:rsidRDefault="7FCE9AEE" w:rsidP="00891C31">
      <w:pPr>
        <w:spacing w:after="120"/>
        <w:jc w:val="both"/>
        <w:rPr>
          <w:rFonts w:ascii="Arial" w:hAnsi="Arial" w:cs="Arial"/>
        </w:rPr>
      </w:pPr>
      <w:r w:rsidRPr="00115F4D">
        <w:rPr>
          <w:rFonts w:ascii="Arial" w:eastAsiaTheme="minorEastAsia" w:hAnsi="Arial" w:cs="Arial"/>
        </w:rPr>
        <w:t xml:space="preserve">La comisión propone expresar el riesgo de cartera en función de la facturación total en pesos y no en términos de consumos expresados en kWh a los cuales se les descuentan los subsidios. La razón fundamental de este cambio es debido que el riesgo de cartera se materializa por la imposibilidad de recuperar la facturación total en pesos de los usuarios en mora, esta facturación total ya incluye los conceptos de facturación por consumo de </w:t>
      </w:r>
      <w:r w:rsidR="006F374E">
        <w:rPr>
          <w:rFonts w:ascii="Arial" w:eastAsiaTheme="minorEastAsia" w:hAnsi="Arial" w:cs="Arial"/>
        </w:rPr>
        <w:t>e</w:t>
      </w:r>
      <w:r w:rsidRPr="00115F4D">
        <w:rPr>
          <w:rFonts w:ascii="Arial" w:eastAsiaTheme="minorEastAsia" w:hAnsi="Arial" w:cs="Arial"/>
        </w:rPr>
        <w:t>nergía</w:t>
      </w:r>
      <w:r w:rsidR="006F374E">
        <w:rPr>
          <w:rFonts w:ascii="Arial" w:eastAsiaTheme="minorEastAsia" w:hAnsi="Arial" w:cs="Arial"/>
        </w:rPr>
        <w:t xml:space="preserve">, </w:t>
      </w:r>
      <w:r w:rsidRPr="00115F4D">
        <w:rPr>
          <w:rFonts w:ascii="Arial" w:eastAsiaTheme="minorEastAsia" w:hAnsi="Arial" w:cs="Arial"/>
        </w:rPr>
        <w:t xml:space="preserve">subsidios, contribuciones y refacturaciones. </w:t>
      </w:r>
      <w:r w:rsidR="009C6080">
        <w:rPr>
          <w:rFonts w:ascii="Arial" w:eastAsiaTheme="minorEastAsia" w:hAnsi="Arial" w:cs="Arial"/>
        </w:rPr>
        <w:t>En la expresión actual</w:t>
      </w:r>
      <w:r w:rsidRPr="00115F4D">
        <w:rPr>
          <w:rFonts w:ascii="Arial" w:eastAsiaTheme="minorEastAsia" w:hAnsi="Arial" w:cs="Arial"/>
        </w:rPr>
        <w:t xml:space="preserve"> no se encuentran incluidas las contribuciones que también </w:t>
      </w:r>
      <w:r w:rsidR="00A564BD">
        <w:rPr>
          <w:rFonts w:ascii="Arial" w:eastAsiaTheme="minorEastAsia" w:hAnsi="Arial" w:cs="Arial"/>
        </w:rPr>
        <w:t>son</w:t>
      </w:r>
      <w:r w:rsidRPr="00115F4D">
        <w:rPr>
          <w:rFonts w:ascii="Arial" w:eastAsiaTheme="minorEastAsia" w:hAnsi="Arial" w:cs="Arial"/>
        </w:rPr>
        <w:t xml:space="preserve"> recaudadas por los comercializadores y por lo tanto deberían incluirse en el riesgo de cartera. Por otro lado, se propone que la fuente de información</w:t>
      </w:r>
      <w:r w:rsidR="00C904DB">
        <w:rPr>
          <w:rFonts w:ascii="Arial" w:eastAsiaTheme="minorEastAsia" w:hAnsi="Arial" w:cs="Arial"/>
        </w:rPr>
        <w:t xml:space="preserve"> de las variables</w:t>
      </w:r>
      <w:r w:rsidRPr="00115F4D">
        <w:rPr>
          <w:rFonts w:ascii="Arial" w:eastAsiaTheme="minorEastAsia" w:hAnsi="Arial" w:cs="Arial"/>
        </w:rPr>
        <w:t xml:space="preserve"> para el cálculo</w:t>
      </w:r>
      <w:r w:rsidR="00C904DB">
        <w:rPr>
          <w:rFonts w:ascii="Arial" w:eastAsiaTheme="minorEastAsia" w:hAnsi="Arial" w:cs="Arial"/>
        </w:rPr>
        <w:t xml:space="preserve"> del </w:t>
      </w:r>
      <w:r w:rsidR="00C904DB" w:rsidRPr="00DC5D53">
        <w:rPr>
          <w:rFonts w:ascii="Arial" w:eastAsiaTheme="minorEastAsia" w:hAnsi="Arial" w:cs="Arial"/>
          <w:i/>
          <w:iCs/>
        </w:rPr>
        <w:t>RCT</w:t>
      </w:r>
      <w:r w:rsidRPr="00115F4D">
        <w:rPr>
          <w:rFonts w:ascii="Arial" w:eastAsiaTheme="minorEastAsia" w:hAnsi="Arial" w:cs="Arial"/>
        </w:rPr>
        <w:t xml:space="preserve"> sea</w:t>
      </w:r>
      <w:r w:rsidR="00A003F7">
        <w:rPr>
          <w:rFonts w:ascii="Arial" w:eastAsiaTheme="minorEastAsia" w:hAnsi="Arial" w:cs="Arial"/>
        </w:rPr>
        <w:t xml:space="preserve"> lo reportado por los comercializadores en</w:t>
      </w:r>
      <w:r w:rsidR="00A003F7" w:rsidRPr="00A003F7">
        <w:rPr>
          <w:rFonts w:ascii="Arial" w:eastAsiaTheme="minorEastAsia" w:hAnsi="Arial" w:cs="Arial"/>
        </w:rPr>
        <w:t xml:space="preserve"> la hoja “F3_Usuarios_Tradicionales” del archivo en Excel solicitado en la circular 023 de 2023</w:t>
      </w:r>
      <w:r w:rsidR="00614D7B">
        <w:rPr>
          <w:rFonts w:ascii="Arial" w:eastAsiaTheme="minorEastAsia" w:hAnsi="Arial" w:cs="Arial"/>
        </w:rPr>
        <w:t xml:space="preserve"> o su actualización</w:t>
      </w:r>
      <w:r w:rsidR="00DA295D">
        <w:rPr>
          <w:rFonts w:ascii="Arial" w:eastAsiaTheme="minorEastAsia" w:hAnsi="Arial" w:cs="Arial"/>
        </w:rPr>
        <w:t>.</w:t>
      </w:r>
      <w:r w:rsidR="002D3A81">
        <w:rPr>
          <w:rFonts w:ascii="Arial" w:eastAsiaTheme="minorEastAsia" w:hAnsi="Arial" w:cs="Arial"/>
        </w:rPr>
        <w:t xml:space="preserve"> </w:t>
      </w:r>
      <w:r w:rsidR="00B35A5D">
        <w:rPr>
          <w:rFonts w:ascii="Arial" w:eastAsiaTheme="minorEastAsia" w:hAnsi="Arial" w:cs="Arial"/>
        </w:rPr>
        <w:t xml:space="preserve">No obstante, </w:t>
      </w:r>
      <w:r w:rsidR="00A74BFA">
        <w:rPr>
          <w:rFonts w:ascii="Arial" w:eastAsiaTheme="minorEastAsia" w:hAnsi="Arial" w:cs="Arial"/>
        </w:rPr>
        <w:t xml:space="preserve">la comisión </w:t>
      </w:r>
      <w:r w:rsidR="00112382">
        <w:rPr>
          <w:rFonts w:ascii="Arial" w:eastAsiaTheme="minorEastAsia" w:hAnsi="Arial" w:cs="Arial"/>
        </w:rPr>
        <w:t>validar</w:t>
      </w:r>
      <w:r w:rsidR="00563E5B">
        <w:rPr>
          <w:rFonts w:ascii="Arial" w:eastAsiaTheme="minorEastAsia" w:hAnsi="Arial" w:cs="Arial"/>
        </w:rPr>
        <w:t>á</w:t>
      </w:r>
      <w:r w:rsidR="00112382">
        <w:rPr>
          <w:rFonts w:ascii="Arial" w:eastAsiaTheme="minorEastAsia" w:hAnsi="Arial" w:cs="Arial"/>
        </w:rPr>
        <w:t xml:space="preserve"> </w:t>
      </w:r>
      <w:r w:rsidR="00DC695E">
        <w:rPr>
          <w:rFonts w:ascii="Arial" w:eastAsiaTheme="minorEastAsia" w:hAnsi="Arial" w:cs="Arial"/>
        </w:rPr>
        <w:t>en la cir</w:t>
      </w:r>
      <w:r w:rsidR="003F3F74">
        <w:rPr>
          <w:rFonts w:ascii="Arial" w:eastAsiaTheme="minorEastAsia" w:hAnsi="Arial" w:cs="Arial"/>
        </w:rPr>
        <w:t xml:space="preserve">cular </w:t>
      </w:r>
      <w:r w:rsidR="00487C77">
        <w:rPr>
          <w:rFonts w:ascii="Arial" w:eastAsiaTheme="minorEastAsia" w:hAnsi="Arial" w:cs="Arial"/>
        </w:rPr>
        <w:t>con l</w:t>
      </w:r>
      <w:r w:rsidR="00502BFA">
        <w:rPr>
          <w:rFonts w:ascii="Arial" w:eastAsiaTheme="minorEastAsia" w:hAnsi="Arial" w:cs="Arial"/>
        </w:rPr>
        <w:t>os reportes</w:t>
      </w:r>
      <w:r w:rsidRPr="00115F4D">
        <w:rPr>
          <w:rFonts w:ascii="Arial" w:eastAsiaTheme="minorEastAsia" w:hAnsi="Arial" w:cs="Arial"/>
        </w:rPr>
        <w:t xml:space="preserve"> comerciales defini</w:t>
      </w:r>
      <w:r w:rsidRPr="00115F4D">
        <w:rPr>
          <w:rFonts w:ascii="Arial" w:hAnsi="Arial" w:cs="Arial"/>
        </w:rPr>
        <w:t xml:space="preserve">dos en la Resolución SSPD No. 20192200020155 del formato TC2 y que son cargados al SUI. </w:t>
      </w:r>
      <w:r w:rsidR="006A4BF2">
        <w:rPr>
          <w:rFonts w:ascii="Arial" w:hAnsi="Arial" w:cs="Arial"/>
        </w:rPr>
        <w:t>Así las cosas</w:t>
      </w:r>
      <w:r w:rsidRPr="00115F4D">
        <w:rPr>
          <w:rFonts w:ascii="Arial" w:hAnsi="Arial" w:cs="Arial"/>
        </w:rPr>
        <w:t xml:space="preserve">, el valor de la variable </w:t>
      </w:r>
      <w:r w:rsidRPr="006A4BF2">
        <w:rPr>
          <w:rFonts w:ascii="Arial" w:hAnsi="Arial" w:cs="Arial"/>
          <w:i/>
          <w:iCs/>
        </w:rPr>
        <w:t>RCT</w:t>
      </w:r>
      <w:r w:rsidRPr="006A4BF2">
        <w:rPr>
          <w:rFonts w:ascii="Arial" w:hAnsi="Arial" w:cs="Arial"/>
          <w:i/>
          <w:iCs/>
          <w:vertAlign w:val="subscript"/>
        </w:rPr>
        <w:t>j</w:t>
      </w:r>
      <w:r w:rsidRPr="00115F4D">
        <w:rPr>
          <w:rFonts w:ascii="Arial" w:hAnsi="Arial" w:cs="Arial"/>
        </w:rPr>
        <w:t xml:space="preserve"> para cada comercializador seria calculado con la siguiente ecuación:</w:t>
      </w:r>
    </w:p>
    <w:p w14:paraId="6AAFE0C7" w14:textId="77777777" w:rsidR="009401AF" w:rsidRPr="00C63425" w:rsidRDefault="009401AF" w:rsidP="00891C31">
      <w:pPr>
        <w:spacing w:after="120"/>
        <w:jc w:val="both"/>
        <w:rPr>
          <w:rFonts w:ascii="Arial" w:hAnsi="Arial" w:cs="Arial"/>
        </w:rPr>
      </w:pPr>
      <w:r w:rsidRPr="00C63425">
        <w:rPr>
          <w:rFonts w:ascii="Arial" w:hAnsi="Arial" w:cs="Arial"/>
        </w:rPr>
        <w:lastRenderedPageBreak/>
        <w:t xml:space="preserve">El valor de la variable </w:t>
      </w:r>
      <w:r w:rsidRPr="00C63425">
        <w:rPr>
          <w:rFonts w:ascii="Arial" w:hAnsi="Arial" w:cs="Arial"/>
          <w:i/>
        </w:rPr>
        <w:t>RCT</w:t>
      </w:r>
      <w:r w:rsidRPr="00C63425">
        <w:rPr>
          <w:rFonts w:ascii="Arial" w:hAnsi="Arial" w:cs="Arial"/>
          <w:i/>
          <w:vertAlign w:val="subscript"/>
        </w:rPr>
        <w:t>j</w:t>
      </w:r>
      <w:r w:rsidRPr="00C63425">
        <w:rPr>
          <w:rFonts w:ascii="Arial" w:hAnsi="Arial" w:cs="Arial"/>
        </w:rPr>
        <w:t xml:space="preserve"> será calculado para cada mercado de comercialización </w:t>
      </w:r>
      <w:r w:rsidRPr="00ED6D2B">
        <w:rPr>
          <w:rFonts w:ascii="Arial" w:hAnsi="Arial" w:cs="Arial"/>
          <w:i/>
        </w:rPr>
        <w:t>j,</w:t>
      </w:r>
      <w:r w:rsidRPr="00C63425">
        <w:rPr>
          <w:rFonts w:ascii="Arial" w:hAnsi="Arial" w:cs="Arial"/>
        </w:rPr>
        <w:t xml:space="preserve"> conforme a la siguiente ecuación:</w:t>
      </w:r>
    </w:p>
    <w:p w14:paraId="784F34E4" w14:textId="43FF1F00" w:rsidR="009401AF" w:rsidRPr="008A6EA9" w:rsidRDefault="00E42F3C" w:rsidP="00891C31">
      <w:pPr>
        <w:ind w:right="47"/>
        <w:rPr>
          <w:rFonts w:cs="Arial"/>
          <w:i/>
          <w:lang w:val="es-ES_tradnl"/>
        </w:rPr>
      </w:pPr>
      <m:oMathPara>
        <m:oMath>
          <m:sSub>
            <m:sSubPr>
              <m:ctrlPr>
                <w:rPr>
                  <w:rFonts w:ascii="Cambria Math" w:hAnsi="Cambria Math" w:cs="Arial"/>
                  <w:i/>
                  <w:lang w:val="es-ES_tradnl"/>
                </w:rPr>
              </m:ctrlPr>
            </m:sSubPr>
            <m:e>
              <m:r>
                <w:rPr>
                  <w:rFonts w:ascii="Cambria Math" w:hAnsi="Cambria Math" w:cs="Arial"/>
                  <w:lang w:val="es-ES_tradnl"/>
                </w:rPr>
                <m:t>RCT</m:t>
              </m:r>
            </m:e>
            <m:sub>
              <m:r>
                <w:rPr>
                  <w:rFonts w:ascii="Cambria Math" w:hAnsi="Cambria Math" w:cs="Arial"/>
                  <w:lang w:val="es-ES_tradnl"/>
                </w:rPr>
                <m:t>j</m:t>
              </m:r>
            </m:sub>
          </m:sSub>
          <m:r>
            <w:rPr>
              <w:rFonts w:ascii="Cambria Math" w:hAnsi="Cambria Math" w:cs="Arial"/>
              <w:lang w:val="es-ES_tradnl"/>
            </w:rPr>
            <m:t>=</m:t>
          </m:r>
          <m:f>
            <m:fPr>
              <m:ctrlPr>
                <w:rPr>
                  <w:rFonts w:ascii="Cambria Math" w:hAnsi="Cambria Math" w:cs="Arial"/>
                  <w:i/>
                  <w:lang w:val="es-ES_tradnl"/>
                </w:rPr>
              </m:ctrlPr>
            </m:fPr>
            <m:num>
              <m:nary>
                <m:naryPr>
                  <m:chr m:val="∑"/>
                  <m:limLoc m:val="undOvr"/>
                  <m:ctrlPr>
                    <w:rPr>
                      <w:rFonts w:ascii="Cambria Math" w:hAnsi="Cambria Math" w:cs="Arial"/>
                      <w:i/>
                      <w:lang w:val="es-ES_tradnl"/>
                    </w:rPr>
                  </m:ctrlPr>
                </m:naryPr>
                <m:sub>
                  <m:r>
                    <w:rPr>
                      <w:rFonts w:ascii="Cambria Math" w:hAnsi="Cambria Math" w:cs="Arial"/>
                      <w:lang w:val="es-ES_tradnl"/>
                    </w:rPr>
                    <m:t>e=1</m:t>
                  </m:r>
                </m:sub>
                <m:sup>
                  <m:r>
                    <w:rPr>
                      <w:rFonts w:ascii="Cambria Math" w:hAnsi="Cambria Math" w:cs="Arial"/>
                      <w:lang w:val="es-ES_tradnl"/>
                    </w:rPr>
                    <m:t>11</m:t>
                  </m:r>
                </m:sup>
                <m:e>
                  <m:d>
                    <m:dPr>
                      <m:ctrlPr>
                        <w:rPr>
                          <w:rFonts w:ascii="Cambria Math" w:hAnsi="Cambria Math" w:cs="Arial"/>
                          <w:i/>
                          <w:lang w:val="es-ES_tradnl"/>
                        </w:rPr>
                      </m:ctrlPr>
                    </m:dPr>
                    <m:e>
                      <m:f>
                        <m:fPr>
                          <m:ctrlPr>
                            <w:rPr>
                              <w:rFonts w:ascii="Cambria Math" w:hAnsi="Cambria Math" w:cs="Arial"/>
                              <w:i/>
                              <w:lang w:val="es-ES_tradnl"/>
                            </w:rPr>
                          </m:ctrlPr>
                        </m:fPr>
                        <m:num>
                          <m:sSub>
                            <m:sSubPr>
                              <m:ctrlPr>
                                <w:rPr>
                                  <w:rFonts w:ascii="Cambria Math" w:hAnsi="Cambria Math" w:cs="Arial"/>
                                  <w:i/>
                                  <w:lang w:val="es-ES_tradnl"/>
                                </w:rPr>
                              </m:ctrlPr>
                            </m:sSubPr>
                            <m:e>
                              <m:r>
                                <w:rPr>
                                  <w:rFonts w:ascii="Cambria Math" w:hAnsi="Cambria Math" w:cs="Arial"/>
                                  <w:lang w:val="es-ES_tradnl"/>
                                </w:rPr>
                                <m:t>N</m:t>
                              </m:r>
                            </m:e>
                            <m:sub>
                              <m:r>
                                <w:rPr>
                                  <w:rFonts w:ascii="Cambria Math" w:hAnsi="Cambria Math" w:cs="Arial"/>
                                  <w:lang w:val="es-ES_tradnl"/>
                                </w:rPr>
                                <m:t>i,j,e</m:t>
                              </m:r>
                            </m:sub>
                          </m:sSub>
                        </m:num>
                        <m:den>
                          <m:r>
                            <w:rPr>
                              <w:rFonts w:ascii="Cambria Math" w:hAnsi="Cambria Math" w:cs="Arial"/>
                              <w:lang w:val="es-ES_tradnl"/>
                            </w:rPr>
                            <m:t>P</m:t>
                          </m:r>
                        </m:den>
                      </m:f>
                      <m:r>
                        <w:rPr>
                          <w:rFonts w:ascii="Cambria Math" w:hAnsi="Cambria Math" w:cs="Arial"/>
                          <w:lang w:val="es-ES_tradnl"/>
                        </w:rPr>
                        <m:t>×</m:t>
                      </m:r>
                      <m:sSub>
                        <m:sSubPr>
                          <m:ctrlPr>
                            <w:rPr>
                              <w:rFonts w:ascii="Cambria Math" w:hAnsi="Cambria Math" w:cs="Arial"/>
                              <w:i/>
                              <w:lang w:val="es-ES_tradnl"/>
                            </w:rPr>
                          </m:ctrlPr>
                        </m:sSubPr>
                        <m:e>
                          <m:r>
                            <w:rPr>
                              <w:rFonts w:ascii="Cambria Math" w:hAnsi="Cambria Math" w:cs="Arial"/>
                              <w:lang w:val="es-ES_tradnl"/>
                            </w:rPr>
                            <m:t>nrm×PFT</m:t>
                          </m:r>
                        </m:e>
                        <m:sub>
                          <m:r>
                            <w:rPr>
                              <w:rFonts w:ascii="Cambria Math" w:hAnsi="Cambria Math" w:cs="Arial"/>
                              <w:lang w:val="es-ES_tradnl"/>
                            </w:rPr>
                            <m:t>e,j</m:t>
                          </m:r>
                        </m:sub>
                      </m:sSub>
                    </m:e>
                  </m:d>
                </m:e>
              </m:nary>
            </m:num>
            <m:den>
              <m:sSub>
                <m:sSubPr>
                  <m:ctrlPr>
                    <w:rPr>
                      <w:rFonts w:ascii="Cambria Math" w:hAnsi="Cambria Math" w:cs="Arial"/>
                      <w:i/>
                      <w:lang w:val="es-ES_tradnl"/>
                    </w:rPr>
                  </m:ctrlPr>
                </m:sSubPr>
                <m:e>
                  <m:r>
                    <w:rPr>
                      <w:rFonts w:ascii="Cambria Math" w:hAnsi="Cambria Math" w:cs="Arial"/>
                      <w:lang w:val="es-ES_tradnl"/>
                    </w:rPr>
                    <m:t>VTF</m:t>
                  </m:r>
                </m:e>
                <m:sub>
                  <m:r>
                    <w:rPr>
                      <w:rFonts w:ascii="Cambria Math" w:hAnsi="Cambria Math" w:cs="Arial"/>
                      <w:lang w:val="es-ES_tradnl"/>
                    </w:rPr>
                    <m:t>j</m:t>
                  </m:r>
                </m:sub>
              </m:sSub>
            </m:den>
          </m:f>
        </m:oMath>
      </m:oMathPara>
    </w:p>
    <w:p w14:paraId="11ACFFAC" w14:textId="77777777" w:rsidR="009401AF" w:rsidRPr="009401AF" w:rsidRDefault="009401AF" w:rsidP="00891C31">
      <w:pPr>
        <w:spacing w:before="200" w:after="200"/>
        <w:ind w:right="45"/>
        <w:rPr>
          <w:rFonts w:ascii="Arial" w:hAnsi="Arial" w:cs="Arial"/>
          <w:lang w:val="es-ES_tradnl"/>
        </w:rPr>
      </w:pPr>
      <w:r w:rsidRPr="009401AF">
        <w:rPr>
          <w:rFonts w:ascii="Arial" w:hAnsi="Arial" w:cs="Arial"/>
          <w:lang w:val="es-ES_tradnl"/>
        </w:rPr>
        <w:t>Donde:</w:t>
      </w:r>
    </w:p>
    <w:p w14:paraId="34D9323E" w14:textId="7AA6B678" w:rsidR="009401AF" w:rsidRPr="009401AF" w:rsidRDefault="009401AF" w:rsidP="00891C31">
      <w:pPr>
        <w:ind w:left="1559" w:right="45" w:hanging="1559"/>
        <w:rPr>
          <w:rFonts w:ascii="Arial" w:hAnsi="Arial" w:cs="Arial"/>
          <w:lang w:val="es-ES"/>
        </w:rPr>
      </w:pPr>
      <w:r w:rsidRPr="31189628">
        <w:rPr>
          <w:rFonts w:ascii="Arial" w:hAnsi="Arial" w:cs="Arial"/>
          <w:i/>
          <w:iCs/>
          <w:lang w:val="es-ES"/>
        </w:rPr>
        <w:t>e</w:t>
      </w:r>
      <w:r w:rsidRPr="31189628">
        <w:rPr>
          <w:rFonts w:ascii="Arial" w:hAnsi="Arial" w:cs="Arial"/>
          <w:lang w:val="es-ES"/>
        </w:rPr>
        <w:t xml:space="preserve">: </w:t>
      </w:r>
      <w:r>
        <w:tab/>
      </w:r>
      <w:r w:rsidRPr="31189628">
        <w:rPr>
          <w:rFonts w:ascii="Arial" w:hAnsi="Arial" w:cs="Arial"/>
          <w:lang w:val="es-ES"/>
        </w:rPr>
        <w:t>Se refiere al estrato o sector asociado a la estructura tarifaria aplicada. Toma los siguientes valores:</w:t>
      </w:r>
    </w:p>
    <w:p w14:paraId="0B693650" w14:textId="77777777" w:rsidR="0034311E" w:rsidRPr="009401AF" w:rsidRDefault="0034311E" w:rsidP="00891C31">
      <w:pPr>
        <w:ind w:left="1559" w:right="45"/>
        <w:rPr>
          <w:rFonts w:ascii="Arial" w:hAnsi="Arial" w:cs="Arial"/>
          <w:lang w:val="es-ES_tradnl"/>
        </w:rPr>
      </w:pPr>
      <w:r w:rsidRPr="009401AF">
        <w:rPr>
          <w:rFonts w:ascii="Arial" w:hAnsi="Arial" w:cs="Arial"/>
          <w:lang w:val="es-ES_tradnl"/>
        </w:rPr>
        <w:t>1=Bajo-Bajo; 2=Bajo; 3=Medio-Bajo; 4=Medio; 5=Medio-Alto; 6=Alto;</w:t>
      </w:r>
      <w:r w:rsidR="009401AF" w:rsidRPr="009401AF">
        <w:rPr>
          <w:rFonts w:ascii="Arial" w:hAnsi="Arial" w:cs="Arial"/>
          <w:bCs/>
          <w:lang w:val="es-ES_tradnl"/>
        </w:rPr>
        <w:t xml:space="preserve"> </w:t>
      </w:r>
      <w:r w:rsidRPr="009401AF">
        <w:rPr>
          <w:rFonts w:ascii="Arial" w:hAnsi="Arial" w:cs="Arial"/>
          <w:lang w:val="es-ES_tradnl"/>
        </w:rPr>
        <w:t>7=Industrial; 8=Comercial; 9=Oficial; 10=Provisional; 11=Alumbrado Público.</w:t>
      </w:r>
    </w:p>
    <w:p w14:paraId="5E5560F8" w14:textId="77777777" w:rsidR="0034311E" w:rsidRPr="009401AF" w:rsidRDefault="0034311E" w:rsidP="00891C31">
      <w:pPr>
        <w:ind w:left="1559" w:right="45"/>
        <w:rPr>
          <w:rFonts w:ascii="Arial" w:hAnsi="Arial" w:cs="Arial"/>
          <w:lang w:val="es-ES_tradnl"/>
        </w:rPr>
      </w:pPr>
      <w:r w:rsidRPr="009401AF">
        <w:rPr>
          <w:rFonts w:ascii="Arial" w:hAnsi="Arial" w:cs="Arial"/>
          <w:lang w:val="es-ES_tradnl"/>
        </w:rPr>
        <w:t>Estratos según los dispuesto en la en el formato TC2 de la Resolución SSPD No.</w:t>
      </w:r>
      <w:r w:rsidR="007A1D19" w:rsidRPr="009401AF">
        <w:rPr>
          <w:rFonts w:ascii="Arial" w:hAnsi="Arial" w:cs="Arial"/>
          <w:lang w:val="es-ES_tradnl"/>
        </w:rPr>
        <w:t xml:space="preserve"> </w:t>
      </w:r>
      <w:r w:rsidR="009401AF" w:rsidRPr="009401AF">
        <w:rPr>
          <w:rFonts w:ascii="Arial" w:hAnsi="Arial" w:cs="Arial"/>
          <w:bCs/>
          <w:lang w:val="es-ES_tradnl"/>
        </w:rPr>
        <w:t>20192200020155</w:t>
      </w:r>
      <w:r w:rsidRPr="009401AF">
        <w:rPr>
          <w:rFonts w:ascii="Arial" w:hAnsi="Arial" w:cs="Arial"/>
          <w:lang w:val="es-ES_tradnl"/>
        </w:rPr>
        <w:t xml:space="preserve"> y las disposiciones que lo modifican.</w:t>
      </w:r>
    </w:p>
    <w:p w14:paraId="0C75F5FE" w14:textId="77777777" w:rsidR="009401AF" w:rsidRPr="009401AF" w:rsidRDefault="009401AF" w:rsidP="00891C31">
      <w:pPr>
        <w:ind w:left="1559" w:right="45" w:hanging="1559"/>
        <w:rPr>
          <w:rFonts w:ascii="Arial" w:hAnsi="Arial" w:cs="Arial"/>
          <w:lang w:val="es-ES_tradnl"/>
        </w:rPr>
      </w:pPr>
      <w:r w:rsidRPr="009401AF">
        <w:rPr>
          <w:rFonts w:ascii="Arial" w:hAnsi="Arial" w:cs="Arial"/>
          <w:bCs/>
          <w:i/>
          <w:lang w:eastAsia="ar-SA"/>
        </w:rPr>
        <w:t>RCT</w:t>
      </w:r>
      <w:r w:rsidRPr="009401AF">
        <w:rPr>
          <w:rFonts w:ascii="Arial" w:hAnsi="Arial" w:cs="Arial"/>
          <w:bCs/>
          <w:i/>
          <w:vertAlign w:val="subscript"/>
          <w:lang w:eastAsia="ar-SA"/>
        </w:rPr>
        <w:t>j</w:t>
      </w:r>
      <w:r w:rsidRPr="009401AF">
        <w:rPr>
          <w:rFonts w:ascii="Arial" w:hAnsi="Arial" w:cs="Arial"/>
          <w:lang w:val="es-ES_tradnl"/>
        </w:rPr>
        <w:t>:</w:t>
      </w:r>
      <w:r w:rsidRPr="009401AF">
        <w:rPr>
          <w:rFonts w:ascii="Arial" w:hAnsi="Arial" w:cs="Arial"/>
          <w:lang w:val="es-ES_tradnl"/>
        </w:rPr>
        <w:tab/>
        <w:t xml:space="preserve">Prima por el riesgo de cartera no gestionable de los usuarios tradicionales del mercado de comercialización </w:t>
      </w:r>
      <w:r w:rsidRPr="009401AF">
        <w:rPr>
          <w:rFonts w:ascii="Arial" w:hAnsi="Arial" w:cs="Arial"/>
          <w:i/>
          <w:lang w:val="es-ES_tradnl"/>
        </w:rPr>
        <w:t>j</w:t>
      </w:r>
      <w:r w:rsidRPr="009401AF">
        <w:rPr>
          <w:rFonts w:ascii="Arial" w:hAnsi="Arial" w:cs="Arial"/>
          <w:lang w:val="es-ES_tradnl"/>
        </w:rPr>
        <w:t>.</w:t>
      </w:r>
    </w:p>
    <w:p w14:paraId="246ADA55" w14:textId="5F3B17D2" w:rsidR="009401AF" w:rsidRPr="009401AF" w:rsidRDefault="009401AF" w:rsidP="00891C31">
      <w:pPr>
        <w:ind w:left="1559" w:right="45" w:hanging="1559"/>
        <w:rPr>
          <w:rFonts w:ascii="Arial" w:hAnsi="Arial" w:cs="Arial"/>
        </w:rPr>
      </w:pPr>
      <w:proofErr w:type="gramStart"/>
      <w:r w:rsidRPr="009401AF">
        <w:rPr>
          <w:rFonts w:ascii="Arial" w:hAnsi="Arial" w:cs="Arial"/>
          <w:i/>
        </w:rPr>
        <w:t>N</w:t>
      </w:r>
      <w:r w:rsidRPr="009401AF">
        <w:rPr>
          <w:rFonts w:ascii="Arial" w:hAnsi="Arial" w:cs="Arial"/>
          <w:i/>
          <w:vertAlign w:val="subscript"/>
        </w:rPr>
        <w:t>i,j</w:t>
      </w:r>
      <w:proofErr w:type="gramEnd"/>
      <w:r w:rsidRPr="009401AF">
        <w:rPr>
          <w:rFonts w:ascii="Arial" w:hAnsi="Arial" w:cs="Arial"/>
          <w:i/>
          <w:vertAlign w:val="subscript"/>
        </w:rPr>
        <w:t>,e</w:t>
      </w:r>
      <w:r w:rsidRPr="009401AF">
        <w:rPr>
          <w:rFonts w:ascii="Arial" w:hAnsi="Arial" w:cs="Arial"/>
        </w:rPr>
        <w:t>:</w:t>
      </w:r>
      <w:r>
        <w:tab/>
      </w:r>
      <w:r w:rsidRPr="009401AF">
        <w:rPr>
          <w:rFonts w:ascii="Arial" w:hAnsi="Arial" w:cs="Arial"/>
        </w:rPr>
        <w:t xml:space="preserve">Número de usuarios a los que se les cortó y continúan sin servicio por un periodo superior a 12 meses, el servicio por incumplimiento de pago de la factura, en el estrato e, del mercado de comercialización </w:t>
      </w:r>
      <w:r w:rsidRPr="009401AF">
        <w:rPr>
          <w:rFonts w:ascii="Arial" w:hAnsi="Arial" w:cs="Arial"/>
          <w:i/>
        </w:rPr>
        <w:t>j</w:t>
      </w:r>
      <w:r w:rsidRPr="009401AF">
        <w:rPr>
          <w:rFonts w:ascii="Arial" w:hAnsi="Arial" w:cs="Arial"/>
        </w:rPr>
        <w:t xml:space="preserve">, por el comercializador </w:t>
      </w:r>
      <w:r w:rsidRPr="009401AF">
        <w:rPr>
          <w:rFonts w:ascii="Arial" w:hAnsi="Arial" w:cs="Arial"/>
          <w:i/>
        </w:rPr>
        <w:t>i,</w:t>
      </w:r>
      <w:r w:rsidRPr="009401AF">
        <w:rPr>
          <w:rFonts w:ascii="Arial" w:hAnsi="Arial" w:cs="Arial"/>
        </w:rPr>
        <w:t xml:space="preserve">  durante</w:t>
      </w:r>
      <w:r w:rsidR="00322A05">
        <w:rPr>
          <w:rFonts w:ascii="Arial" w:hAnsi="Arial" w:cs="Arial"/>
        </w:rPr>
        <w:t xml:space="preserve"> el periodo P</w:t>
      </w:r>
      <w:r w:rsidRPr="009401AF">
        <w:rPr>
          <w:rFonts w:ascii="Arial" w:hAnsi="Arial" w:cs="Arial"/>
        </w:rPr>
        <w:t xml:space="preserve">. </w:t>
      </w:r>
    </w:p>
    <w:p w14:paraId="3246A62D" w14:textId="77777777" w:rsidR="009401AF" w:rsidRPr="009401AF" w:rsidRDefault="009401AF" w:rsidP="00891C31">
      <w:pPr>
        <w:ind w:left="1559" w:right="45"/>
        <w:rPr>
          <w:rFonts w:ascii="Arial" w:hAnsi="Arial" w:cs="Arial"/>
        </w:rPr>
      </w:pPr>
      <w:r w:rsidRPr="009401AF">
        <w:rPr>
          <w:rFonts w:ascii="Arial" w:hAnsi="Arial" w:cs="Arial"/>
        </w:rPr>
        <w:t>En caso de que no se tenga la información de esta variable para el periodo, se utilizarán los datos disponibles por el comercializador desde su entrada en operación.</w:t>
      </w:r>
    </w:p>
    <w:p w14:paraId="56134DBF" w14:textId="77777777" w:rsidR="009401AF" w:rsidRPr="009401AF" w:rsidRDefault="009401AF" w:rsidP="00891C31">
      <w:pPr>
        <w:ind w:left="1559" w:right="45" w:hanging="1559"/>
        <w:rPr>
          <w:rFonts w:ascii="Arial" w:hAnsi="Arial" w:cs="Arial"/>
        </w:rPr>
      </w:pPr>
      <w:r w:rsidRPr="009401AF">
        <w:rPr>
          <w:rFonts w:ascii="Arial" w:hAnsi="Arial" w:cs="Arial"/>
          <w:i/>
        </w:rPr>
        <w:t>P</w:t>
      </w:r>
      <w:r w:rsidRPr="009401AF">
        <w:rPr>
          <w:rFonts w:ascii="Arial" w:hAnsi="Arial" w:cs="Arial"/>
        </w:rPr>
        <w:t>:</w:t>
      </w:r>
      <w:r w:rsidRPr="009401AF">
        <w:rPr>
          <w:rFonts w:ascii="Arial" w:hAnsi="Arial" w:cs="Arial"/>
        </w:rPr>
        <w:tab/>
        <w:t xml:space="preserve">Tamaño de la ventana de observación para la variable </w:t>
      </w:r>
      <w:proofErr w:type="gramStart"/>
      <w:r w:rsidRPr="009401AF">
        <w:rPr>
          <w:rFonts w:ascii="Arial" w:hAnsi="Arial" w:cs="Arial"/>
          <w:i/>
        </w:rPr>
        <w:t>N</w:t>
      </w:r>
      <w:r w:rsidRPr="009401AF">
        <w:rPr>
          <w:rFonts w:ascii="Arial" w:hAnsi="Arial" w:cs="Arial"/>
          <w:i/>
          <w:vertAlign w:val="subscript"/>
        </w:rPr>
        <w:t>j,e</w:t>
      </w:r>
      <w:proofErr w:type="gramEnd"/>
      <w:r w:rsidRPr="009401AF">
        <w:rPr>
          <w:rFonts w:ascii="Arial" w:hAnsi="Arial" w:cs="Arial"/>
        </w:rPr>
        <w:t xml:space="preserve"> expresada en número de años.</w:t>
      </w:r>
    </w:p>
    <w:p w14:paraId="3D9A79B8" w14:textId="1B7457B5" w:rsidR="009401AF" w:rsidRPr="009401AF" w:rsidRDefault="00C90DB3" w:rsidP="00891C31">
      <w:pPr>
        <w:ind w:left="1559" w:right="45" w:hanging="1559"/>
        <w:rPr>
          <w:rFonts w:ascii="Arial" w:hAnsi="Arial" w:cs="Arial"/>
        </w:rPr>
      </w:pPr>
      <w:r>
        <w:rPr>
          <w:rFonts w:ascii="Arial" w:hAnsi="Arial" w:cs="Arial"/>
          <w:i/>
        </w:rPr>
        <w:t>n</w:t>
      </w:r>
      <w:r w:rsidR="009401AF" w:rsidRPr="009401AF">
        <w:rPr>
          <w:rFonts w:ascii="Arial" w:hAnsi="Arial" w:cs="Arial"/>
          <w:i/>
        </w:rPr>
        <w:t>rm</w:t>
      </w:r>
      <w:r w:rsidR="009401AF" w:rsidRPr="009401AF">
        <w:rPr>
          <w:rFonts w:ascii="Arial" w:hAnsi="Arial" w:cs="Arial"/>
        </w:rPr>
        <w:t>:</w:t>
      </w:r>
      <w:r w:rsidR="009401AF" w:rsidRPr="009401AF">
        <w:rPr>
          <w:rFonts w:ascii="Arial" w:hAnsi="Arial" w:cs="Arial"/>
        </w:rPr>
        <w:tab/>
        <w:t>Número</w:t>
      </w:r>
      <w:r w:rsidR="009401AF" w:rsidRPr="009401AF" w:rsidDel="00E14657">
        <w:rPr>
          <w:rFonts w:ascii="Arial" w:hAnsi="Arial" w:cs="Arial"/>
        </w:rPr>
        <w:t xml:space="preserve"> </w:t>
      </w:r>
      <w:r w:rsidR="009401AF" w:rsidRPr="009401AF">
        <w:rPr>
          <w:rFonts w:ascii="Arial" w:hAnsi="Arial" w:cs="Arial"/>
        </w:rPr>
        <w:t xml:space="preserve">de periodos de facturación mensual reconocidos por el incumplimiento en el pago de la factura de energía eléctrica de los de usuarios a los que se les cortó y continúan sin servicio por un periodo superior a 12 meses, el cual corresponde a 1,5 meses.  </w:t>
      </w:r>
    </w:p>
    <w:p w14:paraId="6A3C5FCF" w14:textId="77777777" w:rsidR="009401AF" w:rsidRPr="009401AF" w:rsidRDefault="009401AF" w:rsidP="00891C31">
      <w:pPr>
        <w:ind w:left="1559" w:right="45" w:hanging="1559"/>
        <w:rPr>
          <w:rFonts w:ascii="Arial" w:hAnsi="Arial" w:cs="Arial"/>
        </w:rPr>
      </w:pPr>
      <w:proofErr w:type="gramStart"/>
      <w:r w:rsidRPr="009401AF">
        <w:rPr>
          <w:rFonts w:ascii="Arial" w:hAnsi="Arial" w:cs="Arial"/>
          <w:i/>
          <w:iCs/>
          <w:lang w:eastAsia="ar-SA"/>
        </w:rPr>
        <w:t>PFT</w:t>
      </w:r>
      <w:r w:rsidRPr="009401AF">
        <w:rPr>
          <w:rFonts w:ascii="Arial" w:hAnsi="Arial" w:cs="Arial"/>
          <w:vertAlign w:val="subscript"/>
        </w:rPr>
        <w:t>i,j</w:t>
      </w:r>
      <w:proofErr w:type="gramEnd"/>
      <w:r w:rsidRPr="009401AF">
        <w:rPr>
          <w:rFonts w:ascii="Arial" w:hAnsi="Arial" w:cs="Arial"/>
          <w:vertAlign w:val="subscript"/>
        </w:rPr>
        <w:t>,e</w:t>
      </w:r>
      <w:r w:rsidRPr="009401AF">
        <w:rPr>
          <w:rFonts w:ascii="Arial" w:hAnsi="Arial" w:cs="Arial"/>
        </w:rPr>
        <w:t>:</w:t>
      </w:r>
      <w:r w:rsidRPr="009401AF">
        <w:rPr>
          <w:rFonts w:ascii="Arial" w:hAnsi="Arial" w:cs="Arial"/>
        </w:rPr>
        <w:tab/>
        <w:t xml:space="preserve">Promedio de facturación total expresado en pesos por suscriptor, en el mercado de comercialización j, en el estrato o sector de consumo </w:t>
      </w:r>
      <w:r w:rsidRPr="009401AF">
        <w:rPr>
          <w:rFonts w:ascii="Arial" w:hAnsi="Arial" w:cs="Arial"/>
          <w:i/>
          <w:iCs/>
        </w:rPr>
        <w:t>e</w:t>
      </w:r>
      <w:r w:rsidRPr="009401AF">
        <w:rPr>
          <w:rFonts w:ascii="Arial" w:hAnsi="Arial" w:cs="Arial"/>
        </w:rPr>
        <w:t xml:space="preserve"> en el año anterior a la fecha base de la metodología, en pesos de la misma fecha. </w:t>
      </w:r>
    </w:p>
    <w:p w14:paraId="5B0C1B02" w14:textId="77777777" w:rsidR="009401AF" w:rsidRPr="009401AF" w:rsidRDefault="009401AF" w:rsidP="00891C31">
      <w:pPr>
        <w:spacing w:before="200" w:after="200"/>
        <w:ind w:left="1560" w:right="45" w:hanging="1560"/>
        <w:rPr>
          <w:rFonts w:ascii="Arial" w:hAnsi="Arial" w:cs="Arial"/>
        </w:rPr>
      </w:pPr>
      <w:proofErr w:type="gramStart"/>
      <w:r w:rsidRPr="009401AF">
        <w:rPr>
          <w:rFonts w:ascii="Arial" w:hAnsi="Arial" w:cs="Arial"/>
          <w:i/>
          <w:lang w:eastAsia="ar-SA"/>
        </w:rPr>
        <w:t>VTF</w:t>
      </w:r>
      <w:r w:rsidRPr="009401AF">
        <w:rPr>
          <w:rFonts w:ascii="Arial" w:hAnsi="Arial" w:cs="Arial"/>
          <w:i/>
          <w:vertAlign w:val="subscript"/>
          <w:lang w:eastAsia="ar-SA"/>
        </w:rPr>
        <w:t>i,j</w:t>
      </w:r>
      <w:proofErr w:type="gramEnd"/>
      <w:r w:rsidRPr="009401AF">
        <w:rPr>
          <w:rFonts w:ascii="Arial" w:hAnsi="Arial" w:cs="Arial"/>
        </w:rPr>
        <w:t xml:space="preserve">: </w:t>
      </w:r>
      <w:r w:rsidRPr="009401AF">
        <w:rPr>
          <w:rFonts w:ascii="Arial" w:hAnsi="Arial" w:cs="Arial"/>
        </w:rPr>
        <w:tab/>
        <w:t xml:space="preserve">Valor total facturado en pesos ($) a usuarios regulados en el mercado de comercialización </w:t>
      </w:r>
      <w:r w:rsidRPr="009401AF">
        <w:rPr>
          <w:rFonts w:ascii="Arial" w:hAnsi="Arial" w:cs="Arial"/>
          <w:i/>
          <w:iCs/>
        </w:rPr>
        <w:t>j</w:t>
      </w:r>
      <w:r w:rsidRPr="009401AF">
        <w:rPr>
          <w:rFonts w:ascii="Arial" w:hAnsi="Arial" w:cs="Arial"/>
        </w:rPr>
        <w:t xml:space="preserve"> por el comercializador</w:t>
      </w:r>
      <w:r w:rsidRPr="009401AF">
        <w:rPr>
          <w:rFonts w:ascii="Arial" w:hAnsi="Arial" w:cs="Arial"/>
          <w:i/>
          <w:iCs/>
        </w:rPr>
        <w:t xml:space="preserve"> i</w:t>
      </w:r>
      <w:r w:rsidRPr="009401AF">
        <w:rPr>
          <w:rFonts w:ascii="Arial" w:hAnsi="Arial" w:cs="Arial"/>
        </w:rPr>
        <w:t>, en el año anterior a la expedición de esta resolución. Este valor debe ser equivalente a la sumatoria de los conceptos inherentes a la prestación del servicio de energía que se encuentran en el formato TC2, tales como, facturación por consumo de Energía Eléctrica, subsidios y contribuciones, refacturaciones, entre otros.</w:t>
      </w:r>
    </w:p>
    <w:p w14:paraId="2A499EB7" w14:textId="77777777" w:rsidR="0034311E" w:rsidRPr="00115F4D" w:rsidRDefault="0034311E" w:rsidP="00891C31">
      <w:pPr>
        <w:jc w:val="both"/>
        <w:rPr>
          <w:rFonts w:ascii="Arial" w:hAnsi="Arial" w:cs="Arial"/>
          <w:bCs/>
        </w:rPr>
      </w:pPr>
      <w:r w:rsidRPr="00115F4D">
        <w:rPr>
          <w:rFonts w:ascii="Arial" w:hAnsi="Arial" w:cs="Arial"/>
          <w:iCs/>
        </w:rPr>
        <w:t xml:space="preserve">Nota: Dado que la variable </w:t>
      </w:r>
      <w:proofErr w:type="gramStart"/>
      <w:r w:rsidRPr="00115F4D">
        <w:rPr>
          <w:rFonts w:ascii="Arial" w:hAnsi="Arial" w:cs="Arial"/>
          <w:i/>
        </w:rPr>
        <w:t>N</w:t>
      </w:r>
      <w:r w:rsidRPr="00115F4D">
        <w:rPr>
          <w:rFonts w:ascii="Arial" w:hAnsi="Arial" w:cs="Arial"/>
          <w:i/>
          <w:vertAlign w:val="subscript"/>
        </w:rPr>
        <w:t>j,e</w:t>
      </w:r>
      <w:proofErr w:type="gramEnd"/>
      <w:r w:rsidRPr="00115F4D">
        <w:rPr>
          <w:rFonts w:ascii="Arial" w:hAnsi="Arial" w:cs="Arial"/>
          <w:i/>
          <w:vertAlign w:val="subscript"/>
        </w:rPr>
        <w:t xml:space="preserve"> </w:t>
      </w:r>
      <w:r w:rsidRPr="00115F4D">
        <w:rPr>
          <w:rFonts w:ascii="Arial" w:hAnsi="Arial" w:cs="Arial"/>
          <w:iCs/>
        </w:rPr>
        <w:t>no es directamente observable</w:t>
      </w:r>
      <w:r w:rsidRPr="00115F4D">
        <w:rPr>
          <w:rFonts w:ascii="Arial" w:hAnsi="Arial" w:cs="Arial"/>
          <w:i/>
        </w:rPr>
        <w:t xml:space="preserve"> </w:t>
      </w:r>
      <w:r w:rsidRPr="00115F4D">
        <w:rPr>
          <w:rFonts w:ascii="Arial" w:hAnsi="Arial" w:cs="Arial"/>
          <w:iCs/>
        </w:rPr>
        <w:t xml:space="preserve">en el SUI, sino que debe calcularse, esta variable </w:t>
      </w:r>
      <w:r w:rsidRPr="00115F4D">
        <w:rPr>
          <w:rFonts w:ascii="Arial" w:hAnsi="Arial" w:cs="Arial"/>
          <w:i/>
        </w:rPr>
        <w:t>N</w:t>
      </w:r>
      <w:r w:rsidRPr="00115F4D">
        <w:rPr>
          <w:rFonts w:ascii="Arial" w:hAnsi="Arial" w:cs="Arial"/>
          <w:i/>
          <w:vertAlign w:val="subscript"/>
        </w:rPr>
        <w:t>j,e</w:t>
      </w:r>
      <w:r w:rsidRPr="00115F4D">
        <w:rPr>
          <w:rFonts w:ascii="Arial" w:hAnsi="Arial" w:cs="Arial"/>
          <w:i/>
        </w:rPr>
        <w:t xml:space="preserve"> </w:t>
      </w:r>
      <w:r w:rsidRPr="00115F4D">
        <w:rPr>
          <w:rFonts w:ascii="Arial" w:hAnsi="Arial" w:cs="Arial"/>
          <w:iCs/>
        </w:rPr>
        <w:t xml:space="preserve">podrá ser reportada por los comercializadores tendiendo </w:t>
      </w:r>
      <w:r w:rsidRPr="00115F4D">
        <w:rPr>
          <w:rFonts w:ascii="Arial" w:hAnsi="Arial" w:cs="Arial"/>
          <w:iCs/>
        </w:rPr>
        <w:lastRenderedPageBreak/>
        <w:t>presente que l</w:t>
      </w:r>
      <w:r w:rsidRPr="00115F4D">
        <w:rPr>
          <w:rFonts w:ascii="Arial" w:hAnsi="Arial" w:cs="Arial"/>
          <w:bCs/>
        </w:rPr>
        <w:t>a Comisión tomará la información reportada y la validará con los siguientes filtros:</w:t>
      </w:r>
    </w:p>
    <w:p w14:paraId="655A92C4" w14:textId="77777777" w:rsidR="0034311E" w:rsidRPr="00115F4D" w:rsidRDefault="0034311E" w:rsidP="00C00C77">
      <w:pPr>
        <w:pStyle w:val="Prrafodelista"/>
        <w:numPr>
          <w:ilvl w:val="0"/>
          <w:numId w:val="11"/>
        </w:numPr>
        <w:spacing w:before="120" w:after="120"/>
        <w:contextualSpacing w:val="0"/>
        <w:jc w:val="both"/>
        <w:rPr>
          <w:rFonts w:ascii="Arial" w:hAnsi="Arial" w:cs="Arial"/>
        </w:rPr>
      </w:pPr>
      <w:r w:rsidRPr="00115F4D">
        <w:rPr>
          <w:rFonts w:ascii="Arial" w:hAnsi="Arial" w:cs="Arial"/>
        </w:rPr>
        <w:t>El último mes de no pago debe encontrarse dentro de los cinco años de tomados como referencia para el cálculo del RCT, que corresponden al periodo 2017 a 2021.</w:t>
      </w:r>
    </w:p>
    <w:p w14:paraId="5EBD638F" w14:textId="77777777" w:rsidR="0034311E" w:rsidRPr="00115F4D" w:rsidRDefault="0034311E" w:rsidP="00C00C77">
      <w:pPr>
        <w:pStyle w:val="Prrafodelista"/>
        <w:numPr>
          <w:ilvl w:val="0"/>
          <w:numId w:val="11"/>
        </w:numPr>
        <w:spacing w:before="120" w:after="120"/>
        <w:contextualSpacing w:val="0"/>
        <w:jc w:val="both"/>
        <w:rPr>
          <w:rFonts w:ascii="Arial" w:hAnsi="Arial" w:cs="Arial"/>
        </w:rPr>
      </w:pPr>
      <w:r w:rsidRPr="00115F4D">
        <w:rPr>
          <w:rFonts w:ascii="Arial" w:hAnsi="Arial" w:cs="Arial"/>
        </w:rPr>
        <w:t>Cada NIU de usuario al que se le realizo un corte definitivo del servicio debe reportarse una sola vez.</w:t>
      </w:r>
    </w:p>
    <w:p w14:paraId="22A1568B" w14:textId="77777777" w:rsidR="0034311E" w:rsidRPr="00115F4D" w:rsidRDefault="0034311E" w:rsidP="00C00C77">
      <w:pPr>
        <w:pStyle w:val="Prrafodelista"/>
        <w:numPr>
          <w:ilvl w:val="0"/>
          <w:numId w:val="11"/>
        </w:numPr>
        <w:spacing w:before="120" w:after="120"/>
        <w:contextualSpacing w:val="0"/>
        <w:jc w:val="both"/>
        <w:rPr>
          <w:rFonts w:ascii="Arial" w:hAnsi="Arial" w:cs="Arial"/>
        </w:rPr>
      </w:pPr>
      <w:r w:rsidRPr="00115F4D">
        <w:rPr>
          <w:rFonts w:ascii="Arial" w:hAnsi="Arial" w:cs="Arial"/>
        </w:rPr>
        <w:t>La información de estrato y municipio debe coincidir con lo reportado en el SUI.</w:t>
      </w:r>
    </w:p>
    <w:p w14:paraId="2281D40F" w14:textId="77777777" w:rsidR="0034311E" w:rsidRPr="00115F4D" w:rsidRDefault="0034311E" w:rsidP="00C00C77">
      <w:pPr>
        <w:pStyle w:val="Prrafodelista"/>
        <w:numPr>
          <w:ilvl w:val="0"/>
          <w:numId w:val="11"/>
        </w:numPr>
        <w:spacing w:before="120" w:after="120"/>
        <w:contextualSpacing w:val="0"/>
        <w:jc w:val="both"/>
        <w:rPr>
          <w:rFonts w:ascii="Arial" w:hAnsi="Arial" w:cs="Arial"/>
        </w:rPr>
      </w:pPr>
      <w:r w:rsidRPr="00115F4D">
        <w:rPr>
          <w:rFonts w:ascii="Arial" w:hAnsi="Arial" w:cs="Arial"/>
        </w:rPr>
        <w:t>Debe incluirse la fecha de desconexión y ésta debe ser posterior al mes de no pago.</w:t>
      </w:r>
    </w:p>
    <w:p w14:paraId="69B11AD0" w14:textId="77777777" w:rsidR="0034311E" w:rsidRPr="00115F4D" w:rsidRDefault="0034311E" w:rsidP="00C00C77">
      <w:pPr>
        <w:pStyle w:val="Prrafodelista"/>
        <w:numPr>
          <w:ilvl w:val="0"/>
          <w:numId w:val="11"/>
        </w:numPr>
        <w:spacing w:before="120" w:after="120"/>
        <w:contextualSpacing w:val="0"/>
        <w:jc w:val="both"/>
        <w:rPr>
          <w:rFonts w:ascii="Arial" w:hAnsi="Arial" w:cs="Arial"/>
        </w:rPr>
      </w:pPr>
      <w:r w:rsidRPr="00115F4D">
        <w:rPr>
          <w:rFonts w:ascii="Arial" w:hAnsi="Arial" w:cs="Arial"/>
        </w:rPr>
        <w:t>Para el mes de no pago reportado debe existir algún consumo en el maestro de facturación.</w:t>
      </w:r>
    </w:p>
    <w:p w14:paraId="4A5E95D2" w14:textId="77777777" w:rsidR="0034311E" w:rsidRPr="00115F4D" w:rsidRDefault="0034311E" w:rsidP="00C00C77">
      <w:pPr>
        <w:pStyle w:val="Prrafodelista"/>
        <w:numPr>
          <w:ilvl w:val="0"/>
          <w:numId w:val="11"/>
        </w:numPr>
        <w:spacing w:before="120" w:after="120"/>
        <w:contextualSpacing w:val="0"/>
        <w:jc w:val="both"/>
        <w:rPr>
          <w:rFonts w:ascii="Arial" w:hAnsi="Arial" w:cs="Arial"/>
        </w:rPr>
      </w:pPr>
      <w:r w:rsidRPr="00115F4D">
        <w:rPr>
          <w:rFonts w:ascii="Arial" w:hAnsi="Arial" w:cs="Arial"/>
        </w:rPr>
        <w:t xml:space="preserve">Una vez cortado el servicio, no debe aparecer en el maestro de facturación del SUI, información de consumos posteriores a la fecha de corte. </w:t>
      </w:r>
    </w:p>
    <w:p w14:paraId="29A68796" w14:textId="466B6CA3" w:rsidR="0034311E" w:rsidRPr="00115F4D" w:rsidRDefault="0034311E" w:rsidP="00891C31">
      <w:pPr>
        <w:jc w:val="both"/>
        <w:rPr>
          <w:rFonts w:ascii="Arial" w:hAnsi="Arial" w:cs="Arial"/>
          <w:iCs/>
        </w:rPr>
      </w:pPr>
      <w:r w:rsidRPr="00115F4D">
        <w:rPr>
          <w:rFonts w:ascii="Arial" w:hAnsi="Arial" w:cs="Arial"/>
          <w:iCs/>
        </w:rPr>
        <w:t xml:space="preserve">Si la información reportada por el comercializador sobre el número de usuarios a los que se les corto de forma definitiva el servicio no coincide con la información del SUI, no será considerada para el cálculo del </w:t>
      </w:r>
      <w:r w:rsidRPr="00115F4D">
        <w:rPr>
          <w:rFonts w:ascii="Arial" w:hAnsi="Arial" w:cs="Arial"/>
          <w:i/>
        </w:rPr>
        <w:t>RCT</w:t>
      </w:r>
      <w:r w:rsidRPr="00115F4D">
        <w:rPr>
          <w:rFonts w:ascii="Arial" w:hAnsi="Arial" w:cs="Arial"/>
          <w:iCs/>
        </w:rPr>
        <w:t xml:space="preserve"> y se tomaran como referencia los valores </w:t>
      </w:r>
      <w:r w:rsidR="00FB1CC1">
        <w:rPr>
          <w:rFonts w:ascii="Arial" w:hAnsi="Arial" w:cs="Arial"/>
          <w:iCs/>
        </w:rPr>
        <w:t>reportados</w:t>
      </w:r>
      <w:r w:rsidRPr="00115F4D">
        <w:rPr>
          <w:rFonts w:ascii="Arial" w:hAnsi="Arial" w:cs="Arial"/>
          <w:iCs/>
        </w:rPr>
        <w:t xml:space="preserve"> en el SUI</w:t>
      </w:r>
      <w:r w:rsidR="00374301">
        <w:rPr>
          <w:rFonts w:ascii="Arial" w:hAnsi="Arial" w:cs="Arial"/>
          <w:iCs/>
        </w:rPr>
        <w:t>, la información a utilizar para el cálculo de la variable será publicada por la CREG mediante circular</w:t>
      </w:r>
      <w:r w:rsidRPr="00115F4D">
        <w:rPr>
          <w:rFonts w:ascii="Arial" w:hAnsi="Arial" w:cs="Arial"/>
          <w:iCs/>
        </w:rPr>
        <w:t>.</w:t>
      </w:r>
    </w:p>
    <w:p w14:paraId="6E3353D1" w14:textId="1FF47CB0" w:rsidR="00DB1769" w:rsidRDefault="00DB1769" w:rsidP="00891C31">
      <w:pPr>
        <w:jc w:val="both"/>
        <w:rPr>
          <w:rFonts w:ascii="Arial" w:hAnsi="Arial" w:cs="Arial"/>
          <w:iCs/>
        </w:rPr>
      </w:pPr>
      <w:r>
        <w:rPr>
          <w:rFonts w:ascii="Arial" w:hAnsi="Arial" w:cs="Arial"/>
          <w:iCs/>
        </w:rPr>
        <w:t xml:space="preserve">En </w:t>
      </w:r>
      <w:r w:rsidR="009E6D5C">
        <w:rPr>
          <w:rFonts w:ascii="Arial" w:hAnsi="Arial" w:cs="Arial"/>
          <w:iCs/>
        </w:rPr>
        <w:t xml:space="preserve">la </w:t>
      </w:r>
      <w:r w:rsidR="009E6D5C">
        <w:rPr>
          <w:rFonts w:ascii="Arial" w:hAnsi="Arial" w:cs="Arial"/>
          <w:iCs/>
        </w:rPr>
        <w:fldChar w:fldCharType="begin"/>
      </w:r>
      <w:r w:rsidR="009E6D5C">
        <w:rPr>
          <w:rFonts w:ascii="Arial" w:hAnsi="Arial" w:cs="Arial"/>
          <w:iCs/>
        </w:rPr>
        <w:instrText xml:space="preserve"> REF _Ref164779395 \h  \* MERGEFORMAT </w:instrText>
      </w:r>
      <w:r w:rsidR="009E6D5C">
        <w:rPr>
          <w:rFonts w:ascii="Arial" w:hAnsi="Arial" w:cs="Arial"/>
          <w:iCs/>
        </w:rPr>
      </w:r>
      <w:r w:rsidR="009E6D5C">
        <w:rPr>
          <w:rFonts w:ascii="Arial" w:hAnsi="Arial" w:cs="Arial"/>
          <w:iCs/>
        </w:rPr>
        <w:fldChar w:fldCharType="separate"/>
      </w:r>
      <w:r w:rsidR="002A641D" w:rsidRPr="002A641D">
        <w:rPr>
          <w:rFonts w:ascii="Arial" w:hAnsi="Arial" w:cs="Arial"/>
          <w:iCs/>
        </w:rPr>
        <w:t>Tabla 11</w:t>
      </w:r>
      <w:r w:rsidR="009E6D5C">
        <w:rPr>
          <w:rFonts w:ascii="Arial" w:hAnsi="Arial" w:cs="Arial"/>
          <w:iCs/>
        </w:rPr>
        <w:fldChar w:fldCharType="end"/>
      </w:r>
      <w:r w:rsidR="009E6D5C">
        <w:rPr>
          <w:rFonts w:ascii="Arial" w:hAnsi="Arial" w:cs="Arial"/>
          <w:iCs/>
        </w:rPr>
        <w:t xml:space="preserve"> </w:t>
      </w:r>
      <w:r>
        <w:rPr>
          <w:rFonts w:ascii="Arial" w:hAnsi="Arial" w:cs="Arial"/>
          <w:iCs/>
        </w:rPr>
        <w:t>se presenta la comparación de la metodología para determinar el riesgo de cartera reconocido respecto a la metodología vigente.</w:t>
      </w:r>
    </w:p>
    <w:p w14:paraId="4223753B" w14:textId="5924AF97" w:rsidR="00DB1769" w:rsidRDefault="00DB1769" w:rsidP="00891C31">
      <w:pPr>
        <w:pStyle w:val="Descripcin"/>
        <w:tabs>
          <w:tab w:val="left" w:pos="1276"/>
        </w:tabs>
        <w:spacing w:after="0"/>
        <w:rPr>
          <w:rFonts w:ascii="Arial" w:hAnsi="Arial" w:cs="Arial"/>
          <w:b/>
          <w:bCs/>
          <w:color w:val="auto"/>
        </w:rPr>
      </w:pPr>
      <w:bookmarkStart w:id="54" w:name="_Ref164779395"/>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11</w:t>
      </w:r>
      <w:r w:rsidRPr="00115F4D">
        <w:rPr>
          <w:rFonts w:ascii="Arial" w:hAnsi="Arial" w:cs="Arial"/>
          <w:b/>
          <w:bCs/>
          <w:color w:val="auto"/>
        </w:rPr>
        <w:fldChar w:fldCharType="end"/>
      </w:r>
      <w:bookmarkEnd w:id="54"/>
      <w:r w:rsidRPr="00115F4D">
        <w:rPr>
          <w:rFonts w:ascii="Arial" w:hAnsi="Arial" w:cs="Arial"/>
          <w:b/>
          <w:bCs/>
          <w:color w:val="auto"/>
        </w:rPr>
        <w:t xml:space="preserve"> </w:t>
      </w:r>
      <w:r>
        <w:rPr>
          <w:rFonts w:ascii="Arial" w:hAnsi="Arial" w:cs="Arial"/>
          <w:b/>
          <w:bCs/>
          <w:color w:val="auto"/>
        </w:rPr>
        <w:t xml:space="preserve">Comparación metodología de reconocimiento riesgo de cartera a usuarios tradicionales. </w:t>
      </w:r>
    </w:p>
    <w:tbl>
      <w:tblPr>
        <w:tblW w:w="5000" w:type="pct"/>
        <w:tblCellMar>
          <w:left w:w="0" w:type="dxa"/>
          <w:right w:w="0" w:type="dxa"/>
        </w:tblCellMar>
        <w:tblLook w:val="0620" w:firstRow="1" w:lastRow="0" w:firstColumn="0" w:lastColumn="0" w:noHBand="1" w:noVBand="1"/>
      </w:tblPr>
      <w:tblGrid>
        <w:gridCol w:w="1579"/>
        <w:gridCol w:w="3626"/>
        <w:gridCol w:w="3815"/>
      </w:tblGrid>
      <w:tr w:rsidR="00A31FE5" w:rsidRPr="00A31FE5" w14:paraId="62609700" w14:textId="77777777" w:rsidTr="00DB1769">
        <w:trPr>
          <w:trHeight w:val="27"/>
        </w:trPr>
        <w:tc>
          <w:tcPr>
            <w:tcW w:w="875"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4AB48278" w14:textId="43A5C4DB" w:rsidR="00A31FE5" w:rsidRPr="00A31FE5" w:rsidRDefault="00240DAD" w:rsidP="00891C31">
            <w:pPr>
              <w:spacing w:before="0" w:after="0"/>
              <w:jc w:val="center"/>
              <w:rPr>
                <w:rFonts w:ascii="Arial" w:hAnsi="Arial" w:cs="Arial"/>
                <w:iCs/>
                <w:sz w:val="20"/>
                <w:szCs w:val="20"/>
              </w:rPr>
            </w:pPr>
            <w:r w:rsidRPr="00240DAD">
              <w:rPr>
                <w:rFonts w:ascii="Arial" w:hAnsi="Arial" w:cs="Arial"/>
                <w:b/>
                <w:bCs/>
                <w:iCs/>
                <w:sz w:val="20"/>
                <w:szCs w:val="20"/>
                <w:lang w:val="es-MX"/>
              </w:rPr>
              <w:t>Componente</w:t>
            </w:r>
          </w:p>
        </w:tc>
        <w:tc>
          <w:tcPr>
            <w:tcW w:w="2010"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09FE1C79" w14:textId="77777777" w:rsidR="00A31FE5" w:rsidRPr="00A31FE5" w:rsidRDefault="00A31FE5" w:rsidP="00891C31">
            <w:pPr>
              <w:spacing w:before="0" w:after="0"/>
              <w:jc w:val="center"/>
              <w:rPr>
                <w:rFonts w:ascii="Arial" w:hAnsi="Arial" w:cs="Arial"/>
                <w:iCs/>
                <w:sz w:val="20"/>
                <w:szCs w:val="20"/>
              </w:rPr>
            </w:pPr>
            <w:r w:rsidRPr="00A31FE5">
              <w:rPr>
                <w:rFonts w:ascii="Arial" w:hAnsi="Arial" w:cs="Arial"/>
                <w:b/>
                <w:bCs/>
                <w:iCs/>
                <w:sz w:val="20"/>
                <w:szCs w:val="20"/>
                <w:lang w:val="es-MX"/>
              </w:rPr>
              <w:t>Actual</w:t>
            </w:r>
          </w:p>
        </w:tc>
        <w:tc>
          <w:tcPr>
            <w:tcW w:w="2115"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7497107E" w14:textId="77777777" w:rsidR="00A31FE5" w:rsidRPr="00A31FE5" w:rsidRDefault="00A31FE5" w:rsidP="00891C31">
            <w:pPr>
              <w:spacing w:before="0" w:after="0"/>
              <w:jc w:val="center"/>
              <w:rPr>
                <w:rFonts w:ascii="Arial" w:hAnsi="Arial" w:cs="Arial"/>
                <w:iCs/>
                <w:sz w:val="20"/>
                <w:szCs w:val="20"/>
              </w:rPr>
            </w:pPr>
            <w:r w:rsidRPr="00A31FE5">
              <w:rPr>
                <w:rFonts w:ascii="Arial" w:hAnsi="Arial" w:cs="Arial"/>
                <w:b/>
                <w:bCs/>
                <w:iCs/>
                <w:sz w:val="20"/>
                <w:szCs w:val="20"/>
                <w:lang w:val="es-MX"/>
              </w:rPr>
              <w:t>Propuesta</w:t>
            </w:r>
          </w:p>
        </w:tc>
      </w:tr>
      <w:tr w:rsidR="00A31FE5" w:rsidRPr="00A31FE5" w14:paraId="0A1B75F6" w14:textId="77777777" w:rsidTr="00DB1769">
        <w:trPr>
          <w:trHeight w:val="632"/>
        </w:trPr>
        <w:tc>
          <w:tcPr>
            <w:tcW w:w="875"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2E8DC420" w14:textId="77777777" w:rsidR="00A31FE5" w:rsidRPr="00A31FE5" w:rsidRDefault="00A31FE5" w:rsidP="00891C31">
            <w:pPr>
              <w:spacing w:before="0" w:after="0"/>
              <w:jc w:val="both"/>
              <w:rPr>
                <w:rFonts w:ascii="Arial" w:hAnsi="Arial" w:cs="Arial"/>
                <w:iCs/>
                <w:sz w:val="20"/>
                <w:szCs w:val="20"/>
              </w:rPr>
            </w:pPr>
            <w:r w:rsidRPr="00A31FE5">
              <w:rPr>
                <w:rFonts w:ascii="Arial" w:hAnsi="Arial" w:cs="Arial"/>
                <w:b/>
                <w:bCs/>
                <w:iCs/>
                <w:sz w:val="20"/>
                <w:szCs w:val="20"/>
                <w:lang w:val="pt-BR"/>
              </w:rPr>
              <w:t xml:space="preserve">RCT </w:t>
            </w:r>
          </w:p>
          <w:p w14:paraId="0FA9D366" w14:textId="77777777" w:rsidR="00A31FE5" w:rsidRPr="00A31FE5" w:rsidRDefault="00A31FE5" w:rsidP="00891C31">
            <w:pPr>
              <w:spacing w:before="0" w:after="0"/>
              <w:jc w:val="both"/>
              <w:rPr>
                <w:rFonts w:ascii="Arial" w:hAnsi="Arial" w:cs="Arial"/>
                <w:iCs/>
                <w:sz w:val="20"/>
                <w:szCs w:val="20"/>
              </w:rPr>
            </w:pPr>
            <w:r w:rsidRPr="00A31FE5">
              <w:rPr>
                <w:rFonts w:ascii="Arial" w:hAnsi="Arial" w:cs="Arial"/>
                <w:b/>
                <w:bCs/>
                <w:iCs/>
                <w:sz w:val="20"/>
                <w:szCs w:val="20"/>
                <w:lang w:val="pt-BR"/>
              </w:rPr>
              <w:t>Usuarios Tradicionales</w:t>
            </w:r>
          </w:p>
        </w:tc>
        <w:tc>
          <w:tcPr>
            <w:tcW w:w="2010"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11FA662" w14:textId="77777777"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 xml:space="preserve">Relación entre consumo no recuperado (de usuarios con suspensión y corte del servicio no reconectados) y el </w:t>
            </w:r>
            <w:r w:rsidRPr="00A31FE5">
              <w:rPr>
                <w:rFonts w:ascii="Arial" w:hAnsi="Arial" w:cs="Arial"/>
                <w:b/>
                <w:bCs/>
                <w:iCs/>
                <w:sz w:val="20"/>
                <w:szCs w:val="20"/>
                <w:lang w:val="es-MX"/>
              </w:rPr>
              <w:t>consumo total, en kWh.</w:t>
            </w:r>
          </w:p>
          <w:p w14:paraId="363EA52A" w14:textId="77777777"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Número de usuarios es reportada por comercializador en actuación administrativa (promedio de 5 años).</w:t>
            </w:r>
          </w:p>
          <w:p w14:paraId="1C531281" w14:textId="77777777"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Se estima consumo promedio y subsidio recibido por categoría de usuario (entregado por los agentes).</w:t>
            </w:r>
          </w:p>
          <w:p w14:paraId="39F9A06D" w14:textId="77777777"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 xml:space="preserve">Se reconocen </w:t>
            </w:r>
            <w:r w:rsidRPr="00A31FE5">
              <w:rPr>
                <w:rFonts w:ascii="Arial" w:hAnsi="Arial" w:cs="Arial"/>
                <w:b/>
                <w:bCs/>
                <w:iCs/>
                <w:sz w:val="20"/>
                <w:szCs w:val="20"/>
                <w:lang w:val="es-MX"/>
              </w:rPr>
              <w:t xml:space="preserve">3 meses </w:t>
            </w:r>
            <w:r w:rsidRPr="00A31FE5">
              <w:rPr>
                <w:rFonts w:ascii="Arial" w:hAnsi="Arial" w:cs="Arial"/>
                <w:iCs/>
                <w:sz w:val="20"/>
                <w:szCs w:val="20"/>
                <w:lang w:val="es-MX"/>
              </w:rPr>
              <w:t xml:space="preserve">de consumo para los usuarios con corte y sin reconexión </w:t>
            </w:r>
          </w:p>
        </w:tc>
        <w:tc>
          <w:tcPr>
            <w:tcW w:w="2115"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388C4CF7" w14:textId="77777777"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 xml:space="preserve">Se mantiene el concepto, pero se emplea la relación entre la facturación no recuperada (asociada con usuarios con suspensión y corte del servicio no reconectados) y la </w:t>
            </w:r>
            <w:r w:rsidRPr="00A31FE5">
              <w:rPr>
                <w:rFonts w:ascii="Arial" w:hAnsi="Arial" w:cs="Arial"/>
                <w:b/>
                <w:bCs/>
                <w:iCs/>
                <w:sz w:val="20"/>
                <w:szCs w:val="20"/>
                <w:lang w:val="es-MX"/>
              </w:rPr>
              <w:t>facturación total, en $.</w:t>
            </w:r>
          </w:p>
          <w:p w14:paraId="797171A0" w14:textId="676CD5EA"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Número de usuarios con información del comercializador</w:t>
            </w:r>
            <w:r w:rsidRPr="00A31FE5">
              <w:rPr>
                <w:rFonts w:ascii="Arial" w:hAnsi="Arial" w:cs="Arial"/>
                <w:b/>
                <w:bCs/>
                <w:iCs/>
                <w:sz w:val="20"/>
                <w:szCs w:val="20"/>
                <w:lang w:val="es-MX"/>
              </w:rPr>
              <w:t>.</w:t>
            </w:r>
          </w:p>
          <w:p w14:paraId="1020F56C" w14:textId="77777777"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Se define limite al número de usuarios con información del SUI.</w:t>
            </w:r>
          </w:p>
          <w:p w14:paraId="5B73F218" w14:textId="77777777" w:rsidR="00A31FE5" w:rsidRPr="00A31FE5" w:rsidRDefault="00A31FE5" w:rsidP="00C00C77">
            <w:pPr>
              <w:numPr>
                <w:ilvl w:val="0"/>
                <w:numId w:val="19"/>
              </w:numPr>
              <w:spacing w:before="0" w:after="0"/>
              <w:jc w:val="both"/>
              <w:rPr>
                <w:rFonts w:ascii="Arial" w:hAnsi="Arial" w:cs="Arial"/>
                <w:iCs/>
                <w:sz w:val="20"/>
                <w:szCs w:val="20"/>
              </w:rPr>
            </w:pPr>
            <w:r w:rsidRPr="00A31FE5">
              <w:rPr>
                <w:rFonts w:ascii="Arial" w:hAnsi="Arial" w:cs="Arial"/>
                <w:iCs/>
                <w:sz w:val="20"/>
                <w:szCs w:val="20"/>
                <w:lang w:val="es-MX"/>
              </w:rPr>
              <w:t xml:space="preserve">Se reconoce </w:t>
            </w:r>
            <w:r w:rsidRPr="00A31FE5">
              <w:rPr>
                <w:rFonts w:ascii="Arial" w:hAnsi="Arial" w:cs="Arial"/>
                <w:b/>
                <w:bCs/>
                <w:iCs/>
                <w:sz w:val="20"/>
                <w:szCs w:val="20"/>
                <w:lang w:val="es-MX"/>
              </w:rPr>
              <w:t xml:space="preserve">1,5 meses </w:t>
            </w:r>
            <w:r w:rsidRPr="00A31FE5">
              <w:rPr>
                <w:rFonts w:ascii="Arial" w:hAnsi="Arial" w:cs="Arial"/>
                <w:iCs/>
                <w:sz w:val="20"/>
                <w:szCs w:val="20"/>
                <w:lang w:val="es-MX"/>
              </w:rPr>
              <w:t>de consumo para usuarios con corte y sin reconexión.</w:t>
            </w:r>
          </w:p>
        </w:tc>
      </w:tr>
    </w:tbl>
    <w:p w14:paraId="2E4CE662" w14:textId="77777777" w:rsidR="006E34FC" w:rsidRPr="00115F4D" w:rsidRDefault="006E34FC" w:rsidP="00891C31">
      <w:pPr>
        <w:spacing w:before="0" w:after="0"/>
        <w:jc w:val="both"/>
        <w:rPr>
          <w:rFonts w:ascii="Arial" w:hAnsi="Arial" w:cs="Arial"/>
          <w:iCs/>
        </w:rPr>
      </w:pPr>
    </w:p>
    <w:p w14:paraId="53FDB30E" w14:textId="5D7BEDAB" w:rsidR="00A027B5" w:rsidRPr="00115F4D" w:rsidRDefault="24D4784B" w:rsidP="00891C31">
      <w:pPr>
        <w:pStyle w:val="Ttulo4"/>
      </w:pPr>
      <w:r w:rsidRPr="00115F4D">
        <w:t xml:space="preserve">Riesgo de </w:t>
      </w:r>
      <w:r w:rsidR="24DF2D07" w:rsidRPr="00115F4D">
        <w:t>C</w:t>
      </w:r>
      <w:r w:rsidRPr="00115F4D">
        <w:t>artera de u</w:t>
      </w:r>
      <w:r w:rsidR="00A027B5" w:rsidRPr="00115F4D">
        <w:t xml:space="preserve">suarios en </w:t>
      </w:r>
      <w:r w:rsidR="77D888A2" w:rsidRPr="00115F4D">
        <w:t>Á</w:t>
      </w:r>
      <w:r w:rsidR="00A027B5" w:rsidRPr="00115F4D">
        <w:t xml:space="preserve">reas </w:t>
      </w:r>
      <w:r w:rsidR="65BC5653" w:rsidRPr="00115F4D">
        <w:t>E</w:t>
      </w:r>
      <w:r w:rsidR="00A027B5" w:rsidRPr="00115F4D">
        <w:t>speciales</w:t>
      </w:r>
      <w:r w:rsidR="4184DDB2" w:rsidRPr="00115F4D">
        <w:t xml:space="preserve"> (RCAE)</w:t>
      </w:r>
    </w:p>
    <w:p w14:paraId="1B354CB1" w14:textId="525EDC27" w:rsidR="008D579F" w:rsidRPr="00115F4D" w:rsidRDefault="008D579F" w:rsidP="00891C31">
      <w:pPr>
        <w:spacing w:before="360"/>
        <w:jc w:val="both"/>
        <w:rPr>
          <w:rFonts w:ascii="Arial" w:hAnsi="Arial" w:cs="Arial"/>
        </w:rPr>
      </w:pPr>
      <w:r w:rsidRPr="00115F4D">
        <w:rPr>
          <w:rFonts w:ascii="Arial" w:hAnsi="Arial" w:cs="Arial"/>
        </w:rPr>
        <w:t>El riesgo de cartera de la comercialización de energía eléctrica a usuarios ubicados en especiales tradicionales corresponde a la probabilidad de incumplimiento en el pago de las obligaciones de los usuarios que no es gestionable en este tipo de áreas.  Las Áreas especiales se toman tal como lo describe el decreto 111 de 2012 del Ministerio de Minas y Energía</w:t>
      </w:r>
      <w:r w:rsidR="006F2827">
        <w:rPr>
          <w:rFonts w:ascii="Arial" w:hAnsi="Arial" w:cs="Arial"/>
        </w:rPr>
        <w:t>,</w:t>
      </w:r>
      <w:r w:rsidRPr="00115F4D">
        <w:rPr>
          <w:rFonts w:ascii="Arial" w:hAnsi="Arial" w:cs="Arial"/>
        </w:rPr>
        <w:t xml:space="preserve"> las disposiciones que lo modifican</w:t>
      </w:r>
      <w:r w:rsidR="005C6180">
        <w:rPr>
          <w:rFonts w:ascii="Arial" w:hAnsi="Arial" w:cs="Arial"/>
        </w:rPr>
        <w:t xml:space="preserve"> o complementan</w:t>
      </w:r>
      <w:r w:rsidRPr="00115F4D">
        <w:rPr>
          <w:rFonts w:ascii="Arial" w:hAnsi="Arial" w:cs="Arial"/>
        </w:rPr>
        <w:t xml:space="preserve">: 1=Barrio Subnormal; 2=Área Rural de Menor Desarrollo; 3=Zonas de Difícil Gestión. La definición de cada una de estas áreas que se encuentra en el decreto son las siguientes: </w:t>
      </w:r>
    </w:p>
    <w:p w14:paraId="36BACF1C" w14:textId="614038DA" w:rsidR="008D579F" w:rsidRPr="00115F4D" w:rsidRDefault="008D579F" w:rsidP="00891C31">
      <w:pPr>
        <w:jc w:val="both"/>
        <w:rPr>
          <w:rFonts w:ascii="Arial" w:hAnsi="Arial" w:cs="Arial"/>
        </w:rPr>
      </w:pPr>
      <w:r w:rsidRPr="00115F4D">
        <w:rPr>
          <w:rFonts w:ascii="Arial" w:hAnsi="Arial" w:cs="Arial"/>
          <w:b/>
          <w:bCs/>
        </w:rPr>
        <w:lastRenderedPageBreak/>
        <w:t>Áreas Especiales:</w:t>
      </w:r>
      <w:r w:rsidRPr="00115F4D">
        <w:rPr>
          <w:rFonts w:ascii="Arial" w:hAnsi="Arial" w:cs="Arial"/>
        </w:rPr>
        <w:t xml:space="preserve"> </w:t>
      </w:r>
      <w:r w:rsidRPr="00C24B15">
        <w:rPr>
          <w:rFonts w:ascii="Arial" w:hAnsi="Arial" w:cs="Arial"/>
        </w:rPr>
        <w:t>Entiéndase por áreas Especiales a las áreas Rurales de Menor Desarrollo, Zonas de Difícil Gesti</w:t>
      </w:r>
      <w:r w:rsidR="00500FE0" w:rsidRPr="00C24B15">
        <w:rPr>
          <w:rFonts w:ascii="Arial" w:hAnsi="Arial" w:cs="Arial"/>
        </w:rPr>
        <w:t>ó</w:t>
      </w:r>
      <w:r w:rsidRPr="00C24B15">
        <w:rPr>
          <w:rFonts w:ascii="Arial" w:hAnsi="Arial" w:cs="Arial"/>
        </w:rPr>
        <w:t>n y Barrios Subnormales, respecto de las cuales los usuarios de los estratos 1 y 2 ubicados en las mismas, son beneficiarios del Fondo de Energía Social de que trata el artículo 103 de la Ley 1450 de 2011.</w:t>
      </w:r>
    </w:p>
    <w:p w14:paraId="4B91D2C1" w14:textId="77777777" w:rsidR="008D579F" w:rsidRPr="00115F4D" w:rsidRDefault="008D579F" w:rsidP="00891C31">
      <w:pPr>
        <w:jc w:val="both"/>
        <w:rPr>
          <w:rFonts w:ascii="Arial" w:hAnsi="Arial" w:cs="Arial"/>
        </w:rPr>
      </w:pPr>
      <w:r w:rsidRPr="00115F4D">
        <w:rPr>
          <w:rFonts w:ascii="Arial" w:hAnsi="Arial" w:cs="Arial"/>
          <w:b/>
          <w:bCs/>
        </w:rPr>
        <w:t>Barrio Subnormal:</w:t>
      </w:r>
      <w:r w:rsidRPr="00115F4D">
        <w:rPr>
          <w:rFonts w:ascii="Arial" w:hAnsi="Arial" w:cs="Arial"/>
        </w:rPr>
        <w:t xml:space="preserve"> Es el asentamiento humano ubicado en las cabeceras de municipios o distritos que reúne los siguientes requisitos: (i) que no tenga servicio público domiciliario de energía eléctrica o que este se obtenga a través de derivaciones del Sistema de Distribución Local o de una Acometida, efectuadas sin aprobación del respectivo Operador de Red; (ii) que no se trate de zonas donde se deba suspender el servicio público domiciliario de electricidad, de conformidad con el artículo 139.2 de la Ley 142 de 1994, las normas de la Ley 388 de 1997 y en general en aquellas zonas en las que esté prohibido prestar el servicio, y iii) Certificación del Alcalde Municipal o Distrital o de la autoridad competente en la cual conste la clasificación y existencia de los Barrios Subnormales, la cual deberá ser expedida dentro de los quince (15) días siguientes a la fecha de la respectiva solicitud efectuada por el Operador de Red.</w:t>
      </w:r>
    </w:p>
    <w:p w14:paraId="58D32D6C" w14:textId="77777777" w:rsidR="008D579F" w:rsidRPr="00115F4D" w:rsidRDefault="008D579F" w:rsidP="00891C31">
      <w:pPr>
        <w:jc w:val="both"/>
        <w:rPr>
          <w:rFonts w:ascii="Arial" w:hAnsi="Arial" w:cs="Arial"/>
        </w:rPr>
      </w:pPr>
      <w:r w:rsidRPr="00115F4D">
        <w:rPr>
          <w:rFonts w:ascii="Arial" w:hAnsi="Arial" w:cs="Arial"/>
          <w:b/>
          <w:bCs/>
        </w:rPr>
        <w:t>Área Rural de Menor Desarrollo:</w:t>
      </w:r>
      <w:r w:rsidRPr="00115F4D">
        <w:rPr>
          <w:rFonts w:ascii="Arial" w:hAnsi="Arial" w:cs="Arial"/>
        </w:rPr>
        <w:t xml:space="preserve"> Es el área perteneciente al sector rural de un municipio o distrito que reúne las siguientes características: (i) presenta un índice superior a cincuenta y cuatro punto cuatro (54.4), conforme con el indicador de las Necesidades Básicas Insatisfechas publicado por el Departamento Administrativo Nacional de Estadística, y (ii) está conectada al circuito de alimentación por medio del cual se le suministra el servicio público de energía eléctrica. </w:t>
      </w:r>
    </w:p>
    <w:p w14:paraId="388272C8" w14:textId="77777777" w:rsidR="008D579F" w:rsidRPr="00115F4D" w:rsidRDefault="008D579F" w:rsidP="00891C31">
      <w:pPr>
        <w:jc w:val="both"/>
        <w:rPr>
          <w:rFonts w:ascii="Arial" w:hAnsi="Arial" w:cs="Arial"/>
        </w:rPr>
      </w:pPr>
      <w:r w:rsidRPr="00115F4D">
        <w:rPr>
          <w:rFonts w:ascii="Arial" w:hAnsi="Arial" w:cs="Arial"/>
        </w:rPr>
        <w:t xml:space="preserve">Corresponde al alcalde Municipal o Distrital o a la autoridad competente, conforme con la Ley 388 de 1997, clasificar y certificar la existencia de las Áreas Rurales de Menor Desarrollo. Las áreas rurales que pertenezcan a municipios que no se encuentran clasificados en la metodología de las Necesidades Básicas Insatisfechas del Departamento Administrativo Nacional de Estadística, se considerarán Áreas Rurales de Menor Desarrollo. </w:t>
      </w:r>
    </w:p>
    <w:p w14:paraId="7F7A47BB" w14:textId="77777777" w:rsidR="008D579F" w:rsidRPr="00115F4D" w:rsidRDefault="008D579F" w:rsidP="00891C31">
      <w:pPr>
        <w:jc w:val="both"/>
        <w:rPr>
          <w:rFonts w:ascii="Arial" w:hAnsi="Arial" w:cs="Arial"/>
        </w:rPr>
      </w:pPr>
      <w:r w:rsidRPr="00115F4D">
        <w:rPr>
          <w:rFonts w:ascii="Arial" w:hAnsi="Arial" w:cs="Arial"/>
          <w:b/>
          <w:bCs/>
        </w:rPr>
        <w:t>Zonas de Difícil Gestión:</w:t>
      </w:r>
      <w:r w:rsidRPr="00115F4D">
        <w:rPr>
          <w:rFonts w:ascii="Arial" w:hAnsi="Arial" w:cs="Arial"/>
        </w:rPr>
        <w:t xml:space="preserve"> Conjunto de usuarios ubicados en una misma zona geográfica conectada al Sistema Interconectado Nacional, delimitada eléctricamente, que presenta durante el último año en forma continua, una de las siguientes características: </w:t>
      </w:r>
    </w:p>
    <w:p w14:paraId="111ED26A" w14:textId="77777777" w:rsidR="008D579F" w:rsidRPr="00115F4D" w:rsidRDefault="008D579F" w:rsidP="00891C31">
      <w:pPr>
        <w:jc w:val="both"/>
        <w:rPr>
          <w:rFonts w:ascii="Arial" w:hAnsi="Arial" w:cs="Arial"/>
        </w:rPr>
      </w:pPr>
      <w:r w:rsidRPr="00115F4D">
        <w:rPr>
          <w:rFonts w:ascii="Arial" w:hAnsi="Arial" w:cs="Arial"/>
        </w:rPr>
        <w:t>(i) Cartera vencida mayor a noventa días por parte del cincuenta por ciento (50%) o más de los usuarios de estratos 1 y 2 pertenecientes a la zona, o (ii) Niveles de pérdidas de energía superiores al cuarenta por ciento (40%) respecto a la energía de entrada al Sistema de Distribución Local que atiende exclusivamente a dicha zona. Para ambos eventos los indicadores serán medidos como el promedio móvil de los últimos 12 meses. Así mismo el Comercializador de Energía Eléctrica, debe demostrar que los resultados de la gestión en cartera y pérdidas han sido negativos por causas no imputables a la propia empresa.</w:t>
      </w:r>
    </w:p>
    <w:p w14:paraId="7588F580" w14:textId="2F4A9562" w:rsidR="65FDFDFC" w:rsidRPr="00115F4D" w:rsidRDefault="008D579F" w:rsidP="00891C31">
      <w:pPr>
        <w:jc w:val="both"/>
        <w:rPr>
          <w:rFonts w:ascii="Arial" w:hAnsi="Arial" w:cs="Arial"/>
        </w:rPr>
      </w:pPr>
      <w:r w:rsidRPr="00115F4D">
        <w:rPr>
          <w:rFonts w:ascii="Arial" w:hAnsi="Arial" w:cs="Arial"/>
        </w:rPr>
        <w:t>Para acreditar lo anterior, la empresa deberá presentar ante la Super</w:t>
      </w:r>
      <w:r w:rsidR="000D292E" w:rsidRPr="00115F4D">
        <w:rPr>
          <w:rFonts w:ascii="Arial" w:hAnsi="Arial" w:cs="Arial"/>
        </w:rPr>
        <w:t>servicios</w:t>
      </w:r>
      <w:r w:rsidRPr="00115F4D">
        <w:rPr>
          <w:rFonts w:ascii="Arial" w:hAnsi="Arial" w:cs="Arial"/>
        </w:rPr>
        <w:t>, certificación suscrita por la Auditoría Externa de Gestión y Resultados o por el Representante Legal, de conformidad con lo dispuesto en el artículo 51 de la Ley 142 de 1994 y demás normas que la modifiquen y/o adicionen. Dicha certificación debe ir acompañada con la memoria de cálculo respectiva para cada una de las Áreas reportadas al SUI.</w:t>
      </w:r>
    </w:p>
    <w:p w14:paraId="56FB4FF0" w14:textId="017446A4" w:rsidR="008F1154" w:rsidRPr="00115F4D" w:rsidRDefault="008F1154" w:rsidP="00891C31">
      <w:pPr>
        <w:spacing w:after="0"/>
        <w:jc w:val="both"/>
        <w:rPr>
          <w:rFonts w:ascii="Arial" w:hAnsi="Arial" w:cs="Arial"/>
          <w:bCs/>
          <w:i/>
          <w:vertAlign w:val="subscript"/>
          <w:lang w:eastAsia="ar-SA"/>
        </w:rPr>
      </w:pPr>
      <w:r w:rsidRPr="00115F4D">
        <w:rPr>
          <w:rFonts w:ascii="Arial" w:hAnsi="Arial" w:cs="Arial"/>
        </w:rPr>
        <w:t>Para el cálculo del Riesgo de Cartera de usuarios de Áreas Especiales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 xml:space="preserve">) se propone eliminar la expresión </w:t>
      </w:r>
      <m:oMath>
        <m:sSubSup>
          <m:sSubSupPr>
            <m:ctrlPr>
              <w:rPr>
                <w:rFonts w:ascii="Cambria Math" w:eastAsiaTheme="minorEastAsia" w:hAnsi="Cambria Math" w:cs="Arial"/>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T</m:t>
            </m:r>
          </m:sub>
          <m:sup>
            <m:d>
              <m:dPr>
                <m:ctrlPr>
                  <w:rPr>
                    <w:rFonts w:ascii="Cambria Math" w:eastAsiaTheme="minorEastAsia" w:hAnsi="Cambria Math" w:cs="Arial"/>
                    <w:sz w:val="20"/>
                    <w:szCs w:val="20"/>
                  </w:rPr>
                </m:ctrlPr>
              </m:dPr>
              <m:e>
                <m:r>
                  <w:rPr>
                    <w:rFonts w:ascii="Cambria Math" w:eastAsiaTheme="minorEastAsia" w:hAnsi="Cambria Math" w:cs="Arial"/>
                    <w:sz w:val="20"/>
                    <w:szCs w:val="20"/>
                  </w:rPr>
                  <m:t>k</m:t>
                </m:r>
              </m:e>
            </m:d>
          </m:sup>
        </m:sSubSup>
        <m:r>
          <m:rPr>
            <m:sty m:val="p"/>
          </m:rPr>
          <w:rPr>
            <w:rFonts w:ascii="Cambria Math" w:eastAsiaTheme="minorEastAsia" w:hAnsi="Cambria Math" w:cs="Arial"/>
            <w:sz w:val="20"/>
            <w:szCs w:val="20"/>
          </w:rPr>
          <m:t>-</m:t>
        </m:r>
        <m:sSubSup>
          <m:sSubSupPr>
            <m:ctrlPr>
              <w:rPr>
                <w:rFonts w:ascii="Cambria Math" w:eastAsiaTheme="minorEastAsia" w:hAnsi="Cambria Math" w:cs="Arial"/>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T</m:t>
            </m:r>
            <m:r>
              <m:rPr>
                <m:sty m:val="p"/>
              </m:rPr>
              <w:rPr>
                <w:rFonts w:ascii="Cambria Math" w:eastAsiaTheme="minorEastAsia" w:hAnsi="Cambria Math" w:cs="Arial"/>
                <w:sz w:val="20"/>
                <w:szCs w:val="20"/>
              </w:rPr>
              <m:t>-1</m:t>
            </m:r>
          </m:sub>
          <m:sup>
            <m:d>
              <m:dPr>
                <m:ctrlPr>
                  <w:rPr>
                    <w:rFonts w:ascii="Cambria Math" w:eastAsiaTheme="minorEastAsia" w:hAnsi="Cambria Math" w:cs="Arial"/>
                    <w:sz w:val="20"/>
                    <w:szCs w:val="20"/>
                  </w:rPr>
                </m:ctrlPr>
              </m:dPr>
              <m:e>
                <m:r>
                  <w:rPr>
                    <w:rFonts w:ascii="Cambria Math" w:eastAsiaTheme="minorEastAsia" w:hAnsi="Cambria Math" w:cs="Arial"/>
                    <w:sz w:val="20"/>
                    <w:szCs w:val="20"/>
                  </w:rPr>
                  <m:t>k</m:t>
                </m:r>
              </m:e>
            </m:d>
          </m:sup>
        </m:sSubSup>
      </m:oMath>
      <w:r w:rsidRPr="00115F4D">
        <w:rPr>
          <w:rFonts w:ascii="Arial" w:eastAsiaTheme="minorEastAsia" w:hAnsi="Arial" w:cs="Arial"/>
        </w:rPr>
        <w:t xml:space="preserve"> ubicada en el numerador de la ecuación y que representa la variación de las cuentas por cobrar mayares a un año entre los años </w:t>
      </w:r>
      <w:r w:rsidRPr="00115F4D">
        <w:rPr>
          <w:rFonts w:ascii="Arial" w:eastAsiaTheme="minorEastAsia" w:hAnsi="Arial" w:cs="Arial"/>
          <w:i/>
          <w:iCs/>
        </w:rPr>
        <w:t>T</w:t>
      </w:r>
      <w:r w:rsidRPr="00115F4D">
        <w:rPr>
          <w:rFonts w:ascii="Arial" w:eastAsiaTheme="minorEastAsia" w:hAnsi="Arial" w:cs="Arial"/>
        </w:rPr>
        <w:t xml:space="preserve"> y </w:t>
      </w:r>
      <w:r w:rsidRPr="00115F4D">
        <w:rPr>
          <w:rFonts w:ascii="Arial" w:eastAsiaTheme="minorEastAsia" w:hAnsi="Arial" w:cs="Arial"/>
          <w:i/>
          <w:iCs/>
        </w:rPr>
        <w:t>T-1</w:t>
      </w:r>
      <w:r w:rsidRPr="00115F4D">
        <w:rPr>
          <w:rFonts w:ascii="Arial" w:eastAsiaTheme="minorEastAsia" w:hAnsi="Arial" w:cs="Arial"/>
        </w:rPr>
        <w:t>. Para exponer las razones de esta propuesta</w:t>
      </w:r>
      <w:r w:rsidR="00042ED4">
        <w:rPr>
          <w:rFonts w:ascii="Arial" w:eastAsiaTheme="minorEastAsia" w:hAnsi="Arial" w:cs="Arial"/>
        </w:rPr>
        <w:t>.</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4"/>
        <w:gridCol w:w="485"/>
      </w:tblGrid>
      <w:tr w:rsidR="008F1154" w:rsidRPr="00115F4D" w14:paraId="04211240" w14:textId="77777777" w:rsidTr="00B17F92">
        <w:tc>
          <w:tcPr>
            <w:tcW w:w="8304" w:type="dxa"/>
          </w:tcPr>
          <w:p w14:paraId="0236836E" w14:textId="292B5FB5" w:rsidR="008F1154" w:rsidRPr="00115F4D" w:rsidRDefault="00E42F3C" w:rsidP="00891C31">
            <w:pPr>
              <w:rPr>
                <w:rFonts w:ascii="Arial" w:eastAsia="Calibri" w:hAnsi="Arial" w:cs="Arial"/>
              </w:rPr>
            </w:pPr>
            <m:oMathPara>
              <m:oMath>
                <m:sSubSup>
                  <m:sSubSupPr>
                    <m:ctrlPr>
                      <w:rPr>
                        <w:rFonts w:ascii="Cambria Math" w:eastAsiaTheme="minorEastAsia" w:hAnsi="Cambria Math" w:cs="Arial"/>
                      </w:rPr>
                    </m:ctrlPr>
                  </m:sSubSupPr>
                  <m:e>
                    <m:r>
                      <w:rPr>
                        <w:rFonts w:ascii="Cambria Math" w:eastAsiaTheme="minorEastAsia" w:hAnsi="Cambria Math" w:cs="Arial"/>
                      </w:rPr>
                      <m:t>f</m:t>
                    </m:r>
                  </m:e>
                  <m:sub>
                    <m:r>
                      <w:rPr>
                        <w:rFonts w:ascii="Cambria Math" w:eastAsiaTheme="minorEastAsia" w:hAnsi="Cambria Math" w:cs="Arial"/>
                      </w:rPr>
                      <m:t>T</m:t>
                    </m:r>
                  </m:sub>
                  <m:sup>
                    <m:d>
                      <m:dPr>
                        <m:ctrlPr>
                          <w:rPr>
                            <w:rFonts w:ascii="Cambria Math" w:eastAsiaTheme="minorEastAsia" w:hAnsi="Cambria Math" w:cs="Arial"/>
                          </w:rPr>
                        </m:ctrlPr>
                      </m:dPr>
                      <m:e>
                        <m:r>
                          <w:rPr>
                            <w:rFonts w:ascii="Cambria Math" w:eastAsiaTheme="minorEastAsia" w:hAnsi="Cambria Math" w:cs="Arial"/>
                          </w:rPr>
                          <m:t>k</m:t>
                        </m:r>
                      </m:e>
                    </m:d>
                  </m:sup>
                </m:sSubSup>
                <m:r>
                  <m:rPr>
                    <m:sty m:val="p"/>
                  </m:rPr>
                  <w:rPr>
                    <w:rFonts w:ascii="Cambria Math" w:eastAsiaTheme="minorEastAsia" w:hAnsi="Cambria Math" w:cs="Arial"/>
                  </w:rPr>
                  <m:t>=</m:t>
                </m:r>
                <m:f>
                  <m:fPr>
                    <m:ctrlPr>
                      <w:rPr>
                        <w:rFonts w:ascii="Cambria Math" w:eastAsiaTheme="minorEastAsia" w:hAnsi="Cambria Math" w:cs="Arial"/>
                      </w:rPr>
                    </m:ctrlPr>
                  </m:fPr>
                  <m:num>
                    <m:sSubSup>
                      <m:sSubSupPr>
                        <m:ctrlPr>
                          <w:rPr>
                            <w:rFonts w:ascii="Cambria Math" w:eastAsiaTheme="minorEastAsia" w:hAnsi="Cambria Math" w:cs="Arial"/>
                          </w:rPr>
                        </m:ctrlPr>
                      </m:sSubSupPr>
                      <m:e>
                        <m:r>
                          <w:rPr>
                            <w:rFonts w:ascii="Cambria Math" w:eastAsiaTheme="minorEastAsia" w:hAnsi="Cambria Math" w:cs="Arial"/>
                          </w:rPr>
                          <m:t>d</m:t>
                        </m:r>
                      </m:e>
                      <m:sub>
                        <m:r>
                          <w:rPr>
                            <w:rFonts w:ascii="Cambria Math" w:eastAsiaTheme="minorEastAsia" w:hAnsi="Cambria Math" w:cs="Arial"/>
                          </w:rPr>
                          <m:t>T</m:t>
                        </m:r>
                      </m:sub>
                      <m:sup>
                        <m:d>
                          <m:dPr>
                            <m:ctrlPr>
                              <w:rPr>
                                <w:rFonts w:ascii="Cambria Math" w:eastAsiaTheme="minorEastAsia" w:hAnsi="Cambria Math" w:cs="Arial"/>
                              </w:rPr>
                            </m:ctrlPr>
                          </m:dPr>
                          <m:e>
                            <m:r>
                              <w:rPr>
                                <w:rFonts w:ascii="Cambria Math" w:eastAsiaTheme="minorEastAsia" w:hAnsi="Cambria Math" w:cs="Arial"/>
                              </w:rPr>
                              <m:t>k</m:t>
                            </m:r>
                          </m:e>
                        </m:d>
                      </m:sup>
                    </m:sSubSup>
                    <m:r>
                      <m:rPr>
                        <m:sty m:val="p"/>
                      </m:rPr>
                      <w:rPr>
                        <w:rFonts w:ascii="Cambria Math" w:eastAsiaTheme="minorEastAsia" w:hAnsi="Cambria Math" w:cs="Arial"/>
                      </w:rPr>
                      <m:t>-</m:t>
                    </m:r>
                    <m:sSubSup>
                      <m:sSubSupPr>
                        <m:ctrlPr>
                          <w:rPr>
                            <w:rFonts w:ascii="Cambria Math" w:eastAsiaTheme="minorEastAsia" w:hAnsi="Cambria Math" w:cs="Arial"/>
                          </w:rPr>
                        </m:ctrlPr>
                      </m:sSubSupPr>
                      <m:e>
                        <m:r>
                          <w:rPr>
                            <w:rFonts w:ascii="Cambria Math" w:eastAsiaTheme="minorEastAsia" w:hAnsi="Cambria Math" w:cs="Arial"/>
                          </w:rPr>
                          <m:t>d</m:t>
                        </m:r>
                      </m:e>
                      <m:sub>
                        <m:r>
                          <w:rPr>
                            <w:rFonts w:ascii="Cambria Math" w:eastAsiaTheme="minorEastAsia" w:hAnsi="Cambria Math" w:cs="Arial"/>
                          </w:rPr>
                          <m:t>T</m:t>
                        </m:r>
                        <m:r>
                          <m:rPr>
                            <m:sty m:val="p"/>
                          </m:rPr>
                          <w:rPr>
                            <w:rFonts w:ascii="Cambria Math" w:eastAsiaTheme="minorEastAsia" w:hAnsi="Cambria Math" w:cs="Arial"/>
                          </w:rPr>
                          <m:t>-1</m:t>
                        </m:r>
                      </m:sub>
                      <m:sup>
                        <m:d>
                          <m:dPr>
                            <m:ctrlPr>
                              <w:rPr>
                                <w:rFonts w:ascii="Cambria Math" w:eastAsiaTheme="minorEastAsia" w:hAnsi="Cambria Math" w:cs="Arial"/>
                              </w:rPr>
                            </m:ctrlPr>
                          </m:dPr>
                          <m:e>
                            <m:r>
                              <w:rPr>
                                <w:rFonts w:ascii="Cambria Math" w:eastAsiaTheme="minorEastAsia" w:hAnsi="Cambria Math" w:cs="Arial"/>
                              </w:rPr>
                              <m:t>k</m:t>
                            </m:r>
                          </m:e>
                        </m:d>
                      </m:sup>
                    </m:sSubSup>
                    <m:r>
                      <m:rPr>
                        <m:sty m:val="p"/>
                      </m:rP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Cast</m:t>
                        </m:r>
                      </m:e>
                      <m:sub>
                        <m:r>
                          <w:rPr>
                            <w:rFonts w:ascii="Cambria Math" w:eastAsiaTheme="minorEastAsia" w:hAnsi="Cambria Math" w:cs="Arial"/>
                          </w:rPr>
                          <m:t>T</m:t>
                        </m:r>
                      </m:sub>
                      <m:sup>
                        <m:d>
                          <m:dPr>
                            <m:ctrlPr>
                              <w:rPr>
                                <w:rFonts w:ascii="Cambria Math" w:eastAsiaTheme="minorEastAsia" w:hAnsi="Cambria Math" w:cs="Arial"/>
                                <w:i/>
                              </w:rPr>
                            </m:ctrlPr>
                          </m:dPr>
                          <m:e>
                            <m:r>
                              <w:rPr>
                                <w:rFonts w:ascii="Cambria Math" w:eastAsiaTheme="minorEastAsia" w:hAnsi="Cambria Math" w:cs="Arial"/>
                              </w:rPr>
                              <m:t>k</m:t>
                            </m:r>
                          </m:e>
                        </m:d>
                      </m:sup>
                    </m:sSubSup>
                  </m:num>
                  <m:den>
                    <m:sSubSup>
                      <m:sSubSupPr>
                        <m:ctrlPr>
                          <w:rPr>
                            <w:rFonts w:ascii="Cambria Math" w:eastAsiaTheme="minorEastAsia" w:hAnsi="Cambria Math" w:cs="Arial"/>
                            <w:i/>
                          </w:rPr>
                        </m:ctrlPr>
                      </m:sSubSupPr>
                      <m:e>
                        <m:r>
                          <w:rPr>
                            <w:rFonts w:ascii="Cambria Math" w:eastAsiaTheme="minorEastAsia" w:hAnsi="Cambria Math" w:cs="Arial"/>
                          </w:rPr>
                          <m:t>F</m:t>
                        </m:r>
                      </m:e>
                      <m:sub>
                        <m:r>
                          <w:rPr>
                            <w:rFonts w:ascii="Cambria Math" w:eastAsiaTheme="minorEastAsia" w:hAnsi="Cambria Math" w:cs="Arial"/>
                          </w:rPr>
                          <m:t>T</m:t>
                        </m:r>
                      </m:sub>
                      <m:sup>
                        <m:d>
                          <m:dPr>
                            <m:ctrlPr>
                              <w:rPr>
                                <w:rFonts w:ascii="Cambria Math" w:eastAsiaTheme="minorEastAsia" w:hAnsi="Cambria Math" w:cs="Arial"/>
                                <w:i/>
                              </w:rPr>
                            </m:ctrlPr>
                          </m:dPr>
                          <m:e>
                            <m:r>
                              <w:rPr>
                                <w:rFonts w:ascii="Cambria Math" w:eastAsiaTheme="minorEastAsia" w:hAnsi="Cambria Math" w:cs="Arial"/>
                              </w:rPr>
                              <m:t>k</m:t>
                            </m:r>
                          </m:e>
                        </m:d>
                      </m:sup>
                    </m:sSubSup>
                  </m:den>
                </m:f>
              </m:oMath>
            </m:oMathPara>
          </w:p>
        </w:tc>
        <w:tc>
          <w:tcPr>
            <w:tcW w:w="485" w:type="dxa"/>
            <w:vAlign w:val="center"/>
          </w:tcPr>
          <w:p w14:paraId="005CD341" w14:textId="377F667F" w:rsidR="008F1154" w:rsidRPr="00115F4D" w:rsidRDefault="008F1154" w:rsidP="00891C31">
            <w:pPr>
              <w:rPr>
                <w:rFonts w:ascii="Arial" w:hAnsi="Arial" w:cs="Arial"/>
              </w:rPr>
            </w:pPr>
          </w:p>
        </w:tc>
      </w:tr>
    </w:tbl>
    <w:p w14:paraId="58C07025" w14:textId="64D1F27A" w:rsidR="008F1154" w:rsidRPr="00115F4D" w:rsidRDefault="008F1154" w:rsidP="00891C31">
      <w:pPr>
        <w:spacing w:after="0"/>
        <w:jc w:val="both"/>
        <w:rPr>
          <w:rFonts w:ascii="Arial" w:hAnsi="Arial" w:cs="Arial"/>
        </w:rPr>
      </w:pPr>
      <w:r w:rsidRPr="00115F4D">
        <w:rPr>
          <w:rFonts w:ascii="Arial" w:hAnsi="Arial" w:cs="Arial"/>
        </w:rPr>
        <w:t xml:space="preserve">Al analizar la información entregada por los comercializadores solicitada en la circular 075 de 2021 y en las circulares 022 y 023 de 2023, se encontró que para algunos comercializadores la expresión </w:t>
      </w:r>
      <m:oMath>
        <m:sSubSup>
          <m:sSubSupPr>
            <m:ctrlPr>
              <w:rPr>
                <w:rFonts w:ascii="Cambria Math" w:hAnsi="Cambria Math" w:cs="Arial"/>
                <w:sz w:val="20"/>
                <w:szCs w:val="20"/>
              </w:rPr>
            </m:ctrlPr>
          </m:sSubSupPr>
          <m:e>
            <m:r>
              <w:rPr>
                <w:rFonts w:ascii="Cambria Math" w:hAnsi="Cambria Math" w:cs="Arial"/>
                <w:sz w:val="20"/>
                <w:szCs w:val="20"/>
              </w:rPr>
              <m:t>d</m:t>
            </m:r>
          </m:e>
          <m:sub>
            <m:r>
              <w:rPr>
                <w:rFonts w:ascii="Cambria Math" w:hAnsi="Cambria Math" w:cs="Arial"/>
                <w:sz w:val="20"/>
                <w:szCs w:val="20"/>
              </w:rPr>
              <m:t>T</m:t>
            </m:r>
          </m:sub>
          <m:sup>
            <m:d>
              <m:dPr>
                <m:ctrlPr>
                  <w:rPr>
                    <w:rFonts w:ascii="Cambria Math" w:hAnsi="Cambria Math" w:cs="Arial"/>
                    <w:sz w:val="20"/>
                    <w:szCs w:val="20"/>
                  </w:rPr>
                </m:ctrlPr>
              </m:dPr>
              <m:e>
                <m:r>
                  <w:rPr>
                    <w:rFonts w:ascii="Cambria Math" w:hAnsi="Cambria Math" w:cs="Arial"/>
                    <w:sz w:val="20"/>
                    <w:szCs w:val="20"/>
                  </w:rPr>
                  <m:t>k</m:t>
                </m:r>
              </m:e>
            </m:d>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d</m:t>
            </m:r>
          </m:e>
          <m:sub>
            <m:r>
              <w:rPr>
                <w:rFonts w:ascii="Cambria Math" w:hAnsi="Cambria Math" w:cs="Arial"/>
                <w:sz w:val="20"/>
                <w:szCs w:val="20"/>
              </w:rPr>
              <m:t>T</m:t>
            </m:r>
            <m:r>
              <m:rPr>
                <m:sty m:val="p"/>
              </m:rPr>
              <w:rPr>
                <w:rFonts w:ascii="Cambria Math" w:hAnsi="Cambria Math" w:cs="Arial"/>
                <w:sz w:val="20"/>
                <w:szCs w:val="20"/>
              </w:rPr>
              <m:t>-1</m:t>
            </m:r>
          </m:sub>
          <m:sup>
            <m:d>
              <m:dPr>
                <m:ctrlPr>
                  <w:rPr>
                    <w:rFonts w:ascii="Cambria Math" w:hAnsi="Cambria Math" w:cs="Arial"/>
                    <w:sz w:val="20"/>
                    <w:szCs w:val="20"/>
                  </w:rPr>
                </m:ctrlPr>
              </m:dPr>
              <m:e>
                <m:r>
                  <w:rPr>
                    <w:rFonts w:ascii="Cambria Math" w:hAnsi="Cambria Math" w:cs="Arial"/>
                    <w:sz w:val="20"/>
                    <w:szCs w:val="20"/>
                  </w:rPr>
                  <m:t>k</m:t>
                </m:r>
              </m:e>
            </m:d>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Cast</m:t>
            </m:r>
          </m:e>
          <m:sub>
            <m:r>
              <w:rPr>
                <w:rFonts w:ascii="Cambria Math" w:hAnsi="Cambria Math" w:cs="Arial"/>
                <w:sz w:val="20"/>
                <w:szCs w:val="20"/>
              </w:rPr>
              <m:t>T</m:t>
            </m:r>
          </m:sub>
          <m:sup>
            <m:d>
              <m:dPr>
                <m:ctrlPr>
                  <w:rPr>
                    <w:rFonts w:ascii="Cambria Math" w:hAnsi="Cambria Math" w:cs="Arial"/>
                    <w:sz w:val="20"/>
                    <w:szCs w:val="20"/>
                  </w:rPr>
                </m:ctrlPr>
              </m:dPr>
              <m:e>
                <m:r>
                  <w:rPr>
                    <w:rFonts w:ascii="Cambria Math" w:hAnsi="Cambria Math" w:cs="Arial"/>
                    <w:sz w:val="20"/>
                    <w:szCs w:val="20"/>
                  </w:rPr>
                  <m:t>k</m:t>
                </m:r>
              </m:e>
            </m:d>
          </m:sup>
        </m:sSubSup>
      </m:oMath>
      <w:r w:rsidRPr="00115F4D">
        <w:rPr>
          <w:rFonts w:ascii="Arial" w:hAnsi="Arial" w:cs="Arial"/>
        </w:rPr>
        <w:t xml:space="preserve">presentaba valores negativos, lo que finalmente produce valores negativos del </w:t>
      </w:r>
      <w:proofErr w:type="gramStart"/>
      <w:r w:rsidRPr="00115F4D">
        <w:rPr>
          <w:rFonts w:ascii="Arial" w:hAnsi="Arial" w:cs="Arial"/>
          <w:bCs/>
          <w:i/>
          <w:lang w:eastAsia="ar-SA"/>
        </w:rPr>
        <w:t>RCAE</w:t>
      </w:r>
      <w:r w:rsidRPr="00115F4D">
        <w:rPr>
          <w:rFonts w:ascii="Arial" w:hAnsi="Arial" w:cs="Arial"/>
          <w:bCs/>
          <w:i/>
          <w:vertAlign w:val="subscript"/>
          <w:lang w:eastAsia="ar-SA"/>
        </w:rPr>
        <w:t>j,t</w:t>
      </w:r>
      <w:r w:rsidRPr="00115F4D">
        <w:rPr>
          <w:rFonts w:ascii="Arial" w:hAnsi="Arial" w:cs="Arial"/>
        </w:rPr>
        <w:t>.</w:t>
      </w:r>
      <w:proofErr w:type="gramEnd"/>
      <w:r w:rsidRPr="00115F4D">
        <w:rPr>
          <w:rFonts w:ascii="Arial" w:hAnsi="Arial" w:cs="Arial"/>
        </w:rPr>
        <w:t xml:space="preserve"> Esta situación se presenta porque la variación de cuentas por cobrar mayores a un año </w:t>
      </w:r>
      <m:oMath>
        <m:sSubSup>
          <m:sSubSupPr>
            <m:ctrlPr>
              <w:rPr>
                <w:rFonts w:ascii="Cambria Math" w:hAnsi="Cambria Math" w:cs="Arial"/>
                <w:sz w:val="20"/>
                <w:szCs w:val="20"/>
              </w:rPr>
            </m:ctrlPr>
          </m:sSubSupPr>
          <m:e>
            <m:r>
              <w:rPr>
                <w:rFonts w:ascii="Cambria Math" w:hAnsi="Cambria Math" w:cs="Arial"/>
                <w:sz w:val="20"/>
                <w:szCs w:val="20"/>
              </w:rPr>
              <m:t>d</m:t>
            </m:r>
          </m:e>
          <m:sub>
            <m:r>
              <w:rPr>
                <w:rFonts w:ascii="Cambria Math" w:hAnsi="Cambria Math" w:cs="Arial"/>
                <w:sz w:val="20"/>
                <w:szCs w:val="20"/>
              </w:rPr>
              <m:t>T</m:t>
            </m:r>
          </m:sub>
          <m:sup>
            <m:d>
              <m:dPr>
                <m:ctrlPr>
                  <w:rPr>
                    <w:rFonts w:ascii="Cambria Math" w:hAnsi="Cambria Math" w:cs="Arial"/>
                    <w:sz w:val="20"/>
                    <w:szCs w:val="20"/>
                  </w:rPr>
                </m:ctrlPr>
              </m:dPr>
              <m:e>
                <m:r>
                  <w:rPr>
                    <w:rFonts w:ascii="Cambria Math" w:hAnsi="Cambria Math" w:cs="Arial"/>
                    <w:sz w:val="20"/>
                    <w:szCs w:val="20"/>
                  </w:rPr>
                  <m:t>k</m:t>
                </m:r>
              </m:e>
            </m:d>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d</m:t>
            </m:r>
          </m:e>
          <m:sub>
            <m:r>
              <w:rPr>
                <w:rFonts w:ascii="Cambria Math" w:hAnsi="Cambria Math" w:cs="Arial"/>
                <w:sz w:val="20"/>
                <w:szCs w:val="20"/>
              </w:rPr>
              <m:t>T</m:t>
            </m:r>
            <m:r>
              <m:rPr>
                <m:sty m:val="p"/>
              </m:rPr>
              <w:rPr>
                <w:rFonts w:ascii="Cambria Math" w:hAnsi="Cambria Math" w:cs="Arial"/>
                <w:sz w:val="20"/>
                <w:szCs w:val="20"/>
              </w:rPr>
              <m:t>-1</m:t>
            </m:r>
          </m:sub>
          <m:sup>
            <m:d>
              <m:dPr>
                <m:ctrlPr>
                  <w:rPr>
                    <w:rFonts w:ascii="Cambria Math" w:hAnsi="Cambria Math" w:cs="Arial"/>
                    <w:sz w:val="20"/>
                    <w:szCs w:val="20"/>
                  </w:rPr>
                </m:ctrlPr>
              </m:dPr>
              <m:e>
                <m:r>
                  <w:rPr>
                    <w:rFonts w:ascii="Cambria Math" w:hAnsi="Cambria Math" w:cs="Arial"/>
                    <w:sz w:val="20"/>
                    <w:szCs w:val="20"/>
                  </w:rPr>
                  <m:t>k</m:t>
                </m:r>
              </m:e>
            </m:d>
          </m:sup>
        </m:sSubSup>
      </m:oMath>
      <w:r w:rsidRPr="00115F4D">
        <w:rPr>
          <w:rFonts w:ascii="Arial" w:hAnsi="Arial" w:cs="Arial"/>
        </w:rPr>
        <w:t xml:space="preserve"> es de una magnitud mayor al castigo de cartera </w:t>
      </w:r>
      <m:oMath>
        <m:sSubSup>
          <m:sSubSupPr>
            <m:ctrlPr>
              <w:rPr>
                <w:rFonts w:ascii="Cambria Math" w:hAnsi="Cambria Math" w:cs="Arial"/>
                <w:sz w:val="20"/>
                <w:szCs w:val="20"/>
              </w:rPr>
            </m:ctrlPr>
          </m:sSubSupPr>
          <m:e>
            <m:r>
              <w:rPr>
                <w:rFonts w:ascii="Cambria Math" w:hAnsi="Cambria Math" w:cs="Arial"/>
                <w:sz w:val="20"/>
                <w:szCs w:val="20"/>
              </w:rPr>
              <m:t>Cast</m:t>
            </m:r>
          </m:e>
          <m:sub>
            <m:r>
              <w:rPr>
                <w:rFonts w:ascii="Cambria Math" w:hAnsi="Cambria Math" w:cs="Arial"/>
                <w:sz w:val="20"/>
                <w:szCs w:val="20"/>
              </w:rPr>
              <m:t>T</m:t>
            </m:r>
          </m:sub>
          <m:sup>
            <m:d>
              <m:dPr>
                <m:ctrlPr>
                  <w:rPr>
                    <w:rFonts w:ascii="Cambria Math" w:hAnsi="Cambria Math" w:cs="Arial"/>
                    <w:sz w:val="20"/>
                    <w:szCs w:val="20"/>
                  </w:rPr>
                </m:ctrlPr>
              </m:dPr>
              <m:e>
                <m:r>
                  <w:rPr>
                    <w:rFonts w:ascii="Cambria Math" w:hAnsi="Cambria Math" w:cs="Arial"/>
                    <w:sz w:val="20"/>
                    <w:szCs w:val="20"/>
                  </w:rPr>
                  <m:t>k</m:t>
                </m:r>
              </m:e>
            </m:d>
          </m:sup>
        </m:sSubSup>
      </m:oMath>
      <w:r w:rsidRPr="00115F4D">
        <w:rPr>
          <w:rFonts w:ascii="Arial" w:hAnsi="Arial" w:cs="Arial"/>
        </w:rPr>
        <w:t xml:space="preserve">. Esto está indicando que la recuperación de las cuentas por cobrar mayores un año (gestionable en algunos usuarios) fue mayor al castigo de cartera (no gestionable), en otras palabras, se están reconociendo algunos valores gestionables de cartera que están anulado el riesgo no gestionable por los comercializadores representado en el castigo de cartera. </w:t>
      </w:r>
    </w:p>
    <w:p w14:paraId="0424D41B" w14:textId="4C9025C1" w:rsidR="008F1154" w:rsidRPr="00115F4D" w:rsidRDefault="008F1154" w:rsidP="00891C31">
      <w:pPr>
        <w:spacing w:after="0"/>
        <w:jc w:val="both"/>
        <w:rPr>
          <w:rFonts w:ascii="Arial" w:hAnsi="Arial" w:cs="Arial"/>
        </w:rPr>
      </w:pPr>
      <w:r w:rsidRPr="00115F4D">
        <w:rPr>
          <w:rFonts w:ascii="Arial" w:hAnsi="Arial" w:cs="Arial"/>
        </w:rPr>
        <w:t xml:space="preserve">Para ilustrar esta explicación traemos el siguiente caso hipotético. Para una categoría </w:t>
      </w:r>
      <w:r w:rsidRPr="00115F4D">
        <w:rPr>
          <w:rFonts w:ascii="Arial" w:hAnsi="Arial" w:cs="Arial"/>
          <w:i/>
          <w:iCs/>
        </w:rPr>
        <w:t>k</w:t>
      </w:r>
      <w:r w:rsidRPr="00115F4D">
        <w:rPr>
          <w:rFonts w:ascii="Arial" w:hAnsi="Arial" w:cs="Arial"/>
        </w:rPr>
        <w:t xml:space="preserve"> de un área especial, el comercializador </w:t>
      </w:r>
      <w:r w:rsidRPr="00115F4D">
        <w:rPr>
          <w:rFonts w:ascii="Arial" w:hAnsi="Arial" w:cs="Arial"/>
          <w:i/>
          <w:iCs/>
        </w:rPr>
        <w:t>j</w:t>
      </w:r>
      <w:r w:rsidRPr="00115F4D">
        <w:rPr>
          <w:rFonts w:ascii="Arial" w:hAnsi="Arial" w:cs="Arial"/>
        </w:rPr>
        <w:t xml:space="preserve"> reporto en el año 2019 una facturación total de $10.000, para el año 2019 reporto cuentas por cobrar mayores a un año por valor de $200, mientras que en el año 2018 reporto cuentas por cobrar mayores a un año por valor de $500. El castigo de cartera en el año 2019 fue de $80. Aplicando la ecuación 5 a esta información tendríamos:</w:t>
      </w:r>
    </w:p>
    <w:p w14:paraId="13E9C47C" w14:textId="417AFD78" w:rsidR="008F1154" w:rsidRPr="00115F4D" w:rsidRDefault="00E42F3C" w:rsidP="00891C31">
      <w:pPr>
        <w:spacing w:after="0"/>
        <w:jc w:val="both"/>
        <w:rPr>
          <w:rFonts w:ascii="Arial" w:hAnsi="Arial" w:cs="Arial"/>
          <w:sz w:val="20"/>
          <w:szCs w:val="20"/>
        </w:rPr>
      </w:pPr>
      <m:oMathPara>
        <m:oMath>
          <m:sSubSup>
            <m:sSubSupPr>
              <m:ctrlPr>
                <w:rPr>
                  <w:rFonts w:ascii="Cambria Math" w:eastAsiaTheme="minorEastAsia" w:hAnsi="Cambria Math" w:cs="Arial"/>
                  <w:sz w:val="20"/>
                  <w:szCs w:val="20"/>
                </w:rPr>
              </m:ctrlPr>
            </m:sSubSupPr>
            <m:e>
              <m:r>
                <w:rPr>
                  <w:rFonts w:ascii="Cambria Math" w:eastAsiaTheme="minorEastAsia" w:hAnsi="Cambria Math" w:cs="Arial"/>
                  <w:sz w:val="20"/>
                  <w:szCs w:val="20"/>
                </w:rPr>
                <m:t>f</m:t>
              </m:r>
            </m:e>
            <m:sub>
              <m:r>
                <w:rPr>
                  <w:rFonts w:ascii="Cambria Math" w:eastAsiaTheme="minorEastAsia" w:hAnsi="Cambria Math" w:cs="Arial"/>
                  <w:sz w:val="20"/>
                  <w:szCs w:val="20"/>
                </w:rPr>
                <m:t>T</m:t>
              </m:r>
            </m:sub>
            <m:sup>
              <m:d>
                <m:dPr>
                  <m:ctrlPr>
                    <w:rPr>
                      <w:rFonts w:ascii="Cambria Math" w:eastAsiaTheme="minorEastAsia" w:hAnsi="Cambria Math" w:cs="Arial"/>
                      <w:sz w:val="20"/>
                      <w:szCs w:val="20"/>
                    </w:rPr>
                  </m:ctrlPr>
                </m:dPr>
                <m:e>
                  <m:r>
                    <w:rPr>
                      <w:rFonts w:ascii="Cambria Math" w:eastAsiaTheme="minorEastAsia" w:hAnsi="Cambria Math" w:cs="Arial"/>
                      <w:sz w:val="20"/>
                      <w:szCs w:val="20"/>
                    </w:rPr>
                    <m:t>k</m:t>
                  </m:r>
                </m:e>
              </m:d>
            </m:sup>
          </m:sSubSup>
          <m:r>
            <m:rPr>
              <m:sty m:val="p"/>
            </m:rPr>
            <w:rPr>
              <w:rFonts w:ascii="Cambria Math" w:eastAsiaTheme="minorEastAsia" w:hAnsi="Cambria Math" w:cs="Arial"/>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200-500+</m:t>
              </m:r>
              <m:r>
                <w:rPr>
                  <w:rFonts w:ascii="Cambria Math" w:eastAsiaTheme="minorEastAsia" w:hAnsi="Cambria Math" w:cs="Arial"/>
                  <w:sz w:val="20"/>
                  <w:szCs w:val="20"/>
                </w:rPr>
                <m:t>80</m:t>
              </m:r>
            </m:num>
            <m:den>
              <m:r>
                <w:rPr>
                  <w:rFonts w:ascii="Cambria Math" w:eastAsiaTheme="minorEastAsia" w:hAnsi="Cambria Math" w:cs="Arial"/>
                  <w:sz w:val="20"/>
                  <w:szCs w:val="20"/>
                </w:rPr>
                <m:t>10.000</m:t>
              </m:r>
            </m:den>
          </m:f>
          <m:r>
            <w:rPr>
              <w:rFonts w:ascii="Cambria Math" w:eastAsiaTheme="minorEastAsia" w:hAnsi="Cambria Math" w:cs="Arial"/>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Arial"/>
                  <w:sz w:val="20"/>
                  <w:szCs w:val="20"/>
                </w:rPr>
                <m:t>-220</m:t>
              </m:r>
            </m:num>
            <m:den>
              <m:r>
                <w:rPr>
                  <w:rFonts w:ascii="Cambria Math" w:eastAsiaTheme="minorEastAsia" w:hAnsi="Cambria Math" w:cs="Arial"/>
                  <w:sz w:val="20"/>
                  <w:szCs w:val="20"/>
                </w:rPr>
                <m:t>10.000</m:t>
              </m:r>
            </m:den>
          </m:f>
          <m:r>
            <w:rPr>
              <w:rFonts w:ascii="Cambria Math" w:eastAsiaTheme="minorEastAsia" w:hAnsi="Cambria Math" w:cs="Arial"/>
              <w:sz w:val="20"/>
              <w:szCs w:val="20"/>
            </w:rPr>
            <m:t>=-0.022</m:t>
          </m:r>
        </m:oMath>
      </m:oMathPara>
    </w:p>
    <w:p w14:paraId="0A239720" w14:textId="77777777" w:rsidR="008F1154" w:rsidRPr="00115F4D" w:rsidRDefault="008F1154" w:rsidP="00891C31">
      <w:pPr>
        <w:pStyle w:val="Textoindependiente"/>
        <w:spacing w:line="259" w:lineRule="auto"/>
        <w:jc w:val="both"/>
        <w:rPr>
          <w:rFonts w:ascii="Arial" w:eastAsiaTheme="minorHAnsi" w:hAnsi="Arial" w:cs="Arial"/>
          <w:lang w:val="es-CO"/>
        </w:rPr>
      </w:pPr>
    </w:p>
    <w:p w14:paraId="12696472" w14:textId="4713706D" w:rsidR="008F1154" w:rsidRPr="00115F4D" w:rsidRDefault="008F1154" w:rsidP="00891C31">
      <w:pPr>
        <w:pStyle w:val="Textoindependiente"/>
        <w:spacing w:line="259" w:lineRule="auto"/>
        <w:jc w:val="both"/>
        <w:rPr>
          <w:rFonts w:ascii="Arial" w:hAnsi="Arial" w:cs="Arial"/>
          <w:lang w:val="es-CO"/>
        </w:rPr>
      </w:pPr>
      <w:r w:rsidRPr="00115F4D">
        <w:rPr>
          <w:rFonts w:ascii="Arial" w:eastAsiaTheme="minorHAnsi" w:hAnsi="Arial" w:cs="Arial"/>
          <w:lang w:val="es-CO"/>
        </w:rPr>
        <w:t xml:space="preserve">Este resultado implica que el comercializador </w:t>
      </w:r>
      <w:r w:rsidRPr="00115F4D">
        <w:rPr>
          <w:rFonts w:ascii="Arial" w:eastAsiaTheme="minorHAnsi" w:hAnsi="Arial" w:cs="Arial"/>
          <w:i/>
          <w:iCs/>
          <w:lang w:val="es-CO"/>
        </w:rPr>
        <w:t>j</w:t>
      </w:r>
      <w:r w:rsidRPr="00115F4D">
        <w:rPr>
          <w:rFonts w:ascii="Arial" w:eastAsiaTheme="minorHAnsi" w:hAnsi="Arial" w:cs="Arial"/>
          <w:lang w:val="es-CO"/>
        </w:rPr>
        <w:t xml:space="preserve">, no reciba una prima por riesgo de cartera, sino que por el contrario tenga que pagarla, lo cual carece de sentido económico. El verdadero riesgo de cartera se materializa por el castigo de cartera definido como el gasto de cartera que se considera imposible de recuperar, cumpliendo con los procedimientos fiscales </w:t>
      </w:r>
      <w:r w:rsidRPr="00115F4D">
        <w:rPr>
          <w:rFonts w:ascii="Arial" w:hAnsi="Arial" w:cs="Arial"/>
          <w:lang w:val="es-CO"/>
        </w:rPr>
        <w:t xml:space="preserve">y por lo tanto es el valor que debería recocerse. </w:t>
      </w:r>
      <w:r w:rsidR="00C06B89">
        <w:rPr>
          <w:rFonts w:ascii="Arial" w:hAnsi="Arial" w:cs="Arial"/>
          <w:lang w:val="es-CO"/>
        </w:rPr>
        <w:t>Adicionalmente,</w:t>
      </w:r>
      <w:r w:rsidRPr="00115F4D">
        <w:rPr>
          <w:rFonts w:ascii="Arial" w:hAnsi="Arial" w:cs="Arial"/>
          <w:lang w:val="es-CO"/>
        </w:rPr>
        <w:t xml:space="preserve"> los valores no recuperables de las cuentas por cobrar mayores a un año se les realiza una provisión y posteriormente se incluyen en el castigo de cartera, por lo cual la expresión</w:t>
      </w:r>
      <w:r w:rsidR="000F03B6" w:rsidRPr="00115F4D">
        <w:rPr>
          <w:rFonts w:ascii="Arial" w:hAnsi="Arial" w:cs="Arial"/>
          <w:lang w:val="es-CO"/>
        </w:rPr>
        <w:t xml:space="preserve"> referenciada</w:t>
      </w:r>
      <w:r w:rsidRPr="00115F4D">
        <w:rPr>
          <w:rFonts w:ascii="Arial" w:hAnsi="Arial" w:cs="Arial"/>
          <w:lang w:val="es-CO"/>
        </w:rPr>
        <w:t xml:space="preserve"> </w:t>
      </w:r>
      <m:oMath>
        <m:sSubSup>
          <m:sSubSupPr>
            <m:ctrlPr>
              <w:rPr>
                <w:rFonts w:ascii="Cambria Math" w:eastAsiaTheme="minorHAnsi" w:hAnsi="Cambria Math" w:cs="Arial"/>
                <w:sz w:val="20"/>
                <w:szCs w:val="20"/>
                <w:lang w:val="es-CO"/>
              </w:rPr>
            </m:ctrlPr>
          </m:sSubSupPr>
          <m:e>
            <m:r>
              <w:rPr>
                <w:rFonts w:ascii="Cambria Math" w:eastAsiaTheme="minorHAnsi" w:hAnsi="Cambria Math" w:cs="Arial"/>
                <w:sz w:val="20"/>
                <w:szCs w:val="20"/>
                <w:lang w:val="es-CO"/>
              </w:rPr>
              <m:t>d</m:t>
            </m:r>
          </m:e>
          <m:sub>
            <m:r>
              <w:rPr>
                <w:rFonts w:ascii="Cambria Math" w:eastAsiaTheme="minorHAnsi" w:hAnsi="Cambria Math" w:cs="Arial"/>
                <w:sz w:val="20"/>
                <w:szCs w:val="20"/>
                <w:lang w:val="es-CO"/>
              </w:rPr>
              <m:t>T</m:t>
            </m:r>
          </m:sub>
          <m:sup>
            <m:d>
              <m:dPr>
                <m:ctrlPr>
                  <w:rPr>
                    <w:rFonts w:ascii="Cambria Math" w:eastAsiaTheme="minorHAnsi" w:hAnsi="Cambria Math" w:cs="Arial"/>
                    <w:sz w:val="20"/>
                    <w:szCs w:val="20"/>
                    <w:lang w:val="es-CO"/>
                  </w:rPr>
                </m:ctrlPr>
              </m:dPr>
              <m:e>
                <m:r>
                  <w:rPr>
                    <w:rFonts w:ascii="Cambria Math" w:eastAsiaTheme="minorHAnsi" w:hAnsi="Cambria Math" w:cs="Arial"/>
                    <w:sz w:val="20"/>
                    <w:szCs w:val="20"/>
                    <w:lang w:val="es-CO"/>
                  </w:rPr>
                  <m:t>k</m:t>
                </m:r>
              </m:e>
            </m:d>
          </m:sup>
        </m:sSubSup>
        <m:r>
          <m:rPr>
            <m:sty m:val="p"/>
          </m:rPr>
          <w:rPr>
            <w:rFonts w:ascii="Cambria Math" w:eastAsiaTheme="minorHAnsi" w:hAnsi="Cambria Math" w:cs="Arial"/>
            <w:sz w:val="20"/>
            <w:szCs w:val="20"/>
            <w:lang w:val="es-CO"/>
          </w:rPr>
          <m:t>-</m:t>
        </m:r>
        <m:sSubSup>
          <m:sSubSupPr>
            <m:ctrlPr>
              <w:rPr>
                <w:rFonts w:ascii="Cambria Math" w:eastAsiaTheme="minorHAnsi" w:hAnsi="Cambria Math" w:cs="Arial"/>
                <w:sz w:val="20"/>
                <w:szCs w:val="20"/>
                <w:lang w:val="es-CO"/>
              </w:rPr>
            </m:ctrlPr>
          </m:sSubSupPr>
          <m:e>
            <m:r>
              <w:rPr>
                <w:rFonts w:ascii="Cambria Math" w:eastAsiaTheme="minorHAnsi" w:hAnsi="Cambria Math" w:cs="Arial"/>
                <w:sz w:val="20"/>
                <w:szCs w:val="20"/>
                <w:lang w:val="es-CO"/>
              </w:rPr>
              <m:t>d</m:t>
            </m:r>
          </m:e>
          <m:sub>
            <m:r>
              <w:rPr>
                <w:rFonts w:ascii="Cambria Math" w:eastAsiaTheme="minorHAnsi" w:hAnsi="Cambria Math" w:cs="Arial"/>
                <w:sz w:val="20"/>
                <w:szCs w:val="20"/>
                <w:lang w:val="es-CO"/>
              </w:rPr>
              <m:t>T</m:t>
            </m:r>
            <m:r>
              <m:rPr>
                <m:sty m:val="p"/>
              </m:rPr>
              <w:rPr>
                <w:rFonts w:ascii="Cambria Math" w:eastAsiaTheme="minorHAnsi" w:hAnsi="Cambria Math" w:cs="Arial"/>
                <w:sz w:val="20"/>
                <w:szCs w:val="20"/>
                <w:lang w:val="es-CO"/>
              </w:rPr>
              <m:t>-1</m:t>
            </m:r>
          </m:sub>
          <m:sup>
            <m:d>
              <m:dPr>
                <m:ctrlPr>
                  <w:rPr>
                    <w:rFonts w:ascii="Cambria Math" w:eastAsiaTheme="minorHAnsi" w:hAnsi="Cambria Math" w:cs="Arial"/>
                    <w:sz w:val="20"/>
                    <w:szCs w:val="20"/>
                    <w:lang w:val="es-CO"/>
                  </w:rPr>
                </m:ctrlPr>
              </m:dPr>
              <m:e>
                <m:r>
                  <w:rPr>
                    <w:rFonts w:ascii="Cambria Math" w:eastAsiaTheme="minorHAnsi" w:hAnsi="Cambria Math" w:cs="Arial"/>
                    <w:sz w:val="20"/>
                    <w:szCs w:val="20"/>
                    <w:lang w:val="es-CO"/>
                  </w:rPr>
                  <m:t>k</m:t>
                </m:r>
              </m:e>
            </m:d>
          </m:sup>
        </m:sSubSup>
      </m:oMath>
      <w:r w:rsidRPr="00115F4D">
        <w:rPr>
          <w:rFonts w:ascii="Arial" w:hAnsi="Arial" w:cs="Arial"/>
          <w:color w:val="FF0000"/>
          <w:lang w:val="es-CO"/>
        </w:rPr>
        <w:t xml:space="preserve"> </w:t>
      </w:r>
      <w:r w:rsidRPr="00115F4D">
        <w:rPr>
          <w:rFonts w:ascii="Arial" w:hAnsi="Arial" w:cs="Arial"/>
          <w:lang w:val="es-CO"/>
        </w:rPr>
        <w:t xml:space="preserve">es redundante y sobredimensiona el </w:t>
      </w:r>
      <w:proofErr w:type="gramStart"/>
      <w:r w:rsidRPr="00115F4D">
        <w:rPr>
          <w:rFonts w:ascii="Arial" w:hAnsi="Arial" w:cs="Arial"/>
          <w:bCs/>
          <w:i/>
          <w:lang w:val="es-CO" w:eastAsia="ar-SA"/>
        </w:rPr>
        <w:t>RCAE</w:t>
      </w:r>
      <w:r w:rsidRPr="00115F4D">
        <w:rPr>
          <w:rFonts w:ascii="Arial" w:hAnsi="Arial" w:cs="Arial"/>
          <w:bCs/>
          <w:i/>
          <w:vertAlign w:val="subscript"/>
          <w:lang w:val="es-CO" w:eastAsia="ar-SA"/>
        </w:rPr>
        <w:t>j,t</w:t>
      </w:r>
      <w:proofErr w:type="gramEnd"/>
      <w:r w:rsidRPr="00115F4D">
        <w:rPr>
          <w:rFonts w:ascii="Arial" w:hAnsi="Arial" w:cs="Arial"/>
          <w:lang w:val="es-CO"/>
        </w:rPr>
        <w:t xml:space="preserve">  cuando su variación es positiva. Así las cosas, la propuesta consiste en mantener en el numerador de la ecuación 5 solo el castigo de cartera. Para el ejemplo hipotético del comercializador </w:t>
      </w:r>
      <w:r w:rsidRPr="00115F4D">
        <w:rPr>
          <w:rFonts w:ascii="Arial" w:hAnsi="Arial" w:cs="Arial"/>
          <w:i/>
          <w:iCs/>
          <w:lang w:val="es-CO"/>
        </w:rPr>
        <w:t>j</w:t>
      </w:r>
      <w:r w:rsidRPr="00115F4D">
        <w:rPr>
          <w:rFonts w:ascii="Arial" w:hAnsi="Arial" w:cs="Arial"/>
          <w:lang w:val="es-CO"/>
        </w:rPr>
        <w:t xml:space="preserve">, el valor de </w:t>
      </w:r>
      <m:oMath>
        <m:sSubSup>
          <m:sSubSupPr>
            <m:ctrlPr>
              <w:rPr>
                <w:rFonts w:ascii="Cambria Math" w:eastAsiaTheme="minorEastAsia" w:hAnsi="Cambria Math" w:cs="Arial"/>
                <w:lang w:val="es-CO"/>
              </w:rPr>
            </m:ctrlPr>
          </m:sSubSupPr>
          <m:e>
            <m:r>
              <w:rPr>
                <w:rFonts w:ascii="Cambria Math" w:eastAsiaTheme="minorEastAsia" w:hAnsi="Cambria Math" w:cs="Arial"/>
                <w:lang w:val="es-CO"/>
              </w:rPr>
              <m:t>f</m:t>
            </m:r>
          </m:e>
          <m:sub>
            <m:r>
              <w:rPr>
                <w:rFonts w:ascii="Cambria Math" w:eastAsiaTheme="minorEastAsia" w:hAnsi="Cambria Math" w:cs="Arial"/>
                <w:lang w:val="es-CO"/>
              </w:rPr>
              <m:t>T</m:t>
            </m:r>
          </m:sub>
          <m:sup>
            <m:d>
              <m:dPr>
                <m:ctrlPr>
                  <w:rPr>
                    <w:rFonts w:ascii="Cambria Math" w:eastAsiaTheme="minorEastAsia" w:hAnsi="Cambria Math" w:cs="Arial"/>
                    <w:lang w:val="es-CO"/>
                  </w:rPr>
                </m:ctrlPr>
              </m:dPr>
              <m:e>
                <m:r>
                  <w:rPr>
                    <w:rFonts w:ascii="Cambria Math" w:eastAsiaTheme="minorEastAsia" w:hAnsi="Cambria Math" w:cs="Arial"/>
                    <w:lang w:val="es-CO"/>
                  </w:rPr>
                  <m:t>k</m:t>
                </m:r>
              </m:e>
            </m:d>
          </m:sup>
        </m:sSubSup>
      </m:oMath>
      <w:r w:rsidRPr="00115F4D">
        <w:rPr>
          <w:rFonts w:ascii="Arial" w:hAnsi="Arial" w:cs="Arial"/>
          <w:lang w:val="es-CO"/>
        </w:rPr>
        <w:t xml:space="preserve"> sería el siguiente:</w:t>
      </w:r>
    </w:p>
    <w:p w14:paraId="703F1744" w14:textId="77777777" w:rsidR="008F1154" w:rsidRPr="00115F4D" w:rsidRDefault="008F1154" w:rsidP="00891C31">
      <w:pPr>
        <w:pStyle w:val="Textoindependiente"/>
        <w:spacing w:line="259" w:lineRule="auto"/>
        <w:jc w:val="both"/>
        <w:rPr>
          <w:rFonts w:ascii="Arial" w:hAnsi="Arial" w:cs="Arial"/>
          <w:lang w:val="es-CO"/>
        </w:rPr>
      </w:pPr>
    </w:p>
    <w:p w14:paraId="3F6C9233" w14:textId="1F1BE6C2" w:rsidR="008F1154" w:rsidRPr="00115F4D" w:rsidRDefault="00E42F3C" w:rsidP="00891C31">
      <w:pPr>
        <w:pStyle w:val="Textoindependiente"/>
        <w:spacing w:line="259" w:lineRule="auto"/>
        <w:jc w:val="both"/>
        <w:rPr>
          <w:rFonts w:ascii="Arial" w:hAnsi="Arial" w:cs="Arial"/>
          <w:sz w:val="20"/>
          <w:szCs w:val="20"/>
          <w:lang w:val="es-CO"/>
        </w:rPr>
      </w:pPr>
      <m:oMathPara>
        <m:oMath>
          <m:sSubSup>
            <m:sSubSupPr>
              <m:ctrlPr>
                <w:rPr>
                  <w:rFonts w:ascii="Cambria Math" w:eastAsiaTheme="minorEastAsia" w:hAnsi="Cambria Math" w:cs="Arial"/>
                  <w:sz w:val="20"/>
                  <w:szCs w:val="20"/>
                  <w:lang w:val="es-CO"/>
                </w:rPr>
              </m:ctrlPr>
            </m:sSubSupPr>
            <m:e>
              <m:r>
                <w:rPr>
                  <w:rFonts w:ascii="Cambria Math" w:eastAsiaTheme="minorEastAsia" w:hAnsi="Cambria Math" w:cs="Arial"/>
                  <w:sz w:val="20"/>
                  <w:szCs w:val="20"/>
                  <w:lang w:val="es-CO"/>
                </w:rPr>
                <m:t>f</m:t>
              </m:r>
            </m:e>
            <m:sub>
              <m:r>
                <w:rPr>
                  <w:rFonts w:ascii="Cambria Math" w:eastAsiaTheme="minorEastAsia" w:hAnsi="Cambria Math" w:cs="Arial"/>
                  <w:sz w:val="20"/>
                  <w:szCs w:val="20"/>
                  <w:lang w:val="es-CO"/>
                </w:rPr>
                <m:t>T</m:t>
              </m:r>
            </m:sub>
            <m:sup>
              <m:d>
                <m:dPr>
                  <m:ctrlPr>
                    <w:rPr>
                      <w:rFonts w:ascii="Cambria Math" w:eastAsiaTheme="minorEastAsia" w:hAnsi="Cambria Math" w:cs="Arial"/>
                      <w:sz w:val="20"/>
                      <w:szCs w:val="20"/>
                      <w:lang w:val="es-CO"/>
                    </w:rPr>
                  </m:ctrlPr>
                </m:dPr>
                <m:e>
                  <m:r>
                    <w:rPr>
                      <w:rFonts w:ascii="Cambria Math" w:eastAsiaTheme="minorEastAsia" w:hAnsi="Cambria Math" w:cs="Arial"/>
                      <w:sz w:val="20"/>
                      <w:szCs w:val="20"/>
                      <w:lang w:val="es-CO"/>
                    </w:rPr>
                    <m:t>k</m:t>
                  </m:r>
                </m:e>
              </m:d>
            </m:sup>
          </m:sSubSup>
          <m:r>
            <m:rPr>
              <m:sty m:val="p"/>
            </m:rPr>
            <w:rPr>
              <w:rFonts w:ascii="Cambria Math" w:eastAsiaTheme="minorEastAsia" w:hAnsi="Cambria Math" w:cs="Arial"/>
              <w:sz w:val="20"/>
              <w:szCs w:val="20"/>
              <w:lang w:val="es-CO"/>
            </w:rPr>
            <m:t>=</m:t>
          </m:r>
          <m:f>
            <m:fPr>
              <m:ctrlPr>
                <w:rPr>
                  <w:rFonts w:ascii="Cambria Math" w:eastAsiaTheme="minorEastAsia" w:hAnsi="Cambria Math" w:cs="Arial"/>
                  <w:sz w:val="20"/>
                  <w:szCs w:val="20"/>
                  <w:lang w:val="es-CO"/>
                </w:rPr>
              </m:ctrlPr>
            </m:fPr>
            <m:num>
              <m:r>
                <w:rPr>
                  <w:rFonts w:ascii="Cambria Math" w:eastAsiaTheme="minorEastAsia" w:hAnsi="Cambria Math" w:cs="Arial"/>
                  <w:sz w:val="20"/>
                  <w:szCs w:val="20"/>
                  <w:lang w:val="es-CO"/>
                </w:rPr>
                <m:t>80</m:t>
              </m:r>
            </m:num>
            <m:den>
              <m:r>
                <w:rPr>
                  <w:rFonts w:ascii="Cambria Math" w:eastAsiaTheme="minorEastAsia" w:hAnsi="Cambria Math" w:cs="Arial"/>
                  <w:sz w:val="20"/>
                  <w:szCs w:val="20"/>
                  <w:lang w:val="es-CO"/>
                </w:rPr>
                <m:t>10.000</m:t>
              </m:r>
            </m:den>
          </m:f>
          <m:r>
            <w:rPr>
              <w:rFonts w:ascii="Cambria Math" w:eastAsiaTheme="minorEastAsia" w:hAnsi="Cambria Math" w:cs="Arial"/>
              <w:sz w:val="20"/>
              <w:szCs w:val="20"/>
              <w:lang w:val="es-CO"/>
            </w:rPr>
            <m:t>=0.08</m:t>
          </m:r>
        </m:oMath>
      </m:oMathPara>
    </w:p>
    <w:p w14:paraId="5E8E4CB7" w14:textId="77777777" w:rsidR="008F1154" w:rsidRPr="00115F4D" w:rsidRDefault="008F1154" w:rsidP="00891C31">
      <w:pPr>
        <w:spacing w:after="0"/>
        <w:jc w:val="both"/>
        <w:rPr>
          <w:rFonts w:ascii="Arial" w:hAnsi="Arial" w:cs="Arial"/>
        </w:rPr>
      </w:pPr>
      <w:r w:rsidRPr="00115F4D">
        <w:rPr>
          <w:rFonts w:ascii="Arial" w:hAnsi="Arial" w:cs="Arial"/>
        </w:rPr>
        <w:t>En este análisis se remarca lo que puede o no ser gestionado por el comercializador debido a que el riesgo de cartera fue definido como la probabilidad de incumplimiento en el pago de las obligaciones de los usuarios que no es gestionable, es decir, que se sale del alcance de la gestión del comercializador. Es importante recordar que cuando hay estrategias de recaudo, planes de refinanciamiento o acuerdos de pagos, se estaría hablando de un riesgo gestionable que no hace parte del riesgo de cartera a remunerar a los comercializadores.</w:t>
      </w:r>
    </w:p>
    <w:p w14:paraId="754FDA4D" w14:textId="4528299B" w:rsidR="008F1154" w:rsidRDefault="008F1154" w:rsidP="00891C31">
      <w:pPr>
        <w:spacing w:after="0"/>
        <w:jc w:val="both"/>
        <w:rPr>
          <w:rFonts w:ascii="Arial" w:hAnsi="Arial" w:cs="Arial"/>
        </w:rPr>
      </w:pPr>
      <w:r w:rsidRPr="00115F4D">
        <w:rPr>
          <w:rFonts w:ascii="Arial" w:hAnsi="Arial" w:cs="Arial"/>
        </w:rPr>
        <w:t xml:space="preserve">En el documento </w:t>
      </w:r>
      <w:r w:rsidR="0011000F" w:rsidRPr="00115F4D">
        <w:rPr>
          <w:rFonts w:ascii="Arial" w:hAnsi="Arial" w:cs="Arial"/>
        </w:rPr>
        <w:t>CREG</w:t>
      </w:r>
      <w:r w:rsidR="0011000F">
        <w:rPr>
          <w:rFonts w:ascii="Arial" w:hAnsi="Arial" w:cs="Arial"/>
        </w:rPr>
        <w:t xml:space="preserve"> </w:t>
      </w:r>
      <w:r w:rsidRPr="00115F4D">
        <w:rPr>
          <w:rFonts w:ascii="Arial" w:hAnsi="Arial" w:cs="Arial"/>
        </w:rPr>
        <w:t xml:space="preserve">020 de 2012 que fue parte del soporte de la metodología de comercialización definida en la </w:t>
      </w:r>
      <w:r w:rsidR="00A14D13" w:rsidRPr="00115F4D">
        <w:rPr>
          <w:rFonts w:ascii="Arial" w:hAnsi="Arial" w:cs="Arial"/>
        </w:rPr>
        <w:t>CREG</w:t>
      </w:r>
      <w:r w:rsidR="00A14D13">
        <w:rPr>
          <w:rFonts w:ascii="Arial" w:hAnsi="Arial" w:cs="Arial"/>
        </w:rPr>
        <w:t xml:space="preserve"> </w:t>
      </w:r>
      <w:r w:rsidRPr="00115F4D">
        <w:rPr>
          <w:rFonts w:ascii="Arial" w:hAnsi="Arial" w:cs="Arial"/>
        </w:rPr>
        <w:t xml:space="preserve">180 de 2014, se aceptaba que al usar las cuentas por cobrar mayores a un año para estimar el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 xml:space="preserve">  se reconocía una parte del riesgo gestionable, sin embargo, se mantuvo su uso considerando que esté reflejaba parte de los costos en los que incurren los comercializadores por realizar la gestión de cobro. En la actual metodología propuesta, los costos y gastos del personal requerido para la gestión de cartera serán reconocidos a través del costo base de comercialización y por lo tanto el costo de la gestión de la cartera ya estaría remunerado.</w:t>
      </w:r>
    </w:p>
    <w:p w14:paraId="0A0C45FD" w14:textId="77777777" w:rsidR="003A41EA" w:rsidRPr="00115F4D" w:rsidRDefault="003A41EA" w:rsidP="003A41EA">
      <w:pPr>
        <w:jc w:val="both"/>
        <w:rPr>
          <w:rFonts w:ascii="Arial" w:hAnsi="Arial" w:cs="Arial"/>
          <w:sz w:val="18"/>
          <w:szCs w:val="18"/>
        </w:rPr>
      </w:pPr>
      <w:r w:rsidRPr="0036255C">
        <w:rPr>
          <w:rFonts w:ascii="Arial" w:hAnsi="Arial" w:cs="Arial"/>
        </w:rPr>
        <w:lastRenderedPageBreak/>
        <w:t xml:space="preserve">En el informe UTP anexo de la Circular 087 de 2021, la UTP considero pertinente esta metodología de cálculo del </w:t>
      </w:r>
      <w:r w:rsidRPr="0036255C">
        <w:rPr>
          <w:rFonts w:ascii="Arial" w:hAnsi="Arial" w:cs="Arial"/>
          <w:i/>
        </w:rPr>
        <w:t>RCAE</w:t>
      </w:r>
      <w:r w:rsidRPr="0036255C">
        <w:rPr>
          <w:rFonts w:ascii="Arial" w:hAnsi="Arial" w:cs="Arial"/>
        </w:rPr>
        <w:t>, sin embargo, propuso la actualización de la base de cálculo cada dos años, modificar la formulación a través del cálculo de promedios móviles y diseñar un estímulo para que los comercializadoras incrementen su gestión para disminuir el número de usuarios que se encuentran ubicados en diferentes edades de cartera (alturas de cartera).</w:t>
      </w:r>
    </w:p>
    <w:p w14:paraId="49D681DB" w14:textId="10188E26" w:rsidR="008F1154" w:rsidRPr="00115F4D" w:rsidRDefault="008F1154" w:rsidP="00891C31">
      <w:pPr>
        <w:jc w:val="both"/>
        <w:rPr>
          <w:rFonts w:ascii="Arial" w:hAnsi="Arial" w:cs="Arial"/>
        </w:rPr>
      </w:pPr>
      <w:r w:rsidRPr="00115F4D">
        <w:rPr>
          <w:rFonts w:ascii="Arial" w:hAnsi="Arial" w:cs="Arial"/>
        </w:rPr>
        <w:t xml:space="preserve">De acuerdo </w:t>
      </w:r>
      <w:r w:rsidR="0036255C">
        <w:rPr>
          <w:rFonts w:ascii="Arial" w:hAnsi="Arial" w:cs="Arial"/>
        </w:rPr>
        <w:t xml:space="preserve">con </w:t>
      </w:r>
      <w:r w:rsidRPr="00115F4D">
        <w:rPr>
          <w:rFonts w:ascii="Arial" w:hAnsi="Arial" w:cs="Arial"/>
        </w:rPr>
        <w:t xml:space="preserve">este análisis, la propuesta para el cálculo </w:t>
      </w:r>
      <w:proofErr w:type="gramStart"/>
      <w:r w:rsidRPr="00115F4D">
        <w:rPr>
          <w:rFonts w:ascii="Arial" w:hAnsi="Arial" w:cs="Arial"/>
          <w:bCs/>
          <w:i/>
          <w:lang w:eastAsia="ar-SA"/>
        </w:rPr>
        <w:t>RCAE</w:t>
      </w:r>
      <w:r w:rsidRPr="00115F4D">
        <w:rPr>
          <w:rFonts w:ascii="Arial" w:hAnsi="Arial" w:cs="Arial"/>
          <w:bCs/>
          <w:i/>
          <w:vertAlign w:val="subscript"/>
          <w:lang w:eastAsia="ar-SA"/>
        </w:rPr>
        <w:t>j,t</w:t>
      </w:r>
      <w:proofErr w:type="gramEnd"/>
      <w:r w:rsidRPr="00115F4D">
        <w:rPr>
          <w:rFonts w:ascii="Arial" w:hAnsi="Arial" w:cs="Arial"/>
        </w:rPr>
        <w:t xml:space="preserve"> es mantener las ecuaciones existentes, donde se elimina la expresión </w:t>
      </w:r>
      <m:oMath>
        <m:sSubSup>
          <m:sSubSupPr>
            <m:ctrlPr>
              <w:rPr>
                <w:rFonts w:ascii="Cambria Math" w:eastAsiaTheme="minorEastAsia" w:hAnsi="Cambria Math" w:cs="Arial"/>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T</m:t>
            </m:r>
          </m:sub>
          <m:sup>
            <m:d>
              <m:dPr>
                <m:ctrlPr>
                  <w:rPr>
                    <w:rFonts w:ascii="Cambria Math" w:eastAsiaTheme="minorEastAsia" w:hAnsi="Cambria Math" w:cs="Arial"/>
                    <w:sz w:val="20"/>
                    <w:szCs w:val="20"/>
                  </w:rPr>
                </m:ctrlPr>
              </m:dPr>
              <m:e>
                <m:r>
                  <w:rPr>
                    <w:rFonts w:ascii="Cambria Math" w:eastAsiaTheme="minorEastAsia" w:hAnsi="Cambria Math" w:cs="Arial"/>
                    <w:sz w:val="20"/>
                    <w:szCs w:val="20"/>
                  </w:rPr>
                  <m:t>k</m:t>
                </m:r>
              </m:e>
            </m:d>
          </m:sup>
        </m:sSubSup>
        <m:r>
          <m:rPr>
            <m:sty m:val="p"/>
          </m:rPr>
          <w:rPr>
            <w:rFonts w:ascii="Cambria Math" w:eastAsiaTheme="minorEastAsia" w:hAnsi="Cambria Math" w:cs="Arial"/>
            <w:sz w:val="20"/>
            <w:szCs w:val="20"/>
          </w:rPr>
          <m:t>-</m:t>
        </m:r>
        <m:sSubSup>
          <m:sSubSupPr>
            <m:ctrlPr>
              <w:rPr>
                <w:rFonts w:ascii="Cambria Math" w:eastAsiaTheme="minorEastAsia" w:hAnsi="Cambria Math" w:cs="Arial"/>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T</m:t>
            </m:r>
            <m:r>
              <m:rPr>
                <m:sty m:val="p"/>
              </m:rPr>
              <w:rPr>
                <w:rFonts w:ascii="Cambria Math" w:eastAsiaTheme="minorEastAsia" w:hAnsi="Cambria Math" w:cs="Arial"/>
                <w:sz w:val="20"/>
                <w:szCs w:val="20"/>
              </w:rPr>
              <m:t>-1</m:t>
            </m:r>
          </m:sub>
          <m:sup>
            <m:d>
              <m:dPr>
                <m:ctrlPr>
                  <w:rPr>
                    <w:rFonts w:ascii="Cambria Math" w:eastAsiaTheme="minorEastAsia" w:hAnsi="Cambria Math" w:cs="Arial"/>
                    <w:sz w:val="20"/>
                    <w:szCs w:val="20"/>
                  </w:rPr>
                </m:ctrlPr>
              </m:dPr>
              <m:e>
                <m:r>
                  <w:rPr>
                    <w:rFonts w:ascii="Cambria Math" w:eastAsiaTheme="minorEastAsia" w:hAnsi="Cambria Math" w:cs="Arial"/>
                    <w:sz w:val="20"/>
                    <w:szCs w:val="20"/>
                  </w:rPr>
                  <m:t>k</m:t>
                </m:r>
              </m:e>
            </m:d>
          </m:sup>
        </m:sSubSup>
      </m:oMath>
      <w:r w:rsidRPr="00115F4D">
        <w:rPr>
          <w:rFonts w:ascii="Arial" w:hAnsi="Arial" w:cs="Arial"/>
        </w:rPr>
        <w:t>,</w:t>
      </w:r>
      <w:r w:rsidR="0036255C" w:rsidRPr="00115F4D">
        <w:rPr>
          <w:rFonts w:ascii="Arial" w:hAnsi="Arial" w:cs="Arial"/>
        </w:rPr>
        <w:t xml:space="preserve"> </w:t>
      </w:r>
      <w:r w:rsidR="0036255C">
        <w:rPr>
          <w:rFonts w:ascii="Arial" w:hAnsi="Arial" w:cs="Arial"/>
        </w:rPr>
        <w:t xml:space="preserve"> de la siguiente manera:</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425"/>
      </w:tblGrid>
      <w:tr w:rsidR="008F1154" w:rsidRPr="00115F4D" w14:paraId="11F0B2E5" w14:textId="77777777">
        <w:trPr>
          <w:trHeight w:val="823"/>
        </w:trPr>
        <w:tc>
          <w:tcPr>
            <w:tcW w:w="8364" w:type="dxa"/>
          </w:tcPr>
          <w:p w14:paraId="45409D01" w14:textId="4BB0812B" w:rsidR="008F1154" w:rsidRPr="00115F4D" w:rsidRDefault="00E42F3C" w:rsidP="00891C31">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RCAE</m:t>
                    </m:r>
                  </m:e>
                  <m:sub>
                    <m:r>
                      <w:rPr>
                        <w:rFonts w:ascii="Cambria Math" w:eastAsiaTheme="minorEastAsia" w:hAnsi="Cambria Math"/>
                      </w:rPr>
                      <m:t>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T=A-4</m:t>
                    </m:r>
                  </m:sub>
                  <m:sup>
                    <m:r>
                      <w:rPr>
                        <w:rFonts w:ascii="Cambria Math" w:eastAsiaTheme="minorEastAsia" w:hAnsi="Cambria Math"/>
                      </w:rPr>
                      <m:t>T=A</m:t>
                    </m:r>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e>
                </m:nary>
              </m:oMath>
            </m:oMathPara>
          </w:p>
        </w:tc>
        <w:tc>
          <w:tcPr>
            <w:tcW w:w="425" w:type="dxa"/>
            <w:vAlign w:val="center"/>
          </w:tcPr>
          <w:p w14:paraId="5AD3FF29" w14:textId="22BD0553" w:rsidR="008F1154" w:rsidRPr="00115F4D" w:rsidRDefault="008F1154" w:rsidP="00891C31"/>
        </w:tc>
      </w:tr>
      <w:tr w:rsidR="008F1154" w:rsidRPr="00115F4D" w14:paraId="3F7302B5" w14:textId="77777777">
        <w:tc>
          <w:tcPr>
            <w:tcW w:w="8364" w:type="dxa"/>
          </w:tcPr>
          <w:p w14:paraId="5A0BBD5A" w14:textId="77777777" w:rsidR="008F1154" w:rsidRPr="00115F4D" w:rsidRDefault="00E42F3C" w:rsidP="00891C31">
            <w:pPr>
              <w:spacing w:before="80" w:after="80"/>
              <w:rPr>
                <w:rFonts w:eastAsia="Calibri" w:cs="Arial"/>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nary>
                      <m:naryPr>
                        <m:chr m:val="∑"/>
                        <m:limLoc m:val="undOvr"/>
                        <m:supHide m:val="1"/>
                        <m:ctrlPr>
                          <w:rPr>
                            <w:rFonts w:ascii="Cambria Math" w:eastAsiaTheme="minorEastAsia" w:hAnsi="Cambria Math"/>
                            <w:i/>
                          </w:rPr>
                        </m:ctrlPr>
                      </m:naryPr>
                      <m:sub>
                        <m:r>
                          <w:rPr>
                            <w:rFonts w:ascii="Cambria Math" w:eastAsiaTheme="minorEastAsia" w:hAnsi="Cambria Math"/>
                          </w:rPr>
                          <m:t>k</m:t>
                        </m:r>
                      </m:sub>
                      <m:sup/>
                      <m:e>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e>
                    </m:nary>
                  </m:den>
                </m:f>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k</m:t>
                    </m:r>
                  </m:sub>
                  <m:sup/>
                  <m:e>
                    <m:r>
                      <w:rPr>
                        <w:rFonts w:ascii="Cambria Math" w:eastAsiaTheme="minorEastAsia" w:hAnsi="Cambria Math"/>
                      </w:rPr>
                      <m:t xml:space="preserve">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e>
                    </m:d>
                  </m:e>
                </m:nary>
              </m:oMath>
            </m:oMathPara>
          </w:p>
        </w:tc>
        <w:tc>
          <w:tcPr>
            <w:tcW w:w="425" w:type="dxa"/>
            <w:vAlign w:val="center"/>
          </w:tcPr>
          <w:p w14:paraId="0F6C0E73" w14:textId="03D26F77" w:rsidR="008F1154" w:rsidRPr="00115F4D" w:rsidRDefault="008F1154" w:rsidP="00891C31"/>
        </w:tc>
      </w:tr>
      <w:tr w:rsidR="008F1154" w:rsidRPr="00115F4D" w14:paraId="5FF776F9" w14:textId="77777777">
        <w:tc>
          <w:tcPr>
            <w:tcW w:w="8364" w:type="dxa"/>
          </w:tcPr>
          <w:p w14:paraId="3A3BA4AF" w14:textId="42BEDAE5" w:rsidR="008F1154" w:rsidRPr="00115F4D" w:rsidRDefault="00E42F3C" w:rsidP="00891C31">
            <w:pPr>
              <w:spacing w:before="80" w:after="80"/>
              <w:rPr>
                <w:rFonts w:eastAsia="Calibri" w:cs="Arial"/>
              </w:rPr>
            </w:pPr>
            <m:oMathPara>
              <m:oMath>
                <m:sSubSup>
                  <m:sSubSupPr>
                    <m:ctrlPr>
                      <w:rPr>
                        <w:rFonts w:ascii="Cambria Math" w:eastAsiaTheme="minorEastAsia" w:hAnsi="Cambria Math"/>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rPr>
                        </m:ctrlPr>
                      </m:dPr>
                      <m:e>
                        <m:r>
                          <w:rPr>
                            <w:rFonts w:ascii="Cambria Math" w:eastAsiaTheme="minorEastAsia" w:hAnsi="Cambria Math"/>
                          </w:rPr>
                          <m:t>k</m:t>
                        </m:r>
                      </m:e>
                    </m:d>
                  </m:sup>
                </m:sSubSup>
                <m:r>
                  <m:rPr>
                    <m:sty m:val="p"/>
                  </m:rPr>
                  <w:rPr>
                    <w:rFonts w:ascii="Cambria Math" w:eastAsiaTheme="minorEastAsia" w:hAnsi="Cambria Math"/>
                  </w:rPr>
                  <m:t>=</m:t>
                </m:r>
                <m:f>
                  <m:fPr>
                    <m:ctrlPr>
                      <w:rPr>
                        <w:rFonts w:ascii="Cambria Math" w:eastAsiaTheme="minorEastAsia" w:hAnsi="Cambria Math"/>
                      </w:rPr>
                    </m:ctrlPr>
                  </m:fPr>
                  <m:num>
                    <m:sSubSup>
                      <m:sSubSupPr>
                        <m:ctrlPr>
                          <w:rPr>
                            <w:rFonts w:ascii="Cambria Math" w:eastAsiaTheme="minorEastAsia" w:hAnsi="Cambria Math"/>
                            <w:i/>
                          </w:rPr>
                        </m:ctrlPr>
                      </m:sSubSupPr>
                      <m:e>
                        <m:r>
                          <w:rPr>
                            <w:rFonts w:ascii="Cambria Math" w:eastAsiaTheme="minorEastAsia" w:hAnsi="Cambria Math"/>
                          </w:rPr>
                          <m:t>Cast</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num>
                  <m:den>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T</m:t>
                        </m:r>
                      </m:sub>
                      <m:sup>
                        <m:d>
                          <m:dPr>
                            <m:ctrlPr>
                              <w:rPr>
                                <w:rFonts w:ascii="Cambria Math" w:eastAsiaTheme="minorEastAsia" w:hAnsi="Cambria Math"/>
                                <w:i/>
                              </w:rPr>
                            </m:ctrlPr>
                          </m:dPr>
                          <m:e>
                            <m:r>
                              <w:rPr>
                                <w:rFonts w:ascii="Cambria Math" w:eastAsiaTheme="minorEastAsia" w:hAnsi="Cambria Math"/>
                              </w:rPr>
                              <m:t>k</m:t>
                            </m:r>
                          </m:e>
                        </m:d>
                      </m:sup>
                    </m:sSubSup>
                  </m:den>
                </m:f>
              </m:oMath>
            </m:oMathPara>
          </w:p>
        </w:tc>
        <w:tc>
          <w:tcPr>
            <w:tcW w:w="425" w:type="dxa"/>
            <w:vAlign w:val="center"/>
          </w:tcPr>
          <w:p w14:paraId="1D2999A1" w14:textId="53F20B42" w:rsidR="008F1154" w:rsidRPr="00115F4D" w:rsidRDefault="008F1154" w:rsidP="00891C31"/>
        </w:tc>
      </w:tr>
    </w:tbl>
    <w:p w14:paraId="03F3555C" w14:textId="77777777" w:rsidR="00FD2A8F" w:rsidRPr="00FD2A8F" w:rsidRDefault="00FD2A8F" w:rsidP="00FD2A8F">
      <w:pPr>
        <w:jc w:val="both"/>
        <w:rPr>
          <w:rFonts w:ascii="Arial" w:hAnsi="Arial" w:cs="Arial"/>
          <w:iCs/>
          <w:lang w:val="es-ES"/>
        </w:rPr>
      </w:pPr>
      <w:r w:rsidRPr="00FD2A8F">
        <w:rPr>
          <w:rFonts w:ascii="Arial" w:hAnsi="Arial" w:cs="Arial"/>
          <w:iCs/>
          <w:lang w:val="es-ES"/>
        </w:rPr>
        <w:t>Donde:</w:t>
      </w:r>
    </w:p>
    <w:p w14:paraId="291E6AB6" w14:textId="77777777" w:rsidR="00FD2A8F" w:rsidRPr="00FD2A8F" w:rsidRDefault="00FD2A8F" w:rsidP="00FD2A8F">
      <w:pPr>
        <w:jc w:val="both"/>
        <w:rPr>
          <w:rFonts w:ascii="Arial" w:hAnsi="Arial" w:cs="Arial"/>
          <w:bCs/>
          <w:i/>
          <w:iCs/>
          <w:lang w:val="es-ES"/>
        </w:rPr>
      </w:pPr>
    </w:p>
    <w:p w14:paraId="0EF09C1D" w14:textId="4D5821B7" w:rsidR="00FD2A8F" w:rsidRPr="00FD2A8F" w:rsidRDefault="00FD2A8F" w:rsidP="00FD2A8F">
      <w:pPr>
        <w:jc w:val="both"/>
        <w:rPr>
          <w:rFonts w:ascii="Arial" w:hAnsi="Arial" w:cs="Arial"/>
          <w:iCs/>
          <w:lang w:val="es-ES"/>
        </w:rPr>
      </w:pPr>
      <w:r w:rsidRPr="00FD2A8F">
        <w:rPr>
          <w:rFonts w:ascii="Arial" w:hAnsi="Arial" w:cs="Arial"/>
          <w:bCs/>
          <w:i/>
          <w:iCs/>
          <w:lang w:val="es-ES"/>
        </w:rPr>
        <w:t>A</w:t>
      </w:r>
      <w:r w:rsidRPr="00FD2A8F">
        <w:rPr>
          <w:rFonts w:ascii="Arial" w:hAnsi="Arial" w:cs="Arial"/>
          <w:iCs/>
          <w:lang w:val="es-ES"/>
        </w:rPr>
        <w:t>:</w:t>
      </w:r>
      <w:r w:rsidRPr="00FD2A8F">
        <w:rPr>
          <w:rFonts w:ascii="Arial" w:hAnsi="Arial" w:cs="Arial"/>
          <w:iCs/>
          <w:lang w:val="es-ES"/>
        </w:rPr>
        <w:tab/>
      </w:r>
      <w:r w:rsidR="00D9045F">
        <w:rPr>
          <w:rFonts w:ascii="Arial" w:hAnsi="Arial" w:cs="Arial"/>
          <w:iCs/>
          <w:lang w:val="es-ES"/>
        </w:rPr>
        <w:tab/>
      </w:r>
      <w:r w:rsidRPr="00FD2A8F">
        <w:rPr>
          <w:rFonts w:ascii="Arial" w:hAnsi="Arial" w:cs="Arial"/>
          <w:bCs/>
          <w:iCs/>
          <w:lang w:val="es-ES"/>
        </w:rPr>
        <w:t>Año de la fecha base de la metodología.</w:t>
      </w:r>
    </w:p>
    <w:p w14:paraId="3FA1CFC3" w14:textId="4912542E" w:rsidR="00FD2A8F" w:rsidRPr="00FD2A8F" w:rsidRDefault="00FD2A8F" w:rsidP="00FD2A8F">
      <w:pPr>
        <w:jc w:val="both"/>
        <w:rPr>
          <w:rFonts w:ascii="Arial" w:hAnsi="Arial" w:cs="Arial"/>
          <w:iCs/>
          <w:lang w:val="es-ES"/>
        </w:rPr>
      </w:pPr>
      <w:r w:rsidRPr="00FD2A8F">
        <w:rPr>
          <w:rFonts w:ascii="Arial" w:hAnsi="Arial" w:cs="Arial"/>
          <w:bCs/>
          <w:i/>
          <w:iCs/>
          <w:lang w:val="es-ES"/>
        </w:rPr>
        <w:t>T</w:t>
      </w:r>
      <w:r w:rsidRPr="00FD2A8F">
        <w:rPr>
          <w:rFonts w:ascii="Arial" w:hAnsi="Arial" w:cs="Arial"/>
          <w:iCs/>
          <w:lang w:val="es-ES"/>
        </w:rPr>
        <w:t>:</w:t>
      </w:r>
      <w:r w:rsidRPr="00FD2A8F">
        <w:rPr>
          <w:rFonts w:ascii="Arial" w:hAnsi="Arial" w:cs="Arial"/>
          <w:iCs/>
          <w:lang w:val="es-ES"/>
        </w:rPr>
        <w:tab/>
      </w:r>
      <w:r w:rsidR="00D9045F">
        <w:rPr>
          <w:rFonts w:ascii="Arial" w:hAnsi="Arial" w:cs="Arial"/>
          <w:iCs/>
          <w:lang w:val="es-ES"/>
        </w:rPr>
        <w:tab/>
      </w:r>
      <w:r w:rsidRPr="00FD2A8F">
        <w:rPr>
          <w:rFonts w:ascii="Arial" w:hAnsi="Arial" w:cs="Arial"/>
          <w:bCs/>
          <w:iCs/>
          <w:lang w:val="es-ES"/>
        </w:rPr>
        <w:t xml:space="preserve">Año de cálculo de la variable. </w:t>
      </w:r>
    </w:p>
    <w:p w14:paraId="3DAC53C4" w14:textId="37F08CBE" w:rsidR="00FD2A8F" w:rsidRPr="00FD2A8F" w:rsidRDefault="00FD2A8F" w:rsidP="00D9045F">
      <w:pPr>
        <w:ind w:left="1416" w:hanging="1416"/>
        <w:jc w:val="both"/>
        <w:rPr>
          <w:rFonts w:ascii="Arial" w:hAnsi="Arial" w:cs="Arial"/>
          <w:iCs/>
          <w:lang w:val="es-ES"/>
        </w:rPr>
      </w:pPr>
      <w:r w:rsidRPr="00FD2A8F">
        <w:rPr>
          <w:rFonts w:ascii="Arial" w:hAnsi="Arial" w:cs="Arial"/>
          <w:bCs/>
          <w:i/>
          <w:iCs/>
          <w:lang w:val="es-ES"/>
        </w:rPr>
        <w:t>RCAE</w:t>
      </w:r>
      <w:r w:rsidRPr="00FD2A8F">
        <w:rPr>
          <w:rFonts w:ascii="Arial" w:hAnsi="Arial" w:cs="Arial"/>
          <w:bCs/>
          <w:i/>
          <w:iCs/>
          <w:vertAlign w:val="subscript"/>
          <w:lang w:val="es-ES"/>
        </w:rPr>
        <w:t>j</w:t>
      </w:r>
      <w:r w:rsidRPr="00FD2A8F">
        <w:rPr>
          <w:rFonts w:ascii="Arial" w:hAnsi="Arial" w:cs="Arial"/>
          <w:iCs/>
          <w:lang w:val="es-ES"/>
        </w:rPr>
        <w:t>:</w:t>
      </w:r>
      <w:r w:rsidR="00D9045F">
        <w:rPr>
          <w:rFonts w:ascii="Arial" w:hAnsi="Arial" w:cs="Arial"/>
          <w:iCs/>
          <w:lang w:val="es-ES"/>
        </w:rPr>
        <w:tab/>
      </w:r>
      <w:r w:rsidRPr="00FD2A8F">
        <w:rPr>
          <w:rFonts w:ascii="Arial" w:hAnsi="Arial" w:cs="Arial"/>
          <w:bCs/>
          <w:iCs/>
          <w:lang w:val="es-ES"/>
        </w:rPr>
        <w:t xml:space="preserve">Prima de riesgo de cartera a reconocer al comercializador </w:t>
      </w:r>
      <w:r w:rsidRPr="00FD2A8F">
        <w:rPr>
          <w:rFonts w:ascii="Arial" w:hAnsi="Arial" w:cs="Arial"/>
          <w:bCs/>
          <w:i/>
          <w:iCs/>
          <w:lang w:val="es-ES"/>
        </w:rPr>
        <w:t>i</w:t>
      </w:r>
      <w:r w:rsidRPr="00FD2A8F">
        <w:rPr>
          <w:rFonts w:ascii="Arial" w:hAnsi="Arial" w:cs="Arial"/>
          <w:bCs/>
          <w:iCs/>
          <w:lang w:val="es-ES"/>
        </w:rPr>
        <w:t xml:space="preserve"> en el mercado de comercialización</w:t>
      </w:r>
      <w:r w:rsidRPr="00FD2A8F">
        <w:rPr>
          <w:rFonts w:ascii="Arial" w:hAnsi="Arial" w:cs="Arial"/>
          <w:bCs/>
          <w:i/>
          <w:iCs/>
          <w:lang w:val="es-ES"/>
        </w:rPr>
        <w:t xml:space="preserve"> j</w:t>
      </w:r>
      <w:r w:rsidRPr="00FD2A8F">
        <w:rPr>
          <w:rFonts w:ascii="Arial" w:hAnsi="Arial" w:cs="Arial"/>
          <w:bCs/>
          <w:iCs/>
          <w:lang w:val="es-ES"/>
        </w:rPr>
        <w:t>, por la atención de usuarios en áreas especiales.</w:t>
      </w:r>
    </w:p>
    <w:p w14:paraId="17165D93" w14:textId="42494D09" w:rsidR="00FD2A8F" w:rsidRPr="00FD2A8F" w:rsidRDefault="00FD2A8F" w:rsidP="00D9045F">
      <w:pPr>
        <w:ind w:left="1410" w:hanging="1410"/>
        <w:jc w:val="both"/>
        <w:rPr>
          <w:rFonts w:ascii="Arial" w:hAnsi="Arial" w:cs="Arial"/>
          <w:iCs/>
          <w:lang w:val="es-ES"/>
        </w:rPr>
      </w:pPr>
      <w:proofErr w:type="gramStart"/>
      <w:r w:rsidRPr="00FD2A8F">
        <w:rPr>
          <w:rFonts w:ascii="Arial" w:hAnsi="Arial" w:cs="Arial"/>
          <w:i/>
          <w:iCs/>
          <w:lang w:val="es-ES"/>
        </w:rPr>
        <w:t>F</w:t>
      </w:r>
      <w:r w:rsidRPr="00FD2A8F">
        <w:rPr>
          <w:rFonts w:ascii="Arial" w:hAnsi="Arial" w:cs="Arial"/>
          <w:i/>
          <w:iCs/>
          <w:vertAlign w:val="subscript"/>
          <w:lang w:val="es-ES"/>
        </w:rPr>
        <w:t>T,k</w:t>
      </w:r>
      <w:proofErr w:type="gramEnd"/>
      <w:r w:rsidRPr="00FD2A8F">
        <w:rPr>
          <w:rFonts w:ascii="Arial" w:hAnsi="Arial" w:cs="Arial"/>
          <w:iCs/>
          <w:lang w:val="es-ES"/>
        </w:rPr>
        <w:t>:</w:t>
      </w:r>
      <w:r w:rsidRPr="00FD2A8F">
        <w:rPr>
          <w:rFonts w:ascii="Arial" w:hAnsi="Arial" w:cs="Arial"/>
          <w:iCs/>
          <w:lang w:val="es-ES"/>
        </w:rPr>
        <w:tab/>
      </w:r>
      <w:r w:rsidR="00D9045F">
        <w:rPr>
          <w:rFonts w:ascii="Arial" w:hAnsi="Arial" w:cs="Arial"/>
          <w:iCs/>
          <w:lang w:val="es-ES"/>
        </w:rPr>
        <w:tab/>
      </w:r>
      <w:r w:rsidRPr="00FD2A8F">
        <w:rPr>
          <w:rFonts w:ascii="Arial" w:hAnsi="Arial" w:cs="Arial"/>
          <w:iCs/>
          <w:lang w:val="es-ES"/>
        </w:rPr>
        <w:t xml:space="preserve">Fracción de la facturación anual total reportada en cartera con más de un año al final de año contable </w:t>
      </w:r>
      <w:r w:rsidRPr="00FD2A8F">
        <w:rPr>
          <w:rFonts w:ascii="Arial" w:hAnsi="Arial" w:cs="Arial"/>
          <w:i/>
          <w:iCs/>
          <w:lang w:val="es-ES"/>
        </w:rPr>
        <w:t xml:space="preserve">T, </w:t>
      </w:r>
      <w:r w:rsidRPr="00FD2A8F">
        <w:rPr>
          <w:rFonts w:ascii="Arial" w:hAnsi="Arial" w:cs="Arial"/>
          <w:iCs/>
          <w:lang w:val="es-ES"/>
        </w:rPr>
        <w:t xml:space="preserve">para la categoría </w:t>
      </w:r>
      <w:r w:rsidRPr="00FD2A8F">
        <w:rPr>
          <w:rFonts w:ascii="Arial" w:hAnsi="Arial" w:cs="Arial"/>
          <w:i/>
          <w:iCs/>
          <w:lang w:val="es-ES"/>
        </w:rPr>
        <w:t>k</w:t>
      </w:r>
      <w:r w:rsidRPr="00FD2A8F">
        <w:rPr>
          <w:rFonts w:ascii="Arial" w:hAnsi="Arial" w:cs="Arial"/>
          <w:iCs/>
          <w:lang w:val="es-ES"/>
        </w:rPr>
        <w:t>.</w:t>
      </w:r>
    </w:p>
    <w:p w14:paraId="50107BEF" w14:textId="111D1AE1" w:rsidR="00FD2A8F" w:rsidRPr="00FD2A8F" w:rsidRDefault="00FD2A8F" w:rsidP="00D9045F">
      <w:pPr>
        <w:ind w:left="1410" w:hanging="1410"/>
        <w:jc w:val="both"/>
        <w:rPr>
          <w:rFonts w:ascii="Arial" w:hAnsi="Arial" w:cs="Arial"/>
          <w:iCs/>
          <w:lang w:val="es-ES"/>
        </w:rPr>
      </w:pPr>
      <w:proofErr w:type="gramStart"/>
      <w:r w:rsidRPr="00FD2A8F">
        <w:rPr>
          <w:rFonts w:ascii="Arial" w:hAnsi="Arial" w:cs="Arial"/>
          <w:i/>
          <w:iCs/>
          <w:lang w:val="es-ES"/>
        </w:rPr>
        <w:t>Cast</w:t>
      </w:r>
      <w:r w:rsidRPr="00FD2A8F">
        <w:rPr>
          <w:rFonts w:ascii="Arial" w:hAnsi="Arial" w:cs="Arial"/>
          <w:i/>
          <w:iCs/>
          <w:vertAlign w:val="subscript"/>
          <w:lang w:val="es-ES"/>
        </w:rPr>
        <w:t>T,k</w:t>
      </w:r>
      <w:proofErr w:type="gramEnd"/>
      <w:r w:rsidRPr="00FD2A8F">
        <w:rPr>
          <w:rFonts w:ascii="Arial" w:hAnsi="Arial" w:cs="Arial"/>
          <w:i/>
          <w:iCs/>
          <w:lang w:val="es-ES"/>
        </w:rPr>
        <w:t>:</w:t>
      </w:r>
      <w:r w:rsidRPr="00FD2A8F">
        <w:rPr>
          <w:rFonts w:ascii="Arial" w:hAnsi="Arial" w:cs="Arial"/>
          <w:i/>
          <w:iCs/>
          <w:lang w:val="es-ES"/>
        </w:rPr>
        <w:tab/>
      </w:r>
      <w:r w:rsidR="00D9045F">
        <w:rPr>
          <w:rFonts w:ascii="Arial" w:hAnsi="Arial" w:cs="Arial"/>
          <w:i/>
          <w:iCs/>
          <w:lang w:val="es-ES"/>
        </w:rPr>
        <w:tab/>
      </w:r>
      <w:r w:rsidRPr="00FD2A8F">
        <w:rPr>
          <w:rFonts w:ascii="Arial" w:hAnsi="Arial" w:cs="Arial"/>
          <w:iCs/>
          <w:lang w:val="es-ES"/>
        </w:rPr>
        <w:t xml:space="preserve">Castigo de cartera proveniente de cuentas morosas en el año contable </w:t>
      </w:r>
      <w:r w:rsidRPr="00FD2A8F">
        <w:rPr>
          <w:rFonts w:ascii="Arial" w:hAnsi="Arial" w:cs="Arial"/>
          <w:i/>
          <w:iCs/>
          <w:lang w:val="es-ES"/>
        </w:rPr>
        <w:t>T</w:t>
      </w:r>
      <w:r w:rsidRPr="00FD2A8F">
        <w:rPr>
          <w:rFonts w:ascii="Arial" w:hAnsi="Arial" w:cs="Arial"/>
          <w:iCs/>
          <w:lang w:val="es-ES"/>
        </w:rPr>
        <w:t xml:space="preserve">, para la categoría </w:t>
      </w:r>
      <w:r w:rsidRPr="00FD2A8F">
        <w:rPr>
          <w:rFonts w:ascii="Arial" w:hAnsi="Arial" w:cs="Arial"/>
          <w:i/>
          <w:iCs/>
          <w:lang w:val="es-ES"/>
        </w:rPr>
        <w:t xml:space="preserve">k. </w:t>
      </w:r>
      <w:r w:rsidRPr="00FD2A8F">
        <w:rPr>
          <w:rFonts w:ascii="Arial" w:hAnsi="Arial" w:cs="Arial"/>
          <w:iCs/>
          <w:lang w:val="es-ES"/>
        </w:rPr>
        <w:t>En pesos corrientes.</w:t>
      </w:r>
    </w:p>
    <w:p w14:paraId="2E616181" w14:textId="022FBEC9" w:rsidR="00FD2A8F" w:rsidRPr="00FD2A8F" w:rsidRDefault="00FD2A8F" w:rsidP="0001248D">
      <w:pPr>
        <w:ind w:left="1410" w:hanging="1410"/>
        <w:jc w:val="both"/>
        <w:rPr>
          <w:rFonts w:ascii="Arial" w:hAnsi="Arial" w:cs="Arial"/>
          <w:iCs/>
          <w:lang w:val="es-ES"/>
        </w:rPr>
      </w:pPr>
      <w:proofErr w:type="gramStart"/>
      <w:r w:rsidRPr="00FD2A8F">
        <w:rPr>
          <w:rFonts w:ascii="Arial" w:hAnsi="Arial" w:cs="Arial"/>
          <w:i/>
          <w:iCs/>
          <w:lang w:val="es-ES"/>
        </w:rPr>
        <w:t>F</w:t>
      </w:r>
      <w:r w:rsidRPr="00FD2A8F">
        <w:rPr>
          <w:rFonts w:ascii="Arial" w:hAnsi="Arial" w:cs="Arial"/>
          <w:i/>
          <w:iCs/>
          <w:vertAlign w:val="subscript"/>
          <w:lang w:val="es-ES"/>
        </w:rPr>
        <w:t>T,k</w:t>
      </w:r>
      <w:proofErr w:type="gramEnd"/>
      <w:r w:rsidRPr="00FD2A8F">
        <w:rPr>
          <w:rFonts w:ascii="Arial" w:hAnsi="Arial" w:cs="Arial"/>
          <w:i/>
          <w:iCs/>
          <w:lang w:val="es-ES"/>
        </w:rPr>
        <w:t>:</w:t>
      </w:r>
      <w:r w:rsidRPr="00FD2A8F">
        <w:rPr>
          <w:rFonts w:ascii="Arial" w:hAnsi="Arial" w:cs="Arial"/>
          <w:i/>
          <w:iCs/>
          <w:lang w:val="es-ES"/>
        </w:rPr>
        <w:tab/>
      </w:r>
      <w:r w:rsidR="0001248D">
        <w:rPr>
          <w:rFonts w:ascii="Arial" w:hAnsi="Arial" w:cs="Arial"/>
          <w:i/>
          <w:iCs/>
          <w:lang w:val="es-ES"/>
        </w:rPr>
        <w:tab/>
      </w:r>
      <w:r w:rsidRPr="00FD2A8F">
        <w:rPr>
          <w:rFonts w:ascii="Arial" w:hAnsi="Arial" w:cs="Arial"/>
          <w:iCs/>
          <w:lang w:val="es-ES"/>
        </w:rPr>
        <w:t xml:space="preserve">Facturación total en el año contable </w:t>
      </w:r>
      <w:r w:rsidRPr="00FD2A8F">
        <w:rPr>
          <w:rFonts w:ascii="Arial" w:hAnsi="Arial" w:cs="Arial"/>
          <w:i/>
          <w:iCs/>
          <w:lang w:val="es-ES"/>
        </w:rPr>
        <w:t>T</w:t>
      </w:r>
      <w:r w:rsidRPr="00FD2A8F">
        <w:rPr>
          <w:rFonts w:ascii="Arial" w:hAnsi="Arial" w:cs="Arial"/>
          <w:iCs/>
          <w:lang w:val="es-ES"/>
        </w:rPr>
        <w:t xml:space="preserve">, para la categoría </w:t>
      </w:r>
      <w:r w:rsidRPr="00FD2A8F">
        <w:rPr>
          <w:rFonts w:ascii="Arial" w:hAnsi="Arial" w:cs="Arial"/>
          <w:i/>
          <w:iCs/>
          <w:lang w:val="es-ES"/>
        </w:rPr>
        <w:t xml:space="preserve">k. </w:t>
      </w:r>
      <w:r w:rsidRPr="00FD2A8F">
        <w:rPr>
          <w:rFonts w:ascii="Arial" w:hAnsi="Arial" w:cs="Arial"/>
          <w:iCs/>
          <w:lang w:val="es-ES"/>
        </w:rPr>
        <w:t>En pesos corrientes. En caso de que esta variable sea cero (0) no será considerada dicha categoría.</w:t>
      </w:r>
    </w:p>
    <w:p w14:paraId="41E428D9" w14:textId="0CD8CA1C" w:rsidR="00FD2A8F" w:rsidRPr="00FD2A8F" w:rsidRDefault="00FD2A8F" w:rsidP="009F195D">
      <w:pPr>
        <w:ind w:left="1410" w:hanging="1410"/>
        <w:jc w:val="both"/>
        <w:rPr>
          <w:rFonts w:ascii="Arial" w:hAnsi="Arial" w:cs="Arial"/>
          <w:iCs/>
          <w:lang w:val="es-ES"/>
        </w:rPr>
      </w:pPr>
      <w:r w:rsidRPr="00FD2A8F">
        <w:rPr>
          <w:rFonts w:ascii="Arial" w:hAnsi="Arial" w:cs="Arial"/>
          <w:i/>
          <w:iCs/>
          <w:lang w:val="es-ES"/>
        </w:rPr>
        <w:t>K</w:t>
      </w:r>
      <w:r w:rsidRPr="00FD2A8F" w:rsidDel="005D37D5">
        <w:rPr>
          <w:rFonts w:ascii="Arial" w:hAnsi="Arial" w:cs="Arial"/>
          <w:i/>
          <w:iCs/>
          <w:lang w:val="es-ES"/>
        </w:rPr>
        <w:tab/>
      </w:r>
      <w:r w:rsidR="009F195D">
        <w:rPr>
          <w:rFonts w:ascii="Arial" w:hAnsi="Arial" w:cs="Arial"/>
          <w:i/>
          <w:iCs/>
          <w:lang w:val="es-ES"/>
        </w:rPr>
        <w:tab/>
      </w:r>
      <w:r w:rsidRPr="00FD2A8F">
        <w:rPr>
          <w:rFonts w:ascii="Arial" w:hAnsi="Arial" w:cs="Arial"/>
          <w:iCs/>
          <w:lang w:val="es-ES"/>
        </w:rPr>
        <w:t>T</w:t>
      </w:r>
      <w:r w:rsidRPr="00FD2A8F">
        <w:rPr>
          <w:rFonts w:ascii="Arial" w:hAnsi="Arial" w:cs="Arial"/>
          <w:bCs/>
          <w:iCs/>
          <w:lang w:val="es-ES"/>
        </w:rPr>
        <w:t>ipo de usuario, corresponderá a usuarios ubicados en: barrios subnormales, áreas rurales de menor desarrollo y zonas de difícil gestión</w:t>
      </w:r>
      <w:r w:rsidRPr="00FD2A8F">
        <w:rPr>
          <w:rFonts w:ascii="Arial" w:hAnsi="Arial" w:cs="Arial"/>
          <w:iCs/>
          <w:lang w:val="es-ES"/>
        </w:rPr>
        <w:t xml:space="preserve">. </w:t>
      </w:r>
    </w:p>
    <w:p w14:paraId="68FFD403" w14:textId="77777777" w:rsidR="00FD2A8F" w:rsidRPr="00FD2A8F" w:rsidRDefault="00FD2A8F" w:rsidP="00FD2A8F">
      <w:pPr>
        <w:jc w:val="both"/>
        <w:rPr>
          <w:rFonts w:ascii="Arial" w:hAnsi="Arial" w:cs="Arial"/>
          <w:iCs/>
          <w:lang w:val="es-ES"/>
        </w:rPr>
      </w:pPr>
      <w:r w:rsidRPr="00FD2A8F">
        <w:rPr>
          <w:rFonts w:ascii="Arial" w:hAnsi="Arial" w:cs="Arial"/>
          <w:iCs/>
          <w:lang w:val="es-ES"/>
        </w:rPr>
        <w:t xml:space="preserve">A partir del segundo año calendario de entrada en vigor de la presente metodología, en los mercados de comercialización para los cuales el valor de la variable </w:t>
      </w:r>
      <w:proofErr w:type="gramStart"/>
      <w:r w:rsidRPr="00FD2A8F">
        <w:rPr>
          <w:rFonts w:ascii="Arial" w:hAnsi="Arial" w:cs="Arial"/>
          <w:bCs/>
          <w:i/>
          <w:iCs/>
          <w:lang w:val="es-ES"/>
        </w:rPr>
        <w:t>RCAE</w:t>
      </w:r>
      <w:r w:rsidRPr="00FD2A8F">
        <w:rPr>
          <w:rFonts w:ascii="Arial" w:hAnsi="Arial" w:cs="Arial"/>
          <w:bCs/>
          <w:i/>
          <w:iCs/>
          <w:vertAlign w:val="subscript"/>
          <w:lang w:val="es-ES"/>
        </w:rPr>
        <w:t>j,t</w:t>
      </w:r>
      <w:proofErr w:type="gramEnd"/>
      <w:r w:rsidRPr="00FD2A8F">
        <w:rPr>
          <w:rFonts w:ascii="Arial" w:hAnsi="Arial" w:cs="Arial"/>
          <w:iCs/>
          <w:lang w:val="es-ES"/>
        </w:rPr>
        <w:t xml:space="preserve"> sea mayor o igual a 10,0% se deberá aplicar la siguiente ecuación:</w:t>
      </w:r>
    </w:p>
    <w:p w14:paraId="3975665C" w14:textId="4091B730" w:rsidR="00FD2A8F" w:rsidRPr="00FD2A8F" w:rsidRDefault="00E42F3C" w:rsidP="00FD2A8F">
      <w:pPr>
        <w:jc w:val="both"/>
        <w:rPr>
          <w:rFonts w:ascii="Arial" w:hAnsi="Arial" w:cs="Arial"/>
          <w:iCs/>
          <w:lang w:val="es-ES"/>
        </w:rPr>
      </w:pPr>
      <m:oMathPara>
        <m:oMath>
          <m:sSub>
            <m:sSubPr>
              <m:ctrlPr>
                <w:rPr>
                  <w:rFonts w:ascii="Cambria Math" w:hAnsi="Cambria Math" w:cs="Arial"/>
                  <w:i/>
                  <w:iCs/>
                  <w:lang w:val="es-ES"/>
                </w:rPr>
              </m:ctrlPr>
            </m:sSubPr>
            <m:e>
              <m:r>
                <w:rPr>
                  <w:rFonts w:ascii="Cambria Math" w:hAnsi="Cambria Math" w:cs="Arial"/>
                  <w:lang w:val="es-ES"/>
                </w:rPr>
                <m:t>RCAE</m:t>
              </m:r>
            </m:e>
            <m:sub>
              <m:r>
                <w:rPr>
                  <w:rFonts w:ascii="Cambria Math" w:hAnsi="Cambria Math" w:cs="Arial"/>
                  <w:lang w:val="es-ES"/>
                </w:rPr>
                <m:t>j,t</m:t>
              </m:r>
            </m:sub>
          </m:sSub>
          <m:r>
            <w:rPr>
              <w:rFonts w:ascii="Cambria Math" w:hAnsi="Cambria Math" w:cs="Arial"/>
              <w:lang w:val="es-ES"/>
            </w:rPr>
            <m:t>=</m:t>
          </m:r>
          <m:sSub>
            <m:sSubPr>
              <m:ctrlPr>
                <w:rPr>
                  <w:rFonts w:ascii="Cambria Math" w:hAnsi="Cambria Math" w:cs="Arial"/>
                  <w:i/>
                  <w:iCs/>
                  <w:lang w:val="es-ES"/>
                </w:rPr>
              </m:ctrlPr>
            </m:sSubPr>
            <m:e>
              <m:r>
                <w:rPr>
                  <w:rFonts w:ascii="Cambria Math" w:hAnsi="Cambria Math" w:cs="Arial"/>
                  <w:lang w:val="es-ES"/>
                </w:rPr>
                <m:t>RCAE</m:t>
              </m:r>
            </m:e>
            <m:sub>
              <m:r>
                <w:rPr>
                  <w:rFonts w:ascii="Cambria Math" w:hAnsi="Cambria Math" w:cs="Arial"/>
                  <w:lang w:val="es-ES"/>
                </w:rPr>
                <m:t>j</m:t>
              </m:r>
            </m:sub>
          </m:sSub>
          <m:r>
            <w:rPr>
              <w:rFonts w:ascii="Cambria Math" w:hAnsi="Cambria Math" w:cs="Arial"/>
              <w:lang w:val="es-ES"/>
            </w:rPr>
            <m:t>*</m:t>
          </m:r>
          <m:sSup>
            <m:sSupPr>
              <m:ctrlPr>
                <w:rPr>
                  <w:rFonts w:ascii="Cambria Math" w:hAnsi="Cambria Math" w:cs="Arial"/>
                  <w:i/>
                  <w:iCs/>
                  <w:lang w:val="es-ES"/>
                </w:rPr>
              </m:ctrlPr>
            </m:sSupPr>
            <m:e>
              <m:d>
                <m:dPr>
                  <m:ctrlPr>
                    <w:rPr>
                      <w:rFonts w:ascii="Cambria Math" w:hAnsi="Cambria Math" w:cs="Arial"/>
                      <w:i/>
                      <w:iCs/>
                      <w:lang w:val="es-ES"/>
                    </w:rPr>
                  </m:ctrlPr>
                </m:dPr>
                <m:e>
                  <m:r>
                    <w:rPr>
                      <w:rFonts w:ascii="Cambria Math" w:hAnsi="Cambria Math" w:cs="Arial"/>
                      <w:lang w:val="es-ES"/>
                    </w:rPr>
                    <m:t>1-0,05</m:t>
                  </m:r>
                </m:e>
              </m:d>
            </m:e>
            <m:sup>
              <m:r>
                <w:rPr>
                  <w:rFonts w:ascii="Cambria Math" w:hAnsi="Cambria Math" w:cs="Arial"/>
                  <w:lang w:val="es-ES"/>
                </w:rPr>
                <m:t>t-1</m:t>
              </m:r>
            </m:sup>
          </m:sSup>
        </m:oMath>
      </m:oMathPara>
    </w:p>
    <w:p w14:paraId="4902237B" w14:textId="134C7054" w:rsidR="00912316" w:rsidRDefault="00912316" w:rsidP="00891C31">
      <w:pPr>
        <w:jc w:val="both"/>
        <w:rPr>
          <w:rFonts w:ascii="Arial" w:hAnsi="Arial" w:cs="Arial"/>
          <w:iCs/>
        </w:rPr>
      </w:pPr>
      <w:r>
        <w:rPr>
          <w:rFonts w:ascii="Arial" w:hAnsi="Arial" w:cs="Arial"/>
          <w:iCs/>
        </w:rPr>
        <w:t xml:space="preserve">En la </w:t>
      </w:r>
      <w:r w:rsidR="006402D7">
        <w:rPr>
          <w:rFonts w:ascii="Arial" w:hAnsi="Arial" w:cs="Arial"/>
          <w:iCs/>
        </w:rPr>
        <w:fldChar w:fldCharType="begin"/>
      </w:r>
      <w:r w:rsidR="006402D7">
        <w:rPr>
          <w:rFonts w:ascii="Arial" w:hAnsi="Arial" w:cs="Arial"/>
          <w:iCs/>
        </w:rPr>
        <w:instrText xml:space="preserve"> REF _Ref164785772 \h  \* MERGEFORMAT </w:instrText>
      </w:r>
      <w:r w:rsidR="006402D7">
        <w:rPr>
          <w:rFonts w:ascii="Arial" w:hAnsi="Arial" w:cs="Arial"/>
          <w:iCs/>
        </w:rPr>
      </w:r>
      <w:r w:rsidR="006402D7">
        <w:rPr>
          <w:rFonts w:ascii="Arial" w:hAnsi="Arial" w:cs="Arial"/>
          <w:iCs/>
        </w:rPr>
        <w:fldChar w:fldCharType="separate"/>
      </w:r>
      <w:r w:rsidR="002A641D" w:rsidRPr="002A641D">
        <w:rPr>
          <w:rFonts w:ascii="Arial" w:hAnsi="Arial" w:cs="Arial"/>
          <w:iCs/>
        </w:rPr>
        <w:t>Tabla 12</w:t>
      </w:r>
      <w:r w:rsidR="006402D7">
        <w:rPr>
          <w:rFonts w:ascii="Arial" w:hAnsi="Arial" w:cs="Arial"/>
          <w:iCs/>
        </w:rPr>
        <w:fldChar w:fldCharType="end"/>
      </w:r>
      <w:r w:rsidR="006402D7">
        <w:rPr>
          <w:rFonts w:ascii="Arial" w:hAnsi="Arial" w:cs="Arial"/>
          <w:iCs/>
        </w:rPr>
        <w:t xml:space="preserve"> </w:t>
      </w:r>
      <w:r>
        <w:rPr>
          <w:rFonts w:ascii="Arial" w:hAnsi="Arial" w:cs="Arial"/>
          <w:iCs/>
        </w:rPr>
        <w:t>se presenta la comparación de la metodología para determinar el riesgo de cartera reconocido</w:t>
      </w:r>
      <w:r w:rsidR="006402D7">
        <w:rPr>
          <w:rFonts w:ascii="Arial" w:hAnsi="Arial" w:cs="Arial"/>
          <w:iCs/>
        </w:rPr>
        <w:t xml:space="preserve"> para los usuarios en áreas especiales </w:t>
      </w:r>
      <w:r>
        <w:rPr>
          <w:rFonts w:ascii="Arial" w:hAnsi="Arial" w:cs="Arial"/>
          <w:iCs/>
        </w:rPr>
        <w:t>respecto a la metodología vigente.</w:t>
      </w:r>
    </w:p>
    <w:p w14:paraId="7218013E" w14:textId="76B0AFDB" w:rsidR="00912316" w:rsidRDefault="00912316" w:rsidP="00891C31">
      <w:pPr>
        <w:pStyle w:val="Descripcin"/>
        <w:tabs>
          <w:tab w:val="left" w:pos="1276"/>
        </w:tabs>
        <w:spacing w:after="0"/>
        <w:rPr>
          <w:rFonts w:ascii="Arial" w:hAnsi="Arial" w:cs="Arial"/>
          <w:b/>
          <w:bCs/>
          <w:color w:val="auto"/>
        </w:rPr>
      </w:pPr>
      <w:bookmarkStart w:id="55" w:name="_Ref164785772"/>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12</w:t>
      </w:r>
      <w:r w:rsidRPr="00115F4D">
        <w:rPr>
          <w:rFonts w:ascii="Arial" w:hAnsi="Arial" w:cs="Arial"/>
          <w:b/>
          <w:bCs/>
          <w:color w:val="auto"/>
        </w:rPr>
        <w:fldChar w:fldCharType="end"/>
      </w:r>
      <w:bookmarkEnd w:id="55"/>
      <w:r w:rsidRPr="00115F4D">
        <w:rPr>
          <w:rFonts w:ascii="Arial" w:hAnsi="Arial" w:cs="Arial"/>
          <w:b/>
          <w:bCs/>
          <w:color w:val="auto"/>
        </w:rPr>
        <w:t xml:space="preserve"> </w:t>
      </w:r>
      <w:r>
        <w:rPr>
          <w:rFonts w:ascii="Arial" w:hAnsi="Arial" w:cs="Arial"/>
          <w:b/>
          <w:bCs/>
          <w:color w:val="auto"/>
        </w:rPr>
        <w:t>Comparación metodología de reconocimiento riesgo de cartera a usuarios</w:t>
      </w:r>
      <w:r w:rsidR="006402D7">
        <w:rPr>
          <w:rFonts w:ascii="Arial" w:hAnsi="Arial" w:cs="Arial"/>
          <w:b/>
          <w:bCs/>
          <w:color w:val="auto"/>
        </w:rPr>
        <w:t xml:space="preserve"> en áreas especiales</w:t>
      </w:r>
      <w:r>
        <w:rPr>
          <w:rFonts w:ascii="Arial" w:hAnsi="Arial" w:cs="Arial"/>
          <w:b/>
          <w:bCs/>
          <w:color w:val="auto"/>
        </w:rPr>
        <w:t xml:space="preserve">. </w:t>
      </w:r>
    </w:p>
    <w:tbl>
      <w:tblPr>
        <w:tblW w:w="5000" w:type="pct"/>
        <w:tblCellMar>
          <w:left w:w="0" w:type="dxa"/>
          <w:right w:w="0" w:type="dxa"/>
        </w:tblCellMar>
        <w:tblLook w:val="0620" w:firstRow="1" w:lastRow="0" w:firstColumn="0" w:lastColumn="0" w:noHBand="1" w:noVBand="1"/>
      </w:tblPr>
      <w:tblGrid>
        <w:gridCol w:w="1435"/>
        <w:gridCol w:w="3741"/>
        <w:gridCol w:w="3844"/>
      </w:tblGrid>
      <w:tr w:rsidR="002D19A0" w:rsidRPr="002D19A0" w14:paraId="6C3081D8" w14:textId="77777777" w:rsidTr="00912316">
        <w:trPr>
          <w:trHeight w:val="27"/>
        </w:trPr>
        <w:tc>
          <w:tcPr>
            <w:tcW w:w="795"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11B917B4" w14:textId="0EE64E5F" w:rsidR="002D19A0" w:rsidRPr="002D19A0" w:rsidRDefault="002D19A0" w:rsidP="00891C31">
            <w:pPr>
              <w:spacing w:before="0" w:after="0"/>
              <w:rPr>
                <w:rFonts w:ascii="Arial" w:eastAsia="Times New Roman" w:hAnsi="Arial" w:cs="Arial"/>
                <w:sz w:val="20"/>
                <w:szCs w:val="20"/>
                <w:lang w:eastAsia="es-CO"/>
              </w:rPr>
            </w:pPr>
            <w:r>
              <w:rPr>
                <w:rFonts w:ascii="Arial" w:eastAsia="Times New Roman" w:hAnsi="Arial" w:cs="Arial"/>
                <w:sz w:val="20"/>
                <w:szCs w:val="20"/>
                <w:lang w:eastAsia="es-CO"/>
              </w:rPr>
              <w:lastRenderedPageBreak/>
              <w:t>Componente</w:t>
            </w:r>
          </w:p>
        </w:tc>
        <w:tc>
          <w:tcPr>
            <w:tcW w:w="2074"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04CF1F66" w14:textId="77777777" w:rsidR="002D19A0" w:rsidRPr="002D19A0" w:rsidRDefault="002D19A0" w:rsidP="00891C31">
            <w:pPr>
              <w:spacing w:before="0" w:after="0"/>
              <w:jc w:val="center"/>
              <w:rPr>
                <w:rFonts w:ascii="Arial" w:eastAsia="Times New Roman" w:hAnsi="Arial" w:cs="Arial"/>
                <w:sz w:val="20"/>
                <w:szCs w:val="20"/>
                <w:lang w:eastAsia="es-CO"/>
              </w:rPr>
            </w:pPr>
            <w:r w:rsidRPr="002D19A0">
              <w:rPr>
                <w:rFonts w:ascii="Arial" w:eastAsia="Times New Roman" w:hAnsi="Arial" w:cs="Arial"/>
                <w:b/>
                <w:color w:val="000000" w:themeColor="text1"/>
                <w:kern w:val="24"/>
                <w:sz w:val="20"/>
                <w:szCs w:val="20"/>
                <w:lang w:val="es-MX" w:eastAsia="es-CO"/>
              </w:rPr>
              <w:t>Actual</w:t>
            </w:r>
          </w:p>
        </w:tc>
        <w:tc>
          <w:tcPr>
            <w:tcW w:w="2131"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hideMark/>
          </w:tcPr>
          <w:p w14:paraId="18F438B7" w14:textId="77777777" w:rsidR="002D19A0" w:rsidRPr="002D19A0" w:rsidRDefault="002D19A0" w:rsidP="00891C31">
            <w:pPr>
              <w:spacing w:before="0" w:after="0"/>
              <w:jc w:val="center"/>
              <w:rPr>
                <w:rFonts w:ascii="Arial" w:eastAsia="Times New Roman" w:hAnsi="Arial" w:cs="Arial"/>
                <w:sz w:val="20"/>
                <w:szCs w:val="20"/>
                <w:lang w:eastAsia="es-CO"/>
              </w:rPr>
            </w:pPr>
            <w:r w:rsidRPr="002D19A0">
              <w:rPr>
                <w:rFonts w:ascii="Arial" w:eastAsia="Times New Roman" w:hAnsi="Arial" w:cs="Arial"/>
                <w:b/>
                <w:color w:val="000000" w:themeColor="text1"/>
                <w:kern w:val="24"/>
                <w:sz w:val="20"/>
                <w:szCs w:val="20"/>
                <w:lang w:val="es-MX" w:eastAsia="es-CO"/>
              </w:rPr>
              <w:t>Propuesta</w:t>
            </w:r>
          </w:p>
        </w:tc>
      </w:tr>
      <w:tr w:rsidR="002D19A0" w:rsidRPr="002D19A0" w14:paraId="68CFD963" w14:textId="77777777" w:rsidTr="00912316">
        <w:trPr>
          <w:trHeight w:val="731"/>
        </w:trPr>
        <w:tc>
          <w:tcPr>
            <w:tcW w:w="795"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1BF2329B" w14:textId="77777777" w:rsidR="002D19A0" w:rsidRPr="002D19A0" w:rsidRDefault="002D19A0" w:rsidP="00891C31">
            <w:pPr>
              <w:spacing w:before="0" w:after="0"/>
              <w:jc w:val="center"/>
              <w:rPr>
                <w:rFonts w:ascii="Arial" w:eastAsia="Times New Roman" w:hAnsi="Arial" w:cs="Arial"/>
                <w:sz w:val="20"/>
                <w:szCs w:val="20"/>
                <w:lang w:eastAsia="es-CO"/>
              </w:rPr>
            </w:pPr>
            <w:r w:rsidRPr="002D19A0">
              <w:rPr>
                <w:rFonts w:ascii="Arial" w:eastAsiaTheme="minorEastAsia" w:hAnsi="Arial" w:cs="Arial"/>
                <w:b/>
                <w:color w:val="000000" w:themeColor="text1"/>
                <w:kern w:val="24"/>
                <w:sz w:val="20"/>
                <w:szCs w:val="20"/>
                <w:lang w:val="pt-BR" w:eastAsia="es-CO"/>
              </w:rPr>
              <w:t>RCAE - usuarios áreas especiales</w:t>
            </w:r>
          </w:p>
        </w:tc>
        <w:tc>
          <w:tcPr>
            <w:tcW w:w="2074"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358C36F5" w14:textId="77777777" w:rsidR="002D19A0" w:rsidRPr="002D19A0" w:rsidRDefault="002D19A0" w:rsidP="00C00C77">
            <w:pPr>
              <w:numPr>
                <w:ilvl w:val="0"/>
                <w:numId w:val="20"/>
              </w:numPr>
              <w:spacing w:before="40" w:after="40"/>
              <w:ind w:left="412"/>
              <w:contextualSpacing/>
              <w:rPr>
                <w:rFonts w:ascii="Arial" w:eastAsia="Times New Roman" w:hAnsi="Arial" w:cs="Arial"/>
                <w:color w:val="E7B53D"/>
                <w:sz w:val="20"/>
                <w:szCs w:val="20"/>
                <w:lang w:eastAsia="es-CO"/>
              </w:rPr>
            </w:pPr>
            <w:r w:rsidRPr="002D19A0">
              <w:rPr>
                <w:rFonts w:ascii="Arial" w:eastAsiaTheme="minorEastAsia" w:hAnsi="Arial" w:cs="Arial"/>
                <w:color w:val="000000" w:themeColor="text1"/>
                <w:kern w:val="24"/>
                <w:sz w:val="20"/>
                <w:szCs w:val="20"/>
                <w:lang w:eastAsia="es-CO"/>
              </w:rPr>
              <w:t xml:space="preserve">El riesgo de cartera incluye dos componentes: </w:t>
            </w:r>
          </w:p>
          <w:p w14:paraId="5F2515E4" w14:textId="77777777" w:rsidR="002D19A0" w:rsidRPr="002D19A0" w:rsidRDefault="002D19A0" w:rsidP="00C00C77">
            <w:pPr>
              <w:numPr>
                <w:ilvl w:val="1"/>
                <w:numId w:val="20"/>
              </w:numPr>
              <w:spacing w:before="40" w:after="40"/>
              <w:ind w:left="412"/>
              <w:contextualSpacing/>
              <w:rPr>
                <w:rFonts w:ascii="Arial" w:eastAsia="Times New Roman" w:hAnsi="Arial" w:cs="Arial"/>
                <w:sz w:val="20"/>
                <w:szCs w:val="20"/>
                <w:lang w:eastAsia="es-CO"/>
              </w:rPr>
            </w:pPr>
            <w:r w:rsidRPr="002D19A0">
              <w:rPr>
                <w:rFonts w:ascii="Arial" w:eastAsiaTheme="minorEastAsia" w:hAnsi="Arial" w:cs="Arial"/>
                <w:b/>
                <w:bCs/>
                <w:kern w:val="24"/>
                <w:sz w:val="20"/>
                <w:szCs w:val="20"/>
                <w:lang w:eastAsia="es-CO"/>
              </w:rPr>
              <w:t xml:space="preserve">Variación anual </w:t>
            </w:r>
            <w:r w:rsidRPr="002D19A0">
              <w:rPr>
                <w:rFonts w:ascii="Arial" w:eastAsiaTheme="minorEastAsia" w:hAnsi="Arial" w:cs="Arial"/>
                <w:kern w:val="24"/>
                <w:sz w:val="20"/>
                <w:szCs w:val="20"/>
                <w:lang w:eastAsia="es-CO"/>
              </w:rPr>
              <w:t xml:space="preserve">de cartera en mora de más de 365 días </w:t>
            </w:r>
          </w:p>
          <w:p w14:paraId="2CC5B135" w14:textId="77777777" w:rsidR="002D19A0" w:rsidRPr="002D19A0" w:rsidRDefault="002D19A0" w:rsidP="00C00C77">
            <w:pPr>
              <w:numPr>
                <w:ilvl w:val="1"/>
                <w:numId w:val="20"/>
              </w:numPr>
              <w:spacing w:before="40" w:after="40"/>
              <w:ind w:left="412"/>
              <w:contextualSpacing/>
              <w:rPr>
                <w:rFonts w:ascii="Arial" w:eastAsia="Times New Roman" w:hAnsi="Arial" w:cs="Arial"/>
                <w:sz w:val="20"/>
                <w:szCs w:val="20"/>
                <w:lang w:eastAsia="es-CO"/>
              </w:rPr>
            </w:pPr>
            <w:r w:rsidRPr="002D19A0">
              <w:rPr>
                <w:rFonts w:ascii="Arial" w:eastAsiaTheme="minorEastAsia" w:hAnsi="Arial" w:cs="Arial"/>
                <w:b/>
                <w:bCs/>
                <w:kern w:val="24"/>
                <w:sz w:val="20"/>
                <w:szCs w:val="20"/>
                <w:lang w:eastAsia="es-CO"/>
              </w:rPr>
              <w:t xml:space="preserve">Cartera castigada </w:t>
            </w:r>
          </w:p>
          <w:p w14:paraId="372C0EE1" w14:textId="77777777" w:rsidR="002D19A0" w:rsidRPr="002D19A0" w:rsidRDefault="002D19A0" w:rsidP="00C00C77">
            <w:pPr>
              <w:numPr>
                <w:ilvl w:val="0"/>
                <w:numId w:val="20"/>
              </w:numPr>
              <w:spacing w:before="40" w:after="40"/>
              <w:ind w:left="412"/>
              <w:contextualSpacing/>
              <w:rPr>
                <w:rFonts w:ascii="Arial" w:eastAsia="Times New Roman" w:hAnsi="Arial" w:cs="Arial"/>
                <w:color w:val="E7B53D"/>
                <w:sz w:val="20"/>
                <w:szCs w:val="20"/>
                <w:lang w:eastAsia="es-CO"/>
              </w:rPr>
            </w:pPr>
            <w:r w:rsidRPr="002D19A0">
              <w:rPr>
                <w:rFonts w:ascii="Arial" w:eastAsiaTheme="minorEastAsia" w:hAnsi="Arial" w:cs="Arial"/>
                <w:color w:val="000000" w:themeColor="text1"/>
                <w:kern w:val="24"/>
                <w:sz w:val="20"/>
                <w:szCs w:val="20"/>
                <w:lang w:eastAsia="es-CO"/>
              </w:rPr>
              <w:t xml:space="preserve">Información de </w:t>
            </w:r>
            <w:r w:rsidRPr="002D19A0">
              <w:rPr>
                <w:rFonts w:ascii="Arial" w:eastAsiaTheme="minorEastAsia" w:hAnsi="Arial" w:cs="Arial"/>
                <w:b/>
                <w:color w:val="000000" w:themeColor="text1"/>
                <w:kern w:val="24"/>
                <w:sz w:val="20"/>
                <w:szCs w:val="20"/>
                <w:lang w:eastAsia="es-CO"/>
              </w:rPr>
              <w:t xml:space="preserve">5 años </w:t>
            </w:r>
            <w:r w:rsidRPr="002D19A0">
              <w:rPr>
                <w:rFonts w:ascii="Arial" w:eastAsiaTheme="minorEastAsia" w:hAnsi="Arial" w:cs="Arial"/>
                <w:color w:val="000000" w:themeColor="text1"/>
                <w:kern w:val="24"/>
                <w:sz w:val="20"/>
                <w:szCs w:val="20"/>
                <w:lang w:eastAsia="es-CO"/>
              </w:rPr>
              <w:t>reportada por comercializador</w:t>
            </w:r>
          </w:p>
          <w:p w14:paraId="3043924D" w14:textId="77777777" w:rsidR="002D19A0" w:rsidRPr="002D19A0" w:rsidRDefault="002D19A0" w:rsidP="00C00C77">
            <w:pPr>
              <w:numPr>
                <w:ilvl w:val="0"/>
                <w:numId w:val="20"/>
              </w:numPr>
              <w:spacing w:before="40" w:after="40"/>
              <w:ind w:left="412"/>
              <w:contextualSpacing/>
              <w:rPr>
                <w:rFonts w:ascii="Arial" w:eastAsia="Times New Roman" w:hAnsi="Arial" w:cs="Arial"/>
                <w:color w:val="E7B53D"/>
                <w:sz w:val="20"/>
                <w:szCs w:val="20"/>
                <w:lang w:eastAsia="es-CO"/>
              </w:rPr>
            </w:pPr>
            <w:r w:rsidRPr="002D19A0">
              <w:rPr>
                <w:rFonts w:ascii="Arial" w:eastAsiaTheme="minorEastAsia" w:hAnsi="Arial" w:cs="Arial"/>
                <w:color w:val="000000" w:themeColor="text1"/>
                <w:kern w:val="24"/>
                <w:sz w:val="20"/>
                <w:szCs w:val="20"/>
                <w:lang w:eastAsia="es-CO"/>
              </w:rPr>
              <w:t>Se estima porcentaje en función de facturación total a estos usuarios.</w:t>
            </w:r>
          </w:p>
          <w:p w14:paraId="2B504F2B" w14:textId="77777777" w:rsidR="002D19A0" w:rsidRPr="002D19A0" w:rsidRDefault="002D19A0" w:rsidP="00C00C77">
            <w:pPr>
              <w:numPr>
                <w:ilvl w:val="0"/>
                <w:numId w:val="20"/>
              </w:numPr>
              <w:spacing w:before="40" w:after="40"/>
              <w:ind w:left="412"/>
              <w:contextualSpacing/>
              <w:rPr>
                <w:rFonts w:ascii="Arial" w:eastAsia="Times New Roman" w:hAnsi="Arial" w:cs="Arial"/>
                <w:color w:val="E7B53D"/>
                <w:sz w:val="20"/>
                <w:szCs w:val="20"/>
                <w:lang w:eastAsia="es-CO"/>
              </w:rPr>
            </w:pPr>
            <w:r w:rsidRPr="002D19A0">
              <w:rPr>
                <w:rFonts w:ascii="Arial" w:eastAsiaTheme="minorEastAsia" w:hAnsi="Arial" w:cs="Arial"/>
                <w:color w:val="000000" w:themeColor="text1"/>
                <w:kern w:val="24"/>
                <w:sz w:val="20"/>
                <w:szCs w:val="20"/>
                <w:lang w:eastAsia="es-CO"/>
              </w:rPr>
              <w:t>RCAE se aprueba en resolución particular</w:t>
            </w:r>
          </w:p>
          <w:p w14:paraId="42F9EB21" w14:textId="77777777" w:rsidR="002D19A0" w:rsidRPr="002D19A0" w:rsidRDefault="002D19A0" w:rsidP="00C00C77">
            <w:pPr>
              <w:numPr>
                <w:ilvl w:val="0"/>
                <w:numId w:val="20"/>
              </w:numPr>
              <w:spacing w:before="40" w:after="40"/>
              <w:ind w:left="412"/>
              <w:contextualSpacing/>
              <w:rPr>
                <w:rFonts w:ascii="Arial" w:eastAsia="Times New Roman" w:hAnsi="Arial" w:cs="Arial"/>
                <w:color w:val="E7B53D"/>
                <w:sz w:val="20"/>
                <w:szCs w:val="20"/>
                <w:lang w:eastAsia="es-CO"/>
              </w:rPr>
            </w:pPr>
            <w:r w:rsidRPr="002D19A0">
              <w:rPr>
                <w:rFonts w:ascii="Arial" w:eastAsiaTheme="minorEastAsia" w:hAnsi="Arial" w:cs="Arial"/>
                <w:color w:val="000000" w:themeColor="text1"/>
                <w:kern w:val="24"/>
                <w:sz w:val="20"/>
                <w:szCs w:val="20"/>
                <w:lang w:eastAsia="es-CO"/>
              </w:rPr>
              <w:t>El riesgo de cartera reconocido se reduce anualmente en un 5% desde el año 2 hasta el año 5</w:t>
            </w:r>
          </w:p>
        </w:tc>
        <w:tc>
          <w:tcPr>
            <w:tcW w:w="2131" w:type="pct"/>
            <w:tcBorders>
              <w:top w:val="single" w:sz="2" w:space="0" w:color="A6A6A6"/>
              <w:left w:val="single" w:sz="2" w:space="0" w:color="A6A6A6"/>
              <w:bottom w:val="single" w:sz="2" w:space="0" w:color="A6A6A6"/>
              <w:right w:val="single" w:sz="2" w:space="0" w:color="A6A6A6"/>
            </w:tcBorders>
            <w:shd w:val="clear" w:color="auto" w:fill="auto"/>
            <w:tcMar>
              <w:top w:w="72" w:type="dxa"/>
              <w:left w:w="144" w:type="dxa"/>
              <w:bottom w:w="72" w:type="dxa"/>
              <w:right w:w="144" w:type="dxa"/>
            </w:tcMar>
            <w:vAlign w:val="center"/>
            <w:hideMark/>
          </w:tcPr>
          <w:p w14:paraId="08BE27E9" w14:textId="77777777" w:rsidR="002D19A0" w:rsidRPr="002D19A0" w:rsidRDefault="002D19A0" w:rsidP="00C00C77">
            <w:pPr>
              <w:numPr>
                <w:ilvl w:val="0"/>
                <w:numId w:val="20"/>
              </w:numPr>
              <w:spacing w:before="40" w:after="40"/>
              <w:ind w:left="413"/>
              <w:contextualSpacing/>
              <w:rPr>
                <w:rFonts w:ascii="Arial" w:eastAsia="Times New Roman" w:hAnsi="Arial" w:cs="Arial"/>
                <w:sz w:val="20"/>
                <w:szCs w:val="20"/>
                <w:lang w:eastAsia="es-CO"/>
              </w:rPr>
            </w:pPr>
            <w:r w:rsidRPr="002D19A0">
              <w:rPr>
                <w:rFonts w:ascii="Arial" w:eastAsiaTheme="minorEastAsia" w:hAnsi="Arial" w:cs="Arial"/>
                <w:kern w:val="24"/>
                <w:sz w:val="20"/>
                <w:szCs w:val="20"/>
                <w:lang w:eastAsia="es-CO"/>
              </w:rPr>
              <w:t xml:space="preserve">Se propone reconocer un solo componente: </w:t>
            </w:r>
            <w:r w:rsidRPr="002D19A0">
              <w:rPr>
                <w:rFonts w:ascii="Arial" w:eastAsiaTheme="minorEastAsia" w:hAnsi="Arial" w:cs="Arial"/>
                <w:b/>
                <w:bCs/>
                <w:kern w:val="24"/>
                <w:sz w:val="20"/>
                <w:szCs w:val="20"/>
                <w:lang w:eastAsia="es-CO"/>
              </w:rPr>
              <w:t xml:space="preserve">cartera castigada </w:t>
            </w:r>
          </w:p>
          <w:p w14:paraId="020DBDBC" w14:textId="2142AF15" w:rsidR="002D19A0" w:rsidRPr="002D19A0" w:rsidRDefault="002D19A0" w:rsidP="00C00C77">
            <w:pPr>
              <w:numPr>
                <w:ilvl w:val="0"/>
                <w:numId w:val="20"/>
              </w:numPr>
              <w:spacing w:before="40" w:after="40"/>
              <w:ind w:left="413"/>
              <w:contextualSpacing/>
              <w:rPr>
                <w:rFonts w:ascii="Arial" w:eastAsia="Times New Roman" w:hAnsi="Arial" w:cs="Arial"/>
                <w:sz w:val="20"/>
                <w:szCs w:val="20"/>
                <w:lang w:eastAsia="es-CO"/>
              </w:rPr>
            </w:pPr>
            <w:r w:rsidRPr="002D19A0">
              <w:rPr>
                <w:rFonts w:ascii="Arial" w:eastAsiaTheme="minorEastAsia" w:hAnsi="Arial" w:cs="Arial"/>
                <w:kern w:val="24"/>
                <w:sz w:val="20"/>
                <w:szCs w:val="20"/>
                <w:lang w:eastAsia="es-CO"/>
              </w:rPr>
              <w:t>Se emplea información de</w:t>
            </w:r>
            <w:r w:rsidR="00414EA8">
              <w:rPr>
                <w:rFonts w:ascii="Arial" w:eastAsiaTheme="minorEastAsia" w:hAnsi="Arial" w:cs="Arial"/>
                <w:kern w:val="24"/>
                <w:sz w:val="20"/>
                <w:szCs w:val="20"/>
                <w:lang w:eastAsia="es-CO"/>
              </w:rPr>
              <w:t>l periodo de tiempo con datos disponibles</w:t>
            </w:r>
            <w:r w:rsidR="00A71439">
              <w:rPr>
                <w:rFonts w:ascii="Arial" w:eastAsiaTheme="minorEastAsia" w:hAnsi="Arial" w:cs="Arial"/>
                <w:kern w:val="24"/>
                <w:sz w:val="20"/>
                <w:szCs w:val="20"/>
                <w:lang w:eastAsia="es-CO"/>
              </w:rPr>
              <w:t xml:space="preserve">. </w:t>
            </w:r>
          </w:p>
          <w:p w14:paraId="64348F97" w14:textId="77777777" w:rsidR="002D19A0" w:rsidRPr="002D19A0" w:rsidRDefault="002D19A0" w:rsidP="00C00C77">
            <w:pPr>
              <w:numPr>
                <w:ilvl w:val="0"/>
                <w:numId w:val="20"/>
              </w:numPr>
              <w:spacing w:before="40" w:after="40"/>
              <w:ind w:left="413"/>
              <w:contextualSpacing/>
              <w:rPr>
                <w:rFonts w:ascii="Arial" w:eastAsia="Times New Roman" w:hAnsi="Arial" w:cs="Arial"/>
                <w:sz w:val="20"/>
                <w:szCs w:val="20"/>
                <w:lang w:eastAsia="es-CO"/>
              </w:rPr>
            </w:pPr>
            <w:r w:rsidRPr="002D19A0">
              <w:rPr>
                <w:rFonts w:ascii="Arial" w:eastAsiaTheme="minorEastAsia" w:hAnsi="Arial" w:cs="Arial"/>
                <w:kern w:val="24"/>
                <w:sz w:val="20"/>
                <w:szCs w:val="20"/>
                <w:lang w:eastAsia="es-CO"/>
              </w:rPr>
              <w:t xml:space="preserve">Se estima porcentaje en función de facturación total a estos usuarios </w:t>
            </w:r>
          </w:p>
          <w:p w14:paraId="4F7579D6" w14:textId="77777777" w:rsidR="002D19A0" w:rsidRPr="002D19A0" w:rsidRDefault="002D19A0" w:rsidP="00C00C77">
            <w:pPr>
              <w:numPr>
                <w:ilvl w:val="0"/>
                <w:numId w:val="20"/>
              </w:numPr>
              <w:spacing w:before="40" w:after="40"/>
              <w:ind w:left="413"/>
              <w:contextualSpacing/>
              <w:rPr>
                <w:rFonts w:ascii="Arial" w:eastAsia="Times New Roman" w:hAnsi="Arial" w:cs="Arial"/>
                <w:color w:val="E7B53D"/>
                <w:sz w:val="20"/>
                <w:szCs w:val="20"/>
                <w:lang w:eastAsia="es-CO"/>
              </w:rPr>
            </w:pPr>
            <w:r w:rsidRPr="002D19A0">
              <w:rPr>
                <w:rFonts w:ascii="Arial" w:eastAsiaTheme="minorEastAsia" w:hAnsi="Arial" w:cs="Arial"/>
                <w:kern w:val="24"/>
                <w:sz w:val="20"/>
                <w:szCs w:val="20"/>
                <w:lang w:eastAsia="es-CO"/>
              </w:rPr>
              <w:t xml:space="preserve">El riesgo de cartera reconocido se </w:t>
            </w:r>
            <w:r w:rsidRPr="002D19A0">
              <w:rPr>
                <w:rFonts w:ascii="Arial" w:eastAsiaTheme="minorEastAsia" w:hAnsi="Arial" w:cs="Arial"/>
                <w:b/>
                <w:bCs/>
                <w:kern w:val="24"/>
                <w:sz w:val="20"/>
                <w:szCs w:val="20"/>
                <w:lang w:eastAsia="es-CO"/>
              </w:rPr>
              <w:t xml:space="preserve">reduce anualmente en un 5% </w:t>
            </w:r>
          </w:p>
        </w:tc>
      </w:tr>
    </w:tbl>
    <w:p w14:paraId="1E59D3FE" w14:textId="77777777" w:rsidR="00EC45A8" w:rsidRPr="00115F4D" w:rsidRDefault="00EC45A8" w:rsidP="00A04A33">
      <w:pPr>
        <w:spacing w:before="0" w:after="0"/>
        <w:rPr>
          <w:rFonts w:ascii="Arial" w:hAnsi="Arial" w:cs="Arial"/>
        </w:rPr>
      </w:pPr>
    </w:p>
    <w:p w14:paraId="2B5B7420" w14:textId="71098053" w:rsidR="004D2629" w:rsidRPr="00115F4D" w:rsidRDefault="005B1681" w:rsidP="00C00C77">
      <w:pPr>
        <w:pStyle w:val="Ttulo3"/>
        <w:numPr>
          <w:ilvl w:val="2"/>
          <w:numId w:val="24"/>
        </w:numPr>
      </w:pPr>
      <w:bookmarkStart w:id="56" w:name="_Toc165037339"/>
      <w:r w:rsidRPr="00115F4D">
        <w:t>Costos Financieros</w:t>
      </w:r>
      <w:r w:rsidR="00C868FF" w:rsidRPr="00115F4D">
        <w:t xml:space="preserve"> </w:t>
      </w:r>
      <w:r w:rsidR="00440E60">
        <w:t>Reconocidos</w:t>
      </w:r>
      <w:bookmarkEnd w:id="56"/>
    </w:p>
    <w:p w14:paraId="3C06150A" w14:textId="6F57530A" w:rsidR="005B1681" w:rsidRPr="00115F4D" w:rsidRDefault="0031282C" w:rsidP="00891C31">
      <w:pPr>
        <w:jc w:val="both"/>
        <w:rPr>
          <w:rFonts w:ascii="Arial" w:hAnsi="Arial" w:cs="Arial"/>
        </w:rPr>
      </w:pPr>
      <w:r w:rsidRPr="00115F4D">
        <w:rPr>
          <w:rFonts w:ascii="Arial" w:hAnsi="Arial" w:cs="Arial"/>
        </w:rPr>
        <w:t>La actividad de comercialización de energía eléctrica a usuarios regulados se enfrenta a costos</w:t>
      </w:r>
      <w:r w:rsidR="00ED31E9" w:rsidRPr="00115F4D">
        <w:rPr>
          <w:rFonts w:ascii="Arial" w:hAnsi="Arial" w:cs="Arial"/>
        </w:rPr>
        <w:t xml:space="preserve"> y beneficios</w:t>
      </w:r>
      <w:r w:rsidRPr="00115F4D">
        <w:rPr>
          <w:rFonts w:ascii="Arial" w:hAnsi="Arial" w:cs="Arial"/>
        </w:rPr>
        <w:t xml:space="preserve"> financieros derivados de</w:t>
      </w:r>
      <w:r w:rsidR="00ED31E9" w:rsidRPr="00115F4D">
        <w:rPr>
          <w:rFonts w:ascii="Arial" w:hAnsi="Arial" w:cs="Arial"/>
        </w:rPr>
        <w:t xml:space="preserve"> la tenencia o no de los recursos financieros para cumplir con las obligaciones a otros agentes, y cubrir los propios costos </w:t>
      </w:r>
      <w:r w:rsidR="004F6081" w:rsidRPr="00115F4D">
        <w:rPr>
          <w:rFonts w:ascii="Arial" w:hAnsi="Arial" w:cs="Arial"/>
        </w:rPr>
        <w:t xml:space="preserve">de </w:t>
      </w:r>
      <w:r w:rsidR="00ED31E9" w:rsidRPr="00115F4D">
        <w:rPr>
          <w:rFonts w:ascii="Arial" w:hAnsi="Arial" w:cs="Arial"/>
        </w:rPr>
        <w:t>realizar la actividad.</w:t>
      </w:r>
      <w:r w:rsidRPr="00115F4D">
        <w:rPr>
          <w:rFonts w:ascii="Arial" w:hAnsi="Arial" w:cs="Arial"/>
        </w:rPr>
        <w:t xml:space="preserve"> </w:t>
      </w:r>
      <w:r w:rsidR="005B1681" w:rsidRPr="00115F4D">
        <w:rPr>
          <w:rFonts w:ascii="Arial" w:hAnsi="Arial" w:cs="Arial"/>
        </w:rPr>
        <w:t xml:space="preserve">La metodología </w:t>
      </w:r>
      <w:r w:rsidR="004F6081" w:rsidRPr="00115F4D">
        <w:rPr>
          <w:rFonts w:ascii="Arial" w:hAnsi="Arial" w:cs="Arial"/>
        </w:rPr>
        <w:t xml:space="preserve">de la </w:t>
      </w:r>
      <w:r w:rsidR="00E72A32">
        <w:rPr>
          <w:rFonts w:ascii="Arial" w:hAnsi="Arial" w:cs="Arial"/>
        </w:rPr>
        <w:t>R</w:t>
      </w:r>
      <w:r w:rsidR="004F6081" w:rsidRPr="00115F4D">
        <w:rPr>
          <w:rFonts w:ascii="Arial" w:hAnsi="Arial" w:cs="Arial"/>
        </w:rPr>
        <w:t xml:space="preserve">esolución </w:t>
      </w:r>
      <w:r w:rsidR="005B1681" w:rsidRPr="00115F4D">
        <w:rPr>
          <w:rFonts w:ascii="Arial" w:hAnsi="Arial" w:cs="Arial"/>
        </w:rPr>
        <w:t>CREG 180 de 2014</w:t>
      </w:r>
      <w:r w:rsidR="00807080" w:rsidRPr="00115F4D">
        <w:rPr>
          <w:rFonts w:ascii="Arial" w:hAnsi="Arial" w:cs="Arial"/>
        </w:rPr>
        <w:t>,</w:t>
      </w:r>
      <w:r w:rsidR="005B1681" w:rsidRPr="00115F4D">
        <w:rPr>
          <w:rFonts w:ascii="Arial" w:hAnsi="Arial" w:cs="Arial"/>
        </w:rPr>
        <w:t xml:space="preserve"> contiene la variable de costo financieros (CFE). Esta variable remunera los </w:t>
      </w:r>
      <w:r w:rsidR="004F6081" w:rsidRPr="00115F4D">
        <w:rPr>
          <w:rFonts w:ascii="Arial" w:hAnsi="Arial" w:cs="Arial"/>
        </w:rPr>
        <w:t xml:space="preserve">costos financieros asociados a los </w:t>
      </w:r>
      <w:r w:rsidR="005B1681" w:rsidRPr="00115F4D">
        <w:rPr>
          <w:rFonts w:ascii="Arial" w:hAnsi="Arial" w:cs="Arial"/>
        </w:rPr>
        <w:t>ciclos de facturación de la actividad, así como</w:t>
      </w:r>
      <w:r w:rsidR="00DF65ED" w:rsidRPr="00115F4D">
        <w:rPr>
          <w:rFonts w:ascii="Arial" w:hAnsi="Arial" w:cs="Arial"/>
        </w:rPr>
        <w:t xml:space="preserve"> los </w:t>
      </w:r>
      <w:r w:rsidRPr="00115F4D">
        <w:rPr>
          <w:rFonts w:ascii="Arial" w:hAnsi="Arial" w:cs="Arial"/>
        </w:rPr>
        <w:t>ocasionados por</w:t>
      </w:r>
      <w:r w:rsidR="005B1681" w:rsidRPr="00115F4D">
        <w:rPr>
          <w:rFonts w:ascii="Arial" w:hAnsi="Arial" w:cs="Arial"/>
        </w:rPr>
        <w:t xml:space="preserve"> el tiempo transcurrido desde el vencimiento de la factura hasta la fecha </w:t>
      </w:r>
      <w:r w:rsidR="00621AA7" w:rsidRPr="00115F4D">
        <w:rPr>
          <w:rFonts w:ascii="Arial" w:hAnsi="Arial" w:cs="Arial"/>
        </w:rPr>
        <w:t xml:space="preserve">del giro de </w:t>
      </w:r>
      <w:r w:rsidR="00905771" w:rsidRPr="00115F4D">
        <w:rPr>
          <w:rFonts w:ascii="Arial" w:hAnsi="Arial" w:cs="Arial"/>
        </w:rPr>
        <w:t>los déficits de</w:t>
      </w:r>
      <w:r w:rsidR="005B1681" w:rsidRPr="00115F4D">
        <w:rPr>
          <w:rFonts w:ascii="Arial" w:hAnsi="Arial" w:cs="Arial"/>
        </w:rPr>
        <w:t xml:space="preserve"> subsidios a las empresas comercializadoras.</w:t>
      </w:r>
    </w:p>
    <w:p w14:paraId="5061F1EE" w14:textId="58D72D06" w:rsidR="005B1681" w:rsidRPr="00115F4D" w:rsidRDefault="005B1681" w:rsidP="00891C31">
      <w:pPr>
        <w:jc w:val="both"/>
        <w:rPr>
          <w:rFonts w:ascii="Arial" w:hAnsi="Arial" w:cs="Arial"/>
        </w:rPr>
      </w:pPr>
      <w:r w:rsidRPr="00115F4D">
        <w:rPr>
          <w:rFonts w:ascii="Arial" w:hAnsi="Arial" w:cs="Arial"/>
        </w:rPr>
        <w:t>De acuerdo con la regulación vigente el CFE se compone de una parte</w:t>
      </w:r>
      <w:r w:rsidR="002712DE" w:rsidRPr="00115F4D">
        <w:rPr>
          <w:rFonts w:ascii="Arial" w:hAnsi="Arial" w:cs="Arial"/>
        </w:rPr>
        <w:t xml:space="preserve"> </w:t>
      </w:r>
      <w:r w:rsidRPr="00115F4D">
        <w:rPr>
          <w:rFonts w:ascii="Arial" w:hAnsi="Arial" w:cs="Arial"/>
        </w:rPr>
        <w:t>fija y un</w:t>
      </w:r>
      <w:r w:rsidR="00905771" w:rsidRPr="00115F4D">
        <w:rPr>
          <w:rFonts w:ascii="Arial" w:hAnsi="Arial" w:cs="Arial"/>
        </w:rPr>
        <w:t>a</w:t>
      </w:r>
      <w:r w:rsidRPr="00115F4D">
        <w:rPr>
          <w:rFonts w:ascii="Arial" w:hAnsi="Arial" w:cs="Arial"/>
        </w:rPr>
        <w:t xml:space="preserve"> variable. El componente fijo (CF</w:t>
      </w:r>
      <w:r w:rsidR="00A728BB">
        <w:rPr>
          <w:rFonts w:ascii="Arial" w:hAnsi="Arial" w:cs="Arial"/>
        </w:rPr>
        <w:t>F</w:t>
      </w:r>
      <w:r w:rsidRPr="00115F4D">
        <w:rPr>
          <w:rFonts w:ascii="Arial" w:hAnsi="Arial" w:cs="Arial"/>
        </w:rPr>
        <w:t xml:space="preserve">) fue establecido a través de la </w:t>
      </w:r>
      <w:r w:rsidR="00905771" w:rsidRPr="00115F4D">
        <w:rPr>
          <w:rFonts w:ascii="Arial" w:hAnsi="Arial" w:cs="Arial"/>
        </w:rPr>
        <w:t xml:space="preserve">metodología de </w:t>
      </w:r>
      <w:r w:rsidRPr="00115F4D">
        <w:rPr>
          <w:rFonts w:ascii="Arial" w:hAnsi="Arial" w:cs="Arial"/>
        </w:rPr>
        <w:t xml:space="preserve">modelación contenida en el Documento </w:t>
      </w:r>
      <w:r w:rsidR="00971046" w:rsidRPr="00115F4D">
        <w:rPr>
          <w:rFonts w:ascii="Arial" w:hAnsi="Arial" w:cs="Arial"/>
        </w:rPr>
        <w:t>D-020-12</w:t>
      </w:r>
      <w:r w:rsidR="004F6081" w:rsidRPr="00115F4D">
        <w:rPr>
          <w:rFonts w:ascii="Arial" w:hAnsi="Arial" w:cs="Arial"/>
        </w:rPr>
        <w:t xml:space="preserve"> y remunera los costos financieros asociados al ciclo de efectivo</w:t>
      </w:r>
      <w:r w:rsidRPr="00115F4D">
        <w:rPr>
          <w:rFonts w:ascii="Arial" w:hAnsi="Arial" w:cs="Arial"/>
        </w:rPr>
        <w:t xml:space="preserve">. Mientras que el componente variable (CFS) corresponde al costo financiero en el que los comercializadores de energía eléctrica incurren para cubrir los subsidios de energía en los mercados deficitarios hasta </w:t>
      </w:r>
      <w:r w:rsidR="00621AA7" w:rsidRPr="00115F4D">
        <w:rPr>
          <w:rFonts w:ascii="Arial" w:hAnsi="Arial" w:cs="Arial"/>
        </w:rPr>
        <w:t>que se</w:t>
      </w:r>
      <w:r w:rsidRPr="00115F4D">
        <w:rPr>
          <w:rFonts w:ascii="Arial" w:hAnsi="Arial" w:cs="Arial"/>
        </w:rPr>
        <w:t xml:space="preserve"> realiza el giro</w:t>
      </w:r>
      <w:r w:rsidR="00621AA7" w:rsidRPr="00115F4D">
        <w:rPr>
          <w:rFonts w:ascii="Arial" w:hAnsi="Arial" w:cs="Arial"/>
        </w:rPr>
        <w:t xml:space="preserve"> de los recursos</w:t>
      </w:r>
      <w:r w:rsidRPr="00115F4D">
        <w:rPr>
          <w:rFonts w:ascii="Arial" w:hAnsi="Arial" w:cs="Arial"/>
        </w:rPr>
        <w:t>.</w:t>
      </w:r>
    </w:p>
    <w:p w14:paraId="72BAF000" w14:textId="23D4FC39" w:rsidR="00B90A2B" w:rsidRPr="00115F4D" w:rsidRDefault="00240B06" w:rsidP="00891C31">
      <w:pPr>
        <w:pStyle w:val="Ttulo4"/>
      </w:pPr>
      <w:r w:rsidRPr="00115F4D">
        <w:t>Costo financiero del ciclo de efectivo</w:t>
      </w:r>
    </w:p>
    <w:p w14:paraId="4B22A508" w14:textId="77777777" w:rsidR="002B230A" w:rsidRPr="00115F4D" w:rsidRDefault="002B230A" w:rsidP="00891C31">
      <w:pPr>
        <w:autoSpaceDE w:val="0"/>
        <w:autoSpaceDN w:val="0"/>
        <w:adjustRightInd w:val="0"/>
        <w:spacing w:before="0" w:after="0"/>
        <w:jc w:val="both"/>
        <w:rPr>
          <w:rFonts w:ascii="Arial" w:hAnsi="Arial" w:cs="Arial"/>
        </w:rPr>
      </w:pPr>
    </w:p>
    <w:p w14:paraId="0B21FECC" w14:textId="77777777" w:rsidR="002B230A" w:rsidRPr="00115F4D" w:rsidRDefault="002B230A" w:rsidP="00891C31">
      <w:pPr>
        <w:autoSpaceDE w:val="0"/>
        <w:autoSpaceDN w:val="0"/>
        <w:adjustRightInd w:val="0"/>
        <w:spacing w:before="0" w:after="0"/>
        <w:jc w:val="both"/>
        <w:rPr>
          <w:rFonts w:ascii="Arial" w:hAnsi="Arial" w:cs="Arial"/>
        </w:rPr>
      </w:pPr>
      <w:r w:rsidRPr="00115F4D">
        <w:rPr>
          <w:rFonts w:ascii="Arial" w:hAnsi="Arial" w:cs="Arial"/>
        </w:rPr>
        <w:t>Los estudios realizados por la comisión señalan de manera general, que la metodología actual es consistente con las realidades de la actividad de comercialización de energía eléctrica para usuarios regulados en el país y con las técnicas de medición del riesgo de liquidez disponibles en la literatura y práctica financiera; no obstante, se identifican posibilidades de mejora, asociadas principalmente con la actualización de la base de cálculo para el componente fijo y la precisión en la definición de algunas variables de costo de oportunidad.</w:t>
      </w:r>
    </w:p>
    <w:p w14:paraId="23AD8210" w14:textId="5CA7F520" w:rsidR="002B230A" w:rsidRPr="00115F4D" w:rsidRDefault="003E1A33" w:rsidP="00891C31">
      <w:pPr>
        <w:jc w:val="both"/>
        <w:rPr>
          <w:rFonts w:ascii="Arial" w:hAnsi="Arial" w:cs="Arial"/>
        </w:rPr>
      </w:pPr>
      <w:r w:rsidRPr="00CA01C2">
        <w:rPr>
          <w:rFonts w:ascii="Arial" w:hAnsi="Arial" w:cs="Arial"/>
        </w:rPr>
        <w:t>La variación de las tasas de captación y colocación</w:t>
      </w:r>
      <w:r w:rsidR="00FD7D29" w:rsidRPr="00CA01C2">
        <w:rPr>
          <w:rFonts w:ascii="Arial" w:hAnsi="Arial" w:cs="Arial"/>
        </w:rPr>
        <w:t xml:space="preserve">, asi como la variación mensual del </w:t>
      </w:r>
      <w:r w:rsidR="008E13DE" w:rsidRPr="00CA01C2">
        <w:rPr>
          <w:rFonts w:ascii="Arial" w:hAnsi="Arial" w:cs="Arial"/>
        </w:rPr>
        <w:t>Índice</w:t>
      </w:r>
      <w:r w:rsidR="00FD7D29" w:rsidRPr="00CA01C2">
        <w:rPr>
          <w:rFonts w:ascii="Arial" w:hAnsi="Arial" w:cs="Arial"/>
        </w:rPr>
        <w:t xml:space="preserve"> de Precios al Productor</w:t>
      </w:r>
      <w:r w:rsidR="002B230A" w:rsidRPr="00CA01C2">
        <w:rPr>
          <w:rFonts w:ascii="Arial" w:hAnsi="Arial" w:cs="Arial"/>
        </w:rPr>
        <w:t>,</w:t>
      </w:r>
      <w:r w:rsidR="008E13DE" w:rsidRPr="00CA01C2">
        <w:rPr>
          <w:rFonts w:ascii="Arial" w:hAnsi="Arial" w:cs="Arial"/>
        </w:rPr>
        <w:t xml:space="preserve"> puede tener un impacto significativo en el costo financiero que enfrent</w:t>
      </w:r>
      <w:r w:rsidR="00216F30" w:rsidRPr="00CA01C2">
        <w:rPr>
          <w:rFonts w:ascii="Arial" w:hAnsi="Arial" w:cs="Arial"/>
        </w:rPr>
        <w:t>a</w:t>
      </w:r>
      <w:r w:rsidR="00D31251" w:rsidRPr="00CA01C2">
        <w:rPr>
          <w:rFonts w:ascii="Arial" w:hAnsi="Arial" w:cs="Arial"/>
        </w:rPr>
        <w:t xml:space="preserve"> el comercializador</w:t>
      </w:r>
      <w:r w:rsidR="00216F30" w:rsidRPr="00CA01C2">
        <w:rPr>
          <w:rFonts w:ascii="Arial" w:hAnsi="Arial" w:cs="Arial"/>
        </w:rPr>
        <w:t xml:space="preserve">, lo cual puede ocasionar que </w:t>
      </w:r>
      <w:r w:rsidR="002B230A" w:rsidRPr="00CA01C2">
        <w:rPr>
          <w:rFonts w:ascii="Arial" w:hAnsi="Arial" w:cs="Arial"/>
        </w:rPr>
        <w:t>los costos reconocidos al comercializador difieran de los costos</w:t>
      </w:r>
      <w:r w:rsidR="00E749B1" w:rsidRPr="00CA01C2">
        <w:rPr>
          <w:rFonts w:ascii="Arial" w:hAnsi="Arial" w:cs="Arial"/>
        </w:rPr>
        <w:t xml:space="preserve"> </w:t>
      </w:r>
      <w:r w:rsidR="00DD0501" w:rsidRPr="00CA01C2">
        <w:rPr>
          <w:rFonts w:ascii="Arial" w:hAnsi="Arial" w:cs="Arial"/>
        </w:rPr>
        <w:t xml:space="preserve">actuales, </w:t>
      </w:r>
      <w:r w:rsidR="00890E63" w:rsidRPr="00CA01C2">
        <w:rPr>
          <w:rFonts w:ascii="Arial" w:hAnsi="Arial" w:cs="Arial"/>
        </w:rPr>
        <w:t>especialmente si se toma un periodo de tiempo fijo</w:t>
      </w:r>
      <w:r w:rsidR="002B230A" w:rsidRPr="00CA01C2">
        <w:rPr>
          <w:rFonts w:ascii="Arial" w:hAnsi="Arial" w:cs="Arial"/>
        </w:rPr>
        <w:t xml:space="preserve">. En ese sentido, se propone actualizar el cálculo a través de una formulación que permita en un periodo </w:t>
      </w:r>
      <w:r w:rsidR="008C0D1C" w:rsidRPr="00CA01C2">
        <w:rPr>
          <w:rFonts w:ascii="Arial" w:hAnsi="Arial" w:cs="Arial"/>
        </w:rPr>
        <w:t>más corto de actualización de los costos, con el objetivo de</w:t>
      </w:r>
      <w:r w:rsidR="002B230A" w:rsidRPr="00CA01C2">
        <w:rPr>
          <w:rFonts w:ascii="Arial" w:hAnsi="Arial" w:cs="Arial"/>
        </w:rPr>
        <w:t xml:space="preserve"> captar los cambios en las tasas del mercado financiero.</w:t>
      </w:r>
      <w:r w:rsidR="002B230A" w:rsidRPr="00115F4D">
        <w:rPr>
          <w:rFonts w:ascii="Arial" w:hAnsi="Arial" w:cs="Arial"/>
        </w:rPr>
        <w:t xml:space="preserve"> </w:t>
      </w:r>
    </w:p>
    <w:p w14:paraId="120D8B0D" w14:textId="77777777" w:rsidR="00C83477" w:rsidRPr="00115F4D" w:rsidRDefault="002B230A" w:rsidP="00891C31">
      <w:pPr>
        <w:jc w:val="both"/>
        <w:rPr>
          <w:rFonts w:ascii="Arial" w:hAnsi="Arial" w:cs="Arial"/>
        </w:rPr>
      </w:pPr>
      <w:r w:rsidRPr="00115F4D">
        <w:rPr>
          <w:rFonts w:ascii="Arial" w:hAnsi="Arial" w:cs="Arial"/>
        </w:rPr>
        <w:t>Para construir dicha formulación</w:t>
      </w:r>
      <w:r w:rsidR="00C83477" w:rsidRPr="00115F4D">
        <w:rPr>
          <w:rFonts w:ascii="Arial" w:hAnsi="Arial" w:cs="Arial"/>
        </w:rPr>
        <w:t>,</w:t>
      </w:r>
      <w:r w:rsidRPr="00115F4D">
        <w:rPr>
          <w:rFonts w:ascii="Arial" w:hAnsi="Arial" w:cs="Arial"/>
        </w:rPr>
        <w:t xml:space="preserve"> de tal forma que refleje el beneficio o costo a los que se enfrenta el comercializador, se tiene en cuenta el marco jurídico presentado en el anexo 6 del </w:t>
      </w:r>
      <w:r w:rsidRPr="00115F4D">
        <w:rPr>
          <w:rFonts w:ascii="Arial" w:hAnsi="Arial" w:cs="Arial"/>
        </w:rPr>
        <w:lastRenderedPageBreak/>
        <w:t xml:space="preserve">documento D-020-12, con los atributos regulados y los atributos definidos por la empresa respecto al ciclo de efectivo en la comercialización. </w:t>
      </w:r>
    </w:p>
    <w:p w14:paraId="4A0012B7" w14:textId="2899203D" w:rsidR="002B230A" w:rsidRPr="00115F4D" w:rsidRDefault="002B230A" w:rsidP="00891C31">
      <w:pPr>
        <w:jc w:val="both"/>
        <w:rPr>
          <w:rFonts w:ascii="Arial" w:hAnsi="Arial" w:cs="Arial"/>
        </w:rPr>
      </w:pPr>
      <w:r w:rsidRPr="00115F4D">
        <w:rPr>
          <w:rFonts w:ascii="Arial" w:hAnsi="Arial" w:cs="Arial"/>
        </w:rPr>
        <w:t>Inicialmente, es necesario definir tanto las entradas como las salidas de caja que enfrenta el comercializador.</w:t>
      </w:r>
      <w:r w:rsidR="00C83477" w:rsidRPr="00115F4D">
        <w:rPr>
          <w:rFonts w:ascii="Arial" w:hAnsi="Arial" w:cs="Arial"/>
        </w:rPr>
        <w:t xml:space="preserve"> </w:t>
      </w:r>
      <w:r w:rsidRPr="00115F4D">
        <w:rPr>
          <w:rFonts w:ascii="Arial" w:hAnsi="Arial" w:cs="Arial"/>
        </w:rPr>
        <w:t xml:space="preserve">Las entradas de caja del comercializador están representadas por el </w:t>
      </w:r>
      <w:r w:rsidR="00F06C97" w:rsidRPr="00115F4D">
        <w:rPr>
          <w:rFonts w:ascii="Arial" w:hAnsi="Arial" w:cs="Arial"/>
        </w:rPr>
        <w:t>recaudo</w:t>
      </w:r>
      <w:r w:rsidRPr="00115F4D">
        <w:rPr>
          <w:rFonts w:ascii="Arial" w:hAnsi="Arial" w:cs="Arial"/>
        </w:rPr>
        <w:t xml:space="preserve"> realizado al usuario, que obedece al</w:t>
      </w:r>
      <w:r w:rsidR="00F06C97" w:rsidRPr="00115F4D">
        <w:rPr>
          <w:rFonts w:ascii="Arial" w:hAnsi="Arial" w:cs="Arial"/>
        </w:rPr>
        <w:t xml:space="preserve"> cost</w:t>
      </w:r>
      <w:r w:rsidR="0082460E" w:rsidRPr="00115F4D">
        <w:rPr>
          <w:rFonts w:ascii="Arial" w:hAnsi="Arial" w:cs="Arial"/>
        </w:rPr>
        <w:t>o unitario de prestación del servicio</w:t>
      </w:r>
      <w:r w:rsidR="00954A85" w:rsidRPr="00115F4D">
        <w:rPr>
          <w:rFonts w:ascii="Arial" w:hAnsi="Arial" w:cs="Arial"/>
        </w:rPr>
        <w:t xml:space="preserve"> </w:t>
      </w:r>
      <w:r w:rsidR="0082460E" w:rsidRPr="00115F4D">
        <w:rPr>
          <w:rFonts w:ascii="Arial" w:hAnsi="Arial" w:cs="Arial"/>
        </w:rPr>
        <w:t>por el consumo en el periodo de facturación, descontando o sumando los subsidios y contribuciones</w:t>
      </w:r>
      <w:r w:rsidR="000A4002" w:rsidRPr="00115F4D">
        <w:rPr>
          <w:rFonts w:ascii="Arial" w:hAnsi="Arial" w:cs="Arial"/>
        </w:rPr>
        <w:t xml:space="preserve"> </w:t>
      </w:r>
      <w:r w:rsidR="0082460E" w:rsidRPr="00115F4D">
        <w:rPr>
          <w:rFonts w:ascii="Arial" w:hAnsi="Arial" w:cs="Arial"/>
        </w:rPr>
        <w:t>según el caso</w:t>
      </w:r>
      <w:r w:rsidRPr="00115F4D">
        <w:rPr>
          <w:rFonts w:ascii="Arial" w:hAnsi="Arial" w:cs="Arial"/>
        </w:rPr>
        <w:t xml:space="preserve">. Mientras que las salidas de caja del comercializador obedecen a los pagos realizados a otros agentes, definida por el consumo de cada mes multiplicado por la tarifa aplicable. </w:t>
      </w:r>
    </w:p>
    <w:p w14:paraId="7FDAD197" w14:textId="77777777" w:rsidR="002B230A" w:rsidRPr="00115F4D" w:rsidRDefault="002B230A" w:rsidP="00891C31">
      <w:pPr>
        <w:jc w:val="both"/>
        <w:rPr>
          <w:rFonts w:ascii="Arial" w:hAnsi="Arial" w:cs="Arial"/>
        </w:rPr>
      </w:pPr>
      <w:r w:rsidRPr="00115F4D">
        <w:rPr>
          <w:rFonts w:ascii="Arial" w:hAnsi="Arial" w:cs="Arial"/>
        </w:rPr>
        <w:t>Como se describió en el documento D-020-12, la operatividad de los comercializadoras supone que el ciclo de facturación se puede dar entre cualquier par de días de un mes a otro, suponiendo que todos los ciclos tienen una duración de 30 días, lo que equivale a suponer que todos los meses tienen esta misma duración. Esto hace que el consumo por parte del usuario se divida en dos meses consecutivos a excepción del ciclo de facturación entre el día 1 y el día 30 del primer mes; siendo así, el comercializador tendrá dos tarifas diferentes y dos diferentes fechas para realizar el pago por el consumo a otros agentes.</w:t>
      </w:r>
    </w:p>
    <w:p w14:paraId="08A78944" w14:textId="77777777" w:rsidR="002B230A" w:rsidRPr="00115F4D" w:rsidRDefault="002B230A" w:rsidP="00891C31">
      <w:pPr>
        <w:jc w:val="both"/>
        <w:rPr>
          <w:rFonts w:ascii="Arial" w:hAnsi="Arial" w:cs="Arial"/>
        </w:rPr>
      </w:pPr>
      <w:r w:rsidRPr="00115F4D">
        <w:rPr>
          <w:rFonts w:ascii="Arial" w:hAnsi="Arial" w:cs="Arial"/>
        </w:rPr>
        <w:t xml:space="preserve">De esta forma, se pueden distinguir 3 componentes principales que debe contener la formulación para cada ciclo de facturación. </w:t>
      </w:r>
    </w:p>
    <w:p w14:paraId="1E49AF7A" w14:textId="0CAF64B7" w:rsidR="002B230A" w:rsidRPr="00115F4D" w:rsidRDefault="002B230A" w:rsidP="00891C31">
      <w:pPr>
        <w:pStyle w:val="Prrafodelista"/>
        <w:numPr>
          <w:ilvl w:val="0"/>
          <w:numId w:val="5"/>
        </w:numPr>
        <w:jc w:val="both"/>
        <w:rPr>
          <w:rFonts w:ascii="Arial" w:hAnsi="Arial" w:cs="Arial"/>
        </w:rPr>
      </w:pPr>
      <w:r w:rsidRPr="00115F4D">
        <w:rPr>
          <w:rFonts w:ascii="Arial" w:hAnsi="Arial" w:cs="Arial"/>
          <w:i/>
          <w:iCs/>
        </w:rPr>
        <w:t>Recaudo:</w:t>
      </w:r>
      <w:r w:rsidRPr="00115F4D">
        <w:rPr>
          <w:rFonts w:ascii="Arial" w:hAnsi="Arial" w:cs="Arial"/>
        </w:rPr>
        <w:t xml:space="preserve"> corresponde a la entrada de efectivo producto del cobro al usuario, de los costos por la prestación del servicio sin tener en cuenta el componente de comercialización</w:t>
      </w:r>
      <w:r w:rsidR="009A66B0" w:rsidRPr="00115F4D">
        <w:rPr>
          <w:rFonts w:ascii="Arial" w:hAnsi="Arial" w:cs="Arial"/>
        </w:rPr>
        <w:t>, y descontando o sumando los respectivos subsidios o contribuciones.</w:t>
      </w:r>
    </w:p>
    <w:p w14:paraId="0BDD9086" w14:textId="7DAFCDAF" w:rsidR="002B230A" w:rsidRPr="00115F4D" w:rsidRDefault="002B230A" w:rsidP="00891C31">
      <w:pPr>
        <w:ind w:left="708"/>
        <w:jc w:val="both"/>
        <w:rPr>
          <w:rFonts w:ascii="Arial" w:hAnsi="Arial" w:cs="Arial"/>
        </w:rPr>
      </w:pPr>
      <w:r w:rsidRPr="00115F4D">
        <w:rPr>
          <w:rFonts w:ascii="Arial" w:hAnsi="Arial" w:cs="Arial"/>
        </w:rPr>
        <w:t xml:space="preserve">Para establecer el tiempo en el que se realiza el recaudo se debe tener en cuenta que, a partir de la expedición de la metodología que actualice la resolución CREG 180 de 2014 y de acuerdo con lo establecido en la resolución CREG 101 001 del 2022, la responsabilidad de realizar la lectura al usuario final es el Operador de Red, el cual deberá entregar la información de lectura al usuario 24 horas posteriores a la recolección de la información. Adicionalmente, se asume que el comercializador se demora 3 días en liquidar y enviar la factura, y de acuerdo con el artículo 46 de la Resolución CREG 108 de 1997 en el que se establece que las facturas deben entregarse por lo menos con cinco (5) días hábiles de antelación a la fecha </w:t>
      </w:r>
      <w:r w:rsidR="00422D75" w:rsidRPr="00115F4D">
        <w:rPr>
          <w:rFonts w:ascii="Arial" w:hAnsi="Arial" w:cs="Arial"/>
        </w:rPr>
        <w:t xml:space="preserve">límite de </w:t>
      </w:r>
      <w:r w:rsidRPr="00115F4D">
        <w:rPr>
          <w:rFonts w:ascii="Arial" w:hAnsi="Arial" w:cs="Arial"/>
        </w:rPr>
        <w:t>pago</w:t>
      </w:r>
      <w:r w:rsidR="003F3B88" w:rsidRPr="00115F4D">
        <w:rPr>
          <w:rFonts w:ascii="Arial" w:hAnsi="Arial" w:cs="Arial"/>
        </w:rPr>
        <w:t xml:space="preserve">, es decir que, </w:t>
      </w:r>
      <w:r w:rsidRPr="00115F4D">
        <w:rPr>
          <w:rFonts w:ascii="Arial" w:hAnsi="Arial" w:cs="Arial"/>
        </w:rPr>
        <w:t>el recaudo se realiza hasta 12 días calendario después de finalizado el ciclo de facturación.</w:t>
      </w:r>
    </w:p>
    <w:p w14:paraId="4DFE16CE" w14:textId="68D29C80" w:rsidR="002B230A" w:rsidRPr="00115F4D" w:rsidRDefault="002B230A" w:rsidP="00891C31">
      <w:pPr>
        <w:pStyle w:val="Prrafodelista"/>
        <w:numPr>
          <w:ilvl w:val="0"/>
          <w:numId w:val="5"/>
        </w:numPr>
        <w:jc w:val="both"/>
        <w:rPr>
          <w:rFonts w:ascii="Arial" w:hAnsi="Arial" w:cs="Arial"/>
        </w:rPr>
      </w:pPr>
      <w:r w:rsidRPr="00115F4D">
        <w:rPr>
          <w:rFonts w:ascii="Arial" w:hAnsi="Arial" w:cs="Arial"/>
          <w:i/>
          <w:iCs/>
        </w:rPr>
        <w:t>Pago del mes 1:</w:t>
      </w:r>
      <w:r w:rsidRPr="00115F4D">
        <w:rPr>
          <w:rFonts w:ascii="Arial" w:hAnsi="Arial" w:cs="Arial"/>
        </w:rPr>
        <w:t xml:space="preserve"> corresponde a la salida de efectivo producto del pago a otros agentes por el consumo en el mes en que inicia el ciclo de facturación. Lo cual corresponde al valor presente del pago realizado a otros agentes por la porción del consumo en el mes, multiplicado por la tarifa aplicable, la cual coincide inicialmente con la tarifa aplicada al usuario.</w:t>
      </w:r>
    </w:p>
    <w:p w14:paraId="27BDCA88" w14:textId="77777777" w:rsidR="002B230A" w:rsidRPr="00115F4D" w:rsidRDefault="002B230A" w:rsidP="00891C31">
      <w:pPr>
        <w:pStyle w:val="Prrafodelista"/>
        <w:rPr>
          <w:rFonts w:ascii="Arial" w:hAnsi="Arial" w:cs="Arial"/>
        </w:rPr>
      </w:pPr>
    </w:p>
    <w:p w14:paraId="370F9A40" w14:textId="0ADD8224" w:rsidR="002B230A" w:rsidRPr="00115F4D" w:rsidRDefault="002B230A" w:rsidP="00891C31">
      <w:pPr>
        <w:pStyle w:val="Prrafodelista"/>
        <w:jc w:val="both"/>
        <w:rPr>
          <w:rFonts w:ascii="Arial" w:hAnsi="Arial" w:cs="Arial"/>
        </w:rPr>
      </w:pPr>
      <w:r w:rsidRPr="00115F4D">
        <w:rPr>
          <w:rFonts w:ascii="Arial" w:hAnsi="Arial" w:cs="Arial"/>
        </w:rPr>
        <w:t xml:space="preserve">Para establecer el valor presente del pago realizado a otros agentes es necesario establecer el periodo de tenencia o no tenencia del efectivo, correspondiente a la diferencia entre el día de recaudo al usuario y el día en el cual el comercializador paga a </w:t>
      </w:r>
      <w:r w:rsidR="00322A05">
        <w:rPr>
          <w:rFonts w:ascii="Arial" w:hAnsi="Arial" w:cs="Arial"/>
        </w:rPr>
        <w:t>por la facturación del consumo que realiza el ASIC y el LAC</w:t>
      </w:r>
      <w:r w:rsidRPr="00115F4D">
        <w:rPr>
          <w:rFonts w:ascii="Arial" w:hAnsi="Arial" w:cs="Arial"/>
        </w:rPr>
        <w:t>, que como se describió en el documento D-020-12 es el día 16 calendario del mes siguiente al que inicia el consumo en el ciclo de facturación.</w:t>
      </w:r>
    </w:p>
    <w:p w14:paraId="6C9D50BB" w14:textId="77777777" w:rsidR="002B230A" w:rsidRPr="00115F4D" w:rsidRDefault="002B230A" w:rsidP="00891C31">
      <w:pPr>
        <w:pStyle w:val="Prrafodelista"/>
        <w:jc w:val="both"/>
        <w:rPr>
          <w:rFonts w:ascii="Arial" w:hAnsi="Arial" w:cs="Arial"/>
        </w:rPr>
      </w:pPr>
    </w:p>
    <w:p w14:paraId="6A2EFAB6" w14:textId="77777777" w:rsidR="002B230A" w:rsidRPr="00115F4D" w:rsidRDefault="002B230A" w:rsidP="00891C31">
      <w:pPr>
        <w:pStyle w:val="Prrafodelista"/>
        <w:jc w:val="both"/>
        <w:rPr>
          <w:rFonts w:ascii="Arial" w:hAnsi="Arial" w:cs="Arial"/>
        </w:rPr>
      </w:pPr>
      <w:r w:rsidRPr="00115F4D">
        <w:rPr>
          <w:rFonts w:ascii="Arial" w:hAnsi="Arial" w:cs="Arial"/>
        </w:rPr>
        <w:t xml:space="preserve">Adicionalmente, se debe definir el costo o beneficio derivado de las tasas de descuento de acuerdo con el período de tenencia del recaudo por parte del comercializador conocidas como tasas de los CDAT (Certificados de Ahorro a </w:t>
      </w:r>
      <w:r w:rsidRPr="00115F4D">
        <w:rPr>
          <w:rFonts w:ascii="Arial" w:hAnsi="Arial" w:cs="Arial"/>
        </w:rPr>
        <w:lastRenderedPageBreak/>
        <w:t>Término) utilizadas para excedentes temporales.  En los ciclos de facturación en los que hay que pagar antes de recaudar el consumo de los usuarios se emplea una tasa de captación de créditos comerciales de tesorería, para los egresos de capital.</w:t>
      </w:r>
    </w:p>
    <w:p w14:paraId="2754FDCC" w14:textId="77777777" w:rsidR="002B230A" w:rsidRPr="00115F4D" w:rsidRDefault="002B230A" w:rsidP="00891C31">
      <w:pPr>
        <w:pStyle w:val="Prrafodelista"/>
        <w:jc w:val="both"/>
        <w:rPr>
          <w:rFonts w:ascii="Arial" w:hAnsi="Arial" w:cs="Arial"/>
        </w:rPr>
      </w:pPr>
    </w:p>
    <w:p w14:paraId="0299413F" w14:textId="77777777" w:rsidR="002B230A" w:rsidRPr="00115F4D" w:rsidRDefault="002B230A" w:rsidP="00891C31">
      <w:pPr>
        <w:pStyle w:val="Prrafodelista"/>
        <w:numPr>
          <w:ilvl w:val="0"/>
          <w:numId w:val="5"/>
        </w:numPr>
        <w:jc w:val="both"/>
        <w:rPr>
          <w:rFonts w:ascii="Arial" w:hAnsi="Arial" w:cs="Arial"/>
        </w:rPr>
      </w:pPr>
      <w:r w:rsidRPr="00115F4D">
        <w:rPr>
          <w:rFonts w:ascii="Arial" w:hAnsi="Arial" w:cs="Arial"/>
          <w:i/>
          <w:iCs/>
        </w:rPr>
        <w:t>Pago del mes 2:</w:t>
      </w:r>
      <w:r w:rsidRPr="00115F4D">
        <w:rPr>
          <w:rFonts w:ascii="Arial" w:hAnsi="Arial" w:cs="Arial"/>
        </w:rPr>
        <w:t xml:space="preserve"> corresponde a la salida de efectivo producto del pago a otros agentes por el consumo en el mes en que finaliza el ciclo de facturación. Lo cual corresponde al valor presente de la porción de consumo en el mes en que finaliza el ciclo de facturación por la tarifa en este mes, la cual difiere en algunos escenarios de la tarifa aplicada al usuario, en ese sentido se deben actualizar los componentes de T y D como se describe en el documento D-020-12, para actualizar estos componentes se utiliza el promedio de la variación mensual del IPP durante el año anterior.</w:t>
      </w:r>
    </w:p>
    <w:p w14:paraId="4C68C1F6" w14:textId="77777777" w:rsidR="002B230A" w:rsidRPr="00115F4D" w:rsidRDefault="002B230A" w:rsidP="00891C31">
      <w:pPr>
        <w:pStyle w:val="Prrafodelista"/>
        <w:jc w:val="both"/>
        <w:rPr>
          <w:rFonts w:ascii="Arial" w:hAnsi="Arial" w:cs="Arial"/>
        </w:rPr>
      </w:pPr>
    </w:p>
    <w:p w14:paraId="69E5DD6C" w14:textId="77777777" w:rsidR="002B230A" w:rsidRPr="00115F4D" w:rsidRDefault="002B230A" w:rsidP="00891C31">
      <w:pPr>
        <w:pStyle w:val="Prrafodelista"/>
        <w:jc w:val="both"/>
        <w:rPr>
          <w:rFonts w:ascii="Arial" w:hAnsi="Arial" w:cs="Arial"/>
        </w:rPr>
      </w:pPr>
      <w:r w:rsidRPr="00115F4D">
        <w:rPr>
          <w:rFonts w:ascii="Arial" w:hAnsi="Arial" w:cs="Arial"/>
        </w:rPr>
        <w:t>Se supone que el pago se realiza el día 16 calendario del mes siguiente a la finalización del ciclo de facturación.</w:t>
      </w:r>
    </w:p>
    <w:p w14:paraId="326C6E06" w14:textId="77777777" w:rsidR="002B230A" w:rsidRPr="00115F4D" w:rsidRDefault="002B230A" w:rsidP="00891C31">
      <w:pPr>
        <w:pStyle w:val="Prrafodelista"/>
        <w:jc w:val="both"/>
        <w:rPr>
          <w:rFonts w:ascii="Arial" w:hAnsi="Arial" w:cs="Arial"/>
        </w:rPr>
      </w:pPr>
    </w:p>
    <w:p w14:paraId="04C5A457" w14:textId="75A09389" w:rsidR="002B230A" w:rsidRPr="00115F4D" w:rsidRDefault="002B230A" w:rsidP="00891C31">
      <w:pPr>
        <w:pStyle w:val="Prrafodelista"/>
        <w:jc w:val="both"/>
        <w:rPr>
          <w:rFonts w:ascii="Arial" w:hAnsi="Arial" w:cs="Arial"/>
        </w:rPr>
      </w:pPr>
      <w:r w:rsidRPr="00115F4D">
        <w:rPr>
          <w:rFonts w:ascii="Arial" w:hAnsi="Arial" w:cs="Arial"/>
        </w:rPr>
        <w:t>Adicionalmente, se debe definir el costo o beneficio derivado de las tasas de descuento de acuerdo con el período de tenencia del recaudo por parte del comercializador conocidas como tasas de los CDAT</w:t>
      </w:r>
      <w:r w:rsidR="00DD6F08" w:rsidRPr="00115F4D">
        <w:rPr>
          <w:rFonts w:ascii="Arial" w:hAnsi="Arial" w:cs="Arial"/>
        </w:rPr>
        <w:t xml:space="preserve"> </w:t>
      </w:r>
      <w:r w:rsidRPr="00115F4D">
        <w:rPr>
          <w:rFonts w:ascii="Arial" w:hAnsi="Arial" w:cs="Arial"/>
        </w:rPr>
        <w:t xml:space="preserve">utilizadas para excedentes temporales. En los ciclos de facturación en los que hay que pagar antes de recaudar el consumo de los usuarios se emplea una tasa de captación de créditos comerciales de tesorería, para los egresos de capital. </w:t>
      </w:r>
    </w:p>
    <w:p w14:paraId="5CD40344" w14:textId="5DC82326" w:rsidR="00056716" w:rsidRDefault="00840985" w:rsidP="00891C31">
      <w:pPr>
        <w:jc w:val="both"/>
        <w:rPr>
          <w:rFonts w:ascii="Arial" w:hAnsi="Arial" w:cs="Arial"/>
        </w:rPr>
      </w:pPr>
      <w:r>
        <w:rPr>
          <w:rFonts w:ascii="Arial" w:hAnsi="Arial" w:cs="Arial"/>
        </w:rPr>
        <w:t xml:space="preserve">Adicionalmente, es necesario establecer la diferencia entre </w:t>
      </w:r>
      <w:r w:rsidR="002D671B">
        <w:rPr>
          <w:rFonts w:ascii="Arial" w:hAnsi="Arial" w:cs="Arial"/>
        </w:rPr>
        <w:t xml:space="preserve">el mes de </w:t>
      </w:r>
      <w:r>
        <w:rPr>
          <w:rFonts w:ascii="Arial" w:hAnsi="Arial" w:cs="Arial"/>
        </w:rPr>
        <w:t>la tarifa con la que se le liquida los co</w:t>
      </w:r>
      <w:r w:rsidR="00962E8F">
        <w:rPr>
          <w:rFonts w:ascii="Arial" w:hAnsi="Arial" w:cs="Arial"/>
        </w:rPr>
        <w:t xml:space="preserve">nsumos al usuario y </w:t>
      </w:r>
      <w:r w:rsidR="002D671B">
        <w:rPr>
          <w:rFonts w:ascii="Arial" w:hAnsi="Arial" w:cs="Arial"/>
        </w:rPr>
        <w:t>el mes de la</w:t>
      </w:r>
      <w:r w:rsidR="00962E8F">
        <w:rPr>
          <w:rFonts w:ascii="Arial" w:hAnsi="Arial" w:cs="Arial"/>
        </w:rPr>
        <w:t xml:space="preserve"> tarifa con la que se calculan los car</w:t>
      </w:r>
      <w:r w:rsidR="00A55202">
        <w:rPr>
          <w:rFonts w:ascii="Arial" w:hAnsi="Arial" w:cs="Arial"/>
        </w:rPr>
        <w:t xml:space="preserve">gos </w:t>
      </w:r>
      <w:r w:rsidR="002322C7">
        <w:rPr>
          <w:rFonts w:ascii="Arial" w:hAnsi="Arial" w:cs="Arial"/>
        </w:rPr>
        <w:t>del LAC y el ASIC</w:t>
      </w:r>
      <w:r w:rsidR="00392890">
        <w:rPr>
          <w:rFonts w:ascii="Arial" w:hAnsi="Arial" w:cs="Arial"/>
        </w:rPr>
        <w:t xml:space="preserve">, teniendo en cuentas las reglas </w:t>
      </w:r>
      <w:r w:rsidR="009B4528">
        <w:rPr>
          <w:rFonts w:ascii="Arial" w:hAnsi="Arial" w:cs="Arial"/>
        </w:rPr>
        <w:t xml:space="preserve">definidas en la </w:t>
      </w:r>
      <w:r w:rsidR="00056716">
        <w:rPr>
          <w:rFonts w:ascii="Arial" w:hAnsi="Arial" w:cs="Arial"/>
        </w:rPr>
        <w:t>regulación.</w:t>
      </w:r>
      <w:r w:rsidR="00F97F3A">
        <w:rPr>
          <w:rFonts w:ascii="Arial" w:hAnsi="Arial" w:cs="Arial"/>
        </w:rPr>
        <w:t xml:space="preserve"> Además, es necesario calcular</w:t>
      </w:r>
      <w:r w:rsidR="009F7C6F">
        <w:rPr>
          <w:rFonts w:ascii="Arial" w:hAnsi="Arial" w:cs="Arial"/>
        </w:rPr>
        <w:t xml:space="preserve"> el </w:t>
      </w:r>
      <w:r w:rsidR="007524A9">
        <w:rPr>
          <w:rFonts w:ascii="Arial" w:hAnsi="Arial" w:cs="Arial"/>
        </w:rPr>
        <w:t xml:space="preserve">peso del recaudo </w:t>
      </w:r>
      <w:r w:rsidR="001B6F48">
        <w:rPr>
          <w:rFonts w:ascii="Arial" w:hAnsi="Arial" w:cs="Arial"/>
        </w:rPr>
        <w:t>se determina la sumatoria del promedio ponderado de</w:t>
      </w:r>
      <w:r w:rsidR="00006F88">
        <w:rPr>
          <w:rFonts w:ascii="Arial" w:hAnsi="Arial" w:cs="Arial"/>
        </w:rPr>
        <w:t xml:space="preserve">l </w:t>
      </w:r>
      <w:r w:rsidR="00D73A1E">
        <w:rPr>
          <w:rFonts w:ascii="Arial" w:hAnsi="Arial" w:cs="Arial"/>
        </w:rPr>
        <w:t>peso de</w:t>
      </w:r>
      <w:r w:rsidR="001B6F48">
        <w:rPr>
          <w:rFonts w:ascii="Arial" w:hAnsi="Arial" w:cs="Arial"/>
        </w:rPr>
        <w:t xml:space="preserve"> los componentes del costo unitario sin incluir el costo de comercialización</w:t>
      </w:r>
      <w:r w:rsidR="00D73A1E">
        <w:rPr>
          <w:rFonts w:ascii="Arial" w:hAnsi="Arial" w:cs="Arial"/>
        </w:rPr>
        <w:t xml:space="preserve"> durante los últimos 5 años, el cual es igual a 0,</w:t>
      </w:r>
      <w:r w:rsidR="001379B3">
        <w:rPr>
          <w:rFonts w:ascii="Arial" w:hAnsi="Arial" w:cs="Arial"/>
        </w:rPr>
        <w:t>8</w:t>
      </w:r>
      <w:r w:rsidR="0099324D">
        <w:rPr>
          <w:rFonts w:ascii="Arial" w:hAnsi="Arial" w:cs="Arial"/>
        </w:rPr>
        <w:t>9%, para determinar el pago a otros agentes que pueden tener variaciones mensuales positivas</w:t>
      </w:r>
      <w:r w:rsidR="001379B3">
        <w:rPr>
          <w:rFonts w:ascii="Arial" w:hAnsi="Arial" w:cs="Arial"/>
        </w:rPr>
        <w:t xml:space="preserve">, en este caso el componente de transmisión </w:t>
      </w:r>
      <w:r w:rsidR="00A577B6">
        <w:rPr>
          <w:rFonts w:ascii="Arial" w:hAnsi="Arial" w:cs="Arial"/>
        </w:rPr>
        <w:t xml:space="preserve">y distribución </w:t>
      </w:r>
      <w:r w:rsidR="00B33056">
        <w:rPr>
          <w:rFonts w:ascii="Arial" w:hAnsi="Arial" w:cs="Arial"/>
        </w:rPr>
        <w:t>es de 0,36</w:t>
      </w:r>
      <w:r w:rsidR="00EC0EFE">
        <w:rPr>
          <w:rFonts w:ascii="Arial" w:hAnsi="Arial" w:cs="Arial"/>
        </w:rPr>
        <w:t xml:space="preserve"> y de los componentes </w:t>
      </w:r>
      <w:r w:rsidR="00187792">
        <w:rPr>
          <w:rFonts w:ascii="Arial" w:hAnsi="Arial" w:cs="Arial"/>
        </w:rPr>
        <w:t xml:space="preserve">cuyas variaciones se </w:t>
      </w:r>
      <w:r w:rsidR="008F5380">
        <w:rPr>
          <w:rFonts w:ascii="Arial" w:hAnsi="Arial" w:cs="Arial"/>
        </w:rPr>
        <w:t>suponen</w:t>
      </w:r>
      <w:r w:rsidR="00187792">
        <w:rPr>
          <w:rFonts w:ascii="Arial" w:hAnsi="Arial" w:cs="Arial"/>
        </w:rPr>
        <w:t xml:space="preserve"> neutras de </w:t>
      </w:r>
      <w:r w:rsidR="000E20D9">
        <w:rPr>
          <w:rFonts w:ascii="Arial" w:hAnsi="Arial" w:cs="Arial"/>
        </w:rPr>
        <w:t>0,5</w:t>
      </w:r>
      <w:r w:rsidR="008F5380">
        <w:rPr>
          <w:rFonts w:ascii="Arial" w:hAnsi="Arial" w:cs="Arial"/>
        </w:rPr>
        <w:t xml:space="preserve">3. </w:t>
      </w:r>
    </w:p>
    <w:p w14:paraId="2D3E4E03" w14:textId="2C48E60F" w:rsidR="002B230A" w:rsidRPr="00115F4D" w:rsidRDefault="002B230A" w:rsidP="00891C31">
      <w:pPr>
        <w:jc w:val="both"/>
        <w:rPr>
          <w:rFonts w:ascii="Arial" w:hAnsi="Arial" w:cs="Arial"/>
          <w:b/>
          <w:bCs/>
        </w:rPr>
      </w:pPr>
      <w:r w:rsidRPr="00115F4D">
        <w:rPr>
          <w:rFonts w:ascii="Arial" w:hAnsi="Arial" w:cs="Arial"/>
        </w:rPr>
        <w:t>Así las cosas, e</w:t>
      </w:r>
      <w:r w:rsidRPr="00115F4D">
        <w:rPr>
          <w:rFonts w:ascii="Arial" w:hAnsi="Arial" w:cs="Arial"/>
          <w:color w:val="000000"/>
        </w:rPr>
        <w:t xml:space="preserve">l componente </w:t>
      </w:r>
      <w:proofErr w:type="gramStart"/>
      <w:r w:rsidRPr="00115F4D">
        <w:rPr>
          <w:rFonts w:ascii="Arial" w:hAnsi="Arial" w:cs="Arial"/>
          <w:i/>
          <w:color w:val="000000"/>
        </w:rPr>
        <w:t>CFF</w:t>
      </w:r>
      <w:r w:rsidRPr="00115F4D">
        <w:rPr>
          <w:rFonts w:ascii="Arial" w:hAnsi="Arial" w:cs="Arial"/>
          <w:i/>
          <w:color w:val="000000"/>
          <w:vertAlign w:val="subscript"/>
        </w:rPr>
        <w:t>i,j</w:t>
      </w:r>
      <w:proofErr w:type="gramEnd"/>
      <w:r w:rsidRPr="00115F4D">
        <w:rPr>
          <w:rFonts w:ascii="Arial" w:hAnsi="Arial" w:cs="Arial"/>
          <w:i/>
          <w:color w:val="000000"/>
          <w:vertAlign w:val="subscript"/>
        </w:rPr>
        <w:t>,t</w:t>
      </w:r>
      <w:r w:rsidRPr="00115F4D">
        <w:rPr>
          <w:rFonts w:ascii="Arial" w:hAnsi="Arial" w:cs="Arial"/>
        </w:rPr>
        <w:t xml:space="preserve"> corresponderá a la remuneración por los costos financieros asociados con las diferencias entre el ciclo de facturación, el recaudo a los usuarios regulados, la publicación de tarifas por parte del comercializador y el pago de los costos a otros agentes, de conformidad con la siguiente fórmula:</w:t>
      </w:r>
    </w:p>
    <w:p w14:paraId="185EE6A9" w14:textId="7D375E7B" w:rsidR="00705D7F" w:rsidRPr="0024706A" w:rsidRDefault="00E42F3C" w:rsidP="00891C31">
      <w:pPr>
        <w:pStyle w:val="Subttulo"/>
        <w:rPr>
          <w:rFonts w:ascii="Arial" w:hAnsi="Arial" w:cs="Arial"/>
          <w:b w:val="0"/>
          <w:bCs w:val="0"/>
          <w:iCs/>
          <w:sz w:val="20"/>
          <w:szCs w:val="20"/>
          <w:lang w:val="es-MX"/>
        </w:rPr>
      </w:pPr>
      <m:oMathPara>
        <m:oMath>
          <m:sSub>
            <m:sSubPr>
              <m:ctrlPr>
                <w:rPr>
                  <w:rFonts w:ascii="Cambria Math" w:hAnsi="Cambria Math" w:cs="Arial"/>
                  <w:b w:val="0"/>
                  <w:bCs w:val="0"/>
                  <w:i/>
                  <w:iCs/>
                  <w:sz w:val="20"/>
                  <w:szCs w:val="20"/>
                </w:rPr>
              </m:ctrlPr>
            </m:sSubPr>
            <m:e>
              <m:r>
                <m:rPr>
                  <m:sty m:val="bi"/>
                </m:rPr>
                <w:rPr>
                  <w:rFonts w:ascii="Cambria Math" w:hAnsi="Cambria Math" w:cs="Arial"/>
                  <w:sz w:val="20"/>
                  <w:szCs w:val="20"/>
                </w:rPr>
                <m:t>CFF</m:t>
              </m:r>
            </m:e>
            <m:sub>
              <m:r>
                <m:rPr>
                  <m:sty m:val="bi"/>
                </m:rPr>
                <w:rPr>
                  <w:rFonts w:ascii="Cambria Math" w:hAnsi="Cambria Math" w:cs="Arial"/>
                  <w:sz w:val="20"/>
                  <w:szCs w:val="20"/>
                </w:rPr>
                <m:t>i,j,t</m:t>
              </m:r>
            </m:sub>
          </m:sSub>
          <m:r>
            <m:rPr>
              <m:sty m:val="b"/>
            </m:rPr>
            <w:rPr>
              <w:rFonts w:ascii="Cambria Math" w:hAnsi="Cambria Math" w:cs="Arial"/>
              <w:sz w:val="20"/>
              <w:szCs w:val="20"/>
            </w:rPr>
            <m:t>=</m:t>
          </m:r>
          <m:f>
            <m:fPr>
              <m:ctrlPr>
                <w:rPr>
                  <w:rFonts w:ascii="Cambria Math" w:hAnsi="Cambria Math" w:cs="Arial"/>
                  <w:b w:val="0"/>
                  <w:bCs w:val="0"/>
                  <w:i/>
                  <w:iCs/>
                  <w:sz w:val="20"/>
                  <w:szCs w:val="20"/>
                </w:rPr>
              </m:ctrlPr>
            </m:fPr>
            <m:num>
              <m:r>
                <m:rPr>
                  <m:sty m:val="bi"/>
                </m:rPr>
                <w:rPr>
                  <w:rFonts w:ascii="Cambria Math" w:hAnsi="Cambria Math" w:cs="Arial"/>
                  <w:sz w:val="20"/>
                  <w:szCs w:val="20"/>
                  <w:lang w:val="es-MX"/>
                </w:rPr>
                <m:t>BP</m:t>
              </m:r>
            </m:num>
            <m:den>
              <m:r>
                <m:rPr>
                  <m:sty m:val="bi"/>
                </m:rPr>
                <w:rPr>
                  <w:rFonts w:ascii="Cambria Math" w:hAnsi="Cambria Math" w:cs="Arial"/>
                  <w:sz w:val="20"/>
                  <w:szCs w:val="20"/>
                  <w:lang w:val="es-MX"/>
                </w:rPr>
                <m:t>30</m:t>
              </m:r>
            </m:den>
          </m:f>
          <m:nary>
            <m:naryPr>
              <m:chr m:val="∑"/>
              <m:ctrlPr>
                <w:rPr>
                  <w:rFonts w:ascii="Cambria Math" w:hAnsi="Cambria Math" w:cs="Arial"/>
                  <w:b w:val="0"/>
                  <w:bCs w:val="0"/>
                  <w:i/>
                  <w:iCs/>
                  <w:sz w:val="20"/>
                  <w:szCs w:val="20"/>
                </w:rPr>
              </m:ctrlPr>
            </m:naryPr>
            <m:sub>
              <m:r>
                <m:rPr>
                  <m:sty m:val="bi"/>
                </m:rPr>
                <w:rPr>
                  <w:rFonts w:ascii="Cambria Math" w:hAnsi="Cambria Math" w:cs="Arial"/>
                  <w:sz w:val="20"/>
                  <w:szCs w:val="20"/>
                  <w:lang w:val="es-MX"/>
                </w:rPr>
                <m:t>ecf=1</m:t>
              </m:r>
            </m:sub>
            <m:sup>
              <m:r>
                <m:rPr>
                  <m:sty m:val="bi"/>
                </m:rPr>
                <w:rPr>
                  <w:rFonts w:ascii="Cambria Math" w:hAnsi="Cambria Math" w:cs="Arial"/>
                  <w:sz w:val="20"/>
                  <w:szCs w:val="20"/>
                  <w:lang w:val="es-MX"/>
                </w:rPr>
                <m:t>30</m:t>
              </m:r>
            </m:sup>
            <m:e>
              <m:r>
                <m:rPr>
                  <m:sty m:val="bi"/>
                </m:rPr>
                <w:rPr>
                  <w:rFonts w:ascii="Cambria Math" w:hAnsi="Cambria Math" w:cs="Arial"/>
                  <w:sz w:val="20"/>
                  <w:szCs w:val="20"/>
                  <w:lang w:val="es-MX"/>
                </w:rPr>
                <m:t>0,89</m:t>
              </m:r>
            </m:e>
          </m:nary>
          <m:r>
            <m:rPr>
              <m:sty m:val="bi"/>
            </m:rPr>
            <w:rPr>
              <w:rFonts w:ascii="Cambria Math" w:hAnsi="Cambria Math" w:cs="Arial"/>
              <w:sz w:val="20"/>
              <w:szCs w:val="20"/>
              <w:lang w:val="es-MX"/>
            </w:rPr>
            <m:t>-</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dT</m:t>
              </m:r>
              <m:r>
                <m:rPr>
                  <m:sty m:val="bi"/>
                </m:rPr>
                <w:rPr>
                  <w:rFonts w:ascii="Cambria Math" w:hAnsi="Cambria Math" w:cs="Arial"/>
                  <w:sz w:val="20"/>
                  <w:szCs w:val="20"/>
                  <w:lang w:val="es-MX"/>
                </w:rPr>
                <m:t>1</m:t>
              </m:r>
            </m:e>
            <m:sub>
              <m:r>
                <m:rPr>
                  <m:sty m:val="bi"/>
                </m:rPr>
                <w:rPr>
                  <w:rFonts w:ascii="Cambria Math" w:hAnsi="Cambria Math" w:cs="Arial"/>
                  <w:sz w:val="20"/>
                  <w:szCs w:val="20"/>
                  <w:lang w:val="es-MX"/>
                </w:rPr>
                <m:t>ecf</m:t>
              </m:r>
            </m:sub>
          </m:sSub>
          <m:f>
            <m:fPr>
              <m:ctrlPr>
                <w:rPr>
                  <w:rFonts w:ascii="Cambria Math" w:hAnsi="Cambria Math" w:cs="Arial"/>
                  <w:b w:val="0"/>
                  <w:bCs w:val="0"/>
                  <w:i/>
                  <w:iCs/>
                  <w:sz w:val="20"/>
                  <w:szCs w:val="20"/>
                  <w:lang w:val="es-MX"/>
                </w:rPr>
              </m:ctrlPr>
            </m:fPr>
            <m:num>
              <m:r>
                <m:rPr>
                  <m:sty m:val="bi"/>
                </m:rPr>
                <w:rPr>
                  <w:rFonts w:ascii="Cambria Math" w:hAnsi="Cambria Math" w:cs="Arial"/>
                  <w:sz w:val="20"/>
                  <w:szCs w:val="20"/>
                  <w:lang w:val="es-MX"/>
                </w:rPr>
                <m:t>0,36×</m:t>
              </m:r>
              <m:d>
                <m:dPr>
                  <m:ctrlPr>
                    <w:rPr>
                      <w:rFonts w:ascii="Cambria Math" w:hAnsi="Cambria Math" w:cs="Arial"/>
                      <w:b w:val="0"/>
                      <w:bCs w:val="0"/>
                      <w:i/>
                      <w:sz w:val="20"/>
                      <w:szCs w:val="20"/>
                      <w:lang w:val="es-MX"/>
                    </w:rPr>
                  </m:ctrlPr>
                </m:dPr>
                <m:e>
                  <m:r>
                    <m:rPr>
                      <m:sty m:val="bi"/>
                    </m:rPr>
                    <w:rPr>
                      <w:rFonts w:ascii="Cambria Math" w:hAnsi="Cambria Math" w:cs="Arial"/>
                      <w:sz w:val="20"/>
                      <w:szCs w:val="20"/>
                      <w:lang w:val="es-MX"/>
                    </w:rPr>
                    <m:t>1+</m:t>
                  </m:r>
                  <m:sSub>
                    <m:sSubPr>
                      <m:ctrlPr>
                        <w:rPr>
                          <w:rFonts w:ascii="Cambria Math" w:hAnsi="Cambria Math" w:cs="Arial"/>
                          <w:b w:val="0"/>
                          <w:bCs w:val="0"/>
                          <w:i/>
                          <w:sz w:val="20"/>
                          <w:szCs w:val="20"/>
                          <w:lang w:val="es-MX"/>
                        </w:rPr>
                      </m:ctrlPr>
                    </m:sSubPr>
                    <m:e>
                      <m:r>
                        <m:rPr>
                          <m:sty m:val="bi"/>
                        </m:rPr>
                        <w:rPr>
                          <w:rFonts w:ascii="Cambria Math" w:hAnsi="Cambria Math" w:cs="Arial"/>
                          <w:sz w:val="20"/>
                          <w:szCs w:val="20"/>
                          <w:lang w:val="es-MX"/>
                        </w:rPr>
                        <m:t>nm</m:t>
                      </m:r>
                      <m:r>
                        <m:rPr>
                          <m:sty m:val="bi"/>
                        </m:rPr>
                        <w:rPr>
                          <w:rFonts w:ascii="Cambria Math" w:hAnsi="Cambria Math" w:cs="Arial"/>
                          <w:sz w:val="20"/>
                          <w:szCs w:val="20"/>
                          <w:lang w:val="es-MX"/>
                        </w:rPr>
                        <m:t>1×DIP</m:t>
                      </m:r>
                    </m:e>
                    <m:sub>
                      <m:r>
                        <m:rPr>
                          <m:sty m:val="bi"/>
                        </m:rPr>
                        <w:rPr>
                          <w:rFonts w:ascii="Cambria Math" w:hAnsi="Cambria Math" w:cs="Arial"/>
                          <w:sz w:val="20"/>
                          <w:szCs w:val="20"/>
                          <w:lang w:val="es-MX"/>
                        </w:rPr>
                        <m:t>t</m:t>
                      </m:r>
                    </m:sub>
                  </m:sSub>
                </m:e>
              </m:d>
              <m:r>
                <m:rPr>
                  <m:sty m:val="bi"/>
                </m:rPr>
                <w:rPr>
                  <w:rFonts w:ascii="Cambria Math" w:hAnsi="Cambria Math" w:cs="Arial"/>
                  <w:sz w:val="20"/>
                  <w:szCs w:val="20"/>
                  <w:lang w:val="es-MX"/>
                </w:rPr>
                <m:t>+0,53</m:t>
              </m:r>
            </m:num>
            <m:den>
              <m:sSup>
                <m:sSupPr>
                  <m:ctrlPr>
                    <w:rPr>
                      <w:rFonts w:ascii="Cambria Math" w:hAnsi="Cambria Math" w:cs="Arial"/>
                      <w:b w:val="0"/>
                      <w:bCs w:val="0"/>
                      <w:i/>
                      <w:iCs/>
                      <w:sz w:val="20"/>
                      <w:szCs w:val="20"/>
                      <w:lang w:val="es-MX"/>
                    </w:rPr>
                  </m:ctrlPr>
                </m:sSupPr>
                <m:e>
                  <m:d>
                    <m:dPr>
                      <m:ctrlPr>
                        <w:rPr>
                          <w:rFonts w:ascii="Cambria Math" w:hAnsi="Cambria Math" w:cs="Arial"/>
                          <w:b w:val="0"/>
                          <w:bCs w:val="0"/>
                          <w:i/>
                          <w:iCs/>
                          <w:sz w:val="20"/>
                          <w:szCs w:val="20"/>
                          <w:lang w:val="es-MX"/>
                        </w:rPr>
                      </m:ctrlPr>
                    </m:dPr>
                    <m:e>
                      <m:r>
                        <m:rPr>
                          <m:sty m:val="bi"/>
                        </m:rPr>
                        <w:rPr>
                          <w:rFonts w:ascii="Cambria Math" w:hAnsi="Cambria Math" w:cs="Arial"/>
                          <w:sz w:val="20"/>
                          <w:szCs w:val="20"/>
                          <w:lang w:val="es-MX"/>
                        </w:rPr>
                        <m:t>1+</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TT</m:t>
                          </m:r>
                          <m:r>
                            <m:rPr>
                              <m:sty m:val="bi"/>
                            </m:rPr>
                            <w:rPr>
                              <w:rFonts w:ascii="Cambria Math" w:hAnsi="Cambria Math" w:cs="Arial"/>
                              <w:sz w:val="20"/>
                              <w:szCs w:val="20"/>
                              <w:lang w:val="es-MX"/>
                            </w:rPr>
                            <m:t>1</m:t>
                          </m:r>
                        </m:e>
                        <m:sub>
                          <m:r>
                            <m:rPr>
                              <m:sty m:val="bi"/>
                            </m:rPr>
                            <w:rPr>
                              <w:rFonts w:ascii="Cambria Math" w:hAnsi="Cambria Math" w:cs="Arial"/>
                              <w:sz w:val="20"/>
                              <w:szCs w:val="20"/>
                              <w:lang w:val="es-MX"/>
                            </w:rPr>
                            <m:t>t,ecf</m:t>
                          </m:r>
                        </m:sub>
                      </m:sSub>
                    </m:e>
                  </m:d>
                </m:e>
                <m:sup>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dr</m:t>
                      </m:r>
                      <m:r>
                        <m:rPr>
                          <m:sty m:val="bi"/>
                        </m:rPr>
                        <w:rPr>
                          <w:rFonts w:ascii="Cambria Math" w:hAnsi="Cambria Math" w:cs="Arial"/>
                          <w:sz w:val="20"/>
                          <w:szCs w:val="20"/>
                          <w:lang w:val="es-MX"/>
                        </w:rPr>
                        <m:t>1</m:t>
                      </m:r>
                    </m:e>
                    <m:sub>
                      <m:r>
                        <m:rPr>
                          <m:sty m:val="bi"/>
                        </m:rPr>
                        <w:rPr>
                          <w:rFonts w:ascii="Cambria Math" w:hAnsi="Cambria Math" w:cs="Arial"/>
                          <w:sz w:val="20"/>
                          <w:szCs w:val="20"/>
                          <w:lang w:val="es-MX"/>
                        </w:rPr>
                        <m:t>ecf</m:t>
                      </m:r>
                    </m:sub>
                  </m:sSub>
                </m:sup>
              </m:sSup>
            </m:den>
          </m:f>
          <m:r>
            <m:rPr>
              <m:sty m:val="bi"/>
            </m:rPr>
            <w:rPr>
              <w:rFonts w:ascii="Cambria Math" w:hAnsi="Cambria Math" w:cs="Arial"/>
              <w:sz w:val="20"/>
              <w:szCs w:val="20"/>
              <w:lang w:val="es-MX"/>
            </w:rPr>
            <m:t>-</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dT</m:t>
              </m:r>
              <m:r>
                <m:rPr>
                  <m:sty m:val="bi"/>
                </m:rPr>
                <w:rPr>
                  <w:rFonts w:ascii="Cambria Math" w:hAnsi="Cambria Math" w:cs="Arial"/>
                  <w:sz w:val="20"/>
                  <w:szCs w:val="20"/>
                  <w:lang w:val="es-MX"/>
                </w:rPr>
                <m:t>2</m:t>
              </m:r>
            </m:e>
            <m:sub>
              <m:r>
                <m:rPr>
                  <m:sty m:val="bi"/>
                </m:rPr>
                <w:rPr>
                  <w:rFonts w:ascii="Cambria Math" w:hAnsi="Cambria Math" w:cs="Arial"/>
                  <w:sz w:val="20"/>
                  <w:szCs w:val="20"/>
                  <w:lang w:val="es-MX"/>
                </w:rPr>
                <m:t>ecf</m:t>
              </m:r>
            </m:sub>
          </m:sSub>
          <m:f>
            <m:fPr>
              <m:ctrlPr>
                <w:rPr>
                  <w:rFonts w:ascii="Cambria Math" w:hAnsi="Cambria Math" w:cs="Arial"/>
                  <w:b w:val="0"/>
                  <w:bCs w:val="0"/>
                  <w:i/>
                  <w:iCs/>
                  <w:sz w:val="20"/>
                  <w:szCs w:val="20"/>
                  <w:lang w:val="es-MX"/>
                </w:rPr>
              </m:ctrlPr>
            </m:fPr>
            <m:num>
              <m:r>
                <m:rPr>
                  <m:sty m:val="bi"/>
                </m:rPr>
                <w:rPr>
                  <w:rFonts w:ascii="Cambria Math" w:hAnsi="Cambria Math" w:cs="Arial"/>
                  <w:sz w:val="20"/>
                  <w:szCs w:val="20"/>
                  <w:lang w:val="es-MX"/>
                </w:rPr>
                <m:t>0,36×</m:t>
              </m:r>
              <m:d>
                <m:dPr>
                  <m:ctrlPr>
                    <w:rPr>
                      <w:rFonts w:ascii="Cambria Math" w:hAnsi="Cambria Math" w:cs="Arial"/>
                      <w:b w:val="0"/>
                      <w:bCs w:val="0"/>
                      <w:i/>
                      <w:sz w:val="20"/>
                      <w:szCs w:val="20"/>
                      <w:lang w:val="es-MX"/>
                    </w:rPr>
                  </m:ctrlPr>
                </m:dPr>
                <m:e>
                  <m:r>
                    <m:rPr>
                      <m:sty m:val="bi"/>
                    </m:rPr>
                    <w:rPr>
                      <w:rFonts w:ascii="Cambria Math" w:hAnsi="Cambria Math" w:cs="Arial"/>
                      <w:sz w:val="20"/>
                      <w:szCs w:val="20"/>
                      <w:lang w:val="es-MX"/>
                    </w:rPr>
                    <m:t>1+nm</m:t>
                  </m:r>
                  <m:r>
                    <m:rPr>
                      <m:sty m:val="bi"/>
                    </m:rPr>
                    <w:rPr>
                      <w:rFonts w:ascii="Cambria Math" w:hAnsi="Cambria Math" w:cs="Arial"/>
                      <w:sz w:val="20"/>
                      <w:szCs w:val="20"/>
                      <w:lang w:val="es-MX"/>
                    </w:rPr>
                    <m:t>2×</m:t>
                  </m:r>
                  <m:sSub>
                    <m:sSubPr>
                      <m:ctrlPr>
                        <w:rPr>
                          <w:rFonts w:ascii="Cambria Math" w:hAnsi="Cambria Math" w:cs="Arial"/>
                          <w:b w:val="0"/>
                          <w:bCs w:val="0"/>
                          <w:i/>
                          <w:sz w:val="20"/>
                          <w:szCs w:val="20"/>
                          <w:lang w:val="es-MX"/>
                        </w:rPr>
                      </m:ctrlPr>
                    </m:sSubPr>
                    <m:e>
                      <m:r>
                        <m:rPr>
                          <m:sty m:val="bi"/>
                        </m:rPr>
                        <w:rPr>
                          <w:rFonts w:ascii="Cambria Math" w:hAnsi="Cambria Math" w:cs="Arial"/>
                          <w:sz w:val="20"/>
                          <w:szCs w:val="20"/>
                          <w:lang w:val="es-MX"/>
                        </w:rPr>
                        <m:t>DIP</m:t>
                      </m:r>
                    </m:e>
                    <m:sub>
                      <m:r>
                        <m:rPr>
                          <m:sty m:val="bi"/>
                        </m:rPr>
                        <w:rPr>
                          <w:rFonts w:ascii="Cambria Math" w:hAnsi="Cambria Math" w:cs="Arial"/>
                          <w:sz w:val="20"/>
                          <w:szCs w:val="20"/>
                          <w:lang w:val="es-MX"/>
                        </w:rPr>
                        <m:t>t</m:t>
                      </m:r>
                    </m:sub>
                  </m:sSub>
                </m:e>
              </m:d>
              <m:r>
                <m:rPr>
                  <m:sty m:val="bi"/>
                </m:rPr>
                <w:rPr>
                  <w:rFonts w:ascii="Cambria Math" w:hAnsi="Cambria Math" w:cs="Arial"/>
                  <w:sz w:val="20"/>
                  <w:szCs w:val="20"/>
                  <w:lang w:val="es-MX"/>
                </w:rPr>
                <m:t>+0,53</m:t>
              </m:r>
            </m:num>
            <m:den>
              <m:sSup>
                <m:sSupPr>
                  <m:ctrlPr>
                    <w:rPr>
                      <w:rFonts w:ascii="Cambria Math" w:hAnsi="Cambria Math" w:cs="Arial"/>
                      <w:b w:val="0"/>
                      <w:bCs w:val="0"/>
                      <w:i/>
                      <w:iCs/>
                      <w:sz w:val="20"/>
                      <w:szCs w:val="20"/>
                      <w:lang w:val="es-MX"/>
                    </w:rPr>
                  </m:ctrlPr>
                </m:sSupPr>
                <m:e>
                  <m:d>
                    <m:dPr>
                      <m:ctrlPr>
                        <w:rPr>
                          <w:rFonts w:ascii="Cambria Math" w:hAnsi="Cambria Math" w:cs="Arial"/>
                          <w:b w:val="0"/>
                          <w:bCs w:val="0"/>
                          <w:i/>
                          <w:iCs/>
                          <w:sz w:val="20"/>
                          <w:szCs w:val="20"/>
                          <w:lang w:val="es-MX"/>
                        </w:rPr>
                      </m:ctrlPr>
                    </m:dPr>
                    <m:e>
                      <m:r>
                        <m:rPr>
                          <m:sty m:val="bi"/>
                        </m:rPr>
                        <w:rPr>
                          <w:rFonts w:ascii="Cambria Math" w:hAnsi="Cambria Math" w:cs="Arial"/>
                          <w:sz w:val="20"/>
                          <w:szCs w:val="20"/>
                          <w:lang w:val="es-MX"/>
                        </w:rPr>
                        <m:t>1+</m:t>
                      </m:r>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TT</m:t>
                          </m:r>
                          <m:r>
                            <m:rPr>
                              <m:sty m:val="bi"/>
                            </m:rPr>
                            <w:rPr>
                              <w:rFonts w:ascii="Cambria Math" w:hAnsi="Cambria Math" w:cs="Arial"/>
                              <w:sz w:val="20"/>
                              <w:szCs w:val="20"/>
                              <w:lang w:val="es-MX"/>
                            </w:rPr>
                            <m:t>2</m:t>
                          </m:r>
                        </m:e>
                        <m:sub>
                          <m:r>
                            <m:rPr>
                              <m:sty m:val="bi"/>
                            </m:rPr>
                            <w:rPr>
                              <w:rFonts w:ascii="Cambria Math" w:hAnsi="Cambria Math" w:cs="Arial"/>
                              <w:sz w:val="20"/>
                              <w:szCs w:val="20"/>
                              <w:lang w:val="es-MX"/>
                            </w:rPr>
                            <m:t>t,ecf</m:t>
                          </m:r>
                        </m:sub>
                      </m:sSub>
                    </m:e>
                  </m:d>
                </m:e>
                <m:sup>
                  <m:sSub>
                    <m:sSubPr>
                      <m:ctrlPr>
                        <w:rPr>
                          <w:rFonts w:ascii="Cambria Math" w:hAnsi="Cambria Math" w:cs="Arial"/>
                          <w:b w:val="0"/>
                          <w:bCs w:val="0"/>
                          <w:i/>
                          <w:iCs/>
                          <w:sz w:val="20"/>
                          <w:szCs w:val="20"/>
                          <w:lang w:val="es-MX"/>
                        </w:rPr>
                      </m:ctrlPr>
                    </m:sSubPr>
                    <m:e>
                      <m:r>
                        <m:rPr>
                          <m:sty m:val="bi"/>
                        </m:rPr>
                        <w:rPr>
                          <w:rFonts w:ascii="Cambria Math" w:hAnsi="Cambria Math" w:cs="Arial"/>
                          <w:sz w:val="20"/>
                          <w:szCs w:val="20"/>
                          <w:lang w:val="es-MX"/>
                        </w:rPr>
                        <m:t>dr</m:t>
                      </m:r>
                      <m:r>
                        <m:rPr>
                          <m:sty m:val="bi"/>
                        </m:rPr>
                        <w:rPr>
                          <w:rFonts w:ascii="Cambria Math" w:hAnsi="Cambria Math" w:cs="Arial"/>
                          <w:sz w:val="20"/>
                          <w:szCs w:val="20"/>
                          <w:lang w:val="es-MX"/>
                        </w:rPr>
                        <m:t>2</m:t>
                      </m:r>
                    </m:e>
                    <m:sub>
                      <m:r>
                        <m:rPr>
                          <m:sty m:val="bi"/>
                        </m:rPr>
                        <w:rPr>
                          <w:rFonts w:ascii="Cambria Math" w:hAnsi="Cambria Math" w:cs="Arial"/>
                          <w:sz w:val="20"/>
                          <w:szCs w:val="20"/>
                          <w:lang w:val="es-MX"/>
                        </w:rPr>
                        <m:t>ecf</m:t>
                      </m:r>
                    </m:sub>
                  </m:sSub>
                </m:sup>
              </m:sSup>
            </m:den>
          </m:f>
        </m:oMath>
      </m:oMathPara>
    </w:p>
    <w:p w14:paraId="0BC3B2D8" w14:textId="77777777" w:rsidR="002B230A" w:rsidRPr="008900BA" w:rsidRDefault="002B230A" w:rsidP="00891C31">
      <w:pPr>
        <w:pStyle w:val="Subttulo"/>
        <w:spacing w:before="200" w:after="200"/>
        <w:rPr>
          <w:rFonts w:ascii="Arial" w:hAnsi="Arial" w:cs="Arial"/>
          <w:b w:val="0"/>
          <w:sz w:val="22"/>
          <w:szCs w:val="22"/>
        </w:rPr>
      </w:pPr>
      <w:r w:rsidRPr="008900BA">
        <w:rPr>
          <w:rFonts w:ascii="Arial" w:hAnsi="Arial" w:cs="Arial"/>
          <w:b w:val="0"/>
          <w:sz w:val="22"/>
          <w:szCs w:val="22"/>
        </w:rPr>
        <w:t xml:space="preserve">Donde: </w:t>
      </w:r>
    </w:p>
    <w:p w14:paraId="6DB0CCF3" w14:textId="77777777" w:rsidR="00705D7F" w:rsidRPr="008900BA" w:rsidRDefault="00705D7F" w:rsidP="00891C31">
      <w:pPr>
        <w:pStyle w:val="Subttulo"/>
        <w:ind w:left="1843" w:hanging="1843"/>
        <w:rPr>
          <w:rFonts w:ascii="Arial" w:hAnsi="Arial" w:cs="Arial"/>
          <w:b w:val="0"/>
          <w:bCs w:val="0"/>
          <w:sz w:val="22"/>
          <w:szCs w:val="22"/>
        </w:rPr>
      </w:pPr>
      <w:proofErr w:type="gramStart"/>
      <w:r w:rsidRPr="008900BA">
        <w:rPr>
          <w:rFonts w:ascii="Arial" w:hAnsi="Arial" w:cs="Arial"/>
          <w:b w:val="0"/>
          <w:i/>
          <w:color w:val="000000"/>
          <w:sz w:val="22"/>
          <w:szCs w:val="22"/>
        </w:rPr>
        <w:t>CFF</w:t>
      </w:r>
      <w:r w:rsidRPr="008900BA">
        <w:rPr>
          <w:rFonts w:ascii="Arial" w:hAnsi="Arial" w:cs="Arial"/>
          <w:b w:val="0"/>
          <w:i/>
          <w:color w:val="000000"/>
          <w:sz w:val="22"/>
          <w:szCs w:val="22"/>
          <w:vertAlign w:val="subscript"/>
        </w:rPr>
        <w:t>i,j</w:t>
      </w:r>
      <w:proofErr w:type="gramEnd"/>
      <w:r w:rsidRPr="008900BA">
        <w:rPr>
          <w:rFonts w:ascii="Arial" w:hAnsi="Arial" w:cs="Arial"/>
          <w:b w:val="0"/>
          <w:i/>
          <w:color w:val="000000"/>
          <w:sz w:val="22"/>
          <w:szCs w:val="22"/>
          <w:vertAlign w:val="subscript"/>
        </w:rPr>
        <w:t>,t</w:t>
      </w:r>
      <w:r w:rsidRPr="008900BA">
        <w:rPr>
          <w:rFonts w:ascii="Arial" w:hAnsi="Arial" w:cs="Arial"/>
          <w:b w:val="0"/>
          <w:i/>
          <w:color w:val="000000"/>
          <w:sz w:val="22"/>
          <w:szCs w:val="22"/>
        </w:rPr>
        <w:t>:</w:t>
      </w:r>
      <w:r w:rsidRPr="008900BA">
        <w:rPr>
          <w:rFonts w:ascii="Arial" w:hAnsi="Arial" w:cs="Arial"/>
          <w:b w:val="0"/>
          <w:color w:val="000000"/>
          <w:sz w:val="22"/>
          <w:szCs w:val="22"/>
        </w:rPr>
        <w:tab/>
        <w:t xml:space="preserve">Costo financiero reconocido para el comercializador </w:t>
      </w:r>
      <w:r w:rsidRPr="008900BA">
        <w:rPr>
          <w:rFonts w:ascii="Arial" w:hAnsi="Arial" w:cs="Arial"/>
          <w:b w:val="0"/>
          <w:i/>
          <w:iCs/>
          <w:color w:val="000000"/>
          <w:sz w:val="22"/>
          <w:szCs w:val="22"/>
        </w:rPr>
        <w:t>i,</w:t>
      </w:r>
      <w:r w:rsidRPr="008900BA">
        <w:rPr>
          <w:rFonts w:ascii="Arial" w:hAnsi="Arial" w:cs="Arial"/>
          <w:b w:val="0"/>
          <w:color w:val="000000"/>
          <w:sz w:val="22"/>
          <w:szCs w:val="22"/>
        </w:rPr>
        <w:t xml:space="preserve"> en el mercado de comercialización </w:t>
      </w:r>
      <w:r w:rsidRPr="008900BA">
        <w:rPr>
          <w:rFonts w:ascii="Arial" w:hAnsi="Arial" w:cs="Arial"/>
          <w:b w:val="0"/>
          <w:i/>
          <w:iCs/>
          <w:color w:val="000000"/>
          <w:sz w:val="22"/>
          <w:szCs w:val="22"/>
        </w:rPr>
        <w:t xml:space="preserve">j, </w:t>
      </w:r>
      <w:r w:rsidRPr="008900BA">
        <w:rPr>
          <w:rFonts w:ascii="Arial" w:hAnsi="Arial" w:cs="Arial"/>
          <w:b w:val="0"/>
          <w:color w:val="000000"/>
          <w:sz w:val="22"/>
          <w:szCs w:val="22"/>
        </w:rPr>
        <w:t>aplicable al</w:t>
      </w:r>
      <w:r w:rsidRPr="008900BA">
        <w:rPr>
          <w:rFonts w:ascii="Arial" w:hAnsi="Arial" w:cs="Arial"/>
          <w:b w:val="0"/>
          <w:i/>
          <w:iCs/>
          <w:color w:val="000000"/>
          <w:sz w:val="22"/>
          <w:szCs w:val="22"/>
        </w:rPr>
        <w:t xml:space="preserve"> </w:t>
      </w:r>
      <w:r w:rsidRPr="008900BA">
        <w:rPr>
          <w:rFonts w:ascii="Arial" w:hAnsi="Arial" w:cs="Arial"/>
          <w:b w:val="0"/>
          <w:color w:val="000000"/>
          <w:sz w:val="22"/>
          <w:szCs w:val="22"/>
        </w:rPr>
        <w:t xml:space="preserve">año </w:t>
      </w:r>
      <w:r w:rsidRPr="008900BA">
        <w:rPr>
          <w:rFonts w:ascii="Arial" w:hAnsi="Arial" w:cs="Arial"/>
          <w:b w:val="0"/>
          <w:i/>
          <w:iCs/>
          <w:color w:val="000000"/>
          <w:sz w:val="22"/>
          <w:szCs w:val="22"/>
        </w:rPr>
        <w:t>t,</w:t>
      </w:r>
      <w:r w:rsidRPr="008900BA">
        <w:rPr>
          <w:rFonts w:ascii="Arial" w:hAnsi="Arial" w:cs="Arial"/>
          <w:b w:val="0"/>
          <w:color w:val="000000"/>
          <w:sz w:val="22"/>
          <w:szCs w:val="22"/>
        </w:rPr>
        <w:t xml:space="preserve"> asociados a </w:t>
      </w:r>
      <w:r w:rsidRPr="008900BA">
        <w:rPr>
          <w:rFonts w:ascii="Arial" w:hAnsi="Arial" w:cs="Arial"/>
          <w:b w:val="0"/>
          <w:bCs w:val="0"/>
          <w:sz w:val="22"/>
          <w:szCs w:val="22"/>
        </w:rPr>
        <w:t xml:space="preserve">las diferencias en tiempo entre el ciclo de facturación, el momento de recaudo a los usuarios regulados, el día de publicación de tarifas por parte del comercializador y el momento del </w:t>
      </w:r>
      <w:r w:rsidRPr="008900BA">
        <w:rPr>
          <w:rFonts w:ascii="Arial" w:hAnsi="Arial" w:cs="Arial"/>
          <w:b w:val="0"/>
          <w:color w:val="000000"/>
          <w:sz w:val="22"/>
          <w:szCs w:val="22"/>
        </w:rPr>
        <w:t>pago</w:t>
      </w:r>
      <w:r w:rsidRPr="008900BA">
        <w:rPr>
          <w:rFonts w:ascii="Arial" w:hAnsi="Arial" w:cs="Arial"/>
          <w:color w:val="000000"/>
          <w:sz w:val="22"/>
          <w:szCs w:val="22"/>
        </w:rPr>
        <w:t xml:space="preserve"> </w:t>
      </w:r>
      <w:r w:rsidRPr="008900BA">
        <w:rPr>
          <w:rFonts w:ascii="Arial" w:hAnsi="Arial" w:cs="Arial"/>
          <w:b w:val="0"/>
          <w:color w:val="000000"/>
          <w:sz w:val="22"/>
          <w:szCs w:val="22"/>
        </w:rPr>
        <w:t>de los costos facturados por el ASIC y el LAC</w:t>
      </w:r>
      <w:r w:rsidRPr="008900BA">
        <w:rPr>
          <w:rFonts w:ascii="Arial" w:hAnsi="Arial" w:cs="Arial"/>
          <w:b w:val="0"/>
          <w:bCs w:val="0"/>
          <w:sz w:val="22"/>
          <w:szCs w:val="22"/>
        </w:rPr>
        <w:t>.</w:t>
      </w:r>
    </w:p>
    <w:p w14:paraId="32B3873B"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BP:</w:t>
      </w:r>
      <w:r w:rsidRPr="008900BA">
        <w:rPr>
          <w:rFonts w:ascii="Arial" w:hAnsi="Arial" w:cs="Arial"/>
          <w:b w:val="0"/>
          <w:color w:val="000000"/>
          <w:sz w:val="22"/>
          <w:szCs w:val="22"/>
        </w:rPr>
        <w:tab/>
        <w:t>Promedio del impacto en el costo financiero por la publicación anticipada de tarifas, corresponde a 0,85.</w:t>
      </w:r>
    </w:p>
    <w:p w14:paraId="2C57AD23"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Ecf:</w:t>
      </w:r>
      <w:r w:rsidRPr="008900BA">
        <w:rPr>
          <w:rFonts w:ascii="Arial" w:hAnsi="Arial" w:cs="Arial"/>
          <w:b w:val="0"/>
          <w:color w:val="000000"/>
          <w:sz w:val="22"/>
          <w:szCs w:val="22"/>
        </w:rPr>
        <w:tab/>
        <w:t xml:space="preserve">Escenario de ciclo de facturación de 30 días que inicia el día </w:t>
      </w:r>
      <w:r w:rsidRPr="008900BA">
        <w:rPr>
          <w:rFonts w:ascii="Arial" w:hAnsi="Arial" w:cs="Arial"/>
          <w:b w:val="0"/>
          <w:i/>
          <w:iCs/>
          <w:color w:val="000000"/>
          <w:sz w:val="22"/>
          <w:szCs w:val="22"/>
        </w:rPr>
        <w:t>d1</w:t>
      </w:r>
      <w:r w:rsidRPr="008900BA">
        <w:rPr>
          <w:rFonts w:ascii="Arial" w:hAnsi="Arial" w:cs="Arial"/>
          <w:b w:val="0"/>
          <w:color w:val="000000"/>
          <w:sz w:val="22"/>
          <w:szCs w:val="22"/>
        </w:rPr>
        <w:t xml:space="preserve"> del mes </w:t>
      </w:r>
      <w:r w:rsidRPr="008900BA">
        <w:rPr>
          <w:rFonts w:ascii="Arial" w:hAnsi="Arial" w:cs="Arial"/>
          <w:b w:val="0"/>
          <w:i/>
          <w:iCs/>
          <w:color w:val="000000"/>
          <w:sz w:val="22"/>
          <w:szCs w:val="22"/>
        </w:rPr>
        <w:t>m1</w:t>
      </w:r>
      <w:r w:rsidRPr="008900BA">
        <w:rPr>
          <w:rFonts w:ascii="Arial" w:hAnsi="Arial" w:cs="Arial"/>
          <w:b w:val="0"/>
          <w:color w:val="000000"/>
          <w:sz w:val="22"/>
          <w:szCs w:val="22"/>
        </w:rPr>
        <w:t xml:space="preserve"> y finaliza en el día </w:t>
      </w:r>
      <w:r w:rsidRPr="008900BA">
        <w:rPr>
          <w:rFonts w:ascii="Arial" w:hAnsi="Arial" w:cs="Arial"/>
          <w:b w:val="0"/>
          <w:i/>
          <w:iCs/>
          <w:color w:val="000000"/>
          <w:sz w:val="22"/>
          <w:szCs w:val="22"/>
        </w:rPr>
        <w:t>d2</w:t>
      </w:r>
      <w:r w:rsidRPr="008900BA">
        <w:rPr>
          <w:rFonts w:ascii="Arial" w:hAnsi="Arial" w:cs="Arial"/>
          <w:b w:val="0"/>
          <w:color w:val="000000"/>
          <w:sz w:val="22"/>
          <w:szCs w:val="22"/>
        </w:rPr>
        <w:t xml:space="preserve"> del mes </w:t>
      </w:r>
      <w:r w:rsidRPr="008900BA">
        <w:rPr>
          <w:rFonts w:ascii="Arial" w:hAnsi="Arial" w:cs="Arial"/>
          <w:b w:val="0"/>
          <w:i/>
          <w:iCs/>
          <w:color w:val="000000"/>
          <w:sz w:val="22"/>
          <w:szCs w:val="22"/>
        </w:rPr>
        <w:t>m2</w:t>
      </w:r>
      <w:r w:rsidRPr="008900BA">
        <w:rPr>
          <w:rFonts w:ascii="Arial" w:hAnsi="Arial" w:cs="Arial"/>
          <w:b w:val="0"/>
          <w:color w:val="000000"/>
          <w:sz w:val="22"/>
          <w:szCs w:val="22"/>
        </w:rPr>
        <w:t xml:space="preserve">. </w:t>
      </w:r>
    </w:p>
    <w:p w14:paraId="3A99F53A"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lastRenderedPageBreak/>
        <w:t>dT1</w:t>
      </w:r>
      <w:r w:rsidRPr="008900BA">
        <w:rPr>
          <w:rFonts w:ascii="Arial" w:hAnsi="Arial" w:cs="Arial"/>
          <w:b w:val="0"/>
          <w:i/>
          <w:color w:val="000000"/>
          <w:sz w:val="22"/>
          <w:szCs w:val="22"/>
          <w:vertAlign w:val="subscript"/>
        </w:rPr>
        <w:t>ecf</w:t>
      </w:r>
      <w:r w:rsidRPr="008900BA">
        <w:rPr>
          <w:rFonts w:ascii="Arial" w:hAnsi="Arial" w:cs="Arial"/>
          <w:b w:val="0"/>
          <w:color w:val="000000"/>
          <w:sz w:val="22"/>
          <w:szCs w:val="22"/>
        </w:rPr>
        <w:tab/>
        <w:t xml:space="preserve">Relación entre los días de consumo en el mes </w:t>
      </w:r>
      <w:r w:rsidRPr="008900BA">
        <w:rPr>
          <w:rFonts w:ascii="Arial" w:hAnsi="Arial" w:cs="Arial"/>
          <w:b w:val="0"/>
          <w:i/>
          <w:color w:val="000000"/>
          <w:sz w:val="22"/>
          <w:szCs w:val="22"/>
        </w:rPr>
        <w:t>m1</w:t>
      </w:r>
      <w:r w:rsidRPr="008900BA">
        <w:rPr>
          <w:rFonts w:ascii="Arial" w:hAnsi="Arial" w:cs="Arial"/>
          <w:b w:val="0"/>
          <w:color w:val="000000"/>
          <w:sz w:val="22"/>
          <w:szCs w:val="22"/>
        </w:rPr>
        <w:t xml:space="preserve"> y el total de días del ciclo de facturación en el escenario </w:t>
      </w:r>
      <w:r w:rsidRPr="008900BA">
        <w:rPr>
          <w:rFonts w:ascii="Arial" w:hAnsi="Arial" w:cs="Arial"/>
          <w:b w:val="0"/>
          <w:i/>
          <w:iCs/>
          <w:color w:val="000000"/>
          <w:sz w:val="22"/>
          <w:szCs w:val="22"/>
        </w:rPr>
        <w:t>ecf</w:t>
      </w:r>
      <w:r w:rsidRPr="008900BA">
        <w:rPr>
          <w:rFonts w:ascii="Arial" w:hAnsi="Arial" w:cs="Arial"/>
          <w:b w:val="0"/>
          <w:color w:val="000000"/>
          <w:sz w:val="22"/>
          <w:szCs w:val="22"/>
        </w:rPr>
        <w:t>, correspondiente a 30 días.</w:t>
      </w:r>
    </w:p>
    <w:p w14:paraId="3F617FEC" w14:textId="2144AE26" w:rsidR="00705D7F" w:rsidRPr="008900BA" w:rsidRDefault="008900BA"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n</w:t>
      </w:r>
      <w:r w:rsidR="00705D7F" w:rsidRPr="008900BA">
        <w:rPr>
          <w:rFonts w:ascii="Arial" w:hAnsi="Arial" w:cs="Arial"/>
          <w:b w:val="0"/>
          <w:i/>
          <w:color w:val="000000"/>
          <w:sz w:val="22"/>
          <w:szCs w:val="22"/>
        </w:rPr>
        <w:t>m1</w:t>
      </w:r>
      <w:r w:rsidR="00705D7F" w:rsidRPr="008900BA">
        <w:rPr>
          <w:rFonts w:ascii="Arial" w:hAnsi="Arial" w:cs="Arial"/>
          <w:b w:val="0"/>
          <w:i/>
          <w:color w:val="000000"/>
          <w:sz w:val="22"/>
          <w:szCs w:val="22"/>
          <w:vertAlign w:val="subscript"/>
        </w:rPr>
        <w:t>ecf</w:t>
      </w:r>
      <w:r w:rsidR="00705D7F" w:rsidRPr="008900BA">
        <w:rPr>
          <w:rFonts w:ascii="Arial" w:hAnsi="Arial" w:cs="Arial"/>
          <w:b w:val="0"/>
          <w:color w:val="000000"/>
          <w:sz w:val="22"/>
          <w:szCs w:val="22"/>
        </w:rPr>
        <w:tab/>
        <w:t xml:space="preserve">Número de meses transcurridos, entre el mes con el que se calcula la tarifa aplicada al usuario en el escenario </w:t>
      </w:r>
      <w:r w:rsidR="00705D7F" w:rsidRPr="008900BA">
        <w:rPr>
          <w:rFonts w:ascii="Arial" w:hAnsi="Arial" w:cs="Arial"/>
          <w:b w:val="0"/>
          <w:i/>
          <w:iCs/>
          <w:color w:val="000000"/>
          <w:sz w:val="22"/>
          <w:szCs w:val="22"/>
        </w:rPr>
        <w:t>ecf</w:t>
      </w:r>
      <w:r w:rsidR="00705D7F" w:rsidRPr="008900BA">
        <w:rPr>
          <w:rFonts w:ascii="Arial" w:hAnsi="Arial" w:cs="Arial"/>
          <w:b w:val="0"/>
          <w:color w:val="000000"/>
          <w:sz w:val="22"/>
          <w:szCs w:val="22"/>
        </w:rPr>
        <w:t xml:space="preserve">, y el mes de pago de los costos facturados por el ASIC y el LAC por el consumo en el mes </w:t>
      </w:r>
      <w:r w:rsidR="00705D7F" w:rsidRPr="008900BA">
        <w:rPr>
          <w:rFonts w:ascii="Arial" w:hAnsi="Arial" w:cs="Arial"/>
          <w:b w:val="0"/>
          <w:i/>
          <w:color w:val="000000"/>
          <w:sz w:val="22"/>
          <w:szCs w:val="22"/>
        </w:rPr>
        <w:t>m1</w:t>
      </w:r>
      <w:r w:rsidR="00705D7F" w:rsidRPr="008900BA">
        <w:rPr>
          <w:rFonts w:ascii="Arial" w:hAnsi="Arial" w:cs="Arial"/>
          <w:b w:val="0"/>
          <w:color w:val="000000"/>
          <w:sz w:val="22"/>
          <w:szCs w:val="22"/>
        </w:rPr>
        <w:t>.</w:t>
      </w:r>
    </w:p>
    <w:p w14:paraId="1A755003" w14:textId="5396960D"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themeColor="text1"/>
          <w:sz w:val="22"/>
          <w:szCs w:val="22"/>
        </w:rPr>
        <w:t>DIP</w:t>
      </w:r>
      <w:r w:rsidRPr="008900BA">
        <w:rPr>
          <w:rFonts w:ascii="Arial" w:hAnsi="Arial" w:cs="Arial"/>
          <w:b w:val="0"/>
          <w:i/>
          <w:color w:val="000000" w:themeColor="text1"/>
          <w:sz w:val="22"/>
          <w:szCs w:val="22"/>
          <w:vertAlign w:val="subscript"/>
        </w:rPr>
        <w:t>t</w:t>
      </w:r>
      <w:r w:rsidRPr="008900BA">
        <w:rPr>
          <w:sz w:val="22"/>
          <w:szCs w:val="22"/>
        </w:rPr>
        <w:tab/>
      </w:r>
      <w:r w:rsidRPr="008900BA">
        <w:rPr>
          <w:rFonts w:ascii="Arial" w:hAnsi="Arial" w:cs="Arial"/>
          <w:b w:val="0"/>
          <w:color w:val="000000" w:themeColor="text1"/>
          <w:sz w:val="22"/>
          <w:szCs w:val="22"/>
        </w:rPr>
        <w:t>Promedio de la variación mensual del índice de precios aplicable a las actividades de distribución y transmisión en el año t-1.</w:t>
      </w:r>
    </w:p>
    <w:p w14:paraId="218B3D50"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Dr1</w:t>
      </w:r>
      <w:r w:rsidRPr="008900BA">
        <w:rPr>
          <w:rFonts w:ascii="Arial" w:hAnsi="Arial" w:cs="Arial"/>
          <w:b w:val="0"/>
          <w:i/>
          <w:color w:val="000000"/>
          <w:sz w:val="22"/>
          <w:szCs w:val="22"/>
          <w:vertAlign w:val="subscript"/>
        </w:rPr>
        <w:t>ecf</w:t>
      </w:r>
      <w:r w:rsidRPr="008900BA">
        <w:rPr>
          <w:rFonts w:ascii="Arial" w:hAnsi="Arial" w:cs="Arial"/>
          <w:b w:val="0"/>
          <w:color w:val="000000"/>
          <w:sz w:val="22"/>
          <w:szCs w:val="22"/>
        </w:rPr>
        <w:tab/>
        <w:t xml:space="preserve">Diferencia entre el día del recaudo a los usuarios regulados y el día de pago de los costos facturados por el ASIC y el LAC por el consumo en el mes </w:t>
      </w:r>
      <w:r w:rsidRPr="008900BA">
        <w:rPr>
          <w:rFonts w:ascii="Arial" w:hAnsi="Arial" w:cs="Arial"/>
          <w:b w:val="0"/>
          <w:i/>
          <w:iCs/>
          <w:color w:val="000000"/>
          <w:sz w:val="22"/>
          <w:szCs w:val="22"/>
        </w:rPr>
        <w:t>m1</w:t>
      </w:r>
      <w:r w:rsidRPr="008900BA">
        <w:rPr>
          <w:rFonts w:ascii="Arial" w:hAnsi="Arial" w:cs="Arial"/>
          <w:b w:val="0"/>
          <w:color w:val="000000"/>
          <w:sz w:val="22"/>
          <w:szCs w:val="22"/>
        </w:rPr>
        <w:t xml:space="preserve"> en el escenario </w:t>
      </w:r>
      <w:r w:rsidRPr="008900BA">
        <w:rPr>
          <w:rFonts w:ascii="Arial" w:hAnsi="Arial" w:cs="Arial"/>
          <w:b w:val="0"/>
          <w:i/>
          <w:iCs/>
          <w:color w:val="000000"/>
          <w:sz w:val="22"/>
          <w:szCs w:val="22"/>
        </w:rPr>
        <w:t>ecf</w:t>
      </w:r>
      <w:r w:rsidRPr="008900BA">
        <w:rPr>
          <w:rFonts w:ascii="Arial" w:hAnsi="Arial" w:cs="Arial"/>
          <w:b w:val="0"/>
          <w:color w:val="000000"/>
          <w:sz w:val="22"/>
          <w:szCs w:val="22"/>
        </w:rPr>
        <w:t>.</w:t>
      </w:r>
    </w:p>
    <w:p w14:paraId="75BBDEB5"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TT1</w:t>
      </w:r>
      <w:proofErr w:type="gramStart"/>
      <w:r w:rsidRPr="008900BA">
        <w:rPr>
          <w:rFonts w:ascii="Arial" w:hAnsi="Arial" w:cs="Arial"/>
          <w:b w:val="0"/>
          <w:i/>
          <w:color w:val="000000"/>
          <w:sz w:val="22"/>
          <w:szCs w:val="22"/>
          <w:vertAlign w:val="subscript"/>
        </w:rPr>
        <w:t>t,ecf</w:t>
      </w:r>
      <w:proofErr w:type="gramEnd"/>
      <w:r w:rsidRPr="008900BA">
        <w:rPr>
          <w:rFonts w:ascii="Arial" w:hAnsi="Arial" w:cs="Arial"/>
          <w:b w:val="0"/>
          <w:color w:val="000000"/>
          <w:sz w:val="22"/>
          <w:szCs w:val="22"/>
        </w:rPr>
        <w:tab/>
        <w:t xml:space="preserve">Costo de oportunidad día vencido correspondiente a la variable </w:t>
      </w:r>
      <w:r w:rsidRPr="008900BA">
        <w:rPr>
          <w:rFonts w:ascii="Arial" w:eastAsia="Cambria Math" w:hAnsi="Arial" w:cs="Arial"/>
          <w:b w:val="0"/>
          <w:i/>
          <w:iCs/>
          <w:color w:val="000000"/>
          <w:sz w:val="22"/>
          <w:szCs w:val="22"/>
        </w:rPr>
        <w:t>dr1</w:t>
      </w:r>
      <w:r w:rsidRPr="008900BA">
        <w:rPr>
          <w:rFonts w:ascii="Arial" w:hAnsi="Arial" w:cs="Arial"/>
          <w:b w:val="0"/>
          <w:i/>
          <w:iCs/>
          <w:color w:val="000000"/>
          <w:sz w:val="22"/>
          <w:szCs w:val="22"/>
          <w:vertAlign w:val="subscript"/>
        </w:rPr>
        <w:t>ecf</w:t>
      </w:r>
      <w:r w:rsidRPr="008900BA">
        <w:rPr>
          <w:rFonts w:ascii="Arial" w:hAnsi="Arial" w:cs="Arial"/>
          <w:b w:val="0"/>
          <w:color w:val="000000"/>
          <w:sz w:val="22"/>
          <w:szCs w:val="22"/>
        </w:rPr>
        <w:t>, calculado como el promedio de las tasas de captación o colocación publicadas por el Banco de la República de acuerdo con el formato 441 de la Superintendencia Financiera de Colombia vigentes en el año t-1. En el caso de las tasas de captación se utilizan las Tasas de captación diarias – CDT y CDAT</w:t>
      </w:r>
      <w:r w:rsidRPr="008900BA">
        <w:rPr>
          <w:rFonts w:ascii="Arial" w:hAnsi="Arial" w:cs="Arial"/>
          <w:b w:val="0"/>
          <w:color w:val="000000"/>
          <w:sz w:val="22"/>
          <w:szCs w:val="22"/>
        </w:rPr>
        <w:tab/>
        <w:t xml:space="preserve"> para el total de establecimientos numeral 1.2.1.1.2. Para las tasas de colocación se utilizan las Tasas de colocación por modalidad de créditos comerciales (Tesorería) para el total de establecimientos en el numeral 1.2.2. Histórico para un tipo de cuenta_periodicidad semanal.</w:t>
      </w:r>
    </w:p>
    <w:tbl>
      <w:tblPr>
        <w:tblStyle w:val="Tablaconcuadrcula"/>
        <w:tblW w:w="5035" w:type="dxa"/>
        <w:jc w:val="center"/>
        <w:tblLook w:val="0600" w:firstRow="0" w:lastRow="0" w:firstColumn="0" w:lastColumn="0" w:noHBand="1" w:noVBand="1"/>
      </w:tblPr>
      <w:tblGrid>
        <w:gridCol w:w="2304"/>
        <w:gridCol w:w="2903"/>
      </w:tblGrid>
      <w:tr w:rsidR="00705D7F" w:rsidRPr="008900BA" w14:paraId="0D1EC929" w14:textId="77777777">
        <w:trPr>
          <w:trHeight w:val="290"/>
          <w:jc w:val="center"/>
        </w:trPr>
        <w:tc>
          <w:tcPr>
            <w:tcW w:w="2332" w:type="dxa"/>
            <w:hideMark/>
          </w:tcPr>
          <w:p w14:paraId="435BABE2" w14:textId="77777777" w:rsidR="00705D7F" w:rsidRPr="008900BA" w:rsidRDefault="00705D7F" w:rsidP="00891C31">
            <w:pPr>
              <w:pStyle w:val="Subttulo"/>
              <w:spacing w:before="0" w:after="0"/>
              <w:jc w:val="center"/>
              <w:rPr>
                <w:rFonts w:ascii="Arial" w:hAnsi="Arial" w:cs="Arial"/>
                <w:bCs w:val="0"/>
                <w:color w:val="000000"/>
                <w:sz w:val="22"/>
                <w:szCs w:val="22"/>
              </w:rPr>
            </w:pPr>
            <w:r w:rsidRPr="008900BA">
              <w:rPr>
                <w:rFonts w:ascii="Arial" w:hAnsi="Arial" w:cs="Arial"/>
                <w:bCs w:val="0"/>
                <w:color w:val="000000"/>
                <w:sz w:val="22"/>
                <w:szCs w:val="22"/>
              </w:rPr>
              <w:t xml:space="preserve">Valor de la variable </w:t>
            </w:r>
            <w:r w:rsidRPr="008900BA">
              <w:rPr>
                <w:rFonts w:ascii="Arial" w:hAnsi="Arial" w:cs="Arial"/>
                <w:bCs w:val="0"/>
                <w:i/>
                <w:iCs/>
                <w:color w:val="000000"/>
                <w:sz w:val="22"/>
                <w:szCs w:val="22"/>
              </w:rPr>
              <w:t>dr1</w:t>
            </w:r>
            <w:r w:rsidRPr="008900BA">
              <w:rPr>
                <w:rFonts w:ascii="Arial" w:hAnsi="Arial" w:cs="Arial"/>
                <w:bCs w:val="0"/>
                <w:i/>
                <w:iCs/>
                <w:color w:val="000000"/>
                <w:sz w:val="22"/>
                <w:szCs w:val="22"/>
                <w:vertAlign w:val="subscript"/>
              </w:rPr>
              <w:t>ecf</w:t>
            </w:r>
            <w:r w:rsidRPr="008900BA">
              <w:rPr>
                <w:rFonts w:ascii="Arial" w:hAnsi="Arial" w:cs="Arial"/>
                <w:bCs w:val="0"/>
                <w:color w:val="000000"/>
                <w:sz w:val="22"/>
                <w:szCs w:val="22"/>
              </w:rPr>
              <w:t xml:space="preserve"> </w:t>
            </w:r>
          </w:p>
        </w:tc>
        <w:tc>
          <w:tcPr>
            <w:tcW w:w="2703" w:type="dxa"/>
            <w:hideMark/>
          </w:tcPr>
          <w:p w14:paraId="2EDDC6C2" w14:textId="77777777" w:rsidR="00705D7F" w:rsidRPr="008900BA" w:rsidRDefault="00705D7F" w:rsidP="00891C31">
            <w:pPr>
              <w:pStyle w:val="Subttulo"/>
              <w:spacing w:before="0" w:after="0"/>
              <w:ind w:left="1843" w:hanging="1843"/>
              <w:jc w:val="center"/>
              <w:rPr>
                <w:rFonts w:ascii="Arial" w:hAnsi="Arial" w:cs="Arial"/>
                <w:bCs w:val="0"/>
                <w:color w:val="000000"/>
                <w:sz w:val="22"/>
                <w:szCs w:val="22"/>
              </w:rPr>
            </w:pPr>
            <w:r w:rsidRPr="008900BA">
              <w:rPr>
                <w:rFonts w:ascii="Arial" w:hAnsi="Arial" w:cs="Arial"/>
                <w:bCs w:val="0"/>
                <w:color w:val="000000"/>
                <w:sz w:val="22"/>
                <w:szCs w:val="22"/>
              </w:rPr>
              <w:t xml:space="preserve">Tipo de Tasa </w:t>
            </w:r>
            <w:r w:rsidRPr="008900BA">
              <w:rPr>
                <w:rFonts w:ascii="Arial" w:hAnsi="Arial" w:cs="Arial"/>
                <w:bCs w:val="0"/>
                <w:i/>
                <w:iCs/>
                <w:color w:val="000000"/>
                <w:sz w:val="22"/>
                <w:szCs w:val="22"/>
              </w:rPr>
              <w:t>TT1</w:t>
            </w:r>
            <w:proofErr w:type="gramStart"/>
            <w:r w:rsidRPr="008900BA">
              <w:rPr>
                <w:rFonts w:ascii="Arial" w:hAnsi="Arial" w:cs="Arial"/>
                <w:bCs w:val="0"/>
                <w:i/>
                <w:iCs/>
                <w:color w:val="000000"/>
                <w:sz w:val="22"/>
                <w:szCs w:val="22"/>
              </w:rPr>
              <w:t>t,ecf</w:t>
            </w:r>
            <w:proofErr w:type="gramEnd"/>
          </w:p>
        </w:tc>
      </w:tr>
      <w:tr w:rsidR="00705D7F" w:rsidRPr="008900BA" w14:paraId="7BD608BF" w14:textId="77777777">
        <w:trPr>
          <w:trHeight w:val="290"/>
          <w:jc w:val="center"/>
        </w:trPr>
        <w:tc>
          <w:tcPr>
            <w:tcW w:w="2332" w:type="dxa"/>
            <w:hideMark/>
          </w:tcPr>
          <w:p w14:paraId="7117E4B6"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 a 14</w:t>
            </w:r>
          </w:p>
        </w:tc>
        <w:tc>
          <w:tcPr>
            <w:tcW w:w="2703" w:type="dxa"/>
            <w:hideMark/>
          </w:tcPr>
          <w:p w14:paraId="3CAE0A83"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2 -14 días</w:t>
            </w:r>
          </w:p>
        </w:tc>
      </w:tr>
      <w:tr w:rsidR="00705D7F" w:rsidRPr="008900BA" w14:paraId="63C30686" w14:textId="77777777">
        <w:trPr>
          <w:trHeight w:val="290"/>
          <w:jc w:val="center"/>
        </w:trPr>
        <w:tc>
          <w:tcPr>
            <w:tcW w:w="2332" w:type="dxa"/>
            <w:hideMark/>
          </w:tcPr>
          <w:p w14:paraId="5D1A7A53"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15 a 29</w:t>
            </w:r>
          </w:p>
        </w:tc>
        <w:tc>
          <w:tcPr>
            <w:tcW w:w="2703" w:type="dxa"/>
            <w:hideMark/>
          </w:tcPr>
          <w:p w14:paraId="5BD3B491"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15-29 días</w:t>
            </w:r>
          </w:p>
        </w:tc>
      </w:tr>
      <w:tr w:rsidR="00705D7F" w:rsidRPr="008900BA" w14:paraId="08ADCC19" w14:textId="77777777">
        <w:trPr>
          <w:trHeight w:val="290"/>
          <w:jc w:val="center"/>
        </w:trPr>
        <w:tc>
          <w:tcPr>
            <w:tcW w:w="2332" w:type="dxa"/>
            <w:hideMark/>
          </w:tcPr>
          <w:p w14:paraId="4BDE3971"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30</w:t>
            </w:r>
          </w:p>
        </w:tc>
        <w:tc>
          <w:tcPr>
            <w:tcW w:w="2703" w:type="dxa"/>
            <w:hideMark/>
          </w:tcPr>
          <w:p w14:paraId="274E7A12"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a 30 días</w:t>
            </w:r>
          </w:p>
        </w:tc>
      </w:tr>
      <w:tr w:rsidR="00705D7F" w:rsidRPr="008900BA" w14:paraId="0884EA06" w14:textId="77777777">
        <w:trPr>
          <w:trHeight w:val="290"/>
          <w:jc w:val="center"/>
        </w:trPr>
        <w:tc>
          <w:tcPr>
            <w:tcW w:w="2332" w:type="dxa"/>
            <w:hideMark/>
          </w:tcPr>
          <w:p w14:paraId="0E7BA078"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31 a 90</w:t>
            </w:r>
          </w:p>
        </w:tc>
        <w:tc>
          <w:tcPr>
            <w:tcW w:w="2703" w:type="dxa"/>
            <w:hideMark/>
          </w:tcPr>
          <w:p w14:paraId="37C7D6B7"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31-90 días</w:t>
            </w:r>
          </w:p>
        </w:tc>
      </w:tr>
      <w:tr w:rsidR="00705D7F" w:rsidRPr="008900BA" w14:paraId="4E1A6A2E" w14:textId="77777777">
        <w:trPr>
          <w:trHeight w:val="290"/>
          <w:jc w:val="center"/>
        </w:trPr>
        <w:tc>
          <w:tcPr>
            <w:tcW w:w="2332" w:type="dxa"/>
            <w:hideMark/>
          </w:tcPr>
          <w:p w14:paraId="6E129CDA"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 a -5</w:t>
            </w:r>
          </w:p>
        </w:tc>
        <w:tc>
          <w:tcPr>
            <w:tcW w:w="2703" w:type="dxa"/>
            <w:hideMark/>
          </w:tcPr>
          <w:p w14:paraId="5B184BA2"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Tesorería 1-5 días</w:t>
            </w:r>
          </w:p>
        </w:tc>
      </w:tr>
      <w:tr w:rsidR="00705D7F" w:rsidRPr="008900BA" w14:paraId="70123E71" w14:textId="77777777">
        <w:trPr>
          <w:trHeight w:val="290"/>
          <w:jc w:val="center"/>
        </w:trPr>
        <w:tc>
          <w:tcPr>
            <w:tcW w:w="2332" w:type="dxa"/>
            <w:hideMark/>
          </w:tcPr>
          <w:p w14:paraId="666848DD"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-6 a -14</w:t>
            </w:r>
          </w:p>
        </w:tc>
        <w:tc>
          <w:tcPr>
            <w:tcW w:w="2703" w:type="dxa"/>
            <w:hideMark/>
          </w:tcPr>
          <w:p w14:paraId="49C0448A"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Tesorería 6-14 días</w:t>
            </w:r>
          </w:p>
        </w:tc>
      </w:tr>
      <w:tr w:rsidR="00705D7F" w:rsidRPr="008900BA" w14:paraId="4C772606" w14:textId="77777777">
        <w:trPr>
          <w:trHeight w:val="300"/>
          <w:jc w:val="center"/>
        </w:trPr>
        <w:tc>
          <w:tcPr>
            <w:tcW w:w="2332" w:type="dxa"/>
            <w:hideMark/>
          </w:tcPr>
          <w:p w14:paraId="06F26CDD"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-15 a – 30</w:t>
            </w:r>
          </w:p>
        </w:tc>
        <w:tc>
          <w:tcPr>
            <w:tcW w:w="2703" w:type="dxa"/>
            <w:hideMark/>
          </w:tcPr>
          <w:p w14:paraId="1D471ED9"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Tesorería 15-30 días</w:t>
            </w:r>
          </w:p>
        </w:tc>
      </w:tr>
    </w:tbl>
    <w:p w14:paraId="11FAA10E" w14:textId="77777777" w:rsidR="002B230A" w:rsidRPr="00115F4D" w:rsidRDefault="002B230A" w:rsidP="00891C31">
      <w:pPr>
        <w:ind w:left="1809"/>
        <w:rPr>
          <w:rFonts w:ascii="Arial" w:hAnsi="Arial" w:cs="Arial"/>
          <w:color w:val="000000"/>
        </w:rPr>
      </w:pPr>
      <w:r w:rsidRPr="008900BA">
        <w:rPr>
          <w:rFonts w:ascii="Arial" w:hAnsi="Arial" w:cs="Arial"/>
          <w:color w:val="000000"/>
        </w:rPr>
        <w:t>La tasa efectiva anual publicada deberá actualizarse para su aplicación</w:t>
      </w:r>
      <w:r w:rsidRPr="00115F4D">
        <w:rPr>
          <w:rFonts w:ascii="Arial" w:hAnsi="Arial" w:cs="Arial"/>
          <w:color w:val="000000"/>
        </w:rPr>
        <w:t xml:space="preserve"> utilizando la siguiente expresión:</w:t>
      </w:r>
    </w:p>
    <w:p w14:paraId="570146A3" w14:textId="77777777" w:rsidR="00705D7F" w:rsidRPr="00705D7F" w:rsidRDefault="00E42F3C" w:rsidP="00891C31">
      <w:pPr>
        <w:rPr>
          <w:rFonts w:ascii="Arial" w:hAnsi="Arial" w:cs="Arial"/>
        </w:rPr>
      </w:pPr>
      <m:oMathPara>
        <m:oMath>
          <m:sSub>
            <m:sSubPr>
              <m:ctrlPr>
                <w:rPr>
                  <w:rFonts w:ascii="Cambria Math" w:hAnsi="Cambria Math" w:cs="Arial"/>
                  <w:i/>
                  <w:color w:val="000000"/>
                </w:rPr>
              </m:ctrlPr>
            </m:sSubPr>
            <m:e>
              <m:r>
                <w:rPr>
                  <w:rFonts w:ascii="Cambria Math" w:hAnsi="Cambria Math" w:cs="Arial"/>
                  <w:color w:val="000000"/>
                </w:rPr>
                <m:t>r</m:t>
              </m:r>
            </m:e>
            <m:sub>
              <m:r>
                <w:rPr>
                  <w:rFonts w:ascii="Cambria Math" w:hAnsi="Cambria Math" w:cs="Arial"/>
                  <w:color w:val="000000"/>
                </w:rPr>
                <m:t>ED</m:t>
              </m:r>
            </m:sub>
          </m:sSub>
          <m:r>
            <w:rPr>
              <w:rFonts w:ascii="Cambria Math" w:hAnsi="Cambria Math" w:cs="Arial"/>
              <w:color w:val="000000"/>
            </w:rPr>
            <m:t>=</m:t>
          </m:r>
          <m:sSup>
            <m:sSupPr>
              <m:ctrlPr>
                <w:rPr>
                  <w:rFonts w:ascii="Cambria Math" w:hAnsi="Cambria Math" w:cs="Arial"/>
                  <w:i/>
                  <w:color w:val="000000"/>
                </w:rPr>
              </m:ctrlPr>
            </m:sSupPr>
            <m:e>
              <m:d>
                <m:dPr>
                  <m:ctrlPr>
                    <w:rPr>
                      <w:rFonts w:ascii="Cambria Math" w:hAnsi="Cambria Math" w:cs="Arial"/>
                      <w:i/>
                      <w:color w:val="000000"/>
                    </w:rPr>
                  </m:ctrlPr>
                </m:dPr>
                <m:e>
                  <m:r>
                    <w:rPr>
                      <w:rFonts w:ascii="Cambria Math" w:hAnsi="Cambria Math" w:cs="Arial"/>
                      <w:color w:val="000000"/>
                    </w:rPr>
                    <m:t>1+</m:t>
                  </m:r>
                  <m:sSub>
                    <m:sSubPr>
                      <m:ctrlPr>
                        <w:rPr>
                          <w:rFonts w:ascii="Cambria Math" w:hAnsi="Cambria Math" w:cs="Arial"/>
                          <w:i/>
                          <w:color w:val="000000"/>
                        </w:rPr>
                      </m:ctrlPr>
                    </m:sSubPr>
                    <m:e>
                      <m:r>
                        <w:rPr>
                          <w:rFonts w:ascii="Cambria Math" w:hAnsi="Cambria Math" w:cs="Arial"/>
                          <w:color w:val="000000"/>
                        </w:rPr>
                        <m:t>r</m:t>
                      </m:r>
                    </m:e>
                    <m:sub>
                      <m:r>
                        <w:rPr>
                          <w:rFonts w:ascii="Cambria Math" w:hAnsi="Cambria Math" w:cs="Arial"/>
                          <w:color w:val="000000"/>
                        </w:rPr>
                        <m:t>EA</m:t>
                      </m:r>
                    </m:sub>
                  </m:sSub>
                </m:e>
              </m:d>
            </m:e>
            <m:sup>
              <m:f>
                <m:fPr>
                  <m:ctrlPr>
                    <w:rPr>
                      <w:rFonts w:ascii="Cambria Math" w:hAnsi="Cambria Math" w:cs="Arial"/>
                      <w:i/>
                      <w:color w:val="000000"/>
                    </w:rPr>
                  </m:ctrlPr>
                </m:fPr>
                <m:num>
                  <m:r>
                    <w:rPr>
                      <w:rFonts w:ascii="Cambria Math" w:hAnsi="Cambria Math" w:cs="Arial"/>
                      <w:color w:val="000000"/>
                    </w:rPr>
                    <m:t>1</m:t>
                  </m:r>
                </m:num>
                <m:den>
                  <m:r>
                    <w:rPr>
                      <w:rFonts w:ascii="Cambria Math" w:hAnsi="Cambria Math" w:cs="Arial"/>
                      <w:color w:val="000000"/>
                    </w:rPr>
                    <m:t>365</m:t>
                  </m:r>
                </m:den>
              </m:f>
              <m:r>
                <w:rPr>
                  <w:rFonts w:ascii="Cambria Math" w:hAnsi="Cambria Math" w:cs="Arial"/>
                  <w:color w:val="000000"/>
                </w:rPr>
                <m:t>-1</m:t>
              </m:r>
            </m:sup>
          </m:sSup>
        </m:oMath>
      </m:oMathPara>
    </w:p>
    <w:p w14:paraId="66FFD007" w14:textId="77777777" w:rsidR="002B230A" w:rsidRPr="008900BA" w:rsidRDefault="00705D7F" w:rsidP="00891C31">
      <w:pPr>
        <w:pStyle w:val="Subttulo"/>
        <w:ind w:left="1695" w:firstLine="113"/>
        <w:rPr>
          <w:rFonts w:ascii="Arial" w:hAnsi="Arial" w:cs="Arial"/>
          <w:b w:val="0"/>
          <w:color w:val="000000"/>
          <w:sz w:val="22"/>
          <w:szCs w:val="22"/>
        </w:rPr>
      </w:pPr>
      <w:r w:rsidRPr="008900BA">
        <w:rPr>
          <w:rFonts w:ascii="Arial" w:hAnsi="Arial" w:cs="Arial"/>
          <w:b w:val="0"/>
          <w:color w:val="000000"/>
          <w:sz w:val="22"/>
          <w:szCs w:val="22"/>
        </w:rPr>
        <w:t>Donde:</w:t>
      </w:r>
      <w:r w:rsidR="002B230A" w:rsidRPr="008900BA">
        <w:rPr>
          <w:rFonts w:ascii="Arial" w:hAnsi="Arial" w:cs="Arial"/>
          <w:b w:val="0"/>
          <w:color w:val="000000"/>
          <w:sz w:val="22"/>
          <w:szCs w:val="22"/>
        </w:rPr>
        <w:t xml:space="preserve"> </w:t>
      </w:r>
    </w:p>
    <w:p w14:paraId="7EDC7D32" w14:textId="77777777" w:rsidR="002B230A" w:rsidRPr="008900BA" w:rsidRDefault="002B230A" w:rsidP="00891C31">
      <w:pPr>
        <w:pStyle w:val="Subttulo"/>
        <w:ind w:left="3686" w:hanging="1843"/>
        <w:rPr>
          <w:rFonts w:ascii="Arial" w:hAnsi="Arial" w:cs="Arial"/>
          <w:b w:val="0"/>
          <w:color w:val="000000"/>
          <w:sz w:val="22"/>
          <w:szCs w:val="22"/>
        </w:rPr>
      </w:pPr>
      <w:r w:rsidRPr="008900BA">
        <w:rPr>
          <w:rFonts w:ascii="Arial" w:hAnsi="Arial" w:cs="Arial"/>
          <w:b w:val="0"/>
          <w:i/>
          <w:color w:val="000000"/>
          <w:sz w:val="22"/>
          <w:szCs w:val="22"/>
        </w:rPr>
        <w:t>r</w:t>
      </w:r>
      <w:r w:rsidRPr="008900BA">
        <w:rPr>
          <w:rFonts w:ascii="Arial" w:hAnsi="Arial" w:cs="Arial"/>
          <w:b w:val="0"/>
          <w:i/>
          <w:color w:val="000000"/>
          <w:sz w:val="22"/>
          <w:szCs w:val="22"/>
          <w:vertAlign w:val="subscript"/>
        </w:rPr>
        <w:t>ED</w:t>
      </w:r>
      <w:r w:rsidRPr="008900BA">
        <w:rPr>
          <w:rFonts w:ascii="Arial" w:hAnsi="Arial" w:cs="Arial"/>
          <w:b w:val="0"/>
          <w:i/>
          <w:color w:val="000000"/>
          <w:sz w:val="22"/>
          <w:szCs w:val="22"/>
        </w:rPr>
        <w:tab/>
      </w:r>
      <w:r w:rsidRPr="008900BA">
        <w:rPr>
          <w:rFonts w:ascii="Arial" w:hAnsi="Arial" w:cs="Arial"/>
          <w:b w:val="0"/>
          <w:color w:val="000000"/>
          <w:sz w:val="22"/>
          <w:szCs w:val="22"/>
        </w:rPr>
        <w:t>Tasa efectiva diaria</w:t>
      </w:r>
    </w:p>
    <w:p w14:paraId="6BBBF381" w14:textId="77777777" w:rsidR="002B230A" w:rsidRPr="008900BA" w:rsidRDefault="002B230A" w:rsidP="00891C31">
      <w:pPr>
        <w:pStyle w:val="Subttulo"/>
        <w:ind w:left="3686" w:hanging="1843"/>
        <w:rPr>
          <w:rFonts w:ascii="Arial" w:hAnsi="Arial" w:cs="Arial"/>
          <w:b w:val="0"/>
          <w:color w:val="000000"/>
          <w:sz w:val="22"/>
          <w:szCs w:val="22"/>
        </w:rPr>
      </w:pPr>
      <w:r w:rsidRPr="008900BA">
        <w:rPr>
          <w:rFonts w:ascii="Arial" w:hAnsi="Arial" w:cs="Arial"/>
          <w:b w:val="0"/>
          <w:i/>
          <w:color w:val="000000"/>
          <w:sz w:val="22"/>
          <w:szCs w:val="22"/>
        </w:rPr>
        <w:t>r</w:t>
      </w:r>
      <w:r w:rsidRPr="008900BA">
        <w:rPr>
          <w:rFonts w:ascii="Arial" w:hAnsi="Arial" w:cs="Arial"/>
          <w:b w:val="0"/>
          <w:i/>
          <w:color w:val="000000"/>
          <w:sz w:val="22"/>
          <w:szCs w:val="22"/>
          <w:vertAlign w:val="subscript"/>
        </w:rPr>
        <w:t>EA</w:t>
      </w:r>
      <w:r w:rsidRPr="008900BA">
        <w:rPr>
          <w:rFonts w:ascii="Arial" w:hAnsi="Arial" w:cs="Arial"/>
          <w:b w:val="0"/>
          <w:color w:val="000000"/>
          <w:sz w:val="22"/>
          <w:szCs w:val="22"/>
        </w:rPr>
        <w:t xml:space="preserve"> </w:t>
      </w:r>
      <w:r w:rsidRPr="008900BA">
        <w:rPr>
          <w:rFonts w:ascii="Arial" w:hAnsi="Arial" w:cs="Arial"/>
          <w:b w:val="0"/>
          <w:color w:val="000000"/>
          <w:sz w:val="22"/>
          <w:szCs w:val="22"/>
        </w:rPr>
        <w:tab/>
        <w:t>Tasa efectiva anual</w:t>
      </w:r>
    </w:p>
    <w:p w14:paraId="24797DF2"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dT2</w:t>
      </w:r>
      <w:r w:rsidRPr="008900BA">
        <w:rPr>
          <w:rFonts w:ascii="Arial" w:hAnsi="Arial" w:cs="Arial"/>
          <w:b w:val="0"/>
          <w:i/>
          <w:color w:val="000000"/>
          <w:sz w:val="22"/>
          <w:szCs w:val="22"/>
          <w:vertAlign w:val="subscript"/>
        </w:rPr>
        <w:t>ecf</w:t>
      </w:r>
      <w:r w:rsidRPr="008900BA">
        <w:rPr>
          <w:rFonts w:ascii="Arial" w:hAnsi="Arial" w:cs="Arial"/>
          <w:b w:val="0"/>
          <w:color w:val="000000"/>
          <w:sz w:val="22"/>
          <w:szCs w:val="22"/>
        </w:rPr>
        <w:tab/>
        <w:t xml:space="preserve">Relación entre los días de consumo en el mes </w:t>
      </w:r>
      <w:r w:rsidRPr="008900BA">
        <w:rPr>
          <w:rFonts w:ascii="Arial" w:hAnsi="Arial" w:cs="Arial"/>
          <w:b w:val="0"/>
          <w:i/>
          <w:color w:val="000000"/>
          <w:sz w:val="22"/>
          <w:szCs w:val="22"/>
        </w:rPr>
        <w:t>m2</w:t>
      </w:r>
      <w:r w:rsidRPr="008900BA">
        <w:rPr>
          <w:rFonts w:ascii="Arial" w:hAnsi="Arial" w:cs="Arial"/>
          <w:b w:val="0"/>
          <w:color w:val="000000"/>
          <w:sz w:val="22"/>
          <w:szCs w:val="22"/>
        </w:rPr>
        <w:t xml:space="preserve"> y el total de días del ciclo de facturación en el escenario </w:t>
      </w:r>
      <w:r w:rsidRPr="008900BA">
        <w:rPr>
          <w:rFonts w:ascii="Arial" w:hAnsi="Arial" w:cs="Arial"/>
          <w:b w:val="0"/>
          <w:i/>
          <w:iCs/>
          <w:color w:val="000000"/>
          <w:sz w:val="22"/>
          <w:szCs w:val="22"/>
        </w:rPr>
        <w:t>ecf</w:t>
      </w:r>
      <w:r w:rsidRPr="008900BA">
        <w:rPr>
          <w:rFonts w:ascii="Arial" w:hAnsi="Arial" w:cs="Arial"/>
          <w:b w:val="0"/>
          <w:color w:val="000000"/>
          <w:sz w:val="22"/>
          <w:szCs w:val="22"/>
        </w:rPr>
        <w:t>, correspondiente a 30 días.</w:t>
      </w:r>
    </w:p>
    <w:p w14:paraId="63E17DE9"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Nm2</w:t>
      </w:r>
      <w:r w:rsidRPr="008900BA">
        <w:rPr>
          <w:rFonts w:ascii="Arial" w:hAnsi="Arial" w:cs="Arial"/>
          <w:b w:val="0"/>
          <w:i/>
          <w:color w:val="000000"/>
          <w:sz w:val="22"/>
          <w:szCs w:val="22"/>
          <w:vertAlign w:val="subscript"/>
        </w:rPr>
        <w:t>ecf</w:t>
      </w:r>
      <w:r w:rsidRPr="008900BA">
        <w:rPr>
          <w:rFonts w:ascii="Arial" w:hAnsi="Arial" w:cs="Arial"/>
          <w:b w:val="0"/>
          <w:color w:val="000000"/>
          <w:sz w:val="22"/>
          <w:szCs w:val="22"/>
        </w:rPr>
        <w:tab/>
        <w:t xml:space="preserve">Número de meses transcurridos, entre el mes con el que se calcula la tarifa aplicada al usuario en el escenario </w:t>
      </w:r>
      <w:r w:rsidRPr="008900BA">
        <w:rPr>
          <w:rFonts w:ascii="Arial" w:hAnsi="Arial" w:cs="Arial"/>
          <w:b w:val="0"/>
          <w:i/>
          <w:iCs/>
          <w:color w:val="000000"/>
          <w:sz w:val="22"/>
          <w:szCs w:val="22"/>
        </w:rPr>
        <w:t>ecf</w:t>
      </w:r>
      <w:r w:rsidRPr="008900BA">
        <w:rPr>
          <w:rFonts w:ascii="Arial" w:hAnsi="Arial" w:cs="Arial"/>
          <w:b w:val="0"/>
          <w:color w:val="000000"/>
          <w:sz w:val="22"/>
          <w:szCs w:val="22"/>
        </w:rPr>
        <w:t xml:space="preserve">, y el mes de pago de los costos facturados por el ASIC y el LAC por el consumo en el mes </w:t>
      </w:r>
      <w:r w:rsidRPr="008900BA">
        <w:rPr>
          <w:rFonts w:ascii="Arial" w:hAnsi="Arial" w:cs="Arial"/>
          <w:b w:val="0"/>
          <w:i/>
          <w:iCs/>
          <w:color w:val="000000"/>
          <w:sz w:val="22"/>
          <w:szCs w:val="22"/>
        </w:rPr>
        <w:t>m2</w:t>
      </w:r>
      <w:r w:rsidRPr="008900BA">
        <w:rPr>
          <w:rFonts w:ascii="Arial" w:hAnsi="Arial" w:cs="Arial"/>
          <w:b w:val="0"/>
          <w:color w:val="000000"/>
          <w:sz w:val="22"/>
          <w:szCs w:val="22"/>
        </w:rPr>
        <w:t>.</w:t>
      </w:r>
    </w:p>
    <w:p w14:paraId="5CA83B0B"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lastRenderedPageBreak/>
        <w:t>Dr2</w:t>
      </w:r>
      <w:r w:rsidRPr="008900BA">
        <w:rPr>
          <w:rFonts w:ascii="Arial" w:hAnsi="Arial" w:cs="Arial"/>
          <w:b w:val="0"/>
          <w:i/>
          <w:color w:val="000000"/>
          <w:sz w:val="22"/>
          <w:szCs w:val="22"/>
          <w:vertAlign w:val="subscript"/>
        </w:rPr>
        <w:t>ecf</w:t>
      </w:r>
      <w:r w:rsidRPr="008900BA">
        <w:rPr>
          <w:rFonts w:ascii="Arial" w:hAnsi="Arial" w:cs="Arial"/>
          <w:b w:val="0"/>
          <w:color w:val="000000"/>
          <w:sz w:val="22"/>
          <w:szCs w:val="22"/>
        </w:rPr>
        <w:tab/>
        <w:t xml:space="preserve">Diferencia entre el día del recaudo a los usuarios regulados y el día de pago de los costos facturados por el ASIC y el LAC por el consumo en el mes </w:t>
      </w:r>
      <w:r w:rsidRPr="008900BA">
        <w:rPr>
          <w:rFonts w:ascii="Arial" w:hAnsi="Arial" w:cs="Arial"/>
          <w:b w:val="0"/>
          <w:i/>
          <w:iCs/>
          <w:color w:val="000000"/>
          <w:sz w:val="22"/>
          <w:szCs w:val="22"/>
        </w:rPr>
        <w:t>m2</w:t>
      </w:r>
      <w:r w:rsidRPr="008900BA">
        <w:rPr>
          <w:rFonts w:ascii="Arial" w:hAnsi="Arial" w:cs="Arial"/>
          <w:b w:val="0"/>
          <w:color w:val="000000"/>
          <w:sz w:val="22"/>
          <w:szCs w:val="22"/>
        </w:rPr>
        <w:t xml:space="preserve"> en el escenario </w:t>
      </w:r>
      <w:r w:rsidRPr="008900BA">
        <w:rPr>
          <w:rFonts w:ascii="Arial" w:hAnsi="Arial" w:cs="Arial"/>
          <w:b w:val="0"/>
          <w:i/>
          <w:iCs/>
          <w:color w:val="000000"/>
          <w:sz w:val="22"/>
          <w:szCs w:val="22"/>
        </w:rPr>
        <w:t>ecf</w:t>
      </w:r>
      <w:r w:rsidRPr="008900BA">
        <w:rPr>
          <w:rFonts w:ascii="Arial" w:hAnsi="Arial" w:cs="Arial"/>
          <w:b w:val="0"/>
          <w:color w:val="000000"/>
          <w:sz w:val="22"/>
          <w:szCs w:val="22"/>
        </w:rPr>
        <w:t>.</w:t>
      </w:r>
    </w:p>
    <w:p w14:paraId="3CEE0850" w14:textId="77777777" w:rsidR="00705D7F" w:rsidRPr="008900BA" w:rsidRDefault="00705D7F" w:rsidP="00891C31">
      <w:pPr>
        <w:pStyle w:val="Subttulo"/>
        <w:ind w:left="1843" w:hanging="1843"/>
        <w:rPr>
          <w:rFonts w:ascii="Arial" w:hAnsi="Arial" w:cs="Arial"/>
          <w:b w:val="0"/>
          <w:color w:val="000000"/>
          <w:sz w:val="22"/>
          <w:szCs w:val="22"/>
        </w:rPr>
      </w:pPr>
      <w:r w:rsidRPr="008900BA">
        <w:rPr>
          <w:rFonts w:ascii="Arial" w:hAnsi="Arial" w:cs="Arial"/>
          <w:b w:val="0"/>
          <w:i/>
          <w:color w:val="000000"/>
          <w:sz w:val="22"/>
          <w:szCs w:val="22"/>
        </w:rPr>
        <w:t>TT2</w:t>
      </w:r>
      <w:proofErr w:type="gramStart"/>
      <w:r w:rsidRPr="008900BA">
        <w:rPr>
          <w:rFonts w:ascii="Arial" w:hAnsi="Arial" w:cs="Arial"/>
          <w:b w:val="0"/>
          <w:i/>
          <w:color w:val="000000"/>
          <w:sz w:val="22"/>
          <w:szCs w:val="22"/>
          <w:vertAlign w:val="subscript"/>
        </w:rPr>
        <w:t>t,ecf</w:t>
      </w:r>
      <w:proofErr w:type="gramEnd"/>
      <w:r w:rsidRPr="008900BA">
        <w:rPr>
          <w:rFonts w:ascii="Arial" w:hAnsi="Arial" w:cs="Arial"/>
          <w:b w:val="0"/>
          <w:color w:val="000000"/>
          <w:sz w:val="22"/>
          <w:szCs w:val="22"/>
        </w:rPr>
        <w:tab/>
        <w:t xml:space="preserve">Costo de oportunidad día vencido correspondiente a la variable </w:t>
      </w:r>
      <w:r w:rsidRPr="008900BA">
        <w:rPr>
          <w:rFonts w:ascii="Arial" w:hAnsi="Arial" w:cs="Arial"/>
          <w:b w:val="0"/>
          <w:i/>
          <w:color w:val="000000"/>
          <w:sz w:val="22"/>
          <w:szCs w:val="22"/>
        </w:rPr>
        <w:t>dr2</w:t>
      </w:r>
      <w:r w:rsidRPr="008900BA">
        <w:rPr>
          <w:rFonts w:ascii="Arial" w:hAnsi="Arial" w:cs="Arial"/>
          <w:b w:val="0"/>
          <w:i/>
          <w:color w:val="000000"/>
          <w:sz w:val="22"/>
          <w:szCs w:val="22"/>
          <w:vertAlign w:val="subscript"/>
        </w:rPr>
        <w:t>ecf</w:t>
      </w:r>
      <w:r w:rsidRPr="008900BA">
        <w:rPr>
          <w:rFonts w:ascii="Arial" w:hAnsi="Arial" w:cs="Arial"/>
          <w:b w:val="0"/>
          <w:color w:val="000000"/>
          <w:sz w:val="22"/>
          <w:szCs w:val="22"/>
        </w:rPr>
        <w:t>, calculado como el promedio de las tasas de captación o colocación publicadas por el Banco de la República de acuerdo con el formato 441 de la Superintendencia Financiera de Colombia vigentes en el año t-1. En el caso de las tasas de captación se utilizan las Tasas de captación diarias – CDT y CDAT</w:t>
      </w:r>
      <w:r w:rsidRPr="008900BA">
        <w:rPr>
          <w:rFonts w:ascii="Arial" w:hAnsi="Arial" w:cs="Arial"/>
          <w:b w:val="0"/>
          <w:color w:val="000000"/>
          <w:sz w:val="22"/>
          <w:szCs w:val="22"/>
        </w:rPr>
        <w:tab/>
        <w:t xml:space="preserve"> para el total de establecimientos numeral 1.2.1.1.2. Para las tasas de colocación se utilizan las Tasas de colocación por modalidad de créditos comerciales (Tesorería) para el total de establecimientos en el numeral 1.2.2. Histórico para un tipo de cuenta_periodicidad semanal.</w:t>
      </w:r>
    </w:p>
    <w:tbl>
      <w:tblPr>
        <w:tblStyle w:val="Tablaconcuadrcula"/>
        <w:tblW w:w="6100" w:type="dxa"/>
        <w:jc w:val="center"/>
        <w:tblLook w:val="0600" w:firstRow="0" w:lastRow="0" w:firstColumn="0" w:lastColumn="0" w:noHBand="1" w:noVBand="1"/>
      </w:tblPr>
      <w:tblGrid>
        <w:gridCol w:w="3391"/>
        <w:gridCol w:w="2709"/>
      </w:tblGrid>
      <w:tr w:rsidR="00705D7F" w:rsidRPr="008900BA" w14:paraId="2D269AB9" w14:textId="77777777">
        <w:trPr>
          <w:cantSplit/>
          <w:trHeight w:val="290"/>
          <w:tblHeader/>
          <w:jc w:val="center"/>
        </w:trPr>
        <w:tc>
          <w:tcPr>
            <w:tcW w:w="3539" w:type="dxa"/>
            <w:hideMark/>
          </w:tcPr>
          <w:p w14:paraId="12C1AD72" w14:textId="77777777" w:rsidR="00705D7F" w:rsidRPr="008900BA" w:rsidRDefault="00705D7F" w:rsidP="00891C31">
            <w:pPr>
              <w:pStyle w:val="Subttulo"/>
              <w:keepNext/>
              <w:spacing w:before="0" w:after="0"/>
              <w:ind w:left="1843" w:hanging="1843"/>
              <w:jc w:val="center"/>
              <w:rPr>
                <w:rFonts w:ascii="Arial" w:hAnsi="Arial" w:cs="Arial"/>
                <w:bCs w:val="0"/>
                <w:color w:val="000000"/>
                <w:sz w:val="22"/>
                <w:szCs w:val="22"/>
              </w:rPr>
            </w:pPr>
            <w:r w:rsidRPr="008900BA">
              <w:rPr>
                <w:rFonts w:ascii="Arial" w:hAnsi="Arial" w:cs="Arial"/>
                <w:bCs w:val="0"/>
                <w:color w:val="000000"/>
                <w:sz w:val="22"/>
                <w:szCs w:val="22"/>
              </w:rPr>
              <w:t xml:space="preserve">Valor de la variable </w:t>
            </w:r>
            <m:oMath>
              <m:d>
                <m:dPr>
                  <m:ctrlPr>
                    <w:rPr>
                      <w:rFonts w:ascii="Cambria Math" w:hAnsi="Cambria Math" w:cs="Arial"/>
                      <w:i/>
                      <w:color w:val="000000"/>
                      <w:sz w:val="22"/>
                      <w:szCs w:val="22"/>
                    </w:rPr>
                  </m:ctrlPr>
                </m:dPr>
                <m:e>
                  <m:sSub>
                    <m:sSubPr>
                      <m:ctrlPr>
                        <w:rPr>
                          <w:rFonts w:ascii="Cambria Math" w:hAnsi="Cambria Math" w:cs="Arial"/>
                          <w:bCs w:val="0"/>
                          <w:color w:val="000000"/>
                          <w:sz w:val="22"/>
                          <w:szCs w:val="22"/>
                        </w:rPr>
                      </m:ctrlPr>
                    </m:sSubPr>
                    <m:e>
                      <m:r>
                        <m:rPr>
                          <m:sty m:val="bi"/>
                        </m:rPr>
                        <w:rPr>
                          <w:rFonts w:ascii="Cambria Math" w:hAnsi="Cambria Math" w:cs="Arial"/>
                          <w:color w:val="000000"/>
                          <w:sz w:val="22"/>
                          <w:szCs w:val="22"/>
                        </w:rPr>
                        <m:t>dr</m:t>
                      </m:r>
                    </m:e>
                    <m:sub>
                      <m:r>
                        <m:rPr>
                          <m:sty m:val="b"/>
                        </m:rPr>
                        <w:rPr>
                          <w:rFonts w:ascii="Cambria Math" w:hAnsi="Cambria Math" w:cs="Arial"/>
                          <w:color w:val="000000"/>
                          <w:sz w:val="22"/>
                          <w:szCs w:val="22"/>
                        </w:rPr>
                        <m:t>2</m:t>
                      </m:r>
                    </m:sub>
                  </m:sSub>
                </m:e>
              </m:d>
            </m:oMath>
          </w:p>
        </w:tc>
        <w:tc>
          <w:tcPr>
            <w:tcW w:w="2561" w:type="dxa"/>
            <w:hideMark/>
          </w:tcPr>
          <w:p w14:paraId="2B27B3B9" w14:textId="77777777" w:rsidR="00705D7F" w:rsidRPr="008900BA" w:rsidRDefault="00705D7F" w:rsidP="00891C31">
            <w:pPr>
              <w:pStyle w:val="Subttulo"/>
              <w:keepNext/>
              <w:spacing w:before="0" w:after="0"/>
              <w:ind w:left="1843" w:hanging="1843"/>
              <w:jc w:val="center"/>
              <w:rPr>
                <w:rFonts w:ascii="Arial" w:hAnsi="Arial" w:cs="Arial"/>
                <w:bCs w:val="0"/>
                <w:color w:val="000000"/>
                <w:sz w:val="22"/>
                <w:szCs w:val="22"/>
              </w:rPr>
            </w:pPr>
            <w:r w:rsidRPr="008900BA">
              <w:rPr>
                <w:rFonts w:ascii="Arial" w:hAnsi="Arial" w:cs="Arial"/>
                <w:bCs w:val="0"/>
                <w:color w:val="000000"/>
                <w:sz w:val="22"/>
                <w:szCs w:val="22"/>
              </w:rPr>
              <w:t>Tipo de Tasa (</w:t>
            </w:r>
            <m:oMath>
              <m:sSub>
                <m:sSubPr>
                  <m:ctrlPr>
                    <w:rPr>
                      <w:rFonts w:ascii="Cambria Math" w:eastAsia="Cambria Math" w:hAnsi="Cambria Math" w:cs="Arial"/>
                      <w:bCs w:val="0"/>
                      <w:color w:val="000000"/>
                      <w:sz w:val="22"/>
                      <w:szCs w:val="22"/>
                    </w:rPr>
                  </m:ctrlPr>
                </m:sSubPr>
                <m:e>
                  <m:r>
                    <m:rPr>
                      <m:sty m:val="bi"/>
                    </m:rPr>
                    <w:rPr>
                      <w:rFonts w:ascii="Cambria Math" w:eastAsia="Cambria Math" w:hAnsi="Cambria Math" w:cs="Arial"/>
                      <w:color w:val="000000"/>
                      <w:sz w:val="22"/>
                      <w:szCs w:val="22"/>
                    </w:rPr>
                    <m:t>TT</m:t>
                  </m:r>
                  <m:r>
                    <m:rPr>
                      <m:sty m:val="b"/>
                    </m:rPr>
                    <w:rPr>
                      <w:rFonts w:ascii="Cambria Math" w:eastAsia="Cambria Math" w:hAnsi="Cambria Math" w:cs="Arial"/>
                      <w:color w:val="000000"/>
                      <w:sz w:val="22"/>
                      <w:szCs w:val="22"/>
                    </w:rPr>
                    <m:t>2</m:t>
                  </m:r>
                </m:e>
                <m:sub>
                  <m:r>
                    <m:rPr>
                      <m:sty m:val="bi"/>
                    </m:rPr>
                    <w:rPr>
                      <w:rFonts w:ascii="Cambria Math" w:eastAsia="Cambria Math" w:hAnsi="Cambria Math" w:cs="Arial"/>
                      <w:color w:val="000000"/>
                      <w:sz w:val="22"/>
                      <w:szCs w:val="22"/>
                    </w:rPr>
                    <m:t>e</m:t>
                  </m:r>
                </m:sub>
              </m:sSub>
            </m:oMath>
            <w:r w:rsidRPr="008900BA">
              <w:rPr>
                <w:rFonts w:ascii="Arial" w:hAnsi="Arial" w:cs="Arial"/>
                <w:bCs w:val="0"/>
                <w:color w:val="000000"/>
                <w:sz w:val="22"/>
                <w:szCs w:val="22"/>
              </w:rPr>
              <w:t>)</w:t>
            </w:r>
          </w:p>
        </w:tc>
      </w:tr>
      <w:tr w:rsidR="00705D7F" w:rsidRPr="008900BA" w14:paraId="05DA6FAA" w14:textId="77777777">
        <w:trPr>
          <w:trHeight w:val="290"/>
          <w:jc w:val="center"/>
        </w:trPr>
        <w:tc>
          <w:tcPr>
            <w:tcW w:w="3539" w:type="dxa"/>
            <w:hideMark/>
          </w:tcPr>
          <w:p w14:paraId="3D0A6EDE"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 a 14</w:t>
            </w:r>
          </w:p>
        </w:tc>
        <w:tc>
          <w:tcPr>
            <w:tcW w:w="2561" w:type="dxa"/>
            <w:hideMark/>
          </w:tcPr>
          <w:p w14:paraId="544C1550"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2 -14 días</w:t>
            </w:r>
          </w:p>
        </w:tc>
      </w:tr>
      <w:tr w:rsidR="00705D7F" w:rsidRPr="008900BA" w14:paraId="5DB894CE" w14:textId="77777777">
        <w:trPr>
          <w:trHeight w:val="290"/>
          <w:jc w:val="center"/>
        </w:trPr>
        <w:tc>
          <w:tcPr>
            <w:tcW w:w="3539" w:type="dxa"/>
            <w:hideMark/>
          </w:tcPr>
          <w:p w14:paraId="27FA78D1"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15 a 29</w:t>
            </w:r>
          </w:p>
        </w:tc>
        <w:tc>
          <w:tcPr>
            <w:tcW w:w="2561" w:type="dxa"/>
            <w:hideMark/>
          </w:tcPr>
          <w:p w14:paraId="4EF9BC45"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15-29 días</w:t>
            </w:r>
          </w:p>
        </w:tc>
      </w:tr>
      <w:tr w:rsidR="00705D7F" w:rsidRPr="008900BA" w14:paraId="3BACDCD1" w14:textId="77777777">
        <w:trPr>
          <w:trHeight w:val="290"/>
          <w:jc w:val="center"/>
        </w:trPr>
        <w:tc>
          <w:tcPr>
            <w:tcW w:w="3539" w:type="dxa"/>
            <w:hideMark/>
          </w:tcPr>
          <w:p w14:paraId="0D3198B4"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30</w:t>
            </w:r>
          </w:p>
        </w:tc>
        <w:tc>
          <w:tcPr>
            <w:tcW w:w="2561" w:type="dxa"/>
            <w:hideMark/>
          </w:tcPr>
          <w:p w14:paraId="42BBDA27"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a 30 días</w:t>
            </w:r>
          </w:p>
        </w:tc>
      </w:tr>
      <w:tr w:rsidR="00705D7F" w:rsidRPr="008900BA" w14:paraId="5BB72C3F" w14:textId="77777777">
        <w:trPr>
          <w:trHeight w:val="290"/>
          <w:jc w:val="center"/>
        </w:trPr>
        <w:tc>
          <w:tcPr>
            <w:tcW w:w="3539" w:type="dxa"/>
            <w:hideMark/>
          </w:tcPr>
          <w:p w14:paraId="719FFED0"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31 a 90</w:t>
            </w:r>
          </w:p>
        </w:tc>
        <w:tc>
          <w:tcPr>
            <w:tcW w:w="2561" w:type="dxa"/>
            <w:hideMark/>
          </w:tcPr>
          <w:p w14:paraId="21FF56F1"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Tasa CDAT 31-90 días</w:t>
            </w:r>
          </w:p>
        </w:tc>
      </w:tr>
      <w:tr w:rsidR="00705D7F" w:rsidRPr="008900BA" w14:paraId="61852DD0" w14:textId="77777777">
        <w:trPr>
          <w:trHeight w:val="290"/>
          <w:jc w:val="center"/>
        </w:trPr>
        <w:tc>
          <w:tcPr>
            <w:tcW w:w="3539" w:type="dxa"/>
            <w:hideMark/>
          </w:tcPr>
          <w:p w14:paraId="1D295EC8"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 a -5</w:t>
            </w:r>
          </w:p>
        </w:tc>
        <w:tc>
          <w:tcPr>
            <w:tcW w:w="2561" w:type="dxa"/>
            <w:hideMark/>
          </w:tcPr>
          <w:p w14:paraId="5725D5BA"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Tesorería 1-5 días</w:t>
            </w:r>
          </w:p>
        </w:tc>
      </w:tr>
      <w:tr w:rsidR="00705D7F" w:rsidRPr="008900BA" w14:paraId="4128EC2B" w14:textId="77777777">
        <w:trPr>
          <w:trHeight w:val="290"/>
          <w:jc w:val="center"/>
        </w:trPr>
        <w:tc>
          <w:tcPr>
            <w:tcW w:w="3539" w:type="dxa"/>
            <w:hideMark/>
          </w:tcPr>
          <w:p w14:paraId="4D3B7E52"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-6 a -14</w:t>
            </w:r>
          </w:p>
        </w:tc>
        <w:tc>
          <w:tcPr>
            <w:tcW w:w="2561" w:type="dxa"/>
            <w:hideMark/>
          </w:tcPr>
          <w:p w14:paraId="7E69EFFE"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Tesorería 6-14 días</w:t>
            </w:r>
          </w:p>
        </w:tc>
      </w:tr>
      <w:tr w:rsidR="00705D7F" w:rsidRPr="008900BA" w14:paraId="3019BE65" w14:textId="77777777">
        <w:trPr>
          <w:trHeight w:val="300"/>
          <w:jc w:val="center"/>
        </w:trPr>
        <w:tc>
          <w:tcPr>
            <w:tcW w:w="3539" w:type="dxa"/>
            <w:hideMark/>
          </w:tcPr>
          <w:p w14:paraId="59F90210"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-15 a – 30</w:t>
            </w:r>
          </w:p>
        </w:tc>
        <w:tc>
          <w:tcPr>
            <w:tcW w:w="2561" w:type="dxa"/>
            <w:hideMark/>
          </w:tcPr>
          <w:p w14:paraId="40D114DA" w14:textId="77777777" w:rsidR="00705D7F" w:rsidRPr="008900BA" w:rsidRDefault="00705D7F" w:rsidP="00891C31">
            <w:pPr>
              <w:pStyle w:val="Subttulo"/>
              <w:spacing w:before="0" w:after="0"/>
              <w:ind w:left="1843" w:hanging="1843"/>
              <w:jc w:val="center"/>
              <w:rPr>
                <w:rFonts w:ascii="Arial" w:hAnsi="Arial" w:cs="Arial"/>
                <w:b w:val="0"/>
                <w:color w:val="000000"/>
                <w:sz w:val="22"/>
                <w:szCs w:val="22"/>
              </w:rPr>
            </w:pPr>
            <w:r w:rsidRPr="008900BA">
              <w:rPr>
                <w:rFonts w:ascii="Arial" w:hAnsi="Arial" w:cs="Arial"/>
                <w:b w:val="0"/>
                <w:color w:val="000000"/>
                <w:sz w:val="22"/>
                <w:szCs w:val="22"/>
              </w:rPr>
              <w:t>Tesorería 15-30 días</w:t>
            </w:r>
          </w:p>
        </w:tc>
      </w:tr>
    </w:tbl>
    <w:p w14:paraId="66AA024E" w14:textId="77777777" w:rsidR="002B230A" w:rsidRPr="008900BA" w:rsidRDefault="002B230A" w:rsidP="00891C31">
      <w:pPr>
        <w:ind w:left="1843"/>
        <w:rPr>
          <w:rFonts w:ascii="Arial" w:hAnsi="Arial" w:cs="Arial"/>
          <w:color w:val="000000"/>
        </w:rPr>
      </w:pPr>
      <w:r w:rsidRPr="008900BA">
        <w:rPr>
          <w:rFonts w:ascii="Arial" w:hAnsi="Arial" w:cs="Arial"/>
          <w:color w:val="000000"/>
        </w:rPr>
        <w:t>La tasa efectiva anual publicada deberá actualizarse para su aplicación utilizando la siguiente expresión:</w:t>
      </w:r>
    </w:p>
    <w:p w14:paraId="23274D78" w14:textId="77777777" w:rsidR="00705D7F" w:rsidRPr="008900BA" w:rsidRDefault="00E42F3C" w:rsidP="00891C31">
      <w:pPr>
        <w:spacing w:before="0" w:after="0"/>
        <w:rPr>
          <w:rFonts w:ascii="Arial" w:hAnsi="Arial" w:cs="Arial"/>
        </w:rPr>
      </w:pPr>
      <m:oMathPara>
        <m:oMath>
          <m:sSub>
            <m:sSubPr>
              <m:ctrlPr>
                <w:rPr>
                  <w:rFonts w:ascii="Cambria Math" w:hAnsi="Cambria Math" w:cs="Arial"/>
                  <w:i/>
                  <w:color w:val="000000"/>
                </w:rPr>
              </m:ctrlPr>
            </m:sSubPr>
            <m:e>
              <m:r>
                <w:rPr>
                  <w:rFonts w:ascii="Cambria Math" w:hAnsi="Cambria Math" w:cs="Arial"/>
                  <w:color w:val="000000"/>
                </w:rPr>
                <m:t>r</m:t>
              </m:r>
            </m:e>
            <m:sub>
              <m:r>
                <w:rPr>
                  <w:rFonts w:ascii="Cambria Math" w:hAnsi="Cambria Math" w:cs="Arial"/>
                  <w:color w:val="000000"/>
                </w:rPr>
                <m:t>ED</m:t>
              </m:r>
            </m:sub>
          </m:sSub>
          <m:r>
            <w:rPr>
              <w:rFonts w:ascii="Cambria Math" w:hAnsi="Cambria Math" w:cs="Arial"/>
              <w:color w:val="000000"/>
            </w:rPr>
            <m:t>=</m:t>
          </m:r>
          <m:sSup>
            <m:sSupPr>
              <m:ctrlPr>
                <w:rPr>
                  <w:rFonts w:ascii="Cambria Math" w:hAnsi="Cambria Math" w:cs="Arial"/>
                  <w:i/>
                  <w:color w:val="000000"/>
                </w:rPr>
              </m:ctrlPr>
            </m:sSupPr>
            <m:e>
              <m:d>
                <m:dPr>
                  <m:ctrlPr>
                    <w:rPr>
                      <w:rFonts w:ascii="Cambria Math" w:hAnsi="Cambria Math" w:cs="Arial"/>
                      <w:i/>
                      <w:color w:val="000000"/>
                    </w:rPr>
                  </m:ctrlPr>
                </m:dPr>
                <m:e>
                  <m:r>
                    <w:rPr>
                      <w:rFonts w:ascii="Cambria Math" w:hAnsi="Cambria Math" w:cs="Arial"/>
                      <w:color w:val="000000"/>
                    </w:rPr>
                    <m:t>1+</m:t>
                  </m:r>
                  <m:sSub>
                    <m:sSubPr>
                      <m:ctrlPr>
                        <w:rPr>
                          <w:rFonts w:ascii="Cambria Math" w:hAnsi="Cambria Math" w:cs="Arial"/>
                          <w:i/>
                          <w:color w:val="000000"/>
                        </w:rPr>
                      </m:ctrlPr>
                    </m:sSubPr>
                    <m:e>
                      <m:r>
                        <w:rPr>
                          <w:rFonts w:ascii="Cambria Math" w:hAnsi="Cambria Math" w:cs="Arial"/>
                          <w:color w:val="000000"/>
                        </w:rPr>
                        <m:t>r</m:t>
                      </m:r>
                    </m:e>
                    <m:sub>
                      <m:r>
                        <w:rPr>
                          <w:rFonts w:ascii="Cambria Math" w:hAnsi="Cambria Math" w:cs="Arial"/>
                          <w:color w:val="000000"/>
                        </w:rPr>
                        <m:t>EA</m:t>
                      </m:r>
                    </m:sub>
                  </m:sSub>
                </m:e>
              </m:d>
            </m:e>
            <m:sup>
              <m:f>
                <m:fPr>
                  <m:ctrlPr>
                    <w:rPr>
                      <w:rFonts w:ascii="Cambria Math" w:hAnsi="Cambria Math" w:cs="Arial"/>
                      <w:i/>
                      <w:color w:val="000000"/>
                    </w:rPr>
                  </m:ctrlPr>
                </m:fPr>
                <m:num>
                  <m:r>
                    <w:rPr>
                      <w:rFonts w:ascii="Cambria Math" w:hAnsi="Cambria Math" w:cs="Arial"/>
                      <w:color w:val="000000"/>
                    </w:rPr>
                    <m:t>1</m:t>
                  </m:r>
                </m:num>
                <m:den>
                  <m:r>
                    <w:rPr>
                      <w:rFonts w:ascii="Cambria Math" w:hAnsi="Cambria Math" w:cs="Arial"/>
                      <w:color w:val="000000"/>
                    </w:rPr>
                    <m:t>365</m:t>
                  </m:r>
                </m:den>
              </m:f>
              <m:r>
                <w:rPr>
                  <w:rFonts w:ascii="Cambria Math" w:hAnsi="Cambria Math" w:cs="Arial"/>
                  <w:color w:val="000000"/>
                </w:rPr>
                <m:t>-1</m:t>
              </m:r>
            </m:sup>
          </m:sSup>
        </m:oMath>
      </m:oMathPara>
    </w:p>
    <w:p w14:paraId="35D3B3FC" w14:textId="77777777" w:rsidR="002B230A" w:rsidRPr="008900BA" w:rsidRDefault="002B230A" w:rsidP="00891C31">
      <w:pPr>
        <w:pStyle w:val="Subttulo"/>
        <w:spacing w:before="200" w:after="200"/>
        <w:ind w:left="1730" w:firstLine="113"/>
        <w:rPr>
          <w:rFonts w:ascii="Arial" w:hAnsi="Arial" w:cs="Arial"/>
          <w:b w:val="0"/>
          <w:color w:val="000000"/>
          <w:sz w:val="22"/>
          <w:szCs w:val="22"/>
        </w:rPr>
      </w:pPr>
      <w:r w:rsidRPr="008900BA">
        <w:rPr>
          <w:rFonts w:ascii="Arial" w:hAnsi="Arial" w:cs="Arial"/>
          <w:b w:val="0"/>
          <w:color w:val="000000"/>
          <w:sz w:val="22"/>
          <w:szCs w:val="22"/>
        </w:rPr>
        <w:t xml:space="preserve">Con: </w:t>
      </w:r>
    </w:p>
    <w:p w14:paraId="15AC97A7" w14:textId="77777777" w:rsidR="002B230A" w:rsidRPr="008900BA" w:rsidRDefault="002B230A" w:rsidP="00891C31">
      <w:pPr>
        <w:pStyle w:val="Subttulo"/>
        <w:spacing w:before="200" w:after="200"/>
        <w:ind w:left="3686" w:hanging="1843"/>
        <w:rPr>
          <w:rFonts w:ascii="Arial" w:hAnsi="Arial" w:cs="Arial"/>
          <w:b w:val="0"/>
          <w:color w:val="000000"/>
          <w:sz w:val="22"/>
          <w:szCs w:val="22"/>
        </w:rPr>
      </w:pPr>
      <w:r w:rsidRPr="008900BA">
        <w:rPr>
          <w:rFonts w:ascii="Arial" w:hAnsi="Arial" w:cs="Arial"/>
          <w:b w:val="0"/>
          <w:i/>
          <w:color w:val="000000"/>
          <w:sz w:val="22"/>
          <w:szCs w:val="22"/>
        </w:rPr>
        <w:t>r</w:t>
      </w:r>
      <w:r w:rsidRPr="008900BA">
        <w:rPr>
          <w:rFonts w:ascii="Arial" w:hAnsi="Arial" w:cs="Arial"/>
          <w:b w:val="0"/>
          <w:i/>
          <w:color w:val="000000"/>
          <w:sz w:val="22"/>
          <w:szCs w:val="22"/>
          <w:vertAlign w:val="subscript"/>
        </w:rPr>
        <w:t>ED</w:t>
      </w:r>
      <w:r w:rsidRPr="008900BA">
        <w:rPr>
          <w:rFonts w:ascii="Arial" w:hAnsi="Arial" w:cs="Arial"/>
          <w:b w:val="0"/>
          <w:i/>
          <w:color w:val="000000"/>
          <w:sz w:val="22"/>
          <w:szCs w:val="22"/>
        </w:rPr>
        <w:tab/>
      </w:r>
      <w:r w:rsidRPr="008900BA">
        <w:rPr>
          <w:rFonts w:ascii="Arial" w:hAnsi="Arial" w:cs="Arial"/>
          <w:b w:val="0"/>
          <w:color w:val="000000"/>
          <w:sz w:val="22"/>
          <w:szCs w:val="22"/>
        </w:rPr>
        <w:t>Tasa efectiva diaria</w:t>
      </w:r>
    </w:p>
    <w:p w14:paraId="194291A0" w14:textId="77777777" w:rsidR="002B230A" w:rsidRPr="008900BA" w:rsidRDefault="002B230A" w:rsidP="00891C31">
      <w:pPr>
        <w:pStyle w:val="Subttulo"/>
        <w:spacing w:before="200" w:after="200"/>
        <w:ind w:left="3686" w:hanging="1843"/>
        <w:rPr>
          <w:rFonts w:ascii="Arial" w:hAnsi="Arial" w:cs="Arial"/>
          <w:b w:val="0"/>
          <w:color w:val="000000"/>
          <w:sz w:val="22"/>
          <w:szCs w:val="22"/>
        </w:rPr>
      </w:pPr>
      <w:r w:rsidRPr="008900BA">
        <w:rPr>
          <w:rFonts w:ascii="Arial" w:hAnsi="Arial" w:cs="Arial"/>
          <w:b w:val="0"/>
          <w:i/>
          <w:color w:val="000000"/>
          <w:sz w:val="22"/>
          <w:szCs w:val="22"/>
        </w:rPr>
        <w:t>r</w:t>
      </w:r>
      <w:r w:rsidRPr="008900BA">
        <w:rPr>
          <w:rFonts w:ascii="Arial" w:hAnsi="Arial" w:cs="Arial"/>
          <w:b w:val="0"/>
          <w:i/>
          <w:color w:val="000000"/>
          <w:sz w:val="22"/>
          <w:szCs w:val="22"/>
          <w:vertAlign w:val="subscript"/>
        </w:rPr>
        <w:t>EA</w:t>
      </w:r>
      <w:r w:rsidRPr="008900BA">
        <w:rPr>
          <w:rFonts w:ascii="Arial" w:hAnsi="Arial" w:cs="Arial"/>
          <w:b w:val="0"/>
          <w:color w:val="000000"/>
          <w:sz w:val="22"/>
          <w:szCs w:val="22"/>
        </w:rPr>
        <w:t xml:space="preserve"> </w:t>
      </w:r>
      <w:r w:rsidRPr="008900BA">
        <w:rPr>
          <w:rFonts w:ascii="Arial" w:hAnsi="Arial" w:cs="Arial"/>
          <w:b w:val="0"/>
          <w:color w:val="000000"/>
          <w:sz w:val="22"/>
          <w:szCs w:val="22"/>
        </w:rPr>
        <w:tab/>
        <w:t>Tasa efectiva anual</w:t>
      </w:r>
    </w:p>
    <w:p w14:paraId="5C6567FE" w14:textId="6B0BD06E" w:rsidR="00A50FB7" w:rsidRDefault="00A50FB7" w:rsidP="00891C31">
      <w:pPr>
        <w:jc w:val="both"/>
        <w:rPr>
          <w:rFonts w:ascii="Arial" w:hAnsi="Arial" w:cs="Arial"/>
          <w:iCs/>
        </w:rPr>
      </w:pPr>
      <w:r>
        <w:rPr>
          <w:rFonts w:ascii="Arial" w:hAnsi="Arial" w:cs="Arial"/>
          <w:iCs/>
        </w:rPr>
        <w:t xml:space="preserve">En la </w:t>
      </w:r>
      <w:r>
        <w:rPr>
          <w:rFonts w:ascii="Arial" w:hAnsi="Arial" w:cs="Arial"/>
          <w:iCs/>
        </w:rPr>
        <w:fldChar w:fldCharType="begin"/>
      </w:r>
      <w:r>
        <w:rPr>
          <w:rFonts w:ascii="Arial" w:hAnsi="Arial" w:cs="Arial"/>
          <w:iCs/>
        </w:rPr>
        <w:instrText xml:space="preserve"> REF _Ref164785772 \h  \* MERGEFORMAT </w:instrText>
      </w:r>
      <w:r>
        <w:rPr>
          <w:rFonts w:ascii="Arial" w:hAnsi="Arial" w:cs="Arial"/>
          <w:iCs/>
        </w:rPr>
      </w:r>
      <w:r>
        <w:rPr>
          <w:rFonts w:ascii="Arial" w:hAnsi="Arial" w:cs="Arial"/>
          <w:iCs/>
        </w:rPr>
        <w:fldChar w:fldCharType="separate"/>
      </w:r>
      <w:r w:rsidR="002A641D" w:rsidRPr="002A641D">
        <w:rPr>
          <w:rFonts w:ascii="Arial" w:hAnsi="Arial" w:cs="Arial"/>
          <w:iCs/>
        </w:rPr>
        <w:t>Tabla 12</w:t>
      </w:r>
      <w:r>
        <w:rPr>
          <w:rFonts w:ascii="Arial" w:hAnsi="Arial" w:cs="Arial"/>
          <w:iCs/>
        </w:rPr>
        <w:fldChar w:fldCharType="end"/>
      </w:r>
      <w:r>
        <w:rPr>
          <w:rFonts w:ascii="Arial" w:hAnsi="Arial" w:cs="Arial"/>
          <w:iCs/>
        </w:rPr>
        <w:t xml:space="preserve"> se presenta la comparación de la metodología para determinar</w:t>
      </w:r>
      <w:r w:rsidR="00756287">
        <w:rPr>
          <w:rFonts w:ascii="Arial" w:hAnsi="Arial" w:cs="Arial"/>
          <w:iCs/>
        </w:rPr>
        <w:t xml:space="preserve"> el reconocimiento por el costo del flujo de efectivo</w:t>
      </w:r>
      <w:r>
        <w:rPr>
          <w:rFonts w:ascii="Arial" w:hAnsi="Arial" w:cs="Arial"/>
          <w:iCs/>
        </w:rPr>
        <w:t>.</w:t>
      </w:r>
    </w:p>
    <w:p w14:paraId="39537076" w14:textId="344B3D54" w:rsidR="00A50FB7" w:rsidRDefault="00A50FB7" w:rsidP="00891C31">
      <w:pPr>
        <w:pStyle w:val="Descripcin"/>
        <w:tabs>
          <w:tab w:val="left" w:pos="1276"/>
        </w:tabs>
        <w:spacing w:after="0"/>
        <w:rPr>
          <w:rFonts w:ascii="Arial" w:hAnsi="Arial" w:cs="Arial"/>
          <w:b/>
          <w:bCs/>
          <w:color w:val="auto"/>
        </w:rPr>
      </w:pPr>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13</w:t>
      </w:r>
      <w:r w:rsidRPr="00115F4D">
        <w:rPr>
          <w:rFonts w:ascii="Arial" w:hAnsi="Arial" w:cs="Arial"/>
          <w:b/>
          <w:bCs/>
          <w:color w:val="auto"/>
        </w:rPr>
        <w:fldChar w:fldCharType="end"/>
      </w:r>
      <w:r w:rsidRPr="00115F4D">
        <w:rPr>
          <w:rFonts w:ascii="Arial" w:hAnsi="Arial" w:cs="Arial"/>
          <w:b/>
          <w:bCs/>
          <w:color w:val="auto"/>
        </w:rPr>
        <w:t xml:space="preserve"> </w:t>
      </w:r>
      <w:r>
        <w:rPr>
          <w:rFonts w:ascii="Arial" w:hAnsi="Arial" w:cs="Arial"/>
          <w:b/>
          <w:bCs/>
          <w:color w:val="auto"/>
        </w:rPr>
        <w:t>Comparación metodología de reconocimiento</w:t>
      </w:r>
      <w:r w:rsidR="00756287">
        <w:rPr>
          <w:rFonts w:ascii="Arial" w:hAnsi="Arial" w:cs="Arial"/>
          <w:b/>
          <w:bCs/>
          <w:color w:val="auto"/>
        </w:rPr>
        <w:t xml:space="preserve"> costos flujo de efectivo</w:t>
      </w:r>
      <w:r>
        <w:rPr>
          <w:rFonts w:ascii="Arial" w:hAnsi="Arial" w:cs="Arial"/>
          <w:b/>
          <w:bCs/>
          <w:color w:val="auto"/>
        </w:rPr>
        <w:t xml:space="preserve">. </w:t>
      </w:r>
    </w:p>
    <w:tbl>
      <w:tblPr>
        <w:tblStyle w:val="Tablaconcuadrcula1clara-nfasis3"/>
        <w:tblW w:w="5000" w:type="pct"/>
        <w:tblLook w:val="0620" w:firstRow="1" w:lastRow="0" w:firstColumn="0" w:lastColumn="0" w:noHBand="1" w:noVBand="1"/>
      </w:tblPr>
      <w:tblGrid>
        <w:gridCol w:w="1439"/>
        <w:gridCol w:w="3738"/>
        <w:gridCol w:w="3839"/>
      </w:tblGrid>
      <w:tr w:rsidR="009B336F" w:rsidRPr="009B336F" w14:paraId="2279B19B" w14:textId="77777777" w:rsidTr="00756287">
        <w:trPr>
          <w:cnfStyle w:val="100000000000" w:firstRow="1" w:lastRow="0" w:firstColumn="0" w:lastColumn="0" w:oddVBand="0" w:evenVBand="0" w:oddHBand="0" w:evenHBand="0" w:firstRowFirstColumn="0" w:firstRowLastColumn="0" w:lastRowFirstColumn="0" w:lastRowLastColumn="0"/>
          <w:trHeight w:val="27"/>
        </w:trPr>
        <w:tc>
          <w:tcPr>
            <w:tcW w:w="798" w:type="pct"/>
            <w:hideMark/>
          </w:tcPr>
          <w:p w14:paraId="499B3AEE" w14:textId="2B074421" w:rsidR="009B336F" w:rsidRPr="009B336F" w:rsidRDefault="009B336F" w:rsidP="00891C31">
            <w:pPr>
              <w:spacing w:before="0" w:after="0"/>
              <w:jc w:val="center"/>
              <w:rPr>
                <w:rFonts w:ascii="Arial" w:eastAsia="Times New Roman" w:hAnsi="Arial" w:cs="Arial"/>
                <w:sz w:val="20"/>
                <w:szCs w:val="20"/>
                <w:lang w:eastAsia="es-CO"/>
              </w:rPr>
            </w:pPr>
            <w:r w:rsidRPr="009B336F">
              <w:rPr>
                <w:rFonts w:ascii="Arial" w:eastAsia="Times New Roman" w:hAnsi="Arial" w:cs="Arial"/>
                <w:sz w:val="20"/>
                <w:szCs w:val="20"/>
                <w:lang w:eastAsia="es-CO"/>
              </w:rPr>
              <w:t>Componente</w:t>
            </w:r>
          </w:p>
        </w:tc>
        <w:tc>
          <w:tcPr>
            <w:tcW w:w="2073" w:type="pct"/>
            <w:hideMark/>
          </w:tcPr>
          <w:p w14:paraId="6330A1C3" w14:textId="77777777" w:rsidR="009B336F" w:rsidRPr="009B336F" w:rsidRDefault="009B336F" w:rsidP="00891C31">
            <w:pPr>
              <w:spacing w:before="0" w:after="0"/>
              <w:jc w:val="center"/>
              <w:rPr>
                <w:rFonts w:ascii="Arial" w:eastAsia="Times New Roman" w:hAnsi="Arial" w:cs="Arial"/>
                <w:b w:val="0"/>
                <w:bCs w:val="0"/>
                <w:sz w:val="20"/>
                <w:szCs w:val="20"/>
                <w:lang w:eastAsia="es-CO"/>
              </w:rPr>
            </w:pPr>
            <w:r w:rsidRPr="009B336F">
              <w:rPr>
                <w:rFonts w:ascii="Arial" w:eastAsia="Times New Roman" w:hAnsi="Arial" w:cs="Arial"/>
                <w:b w:val="0"/>
                <w:bCs w:val="0"/>
                <w:sz w:val="20"/>
                <w:szCs w:val="20"/>
                <w:lang w:eastAsia="es-CO"/>
              </w:rPr>
              <w:t>Actual</w:t>
            </w:r>
          </w:p>
        </w:tc>
        <w:tc>
          <w:tcPr>
            <w:tcW w:w="2129" w:type="pct"/>
            <w:hideMark/>
          </w:tcPr>
          <w:p w14:paraId="5BBAA5DB" w14:textId="77777777" w:rsidR="009B336F" w:rsidRPr="009B336F" w:rsidRDefault="009B336F" w:rsidP="00891C31">
            <w:pPr>
              <w:spacing w:before="0" w:after="0"/>
              <w:jc w:val="center"/>
              <w:rPr>
                <w:rFonts w:ascii="Arial" w:eastAsia="Times New Roman" w:hAnsi="Arial" w:cs="Arial"/>
                <w:b w:val="0"/>
                <w:bCs w:val="0"/>
                <w:sz w:val="20"/>
                <w:szCs w:val="20"/>
                <w:lang w:eastAsia="es-CO"/>
              </w:rPr>
            </w:pPr>
            <w:r w:rsidRPr="009B336F">
              <w:rPr>
                <w:rFonts w:ascii="Arial" w:eastAsia="Times New Roman" w:hAnsi="Arial" w:cs="Arial"/>
                <w:b w:val="0"/>
                <w:bCs w:val="0"/>
                <w:sz w:val="20"/>
                <w:szCs w:val="20"/>
                <w:lang w:eastAsia="es-CO"/>
              </w:rPr>
              <w:t>Propuesta</w:t>
            </w:r>
          </w:p>
        </w:tc>
      </w:tr>
      <w:tr w:rsidR="009B336F" w:rsidRPr="009B336F" w14:paraId="57181D65" w14:textId="77777777" w:rsidTr="00756287">
        <w:trPr>
          <w:trHeight w:val="370"/>
        </w:trPr>
        <w:tc>
          <w:tcPr>
            <w:tcW w:w="798" w:type="pct"/>
            <w:hideMark/>
          </w:tcPr>
          <w:p w14:paraId="319F4221" w14:textId="77777777" w:rsidR="009B336F" w:rsidRPr="0024706A" w:rsidRDefault="009B336F" w:rsidP="00891C31">
            <w:pPr>
              <w:spacing w:before="0" w:after="0"/>
              <w:jc w:val="center"/>
              <w:rPr>
                <w:rFonts w:ascii="Arial" w:eastAsia="Times New Roman" w:hAnsi="Arial" w:cs="Arial"/>
                <w:sz w:val="20"/>
                <w:szCs w:val="20"/>
                <w:lang w:eastAsia="es-CO"/>
              </w:rPr>
            </w:pPr>
            <w:r w:rsidRPr="0024706A">
              <w:rPr>
                <w:rFonts w:ascii="Arial" w:eastAsiaTheme="minorEastAsia" w:hAnsi="Arial" w:cs="Arial"/>
                <w:b/>
                <w:color w:val="000000" w:themeColor="text1"/>
                <w:kern w:val="24"/>
                <w:sz w:val="20"/>
                <w:szCs w:val="20"/>
                <w:lang w:eastAsia="es-CO"/>
              </w:rPr>
              <w:t>Base o referencia</w:t>
            </w:r>
          </w:p>
        </w:tc>
        <w:tc>
          <w:tcPr>
            <w:tcW w:w="2073" w:type="pct"/>
            <w:hideMark/>
          </w:tcPr>
          <w:p w14:paraId="45B8B604" w14:textId="77777777" w:rsidR="009B336F" w:rsidRPr="009B336F" w:rsidRDefault="009B336F" w:rsidP="00C00C77">
            <w:pPr>
              <w:numPr>
                <w:ilvl w:val="0"/>
                <w:numId w:val="21"/>
              </w:numPr>
              <w:spacing w:before="40" w:after="40"/>
              <w:ind w:left="186" w:hanging="142"/>
              <w:contextualSpacing/>
              <w:rPr>
                <w:rFonts w:ascii="Arial" w:eastAsia="Times New Roman" w:hAnsi="Arial" w:cs="Arial"/>
                <w:color w:val="E7B53D"/>
                <w:sz w:val="20"/>
                <w:szCs w:val="20"/>
                <w:lang w:eastAsia="es-CO"/>
              </w:rPr>
            </w:pPr>
            <w:r w:rsidRPr="009B336F">
              <w:rPr>
                <w:rFonts w:ascii="Arial" w:eastAsiaTheme="minorEastAsia" w:hAnsi="Arial" w:cs="Arial"/>
                <w:kern w:val="24"/>
                <w:sz w:val="20"/>
                <w:szCs w:val="20"/>
                <w:lang w:val="es-MX" w:eastAsia="es-CO"/>
              </w:rPr>
              <w:t>Valor CU – C (aplica para todos los costos variables)</w:t>
            </w:r>
          </w:p>
        </w:tc>
        <w:tc>
          <w:tcPr>
            <w:tcW w:w="2129" w:type="pct"/>
            <w:hideMark/>
          </w:tcPr>
          <w:p w14:paraId="5A2BA2F9" w14:textId="77777777" w:rsidR="009B336F" w:rsidRPr="009B336F" w:rsidRDefault="009B336F" w:rsidP="00C00C77">
            <w:pPr>
              <w:numPr>
                <w:ilvl w:val="0"/>
                <w:numId w:val="21"/>
              </w:numPr>
              <w:spacing w:before="40" w:after="40"/>
              <w:ind w:left="172" w:hanging="144"/>
              <w:contextualSpacing/>
              <w:rPr>
                <w:rFonts w:ascii="Arial" w:eastAsia="Times New Roman" w:hAnsi="Arial" w:cs="Arial"/>
                <w:color w:val="E7B53D"/>
                <w:sz w:val="20"/>
                <w:szCs w:val="20"/>
                <w:lang w:eastAsia="es-CO"/>
              </w:rPr>
            </w:pPr>
            <w:r w:rsidRPr="009B336F">
              <w:rPr>
                <w:rFonts w:ascii="Arial" w:eastAsiaTheme="minorEastAsia" w:hAnsi="Arial" w:cs="Arial"/>
                <w:b/>
                <w:color w:val="000000" w:themeColor="text1"/>
                <w:kern w:val="24"/>
                <w:sz w:val="20"/>
                <w:szCs w:val="20"/>
                <w:lang w:val="es-MX" w:eastAsia="es-CO"/>
              </w:rPr>
              <w:t>Se mantiene base</w:t>
            </w:r>
            <w:r w:rsidRPr="009B336F">
              <w:rPr>
                <w:rFonts w:ascii="Arial" w:eastAsiaTheme="minorEastAsia" w:hAnsi="Arial" w:cs="Arial"/>
                <w:color w:val="000000" w:themeColor="text1"/>
                <w:kern w:val="24"/>
                <w:sz w:val="20"/>
                <w:szCs w:val="20"/>
                <w:lang w:val="es-MX" w:eastAsia="es-CO"/>
              </w:rPr>
              <w:t xml:space="preserve">, los costos asociados al efectivo están directamente relacionados con el valor mensual de la energía comercializada. </w:t>
            </w:r>
          </w:p>
        </w:tc>
      </w:tr>
      <w:tr w:rsidR="009B336F" w:rsidRPr="009B336F" w14:paraId="09FA4B18" w14:textId="77777777" w:rsidTr="00756287">
        <w:trPr>
          <w:trHeight w:val="1752"/>
        </w:trPr>
        <w:tc>
          <w:tcPr>
            <w:tcW w:w="798" w:type="pct"/>
            <w:hideMark/>
          </w:tcPr>
          <w:p w14:paraId="532C9DF5" w14:textId="77777777" w:rsidR="009B336F" w:rsidRPr="0024706A" w:rsidRDefault="009B336F" w:rsidP="00891C31">
            <w:pPr>
              <w:spacing w:before="0" w:after="0"/>
              <w:jc w:val="center"/>
              <w:rPr>
                <w:rFonts w:ascii="Arial" w:eastAsia="Times New Roman" w:hAnsi="Arial" w:cs="Arial"/>
                <w:sz w:val="20"/>
                <w:szCs w:val="20"/>
                <w:lang w:eastAsia="es-CO"/>
              </w:rPr>
            </w:pPr>
            <w:r w:rsidRPr="0024706A">
              <w:rPr>
                <w:rFonts w:ascii="Arial" w:eastAsiaTheme="minorEastAsia" w:hAnsi="Arial" w:cs="Arial"/>
                <w:b/>
                <w:color w:val="000000" w:themeColor="text1"/>
                <w:kern w:val="24"/>
                <w:sz w:val="20"/>
                <w:szCs w:val="20"/>
                <w:lang w:eastAsia="es-CO"/>
              </w:rPr>
              <w:t>Costo ciclo de efectivo</w:t>
            </w:r>
          </w:p>
        </w:tc>
        <w:tc>
          <w:tcPr>
            <w:tcW w:w="2073" w:type="pct"/>
            <w:hideMark/>
          </w:tcPr>
          <w:p w14:paraId="71B499EA" w14:textId="77777777" w:rsidR="009B336F" w:rsidRPr="009B336F" w:rsidRDefault="009B336F" w:rsidP="00C00C77">
            <w:pPr>
              <w:numPr>
                <w:ilvl w:val="0"/>
                <w:numId w:val="22"/>
              </w:numPr>
              <w:spacing w:before="40" w:after="40"/>
              <w:ind w:left="179" w:hanging="142"/>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Costo fijo para toda la vigencia de la metodología 0,043%.</w:t>
            </w:r>
          </w:p>
          <w:p w14:paraId="3881A503" w14:textId="77777777" w:rsidR="009B336F" w:rsidRPr="009B336F" w:rsidRDefault="009B336F" w:rsidP="00C00C77">
            <w:pPr>
              <w:numPr>
                <w:ilvl w:val="0"/>
                <w:numId w:val="22"/>
              </w:numPr>
              <w:spacing w:before="40" w:after="40"/>
              <w:ind w:left="179" w:hanging="142"/>
              <w:contextualSpacing/>
              <w:rPr>
                <w:rFonts w:ascii="Arial" w:eastAsia="Times New Roman" w:hAnsi="Arial" w:cs="Arial"/>
                <w:color w:val="E7B53D"/>
                <w:sz w:val="20"/>
                <w:szCs w:val="20"/>
                <w:lang w:eastAsia="es-CO"/>
              </w:rPr>
            </w:pPr>
            <w:r w:rsidRPr="009B336F">
              <w:rPr>
                <w:rFonts w:ascii="Arial" w:eastAsiaTheme="minorEastAsia" w:hAnsi="Arial" w:cs="Arial"/>
                <w:b/>
                <w:color w:val="000000" w:themeColor="text1"/>
                <w:kern w:val="24"/>
                <w:sz w:val="20"/>
                <w:szCs w:val="20"/>
                <w:lang w:val="es-MX" w:eastAsia="es-CO"/>
              </w:rPr>
              <w:t>Simulación</w:t>
            </w:r>
            <w:r w:rsidRPr="009B336F">
              <w:rPr>
                <w:rFonts w:ascii="Arial" w:eastAsiaTheme="minorEastAsia" w:hAnsi="Arial" w:cs="Arial"/>
                <w:color w:val="000000" w:themeColor="text1"/>
                <w:kern w:val="24"/>
                <w:sz w:val="20"/>
                <w:szCs w:val="20"/>
                <w:lang w:val="es-MX" w:eastAsia="es-CO"/>
              </w:rPr>
              <w:t xml:space="preserve"> del costo para 30 escenarios de ciclo de facturación.</w:t>
            </w:r>
          </w:p>
          <w:p w14:paraId="60A4396E" w14:textId="77777777" w:rsidR="009B336F" w:rsidRPr="009B336F" w:rsidRDefault="009B336F" w:rsidP="00C00C77">
            <w:pPr>
              <w:numPr>
                <w:ilvl w:val="0"/>
                <w:numId w:val="22"/>
              </w:numPr>
              <w:spacing w:before="40" w:after="40"/>
              <w:ind w:left="179" w:hanging="142"/>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Tasas de captación y colocación promedio entre 2009 y 2014.</w:t>
            </w:r>
          </w:p>
          <w:p w14:paraId="173C2CE5" w14:textId="77777777" w:rsidR="009B336F" w:rsidRPr="009B336F" w:rsidRDefault="009B336F" w:rsidP="00C00C77">
            <w:pPr>
              <w:numPr>
                <w:ilvl w:val="0"/>
                <w:numId w:val="22"/>
              </w:numPr>
              <w:spacing w:before="40" w:after="40"/>
              <w:ind w:left="179" w:hanging="142"/>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 xml:space="preserve">CFE único para todos los mercados de comercialización (CU promedio país) </w:t>
            </w:r>
          </w:p>
        </w:tc>
        <w:tc>
          <w:tcPr>
            <w:tcW w:w="2129" w:type="pct"/>
            <w:hideMark/>
          </w:tcPr>
          <w:p w14:paraId="7A93114C" w14:textId="77777777" w:rsidR="009B336F" w:rsidRPr="009B336F" w:rsidRDefault="009B336F" w:rsidP="00C00C77">
            <w:pPr>
              <w:numPr>
                <w:ilvl w:val="0"/>
                <w:numId w:val="22"/>
              </w:numPr>
              <w:spacing w:before="40" w:after="40"/>
              <w:ind w:left="162" w:hanging="162"/>
              <w:contextualSpacing/>
              <w:rPr>
                <w:rFonts w:ascii="Arial" w:eastAsia="Times New Roman" w:hAnsi="Arial" w:cs="Arial"/>
                <w:color w:val="E7B53D"/>
                <w:sz w:val="20"/>
                <w:szCs w:val="20"/>
                <w:lang w:eastAsia="es-CO"/>
              </w:rPr>
            </w:pPr>
            <w:r w:rsidRPr="009B336F">
              <w:rPr>
                <w:rFonts w:ascii="Arial" w:eastAsiaTheme="minorEastAsia" w:hAnsi="Arial" w:cs="Arial"/>
                <w:b/>
                <w:color w:val="000000" w:themeColor="text1"/>
                <w:kern w:val="24"/>
                <w:sz w:val="20"/>
                <w:szCs w:val="20"/>
                <w:lang w:val="es-MX" w:eastAsia="es-CO"/>
              </w:rPr>
              <w:t>Costo calculado anualmente</w:t>
            </w:r>
            <w:r w:rsidRPr="009B336F">
              <w:rPr>
                <w:rFonts w:ascii="Arial" w:eastAsiaTheme="minorEastAsia" w:hAnsi="Arial" w:cs="Arial"/>
                <w:color w:val="000000" w:themeColor="text1"/>
                <w:kern w:val="24"/>
                <w:sz w:val="20"/>
                <w:szCs w:val="20"/>
                <w:lang w:val="es-MX" w:eastAsia="es-CO"/>
              </w:rPr>
              <w:t>.</w:t>
            </w:r>
          </w:p>
          <w:p w14:paraId="770B9514" w14:textId="77777777" w:rsidR="009B336F" w:rsidRPr="009B336F" w:rsidRDefault="009B336F" w:rsidP="00C00C77">
            <w:pPr>
              <w:numPr>
                <w:ilvl w:val="0"/>
                <w:numId w:val="22"/>
              </w:numPr>
              <w:spacing w:before="40" w:after="40"/>
              <w:ind w:left="162" w:hanging="162"/>
              <w:contextualSpacing/>
              <w:rPr>
                <w:rFonts w:ascii="Arial" w:eastAsia="Times New Roman" w:hAnsi="Arial" w:cs="Arial"/>
                <w:color w:val="E7B53D"/>
                <w:sz w:val="20"/>
                <w:szCs w:val="20"/>
                <w:lang w:eastAsia="es-CO"/>
              </w:rPr>
            </w:pPr>
            <w:r w:rsidRPr="009B336F">
              <w:rPr>
                <w:rFonts w:ascii="Arial" w:eastAsiaTheme="minorEastAsia" w:hAnsi="Arial" w:cs="Arial"/>
                <w:b/>
                <w:color w:val="000000" w:themeColor="text1"/>
                <w:kern w:val="24"/>
                <w:sz w:val="20"/>
                <w:szCs w:val="20"/>
                <w:lang w:val="es-MX" w:eastAsia="es-CO"/>
              </w:rPr>
              <w:t>Formula</w:t>
            </w:r>
            <w:r w:rsidRPr="009B336F">
              <w:rPr>
                <w:rFonts w:ascii="Arial" w:eastAsiaTheme="minorEastAsia" w:hAnsi="Arial" w:cs="Arial"/>
                <w:color w:val="000000" w:themeColor="text1"/>
                <w:kern w:val="24"/>
                <w:sz w:val="20"/>
                <w:szCs w:val="20"/>
                <w:lang w:val="es-MX" w:eastAsia="es-CO"/>
              </w:rPr>
              <w:t xml:space="preserve"> del costo para 30 escenarios de ciclo de facturación, posible ajuste con normas de publicación y vigencia de tarifas.</w:t>
            </w:r>
          </w:p>
          <w:p w14:paraId="126325DE" w14:textId="77777777" w:rsidR="009B336F" w:rsidRPr="009B336F" w:rsidRDefault="009B336F" w:rsidP="00C00C77">
            <w:pPr>
              <w:numPr>
                <w:ilvl w:val="0"/>
                <w:numId w:val="22"/>
              </w:numPr>
              <w:spacing w:before="40" w:after="40"/>
              <w:ind w:left="162" w:hanging="162"/>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Tasas de captación y colocación promedio del año anterior.</w:t>
            </w:r>
          </w:p>
          <w:p w14:paraId="00B06409" w14:textId="419D7C95" w:rsidR="009B336F" w:rsidRPr="009B336F" w:rsidRDefault="009B336F" w:rsidP="00891C31">
            <w:pPr>
              <w:spacing w:before="40" w:after="40"/>
              <w:ind w:left="162"/>
              <w:contextualSpacing/>
              <w:rPr>
                <w:rFonts w:ascii="Arial" w:eastAsia="Times New Roman" w:hAnsi="Arial" w:cs="Arial"/>
                <w:color w:val="E7B53D"/>
                <w:sz w:val="20"/>
                <w:szCs w:val="20"/>
                <w:lang w:eastAsia="es-CO"/>
              </w:rPr>
            </w:pPr>
          </w:p>
        </w:tc>
      </w:tr>
    </w:tbl>
    <w:p w14:paraId="433DDFE0" w14:textId="77777777" w:rsidR="00CE71FD" w:rsidRPr="00705D7F" w:rsidRDefault="00CE71FD" w:rsidP="00891C31">
      <w:pPr>
        <w:spacing w:before="0" w:after="0"/>
        <w:rPr>
          <w:lang w:val="es-ES"/>
        </w:rPr>
      </w:pPr>
    </w:p>
    <w:p w14:paraId="788D5AE8" w14:textId="0430AEE9" w:rsidR="00CE71FD" w:rsidRPr="00115F4D" w:rsidRDefault="0068400E" w:rsidP="00656D70">
      <w:pPr>
        <w:pStyle w:val="Ttulo4"/>
        <w:rPr>
          <w:b w:val="0"/>
          <w:i w:val="0"/>
        </w:rPr>
      </w:pPr>
      <w:r w:rsidRPr="00D40440">
        <w:lastRenderedPageBreak/>
        <w:t>Costo financiero del</w:t>
      </w:r>
      <w:r w:rsidR="00EB53F1" w:rsidRPr="00B2553C">
        <w:t xml:space="preserve"> giro de subsidios</w:t>
      </w:r>
    </w:p>
    <w:p w14:paraId="1984F0DA" w14:textId="0E7BFD19" w:rsidR="005B1681" w:rsidRPr="00115F4D" w:rsidRDefault="006B33B8" w:rsidP="00891C31">
      <w:pPr>
        <w:jc w:val="both"/>
        <w:rPr>
          <w:rFonts w:ascii="Arial" w:hAnsi="Arial" w:cs="Arial"/>
        </w:rPr>
      </w:pPr>
      <w:r w:rsidRPr="00115F4D">
        <w:rPr>
          <w:rFonts w:ascii="Arial" w:hAnsi="Arial" w:cs="Arial"/>
        </w:rPr>
        <w:t>De acuerdo con el estudio publicado en la circular 087 de 2021</w:t>
      </w:r>
      <w:r w:rsidR="00C14864" w:rsidRPr="00115F4D">
        <w:rPr>
          <w:rFonts w:ascii="Arial" w:hAnsi="Arial" w:cs="Arial"/>
        </w:rPr>
        <w:t>, l</w:t>
      </w:r>
      <w:r w:rsidR="005B1681" w:rsidRPr="00115F4D">
        <w:rPr>
          <w:rFonts w:ascii="Arial" w:hAnsi="Arial" w:cs="Arial"/>
        </w:rPr>
        <w:t xml:space="preserve">a universidad considera que la metodología establecida para </w:t>
      </w:r>
      <w:r w:rsidR="00905771" w:rsidRPr="00115F4D">
        <w:rPr>
          <w:rFonts w:ascii="Arial" w:hAnsi="Arial" w:cs="Arial"/>
        </w:rPr>
        <w:t>el cálculo de la</w:t>
      </w:r>
      <w:r w:rsidR="005B1681" w:rsidRPr="00115F4D">
        <w:rPr>
          <w:rFonts w:ascii="Arial" w:hAnsi="Arial" w:cs="Arial"/>
        </w:rPr>
        <w:t xml:space="preserve"> variable CFE sigue las prácticas y lineamientos establecidos para reconocer los costos de financiación. En este sentido, propone conservar la metodología actual de CFS, haciendo una </w:t>
      </w:r>
      <w:r w:rsidR="00905771" w:rsidRPr="00115F4D">
        <w:rPr>
          <w:rFonts w:ascii="Arial" w:hAnsi="Arial" w:cs="Arial"/>
        </w:rPr>
        <w:t>actualización</w:t>
      </w:r>
      <w:r w:rsidR="005B1681" w:rsidRPr="00115F4D">
        <w:rPr>
          <w:rFonts w:ascii="Arial" w:hAnsi="Arial" w:cs="Arial"/>
        </w:rPr>
        <w:t xml:space="preserve"> a las tasas y el periodo que se reconoce, ya que refleja de manera dinámica: el efecto del valor del déficit de subsidios causados y no pagados, el efecto del déficit de subsidios pagados antes de finalizar cada trimestre y el efecto de los costos de oportunidad. </w:t>
      </w:r>
    </w:p>
    <w:p w14:paraId="1C18926C" w14:textId="77777777" w:rsidR="005B1681" w:rsidRPr="00115F4D" w:rsidRDefault="005B1681" w:rsidP="00891C31">
      <w:pPr>
        <w:jc w:val="both"/>
        <w:rPr>
          <w:rFonts w:ascii="Arial" w:hAnsi="Arial" w:cs="Arial"/>
        </w:rPr>
      </w:pPr>
      <w:r w:rsidRPr="00115F4D">
        <w:rPr>
          <w:rFonts w:ascii="Arial" w:hAnsi="Arial" w:cs="Arial"/>
        </w:rPr>
        <w:t xml:space="preserve">Adicionalmente, considera importante incluir unas mejoras en la formula del CFS como los son: </w:t>
      </w:r>
    </w:p>
    <w:p w14:paraId="75B5E7B0" w14:textId="77777777" w:rsidR="005B1681" w:rsidRPr="00115F4D" w:rsidRDefault="005B1681" w:rsidP="00891C31">
      <w:pPr>
        <w:numPr>
          <w:ilvl w:val="0"/>
          <w:numId w:val="3"/>
        </w:numPr>
        <w:contextualSpacing/>
        <w:jc w:val="both"/>
        <w:rPr>
          <w:rFonts w:ascii="Arial" w:hAnsi="Arial" w:cs="Arial"/>
        </w:rPr>
      </w:pPr>
      <w:r w:rsidRPr="00115F4D">
        <w:rPr>
          <w:rFonts w:ascii="Arial" w:hAnsi="Arial" w:cs="Arial"/>
        </w:rPr>
        <w:t xml:space="preserve">Eliminar subíndice m: porque los componentes no son afectados por parámetros mensuales.  </w:t>
      </w:r>
    </w:p>
    <w:p w14:paraId="5E863C74" w14:textId="77777777" w:rsidR="005B1681" w:rsidRPr="00115F4D" w:rsidRDefault="005B1681" w:rsidP="00891C31">
      <w:pPr>
        <w:numPr>
          <w:ilvl w:val="0"/>
          <w:numId w:val="3"/>
        </w:numPr>
        <w:contextualSpacing/>
        <w:jc w:val="both"/>
        <w:rPr>
          <w:rFonts w:ascii="Arial" w:hAnsi="Arial" w:cs="Arial"/>
        </w:rPr>
      </w:pPr>
      <w:r w:rsidRPr="00115F4D">
        <w:rPr>
          <w:rFonts w:ascii="Arial" w:hAnsi="Arial" w:cs="Arial"/>
        </w:rPr>
        <w:t xml:space="preserve">Incluir mayor precisión a subíndice T: cambiar “Últimos cuatro trimestres validados por el Ministerio de Minas y Energía para el comercializador i, en el mercado de comercialización j” por “Cada uno de los trimestres pertenecientes al último año validado por el Ministerio de Minas y Energía para el comercializador i, en el mercado de comercialización j”. </w:t>
      </w:r>
    </w:p>
    <w:p w14:paraId="5ECA0F2C" w14:textId="7DC55A0D" w:rsidR="005B1681" w:rsidRPr="00115F4D" w:rsidRDefault="005B1681" w:rsidP="00891C31">
      <w:pPr>
        <w:numPr>
          <w:ilvl w:val="0"/>
          <w:numId w:val="3"/>
        </w:numPr>
        <w:contextualSpacing/>
        <w:jc w:val="both"/>
        <w:rPr>
          <w:rFonts w:ascii="Arial" w:hAnsi="Arial" w:cs="Arial"/>
        </w:rPr>
      </w:pPr>
      <w:r w:rsidRPr="00115F4D">
        <w:rPr>
          <w:rFonts w:ascii="Arial" w:hAnsi="Arial" w:cs="Arial"/>
        </w:rPr>
        <w:t xml:space="preserve">Incluir mayor precisión a variable r1: precisar fuente de información para la estimación del parámetro, porque se encuentran diferentes alternativas de tasas de interés, </w:t>
      </w:r>
      <w:r w:rsidR="00B7088E" w:rsidRPr="00115F4D">
        <w:rPr>
          <w:rFonts w:ascii="Arial" w:hAnsi="Arial" w:cs="Arial"/>
        </w:rPr>
        <w:t>de acuerdo con</w:t>
      </w:r>
      <w:r w:rsidRPr="00115F4D">
        <w:rPr>
          <w:rFonts w:ascii="Arial" w:hAnsi="Arial" w:cs="Arial"/>
        </w:rPr>
        <w:t xml:space="preserve"> los criterios propuestos en la resolución. </w:t>
      </w:r>
    </w:p>
    <w:p w14:paraId="08B4ED72" w14:textId="07A6B8C5" w:rsidR="005B1681" w:rsidRPr="00115F4D" w:rsidRDefault="005B1681" w:rsidP="00891C31">
      <w:pPr>
        <w:numPr>
          <w:ilvl w:val="0"/>
          <w:numId w:val="3"/>
        </w:numPr>
        <w:contextualSpacing/>
        <w:jc w:val="both"/>
        <w:rPr>
          <w:rFonts w:ascii="Arial" w:hAnsi="Arial" w:cs="Arial"/>
        </w:rPr>
      </w:pPr>
      <w:r w:rsidRPr="00115F4D">
        <w:rPr>
          <w:rFonts w:ascii="Arial" w:hAnsi="Arial" w:cs="Arial"/>
        </w:rPr>
        <w:t>Incluir mayor precisión en variable r2: expresar mayor detalle en la fuente de información para su cálculo y aplicar el periodo de tiempo correcto para la estimación del costo de oportunidad asociado al valor promedio del déficit de subsidios pagados antes de finalizar cada trimestre.</w:t>
      </w:r>
    </w:p>
    <w:p w14:paraId="220B0A9A" w14:textId="77777777" w:rsidR="005B1681" w:rsidRPr="00115F4D" w:rsidRDefault="005B1681" w:rsidP="00891C31">
      <w:pPr>
        <w:ind w:left="720"/>
        <w:contextualSpacing/>
        <w:jc w:val="both"/>
        <w:rPr>
          <w:rFonts w:ascii="Arial" w:hAnsi="Arial" w:cs="Arial"/>
        </w:rPr>
      </w:pPr>
    </w:p>
    <w:p w14:paraId="75FDBF18" w14:textId="0298C3F2" w:rsidR="00951516" w:rsidRPr="00115F4D" w:rsidRDefault="00C14864" w:rsidP="00891C31">
      <w:pPr>
        <w:jc w:val="both"/>
        <w:rPr>
          <w:rFonts w:ascii="Arial" w:hAnsi="Arial" w:cs="Arial"/>
        </w:rPr>
      </w:pPr>
      <w:r w:rsidRPr="00115F4D">
        <w:rPr>
          <w:rFonts w:ascii="Arial" w:hAnsi="Arial" w:cs="Arial"/>
        </w:rPr>
        <w:t>Adicionalmente, e</w:t>
      </w:r>
      <w:r w:rsidR="00951516" w:rsidRPr="00115F4D">
        <w:rPr>
          <w:rFonts w:ascii="Arial" w:hAnsi="Arial" w:cs="Arial"/>
        </w:rPr>
        <w:t xml:space="preserve">l CAC </w:t>
      </w:r>
      <w:r w:rsidR="00990F29" w:rsidRPr="00115F4D">
        <w:rPr>
          <w:rFonts w:ascii="Arial" w:hAnsi="Arial" w:cs="Arial"/>
        </w:rPr>
        <w:t>envío</w:t>
      </w:r>
      <w:r w:rsidR="0048703F" w:rsidRPr="00115F4D">
        <w:rPr>
          <w:rFonts w:ascii="Arial" w:hAnsi="Arial" w:cs="Arial"/>
        </w:rPr>
        <w:t xml:space="preserve"> a la Comisi</w:t>
      </w:r>
      <w:r w:rsidR="006F79D8" w:rsidRPr="00115F4D">
        <w:rPr>
          <w:rFonts w:ascii="Arial" w:hAnsi="Arial" w:cs="Arial"/>
        </w:rPr>
        <w:t xml:space="preserve">ón </w:t>
      </w:r>
      <w:r w:rsidR="00990F29" w:rsidRPr="00115F4D">
        <w:rPr>
          <w:rFonts w:ascii="Arial" w:hAnsi="Arial" w:cs="Arial"/>
        </w:rPr>
        <w:t>propuesta de modificación del CF</w:t>
      </w:r>
      <w:r w:rsidR="006F79D8" w:rsidRPr="00115F4D">
        <w:rPr>
          <w:rFonts w:ascii="Arial" w:hAnsi="Arial" w:cs="Arial"/>
        </w:rPr>
        <w:t xml:space="preserve">S, la cual fue analizada detenidamente encontrando dos principales diferencias con respecto a la metodología vigente. </w:t>
      </w:r>
      <w:r w:rsidR="00990F29" w:rsidRPr="00115F4D">
        <w:rPr>
          <w:rFonts w:ascii="Arial" w:hAnsi="Arial" w:cs="Arial"/>
        </w:rPr>
        <w:t xml:space="preserve"> </w:t>
      </w:r>
    </w:p>
    <w:p w14:paraId="6E6E7488" w14:textId="6CF0CC08" w:rsidR="001C6818" w:rsidRPr="00115F4D" w:rsidRDefault="001C6818" w:rsidP="00891C31">
      <w:pPr>
        <w:jc w:val="both"/>
        <w:rPr>
          <w:rFonts w:ascii="Arial" w:hAnsi="Arial" w:cs="Arial"/>
        </w:rPr>
      </w:pPr>
      <w:r w:rsidRPr="00115F4D">
        <w:rPr>
          <w:rFonts w:ascii="Arial" w:hAnsi="Arial" w:cs="Arial"/>
        </w:rPr>
        <w:t>La primera diferencia identificada se refiere al saldo por pagar pendiente de subsidios correspondiente al trimestre anterior a los 4 trimestres utilizados para calcular el CFS de acuerdo con la metodología de remuneración vigente. De acuerdo con la propuesta del CAC, el saldo</w:t>
      </w:r>
      <w:r w:rsidR="001D6B19" w:rsidRPr="00115F4D">
        <w:rPr>
          <w:rFonts w:ascii="Arial" w:hAnsi="Arial" w:cs="Arial"/>
        </w:rPr>
        <w:t xml:space="preserve"> pendiente por pagar</w:t>
      </w:r>
      <w:r w:rsidRPr="00115F4D">
        <w:rPr>
          <w:rFonts w:ascii="Arial" w:hAnsi="Arial" w:cs="Arial"/>
        </w:rPr>
        <w:t xml:space="preserve"> del trimestre</w:t>
      </w:r>
      <w:r w:rsidR="0048557A" w:rsidRPr="00115F4D">
        <w:rPr>
          <w:rFonts w:ascii="Arial" w:hAnsi="Arial" w:cs="Arial"/>
        </w:rPr>
        <w:t xml:space="preserve"> inmediatamente</w:t>
      </w:r>
      <w:r w:rsidRPr="00115F4D">
        <w:rPr>
          <w:rFonts w:ascii="Arial" w:hAnsi="Arial" w:cs="Arial"/>
        </w:rPr>
        <w:t xml:space="preserve"> anterior a los últimos 4 trimestres deberá entrar a c</w:t>
      </w:r>
      <w:r w:rsidR="001D6B19" w:rsidRPr="00115F4D">
        <w:rPr>
          <w:rFonts w:ascii="Arial" w:hAnsi="Arial" w:cs="Arial"/>
        </w:rPr>
        <w:t>alcular</w:t>
      </w:r>
      <w:r w:rsidRPr="00115F4D">
        <w:rPr>
          <w:rFonts w:ascii="Arial" w:hAnsi="Arial" w:cs="Arial"/>
        </w:rPr>
        <w:t xml:space="preserve"> dentro del periodo en análisis, restándolo de los pagos de adelantos que haga el Ministerio de Minas y Energía (MME) al primer trimestre, es decir, la forma de determinar lo saldos pendientes hace balances permanentes.</w:t>
      </w:r>
    </w:p>
    <w:p w14:paraId="3591D43B" w14:textId="314F26AD" w:rsidR="001C6818" w:rsidRPr="00115F4D" w:rsidRDefault="001C6818" w:rsidP="00891C31">
      <w:pPr>
        <w:jc w:val="both"/>
        <w:rPr>
          <w:rFonts w:ascii="Arial" w:hAnsi="Arial" w:cs="Arial"/>
        </w:rPr>
      </w:pPr>
      <w:r w:rsidRPr="00115F4D">
        <w:rPr>
          <w:rFonts w:ascii="Arial" w:hAnsi="Arial" w:cs="Arial"/>
        </w:rPr>
        <w:t xml:space="preserve">En cambio, la metodología vigente toma en cuenta exclusivamente los déficits de los </w:t>
      </w:r>
      <w:r w:rsidR="001D6B19" w:rsidRPr="00115F4D">
        <w:rPr>
          <w:rFonts w:ascii="Arial" w:hAnsi="Arial" w:cs="Arial"/>
        </w:rPr>
        <w:t>cuatro</w:t>
      </w:r>
      <w:r w:rsidRPr="00115F4D">
        <w:rPr>
          <w:rFonts w:ascii="Arial" w:hAnsi="Arial" w:cs="Arial"/>
        </w:rPr>
        <w:t xml:space="preserve"> trimestres, sin considerar el déficit por pagar del trimestre inmediatamente anteriores a los </w:t>
      </w:r>
      <w:r w:rsidR="001D6B19" w:rsidRPr="00115F4D">
        <w:rPr>
          <w:rFonts w:ascii="Arial" w:hAnsi="Arial" w:cs="Arial"/>
        </w:rPr>
        <w:t xml:space="preserve">cuatro </w:t>
      </w:r>
      <w:r w:rsidRPr="00115F4D">
        <w:rPr>
          <w:rFonts w:ascii="Arial" w:hAnsi="Arial" w:cs="Arial"/>
        </w:rPr>
        <w:t>trimestres usados para el cálculo, dado que estos son considerados en los trimestres previos.</w:t>
      </w:r>
    </w:p>
    <w:p w14:paraId="1008672E" w14:textId="03318283" w:rsidR="001C6818" w:rsidRPr="00115F4D" w:rsidRDefault="001C6818" w:rsidP="00891C31">
      <w:pPr>
        <w:jc w:val="both"/>
        <w:rPr>
          <w:rFonts w:ascii="Arial" w:hAnsi="Arial" w:cs="Arial"/>
        </w:rPr>
      </w:pPr>
      <w:r w:rsidRPr="00115F4D">
        <w:rPr>
          <w:rFonts w:ascii="Arial" w:hAnsi="Arial" w:cs="Arial"/>
        </w:rPr>
        <w:t xml:space="preserve">La segunda diferencia identificada corresponde a la manera en que se calcula las variables Sub1 y Sub2 en la formula. En la metodología vigente el monto de las variables Sub1 y Sub2 se calcula de acuerdo con el giro de recursos que el Ministerio de Minas y Energía, MME, realiza y el periodo al cual </w:t>
      </w:r>
      <w:r w:rsidR="001D6B19" w:rsidRPr="00115F4D">
        <w:rPr>
          <w:rFonts w:ascii="Arial" w:hAnsi="Arial" w:cs="Arial"/>
        </w:rPr>
        <w:t xml:space="preserve">la Resolución expedida por el MME especifica se </w:t>
      </w:r>
      <w:r w:rsidRPr="00115F4D">
        <w:rPr>
          <w:rFonts w:ascii="Arial" w:hAnsi="Arial" w:cs="Arial"/>
        </w:rPr>
        <w:t>destin</w:t>
      </w:r>
      <w:r w:rsidR="001D6B19" w:rsidRPr="00115F4D">
        <w:rPr>
          <w:rFonts w:ascii="Arial" w:hAnsi="Arial" w:cs="Arial"/>
        </w:rPr>
        <w:t xml:space="preserve">en los </w:t>
      </w:r>
      <w:r w:rsidRPr="00115F4D">
        <w:rPr>
          <w:rFonts w:ascii="Arial" w:hAnsi="Arial" w:cs="Arial"/>
        </w:rPr>
        <w:t xml:space="preserve">recursos. Por ejemplo, si el MME gira recursos en el mes de febrero de 2020 </w:t>
      </w:r>
      <w:r w:rsidR="001D6B19" w:rsidRPr="00115F4D">
        <w:rPr>
          <w:rFonts w:ascii="Arial" w:hAnsi="Arial" w:cs="Arial"/>
        </w:rPr>
        <w:t xml:space="preserve">especificando </w:t>
      </w:r>
      <w:r w:rsidRPr="00115F4D">
        <w:rPr>
          <w:rFonts w:ascii="Arial" w:hAnsi="Arial" w:cs="Arial"/>
        </w:rPr>
        <w:t xml:space="preserve">pagos </w:t>
      </w:r>
      <w:r w:rsidR="001D6B19" w:rsidRPr="00115F4D">
        <w:rPr>
          <w:rFonts w:ascii="Arial" w:hAnsi="Arial" w:cs="Arial"/>
        </w:rPr>
        <w:t>para el</w:t>
      </w:r>
      <w:r w:rsidRPr="00115F4D">
        <w:rPr>
          <w:rFonts w:ascii="Arial" w:hAnsi="Arial" w:cs="Arial"/>
        </w:rPr>
        <w:t xml:space="preserve"> 4 trimestre de 2019 aun cuando estén pendientes recursos del 3 trimestre de 2019, estos recursos girados entrarán a ser sumados en el periodo del 4 trimestre de 2019, </w:t>
      </w:r>
      <w:r w:rsidR="00E21A77" w:rsidRPr="00115F4D">
        <w:rPr>
          <w:rFonts w:ascii="Arial" w:hAnsi="Arial" w:cs="Arial"/>
        </w:rPr>
        <w:t>tal como lo estipulé la Resolución que publiqué el MME.</w:t>
      </w:r>
    </w:p>
    <w:p w14:paraId="00B613F6" w14:textId="4B84716C" w:rsidR="001C6818" w:rsidRPr="00115F4D" w:rsidRDefault="001C6818" w:rsidP="00891C31">
      <w:pPr>
        <w:jc w:val="both"/>
        <w:rPr>
          <w:rFonts w:ascii="Arial" w:hAnsi="Arial" w:cs="Arial"/>
        </w:rPr>
      </w:pPr>
      <w:r w:rsidRPr="00115F4D">
        <w:rPr>
          <w:rFonts w:ascii="Arial" w:hAnsi="Arial" w:cs="Arial"/>
        </w:rPr>
        <w:lastRenderedPageBreak/>
        <w:t xml:space="preserve">Mientras que la propuesta del CAC plantea que las variables </w:t>
      </w:r>
      <w:r w:rsidR="00551E9F" w:rsidRPr="00115F4D">
        <w:rPr>
          <w:rFonts w:ascii="Arial" w:hAnsi="Arial" w:cs="Arial"/>
        </w:rPr>
        <w:t>S</w:t>
      </w:r>
      <w:r w:rsidRPr="00115F4D">
        <w:rPr>
          <w:rFonts w:ascii="Arial" w:hAnsi="Arial" w:cs="Arial"/>
        </w:rPr>
        <w:t xml:space="preserve">ub1 y </w:t>
      </w:r>
      <w:r w:rsidR="00551E9F" w:rsidRPr="00115F4D">
        <w:rPr>
          <w:rFonts w:ascii="Arial" w:hAnsi="Arial" w:cs="Arial"/>
        </w:rPr>
        <w:t>S</w:t>
      </w:r>
      <w:r w:rsidRPr="00115F4D">
        <w:rPr>
          <w:rFonts w:ascii="Arial" w:hAnsi="Arial" w:cs="Arial"/>
        </w:rPr>
        <w:t xml:space="preserve">ub2 sean calculados de acuerdo </w:t>
      </w:r>
      <w:r w:rsidR="00D253EA" w:rsidRPr="00115F4D">
        <w:rPr>
          <w:rFonts w:ascii="Arial" w:hAnsi="Arial" w:cs="Arial"/>
        </w:rPr>
        <w:t>con el</w:t>
      </w:r>
      <w:r w:rsidRPr="00115F4D">
        <w:rPr>
          <w:rFonts w:ascii="Arial" w:hAnsi="Arial" w:cs="Arial"/>
        </w:rPr>
        <w:t xml:space="preserve"> monto total que se debe. Por ejemplo, si el MME autoriza un giro para un trimestre aun cuando se deb</w:t>
      </w:r>
      <w:r w:rsidR="00551E9F" w:rsidRPr="00115F4D">
        <w:rPr>
          <w:rFonts w:ascii="Arial" w:hAnsi="Arial" w:cs="Arial"/>
        </w:rPr>
        <w:t>a</w:t>
      </w:r>
      <w:r w:rsidRPr="00115F4D">
        <w:rPr>
          <w:rFonts w:ascii="Arial" w:hAnsi="Arial" w:cs="Arial"/>
        </w:rPr>
        <w:t xml:space="preserve"> dinero de trimestres anteriores este giro entrará a computarse como un pago al trimestre más antiguo en donde se deben saldos de déficits. </w:t>
      </w:r>
    </w:p>
    <w:p w14:paraId="354F5781" w14:textId="3AD0CF0E" w:rsidR="00AF3CF5" w:rsidRPr="00115F4D" w:rsidRDefault="00AF3CF5" w:rsidP="00891C31">
      <w:pPr>
        <w:jc w:val="both"/>
        <w:rPr>
          <w:rFonts w:ascii="Arial" w:hAnsi="Arial" w:cs="Arial"/>
        </w:rPr>
      </w:pPr>
      <w:r w:rsidRPr="00115F4D">
        <w:rPr>
          <w:rFonts w:ascii="Arial" w:hAnsi="Arial" w:cs="Arial"/>
        </w:rPr>
        <w:t xml:space="preserve">La Comisión en busca de establecer una remuneración </w:t>
      </w:r>
      <w:r w:rsidR="00174073" w:rsidRPr="00115F4D">
        <w:rPr>
          <w:rFonts w:ascii="Arial" w:hAnsi="Arial" w:cs="Arial"/>
        </w:rPr>
        <w:t>pertinente de los costos de financiación asociados a los ciclos de pagos de subsidios</w:t>
      </w:r>
      <w:r w:rsidR="00911746" w:rsidRPr="00115F4D">
        <w:rPr>
          <w:rFonts w:ascii="Arial" w:hAnsi="Arial" w:cs="Arial"/>
        </w:rPr>
        <w:t>,</w:t>
      </w:r>
      <w:r w:rsidRPr="00115F4D">
        <w:rPr>
          <w:rFonts w:ascii="Arial" w:hAnsi="Arial" w:cs="Arial"/>
        </w:rPr>
        <w:t xml:space="preserve"> revis</w:t>
      </w:r>
      <w:r w:rsidR="00174073" w:rsidRPr="00115F4D">
        <w:rPr>
          <w:rFonts w:ascii="Arial" w:hAnsi="Arial" w:cs="Arial"/>
        </w:rPr>
        <w:t>ó</w:t>
      </w:r>
      <w:r w:rsidRPr="00115F4D">
        <w:rPr>
          <w:rFonts w:ascii="Arial" w:hAnsi="Arial" w:cs="Arial"/>
        </w:rPr>
        <w:t xml:space="preserve"> la metodología vigente para el cálculo del CFS</w:t>
      </w:r>
      <w:r w:rsidR="00D07836" w:rsidRPr="00115F4D">
        <w:rPr>
          <w:rFonts w:ascii="Arial" w:hAnsi="Arial" w:cs="Arial"/>
        </w:rPr>
        <w:t xml:space="preserve"> </w:t>
      </w:r>
      <w:r w:rsidRPr="00115F4D">
        <w:rPr>
          <w:rFonts w:ascii="Arial" w:hAnsi="Arial" w:cs="Arial"/>
        </w:rPr>
        <w:t>y analiz</w:t>
      </w:r>
      <w:r w:rsidR="0051455D" w:rsidRPr="00115F4D">
        <w:rPr>
          <w:rFonts w:ascii="Arial" w:hAnsi="Arial" w:cs="Arial"/>
        </w:rPr>
        <w:t>ó</w:t>
      </w:r>
      <w:r w:rsidRPr="00115F4D">
        <w:rPr>
          <w:rFonts w:ascii="Arial" w:hAnsi="Arial" w:cs="Arial"/>
        </w:rPr>
        <w:t xml:space="preserve"> la</w:t>
      </w:r>
      <w:r w:rsidR="0051455D" w:rsidRPr="00115F4D">
        <w:rPr>
          <w:rFonts w:ascii="Arial" w:hAnsi="Arial" w:cs="Arial"/>
        </w:rPr>
        <w:t>s</w:t>
      </w:r>
      <w:r w:rsidRPr="00115F4D">
        <w:rPr>
          <w:rFonts w:ascii="Arial" w:hAnsi="Arial" w:cs="Arial"/>
        </w:rPr>
        <w:t xml:space="preserve"> propuesta</w:t>
      </w:r>
      <w:r w:rsidR="0051455D" w:rsidRPr="00115F4D">
        <w:rPr>
          <w:rFonts w:ascii="Arial" w:hAnsi="Arial" w:cs="Arial"/>
        </w:rPr>
        <w:t>s</w:t>
      </w:r>
      <w:r w:rsidRPr="00115F4D">
        <w:rPr>
          <w:rFonts w:ascii="Arial" w:hAnsi="Arial" w:cs="Arial"/>
        </w:rPr>
        <w:t xml:space="preserve"> de la UTP y del CAC</w:t>
      </w:r>
      <w:r w:rsidR="00911746" w:rsidRPr="00115F4D">
        <w:rPr>
          <w:rFonts w:ascii="Arial" w:hAnsi="Arial" w:cs="Arial"/>
        </w:rPr>
        <w:t>.</w:t>
      </w:r>
      <w:r w:rsidRPr="00115F4D">
        <w:rPr>
          <w:rFonts w:ascii="Arial" w:hAnsi="Arial" w:cs="Arial"/>
        </w:rPr>
        <w:t xml:space="preserve"> </w:t>
      </w:r>
    </w:p>
    <w:p w14:paraId="628E3C18" w14:textId="102A4A0B" w:rsidR="00C07222" w:rsidRPr="00115F4D" w:rsidRDefault="00F62145" w:rsidP="00891C31">
      <w:pPr>
        <w:jc w:val="both"/>
        <w:rPr>
          <w:rFonts w:ascii="Arial" w:hAnsi="Arial" w:cs="Arial"/>
        </w:rPr>
      </w:pPr>
      <w:r w:rsidRPr="00115F4D">
        <w:rPr>
          <w:rFonts w:ascii="Arial" w:hAnsi="Arial" w:cs="Arial"/>
        </w:rPr>
        <w:t>L</w:t>
      </w:r>
      <w:r w:rsidR="0051455D" w:rsidRPr="00115F4D">
        <w:rPr>
          <w:rFonts w:ascii="Arial" w:hAnsi="Arial" w:cs="Arial"/>
        </w:rPr>
        <w:t xml:space="preserve">a </w:t>
      </w:r>
      <w:r w:rsidR="00911746" w:rsidRPr="00115F4D">
        <w:rPr>
          <w:rFonts w:ascii="Arial" w:hAnsi="Arial" w:cs="Arial"/>
        </w:rPr>
        <w:t>fórmula</w:t>
      </w:r>
      <w:r w:rsidR="0051455D" w:rsidRPr="00115F4D">
        <w:rPr>
          <w:rFonts w:ascii="Arial" w:hAnsi="Arial" w:cs="Arial"/>
        </w:rPr>
        <w:t xml:space="preserve"> vigente fue re</w:t>
      </w:r>
      <w:r w:rsidR="00193B4F" w:rsidRPr="00115F4D">
        <w:rPr>
          <w:rFonts w:ascii="Arial" w:hAnsi="Arial" w:cs="Arial"/>
        </w:rPr>
        <w:t>plicada</w:t>
      </w:r>
      <w:r w:rsidR="0051455D" w:rsidRPr="00115F4D">
        <w:rPr>
          <w:rFonts w:ascii="Arial" w:hAnsi="Arial" w:cs="Arial"/>
        </w:rPr>
        <w:t xml:space="preserve"> </w:t>
      </w:r>
      <w:r w:rsidR="005A3063" w:rsidRPr="00115F4D">
        <w:rPr>
          <w:rFonts w:ascii="Arial" w:hAnsi="Arial" w:cs="Arial"/>
        </w:rPr>
        <w:t>utilizando</w:t>
      </w:r>
      <w:r w:rsidR="00002528" w:rsidRPr="00115F4D">
        <w:rPr>
          <w:rFonts w:ascii="Arial" w:hAnsi="Arial" w:cs="Arial"/>
        </w:rPr>
        <w:t xml:space="preserve"> información</w:t>
      </w:r>
      <w:r w:rsidR="002A17E1" w:rsidRPr="00115F4D">
        <w:rPr>
          <w:rFonts w:ascii="Arial" w:hAnsi="Arial" w:cs="Arial"/>
        </w:rPr>
        <w:t xml:space="preserve"> actualizada para </w:t>
      </w:r>
      <w:r w:rsidR="00CB1B4E" w:rsidRPr="00115F4D">
        <w:rPr>
          <w:rFonts w:ascii="Arial" w:hAnsi="Arial" w:cs="Arial"/>
        </w:rPr>
        <w:t xml:space="preserve">calcular </w:t>
      </w:r>
      <w:r w:rsidR="002A17E1" w:rsidRPr="00115F4D">
        <w:rPr>
          <w:rFonts w:ascii="Arial" w:hAnsi="Arial" w:cs="Arial"/>
        </w:rPr>
        <w:t>el componente CFS</w:t>
      </w:r>
      <w:r w:rsidR="002F7651" w:rsidRPr="00115F4D">
        <w:rPr>
          <w:rFonts w:ascii="Arial" w:hAnsi="Arial" w:cs="Arial"/>
        </w:rPr>
        <w:t xml:space="preserve">. </w:t>
      </w:r>
      <w:r w:rsidR="00CB1B4E" w:rsidRPr="00115F4D">
        <w:rPr>
          <w:rFonts w:ascii="Arial" w:hAnsi="Arial" w:cs="Arial"/>
        </w:rPr>
        <w:t>La i</w:t>
      </w:r>
      <w:r w:rsidR="002F7651" w:rsidRPr="00115F4D">
        <w:rPr>
          <w:rFonts w:ascii="Arial" w:hAnsi="Arial" w:cs="Arial"/>
        </w:rPr>
        <w:t xml:space="preserve">nformación </w:t>
      </w:r>
      <w:r w:rsidR="00CB1B4E" w:rsidRPr="00115F4D">
        <w:rPr>
          <w:rFonts w:ascii="Arial" w:hAnsi="Arial" w:cs="Arial"/>
        </w:rPr>
        <w:t xml:space="preserve">para estos cálculos se </w:t>
      </w:r>
      <w:r w:rsidR="00530331" w:rsidRPr="00115F4D">
        <w:rPr>
          <w:rFonts w:ascii="Arial" w:hAnsi="Arial" w:cs="Arial"/>
        </w:rPr>
        <w:t>obtuvo principalmente</w:t>
      </w:r>
      <w:r w:rsidR="002F7651" w:rsidRPr="00115F4D">
        <w:rPr>
          <w:rFonts w:ascii="Arial" w:hAnsi="Arial" w:cs="Arial"/>
        </w:rPr>
        <w:t xml:space="preserve"> de </w:t>
      </w:r>
      <w:r w:rsidR="007718C7" w:rsidRPr="00115F4D">
        <w:rPr>
          <w:rFonts w:ascii="Arial" w:hAnsi="Arial" w:cs="Arial"/>
        </w:rPr>
        <w:t>tres</w:t>
      </w:r>
      <w:r w:rsidR="002F7651" w:rsidRPr="00115F4D">
        <w:rPr>
          <w:rFonts w:ascii="Arial" w:hAnsi="Arial" w:cs="Arial"/>
        </w:rPr>
        <w:t xml:space="preserve"> fuentes: </w:t>
      </w:r>
      <w:r w:rsidR="00002528" w:rsidRPr="00115F4D">
        <w:rPr>
          <w:rFonts w:ascii="Arial" w:hAnsi="Arial" w:cs="Arial"/>
        </w:rPr>
        <w:t>las Resol</w:t>
      </w:r>
      <w:r w:rsidR="0042769A" w:rsidRPr="00115F4D">
        <w:rPr>
          <w:rFonts w:ascii="Arial" w:hAnsi="Arial" w:cs="Arial"/>
        </w:rPr>
        <w:t xml:space="preserve">uciones del </w:t>
      </w:r>
      <w:r w:rsidR="007E5EC7" w:rsidRPr="00115F4D">
        <w:rPr>
          <w:rFonts w:ascii="Arial" w:hAnsi="Arial" w:cs="Arial"/>
        </w:rPr>
        <w:t>MME que</w:t>
      </w:r>
      <w:r w:rsidR="002F7651" w:rsidRPr="00115F4D">
        <w:rPr>
          <w:rFonts w:ascii="Arial" w:hAnsi="Arial" w:cs="Arial"/>
        </w:rPr>
        <w:t xml:space="preserve"> autorizan giros de subsidios</w:t>
      </w:r>
      <w:r w:rsidR="00552D90" w:rsidRPr="00115F4D">
        <w:rPr>
          <w:rFonts w:ascii="Arial" w:hAnsi="Arial" w:cs="Arial"/>
        </w:rPr>
        <w:t xml:space="preserve">, </w:t>
      </w:r>
      <w:r w:rsidR="002F7651" w:rsidRPr="00115F4D">
        <w:rPr>
          <w:rFonts w:ascii="Arial" w:hAnsi="Arial" w:cs="Arial"/>
        </w:rPr>
        <w:t>la</w:t>
      </w:r>
      <w:r w:rsidR="00552D90" w:rsidRPr="00115F4D">
        <w:rPr>
          <w:rFonts w:ascii="Arial" w:hAnsi="Arial" w:cs="Arial"/>
        </w:rPr>
        <w:t>s</w:t>
      </w:r>
      <w:r w:rsidR="002F7651" w:rsidRPr="00115F4D">
        <w:rPr>
          <w:rFonts w:ascii="Arial" w:hAnsi="Arial" w:cs="Arial"/>
        </w:rPr>
        <w:t xml:space="preserve"> tasas de interés de captación y colocación </w:t>
      </w:r>
      <w:r w:rsidR="008E729E" w:rsidRPr="00115F4D">
        <w:rPr>
          <w:rFonts w:ascii="Arial" w:hAnsi="Arial" w:cs="Arial"/>
        </w:rPr>
        <w:t>publicada</w:t>
      </w:r>
      <w:r w:rsidR="007718C7" w:rsidRPr="00115F4D">
        <w:rPr>
          <w:rFonts w:ascii="Arial" w:hAnsi="Arial" w:cs="Arial"/>
        </w:rPr>
        <w:t>s</w:t>
      </w:r>
      <w:r w:rsidR="008E729E" w:rsidRPr="00115F4D">
        <w:rPr>
          <w:rFonts w:ascii="Arial" w:hAnsi="Arial" w:cs="Arial"/>
        </w:rPr>
        <w:t xml:space="preserve"> en la página </w:t>
      </w:r>
      <w:r w:rsidR="00685CB7" w:rsidRPr="00115F4D">
        <w:rPr>
          <w:rFonts w:ascii="Arial" w:hAnsi="Arial" w:cs="Arial"/>
        </w:rPr>
        <w:t xml:space="preserve">web </w:t>
      </w:r>
      <w:r w:rsidR="008E729E" w:rsidRPr="00115F4D">
        <w:rPr>
          <w:rFonts w:ascii="Arial" w:hAnsi="Arial" w:cs="Arial"/>
        </w:rPr>
        <w:t>del Banco de la Republica</w:t>
      </w:r>
      <w:r w:rsidR="007718C7" w:rsidRPr="00115F4D">
        <w:rPr>
          <w:rFonts w:ascii="Arial" w:hAnsi="Arial" w:cs="Arial"/>
        </w:rPr>
        <w:t xml:space="preserve"> y la facturación</w:t>
      </w:r>
      <w:r w:rsidR="001D6B19" w:rsidRPr="00115F4D">
        <w:rPr>
          <w:rFonts w:ascii="Arial" w:hAnsi="Arial" w:cs="Arial"/>
        </w:rPr>
        <w:t xml:space="preserve"> por consumo</w:t>
      </w:r>
      <w:r w:rsidR="007718C7" w:rsidRPr="00115F4D">
        <w:rPr>
          <w:rFonts w:ascii="Arial" w:hAnsi="Arial" w:cs="Arial"/>
        </w:rPr>
        <w:t xml:space="preserve"> trimestral </w:t>
      </w:r>
      <w:r w:rsidR="006025B5" w:rsidRPr="00115F4D">
        <w:rPr>
          <w:rFonts w:ascii="Arial" w:hAnsi="Arial" w:cs="Arial"/>
        </w:rPr>
        <w:t xml:space="preserve">por empresa comercializadora </w:t>
      </w:r>
      <w:r w:rsidR="001D6B19" w:rsidRPr="00115F4D">
        <w:rPr>
          <w:rFonts w:ascii="Arial" w:hAnsi="Arial" w:cs="Arial"/>
        </w:rPr>
        <w:t>para</w:t>
      </w:r>
      <w:r w:rsidR="007718C7" w:rsidRPr="00115F4D">
        <w:rPr>
          <w:rFonts w:ascii="Arial" w:hAnsi="Arial" w:cs="Arial"/>
        </w:rPr>
        <w:t xml:space="preserve"> usuarios regulados obten</w:t>
      </w:r>
      <w:r w:rsidR="00C07222" w:rsidRPr="00115F4D">
        <w:rPr>
          <w:rFonts w:ascii="Arial" w:hAnsi="Arial" w:cs="Arial"/>
        </w:rPr>
        <w:t>ida del SUI</w:t>
      </w:r>
      <w:r w:rsidR="008E729E" w:rsidRPr="00115F4D">
        <w:rPr>
          <w:rFonts w:ascii="Arial" w:hAnsi="Arial" w:cs="Arial"/>
        </w:rPr>
        <w:t>.</w:t>
      </w:r>
    </w:p>
    <w:p w14:paraId="15CF9993" w14:textId="0198E658" w:rsidR="00F62145" w:rsidRPr="00115F4D" w:rsidRDefault="00C07222" w:rsidP="00891C31">
      <w:pPr>
        <w:jc w:val="both"/>
        <w:rPr>
          <w:rFonts w:ascii="Arial" w:hAnsi="Arial" w:cs="Arial"/>
        </w:rPr>
      </w:pPr>
      <w:r w:rsidRPr="00115F4D">
        <w:rPr>
          <w:rFonts w:ascii="Arial" w:hAnsi="Arial" w:cs="Arial"/>
        </w:rPr>
        <w:t xml:space="preserve">Se </w:t>
      </w:r>
      <w:r w:rsidR="003F7F31" w:rsidRPr="00115F4D">
        <w:rPr>
          <w:rFonts w:ascii="Arial" w:hAnsi="Arial" w:cs="Arial"/>
        </w:rPr>
        <w:t>modelaron</w:t>
      </w:r>
      <w:r w:rsidRPr="00115F4D">
        <w:rPr>
          <w:rFonts w:ascii="Arial" w:hAnsi="Arial" w:cs="Arial"/>
        </w:rPr>
        <w:t xml:space="preserve"> 23</w:t>
      </w:r>
      <w:r w:rsidR="00CE5F8D" w:rsidRPr="00115F4D">
        <w:rPr>
          <w:rFonts w:ascii="Arial" w:hAnsi="Arial" w:cs="Arial"/>
        </w:rPr>
        <w:t xml:space="preserve"> costo</w:t>
      </w:r>
      <w:r w:rsidR="0049292F" w:rsidRPr="00115F4D">
        <w:rPr>
          <w:rFonts w:ascii="Arial" w:hAnsi="Arial" w:cs="Arial"/>
        </w:rPr>
        <w:t>s</w:t>
      </w:r>
      <w:r w:rsidR="00700B03" w:rsidRPr="00115F4D">
        <w:rPr>
          <w:rFonts w:ascii="Arial" w:hAnsi="Arial" w:cs="Arial"/>
        </w:rPr>
        <w:t xml:space="preserve"> financieros</w:t>
      </w:r>
      <w:r w:rsidR="00CE5F8D" w:rsidRPr="00115F4D">
        <w:rPr>
          <w:rFonts w:ascii="Arial" w:hAnsi="Arial" w:cs="Arial"/>
        </w:rPr>
        <w:t xml:space="preserve"> </w:t>
      </w:r>
      <w:r w:rsidR="00B856B5" w:rsidRPr="00115F4D">
        <w:rPr>
          <w:rFonts w:ascii="Arial" w:hAnsi="Arial" w:cs="Arial"/>
        </w:rPr>
        <w:t>asociados al giro</w:t>
      </w:r>
      <w:r w:rsidR="00CE5F8D" w:rsidRPr="00115F4D">
        <w:rPr>
          <w:rFonts w:ascii="Arial" w:hAnsi="Arial" w:cs="Arial"/>
        </w:rPr>
        <w:t xml:space="preserve"> sub</w:t>
      </w:r>
      <w:r w:rsidR="008D1269" w:rsidRPr="00115F4D">
        <w:rPr>
          <w:rFonts w:ascii="Arial" w:hAnsi="Arial" w:cs="Arial"/>
        </w:rPr>
        <w:t xml:space="preserve">sidios para el periodo comprendido entre </w:t>
      </w:r>
      <w:r w:rsidR="00805F39" w:rsidRPr="00115F4D">
        <w:rPr>
          <w:rFonts w:ascii="Arial" w:hAnsi="Arial" w:cs="Arial"/>
        </w:rPr>
        <w:t>el 4 trimestre de 2015 y el 1 trimestre de 2022</w:t>
      </w:r>
      <w:r w:rsidR="003F7F31" w:rsidRPr="00115F4D">
        <w:rPr>
          <w:rFonts w:ascii="Arial" w:hAnsi="Arial" w:cs="Arial"/>
        </w:rPr>
        <w:t xml:space="preserve"> a nivel país</w:t>
      </w:r>
      <w:r w:rsidR="00805F39" w:rsidRPr="00115F4D">
        <w:rPr>
          <w:rFonts w:ascii="Arial" w:hAnsi="Arial" w:cs="Arial"/>
        </w:rPr>
        <w:t xml:space="preserve">. </w:t>
      </w:r>
      <w:r w:rsidR="003F7F31" w:rsidRPr="00115F4D">
        <w:rPr>
          <w:rFonts w:ascii="Arial" w:hAnsi="Arial" w:cs="Arial"/>
        </w:rPr>
        <w:t xml:space="preserve">Esta modelación </w:t>
      </w:r>
      <w:r w:rsidR="001407DA" w:rsidRPr="00115F4D">
        <w:rPr>
          <w:rFonts w:ascii="Arial" w:hAnsi="Arial" w:cs="Arial"/>
        </w:rPr>
        <w:t xml:space="preserve">arrojó </w:t>
      </w:r>
      <w:r w:rsidR="00805F39" w:rsidRPr="00115F4D">
        <w:rPr>
          <w:rFonts w:ascii="Arial" w:hAnsi="Arial" w:cs="Arial"/>
        </w:rPr>
        <w:t>una tasa de remuneración</w:t>
      </w:r>
      <w:r w:rsidR="00700B03" w:rsidRPr="00115F4D">
        <w:rPr>
          <w:rFonts w:ascii="Arial" w:hAnsi="Arial" w:cs="Arial"/>
        </w:rPr>
        <w:t xml:space="preserve"> promedio</w:t>
      </w:r>
      <w:r w:rsidR="00805F39" w:rsidRPr="00115F4D">
        <w:rPr>
          <w:rFonts w:ascii="Arial" w:hAnsi="Arial" w:cs="Arial"/>
        </w:rPr>
        <w:t xml:space="preserve"> </w:t>
      </w:r>
      <w:r w:rsidR="00EF59FA" w:rsidRPr="00115F4D">
        <w:rPr>
          <w:rFonts w:ascii="Arial" w:hAnsi="Arial" w:cs="Arial"/>
        </w:rPr>
        <w:t>mensual</w:t>
      </w:r>
      <w:r w:rsidR="0029531E" w:rsidRPr="00115F4D">
        <w:rPr>
          <w:rFonts w:ascii="Arial" w:hAnsi="Arial" w:cs="Arial"/>
        </w:rPr>
        <w:t xml:space="preserve"> de </w:t>
      </w:r>
      <w:r w:rsidR="00E146F2" w:rsidRPr="00115F4D">
        <w:rPr>
          <w:rFonts w:ascii="Arial" w:hAnsi="Arial" w:cs="Arial"/>
        </w:rPr>
        <w:t>0,</w:t>
      </w:r>
      <w:r w:rsidR="00A80A0A" w:rsidRPr="00115F4D">
        <w:rPr>
          <w:rFonts w:ascii="Arial" w:hAnsi="Arial" w:cs="Arial"/>
        </w:rPr>
        <w:t>12</w:t>
      </w:r>
      <w:r w:rsidR="00E146F2" w:rsidRPr="00115F4D">
        <w:rPr>
          <w:rFonts w:ascii="Arial" w:hAnsi="Arial" w:cs="Arial"/>
        </w:rPr>
        <w:t>%</w:t>
      </w:r>
      <w:r w:rsidR="00EF59FA" w:rsidRPr="00115F4D">
        <w:rPr>
          <w:rFonts w:ascii="Arial" w:hAnsi="Arial" w:cs="Arial"/>
        </w:rPr>
        <w:t>,</w:t>
      </w:r>
      <w:r w:rsidR="001407DA" w:rsidRPr="00115F4D">
        <w:rPr>
          <w:rFonts w:ascii="Arial" w:hAnsi="Arial" w:cs="Arial"/>
        </w:rPr>
        <w:t xml:space="preserve"> con una mediana </w:t>
      </w:r>
      <w:r w:rsidR="001D3237" w:rsidRPr="00115F4D">
        <w:rPr>
          <w:rFonts w:ascii="Arial" w:hAnsi="Arial" w:cs="Arial"/>
        </w:rPr>
        <w:t xml:space="preserve">de 0,1% y una desviación estándar de </w:t>
      </w:r>
      <w:r w:rsidR="00D216F9" w:rsidRPr="00115F4D">
        <w:rPr>
          <w:rFonts w:ascii="Arial" w:hAnsi="Arial" w:cs="Arial"/>
        </w:rPr>
        <w:t>0,0</w:t>
      </w:r>
      <w:r w:rsidR="006025B5" w:rsidRPr="00115F4D">
        <w:rPr>
          <w:rFonts w:ascii="Arial" w:hAnsi="Arial" w:cs="Arial"/>
        </w:rPr>
        <w:t>7</w:t>
      </w:r>
      <w:r w:rsidR="00D216F9" w:rsidRPr="00115F4D">
        <w:rPr>
          <w:rFonts w:ascii="Arial" w:hAnsi="Arial" w:cs="Arial"/>
        </w:rPr>
        <w:t xml:space="preserve">%. </w:t>
      </w:r>
    </w:p>
    <w:p w14:paraId="49AE2130" w14:textId="472E412D" w:rsidR="00953249" w:rsidRPr="00115F4D" w:rsidRDefault="00953249" w:rsidP="00891C31">
      <w:pPr>
        <w:pStyle w:val="Textoindependiente"/>
        <w:ind w:right="115"/>
        <w:jc w:val="both"/>
        <w:rPr>
          <w:rFonts w:ascii="Arial" w:hAnsi="Arial" w:cs="Arial"/>
          <w:spacing w:val="-1"/>
          <w:lang w:val="es-CO"/>
        </w:rPr>
      </w:pPr>
      <w:r w:rsidRPr="00115F4D">
        <w:rPr>
          <w:rFonts w:ascii="Arial" w:hAnsi="Arial" w:cs="Arial"/>
          <w:spacing w:val="-1"/>
          <w:lang w:val="es-CO"/>
        </w:rPr>
        <w:t>La Comisión consideró la modificación del CFS principalmente a partir del cambio en la computación de los flujos reconocidos como parte de Sub1 y Sub2. Esto con el fin que los pagos que se reciban por parte del MME sean aplicando primeramente a los déficits pendientes de trimestres anteriores antes de entrar a computarse como un adelanto para el pago de déficit de subsidio</w:t>
      </w:r>
      <w:r w:rsidR="00CA73D0" w:rsidRPr="00115F4D">
        <w:rPr>
          <w:rFonts w:ascii="Arial" w:hAnsi="Arial" w:cs="Arial"/>
          <w:spacing w:val="-1"/>
          <w:lang w:val="es-CO"/>
        </w:rPr>
        <w:t>, como lo plantea la propuesta del CAC</w:t>
      </w:r>
      <w:r w:rsidRPr="00115F4D">
        <w:rPr>
          <w:rFonts w:ascii="Arial" w:hAnsi="Arial" w:cs="Arial"/>
          <w:spacing w:val="-1"/>
          <w:lang w:val="es-CO"/>
        </w:rPr>
        <w:t xml:space="preserve">. </w:t>
      </w:r>
    </w:p>
    <w:p w14:paraId="383C00B6" w14:textId="77777777" w:rsidR="00953249" w:rsidRPr="00115F4D" w:rsidRDefault="00953249" w:rsidP="00891C31">
      <w:pPr>
        <w:pStyle w:val="Textoindependiente"/>
        <w:ind w:left="1080" w:right="115"/>
        <w:jc w:val="both"/>
        <w:rPr>
          <w:rFonts w:ascii="Arial" w:hAnsi="Arial" w:cs="Arial"/>
          <w:spacing w:val="-1"/>
          <w:lang w:val="es-CO"/>
        </w:rPr>
      </w:pPr>
    </w:p>
    <w:p w14:paraId="68C02FB5" w14:textId="211E8C17" w:rsidR="0007392D" w:rsidRPr="00115F4D" w:rsidRDefault="00DA186A" w:rsidP="00891C31">
      <w:pPr>
        <w:pStyle w:val="Textoindependiente"/>
        <w:ind w:right="115"/>
        <w:jc w:val="both"/>
        <w:rPr>
          <w:rFonts w:ascii="Arial" w:hAnsi="Arial" w:cs="Arial"/>
          <w:lang w:val="es-CO"/>
        </w:rPr>
      </w:pPr>
      <w:r w:rsidRPr="00115F4D">
        <w:rPr>
          <w:rFonts w:ascii="Arial" w:hAnsi="Arial" w:cs="Arial"/>
          <w:lang w:val="es-CO"/>
        </w:rPr>
        <w:t>Una vez, modelada</w:t>
      </w:r>
      <w:r w:rsidR="00F1546E" w:rsidRPr="00115F4D">
        <w:rPr>
          <w:rFonts w:ascii="Arial" w:hAnsi="Arial" w:cs="Arial"/>
          <w:lang w:val="es-CO"/>
        </w:rPr>
        <w:t xml:space="preserve"> la</w:t>
      </w:r>
      <w:r w:rsidRPr="00115F4D">
        <w:rPr>
          <w:rFonts w:ascii="Arial" w:hAnsi="Arial" w:cs="Arial"/>
          <w:lang w:val="es-CO"/>
        </w:rPr>
        <w:t xml:space="preserve"> propuesta metodológica</w:t>
      </w:r>
      <w:r w:rsidR="00F1546E" w:rsidRPr="00115F4D">
        <w:rPr>
          <w:rFonts w:ascii="Arial" w:hAnsi="Arial" w:cs="Arial"/>
          <w:lang w:val="es-CO"/>
        </w:rPr>
        <w:t xml:space="preserve"> para el CFS,</w:t>
      </w:r>
      <w:r w:rsidRPr="00115F4D">
        <w:rPr>
          <w:rFonts w:ascii="Arial" w:hAnsi="Arial" w:cs="Arial"/>
          <w:lang w:val="es-CO"/>
        </w:rPr>
        <w:t xml:space="preserve"> la CREG considera que los resultados </w:t>
      </w:r>
      <w:r w:rsidR="00F1546E" w:rsidRPr="00115F4D">
        <w:rPr>
          <w:rFonts w:ascii="Arial" w:hAnsi="Arial" w:cs="Arial"/>
          <w:lang w:val="es-CO"/>
        </w:rPr>
        <w:t>son</w:t>
      </w:r>
      <w:r w:rsidR="003E23E2" w:rsidRPr="00115F4D">
        <w:rPr>
          <w:rFonts w:ascii="Arial" w:hAnsi="Arial" w:cs="Arial"/>
          <w:lang w:val="es-CO"/>
        </w:rPr>
        <w:t xml:space="preserve"> similares</w:t>
      </w:r>
      <w:r w:rsidR="00F1546E" w:rsidRPr="00115F4D">
        <w:rPr>
          <w:rFonts w:ascii="Arial" w:hAnsi="Arial" w:cs="Arial"/>
          <w:lang w:val="es-CO"/>
        </w:rPr>
        <w:t xml:space="preserve"> a los obtenidos bajo la metodología vigente. </w:t>
      </w:r>
      <w:r w:rsidR="004E1E1C" w:rsidRPr="00115F4D">
        <w:rPr>
          <w:rFonts w:ascii="Arial" w:hAnsi="Arial" w:cs="Arial"/>
          <w:lang w:val="es-CO"/>
        </w:rPr>
        <w:t xml:space="preserve">Sin embargo, adoptar esta propuesta </w:t>
      </w:r>
      <w:r w:rsidR="003E23E2" w:rsidRPr="00115F4D">
        <w:rPr>
          <w:rFonts w:ascii="Arial" w:hAnsi="Arial" w:cs="Arial"/>
          <w:lang w:val="es-CO"/>
        </w:rPr>
        <w:t>representarí</w:t>
      </w:r>
      <w:r w:rsidR="00C46502" w:rsidRPr="00115F4D">
        <w:rPr>
          <w:rFonts w:ascii="Arial" w:hAnsi="Arial" w:cs="Arial"/>
          <w:lang w:val="es-CO"/>
        </w:rPr>
        <w:t xml:space="preserve">a cambios considerables en la capacidad institucional adquirida por las empresas para aplicar la metodología vigente, que no es justificada con las mínimas diferencias que se observan entre las dos metodologías. </w:t>
      </w:r>
      <w:r w:rsidR="00132F27" w:rsidRPr="00115F4D">
        <w:rPr>
          <w:rFonts w:ascii="Arial" w:hAnsi="Arial" w:cs="Arial"/>
          <w:lang w:val="es-CO"/>
        </w:rPr>
        <w:t>Adicionalmente, la propuesta</w:t>
      </w:r>
      <w:r w:rsidR="00C46502" w:rsidRPr="00115F4D">
        <w:rPr>
          <w:rFonts w:ascii="Arial" w:hAnsi="Arial" w:cs="Arial"/>
          <w:lang w:val="es-CO"/>
        </w:rPr>
        <w:t xml:space="preserve"> analizada</w:t>
      </w:r>
      <w:r w:rsidR="005713F7" w:rsidRPr="00115F4D">
        <w:rPr>
          <w:rFonts w:ascii="Arial" w:hAnsi="Arial" w:cs="Arial"/>
          <w:lang w:val="es-CO"/>
        </w:rPr>
        <w:t xml:space="preserve">, </w:t>
      </w:r>
      <w:r w:rsidR="009C7E65" w:rsidRPr="00115F4D">
        <w:rPr>
          <w:rFonts w:ascii="Arial" w:hAnsi="Arial" w:cs="Arial"/>
          <w:lang w:val="es-CO"/>
        </w:rPr>
        <w:t>no utiliza</w:t>
      </w:r>
      <w:r w:rsidR="00CD274B" w:rsidRPr="00115F4D">
        <w:rPr>
          <w:rFonts w:ascii="Arial" w:hAnsi="Arial" w:cs="Arial"/>
          <w:lang w:val="es-CO"/>
        </w:rPr>
        <w:t xml:space="preserve"> de igual manera los periodos </w:t>
      </w:r>
      <w:r w:rsidR="00E65236" w:rsidRPr="00115F4D">
        <w:rPr>
          <w:rFonts w:ascii="Arial" w:hAnsi="Arial" w:cs="Arial"/>
          <w:lang w:val="es-CO"/>
        </w:rPr>
        <w:t xml:space="preserve">de </w:t>
      </w:r>
      <w:r w:rsidR="003A1FE3" w:rsidRPr="00115F4D">
        <w:rPr>
          <w:rFonts w:ascii="Arial" w:hAnsi="Arial" w:cs="Arial"/>
          <w:lang w:val="es-CO"/>
        </w:rPr>
        <w:t>la información</w:t>
      </w:r>
      <w:r w:rsidR="00E65236" w:rsidRPr="00115F4D">
        <w:rPr>
          <w:rFonts w:ascii="Arial" w:hAnsi="Arial" w:cs="Arial"/>
          <w:lang w:val="es-CO"/>
        </w:rPr>
        <w:t xml:space="preserve"> de subsidios </w:t>
      </w:r>
      <w:r w:rsidR="003A1FE3" w:rsidRPr="00115F4D">
        <w:rPr>
          <w:rFonts w:ascii="Arial" w:hAnsi="Arial" w:cs="Arial"/>
          <w:lang w:val="es-CO"/>
        </w:rPr>
        <w:t xml:space="preserve">validada por el MME y publicada a través de </w:t>
      </w:r>
      <w:r w:rsidR="00ED78F6" w:rsidRPr="00115F4D">
        <w:rPr>
          <w:rFonts w:ascii="Arial" w:hAnsi="Arial" w:cs="Arial"/>
          <w:lang w:val="es-CO"/>
        </w:rPr>
        <w:t>resoluciones</w:t>
      </w:r>
      <w:r w:rsidR="003A1FE3" w:rsidRPr="00115F4D">
        <w:rPr>
          <w:rFonts w:ascii="Arial" w:hAnsi="Arial" w:cs="Arial"/>
          <w:lang w:val="es-CO"/>
        </w:rPr>
        <w:t>.</w:t>
      </w:r>
      <w:r w:rsidR="00E65236" w:rsidRPr="00115F4D">
        <w:rPr>
          <w:rFonts w:ascii="Arial" w:hAnsi="Arial" w:cs="Arial"/>
          <w:lang w:val="es-CO"/>
        </w:rPr>
        <w:t xml:space="preserve"> Esto podría </w:t>
      </w:r>
      <w:r w:rsidR="0067782C" w:rsidRPr="00115F4D">
        <w:rPr>
          <w:rFonts w:ascii="Arial" w:hAnsi="Arial" w:cs="Arial"/>
          <w:lang w:val="es-CO"/>
        </w:rPr>
        <w:t xml:space="preserve">conllevar a deterioros en la </w:t>
      </w:r>
      <w:r w:rsidR="00267178" w:rsidRPr="00115F4D">
        <w:rPr>
          <w:rFonts w:ascii="Arial" w:hAnsi="Arial" w:cs="Arial"/>
          <w:lang w:val="es-CO"/>
        </w:rPr>
        <w:t>trazabilidad de la información utilizada</w:t>
      </w:r>
      <w:r w:rsidR="004E1E1C" w:rsidRPr="00115F4D">
        <w:rPr>
          <w:rFonts w:ascii="Arial" w:hAnsi="Arial" w:cs="Arial"/>
          <w:lang w:val="es-CO"/>
        </w:rPr>
        <w:t xml:space="preserve"> con fines de supervisión. </w:t>
      </w:r>
      <w:r w:rsidR="00267178" w:rsidRPr="00115F4D">
        <w:rPr>
          <w:rFonts w:ascii="Arial" w:hAnsi="Arial" w:cs="Arial"/>
          <w:lang w:val="es-CO"/>
        </w:rPr>
        <w:t xml:space="preserve"> </w:t>
      </w:r>
      <w:r w:rsidR="005713F7" w:rsidRPr="00115F4D">
        <w:rPr>
          <w:rFonts w:ascii="Arial" w:hAnsi="Arial" w:cs="Arial"/>
          <w:lang w:val="es-CO"/>
        </w:rPr>
        <w:t>Por esta razón,</w:t>
      </w:r>
      <w:r w:rsidR="00C46502" w:rsidRPr="00115F4D">
        <w:rPr>
          <w:rFonts w:ascii="Arial" w:hAnsi="Arial" w:cs="Arial"/>
          <w:lang w:val="es-CO"/>
        </w:rPr>
        <w:t xml:space="preserve"> la CREG </w:t>
      </w:r>
      <w:r w:rsidR="006E360A" w:rsidRPr="00115F4D">
        <w:rPr>
          <w:rFonts w:ascii="Arial" w:hAnsi="Arial" w:cs="Arial"/>
          <w:lang w:val="es-CO"/>
        </w:rPr>
        <w:t>plantea</w:t>
      </w:r>
      <w:r w:rsidR="005713F7" w:rsidRPr="00115F4D">
        <w:rPr>
          <w:rFonts w:ascii="Arial" w:hAnsi="Arial" w:cs="Arial"/>
          <w:lang w:val="es-CO"/>
        </w:rPr>
        <w:t xml:space="preserve"> mantener la metodología vigente. </w:t>
      </w:r>
    </w:p>
    <w:p w14:paraId="1E2507A1" w14:textId="77777777" w:rsidR="0007392D" w:rsidRPr="00115F4D" w:rsidRDefault="0007392D" w:rsidP="00891C31">
      <w:pPr>
        <w:pStyle w:val="Textoindependiente"/>
        <w:ind w:left="360" w:right="115"/>
        <w:jc w:val="both"/>
        <w:rPr>
          <w:rFonts w:ascii="Arial" w:hAnsi="Arial" w:cs="Arial"/>
          <w:lang w:val="es-CO"/>
        </w:rPr>
      </w:pPr>
    </w:p>
    <w:p w14:paraId="40516403" w14:textId="104E4B7C" w:rsidR="007219AE" w:rsidRPr="00115F4D" w:rsidRDefault="00B9535F" w:rsidP="00891C31">
      <w:pPr>
        <w:pStyle w:val="Textoindependiente"/>
        <w:ind w:right="115"/>
        <w:jc w:val="both"/>
        <w:rPr>
          <w:rFonts w:ascii="Arial" w:hAnsi="Arial" w:cs="Arial"/>
          <w:lang w:val="es-CO"/>
        </w:rPr>
      </w:pPr>
      <w:r w:rsidRPr="00115F4D">
        <w:rPr>
          <w:rFonts w:ascii="Arial" w:hAnsi="Arial" w:cs="Arial"/>
          <w:lang w:val="es-CO"/>
        </w:rPr>
        <w:t xml:space="preserve">La </w:t>
      </w:r>
      <w:r w:rsidR="00B418B2" w:rsidRPr="00115F4D">
        <w:rPr>
          <w:rFonts w:ascii="Arial" w:hAnsi="Arial" w:cs="Arial"/>
          <w:lang w:val="es-CO"/>
        </w:rPr>
        <w:t xml:space="preserve">Comisión considera que </w:t>
      </w:r>
      <w:r w:rsidRPr="00115F4D">
        <w:rPr>
          <w:rFonts w:ascii="Arial" w:hAnsi="Arial" w:cs="Arial"/>
          <w:lang w:val="es-CO"/>
        </w:rPr>
        <w:t>la</w:t>
      </w:r>
      <w:r w:rsidR="00B3224F" w:rsidRPr="00115F4D">
        <w:rPr>
          <w:rFonts w:ascii="Arial" w:hAnsi="Arial" w:cs="Arial"/>
          <w:lang w:val="es-CO"/>
        </w:rPr>
        <w:t xml:space="preserve"> metodología vigente para el cálculo del </w:t>
      </w:r>
      <w:r w:rsidR="00696D67" w:rsidRPr="00115F4D">
        <w:rPr>
          <w:rFonts w:ascii="Arial" w:hAnsi="Arial" w:cs="Arial"/>
          <w:lang w:val="es-CO"/>
        </w:rPr>
        <w:t>CFS representa</w:t>
      </w:r>
      <w:r w:rsidR="00B418B2" w:rsidRPr="00115F4D">
        <w:rPr>
          <w:rFonts w:ascii="Arial" w:hAnsi="Arial" w:cs="Arial"/>
          <w:lang w:val="es-CO"/>
        </w:rPr>
        <w:t xml:space="preserve"> adecuadamente los ciclos de pagos de los subsidios y permite reconocer apropiadamente los costos financieros asociados a</w:t>
      </w:r>
      <w:r w:rsidR="00B3224F" w:rsidRPr="00115F4D">
        <w:rPr>
          <w:rFonts w:ascii="Arial" w:hAnsi="Arial" w:cs="Arial"/>
          <w:lang w:val="es-CO"/>
        </w:rPr>
        <w:t xml:space="preserve"> estos </w:t>
      </w:r>
      <w:r w:rsidR="00B418B2" w:rsidRPr="00115F4D">
        <w:rPr>
          <w:rFonts w:ascii="Arial" w:hAnsi="Arial" w:cs="Arial"/>
          <w:lang w:val="es-CO"/>
        </w:rPr>
        <w:t>pago</w:t>
      </w:r>
      <w:r w:rsidR="00B3224F" w:rsidRPr="00115F4D">
        <w:rPr>
          <w:rFonts w:ascii="Arial" w:hAnsi="Arial" w:cs="Arial"/>
          <w:lang w:val="es-CO"/>
        </w:rPr>
        <w:t>s</w:t>
      </w:r>
      <w:r w:rsidR="00B418B2" w:rsidRPr="00115F4D">
        <w:rPr>
          <w:rFonts w:ascii="Arial" w:hAnsi="Arial" w:cs="Arial"/>
          <w:lang w:val="es-CO"/>
        </w:rPr>
        <w:t xml:space="preserve">. </w:t>
      </w:r>
      <w:r w:rsidR="007219AE" w:rsidRPr="00115F4D">
        <w:rPr>
          <w:rFonts w:ascii="Arial" w:hAnsi="Arial" w:cs="Arial"/>
          <w:lang w:val="es-CO"/>
        </w:rPr>
        <w:t xml:space="preserve">En este sentido, la CREG propone continuar con el enfoque metodológico establecido en la Resolución CREG 180 de 2014. </w:t>
      </w:r>
    </w:p>
    <w:p w14:paraId="09CB526C" w14:textId="2A1AE380" w:rsidR="00EC1BDC" w:rsidRPr="00115F4D" w:rsidRDefault="003578A6" w:rsidP="00891C31">
      <w:pPr>
        <w:jc w:val="both"/>
        <w:rPr>
          <w:rFonts w:ascii="Arial" w:hAnsi="Arial" w:cs="Arial"/>
        </w:rPr>
      </w:pPr>
      <w:r w:rsidRPr="00115F4D">
        <w:rPr>
          <w:rFonts w:ascii="Arial" w:hAnsi="Arial" w:cs="Arial"/>
        </w:rPr>
        <w:t xml:space="preserve">Con respecto a la fuente de información de r1 esta corresponderá a la publicada por el Banco de la </w:t>
      </w:r>
      <w:r w:rsidR="00EF557F" w:rsidRPr="00115F4D">
        <w:rPr>
          <w:rFonts w:ascii="Arial" w:hAnsi="Arial" w:cs="Arial"/>
        </w:rPr>
        <w:t>República de</w:t>
      </w:r>
      <w:r w:rsidRPr="00115F4D">
        <w:rPr>
          <w:rFonts w:ascii="Arial" w:hAnsi="Arial" w:cs="Arial"/>
        </w:rPr>
        <w:t xml:space="preserve"> acuerdo con el formato</w:t>
      </w:r>
      <w:r w:rsidR="00276712" w:rsidRPr="00115F4D">
        <w:rPr>
          <w:rFonts w:ascii="Arial" w:hAnsi="Arial" w:cs="Arial"/>
        </w:rPr>
        <w:t xml:space="preserve"> 414 denominado </w:t>
      </w:r>
      <w:r w:rsidR="00012EE9" w:rsidRPr="00115F4D">
        <w:rPr>
          <w:rFonts w:ascii="Arial" w:hAnsi="Arial" w:cs="Arial"/>
        </w:rPr>
        <w:t>“Tasas de interés activas por tipo de crédito”</w:t>
      </w:r>
      <w:r w:rsidR="00EF557F" w:rsidRPr="00115F4D">
        <w:rPr>
          <w:rFonts w:ascii="Arial" w:hAnsi="Arial" w:cs="Arial"/>
        </w:rPr>
        <w:t>. Formato</w:t>
      </w:r>
      <w:r w:rsidR="00012EE9" w:rsidRPr="00115F4D">
        <w:rPr>
          <w:rFonts w:ascii="Arial" w:hAnsi="Arial" w:cs="Arial"/>
        </w:rPr>
        <w:t xml:space="preserve"> </w:t>
      </w:r>
      <w:r w:rsidR="00276712" w:rsidRPr="00115F4D">
        <w:rPr>
          <w:rFonts w:ascii="Arial" w:hAnsi="Arial" w:cs="Arial"/>
        </w:rPr>
        <w:t>publicado a través de la circular externa 34 del 27 de diciembre de 2021 de la Superintendencia Financiera de Colombia. Est</w:t>
      </w:r>
      <w:r w:rsidR="005E6DE9" w:rsidRPr="00115F4D">
        <w:rPr>
          <w:rFonts w:ascii="Arial" w:hAnsi="Arial" w:cs="Arial"/>
        </w:rPr>
        <w:t>e cambio se realiza</w:t>
      </w:r>
      <w:r w:rsidR="00276712" w:rsidRPr="00115F4D">
        <w:rPr>
          <w:rFonts w:ascii="Arial" w:hAnsi="Arial" w:cs="Arial"/>
        </w:rPr>
        <w:t xml:space="preserve"> debido a que el formato 088 “Informe Semanal- tasas de interés”</w:t>
      </w:r>
      <w:r w:rsidR="00EF557F" w:rsidRPr="00115F4D">
        <w:rPr>
          <w:rFonts w:ascii="Arial" w:hAnsi="Arial" w:cs="Arial"/>
        </w:rPr>
        <w:t>, formato que anteriormente alimentaba las publicaciones de</w:t>
      </w:r>
      <w:r w:rsidR="00851C34" w:rsidRPr="00115F4D">
        <w:rPr>
          <w:rFonts w:ascii="Arial" w:hAnsi="Arial" w:cs="Arial"/>
        </w:rPr>
        <w:t xml:space="preserve"> tasas del Banco de la República, fue</w:t>
      </w:r>
      <w:r w:rsidR="00276712" w:rsidRPr="00115F4D">
        <w:rPr>
          <w:rFonts w:ascii="Arial" w:hAnsi="Arial" w:cs="Arial"/>
        </w:rPr>
        <w:t xml:space="preserve"> derogado y reemplazado por el formato 414.</w:t>
      </w:r>
    </w:p>
    <w:p w14:paraId="1D263777" w14:textId="04E59F0E" w:rsidR="007B24F2" w:rsidRPr="00115F4D" w:rsidRDefault="007B24F2" w:rsidP="00891C31">
      <w:pPr>
        <w:jc w:val="both"/>
        <w:rPr>
          <w:rFonts w:ascii="Arial" w:hAnsi="Arial" w:cs="Arial"/>
        </w:rPr>
      </w:pPr>
      <w:r w:rsidRPr="00115F4D">
        <w:rPr>
          <w:rFonts w:ascii="Arial" w:hAnsi="Arial" w:cs="Arial"/>
        </w:rPr>
        <w:t>Propuesta:</w:t>
      </w:r>
    </w:p>
    <w:p w14:paraId="44C029B2" w14:textId="77777777" w:rsidR="009B6B0C" w:rsidRPr="00115F4D" w:rsidRDefault="009B6B0C" w:rsidP="00891C31">
      <w:pPr>
        <w:jc w:val="both"/>
        <w:rPr>
          <w:rFonts w:ascii="Arial" w:hAnsi="Arial" w:cs="Arial"/>
        </w:rPr>
      </w:pPr>
      <w:r w:rsidRPr="00115F4D">
        <w:rPr>
          <w:rFonts w:ascii="Arial" w:hAnsi="Arial" w:cs="Arial"/>
        </w:rPr>
        <w:t xml:space="preserve">La variable </w:t>
      </w:r>
      <w:proofErr w:type="gramStart"/>
      <w:r w:rsidRPr="00C90C6F">
        <w:rPr>
          <w:rFonts w:ascii="Arial" w:hAnsi="Arial" w:cs="Arial"/>
          <w:i/>
          <w:iCs/>
        </w:rPr>
        <w:t>CFSi,j</w:t>
      </w:r>
      <w:proofErr w:type="gramEnd"/>
      <w:r w:rsidRPr="00C90C6F">
        <w:rPr>
          <w:rFonts w:ascii="Arial" w:hAnsi="Arial" w:cs="Arial"/>
          <w:i/>
          <w:iCs/>
        </w:rPr>
        <w:t>,m</w:t>
      </w:r>
      <w:r w:rsidRPr="00115F4D">
        <w:rPr>
          <w:rFonts w:ascii="Arial" w:hAnsi="Arial" w:cs="Arial"/>
        </w:rPr>
        <w:t xml:space="preserve"> corresponderá a la remuneración por el tiempo requerido para el giro de los subsidios cuando el comercializador es deficitario. Esta variable será estimada mensualmente por el comercializador de conformidad con la siguiente fórmula: </w:t>
      </w:r>
    </w:p>
    <w:p w14:paraId="1B0C6F1A" w14:textId="519C94A9" w:rsidR="009B6B0C" w:rsidRPr="00115F4D" w:rsidRDefault="00E42F3C" w:rsidP="00891C31">
      <w:pPr>
        <w:rPr>
          <w:rFonts w:ascii="Arial" w:hAnsi="Arial" w:cs="Arial"/>
        </w:rPr>
      </w:pPr>
      <m:oMathPara>
        <m:oMath>
          <m:sSub>
            <m:sSubPr>
              <m:ctrlPr>
                <w:rPr>
                  <w:rFonts w:ascii="Cambria Math" w:hAnsi="Cambria Math" w:cs="Arial"/>
                  <w:i/>
                  <w:color w:val="000000"/>
                </w:rPr>
              </m:ctrlPr>
            </m:sSubPr>
            <m:e>
              <m:r>
                <w:rPr>
                  <w:rFonts w:ascii="Cambria Math" w:hAnsi="Cambria Math" w:cs="Arial"/>
                  <w:color w:val="000000"/>
                </w:rPr>
                <m:t>CFS</m:t>
              </m:r>
            </m:e>
            <m:sub>
              <m:r>
                <w:rPr>
                  <w:rFonts w:ascii="Cambria Math" w:hAnsi="Cambria Math" w:cs="Arial"/>
                  <w:color w:val="000000"/>
                </w:rPr>
                <m:t>i,j,m</m:t>
              </m:r>
            </m:sub>
          </m:sSub>
          <m:r>
            <w:rPr>
              <w:rFonts w:ascii="Cambria Math" w:hAnsi="Cambria Math" w:cs="Arial"/>
              <w:color w:val="000000"/>
            </w:rPr>
            <m:t>=</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Sub1</m:t>
                  </m:r>
                </m:e>
                <m:sub>
                  <m:r>
                    <w:rPr>
                      <w:rFonts w:ascii="Cambria Math" w:hAnsi="Cambria Math" w:cs="Arial"/>
                      <w:color w:val="000000"/>
                    </w:rPr>
                    <m:t>i,j,T</m:t>
                  </m:r>
                </m:sub>
              </m:sSub>
              <m:r>
                <w:rPr>
                  <w:rFonts w:ascii="Cambria Math" w:hAnsi="Cambria Math" w:cs="Arial"/>
                  <w:color w:val="000000"/>
                </w:rPr>
                <m:t>×</m:t>
              </m:r>
              <m:d>
                <m:dPr>
                  <m:begChr m:val="["/>
                  <m:endChr m:val="]"/>
                  <m:ctrlPr>
                    <w:rPr>
                      <w:rFonts w:ascii="Cambria Math" w:hAnsi="Cambria Math" w:cs="Arial"/>
                      <w:i/>
                      <w:color w:val="000000"/>
                    </w:rPr>
                  </m:ctrlPr>
                </m:dPr>
                <m:e>
                  <m:sSup>
                    <m:sSupPr>
                      <m:ctrlPr>
                        <w:rPr>
                          <w:rFonts w:ascii="Cambria Math" w:hAnsi="Cambria Math" w:cs="Arial"/>
                          <w:i/>
                          <w:color w:val="000000"/>
                        </w:rPr>
                      </m:ctrlPr>
                    </m:sSupPr>
                    <m:e>
                      <m:d>
                        <m:dPr>
                          <m:ctrlPr>
                            <w:rPr>
                              <w:rFonts w:ascii="Cambria Math" w:hAnsi="Cambria Math" w:cs="Arial"/>
                              <w:i/>
                              <w:color w:val="000000"/>
                            </w:rPr>
                          </m:ctrlPr>
                        </m:dPr>
                        <m:e>
                          <m:r>
                            <w:rPr>
                              <w:rFonts w:ascii="Cambria Math" w:hAnsi="Cambria Math" w:cs="Arial"/>
                              <w:color w:val="000000"/>
                            </w:rPr>
                            <m:t>1+</m:t>
                          </m:r>
                          <m:sSub>
                            <m:sSubPr>
                              <m:ctrlPr>
                                <w:rPr>
                                  <w:rFonts w:ascii="Cambria Math" w:hAnsi="Cambria Math" w:cs="Arial"/>
                                  <w:i/>
                                  <w:color w:val="000000"/>
                                </w:rPr>
                              </m:ctrlPr>
                            </m:sSubPr>
                            <m:e>
                              <m:r>
                                <w:rPr>
                                  <w:rFonts w:ascii="Cambria Math" w:hAnsi="Cambria Math" w:cs="Arial"/>
                                  <w:color w:val="000000"/>
                                </w:rPr>
                                <m:t>r</m:t>
                              </m:r>
                            </m:e>
                            <m:sub>
                              <m:r>
                                <w:rPr>
                                  <w:rFonts w:ascii="Cambria Math" w:hAnsi="Cambria Math" w:cs="Arial"/>
                                  <w:color w:val="000000"/>
                                </w:rPr>
                                <m:t>1</m:t>
                              </m:r>
                            </m:sub>
                          </m:sSub>
                        </m:e>
                      </m:d>
                    </m:e>
                    <m:sup>
                      <m:r>
                        <w:rPr>
                          <w:rFonts w:ascii="Cambria Math" w:hAnsi="Cambria Math" w:cs="Arial"/>
                          <w:color w:val="000000"/>
                        </w:rPr>
                        <m:t>N</m:t>
                      </m:r>
                    </m:sup>
                  </m:sSup>
                  <m:r>
                    <w:rPr>
                      <w:rFonts w:ascii="Cambria Math" w:hAnsi="Cambria Math" w:cs="Arial"/>
                      <w:color w:val="000000"/>
                    </w:rPr>
                    <m:t>-1</m:t>
                  </m:r>
                </m:e>
              </m:d>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Sub2</m:t>
                  </m:r>
                </m:e>
                <m:sub>
                  <m:r>
                    <w:rPr>
                      <w:rFonts w:ascii="Cambria Math" w:hAnsi="Cambria Math" w:cs="Arial"/>
                      <w:color w:val="000000"/>
                    </w:rPr>
                    <m:t>i,j,T</m:t>
                  </m:r>
                </m:sub>
              </m:sSub>
              <m:r>
                <w:rPr>
                  <w:rFonts w:ascii="Cambria Math" w:hAnsi="Cambria Math" w:cs="Arial"/>
                  <w:color w:val="000000"/>
                </w:rPr>
                <m:t>×</m:t>
              </m:r>
              <m:d>
                <m:dPr>
                  <m:begChr m:val="["/>
                  <m:endChr m:val="]"/>
                  <m:ctrlPr>
                    <w:rPr>
                      <w:rFonts w:ascii="Cambria Math" w:hAnsi="Cambria Math" w:cs="Arial"/>
                      <w:i/>
                      <w:color w:val="000000"/>
                    </w:rPr>
                  </m:ctrlPr>
                </m:dPr>
                <m:e>
                  <m:sSup>
                    <m:sSupPr>
                      <m:ctrlPr>
                        <w:rPr>
                          <w:rFonts w:ascii="Cambria Math" w:hAnsi="Cambria Math" w:cs="Arial"/>
                          <w:i/>
                          <w:color w:val="000000"/>
                        </w:rPr>
                      </m:ctrlPr>
                    </m:sSupPr>
                    <m:e>
                      <m:d>
                        <m:dPr>
                          <m:ctrlPr>
                            <w:rPr>
                              <w:rFonts w:ascii="Cambria Math" w:hAnsi="Cambria Math" w:cs="Arial"/>
                              <w:i/>
                              <w:color w:val="000000"/>
                            </w:rPr>
                          </m:ctrlPr>
                        </m:dPr>
                        <m:e>
                          <m:r>
                            <w:rPr>
                              <w:rFonts w:ascii="Cambria Math" w:hAnsi="Cambria Math" w:cs="Arial"/>
                              <w:color w:val="000000"/>
                            </w:rPr>
                            <m:t>1+</m:t>
                          </m:r>
                          <m:sSub>
                            <m:sSubPr>
                              <m:ctrlPr>
                                <w:rPr>
                                  <w:rFonts w:ascii="Cambria Math" w:hAnsi="Cambria Math" w:cs="Arial"/>
                                  <w:i/>
                                  <w:color w:val="000000"/>
                                </w:rPr>
                              </m:ctrlPr>
                            </m:sSubPr>
                            <m:e>
                              <m:r>
                                <w:rPr>
                                  <w:rFonts w:ascii="Cambria Math" w:hAnsi="Cambria Math" w:cs="Arial"/>
                                  <w:color w:val="000000"/>
                                </w:rPr>
                                <m:t>r</m:t>
                              </m:r>
                            </m:e>
                            <m:sub>
                              <m:r>
                                <w:rPr>
                                  <w:rFonts w:ascii="Cambria Math" w:hAnsi="Cambria Math" w:cs="Arial"/>
                                  <w:color w:val="000000"/>
                                </w:rPr>
                                <m:t>2</m:t>
                              </m:r>
                            </m:sub>
                          </m:sSub>
                        </m:e>
                      </m:d>
                    </m:e>
                    <m:sup>
                      <m:r>
                        <w:rPr>
                          <w:rFonts w:ascii="Cambria Math" w:hAnsi="Cambria Math" w:cs="Arial"/>
                          <w:color w:val="000000"/>
                        </w:rPr>
                        <m:t>M</m:t>
                      </m:r>
                    </m:sup>
                  </m:sSup>
                  <m:r>
                    <w:rPr>
                      <w:rFonts w:ascii="Cambria Math" w:hAnsi="Cambria Math" w:cs="Arial"/>
                      <w:color w:val="000000"/>
                    </w:rPr>
                    <m:t>-1</m:t>
                  </m:r>
                </m:e>
              </m:d>
            </m:num>
            <m:den>
              <m:sSub>
                <m:sSubPr>
                  <m:ctrlPr>
                    <w:rPr>
                      <w:rFonts w:ascii="Cambria Math" w:hAnsi="Cambria Math" w:cs="Arial"/>
                      <w:i/>
                      <w:color w:val="000000"/>
                    </w:rPr>
                  </m:ctrlPr>
                </m:sSubPr>
                <m:e>
                  <m:r>
                    <w:rPr>
                      <w:rFonts w:ascii="Cambria Math" w:hAnsi="Cambria Math" w:cs="Arial"/>
                      <w:color w:val="000000"/>
                    </w:rPr>
                    <m:t>Facturación</m:t>
                  </m:r>
                </m:e>
                <m:sub>
                  <m:r>
                    <w:rPr>
                      <w:rFonts w:ascii="Cambria Math" w:hAnsi="Cambria Math" w:cs="Arial"/>
                      <w:color w:val="000000"/>
                    </w:rPr>
                    <m:t>i,j,T</m:t>
                  </m:r>
                </m:sub>
              </m:sSub>
            </m:den>
          </m:f>
        </m:oMath>
      </m:oMathPara>
    </w:p>
    <w:p w14:paraId="470EFF54" w14:textId="77777777" w:rsidR="009B6B0C" w:rsidRPr="00115F4D" w:rsidRDefault="009B6B0C" w:rsidP="00891C31">
      <w:pPr>
        <w:ind w:left="567"/>
        <w:rPr>
          <w:rFonts w:ascii="Arial" w:hAnsi="Arial" w:cs="Arial"/>
        </w:rPr>
      </w:pPr>
      <w:r w:rsidRPr="00115F4D">
        <w:rPr>
          <w:rFonts w:ascii="Arial" w:hAnsi="Arial" w:cs="Arial"/>
        </w:rPr>
        <w:t>Donde:</w:t>
      </w:r>
    </w:p>
    <w:p w14:paraId="25660CEA" w14:textId="77777777" w:rsidR="009B6B0C" w:rsidRPr="00115F4D" w:rsidRDefault="009B6B0C" w:rsidP="00891C31">
      <w:pPr>
        <w:pStyle w:val="Subttulo"/>
        <w:ind w:left="1701" w:hanging="1134"/>
        <w:rPr>
          <w:rFonts w:ascii="Arial" w:hAnsi="Arial" w:cs="Arial"/>
          <w:b w:val="0"/>
          <w:bCs w:val="0"/>
          <w:sz w:val="22"/>
          <w:szCs w:val="22"/>
          <w:lang w:val="es-CO"/>
        </w:rPr>
      </w:pPr>
      <w:proofErr w:type="gramStart"/>
      <w:r w:rsidRPr="00115F4D">
        <w:rPr>
          <w:rFonts w:ascii="Arial" w:hAnsi="Arial" w:cs="Arial"/>
          <w:b w:val="0"/>
          <w:i/>
          <w:color w:val="000000"/>
          <w:sz w:val="22"/>
          <w:szCs w:val="22"/>
          <w:lang w:val="es-CO"/>
        </w:rPr>
        <w:t>CFS</w:t>
      </w:r>
      <w:r w:rsidRPr="00115F4D">
        <w:rPr>
          <w:rFonts w:ascii="Arial" w:hAnsi="Arial" w:cs="Arial"/>
          <w:b w:val="0"/>
          <w:i/>
          <w:color w:val="000000"/>
          <w:sz w:val="22"/>
          <w:szCs w:val="22"/>
          <w:vertAlign w:val="subscript"/>
          <w:lang w:val="es-CO"/>
        </w:rPr>
        <w:t>i,j</w:t>
      </w:r>
      <w:proofErr w:type="gramEnd"/>
      <w:r w:rsidRPr="00115F4D">
        <w:rPr>
          <w:rFonts w:ascii="Arial" w:hAnsi="Arial" w:cs="Arial"/>
          <w:b w:val="0"/>
          <w:i/>
          <w:color w:val="000000"/>
          <w:sz w:val="22"/>
          <w:szCs w:val="22"/>
          <w:vertAlign w:val="subscript"/>
          <w:lang w:val="es-CO"/>
        </w:rPr>
        <w:t>,m</w:t>
      </w:r>
      <w:r w:rsidRPr="00115F4D">
        <w:rPr>
          <w:rFonts w:ascii="Arial" w:hAnsi="Arial" w:cs="Arial"/>
          <w:b w:val="0"/>
          <w:color w:val="000000"/>
          <w:sz w:val="22"/>
          <w:szCs w:val="22"/>
          <w:lang w:val="es-CO"/>
        </w:rPr>
        <w:t>:</w:t>
      </w:r>
      <w:r w:rsidRPr="00115F4D">
        <w:rPr>
          <w:rFonts w:ascii="Arial" w:hAnsi="Arial" w:cs="Arial"/>
          <w:b w:val="0"/>
          <w:color w:val="000000"/>
          <w:sz w:val="22"/>
          <w:szCs w:val="22"/>
          <w:lang w:val="es-CO"/>
        </w:rPr>
        <w:tab/>
        <w:t xml:space="preserve">Costo financiero asociado al giro de los subsidios al comercializador deficitario </w:t>
      </w:r>
      <w:r w:rsidRPr="00115F4D">
        <w:rPr>
          <w:rFonts w:ascii="Arial" w:hAnsi="Arial" w:cs="Arial"/>
          <w:b w:val="0"/>
          <w:i/>
          <w:color w:val="000000"/>
          <w:sz w:val="22"/>
          <w:szCs w:val="22"/>
          <w:lang w:val="es-CO"/>
        </w:rPr>
        <w:t>i</w:t>
      </w:r>
      <w:r w:rsidRPr="00115F4D">
        <w:rPr>
          <w:rFonts w:ascii="Arial" w:hAnsi="Arial" w:cs="Arial"/>
          <w:b w:val="0"/>
          <w:color w:val="000000"/>
          <w:sz w:val="22"/>
          <w:szCs w:val="22"/>
          <w:lang w:val="es-CO"/>
        </w:rPr>
        <w:t xml:space="preserve">, en el mercado de comercialización </w:t>
      </w:r>
      <w:r w:rsidRPr="00115F4D">
        <w:rPr>
          <w:rFonts w:ascii="Arial" w:hAnsi="Arial" w:cs="Arial"/>
          <w:b w:val="0"/>
          <w:i/>
          <w:color w:val="000000"/>
          <w:sz w:val="22"/>
          <w:szCs w:val="22"/>
          <w:lang w:val="es-CO"/>
        </w:rPr>
        <w:t>j</w:t>
      </w:r>
      <w:r w:rsidRPr="00115F4D">
        <w:rPr>
          <w:rFonts w:ascii="Arial" w:hAnsi="Arial" w:cs="Arial"/>
          <w:b w:val="0"/>
          <w:color w:val="000000"/>
          <w:sz w:val="22"/>
          <w:szCs w:val="22"/>
          <w:lang w:val="es-CO"/>
        </w:rPr>
        <w:t xml:space="preserve">, aplicable en el mes </w:t>
      </w:r>
      <w:r w:rsidRPr="00115F4D">
        <w:rPr>
          <w:rFonts w:ascii="Arial" w:hAnsi="Arial" w:cs="Arial"/>
          <w:b w:val="0"/>
          <w:i/>
          <w:color w:val="000000"/>
          <w:sz w:val="22"/>
          <w:szCs w:val="22"/>
          <w:lang w:val="es-CO"/>
        </w:rPr>
        <w:t>m</w:t>
      </w:r>
      <w:r w:rsidRPr="00115F4D">
        <w:rPr>
          <w:rFonts w:ascii="Arial" w:hAnsi="Arial" w:cs="Arial"/>
          <w:b w:val="0"/>
          <w:color w:val="000000"/>
          <w:sz w:val="22"/>
          <w:szCs w:val="22"/>
          <w:lang w:val="es-CO"/>
        </w:rPr>
        <w:t xml:space="preserve">. Este factor será igual a cero cuando en la última validación trimestral realizada por el Ministerio de Minas y Energía, el comercializador </w:t>
      </w:r>
      <w:r w:rsidRPr="00115F4D">
        <w:rPr>
          <w:rFonts w:ascii="Arial" w:hAnsi="Arial" w:cs="Arial"/>
          <w:b w:val="0"/>
          <w:i/>
          <w:color w:val="000000"/>
          <w:sz w:val="22"/>
          <w:szCs w:val="22"/>
          <w:lang w:val="es-CO"/>
        </w:rPr>
        <w:t>i</w:t>
      </w:r>
      <w:r w:rsidRPr="00115F4D">
        <w:rPr>
          <w:rFonts w:ascii="Arial" w:hAnsi="Arial" w:cs="Arial"/>
          <w:b w:val="0"/>
          <w:sz w:val="22"/>
          <w:szCs w:val="22"/>
          <w:lang w:val="es-CO"/>
        </w:rPr>
        <w:t>,</w:t>
      </w:r>
      <w:r w:rsidRPr="00115F4D">
        <w:rPr>
          <w:rFonts w:ascii="Arial" w:hAnsi="Arial" w:cs="Arial"/>
          <w:b w:val="0"/>
          <w:color w:val="000000"/>
          <w:sz w:val="22"/>
          <w:szCs w:val="22"/>
          <w:lang w:val="es-CO"/>
        </w:rPr>
        <w:t xml:space="preserve"> en el mercado de comercialización </w:t>
      </w:r>
      <w:r w:rsidRPr="00115F4D">
        <w:rPr>
          <w:rFonts w:ascii="Arial" w:hAnsi="Arial" w:cs="Arial"/>
          <w:b w:val="0"/>
          <w:i/>
          <w:color w:val="000000"/>
          <w:sz w:val="22"/>
          <w:szCs w:val="22"/>
          <w:lang w:val="es-CO"/>
        </w:rPr>
        <w:t>j</w:t>
      </w:r>
      <w:r w:rsidRPr="00115F4D">
        <w:rPr>
          <w:rFonts w:ascii="Arial" w:hAnsi="Arial" w:cs="Arial"/>
          <w:b w:val="0"/>
          <w:sz w:val="22"/>
          <w:szCs w:val="22"/>
          <w:lang w:val="es-CO"/>
        </w:rPr>
        <w:t>,</w:t>
      </w:r>
      <w:r w:rsidRPr="00115F4D">
        <w:rPr>
          <w:rFonts w:ascii="Arial" w:hAnsi="Arial" w:cs="Arial"/>
          <w:b w:val="0"/>
          <w:color w:val="000000"/>
          <w:sz w:val="22"/>
          <w:szCs w:val="22"/>
          <w:lang w:val="es-CO"/>
        </w:rPr>
        <w:t xml:space="preserve"> sea superavitario.</w:t>
      </w:r>
    </w:p>
    <w:p w14:paraId="570A26DA" w14:textId="0F1B01EE" w:rsidR="009B6B0C" w:rsidRPr="00115F4D" w:rsidRDefault="009B6B0C" w:rsidP="00891C31">
      <w:pPr>
        <w:pStyle w:val="Subttulo"/>
        <w:ind w:left="1701" w:hanging="1134"/>
        <w:rPr>
          <w:rFonts w:ascii="Arial" w:hAnsi="Arial" w:cs="Arial"/>
          <w:b w:val="0"/>
          <w:i/>
          <w:color w:val="000000"/>
          <w:sz w:val="22"/>
          <w:szCs w:val="22"/>
          <w:lang w:val="es-CO"/>
        </w:rPr>
      </w:pPr>
      <w:r w:rsidRPr="09DE307F">
        <w:rPr>
          <w:rFonts w:ascii="Arial" w:hAnsi="Arial" w:cs="Arial"/>
          <w:b w:val="0"/>
          <w:i/>
          <w:color w:val="000000" w:themeColor="text1"/>
          <w:sz w:val="22"/>
          <w:szCs w:val="22"/>
          <w:lang w:val="es-CO"/>
        </w:rPr>
        <w:t>T:</w:t>
      </w:r>
      <w:r>
        <w:tab/>
      </w:r>
      <w:r w:rsidRPr="09DE307F">
        <w:rPr>
          <w:rFonts w:ascii="Arial" w:hAnsi="Arial" w:cs="Arial"/>
          <w:b w:val="0"/>
          <w:color w:val="000000" w:themeColor="text1"/>
          <w:sz w:val="22"/>
          <w:szCs w:val="22"/>
          <w:lang w:val="es-CO"/>
        </w:rPr>
        <w:t xml:space="preserve">Últimos cuatro trimestres para los cuales el Ministerio de Minas y Energía ha realizado el giro de los subsidios al comercializador i, en el mercado de comercialización </w:t>
      </w:r>
      <w:r w:rsidRPr="09DE307F">
        <w:rPr>
          <w:rFonts w:ascii="Arial" w:hAnsi="Arial" w:cs="Arial"/>
          <w:b w:val="0"/>
          <w:i/>
          <w:color w:val="000000" w:themeColor="text1"/>
          <w:sz w:val="22"/>
          <w:szCs w:val="22"/>
          <w:lang w:val="es-CO"/>
        </w:rPr>
        <w:t>j</w:t>
      </w:r>
      <w:r w:rsidRPr="09DE307F">
        <w:rPr>
          <w:rFonts w:ascii="Arial" w:hAnsi="Arial" w:cs="Arial"/>
          <w:b w:val="0"/>
          <w:color w:val="000000" w:themeColor="text1"/>
          <w:sz w:val="22"/>
          <w:szCs w:val="22"/>
          <w:lang w:val="es-CO"/>
        </w:rPr>
        <w:t>.</w:t>
      </w:r>
    </w:p>
    <w:p w14:paraId="59583DCA" w14:textId="77777777" w:rsidR="00CE1BDE" w:rsidRPr="00CE1BDE" w:rsidRDefault="009B6B0C" w:rsidP="00891C31">
      <w:pPr>
        <w:pStyle w:val="Subttulo"/>
        <w:ind w:left="1701" w:hanging="1134"/>
        <w:rPr>
          <w:rFonts w:ascii="Arial" w:hAnsi="Arial" w:cs="Arial"/>
          <w:b w:val="0"/>
          <w:iCs/>
          <w:color w:val="000000"/>
          <w:sz w:val="22"/>
          <w:szCs w:val="22"/>
          <w:lang w:val="es-CO"/>
        </w:rPr>
      </w:pPr>
      <w:r w:rsidRPr="00115F4D">
        <w:rPr>
          <w:rFonts w:ascii="Arial" w:hAnsi="Arial" w:cs="Arial"/>
          <w:b w:val="0"/>
          <w:i/>
          <w:color w:val="000000"/>
          <w:sz w:val="22"/>
          <w:szCs w:val="22"/>
          <w:lang w:val="es-CO"/>
        </w:rPr>
        <w:t>N:</w:t>
      </w:r>
      <w:r w:rsidRPr="00115F4D">
        <w:rPr>
          <w:rFonts w:ascii="Arial" w:hAnsi="Arial" w:cs="Arial"/>
          <w:b w:val="0"/>
          <w:i/>
          <w:color w:val="000000"/>
          <w:sz w:val="22"/>
          <w:szCs w:val="22"/>
          <w:lang w:val="es-CO"/>
        </w:rPr>
        <w:tab/>
      </w:r>
      <w:r w:rsidR="00CE1BDE" w:rsidRPr="00CE1BDE">
        <w:rPr>
          <w:rFonts w:ascii="Arial" w:hAnsi="Arial" w:cs="Arial"/>
          <w:b w:val="0"/>
          <w:iCs/>
          <w:color w:val="000000"/>
          <w:sz w:val="22"/>
          <w:szCs w:val="22"/>
          <w:lang w:val="es-CO"/>
        </w:rPr>
        <w:t>Promedio del número de meses transcurridos a partir de la fecha en que culmine el proceso de conciliación con el Ministerio de Minas y Energía hasta el giro de los subsidios en todos los mercados relevantes de comercialización atendidos por el comercializador deficitario j.</w:t>
      </w:r>
    </w:p>
    <w:p w14:paraId="6CA8C2F0" w14:textId="3004A642" w:rsidR="009B6B0C" w:rsidRPr="00634BAB" w:rsidRDefault="00CE1BDE" w:rsidP="00891C31">
      <w:pPr>
        <w:pStyle w:val="Subttulo"/>
        <w:ind w:left="1701"/>
        <w:rPr>
          <w:rFonts w:ascii="Arial" w:hAnsi="Arial" w:cs="Arial"/>
          <w:b w:val="0"/>
          <w:iCs/>
          <w:color w:val="000000"/>
          <w:sz w:val="22"/>
          <w:szCs w:val="22"/>
        </w:rPr>
      </w:pPr>
      <w:r w:rsidRPr="00CE1BDE">
        <w:rPr>
          <w:rFonts w:ascii="Arial" w:hAnsi="Arial" w:cs="Arial"/>
          <w:b w:val="0"/>
          <w:iCs/>
          <w:color w:val="000000"/>
          <w:sz w:val="22"/>
          <w:szCs w:val="22"/>
          <w:lang w:val="es-CO"/>
        </w:rPr>
        <w:t>En el caso de que para un trimestre T se presente más de un giro, se deberá calcular el promedio ponderado del tiempo transcurrido a partir de la fecha en que culmine el proceso de conciliación con el Ministerio de Minas y Energía hasta los giros empleando el valor de los giros realizados</w:t>
      </w:r>
      <w:r w:rsidR="009B6B0C" w:rsidRPr="00115F4D">
        <w:rPr>
          <w:rFonts w:ascii="Arial" w:hAnsi="Arial" w:cs="Arial"/>
          <w:b w:val="0"/>
          <w:iCs/>
          <w:color w:val="000000"/>
          <w:sz w:val="22"/>
          <w:szCs w:val="22"/>
          <w:lang w:val="es-CO"/>
        </w:rPr>
        <w:t>.</w:t>
      </w:r>
    </w:p>
    <w:p w14:paraId="214B5F42"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r1</w:t>
      </w:r>
      <w:r w:rsidRPr="00115F4D">
        <w:rPr>
          <w:rFonts w:ascii="Arial" w:hAnsi="Arial" w:cs="Arial"/>
          <w:b w:val="0"/>
          <w:i/>
          <w:color w:val="000000"/>
          <w:sz w:val="22"/>
          <w:szCs w:val="22"/>
          <w:lang w:val="es-CO"/>
        </w:rPr>
        <w:tab/>
      </w:r>
      <w:r w:rsidRPr="00115F4D">
        <w:rPr>
          <w:rFonts w:ascii="Arial" w:hAnsi="Arial" w:cs="Arial"/>
          <w:b w:val="0"/>
          <w:iCs/>
          <w:color w:val="000000"/>
          <w:sz w:val="22"/>
          <w:szCs w:val="22"/>
          <w:lang w:val="es-CO"/>
        </w:rPr>
        <w:t xml:space="preserve">Costo de oportunidad mes vencido, calculado como el promedio semanal de las tasas de interés preferencial o corporativo, de los créditos comerciales, vigentes a partir del segundo mes del último trimestre de </w:t>
      </w:r>
      <w:r w:rsidRPr="00115F4D">
        <w:rPr>
          <w:rFonts w:ascii="Arial" w:hAnsi="Arial" w:cs="Arial"/>
          <w:b w:val="0"/>
          <w:i/>
          <w:color w:val="000000"/>
          <w:sz w:val="22"/>
          <w:szCs w:val="22"/>
          <w:lang w:val="es-CO"/>
        </w:rPr>
        <w:t>T</w:t>
      </w:r>
      <w:r w:rsidRPr="00115F4D">
        <w:rPr>
          <w:rFonts w:ascii="Arial" w:hAnsi="Arial" w:cs="Arial"/>
          <w:b w:val="0"/>
          <w:iCs/>
          <w:color w:val="000000"/>
          <w:sz w:val="22"/>
          <w:szCs w:val="22"/>
          <w:lang w:val="es-CO"/>
        </w:rPr>
        <w:t xml:space="preserve"> y hasta el mes anterior al mes de giro de subsidios por parte del Ministerio de Minas y Energía</w:t>
      </w:r>
      <w:r w:rsidRPr="00115F4D">
        <w:rPr>
          <w:rFonts w:ascii="Arial" w:hAnsi="Arial" w:cs="Arial"/>
          <w:b w:val="0"/>
          <w:i/>
          <w:color w:val="000000"/>
          <w:sz w:val="22"/>
          <w:szCs w:val="22"/>
          <w:lang w:val="es-CO"/>
        </w:rPr>
        <w:t xml:space="preserve">. </w:t>
      </w:r>
    </w:p>
    <w:p w14:paraId="63923A5F" w14:textId="77777777" w:rsidR="009B6B0C" w:rsidRPr="00115F4D" w:rsidRDefault="009B6B0C" w:rsidP="00891C31">
      <w:pPr>
        <w:pStyle w:val="Subttulo"/>
        <w:ind w:left="1701"/>
        <w:rPr>
          <w:rFonts w:ascii="Arial" w:hAnsi="Arial" w:cs="Arial"/>
          <w:b w:val="0"/>
          <w:iCs/>
          <w:color w:val="000000"/>
          <w:sz w:val="22"/>
          <w:szCs w:val="22"/>
          <w:lang w:val="es-CO"/>
        </w:rPr>
      </w:pPr>
      <w:r w:rsidRPr="00115F4D">
        <w:rPr>
          <w:rFonts w:ascii="Arial" w:hAnsi="Arial" w:cs="Arial"/>
          <w:b w:val="0"/>
          <w:iCs/>
          <w:color w:val="000000"/>
          <w:sz w:val="22"/>
          <w:szCs w:val="22"/>
          <w:lang w:val="es-CO"/>
        </w:rPr>
        <w:t>La fuente de información será la publicada por el Banco de la República de acuerdo con el formato 441 de la Superintendencia Financiera de Colombia. La tasa efectiva anual publicada deberá mensualizarse para su aplicación utilizando la siguiente expresión:</w:t>
      </w:r>
    </w:p>
    <w:p w14:paraId="7BD62EB7" w14:textId="375FE940" w:rsidR="009B6B0C" w:rsidRPr="00115F4D" w:rsidRDefault="00E42F3C" w:rsidP="00891C31">
      <w:pPr>
        <w:pStyle w:val="Subttulo"/>
        <w:ind w:left="1701" w:hanging="1134"/>
        <w:rPr>
          <w:rFonts w:ascii="Arial" w:hAnsi="Arial" w:cs="Arial"/>
          <w:b w:val="0"/>
          <w:i/>
          <w:color w:val="000000"/>
          <w:sz w:val="22"/>
          <w:szCs w:val="22"/>
          <w:lang w:val="es-CO"/>
        </w:rPr>
      </w:pPr>
      <m:oMathPara>
        <m:oMath>
          <m:sSub>
            <m:sSubPr>
              <m:ctrlPr>
                <w:rPr>
                  <w:rFonts w:ascii="Cambria Math" w:hAnsi="Cambria Math" w:cs="Arial"/>
                  <w:b w:val="0"/>
                  <w:i/>
                  <w:color w:val="000000"/>
                  <w:sz w:val="22"/>
                  <w:szCs w:val="22"/>
                  <w:lang w:val="es-CO"/>
                </w:rPr>
              </m:ctrlPr>
            </m:sSubPr>
            <m:e>
              <m:r>
                <m:rPr>
                  <m:sty m:val="bi"/>
                </m:rPr>
                <w:rPr>
                  <w:rFonts w:ascii="Cambria Math" w:hAnsi="Cambria Math" w:cs="Arial"/>
                  <w:color w:val="000000"/>
                  <w:sz w:val="22"/>
                  <w:szCs w:val="22"/>
                  <w:lang w:val="es-CO"/>
                </w:rPr>
                <m:t>r</m:t>
              </m:r>
            </m:e>
            <m:sub>
              <m:r>
                <m:rPr>
                  <m:sty m:val="bi"/>
                </m:rPr>
                <w:rPr>
                  <w:rFonts w:ascii="Cambria Math" w:hAnsi="Cambria Math" w:cs="Arial"/>
                  <w:color w:val="000000"/>
                  <w:sz w:val="22"/>
                  <w:szCs w:val="22"/>
                  <w:lang w:val="es-CO"/>
                </w:rPr>
                <m:t>EM</m:t>
              </m:r>
            </m:sub>
          </m:sSub>
          <m:r>
            <m:rPr>
              <m:sty m:val="bi"/>
            </m:rPr>
            <w:rPr>
              <w:rFonts w:ascii="Cambria Math" w:hAnsi="Cambria Math" w:cs="Arial"/>
              <w:color w:val="000000"/>
              <w:sz w:val="22"/>
              <w:szCs w:val="22"/>
              <w:lang w:val="es-CO"/>
            </w:rPr>
            <m:t>=</m:t>
          </m:r>
          <m:sSup>
            <m:sSupPr>
              <m:ctrlPr>
                <w:rPr>
                  <w:rFonts w:ascii="Cambria Math" w:hAnsi="Cambria Math" w:cs="Arial"/>
                  <w:b w:val="0"/>
                  <w:i/>
                  <w:color w:val="000000"/>
                  <w:sz w:val="22"/>
                  <w:szCs w:val="22"/>
                  <w:lang w:val="es-CO"/>
                </w:rPr>
              </m:ctrlPr>
            </m:sSupPr>
            <m:e>
              <m:d>
                <m:dPr>
                  <m:ctrlPr>
                    <w:rPr>
                      <w:rFonts w:ascii="Cambria Math" w:hAnsi="Cambria Math" w:cs="Arial"/>
                      <w:i/>
                      <w:color w:val="000000"/>
                      <w:sz w:val="22"/>
                      <w:szCs w:val="22"/>
                      <w:lang w:val="es-CO"/>
                    </w:rPr>
                  </m:ctrlPr>
                </m:dPr>
                <m:e>
                  <m:r>
                    <m:rPr>
                      <m:sty m:val="bi"/>
                    </m:rPr>
                    <w:rPr>
                      <w:rFonts w:ascii="Cambria Math" w:hAnsi="Cambria Math" w:cs="Arial"/>
                      <w:color w:val="000000"/>
                      <w:sz w:val="22"/>
                      <w:szCs w:val="22"/>
                      <w:lang w:val="es-CO"/>
                    </w:rPr>
                    <m:t>1+</m:t>
                  </m:r>
                  <m:sSub>
                    <m:sSubPr>
                      <m:ctrlPr>
                        <w:rPr>
                          <w:rFonts w:ascii="Cambria Math" w:hAnsi="Cambria Math" w:cs="Arial"/>
                          <w:b w:val="0"/>
                          <w:i/>
                          <w:color w:val="000000"/>
                          <w:sz w:val="22"/>
                          <w:szCs w:val="22"/>
                          <w:lang w:val="es-CO"/>
                        </w:rPr>
                      </m:ctrlPr>
                    </m:sSubPr>
                    <m:e>
                      <m:r>
                        <m:rPr>
                          <m:sty m:val="bi"/>
                        </m:rPr>
                        <w:rPr>
                          <w:rFonts w:ascii="Cambria Math" w:hAnsi="Cambria Math" w:cs="Arial"/>
                          <w:color w:val="000000"/>
                          <w:sz w:val="22"/>
                          <w:szCs w:val="22"/>
                          <w:lang w:val="es-CO"/>
                        </w:rPr>
                        <m:t>r</m:t>
                      </m:r>
                    </m:e>
                    <m:sub>
                      <m:r>
                        <m:rPr>
                          <m:sty m:val="bi"/>
                        </m:rPr>
                        <w:rPr>
                          <w:rFonts w:ascii="Cambria Math" w:hAnsi="Cambria Math" w:cs="Arial"/>
                          <w:color w:val="000000"/>
                          <w:sz w:val="22"/>
                          <w:szCs w:val="22"/>
                          <w:lang w:val="es-CO"/>
                        </w:rPr>
                        <m:t>EA</m:t>
                      </m:r>
                    </m:sub>
                  </m:sSub>
                </m:e>
              </m:d>
            </m:e>
            <m:sup>
              <m:f>
                <m:fPr>
                  <m:ctrlPr>
                    <w:rPr>
                      <w:rFonts w:ascii="Cambria Math" w:hAnsi="Cambria Math" w:cs="Arial"/>
                      <w:b w:val="0"/>
                      <w:i/>
                      <w:color w:val="000000"/>
                      <w:sz w:val="22"/>
                      <w:szCs w:val="22"/>
                      <w:lang w:val="es-CO"/>
                    </w:rPr>
                  </m:ctrlPr>
                </m:fPr>
                <m:num>
                  <m:r>
                    <m:rPr>
                      <m:sty m:val="bi"/>
                    </m:rPr>
                    <w:rPr>
                      <w:rFonts w:ascii="Cambria Math" w:hAnsi="Cambria Math" w:cs="Arial"/>
                      <w:color w:val="000000"/>
                      <w:sz w:val="22"/>
                      <w:szCs w:val="22"/>
                      <w:lang w:val="es-CO"/>
                    </w:rPr>
                    <m:t>1</m:t>
                  </m:r>
                </m:num>
                <m:den>
                  <m:r>
                    <m:rPr>
                      <m:sty m:val="bi"/>
                    </m:rPr>
                    <w:rPr>
                      <w:rFonts w:ascii="Cambria Math" w:hAnsi="Cambria Math" w:cs="Arial"/>
                      <w:color w:val="000000"/>
                      <w:sz w:val="22"/>
                      <w:szCs w:val="22"/>
                      <w:lang w:val="es-CO"/>
                    </w:rPr>
                    <m:t>12</m:t>
                  </m:r>
                </m:den>
              </m:f>
              <m:r>
                <m:rPr>
                  <m:sty m:val="bi"/>
                </m:rPr>
                <w:rPr>
                  <w:rFonts w:ascii="Cambria Math" w:hAnsi="Cambria Math" w:cs="Arial"/>
                  <w:color w:val="000000"/>
                  <w:sz w:val="22"/>
                  <w:szCs w:val="22"/>
                  <w:lang w:val="es-CO"/>
                </w:rPr>
                <m:t>-1</m:t>
              </m:r>
            </m:sup>
          </m:sSup>
        </m:oMath>
      </m:oMathPara>
    </w:p>
    <w:p w14:paraId="62CB2B5F"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 xml:space="preserve">Con: </w:t>
      </w:r>
    </w:p>
    <w:p w14:paraId="274BD652"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r</w:t>
      </w:r>
      <w:r w:rsidRPr="00115F4D">
        <w:rPr>
          <w:rFonts w:ascii="Arial" w:hAnsi="Arial" w:cs="Arial"/>
          <w:b w:val="0"/>
          <w:i/>
          <w:color w:val="000000"/>
          <w:sz w:val="22"/>
          <w:szCs w:val="22"/>
          <w:vertAlign w:val="subscript"/>
          <w:lang w:val="es-CO"/>
        </w:rPr>
        <w:t>EM</w:t>
      </w:r>
      <w:r w:rsidRPr="00115F4D">
        <w:rPr>
          <w:rFonts w:ascii="Arial" w:hAnsi="Arial" w:cs="Arial"/>
          <w:b w:val="0"/>
          <w:i/>
          <w:color w:val="000000"/>
          <w:sz w:val="22"/>
          <w:szCs w:val="22"/>
          <w:lang w:val="es-CO"/>
        </w:rPr>
        <w:tab/>
      </w:r>
      <w:r w:rsidRPr="00115F4D">
        <w:rPr>
          <w:rFonts w:ascii="Arial" w:hAnsi="Arial" w:cs="Arial"/>
          <w:b w:val="0"/>
          <w:iCs/>
          <w:color w:val="000000"/>
          <w:sz w:val="22"/>
          <w:szCs w:val="22"/>
          <w:lang w:val="es-CO"/>
        </w:rPr>
        <w:t>Tasa efectiva mensual</w:t>
      </w:r>
    </w:p>
    <w:p w14:paraId="2369D677"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r</w:t>
      </w:r>
      <w:r w:rsidRPr="00115F4D">
        <w:rPr>
          <w:rFonts w:ascii="Arial" w:hAnsi="Arial" w:cs="Arial"/>
          <w:b w:val="0"/>
          <w:i/>
          <w:color w:val="000000"/>
          <w:sz w:val="22"/>
          <w:szCs w:val="22"/>
          <w:vertAlign w:val="subscript"/>
          <w:lang w:val="es-CO"/>
        </w:rPr>
        <w:t>EA</w:t>
      </w:r>
      <w:r w:rsidRPr="00115F4D">
        <w:rPr>
          <w:rFonts w:ascii="Arial" w:hAnsi="Arial" w:cs="Arial"/>
          <w:b w:val="0"/>
          <w:i/>
          <w:color w:val="000000"/>
          <w:sz w:val="22"/>
          <w:szCs w:val="22"/>
          <w:lang w:val="es-CO"/>
        </w:rPr>
        <w:t xml:space="preserve"> </w:t>
      </w:r>
      <w:r w:rsidRPr="00115F4D">
        <w:rPr>
          <w:rFonts w:ascii="Arial" w:hAnsi="Arial" w:cs="Arial"/>
          <w:b w:val="0"/>
          <w:i/>
          <w:color w:val="000000"/>
          <w:sz w:val="22"/>
          <w:szCs w:val="22"/>
          <w:lang w:val="es-CO"/>
        </w:rPr>
        <w:tab/>
        <w:t>Tasa efectiva anual</w:t>
      </w:r>
    </w:p>
    <w:p w14:paraId="2E55626E"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Sub1</w:t>
      </w:r>
      <w:proofErr w:type="gramStart"/>
      <w:r w:rsidRPr="00115F4D">
        <w:rPr>
          <w:rFonts w:ascii="Arial" w:hAnsi="Arial" w:cs="Arial"/>
          <w:b w:val="0"/>
          <w:i/>
          <w:color w:val="000000"/>
          <w:sz w:val="22"/>
          <w:szCs w:val="22"/>
          <w:vertAlign w:val="subscript"/>
          <w:lang w:val="es-CO"/>
        </w:rPr>
        <w:t>i,j</w:t>
      </w:r>
      <w:proofErr w:type="gramEnd"/>
      <w:r w:rsidRPr="00115F4D">
        <w:rPr>
          <w:rFonts w:ascii="Arial" w:hAnsi="Arial" w:cs="Arial"/>
          <w:b w:val="0"/>
          <w:i/>
          <w:color w:val="000000"/>
          <w:sz w:val="22"/>
          <w:szCs w:val="22"/>
          <w:vertAlign w:val="subscript"/>
          <w:lang w:val="es-CO"/>
        </w:rPr>
        <w:t>,T</w:t>
      </w:r>
      <w:r w:rsidRPr="00115F4D">
        <w:rPr>
          <w:rFonts w:ascii="Arial" w:hAnsi="Arial" w:cs="Arial"/>
          <w:b w:val="0"/>
          <w:i/>
          <w:color w:val="000000"/>
          <w:sz w:val="22"/>
          <w:szCs w:val="22"/>
          <w:lang w:val="es-CO"/>
        </w:rPr>
        <w:t>:</w:t>
      </w:r>
      <w:r w:rsidRPr="00115F4D">
        <w:rPr>
          <w:rFonts w:ascii="Arial" w:hAnsi="Arial" w:cs="Arial"/>
          <w:b w:val="0"/>
          <w:i/>
          <w:color w:val="000000"/>
          <w:sz w:val="22"/>
          <w:szCs w:val="22"/>
          <w:lang w:val="es-CO"/>
        </w:rPr>
        <w:tab/>
      </w:r>
      <w:r w:rsidRPr="00115F4D">
        <w:rPr>
          <w:rFonts w:ascii="Arial" w:hAnsi="Arial" w:cs="Arial"/>
          <w:b w:val="0"/>
          <w:iCs/>
          <w:color w:val="000000"/>
          <w:sz w:val="22"/>
          <w:szCs w:val="22"/>
          <w:lang w:val="es-CO"/>
        </w:rPr>
        <w:t>Valor promedio del déficit de subsidios causados y no pagados una vez finalizado cada trimestre, de acuerdo con las validaciones realizadas por el Ministerio de Minas y Energía, de conformidad con el artículo 5 del Decreto 847 de 2001 o aquel que lo modifique, complemente o sustituya, para el comercializador i, en el mercado de comercialización j, para los trimestres T.</w:t>
      </w:r>
    </w:p>
    <w:p w14:paraId="1CADEF94"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M:</w:t>
      </w:r>
      <w:r w:rsidRPr="00115F4D">
        <w:rPr>
          <w:rFonts w:ascii="Arial" w:hAnsi="Arial" w:cs="Arial"/>
          <w:b w:val="0"/>
          <w:i/>
          <w:color w:val="000000"/>
          <w:sz w:val="22"/>
          <w:szCs w:val="22"/>
          <w:lang w:val="es-CO"/>
        </w:rPr>
        <w:tab/>
      </w:r>
      <w:r w:rsidRPr="00115F4D">
        <w:rPr>
          <w:rFonts w:ascii="Arial" w:hAnsi="Arial" w:cs="Arial"/>
          <w:b w:val="0"/>
          <w:iCs/>
          <w:color w:val="000000"/>
          <w:sz w:val="22"/>
          <w:szCs w:val="22"/>
          <w:lang w:val="es-CO"/>
        </w:rPr>
        <w:t xml:space="preserve">Promedio del número de meses de pago anticipado respecto de la finalización de los trimestres </w:t>
      </w:r>
      <w:r w:rsidRPr="00115F4D">
        <w:rPr>
          <w:rFonts w:ascii="Arial" w:hAnsi="Arial" w:cs="Arial"/>
          <w:b w:val="0"/>
          <w:i/>
          <w:color w:val="000000"/>
          <w:sz w:val="22"/>
          <w:szCs w:val="22"/>
          <w:lang w:val="es-CO"/>
        </w:rPr>
        <w:t>T</w:t>
      </w:r>
      <w:r w:rsidRPr="00115F4D">
        <w:rPr>
          <w:rFonts w:ascii="Arial" w:hAnsi="Arial" w:cs="Arial"/>
          <w:b w:val="0"/>
          <w:iCs/>
          <w:color w:val="000000"/>
          <w:sz w:val="22"/>
          <w:szCs w:val="22"/>
          <w:lang w:val="es-CO"/>
        </w:rPr>
        <w:t xml:space="preserve"> para el comercializador deficitario i, en el mercado de comercialización </w:t>
      </w:r>
      <w:r w:rsidRPr="00115F4D">
        <w:rPr>
          <w:rFonts w:ascii="Arial" w:hAnsi="Arial" w:cs="Arial"/>
          <w:b w:val="0"/>
          <w:i/>
          <w:color w:val="000000"/>
          <w:sz w:val="22"/>
          <w:szCs w:val="22"/>
          <w:lang w:val="es-CO"/>
        </w:rPr>
        <w:t>j.</w:t>
      </w:r>
    </w:p>
    <w:p w14:paraId="57CCBD88"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lastRenderedPageBreak/>
        <w:t>r2</w:t>
      </w:r>
      <w:r w:rsidRPr="00115F4D">
        <w:rPr>
          <w:rFonts w:ascii="Arial" w:hAnsi="Arial" w:cs="Arial"/>
          <w:b w:val="0"/>
          <w:i/>
          <w:color w:val="000000"/>
          <w:sz w:val="22"/>
          <w:szCs w:val="22"/>
          <w:lang w:val="es-CO"/>
        </w:rPr>
        <w:tab/>
      </w:r>
      <w:r w:rsidRPr="00115F4D">
        <w:rPr>
          <w:rFonts w:ascii="Arial" w:hAnsi="Arial" w:cs="Arial"/>
          <w:b w:val="0"/>
          <w:iCs/>
          <w:color w:val="000000"/>
          <w:sz w:val="22"/>
          <w:szCs w:val="22"/>
          <w:lang w:val="es-CO"/>
        </w:rPr>
        <w:t xml:space="preserve">Costo de oportunidad mes vencido, calculado como el promedio semanal de las tasas de los Certificados de Ahorro a Término, vigentes a partir del segundo mes del último trimestre de </w:t>
      </w:r>
      <w:r w:rsidRPr="00115F4D">
        <w:rPr>
          <w:rFonts w:ascii="Arial" w:hAnsi="Arial" w:cs="Arial"/>
          <w:b w:val="0"/>
          <w:i/>
          <w:color w:val="000000"/>
          <w:sz w:val="22"/>
          <w:szCs w:val="22"/>
          <w:lang w:val="es-CO"/>
        </w:rPr>
        <w:t>T</w:t>
      </w:r>
      <w:r w:rsidRPr="00115F4D">
        <w:rPr>
          <w:rFonts w:ascii="Arial" w:hAnsi="Arial" w:cs="Arial"/>
          <w:b w:val="0"/>
          <w:iCs/>
          <w:color w:val="000000"/>
          <w:sz w:val="22"/>
          <w:szCs w:val="22"/>
          <w:lang w:val="es-CO"/>
        </w:rPr>
        <w:t xml:space="preserve"> y hasta el mes anterior al mes de giro de subsidios por parte del Ministerio de Minas y Energía.</w:t>
      </w:r>
      <w:r w:rsidRPr="00115F4D">
        <w:rPr>
          <w:rFonts w:ascii="Arial" w:hAnsi="Arial" w:cs="Arial"/>
          <w:b w:val="0"/>
          <w:i/>
          <w:color w:val="000000"/>
          <w:sz w:val="22"/>
          <w:szCs w:val="22"/>
          <w:lang w:val="es-CO"/>
        </w:rPr>
        <w:t xml:space="preserve"> </w:t>
      </w:r>
    </w:p>
    <w:p w14:paraId="648FF028" w14:textId="77777777" w:rsidR="009B6B0C" w:rsidRPr="00115F4D" w:rsidRDefault="009B6B0C" w:rsidP="00891C31">
      <w:pPr>
        <w:pStyle w:val="Subttulo"/>
        <w:ind w:left="1701"/>
        <w:rPr>
          <w:rFonts w:ascii="Arial" w:hAnsi="Arial" w:cs="Arial"/>
          <w:b w:val="0"/>
          <w:iCs/>
          <w:color w:val="000000"/>
          <w:sz w:val="22"/>
          <w:szCs w:val="22"/>
          <w:lang w:val="es-CO"/>
        </w:rPr>
      </w:pPr>
      <w:r w:rsidRPr="00115F4D">
        <w:rPr>
          <w:rFonts w:ascii="Arial" w:hAnsi="Arial" w:cs="Arial"/>
          <w:b w:val="0"/>
          <w:iCs/>
          <w:color w:val="000000"/>
          <w:sz w:val="22"/>
          <w:szCs w:val="22"/>
          <w:lang w:val="es-CO"/>
        </w:rPr>
        <w:t xml:space="preserve">La fuente de información será la publicada por el Banco de la República de acuerdo con el Formato 441, Circular 100 de 1995 de la Superintendencia Financiera de Colombia. La tasa efectiva anual publicada en la columna “Total establecimientos” deberá mensualizarse para su aplicación utilizando la siguiente expresión: </w:t>
      </w:r>
    </w:p>
    <w:p w14:paraId="00FD2200" w14:textId="7F0EC68E" w:rsidR="009B6B0C" w:rsidRPr="00115F4D" w:rsidRDefault="00E42F3C" w:rsidP="00891C31">
      <w:pPr>
        <w:pStyle w:val="Subttulo"/>
        <w:ind w:left="1701" w:hanging="1134"/>
        <w:rPr>
          <w:rFonts w:ascii="Arial" w:hAnsi="Arial" w:cs="Arial"/>
          <w:b w:val="0"/>
          <w:i/>
          <w:color w:val="000000"/>
          <w:sz w:val="22"/>
          <w:szCs w:val="22"/>
          <w:lang w:val="es-CO"/>
        </w:rPr>
      </w:pPr>
      <m:oMathPara>
        <m:oMath>
          <m:sSub>
            <m:sSubPr>
              <m:ctrlPr>
                <w:rPr>
                  <w:rFonts w:ascii="Cambria Math" w:hAnsi="Cambria Math" w:cs="Arial"/>
                  <w:b w:val="0"/>
                  <w:i/>
                  <w:color w:val="000000"/>
                  <w:sz w:val="22"/>
                  <w:szCs w:val="22"/>
                  <w:lang w:val="es-CO"/>
                </w:rPr>
              </m:ctrlPr>
            </m:sSubPr>
            <m:e>
              <m:r>
                <m:rPr>
                  <m:sty m:val="bi"/>
                </m:rPr>
                <w:rPr>
                  <w:rFonts w:ascii="Cambria Math" w:hAnsi="Cambria Math" w:cs="Arial"/>
                  <w:color w:val="000000"/>
                  <w:sz w:val="22"/>
                  <w:szCs w:val="22"/>
                  <w:lang w:val="es-CO"/>
                </w:rPr>
                <m:t>r</m:t>
              </m:r>
            </m:e>
            <m:sub>
              <m:r>
                <m:rPr>
                  <m:sty m:val="bi"/>
                </m:rPr>
                <w:rPr>
                  <w:rFonts w:ascii="Cambria Math" w:hAnsi="Cambria Math" w:cs="Arial"/>
                  <w:color w:val="000000"/>
                  <w:sz w:val="22"/>
                  <w:szCs w:val="22"/>
                  <w:lang w:val="es-CO"/>
                </w:rPr>
                <m:t>EM</m:t>
              </m:r>
            </m:sub>
          </m:sSub>
          <m:r>
            <m:rPr>
              <m:sty m:val="bi"/>
            </m:rPr>
            <w:rPr>
              <w:rFonts w:ascii="Cambria Math" w:hAnsi="Cambria Math" w:cs="Arial"/>
              <w:color w:val="000000"/>
              <w:sz w:val="22"/>
              <w:szCs w:val="22"/>
              <w:lang w:val="es-CO"/>
            </w:rPr>
            <m:t>=</m:t>
          </m:r>
          <m:sSup>
            <m:sSupPr>
              <m:ctrlPr>
                <w:rPr>
                  <w:rFonts w:ascii="Cambria Math" w:hAnsi="Cambria Math" w:cs="Arial"/>
                  <w:b w:val="0"/>
                  <w:i/>
                  <w:color w:val="000000"/>
                  <w:sz w:val="22"/>
                  <w:szCs w:val="22"/>
                  <w:lang w:val="es-CO"/>
                </w:rPr>
              </m:ctrlPr>
            </m:sSupPr>
            <m:e>
              <m:d>
                <m:dPr>
                  <m:ctrlPr>
                    <w:rPr>
                      <w:rFonts w:ascii="Cambria Math" w:hAnsi="Cambria Math" w:cs="Arial"/>
                      <w:i/>
                      <w:color w:val="000000"/>
                      <w:sz w:val="22"/>
                      <w:szCs w:val="22"/>
                      <w:lang w:val="es-CO"/>
                    </w:rPr>
                  </m:ctrlPr>
                </m:dPr>
                <m:e>
                  <m:r>
                    <m:rPr>
                      <m:sty m:val="bi"/>
                    </m:rPr>
                    <w:rPr>
                      <w:rFonts w:ascii="Cambria Math" w:hAnsi="Cambria Math" w:cs="Arial"/>
                      <w:color w:val="000000"/>
                      <w:sz w:val="22"/>
                      <w:szCs w:val="22"/>
                      <w:lang w:val="es-CO"/>
                    </w:rPr>
                    <m:t>1+</m:t>
                  </m:r>
                  <m:sSub>
                    <m:sSubPr>
                      <m:ctrlPr>
                        <w:rPr>
                          <w:rFonts w:ascii="Cambria Math" w:hAnsi="Cambria Math" w:cs="Arial"/>
                          <w:b w:val="0"/>
                          <w:i/>
                          <w:color w:val="000000"/>
                          <w:sz w:val="22"/>
                          <w:szCs w:val="22"/>
                          <w:lang w:val="es-CO"/>
                        </w:rPr>
                      </m:ctrlPr>
                    </m:sSubPr>
                    <m:e>
                      <m:r>
                        <m:rPr>
                          <m:sty m:val="bi"/>
                        </m:rPr>
                        <w:rPr>
                          <w:rFonts w:ascii="Cambria Math" w:hAnsi="Cambria Math" w:cs="Arial"/>
                          <w:color w:val="000000"/>
                          <w:sz w:val="22"/>
                          <w:szCs w:val="22"/>
                          <w:lang w:val="es-CO"/>
                        </w:rPr>
                        <m:t>r</m:t>
                      </m:r>
                    </m:e>
                    <m:sub>
                      <m:r>
                        <m:rPr>
                          <m:sty m:val="bi"/>
                        </m:rPr>
                        <w:rPr>
                          <w:rFonts w:ascii="Cambria Math" w:hAnsi="Cambria Math" w:cs="Arial"/>
                          <w:color w:val="000000"/>
                          <w:sz w:val="22"/>
                          <w:szCs w:val="22"/>
                          <w:lang w:val="es-CO"/>
                        </w:rPr>
                        <m:t>EA</m:t>
                      </m:r>
                    </m:sub>
                  </m:sSub>
                </m:e>
              </m:d>
            </m:e>
            <m:sup>
              <m:f>
                <m:fPr>
                  <m:ctrlPr>
                    <w:rPr>
                      <w:rFonts w:ascii="Cambria Math" w:hAnsi="Cambria Math" w:cs="Arial"/>
                      <w:b w:val="0"/>
                      <w:i/>
                      <w:color w:val="000000"/>
                      <w:sz w:val="22"/>
                      <w:szCs w:val="22"/>
                      <w:lang w:val="es-CO"/>
                    </w:rPr>
                  </m:ctrlPr>
                </m:fPr>
                <m:num>
                  <m:r>
                    <m:rPr>
                      <m:sty m:val="bi"/>
                    </m:rPr>
                    <w:rPr>
                      <w:rFonts w:ascii="Cambria Math" w:hAnsi="Cambria Math" w:cs="Arial"/>
                      <w:color w:val="000000"/>
                      <w:sz w:val="22"/>
                      <w:szCs w:val="22"/>
                      <w:lang w:val="es-CO"/>
                    </w:rPr>
                    <m:t>1</m:t>
                  </m:r>
                </m:num>
                <m:den>
                  <m:r>
                    <m:rPr>
                      <m:sty m:val="bi"/>
                    </m:rPr>
                    <w:rPr>
                      <w:rFonts w:ascii="Cambria Math" w:hAnsi="Cambria Math" w:cs="Arial"/>
                      <w:color w:val="000000"/>
                      <w:sz w:val="22"/>
                      <w:szCs w:val="22"/>
                      <w:lang w:val="es-CO"/>
                    </w:rPr>
                    <m:t>12</m:t>
                  </m:r>
                </m:den>
              </m:f>
              <m:r>
                <m:rPr>
                  <m:sty m:val="bi"/>
                </m:rPr>
                <w:rPr>
                  <w:rFonts w:ascii="Cambria Math" w:hAnsi="Cambria Math" w:cs="Arial"/>
                  <w:color w:val="000000"/>
                  <w:sz w:val="22"/>
                  <w:szCs w:val="22"/>
                  <w:lang w:val="es-CO"/>
                </w:rPr>
                <m:t>-1</m:t>
              </m:r>
            </m:sup>
          </m:sSup>
        </m:oMath>
      </m:oMathPara>
    </w:p>
    <w:p w14:paraId="0A0E09F5"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 xml:space="preserve">Con: </w:t>
      </w:r>
    </w:p>
    <w:p w14:paraId="57A0B912"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r</w:t>
      </w:r>
      <w:r w:rsidRPr="00115F4D">
        <w:rPr>
          <w:rFonts w:ascii="Arial" w:hAnsi="Arial" w:cs="Arial"/>
          <w:b w:val="0"/>
          <w:i/>
          <w:color w:val="000000"/>
          <w:sz w:val="22"/>
          <w:szCs w:val="22"/>
          <w:vertAlign w:val="subscript"/>
          <w:lang w:val="es-CO"/>
        </w:rPr>
        <w:t>EM</w:t>
      </w:r>
      <w:r w:rsidRPr="00115F4D">
        <w:rPr>
          <w:rFonts w:ascii="Arial" w:hAnsi="Arial" w:cs="Arial"/>
          <w:b w:val="0"/>
          <w:i/>
          <w:color w:val="000000"/>
          <w:sz w:val="22"/>
          <w:szCs w:val="22"/>
          <w:lang w:val="es-CO"/>
        </w:rPr>
        <w:tab/>
        <w:t>Tasa efectiva mensual</w:t>
      </w:r>
    </w:p>
    <w:p w14:paraId="4BE8CE4E"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r</w:t>
      </w:r>
      <w:r w:rsidRPr="00115F4D">
        <w:rPr>
          <w:rFonts w:ascii="Arial" w:hAnsi="Arial" w:cs="Arial"/>
          <w:b w:val="0"/>
          <w:i/>
          <w:color w:val="000000"/>
          <w:sz w:val="22"/>
          <w:szCs w:val="22"/>
          <w:vertAlign w:val="subscript"/>
          <w:lang w:val="es-CO"/>
        </w:rPr>
        <w:t>EA</w:t>
      </w:r>
      <w:r w:rsidRPr="00115F4D">
        <w:rPr>
          <w:rFonts w:ascii="Arial" w:hAnsi="Arial" w:cs="Arial"/>
          <w:b w:val="0"/>
          <w:i/>
          <w:color w:val="000000"/>
          <w:sz w:val="22"/>
          <w:szCs w:val="22"/>
          <w:lang w:val="es-CO"/>
        </w:rPr>
        <w:t xml:space="preserve"> </w:t>
      </w:r>
      <w:r w:rsidRPr="00115F4D">
        <w:rPr>
          <w:rFonts w:ascii="Arial" w:hAnsi="Arial" w:cs="Arial"/>
          <w:b w:val="0"/>
          <w:i/>
          <w:color w:val="000000"/>
          <w:sz w:val="22"/>
          <w:szCs w:val="22"/>
          <w:lang w:val="es-CO"/>
        </w:rPr>
        <w:tab/>
        <w:t>Tasa efectiva anual</w:t>
      </w:r>
    </w:p>
    <w:p w14:paraId="3D3F5190" w14:textId="77777777" w:rsidR="009B6B0C" w:rsidRPr="00115F4D" w:rsidRDefault="009B6B0C" w:rsidP="00891C31">
      <w:pPr>
        <w:pStyle w:val="Subttulo"/>
        <w:ind w:left="1701" w:hanging="1134"/>
        <w:rPr>
          <w:rFonts w:ascii="Arial" w:hAnsi="Arial" w:cs="Arial"/>
          <w:b w:val="0"/>
          <w:i/>
          <w:color w:val="000000"/>
          <w:sz w:val="22"/>
          <w:szCs w:val="22"/>
          <w:lang w:val="es-CO"/>
        </w:rPr>
      </w:pPr>
      <w:r w:rsidRPr="00115F4D">
        <w:rPr>
          <w:rFonts w:ascii="Arial" w:hAnsi="Arial" w:cs="Arial"/>
          <w:b w:val="0"/>
          <w:i/>
          <w:color w:val="000000"/>
          <w:sz w:val="22"/>
          <w:szCs w:val="22"/>
          <w:lang w:val="es-CO"/>
        </w:rPr>
        <w:t>Sub2</w:t>
      </w:r>
      <w:proofErr w:type="gramStart"/>
      <w:r w:rsidRPr="00115F4D">
        <w:rPr>
          <w:rFonts w:ascii="Arial" w:hAnsi="Arial" w:cs="Arial"/>
          <w:b w:val="0"/>
          <w:i/>
          <w:color w:val="000000"/>
          <w:sz w:val="22"/>
          <w:szCs w:val="22"/>
          <w:vertAlign w:val="subscript"/>
          <w:lang w:val="es-CO"/>
        </w:rPr>
        <w:t>i,j</w:t>
      </w:r>
      <w:proofErr w:type="gramEnd"/>
      <w:r w:rsidRPr="00115F4D">
        <w:rPr>
          <w:rFonts w:ascii="Arial" w:hAnsi="Arial" w:cs="Arial"/>
          <w:b w:val="0"/>
          <w:i/>
          <w:color w:val="000000"/>
          <w:sz w:val="22"/>
          <w:szCs w:val="22"/>
          <w:vertAlign w:val="subscript"/>
          <w:lang w:val="es-CO"/>
        </w:rPr>
        <w:t>,T</w:t>
      </w:r>
      <w:r w:rsidRPr="00115F4D">
        <w:rPr>
          <w:rFonts w:ascii="Arial" w:hAnsi="Arial" w:cs="Arial"/>
          <w:b w:val="0"/>
          <w:i/>
          <w:color w:val="000000"/>
          <w:sz w:val="22"/>
          <w:szCs w:val="22"/>
          <w:lang w:val="es-CO"/>
        </w:rPr>
        <w:t>:</w:t>
      </w:r>
      <w:r w:rsidRPr="00115F4D">
        <w:rPr>
          <w:rFonts w:ascii="Arial" w:hAnsi="Arial" w:cs="Arial"/>
          <w:b w:val="0"/>
          <w:i/>
          <w:color w:val="000000"/>
          <w:sz w:val="22"/>
          <w:szCs w:val="22"/>
          <w:lang w:val="es-CO"/>
        </w:rPr>
        <w:tab/>
      </w:r>
      <w:r w:rsidRPr="00115F4D">
        <w:rPr>
          <w:rFonts w:ascii="Arial" w:hAnsi="Arial" w:cs="Arial"/>
          <w:b w:val="0"/>
          <w:iCs/>
          <w:color w:val="000000"/>
          <w:sz w:val="22"/>
          <w:szCs w:val="22"/>
          <w:lang w:val="es-CO"/>
        </w:rPr>
        <w:t>Valor promedio del déficit de subsidios pagados antes de finalizar cada trimestre, de acuerdo con las validaciones realizadas por el Ministerio de Minas y Energía, de conformidad con el artículo 5 del Decreto 847 de 2001 o aquel que lo modifique o sustituya, para el comercializador i, en el mercado de comercialización j, para los trimestres T.</w:t>
      </w:r>
    </w:p>
    <w:p w14:paraId="4128E93D" w14:textId="77777777" w:rsidR="009B6B0C" w:rsidRPr="00115F4D" w:rsidRDefault="009B6B0C" w:rsidP="00891C31">
      <w:pPr>
        <w:pStyle w:val="Subttulo"/>
        <w:ind w:left="1701" w:hanging="1134"/>
        <w:rPr>
          <w:rFonts w:ascii="Arial" w:hAnsi="Arial" w:cs="Arial"/>
          <w:b w:val="0"/>
          <w:i/>
          <w:color w:val="000000"/>
          <w:sz w:val="22"/>
          <w:szCs w:val="22"/>
          <w:lang w:val="es-CO"/>
        </w:rPr>
      </w:pPr>
      <w:proofErr w:type="gramStart"/>
      <w:r w:rsidRPr="00115F4D">
        <w:rPr>
          <w:rFonts w:ascii="Arial" w:hAnsi="Arial" w:cs="Arial"/>
          <w:b w:val="0"/>
          <w:i/>
          <w:color w:val="000000"/>
          <w:sz w:val="22"/>
          <w:szCs w:val="22"/>
          <w:lang w:val="es-CO"/>
        </w:rPr>
        <w:t>Facturación</w:t>
      </w:r>
      <w:r w:rsidRPr="00115F4D">
        <w:rPr>
          <w:rFonts w:ascii="Arial" w:hAnsi="Arial" w:cs="Arial"/>
          <w:b w:val="0"/>
          <w:i/>
          <w:color w:val="000000"/>
          <w:sz w:val="22"/>
          <w:szCs w:val="22"/>
          <w:vertAlign w:val="subscript"/>
          <w:lang w:val="es-CO"/>
        </w:rPr>
        <w:t>i,j</w:t>
      </w:r>
      <w:proofErr w:type="gramEnd"/>
      <w:r w:rsidRPr="00115F4D">
        <w:rPr>
          <w:rFonts w:ascii="Arial" w:hAnsi="Arial" w:cs="Arial"/>
          <w:b w:val="0"/>
          <w:i/>
          <w:color w:val="000000"/>
          <w:sz w:val="22"/>
          <w:szCs w:val="22"/>
          <w:vertAlign w:val="subscript"/>
          <w:lang w:val="es-CO"/>
        </w:rPr>
        <w:t>,T:</w:t>
      </w:r>
      <w:r w:rsidRPr="00115F4D">
        <w:rPr>
          <w:rFonts w:ascii="Arial" w:hAnsi="Arial" w:cs="Arial"/>
          <w:b w:val="0"/>
          <w:i/>
          <w:color w:val="000000"/>
          <w:sz w:val="22"/>
          <w:szCs w:val="22"/>
          <w:lang w:val="es-CO"/>
        </w:rPr>
        <w:tab/>
      </w:r>
      <w:r w:rsidRPr="00115F4D">
        <w:rPr>
          <w:rFonts w:ascii="Arial" w:hAnsi="Arial" w:cs="Arial"/>
          <w:b w:val="0"/>
          <w:iCs/>
          <w:color w:val="000000"/>
          <w:sz w:val="22"/>
          <w:szCs w:val="22"/>
          <w:lang w:val="es-CO"/>
        </w:rPr>
        <w:t xml:space="preserve">Corresponde a la facturación por concepto de ventas de energía realizadas por el comercializador </w:t>
      </w:r>
      <w:r w:rsidRPr="00115F4D">
        <w:rPr>
          <w:rFonts w:ascii="Arial" w:hAnsi="Arial" w:cs="Arial"/>
          <w:b w:val="0"/>
          <w:i/>
          <w:color w:val="000000"/>
          <w:sz w:val="22"/>
          <w:szCs w:val="22"/>
          <w:lang w:val="es-CO"/>
        </w:rPr>
        <w:t>i</w:t>
      </w:r>
      <w:r w:rsidRPr="00115F4D">
        <w:rPr>
          <w:rFonts w:ascii="Arial" w:hAnsi="Arial" w:cs="Arial"/>
          <w:b w:val="0"/>
          <w:iCs/>
          <w:color w:val="000000"/>
          <w:sz w:val="22"/>
          <w:szCs w:val="22"/>
          <w:lang w:val="es-CO"/>
        </w:rPr>
        <w:t xml:space="preserve">, en el mercado de comercialización </w:t>
      </w:r>
      <w:r w:rsidRPr="00115F4D">
        <w:rPr>
          <w:rFonts w:ascii="Arial" w:hAnsi="Arial" w:cs="Arial"/>
          <w:b w:val="0"/>
          <w:i/>
          <w:color w:val="000000"/>
          <w:sz w:val="22"/>
          <w:szCs w:val="22"/>
          <w:lang w:val="es-CO"/>
        </w:rPr>
        <w:t>j</w:t>
      </w:r>
      <w:r w:rsidRPr="00115F4D">
        <w:rPr>
          <w:rFonts w:ascii="Arial" w:hAnsi="Arial" w:cs="Arial"/>
          <w:b w:val="0"/>
          <w:iCs/>
          <w:color w:val="000000"/>
          <w:sz w:val="22"/>
          <w:szCs w:val="22"/>
          <w:lang w:val="es-CO"/>
        </w:rPr>
        <w:t xml:space="preserve">, para los trimestres </w:t>
      </w:r>
      <w:r w:rsidRPr="00115F4D">
        <w:rPr>
          <w:rFonts w:ascii="Arial" w:hAnsi="Arial" w:cs="Arial"/>
          <w:b w:val="0"/>
          <w:i/>
          <w:color w:val="000000"/>
          <w:sz w:val="22"/>
          <w:szCs w:val="22"/>
          <w:lang w:val="es-CO"/>
        </w:rPr>
        <w:t>T</w:t>
      </w:r>
      <w:r w:rsidRPr="00115F4D">
        <w:rPr>
          <w:rFonts w:ascii="Arial" w:hAnsi="Arial" w:cs="Arial"/>
          <w:b w:val="0"/>
          <w:iCs/>
          <w:color w:val="000000"/>
          <w:sz w:val="22"/>
          <w:szCs w:val="22"/>
          <w:lang w:val="es-CO"/>
        </w:rPr>
        <w:t xml:space="preserve">. </w:t>
      </w:r>
    </w:p>
    <w:p w14:paraId="5988A086" w14:textId="77777777" w:rsidR="009B6B0C" w:rsidRPr="00115F4D" w:rsidRDefault="009B6B0C" w:rsidP="00891C31">
      <w:pPr>
        <w:pStyle w:val="Subttulo"/>
        <w:ind w:left="1701"/>
        <w:rPr>
          <w:rFonts w:ascii="Arial" w:hAnsi="Arial" w:cs="Arial"/>
          <w:b w:val="0"/>
          <w:iCs/>
          <w:color w:val="000000"/>
          <w:sz w:val="22"/>
          <w:szCs w:val="22"/>
          <w:lang w:val="es-CO"/>
        </w:rPr>
      </w:pPr>
      <w:r w:rsidRPr="00115F4D">
        <w:rPr>
          <w:rFonts w:ascii="Arial" w:hAnsi="Arial" w:cs="Arial"/>
          <w:b w:val="0"/>
          <w:iCs/>
          <w:color w:val="000000"/>
          <w:sz w:val="22"/>
          <w:szCs w:val="22"/>
          <w:lang w:val="es-CO"/>
        </w:rPr>
        <w:t>Esta facturación debe coincidir con lo reportado al Sistema Unificado de Información, SUI, para usuarios regulados en los formatos 2 y 3 de la Resolución SSPD 20212200012515 de 2021 o aquella que la modifique, complemente o sustituya.</w:t>
      </w:r>
    </w:p>
    <w:p w14:paraId="327A99F8" w14:textId="276A0EA7" w:rsidR="00786153" w:rsidRDefault="00786153" w:rsidP="00891C31">
      <w:pPr>
        <w:jc w:val="both"/>
        <w:rPr>
          <w:rFonts w:ascii="Arial" w:hAnsi="Arial" w:cs="Arial"/>
          <w:iCs/>
        </w:rPr>
      </w:pPr>
      <w:r>
        <w:rPr>
          <w:rFonts w:ascii="Arial" w:hAnsi="Arial" w:cs="Arial"/>
          <w:iCs/>
        </w:rPr>
        <w:t xml:space="preserve">En la </w:t>
      </w:r>
      <w:r w:rsidR="00634BAB">
        <w:rPr>
          <w:rFonts w:ascii="Arial" w:hAnsi="Arial" w:cs="Arial"/>
          <w:iCs/>
        </w:rPr>
        <w:fldChar w:fldCharType="begin"/>
      </w:r>
      <w:r w:rsidR="00634BAB">
        <w:rPr>
          <w:rFonts w:ascii="Arial" w:hAnsi="Arial" w:cs="Arial"/>
          <w:iCs/>
        </w:rPr>
        <w:instrText xml:space="preserve"> REF _Ref164838554 \h  \* MERGEFORMAT </w:instrText>
      </w:r>
      <w:r w:rsidR="00634BAB">
        <w:rPr>
          <w:rFonts w:ascii="Arial" w:hAnsi="Arial" w:cs="Arial"/>
          <w:iCs/>
        </w:rPr>
      </w:r>
      <w:r w:rsidR="00634BAB">
        <w:rPr>
          <w:rFonts w:ascii="Arial" w:hAnsi="Arial" w:cs="Arial"/>
          <w:iCs/>
        </w:rPr>
        <w:fldChar w:fldCharType="separate"/>
      </w:r>
      <w:r w:rsidR="002A641D" w:rsidRPr="002A641D">
        <w:rPr>
          <w:rFonts w:ascii="Arial" w:hAnsi="Arial" w:cs="Arial"/>
          <w:iCs/>
        </w:rPr>
        <w:t>Tabla 14</w:t>
      </w:r>
      <w:r w:rsidR="00634BAB">
        <w:rPr>
          <w:rFonts w:ascii="Arial" w:hAnsi="Arial" w:cs="Arial"/>
          <w:iCs/>
        </w:rPr>
        <w:fldChar w:fldCharType="end"/>
      </w:r>
      <w:r w:rsidR="00634BAB">
        <w:rPr>
          <w:rFonts w:ascii="Arial" w:hAnsi="Arial" w:cs="Arial"/>
          <w:iCs/>
        </w:rPr>
        <w:t xml:space="preserve"> </w:t>
      </w:r>
      <w:r>
        <w:rPr>
          <w:rFonts w:ascii="Arial" w:hAnsi="Arial" w:cs="Arial"/>
          <w:iCs/>
        </w:rPr>
        <w:t>se presenta la comparación de la metodología para determinar el reconocimiento por</w:t>
      </w:r>
      <w:r w:rsidR="0039122E">
        <w:rPr>
          <w:rFonts w:ascii="Arial" w:hAnsi="Arial" w:cs="Arial"/>
          <w:iCs/>
        </w:rPr>
        <w:t xml:space="preserve"> costo financiero por</w:t>
      </w:r>
      <w:r>
        <w:rPr>
          <w:rFonts w:ascii="Arial" w:hAnsi="Arial" w:cs="Arial"/>
          <w:iCs/>
        </w:rPr>
        <w:t xml:space="preserve"> e</w:t>
      </w:r>
      <w:r w:rsidR="0039122E">
        <w:rPr>
          <w:rFonts w:ascii="Arial" w:hAnsi="Arial" w:cs="Arial"/>
          <w:iCs/>
        </w:rPr>
        <w:t>l tiempo en el giro de subsidios.</w:t>
      </w:r>
    </w:p>
    <w:p w14:paraId="24719B55" w14:textId="7CF1E012" w:rsidR="00786153" w:rsidRDefault="00786153" w:rsidP="00891C31">
      <w:pPr>
        <w:pStyle w:val="Descripcin"/>
        <w:tabs>
          <w:tab w:val="left" w:pos="1276"/>
        </w:tabs>
        <w:spacing w:after="0"/>
        <w:rPr>
          <w:rFonts w:ascii="Arial" w:hAnsi="Arial" w:cs="Arial"/>
          <w:b/>
          <w:bCs/>
          <w:color w:val="auto"/>
        </w:rPr>
      </w:pPr>
      <w:bookmarkStart w:id="57" w:name="_Ref164838554"/>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14</w:t>
      </w:r>
      <w:r w:rsidRPr="00115F4D">
        <w:rPr>
          <w:rFonts w:ascii="Arial" w:hAnsi="Arial" w:cs="Arial"/>
          <w:b/>
          <w:bCs/>
          <w:color w:val="auto"/>
        </w:rPr>
        <w:fldChar w:fldCharType="end"/>
      </w:r>
      <w:bookmarkEnd w:id="57"/>
      <w:r w:rsidRPr="00115F4D">
        <w:rPr>
          <w:rFonts w:ascii="Arial" w:hAnsi="Arial" w:cs="Arial"/>
          <w:b/>
          <w:bCs/>
          <w:color w:val="auto"/>
        </w:rPr>
        <w:t xml:space="preserve"> </w:t>
      </w:r>
      <w:r>
        <w:rPr>
          <w:rFonts w:ascii="Arial" w:hAnsi="Arial" w:cs="Arial"/>
          <w:b/>
          <w:bCs/>
          <w:color w:val="auto"/>
        </w:rPr>
        <w:t xml:space="preserve">Comparación metodología de reconocimiento costos </w:t>
      </w:r>
      <w:r w:rsidR="0039122E">
        <w:rPr>
          <w:rFonts w:ascii="Arial" w:hAnsi="Arial" w:cs="Arial"/>
          <w:b/>
          <w:bCs/>
          <w:color w:val="auto"/>
        </w:rPr>
        <w:t>financieros giro de subsidios</w:t>
      </w:r>
      <w:r>
        <w:rPr>
          <w:rFonts w:ascii="Arial" w:hAnsi="Arial" w:cs="Arial"/>
          <w:b/>
          <w:bCs/>
          <w:color w:val="auto"/>
        </w:rPr>
        <w:t xml:space="preserve">. </w:t>
      </w:r>
    </w:p>
    <w:tbl>
      <w:tblPr>
        <w:tblStyle w:val="Tablaconcuadrcula1clara-nfasis3"/>
        <w:tblW w:w="5000" w:type="pct"/>
        <w:tblLook w:val="0620" w:firstRow="1" w:lastRow="0" w:firstColumn="0" w:lastColumn="0" w:noHBand="1" w:noVBand="1"/>
      </w:tblPr>
      <w:tblGrid>
        <w:gridCol w:w="1439"/>
        <w:gridCol w:w="3738"/>
        <w:gridCol w:w="3839"/>
      </w:tblGrid>
      <w:tr w:rsidR="00786153" w:rsidRPr="009B336F" w14:paraId="67153EA0" w14:textId="77777777">
        <w:trPr>
          <w:cnfStyle w:val="100000000000" w:firstRow="1" w:lastRow="0" w:firstColumn="0" w:lastColumn="0" w:oddVBand="0" w:evenVBand="0" w:oddHBand="0" w:evenHBand="0" w:firstRowFirstColumn="0" w:firstRowLastColumn="0" w:lastRowFirstColumn="0" w:lastRowLastColumn="0"/>
          <w:trHeight w:val="27"/>
        </w:trPr>
        <w:tc>
          <w:tcPr>
            <w:tcW w:w="798" w:type="pct"/>
            <w:hideMark/>
          </w:tcPr>
          <w:p w14:paraId="3560D65C" w14:textId="77777777" w:rsidR="00786153" w:rsidRPr="009B336F" w:rsidRDefault="00786153" w:rsidP="00891C31">
            <w:pPr>
              <w:spacing w:before="0" w:after="0"/>
              <w:jc w:val="center"/>
              <w:rPr>
                <w:rFonts w:ascii="Arial" w:eastAsia="Times New Roman" w:hAnsi="Arial" w:cs="Arial"/>
                <w:sz w:val="20"/>
                <w:szCs w:val="20"/>
                <w:lang w:eastAsia="es-CO"/>
              </w:rPr>
            </w:pPr>
            <w:r w:rsidRPr="009B336F">
              <w:rPr>
                <w:rFonts w:ascii="Arial" w:eastAsia="Times New Roman" w:hAnsi="Arial" w:cs="Arial"/>
                <w:sz w:val="20"/>
                <w:szCs w:val="20"/>
                <w:lang w:eastAsia="es-CO"/>
              </w:rPr>
              <w:t>Componente</w:t>
            </w:r>
          </w:p>
        </w:tc>
        <w:tc>
          <w:tcPr>
            <w:tcW w:w="2073" w:type="pct"/>
            <w:hideMark/>
          </w:tcPr>
          <w:p w14:paraId="5F0C5007" w14:textId="77777777" w:rsidR="00786153" w:rsidRPr="009B336F" w:rsidRDefault="00786153" w:rsidP="00891C31">
            <w:pPr>
              <w:spacing w:before="0" w:after="0"/>
              <w:jc w:val="center"/>
              <w:rPr>
                <w:rFonts w:ascii="Arial" w:eastAsia="Times New Roman" w:hAnsi="Arial" w:cs="Arial"/>
                <w:b w:val="0"/>
                <w:bCs w:val="0"/>
                <w:sz w:val="20"/>
                <w:szCs w:val="20"/>
                <w:lang w:eastAsia="es-CO"/>
              </w:rPr>
            </w:pPr>
            <w:r w:rsidRPr="009B336F">
              <w:rPr>
                <w:rFonts w:ascii="Arial" w:eastAsia="Times New Roman" w:hAnsi="Arial" w:cs="Arial"/>
                <w:b w:val="0"/>
                <w:bCs w:val="0"/>
                <w:sz w:val="20"/>
                <w:szCs w:val="20"/>
                <w:lang w:eastAsia="es-CO"/>
              </w:rPr>
              <w:t>Actual</w:t>
            </w:r>
          </w:p>
        </w:tc>
        <w:tc>
          <w:tcPr>
            <w:tcW w:w="2129" w:type="pct"/>
            <w:hideMark/>
          </w:tcPr>
          <w:p w14:paraId="7666F6C1" w14:textId="77777777" w:rsidR="00786153" w:rsidRPr="009B336F" w:rsidRDefault="00786153" w:rsidP="00891C31">
            <w:pPr>
              <w:spacing w:before="0" w:after="0"/>
              <w:jc w:val="center"/>
              <w:rPr>
                <w:rFonts w:ascii="Arial" w:eastAsia="Times New Roman" w:hAnsi="Arial" w:cs="Arial"/>
                <w:b w:val="0"/>
                <w:bCs w:val="0"/>
                <w:sz w:val="20"/>
                <w:szCs w:val="20"/>
                <w:lang w:eastAsia="es-CO"/>
              </w:rPr>
            </w:pPr>
            <w:r w:rsidRPr="009B336F">
              <w:rPr>
                <w:rFonts w:ascii="Arial" w:eastAsia="Times New Roman" w:hAnsi="Arial" w:cs="Arial"/>
                <w:b w:val="0"/>
                <w:bCs w:val="0"/>
                <w:sz w:val="20"/>
                <w:szCs w:val="20"/>
                <w:lang w:eastAsia="es-CO"/>
              </w:rPr>
              <w:t>Propuesta</w:t>
            </w:r>
          </w:p>
        </w:tc>
      </w:tr>
      <w:tr w:rsidR="00786153" w:rsidRPr="009B336F" w14:paraId="2F6D446E" w14:textId="77777777">
        <w:trPr>
          <w:trHeight w:val="997"/>
        </w:trPr>
        <w:tc>
          <w:tcPr>
            <w:tcW w:w="798" w:type="pct"/>
            <w:hideMark/>
          </w:tcPr>
          <w:p w14:paraId="5C9D28CB" w14:textId="77777777" w:rsidR="00786153" w:rsidRPr="009B336F" w:rsidRDefault="00786153" w:rsidP="00891C31">
            <w:pPr>
              <w:spacing w:before="0" w:after="0"/>
              <w:jc w:val="center"/>
              <w:rPr>
                <w:rFonts w:ascii="Arial" w:eastAsia="Times New Roman" w:hAnsi="Arial" w:cs="Arial"/>
                <w:sz w:val="20"/>
                <w:szCs w:val="20"/>
                <w:lang w:eastAsia="es-CO"/>
              </w:rPr>
            </w:pPr>
            <w:r w:rsidRPr="009B336F">
              <w:rPr>
                <w:rFonts w:ascii="Arial" w:eastAsiaTheme="minorEastAsia" w:hAnsi="Arial" w:cs="Arial"/>
                <w:b/>
                <w:color w:val="000000" w:themeColor="text1"/>
                <w:kern w:val="24"/>
                <w:sz w:val="20"/>
                <w:szCs w:val="20"/>
                <w:lang w:val="es-MX" w:eastAsia="es-CO"/>
              </w:rPr>
              <w:t>Costo pago subsidios</w:t>
            </w:r>
          </w:p>
        </w:tc>
        <w:tc>
          <w:tcPr>
            <w:tcW w:w="2073" w:type="pct"/>
            <w:hideMark/>
          </w:tcPr>
          <w:p w14:paraId="1432DC46" w14:textId="77777777" w:rsidR="009B336F" w:rsidRPr="009B336F" w:rsidRDefault="009B336F" w:rsidP="00C00C77">
            <w:pPr>
              <w:numPr>
                <w:ilvl w:val="0"/>
                <w:numId w:val="23"/>
              </w:numPr>
              <w:spacing w:before="40" w:after="40"/>
              <w:ind w:left="179" w:hanging="136"/>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Déficit en subsidios para cada comercializador por trimestre.</w:t>
            </w:r>
          </w:p>
          <w:p w14:paraId="7E392BD0" w14:textId="77777777" w:rsidR="009B336F" w:rsidRPr="009B336F" w:rsidRDefault="009B336F" w:rsidP="00C00C77">
            <w:pPr>
              <w:numPr>
                <w:ilvl w:val="0"/>
                <w:numId w:val="23"/>
              </w:numPr>
              <w:spacing w:before="40" w:after="40"/>
              <w:ind w:left="179" w:hanging="136"/>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Promedio del tiempo de giro por parte del MME.</w:t>
            </w:r>
          </w:p>
          <w:p w14:paraId="7252C837" w14:textId="77777777" w:rsidR="009B336F" w:rsidRPr="009B336F" w:rsidRDefault="009B336F" w:rsidP="00C00C77">
            <w:pPr>
              <w:numPr>
                <w:ilvl w:val="0"/>
                <w:numId w:val="23"/>
              </w:numPr>
              <w:spacing w:before="40" w:after="40"/>
              <w:ind w:left="179" w:hanging="136"/>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Promedio de tasas de colocación preferenciales.</w:t>
            </w:r>
          </w:p>
        </w:tc>
        <w:tc>
          <w:tcPr>
            <w:tcW w:w="2129" w:type="pct"/>
            <w:hideMark/>
          </w:tcPr>
          <w:p w14:paraId="6CD7D758" w14:textId="77777777" w:rsidR="009B336F" w:rsidRPr="009B336F" w:rsidRDefault="009B336F" w:rsidP="00C00C77">
            <w:pPr>
              <w:numPr>
                <w:ilvl w:val="0"/>
                <w:numId w:val="23"/>
              </w:numPr>
              <w:spacing w:before="40" w:after="40"/>
              <w:ind w:left="20" w:hanging="154"/>
              <w:contextualSpacing/>
              <w:rPr>
                <w:rFonts w:ascii="Arial" w:eastAsia="Times New Roman" w:hAnsi="Arial" w:cs="Arial"/>
                <w:color w:val="E7B53D"/>
                <w:sz w:val="20"/>
                <w:szCs w:val="20"/>
                <w:lang w:eastAsia="es-CO"/>
              </w:rPr>
            </w:pPr>
            <w:r w:rsidRPr="009B336F">
              <w:rPr>
                <w:rFonts w:ascii="Arial" w:eastAsiaTheme="minorEastAsia" w:hAnsi="Arial" w:cs="Arial"/>
                <w:color w:val="000000" w:themeColor="text1"/>
                <w:kern w:val="24"/>
                <w:sz w:val="20"/>
                <w:szCs w:val="20"/>
                <w:lang w:val="es-MX" w:eastAsia="es-CO"/>
              </w:rPr>
              <w:t xml:space="preserve">Se mantiene la metodología. </w:t>
            </w:r>
          </w:p>
        </w:tc>
      </w:tr>
    </w:tbl>
    <w:p w14:paraId="3AC9A879" w14:textId="77777777" w:rsidR="001A5F01" w:rsidRPr="00115F4D" w:rsidRDefault="001A5F01" w:rsidP="00891C31">
      <w:pPr>
        <w:pStyle w:val="Subttulo"/>
        <w:rPr>
          <w:rFonts w:ascii="Arial" w:hAnsi="Arial" w:cs="Arial"/>
          <w:b w:val="0"/>
          <w:iCs/>
          <w:color w:val="000000"/>
          <w:sz w:val="22"/>
          <w:szCs w:val="22"/>
          <w:lang w:val="es-CO"/>
        </w:rPr>
      </w:pPr>
    </w:p>
    <w:p w14:paraId="3E144832" w14:textId="0846C14B" w:rsidR="00B337C8" w:rsidRDefault="00B337C8" w:rsidP="00C00C77">
      <w:pPr>
        <w:pStyle w:val="Ttulo2"/>
        <w:numPr>
          <w:ilvl w:val="1"/>
          <w:numId w:val="24"/>
        </w:numPr>
      </w:pPr>
      <w:bookmarkStart w:id="58" w:name="_Ref164925828"/>
      <w:bookmarkStart w:id="59" w:name="_Toc165037340"/>
      <w:r w:rsidRPr="00115F4D">
        <w:t>Calidad comercial</w:t>
      </w:r>
      <w:bookmarkEnd w:id="58"/>
      <w:bookmarkEnd w:id="59"/>
      <w:r w:rsidR="00B22F1C">
        <w:br/>
      </w:r>
    </w:p>
    <w:p w14:paraId="082B778D" w14:textId="58F54667" w:rsidR="00BC201B" w:rsidRDefault="00B3174E" w:rsidP="00456CCD">
      <w:pPr>
        <w:jc w:val="both"/>
        <w:rPr>
          <w:rFonts w:ascii="Arial" w:hAnsi="Arial" w:cs="Arial"/>
        </w:rPr>
      </w:pPr>
      <w:r w:rsidRPr="00456CCD">
        <w:rPr>
          <w:rFonts w:ascii="Arial" w:hAnsi="Arial" w:cs="Arial"/>
        </w:rPr>
        <w:t xml:space="preserve">Es </w:t>
      </w:r>
      <w:r w:rsidR="00436FE1">
        <w:rPr>
          <w:rFonts w:ascii="Arial" w:hAnsi="Arial" w:cs="Arial"/>
        </w:rPr>
        <w:t xml:space="preserve">parte de los </w:t>
      </w:r>
      <w:r w:rsidRPr="00456CCD">
        <w:rPr>
          <w:rFonts w:ascii="Arial" w:hAnsi="Arial" w:cs="Arial"/>
        </w:rPr>
        <w:t>objetivo</w:t>
      </w:r>
      <w:r w:rsidR="00436FE1">
        <w:rPr>
          <w:rFonts w:ascii="Arial" w:hAnsi="Arial" w:cs="Arial"/>
        </w:rPr>
        <w:t>s</w:t>
      </w:r>
      <w:r w:rsidRPr="00456CCD">
        <w:rPr>
          <w:rFonts w:ascii="Arial" w:hAnsi="Arial" w:cs="Arial"/>
        </w:rPr>
        <w:t xml:space="preserve"> de esta nueva metodología introducir indicadores de calidad comercial </w:t>
      </w:r>
      <w:r w:rsidR="00A5261C">
        <w:rPr>
          <w:rFonts w:ascii="Arial" w:hAnsi="Arial" w:cs="Arial"/>
        </w:rPr>
        <w:t>esto</w:t>
      </w:r>
      <w:r w:rsidRPr="00456CCD">
        <w:rPr>
          <w:rFonts w:ascii="Arial" w:hAnsi="Arial" w:cs="Arial"/>
        </w:rPr>
        <w:t xml:space="preserve"> considerando que la Ley 142 de 1994</w:t>
      </w:r>
      <w:r w:rsidR="008E2AD7">
        <w:rPr>
          <w:rFonts w:ascii="Arial" w:hAnsi="Arial" w:cs="Arial"/>
        </w:rPr>
        <w:t xml:space="preserve"> en su</w:t>
      </w:r>
      <w:r w:rsidRPr="00456CCD">
        <w:rPr>
          <w:rFonts w:ascii="Arial" w:hAnsi="Arial" w:cs="Arial"/>
        </w:rPr>
        <w:t xml:space="preserve"> artículo </w:t>
      </w:r>
      <w:hyperlink r:id="rId70" w:anchor="136" w:tgtFrame="_blank" w:history="1">
        <w:r w:rsidRPr="00456CCD">
          <w:rPr>
            <w:rFonts w:ascii="Arial" w:hAnsi="Arial" w:cs="Arial"/>
          </w:rPr>
          <w:t>136</w:t>
        </w:r>
      </w:hyperlink>
      <w:r w:rsidRPr="00456CCD">
        <w:rPr>
          <w:rFonts w:ascii="Arial" w:hAnsi="Arial" w:cs="Arial"/>
        </w:rPr>
        <w:t> </w:t>
      </w:r>
      <w:r w:rsidR="008E2AD7">
        <w:rPr>
          <w:rFonts w:ascii="Arial" w:hAnsi="Arial" w:cs="Arial"/>
        </w:rPr>
        <w:t>establece</w:t>
      </w:r>
      <w:r w:rsidRPr="00456CCD">
        <w:rPr>
          <w:rFonts w:ascii="Arial" w:hAnsi="Arial" w:cs="Arial"/>
        </w:rPr>
        <w:t xml:space="preserve"> que </w:t>
      </w:r>
      <w:r w:rsidR="00E94EBB" w:rsidRPr="00456CCD">
        <w:rPr>
          <w:rFonts w:ascii="Arial" w:hAnsi="Arial" w:cs="Arial"/>
        </w:rPr>
        <w:t>es</w:t>
      </w:r>
      <w:r w:rsidRPr="00456CCD">
        <w:rPr>
          <w:rFonts w:ascii="Arial" w:hAnsi="Arial" w:cs="Arial"/>
        </w:rPr>
        <w:t xml:space="preserve"> obligación principal de las empresas de servicios públicos domiciliarios la prestación continua </w:t>
      </w:r>
      <w:r w:rsidRPr="00456CCD">
        <w:rPr>
          <w:rFonts w:ascii="Arial" w:hAnsi="Arial" w:cs="Arial"/>
        </w:rPr>
        <w:lastRenderedPageBreak/>
        <w:t>de un servicio de buena </w:t>
      </w:r>
      <w:bookmarkStart w:id="60" w:name="busq1"/>
      <w:r w:rsidRPr="00456CCD">
        <w:rPr>
          <w:rFonts w:ascii="Arial" w:hAnsi="Arial" w:cs="Arial"/>
        </w:rPr>
        <w:t>calidad</w:t>
      </w:r>
      <w:bookmarkEnd w:id="60"/>
      <w:r w:rsidR="00CE5D19">
        <w:rPr>
          <w:rFonts w:ascii="Arial" w:hAnsi="Arial" w:cs="Arial"/>
        </w:rPr>
        <w:t xml:space="preserve"> y</w:t>
      </w:r>
      <w:r w:rsidR="00E94EBB">
        <w:rPr>
          <w:rFonts w:ascii="Arial" w:hAnsi="Arial" w:cs="Arial"/>
        </w:rPr>
        <w:t xml:space="preserve"> </w:t>
      </w:r>
      <w:r w:rsidRPr="00456CCD">
        <w:rPr>
          <w:rFonts w:ascii="Arial" w:hAnsi="Arial" w:cs="Arial"/>
        </w:rPr>
        <w:t xml:space="preserve"> que es el comercializador </w:t>
      </w:r>
      <w:r w:rsidR="00456CCD" w:rsidRPr="00456CCD">
        <w:rPr>
          <w:rFonts w:ascii="Arial" w:hAnsi="Arial" w:cs="Arial"/>
        </w:rPr>
        <w:t>la</w:t>
      </w:r>
      <w:r w:rsidR="00456CCD">
        <w:rPr>
          <w:rFonts w:ascii="Arial" w:hAnsi="Arial" w:cs="Arial"/>
        </w:rPr>
        <w:t xml:space="preserve"> cara </w:t>
      </w:r>
      <w:r w:rsidR="008E2AD7">
        <w:rPr>
          <w:rFonts w:ascii="Arial" w:hAnsi="Arial" w:cs="Arial"/>
        </w:rPr>
        <w:t xml:space="preserve">visible para el usuario </w:t>
      </w:r>
      <w:r w:rsidR="00F76F57">
        <w:rPr>
          <w:rFonts w:ascii="Arial" w:hAnsi="Arial" w:cs="Arial"/>
        </w:rPr>
        <w:t>por lo cual</w:t>
      </w:r>
      <w:r w:rsidR="005A2444">
        <w:rPr>
          <w:rFonts w:ascii="Arial" w:hAnsi="Arial" w:cs="Arial"/>
        </w:rPr>
        <w:t xml:space="preserve"> según sea su gestión es </w:t>
      </w:r>
      <w:r w:rsidR="00F76F57">
        <w:rPr>
          <w:rFonts w:ascii="Arial" w:hAnsi="Arial" w:cs="Arial"/>
        </w:rPr>
        <w:t>calificado</w:t>
      </w:r>
      <w:r w:rsidR="005A2444">
        <w:rPr>
          <w:rFonts w:ascii="Arial" w:hAnsi="Arial" w:cs="Arial"/>
        </w:rPr>
        <w:t xml:space="preserve"> el servicio</w:t>
      </w:r>
      <w:r w:rsidR="008C772C">
        <w:rPr>
          <w:rFonts w:ascii="Arial" w:hAnsi="Arial" w:cs="Arial"/>
        </w:rPr>
        <w:t xml:space="preserve">. </w:t>
      </w:r>
    </w:p>
    <w:p w14:paraId="5C2D09CB" w14:textId="7375C5A0" w:rsidR="00B3174E" w:rsidRPr="00456CCD" w:rsidRDefault="008C772C" w:rsidP="00456CCD">
      <w:pPr>
        <w:jc w:val="both"/>
        <w:rPr>
          <w:rFonts w:ascii="Arial" w:hAnsi="Arial" w:cs="Arial"/>
        </w:rPr>
      </w:pPr>
      <w:r>
        <w:rPr>
          <w:rFonts w:ascii="Arial" w:hAnsi="Arial" w:cs="Arial"/>
        </w:rPr>
        <w:t>En este sentido se ha realizado un análisis detallado de los posibles indicadores a contemplar</w:t>
      </w:r>
      <w:r w:rsidR="005A2444">
        <w:rPr>
          <w:rFonts w:ascii="Arial" w:hAnsi="Arial" w:cs="Arial"/>
        </w:rPr>
        <w:t xml:space="preserve">, así como los incentivos para que las empresas mejoren continuamente y </w:t>
      </w:r>
      <w:r w:rsidR="00525543">
        <w:rPr>
          <w:rFonts w:ascii="Arial" w:hAnsi="Arial" w:cs="Arial"/>
        </w:rPr>
        <w:t>se inter</w:t>
      </w:r>
      <w:r w:rsidR="00E95F73">
        <w:rPr>
          <w:rFonts w:ascii="Arial" w:hAnsi="Arial" w:cs="Arial"/>
        </w:rPr>
        <w:t>esen</w:t>
      </w:r>
      <w:r w:rsidR="00525543">
        <w:rPr>
          <w:rFonts w:ascii="Arial" w:hAnsi="Arial" w:cs="Arial"/>
        </w:rPr>
        <w:t xml:space="preserve"> por las necesidades del usuario</w:t>
      </w:r>
      <w:r w:rsidR="00497F06">
        <w:rPr>
          <w:rFonts w:ascii="Arial" w:hAnsi="Arial" w:cs="Arial"/>
        </w:rPr>
        <w:t xml:space="preserve"> que atienden.</w:t>
      </w:r>
    </w:p>
    <w:p w14:paraId="496E222C" w14:textId="28F7ED0E" w:rsidR="00676D5E" w:rsidRDefault="007C7E31" w:rsidP="00C00C77">
      <w:pPr>
        <w:pStyle w:val="Ttulo3"/>
        <w:numPr>
          <w:ilvl w:val="2"/>
          <w:numId w:val="24"/>
        </w:numPr>
      </w:pPr>
      <w:bookmarkStart w:id="61" w:name="_Toc165037341"/>
      <w:r>
        <w:t>Antecedentes y g</w:t>
      </w:r>
      <w:r w:rsidR="00676D5E">
        <w:t>eneralidades</w:t>
      </w:r>
      <w:bookmarkEnd w:id="61"/>
    </w:p>
    <w:p w14:paraId="541D0C7E" w14:textId="6149C7A6" w:rsidR="00AA13D0" w:rsidRPr="00115F4D" w:rsidRDefault="00AA13D0" w:rsidP="00891C31">
      <w:pPr>
        <w:spacing w:after="0"/>
        <w:jc w:val="both"/>
        <w:rPr>
          <w:rFonts w:ascii="Arial" w:hAnsi="Arial" w:cs="Arial"/>
        </w:rPr>
      </w:pPr>
      <w:r w:rsidRPr="00115F4D">
        <w:rPr>
          <w:rFonts w:ascii="Arial" w:hAnsi="Arial" w:cs="Arial"/>
        </w:rPr>
        <w:t xml:space="preserve">Para la definición del modelo de evaluación de calidad comercial y de un sistema de indicadores para su monitoreo, que fuese aplicable a las características específicas del mercado eléctrico colombiano y </w:t>
      </w:r>
      <w:r w:rsidR="00395A5A">
        <w:rPr>
          <w:rFonts w:ascii="Arial" w:hAnsi="Arial" w:cs="Arial"/>
        </w:rPr>
        <w:t>sus</w:t>
      </w:r>
      <w:r w:rsidRPr="00115F4D">
        <w:rPr>
          <w:rFonts w:ascii="Arial" w:hAnsi="Arial" w:cs="Arial"/>
        </w:rPr>
        <w:t xml:space="preserve"> agentes</w:t>
      </w:r>
      <w:r w:rsidR="00395A5A">
        <w:rPr>
          <w:rFonts w:ascii="Arial" w:hAnsi="Arial" w:cs="Arial"/>
        </w:rPr>
        <w:t xml:space="preserve">, </w:t>
      </w:r>
      <w:r w:rsidRPr="00115F4D">
        <w:rPr>
          <w:rFonts w:ascii="Arial" w:hAnsi="Arial" w:cs="Arial"/>
        </w:rPr>
        <w:t>la CREG consideró en sus análisis:</w:t>
      </w:r>
    </w:p>
    <w:p w14:paraId="79752C4A" w14:textId="77777777" w:rsidR="00AA13D0" w:rsidRPr="00115F4D" w:rsidRDefault="00AA13D0" w:rsidP="00891C31">
      <w:pPr>
        <w:spacing w:before="0" w:after="0"/>
        <w:jc w:val="both"/>
        <w:rPr>
          <w:rFonts w:ascii="Arial" w:hAnsi="Arial" w:cs="Arial"/>
        </w:rPr>
      </w:pPr>
    </w:p>
    <w:p w14:paraId="1F311004" w14:textId="34048BD8" w:rsidR="00AA13D0" w:rsidRPr="00115F4D" w:rsidRDefault="00AA13D0" w:rsidP="00891C31">
      <w:pPr>
        <w:pStyle w:val="Prrafodelista"/>
        <w:numPr>
          <w:ilvl w:val="0"/>
          <w:numId w:val="4"/>
        </w:numPr>
        <w:spacing w:before="0" w:after="0"/>
        <w:jc w:val="both"/>
        <w:rPr>
          <w:rFonts w:ascii="Arial" w:hAnsi="Arial" w:cs="Arial"/>
        </w:rPr>
      </w:pPr>
      <w:r w:rsidRPr="00115F4D">
        <w:rPr>
          <w:rFonts w:ascii="Arial" w:hAnsi="Arial" w:cs="Arial"/>
        </w:rPr>
        <w:t>La</w:t>
      </w:r>
      <w:r w:rsidR="006A4CDE">
        <w:rPr>
          <w:rFonts w:ascii="Arial" w:hAnsi="Arial" w:cs="Arial"/>
        </w:rPr>
        <w:t xml:space="preserve"> caracterización de las </w:t>
      </w:r>
      <w:r w:rsidRPr="00115F4D">
        <w:rPr>
          <w:rFonts w:ascii="Arial" w:hAnsi="Arial" w:cs="Arial"/>
        </w:rPr>
        <w:t xml:space="preserve">actividades desarrolladas por los agentes que desarrollan la </w:t>
      </w:r>
      <w:r w:rsidR="000854E1" w:rsidRPr="00115F4D">
        <w:rPr>
          <w:rFonts w:ascii="Arial" w:hAnsi="Arial" w:cs="Arial"/>
        </w:rPr>
        <w:t xml:space="preserve">actividad de </w:t>
      </w:r>
      <w:r w:rsidRPr="00115F4D">
        <w:rPr>
          <w:rFonts w:ascii="Arial" w:hAnsi="Arial" w:cs="Arial"/>
        </w:rPr>
        <w:t>comercialización de energía eléctrica en Colombia.</w:t>
      </w:r>
    </w:p>
    <w:p w14:paraId="38402A1E" w14:textId="51A9836A" w:rsidR="00AA13D0" w:rsidRPr="00115F4D" w:rsidRDefault="00F36A46" w:rsidP="00891C31">
      <w:pPr>
        <w:pStyle w:val="Prrafodelista"/>
        <w:numPr>
          <w:ilvl w:val="0"/>
          <w:numId w:val="4"/>
        </w:numPr>
        <w:spacing w:before="0" w:after="0"/>
        <w:jc w:val="both"/>
        <w:rPr>
          <w:rFonts w:ascii="Arial" w:hAnsi="Arial" w:cs="Arial"/>
        </w:rPr>
      </w:pPr>
      <w:r>
        <w:rPr>
          <w:rFonts w:ascii="Arial" w:hAnsi="Arial" w:cs="Arial"/>
        </w:rPr>
        <w:t xml:space="preserve">Un análisis comparativo internacional </w:t>
      </w:r>
      <w:r w:rsidR="002F6B05">
        <w:rPr>
          <w:rFonts w:ascii="Arial" w:hAnsi="Arial" w:cs="Arial"/>
        </w:rPr>
        <w:t xml:space="preserve">sobre evaluación de la calidad comercial </w:t>
      </w:r>
      <w:r w:rsidR="00046C7B">
        <w:rPr>
          <w:rFonts w:ascii="Arial" w:hAnsi="Arial" w:cs="Arial"/>
        </w:rPr>
        <w:t>en la actividad de comercialización de energía eléctrica</w:t>
      </w:r>
      <w:r w:rsidR="00AA13D0" w:rsidRPr="00115F4D">
        <w:rPr>
          <w:rFonts w:ascii="Arial" w:hAnsi="Arial" w:cs="Arial"/>
        </w:rPr>
        <w:t>.</w:t>
      </w:r>
    </w:p>
    <w:p w14:paraId="109C9160" w14:textId="7A1976A8" w:rsidR="00AA13D0" w:rsidRPr="00115F4D" w:rsidRDefault="006F6F64" w:rsidP="00891C31">
      <w:pPr>
        <w:pStyle w:val="Prrafodelista"/>
        <w:numPr>
          <w:ilvl w:val="0"/>
          <w:numId w:val="4"/>
        </w:numPr>
        <w:spacing w:before="0" w:after="0"/>
        <w:jc w:val="both"/>
        <w:rPr>
          <w:rFonts w:ascii="Arial" w:hAnsi="Arial" w:cs="Arial"/>
        </w:rPr>
      </w:pPr>
      <w:r>
        <w:rPr>
          <w:rFonts w:ascii="Arial" w:hAnsi="Arial" w:cs="Arial"/>
        </w:rPr>
        <w:t>Los c</w:t>
      </w:r>
      <w:r w:rsidR="00AA13D0" w:rsidRPr="00115F4D">
        <w:rPr>
          <w:rFonts w:ascii="Arial" w:hAnsi="Arial" w:cs="Arial"/>
        </w:rPr>
        <w:t>omentarios y preocupaciones manifestadas por diversos agentes del sector.</w:t>
      </w:r>
    </w:p>
    <w:p w14:paraId="6181C67F" w14:textId="75A3B166" w:rsidR="00AA13D0" w:rsidRPr="00115F4D" w:rsidRDefault="005914BE" w:rsidP="00891C31">
      <w:pPr>
        <w:pStyle w:val="Prrafodelista"/>
        <w:numPr>
          <w:ilvl w:val="0"/>
          <w:numId w:val="4"/>
        </w:numPr>
        <w:spacing w:before="0" w:after="0"/>
        <w:jc w:val="both"/>
        <w:rPr>
          <w:rFonts w:ascii="Arial" w:hAnsi="Arial" w:cs="Arial"/>
        </w:rPr>
      </w:pPr>
      <w:r>
        <w:rPr>
          <w:rFonts w:ascii="Arial" w:hAnsi="Arial" w:cs="Arial"/>
        </w:rPr>
        <w:t>Los resultados de e</w:t>
      </w:r>
      <w:r w:rsidR="00AA13D0" w:rsidRPr="00115F4D">
        <w:rPr>
          <w:rFonts w:ascii="Arial" w:hAnsi="Arial" w:cs="Arial"/>
        </w:rPr>
        <w:t>studios que ha contratado la Comisión para analizar esta temática.</w:t>
      </w:r>
    </w:p>
    <w:p w14:paraId="4AA8DFEF" w14:textId="77777777" w:rsidR="00AA13D0" w:rsidRPr="00115F4D" w:rsidRDefault="00AA13D0" w:rsidP="00891C31">
      <w:pPr>
        <w:spacing w:before="0" w:after="0"/>
        <w:rPr>
          <w:rFonts w:ascii="Arial" w:hAnsi="Arial" w:cs="Arial"/>
        </w:rPr>
      </w:pPr>
    </w:p>
    <w:p w14:paraId="4BA3BFF2" w14:textId="7D72F3B0" w:rsidR="00AA13D0" w:rsidRPr="00115F4D" w:rsidRDefault="00AA13D0" w:rsidP="00891C31">
      <w:pPr>
        <w:spacing w:before="0" w:after="0"/>
        <w:jc w:val="both"/>
        <w:rPr>
          <w:rFonts w:ascii="Arial" w:hAnsi="Arial" w:cs="Arial"/>
        </w:rPr>
      </w:pPr>
      <w:r w:rsidRPr="00115F4D">
        <w:rPr>
          <w:rFonts w:ascii="Arial" w:hAnsi="Arial" w:cs="Arial"/>
        </w:rPr>
        <w:t>En relación con las actividades que desarrolla un comercializador de energía eléctrica</w:t>
      </w:r>
      <w:r w:rsidR="000854E1" w:rsidRPr="00115F4D">
        <w:rPr>
          <w:rFonts w:ascii="Arial" w:hAnsi="Arial" w:cs="Arial"/>
        </w:rPr>
        <w:t xml:space="preserve"> a usuarios </w:t>
      </w:r>
      <w:r w:rsidR="000854E1" w:rsidRPr="00E31F0B">
        <w:rPr>
          <w:rFonts w:ascii="Arial" w:hAnsi="Arial" w:cs="Arial"/>
        </w:rPr>
        <w:t>regulados</w:t>
      </w:r>
      <w:r w:rsidRPr="00E31F0B">
        <w:rPr>
          <w:rFonts w:ascii="Arial" w:hAnsi="Arial" w:cs="Arial"/>
        </w:rPr>
        <w:t xml:space="preserve"> en Colombia, estas comprenden principalmente: (i) la atención de los usuarios, (ii) la lectura de consumos efectuados por los usuarios, (iii) el proceso de facturación por los consumos realizados por los usuarios, (iv) el reparto y</w:t>
      </w:r>
      <w:r w:rsidRPr="00115F4D">
        <w:rPr>
          <w:rFonts w:ascii="Arial" w:hAnsi="Arial" w:cs="Arial"/>
        </w:rPr>
        <w:t xml:space="preserve"> distribución de facturas, (v) el proceso de recaudo de los montos facturados a cada usuario, (vi) la gestión de compra de energía para la provisión del servicio y, (vii) la gestión de cartera.</w:t>
      </w:r>
    </w:p>
    <w:p w14:paraId="640784DF" w14:textId="77777777" w:rsidR="00AA13D0" w:rsidRPr="00115F4D" w:rsidRDefault="00AA13D0" w:rsidP="00891C31">
      <w:pPr>
        <w:spacing w:before="0" w:after="0"/>
        <w:jc w:val="both"/>
        <w:rPr>
          <w:rFonts w:ascii="Arial" w:hAnsi="Arial" w:cs="Arial"/>
        </w:rPr>
      </w:pPr>
    </w:p>
    <w:p w14:paraId="0F8156AD" w14:textId="3053806E" w:rsidR="00AA13D0" w:rsidRPr="00115F4D" w:rsidRDefault="00AA13D0" w:rsidP="00891C31">
      <w:pPr>
        <w:spacing w:before="0" w:after="0"/>
        <w:jc w:val="both"/>
        <w:rPr>
          <w:rFonts w:ascii="Arial" w:hAnsi="Arial" w:cs="Arial"/>
        </w:rPr>
      </w:pPr>
      <w:r w:rsidRPr="00115F4D">
        <w:rPr>
          <w:rFonts w:ascii="Arial" w:hAnsi="Arial" w:cs="Arial"/>
        </w:rPr>
        <w:t xml:space="preserve">Con base en lo anterior, la CREG, apoyada en </w:t>
      </w:r>
      <w:r w:rsidR="0099549D" w:rsidRPr="00115F4D">
        <w:rPr>
          <w:rFonts w:ascii="Arial" w:hAnsi="Arial" w:cs="Arial"/>
        </w:rPr>
        <w:t>análisis</w:t>
      </w:r>
      <w:r w:rsidRPr="00115F4D">
        <w:rPr>
          <w:rFonts w:ascii="Arial" w:hAnsi="Arial" w:cs="Arial"/>
        </w:rPr>
        <w:t xml:space="preserve"> propios y en estudios de consultoría contratados para analizar este tema, exploró diferentes experiencias internacionales</w:t>
      </w:r>
      <w:r w:rsidRPr="00115F4D">
        <w:rPr>
          <w:rStyle w:val="Refdenotaalpie"/>
          <w:rFonts w:ascii="Arial" w:hAnsi="Arial" w:cs="Arial"/>
        </w:rPr>
        <w:footnoteReference w:id="4"/>
      </w:r>
      <w:r w:rsidRPr="00115F4D">
        <w:rPr>
          <w:rFonts w:ascii="Arial" w:hAnsi="Arial" w:cs="Arial"/>
        </w:rPr>
        <w:t xml:space="preserve"> que revelaron </w:t>
      </w:r>
      <w:r w:rsidR="0099549D" w:rsidRPr="00115F4D">
        <w:rPr>
          <w:rFonts w:ascii="Arial" w:hAnsi="Arial" w:cs="Arial"/>
        </w:rPr>
        <w:t>múltiples</w:t>
      </w:r>
      <w:r w:rsidRPr="00115F4D">
        <w:rPr>
          <w:rFonts w:ascii="Arial" w:hAnsi="Arial" w:cs="Arial"/>
        </w:rPr>
        <w:t xml:space="preserve"> modelos de evaluación de la calidad </w:t>
      </w:r>
      <w:r w:rsidR="000B28A9" w:rsidRPr="00115F4D">
        <w:rPr>
          <w:rFonts w:ascii="Arial" w:hAnsi="Arial" w:cs="Arial"/>
        </w:rPr>
        <w:t xml:space="preserve">comercial, </w:t>
      </w:r>
      <w:r w:rsidRPr="00115F4D">
        <w:rPr>
          <w:rFonts w:ascii="Arial" w:hAnsi="Arial" w:cs="Arial"/>
        </w:rPr>
        <w:t xml:space="preserve">con sistemas de indicadores asociados a las actividades que desarrolla un agente comercializador de energía eléctrica. Esta información, en adición a la evaluación de recomendaciones y comentarios de agentes interesados y de las conclusiones de estudios de consultoría contratados por la Comisión para esta materia, dieron como resultado </w:t>
      </w:r>
      <w:r w:rsidR="00F67EC6">
        <w:rPr>
          <w:rFonts w:ascii="Arial" w:hAnsi="Arial" w:cs="Arial"/>
        </w:rPr>
        <w:t xml:space="preserve">el listado </w:t>
      </w:r>
      <w:r w:rsidRPr="00115F4D">
        <w:rPr>
          <w:rFonts w:ascii="Arial" w:hAnsi="Arial" w:cs="Arial"/>
        </w:rPr>
        <w:t xml:space="preserve">compilatorio de métricas que </w:t>
      </w:r>
      <w:r w:rsidR="00F67EC6">
        <w:rPr>
          <w:rFonts w:ascii="Arial" w:hAnsi="Arial" w:cs="Arial"/>
        </w:rPr>
        <w:t xml:space="preserve">se presenta a continuación y que </w:t>
      </w:r>
      <w:r w:rsidRPr="00115F4D">
        <w:rPr>
          <w:rFonts w:ascii="Arial" w:hAnsi="Arial" w:cs="Arial"/>
        </w:rPr>
        <w:t>podría hacer parte del sistema de indicadores de calidad comercial que serían considerados en propuesta regulatoria.</w:t>
      </w:r>
    </w:p>
    <w:p w14:paraId="4C73C336" w14:textId="77777777" w:rsidR="00AA13D0" w:rsidRPr="00115F4D" w:rsidRDefault="00AA13D0" w:rsidP="00891C31">
      <w:pPr>
        <w:spacing w:before="0" w:after="0"/>
        <w:jc w:val="both"/>
        <w:rPr>
          <w:rFonts w:ascii="Arial" w:hAnsi="Arial" w:cs="Arial"/>
        </w:rPr>
      </w:pPr>
    </w:p>
    <w:p w14:paraId="01A43AD3" w14:textId="68390F3C" w:rsidR="00656D70" w:rsidRDefault="00656D70" w:rsidP="00656D70">
      <w:pPr>
        <w:pStyle w:val="Descripcin"/>
        <w:tabs>
          <w:tab w:val="left" w:pos="1276"/>
        </w:tabs>
        <w:spacing w:after="0"/>
        <w:rPr>
          <w:rFonts w:ascii="Arial" w:hAnsi="Arial" w:cs="Arial"/>
          <w:b/>
          <w:bCs/>
          <w:color w:val="auto"/>
        </w:rPr>
      </w:pPr>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15</w:t>
      </w:r>
      <w:r w:rsidRPr="00115F4D">
        <w:rPr>
          <w:rFonts w:ascii="Arial" w:hAnsi="Arial" w:cs="Arial"/>
          <w:b/>
          <w:bCs/>
          <w:color w:val="auto"/>
        </w:rPr>
        <w:fldChar w:fldCharType="end"/>
      </w:r>
      <w:r w:rsidRPr="00115F4D">
        <w:rPr>
          <w:rFonts w:ascii="Arial" w:hAnsi="Arial" w:cs="Arial"/>
          <w:b/>
          <w:bCs/>
          <w:color w:val="auto"/>
        </w:rPr>
        <w:t xml:space="preserve"> </w:t>
      </w:r>
      <w:r w:rsidRPr="00656D70">
        <w:rPr>
          <w:rFonts w:ascii="Arial" w:hAnsi="Arial" w:cs="Arial"/>
          <w:b/>
          <w:bCs/>
          <w:color w:val="auto"/>
        </w:rPr>
        <w:t>Matriz de indicadores</w:t>
      </w:r>
      <w:r>
        <w:rPr>
          <w:rFonts w:ascii="Arial" w:hAnsi="Arial" w:cs="Arial"/>
          <w:b/>
          <w:bCs/>
          <w:color w:val="auto"/>
        </w:rPr>
        <w:t xml:space="preserve"> calidad del servicio comercial.</w:t>
      </w:r>
    </w:p>
    <w:p w14:paraId="61EB3128" w14:textId="4CCB9214" w:rsidR="00656D70" w:rsidRPr="00656D70" w:rsidRDefault="00656D70" w:rsidP="00656D70">
      <w:pPr>
        <w:pStyle w:val="Descripcin"/>
        <w:tabs>
          <w:tab w:val="left" w:pos="1276"/>
        </w:tabs>
        <w:spacing w:after="0"/>
        <w:rPr>
          <w:rFonts w:ascii="Arial" w:hAnsi="Arial" w:cs="Arial"/>
          <w:b/>
          <w:bCs/>
          <w:color w:val="auto"/>
        </w:rPr>
      </w:pPr>
      <w:r w:rsidRPr="00656D70">
        <w:rPr>
          <w:rFonts w:ascii="Arial" w:hAnsi="Arial" w:cs="Arial"/>
          <w:b/>
          <w:bCs/>
          <w:color w:val="auto"/>
        </w:rPr>
        <w:t>Fuente: Elaboración CREG</w:t>
      </w:r>
      <w:r>
        <w:rPr>
          <w:rFonts w:ascii="Arial" w:hAnsi="Arial" w:cs="Arial"/>
          <w:b/>
          <w:bCs/>
          <w:color w:val="auto"/>
        </w:rPr>
        <w:t xml:space="preserve"> </w:t>
      </w:r>
    </w:p>
    <w:tbl>
      <w:tblPr>
        <w:tblStyle w:val="Tablaconcuadrcula1clara-nfasis3"/>
        <w:tblW w:w="9067" w:type="dxa"/>
        <w:tblLook w:val="04A0" w:firstRow="1" w:lastRow="0" w:firstColumn="1" w:lastColumn="0" w:noHBand="0" w:noVBand="1"/>
      </w:tblPr>
      <w:tblGrid>
        <w:gridCol w:w="1337"/>
        <w:gridCol w:w="1777"/>
        <w:gridCol w:w="5953"/>
      </w:tblGrid>
      <w:tr w:rsidR="00FE4890" w:rsidRPr="00115F4D" w14:paraId="1566B317" w14:textId="77777777" w:rsidTr="00656D7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37" w:type="dxa"/>
          </w:tcPr>
          <w:p w14:paraId="08E4FBF9" w14:textId="77777777" w:rsidR="00FE4890" w:rsidRPr="00115F4D" w:rsidRDefault="00FE4890" w:rsidP="00891C31">
            <w:pPr>
              <w:spacing w:before="0" w:after="0"/>
              <w:jc w:val="center"/>
              <w:rPr>
                <w:rFonts w:ascii="Arial" w:hAnsi="Arial" w:cs="Arial"/>
                <w:b w:val="0"/>
                <w:bCs w:val="0"/>
                <w:sz w:val="16"/>
                <w:szCs w:val="16"/>
              </w:rPr>
            </w:pPr>
            <w:r w:rsidRPr="00115F4D">
              <w:rPr>
                <w:rFonts w:ascii="Arial" w:hAnsi="Arial" w:cs="Arial"/>
                <w:sz w:val="16"/>
                <w:szCs w:val="16"/>
              </w:rPr>
              <w:t>GRUPO DE INDICADORES</w:t>
            </w:r>
          </w:p>
        </w:tc>
        <w:tc>
          <w:tcPr>
            <w:tcW w:w="1777" w:type="dxa"/>
          </w:tcPr>
          <w:p w14:paraId="53A32C7D" w14:textId="77777777" w:rsidR="00FE4890" w:rsidRPr="00115F4D" w:rsidRDefault="00FE4890" w:rsidP="00891C3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kern w:val="24"/>
                <w:sz w:val="16"/>
                <w:szCs w:val="16"/>
                <w:lang w:eastAsia="es-CO"/>
              </w:rPr>
            </w:pPr>
            <w:r w:rsidRPr="00115F4D">
              <w:rPr>
                <w:rFonts w:ascii="Arial" w:hAnsi="Arial" w:cs="Arial"/>
                <w:color w:val="000000"/>
                <w:kern w:val="24"/>
                <w:sz w:val="16"/>
                <w:szCs w:val="16"/>
                <w:lang w:eastAsia="es-CO"/>
              </w:rPr>
              <w:t>INDICADOR</w:t>
            </w:r>
          </w:p>
        </w:tc>
        <w:tc>
          <w:tcPr>
            <w:tcW w:w="5953" w:type="dxa"/>
          </w:tcPr>
          <w:p w14:paraId="1D3B6AEE" w14:textId="77777777" w:rsidR="00FE4890" w:rsidRPr="00115F4D" w:rsidRDefault="00FE4890" w:rsidP="00891C31">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115F4D">
              <w:rPr>
                <w:rFonts w:ascii="Arial" w:hAnsi="Arial" w:cs="Arial"/>
                <w:sz w:val="16"/>
                <w:szCs w:val="16"/>
              </w:rPr>
              <w:t>DESCRIPCIÓN</w:t>
            </w:r>
          </w:p>
        </w:tc>
      </w:tr>
      <w:tr w:rsidR="00FE4890" w:rsidRPr="00115F4D" w14:paraId="014D617D" w14:textId="77777777" w:rsidTr="0048579A">
        <w:trPr>
          <w:trHeight w:val="20"/>
        </w:trPr>
        <w:tc>
          <w:tcPr>
            <w:cnfStyle w:val="001000000000" w:firstRow="0" w:lastRow="0" w:firstColumn="1" w:lastColumn="0" w:oddVBand="0" w:evenVBand="0" w:oddHBand="0" w:evenHBand="0" w:firstRowFirstColumn="0" w:firstRowLastColumn="0" w:lastRowFirstColumn="0" w:lastRowLastColumn="0"/>
            <w:tcW w:w="1337" w:type="dxa"/>
            <w:vMerge w:val="restart"/>
            <w:vAlign w:val="center"/>
          </w:tcPr>
          <w:p w14:paraId="1FF12651" w14:textId="77777777" w:rsidR="00FE4890" w:rsidRPr="00115F4D" w:rsidRDefault="00FE4890" w:rsidP="0048579A">
            <w:pPr>
              <w:spacing w:before="0" w:after="0"/>
              <w:rPr>
                <w:rFonts w:ascii="Arial" w:hAnsi="Arial" w:cs="Arial"/>
                <w:sz w:val="16"/>
                <w:szCs w:val="16"/>
              </w:rPr>
            </w:pPr>
            <w:r w:rsidRPr="00115F4D">
              <w:rPr>
                <w:rFonts w:ascii="Arial" w:hAnsi="Arial" w:cs="Arial"/>
                <w:sz w:val="16"/>
                <w:szCs w:val="16"/>
              </w:rPr>
              <w:t>Atención de los usuarios</w:t>
            </w:r>
          </w:p>
        </w:tc>
        <w:tc>
          <w:tcPr>
            <w:tcW w:w="1777" w:type="dxa"/>
          </w:tcPr>
          <w:p w14:paraId="0157A44E"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Cantidad de quejas recibidas</w:t>
            </w:r>
          </w:p>
        </w:tc>
        <w:tc>
          <w:tcPr>
            <w:tcW w:w="5953" w:type="dxa"/>
          </w:tcPr>
          <w:p w14:paraId="3189421F"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115F4D">
              <w:rPr>
                <w:rFonts w:ascii="Arial" w:hAnsi="Arial" w:cs="Arial"/>
                <w:sz w:val="16"/>
                <w:szCs w:val="16"/>
              </w:rPr>
              <w:t>Número de quejas recibidas</w:t>
            </w:r>
          </w:p>
        </w:tc>
      </w:tr>
      <w:tr w:rsidR="00FE4890" w:rsidRPr="00115F4D" w14:paraId="546AA5EE"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0A1A9F1" w14:textId="77777777" w:rsidR="00FE4890" w:rsidRPr="00115F4D" w:rsidRDefault="00FE4890" w:rsidP="00891C31">
            <w:pPr>
              <w:spacing w:before="0" w:after="0"/>
              <w:jc w:val="center"/>
              <w:rPr>
                <w:rFonts w:ascii="Arial" w:hAnsi="Arial" w:cs="Arial"/>
                <w:sz w:val="16"/>
                <w:szCs w:val="16"/>
              </w:rPr>
            </w:pPr>
          </w:p>
        </w:tc>
        <w:tc>
          <w:tcPr>
            <w:tcW w:w="1777" w:type="dxa"/>
          </w:tcPr>
          <w:p w14:paraId="25013881"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Tasa de resolución de problemas</w:t>
            </w:r>
          </w:p>
        </w:tc>
        <w:tc>
          <w:tcPr>
            <w:tcW w:w="5953" w:type="dxa"/>
          </w:tcPr>
          <w:p w14:paraId="73B105E8"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color w:val="000000"/>
                <w:kern w:val="24"/>
                <w:sz w:val="16"/>
                <w:szCs w:val="16"/>
                <w:lang w:eastAsia="es-CO"/>
              </w:rPr>
              <w:t>Porcentaje de problemas o quejas de clientes que el usuario identifica como resuelta de manera satisfactoria.</w:t>
            </w:r>
          </w:p>
        </w:tc>
      </w:tr>
      <w:tr w:rsidR="00FE4890" w:rsidRPr="00115F4D" w14:paraId="241E56BC"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A6C6B56" w14:textId="77777777" w:rsidR="00FE4890" w:rsidRPr="00115F4D" w:rsidRDefault="00FE4890" w:rsidP="00891C31">
            <w:pPr>
              <w:spacing w:before="0" w:after="0"/>
              <w:jc w:val="center"/>
              <w:rPr>
                <w:rFonts w:ascii="Arial" w:hAnsi="Arial" w:cs="Arial"/>
                <w:sz w:val="16"/>
                <w:szCs w:val="16"/>
              </w:rPr>
            </w:pPr>
          </w:p>
        </w:tc>
        <w:tc>
          <w:tcPr>
            <w:tcW w:w="1777" w:type="dxa"/>
          </w:tcPr>
          <w:p w14:paraId="4C5E8DD8"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color w:val="000000"/>
                <w:kern w:val="24"/>
                <w:sz w:val="16"/>
                <w:szCs w:val="16"/>
                <w:lang w:eastAsia="es-CO"/>
              </w:rPr>
              <w:t>Gestión de abandono de llamada</w:t>
            </w:r>
          </w:p>
        </w:tc>
        <w:tc>
          <w:tcPr>
            <w:tcW w:w="5953" w:type="dxa"/>
          </w:tcPr>
          <w:p w14:paraId="29C10323"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Porcentaje de llamadas abandonadas que fueron devueltas por el comercializador, en los últimos seis meses.</w:t>
            </w:r>
          </w:p>
        </w:tc>
      </w:tr>
      <w:tr w:rsidR="00FE4890" w:rsidRPr="00115F4D" w14:paraId="4BA4BBF3"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3AF2384C" w14:textId="77777777" w:rsidR="00FE4890" w:rsidRPr="00115F4D" w:rsidRDefault="00FE4890" w:rsidP="00891C31">
            <w:pPr>
              <w:spacing w:before="0" w:after="0"/>
              <w:jc w:val="center"/>
              <w:rPr>
                <w:rFonts w:ascii="Arial" w:hAnsi="Arial" w:cs="Arial"/>
                <w:sz w:val="16"/>
                <w:szCs w:val="16"/>
              </w:rPr>
            </w:pPr>
          </w:p>
        </w:tc>
        <w:tc>
          <w:tcPr>
            <w:tcW w:w="1777" w:type="dxa"/>
          </w:tcPr>
          <w:p w14:paraId="796698D1"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Resolución en la primera interacción</w:t>
            </w:r>
          </w:p>
        </w:tc>
        <w:tc>
          <w:tcPr>
            <w:tcW w:w="5953" w:type="dxa"/>
          </w:tcPr>
          <w:p w14:paraId="05E36853"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Porcentaje de consultas que los usuarios califican como resueltas en la primera llamada o interacción. Un valor alto para este indicador significa que el servicio de atención al cliente es eficaz y eficiente.</w:t>
            </w:r>
          </w:p>
        </w:tc>
      </w:tr>
      <w:tr w:rsidR="00FE4890" w:rsidRPr="00115F4D" w14:paraId="38EF7EED"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09CB415C" w14:textId="77777777" w:rsidR="00FE4890" w:rsidRPr="00115F4D" w:rsidRDefault="00FE4890" w:rsidP="00891C31">
            <w:pPr>
              <w:spacing w:before="0" w:after="0"/>
              <w:jc w:val="center"/>
              <w:rPr>
                <w:rFonts w:ascii="Arial" w:hAnsi="Arial" w:cs="Arial"/>
                <w:sz w:val="16"/>
                <w:szCs w:val="16"/>
              </w:rPr>
            </w:pPr>
          </w:p>
        </w:tc>
        <w:tc>
          <w:tcPr>
            <w:tcW w:w="1777" w:type="dxa"/>
          </w:tcPr>
          <w:p w14:paraId="55970D62"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Tiempo de atención de llamadas telefónicas</w:t>
            </w:r>
          </w:p>
        </w:tc>
        <w:tc>
          <w:tcPr>
            <w:tcW w:w="5953" w:type="dxa"/>
          </w:tcPr>
          <w:p w14:paraId="78419CB7" w14:textId="239BBE8F"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Porcentaje de llamadas contestadas dentro del tiempo establecido (contestadora: 20 seg</w:t>
            </w:r>
            <w:r w:rsidR="0069190E">
              <w:rPr>
                <w:rFonts w:ascii="Arial" w:hAnsi="Arial" w:cs="Arial"/>
                <w:color w:val="000000"/>
                <w:kern w:val="24"/>
                <w:sz w:val="16"/>
                <w:szCs w:val="16"/>
                <w:lang w:eastAsia="es-CO"/>
              </w:rPr>
              <w:t>undos</w:t>
            </w:r>
            <w:r w:rsidRPr="00115F4D">
              <w:rPr>
                <w:rFonts w:ascii="Arial" w:hAnsi="Arial" w:cs="Arial"/>
                <w:color w:val="000000"/>
                <w:kern w:val="24"/>
                <w:sz w:val="16"/>
                <w:szCs w:val="16"/>
                <w:lang w:eastAsia="es-CO"/>
              </w:rPr>
              <w:t xml:space="preserve"> / operador: 30 seg</w:t>
            </w:r>
            <w:r w:rsidR="0069190E">
              <w:rPr>
                <w:rFonts w:ascii="Arial" w:hAnsi="Arial" w:cs="Arial"/>
                <w:color w:val="000000"/>
                <w:kern w:val="24"/>
                <w:sz w:val="16"/>
                <w:szCs w:val="16"/>
                <w:lang w:eastAsia="es-CO"/>
              </w:rPr>
              <w:t>undos</w:t>
            </w:r>
            <w:r w:rsidRPr="00115F4D">
              <w:rPr>
                <w:rFonts w:ascii="Arial" w:hAnsi="Arial" w:cs="Arial"/>
                <w:color w:val="000000"/>
                <w:kern w:val="24"/>
                <w:sz w:val="16"/>
                <w:szCs w:val="16"/>
                <w:lang w:eastAsia="es-CO"/>
              </w:rPr>
              <w:t>).</w:t>
            </w:r>
          </w:p>
        </w:tc>
      </w:tr>
      <w:tr w:rsidR="00FE4890" w:rsidRPr="00115F4D" w14:paraId="1857EC4E"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56E5116E" w14:textId="77777777" w:rsidR="00FE4890" w:rsidRPr="00115F4D" w:rsidRDefault="00FE4890" w:rsidP="00891C31">
            <w:pPr>
              <w:spacing w:before="0" w:after="0"/>
              <w:jc w:val="center"/>
              <w:rPr>
                <w:rFonts w:ascii="Arial" w:hAnsi="Arial" w:cs="Arial"/>
                <w:sz w:val="16"/>
                <w:szCs w:val="16"/>
              </w:rPr>
            </w:pPr>
          </w:p>
        </w:tc>
        <w:tc>
          <w:tcPr>
            <w:tcW w:w="1777" w:type="dxa"/>
          </w:tcPr>
          <w:p w14:paraId="2CDA7FCE"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Tasa de abandono de llamadas</w:t>
            </w:r>
          </w:p>
        </w:tc>
        <w:tc>
          <w:tcPr>
            <w:tcW w:w="5953" w:type="dxa"/>
          </w:tcPr>
          <w:p w14:paraId="3CE90D34"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Porcentaje de llamadas que los clientes abandonan antes de ser atendidos. Una tasa de abandono alta puede indicar que los clientes están insatisfechos con el tiempo de espera.</w:t>
            </w:r>
          </w:p>
        </w:tc>
      </w:tr>
      <w:tr w:rsidR="00FE4890" w:rsidRPr="00115F4D" w14:paraId="272FC7B9"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00112489" w14:textId="77777777" w:rsidR="00FE4890" w:rsidRPr="00115F4D" w:rsidRDefault="00FE4890" w:rsidP="00891C31">
            <w:pPr>
              <w:spacing w:before="0" w:after="0"/>
              <w:jc w:val="center"/>
              <w:rPr>
                <w:rFonts w:ascii="Arial" w:hAnsi="Arial" w:cs="Arial"/>
                <w:sz w:val="16"/>
                <w:szCs w:val="16"/>
              </w:rPr>
            </w:pPr>
          </w:p>
        </w:tc>
        <w:tc>
          <w:tcPr>
            <w:tcW w:w="1777" w:type="dxa"/>
          </w:tcPr>
          <w:p w14:paraId="2CB35817"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Tiempo de respuesta en medio digital.</w:t>
            </w:r>
          </w:p>
        </w:tc>
        <w:tc>
          <w:tcPr>
            <w:tcW w:w="5953" w:type="dxa"/>
          </w:tcPr>
          <w:p w14:paraId="7F952512"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Tiempo que tarda el servicio al cliente en responder a las consultas de los clientes. Un tiempo de respuesta más rápido generalmente lleva a una mayor satisfacción del cliente.</w:t>
            </w:r>
          </w:p>
        </w:tc>
      </w:tr>
      <w:tr w:rsidR="00FE4890" w:rsidRPr="00115F4D" w14:paraId="183D25C8"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6F0DBBF3" w14:textId="77777777" w:rsidR="00FE4890" w:rsidRPr="00115F4D" w:rsidRDefault="00FE4890" w:rsidP="00891C31">
            <w:pPr>
              <w:spacing w:before="0" w:after="0"/>
              <w:jc w:val="center"/>
              <w:rPr>
                <w:rFonts w:ascii="Arial" w:hAnsi="Arial" w:cs="Arial"/>
                <w:sz w:val="16"/>
                <w:szCs w:val="16"/>
              </w:rPr>
            </w:pPr>
          </w:p>
        </w:tc>
        <w:tc>
          <w:tcPr>
            <w:tcW w:w="1777" w:type="dxa"/>
          </w:tcPr>
          <w:p w14:paraId="7CF05EDF"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Tiempo de atención presencial</w:t>
            </w:r>
          </w:p>
        </w:tc>
        <w:tc>
          <w:tcPr>
            <w:tcW w:w="5953" w:type="dxa"/>
          </w:tcPr>
          <w:p w14:paraId="0E304586"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Indicador directo que mide la satisfacción general del cliente con el servicio proporcionado. Puede medirse a través de encuestas de satisfacción que se envían a los clientes después de cada interacción con el servicio de atención al cliente.</w:t>
            </w:r>
          </w:p>
        </w:tc>
      </w:tr>
      <w:tr w:rsidR="00FE4890" w:rsidRPr="00115F4D" w14:paraId="593FBCFB"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7CDF18C8" w14:textId="77777777" w:rsidR="00FE4890" w:rsidRPr="00115F4D" w:rsidRDefault="00FE4890" w:rsidP="00891C31">
            <w:pPr>
              <w:spacing w:before="0" w:after="0"/>
              <w:jc w:val="center"/>
              <w:rPr>
                <w:rFonts w:ascii="Arial" w:hAnsi="Arial" w:cs="Arial"/>
                <w:sz w:val="16"/>
                <w:szCs w:val="16"/>
              </w:rPr>
            </w:pPr>
          </w:p>
        </w:tc>
        <w:tc>
          <w:tcPr>
            <w:tcW w:w="1777" w:type="dxa"/>
          </w:tcPr>
          <w:p w14:paraId="15C6BA87"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color w:val="000000"/>
                <w:kern w:val="24"/>
                <w:sz w:val="16"/>
                <w:szCs w:val="16"/>
                <w:lang w:eastAsia="es-CO"/>
              </w:rPr>
              <w:t>Calidad de atención al cliente en medio digital</w:t>
            </w:r>
          </w:p>
        </w:tc>
        <w:tc>
          <w:tcPr>
            <w:tcW w:w="5953" w:type="dxa"/>
          </w:tcPr>
          <w:p w14:paraId="71073180" w14:textId="0B78D653" w:rsidR="00FE4890" w:rsidRPr="00115F4D" w:rsidRDefault="00041C64"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Pr>
                <w:rFonts w:ascii="Arial" w:hAnsi="Arial" w:cs="Arial"/>
                <w:color w:val="000000"/>
                <w:kern w:val="24"/>
                <w:sz w:val="16"/>
                <w:szCs w:val="16"/>
                <w:lang w:eastAsia="es-CO"/>
              </w:rPr>
              <w:t xml:space="preserve">Indicador de percepción de calidad </w:t>
            </w:r>
            <w:r w:rsidR="007649DC">
              <w:rPr>
                <w:rFonts w:ascii="Arial" w:hAnsi="Arial" w:cs="Arial"/>
                <w:color w:val="000000"/>
                <w:kern w:val="24"/>
                <w:sz w:val="16"/>
                <w:szCs w:val="16"/>
                <w:lang w:eastAsia="es-CO"/>
              </w:rPr>
              <w:t>en la atención, exclusivamente aplicado a medio digital.</w:t>
            </w:r>
          </w:p>
        </w:tc>
      </w:tr>
      <w:tr w:rsidR="00FE4890" w:rsidRPr="00115F4D" w14:paraId="6AE952F6"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7D41D77A" w14:textId="77777777" w:rsidR="00FE4890" w:rsidRPr="00115F4D" w:rsidRDefault="00FE4890" w:rsidP="00891C31">
            <w:pPr>
              <w:spacing w:before="0" w:after="0"/>
              <w:jc w:val="center"/>
              <w:rPr>
                <w:rFonts w:ascii="Arial" w:hAnsi="Arial" w:cs="Arial"/>
                <w:sz w:val="16"/>
                <w:szCs w:val="16"/>
              </w:rPr>
            </w:pPr>
          </w:p>
        </w:tc>
        <w:tc>
          <w:tcPr>
            <w:tcW w:w="1777" w:type="dxa"/>
          </w:tcPr>
          <w:p w14:paraId="61F44B8B"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Calidad de atención al cliente presencial</w:t>
            </w:r>
          </w:p>
        </w:tc>
        <w:tc>
          <w:tcPr>
            <w:tcW w:w="5953" w:type="dxa"/>
          </w:tcPr>
          <w:p w14:paraId="332921F2" w14:textId="1D027C36" w:rsidR="00FE4890" w:rsidRPr="00115F4D" w:rsidRDefault="007649DC"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Pr>
                <w:rFonts w:ascii="Arial" w:hAnsi="Arial" w:cs="Arial"/>
                <w:color w:val="000000"/>
                <w:kern w:val="24"/>
                <w:sz w:val="16"/>
                <w:szCs w:val="16"/>
                <w:lang w:eastAsia="es-CO"/>
              </w:rPr>
              <w:t>Indicador de percepción de calidad en la atención, exclusivamente presencial.</w:t>
            </w:r>
          </w:p>
        </w:tc>
      </w:tr>
      <w:tr w:rsidR="00FE4890" w:rsidRPr="00115F4D" w14:paraId="26550A86"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4208927" w14:textId="77777777" w:rsidR="00FE4890" w:rsidRPr="00115F4D" w:rsidRDefault="00FE4890" w:rsidP="00891C31">
            <w:pPr>
              <w:spacing w:before="0" w:after="0"/>
              <w:jc w:val="center"/>
              <w:rPr>
                <w:rFonts w:ascii="Arial" w:hAnsi="Arial" w:cs="Arial"/>
                <w:sz w:val="16"/>
                <w:szCs w:val="16"/>
              </w:rPr>
            </w:pPr>
          </w:p>
        </w:tc>
        <w:tc>
          <w:tcPr>
            <w:tcW w:w="1777" w:type="dxa"/>
          </w:tcPr>
          <w:p w14:paraId="3F3A524B"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Calidad en la respuesta a reclamaciones</w:t>
            </w:r>
          </w:p>
        </w:tc>
        <w:tc>
          <w:tcPr>
            <w:tcW w:w="5953" w:type="dxa"/>
          </w:tcPr>
          <w:p w14:paraId="664FC904" w14:textId="7A01072F" w:rsidR="00FE4890" w:rsidRPr="00115F4D" w:rsidRDefault="007649DC"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Pr>
                <w:rFonts w:ascii="Arial" w:hAnsi="Arial" w:cs="Arial"/>
                <w:color w:val="000000"/>
                <w:kern w:val="24"/>
                <w:sz w:val="16"/>
                <w:szCs w:val="16"/>
                <w:lang w:eastAsia="es-CO"/>
              </w:rPr>
              <w:t xml:space="preserve">Indicador de percepción de calidad </w:t>
            </w:r>
            <w:r w:rsidR="002B10E8">
              <w:rPr>
                <w:rFonts w:ascii="Arial" w:hAnsi="Arial" w:cs="Arial"/>
                <w:color w:val="000000"/>
                <w:kern w:val="24"/>
                <w:sz w:val="16"/>
                <w:szCs w:val="16"/>
                <w:lang w:eastAsia="es-CO"/>
              </w:rPr>
              <w:t>de la res</w:t>
            </w:r>
            <w:r w:rsidR="0069190E">
              <w:rPr>
                <w:rFonts w:ascii="Arial" w:hAnsi="Arial" w:cs="Arial"/>
                <w:color w:val="000000"/>
                <w:kern w:val="24"/>
                <w:sz w:val="16"/>
                <w:szCs w:val="16"/>
                <w:lang w:eastAsia="es-CO"/>
              </w:rPr>
              <w:t>puesta a reclamaciones</w:t>
            </w:r>
            <w:r>
              <w:rPr>
                <w:rFonts w:ascii="Arial" w:hAnsi="Arial" w:cs="Arial"/>
                <w:color w:val="000000"/>
                <w:kern w:val="24"/>
                <w:sz w:val="16"/>
                <w:szCs w:val="16"/>
                <w:lang w:eastAsia="es-CO"/>
              </w:rPr>
              <w:t>.</w:t>
            </w:r>
          </w:p>
        </w:tc>
      </w:tr>
      <w:tr w:rsidR="00FE4890" w:rsidRPr="00115F4D" w14:paraId="597CA3A6"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278189B4" w14:textId="77777777" w:rsidR="00FE4890" w:rsidRPr="00115F4D" w:rsidRDefault="00FE4890" w:rsidP="00891C31">
            <w:pPr>
              <w:spacing w:before="0" w:after="0"/>
              <w:jc w:val="center"/>
              <w:rPr>
                <w:rFonts w:ascii="Arial" w:hAnsi="Arial" w:cs="Arial"/>
                <w:sz w:val="16"/>
                <w:szCs w:val="16"/>
              </w:rPr>
            </w:pPr>
          </w:p>
        </w:tc>
        <w:tc>
          <w:tcPr>
            <w:tcW w:w="1777" w:type="dxa"/>
          </w:tcPr>
          <w:p w14:paraId="2F8C7BC2"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Satisfacción del cliente</w:t>
            </w:r>
          </w:p>
        </w:tc>
        <w:tc>
          <w:tcPr>
            <w:tcW w:w="5953" w:type="dxa"/>
          </w:tcPr>
          <w:p w14:paraId="021B73C0" w14:textId="36715473" w:rsidR="00FE4890" w:rsidRPr="00115F4D" w:rsidRDefault="00201C1F"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Pr>
                <w:rFonts w:ascii="Arial" w:hAnsi="Arial" w:cs="Arial"/>
                <w:color w:val="000000"/>
                <w:kern w:val="24"/>
                <w:sz w:val="16"/>
                <w:szCs w:val="16"/>
                <w:lang w:eastAsia="es-CO"/>
              </w:rPr>
              <w:t>Indicador de percepción de calidad percibida por el usuario de forma general.</w:t>
            </w:r>
          </w:p>
        </w:tc>
      </w:tr>
      <w:tr w:rsidR="00FE4890" w:rsidRPr="00115F4D" w14:paraId="728643DE"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D9EFE2F" w14:textId="77777777" w:rsidR="00FE4890" w:rsidRPr="00115F4D" w:rsidRDefault="00FE4890" w:rsidP="00891C31">
            <w:pPr>
              <w:spacing w:before="0" w:after="0"/>
              <w:jc w:val="center"/>
              <w:rPr>
                <w:rFonts w:ascii="Arial" w:hAnsi="Arial" w:cs="Arial"/>
                <w:sz w:val="16"/>
                <w:szCs w:val="16"/>
              </w:rPr>
            </w:pPr>
          </w:p>
        </w:tc>
        <w:tc>
          <w:tcPr>
            <w:tcW w:w="1777" w:type="dxa"/>
          </w:tcPr>
          <w:p w14:paraId="778A139C"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Net Promoter Score (NPS)</w:t>
            </w:r>
          </w:p>
        </w:tc>
        <w:tc>
          <w:tcPr>
            <w:tcW w:w="5953" w:type="dxa"/>
          </w:tcPr>
          <w:p w14:paraId="520A5CAE"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Probabilidad de que los clientes recomienden el servicio o producto a otros. Se calcula en base a las respuestas de los clientes a la pregunta: "¿Qué tan probable es que recomiende nuestro producto/servicio a un amigo o colega?".</w:t>
            </w:r>
          </w:p>
        </w:tc>
      </w:tr>
      <w:tr w:rsidR="00FE4890" w:rsidRPr="00115F4D" w14:paraId="13FDE1FB"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23E69004" w14:textId="77777777" w:rsidR="00FE4890" w:rsidRPr="00115F4D" w:rsidRDefault="00FE4890" w:rsidP="00891C31">
            <w:pPr>
              <w:spacing w:before="0" w:after="0"/>
              <w:jc w:val="center"/>
              <w:rPr>
                <w:rFonts w:ascii="Arial" w:hAnsi="Arial" w:cs="Arial"/>
                <w:sz w:val="16"/>
                <w:szCs w:val="16"/>
              </w:rPr>
            </w:pPr>
          </w:p>
        </w:tc>
        <w:tc>
          <w:tcPr>
            <w:tcW w:w="1777" w:type="dxa"/>
          </w:tcPr>
          <w:p w14:paraId="5F2FA060"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Tiempo medio de manejo (Average Handling Time, AHT)</w:t>
            </w:r>
          </w:p>
        </w:tc>
        <w:tc>
          <w:tcPr>
            <w:tcW w:w="5953" w:type="dxa"/>
          </w:tcPr>
          <w:p w14:paraId="454B80B6"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sidRPr="00115F4D">
              <w:rPr>
                <w:rFonts w:ascii="Arial" w:hAnsi="Arial" w:cs="Arial"/>
                <w:color w:val="000000"/>
                <w:kern w:val="24"/>
                <w:sz w:val="16"/>
                <w:szCs w:val="16"/>
                <w:lang w:eastAsia="es-CO"/>
              </w:rPr>
              <w:t>Tiempo promedio que un agente de servicio al cliente pasa en una llamada o interacción, incluyendo el tiempo dedicado a la documentación y las tareas posteriores a la llamada.</w:t>
            </w:r>
          </w:p>
        </w:tc>
      </w:tr>
      <w:tr w:rsidR="00FE4890" w:rsidRPr="00115F4D" w14:paraId="2A573D89" w14:textId="77777777" w:rsidTr="0048579A">
        <w:trPr>
          <w:trHeight w:val="20"/>
        </w:trPr>
        <w:tc>
          <w:tcPr>
            <w:cnfStyle w:val="001000000000" w:firstRow="0" w:lastRow="0" w:firstColumn="1" w:lastColumn="0" w:oddVBand="0" w:evenVBand="0" w:oddHBand="0" w:evenHBand="0" w:firstRowFirstColumn="0" w:firstRowLastColumn="0" w:lastRowFirstColumn="0" w:lastRowLastColumn="0"/>
            <w:tcW w:w="1337" w:type="dxa"/>
            <w:vMerge w:val="restart"/>
            <w:vAlign w:val="center"/>
          </w:tcPr>
          <w:p w14:paraId="0DD30B1D" w14:textId="77777777" w:rsidR="00FE4890" w:rsidRPr="00115F4D" w:rsidRDefault="00FE4890" w:rsidP="0048579A">
            <w:pPr>
              <w:spacing w:before="0" w:after="0"/>
              <w:rPr>
                <w:rFonts w:ascii="Arial" w:hAnsi="Arial" w:cs="Arial"/>
                <w:sz w:val="16"/>
                <w:szCs w:val="16"/>
              </w:rPr>
            </w:pPr>
            <w:r w:rsidRPr="00115F4D">
              <w:rPr>
                <w:rFonts w:ascii="Arial" w:hAnsi="Arial" w:cs="Arial"/>
                <w:sz w:val="16"/>
                <w:szCs w:val="16"/>
              </w:rPr>
              <w:t>Expedición de la facturación</w:t>
            </w:r>
          </w:p>
        </w:tc>
        <w:tc>
          <w:tcPr>
            <w:tcW w:w="1777" w:type="dxa"/>
          </w:tcPr>
          <w:p w14:paraId="745E2276"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color w:val="000000"/>
                <w:kern w:val="24"/>
                <w:sz w:val="16"/>
                <w:szCs w:val="16"/>
                <w:lang w:eastAsia="es-CO"/>
              </w:rPr>
              <w:t>Calidad de la facturación</w:t>
            </w:r>
          </w:p>
        </w:tc>
        <w:tc>
          <w:tcPr>
            <w:tcW w:w="5953" w:type="dxa"/>
          </w:tcPr>
          <w:p w14:paraId="3C20E115" w14:textId="07FCDD3D" w:rsidR="00FE4890" w:rsidRPr="00115F4D" w:rsidRDefault="00400791"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Pr>
                <w:rFonts w:ascii="Arial" w:hAnsi="Arial" w:cs="Arial"/>
                <w:color w:val="000000"/>
                <w:kern w:val="24"/>
                <w:sz w:val="16"/>
                <w:szCs w:val="16"/>
                <w:lang w:eastAsia="es-CO"/>
              </w:rPr>
              <w:t xml:space="preserve">Cantidad de facturas </w:t>
            </w:r>
            <w:r w:rsidR="006E0A05">
              <w:rPr>
                <w:rFonts w:ascii="Arial" w:hAnsi="Arial" w:cs="Arial"/>
                <w:color w:val="000000"/>
                <w:kern w:val="24"/>
                <w:sz w:val="16"/>
                <w:szCs w:val="16"/>
                <w:lang w:eastAsia="es-CO"/>
              </w:rPr>
              <w:t xml:space="preserve">que no presentan errores en los valores </w:t>
            </w:r>
            <w:r w:rsidR="004738CB">
              <w:rPr>
                <w:rFonts w:ascii="Arial" w:hAnsi="Arial" w:cs="Arial"/>
                <w:color w:val="000000"/>
                <w:kern w:val="24"/>
                <w:sz w:val="16"/>
                <w:szCs w:val="16"/>
                <w:lang w:eastAsia="es-CO"/>
              </w:rPr>
              <w:t>de cobro reportados al usuario para el periodo tarifario respectivo.</w:t>
            </w:r>
          </w:p>
        </w:tc>
      </w:tr>
      <w:tr w:rsidR="00FE4890" w:rsidRPr="00115F4D" w14:paraId="13E870CF"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6FE078B3" w14:textId="77777777" w:rsidR="00FE4890" w:rsidRPr="00115F4D" w:rsidRDefault="00FE4890" w:rsidP="00891C31">
            <w:pPr>
              <w:spacing w:before="0" w:after="0"/>
              <w:jc w:val="center"/>
              <w:rPr>
                <w:rFonts w:ascii="Arial" w:hAnsi="Arial" w:cs="Arial"/>
                <w:sz w:val="16"/>
                <w:szCs w:val="16"/>
              </w:rPr>
            </w:pPr>
          </w:p>
        </w:tc>
        <w:tc>
          <w:tcPr>
            <w:tcW w:w="1777" w:type="dxa"/>
          </w:tcPr>
          <w:p w14:paraId="11835341"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Precisión de la facturación</w:t>
            </w:r>
          </w:p>
        </w:tc>
        <w:tc>
          <w:tcPr>
            <w:tcW w:w="5953" w:type="dxa"/>
          </w:tcPr>
          <w:p w14:paraId="6C31D00E"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Cantidad de facturas que se generan sin errores. Un porcentaje alto en precisión de facturación significa menos tiempo y recursos dedicados a corregir errores y más satisfacción del cliente.</w:t>
            </w:r>
          </w:p>
        </w:tc>
      </w:tr>
      <w:tr w:rsidR="00FE4890" w:rsidRPr="00115F4D" w14:paraId="573BEB8C"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573C7796" w14:textId="77777777" w:rsidR="00FE4890" w:rsidRPr="00115F4D" w:rsidRDefault="00FE4890" w:rsidP="00891C31">
            <w:pPr>
              <w:spacing w:before="0" w:after="0"/>
              <w:jc w:val="center"/>
              <w:rPr>
                <w:rFonts w:ascii="Arial" w:hAnsi="Arial" w:cs="Arial"/>
                <w:sz w:val="16"/>
                <w:szCs w:val="16"/>
              </w:rPr>
            </w:pPr>
          </w:p>
        </w:tc>
        <w:tc>
          <w:tcPr>
            <w:tcW w:w="1777" w:type="dxa"/>
          </w:tcPr>
          <w:p w14:paraId="45C48CC9"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Tasa de consultas o disputas de facturación</w:t>
            </w:r>
          </w:p>
        </w:tc>
        <w:tc>
          <w:tcPr>
            <w:tcW w:w="5953" w:type="dxa"/>
          </w:tcPr>
          <w:p w14:paraId="2F0BC755"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Número de consultas o disputas relacionadas con la facturación en comparación con el número total de facturas emitidas. Una tasa alta puede ser un indicador de problemas en el proceso de facturación.</w:t>
            </w:r>
          </w:p>
        </w:tc>
      </w:tr>
      <w:tr w:rsidR="00FE4890" w:rsidRPr="00115F4D" w14:paraId="7F61F423"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30C82FF4" w14:textId="77777777" w:rsidR="00FE4890" w:rsidRPr="00115F4D" w:rsidRDefault="00FE4890" w:rsidP="00891C31">
            <w:pPr>
              <w:spacing w:before="0" w:after="0"/>
              <w:jc w:val="center"/>
              <w:rPr>
                <w:rFonts w:ascii="Arial" w:hAnsi="Arial" w:cs="Arial"/>
                <w:sz w:val="16"/>
                <w:szCs w:val="16"/>
              </w:rPr>
            </w:pPr>
          </w:p>
        </w:tc>
        <w:tc>
          <w:tcPr>
            <w:tcW w:w="1777" w:type="dxa"/>
          </w:tcPr>
          <w:p w14:paraId="0AE4722B"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Tiempo de ciclo de facturación</w:t>
            </w:r>
          </w:p>
        </w:tc>
        <w:tc>
          <w:tcPr>
            <w:tcW w:w="5953" w:type="dxa"/>
          </w:tcPr>
          <w:p w14:paraId="0E1B6BF6"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Tiempo que transcurre desde que se presta el servicio o se entrega el producto hasta que se emite la factura. Un tiempo de ciclo de facturación más corto puede mejorar el flujo de caja de la empresa.</w:t>
            </w:r>
          </w:p>
        </w:tc>
      </w:tr>
      <w:tr w:rsidR="00FE4890" w:rsidRPr="00115F4D" w14:paraId="264184C7"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6BDFD0C8" w14:textId="77777777" w:rsidR="00FE4890" w:rsidRPr="00115F4D" w:rsidRDefault="00FE4890" w:rsidP="00891C31">
            <w:pPr>
              <w:spacing w:before="0" w:after="0"/>
              <w:jc w:val="center"/>
              <w:rPr>
                <w:rFonts w:ascii="Arial" w:hAnsi="Arial" w:cs="Arial"/>
                <w:sz w:val="16"/>
                <w:szCs w:val="16"/>
              </w:rPr>
            </w:pPr>
          </w:p>
        </w:tc>
        <w:tc>
          <w:tcPr>
            <w:tcW w:w="1777" w:type="dxa"/>
          </w:tcPr>
          <w:p w14:paraId="0459826B"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Tiempo de pago de las facturas</w:t>
            </w:r>
          </w:p>
        </w:tc>
        <w:tc>
          <w:tcPr>
            <w:tcW w:w="5953" w:type="dxa"/>
          </w:tcPr>
          <w:p w14:paraId="36AABAE2"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Tiempo promedio que tardan los clientes en pagar las facturas después de recibirlas. Este puede dar una idea de la satisfacción del cliente y la eficacia del proceso de facturación.</w:t>
            </w:r>
          </w:p>
        </w:tc>
      </w:tr>
      <w:tr w:rsidR="00FE4890" w:rsidRPr="00115F4D" w14:paraId="21812705"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3A8F9618" w14:textId="77777777" w:rsidR="00FE4890" w:rsidRPr="00115F4D" w:rsidRDefault="00FE4890" w:rsidP="00891C31">
            <w:pPr>
              <w:spacing w:before="0" w:after="0"/>
              <w:jc w:val="center"/>
              <w:rPr>
                <w:rFonts w:ascii="Arial" w:hAnsi="Arial" w:cs="Arial"/>
                <w:sz w:val="16"/>
                <w:szCs w:val="16"/>
              </w:rPr>
            </w:pPr>
          </w:p>
        </w:tc>
        <w:tc>
          <w:tcPr>
            <w:tcW w:w="1777" w:type="dxa"/>
          </w:tcPr>
          <w:p w14:paraId="317DDB5B"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Costo de procesamiento y distribución de la factura</w:t>
            </w:r>
          </w:p>
        </w:tc>
        <w:tc>
          <w:tcPr>
            <w:tcW w:w="5953" w:type="dxa"/>
          </w:tcPr>
          <w:p w14:paraId="0A29F119"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Costo de generar y enviar una factura. Este puede ser un área importante para reducir costos y mejorar la eficiencia.</w:t>
            </w:r>
          </w:p>
        </w:tc>
      </w:tr>
      <w:tr w:rsidR="00FE4890" w:rsidRPr="00115F4D" w14:paraId="7365ADE5" w14:textId="77777777" w:rsidTr="0048579A">
        <w:trPr>
          <w:trHeight w:val="20"/>
        </w:trPr>
        <w:tc>
          <w:tcPr>
            <w:cnfStyle w:val="001000000000" w:firstRow="0" w:lastRow="0" w:firstColumn="1" w:lastColumn="0" w:oddVBand="0" w:evenVBand="0" w:oddHBand="0" w:evenHBand="0" w:firstRowFirstColumn="0" w:firstRowLastColumn="0" w:lastRowFirstColumn="0" w:lastRowLastColumn="0"/>
            <w:tcW w:w="1337" w:type="dxa"/>
            <w:vMerge w:val="restart"/>
            <w:vAlign w:val="center"/>
          </w:tcPr>
          <w:p w14:paraId="72C2B6DE" w14:textId="77777777" w:rsidR="00FE4890" w:rsidRPr="00115F4D" w:rsidRDefault="00FE4890" w:rsidP="0048579A">
            <w:pPr>
              <w:spacing w:before="0" w:after="0"/>
              <w:rPr>
                <w:rFonts w:ascii="Arial" w:hAnsi="Arial" w:cs="Arial"/>
                <w:sz w:val="16"/>
                <w:szCs w:val="16"/>
              </w:rPr>
            </w:pPr>
            <w:r w:rsidRPr="00115F4D">
              <w:rPr>
                <w:rFonts w:ascii="Arial" w:hAnsi="Arial" w:cs="Arial"/>
                <w:sz w:val="16"/>
                <w:szCs w:val="16"/>
              </w:rPr>
              <w:t>Reparto y distribución de facturas</w:t>
            </w:r>
          </w:p>
        </w:tc>
        <w:tc>
          <w:tcPr>
            <w:tcW w:w="1777" w:type="dxa"/>
          </w:tcPr>
          <w:p w14:paraId="32EE4A80"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color w:val="000000"/>
                <w:kern w:val="24"/>
                <w:sz w:val="16"/>
                <w:szCs w:val="16"/>
                <w:lang w:eastAsia="es-CO"/>
              </w:rPr>
              <w:t>Días transcurridos entre lectura y entrega de factura</w:t>
            </w:r>
          </w:p>
        </w:tc>
        <w:tc>
          <w:tcPr>
            <w:tcW w:w="5953" w:type="dxa"/>
          </w:tcPr>
          <w:p w14:paraId="55426D50" w14:textId="52F87BDF" w:rsidR="00FE4890" w:rsidRPr="00115F4D" w:rsidRDefault="004C7C39"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eastAsia="es-CO"/>
              </w:rPr>
            </w:pPr>
            <w:r>
              <w:rPr>
                <w:rFonts w:ascii="Arial" w:hAnsi="Arial" w:cs="Arial"/>
                <w:color w:val="000000"/>
                <w:kern w:val="24"/>
                <w:sz w:val="16"/>
                <w:szCs w:val="16"/>
                <w:lang w:eastAsia="es-CO"/>
              </w:rPr>
              <w:t xml:space="preserve">Tiempo transcurrido </w:t>
            </w:r>
            <w:r w:rsidR="000F3F32">
              <w:rPr>
                <w:rFonts w:ascii="Arial" w:hAnsi="Arial" w:cs="Arial"/>
                <w:color w:val="000000"/>
                <w:kern w:val="24"/>
                <w:sz w:val="16"/>
                <w:szCs w:val="16"/>
                <w:lang w:eastAsia="es-CO"/>
              </w:rPr>
              <w:t xml:space="preserve">entre la lectura del contador del usuario y la </w:t>
            </w:r>
            <w:r w:rsidR="00265045">
              <w:rPr>
                <w:rFonts w:ascii="Arial" w:hAnsi="Arial" w:cs="Arial"/>
                <w:color w:val="000000"/>
                <w:kern w:val="24"/>
                <w:sz w:val="16"/>
                <w:szCs w:val="16"/>
                <w:lang w:eastAsia="es-CO"/>
              </w:rPr>
              <w:t>entrega de la factura.</w:t>
            </w:r>
          </w:p>
        </w:tc>
      </w:tr>
      <w:tr w:rsidR="00FE4890" w:rsidRPr="00115F4D" w14:paraId="40C3153C"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ECD22E7" w14:textId="77777777" w:rsidR="00FE4890" w:rsidRPr="00115F4D" w:rsidRDefault="00FE4890" w:rsidP="00891C31">
            <w:pPr>
              <w:spacing w:before="0" w:after="0"/>
              <w:jc w:val="center"/>
              <w:rPr>
                <w:rFonts w:ascii="Arial" w:hAnsi="Arial" w:cs="Arial"/>
                <w:sz w:val="16"/>
                <w:szCs w:val="16"/>
              </w:rPr>
            </w:pPr>
          </w:p>
        </w:tc>
        <w:tc>
          <w:tcPr>
            <w:tcW w:w="1777" w:type="dxa"/>
          </w:tcPr>
          <w:p w14:paraId="3EC0C35F"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Tiempo de entrega de facturas</w:t>
            </w:r>
          </w:p>
        </w:tc>
        <w:tc>
          <w:tcPr>
            <w:tcW w:w="5953" w:type="dxa"/>
          </w:tcPr>
          <w:p w14:paraId="0B040D31"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Tiempo que se tarda en entregar una factura a un cliente desde que se emite. Un tiempo de entrega más corto puede mejorar la satisfacción del cliente y acelerar el tiempo de pago.</w:t>
            </w:r>
          </w:p>
        </w:tc>
      </w:tr>
      <w:tr w:rsidR="00FE4890" w:rsidRPr="00115F4D" w14:paraId="7381B83A"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7126F93" w14:textId="77777777" w:rsidR="00FE4890" w:rsidRPr="00115F4D" w:rsidRDefault="00FE4890" w:rsidP="00891C31">
            <w:pPr>
              <w:spacing w:before="0" w:after="0"/>
              <w:jc w:val="center"/>
              <w:rPr>
                <w:rFonts w:ascii="Arial" w:hAnsi="Arial" w:cs="Arial"/>
                <w:sz w:val="16"/>
                <w:szCs w:val="16"/>
              </w:rPr>
            </w:pPr>
          </w:p>
        </w:tc>
        <w:tc>
          <w:tcPr>
            <w:tcW w:w="1777" w:type="dxa"/>
          </w:tcPr>
          <w:p w14:paraId="394F0689"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entregadas a tiempo</w:t>
            </w:r>
          </w:p>
        </w:tc>
        <w:tc>
          <w:tcPr>
            <w:tcW w:w="5953" w:type="dxa"/>
          </w:tcPr>
          <w:p w14:paraId="3B100640"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que se entregan a los clientes en la fecha comprometida. Una tasa más alta indica una mayor eficiencia en la distribución.</w:t>
            </w:r>
          </w:p>
        </w:tc>
      </w:tr>
      <w:tr w:rsidR="00FE4890" w:rsidRPr="00115F4D" w14:paraId="4A3396CC"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52856D8C" w14:textId="77777777" w:rsidR="00FE4890" w:rsidRPr="00115F4D" w:rsidRDefault="00FE4890" w:rsidP="00891C31">
            <w:pPr>
              <w:spacing w:before="0" w:after="0"/>
              <w:jc w:val="center"/>
              <w:rPr>
                <w:rFonts w:ascii="Arial" w:hAnsi="Arial" w:cs="Arial"/>
                <w:sz w:val="16"/>
                <w:szCs w:val="16"/>
              </w:rPr>
            </w:pPr>
          </w:p>
        </w:tc>
        <w:tc>
          <w:tcPr>
            <w:tcW w:w="1777" w:type="dxa"/>
          </w:tcPr>
          <w:p w14:paraId="63C88406"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incorrectamente distribuidas</w:t>
            </w:r>
          </w:p>
        </w:tc>
        <w:tc>
          <w:tcPr>
            <w:tcW w:w="5953" w:type="dxa"/>
          </w:tcPr>
          <w:p w14:paraId="5CB418D5"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que se envían al destinatario incorrecto. Una tasa más baja es mejor, ya que los errores de distribución pueden llevar a retrasos en el pago y a la insatisfacción del cliente.</w:t>
            </w:r>
          </w:p>
        </w:tc>
      </w:tr>
      <w:tr w:rsidR="00FE4890" w:rsidRPr="00115F4D" w14:paraId="4306CE16"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382CD9D7" w14:textId="77777777" w:rsidR="00FE4890" w:rsidRPr="00115F4D" w:rsidRDefault="00FE4890" w:rsidP="00891C31">
            <w:pPr>
              <w:spacing w:before="0" w:after="0"/>
              <w:jc w:val="center"/>
              <w:rPr>
                <w:rFonts w:ascii="Arial" w:hAnsi="Arial" w:cs="Arial"/>
                <w:sz w:val="16"/>
                <w:szCs w:val="16"/>
              </w:rPr>
            </w:pPr>
          </w:p>
        </w:tc>
        <w:tc>
          <w:tcPr>
            <w:tcW w:w="1777" w:type="dxa"/>
          </w:tcPr>
          <w:p w14:paraId="2BADDCC1"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perdidas o no entregadas</w:t>
            </w:r>
          </w:p>
        </w:tc>
        <w:tc>
          <w:tcPr>
            <w:tcW w:w="5953" w:type="dxa"/>
          </w:tcPr>
          <w:p w14:paraId="780549C0"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que no se entregan al cliente. Una tasa más baja es mejor, ya que las facturas perdidas pueden resultar en retrasos en el pago y problemas de cobranza.</w:t>
            </w:r>
          </w:p>
        </w:tc>
      </w:tr>
      <w:tr w:rsidR="00FE4890" w:rsidRPr="00115F4D" w14:paraId="72965491" w14:textId="77777777" w:rsidTr="007C06AA">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771CEFD7" w14:textId="77777777" w:rsidR="00FE4890" w:rsidRPr="00115F4D" w:rsidRDefault="00FE4890" w:rsidP="00891C31">
            <w:pPr>
              <w:spacing w:before="0" w:after="0"/>
              <w:jc w:val="center"/>
              <w:rPr>
                <w:rFonts w:ascii="Arial" w:hAnsi="Arial" w:cs="Arial"/>
                <w:sz w:val="16"/>
                <w:szCs w:val="16"/>
              </w:rPr>
            </w:pPr>
          </w:p>
        </w:tc>
        <w:tc>
          <w:tcPr>
            <w:tcW w:w="1777" w:type="dxa"/>
            <w:vAlign w:val="center"/>
          </w:tcPr>
          <w:p w14:paraId="2C2A00BF" w14:textId="58E515F1" w:rsidR="00FE4890" w:rsidRPr="00115F4D" w:rsidRDefault="00FE4890" w:rsidP="00D757B4">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Costo por factura distribuida</w:t>
            </w:r>
          </w:p>
        </w:tc>
        <w:tc>
          <w:tcPr>
            <w:tcW w:w="5953" w:type="dxa"/>
          </w:tcPr>
          <w:p w14:paraId="4B5F2E0F" w14:textId="7ECF86DF" w:rsidR="00FE4890" w:rsidRPr="00115F4D" w:rsidRDefault="00265045"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Costo </w:t>
            </w:r>
            <w:r w:rsidR="00A13311">
              <w:rPr>
                <w:rFonts w:ascii="Arial" w:hAnsi="Arial" w:cs="Arial"/>
                <w:sz w:val="16"/>
                <w:szCs w:val="16"/>
              </w:rPr>
              <w:t xml:space="preserve">de expedir y entregar al usuario </w:t>
            </w:r>
            <w:r w:rsidR="0079419B">
              <w:rPr>
                <w:rFonts w:ascii="Arial" w:hAnsi="Arial" w:cs="Arial"/>
                <w:sz w:val="16"/>
                <w:szCs w:val="16"/>
              </w:rPr>
              <w:t>la factura con el cobro del servicio.</w:t>
            </w:r>
          </w:p>
        </w:tc>
      </w:tr>
      <w:tr w:rsidR="00FE4890" w:rsidRPr="00115F4D" w14:paraId="499655B1"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0C374613" w14:textId="77777777" w:rsidR="00FE4890" w:rsidRPr="00115F4D" w:rsidRDefault="00FE4890" w:rsidP="00891C31">
            <w:pPr>
              <w:spacing w:before="0" w:after="0"/>
              <w:jc w:val="center"/>
              <w:rPr>
                <w:rFonts w:ascii="Arial" w:hAnsi="Arial" w:cs="Arial"/>
                <w:sz w:val="16"/>
                <w:szCs w:val="16"/>
              </w:rPr>
            </w:pPr>
          </w:p>
        </w:tc>
        <w:tc>
          <w:tcPr>
            <w:tcW w:w="1777" w:type="dxa"/>
          </w:tcPr>
          <w:p w14:paraId="3F880312"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Tasa de digitalización de facturas</w:t>
            </w:r>
          </w:p>
        </w:tc>
        <w:tc>
          <w:tcPr>
            <w:tcW w:w="5953" w:type="dxa"/>
          </w:tcPr>
          <w:p w14:paraId="46B8BB5A"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que se emiten y envían de manera digital en lugar de en papel. Una tasa más alta puede ser indicativa de una operación más sostenible y eficiente.</w:t>
            </w:r>
          </w:p>
        </w:tc>
      </w:tr>
      <w:tr w:rsidR="00FE4890" w:rsidRPr="00115F4D" w14:paraId="43A7309F"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27624DF4" w14:textId="77777777" w:rsidR="00FE4890" w:rsidRPr="00115F4D" w:rsidRDefault="00FE4890" w:rsidP="00891C31">
            <w:pPr>
              <w:spacing w:before="0" w:after="0"/>
              <w:jc w:val="center"/>
              <w:rPr>
                <w:rFonts w:ascii="Arial" w:hAnsi="Arial" w:cs="Arial"/>
                <w:sz w:val="16"/>
                <w:szCs w:val="16"/>
              </w:rPr>
            </w:pPr>
          </w:p>
        </w:tc>
        <w:tc>
          <w:tcPr>
            <w:tcW w:w="1777" w:type="dxa"/>
          </w:tcPr>
          <w:p w14:paraId="01555DA4"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Satisfacción del cliente con la distribución de facturas</w:t>
            </w:r>
          </w:p>
        </w:tc>
        <w:tc>
          <w:tcPr>
            <w:tcW w:w="5953" w:type="dxa"/>
          </w:tcPr>
          <w:p w14:paraId="72A233FA"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Satisfacción del cliente con el proceso de entrega de facturas. Puede medirse a través de encuestas de satisfacción del cliente.</w:t>
            </w:r>
          </w:p>
        </w:tc>
      </w:tr>
      <w:tr w:rsidR="00FE4890" w:rsidRPr="00115F4D" w14:paraId="0ACF59F9"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val="restart"/>
          </w:tcPr>
          <w:p w14:paraId="00012852" w14:textId="77777777" w:rsidR="00FE4890" w:rsidRPr="00115F4D" w:rsidRDefault="00FE4890" w:rsidP="00891C31">
            <w:pPr>
              <w:spacing w:before="0" w:after="0"/>
              <w:jc w:val="center"/>
              <w:rPr>
                <w:rFonts w:ascii="Arial" w:hAnsi="Arial" w:cs="Arial"/>
                <w:sz w:val="16"/>
                <w:szCs w:val="16"/>
              </w:rPr>
            </w:pPr>
            <w:r w:rsidRPr="00115F4D">
              <w:rPr>
                <w:rFonts w:ascii="Arial" w:hAnsi="Arial" w:cs="Arial"/>
                <w:sz w:val="16"/>
                <w:szCs w:val="16"/>
              </w:rPr>
              <w:t>Recaudo de facturación</w:t>
            </w:r>
          </w:p>
        </w:tc>
        <w:tc>
          <w:tcPr>
            <w:tcW w:w="1777" w:type="dxa"/>
          </w:tcPr>
          <w:p w14:paraId="47747C20"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pagadas a tiempo</w:t>
            </w:r>
          </w:p>
        </w:tc>
        <w:tc>
          <w:tcPr>
            <w:tcW w:w="5953" w:type="dxa"/>
          </w:tcPr>
          <w:p w14:paraId="2AE1FA78"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que los clientes pagan en o antes de la fecha de vencimiento. Un porcentaje más alto suele indicar un proceso de recaudo eficaz.</w:t>
            </w:r>
          </w:p>
        </w:tc>
      </w:tr>
      <w:tr w:rsidR="00FE4890" w:rsidRPr="00115F4D" w14:paraId="6EF72593"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4FBB57E2" w14:textId="77777777" w:rsidR="00FE4890" w:rsidRPr="00115F4D" w:rsidRDefault="00FE4890" w:rsidP="00891C31">
            <w:pPr>
              <w:spacing w:before="0" w:after="0"/>
              <w:jc w:val="center"/>
              <w:rPr>
                <w:rFonts w:ascii="Arial" w:hAnsi="Arial" w:cs="Arial"/>
                <w:sz w:val="16"/>
                <w:szCs w:val="16"/>
              </w:rPr>
            </w:pPr>
          </w:p>
        </w:tc>
        <w:tc>
          <w:tcPr>
            <w:tcW w:w="1777" w:type="dxa"/>
          </w:tcPr>
          <w:p w14:paraId="61275C4E"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Tasa de cobro</w:t>
            </w:r>
          </w:p>
        </w:tc>
        <w:tc>
          <w:tcPr>
            <w:tcW w:w="5953" w:type="dxa"/>
          </w:tcPr>
          <w:p w14:paraId="15214D6F"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que se cobran con éxito. Una tasa de cobro más alta es generalmente mejor.</w:t>
            </w:r>
          </w:p>
        </w:tc>
      </w:tr>
      <w:tr w:rsidR="00FE4890" w:rsidRPr="00115F4D" w14:paraId="3A4A5FD2"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A69656D" w14:textId="77777777" w:rsidR="00FE4890" w:rsidRPr="00115F4D" w:rsidRDefault="00FE4890" w:rsidP="00891C31">
            <w:pPr>
              <w:spacing w:before="0" w:after="0"/>
              <w:jc w:val="center"/>
              <w:rPr>
                <w:rFonts w:ascii="Arial" w:hAnsi="Arial" w:cs="Arial"/>
                <w:sz w:val="16"/>
                <w:szCs w:val="16"/>
              </w:rPr>
            </w:pPr>
          </w:p>
        </w:tc>
        <w:tc>
          <w:tcPr>
            <w:tcW w:w="1777" w:type="dxa"/>
          </w:tcPr>
          <w:p w14:paraId="5864C529"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Días de ventas pendientes (DSO, por sus siglas en inglés)</w:t>
            </w:r>
          </w:p>
        </w:tc>
        <w:tc>
          <w:tcPr>
            <w:tcW w:w="5953" w:type="dxa"/>
          </w:tcPr>
          <w:p w14:paraId="0E2CE49D"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Número promedio de días que se tarda en cobrar el pago después de una venta. Un DSO más bajo suele ser mejor, ya que significa que la empresa recibe su dinero más rápidamente.</w:t>
            </w:r>
          </w:p>
        </w:tc>
      </w:tr>
      <w:tr w:rsidR="00FE4890" w:rsidRPr="00115F4D" w14:paraId="3CF15D72"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524ADAD2" w14:textId="77777777" w:rsidR="00FE4890" w:rsidRPr="00115F4D" w:rsidRDefault="00FE4890" w:rsidP="00891C31">
            <w:pPr>
              <w:spacing w:before="0" w:after="0"/>
              <w:jc w:val="center"/>
              <w:rPr>
                <w:rFonts w:ascii="Arial" w:hAnsi="Arial" w:cs="Arial"/>
                <w:sz w:val="16"/>
                <w:szCs w:val="16"/>
              </w:rPr>
            </w:pPr>
          </w:p>
        </w:tc>
        <w:tc>
          <w:tcPr>
            <w:tcW w:w="1777" w:type="dxa"/>
          </w:tcPr>
          <w:p w14:paraId="1CB99AD5"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impagadas</w:t>
            </w:r>
          </w:p>
        </w:tc>
        <w:tc>
          <w:tcPr>
            <w:tcW w:w="5953" w:type="dxa"/>
          </w:tcPr>
          <w:p w14:paraId="18FFFCA8"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facturas que no se han pagado en un período determinado. Una tasa más baja de facturas impagadas es generalmente mejor.</w:t>
            </w:r>
          </w:p>
        </w:tc>
      </w:tr>
      <w:tr w:rsidR="00FE4890" w:rsidRPr="00115F4D" w14:paraId="2D84283C"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29AB436" w14:textId="77777777" w:rsidR="00FE4890" w:rsidRPr="00115F4D" w:rsidRDefault="00FE4890" w:rsidP="00891C31">
            <w:pPr>
              <w:spacing w:before="0" w:after="0"/>
              <w:jc w:val="center"/>
              <w:rPr>
                <w:rFonts w:ascii="Arial" w:hAnsi="Arial" w:cs="Arial"/>
                <w:sz w:val="16"/>
                <w:szCs w:val="16"/>
              </w:rPr>
            </w:pPr>
          </w:p>
        </w:tc>
        <w:tc>
          <w:tcPr>
            <w:tcW w:w="1777" w:type="dxa"/>
          </w:tcPr>
          <w:p w14:paraId="54002E45"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Tasa de morosidad</w:t>
            </w:r>
          </w:p>
        </w:tc>
        <w:tc>
          <w:tcPr>
            <w:tcW w:w="5953" w:type="dxa"/>
          </w:tcPr>
          <w:p w14:paraId="4A9FB1EC"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deudas que se encuentran en mora respecto al total de facturas pendientes. Una tasa más baja indica un mejor rendimiento en el recaudo de facturación.</w:t>
            </w:r>
          </w:p>
        </w:tc>
      </w:tr>
      <w:tr w:rsidR="00FE4890" w:rsidRPr="00115F4D" w14:paraId="6C75909C"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42084E41" w14:textId="77777777" w:rsidR="00FE4890" w:rsidRPr="00115F4D" w:rsidRDefault="00FE4890" w:rsidP="00891C31">
            <w:pPr>
              <w:spacing w:before="0" w:after="0"/>
              <w:jc w:val="center"/>
              <w:rPr>
                <w:rFonts w:ascii="Arial" w:hAnsi="Arial" w:cs="Arial"/>
                <w:sz w:val="16"/>
                <w:szCs w:val="16"/>
              </w:rPr>
            </w:pPr>
          </w:p>
        </w:tc>
        <w:tc>
          <w:tcPr>
            <w:tcW w:w="1777" w:type="dxa"/>
          </w:tcPr>
          <w:p w14:paraId="53AEDFE4"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Costo de recaudo</w:t>
            </w:r>
          </w:p>
        </w:tc>
        <w:tc>
          <w:tcPr>
            <w:tcW w:w="5953" w:type="dxa"/>
          </w:tcPr>
          <w:p w14:paraId="253EC2BE"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Costo asociado a la recaudación de los pagos de facturas. Esto puede incluir el costo de personal, el costo de enviar recordatorios de pago, entre otros. Un costo más bajo es generalmente mejor.</w:t>
            </w:r>
          </w:p>
        </w:tc>
      </w:tr>
      <w:tr w:rsidR="00FE4890" w:rsidRPr="00115F4D" w14:paraId="07138AC4"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7539AB7A" w14:textId="77777777" w:rsidR="00FE4890" w:rsidRPr="00115F4D" w:rsidRDefault="00FE4890" w:rsidP="00891C31">
            <w:pPr>
              <w:spacing w:before="0" w:after="0"/>
              <w:jc w:val="center"/>
              <w:rPr>
                <w:rFonts w:ascii="Arial" w:hAnsi="Arial" w:cs="Arial"/>
                <w:sz w:val="16"/>
                <w:szCs w:val="16"/>
              </w:rPr>
            </w:pPr>
          </w:p>
        </w:tc>
        <w:tc>
          <w:tcPr>
            <w:tcW w:w="1777" w:type="dxa"/>
          </w:tcPr>
          <w:p w14:paraId="40745C6F"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Número de consultas o disputas sobre facturación</w:t>
            </w:r>
          </w:p>
        </w:tc>
        <w:tc>
          <w:tcPr>
            <w:tcW w:w="5953" w:type="dxa"/>
          </w:tcPr>
          <w:p w14:paraId="7BEF6B22"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Cantidad de consultas o disputas que los clientes tienen acerca de sus facturas. Un número más bajo puede indicar que las facturas son claras y precisas.</w:t>
            </w:r>
          </w:p>
        </w:tc>
      </w:tr>
      <w:tr w:rsidR="00FE4890" w:rsidRPr="00115F4D" w14:paraId="01770A86"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val="restart"/>
          </w:tcPr>
          <w:p w14:paraId="13BF3D26" w14:textId="77777777" w:rsidR="00FE4890" w:rsidRPr="00115F4D" w:rsidRDefault="00FE4890" w:rsidP="00891C31">
            <w:pPr>
              <w:spacing w:before="0" w:after="0"/>
              <w:jc w:val="center"/>
              <w:rPr>
                <w:rFonts w:ascii="Arial" w:hAnsi="Arial" w:cs="Arial"/>
                <w:sz w:val="16"/>
                <w:szCs w:val="16"/>
              </w:rPr>
            </w:pPr>
            <w:r w:rsidRPr="00115F4D">
              <w:rPr>
                <w:rFonts w:ascii="Arial" w:hAnsi="Arial" w:cs="Arial"/>
                <w:sz w:val="16"/>
                <w:szCs w:val="16"/>
              </w:rPr>
              <w:t>Gestión de compra de energía</w:t>
            </w:r>
          </w:p>
        </w:tc>
        <w:tc>
          <w:tcPr>
            <w:tcW w:w="1777" w:type="dxa"/>
          </w:tcPr>
          <w:p w14:paraId="2A999A45"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Precio medio de compra</w:t>
            </w:r>
          </w:p>
        </w:tc>
        <w:tc>
          <w:tcPr>
            <w:tcW w:w="5953" w:type="dxa"/>
          </w:tcPr>
          <w:p w14:paraId="222A99EA"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Precio promedio al que se compra la energía. Un precio más bajo puede indicar una gestión de compra más eficaz.</w:t>
            </w:r>
          </w:p>
        </w:tc>
      </w:tr>
      <w:tr w:rsidR="00FE4890" w:rsidRPr="00115F4D" w14:paraId="03208E61"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4EDB5EB1" w14:textId="77777777" w:rsidR="00FE4890" w:rsidRPr="00115F4D" w:rsidRDefault="00FE4890" w:rsidP="00891C31">
            <w:pPr>
              <w:spacing w:before="0" w:after="0"/>
              <w:jc w:val="center"/>
              <w:rPr>
                <w:rFonts w:ascii="Arial" w:hAnsi="Arial" w:cs="Arial"/>
                <w:sz w:val="16"/>
                <w:szCs w:val="16"/>
              </w:rPr>
            </w:pPr>
          </w:p>
        </w:tc>
        <w:tc>
          <w:tcPr>
            <w:tcW w:w="1777" w:type="dxa"/>
          </w:tcPr>
          <w:p w14:paraId="50CC85FE"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Variabilidad del precio de compra</w:t>
            </w:r>
          </w:p>
        </w:tc>
        <w:tc>
          <w:tcPr>
            <w:tcW w:w="5953" w:type="dxa"/>
          </w:tcPr>
          <w:p w14:paraId="33796B93"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Variación en los precios de compra durante un período de tiempo. Una variabilidad menor puede indicar una mayor estabilidad y previsibilidad en los costos de energía.</w:t>
            </w:r>
          </w:p>
        </w:tc>
      </w:tr>
      <w:tr w:rsidR="00FE4890" w:rsidRPr="00115F4D" w14:paraId="76420081"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302C5FB" w14:textId="77777777" w:rsidR="00FE4890" w:rsidRPr="00115F4D" w:rsidRDefault="00FE4890" w:rsidP="00891C31">
            <w:pPr>
              <w:spacing w:before="0" w:after="0"/>
              <w:jc w:val="center"/>
              <w:rPr>
                <w:rFonts w:ascii="Arial" w:hAnsi="Arial" w:cs="Arial"/>
                <w:sz w:val="16"/>
                <w:szCs w:val="16"/>
              </w:rPr>
            </w:pPr>
          </w:p>
        </w:tc>
        <w:tc>
          <w:tcPr>
            <w:tcW w:w="1777" w:type="dxa"/>
          </w:tcPr>
          <w:p w14:paraId="6C71DE23"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energía renovable comprada</w:t>
            </w:r>
          </w:p>
        </w:tc>
        <w:tc>
          <w:tcPr>
            <w:tcW w:w="5953" w:type="dxa"/>
          </w:tcPr>
          <w:p w14:paraId="7D748726"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Porcentaje de energía comprada que proviene de fuentes renovables. Una tasa más alta puede indicar un enfoque más sostenible y una mayor alineación con los objetivos de sostenibilidad.</w:t>
            </w:r>
          </w:p>
        </w:tc>
      </w:tr>
      <w:tr w:rsidR="00FE4890" w:rsidRPr="00115F4D" w14:paraId="7FF788FE"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5D1A585C" w14:textId="77777777" w:rsidR="00FE4890" w:rsidRPr="00115F4D" w:rsidRDefault="00FE4890" w:rsidP="00891C31">
            <w:pPr>
              <w:spacing w:before="0" w:after="0"/>
              <w:jc w:val="center"/>
              <w:rPr>
                <w:rFonts w:ascii="Arial" w:hAnsi="Arial" w:cs="Arial"/>
                <w:sz w:val="16"/>
                <w:szCs w:val="16"/>
              </w:rPr>
            </w:pPr>
          </w:p>
        </w:tc>
        <w:tc>
          <w:tcPr>
            <w:tcW w:w="1777" w:type="dxa"/>
          </w:tcPr>
          <w:p w14:paraId="56BCB93B"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Cantidad de energía no utilizada o perdida</w:t>
            </w:r>
          </w:p>
        </w:tc>
        <w:tc>
          <w:tcPr>
            <w:tcW w:w="5953" w:type="dxa"/>
          </w:tcPr>
          <w:p w14:paraId="228D5FBF"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Cantidad de energía comprada que no se utiliza o se pierde. Una cantidad más baja puede indicar una gestión de compra y utilización más eficaz.</w:t>
            </w:r>
          </w:p>
        </w:tc>
      </w:tr>
      <w:tr w:rsidR="00FE4890" w:rsidRPr="00115F4D" w14:paraId="59A45383"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564F709B" w14:textId="77777777" w:rsidR="00FE4890" w:rsidRPr="00115F4D" w:rsidRDefault="00FE4890" w:rsidP="00891C31">
            <w:pPr>
              <w:spacing w:before="0" w:after="0"/>
              <w:jc w:val="center"/>
              <w:rPr>
                <w:rFonts w:ascii="Arial" w:hAnsi="Arial" w:cs="Arial"/>
                <w:sz w:val="16"/>
                <w:szCs w:val="16"/>
              </w:rPr>
            </w:pPr>
          </w:p>
        </w:tc>
        <w:tc>
          <w:tcPr>
            <w:tcW w:w="1777" w:type="dxa"/>
          </w:tcPr>
          <w:p w14:paraId="409FDFB9"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Diversidad de proveedores de energía</w:t>
            </w:r>
          </w:p>
        </w:tc>
        <w:tc>
          <w:tcPr>
            <w:tcW w:w="5953" w:type="dxa"/>
          </w:tcPr>
          <w:p w14:paraId="22A7D47A"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Cantidad de proveedores diferentes de los que se compra energía. Una mayor diversidad puede indicar un menor riesgo de interrupción del suministro.</w:t>
            </w:r>
          </w:p>
        </w:tc>
      </w:tr>
      <w:tr w:rsidR="00FE4890" w:rsidRPr="00115F4D" w14:paraId="7FBAC2AE"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1024A1C2" w14:textId="77777777" w:rsidR="00FE4890" w:rsidRPr="00115F4D" w:rsidRDefault="00FE4890" w:rsidP="00891C31">
            <w:pPr>
              <w:spacing w:before="0" w:after="0"/>
              <w:jc w:val="center"/>
              <w:rPr>
                <w:rFonts w:ascii="Arial" w:hAnsi="Arial" w:cs="Arial"/>
                <w:sz w:val="16"/>
                <w:szCs w:val="16"/>
              </w:rPr>
            </w:pPr>
          </w:p>
        </w:tc>
        <w:tc>
          <w:tcPr>
            <w:tcW w:w="1777" w:type="dxa"/>
          </w:tcPr>
          <w:p w14:paraId="685E48CB"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Cumplimiento de los contratos de compra de energía</w:t>
            </w:r>
          </w:p>
        </w:tc>
        <w:tc>
          <w:tcPr>
            <w:tcW w:w="5953" w:type="dxa"/>
          </w:tcPr>
          <w:p w14:paraId="30C585ED"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Tasa de cumplimiento de los términos y condiciones de los contratos de compra de energía por parte de los generadores. Una tasa más alta puede indicar una mayor confiabilidad en los proveedores de energía.</w:t>
            </w:r>
          </w:p>
        </w:tc>
      </w:tr>
      <w:tr w:rsidR="00FE4890" w:rsidRPr="00115F4D" w14:paraId="43625B44" w14:textId="77777777" w:rsidTr="00656D70">
        <w:trPr>
          <w:trHeight w:val="20"/>
        </w:trPr>
        <w:tc>
          <w:tcPr>
            <w:cnfStyle w:val="001000000000" w:firstRow="0" w:lastRow="0" w:firstColumn="1" w:lastColumn="0" w:oddVBand="0" w:evenVBand="0" w:oddHBand="0" w:evenHBand="0" w:firstRowFirstColumn="0" w:firstRowLastColumn="0" w:lastRowFirstColumn="0" w:lastRowLastColumn="0"/>
            <w:tcW w:w="1337" w:type="dxa"/>
            <w:vMerge/>
          </w:tcPr>
          <w:p w14:paraId="3ACB8399" w14:textId="77777777" w:rsidR="00FE4890" w:rsidRPr="00115F4D" w:rsidRDefault="00FE4890" w:rsidP="00891C31">
            <w:pPr>
              <w:spacing w:before="0" w:after="0"/>
              <w:jc w:val="center"/>
              <w:rPr>
                <w:rFonts w:ascii="Arial" w:hAnsi="Arial" w:cs="Arial"/>
                <w:sz w:val="16"/>
                <w:szCs w:val="16"/>
              </w:rPr>
            </w:pPr>
          </w:p>
        </w:tc>
        <w:tc>
          <w:tcPr>
            <w:tcW w:w="1777" w:type="dxa"/>
          </w:tcPr>
          <w:p w14:paraId="2C845E1F" w14:textId="77777777" w:rsidR="00FE4890" w:rsidRPr="00115F4D" w:rsidRDefault="00FE4890" w:rsidP="00891C3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Riesgo de precio en la compra de energía</w:t>
            </w:r>
          </w:p>
        </w:tc>
        <w:tc>
          <w:tcPr>
            <w:tcW w:w="5953" w:type="dxa"/>
          </w:tcPr>
          <w:p w14:paraId="58F2C41B" w14:textId="77777777" w:rsidR="00FE4890" w:rsidRPr="00115F4D" w:rsidRDefault="00FE4890" w:rsidP="00891C31">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15F4D">
              <w:rPr>
                <w:rFonts w:ascii="Arial" w:hAnsi="Arial" w:cs="Arial"/>
                <w:sz w:val="16"/>
                <w:szCs w:val="16"/>
              </w:rPr>
              <w:t>Exposición al riesgo de cambios en los precios de la energía. Esto puede incluir el impacto de fluctuaciones en los precios de los mercados energéticos en los costos de la empresa.</w:t>
            </w:r>
          </w:p>
        </w:tc>
      </w:tr>
    </w:tbl>
    <w:p w14:paraId="468D5061" w14:textId="77777777" w:rsidR="00AA13D0" w:rsidRPr="00115F4D" w:rsidRDefault="00AA13D0" w:rsidP="00891C31">
      <w:pPr>
        <w:spacing w:before="0" w:after="0"/>
        <w:jc w:val="both"/>
        <w:rPr>
          <w:rFonts w:ascii="Arial" w:hAnsi="Arial" w:cs="Arial"/>
        </w:rPr>
      </w:pPr>
    </w:p>
    <w:p w14:paraId="643529EA" w14:textId="77777777" w:rsidR="00551AD5" w:rsidRDefault="00AA13D0" w:rsidP="00891C31">
      <w:pPr>
        <w:spacing w:before="0" w:after="0"/>
        <w:jc w:val="both"/>
        <w:rPr>
          <w:rFonts w:ascii="Arial" w:hAnsi="Arial" w:cs="Arial"/>
        </w:rPr>
      </w:pPr>
      <w:r w:rsidRPr="00115F4D">
        <w:rPr>
          <w:rFonts w:ascii="Arial" w:hAnsi="Arial" w:cs="Arial"/>
        </w:rPr>
        <w:t xml:space="preserve">Considerando que (i) un modelo de evaluación de la calidad comercial debe integrar un sistema de indicadores que aborde las actividades en las que incurren los agentes de este eslabón de la prestación del servicio de energía eléctrica y, (ii) que los indicadores compilados en el cuadro anterior deben ser sometidos a un </w:t>
      </w:r>
      <w:r w:rsidR="003C1C4C" w:rsidRPr="00115F4D">
        <w:rPr>
          <w:rFonts w:ascii="Arial" w:hAnsi="Arial" w:cs="Arial"/>
        </w:rPr>
        <w:t>análisis</w:t>
      </w:r>
      <w:r w:rsidRPr="00115F4D">
        <w:rPr>
          <w:rFonts w:ascii="Arial" w:hAnsi="Arial" w:cs="Arial"/>
        </w:rPr>
        <w:t xml:space="preserve"> de aplicabilidad</w:t>
      </w:r>
      <w:r w:rsidR="0082719A">
        <w:rPr>
          <w:rFonts w:ascii="Arial" w:hAnsi="Arial" w:cs="Arial"/>
        </w:rPr>
        <w:t>, modificaciones metodológicas</w:t>
      </w:r>
      <w:r w:rsidRPr="00115F4D">
        <w:rPr>
          <w:rFonts w:ascii="Arial" w:hAnsi="Arial" w:cs="Arial"/>
        </w:rPr>
        <w:t xml:space="preserve"> y pertinencia para el contexto del sector eléctrico colombiano</w:t>
      </w:r>
      <w:r w:rsidR="00143630">
        <w:rPr>
          <w:rFonts w:ascii="Arial" w:hAnsi="Arial" w:cs="Arial"/>
        </w:rPr>
        <w:t xml:space="preserve">; la CREG </w:t>
      </w:r>
      <w:r w:rsidR="008C669E">
        <w:rPr>
          <w:rFonts w:ascii="Arial" w:hAnsi="Arial" w:cs="Arial"/>
        </w:rPr>
        <w:t xml:space="preserve">adoptó como criterios de selección de indicadores, aquellos que </w:t>
      </w:r>
      <w:r w:rsidR="00332DC1">
        <w:rPr>
          <w:rFonts w:ascii="Arial" w:hAnsi="Arial" w:cs="Arial"/>
        </w:rPr>
        <w:t xml:space="preserve">definió </w:t>
      </w:r>
      <w:r w:rsidR="005B7553">
        <w:rPr>
          <w:rFonts w:ascii="Arial" w:hAnsi="Arial" w:cs="Arial"/>
        </w:rPr>
        <w:t xml:space="preserve">el estudio de consultoría </w:t>
      </w:r>
      <w:r w:rsidR="00551AD5">
        <w:rPr>
          <w:rFonts w:ascii="Arial" w:hAnsi="Arial" w:cs="Arial"/>
        </w:rPr>
        <w:t xml:space="preserve">desarrollado por la </w:t>
      </w:r>
      <w:r w:rsidR="00551AD5" w:rsidRPr="00115F4D">
        <w:rPr>
          <w:rFonts w:ascii="Arial" w:hAnsi="Arial" w:cs="Arial"/>
        </w:rPr>
        <w:t xml:space="preserve">firma Di-Avante </w:t>
      </w:r>
      <w:r w:rsidR="004D0177" w:rsidRPr="00115F4D">
        <w:rPr>
          <w:rFonts w:ascii="Arial" w:hAnsi="Arial" w:cs="Arial"/>
        </w:rPr>
        <w:t>para evaluar la calidad en la atención a los usuarios por parte de las empresas comercializadoras</w:t>
      </w:r>
      <w:r w:rsidR="00551AD5">
        <w:rPr>
          <w:rFonts w:ascii="Arial" w:hAnsi="Arial" w:cs="Arial"/>
        </w:rPr>
        <w:t>.</w:t>
      </w:r>
    </w:p>
    <w:p w14:paraId="21F518B0" w14:textId="77777777" w:rsidR="00551AD5" w:rsidRDefault="00551AD5" w:rsidP="00891C31">
      <w:pPr>
        <w:spacing w:before="0" w:after="0"/>
        <w:jc w:val="both"/>
        <w:rPr>
          <w:rFonts w:ascii="Arial" w:hAnsi="Arial" w:cs="Arial"/>
        </w:rPr>
      </w:pPr>
    </w:p>
    <w:p w14:paraId="71EFFF89" w14:textId="77777777" w:rsidR="002430FA" w:rsidRDefault="00551AD5" w:rsidP="00891C31">
      <w:pPr>
        <w:spacing w:before="0" w:after="0"/>
        <w:jc w:val="both"/>
        <w:rPr>
          <w:rFonts w:ascii="Arial" w:hAnsi="Arial" w:cs="Arial"/>
        </w:rPr>
      </w:pPr>
      <w:r>
        <w:rPr>
          <w:rFonts w:ascii="Arial" w:hAnsi="Arial" w:cs="Arial"/>
        </w:rPr>
        <w:t xml:space="preserve">Los criterios definidos en ese estudio </w:t>
      </w:r>
      <w:r w:rsidR="000D6419">
        <w:rPr>
          <w:rFonts w:ascii="Arial" w:hAnsi="Arial" w:cs="Arial"/>
        </w:rPr>
        <w:t xml:space="preserve">son resultado de considerar </w:t>
      </w:r>
      <w:r w:rsidR="000877B5">
        <w:rPr>
          <w:rFonts w:ascii="Arial" w:hAnsi="Arial" w:cs="Arial"/>
        </w:rPr>
        <w:t xml:space="preserve">algunos de los </w:t>
      </w:r>
      <w:r w:rsidR="00B63101">
        <w:rPr>
          <w:rFonts w:ascii="Arial" w:hAnsi="Arial" w:cs="Arial"/>
        </w:rPr>
        <w:t>lineamient</w:t>
      </w:r>
      <w:r>
        <w:rPr>
          <w:rFonts w:ascii="Arial" w:hAnsi="Arial" w:cs="Arial"/>
        </w:rPr>
        <w:t>os</w:t>
      </w:r>
      <w:r w:rsidR="000D6419">
        <w:rPr>
          <w:rFonts w:ascii="Arial" w:hAnsi="Arial" w:cs="Arial"/>
        </w:rPr>
        <w:t xml:space="preserve"> </w:t>
      </w:r>
      <w:r w:rsidR="00D543BC">
        <w:rPr>
          <w:rFonts w:ascii="Arial" w:hAnsi="Arial" w:cs="Arial"/>
        </w:rPr>
        <w:t>definidos por DANE, DNP</w:t>
      </w:r>
      <w:r w:rsidR="00593DD5">
        <w:rPr>
          <w:rFonts w:ascii="Arial" w:hAnsi="Arial" w:cs="Arial"/>
        </w:rPr>
        <w:t xml:space="preserve"> y normas de desempeño tales como ISO 5000</w:t>
      </w:r>
      <w:r w:rsidR="006A613D">
        <w:rPr>
          <w:rFonts w:ascii="Arial" w:hAnsi="Arial" w:cs="Arial"/>
        </w:rPr>
        <w:t>6</w:t>
      </w:r>
      <w:r w:rsidR="002430FA">
        <w:rPr>
          <w:rFonts w:ascii="Arial" w:hAnsi="Arial" w:cs="Arial"/>
        </w:rPr>
        <w:t>:</w:t>
      </w:r>
      <w:r w:rsidR="00C11F8F">
        <w:rPr>
          <w:rFonts w:ascii="Arial" w:hAnsi="Arial" w:cs="Arial"/>
        </w:rPr>
        <w:t>2015</w:t>
      </w:r>
      <w:r w:rsidR="002430FA">
        <w:rPr>
          <w:rFonts w:ascii="Arial" w:hAnsi="Arial" w:cs="Arial"/>
        </w:rPr>
        <w:t>, entre otras.</w:t>
      </w:r>
    </w:p>
    <w:p w14:paraId="54C93377" w14:textId="77777777" w:rsidR="002430FA" w:rsidRDefault="002430FA" w:rsidP="00891C31">
      <w:pPr>
        <w:spacing w:before="0" w:after="0"/>
        <w:jc w:val="both"/>
        <w:rPr>
          <w:rFonts w:ascii="Arial" w:hAnsi="Arial" w:cs="Arial"/>
        </w:rPr>
      </w:pPr>
    </w:p>
    <w:p w14:paraId="5E64EEC1" w14:textId="77777777" w:rsidR="005002FF" w:rsidRDefault="002430FA" w:rsidP="00891C31">
      <w:pPr>
        <w:spacing w:before="0" w:after="0"/>
        <w:jc w:val="both"/>
        <w:rPr>
          <w:rFonts w:ascii="Arial" w:hAnsi="Arial" w:cs="Arial"/>
        </w:rPr>
      </w:pPr>
      <w:r>
        <w:rPr>
          <w:rFonts w:ascii="Arial" w:hAnsi="Arial" w:cs="Arial"/>
        </w:rPr>
        <w:t xml:space="preserve">Con </w:t>
      </w:r>
      <w:r w:rsidR="00FD2950">
        <w:rPr>
          <w:rFonts w:ascii="Arial" w:hAnsi="Arial" w:cs="Arial"/>
        </w:rPr>
        <w:t xml:space="preserve">esa base, </w:t>
      </w:r>
      <w:r w:rsidR="005002FF">
        <w:rPr>
          <w:rFonts w:ascii="Arial" w:hAnsi="Arial" w:cs="Arial"/>
        </w:rPr>
        <w:t>los criterios para la selección de indicadores, que tuvo en cuenta esta Comisión son los siguientes:</w:t>
      </w:r>
    </w:p>
    <w:p w14:paraId="60B8E3FD" w14:textId="77777777" w:rsidR="005002FF" w:rsidRDefault="005002FF" w:rsidP="00891C31">
      <w:pPr>
        <w:spacing w:before="0" w:after="0"/>
        <w:jc w:val="both"/>
        <w:rPr>
          <w:rFonts w:ascii="Arial" w:hAnsi="Arial" w:cs="Arial"/>
        </w:rPr>
      </w:pPr>
    </w:p>
    <w:p w14:paraId="35CFA706" w14:textId="6B03D95A" w:rsidR="00596E33" w:rsidRDefault="00B03C90" w:rsidP="00B03C90">
      <w:pPr>
        <w:pStyle w:val="Prrafodelista"/>
        <w:numPr>
          <w:ilvl w:val="0"/>
          <w:numId w:val="4"/>
        </w:numPr>
        <w:spacing w:before="0" w:after="0"/>
        <w:jc w:val="both"/>
        <w:rPr>
          <w:rFonts w:ascii="Arial" w:hAnsi="Arial" w:cs="Arial"/>
        </w:rPr>
      </w:pPr>
      <w:r w:rsidRPr="00A4038A">
        <w:rPr>
          <w:rFonts w:ascii="Arial" w:hAnsi="Arial" w:cs="Arial"/>
          <w:b/>
          <w:bCs/>
        </w:rPr>
        <w:t>Pertinencia</w:t>
      </w:r>
      <w:r>
        <w:rPr>
          <w:rFonts w:ascii="Arial" w:hAnsi="Arial" w:cs="Arial"/>
        </w:rPr>
        <w:t xml:space="preserve">: </w:t>
      </w:r>
      <w:r w:rsidR="00D603BF">
        <w:rPr>
          <w:rFonts w:ascii="Arial" w:hAnsi="Arial" w:cs="Arial"/>
        </w:rPr>
        <w:t xml:space="preserve">Evalúa </w:t>
      </w:r>
      <w:r w:rsidR="000F4BF0">
        <w:rPr>
          <w:rFonts w:ascii="Arial" w:hAnsi="Arial" w:cs="Arial"/>
        </w:rPr>
        <w:t>que los indicadores seleccionados</w:t>
      </w:r>
      <w:r w:rsidR="00BF3BCE">
        <w:rPr>
          <w:rFonts w:ascii="Arial" w:hAnsi="Arial" w:cs="Arial"/>
        </w:rPr>
        <w:t xml:space="preserve"> </w:t>
      </w:r>
      <w:r w:rsidR="00BF3BCE" w:rsidRPr="00BF3BCE">
        <w:rPr>
          <w:rFonts w:ascii="Arial" w:hAnsi="Arial" w:cs="Arial"/>
        </w:rPr>
        <w:t>tenga</w:t>
      </w:r>
      <w:r w:rsidR="00BF3BCE">
        <w:rPr>
          <w:rFonts w:ascii="Arial" w:hAnsi="Arial" w:cs="Arial"/>
        </w:rPr>
        <w:t>n</w:t>
      </w:r>
      <w:r w:rsidR="00BF3BCE" w:rsidRPr="00BF3BCE">
        <w:rPr>
          <w:rFonts w:ascii="Arial" w:hAnsi="Arial" w:cs="Arial"/>
        </w:rPr>
        <w:t xml:space="preserve"> relación con la estrategia y objetivos a evaluar</w:t>
      </w:r>
      <w:r w:rsidR="00BF3BCE">
        <w:rPr>
          <w:rFonts w:ascii="Arial" w:hAnsi="Arial" w:cs="Arial"/>
        </w:rPr>
        <w:t>.</w:t>
      </w:r>
    </w:p>
    <w:p w14:paraId="25F7FBBC" w14:textId="64F733E3" w:rsidR="00BF3BCE" w:rsidRDefault="00BF3BCE" w:rsidP="00B03C90">
      <w:pPr>
        <w:pStyle w:val="Prrafodelista"/>
        <w:numPr>
          <w:ilvl w:val="0"/>
          <w:numId w:val="4"/>
        </w:numPr>
        <w:spacing w:before="0" w:after="0"/>
        <w:jc w:val="both"/>
        <w:rPr>
          <w:rFonts w:ascii="Arial" w:hAnsi="Arial" w:cs="Arial"/>
        </w:rPr>
      </w:pPr>
      <w:r w:rsidRPr="00A4038A">
        <w:rPr>
          <w:rFonts w:ascii="Arial" w:hAnsi="Arial" w:cs="Arial"/>
          <w:b/>
          <w:bCs/>
        </w:rPr>
        <w:t>Utilidad</w:t>
      </w:r>
      <w:r>
        <w:rPr>
          <w:rFonts w:ascii="Arial" w:hAnsi="Arial" w:cs="Arial"/>
        </w:rPr>
        <w:t xml:space="preserve">: </w:t>
      </w:r>
      <w:r w:rsidR="00725D65" w:rsidRPr="00725D65">
        <w:rPr>
          <w:rFonts w:ascii="Arial" w:hAnsi="Arial" w:cs="Arial"/>
        </w:rPr>
        <w:t>Explora la relevancia del indicador frente al tema evaluado y facilita la toma de decisiones</w:t>
      </w:r>
      <w:r w:rsidR="00725D65">
        <w:rPr>
          <w:rFonts w:ascii="Arial" w:hAnsi="Arial" w:cs="Arial"/>
        </w:rPr>
        <w:t>.</w:t>
      </w:r>
    </w:p>
    <w:p w14:paraId="47F8C328" w14:textId="1F67C8B1" w:rsidR="00725D65" w:rsidRDefault="00A978FC" w:rsidP="00B03C90">
      <w:pPr>
        <w:pStyle w:val="Prrafodelista"/>
        <w:numPr>
          <w:ilvl w:val="0"/>
          <w:numId w:val="4"/>
        </w:numPr>
        <w:spacing w:before="0" w:after="0"/>
        <w:jc w:val="both"/>
        <w:rPr>
          <w:rFonts w:ascii="Arial" w:hAnsi="Arial" w:cs="Arial"/>
        </w:rPr>
      </w:pPr>
      <w:r w:rsidRPr="00A4038A">
        <w:rPr>
          <w:rFonts w:ascii="Arial" w:hAnsi="Arial" w:cs="Arial"/>
          <w:b/>
          <w:bCs/>
        </w:rPr>
        <w:t>Simplicidad</w:t>
      </w:r>
      <w:r>
        <w:rPr>
          <w:rFonts w:ascii="Arial" w:hAnsi="Arial" w:cs="Arial"/>
        </w:rPr>
        <w:t xml:space="preserve">: </w:t>
      </w:r>
      <w:r w:rsidR="00236034" w:rsidRPr="00236034">
        <w:rPr>
          <w:rFonts w:ascii="Arial" w:hAnsi="Arial" w:cs="Arial"/>
        </w:rPr>
        <w:t>Atributo que facilita el entendimiento de todo el contexto del indicador y que se puede constatar de manera práctica sin mayor definición</w:t>
      </w:r>
      <w:r w:rsidR="00236034">
        <w:rPr>
          <w:rFonts w:ascii="Arial" w:hAnsi="Arial" w:cs="Arial"/>
        </w:rPr>
        <w:t>.</w:t>
      </w:r>
    </w:p>
    <w:p w14:paraId="499725E1" w14:textId="498F9079" w:rsidR="00236034" w:rsidRDefault="00236034" w:rsidP="00B03C90">
      <w:pPr>
        <w:pStyle w:val="Prrafodelista"/>
        <w:numPr>
          <w:ilvl w:val="0"/>
          <w:numId w:val="4"/>
        </w:numPr>
        <w:spacing w:before="0" w:after="0"/>
        <w:jc w:val="both"/>
        <w:rPr>
          <w:rFonts w:ascii="Arial" w:hAnsi="Arial" w:cs="Arial"/>
        </w:rPr>
      </w:pPr>
      <w:r w:rsidRPr="00A4038A">
        <w:rPr>
          <w:rFonts w:ascii="Arial" w:hAnsi="Arial" w:cs="Arial"/>
          <w:b/>
          <w:bCs/>
        </w:rPr>
        <w:t>Representatividad</w:t>
      </w:r>
      <w:r>
        <w:rPr>
          <w:rFonts w:ascii="Arial" w:hAnsi="Arial" w:cs="Arial"/>
        </w:rPr>
        <w:t xml:space="preserve">: </w:t>
      </w:r>
      <w:r w:rsidR="002F76A7">
        <w:rPr>
          <w:rFonts w:ascii="Arial" w:hAnsi="Arial" w:cs="Arial"/>
        </w:rPr>
        <w:t xml:space="preserve">Permite mostrar </w:t>
      </w:r>
      <w:r w:rsidR="002F76A7" w:rsidRPr="002F76A7">
        <w:rPr>
          <w:rFonts w:ascii="Arial" w:hAnsi="Arial" w:cs="Arial"/>
        </w:rPr>
        <w:t xml:space="preserve">que un indicador no solo es importante en un solo contexto nacional, sino que es acogido en varios países </w:t>
      </w:r>
      <w:r w:rsidR="003A11BC">
        <w:rPr>
          <w:rFonts w:ascii="Arial" w:hAnsi="Arial" w:cs="Arial"/>
        </w:rPr>
        <w:t xml:space="preserve">o mercados similares </w:t>
      </w:r>
      <w:r w:rsidR="002F76A7" w:rsidRPr="002F76A7">
        <w:rPr>
          <w:rFonts w:ascii="Arial" w:hAnsi="Arial" w:cs="Arial"/>
        </w:rPr>
        <w:t>y por eso muestra su importancia comparativa.</w:t>
      </w:r>
    </w:p>
    <w:p w14:paraId="3D3DE837" w14:textId="53B925BC" w:rsidR="003A11BC" w:rsidRDefault="003A11BC" w:rsidP="00B03C90">
      <w:pPr>
        <w:pStyle w:val="Prrafodelista"/>
        <w:numPr>
          <w:ilvl w:val="0"/>
          <w:numId w:val="4"/>
        </w:numPr>
        <w:spacing w:before="0" w:after="0"/>
        <w:jc w:val="both"/>
        <w:rPr>
          <w:rFonts w:ascii="Arial" w:hAnsi="Arial" w:cs="Arial"/>
        </w:rPr>
      </w:pPr>
      <w:r w:rsidRPr="00A4038A">
        <w:rPr>
          <w:rFonts w:ascii="Arial" w:hAnsi="Arial" w:cs="Arial"/>
          <w:b/>
          <w:bCs/>
        </w:rPr>
        <w:t>Disponibilidad</w:t>
      </w:r>
      <w:r>
        <w:rPr>
          <w:rFonts w:ascii="Arial" w:hAnsi="Arial" w:cs="Arial"/>
        </w:rPr>
        <w:t xml:space="preserve">: </w:t>
      </w:r>
      <w:r w:rsidR="001C4F66" w:rsidRPr="001C4F66">
        <w:rPr>
          <w:rFonts w:ascii="Arial" w:hAnsi="Arial" w:cs="Arial"/>
        </w:rPr>
        <w:t>Principio en el cual la información con la cual se calcula el indicador sea accesible y de fácil tratamiento</w:t>
      </w:r>
      <w:r w:rsidR="001C4F66">
        <w:rPr>
          <w:rFonts w:ascii="Arial" w:hAnsi="Arial" w:cs="Arial"/>
        </w:rPr>
        <w:t>.</w:t>
      </w:r>
    </w:p>
    <w:p w14:paraId="17D9E7E6" w14:textId="6A65C8E4" w:rsidR="001C4F66" w:rsidRPr="00B03C90" w:rsidRDefault="00B84E6A" w:rsidP="00B03C90">
      <w:pPr>
        <w:pStyle w:val="Prrafodelista"/>
        <w:numPr>
          <w:ilvl w:val="0"/>
          <w:numId w:val="4"/>
        </w:numPr>
        <w:spacing w:before="0" w:after="0"/>
        <w:jc w:val="both"/>
        <w:rPr>
          <w:rFonts w:ascii="Arial" w:hAnsi="Arial" w:cs="Arial"/>
        </w:rPr>
      </w:pPr>
      <w:r w:rsidRPr="00A4038A">
        <w:rPr>
          <w:rFonts w:ascii="Arial" w:hAnsi="Arial" w:cs="Arial"/>
          <w:b/>
          <w:bCs/>
        </w:rPr>
        <w:t>Funciona</w:t>
      </w:r>
      <w:r w:rsidR="00E36A60" w:rsidRPr="00A4038A">
        <w:rPr>
          <w:rFonts w:ascii="Arial" w:hAnsi="Arial" w:cs="Arial"/>
          <w:b/>
          <w:bCs/>
        </w:rPr>
        <w:t xml:space="preserve">lidad </w:t>
      </w:r>
      <w:r w:rsidR="0085448C" w:rsidRPr="00A4038A">
        <w:rPr>
          <w:rFonts w:ascii="Arial" w:hAnsi="Arial" w:cs="Arial"/>
          <w:b/>
          <w:bCs/>
        </w:rPr>
        <w:t xml:space="preserve">y </w:t>
      </w:r>
      <w:r w:rsidR="00BA6502" w:rsidRPr="00A4038A">
        <w:rPr>
          <w:rFonts w:ascii="Arial" w:hAnsi="Arial" w:cs="Arial"/>
          <w:b/>
          <w:bCs/>
        </w:rPr>
        <w:t xml:space="preserve">posibilidad </w:t>
      </w:r>
      <w:r w:rsidR="00AB1A04" w:rsidRPr="00A4038A">
        <w:rPr>
          <w:rFonts w:ascii="Arial" w:hAnsi="Arial" w:cs="Arial"/>
          <w:b/>
          <w:bCs/>
        </w:rPr>
        <w:t>de monitoreo</w:t>
      </w:r>
      <w:r w:rsidR="00BA6502">
        <w:rPr>
          <w:rFonts w:ascii="Arial" w:hAnsi="Arial" w:cs="Arial"/>
        </w:rPr>
        <w:t xml:space="preserve">: </w:t>
      </w:r>
      <w:r w:rsidR="00BA6502" w:rsidRPr="00BA6502">
        <w:rPr>
          <w:rFonts w:ascii="Arial" w:hAnsi="Arial" w:cs="Arial"/>
        </w:rPr>
        <w:t>Verifica que el indicador sea medible y facilite el monitoreo y la repetibilidad a lo largo del tiempo</w:t>
      </w:r>
      <w:r w:rsidR="00BA6502">
        <w:rPr>
          <w:rFonts w:ascii="Arial" w:hAnsi="Arial" w:cs="Arial"/>
        </w:rPr>
        <w:t>.</w:t>
      </w:r>
    </w:p>
    <w:p w14:paraId="209993B9" w14:textId="77777777" w:rsidR="00596E33" w:rsidRDefault="00596E33" w:rsidP="00891C31">
      <w:pPr>
        <w:spacing w:before="0" w:after="0"/>
        <w:jc w:val="both"/>
        <w:rPr>
          <w:rFonts w:ascii="Arial" w:hAnsi="Arial" w:cs="Arial"/>
        </w:rPr>
      </w:pPr>
    </w:p>
    <w:p w14:paraId="1073CD50" w14:textId="16A6194C" w:rsidR="00AA13D0" w:rsidRPr="00115F4D" w:rsidRDefault="00596E33" w:rsidP="00891C31">
      <w:pPr>
        <w:spacing w:before="0" w:after="0"/>
        <w:jc w:val="both"/>
        <w:rPr>
          <w:rFonts w:ascii="Arial" w:hAnsi="Arial" w:cs="Arial"/>
        </w:rPr>
      </w:pPr>
      <w:r>
        <w:rPr>
          <w:rFonts w:ascii="Arial" w:hAnsi="Arial" w:cs="Arial"/>
        </w:rPr>
        <w:t>Una vez surtido lo anterior</w:t>
      </w:r>
      <w:r w:rsidR="00AA13D0" w:rsidRPr="00115F4D">
        <w:rPr>
          <w:rFonts w:ascii="Arial" w:hAnsi="Arial" w:cs="Arial"/>
        </w:rPr>
        <w:t>, encuentra esta Comisión que es pertinente proponer un modelo de evaluación de la calidad comercial que</w:t>
      </w:r>
      <w:r w:rsidR="00211A2F">
        <w:rPr>
          <w:rFonts w:ascii="Arial" w:hAnsi="Arial" w:cs="Arial"/>
        </w:rPr>
        <w:t>, además de la selección de indicadores,</w:t>
      </w:r>
      <w:r w:rsidR="00AA13D0" w:rsidRPr="00115F4D">
        <w:rPr>
          <w:rFonts w:ascii="Arial" w:hAnsi="Arial" w:cs="Arial"/>
        </w:rPr>
        <w:t xml:space="preserve"> comprenda las siguientes </w:t>
      </w:r>
      <w:r w:rsidR="003C1C4C" w:rsidRPr="00115F4D">
        <w:rPr>
          <w:rFonts w:ascii="Arial" w:hAnsi="Arial" w:cs="Arial"/>
        </w:rPr>
        <w:t>características</w:t>
      </w:r>
      <w:r w:rsidR="00AA13D0" w:rsidRPr="00115F4D">
        <w:rPr>
          <w:rFonts w:ascii="Arial" w:hAnsi="Arial" w:cs="Arial"/>
        </w:rPr>
        <w:t>:</w:t>
      </w:r>
    </w:p>
    <w:p w14:paraId="45983633" w14:textId="77777777" w:rsidR="00AA13D0" w:rsidRPr="00115F4D" w:rsidRDefault="00AA13D0" w:rsidP="00891C31">
      <w:pPr>
        <w:spacing w:before="0" w:after="0"/>
        <w:jc w:val="both"/>
        <w:rPr>
          <w:rFonts w:ascii="Arial" w:hAnsi="Arial" w:cs="Arial"/>
        </w:rPr>
      </w:pPr>
    </w:p>
    <w:p w14:paraId="7B642EF2" w14:textId="77777777" w:rsidR="00AA13D0" w:rsidRPr="00960414" w:rsidRDefault="00AA13D0" w:rsidP="00891C31">
      <w:pPr>
        <w:pStyle w:val="Prrafodelista"/>
        <w:numPr>
          <w:ilvl w:val="0"/>
          <w:numId w:val="4"/>
        </w:numPr>
        <w:spacing w:before="0" w:after="0"/>
        <w:jc w:val="both"/>
        <w:rPr>
          <w:rFonts w:ascii="Arial" w:hAnsi="Arial" w:cs="Arial"/>
          <w:b/>
          <w:bCs/>
        </w:rPr>
      </w:pPr>
      <w:r w:rsidRPr="00960414">
        <w:rPr>
          <w:rFonts w:ascii="Arial" w:hAnsi="Arial" w:cs="Arial"/>
          <w:b/>
          <w:bCs/>
        </w:rPr>
        <w:t>Modelo alineado a esquemas de auto regulación y regulación por incentivos.</w:t>
      </w:r>
    </w:p>
    <w:p w14:paraId="4D69F3BF" w14:textId="77777777" w:rsidR="00AA13D0" w:rsidRPr="00115F4D" w:rsidRDefault="00AA13D0" w:rsidP="00891C31">
      <w:pPr>
        <w:spacing w:before="0" w:after="0"/>
        <w:jc w:val="both"/>
        <w:rPr>
          <w:rFonts w:ascii="Arial" w:hAnsi="Arial" w:cs="Arial"/>
        </w:rPr>
      </w:pPr>
    </w:p>
    <w:p w14:paraId="74B8CDB6" w14:textId="77777777" w:rsidR="00AA13D0" w:rsidRPr="00115F4D" w:rsidRDefault="00AA13D0" w:rsidP="00891C31">
      <w:pPr>
        <w:spacing w:before="0" w:after="0"/>
        <w:jc w:val="both"/>
        <w:rPr>
          <w:rFonts w:ascii="Arial" w:hAnsi="Arial" w:cs="Arial"/>
        </w:rPr>
      </w:pPr>
      <w:r w:rsidRPr="00115F4D">
        <w:rPr>
          <w:rFonts w:ascii="Arial" w:hAnsi="Arial" w:cs="Arial"/>
        </w:rPr>
        <w:t>El cumplimiento de estándares de calidad comercial, observados por los agentes comercializadores, debe fundamentarse en conductas de auto regulación de los agentes, motivadas por dos tipos de incentivos:</w:t>
      </w:r>
    </w:p>
    <w:p w14:paraId="70B8AB76" w14:textId="77777777" w:rsidR="00AA13D0" w:rsidRPr="00115F4D" w:rsidRDefault="00AA13D0" w:rsidP="00891C31">
      <w:pPr>
        <w:spacing w:before="0" w:after="0"/>
        <w:jc w:val="both"/>
        <w:rPr>
          <w:rFonts w:ascii="Arial" w:hAnsi="Arial" w:cs="Arial"/>
        </w:rPr>
      </w:pPr>
    </w:p>
    <w:p w14:paraId="7796C0E1" w14:textId="77777777" w:rsidR="00AA13D0" w:rsidRPr="00115F4D" w:rsidRDefault="00AA13D0" w:rsidP="00891C31">
      <w:pPr>
        <w:pStyle w:val="Prrafodelista"/>
        <w:numPr>
          <w:ilvl w:val="2"/>
          <w:numId w:val="4"/>
        </w:numPr>
        <w:spacing w:before="0" w:after="0"/>
        <w:jc w:val="both"/>
        <w:rPr>
          <w:rFonts w:ascii="Arial" w:hAnsi="Arial" w:cs="Arial"/>
        </w:rPr>
      </w:pPr>
      <w:r w:rsidRPr="00115F4D">
        <w:rPr>
          <w:rFonts w:ascii="Arial" w:hAnsi="Arial" w:cs="Arial"/>
        </w:rPr>
        <w:t>Incentivos de tipo comando y control</w:t>
      </w:r>
    </w:p>
    <w:p w14:paraId="6D72710B" w14:textId="77777777" w:rsidR="00AA13D0" w:rsidRPr="00115F4D" w:rsidRDefault="00AA13D0" w:rsidP="00891C31">
      <w:pPr>
        <w:pStyle w:val="Prrafodelista"/>
        <w:spacing w:before="0" w:after="0"/>
        <w:ind w:left="360"/>
        <w:jc w:val="both"/>
        <w:rPr>
          <w:rFonts w:ascii="Arial" w:hAnsi="Arial" w:cs="Arial"/>
        </w:rPr>
      </w:pPr>
    </w:p>
    <w:p w14:paraId="5A67B632" w14:textId="77777777" w:rsidR="00AA13D0" w:rsidRPr="00115F4D" w:rsidRDefault="00AA13D0" w:rsidP="00891C31">
      <w:pPr>
        <w:pStyle w:val="Prrafodelista"/>
        <w:spacing w:before="0" w:after="0"/>
        <w:ind w:left="360"/>
        <w:jc w:val="both"/>
        <w:rPr>
          <w:rFonts w:ascii="Arial" w:hAnsi="Arial" w:cs="Arial"/>
        </w:rPr>
      </w:pPr>
      <w:r w:rsidRPr="00115F4D">
        <w:rPr>
          <w:rFonts w:ascii="Arial" w:hAnsi="Arial" w:cs="Arial"/>
        </w:rPr>
        <w:t>La fijación de valores mínimos de cumplimiento en los indicadores definidos y la posibilidad de sanción derivada del incumplimiento de dichos valores por parte de los agentes comercializadores constituye un incentivo al cumplir los estándares mínimos de calidad definidos por la regulación.</w:t>
      </w:r>
    </w:p>
    <w:p w14:paraId="57C5781A" w14:textId="77777777" w:rsidR="00AA13D0" w:rsidRPr="00115F4D" w:rsidRDefault="00AA13D0" w:rsidP="00891C31">
      <w:pPr>
        <w:pStyle w:val="Prrafodelista"/>
        <w:spacing w:before="0" w:after="0"/>
        <w:ind w:left="360"/>
        <w:jc w:val="both"/>
        <w:rPr>
          <w:rFonts w:ascii="Arial" w:hAnsi="Arial" w:cs="Arial"/>
        </w:rPr>
      </w:pPr>
    </w:p>
    <w:p w14:paraId="4D9D526A" w14:textId="77777777" w:rsidR="00AA13D0" w:rsidRPr="00115F4D" w:rsidRDefault="00AA13D0" w:rsidP="00891C31">
      <w:pPr>
        <w:pStyle w:val="Prrafodelista"/>
        <w:numPr>
          <w:ilvl w:val="2"/>
          <w:numId w:val="4"/>
        </w:numPr>
        <w:spacing w:before="0" w:after="0"/>
        <w:jc w:val="both"/>
        <w:rPr>
          <w:rFonts w:ascii="Arial" w:hAnsi="Arial" w:cs="Arial"/>
        </w:rPr>
      </w:pPr>
      <w:r w:rsidRPr="00115F4D">
        <w:rPr>
          <w:rFonts w:ascii="Arial" w:hAnsi="Arial" w:cs="Arial"/>
        </w:rPr>
        <w:t>Incentivos de orden reputacional</w:t>
      </w:r>
    </w:p>
    <w:p w14:paraId="276F8599" w14:textId="77777777" w:rsidR="00AA13D0" w:rsidRPr="00115F4D" w:rsidRDefault="00AA13D0" w:rsidP="00891C31">
      <w:pPr>
        <w:pStyle w:val="Prrafodelista"/>
        <w:spacing w:before="0" w:after="0"/>
        <w:ind w:left="360"/>
        <w:jc w:val="both"/>
        <w:rPr>
          <w:rFonts w:ascii="Arial" w:hAnsi="Arial" w:cs="Arial"/>
        </w:rPr>
      </w:pPr>
    </w:p>
    <w:p w14:paraId="7C65174B" w14:textId="64FC82B8" w:rsidR="00AA13D0" w:rsidRPr="00115F4D" w:rsidRDefault="00AA13D0" w:rsidP="00891C31">
      <w:pPr>
        <w:pStyle w:val="Prrafodelista"/>
        <w:spacing w:before="0" w:after="0"/>
        <w:ind w:left="360"/>
        <w:jc w:val="both"/>
        <w:rPr>
          <w:rFonts w:ascii="Arial" w:hAnsi="Arial" w:cs="Arial"/>
        </w:rPr>
      </w:pPr>
      <w:r w:rsidRPr="00115F4D">
        <w:rPr>
          <w:rFonts w:ascii="Arial" w:hAnsi="Arial" w:cs="Arial"/>
        </w:rPr>
        <w:t>Una obligación de publicidad de los resultados de la medición de indicadores de calidad comercial, que recaiga en los comercializadores, constituye, por un lado, una fuente de información y transparencia al usuario para que este ejerza un control reputacional sobre el cumplimiento de los estándares de calidad comercial y, por otro lado, un incentivo de mejora continua para que el comercializador cumpla con los criterios de calidad definidos, muy por encima de los mínimos de cumplimiento previstos por la regulación.</w:t>
      </w:r>
    </w:p>
    <w:p w14:paraId="4D3B9AD8" w14:textId="77777777" w:rsidR="00AA13D0" w:rsidRPr="00115F4D" w:rsidRDefault="00AA13D0" w:rsidP="00891C31">
      <w:pPr>
        <w:pStyle w:val="Prrafodelista"/>
        <w:spacing w:before="0" w:after="0"/>
        <w:ind w:left="360"/>
        <w:jc w:val="both"/>
        <w:rPr>
          <w:rFonts w:ascii="Arial" w:hAnsi="Arial" w:cs="Arial"/>
        </w:rPr>
      </w:pPr>
    </w:p>
    <w:p w14:paraId="41485DA1" w14:textId="523FF828" w:rsidR="00AA13D0" w:rsidRPr="00F90107" w:rsidRDefault="00344BEC" w:rsidP="00891C31">
      <w:pPr>
        <w:pStyle w:val="Prrafodelista"/>
        <w:numPr>
          <w:ilvl w:val="0"/>
          <w:numId w:val="4"/>
        </w:numPr>
        <w:spacing w:before="0" w:after="0"/>
        <w:jc w:val="both"/>
        <w:rPr>
          <w:rFonts w:ascii="Arial" w:hAnsi="Arial" w:cs="Arial"/>
          <w:b/>
          <w:bCs/>
        </w:rPr>
      </w:pPr>
      <w:r w:rsidRPr="00F90107">
        <w:rPr>
          <w:rFonts w:ascii="Arial" w:hAnsi="Arial" w:cs="Arial"/>
          <w:b/>
          <w:bCs/>
        </w:rPr>
        <w:t xml:space="preserve">Modelo </w:t>
      </w:r>
      <w:r w:rsidR="00F90107">
        <w:rPr>
          <w:rFonts w:ascii="Arial" w:hAnsi="Arial" w:cs="Arial"/>
          <w:b/>
          <w:bCs/>
        </w:rPr>
        <w:t xml:space="preserve">alineado a las </w:t>
      </w:r>
      <w:r w:rsidR="00F833AA" w:rsidRPr="00F90107">
        <w:rPr>
          <w:rFonts w:ascii="Arial" w:hAnsi="Arial" w:cs="Arial"/>
          <w:b/>
          <w:bCs/>
        </w:rPr>
        <w:t>necesidades los usuarios</w:t>
      </w:r>
      <w:r w:rsidR="00F90107">
        <w:rPr>
          <w:rFonts w:ascii="Arial" w:hAnsi="Arial" w:cs="Arial"/>
          <w:b/>
          <w:bCs/>
        </w:rPr>
        <w:t xml:space="preserve"> del servicio de energía eléctrica</w:t>
      </w:r>
    </w:p>
    <w:p w14:paraId="2F3D9B1C" w14:textId="77777777" w:rsidR="00344BEC" w:rsidRDefault="00344BEC" w:rsidP="00891C31">
      <w:pPr>
        <w:spacing w:before="0" w:after="0"/>
        <w:rPr>
          <w:rFonts w:ascii="Arial" w:hAnsi="Arial" w:cs="Arial"/>
        </w:rPr>
      </w:pPr>
    </w:p>
    <w:p w14:paraId="30754C85" w14:textId="173B7547" w:rsidR="00344BEC" w:rsidRDefault="00715A37" w:rsidP="00891C31">
      <w:pPr>
        <w:spacing w:before="0" w:after="0"/>
        <w:jc w:val="both"/>
        <w:rPr>
          <w:rFonts w:ascii="Arial" w:hAnsi="Arial" w:cs="Arial"/>
        </w:rPr>
      </w:pPr>
      <w:r>
        <w:rPr>
          <w:rFonts w:ascii="Arial" w:hAnsi="Arial" w:cs="Arial"/>
        </w:rPr>
        <w:t xml:space="preserve">La </w:t>
      </w:r>
      <w:r w:rsidR="0098343B">
        <w:rPr>
          <w:rFonts w:ascii="Arial" w:hAnsi="Arial" w:cs="Arial"/>
        </w:rPr>
        <w:t>metodología</w:t>
      </w:r>
      <w:r>
        <w:rPr>
          <w:rFonts w:ascii="Arial" w:hAnsi="Arial" w:cs="Arial"/>
        </w:rPr>
        <w:t xml:space="preserve"> de evaluación de la calidad </w:t>
      </w:r>
      <w:r w:rsidR="00222F89">
        <w:rPr>
          <w:rFonts w:ascii="Arial" w:hAnsi="Arial" w:cs="Arial"/>
        </w:rPr>
        <w:t xml:space="preserve">comercial </w:t>
      </w:r>
      <w:r>
        <w:rPr>
          <w:rFonts w:ascii="Arial" w:hAnsi="Arial" w:cs="Arial"/>
        </w:rPr>
        <w:t xml:space="preserve">debe </w:t>
      </w:r>
      <w:r w:rsidR="003C72D0">
        <w:rPr>
          <w:rFonts w:ascii="Arial" w:hAnsi="Arial" w:cs="Arial"/>
        </w:rPr>
        <w:t>estar alineada a</w:t>
      </w:r>
      <w:r w:rsidR="00E532CC">
        <w:rPr>
          <w:rFonts w:ascii="Arial" w:hAnsi="Arial" w:cs="Arial"/>
        </w:rPr>
        <w:t xml:space="preserve"> un marco de necesidades </w:t>
      </w:r>
      <w:r w:rsidR="00E31F0B">
        <w:rPr>
          <w:rFonts w:ascii="Arial" w:hAnsi="Arial" w:cs="Arial"/>
        </w:rPr>
        <w:t xml:space="preserve">identificadas </w:t>
      </w:r>
      <w:r w:rsidR="00EF0D56">
        <w:rPr>
          <w:rFonts w:ascii="Arial" w:hAnsi="Arial" w:cs="Arial"/>
        </w:rPr>
        <w:t xml:space="preserve">en los usuarios </w:t>
      </w:r>
      <w:r w:rsidR="008E0F18">
        <w:rPr>
          <w:rFonts w:ascii="Arial" w:hAnsi="Arial" w:cs="Arial"/>
        </w:rPr>
        <w:t xml:space="preserve">del servicio de energía eléctrica en Colombia, en particular, </w:t>
      </w:r>
      <w:r w:rsidR="002564C3">
        <w:rPr>
          <w:rFonts w:ascii="Arial" w:hAnsi="Arial" w:cs="Arial"/>
        </w:rPr>
        <w:t xml:space="preserve">al momento en que </w:t>
      </w:r>
      <w:r w:rsidR="00A453B2">
        <w:rPr>
          <w:rFonts w:ascii="Arial" w:hAnsi="Arial" w:cs="Arial"/>
        </w:rPr>
        <w:t>se desarrolla</w:t>
      </w:r>
      <w:r w:rsidR="00CC79B4">
        <w:rPr>
          <w:rFonts w:ascii="Arial" w:hAnsi="Arial" w:cs="Arial"/>
        </w:rPr>
        <w:t>n</w:t>
      </w:r>
      <w:r w:rsidR="00A453B2">
        <w:rPr>
          <w:rFonts w:ascii="Arial" w:hAnsi="Arial" w:cs="Arial"/>
        </w:rPr>
        <w:t xml:space="preserve"> la</w:t>
      </w:r>
      <w:r w:rsidR="00CC79B4">
        <w:rPr>
          <w:rFonts w:ascii="Arial" w:hAnsi="Arial" w:cs="Arial"/>
        </w:rPr>
        <w:t>s</w:t>
      </w:r>
      <w:r w:rsidR="00A453B2">
        <w:rPr>
          <w:rFonts w:ascii="Arial" w:hAnsi="Arial" w:cs="Arial"/>
        </w:rPr>
        <w:t xml:space="preserve"> actividad</w:t>
      </w:r>
      <w:r w:rsidR="00CC79B4">
        <w:rPr>
          <w:rFonts w:ascii="Arial" w:hAnsi="Arial" w:cs="Arial"/>
        </w:rPr>
        <w:t>es</w:t>
      </w:r>
      <w:r w:rsidR="00A453B2">
        <w:rPr>
          <w:rFonts w:ascii="Arial" w:hAnsi="Arial" w:cs="Arial"/>
        </w:rPr>
        <w:t xml:space="preserve"> </w:t>
      </w:r>
      <w:r w:rsidR="00CC79B4">
        <w:rPr>
          <w:rFonts w:ascii="Arial" w:hAnsi="Arial" w:cs="Arial"/>
        </w:rPr>
        <w:t xml:space="preserve">asociadas a la </w:t>
      </w:r>
      <w:r w:rsidR="00A453B2">
        <w:rPr>
          <w:rFonts w:ascii="Arial" w:hAnsi="Arial" w:cs="Arial"/>
        </w:rPr>
        <w:t>co</w:t>
      </w:r>
      <w:r w:rsidR="00CC79B4">
        <w:rPr>
          <w:rFonts w:ascii="Arial" w:hAnsi="Arial" w:cs="Arial"/>
        </w:rPr>
        <w:t>mercialización de energía eléctrica.</w:t>
      </w:r>
    </w:p>
    <w:p w14:paraId="3AC8D31B" w14:textId="77777777" w:rsidR="002650D2" w:rsidRDefault="002650D2" w:rsidP="00891C31">
      <w:pPr>
        <w:spacing w:before="0" w:after="0"/>
        <w:rPr>
          <w:rFonts w:ascii="Arial" w:hAnsi="Arial" w:cs="Arial"/>
        </w:rPr>
      </w:pPr>
    </w:p>
    <w:p w14:paraId="48266BB9" w14:textId="77777777" w:rsidR="002650D2" w:rsidRDefault="002650D2" w:rsidP="00891C31">
      <w:pPr>
        <w:spacing w:before="0" w:after="0"/>
        <w:rPr>
          <w:rFonts w:ascii="Arial" w:hAnsi="Arial" w:cs="Arial"/>
        </w:rPr>
      </w:pPr>
    </w:p>
    <w:p w14:paraId="14B9536C" w14:textId="36D950A8" w:rsidR="00155BCA" w:rsidRDefault="00666A64" w:rsidP="00C00C77">
      <w:pPr>
        <w:pStyle w:val="Ttulo3"/>
        <w:numPr>
          <w:ilvl w:val="2"/>
          <w:numId w:val="24"/>
        </w:numPr>
      </w:pPr>
      <w:bookmarkStart w:id="62" w:name="_Toc165037342"/>
      <w:r>
        <w:t>Metodología de evaluación de la calidad comercial</w:t>
      </w:r>
      <w:bookmarkEnd w:id="62"/>
    </w:p>
    <w:p w14:paraId="79C5DFF0" w14:textId="77777777" w:rsidR="00CC274F" w:rsidRDefault="00CC274F" w:rsidP="00891C31">
      <w:pPr>
        <w:spacing w:before="0" w:after="0"/>
        <w:rPr>
          <w:rFonts w:ascii="Arial" w:hAnsi="Arial" w:cs="Arial"/>
        </w:rPr>
      </w:pPr>
    </w:p>
    <w:p w14:paraId="45F51A85" w14:textId="5D6AC59C" w:rsidR="00155BCA" w:rsidRDefault="00BE28F6" w:rsidP="00891C31">
      <w:pPr>
        <w:spacing w:before="0" w:after="0"/>
        <w:jc w:val="both"/>
        <w:rPr>
          <w:rFonts w:ascii="Arial" w:hAnsi="Arial" w:cs="Arial"/>
        </w:rPr>
      </w:pPr>
      <w:r>
        <w:rPr>
          <w:rFonts w:ascii="Arial" w:hAnsi="Arial" w:cs="Arial"/>
        </w:rPr>
        <w:t>T</w:t>
      </w:r>
      <w:r w:rsidR="0069186A">
        <w:rPr>
          <w:rFonts w:ascii="Arial" w:hAnsi="Arial" w:cs="Arial"/>
        </w:rPr>
        <w:t>eniendo c</w:t>
      </w:r>
      <w:r w:rsidR="00155BCA">
        <w:rPr>
          <w:rFonts w:ascii="Arial" w:hAnsi="Arial" w:cs="Arial"/>
        </w:rPr>
        <w:t>omo marco de referencia</w:t>
      </w:r>
      <w:r w:rsidR="001D08BC">
        <w:rPr>
          <w:rFonts w:ascii="Arial" w:hAnsi="Arial" w:cs="Arial"/>
        </w:rPr>
        <w:t xml:space="preserve"> l</w:t>
      </w:r>
      <w:r w:rsidR="004E2D15">
        <w:rPr>
          <w:rFonts w:ascii="Arial" w:hAnsi="Arial" w:cs="Arial"/>
        </w:rPr>
        <w:t>os elementos descritos en las sec</w:t>
      </w:r>
      <w:r w:rsidR="007453D3">
        <w:rPr>
          <w:rFonts w:ascii="Arial" w:hAnsi="Arial" w:cs="Arial"/>
        </w:rPr>
        <w:t>c</w:t>
      </w:r>
      <w:r w:rsidR="004E2D15">
        <w:rPr>
          <w:rFonts w:ascii="Arial" w:hAnsi="Arial" w:cs="Arial"/>
        </w:rPr>
        <w:t xml:space="preserve">iones anteriores, </w:t>
      </w:r>
      <w:r w:rsidR="00BD3069">
        <w:rPr>
          <w:rFonts w:ascii="Arial" w:hAnsi="Arial" w:cs="Arial"/>
        </w:rPr>
        <w:t xml:space="preserve">así como los elementos que deben tenerse en consideración para la definición metodológica de </w:t>
      </w:r>
      <w:r w:rsidR="00A63BAE">
        <w:rPr>
          <w:rFonts w:ascii="Arial" w:hAnsi="Arial" w:cs="Arial"/>
        </w:rPr>
        <w:t xml:space="preserve">evaluación de la calidad </w:t>
      </w:r>
      <w:r w:rsidR="00F05F8B">
        <w:rPr>
          <w:rFonts w:ascii="Arial" w:hAnsi="Arial" w:cs="Arial"/>
        </w:rPr>
        <w:t xml:space="preserve">comercial, la CREG formuló </w:t>
      </w:r>
      <w:r w:rsidR="002B50E1">
        <w:rPr>
          <w:rFonts w:ascii="Arial" w:hAnsi="Arial" w:cs="Arial"/>
        </w:rPr>
        <w:t xml:space="preserve">una </w:t>
      </w:r>
      <w:r w:rsidR="00906AE8">
        <w:rPr>
          <w:rFonts w:ascii="Arial" w:hAnsi="Arial" w:cs="Arial"/>
        </w:rPr>
        <w:t xml:space="preserve">metodología que </w:t>
      </w:r>
      <w:r w:rsidR="006819A7">
        <w:rPr>
          <w:rFonts w:ascii="Arial" w:hAnsi="Arial" w:cs="Arial"/>
        </w:rPr>
        <w:t xml:space="preserve">reconociera las particularidades del </w:t>
      </w:r>
      <w:r w:rsidR="00E2691A">
        <w:rPr>
          <w:rFonts w:ascii="Arial" w:hAnsi="Arial" w:cs="Arial"/>
        </w:rPr>
        <w:t xml:space="preserve">sector </w:t>
      </w:r>
      <w:r w:rsidR="00D82EDB">
        <w:rPr>
          <w:rFonts w:ascii="Arial" w:hAnsi="Arial" w:cs="Arial"/>
        </w:rPr>
        <w:t xml:space="preserve">eléctrico y específicamente de la actividad de comercialización de energía eléctrica </w:t>
      </w:r>
      <w:r w:rsidR="00E2691A">
        <w:rPr>
          <w:rFonts w:ascii="Arial" w:hAnsi="Arial" w:cs="Arial"/>
        </w:rPr>
        <w:t xml:space="preserve">en Colombia </w:t>
      </w:r>
      <w:r w:rsidR="002F52B6">
        <w:rPr>
          <w:rFonts w:ascii="Arial" w:hAnsi="Arial" w:cs="Arial"/>
        </w:rPr>
        <w:t>y de los agentes que concurren y participan en ella.</w:t>
      </w:r>
    </w:p>
    <w:p w14:paraId="33C6AFCF" w14:textId="77777777" w:rsidR="001D08BC" w:rsidRDefault="001D08BC" w:rsidP="00891C31">
      <w:pPr>
        <w:spacing w:before="0" w:after="0"/>
        <w:rPr>
          <w:rFonts w:ascii="Arial" w:hAnsi="Arial" w:cs="Arial"/>
        </w:rPr>
      </w:pPr>
    </w:p>
    <w:p w14:paraId="603FE9DC" w14:textId="684271E5" w:rsidR="001D08BC" w:rsidRPr="00576BFA" w:rsidRDefault="00B0471A" w:rsidP="00576BFA">
      <w:pPr>
        <w:spacing w:before="0" w:after="0"/>
        <w:jc w:val="both"/>
        <w:rPr>
          <w:rFonts w:ascii="Arial" w:hAnsi="Arial" w:cs="Arial"/>
          <w:b/>
          <w:bCs/>
          <w:i/>
          <w:iCs/>
        </w:rPr>
      </w:pPr>
      <w:r w:rsidRPr="00576BFA">
        <w:rPr>
          <w:rFonts w:ascii="Arial" w:hAnsi="Arial" w:cs="Arial"/>
          <w:b/>
          <w:bCs/>
          <w:i/>
          <w:iCs/>
        </w:rPr>
        <w:t>Incentivo regulatorio a partir de</w:t>
      </w:r>
      <w:r w:rsidR="00723A34" w:rsidRPr="00576BFA">
        <w:rPr>
          <w:rFonts w:ascii="Arial" w:hAnsi="Arial" w:cs="Arial"/>
          <w:b/>
          <w:bCs/>
          <w:i/>
          <w:iCs/>
        </w:rPr>
        <w:t xml:space="preserve"> ajust</w:t>
      </w:r>
      <w:r w:rsidR="00F37539" w:rsidRPr="00576BFA">
        <w:rPr>
          <w:rFonts w:ascii="Arial" w:hAnsi="Arial" w:cs="Arial"/>
          <w:b/>
          <w:bCs/>
          <w:i/>
          <w:iCs/>
        </w:rPr>
        <w:t xml:space="preserve">e al </w:t>
      </w:r>
      <w:r w:rsidR="00723A34" w:rsidRPr="00576BFA">
        <w:rPr>
          <w:rFonts w:ascii="Arial" w:hAnsi="Arial" w:cs="Arial"/>
          <w:b/>
          <w:bCs/>
          <w:i/>
          <w:iCs/>
        </w:rPr>
        <w:t>margen operacional</w:t>
      </w:r>
      <w:r w:rsidR="00F37539" w:rsidRPr="00576BFA">
        <w:rPr>
          <w:rFonts w:ascii="Arial" w:hAnsi="Arial" w:cs="Arial"/>
          <w:b/>
          <w:bCs/>
          <w:i/>
          <w:iCs/>
        </w:rPr>
        <w:t xml:space="preserve">, </w:t>
      </w:r>
      <m:oMath>
        <m:r>
          <m:rPr>
            <m:sty m:val="bi"/>
          </m:rPr>
          <w:rPr>
            <w:rFonts w:ascii="Cambria Math" w:hAnsi="Cambria Math" w:cs="Arial"/>
          </w:rPr>
          <m:t>mo</m:t>
        </m:r>
      </m:oMath>
      <w:r w:rsidR="00424ADF" w:rsidRPr="00576BFA">
        <w:rPr>
          <w:rFonts w:ascii="Arial" w:hAnsi="Arial" w:cs="Arial"/>
          <w:b/>
          <w:bCs/>
          <w:i/>
          <w:iCs/>
        </w:rPr>
        <w:t>, mediante e</w:t>
      </w:r>
      <w:r w:rsidRPr="00576BFA">
        <w:rPr>
          <w:rFonts w:ascii="Arial" w:hAnsi="Arial" w:cs="Arial"/>
          <w:b/>
          <w:bCs/>
          <w:i/>
          <w:iCs/>
        </w:rPr>
        <w:t xml:space="preserve">l factor de </w:t>
      </w:r>
      <w:r w:rsidR="00166C0E" w:rsidRPr="00576BFA">
        <w:rPr>
          <w:rFonts w:ascii="Arial" w:hAnsi="Arial" w:cs="Arial"/>
          <w:b/>
          <w:bCs/>
          <w:i/>
          <w:iCs/>
        </w:rPr>
        <w:t xml:space="preserve">ajuste </w:t>
      </w:r>
      <w:r w:rsidR="00226F30" w:rsidRPr="00576BFA">
        <w:rPr>
          <w:rFonts w:ascii="Arial" w:hAnsi="Arial" w:cs="Arial"/>
          <w:b/>
          <w:bCs/>
          <w:i/>
          <w:iCs/>
        </w:rPr>
        <w:t xml:space="preserve">por calidad del servicio </w:t>
      </w:r>
      <w:r w:rsidR="005A4780" w:rsidRPr="00576BFA">
        <w:rPr>
          <w:rFonts w:ascii="Arial" w:hAnsi="Arial" w:cs="Arial"/>
          <w:b/>
          <w:bCs/>
          <w:i/>
          <w:iCs/>
        </w:rPr>
        <w:t>(ACS)</w:t>
      </w:r>
      <w:r w:rsidR="00CD6075" w:rsidRPr="00576BFA">
        <w:rPr>
          <w:rFonts w:ascii="Arial" w:hAnsi="Arial" w:cs="Arial"/>
          <w:b/>
          <w:bCs/>
          <w:i/>
          <w:iCs/>
        </w:rPr>
        <w:t>.</w:t>
      </w:r>
    </w:p>
    <w:p w14:paraId="63D37CCC" w14:textId="77777777" w:rsidR="001D08BC" w:rsidRDefault="001D08BC" w:rsidP="00891C31">
      <w:pPr>
        <w:spacing w:before="0" w:after="0"/>
        <w:rPr>
          <w:rFonts w:ascii="Arial" w:hAnsi="Arial" w:cs="Arial"/>
        </w:rPr>
      </w:pPr>
    </w:p>
    <w:p w14:paraId="641409A8" w14:textId="359CA43F" w:rsidR="00356464" w:rsidRDefault="00424ADF" w:rsidP="00891C31">
      <w:pPr>
        <w:spacing w:before="0" w:after="0"/>
        <w:jc w:val="both"/>
        <w:rPr>
          <w:rFonts w:ascii="Arial" w:hAnsi="Arial" w:cs="Arial"/>
        </w:rPr>
      </w:pPr>
      <w:r>
        <w:rPr>
          <w:rFonts w:ascii="Arial" w:hAnsi="Arial" w:cs="Arial"/>
        </w:rPr>
        <w:t xml:space="preserve">Siguiendo </w:t>
      </w:r>
      <w:r w:rsidR="00A24CF2">
        <w:rPr>
          <w:rFonts w:ascii="Arial" w:hAnsi="Arial" w:cs="Arial"/>
        </w:rPr>
        <w:t>l</w:t>
      </w:r>
      <w:r w:rsidR="00324CD4">
        <w:rPr>
          <w:rFonts w:ascii="Arial" w:hAnsi="Arial" w:cs="Arial"/>
        </w:rPr>
        <w:t xml:space="preserve">os elementos </w:t>
      </w:r>
      <w:r w:rsidR="00464D52">
        <w:rPr>
          <w:rFonts w:ascii="Arial" w:hAnsi="Arial" w:cs="Arial"/>
        </w:rPr>
        <w:t xml:space="preserve">necesarios </w:t>
      </w:r>
      <w:r w:rsidR="00324CD4">
        <w:rPr>
          <w:rFonts w:ascii="Arial" w:hAnsi="Arial" w:cs="Arial"/>
        </w:rPr>
        <w:t xml:space="preserve">para </w:t>
      </w:r>
      <w:r w:rsidR="0091137E">
        <w:rPr>
          <w:rFonts w:ascii="Arial" w:hAnsi="Arial" w:cs="Arial"/>
        </w:rPr>
        <w:t xml:space="preserve">tener </w:t>
      </w:r>
      <w:r w:rsidR="00324CD4">
        <w:rPr>
          <w:rFonts w:ascii="Arial" w:hAnsi="Arial" w:cs="Arial"/>
        </w:rPr>
        <w:t xml:space="preserve">una regulación </w:t>
      </w:r>
      <w:r w:rsidR="00464D52">
        <w:rPr>
          <w:rFonts w:ascii="Arial" w:hAnsi="Arial" w:cs="Arial"/>
        </w:rPr>
        <w:t xml:space="preserve">por incentivos, </w:t>
      </w:r>
      <w:r w:rsidR="0091137E">
        <w:rPr>
          <w:rFonts w:ascii="Arial" w:hAnsi="Arial" w:cs="Arial"/>
        </w:rPr>
        <w:t>en materia de calidad</w:t>
      </w:r>
      <w:r w:rsidR="00C846E8">
        <w:rPr>
          <w:rFonts w:ascii="Arial" w:hAnsi="Arial" w:cs="Arial"/>
        </w:rPr>
        <w:t xml:space="preserve"> comercial, se propone una </w:t>
      </w:r>
      <w:r w:rsidR="001D3D09">
        <w:rPr>
          <w:rFonts w:ascii="Arial" w:hAnsi="Arial" w:cs="Arial"/>
        </w:rPr>
        <w:t xml:space="preserve">metodología </w:t>
      </w:r>
      <w:r w:rsidR="005A223B">
        <w:rPr>
          <w:rFonts w:ascii="Arial" w:hAnsi="Arial" w:cs="Arial"/>
        </w:rPr>
        <w:t>enfocada en fijar un factor ponderador de</w:t>
      </w:r>
      <w:r w:rsidR="002376CF">
        <w:rPr>
          <w:rFonts w:ascii="Arial" w:hAnsi="Arial" w:cs="Arial"/>
        </w:rPr>
        <w:t xml:space="preserve">l margen operacional, </w:t>
      </w:r>
      <m:oMath>
        <m:r>
          <w:rPr>
            <w:rFonts w:ascii="Cambria Math" w:hAnsi="Cambria Math" w:cs="Arial"/>
          </w:rPr>
          <m:t>mo</m:t>
        </m:r>
      </m:oMath>
      <w:r w:rsidR="002376CF">
        <w:rPr>
          <w:rFonts w:ascii="Arial" w:hAnsi="Arial" w:cs="Arial"/>
        </w:rPr>
        <w:t xml:space="preserve">, que considere </w:t>
      </w:r>
      <w:r w:rsidR="00356464">
        <w:rPr>
          <w:rFonts w:ascii="Arial" w:hAnsi="Arial" w:cs="Arial"/>
        </w:rPr>
        <w:t xml:space="preserve">y reconozca </w:t>
      </w:r>
      <w:r w:rsidR="002376CF">
        <w:rPr>
          <w:rFonts w:ascii="Arial" w:hAnsi="Arial" w:cs="Arial"/>
        </w:rPr>
        <w:t xml:space="preserve">el desempeño </w:t>
      </w:r>
      <w:r w:rsidR="00596DD5">
        <w:rPr>
          <w:rFonts w:ascii="Arial" w:hAnsi="Arial" w:cs="Arial"/>
        </w:rPr>
        <w:t xml:space="preserve">de las </w:t>
      </w:r>
      <w:r w:rsidR="00F3475A">
        <w:rPr>
          <w:rFonts w:ascii="Arial" w:hAnsi="Arial" w:cs="Arial"/>
        </w:rPr>
        <w:t xml:space="preserve">empresas que desarrollan </w:t>
      </w:r>
      <w:r w:rsidR="00356464">
        <w:rPr>
          <w:rFonts w:ascii="Arial" w:hAnsi="Arial" w:cs="Arial"/>
        </w:rPr>
        <w:t>las actividades</w:t>
      </w:r>
      <w:r w:rsidR="00F3475A">
        <w:rPr>
          <w:rFonts w:ascii="Arial" w:hAnsi="Arial" w:cs="Arial"/>
        </w:rPr>
        <w:t xml:space="preserve"> de comercialización </w:t>
      </w:r>
      <w:r w:rsidR="002860A1">
        <w:rPr>
          <w:rFonts w:ascii="Arial" w:hAnsi="Arial" w:cs="Arial"/>
        </w:rPr>
        <w:t>de en</w:t>
      </w:r>
      <w:r w:rsidR="00356464">
        <w:rPr>
          <w:rFonts w:ascii="Arial" w:hAnsi="Arial" w:cs="Arial"/>
        </w:rPr>
        <w:t>e</w:t>
      </w:r>
      <w:r w:rsidR="002860A1">
        <w:rPr>
          <w:rFonts w:ascii="Arial" w:hAnsi="Arial" w:cs="Arial"/>
        </w:rPr>
        <w:t>rgía</w:t>
      </w:r>
      <w:r w:rsidR="00356464">
        <w:rPr>
          <w:rFonts w:ascii="Arial" w:hAnsi="Arial" w:cs="Arial"/>
        </w:rPr>
        <w:t>.</w:t>
      </w:r>
    </w:p>
    <w:p w14:paraId="2FA9EA20" w14:textId="77777777" w:rsidR="00483CD9" w:rsidRDefault="00483CD9" w:rsidP="00891C31">
      <w:pPr>
        <w:spacing w:before="0" w:after="0"/>
        <w:rPr>
          <w:rFonts w:ascii="Arial" w:hAnsi="Arial" w:cs="Arial"/>
        </w:rPr>
      </w:pPr>
    </w:p>
    <w:p w14:paraId="02363D28" w14:textId="41374411" w:rsidR="00483CD9" w:rsidRDefault="00A069B1" w:rsidP="00891C31">
      <w:pPr>
        <w:pStyle w:val="Prrafodelista"/>
        <w:numPr>
          <w:ilvl w:val="0"/>
          <w:numId w:val="5"/>
        </w:numPr>
        <w:spacing w:before="0" w:after="0"/>
        <w:rPr>
          <w:rFonts w:ascii="Arial" w:hAnsi="Arial" w:cs="Arial"/>
          <w:b/>
          <w:bCs/>
        </w:rPr>
      </w:pPr>
      <w:r w:rsidRPr="00873581">
        <w:rPr>
          <w:rFonts w:ascii="Arial" w:hAnsi="Arial" w:cs="Arial"/>
          <w:b/>
          <w:bCs/>
        </w:rPr>
        <w:t xml:space="preserve">Factor de ajuste </w:t>
      </w:r>
      <w:r w:rsidR="00873581" w:rsidRPr="00873581">
        <w:rPr>
          <w:rFonts w:ascii="Arial" w:hAnsi="Arial" w:cs="Arial"/>
          <w:b/>
          <w:bCs/>
        </w:rPr>
        <w:t>por calidad del servicio (ACS)</w:t>
      </w:r>
    </w:p>
    <w:p w14:paraId="7C4446CF" w14:textId="77777777" w:rsidR="00850523" w:rsidRDefault="00850523" w:rsidP="00891C31">
      <w:pPr>
        <w:pStyle w:val="Prrafodelista"/>
        <w:spacing w:before="0" w:after="0"/>
        <w:jc w:val="both"/>
        <w:rPr>
          <w:rFonts w:ascii="Arial" w:hAnsi="Arial" w:cs="Arial"/>
        </w:rPr>
      </w:pPr>
    </w:p>
    <w:p w14:paraId="2124207E" w14:textId="09AAE5F3" w:rsidR="00470FB3" w:rsidRDefault="003E70B4" w:rsidP="00891C31">
      <w:pPr>
        <w:pStyle w:val="Prrafodelista"/>
        <w:spacing w:before="0" w:after="0"/>
        <w:jc w:val="both"/>
        <w:rPr>
          <w:rFonts w:ascii="Arial" w:hAnsi="Arial" w:cs="Arial"/>
        </w:rPr>
      </w:pPr>
      <w:r>
        <w:rPr>
          <w:rFonts w:ascii="Arial" w:hAnsi="Arial" w:cs="Arial"/>
        </w:rPr>
        <w:lastRenderedPageBreak/>
        <w:t>Aplica un descuento en el margen operacional reconocido</w:t>
      </w:r>
      <w:r w:rsidR="009D50C3">
        <w:rPr>
          <w:rFonts w:ascii="Arial" w:hAnsi="Arial" w:cs="Arial"/>
        </w:rPr>
        <w:t xml:space="preserve"> a cada empresa que adelanta la actividad de comercialización de energía</w:t>
      </w:r>
      <w:r>
        <w:rPr>
          <w:rFonts w:ascii="Arial" w:hAnsi="Arial" w:cs="Arial"/>
        </w:rPr>
        <w:t xml:space="preserve"> a partir de un conteo de</w:t>
      </w:r>
      <w:r w:rsidR="002557C3">
        <w:rPr>
          <w:rFonts w:ascii="Arial" w:hAnsi="Arial" w:cs="Arial"/>
        </w:rPr>
        <w:t xml:space="preserve"> los indicadores sobre los cuales se evidencia incumplimiento </w:t>
      </w:r>
      <w:r w:rsidR="006569A0">
        <w:rPr>
          <w:rFonts w:ascii="Arial" w:hAnsi="Arial" w:cs="Arial"/>
        </w:rPr>
        <w:t xml:space="preserve">en su meta </w:t>
      </w:r>
      <w:r w:rsidR="000A582E">
        <w:rPr>
          <w:rFonts w:ascii="Arial" w:hAnsi="Arial" w:cs="Arial"/>
        </w:rPr>
        <w:t>señalada</w:t>
      </w:r>
      <w:r w:rsidR="00470FB3">
        <w:rPr>
          <w:rFonts w:ascii="Arial" w:hAnsi="Arial" w:cs="Arial"/>
        </w:rPr>
        <w:t>.</w:t>
      </w:r>
    </w:p>
    <w:p w14:paraId="0BB4C1F5" w14:textId="77777777" w:rsidR="00CE43BD" w:rsidRDefault="00CE43BD" w:rsidP="00891C31">
      <w:pPr>
        <w:pStyle w:val="Prrafodelista"/>
        <w:spacing w:before="0" w:after="0"/>
        <w:jc w:val="both"/>
        <w:rPr>
          <w:rFonts w:ascii="Arial" w:hAnsi="Arial" w:cs="Arial"/>
        </w:rPr>
      </w:pPr>
    </w:p>
    <w:p w14:paraId="5BAC8A90" w14:textId="173F2F50" w:rsidR="00ED01D5" w:rsidRDefault="002752E5" w:rsidP="00891C31">
      <w:pPr>
        <w:pStyle w:val="Prrafodelista"/>
        <w:spacing w:before="0" w:after="0"/>
        <w:jc w:val="both"/>
        <w:rPr>
          <w:rFonts w:ascii="Arial" w:hAnsi="Arial" w:cs="Arial"/>
        </w:rPr>
      </w:pPr>
      <w:r>
        <w:rPr>
          <w:rFonts w:ascii="Arial" w:hAnsi="Arial" w:cs="Arial"/>
        </w:rPr>
        <w:t xml:space="preserve">El incumplimiento </w:t>
      </w:r>
      <w:r w:rsidR="00850523">
        <w:rPr>
          <w:rFonts w:ascii="Arial" w:hAnsi="Arial" w:cs="Arial"/>
        </w:rPr>
        <w:t xml:space="preserve">en la meta fijada para </w:t>
      </w:r>
      <w:r>
        <w:rPr>
          <w:rFonts w:ascii="Arial" w:hAnsi="Arial" w:cs="Arial"/>
        </w:rPr>
        <w:t xml:space="preserve">cada indicador reduce en </w:t>
      </w:r>
      <w:r w:rsidR="00F03B1A">
        <w:rPr>
          <w:rFonts w:ascii="Arial" w:hAnsi="Arial" w:cs="Arial"/>
        </w:rPr>
        <w:t xml:space="preserve">2% </w:t>
      </w:r>
      <w:r w:rsidR="00267E7A">
        <w:rPr>
          <w:rFonts w:ascii="Arial" w:hAnsi="Arial" w:cs="Arial"/>
        </w:rPr>
        <w:t>el margen operacional reconocido</w:t>
      </w:r>
      <w:r w:rsidR="003A43B8">
        <w:rPr>
          <w:rFonts w:ascii="Arial" w:hAnsi="Arial" w:cs="Arial"/>
        </w:rPr>
        <w:t>. Esto se observa reflejado en la fórmula</w:t>
      </w:r>
      <w:r w:rsidR="00C0532B">
        <w:rPr>
          <w:rFonts w:ascii="Arial" w:hAnsi="Arial" w:cs="Arial"/>
        </w:rPr>
        <w:t xml:space="preserve"> </w:t>
      </w:r>
      <w:r w:rsidR="000D1B09">
        <w:rPr>
          <w:rFonts w:ascii="Arial" w:hAnsi="Arial" w:cs="Arial"/>
        </w:rPr>
        <w:t xml:space="preserve">de </w:t>
      </w:r>
      <w:r w:rsidR="00C0532B">
        <w:rPr>
          <w:rFonts w:ascii="Arial" w:hAnsi="Arial" w:cs="Arial"/>
        </w:rPr>
        <w:t>la sección 3.1</w:t>
      </w:r>
      <w:r w:rsidR="00EC3A34">
        <w:rPr>
          <w:rFonts w:ascii="Arial" w:hAnsi="Arial" w:cs="Arial"/>
        </w:rPr>
        <w:t>. del anexo general de la resolución</w:t>
      </w:r>
      <w:r w:rsidR="00ED01D5">
        <w:rPr>
          <w:rFonts w:ascii="Arial" w:hAnsi="Arial" w:cs="Arial"/>
        </w:rPr>
        <w:t xml:space="preserve"> y que se muestra a continuación:</w:t>
      </w:r>
    </w:p>
    <w:p w14:paraId="00C47D30" w14:textId="77777777" w:rsidR="00ED01D5" w:rsidRDefault="00ED01D5" w:rsidP="00ED01D5">
      <w:pPr>
        <w:spacing w:before="0" w:after="0"/>
        <w:rPr>
          <w:lang w:eastAsia="ar-SA"/>
        </w:rPr>
      </w:pPr>
    </w:p>
    <w:p w14:paraId="0D0346CC" w14:textId="77777777" w:rsidR="00ED01D5" w:rsidRPr="00D54E33" w:rsidRDefault="00E42F3C" w:rsidP="00ED01D5">
      <w:pPr>
        <w:spacing w:before="0" w:after="0"/>
        <w:rPr>
          <w:color w:val="000000"/>
        </w:rPr>
      </w:pPr>
      <m:oMathPara>
        <m:oMath>
          <m:sSub>
            <m:sSubPr>
              <m:ctrlPr>
                <w:rPr>
                  <w:rFonts w:ascii="Cambria Math" w:hAnsi="Cambria Math"/>
                  <w:i/>
                  <w:color w:val="000000"/>
                </w:rPr>
              </m:ctrlPr>
            </m:sSubPr>
            <m:e>
              <m:r>
                <w:rPr>
                  <w:rFonts w:ascii="Cambria Math" w:hAnsi="Cambria Math"/>
                  <w:color w:val="000000"/>
                </w:rPr>
                <m:t>ACS</m:t>
              </m:r>
            </m:e>
            <m:sub>
              <m:r>
                <w:rPr>
                  <w:rFonts w:ascii="Cambria Math" w:hAnsi="Cambria Math"/>
                  <w:color w:val="000000"/>
                </w:rPr>
                <m:t>i,j,t</m:t>
              </m:r>
            </m:sub>
          </m:sSub>
          <m:r>
            <w:rPr>
              <w:rFonts w:ascii="Cambria Math" w:hAnsi="Cambria Math"/>
              <w:color w:val="000000"/>
            </w:rPr>
            <m:t xml:space="preserve">=1-0,02 </m:t>
          </m:r>
          <m:sSub>
            <m:sSubPr>
              <m:ctrlPr>
                <w:rPr>
                  <w:rFonts w:ascii="Cambria Math" w:hAnsi="Cambria Math"/>
                  <w:i/>
                  <w:color w:val="000000"/>
                </w:rPr>
              </m:ctrlPr>
            </m:sSubPr>
            <m:e>
              <m:r>
                <w:rPr>
                  <w:rFonts w:ascii="Cambria Math" w:hAnsi="Cambria Math"/>
                  <w:color w:val="000000"/>
                </w:rPr>
                <m:t>inc</m:t>
              </m:r>
            </m:e>
            <m:sub>
              <m:r>
                <w:rPr>
                  <w:rFonts w:ascii="Cambria Math" w:hAnsi="Cambria Math"/>
                  <w:color w:val="000000"/>
                </w:rPr>
                <m:t>i,j,t-1</m:t>
              </m:r>
            </m:sub>
          </m:sSub>
        </m:oMath>
      </m:oMathPara>
    </w:p>
    <w:p w14:paraId="51BFC7F7" w14:textId="77777777" w:rsidR="00ED01D5" w:rsidRDefault="00ED01D5" w:rsidP="00ED01D5">
      <w:pPr>
        <w:spacing w:before="0" w:after="0"/>
        <w:rPr>
          <w:color w:val="000000"/>
        </w:rPr>
      </w:pPr>
    </w:p>
    <w:p w14:paraId="45673B7D" w14:textId="77777777" w:rsidR="00ED01D5" w:rsidRPr="004F6083" w:rsidRDefault="00ED01D5" w:rsidP="004F6083">
      <w:pPr>
        <w:spacing w:before="0" w:after="0"/>
        <w:ind w:left="708"/>
        <w:jc w:val="both"/>
        <w:rPr>
          <w:rFonts w:ascii="Arial" w:hAnsi="Arial" w:cs="Arial"/>
          <w:color w:val="000000"/>
        </w:rPr>
      </w:pPr>
      <w:r w:rsidRPr="004F6083">
        <w:rPr>
          <w:rFonts w:ascii="Arial" w:hAnsi="Arial" w:cs="Arial"/>
          <w:color w:val="000000"/>
        </w:rPr>
        <w:t>Donde:</w:t>
      </w:r>
    </w:p>
    <w:p w14:paraId="24620A05" w14:textId="77777777" w:rsidR="00ED01D5" w:rsidRPr="004F6083" w:rsidRDefault="00ED01D5" w:rsidP="004F6083">
      <w:pPr>
        <w:pStyle w:val="Subttulo"/>
        <w:ind w:left="2551" w:hanging="1843"/>
        <w:rPr>
          <w:rFonts w:ascii="Arial" w:hAnsi="Arial" w:cs="Arial"/>
          <w:color w:val="000000"/>
          <w:sz w:val="22"/>
          <w:szCs w:val="22"/>
        </w:rPr>
      </w:pPr>
      <w:proofErr w:type="gramStart"/>
      <w:r w:rsidRPr="004F6083">
        <w:rPr>
          <w:rFonts w:ascii="Arial" w:hAnsi="Arial" w:cs="Arial"/>
          <w:b w:val="0"/>
          <w:i/>
          <w:color w:val="000000"/>
          <w:sz w:val="22"/>
          <w:szCs w:val="22"/>
        </w:rPr>
        <w:t>ACS</w:t>
      </w:r>
      <w:r w:rsidRPr="004F6083">
        <w:rPr>
          <w:rFonts w:ascii="Arial" w:hAnsi="Arial" w:cs="Arial"/>
          <w:b w:val="0"/>
          <w:i/>
          <w:color w:val="000000"/>
          <w:sz w:val="22"/>
          <w:szCs w:val="22"/>
          <w:vertAlign w:val="subscript"/>
        </w:rPr>
        <w:t>i,j</w:t>
      </w:r>
      <w:proofErr w:type="gramEnd"/>
      <w:r w:rsidRPr="004F6083">
        <w:rPr>
          <w:rFonts w:ascii="Arial" w:hAnsi="Arial" w:cs="Arial"/>
          <w:b w:val="0"/>
          <w:i/>
          <w:color w:val="000000"/>
          <w:sz w:val="22"/>
          <w:szCs w:val="22"/>
          <w:vertAlign w:val="subscript"/>
        </w:rPr>
        <w:t>,t</w:t>
      </w:r>
      <w:r w:rsidRPr="004F6083">
        <w:rPr>
          <w:rFonts w:ascii="Arial" w:hAnsi="Arial" w:cs="Arial"/>
          <w:b w:val="0"/>
          <w:i/>
          <w:color w:val="000000"/>
          <w:sz w:val="22"/>
          <w:szCs w:val="22"/>
        </w:rPr>
        <w:tab/>
      </w:r>
      <w:r w:rsidRPr="004F6083">
        <w:rPr>
          <w:rFonts w:ascii="Arial" w:hAnsi="Arial" w:cs="Arial"/>
          <w:b w:val="0"/>
          <w:iCs/>
          <w:color w:val="000000"/>
          <w:sz w:val="22"/>
          <w:szCs w:val="22"/>
        </w:rPr>
        <w:t>Factor de ajuste al margen operacional</w:t>
      </w:r>
      <w:r w:rsidRPr="004F6083">
        <w:rPr>
          <w:rFonts w:ascii="Arial" w:hAnsi="Arial" w:cs="Arial"/>
          <w:b w:val="0"/>
          <w:color w:val="000000"/>
          <w:sz w:val="22"/>
          <w:szCs w:val="22"/>
        </w:rPr>
        <w:t xml:space="preserve"> </w:t>
      </w:r>
      <w:r w:rsidRPr="004F6083">
        <w:rPr>
          <w:rFonts w:ascii="Arial" w:hAnsi="Arial" w:cs="Arial"/>
          <w:b w:val="0"/>
          <w:i/>
          <w:iCs/>
          <w:color w:val="000000"/>
          <w:sz w:val="22"/>
          <w:szCs w:val="22"/>
        </w:rPr>
        <w:t>mo</w:t>
      </w:r>
      <w:r w:rsidRPr="004F6083">
        <w:rPr>
          <w:rFonts w:ascii="Arial" w:hAnsi="Arial" w:cs="Arial"/>
          <w:b w:val="0"/>
          <w:color w:val="000000"/>
          <w:sz w:val="22"/>
          <w:szCs w:val="22"/>
        </w:rPr>
        <w:t xml:space="preserve">, aplicable en el año </w:t>
      </w:r>
      <m:oMath>
        <m:r>
          <m:rPr>
            <m:sty m:val="bi"/>
          </m:rPr>
          <w:rPr>
            <w:rFonts w:ascii="Cambria Math" w:hAnsi="Cambria Math" w:cs="Arial"/>
            <w:color w:val="000000"/>
            <w:sz w:val="22"/>
            <w:szCs w:val="22"/>
          </w:rPr>
          <m:t>t</m:t>
        </m:r>
      </m:oMath>
      <w:r w:rsidRPr="004F6083">
        <w:rPr>
          <w:rFonts w:ascii="Arial" w:hAnsi="Arial" w:cs="Arial"/>
          <w:b w:val="0"/>
          <w:color w:val="000000"/>
          <w:sz w:val="22"/>
          <w:szCs w:val="22"/>
        </w:rPr>
        <w:t xml:space="preserve">,   que refleja el nivel de cumplimiento de la calidad del servicio comercial del año </w:t>
      </w:r>
      <m:oMath>
        <m:r>
          <m:rPr>
            <m:sty m:val="bi"/>
          </m:rPr>
          <w:rPr>
            <w:rFonts w:ascii="Cambria Math" w:hAnsi="Cambria Math" w:cs="Arial"/>
            <w:color w:val="000000"/>
            <w:sz w:val="22"/>
            <w:szCs w:val="22"/>
          </w:rPr>
          <m:t>t-1</m:t>
        </m:r>
      </m:oMath>
      <w:r w:rsidRPr="004F6083">
        <w:rPr>
          <w:rFonts w:ascii="Arial" w:hAnsi="Arial" w:cs="Arial"/>
          <w:b w:val="0"/>
          <w:color w:val="000000"/>
          <w:sz w:val="22"/>
          <w:szCs w:val="22"/>
        </w:rPr>
        <w:t xml:space="preserve">, en el mercado j, del comercializador </w:t>
      </w:r>
      <m:oMath>
        <m:r>
          <m:rPr>
            <m:sty m:val="bi"/>
          </m:rPr>
          <w:rPr>
            <w:rFonts w:ascii="Cambria Math" w:hAnsi="Cambria Math" w:cs="Arial"/>
            <w:color w:val="000000"/>
            <w:sz w:val="22"/>
            <w:szCs w:val="22"/>
          </w:rPr>
          <m:t>i</m:t>
        </m:r>
      </m:oMath>
      <w:r w:rsidRPr="004F6083">
        <w:rPr>
          <w:rFonts w:ascii="Arial" w:hAnsi="Arial" w:cs="Arial"/>
          <w:b w:val="0"/>
          <w:bCs w:val="0"/>
          <w:color w:val="000000"/>
          <w:sz w:val="22"/>
          <w:szCs w:val="22"/>
        </w:rPr>
        <w:t>.</w:t>
      </w:r>
    </w:p>
    <w:p w14:paraId="602732F6" w14:textId="38E0A389" w:rsidR="00ED01D5" w:rsidRPr="004F6083" w:rsidRDefault="00E42F3C" w:rsidP="004F6083">
      <w:pPr>
        <w:pStyle w:val="Subttulo"/>
        <w:ind w:left="2551" w:hanging="1843"/>
        <w:rPr>
          <w:rFonts w:ascii="Arial" w:hAnsi="Arial" w:cs="Arial"/>
          <w:b w:val="0"/>
          <w:color w:val="000000"/>
          <w:sz w:val="22"/>
          <w:szCs w:val="22"/>
        </w:rPr>
      </w:pPr>
      <m:oMath>
        <m:sSub>
          <m:sSubPr>
            <m:ctrlPr>
              <w:rPr>
                <w:rFonts w:ascii="Cambria Math" w:hAnsi="Cambria Math" w:cs="Arial"/>
                <w:b w:val="0"/>
                <w:i/>
                <w:color w:val="000000"/>
                <w:sz w:val="22"/>
                <w:szCs w:val="22"/>
              </w:rPr>
            </m:ctrlPr>
          </m:sSubPr>
          <m:e>
            <m:r>
              <m:rPr>
                <m:sty m:val="bi"/>
              </m:rPr>
              <w:rPr>
                <w:rFonts w:ascii="Cambria Math" w:hAnsi="Cambria Math" w:cs="Arial"/>
                <w:color w:val="000000"/>
                <w:sz w:val="22"/>
                <w:szCs w:val="22"/>
              </w:rPr>
              <m:t>inc</m:t>
            </m:r>
          </m:e>
          <m:sub>
            <m:r>
              <m:rPr>
                <m:sty m:val="bi"/>
              </m:rPr>
              <w:rPr>
                <w:rFonts w:ascii="Cambria Math" w:hAnsi="Cambria Math" w:cs="Arial"/>
                <w:color w:val="000000"/>
                <w:sz w:val="22"/>
                <w:szCs w:val="22"/>
              </w:rPr>
              <m:t>i,j,t-1</m:t>
            </m:r>
          </m:sub>
        </m:sSub>
      </m:oMath>
      <w:r w:rsidR="00ED01D5" w:rsidRPr="004F6083">
        <w:rPr>
          <w:rFonts w:ascii="Arial" w:hAnsi="Arial" w:cs="Arial"/>
          <w:b w:val="0"/>
          <w:color w:val="000000"/>
          <w:sz w:val="22"/>
          <w:szCs w:val="22"/>
        </w:rPr>
        <w:t xml:space="preserve"> </w:t>
      </w:r>
      <w:r w:rsidR="00ED01D5" w:rsidRPr="004F6083">
        <w:rPr>
          <w:rFonts w:ascii="Arial" w:hAnsi="Arial" w:cs="Arial"/>
          <w:b w:val="0"/>
          <w:color w:val="000000"/>
          <w:sz w:val="22"/>
          <w:szCs w:val="22"/>
        </w:rPr>
        <w:tab/>
        <w:t xml:space="preserve">Número de indicadores no cumplidos, que corresponde a aquellos indicadores sobre los cuales el comercializador </w:t>
      </w:r>
      <m:oMath>
        <m:r>
          <m:rPr>
            <m:sty m:val="bi"/>
          </m:rPr>
          <w:rPr>
            <w:rFonts w:ascii="Cambria Math" w:hAnsi="Cambria Math" w:cs="Arial"/>
            <w:color w:val="000000"/>
            <w:sz w:val="22"/>
            <w:szCs w:val="22"/>
          </w:rPr>
          <m:t>i</m:t>
        </m:r>
      </m:oMath>
      <w:r w:rsidR="00ED01D5" w:rsidRPr="004F6083">
        <w:rPr>
          <w:rFonts w:ascii="Arial" w:hAnsi="Arial" w:cs="Arial"/>
          <w:b w:val="0"/>
          <w:bCs w:val="0"/>
          <w:color w:val="000000"/>
          <w:sz w:val="22"/>
          <w:szCs w:val="22"/>
        </w:rPr>
        <w:t>, en el mercado</w:t>
      </w:r>
      <w:r w:rsidR="00ED01D5" w:rsidRPr="004F6083">
        <w:rPr>
          <w:rFonts w:ascii="Arial" w:hAnsi="Arial" w:cs="Arial"/>
          <w:b w:val="0"/>
          <w:color w:val="000000"/>
          <w:sz w:val="22"/>
          <w:szCs w:val="22"/>
        </w:rPr>
        <w:t xml:space="preserve"> </w:t>
      </w:r>
      <m:oMath>
        <m:r>
          <m:rPr>
            <m:sty m:val="bi"/>
          </m:rPr>
          <w:rPr>
            <w:rFonts w:ascii="Cambria Math" w:hAnsi="Cambria Math" w:cs="Arial"/>
            <w:color w:val="000000"/>
            <w:sz w:val="22"/>
            <w:szCs w:val="22"/>
          </w:rPr>
          <m:t>j</m:t>
        </m:r>
      </m:oMath>
      <w:r w:rsidR="00ED01D5" w:rsidRPr="004F6083">
        <w:rPr>
          <w:rFonts w:ascii="Arial" w:hAnsi="Arial" w:cs="Arial"/>
          <w:b w:val="0"/>
          <w:color w:val="000000"/>
          <w:sz w:val="22"/>
          <w:szCs w:val="22"/>
        </w:rPr>
        <w:t xml:space="preserve">, para el año </w:t>
      </w:r>
      <m:oMath>
        <m:r>
          <m:rPr>
            <m:sty m:val="bi"/>
          </m:rPr>
          <w:rPr>
            <w:rFonts w:ascii="Cambria Math" w:hAnsi="Cambria Math" w:cs="Arial"/>
            <w:color w:val="000000"/>
            <w:sz w:val="22"/>
            <w:szCs w:val="22"/>
          </w:rPr>
          <m:t>t-1</m:t>
        </m:r>
      </m:oMath>
      <w:r w:rsidR="00ED01D5" w:rsidRPr="004F6083">
        <w:rPr>
          <w:rFonts w:ascii="Arial" w:hAnsi="Arial" w:cs="Arial"/>
          <w:b w:val="0"/>
          <w:color w:val="000000"/>
          <w:sz w:val="22"/>
          <w:szCs w:val="22"/>
        </w:rPr>
        <w:t>, no alcanzó un nivel de cumplimiento definido por la CREG.</w:t>
      </w:r>
    </w:p>
    <w:p w14:paraId="1C702EAC" w14:textId="0DC98F22" w:rsidR="00470FB3" w:rsidRDefault="00470FB3" w:rsidP="00891C31">
      <w:pPr>
        <w:pStyle w:val="Prrafodelista"/>
        <w:spacing w:before="0" w:after="0"/>
        <w:jc w:val="both"/>
        <w:rPr>
          <w:rFonts w:ascii="Arial" w:hAnsi="Arial" w:cs="Arial"/>
        </w:rPr>
      </w:pPr>
    </w:p>
    <w:p w14:paraId="3FE311D8" w14:textId="3B100FC2" w:rsidR="00873581" w:rsidRDefault="003F4BDC" w:rsidP="00891C31">
      <w:pPr>
        <w:pStyle w:val="Prrafodelista"/>
        <w:numPr>
          <w:ilvl w:val="0"/>
          <w:numId w:val="5"/>
        </w:numPr>
        <w:spacing w:before="0" w:after="0"/>
        <w:jc w:val="both"/>
        <w:rPr>
          <w:rFonts w:ascii="Arial" w:hAnsi="Arial" w:cs="Arial"/>
          <w:b/>
          <w:bCs/>
        </w:rPr>
      </w:pPr>
      <w:r>
        <w:rPr>
          <w:rFonts w:ascii="Arial" w:hAnsi="Arial" w:cs="Arial"/>
          <w:b/>
          <w:bCs/>
        </w:rPr>
        <w:t>Medición y reporte de i</w:t>
      </w:r>
      <w:r w:rsidR="006B02D3" w:rsidRPr="002E6BA7">
        <w:rPr>
          <w:rFonts w:ascii="Arial" w:hAnsi="Arial" w:cs="Arial"/>
          <w:b/>
          <w:bCs/>
        </w:rPr>
        <w:t>ndicadores de calidad</w:t>
      </w:r>
      <w:r w:rsidR="008F78D5" w:rsidRPr="002E6BA7">
        <w:rPr>
          <w:rFonts w:ascii="Arial" w:hAnsi="Arial" w:cs="Arial"/>
          <w:b/>
          <w:bCs/>
        </w:rPr>
        <w:t xml:space="preserve"> </w:t>
      </w:r>
      <w:r w:rsidR="009679A5" w:rsidRPr="002E6BA7">
        <w:rPr>
          <w:rFonts w:ascii="Arial" w:hAnsi="Arial" w:cs="Arial"/>
          <w:b/>
          <w:bCs/>
        </w:rPr>
        <w:t xml:space="preserve">del servicio </w:t>
      </w:r>
      <w:r w:rsidR="008F78D5" w:rsidRPr="002E6BA7">
        <w:rPr>
          <w:rFonts w:ascii="Arial" w:hAnsi="Arial" w:cs="Arial"/>
          <w:b/>
          <w:bCs/>
        </w:rPr>
        <w:t>comercial</w:t>
      </w:r>
    </w:p>
    <w:p w14:paraId="33720700" w14:textId="77777777" w:rsidR="00850523" w:rsidRDefault="00850523" w:rsidP="00891C31">
      <w:pPr>
        <w:pStyle w:val="Prrafodelista"/>
        <w:spacing w:before="0" w:after="0"/>
        <w:jc w:val="both"/>
        <w:rPr>
          <w:rFonts w:ascii="Arial" w:hAnsi="Arial" w:cs="Arial"/>
        </w:rPr>
      </w:pPr>
    </w:p>
    <w:p w14:paraId="1E378952" w14:textId="625D617E" w:rsidR="00435B00" w:rsidRDefault="00435B00" w:rsidP="00891C31">
      <w:pPr>
        <w:pStyle w:val="Prrafodelista"/>
        <w:spacing w:before="0" w:after="0"/>
        <w:jc w:val="both"/>
        <w:rPr>
          <w:rFonts w:ascii="Arial" w:hAnsi="Arial" w:cs="Arial"/>
        </w:rPr>
      </w:pPr>
      <w:r w:rsidRPr="00435B00">
        <w:rPr>
          <w:rFonts w:ascii="Arial" w:hAnsi="Arial" w:cs="Arial"/>
        </w:rPr>
        <w:t xml:space="preserve">Los requisitos de calidad del servicio </w:t>
      </w:r>
      <w:r w:rsidR="00B34486">
        <w:rPr>
          <w:rFonts w:ascii="Arial" w:hAnsi="Arial" w:cs="Arial"/>
        </w:rPr>
        <w:t>tendrán en cuenta los siguientes indicadores:</w:t>
      </w:r>
    </w:p>
    <w:p w14:paraId="0D031D06" w14:textId="77777777" w:rsidR="00656D70" w:rsidRDefault="00656D70" w:rsidP="00891C31">
      <w:pPr>
        <w:pStyle w:val="Prrafodelista"/>
        <w:spacing w:before="0" w:after="0"/>
        <w:jc w:val="both"/>
        <w:rPr>
          <w:rFonts w:ascii="Arial" w:hAnsi="Arial" w:cs="Arial"/>
        </w:rPr>
      </w:pPr>
    </w:p>
    <w:p w14:paraId="4B7D2354" w14:textId="2E5E6759" w:rsidR="00656D70" w:rsidRDefault="00656D70" w:rsidP="00E5529F">
      <w:pPr>
        <w:pStyle w:val="Descripcin"/>
        <w:tabs>
          <w:tab w:val="left" w:pos="1276"/>
        </w:tabs>
        <w:spacing w:after="0"/>
        <w:jc w:val="center"/>
        <w:rPr>
          <w:rFonts w:ascii="Arial" w:hAnsi="Arial" w:cs="Arial"/>
          <w:b/>
          <w:bCs/>
          <w:color w:val="auto"/>
        </w:rPr>
      </w:pPr>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16</w:t>
      </w:r>
      <w:r w:rsidRPr="00115F4D">
        <w:rPr>
          <w:rFonts w:ascii="Arial" w:hAnsi="Arial" w:cs="Arial"/>
          <w:b/>
          <w:bCs/>
          <w:color w:val="auto"/>
        </w:rPr>
        <w:fldChar w:fldCharType="end"/>
      </w:r>
      <w:r w:rsidRPr="00656D70">
        <w:rPr>
          <w:rFonts w:ascii="Arial" w:hAnsi="Arial" w:cs="Arial"/>
          <w:b/>
          <w:bCs/>
          <w:color w:val="auto"/>
        </w:rPr>
        <w:t xml:space="preserve"> indicadores</w:t>
      </w:r>
      <w:r>
        <w:rPr>
          <w:rFonts w:ascii="Arial" w:hAnsi="Arial" w:cs="Arial"/>
          <w:b/>
          <w:bCs/>
          <w:color w:val="auto"/>
        </w:rPr>
        <w:t xml:space="preserve"> calidad del servicio comercial.</w:t>
      </w:r>
    </w:p>
    <w:p w14:paraId="1AC1378B" w14:textId="29D7E101" w:rsidR="00656D70" w:rsidRPr="00656D70" w:rsidRDefault="00656D70" w:rsidP="00E5529F">
      <w:pPr>
        <w:pStyle w:val="Descripcin"/>
        <w:tabs>
          <w:tab w:val="left" w:pos="1276"/>
        </w:tabs>
        <w:spacing w:after="0"/>
        <w:jc w:val="center"/>
        <w:rPr>
          <w:rFonts w:ascii="Arial" w:hAnsi="Arial" w:cs="Arial"/>
          <w:b/>
          <w:bCs/>
          <w:color w:val="auto"/>
        </w:rPr>
      </w:pPr>
      <w:r w:rsidRPr="00656D70">
        <w:rPr>
          <w:rFonts w:ascii="Arial" w:hAnsi="Arial" w:cs="Arial"/>
          <w:b/>
          <w:bCs/>
          <w:color w:val="auto"/>
        </w:rPr>
        <w:t>Fuente: Elaboración CREG</w:t>
      </w:r>
    </w:p>
    <w:tbl>
      <w:tblPr>
        <w:tblStyle w:val="Tablaconcuadrcula1clara-nfasis3"/>
        <w:tblW w:w="6941" w:type="dxa"/>
        <w:jc w:val="center"/>
        <w:tblLook w:val="0420" w:firstRow="1" w:lastRow="0" w:firstColumn="0" w:lastColumn="0" w:noHBand="0" w:noVBand="1"/>
      </w:tblPr>
      <w:tblGrid>
        <w:gridCol w:w="2122"/>
        <w:gridCol w:w="4819"/>
      </w:tblGrid>
      <w:tr w:rsidR="0097715F" w:rsidRPr="00115F4D" w14:paraId="6B6AAA20" w14:textId="77777777" w:rsidTr="0073490C">
        <w:trPr>
          <w:cnfStyle w:val="100000000000" w:firstRow="1" w:lastRow="0" w:firstColumn="0" w:lastColumn="0" w:oddVBand="0" w:evenVBand="0" w:oddHBand="0" w:evenHBand="0" w:firstRowFirstColumn="0" w:firstRowLastColumn="0" w:lastRowFirstColumn="0" w:lastRowLastColumn="0"/>
          <w:trHeight w:val="20"/>
          <w:jc w:val="center"/>
        </w:trPr>
        <w:tc>
          <w:tcPr>
            <w:tcW w:w="2122" w:type="dxa"/>
            <w:hideMark/>
          </w:tcPr>
          <w:p w14:paraId="38B150C7" w14:textId="77777777" w:rsidR="0097715F" w:rsidRPr="00115F4D" w:rsidRDefault="0097715F" w:rsidP="00891C31">
            <w:pPr>
              <w:spacing w:before="0" w:after="0"/>
              <w:jc w:val="both"/>
              <w:textAlignment w:val="bottom"/>
              <w:rPr>
                <w:rFonts w:ascii="Arial" w:hAnsi="Arial" w:cs="Arial"/>
                <w:b w:val="0"/>
                <w:bCs w:val="0"/>
                <w:color w:val="000000"/>
                <w:kern w:val="24"/>
                <w:sz w:val="20"/>
                <w:szCs w:val="20"/>
                <w:lang w:eastAsia="es-CO"/>
              </w:rPr>
            </w:pPr>
            <w:r w:rsidRPr="00115F4D">
              <w:rPr>
                <w:rFonts w:ascii="Arial" w:hAnsi="Arial" w:cs="Arial"/>
                <w:color w:val="000000"/>
                <w:kern w:val="24"/>
                <w:sz w:val="20"/>
                <w:szCs w:val="20"/>
                <w:lang w:eastAsia="es-CO"/>
              </w:rPr>
              <w:t>CATEGORÍA</w:t>
            </w:r>
          </w:p>
        </w:tc>
        <w:tc>
          <w:tcPr>
            <w:tcW w:w="4819" w:type="dxa"/>
            <w:hideMark/>
          </w:tcPr>
          <w:p w14:paraId="0574C307" w14:textId="77777777" w:rsidR="0097715F" w:rsidRPr="00115F4D" w:rsidRDefault="0097715F" w:rsidP="00891C31">
            <w:pPr>
              <w:spacing w:before="0" w:after="0"/>
              <w:jc w:val="both"/>
              <w:textAlignment w:val="bottom"/>
              <w:rPr>
                <w:rFonts w:ascii="Arial" w:hAnsi="Arial" w:cs="Arial"/>
                <w:b w:val="0"/>
                <w:bCs w:val="0"/>
                <w:color w:val="000000"/>
                <w:kern w:val="24"/>
                <w:sz w:val="20"/>
                <w:szCs w:val="20"/>
                <w:lang w:eastAsia="es-CO"/>
              </w:rPr>
            </w:pPr>
            <w:r w:rsidRPr="00115F4D">
              <w:rPr>
                <w:rFonts w:ascii="Arial" w:hAnsi="Arial" w:cs="Arial"/>
                <w:color w:val="000000"/>
                <w:kern w:val="24"/>
                <w:sz w:val="20"/>
                <w:szCs w:val="20"/>
                <w:lang w:eastAsia="es-CO"/>
              </w:rPr>
              <w:t>INDICADORES</w:t>
            </w:r>
          </w:p>
        </w:tc>
      </w:tr>
      <w:tr w:rsidR="0097715F" w:rsidRPr="00115F4D" w14:paraId="3363DA5A" w14:textId="77777777" w:rsidTr="0073490C">
        <w:trPr>
          <w:trHeight w:val="20"/>
          <w:jc w:val="center"/>
        </w:trPr>
        <w:tc>
          <w:tcPr>
            <w:tcW w:w="2122" w:type="dxa"/>
            <w:vMerge w:val="restart"/>
            <w:hideMark/>
          </w:tcPr>
          <w:p w14:paraId="760D6B82" w14:textId="77777777" w:rsidR="0097715F" w:rsidRPr="00115F4D" w:rsidRDefault="0097715F" w:rsidP="00891C31">
            <w:pPr>
              <w:spacing w:before="0" w:after="0"/>
              <w:jc w:val="both"/>
              <w:textAlignment w:val="center"/>
              <w:rPr>
                <w:rFonts w:ascii="Arial" w:hAnsi="Arial" w:cs="Arial"/>
                <w:sz w:val="36"/>
                <w:szCs w:val="36"/>
                <w:lang w:eastAsia="es-CO"/>
              </w:rPr>
            </w:pPr>
            <w:r w:rsidRPr="00115F4D">
              <w:rPr>
                <w:rFonts w:ascii="Arial" w:hAnsi="Arial" w:cs="Arial"/>
                <w:color w:val="000000"/>
                <w:kern w:val="24"/>
                <w:sz w:val="20"/>
                <w:szCs w:val="20"/>
                <w:lang w:eastAsia="es-CO"/>
              </w:rPr>
              <w:t>Quejas y reclamos</w:t>
            </w:r>
          </w:p>
        </w:tc>
        <w:tc>
          <w:tcPr>
            <w:tcW w:w="4819" w:type="dxa"/>
            <w:hideMark/>
          </w:tcPr>
          <w:p w14:paraId="7BE24AFE" w14:textId="77777777" w:rsidR="0097715F" w:rsidRPr="00115F4D" w:rsidRDefault="0097715F" w:rsidP="00891C31">
            <w:pPr>
              <w:spacing w:before="0" w:after="0"/>
              <w:jc w:val="both"/>
              <w:textAlignment w:val="bottom"/>
              <w:rPr>
                <w:rFonts w:ascii="Arial" w:hAnsi="Arial" w:cs="Arial"/>
                <w:sz w:val="36"/>
                <w:szCs w:val="36"/>
                <w:lang w:eastAsia="es-CO"/>
              </w:rPr>
            </w:pPr>
            <w:r w:rsidRPr="00115F4D">
              <w:rPr>
                <w:rFonts w:ascii="Arial" w:hAnsi="Arial" w:cs="Arial"/>
                <w:color w:val="000000"/>
                <w:kern w:val="24"/>
                <w:sz w:val="20"/>
                <w:szCs w:val="20"/>
                <w:lang w:eastAsia="es-CO"/>
              </w:rPr>
              <w:t xml:space="preserve"> 1. Cantidad de quejas</w:t>
            </w:r>
            <w:r>
              <w:rPr>
                <w:rFonts w:ascii="Arial" w:hAnsi="Arial" w:cs="Arial"/>
                <w:color w:val="000000"/>
                <w:kern w:val="24"/>
                <w:sz w:val="20"/>
                <w:szCs w:val="20"/>
                <w:lang w:eastAsia="es-CO"/>
              </w:rPr>
              <w:t xml:space="preserve"> por usuario</w:t>
            </w:r>
          </w:p>
        </w:tc>
      </w:tr>
      <w:tr w:rsidR="0097715F" w:rsidRPr="00115F4D" w14:paraId="4767D095" w14:textId="77777777" w:rsidTr="0073490C">
        <w:trPr>
          <w:trHeight w:val="20"/>
          <w:jc w:val="center"/>
        </w:trPr>
        <w:tc>
          <w:tcPr>
            <w:tcW w:w="2122" w:type="dxa"/>
            <w:vMerge/>
            <w:hideMark/>
          </w:tcPr>
          <w:p w14:paraId="18BC6DB6" w14:textId="77777777" w:rsidR="0097715F" w:rsidRPr="00115F4D" w:rsidRDefault="0097715F" w:rsidP="00891C31">
            <w:pPr>
              <w:spacing w:before="0" w:after="0"/>
              <w:jc w:val="both"/>
              <w:rPr>
                <w:rFonts w:ascii="Arial" w:hAnsi="Arial" w:cs="Arial"/>
                <w:sz w:val="36"/>
                <w:szCs w:val="36"/>
                <w:lang w:eastAsia="es-CO"/>
              </w:rPr>
            </w:pPr>
          </w:p>
        </w:tc>
        <w:tc>
          <w:tcPr>
            <w:tcW w:w="4819" w:type="dxa"/>
            <w:hideMark/>
          </w:tcPr>
          <w:p w14:paraId="0FC9AFBE" w14:textId="77777777" w:rsidR="0097715F" w:rsidRPr="00115F4D" w:rsidRDefault="0097715F" w:rsidP="00891C31">
            <w:pPr>
              <w:spacing w:before="0" w:after="0"/>
              <w:jc w:val="both"/>
              <w:textAlignment w:val="bottom"/>
              <w:rPr>
                <w:rFonts w:ascii="Arial" w:hAnsi="Arial" w:cs="Arial"/>
                <w:sz w:val="36"/>
                <w:szCs w:val="36"/>
                <w:lang w:eastAsia="es-CO"/>
              </w:rPr>
            </w:pPr>
            <w:r w:rsidRPr="00115F4D">
              <w:rPr>
                <w:rFonts w:ascii="Arial" w:hAnsi="Arial" w:cs="Arial"/>
                <w:color w:val="000000"/>
                <w:kern w:val="24"/>
                <w:sz w:val="20"/>
                <w:szCs w:val="20"/>
                <w:lang w:eastAsia="es-CO"/>
              </w:rPr>
              <w:t xml:space="preserve"> 2. Calidad en la respuesta a </w:t>
            </w:r>
            <w:r>
              <w:rPr>
                <w:rFonts w:ascii="Arial" w:hAnsi="Arial" w:cs="Arial"/>
                <w:color w:val="000000"/>
                <w:kern w:val="24"/>
                <w:sz w:val="20"/>
                <w:szCs w:val="20"/>
                <w:lang w:eastAsia="es-CO"/>
              </w:rPr>
              <w:t>quejas y reclamos</w:t>
            </w:r>
          </w:p>
        </w:tc>
      </w:tr>
      <w:tr w:rsidR="0097715F" w:rsidRPr="00115F4D" w14:paraId="0F476769" w14:textId="77777777" w:rsidTr="0073490C">
        <w:trPr>
          <w:trHeight w:val="20"/>
          <w:jc w:val="center"/>
        </w:trPr>
        <w:tc>
          <w:tcPr>
            <w:tcW w:w="2122" w:type="dxa"/>
            <w:vMerge w:val="restart"/>
            <w:hideMark/>
          </w:tcPr>
          <w:p w14:paraId="74B9C5AF" w14:textId="77777777" w:rsidR="0097715F" w:rsidRPr="00115F4D" w:rsidRDefault="0097715F" w:rsidP="00891C31">
            <w:pPr>
              <w:spacing w:before="0" w:after="0"/>
              <w:jc w:val="both"/>
              <w:textAlignment w:val="center"/>
              <w:rPr>
                <w:rFonts w:ascii="Arial" w:hAnsi="Arial" w:cs="Arial"/>
                <w:sz w:val="36"/>
                <w:szCs w:val="36"/>
                <w:lang w:eastAsia="es-CO"/>
              </w:rPr>
            </w:pPr>
            <w:r w:rsidRPr="00115F4D">
              <w:rPr>
                <w:rFonts w:ascii="Arial" w:hAnsi="Arial" w:cs="Arial"/>
                <w:color w:val="000000"/>
                <w:kern w:val="24"/>
                <w:sz w:val="20"/>
                <w:szCs w:val="20"/>
                <w:lang w:eastAsia="es-CO"/>
              </w:rPr>
              <w:t>Servicio al cliente</w:t>
            </w:r>
          </w:p>
        </w:tc>
        <w:tc>
          <w:tcPr>
            <w:tcW w:w="4819" w:type="dxa"/>
          </w:tcPr>
          <w:p w14:paraId="15E1B773" w14:textId="77777777" w:rsidR="0097715F" w:rsidRPr="00115F4D" w:rsidRDefault="0097715F" w:rsidP="00891C31">
            <w:pPr>
              <w:spacing w:before="0" w:after="0"/>
              <w:jc w:val="both"/>
              <w:textAlignment w:val="bottom"/>
              <w:rPr>
                <w:rFonts w:ascii="Arial" w:hAnsi="Arial" w:cs="Arial"/>
                <w:sz w:val="36"/>
                <w:szCs w:val="36"/>
                <w:lang w:eastAsia="es-CO"/>
              </w:rPr>
            </w:pPr>
            <w:r w:rsidRPr="00115F4D">
              <w:rPr>
                <w:rFonts w:ascii="Arial" w:hAnsi="Arial" w:cs="Arial"/>
                <w:color w:val="000000"/>
                <w:kern w:val="24"/>
                <w:sz w:val="20"/>
                <w:szCs w:val="20"/>
                <w:lang w:eastAsia="es-CO"/>
              </w:rPr>
              <w:t xml:space="preserve"> 3. Calidad en la </w:t>
            </w:r>
            <w:r>
              <w:rPr>
                <w:rFonts w:ascii="Arial" w:hAnsi="Arial" w:cs="Arial"/>
                <w:color w:val="000000"/>
                <w:kern w:val="24"/>
                <w:sz w:val="20"/>
                <w:szCs w:val="20"/>
                <w:lang w:eastAsia="es-CO"/>
              </w:rPr>
              <w:t>a</w:t>
            </w:r>
            <w:r w:rsidRPr="00115F4D">
              <w:rPr>
                <w:rFonts w:ascii="Arial" w:hAnsi="Arial" w:cs="Arial"/>
                <w:color w:val="000000"/>
                <w:kern w:val="24"/>
                <w:sz w:val="20"/>
                <w:szCs w:val="20"/>
                <w:lang w:eastAsia="es-CO"/>
              </w:rPr>
              <w:t>tención de llamadas telefónicas</w:t>
            </w:r>
          </w:p>
        </w:tc>
      </w:tr>
      <w:tr w:rsidR="0097715F" w:rsidRPr="00115F4D" w14:paraId="0FD42F2B" w14:textId="77777777" w:rsidTr="0073490C">
        <w:trPr>
          <w:trHeight w:val="20"/>
          <w:jc w:val="center"/>
        </w:trPr>
        <w:tc>
          <w:tcPr>
            <w:tcW w:w="2122" w:type="dxa"/>
            <w:vMerge/>
          </w:tcPr>
          <w:p w14:paraId="4156D633" w14:textId="77777777" w:rsidR="0097715F" w:rsidRPr="00115F4D" w:rsidRDefault="0097715F" w:rsidP="00891C31">
            <w:pPr>
              <w:spacing w:before="0" w:after="0"/>
              <w:jc w:val="both"/>
              <w:rPr>
                <w:rFonts w:ascii="Arial" w:hAnsi="Arial" w:cs="Arial"/>
                <w:sz w:val="36"/>
                <w:szCs w:val="36"/>
                <w:lang w:eastAsia="es-CO"/>
              </w:rPr>
            </w:pPr>
          </w:p>
        </w:tc>
        <w:tc>
          <w:tcPr>
            <w:tcW w:w="4819" w:type="dxa"/>
          </w:tcPr>
          <w:p w14:paraId="3B643F10" w14:textId="77777777" w:rsidR="0097715F" w:rsidRPr="00115F4D" w:rsidRDefault="0097715F" w:rsidP="00891C31">
            <w:pPr>
              <w:spacing w:before="0" w:after="0"/>
              <w:jc w:val="both"/>
              <w:textAlignment w:val="bottom"/>
              <w:rPr>
                <w:rFonts w:ascii="Arial" w:hAnsi="Arial" w:cs="Arial"/>
                <w:color w:val="000000"/>
                <w:kern w:val="24"/>
                <w:sz w:val="20"/>
                <w:szCs w:val="20"/>
                <w:lang w:eastAsia="es-CO"/>
              </w:rPr>
            </w:pPr>
            <w:r w:rsidRPr="00115F4D">
              <w:rPr>
                <w:rFonts w:ascii="Arial" w:hAnsi="Arial" w:cs="Arial"/>
                <w:color w:val="000000"/>
                <w:kern w:val="24"/>
                <w:sz w:val="20"/>
                <w:szCs w:val="20"/>
                <w:lang w:eastAsia="es-CO"/>
              </w:rPr>
              <w:t xml:space="preserve"> </w:t>
            </w:r>
            <w:r>
              <w:rPr>
                <w:rFonts w:ascii="Arial" w:hAnsi="Arial" w:cs="Arial"/>
                <w:color w:val="000000"/>
                <w:kern w:val="24"/>
                <w:sz w:val="20"/>
                <w:szCs w:val="20"/>
                <w:lang w:eastAsia="es-CO"/>
              </w:rPr>
              <w:t>4</w:t>
            </w:r>
            <w:r w:rsidRPr="00115F4D">
              <w:rPr>
                <w:rFonts w:ascii="Arial" w:hAnsi="Arial" w:cs="Arial"/>
                <w:color w:val="000000"/>
                <w:kern w:val="24"/>
                <w:sz w:val="20"/>
                <w:szCs w:val="20"/>
                <w:lang w:eastAsia="es-CO"/>
              </w:rPr>
              <w:t>. Gestión de abandono de llamada</w:t>
            </w:r>
          </w:p>
        </w:tc>
      </w:tr>
      <w:tr w:rsidR="0097715F" w:rsidRPr="00115F4D" w14:paraId="6AD1B2B9" w14:textId="77777777" w:rsidTr="0073490C">
        <w:trPr>
          <w:trHeight w:val="20"/>
          <w:jc w:val="center"/>
        </w:trPr>
        <w:tc>
          <w:tcPr>
            <w:tcW w:w="2122" w:type="dxa"/>
            <w:vMerge/>
            <w:hideMark/>
          </w:tcPr>
          <w:p w14:paraId="5A223CBE" w14:textId="77777777" w:rsidR="0097715F" w:rsidRPr="00115F4D" w:rsidRDefault="0097715F" w:rsidP="00891C31">
            <w:pPr>
              <w:spacing w:before="0" w:after="0"/>
              <w:jc w:val="both"/>
              <w:rPr>
                <w:rFonts w:ascii="Arial" w:hAnsi="Arial" w:cs="Arial"/>
                <w:sz w:val="36"/>
                <w:szCs w:val="36"/>
                <w:lang w:eastAsia="es-CO"/>
              </w:rPr>
            </w:pPr>
          </w:p>
        </w:tc>
        <w:tc>
          <w:tcPr>
            <w:tcW w:w="4819" w:type="dxa"/>
            <w:hideMark/>
          </w:tcPr>
          <w:p w14:paraId="6E8120BC" w14:textId="77777777" w:rsidR="0097715F" w:rsidRPr="00115F4D" w:rsidRDefault="0097715F" w:rsidP="00891C31">
            <w:pPr>
              <w:spacing w:before="0" w:after="0"/>
              <w:jc w:val="both"/>
              <w:textAlignment w:val="bottom"/>
              <w:rPr>
                <w:rFonts w:ascii="Arial" w:hAnsi="Arial" w:cs="Arial"/>
                <w:sz w:val="36"/>
                <w:szCs w:val="36"/>
                <w:lang w:eastAsia="es-CO"/>
              </w:rPr>
            </w:pPr>
            <w:r w:rsidRPr="00115F4D">
              <w:rPr>
                <w:rFonts w:ascii="Arial" w:hAnsi="Arial" w:cs="Arial"/>
                <w:color w:val="000000"/>
                <w:kern w:val="24"/>
                <w:sz w:val="20"/>
                <w:szCs w:val="20"/>
                <w:lang w:eastAsia="es-CO"/>
              </w:rPr>
              <w:t xml:space="preserve"> </w:t>
            </w:r>
            <w:r>
              <w:rPr>
                <w:rFonts w:ascii="Arial" w:hAnsi="Arial" w:cs="Arial"/>
                <w:color w:val="000000"/>
                <w:kern w:val="24"/>
                <w:sz w:val="20"/>
                <w:szCs w:val="20"/>
                <w:lang w:eastAsia="es-CO"/>
              </w:rPr>
              <w:t>5</w:t>
            </w:r>
            <w:r w:rsidRPr="00115F4D">
              <w:rPr>
                <w:rFonts w:ascii="Arial" w:hAnsi="Arial" w:cs="Arial"/>
                <w:color w:val="000000"/>
                <w:kern w:val="24"/>
                <w:sz w:val="20"/>
                <w:szCs w:val="20"/>
                <w:lang w:eastAsia="es-CO"/>
              </w:rPr>
              <w:t>. Respuesta a medios electrónicos</w:t>
            </w:r>
          </w:p>
        </w:tc>
      </w:tr>
      <w:tr w:rsidR="0097715F" w:rsidRPr="00115F4D" w14:paraId="6147BE1C" w14:textId="77777777" w:rsidTr="0073490C">
        <w:trPr>
          <w:trHeight w:val="20"/>
          <w:jc w:val="center"/>
        </w:trPr>
        <w:tc>
          <w:tcPr>
            <w:tcW w:w="2122" w:type="dxa"/>
            <w:hideMark/>
          </w:tcPr>
          <w:p w14:paraId="09C248BD" w14:textId="77777777" w:rsidR="0097715F" w:rsidRPr="00115F4D" w:rsidRDefault="0097715F" w:rsidP="00891C31">
            <w:pPr>
              <w:spacing w:before="0" w:after="0"/>
              <w:jc w:val="both"/>
              <w:textAlignment w:val="center"/>
              <w:rPr>
                <w:rFonts w:ascii="Arial" w:hAnsi="Arial" w:cs="Arial"/>
                <w:sz w:val="36"/>
                <w:szCs w:val="36"/>
                <w:lang w:eastAsia="es-CO"/>
              </w:rPr>
            </w:pPr>
            <w:r w:rsidRPr="00115F4D">
              <w:rPr>
                <w:rFonts w:ascii="Arial" w:hAnsi="Arial" w:cs="Arial"/>
                <w:color w:val="000000"/>
                <w:kern w:val="24"/>
                <w:sz w:val="20"/>
                <w:szCs w:val="20"/>
                <w:lang w:eastAsia="es-CO"/>
              </w:rPr>
              <w:t>Facturación</w:t>
            </w:r>
          </w:p>
        </w:tc>
        <w:tc>
          <w:tcPr>
            <w:tcW w:w="4819" w:type="dxa"/>
            <w:hideMark/>
          </w:tcPr>
          <w:p w14:paraId="7D6D32EE" w14:textId="77777777" w:rsidR="0097715F" w:rsidRPr="00115F4D" w:rsidRDefault="0097715F" w:rsidP="00891C31">
            <w:pPr>
              <w:spacing w:before="0" w:after="0"/>
              <w:jc w:val="both"/>
              <w:textAlignment w:val="bottom"/>
              <w:rPr>
                <w:rFonts w:ascii="Arial" w:hAnsi="Arial" w:cs="Arial"/>
                <w:sz w:val="36"/>
                <w:szCs w:val="36"/>
                <w:lang w:eastAsia="es-CO"/>
              </w:rPr>
            </w:pPr>
            <w:r w:rsidRPr="00115F4D">
              <w:rPr>
                <w:rFonts w:ascii="Arial" w:hAnsi="Arial" w:cs="Arial"/>
                <w:color w:val="000000"/>
                <w:kern w:val="24"/>
                <w:sz w:val="20"/>
                <w:szCs w:val="20"/>
                <w:lang w:eastAsia="es-CO"/>
              </w:rPr>
              <w:t xml:space="preserve"> </w:t>
            </w:r>
            <w:r>
              <w:rPr>
                <w:rFonts w:ascii="Arial" w:hAnsi="Arial" w:cs="Arial"/>
                <w:color w:val="000000"/>
                <w:kern w:val="24"/>
                <w:sz w:val="20"/>
                <w:szCs w:val="20"/>
                <w:lang w:eastAsia="es-CO"/>
              </w:rPr>
              <w:t>6</w:t>
            </w:r>
            <w:r w:rsidRPr="00115F4D">
              <w:rPr>
                <w:rFonts w:ascii="Arial" w:hAnsi="Arial" w:cs="Arial"/>
                <w:color w:val="000000"/>
                <w:kern w:val="24"/>
                <w:sz w:val="20"/>
                <w:szCs w:val="20"/>
                <w:lang w:eastAsia="es-CO"/>
              </w:rPr>
              <w:t>. Calidad de la facturación</w:t>
            </w:r>
          </w:p>
        </w:tc>
      </w:tr>
    </w:tbl>
    <w:p w14:paraId="4DF12F53" w14:textId="77777777" w:rsidR="0097715F" w:rsidRDefault="0097715F" w:rsidP="00891C31">
      <w:pPr>
        <w:pStyle w:val="Prrafodelista"/>
        <w:spacing w:before="0" w:after="0"/>
        <w:jc w:val="both"/>
        <w:rPr>
          <w:rFonts w:ascii="Arial" w:hAnsi="Arial" w:cs="Arial"/>
        </w:rPr>
      </w:pPr>
    </w:p>
    <w:p w14:paraId="2B222C29" w14:textId="77777777" w:rsidR="000D3F19" w:rsidRDefault="00B34486" w:rsidP="00891C31">
      <w:pPr>
        <w:pStyle w:val="Prrafodelista"/>
        <w:spacing w:before="0" w:after="0"/>
        <w:jc w:val="both"/>
        <w:rPr>
          <w:rFonts w:ascii="Arial" w:hAnsi="Arial" w:cs="Arial"/>
        </w:rPr>
      </w:pPr>
      <w:r>
        <w:rPr>
          <w:rFonts w:ascii="Arial" w:hAnsi="Arial" w:cs="Arial"/>
        </w:rPr>
        <w:t>L</w:t>
      </w:r>
      <w:r w:rsidR="00F62B42">
        <w:rPr>
          <w:rFonts w:ascii="Arial" w:hAnsi="Arial" w:cs="Arial"/>
        </w:rPr>
        <w:t>as empresas que desarrollan la actividad de comercialización de energía</w:t>
      </w:r>
      <w:r w:rsidR="008A64E1">
        <w:rPr>
          <w:rFonts w:ascii="Arial" w:hAnsi="Arial" w:cs="Arial"/>
        </w:rPr>
        <w:t xml:space="preserve"> </w:t>
      </w:r>
      <w:r w:rsidR="004A16E0">
        <w:rPr>
          <w:rFonts w:ascii="Arial" w:hAnsi="Arial" w:cs="Arial"/>
        </w:rPr>
        <w:t xml:space="preserve">deben </w:t>
      </w:r>
      <w:r w:rsidR="00B90953">
        <w:rPr>
          <w:rFonts w:ascii="Arial" w:hAnsi="Arial" w:cs="Arial"/>
        </w:rPr>
        <w:t xml:space="preserve">efectuar una </w:t>
      </w:r>
      <w:r w:rsidR="008A64E1">
        <w:rPr>
          <w:rFonts w:ascii="Arial" w:hAnsi="Arial" w:cs="Arial"/>
        </w:rPr>
        <w:t xml:space="preserve">medición </w:t>
      </w:r>
      <w:r w:rsidR="00B90953">
        <w:rPr>
          <w:rFonts w:ascii="Arial" w:hAnsi="Arial" w:cs="Arial"/>
        </w:rPr>
        <w:t xml:space="preserve">mensual </w:t>
      </w:r>
      <w:r w:rsidR="008A64E1">
        <w:rPr>
          <w:rFonts w:ascii="Arial" w:hAnsi="Arial" w:cs="Arial"/>
        </w:rPr>
        <w:t>de l</w:t>
      </w:r>
      <w:r>
        <w:rPr>
          <w:rFonts w:ascii="Arial" w:hAnsi="Arial" w:cs="Arial"/>
        </w:rPr>
        <w:t>os indicadores anteriores</w:t>
      </w:r>
      <w:r w:rsidR="00B90953">
        <w:rPr>
          <w:rFonts w:ascii="Arial" w:hAnsi="Arial" w:cs="Arial"/>
        </w:rPr>
        <w:t>.</w:t>
      </w:r>
    </w:p>
    <w:p w14:paraId="2B483BAF" w14:textId="77777777" w:rsidR="000D3F19" w:rsidRDefault="000D3F19" w:rsidP="00891C31">
      <w:pPr>
        <w:pStyle w:val="Prrafodelista"/>
        <w:spacing w:before="0" w:after="0"/>
        <w:jc w:val="both"/>
        <w:rPr>
          <w:rFonts w:ascii="Arial" w:hAnsi="Arial" w:cs="Arial"/>
        </w:rPr>
      </w:pPr>
    </w:p>
    <w:p w14:paraId="4C7C82E0" w14:textId="3CC5B677" w:rsidR="001C0D69" w:rsidRDefault="00953F72" w:rsidP="00891C31">
      <w:pPr>
        <w:pStyle w:val="Prrafodelista"/>
        <w:spacing w:before="0" w:after="0"/>
        <w:jc w:val="both"/>
        <w:rPr>
          <w:rFonts w:ascii="Arial" w:hAnsi="Arial" w:cs="Arial"/>
        </w:rPr>
      </w:pPr>
      <w:r>
        <w:rPr>
          <w:rFonts w:ascii="Arial" w:hAnsi="Arial" w:cs="Arial"/>
        </w:rPr>
        <w:t>Los resultados de la medición mensual de cada indicador deben ser reportados trimestralmente en el SUI</w:t>
      </w:r>
      <w:r w:rsidR="00302970">
        <w:rPr>
          <w:rFonts w:ascii="Arial" w:hAnsi="Arial" w:cs="Arial"/>
        </w:rPr>
        <w:t xml:space="preserve"> y en la página web de cada comercializador</w:t>
      </w:r>
      <w:r w:rsidR="00794A6F">
        <w:rPr>
          <w:rFonts w:ascii="Arial" w:hAnsi="Arial" w:cs="Arial"/>
        </w:rPr>
        <w:t>, h</w:t>
      </w:r>
      <w:r w:rsidR="00794A6F" w:rsidRPr="00115F4D">
        <w:rPr>
          <w:rFonts w:ascii="Arial" w:hAnsi="Arial" w:cs="Arial"/>
        </w:rPr>
        <w:t>asta 1</w:t>
      </w:r>
      <w:r w:rsidR="00794A6F">
        <w:rPr>
          <w:rFonts w:ascii="Arial" w:hAnsi="Arial" w:cs="Arial"/>
        </w:rPr>
        <w:t>0</w:t>
      </w:r>
      <w:r w:rsidR="00794A6F" w:rsidRPr="00115F4D">
        <w:rPr>
          <w:rFonts w:ascii="Arial" w:hAnsi="Arial" w:cs="Arial"/>
        </w:rPr>
        <w:t xml:space="preserve"> días después de finalizado el trimestre a reportar</w:t>
      </w:r>
      <w:r w:rsidR="00794A6F">
        <w:rPr>
          <w:rFonts w:ascii="Arial" w:hAnsi="Arial" w:cs="Arial"/>
        </w:rPr>
        <w:t>.</w:t>
      </w:r>
    </w:p>
    <w:p w14:paraId="527F4606" w14:textId="77777777" w:rsidR="00B34486" w:rsidRPr="005B5983" w:rsidRDefault="00B34486" w:rsidP="00891C31">
      <w:pPr>
        <w:spacing w:before="0" w:after="0"/>
        <w:jc w:val="both"/>
        <w:rPr>
          <w:rFonts w:ascii="Arial" w:hAnsi="Arial" w:cs="Arial"/>
        </w:rPr>
      </w:pPr>
    </w:p>
    <w:p w14:paraId="57E25A42" w14:textId="25CCC63F" w:rsidR="0097715F" w:rsidRDefault="0088038D" w:rsidP="00891C31">
      <w:pPr>
        <w:pStyle w:val="Prrafodelista"/>
        <w:numPr>
          <w:ilvl w:val="0"/>
          <w:numId w:val="5"/>
        </w:numPr>
        <w:spacing w:before="0" w:after="0"/>
        <w:jc w:val="both"/>
        <w:rPr>
          <w:rFonts w:ascii="Arial" w:hAnsi="Arial" w:cs="Arial"/>
          <w:b/>
          <w:bCs/>
        </w:rPr>
      </w:pPr>
      <w:r w:rsidRPr="0088038D">
        <w:rPr>
          <w:rFonts w:ascii="Arial" w:hAnsi="Arial" w:cs="Arial"/>
          <w:b/>
          <w:bCs/>
        </w:rPr>
        <w:t>Metodología de cálculo de indicadores</w:t>
      </w:r>
    </w:p>
    <w:p w14:paraId="626A4279" w14:textId="77777777" w:rsidR="00CC79B4" w:rsidRDefault="00CC79B4" w:rsidP="00891C31">
      <w:pPr>
        <w:pStyle w:val="Prrafodelista"/>
        <w:spacing w:before="0" w:after="0"/>
        <w:jc w:val="both"/>
        <w:rPr>
          <w:rFonts w:ascii="Arial" w:hAnsi="Arial" w:cs="Arial"/>
        </w:rPr>
      </w:pPr>
    </w:p>
    <w:p w14:paraId="08656066" w14:textId="77777777" w:rsidR="00ED1420" w:rsidRDefault="00587AE8" w:rsidP="00891C31">
      <w:pPr>
        <w:pStyle w:val="Prrafodelista"/>
        <w:spacing w:before="0" w:after="0"/>
        <w:jc w:val="both"/>
        <w:rPr>
          <w:rFonts w:ascii="Arial" w:hAnsi="Arial" w:cs="Arial"/>
        </w:rPr>
      </w:pPr>
      <w:r>
        <w:rPr>
          <w:rFonts w:ascii="Arial" w:hAnsi="Arial" w:cs="Arial"/>
        </w:rPr>
        <w:t xml:space="preserve">Los indicadores de calidad comercial </w:t>
      </w:r>
      <w:r w:rsidR="00EC395A">
        <w:rPr>
          <w:rFonts w:ascii="Arial" w:hAnsi="Arial" w:cs="Arial"/>
        </w:rPr>
        <w:t xml:space="preserve">seguirán la siguiente metodología </w:t>
      </w:r>
      <w:r w:rsidR="00ED1420">
        <w:rPr>
          <w:rFonts w:ascii="Arial" w:hAnsi="Arial" w:cs="Arial"/>
        </w:rPr>
        <w:t>para su cálculo con corte mensual.</w:t>
      </w:r>
    </w:p>
    <w:p w14:paraId="07944270" w14:textId="77777777" w:rsidR="00AF14B8" w:rsidRPr="00ED1420" w:rsidRDefault="00AF14B8" w:rsidP="00891C31">
      <w:pPr>
        <w:spacing w:before="0" w:after="0"/>
        <w:jc w:val="both"/>
        <w:rPr>
          <w:rFonts w:ascii="Arial" w:hAnsi="Arial" w:cs="Arial"/>
        </w:rPr>
      </w:pPr>
    </w:p>
    <w:p w14:paraId="3EFBB05C" w14:textId="13EA6F04" w:rsidR="0088038D" w:rsidRPr="00011917" w:rsidRDefault="0088038D" w:rsidP="00891C31">
      <w:pPr>
        <w:pStyle w:val="Prrafodelista"/>
        <w:spacing w:before="0" w:after="0"/>
        <w:jc w:val="both"/>
        <w:rPr>
          <w:rFonts w:ascii="Arial" w:hAnsi="Arial" w:cs="Arial"/>
          <w:u w:val="single"/>
        </w:rPr>
      </w:pPr>
      <w:r w:rsidRPr="00011917">
        <w:rPr>
          <w:rFonts w:ascii="Arial" w:hAnsi="Arial" w:cs="Arial"/>
          <w:u w:val="single"/>
        </w:rPr>
        <w:t>Indicador 1: Cantidad de quejas por usuario</w:t>
      </w:r>
      <w:r w:rsidR="00011917">
        <w:rPr>
          <w:rFonts w:ascii="Arial" w:hAnsi="Arial" w:cs="Arial"/>
          <w:u w:val="single"/>
        </w:rPr>
        <w:t>.</w:t>
      </w:r>
    </w:p>
    <w:p w14:paraId="67C2FBEF" w14:textId="0612FA85" w:rsidR="007C7287" w:rsidRDefault="007C7287" w:rsidP="00891C31">
      <w:pPr>
        <w:pStyle w:val="Prrafodelista"/>
        <w:spacing w:before="0" w:after="0"/>
        <w:jc w:val="both"/>
        <w:rPr>
          <w:rFonts w:ascii="Arial" w:hAnsi="Arial" w:cs="Arial"/>
        </w:rPr>
      </w:pPr>
      <w:r>
        <w:rPr>
          <w:rFonts w:ascii="Arial" w:hAnsi="Arial" w:cs="Arial"/>
        </w:rPr>
        <w:t>Se calculará como el p</w:t>
      </w:r>
      <w:r w:rsidRPr="007C7287">
        <w:rPr>
          <w:rFonts w:ascii="Arial" w:hAnsi="Arial" w:cs="Arial"/>
        </w:rPr>
        <w:t>orcentaje que corresponde al total de quejas y reclamos</w:t>
      </w:r>
      <w:r>
        <w:rPr>
          <w:rFonts w:ascii="Arial" w:hAnsi="Arial" w:cs="Arial"/>
        </w:rPr>
        <w:t xml:space="preserve"> </w:t>
      </w:r>
      <w:r w:rsidRPr="007C7287">
        <w:rPr>
          <w:rFonts w:ascii="Arial" w:hAnsi="Arial" w:cs="Arial"/>
        </w:rPr>
        <w:t xml:space="preserve">recibidas por el comercializador </w:t>
      </w:r>
      <w:r w:rsidR="00B52520">
        <w:rPr>
          <w:rFonts w:ascii="Arial" w:hAnsi="Arial" w:cs="Arial"/>
        </w:rPr>
        <w:t xml:space="preserve">en cada mes (cada año para el cálculo del factor de calidad), </w:t>
      </w:r>
      <w:r w:rsidRPr="007C7287">
        <w:rPr>
          <w:rFonts w:ascii="Arial" w:hAnsi="Arial" w:cs="Arial"/>
        </w:rPr>
        <w:t>respecto del total de usuarios en cada mercado</w:t>
      </w:r>
      <w:r w:rsidR="00B52520">
        <w:rPr>
          <w:rFonts w:ascii="Arial" w:hAnsi="Arial" w:cs="Arial"/>
        </w:rPr>
        <w:t xml:space="preserve"> para cada mes en cada mes (último mes del año para el cálculo del factor de calidad),</w:t>
      </w:r>
      <w:r w:rsidRPr="007C7287">
        <w:rPr>
          <w:rFonts w:ascii="Arial" w:hAnsi="Arial" w:cs="Arial"/>
        </w:rPr>
        <w:t xml:space="preserve"> en cualquiera de los medios de atención al usuario, discriminando si estas corresponden a peticiones, quejas, </w:t>
      </w:r>
      <w:r w:rsidRPr="007C7287">
        <w:rPr>
          <w:rFonts w:ascii="Arial" w:hAnsi="Arial" w:cs="Arial"/>
        </w:rPr>
        <w:lastRenderedPageBreak/>
        <w:t>reclamos o recursos, para las siguientes tipologías correspondientes a la causal de prestación del servicio:</w:t>
      </w:r>
    </w:p>
    <w:p w14:paraId="47DADEE9" w14:textId="77777777" w:rsidR="00536F95" w:rsidRPr="007C7287" w:rsidRDefault="00536F95" w:rsidP="00891C31">
      <w:pPr>
        <w:pStyle w:val="Prrafodelista"/>
        <w:spacing w:before="0" w:after="0"/>
        <w:jc w:val="both"/>
        <w:rPr>
          <w:rFonts w:ascii="Arial" w:hAnsi="Arial" w:cs="Arial"/>
        </w:rPr>
      </w:pPr>
    </w:p>
    <w:p w14:paraId="3E47F563" w14:textId="77777777" w:rsidR="007C7287" w:rsidRPr="007C7287" w:rsidRDefault="007C7287" w:rsidP="00891C31">
      <w:pPr>
        <w:pStyle w:val="Prrafodelista"/>
        <w:spacing w:before="0" w:after="0"/>
        <w:jc w:val="both"/>
        <w:rPr>
          <w:rFonts w:ascii="Arial" w:hAnsi="Arial" w:cs="Arial"/>
        </w:rPr>
      </w:pPr>
      <w:r w:rsidRPr="007C7287">
        <w:rPr>
          <w:rFonts w:ascii="Arial" w:hAnsi="Arial" w:cs="Arial"/>
        </w:rPr>
        <w:t>-</w:t>
      </w:r>
      <w:r w:rsidRPr="007C7287">
        <w:rPr>
          <w:rFonts w:ascii="Arial" w:hAnsi="Arial" w:cs="Arial"/>
        </w:rPr>
        <w:tab/>
        <w:t>Cambio de medidor o equipo de medida</w:t>
      </w:r>
    </w:p>
    <w:p w14:paraId="699DB094" w14:textId="77777777" w:rsidR="007C7287" w:rsidRPr="007C7287" w:rsidRDefault="007C7287" w:rsidP="00891C31">
      <w:pPr>
        <w:pStyle w:val="Prrafodelista"/>
        <w:spacing w:before="0" w:after="0"/>
        <w:jc w:val="both"/>
        <w:rPr>
          <w:rFonts w:ascii="Arial" w:hAnsi="Arial" w:cs="Arial"/>
        </w:rPr>
      </w:pPr>
      <w:r w:rsidRPr="007C7287">
        <w:rPr>
          <w:rFonts w:ascii="Arial" w:hAnsi="Arial" w:cs="Arial"/>
        </w:rPr>
        <w:t>-</w:t>
      </w:r>
      <w:r w:rsidRPr="007C7287">
        <w:rPr>
          <w:rFonts w:ascii="Arial" w:hAnsi="Arial" w:cs="Arial"/>
        </w:rPr>
        <w:tab/>
        <w:t>Negación de la solicitud de suspensión</w:t>
      </w:r>
    </w:p>
    <w:p w14:paraId="618C00E5" w14:textId="77777777" w:rsidR="007C7287" w:rsidRPr="007C7287" w:rsidRDefault="007C7287" w:rsidP="00891C31">
      <w:pPr>
        <w:pStyle w:val="Prrafodelista"/>
        <w:spacing w:before="0" w:after="0"/>
        <w:jc w:val="both"/>
        <w:rPr>
          <w:rFonts w:ascii="Arial" w:hAnsi="Arial" w:cs="Arial"/>
        </w:rPr>
      </w:pPr>
      <w:r w:rsidRPr="007C7287">
        <w:rPr>
          <w:rFonts w:ascii="Arial" w:hAnsi="Arial" w:cs="Arial"/>
        </w:rPr>
        <w:t>-</w:t>
      </w:r>
      <w:r w:rsidRPr="007C7287">
        <w:rPr>
          <w:rFonts w:ascii="Arial" w:hAnsi="Arial" w:cs="Arial"/>
        </w:rPr>
        <w:tab/>
        <w:t>Quejas Administrativas</w:t>
      </w:r>
    </w:p>
    <w:p w14:paraId="530B36F1" w14:textId="77777777" w:rsidR="007C7287" w:rsidRPr="007C7287" w:rsidRDefault="007C7287" w:rsidP="00891C31">
      <w:pPr>
        <w:pStyle w:val="Prrafodelista"/>
        <w:spacing w:before="0" w:after="0"/>
        <w:jc w:val="both"/>
        <w:rPr>
          <w:rFonts w:ascii="Arial" w:hAnsi="Arial" w:cs="Arial"/>
        </w:rPr>
      </w:pPr>
      <w:r w:rsidRPr="007C7287">
        <w:rPr>
          <w:rFonts w:ascii="Arial" w:hAnsi="Arial" w:cs="Arial"/>
        </w:rPr>
        <w:t>-</w:t>
      </w:r>
      <w:r w:rsidRPr="007C7287">
        <w:rPr>
          <w:rFonts w:ascii="Arial" w:hAnsi="Arial" w:cs="Arial"/>
        </w:rPr>
        <w:tab/>
        <w:t>Suspensión o corte del servicio</w:t>
      </w:r>
    </w:p>
    <w:p w14:paraId="2F684D6A" w14:textId="77777777" w:rsidR="007C7287" w:rsidRDefault="007C7287" w:rsidP="00891C31">
      <w:pPr>
        <w:pStyle w:val="Prrafodelista"/>
        <w:spacing w:before="0" w:after="0"/>
        <w:jc w:val="both"/>
        <w:rPr>
          <w:rFonts w:ascii="Arial" w:hAnsi="Arial" w:cs="Arial"/>
        </w:rPr>
      </w:pPr>
      <w:r w:rsidRPr="007C7287">
        <w:rPr>
          <w:rFonts w:ascii="Arial" w:hAnsi="Arial" w:cs="Arial"/>
        </w:rPr>
        <w:t>-</w:t>
      </w:r>
      <w:r w:rsidRPr="007C7287">
        <w:rPr>
          <w:rFonts w:ascii="Arial" w:hAnsi="Arial" w:cs="Arial"/>
        </w:rPr>
        <w:tab/>
        <w:t>Terminación del contrato</w:t>
      </w:r>
    </w:p>
    <w:p w14:paraId="7B49F11B" w14:textId="77777777" w:rsidR="0088038D" w:rsidRPr="0088038D" w:rsidRDefault="0088038D" w:rsidP="00891C31">
      <w:pPr>
        <w:pStyle w:val="Prrafodelista"/>
        <w:spacing w:before="0" w:after="0"/>
        <w:jc w:val="both"/>
        <w:rPr>
          <w:rFonts w:ascii="Arial" w:hAnsi="Arial" w:cs="Arial"/>
        </w:rPr>
      </w:pPr>
    </w:p>
    <w:p w14:paraId="5EB38D65" w14:textId="23B198BD" w:rsidR="0088038D" w:rsidRPr="00011917" w:rsidRDefault="0088038D" w:rsidP="00891C31">
      <w:pPr>
        <w:pStyle w:val="Prrafodelista"/>
        <w:spacing w:before="0" w:after="0"/>
        <w:jc w:val="both"/>
        <w:rPr>
          <w:rFonts w:ascii="Arial" w:hAnsi="Arial" w:cs="Arial"/>
          <w:u w:val="single"/>
        </w:rPr>
      </w:pPr>
      <w:r w:rsidRPr="00011917">
        <w:rPr>
          <w:rFonts w:ascii="Arial" w:hAnsi="Arial" w:cs="Arial"/>
          <w:u w:val="single"/>
        </w:rPr>
        <w:t>Indicador 2: Calidad en la respuesta a quejas y reclamos</w:t>
      </w:r>
      <w:r w:rsidR="00011917" w:rsidRPr="00011917">
        <w:rPr>
          <w:rFonts w:ascii="Arial" w:hAnsi="Arial" w:cs="Arial"/>
          <w:u w:val="single"/>
        </w:rPr>
        <w:t>.</w:t>
      </w:r>
    </w:p>
    <w:p w14:paraId="29444DCF" w14:textId="684FADAF" w:rsidR="0088038D" w:rsidRPr="0088038D" w:rsidRDefault="00641106" w:rsidP="00891C31">
      <w:pPr>
        <w:pStyle w:val="Prrafodelista"/>
        <w:spacing w:before="0" w:after="0"/>
        <w:jc w:val="both"/>
        <w:rPr>
          <w:rFonts w:ascii="Arial" w:hAnsi="Arial" w:cs="Arial"/>
        </w:rPr>
      </w:pPr>
      <w:r w:rsidRPr="00641106">
        <w:rPr>
          <w:rFonts w:ascii="Arial" w:hAnsi="Arial" w:cs="Arial"/>
        </w:rPr>
        <w:t xml:space="preserve">Corresponde al </w:t>
      </w:r>
      <w:r w:rsidR="008A0F20">
        <w:rPr>
          <w:rFonts w:ascii="Arial" w:hAnsi="Arial" w:cs="Arial"/>
        </w:rPr>
        <w:t xml:space="preserve">porcentaje resultante de dividir el </w:t>
      </w:r>
      <w:r w:rsidRPr="00641106">
        <w:rPr>
          <w:rFonts w:ascii="Arial" w:hAnsi="Arial" w:cs="Arial"/>
        </w:rPr>
        <w:t xml:space="preserve">número de quejas y reclamos que llegaron a la instancia de apelación ante la SSPD y que su decisión final fue favorable a las pretensiones del usuario, </w:t>
      </w:r>
      <w:r w:rsidR="00712362">
        <w:rPr>
          <w:rFonts w:ascii="Arial" w:hAnsi="Arial" w:cs="Arial"/>
        </w:rPr>
        <w:t xml:space="preserve">en cada </w:t>
      </w:r>
      <w:r w:rsidR="00EF1EA2">
        <w:rPr>
          <w:rFonts w:ascii="Arial" w:hAnsi="Arial" w:cs="Arial"/>
        </w:rPr>
        <w:t>mercado</w:t>
      </w:r>
      <w:r w:rsidR="0092716C">
        <w:rPr>
          <w:rFonts w:ascii="Arial" w:hAnsi="Arial" w:cs="Arial"/>
        </w:rPr>
        <w:t xml:space="preserve">, </w:t>
      </w:r>
      <w:r w:rsidR="00B95101">
        <w:rPr>
          <w:rFonts w:ascii="Arial" w:hAnsi="Arial" w:cs="Arial"/>
        </w:rPr>
        <w:t xml:space="preserve">para </w:t>
      </w:r>
      <w:r w:rsidR="0092716C">
        <w:rPr>
          <w:rFonts w:ascii="Arial" w:hAnsi="Arial" w:cs="Arial"/>
        </w:rPr>
        <w:t>cada mes</w:t>
      </w:r>
      <w:r w:rsidR="00712362">
        <w:rPr>
          <w:rFonts w:ascii="Arial" w:hAnsi="Arial" w:cs="Arial"/>
        </w:rPr>
        <w:t xml:space="preserve"> (cada año para el cálculo del factor de calidad), </w:t>
      </w:r>
      <w:r w:rsidRPr="00641106">
        <w:rPr>
          <w:rFonts w:ascii="Arial" w:hAnsi="Arial" w:cs="Arial"/>
        </w:rPr>
        <w:t>respecto del total de quejas y reclamos que llegaron a esta instancia</w:t>
      </w:r>
      <w:r w:rsidR="00712362">
        <w:rPr>
          <w:rFonts w:ascii="Arial" w:hAnsi="Arial" w:cs="Arial"/>
        </w:rPr>
        <w:t xml:space="preserve"> en cada </w:t>
      </w:r>
      <w:r w:rsidR="0092716C">
        <w:rPr>
          <w:rFonts w:ascii="Arial" w:hAnsi="Arial" w:cs="Arial"/>
        </w:rPr>
        <w:t xml:space="preserve">mercado, cada </w:t>
      </w:r>
      <w:r w:rsidR="00712362">
        <w:rPr>
          <w:rFonts w:ascii="Arial" w:hAnsi="Arial" w:cs="Arial"/>
        </w:rPr>
        <w:t>mes (cada año para el cálculo del factor de calidad)</w:t>
      </w:r>
      <w:r w:rsidRPr="00641106">
        <w:rPr>
          <w:rFonts w:ascii="Arial" w:hAnsi="Arial" w:cs="Arial"/>
        </w:rPr>
        <w:t>.</w:t>
      </w:r>
    </w:p>
    <w:p w14:paraId="3C69CA2D" w14:textId="77777777" w:rsidR="0088038D" w:rsidRPr="0088038D" w:rsidRDefault="0088038D" w:rsidP="00891C31">
      <w:pPr>
        <w:pStyle w:val="Prrafodelista"/>
        <w:spacing w:before="0" w:after="0"/>
        <w:jc w:val="both"/>
        <w:rPr>
          <w:rFonts w:ascii="Arial" w:hAnsi="Arial" w:cs="Arial"/>
        </w:rPr>
      </w:pPr>
    </w:p>
    <w:p w14:paraId="417E013B" w14:textId="6F3D4B8C" w:rsidR="0088038D" w:rsidRPr="00011917" w:rsidRDefault="0088038D" w:rsidP="00891C31">
      <w:pPr>
        <w:pStyle w:val="Prrafodelista"/>
        <w:spacing w:before="0" w:after="0"/>
        <w:jc w:val="both"/>
        <w:rPr>
          <w:rFonts w:ascii="Arial" w:hAnsi="Arial" w:cs="Arial"/>
          <w:u w:val="single"/>
        </w:rPr>
      </w:pPr>
      <w:r w:rsidRPr="00011917">
        <w:rPr>
          <w:rFonts w:ascii="Arial" w:hAnsi="Arial" w:cs="Arial"/>
          <w:u w:val="single"/>
        </w:rPr>
        <w:t>Indicador 3: Calidad en la atención de llamadas telefónicas</w:t>
      </w:r>
      <w:r w:rsidR="00011917" w:rsidRPr="00011917">
        <w:rPr>
          <w:rFonts w:ascii="Arial" w:hAnsi="Arial" w:cs="Arial"/>
          <w:u w:val="single"/>
        </w:rPr>
        <w:t>.</w:t>
      </w:r>
    </w:p>
    <w:p w14:paraId="2DC96783" w14:textId="72EBF542" w:rsidR="00AB43F7" w:rsidRDefault="00AB43F7" w:rsidP="00891C31">
      <w:pPr>
        <w:pStyle w:val="Prrafodelista"/>
        <w:spacing w:before="0" w:after="0"/>
        <w:jc w:val="both"/>
        <w:rPr>
          <w:rFonts w:ascii="Arial" w:hAnsi="Arial" w:cs="Arial"/>
        </w:rPr>
      </w:pPr>
      <w:r w:rsidRPr="00AB43F7">
        <w:rPr>
          <w:rFonts w:ascii="Arial" w:hAnsi="Arial" w:cs="Arial"/>
        </w:rPr>
        <w:t xml:space="preserve">Corresponde </w:t>
      </w:r>
      <w:r w:rsidR="008A0F20" w:rsidRPr="00641106">
        <w:rPr>
          <w:rFonts w:ascii="Arial" w:hAnsi="Arial" w:cs="Arial"/>
        </w:rPr>
        <w:t xml:space="preserve">al </w:t>
      </w:r>
      <w:r w:rsidR="008A0F20">
        <w:rPr>
          <w:rFonts w:ascii="Arial" w:hAnsi="Arial" w:cs="Arial"/>
        </w:rPr>
        <w:t xml:space="preserve">porcentaje resultante de dividir el </w:t>
      </w:r>
      <w:r w:rsidRPr="00AB43F7">
        <w:rPr>
          <w:rFonts w:ascii="Arial" w:hAnsi="Arial" w:cs="Arial"/>
        </w:rPr>
        <w:t>número de llamadas contestadas dentro del tiempo establecido</w:t>
      </w:r>
      <w:r w:rsidR="001778C7">
        <w:rPr>
          <w:rFonts w:ascii="Arial" w:hAnsi="Arial" w:cs="Arial"/>
        </w:rPr>
        <w:t xml:space="preserve"> en cada </w:t>
      </w:r>
      <w:r w:rsidR="00B95101">
        <w:rPr>
          <w:rFonts w:ascii="Arial" w:hAnsi="Arial" w:cs="Arial"/>
        </w:rPr>
        <w:t xml:space="preserve">mercado, para cada </w:t>
      </w:r>
      <w:r w:rsidR="001778C7">
        <w:rPr>
          <w:rFonts w:ascii="Arial" w:hAnsi="Arial" w:cs="Arial"/>
        </w:rPr>
        <w:t>mes (cada año para el cálculo del factor de calidad)</w:t>
      </w:r>
      <w:r w:rsidRPr="00AB43F7">
        <w:rPr>
          <w:rFonts w:ascii="Arial" w:hAnsi="Arial" w:cs="Arial"/>
        </w:rPr>
        <w:t>, respecto del total de llamadas recibidas por el comercializador</w:t>
      </w:r>
      <w:r w:rsidR="001778C7">
        <w:rPr>
          <w:rFonts w:ascii="Arial" w:hAnsi="Arial" w:cs="Arial"/>
        </w:rPr>
        <w:t xml:space="preserve"> en cada </w:t>
      </w:r>
      <w:r w:rsidR="00B95101">
        <w:rPr>
          <w:rFonts w:ascii="Arial" w:hAnsi="Arial" w:cs="Arial"/>
        </w:rPr>
        <w:t xml:space="preserve">mercado, para cada </w:t>
      </w:r>
      <w:r w:rsidR="001778C7">
        <w:rPr>
          <w:rFonts w:ascii="Arial" w:hAnsi="Arial" w:cs="Arial"/>
        </w:rPr>
        <w:t>mes (cada año para el cálculo del factor de calidad)</w:t>
      </w:r>
      <w:r w:rsidRPr="00AB43F7">
        <w:rPr>
          <w:rFonts w:ascii="Arial" w:hAnsi="Arial" w:cs="Arial"/>
        </w:rPr>
        <w:t>.</w:t>
      </w:r>
      <w:r w:rsidR="00AF726F">
        <w:rPr>
          <w:rFonts w:ascii="Arial" w:hAnsi="Arial" w:cs="Arial"/>
        </w:rPr>
        <w:t xml:space="preserve"> El tiempo establecido será el siguiente:</w:t>
      </w:r>
    </w:p>
    <w:p w14:paraId="21C6B075" w14:textId="77777777" w:rsidR="00AB43F7" w:rsidRPr="00AB43F7" w:rsidRDefault="00AB43F7" w:rsidP="00891C31">
      <w:pPr>
        <w:pStyle w:val="Prrafodelista"/>
        <w:spacing w:before="0" w:after="0"/>
        <w:jc w:val="both"/>
        <w:rPr>
          <w:rFonts w:ascii="Arial" w:hAnsi="Arial" w:cs="Arial"/>
        </w:rPr>
      </w:pPr>
    </w:p>
    <w:p w14:paraId="2294D2E0" w14:textId="77777777" w:rsidR="00AB43F7" w:rsidRPr="00AB43F7" w:rsidRDefault="00AB43F7" w:rsidP="00891C31">
      <w:pPr>
        <w:pStyle w:val="Prrafodelista"/>
        <w:spacing w:before="0" w:after="0"/>
        <w:jc w:val="both"/>
        <w:rPr>
          <w:rFonts w:ascii="Arial" w:hAnsi="Arial" w:cs="Arial"/>
        </w:rPr>
      </w:pPr>
      <w:r w:rsidRPr="00AB43F7">
        <w:rPr>
          <w:rFonts w:ascii="Arial" w:hAnsi="Arial" w:cs="Arial"/>
        </w:rPr>
        <w:t>-</w:t>
      </w:r>
      <w:r w:rsidRPr="00AB43F7">
        <w:rPr>
          <w:rFonts w:ascii="Arial" w:hAnsi="Arial" w:cs="Arial"/>
        </w:rPr>
        <w:tab/>
        <w:t>Tiempo de atención para llamada atendida por contestador o mecanismo automatizado: 20 segundos.</w:t>
      </w:r>
    </w:p>
    <w:p w14:paraId="5B1E4E48" w14:textId="426A9D63" w:rsidR="0088038D" w:rsidRDefault="00AB43F7" w:rsidP="00891C31">
      <w:pPr>
        <w:pStyle w:val="Prrafodelista"/>
        <w:spacing w:before="0" w:after="0"/>
        <w:jc w:val="both"/>
        <w:rPr>
          <w:rFonts w:ascii="Arial" w:hAnsi="Arial" w:cs="Arial"/>
        </w:rPr>
      </w:pPr>
      <w:r w:rsidRPr="00AB43F7">
        <w:rPr>
          <w:rFonts w:ascii="Arial" w:hAnsi="Arial" w:cs="Arial"/>
        </w:rPr>
        <w:t>-</w:t>
      </w:r>
      <w:r w:rsidRPr="00AB43F7">
        <w:rPr>
          <w:rFonts w:ascii="Arial" w:hAnsi="Arial" w:cs="Arial"/>
        </w:rPr>
        <w:tab/>
        <w:t>Tiempo de atención para llamada atendida por operador: 30 segundos.</w:t>
      </w:r>
    </w:p>
    <w:p w14:paraId="7147B97F" w14:textId="77777777" w:rsidR="00AB43F7" w:rsidRPr="0088038D" w:rsidRDefault="00AB43F7" w:rsidP="00891C31">
      <w:pPr>
        <w:pStyle w:val="Prrafodelista"/>
        <w:spacing w:before="0" w:after="0"/>
        <w:jc w:val="both"/>
        <w:rPr>
          <w:rFonts w:ascii="Arial" w:hAnsi="Arial" w:cs="Arial"/>
        </w:rPr>
      </w:pPr>
    </w:p>
    <w:p w14:paraId="34AE1199" w14:textId="4CD43E71" w:rsidR="0088038D" w:rsidRPr="00753717" w:rsidRDefault="0088038D" w:rsidP="00891C31">
      <w:pPr>
        <w:pStyle w:val="Prrafodelista"/>
        <w:spacing w:before="0" w:after="0"/>
        <w:jc w:val="both"/>
        <w:rPr>
          <w:rFonts w:ascii="Arial" w:hAnsi="Arial" w:cs="Arial"/>
          <w:u w:val="single"/>
        </w:rPr>
      </w:pPr>
      <w:r w:rsidRPr="00753717">
        <w:rPr>
          <w:rFonts w:ascii="Arial" w:hAnsi="Arial" w:cs="Arial"/>
          <w:u w:val="single"/>
        </w:rPr>
        <w:t>Indicador 4: Gestión de abandono de llamada</w:t>
      </w:r>
    </w:p>
    <w:p w14:paraId="54E464A6" w14:textId="44609F8A" w:rsidR="0088038D" w:rsidRDefault="00656992" w:rsidP="00891C31">
      <w:pPr>
        <w:pStyle w:val="Prrafodelista"/>
        <w:spacing w:before="0" w:after="0"/>
        <w:jc w:val="both"/>
        <w:rPr>
          <w:rFonts w:ascii="Arial" w:hAnsi="Arial" w:cs="Arial"/>
        </w:rPr>
      </w:pPr>
      <w:r w:rsidRPr="00656992">
        <w:rPr>
          <w:rFonts w:ascii="Arial" w:hAnsi="Arial" w:cs="Arial"/>
        </w:rPr>
        <w:t xml:space="preserve">Corresponde al </w:t>
      </w:r>
      <w:r w:rsidR="008A0F20">
        <w:rPr>
          <w:rFonts w:ascii="Arial" w:hAnsi="Arial" w:cs="Arial"/>
        </w:rPr>
        <w:t xml:space="preserve">porcentaje resultante de dividir el </w:t>
      </w:r>
      <w:r w:rsidRPr="00656992">
        <w:rPr>
          <w:rFonts w:ascii="Arial" w:hAnsi="Arial" w:cs="Arial"/>
        </w:rPr>
        <w:t>número de llamadas abandonadas</w:t>
      </w:r>
      <w:r w:rsidR="008A0F20">
        <w:rPr>
          <w:rFonts w:ascii="Arial" w:hAnsi="Arial" w:cs="Arial"/>
        </w:rPr>
        <w:t>,</w:t>
      </w:r>
      <w:r w:rsidRPr="00656992">
        <w:rPr>
          <w:rFonts w:ascii="Arial" w:hAnsi="Arial" w:cs="Arial"/>
        </w:rPr>
        <w:t xml:space="preserve"> que fueron devueltas </w:t>
      </w:r>
      <w:r w:rsidR="008A0F20">
        <w:rPr>
          <w:rFonts w:ascii="Arial" w:hAnsi="Arial" w:cs="Arial"/>
        </w:rPr>
        <w:t xml:space="preserve">por el comercializador en cada </w:t>
      </w:r>
      <w:r w:rsidR="00EE0F4D">
        <w:rPr>
          <w:rFonts w:ascii="Arial" w:hAnsi="Arial" w:cs="Arial"/>
        </w:rPr>
        <w:t xml:space="preserve">mercado, para cada </w:t>
      </w:r>
      <w:r w:rsidR="008A0F20">
        <w:rPr>
          <w:rFonts w:ascii="Arial" w:hAnsi="Arial" w:cs="Arial"/>
        </w:rPr>
        <w:t xml:space="preserve">mes (cada año para el cálculo del factor de calidad), </w:t>
      </w:r>
      <w:r w:rsidRPr="00656992">
        <w:rPr>
          <w:rFonts w:ascii="Arial" w:hAnsi="Arial" w:cs="Arial"/>
        </w:rPr>
        <w:t>respecto del total de llamadas recibidas por el comercializador</w:t>
      </w:r>
      <w:r w:rsidR="008A0F20">
        <w:rPr>
          <w:rFonts w:ascii="Arial" w:hAnsi="Arial" w:cs="Arial"/>
        </w:rPr>
        <w:t xml:space="preserve"> en cada </w:t>
      </w:r>
      <w:r w:rsidR="00EE0F4D">
        <w:rPr>
          <w:rFonts w:ascii="Arial" w:hAnsi="Arial" w:cs="Arial"/>
        </w:rPr>
        <w:t xml:space="preserve">mercado, para cada </w:t>
      </w:r>
      <w:r w:rsidR="008A0F20">
        <w:rPr>
          <w:rFonts w:ascii="Arial" w:hAnsi="Arial" w:cs="Arial"/>
        </w:rPr>
        <w:t>mes (cada año para el cálculo del factor de calidad)</w:t>
      </w:r>
      <w:r w:rsidRPr="00656992">
        <w:rPr>
          <w:rFonts w:ascii="Arial" w:hAnsi="Arial" w:cs="Arial"/>
        </w:rPr>
        <w:t>.</w:t>
      </w:r>
    </w:p>
    <w:p w14:paraId="21C09ED0" w14:textId="77777777" w:rsidR="00656992" w:rsidRPr="0088038D" w:rsidRDefault="00656992" w:rsidP="00891C31">
      <w:pPr>
        <w:pStyle w:val="Prrafodelista"/>
        <w:spacing w:before="0" w:after="0"/>
        <w:jc w:val="both"/>
        <w:rPr>
          <w:rFonts w:ascii="Arial" w:hAnsi="Arial" w:cs="Arial"/>
        </w:rPr>
      </w:pPr>
    </w:p>
    <w:p w14:paraId="58F60573" w14:textId="29883691" w:rsidR="0088038D" w:rsidRPr="00753717" w:rsidRDefault="0088038D" w:rsidP="00891C31">
      <w:pPr>
        <w:pStyle w:val="Prrafodelista"/>
        <w:spacing w:before="0" w:after="0"/>
        <w:jc w:val="both"/>
        <w:rPr>
          <w:rFonts w:ascii="Arial" w:hAnsi="Arial" w:cs="Arial"/>
          <w:u w:val="single"/>
        </w:rPr>
      </w:pPr>
      <w:r w:rsidRPr="00753717">
        <w:rPr>
          <w:rFonts w:ascii="Arial" w:hAnsi="Arial" w:cs="Arial"/>
          <w:u w:val="single"/>
        </w:rPr>
        <w:t>Indicador 5: Respuesta a medios electrónicos</w:t>
      </w:r>
    </w:p>
    <w:p w14:paraId="78BA0C11" w14:textId="07D5C2A7" w:rsidR="000B111A" w:rsidRDefault="000B111A" w:rsidP="00891C31">
      <w:pPr>
        <w:pStyle w:val="Prrafodelista"/>
        <w:spacing w:before="0" w:after="0"/>
        <w:jc w:val="both"/>
        <w:rPr>
          <w:rFonts w:ascii="Arial" w:hAnsi="Arial" w:cs="Arial"/>
        </w:rPr>
      </w:pPr>
      <w:r w:rsidRPr="000B111A">
        <w:rPr>
          <w:rFonts w:ascii="Arial" w:hAnsi="Arial" w:cs="Arial"/>
        </w:rPr>
        <w:t>Corresponde al tiempo promedio que tarda el comercializador en dar respuesta a reclamaciones realizadas por los usuarios en medios digitales</w:t>
      </w:r>
      <w:r w:rsidR="00DB4E68">
        <w:rPr>
          <w:rFonts w:ascii="Arial" w:hAnsi="Arial" w:cs="Arial"/>
        </w:rPr>
        <w:t xml:space="preserve"> </w:t>
      </w:r>
      <w:r w:rsidR="003C10E7">
        <w:rPr>
          <w:rFonts w:ascii="Arial" w:hAnsi="Arial" w:cs="Arial"/>
        </w:rPr>
        <w:t xml:space="preserve">en cada </w:t>
      </w:r>
      <w:r w:rsidR="00E432A2">
        <w:rPr>
          <w:rFonts w:ascii="Arial" w:hAnsi="Arial" w:cs="Arial"/>
        </w:rPr>
        <w:t xml:space="preserve">mercado, para cada </w:t>
      </w:r>
      <w:r w:rsidR="003C10E7">
        <w:rPr>
          <w:rFonts w:ascii="Arial" w:hAnsi="Arial" w:cs="Arial"/>
        </w:rPr>
        <w:t>mes (cada año para el cálculo del factor de calidad</w:t>
      </w:r>
      <w:r w:rsidR="00DB4E68">
        <w:rPr>
          <w:rFonts w:ascii="Arial" w:hAnsi="Arial" w:cs="Arial"/>
        </w:rPr>
        <w:t>)</w:t>
      </w:r>
      <w:r w:rsidRPr="000B111A">
        <w:rPr>
          <w:rFonts w:ascii="Arial" w:hAnsi="Arial" w:cs="Arial"/>
        </w:rPr>
        <w:t>. Este indicador debe tener en cuenta la siguiente desagregación por medio de atención:</w:t>
      </w:r>
    </w:p>
    <w:p w14:paraId="7A1FE315" w14:textId="77777777" w:rsidR="00141204" w:rsidRPr="000B111A" w:rsidRDefault="00141204" w:rsidP="00891C31">
      <w:pPr>
        <w:pStyle w:val="Prrafodelista"/>
        <w:spacing w:before="0" w:after="0"/>
        <w:jc w:val="both"/>
        <w:rPr>
          <w:rFonts w:ascii="Arial" w:hAnsi="Arial" w:cs="Arial"/>
        </w:rPr>
      </w:pPr>
    </w:p>
    <w:p w14:paraId="146DF139" w14:textId="77777777" w:rsidR="000B111A" w:rsidRPr="000B111A" w:rsidRDefault="000B111A" w:rsidP="00891C31">
      <w:pPr>
        <w:pStyle w:val="Prrafodelista"/>
        <w:spacing w:before="0" w:after="0"/>
        <w:jc w:val="both"/>
        <w:rPr>
          <w:rFonts w:ascii="Arial" w:hAnsi="Arial" w:cs="Arial"/>
        </w:rPr>
      </w:pPr>
      <w:r w:rsidRPr="000B111A">
        <w:rPr>
          <w:rFonts w:ascii="Arial" w:hAnsi="Arial" w:cs="Arial"/>
        </w:rPr>
        <w:t>-</w:t>
      </w:r>
      <w:r w:rsidRPr="000B111A">
        <w:rPr>
          <w:rFonts w:ascii="Arial" w:hAnsi="Arial" w:cs="Arial"/>
        </w:rPr>
        <w:tab/>
        <w:t>Correo electrónico</w:t>
      </w:r>
    </w:p>
    <w:p w14:paraId="58CBD3B9" w14:textId="77777777" w:rsidR="000B111A" w:rsidRPr="000B111A" w:rsidRDefault="000B111A" w:rsidP="00891C31">
      <w:pPr>
        <w:pStyle w:val="Prrafodelista"/>
        <w:spacing w:before="0" w:after="0"/>
        <w:jc w:val="both"/>
        <w:rPr>
          <w:rFonts w:ascii="Arial" w:hAnsi="Arial" w:cs="Arial"/>
        </w:rPr>
      </w:pPr>
      <w:r w:rsidRPr="000B111A">
        <w:rPr>
          <w:rFonts w:ascii="Arial" w:hAnsi="Arial" w:cs="Arial"/>
        </w:rPr>
        <w:t>-</w:t>
      </w:r>
      <w:r w:rsidRPr="000B111A">
        <w:rPr>
          <w:rFonts w:ascii="Arial" w:hAnsi="Arial" w:cs="Arial"/>
        </w:rPr>
        <w:tab/>
        <w:t>Redes sociales</w:t>
      </w:r>
    </w:p>
    <w:p w14:paraId="2629FD9C" w14:textId="1E864D01" w:rsidR="0088038D" w:rsidRDefault="000B111A" w:rsidP="00891C31">
      <w:pPr>
        <w:pStyle w:val="Prrafodelista"/>
        <w:spacing w:before="0" w:after="0"/>
        <w:jc w:val="both"/>
        <w:rPr>
          <w:rFonts w:ascii="Arial" w:hAnsi="Arial" w:cs="Arial"/>
        </w:rPr>
      </w:pPr>
      <w:r w:rsidRPr="000B111A">
        <w:rPr>
          <w:rFonts w:ascii="Arial" w:hAnsi="Arial" w:cs="Arial"/>
        </w:rPr>
        <w:t>-</w:t>
      </w:r>
      <w:r w:rsidRPr="000B111A">
        <w:rPr>
          <w:rFonts w:ascii="Arial" w:hAnsi="Arial" w:cs="Arial"/>
        </w:rPr>
        <w:tab/>
        <w:t>Otro, distinto a llamada telefónica</w:t>
      </w:r>
    </w:p>
    <w:p w14:paraId="24CA20B2" w14:textId="77777777" w:rsidR="000B111A" w:rsidRPr="0088038D" w:rsidRDefault="000B111A" w:rsidP="00891C31">
      <w:pPr>
        <w:pStyle w:val="Prrafodelista"/>
        <w:spacing w:before="0" w:after="0"/>
        <w:jc w:val="both"/>
        <w:rPr>
          <w:rFonts w:ascii="Arial" w:hAnsi="Arial" w:cs="Arial"/>
        </w:rPr>
      </w:pPr>
    </w:p>
    <w:p w14:paraId="33F312E1" w14:textId="0D3C91DB" w:rsidR="0088038D" w:rsidRPr="00753717" w:rsidRDefault="0088038D" w:rsidP="00891C31">
      <w:pPr>
        <w:pStyle w:val="Prrafodelista"/>
        <w:spacing w:before="0" w:after="0"/>
        <w:jc w:val="both"/>
        <w:rPr>
          <w:rFonts w:ascii="Arial" w:hAnsi="Arial" w:cs="Arial"/>
          <w:u w:val="single"/>
        </w:rPr>
      </w:pPr>
      <w:r w:rsidRPr="00753717">
        <w:rPr>
          <w:rFonts w:ascii="Arial" w:hAnsi="Arial" w:cs="Arial"/>
          <w:u w:val="single"/>
        </w:rPr>
        <w:t>Indicador 6: Calidad de la facturación</w:t>
      </w:r>
    </w:p>
    <w:p w14:paraId="4E08DF67" w14:textId="14BEA02E" w:rsidR="00483CD9" w:rsidRDefault="00B61167" w:rsidP="00891C31">
      <w:pPr>
        <w:pStyle w:val="Prrafodelista"/>
        <w:spacing w:before="0" w:after="0"/>
        <w:jc w:val="both"/>
        <w:rPr>
          <w:rFonts w:ascii="Arial" w:hAnsi="Arial" w:cs="Arial"/>
        </w:rPr>
      </w:pPr>
      <w:r w:rsidRPr="00B61167">
        <w:rPr>
          <w:rFonts w:ascii="Arial" w:hAnsi="Arial" w:cs="Arial"/>
        </w:rPr>
        <w:t xml:space="preserve">Corresponde al </w:t>
      </w:r>
      <w:r w:rsidR="00C73063">
        <w:rPr>
          <w:rFonts w:ascii="Arial" w:hAnsi="Arial" w:cs="Arial"/>
        </w:rPr>
        <w:t xml:space="preserve">porcentaje resultante de dividir el </w:t>
      </w:r>
      <w:r w:rsidR="00C73063" w:rsidRPr="00656992">
        <w:rPr>
          <w:rFonts w:ascii="Arial" w:hAnsi="Arial" w:cs="Arial"/>
        </w:rPr>
        <w:t xml:space="preserve">número </w:t>
      </w:r>
      <w:r w:rsidRPr="00B61167">
        <w:rPr>
          <w:rFonts w:ascii="Arial" w:hAnsi="Arial" w:cs="Arial"/>
        </w:rPr>
        <w:t>de quejas y reclamos por concepto de facturación</w:t>
      </w:r>
      <w:r w:rsidR="00C73063">
        <w:rPr>
          <w:rFonts w:ascii="Arial" w:hAnsi="Arial" w:cs="Arial"/>
        </w:rPr>
        <w:t>,</w:t>
      </w:r>
      <w:r w:rsidRPr="00B61167">
        <w:rPr>
          <w:rFonts w:ascii="Arial" w:hAnsi="Arial" w:cs="Arial"/>
        </w:rPr>
        <w:t xml:space="preserve"> resueltos a favor del usuario</w:t>
      </w:r>
      <w:r w:rsidR="00C73063">
        <w:rPr>
          <w:rFonts w:ascii="Arial" w:hAnsi="Arial" w:cs="Arial"/>
        </w:rPr>
        <w:t xml:space="preserve"> en cada </w:t>
      </w:r>
      <w:r w:rsidR="00E432A2">
        <w:rPr>
          <w:rFonts w:ascii="Arial" w:hAnsi="Arial" w:cs="Arial"/>
        </w:rPr>
        <w:t xml:space="preserve">mercado, para cada </w:t>
      </w:r>
      <w:r w:rsidR="00C73063">
        <w:rPr>
          <w:rFonts w:ascii="Arial" w:hAnsi="Arial" w:cs="Arial"/>
        </w:rPr>
        <w:t>mes (cada año para el cálculo del factor de calidad)</w:t>
      </w:r>
      <w:r w:rsidRPr="00B61167">
        <w:rPr>
          <w:rFonts w:ascii="Arial" w:hAnsi="Arial" w:cs="Arial"/>
        </w:rPr>
        <w:t>, sobre el total de facturas expedidas por el comercializador</w:t>
      </w:r>
      <w:r w:rsidR="00540A57">
        <w:rPr>
          <w:rFonts w:ascii="Arial" w:hAnsi="Arial" w:cs="Arial"/>
        </w:rPr>
        <w:t xml:space="preserve"> en cada </w:t>
      </w:r>
      <w:r w:rsidR="00E432A2">
        <w:rPr>
          <w:rFonts w:ascii="Arial" w:hAnsi="Arial" w:cs="Arial"/>
        </w:rPr>
        <w:t xml:space="preserve">mercado, para cada </w:t>
      </w:r>
      <w:r w:rsidR="00540A57">
        <w:rPr>
          <w:rFonts w:ascii="Arial" w:hAnsi="Arial" w:cs="Arial"/>
        </w:rPr>
        <w:t>mes (cada año para el cálculo del factor de calidad)</w:t>
      </w:r>
      <w:r w:rsidRPr="00B61167">
        <w:rPr>
          <w:rFonts w:ascii="Arial" w:hAnsi="Arial" w:cs="Arial"/>
        </w:rPr>
        <w:t>.</w:t>
      </w:r>
    </w:p>
    <w:p w14:paraId="447410AE" w14:textId="77777777" w:rsidR="000F3343" w:rsidRDefault="000F3343" w:rsidP="00891C31">
      <w:pPr>
        <w:pStyle w:val="Prrafodelista"/>
        <w:spacing w:before="0" w:after="0"/>
        <w:jc w:val="both"/>
        <w:rPr>
          <w:rFonts w:ascii="Arial" w:hAnsi="Arial" w:cs="Arial"/>
        </w:rPr>
      </w:pPr>
    </w:p>
    <w:p w14:paraId="78B1C78C" w14:textId="77777777" w:rsidR="00794A6F" w:rsidRDefault="00D62F9D" w:rsidP="00891C31">
      <w:pPr>
        <w:pStyle w:val="Prrafodelista"/>
        <w:spacing w:before="0" w:after="0"/>
        <w:jc w:val="both"/>
        <w:rPr>
          <w:rFonts w:ascii="Arial" w:hAnsi="Arial" w:cs="Arial"/>
        </w:rPr>
      </w:pPr>
      <w:r>
        <w:rPr>
          <w:rFonts w:ascii="Arial" w:hAnsi="Arial" w:cs="Arial"/>
        </w:rPr>
        <w:t>Como se ha mencionado, l</w:t>
      </w:r>
      <w:r w:rsidR="000F3343">
        <w:rPr>
          <w:rFonts w:ascii="Arial" w:hAnsi="Arial" w:cs="Arial"/>
        </w:rPr>
        <w:t xml:space="preserve">a información resultante del cálculo </w:t>
      </w:r>
      <w:r w:rsidR="00944D91">
        <w:rPr>
          <w:rFonts w:ascii="Arial" w:hAnsi="Arial" w:cs="Arial"/>
        </w:rPr>
        <w:t xml:space="preserve">mensual </w:t>
      </w:r>
      <w:r w:rsidR="000F3343">
        <w:rPr>
          <w:rFonts w:ascii="Arial" w:hAnsi="Arial" w:cs="Arial"/>
        </w:rPr>
        <w:t xml:space="preserve">de estos indicadores </w:t>
      </w:r>
      <w:r w:rsidR="00944D91">
        <w:rPr>
          <w:rFonts w:ascii="Arial" w:hAnsi="Arial" w:cs="Arial"/>
        </w:rPr>
        <w:t xml:space="preserve">debe </w:t>
      </w:r>
      <w:r w:rsidR="009524C2">
        <w:rPr>
          <w:rFonts w:ascii="Arial" w:hAnsi="Arial" w:cs="Arial"/>
        </w:rPr>
        <w:t>reportarse con esta misma desagregación mensual</w:t>
      </w:r>
      <w:r w:rsidR="00223C0A">
        <w:rPr>
          <w:rFonts w:ascii="Arial" w:hAnsi="Arial" w:cs="Arial"/>
        </w:rPr>
        <w:t xml:space="preserve"> al SUI</w:t>
      </w:r>
      <w:r>
        <w:rPr>
          <w:rFonts w:ascii="Arial" w:hAnsi="Arial" w:cs="Arial"/>
        </w:rPr>
        <w:t xml:space="preserve"> y publicarse en la página web de cada comercializador en una ubicación de fácil acceso</w:t>
      </w:r>
      <w:r w:rsidR="00FD4BD5">
        <w:rPr>
          <w:rFonts w:ascii="Arial" w:hAnsi="Arial" w:cs="Arial"/>
        </w:rPr>
        <w:t xml:space="preserve"> </w:t>
      </w:r>
      <w:r w:rsidR="00FD4BD5">
        <w:rPr>
          <w:rFonts w:ascii="Arial" w:hAnsi="Arial" w:cs="Arial"/>
        </w:rPr>
        <w:lastRenderedPageBreak/>
        <w:t xml:space="preserve">de forma que el usuario no deba dar clic a más de tres hipervínculos para llegar a esta información </w:t>
      </w:r>
      <w:r w:rsidR="00EA0387">
        <w:rPr>
          <w:rFonts w:ascii="Arial" w:hAnsi="Arial" w:cs="Arial"/>
        </w:rPr>
        <w:t xml:space="preserve">desde la página de inicio del </w:t>
      </w:r>
      <w:r w:rsidR="007C06E0">
        <w:rPr>
          <w:rFonts w:ascii="Arial" w:hAnsi="Arial" w:cs="Arial"/>
        </w:rPr>
        <w:t>sitio web</w:t>
      </w:r>
      <w:r w:rsidR="00FD4BD5">
        <w:rPr>
          <w:rFonts w:ascii="Arial" w:hAnsi="Arial" w:cs="Arial"/>
        </w:rPr>
        <w:t>.</w:t>
      </w:r>
    </w:p>
    <w:p w14:paraId="4547967C" w14:textId="77777777" w:rsidR="007C40E8" w:rsidRDefault="007C40E8" w:rsidP="00891C31">
      <w:pPr>
        <w:pStyle w:val="Prrafodelista"/>
        <w:spacing w:before="0" w:after="0"/>
        <w:jc w:val="both"/>
        <w:rPr>
          <w:rFonts w:ascii="Arial" w:hAnsi="Arial" w:cs="Arial"/>
        </w:rPr>
      </w:pPr>
    </w:p>
    <w:p w14:paraId="46B2EB3A" w14:textId="21588E0E" w:rsidR="007C40E8" w:rsidRPr="003C2833" w:rsidRDefault="007C40E8" w:rsidP="00891C31">
      <w:pPr>
        <w:pStyle w:val="Prrafodelista"/>
        <w:numPr>
          <w:ilvl w:val="0"/>
          <w:numId w:val="5"/>
        </w:numPr>
        <w:spacing w:before="0" w:after="0"/>
        <w:jc w:val="both"/>
        <w:rPr>
          <w:rFonts w:ascii="Arial" w:hAnsi="Arial" w:cs="Arial"/>
          <w:b/>
          <w:bCs/>
        </w:rPr>
      </w:pPr>
      <w:r w:rsidRPr="003C2833">
        <w:rPr>
          <w:rFonts w:ascii="Arial" w:hAnsi="Arial" w:cs="Arial"/>
          <w:b/>
          <w:bCs/>
        </w:rPr>
        <w:t xml:space="preserve">Metas </w:t>
      </w:r>
      <w:r w:rsidR="003C2833" w:rsidRPr="003C2833">
        <w:rPr>
          <w:rFonts w:ascii="Arial" w:hAnsi="Arial" w:cs="Arial"/>
          <w:b/>
          <w:bCs/>
        </w:rPr>
        <w:t>de cumplimiento aplicables a cada indicador de calidad comercial</w:t>
      </w:r>
    </w:p>
    <w:p w14:paraId="7E044750" w14:textId="77777777" w:rsidR="00794A6F" w:rsidRDefault="00794A6F" w:rsidP="00891C31">
      <w:pPr>
        <w:pStyle w:val="Prrafodelista"/>
        <w:spacing w:before="0" w:after="0"/>
        <w:jc w:val="both"/>
        <w:rPr>
          <w:rFonts w:ascii="Arial" w:hAnsi="Arial" w:cs="Arial"/>
        </w:rPr>
      </w:pPr>
    </w:p>
    <w:p w14:paraId="13DCFC5E" w14:textId="230AA3E2" w:rsidR="003D6340" w:rsidRPr="00F60233" w:rsidRDefault="003D6340" w:rsidP="00891C31">
      <w:pPr>
        <w:pStyle w:val="Prrafodelista"/>
        <w:numPr>
          <w:ilvl w:val="1"/>
          <w:numId w:val="5"/>
        </w:numPr>
        <w:spacing w:before="0" w:after="0"/>
        <w:jc w:val="both"/>
        <w:rPr>
          <w:rFonts w:ascii="Arial" w:hAnsi="Arial" w:cs="Arial"/>
          <w:b/>
          <w:bCs/>
        </w:rPr>
      </w:pPr>
      <w:r w:rsidRPr="00F60233">
        <w:rPr>
          <w:rFonts w:ascii="Arial" w:hAnsi="Arial" w:cs="Arial"/>
          <w:b/>
          <w:bCs/>
        </w:rPr>
        <w:t xml:space="preserve">Indicadores </w:t>
      </w:r>
      <w:r w:rsidR="00F81FF4" w:rsidRPr="00F60233">
        <w:rPr>
          <w:rFonts w:ascii="Arial" w:hAnsi="Arial" w:cs="Arial"/>
          <w:b/>
          <w:bCs/>
        </w:rPr>
        <w:t xml:space="preserve">con meta de cumplimiento </w:t>
      </w:r>
      <w:r w:rsidR="009E5E2E" w:rsidRPr="00F60233">
        <w:rPr>
          <w:rFonts w:ascii="Arial" w:hAnsi="Arial" w:cs="Arial"/>
          <w:b/>
          <w:bCs/>
        </w:rPr>
        <w:t>aplicable</w:t>
      </w:r>
      <w:r w:rsidR="00726410">
        <w:rPr>
          <w:rFonts w:ascii="Arial" w:hAnsi="Arial" w:cs="Arial"/>
          <w:b/>
          <w:bCs/>
        </w:rPr>
        <w:t xml:space="preserve"> desde la expedición de la metodología</w:t>
      </w:r>
    </w:p>
    <w:p w14:paraId="314F00C5" w14:textId="77777777" w:rsidR="003D6340" w:rsidRDefault="003D6340" w:rsidP="00891C31">
      <w:pPr>
        <w:pStyle w:val="Prrafodelista"/>
        <w:spacing w:before="0" w:after="0"/>
        <w:jc w:val="both"/>
        <w:rPr>
          <w:rFonts w:ascii="Arial" w:hAnsi="Arial" w:cs="Arial"/>
        </w:rPr>
      </w:pPr>
    </w:p>
    <w:p w14:paraId="1D1FCD23" w14:textId="1FCA5C98" w:rsidR="007B629F" w:rsidRDefault="002E7111" w:rsidP="00891C31">
      <w:pPr>
        <w:pStyle w:val="Prrafodelista"/>
        <w:spacing w:before="0" w:after="0"/>
        <w:jc w:val="both"/>
        <w:rPr>
          <w:rFonts w:ascii="Arial" w:hAnsi="Arial" w:cs="Arial"/>
        </w:rPr>
      </w:pPr>
      <w:r>
        <w:rPr>
          <w:rFonts w:ascii="Arial" w:hAnsi="Arial" w:cs="Arial"/>
        </w:rPr>
        <w:t>A</w:t>
      </w:r>
      <w:r w:rsidR="00E206B8">
        <w:rPr>
          <w:rFonts w:ascii="Arial" w:hAnsi="Arial" w:cs="Arial"/>
        </w:rPr>
        <w:t>l momento de la expedición de la resolución que acompaña este documento, las empresas que desarrollan las actividades de comercialización de energía eléctrica</w:t>
      </w:r>
      <w:r w:rsidR="00DC789D">
        <w:rPr>
          <w:rFonts w:ascii="Arial" w:hAnsi="Arial" w:cs="Arial"/>
        </w:rPr>
        <w:t xml:space="preserve"> ya vienen efectuando el reporte</w:t>
      </w:r>
      <w:r w:rsidR="00E206B8">
        <w:rPr>
          <w:rFonts w:ascii="Arial" w:hAnsi="Arial" w:cs="Arial"/>
        </w:rPr>
        <w:t xml:space="preserve"> </w:t>
      </w:r>
      <w:r w:rsidR="007B629F">
        <w:rPr>
          <w:rFonts w:ascii="Arial" w:hAnsi="Arial" w:cs="Arial"/>
        </w:rPr>
        <w:t xml:space="preserve">al SUI de los indicadores asociados a </w:t>
      </w:r>
      <w:r w:rsidR="007B629F" w:rsidRPr="00E206B8">
        <w:rPr>
          <w:rFonts w:ascii="Arial" w:hAnsi="Arial" w:cs="Arial"/>
        </w:rPr>
        <w:t>“Cantidad de quejas por usuario” y “Calidad de la facturación”</w:t>
      </w:r>
      <w:r w:rsidR="007B629F">
        <w:rPr>
          <w:rFonts w:ascii="Arial" w:hAnsi="Arial" w:cs="Arial"/>
        </w:rPr>
        <w:t>.</w:t>
      </w:r>
    </w:p>
    <w:p w14:paraId="677115FA" w14:textId="77777777" w:rsidR="007B629F" w:rsidRDefault="007B629F" w:rsidP="00891C31">
      <w:pPr>
        <w:pStyle w:val="Prrafodelista"/>
        <w:spacing w:before="0" w:after="0"/>
        <w:jc w:val="both"/>
        <w:rPr>
          <w:rFonts w:ascii="Arial" w:hAnsi="Arial" w:cs="Arial"/>
        </w:rPr>
      </w:pPr>
    </w:p>
    <w:p w14:paraId="1D1A9E92" w14:textId="56915A15" w:rsidR="00E206B8" w:rsidRDefault="007B629F" w:rsidP="00891C31">
      <w:pPr>
        <w:pStyle w:val="Prrafodelista"/>
        <w:spacing w:before="0" w:after="0"/>
        <w:jc w:val="both"/>
        <w:rPr>
          <w:rFonts w:ascii="Arial" w:hAnsi="Arial" w:cs="Arial"/>
        </w:rPr>
      </w:pPr>
      <w:r>
        <w:rPr>
          <w:rFonts w:ascii="Arial" w:hAnsi="Arial" w:cs="Arial"/>
        </w:rPr>
        <w:t xml:space="preserve">Por lo anterior, en reconocimiento de la experiencia adquirida por los comercializadores </w:t>
      </w:r>
      <w:r w:rsidR="00FA4D3E">
        <w:rPr>
          <w:rFonts w:ascii="Arial" w:hAnsi="Arial" w:cs="Arial"/>
        </w:rPr>
        <w:t xml:space="preserve">para el cumplimiento </w:t>
      </w:r>
      <w:r w:rsidR="00E43841">
        <w:rPr>
          <w:rFonts w:ascii="Arial" w:hAnsi="Arial" w:cs="Arial"/>
        </w:rPr>
        <w:t xml:space="preserve">de niveles de calidad </w:t>
      </w:r>
      <w:r w:rsidR="00F77B07">
        <w:rPr>
          <w:rFonts w:ascii="Arial" w:hAnsi="Arial" w:cs="Arial"/>
        </w:rPr>
        <w:t xml:space="preserve">que reflejen una mejora continua, conducta </w:t>
      </w:r>
      <w:r w:rsidR="00F83BD4">
        <w:rPr>
          <w:rFonts w:ascii="Arial" w:hAnsi="Arial" w:cs="Arial"/>
        </w:rPr>
        <w:t xml:space="preserve">esperada en estos agentes, </w:t>
      </w:r>
      <w:r>
        <w:rPr>
          <w:rFonts w:ascii="Arial" w:hAnsi="Arial" w:cs="Arial"/>
        </w:rPr>
        <w:t xml:space="preserve">esta Comisión ha definido para estos dos indicadores, </w:t>
      </w:r>
      <w:r w:rsidR="00187840">
        <w:rPr>
          <w:rFonts w:ascii="Arial" w:hAnsi="Arial" w:cs="Arial"/>
        </w:rPr>
        <w:t xml:space="preserve">una </w:t>
      </w:r>
      <w:r w:rsidR="00E206B8" w:rsidRPr="00E206B8">
        <w:rPr>
          <w:rFonts w:ascii="Arial" w:hAnsi="Arial" w:cs="Arial"/>
        </w:rPr>
        <w:t xml:space="preserve">meta de cumplimiento </w:t>
      </w:r>
      <w:r w:rsidR="00FA2240">
        <w:rPr>
          <w:rFonts w:ascii="Arial" w:hAnsi="Arial" w:cs="Arial"/>
        </w:rPr>
        <w:t xml:space="preserve">consistente en </w:t>
      </w:r>
      <w:r w:rsidR="00EE7C73">
        <w:rPr>
          <w:rFonts w:ascii="Arial" w:hAnsi="Arial" w:cs="Arial"/>
        </w:rPr>
        <w:t xml:space="preserve">que cada </w:t>
      </w:r>
      <w:r w:rsidR="001420AF">
        <w:rPr>
          <w:rFonts w:ascii="Arial" w:hAnsi="Arial" w:cs="Arial"/>
        </w:rPr>
        <w:t xml:space="preserve">comercializador refleje </w:t>
      </w:r>
      <w:r w:rsidR="00E206B8" w:rsidRPr="00E206B8">
        <w:rPr>
          <w:rFonts w:ascii="Arial" w:hAnsi="Arial" w:cs="Arial"/>
        </w:rPr>
        <w:t>una reducción anual de 5% respecto de</w:t>
      </w:r>
      <w:r w:rsidR="001420AF">
        <w:rPr>
          <w:rFonts w:ascii="Arial" w:hAnsi="Arial" w:cs="Arial"/>
        </w:rPr>
        <w:t xml:space="preserve"> </w:t>
      </w:r>
      <w:r w:rsidR="00E206B8" w:rsidRPr="00E206B8">
        <w:rPr>
          <w:rFonts w:ascii="Arial" w:hAnsi="Arial" w:cs="Arial"/>
        </w:rPr>
        <w:t>l</w:t>
      </w:r>
      <w:r w:rsidR="001420AF">
        <w:rPr>
          <w:rFonts w:ascii="Arial" w:hAnsi="Arial" w:cs="Arial"/>
        </w:rPr>
        <w:t>os</w:t>
      </w:r>
      <w:r w:rsidR="00E206B8" w:rsidRPr="00E206B8">
        <w:rPr>
          <w:rFonts w:ascii="Arial" w:hAnsi="Arial" w:cs="Arial"/>
        </w:rPr>
        <w:t xml:space="preserve"> </w:t>
      </w:r>
      <w:r w:rsidR="001420AF">
        <w:rPr>
          <w:rFonts w:ascii="Arial" w:hAnsi="Arial" w:cs="Arial"/>
        </w:rPr>
        <w:t xml:space="preserve">valores observados </w:t>
      </w:r>
      <w:r w:rsidR="00E206B8" w:rsidRPr="00E206B8">
        <w:rPr>
          <w:rFonts w:ascii="Arial" w:hAnsi="Arial" w:cs="Arial"/>
        </w:rPr>
        <w:t>en el año base de la metodología. Est</w:t>
      </w:r>
      <w:r w:rsidR="00DD6A9B">
        <w:rPr>
          <w:rFonts w:ascii="Arial" w:hAnsi="Arial" w:cs="Arial"/>
        </w:rPr>
        <w:t xml:space="preserve">e criterio </w:t>
      </w:r>
      <w:r w:rsidR="00E206B8" w:rsidRPr="00E206B8">
        <w:rPr>
          <w:rFonts w:ascii="Arial" w:hAnsi="Arial" w:cs="Arial"/>
        </w:rPr>
        <w:t xml:space="preserve">se aplicará el año </w:t>
      </w:r>
      <w:r w:rsidR="003F7697" w:rsidRPr="00E206B8">
        <w:rPr>
          <w:rFonts w:ascii="Arial" w:hAnsi="Arial" w:cs="Arial"/>
        </w:rPr>
        <w:t xml:space="preserve">siguiente </w:t>
      </w:r>
      <w:r w:rsidR="003F7697">
        <w:rPr>
          <w:rFonts w:ascii="Arial" w:hAnsi="Arial" w:cs="Arial"/>
        </w:rPr>
        <w:t xml:space="preserve">al año base definido </w:t>
      </w:r>
      <w:r w:rsidR="003810EB">
        <w:rPr>
          <w:rFonts w:ascii="Arial" w:hAnsi="Arial" w:cs="Arial"/>
        </w:rPr>
        <w:t xml:space="preserve">para </w:t>
      </w:r>
      <w:r w:rsidR="00E206B8" w:rsidRPr="00E206B8">
        <w:rPr>
          <w:rFonts w:ascii="Arial" w:hAnsi="Arial" w:cs="Arial"/>
        </w:rPr>
        <w:t xml:space="preserve">aplicar la metodología </w:t>
      </w:r>
      <w:r w:rsidR="003810EB">
        <w:rPr>
          <w:rFonts w:ascii="Arial" w:hAnsi="Arial" w:cs="Arial"/>
        </w:rPr>
        <w:t xml:space="preserve">de evaluación </w:t>
      </w:r>
      <w:r w:rsidR="00E206B8" w:rsidRPr="00E206B8">
        <w:rPr>
          <w:rFonts w:ascii="Arial" w:hAnsi="Arial" w:cs="Arial"/>
        </w:rPr>
        <w:t xml:space="preserve">aprobada en </w:t>
      </w:r>
      <w:r w:rsidR="003810EB">
        <w:rPr>
          <w:rFonts w:ascii="Arial" w:hAnsi="Arial" w:cs="Arial"/>
        </w:rPr>
        <w:t>l</w:t>
      </w:r>
      <w:r w:rsidR="00E206B8" w:rsidRPr="00E206B8">
        <w:rPr>
          <w:rFonts w:ascii="Arial" w:hAnsi="Arial" w:cs="Arial"/>
        </w:rPr>
        <w:t>a resolución.</w:t>
      </w:r>
    </w:p>
    <w:p w14:paraId="25732796" w14:textId="77777777" w:rsidR="007B09BD" w:rsidRDefault="007B09BD" w:rsidP="00891C31">
      <w:pPr>
        <w:pStyle w:val="Prrafodelista"/>
        <w:spacing w:before="0" w:after="0"/>
        <w:jc w:val="both"/>
        <w:rPr>
          <w:rFonts w:ascii="Arial" w:hAnsi="Arial" w:cs="Arial"/>
        </w:rPr>
      </w:pPr>
    </w:p>
    <w:p w14:paraId="38CF9ABC" w14:textId="65E9242C" w:rsidR="007B09BD" w:rsidRDefault="007B09BD" w:rsidP="00891C31">
      <w:pPr>
        <w:pStyle w:val="Prrafodelista"/>
        <w:spacing w:before="0" w:after="0"/>
        <w:jc w:val="both"/>
        <w:rPr>
          <w:rFonts w:ascii="Arial" w:hAnsi="Arial" w:cs="Arial"/>
        </w:rPr>
      </w:pPr>
      <w:r>
        <w:rPr>
          <w:rFonts w:ascii="Arial" w:hAnsi="Arial" w:cs="Arial"/>
        </w:rPr>
        <w:t xml:space="preserve">Así, </w:t>
      </w:r>
      <w:r w:rsidR="009E4835">
        <w:rPr>
          <w:rFonts w:ascii="Arial" w:hAnsi="Arial" w:cs="Arial"/>
        </w:rPr>
        <w:t>est</w:t>
      </w:r>
      <w:r w:rsidR="009E35DA">
        <w:rPr>
          <w:rFonts w:ascii="Arial" w:hAnsi="Arial" w:cs="Arial"/>
        </w:rPr>
        <w:t xml:space="preserve">e criterio establece una senda de mejora </w:t>
      </w:r>
      <w:r w:rsidR="00BC5A67">
        <w:rPr>
          <w:rFonts w:ascii="Arial" w:hAnsi="Arial" w:cs="Arial"/>
        </w:rPr>
        <w:t xml:space="preserve">para ambos indicadores, </w:t>
      </w:r>
      <w:r w:rsidR="009E35DA">
        <w:rPr>
          <w:rFonts w:ascii="Arial" w:hAnsi="Arial" w:cs="Arial"/>
        </w:rPr>
        <w:t xml:space="preserve">que deben </w:t>
      </w:r>
      <w:r w:rsidR="00164C4B">
        <w:rPr>
          <w:rFonts w:ascii="Arial" w:hAnsi="Arial" w:cs="Arial"/>
        </w:rPr>
        <w:t>aplicar los comercializadores</w:t>
      </w:r>
      <w:r w:rsidR="00B21B82">
        <w:rPr>
          <w:rFonts w:ascii="Arial" w:hAnsi="Arial" w:cs="Arial"/>
        </w:rPr>
        <w:t>, de la siguiente manera:</w:t>
      </w:r>
    </w:p>
    <w:p w14:paraId="2B3E52FD" w14:textId="77777777" w:rsidR="00871B94" w:rsidRDefault="00871B94" w:rsidP="00891C31">
      <w:pPr>
        <w:pStyle w:val="Prrafodelista"/>
        <w:spacing w:before="0" w:after="0"/>
        <w:jc w:val="both"/>
        <w:rPr>
          <w:rFonts w:ascii="Arial" w:hAnsi="Arial" w:cs="Arial"/>
        </w:rPr>
      </w:pPr>
    </w:p>
    <w:p w14:paraId="2125FB1F" w14:textId="466BCBE7" w:rsidR="0073490C" w:rsidRDefault="0073490C" w:rsidP="007A4263">
      <w:pPr>
        <w:pStyle w:val="Descripcin"/>
        <w:tabs>
          <w:tab w:val="left" w:pos="1276"/>
        </w:tabs>
        <w:spacing w:after="0"/>
        <w:ind w:left="851"/>
        <w:jc w:val="center"/>
        <w:rPr>
          <w:rFonts w:ascii="Arial" w:hAnsi="Arial" w:cs="Arial"/>
          <w:b/>
          <w:bCs/>
          <w:color w:val="auto"/>
        </w:rPr>
      </w:pPr>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17</w:t>
      </w:r>
      <w:r w:rsidRPr="00115F4D">
        <w:rPr>
          <w:rFonts w:ascii="Arial" w:hAnsi="Arial" w:cs="Arial"/>
          <w:b/>
          <w:bCs/>
          <w:color w:val="auto"/>
        </w:rPr>
        <w:fldChar w:fldCharType="end"/>
      </w:r>
      <w:r w:rsidRPr="00656D70">
        <w:rPr>
          <w:rFonts w:ascii="Arial" w:hAnsi="Arial" w:cs="Arial"/>
          <w:b/>
          <w:bCs/>
          <w:color w:val="auto"/>
        </w:rPr>
        <w:t xml:space="preserve"> </w:t>
      </w:r>
      <w:r>
        <w:rPr>
          <w:rFonts w:ascii="Arial" w:hAnsi="Arial" w:cs="Arial"/>
          <w:b/>
          <w:bCs/>
          <w:color w:val="auto"/>
        </w:rPr>
        <w:t>R</w:t>
      </w:r>
      <w:r w:rsidRPr="0073490C">
        <w:rPr>
          <w:rFonts w:ascii="Arial" w:hAnsi="Arial" w:cs="Arial"/>
          <w:b/>
          <w:bCs/>
          <w:color w:val="auto"/>
        </w:rPr>
        <w:t>educción mínima esperada para cada period</w:t>
      </w:r>
      <w:r>
        <w:rPr>
          <w:rFonts w:ascii="Arial" w:hAnsi="Arial" w:cs="Arial"/>
          <w:b/>
          <w:bCs/>
          <w:color w:val="auto"/>
        </w:rPr>
        <w:t>o.</w:t>
      </w:r>
    </w:p>
    <w:p w14:paraId="709BB970" w14:textId="3F22684D" w:rsidR="0073490C" w:rsidRDefault="0073490C" w:rsidP="007A4263">
      <w:pPr>
        <w:pStyle w:val="Descripcin"/>
        <w:tabs>
          <w:tab w:val="left" w:pos="1276"/>
        </w:tabs>
        <w:spacing w:after="0"/>
        <w:ind w:left="851"/>
        <w:jc w:val="center"/>
        <w:rPr>
          <w:rFonts w:ascii="Arial" w:hAnsi="Arial" w:cs="Arial"/>
        </w:rPr>
      </w:pPr>
      <w:r w:rsidRPr="00656D70">
        <w:rPr>
          <w:rFonts w:ascii="Arial" w:hAnsi="Arial" w:cs="Arial"/>
          <w:b/>
          <w:bCs/>
          <w:color w:val="auto"/>
        </w:rPr>
        <w:t>Fuente: Elaboración CREG</w:t>
      </w:r>
    </w:p>
    <w:tbl>
      <w:tblPr>
        <w:tblStyle w:val="Tablaconcuadrcula1clara-nfasis3"/>
        <w:tblW w:w="4531" w:type="pct"/>
        <w:tblInd w:w="846" w:type="dxa"/>
        <w:tblLook w:val="04A0" w:firstRow="1" w:lastRow="0" w:firstColumn="1" w:lastColumn="0" w:noHBand="0" w:noVBand="1"/>
      </w:tblPr>
      <w:tblGrid>
        <w:gridCol w:w="1231"/>
        <w:gridCol w:w="6939"/>
      </w:tblGrid>
      <w:tr w:rsidR="00D13F18" w14:paraId="040FBA80" w14:textId="77777777" w:rsidTr="007A4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 w:type="pct"/>
          </w:tcPr>
          <w:p w14:paraId="411F1E35" w14:textId="4C1ED95F" w:rsidR="00D13F18" w:rsidRPr="008F68DA" w:rsidRDefault="00D13F18" w:rsidP="007C5358">
            <w:pPr>
              <w:pStyle w:val="Prrafodelista"/>
              <w:spacing w:before="0" w:after="0"/>
              <w:ind w:left="0"/>
              <w:jc w:val="center"/>
              <w:rPr>
                <w:rFonts w:ascii="Arial" w:hAnsi="Arial" w:cs="Arial"/>
                <w:b w:val="0"/>
                <w:bCs w:val="0"/>
              </w:rPr>
            </w:pPr>
            <w:r>
              <w:rPr>
                <w:rFonts w:ascii="Arial" w:hAnsi="Arial" w:cs="Arial"/>
              </w:rPr>
              <w:t>PERIODO</w:t>
            </w:r>
          </w:p>
        </w:tc>
        <w:tc>
          <w:tcPr>
            <w:tcW w:w="4710" w:type="pct"/>
          </w:tcPr>
          <w:p w14:paraId="61D6AF4B" w14:textId="56A46F58" w:rsidR="00D13F18" w:rsidRPr="00996C54" w:rsidRDefault="00996C54" w:rsidP="00996C54">
            <w:pPr>
              <w:pStyle w:val="Prrafodelista"/>
              <w:spacing w:before="0" w:after="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6C54">
              <w:rPr>
                <w:rFonts w:ascii="Arial" w:hAnsi="Arial" w:cs="Arial"/>
              </w:rPr>
              <w:t>REDUCCIÓN MÍNIMA ESPERADA PARA CADA PERIODO</w:t>
            </w:r>
          </w:p>
        </w:tc>
      </w:tr>
      <w:tr w:rsidR="00871B94" w14:paraId="49902720" w14:textId="77777777" w:rsidTr="007A4263">
        <w:tc>
          <w:tcPr>
            <w:cnfStyle w:val="001000000000" w:firstRow="0" w:lastRow="0" w:firstColumn="1" w:lastColumn="0" w:oddVBand="0" w:evenVBand="0" w:oddHBand="0" w:evenHBand="0" w:firstRowFirstColumn="0" w:firstRowLastColumn="0" w:lastRowFirstColumn="0" w:lastRowLastColumn="0"/>
            <w:tcW w:w="290" w:type="pct"/>
          </w:tcPr>
          <w:p w14:paraId="350989CB" w14:textId="15DDC66F" w:rsidR="00871B94" w:rsidRDefault="00871B94" w:rsidP="007C5358">
            <w:pPr>
              <w:pStyle w:val="Prrafodelista"/>
              <w:spacing w:before="0" w:after="0"/>
              <w:ind w:left="0"/>
              <w:jc w:val="center"/>
              <w:rPr>
                <w:rFonts w:ascii="Arial" w:hAnsi="Arial" w:cs="Arial"/>
              </w:rPr>
            </w:pPr>
            <w:r w:rsidRPr="008F68DA">
              <w:rPr>
                <w:rFonts w:ascii="Arial" w:hAnsi="Arial" w:cs="Arial"/>
              </w:rPr>
              <w:t>AÑO BASE (t)</w:t>
            </w:r>
          </w:p>
        </w:tc>
        <w:tc>
          <w:tcPr>
            <w:tcW w:w="4710" w:type="pct"/>
          </w:tcPr>
          <w:p w14:paraId="49F7FC20" w14:textId="378F653B" w:rsidR="00871B94" w:rsidRDefault="00871B94" w:rsidP="00891C31">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Valor observado (x) para el indicador en el año base (t).</w:t>
            </w:r>
          </w:p>
        </w:tc>
      </w:tr>
      <w:tr w:rsidR="00871B94" w14:paraId="7E94EEF0" w14:textId="77777777" w:rsidTr="007A4263">
        <w:tc>
          <w:tcPr>
            <w:cnfStyle w:val="001000000000" w:firstRow="0" w:lastRow="0" w:firstColumn="1" w:lastColumn="0" w:oddVBand="0" w:evenVBand="0" w:oddHBand="0" w:evenHBand="0" w:firstRowFirstColumn="0" w:firstRowLastColumn="0" w:lastRowFirstColumn="0" w:lastRowLastColumn="0"/>
            <w:tcW w:w="290" w:type="pct"/>
          </w:tcPr>
          <w:p w14:paraId="3A39C5C0" w14:textId="0800A1E9" w:rsidR="00871B94" w:rsidRDefault="00871B94" w:rsidP="007C5358">
            <w:pPr>
              <w:pStyle w:val="Prrafodelista"/>
              <w:spacing w:before="0" w:after="0"/>
              <w:ind w:left="0"/>
              <w:jc w:val="center"/>
              <w:rPr>
                <w:rFonts w:ascii="Arial" w:hAnsi="Arial" w:cs="Arial"/>
              </w:rPr>
            </w:pPr>
            <w:r w:rsidRPr="008F68DA">
              <w:rPr>
                <w:rFonts w:ascii="Arial" w:hAnsi="Arial" w:cs="Arial"/>
              </w:rPr>
              <w:t>t+1</w:t>
            </w:r>
          </w:p>
        </w:tc>
        <w:tc>
          <w:tcPr>
            <w:tcW w:w="4710" w:type="pct"/>
          </w:tcPr>
          <w:p w14:paraId="312A6AC1" w14:textId="69029714" w:rsidR="00871B94" w:rsidRDefault="00871B94" w:rsidP="00871B94">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Mínima reducción esperada para este periodo (</w:t>
            </w:r>
            <m:oMath>
              <m:sSub>
                <m:sSubPr>
                  <m:ctrlPr>
                    <w:rPr>
                      <w:rFonts w:ascii="Cambria Math" w:hAnsi="Cambria Math" w:cs="Arial"/>
                      <w:i/>
                    </w:rPr>
                  </m:ctrlPr>
                </m:sSubPr>
                <m:e>
                  <m:r>
                    <w:rPr>
                      <w:rFonts w:ascii="Cambria Math" w:hAnsi="Cambria Math" w:cs="Arial"/>
                    </w:rPr>
                    <m:t>R</m:t>
                  </m:r>
                </m:e>
                <m:sub>
                  <m:r>
                    <w:rPr>
                      <w:rFonts w:ascii="Cambria Math" w:hAnsi="Cambria Math" w:cs="Arial"/>
                    </w:rPr>
                    <m:t>t+1</m:t>
                  </m:r>
                </m:sub>
              </m:sSub>
            </m:oMath>
            <w:r>
              <w:rPr>
                <w:rFonts w:ascii="Arial" w:hAnsi="Arial" w:cs="Arial"/>
              </w:rPr>
              <w:t>):</w:t>
            </w:r>
          </w:p>
          <w:p w14:paraId="434E4A80" w14:textId="77777777" w:rsidR="00871B94" w:rsidRDefault="00871B94" w:rsidP="00871B94">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5642965" w14:textId="6649CCC7" w:rsidR="00871B94" w:rsidRDefault="00E42F3C" w:rsidP="00871B94">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sSub>
                  <m:sSubPr>
                    <m:ctrlPr>
                      <w:rPr>
                        <w:rFonts w:ascii="Cambria Math" w:hAnsi="Cambria Math" w:cs="Arial"/>
                        <w:i/>
                      </w:rPr>
                    </m:ctrlPr>
                  </m:sSubPr>
                  <m:e>
                    <m:r>
                      <w:rPr>
                        <w:rFonts w:ascii="Cambria Math" w:hAnsi="Cambria Math" w:cs="Arial"/>
                      </w:rPr>
                      <m:t>R</m:t>
                    </m:r>
                  </m:e>
                  <m:sub>
                    <m:r>
                      <w:rPr>
                        <w:rFonts w:ascii="Cambria Math" w:hAnsi="Cambria Math" w:cs="Arial"/>
                      </w:rPr>
                      <m:t>t+1</m:t>
                    </m:r>
                  </m:sub>
                </m:sSub>
                <m:r>
                  <w:rPr>
                    <w:rFonts w:ascii="Cambria Math" w:hAnsi="Cambria Math" w:cs="Arial"/>
                  </w:rPr>
                  <m:t>=</m:t>
                </m:r>
                <m:d>
                  <m:dPr>
                    <m:begChr m:val="["/>
                    <m:endChr m:val="]"/>
                    <m:ctrlPr>
                      <w:rPr>
                        <w:rFonts w:ascii="Cambria Math" w:hAnsi="Cambria Math" w:cs="Arial"/>
                        <w:i/>
                      </w:rPr>
                    </m:ctrlPr>
                  </m:dPr>
                  <m:e>
                    <m:r>
                      <w:rPr>
                        <w:rFonts w:ascii="Cambria Math" w:hAnsi="Cambria Math" w:cs="Arial"/>
                      </w:rPr>
                      <m:t>1-(0,05*</m:t>
                    </m:r>
                    <m:d>
                      <m:dPr>
                        <m:ctrlPr>
                          <w:rPr>
                            <w:rFonts w:ascii="Cambria Math" w:hAnsi="Cambria Math" w:cs="Arial"/>
                            <w:i/>
                          </w:rPr>
                        </m:ctrlPr>
                      </m:dPr>
                      <m:e>
                        <m:r>
                          <w:rPr>
                            <w:rFonts w:ascii="Cambria Math" w:hAnsi="Cambria Math" w:cs="Arial"/>
                          </w:rPr>
                          <m:t>1</m:t>
                        </m:r>
                      </m:e>
                    </m:d>
                    <m:r>
                      <w:rPr>
                        <w:rFonts w:ascii="Cambria Math" w:hAnsi="Cambria Math" w:cs="Arial"/>
                      </w:rPr>
                      <m:t>)</m:t>
                    </m:r>
                  </m:e>
                </m:d>
                <m:r>
                  <w:rPr>
                    <w:rFonts w:ascii="Cambria Math" w:hAnsi="Cambria Math" w:cs="Arial"/>
                  </w:rPr>
                  <m:t>x</m:t>
                </m:r>
              </m:oMath>
            </m:oMathPara>
          </w:p>
        </w:tc>
      </w:tr>
      <w:tr w:rsidR="00871B94" w14:paraId="30BED76C" w14:textId="77777777" w:rsidTr="007A4263">
        <w:tc>
          <w:tcPr>
            <w:cnfStyle w:val="001000000000" w:firstRow="0" w:lastRow="0" w:firstColumn="1" w:lastColumn="0" w:oddVBand="0" w:evenVBand="0" w:oddHBand="0" w:evenHBand="0" w:firstRowFirstColumn="0" w:firstRowLastColumn="0" w:lastRowFirstColumn="0" w:lastRowLastColumn="0"/>
            <w:tcW w:w="290" w:type="pct"/>
          </w:tcPr>
          <w:p w14:paraId="329F78EE" w14:textId="7885EFBF" w:rsidR="00871B94" w:rsidRDefault="00871B94" w:rsidP="007C5358">
            <w:pPr>
              <w:pStyle w:val="Prrafodelista"/>
              <w:spacing w:before="0" w:after="0"/>
              <w:ind w:left="0"/>
              <w:jc w:val="center"/>
              <w:rPr>
                <w:rFonts w:ascii="Arial" w:hAnsi="Arial" w:cs="Arial"/>
              </w:rPr>
            </w:pPr>
            <w:r w:rsidRPr="008F68DA">
              <w:rPr>
                <w:rFonts w:ascii="Arial" w:hAnsi="Arial" w:cs="Arial"/>
              </w:rPr>
              <w:t>t+2</w:t>
            </w:r>
          </w:p>
        </w:tc>
        <w:tc>
          <w:tcPr>
            <w:tcW w:w="4710" w:type="pct"/>
          </w:tcPr>
          <w:p w14:paraId="0806FD9B" w14:textId="5A759E07" w:rsidR="00281958" w:rsidRDefault="00281958" w:rsidP="00281958">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Mínima reducción esperada para este periodo (</w:t>
            </w:r>
            <m:oMath>
              <m:sSub>
                <m:sSubPr>
                  <m:ctrlPr>
                    <w:rPr>
                      <w:rFonts w:ascii="Cambria Math" w:hAnsi="Cambria Math" w:cs="Arial"/>
                      <w:i/>
                    </w:rPr>
                  </m:ctrlPr>
                </m:sSubPr>
                <m:e>
                  <m:r>
                    <w:rPr>
                      <w:rFonts w:ascii="Cambria Math" w:hAnsi="Cambria Math" w:cs="Arial"/>
                    </w:rPr>
                    <m:t>R</m:t>
                  </m:r>
                </m:e>
                <m:sub>
                  <m:r>
                    <w:rPr>
                      <w:rFonts w:ascii="Cambria Math" w:hAnsi="Cambria Math" w:cs="Arial"/>
                    </w:rPr>
                    <m:t>t+2</m:t>
                  </m:r>
                </m:sub>
              </m:sSub>
            </m:oMath>
            <w:r>
              <w:rPr>
                <w:rFonts w:ascii="Arial" w:hAnsi="Arial" w:cs="Arial"/>
              </w:rPr>
              <w:t>):</w:t>
            </w:r>
          </w:p>
          <w:p w14:paraId="0F3BCD1F" w14:textId="77777777" w:rsidR="00281958" w:rsidRDefault="00281958" w:rsidP="00281958">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AEF1329" w14:textId="37F6137A" w:rsidR="00871B94" w:rsidRDefault="00E42F3C" w:rsidP="00281958">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sSub>
                  <m:sSubPr>
                    <m:ctrlPr>
                      <w:rPr>
                        <w:rFonts w:ascii="Cambria Math" w:hAnsi="Cambria Math" w:cs="Arial"/>
                        <w:i/>
                      </w:rPr>
                    </m:ctrlPr>
                  </m:sSubPr>
                  <m:e>
                    <m:r>
                      <w:rPr>
                        <w:rFonts w:ascii="Cambria Math" w:hAnsi="Cambria Math" w:cs="Arial"/>
                      </w:rPr>
                      <m:t>R</m:t>
                    </m:r>
                  </m:e>
                  <m:sub>
                    <m:r>
                      <w:rPr>
                        <w:rFonts w:ascii="Cambria Math" w:hAnsi="Cambria Math" w:cs="Arial"/>
                      </w:rPr>
                      <m:t>t+2</m:t>
                    </m:r>
                  </m:sub>
                </m:sSub>
                <m:r>
                  <w:rPr>
                    <w:rFonts w:ascii="Cambria Math" w:hAnsi="Cambria Math" w:cs="Arial"/>
                  </w:rPr>
                  <m:t>=</m:t>
                </m:r>
                <m:d>
                  <m:dPr>
                    <m:begChr m:val="["/>
                    <m:endChr m:val="]"/>
                    <m:ctrlPr>
                      <w:rPr>
                        <w:rFonts w:ascii="Cambria Math" w:hAnsi="Cambria Math" w:cs="Arial"/>
                        <w:i/>
                      </w:rPr>
                    </m:ctrlPr>
                  </m:dPr>
                  <m:e>
                    <m:r>
                      <w:rPr>
                        <w:rFonts w:ascii="Cambria Math" w:hAnsi="Cambria Math" w:cs="Arial"/>
                      </w:rPr>
                      <m:t>1-(0,05*</m:t>
                    </m:r>
                    <m:d>
                      <m:dPr>
                        <m:ctrlPr>
                          <w:rPr>
                            <w:rFonts w:ascii="Cambria Math" w:hAnsi="Cambria Math" w:cs="Arial"/>
                            <w:i/>
                          </w:rPr>
                        </m:ctrlPr>
                      </m:dPr>
                      <m:e>
                        <m:r>
                          <w:rPr>
                            <w:rFonts w:ascii="Cambria Math" w:hAnsi="Cambria Math" w:cs="Arial"/>
                          </w:rPr>
                          <m:t>2</m:t>
                        </m:r>
                      </m:e>
                    </m:d>
                    <m:r>
                      <w:rPr>
                        <w:rFonts w:ascii="Cambria Math" w:hAnsi="Cambria Math" w:cs="Arial"/>
                      </w:rPr>
                      <m:t>)</m:t>
                    </m:r>
                  </m:e>
                </m:d>
                <m:r>
                  <w:rPr>
                    <w:rFonts w:ascii="Cambria Math" w:hAnsi="Cambria Math" w:cs="Arial"/>
                  </w:rPr>
                  <m:t>x</m:t>
                </m:r>
              </m:oMath>
            </m:oMathPara>
          </w:p>
        </w:tc>
      </w:tr>
      <w:tr w:rsidR="00871B94" w14:paraId="2166C18C" w14:textId="77777777" w:rsidTr="007A4263">
        <w:tc>
          <w:tcPr>
            <w:cnfStyle w:val="001000000000" w:firstRow="0" w:lastRow="0" w:firstColumn="1" w:lastColumn="0" w:oddVBand="0" w:evenVBand="0" w:oddHBand="0" w:evenHBand="0" w:firstRowFirstColumn="0" w:firstRowLastColumn="0" w:lastRowFirstColumn="0" w:lastRowLastColumn="0"/>
            <w:tcW w:w="290" w:type="pct"/>
          </w:tcPr>
          <w:p w14:paraId="245B27AC" w14:textId="4F55B333" w:rsidR="00871B94" w:rsidRDefault="00871B94" w:rsidP="007C5358">
            <w:pPr>
              <w:pStyle w:val="Prrafodelista"/>
              <w:spacing w:before="0" w:after="0"/>
              <w:ind w:left="0"/>
              <w:jc w:val="center"/>
              <w:rPr>
                <w:rFonts w:ascii="Arial" w:hAnsi="Arial" w:cs="Arial"/>
              </w:rPr>
            </w:pPr>
            <w:r w:rsidRPr="008F68DA">
              <w:rPr>
                <w:rFonts w:ascii="Arial" w:hAnsi="Arial" w:cs="Arial"/>
              </w:rPr>
              <w:t>t+3</w:t>
            </w:r>
          </w:p>
        </w:tc>
        <w:tc>
          <w:tcPr>
            <w:tcW w:w="4710" w:type="pct"/>
          </w:tcPr>
          <w:p w14:paraId="12C1BB79" w14:textId="4EBFD605" w:rsidR="002B2B5C" w:rsidRDefault="002B2B5C" w:rsidP="002B2B5C">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Mínima reducción esperada para este periodo (</w:t>
            </w:r>
            <m:oMath>
              <m:sSub>
                <m:sSubPr>
                  <m:ctrlPr>
                    <w:rPr>
                      <w:rFonts w:ascii="Cambria Math" w:hAnsi="Cambria Math" w:cs="Arial"/>
                      <w:i/>
                    </w:rPr>
                  </m:ctrlPr>
                </m:sSubPr>
                <m:e>
                  <m:r>
                    <w:rPr>
                      <w:rFonts w:ascii="Cambria Math" w:hAnsi="Cambria Math" w:cs="Arial"/>
                    </w:rPr>
                    <m:t>R</m:t>
                  </m:r>
                </m:e>
                <m:sub>
                  <m:r>
                    <w:rPr>
                      <w:rFonts w:ascii="Cambria Math" w:hAnsi="Cambria Math" w:cs="Arial"/>
                    </w:rPr>
                    <m:t>t+3</m:t>
                  </m:r>
                </m:sub>
              </m:sSub>
            </m:oMath>
            <w:r>
              <w:rPr>
                <w:rFonts w:ascii="Arial" w:hAnsi="Arial" w:cs="Arial"/>
              </w:rPr>
              <w:t>):</w:t>
            </w:r>
          </w:p>
          <w:p w14:paraId="2D41D9CA" w14:textId="77777777" w:rsidR="002B2B5C" w:rsidRDefault="002B2B5C" w:rsidP="002B2B5C">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80DB85E" w14:textId="65BA5B05" w:rsidR="00871B94" w:rsidRDefault="00E42F3C" w:rsidP="002B2B5C">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sSub>
                  <m:sSubPr>
                    <m:ctrlPr>
                      <w:rPr>
                        <w:rFonts w:ascii="Cambria Math" w:hAnsi="Cambria Math" w:cs="Arial"/>
                        <w:i/>
                      </w:rPr>
                    </m:ctrlPr>
                  </m:sSubPr>
                  <m:e>
                    <m:r>
                      <w:rPr>
                        <w:rFonts w:ascii="Cambria Math" w:hAnsi="Cambria Math" w:cs="Arial"/>
                      </w:rPr>
                      <m:t>R</m:t>
                    </m:r>
                  </m:e>
                  <m:sub>
                    <m:r>
                      <w:rPr>
                        <w:rFonts w:ascii="Cambria Math" w:hAnsi="Cambria Math" w:cs="Arial"/>
                      </w:rPr>
                      <m:t>t+3</m:t>
                    </m:r>
                  </m:sub>
                </m:sSub>
                <m:r>
                  <w:rPr>
                    <w:rFonts w:ascii="Cambria Math" w:hAnsi="Cambria Math" w:cs="Arial"/>
                  </w:rPr>
                  <m:t>=</m:t>
                </m:r>
                <m:d>
                  <m:dPr>
                    <m:begChr m:val="["/>
                    <m:endChr m:val="]"/>
                    <m:ctrlPr>
                      <w:rPr>
                        <w:rFonts w:ascii="Cambria Math" w:hAnsi="Cambria Math" w:cs="Arial"/>
                        <w:i/>
                      </w:rPr>
                    </m:ctrlPr>
                  </m:dPr>
                  <m:e>
                    <m:r>
                      <w:rPr>
                        <w:rFonts w:ascii="Cambria Math" w:hAnsi="Cambria Math" w:cs="Arial"/>
                      </w:rPr>
                      <m:t>1-(0,05*</m:t>
                    </m:r>
                    <m:d>
                      <m:dPr>
                        <m:ctrlPr>
                          <w:rPr>
                            <w:rFonts w:ascii="Cambria Math" w:hAnsi="Cambria Math" w:cs="Arial"/>
                            <w:i/>
                          </w:rPr>
                        </m:ctrlPr>
                      </m:dPr>
                      <m:e>
                        <m:r>
                          <w:rPr>
                            <w:rFonts w:ascii="Cambria Math" w:hAnsi="Cambria Math" w:cs="Arial"/>
                          </w:rPr>
                          <m:t>3</m:t>
                        </m:r>
                      </m:e>
                    </m:d>
                    <m:r>
                      <w:rPr>
                        <w:rFonts w:ascii="Cambria Math" w:hAnsi="Cambria Math" w:cs="Arial"/>
                      </w:rPr>
                      <m:t>)</m:t>
                    </m:r>
                  </m:e>
                </m:d>
                <m:r>
                  <w:rPr>
                    <w:rFonts w:ascii="Cambria Math" w:hAnsi="Cambria Math" w:cs="Arial"/>
                  </w:rPr>
                  <m:t>x</m:t>
                </m:r>
              </m:oMath>
            </m:oMathPara>
          </w:p>
        </w:tc>
      </w:tr>
      <w:tr w:rsidR="00871B94" w14:paraId="5F50DA2D" w14:textId="77777777" w:rsidTr="007A4263">
        <w:tc>
          <w:tcPr>
            <w:cnfStyle w:val="001000000000" w:firstRow="0" w:lastRow="0" w:firstColumn="1" w:lastColumn="0" w:oddVBand="0" w:evenVBand="0" w:oddHBand="0" w:evenHBand="0" w:firstRowFirstColumn="0" w:firstRowLastColumn="0" w:lastRowFirstColumn="0" w:lastRowLastColumn="0"/>
            <w:tcW w:w="290" w:type="pct"/>
          </w:tcPr>
          <w:p w14:paraId="7E1BD1B3" w14:textId="218E58D3" w:rsidR="00871B94" w:rsidRPr="007C5358" w:rsidRDefault="00871B94" w:rsidP="007C5358">
            <w:pPr>
              <w:pStyle w:val="Prrafodelista"/>
              <w:spacing w:before="0" w:after="0"/>
              <w:ind w:left="0"/>
              <w:jc w:val="center"/>
              <w:rPr>
                <w:rFonts w:ascii="Arial" w:hAnsi="Arial" w:cs="Arial"/>
                <w:b w:val="0"/>
                <w:bCs w:val="0"/>
                <w:sz w:val="32"/>
                <w:szCs w:val="32"/>
              </w:rPr>
            </w:pPr>
            <w:r w:rsidRPr="007C5358">
              <w:rPr>
                <w:rFonts w:ascii="Arial" w:hAnsi="Arial" w:cs="Arial"/>
                <w:sz w:val="32"/>
                <w:szCs w:val="32"/>
              </w:rPr>
              <w:t>…</w:t>
            </w:r>
          </w:p>
        </w:tc>
        <w:tc>
          <w:tcPr>
            <w:tcW w:w="4710" w:type="pct"/>
          </w:tcPr>
          <w:p w14:paraId="0C48C8ED" w14:textId="711AD493" w:rsidR="00871B94" w:rsidRPr="007C5358" w:rsidRDefault="002B2B5C" w:rsidP="00891C31">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r w:rsidRPr="007C5358">
              <w:rPr>
                <w:rFonts w:ascii="Arial" w:hAnsi="Arial" w:cs="Arial"/>
                <w:b/>
                <w:bCs/>
                <w:sz w:val="32"/>
                <w:szCs w:val="32"/>
              </w:rPr>
              <w:t>…</w:t>
            </w:r>
          </w:p>
        </w:tc>
      </w:tr>
      <w:tr w:rsidR="00871B94" w14:paraId="1E1EE2E0" w14:textId="77777777" w:rsidTr="007A4263">
        <w:tc>
          <w:tcPr>
            <w:cnfStyle w:val="001000000000" w:firstRow="0" w:lastRow="0" w:firstColumn="1" w:lastColumn="0" w:oddVBand="0" w:evenVBand="0" w:oddHBand="0" w:evenHBand="0" w:firstRowFirstColumn="0" w:firstRowLastColumn="0" w:lastRowFirstColumn="0" w:lastRowLastColumn="0"/>
            <w:tcW w:w="290" w:type="pct"/>
          </w:tcPr>
          <w:p w14:paraId="3BCEE563" w14:textId="031408A0" w:rsidR="00871B94" w:rsidRDefault="00871B94" w:rsidP="007C5358">
            <w:pPr>
              <w:pStyle w:val="Prrafodelista"/>
              <w:spacing w:before="0" w:after="0"/>
              <w:ind w:left="0"/>
              <w:jc w:val="center"/>
              <w:rPr>
                <w:rFonts w:ascii="Arial" w:hAnsi="Arial" w:cs="Arial"/>
              </w:rPr>
            </w:pPr>
            <w:r w:rsidRPr="008F68DA">
              <w:rPr>
                <w:rFonts w:ascii="Arial" w:hAnsi="Arial" w:cs="Arial"/>
              </w:rPr>
              <w:t>t+n</w:t>
            </w:r>
          </w:p>
        </w:tc>
        <w:tc>
          <w:tcPr>
            <w:tcW w:w="4710" w:type="pct"/>
          </w:tcPr>
          <w:p w14:paraId="2D59FE45" w14:textId="168CB07E" w:rsidR="002B2B5C" w:rsidRDefault="002B2B5C" w:rsidP="002B2B5C">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Mínima reducción esperada para este periodo (</w:t>
            </w:r>
            <m:oMath>
              <m:sSub>
                <m:sSubPr>
                  <m:ctrlPr>
                    <w:rPr>
                      <w:rFonts w:ascii="Cambria Math" w:hAnsi="Cambria Math" w:cs="Arial"/>
                      <w:i/>
                    </w:rPr>
                  </m:ctrlPr>
                </m:sSubPr>
                <m:e>
                  <m:r>
                    <w:rPr>
                      <w:rFonts w:ascii="Cambria Math" w:hAnsi="Cambria Math" w:cs="Arial"/>
                    </w:rPr>
                    <m:t>R</m:t>
                  </m:r>
                </m:e>
                <m:sub>
                  <m:r>
                    <w:rPr>
                      <w:rFonts w:ascii="Cambria Math" w:hAnsi="Cambria Math" w:cs="Arial"/>
                    </w:rPr>
                    <m:t>t+n</m:t>
                  </m:r>
                </m:sub>
              </m:sSub>
            </m:oMath>
            <w:r>
              <w:rPr>
                <w:rFonts w:ascii="Arial" w:hAnsi="Arial" w:cs="Arial"/>
              </w:rPr>
              <w:t>):</w:t>
            </w:r>
          </w:p>
          <w:p w14:paraId="707C6213" w14:textId="77777777" w:rsidR="002B2B5C" w:rsidRDefault="002B2B5C" w:rsidP="002B2B5C">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B42D62B" w14:textId="4F0F2139" w:rsidR="00871B94" w:rsidRDefault="00E42F3C" w:rsidP="002B2B5C">
            <w:pPr>
              <w:pStyle w:val="Prrafodelista"/>
              <w:spacing w:before="0"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sSub>
                  <m:sSubPr>
                    <m:ctrlPr>
                      <w:rPr>
                        <w:rFonts w:ascii="Cambria Math" w:hAnsi="Cambria Math" w:cs="Arial"/>
                        <w:i/>
                      </w:rPr>
                    </m:ctrlPr>
                  </m:sSubPr>
                  <m:e>
                    <m:r>
                      <w:rPr>
                        <w:rFonts w:ascii="Cambria Math" w:hAnsi="Cambria Math" w:cs="Arial"/>
                      </w:rPr>
                      <m:t>R</m:t>
                    </m:r>
                  </m:e>
                  <m:sub>
                    <m:r>
                      <w:rPr>
                        <w:rFonts w:ascii="Cambria Math" w:hAnsi="Cambria Math" w:cs="Arial"/>
                      </w:rPr>
                      <m:t>t+n</m:t>
                    </m:r>
                  </m:sub>
                </m:sSub>
                <m:r>
                  <w:rPr>
                    <w:rFonts w:ascii="Cambria Math" w:hAnsi="Cambria Math" w:cs="Arial"/>
                  </w:rPr>
                  <m:t>=</m:t>
                </m:r>
                <m:d>
                  <m:dPr>
                    <m:begChr m:val="["/>
                    <m:endChr m:val="]"/>
                    <m:ctrlPr>
                      <w:rPr>
                        <w:rFonts w:ascii="Cambria Math" w:hAnsi="Cambria Math" w:cs="Arial"/>
                        <w:i/>
                      </w:rPr>
                    </m:ctrlPr>
                  </m:dPr>
                  <m:e>
                    <m:r>
                      <w:rPr>
                        <w:rFonts w:ascii="Cambria Math" w:hAnsi="Cambria Math" w:cs="Arial"/>
                      </w:rPr>
                      <m:t>1-(0,05*</m:t>
                    </m:r>
                    <m:d>
                      <m:dPr>
                        <m:ctrlPr>
                          <w:rPr>
                            <w:rFonts w:ascii="Cambria Math" w:hAnsi="Cambria Math" w:cs="Arial"/>
                            <w:i/>
                          </w:rPr>
                        </m:ctrlPr>
                      </m:dPr>
                      <m:e>
                        <m:r>
                          <w:rPr>
                            <w:rFonts w:ascii="Cambria Math" w:hAnsi="Cambria Math" w:cs="Arial"/>
                          </w:rPr>
                          <m:t>n</m:t>
                        </m:r>
                      </m:e>
                    </m:d>
                    <m:r>
                      <w:rPr>
                        <w:rFonts w:ascii="Cambria Math" w:hAnsi="Cambria Math" w:cs="Arial"/>
                      </w:rPr>
                      <m:t>)</m:t>
                    </m:r>
                  </m:e>
                </m:d>
                <m:r>
                  <w:rPr>
                    <w:rFonts w:ascii="Cambria Math" w:hAnsi="Cambria Math" w:cs="Arial"/>
                  </w:rPr>
                  <m:t>x</m:t>
                </m:r>
              </m:oMath>
            </m:oMathPara>
          </w:p>
        </w:tc>
      </w:tr>
    </w:tbl>
    <w:p w14:paraId="250B69B7" w14:textId="77777777" w:rsidR="00871B94" w:rsidRDefault="00871B94" w:rsidP="00891C31">
      <w:pPr>
        <w:pStyle w:val="Prrafodelista"/>
        <w:spacing w:before="0" w:after="0"/>
        <w:jc w:val="both"/>
        <w:rPr>
          <w:rFonts w:ascii="Arial" w:hAnsi="Arial" w:cs="Arial"/>
        </w:rPr>
      </w:pPr>
    </w:p>
    <w:p w14:paraId="48DC3A74" w14:textId="77777777" w:rsidR="0058734C" w:rsidRDefault="00C85CF7" w:rsidP="00891C31">
      <w:pPr>
        <w:pStyle w:val="Prrafodelista"/>
        <w:spacing w:before="0" w:after="0"/>
        <w:jc w:val="both"/>
        <w:rPr>
          <w:rFonts w:ascii="Arial" w:hAnsi="Arial" w:cs="Arial"/>
        </w:rPr>
      </w:pPr>
      <w:r>
        <w:rPr>
          <w:rFonts w:ascii="Arial" w:hAnsi="Arial" w:cs="Arial"/>
        </w:rPr>
        <w:t>De esta forma, como se observa en el cuadro anterior, para cada año</w:t>
      </w:r>
      <w:r w:rsidR="005F7D1F">
        <w:rPr>
          <w:rFonts w:ascii="Arial" w:hAnsi="Arial" w:cs="Arial"/>
        </w:rPr>
        <w:t xml:space="preserve"> posterior al </w:t>
      </w:r>
      <w:r w:rsidR="0046790D">
        <w:rPr>
          <w:rFonts w:ascii="Arial" w:hAnsi="Arial" w:cs="Arial"/>
        </w:rPr>
        <w:t xml:space="preserve">periodo base, </w:t>
      </w:r>
      <w:r w:rsidR="00433382">
        <w:rPr>
          <w:rFonts w:ascii="Arial" w:hAnsi="Arial" w:cs="Arial"/>
        </w:rPr>
        <w:t xml:space="preserve">se ha definido una meta de cumplimiento consistente en una </w:t>
      </w:r>
      <w:r w:rsidR="005766E6">
        <w:rPr>
          <w:rFonts w:ascii="Arial" w:hAnsi="Arial" w:cs="Arial"/>
        </w:rPr>
        <w:t xml:space="preserve">senda de </w:t>
      </w:r>
      <w:r w:rsidR="00433382">
        <w:rPr>
          <w:rFonts w:ascii="Arial" w:hAnsi="Arial" w:cs="Arial"/>
        </w:rPr>
        <w:t>reducción mínima</w:t>
      </w:r>
      <w:r w:rsidR="00814469">
        <w:rPr>
          <w:rFonts w:ascii="Arial" w:hAnsi="Arial" w:cs="Arial"/>
        </w:rPr>
        <w:t xml:space="preserve"> en cada año</w:t>
      </w:r>
      <w:r w:rsidR="005766E6">
        <w:rPr>
          <w:rFonts w:ascii="Arial" w:hAnsi="Arial" w:cs="Arial"/>
        </w:rPr>
        <w:t xml:space="preserve"> </w:t>
      </w:r>
      <w:r w:rsidR="008745EE">
        <w:rPr>
          <w:rFonts w:ascii="Arial" w:hAnsi="Arial" w:cs="Arial"/>
        </w:rPr>
        <w:t xml:space="preserve">de los valores de los dos indicadores </w:t>
      </w:r>
      <w:r w:rsidR="00DD200C">
        <w:rPr>
          <w:rFonts w:ascii="Arial" w:hAnsi="Arial" w:cs="Arial"/>
        </w:rPr>
        <w:t xml:space="preserve">mencionados </w:t>
      </w:r>
      <w:r w:rsidR="005766E6">
        <w:rPr>
          <w:rFonts w:ascii="Arial" w:hAnsi="Arial" w:cs="Arial"/>
        </w:rPr>
        <w:t>respecto de</w:t>
      </w:r>
      <w:r w:rsidR="00286E7C">
        <w:rPr>
          <w:rFonts w:ascii="Arial" w:hAnsi="Arial" w:cs="Arial"/>
        </w:rPr>
        <w:t xml:space="preserve"> </w:t>
      </w:r>
      <w:r w:rsidR="00AC5ACB">
        <w:rPr>
          <w:rFonts w:ascii="Arial" w:hAnsi="Arial" w:cs="Arial"/>
        </w:rPr>
        <w:t xml:space="preserve">esos valores para el año </w:t>
      </w:r>
      <w:r w:rsidR="005766E6">
        <w:rPr>
          <w:rFonts w:ascii="Arial" w:hAnsi="Arial" w:cs="Arial"/>
        </w:rPr>
        <w:t>base</w:t>
      </w:r>
      <w:r w:rsidR="007378F0">
        <w:rPr>
          <w:rFonts w:ascii="Arial" w:hAnsi="Arial" w:cs="Arial"/>
        </w:rPr>
        <w:t>.</w:t>
      </w:r>
    </w:p>
    <w:p w14:paraId="01780135" w14:textId="77777777" w:rsidR="0058734C" w:rsidRDefault="0058734C" w:rsidP="00891C31">
      <w:pPr>
        <w:pStyle w:val="Prrafodelista"/>
        <w:spacing w:before="0" w:after="0"/>
        <w:jc w:val="both"/>
        <w:rPr>
          <w:rFonts w:ascii="Arial" w:hAnsi="Arial" w:cs="Arial"/>
        </w:rPr>
      </w:pPr>
    </w:p>
    <w:p w14:paraId="045CF51F" w14:textId="183AC278" w:rsidR="00C85CF7" w:rsidRPr="00FF4DD9" w:rsidRDefault="00AF5129" w:rsidP="00891C31">
      <w:pPr>
        <w:pStyle w:val="Prrafodelista"/>
        <w:spacing w:before="0" w:after="0"/>
        <w:jc w:val="both"/>
        <w:rPr>
          <w:rFonts w:ascii="Arial" w:hAnsi="Arial" w:cs="Arial"/>
        </w:rPr>
      </w:pPr>
      <w:r w:rsidRPr="00FF4DD9">
        <w:rPr>
          <w:rFonts w:ascii="Arial" w:hAnsi="Arial" w:cs="Arial"/>
        </w:rPr>
        <w:t>Así</w:t>
      </w:r>
      <w:r w:rsidR="007378F0" w:rsidRPr="00FF4DD9">
        <w:rPr>
          <w:rFonts w:ascii="Arial" w:hAnsi="Arial" w:cs="Arial"/>
        </w:rPr>
        <w:t xml:space="preserve">, </w:t>
      </w:r>
      <w:r w:rsidR="003249D6" w:rsidRPr="00FF4DD9">
        <w:rPr>
          <w:rFonts w:ascii="Arial" w:hAnsi="Arial" w:cs="Arial"/>
        </w:rPr>
        <w:t xml:space="preserve">para los </w:t>
      </w:r>
      <w:r w:rsidR="008745EE" w:rsidRPr="00FF4DD9">
        <w:rPr>
          <w:rFonts w:ascii="Arial" w:hAnsi="Arial" w:cs="Arial"/>
        </w:rPr>
        <w:t xml:space="preserve">años en los que </w:t>
      </w:r>
      <w:r w:rsidR="003249D6" w:rsidRPr="00FF4DD9">
        <w:rPr>
          <w:rFonts w:ascii="Arial" w:hAnsi="Arial" w:cs="Arial"/>
        </w:rPr>
        <w:t xml:space="preserve">una empresa </w:t>
      </w:r>
      <w:r w:rsidR="006E220E" w:rsidRPr="00FF4DD9">
        <w:rPr>
          <w:rFonts w:ascii="Arial" w:hAnsi="Arial" w:cs="Arial"/>
        </w:rPr>
        <w:t xml:space="preserve">comercializadora de energía </w:t>
      </w:r>
      <w:r w:rsidR="00B74F19" w:rsidRPr="00FF4DD9">
        <w:rPr>
          <w:rFonts w:ascii="Arial" w:hAnsi="Arial" w:cs="Arial"/>
        </w:rPr>
        <w:t xml:space="preserve">registre valores </w:t>
      </w:r>
      <w:r w:rsidR="00917109" w:rsidRPr="00FF4DD9">
        <w:rPr>
          <w:rFonts w:ascii="Arial" w:hAnsi="Arial" w:cs="Arial"/>
        </w:rPr>
        <w:t>de uno de los indicadores mencionados</w:t>
      </w:r>
      <w:r w:rsidR="00315B5F" w:rsidRPr="00FF4DD9">
        <w:rPr>
          <w:rFonts w:ascii="Arial" w:hAnsi="Arial" w:cs="Arial"/>
        </w:rPr>
        <w:t xml:space="preserve"> </w:t>
      </w:r>
      <w:r w:rsidR="00CA4378" w:rsidRPr="00FF4DD9">
        <w:rPr>
          <w:rFonts w:ascii="Arial" w:hAnsi="Arial" w:cs="Arial"/>
        </w:rPr>
        <w:t xml:space="preserve">que </w:t>
      </w:r>
      <w:r w:rsidR="00C03CA1" w:rsidRPr="00FF4DD9">
        <w:rPr>
          <w:rFonts w:ascii="Arial" w:hAnsi="Arial" w:cs="Arial"/>
        </w:rPr>
        <w:t xml:space="preserve">no cumplen con la reducción mínima esperada </w:t>
      </w:r>
      <w:r w:rsidR="002F29FA" w:rsidRPr="00FF4DD9">
        <w:rPr>
          <w:rFonts w:ascii="Arial" w:hAnsi="Arial" w:cs="Arial"/>
        </w:rPr>
        <w:t xml:space="preserve">para </w:t>
      </w:r>
      <w:r w:rsidR="00AF7DF1" w:rsidRPr="00FF4DD9">
        <w:rPr>
          <w:rFonts w:ascii="Arial" w:hAnsi="Arial" w:cs="Arial"/>
        </w:rPr>
        <w:t xml:space="preserve">esos años </w:t>
      </w:r>
      <w:r w:rsidR="00C03CA1" w:rsidRPr="00FF4DD9">
        <w:rPr>
          <w:rFonts w:ascii="Arial" w:hAnsi="Arial" w:cs="Arial"/>
        </w:rPr>
        <w:t>respecto del año base</w:t>
      </w:r>
      <w:r w:rsidR="000C5ADF" w:rsidRPr="00FF4DD9">
        <w:rPr>
          <w:rFonts w:ascii="Arial" w:hAnsi="Arial" w:cs="Arial"/>
        </w:rPr>
        <w:t xml:space="preserve">, </w:t>
      </w:r>
      <w:r w:rsidR="00BC5128" w:rsidRPr="00FF4DD9">
        <w:rPr>
          <w:rFonts w:ascii="Arial" w:hAnsi="Arial" w:cs="Arial"/>
        </w:rPr>
        <w:t xml:space="preserve">se considera </w:t>
      </w:r>
      <w:r w:rsidR="0053773F" w:rsidRPr="00FF4DD9">
        <w:rPr>
          <w:rFonts w:ascii="Arial" w:hAnsi="Arial" w:cs="Arial"/>
        </w:rPr>
        <w:t xml:space="preserve">incumplida la </w:t>
      </w:r>
      <w:r w:rsidR="00AF7DF1" w:rsidRPr="00FF4DD9">
        <w:rPr>
          <w:rFonts w:ascii="Arial" w:hAnsi="Arial" w:cs="Arial"/>
        </w:rPr>
        <w:t xml:space="preserve">senda en esos periodos y </w:t>
      </w:r>
      <w:r w:rsidRPr="00FF4DD9">
        <w:rPr>
          <w:rFonts w:ascii="Arial" w:hAnsi="Arial" w:cs="Arial"/>
        </w:rPr>
        <w:t xml:space="preserve">en consecuencia </w:t>
      </w:r>
      <w:r w:rsidR="00671F99" w:rsidRPr="00FF4DD9">
        <w:rPr>
          <w:rFonts w:ascii="Arial" w:hAnsi="Arial" w:cs="Arial"/>
        </w:rPr>
        <w:t xml:space="preserve">no se habría cumplido la </w:t>
      </w:r>
      <w:r w:rsidR="0053773F" w:rsidRPr="00FF4DD9">
        <w:rPr>
          <w:rFonts w:ascii="Arial" w:hAnsi="Arial" w:cs="Arial"/>
        </w:rPr>
        <w:t xml:space="preserve">meta </w:t>
      </w:r>
      <w:r w:rsidR="003F2087" w:rsidRPr="00FF4DD9">
        <w:rPr>
          <w:rFonts w:ascii="Arial" w:hAnsi="Arial" w:cs="Arial"/>
        </w:rPr>
        <w:t xml:space="preserve">de calidad </w:t>
      </w:r>
      <w:r w:rsidR="0053773F" w:rsidRPr="00FF4DD9">
        <w:rPr>
          <w:rFonts w:ascii="Arial" w:hAnsi="Arial" w:cs="Arial"/>
        </w:rPr>
        <w:t xml:space="preserve">para </w:t>
      </w:r>
      <w:r w:rsidR="003F2087" w:rsidRPr="00FF4DD9">
        <w:rPr>
          <w:rFonts w:ascii="Arial" w:hAnsi="Arial" w:cs="Arial"/>
        </w:rPr>
        <w:t xml:space="preserve">esos </w:t>
      </w:r>
      <w:r w:rsidR="00671F99" w:rsidRPr="00FF4DD9">
        <w:rPr>
          <w:rFonts w:ascii="Arial" w:hAnsi="Arial" w:cs="Arial"/>
        </w:rPr>
        <w:t xml:space="preserve">periodos de forma </w:t>
      </w:r>
      <w:r w:rsidR="00886FE7" w:rsidRPr="00FF4DD9">
        <w:rPr>
          <w:rFonts w:ascii="Arial" w:hAnsi="Arial" w:cs="Arial"/>
        </w:rPr>
        <w:t>que,</w:t>
      </w:r>
      <w:r w:rsidR="00671F99" w:rsidRPr="00FF4DD9">
        <w:rPr>
          <w:rFonts w:ascii="Arial" w:hAnsi="Arial" w:cs="Arial"/>
        </w:rPr>
        <w:t xml:space="preserve"> </w:t>
      </w:r>
      <w:r w:rsidR="00C759A6" w:rsidRPr="00FF4DD9">
        <w:rPr>
          <w:rFonts w:ascii="Arial" w:hAnsi="Arial" w:cs="Arial"/>
        </w:rPr>
        <w:t xml:space="preserve">en el año siguiente al periodo de incumplimiento de la senda, </w:t>
      </w:r>
      <w:r w:rsidR="000477E6" w:rsidRPr="00FF4DD9">
        <w:rPr>
          <w:rFonts w:ascii="Arial" w:hAnsi="Arial" w:cs="Arial"/>
        </w:rPr>
        <w:t>se contaría como incumplido ese indicador</w:t>
      </w:r>
      <w:r w:rsidR="005634EA" w:rsidRPr="00FF4DD9">
        <w:rPr>
          <w:rFonts w:ascii="Arial" w:hAnsi="Arial" w:cs="Arial"/>
        </w:rPr>
        <w:t xml:space="preserve"> y debería verse reflejado en el </w:t>
      </w:r>
      <w:r w:rsidR="005634EA" w:rsidRPr="00FF4DD9">
        <w:rPr>
          <w:rFonts w:ascii="Arial" w:hAnsi="Arial" w:cs="Arial"/>
        </w:rPr>
        <w:lastRenderedPageBreak/>
        <w:t>cont</w:t>
      </w:r>
      <w:r w:rsidR="00A2208C" w:rsidRPr="00FF4DD9">
        <w:rPr>
          <w:rFonts w:ascii="Arial" w:hAnsi="Arial" w:cs="Arial"/>
        </w:rPr>
        <w:t xml:space="preserve">eo </w:t>
      </w:r>
      <w:r w:rsidR="00FF4DD9" w:rsidRPr="00FF4DD9">
        <w:rPr>
          <w:rFonts w:ascii="Arial" w:hAnsi="Arial" w:cs="Arial"/>
        </w:rPr>
        <w:t xml:space="preserve">de la variable </w:t>
      </w:r>
      <m:oMath>
        <m:sSub>
          <m:sSubPr>
            <m:ctrlPr>
              <w:rPr>
                <w:rFonts w:ascii="Cambria Math" w:hAnsi="Cambria Math" w:cs="Arial"/>
                <w:i/>
                <w:color w:val="000000"/>
              </w:rPr>
            </m:ctrlPr>
          </m:sSubPr>
          <m:e>
            <m:r>
              <w:rPr>
                <w:rFonts w:ascii="Cambria Math" w:hAnsi="Cambria Math" w:cs="Arial"/>
                <w:color w:val="000000"/>
              </w:rPr>
              <m:t>inc</m:t>
            </m:r>
          </m:e>
          <m:sub>
            <m:r>
              <w:rPr>
                <w:rFonts w:ascii="Cambria Math" w:hAnsi="Cambria Math" w:cs="Arial"/>
                <w:color w:val="000000"/>
              </w:rPr>
              <m:t>i,j,t-1</m:t>
            </m:r>
          </m:sub>
        </m:sSub>
      </m:oMath>
      <w:r w:rsidR="00FF4DD9" w:rsidRPr="00FF4DD9">
        <w:rPr>
          <w:rFonts w:ascii="Arial" w:eastAsiaTheme="minorEastAsia" w:hAnsi="Arial" w:cs="Arial"/>
          <w:color w:val="000000"/>
        </w:rPr>
        <w:t xml:space="preserve"> que hace parte de la fórmula del Factor de ajuste por calidad del servicio (ACS).</w:t>
      </w:r>
    </w:p>
    <w:p w14:paraId="4A293686" w14:textId="77777777" w:rsidR="00871B94" w:rsidRDefault="00871B94" w:rsidP="00891C31">
      <w:pPr>
        <w:pStyle w:val="Prrafodelista"/>
        <w:spacing w:before="0" w:after="0"/>
        <w:jc w:val="both"/>
        <w:rPr>
          <w:rFonts w:ascii="Arial" w:hAnsi="Arial" w:cs="Arial"/>
        </w:rPr>
      </w:pPr>
    </w:p>
    <w:p w14:paraId="366249FB" w14:textId="10B41FD5" w:rsidR="00C75F55" w:rsidRDefault="00F60233" w:rsidP="00891C31">
      <w:pPr>
        <w:pStyle w:val="Prrafodelista"/>
        <w:numPr>
          <w:ilvl w:val="1"/>
          <w:numId w:val="5"/>
        </w:numPr>
        <w:spacing w:before="0" w:after="0"/>
        <w:jc w:val="both"/>
        <w:rPr>
          <w:rFonts w:ascii="Arial" w:hAnsi="Arial" w:cs="Arial"/>
          <w:b/>
          <w:bCs/>
        </w:rPr>
      </w:pPr>
      <w:r w:rsidRPr="00F60233">
        <w:rPr>
          <w:rFonts w:ascii="Arial" w:hAnsi="Arial" w:cs="Arial"/>
          <w:b/>
          <w:bCs/>
        </w:rPr>
        <w:t>Indicadores con meta de cumplimiento aplicable</w:t>
      </w:r>
      <w:r w:rsidR="00726410">
        <w:rPr>
          <w:rFonts w:ascii="Arial" w:hAnsi="Arial" w:cs="Arial"/>
          <w:b/>
          <w:bCs/>
        </w:rPr>
        <w:t xml:space="preserve"> </w:t>
      </w:r>
      <w:r w:rsidR="00726410" w:rsidRPr="00726410">
        <w:rPr>
          <w:rFonts w:ascii="Arial" w:hAnsi="Arial" w:cs="Arial"/>
          <w:b/>
          <w:bCs/>
        </w:rPr>
        <w:t>por definir mediante circular expedida por la CREG</w:t>
      </w:r>
    </w:p>
    <w:p w14:paraId="538DDB93" w14:textId="77777777" w:rsidR="00D51FD7" w:rsidRDefault="00D51FD7" w:rsidP="00891C31">
      <w:pPr>
        <w:spacing w:before="0" w:after="0"/>
        <w:ind w:left="1080"/>
        <w:jc w:val="both"/>
        <w:rPr>
          <w:rFonts w:ascii="Arial" w:hAnsi="Arial" w:cs="Arial"/>
          <w:b/>
          <w:bCs/>
        </w:rPr>
      </w:pPr>
    </w:p>
    <w:p w14:paraId="65536715" w14:textId="263218B6" w:rsidR="00D51FD7" w:rsidRDefault="00714AE6" w:rsidP="00891C31">
      <w:pPr>
        <w:pStyle w:val="Prrafodelista"/>
        <w:spacing w:before="0" w:after="0"/>
        <w:jc w:val="both"/>
        <w:rPr>
          <w:rFonts w:ascii="Arial" w:hAnsi="Arial" w:cs="Arial"/>
        </w:rPr>
      </w:pPr>
      <w:r>
        <w:rPr>
          <w:rFonts w:ascii="Arial" w:hAnsi="Arial" w:cs="Arial"/>
        </w:rPr>
        <w:t xml:space="preserve">En virtud de que </w:t>
      </w:r>
      <w:r w:rsidR="00EE79CA">
        <w:rPr>
          <w:rFonts w:ascii="Arial" w:hAnsi="Arial" w:cs="Arial"/>
        </w:rPr>
        <w:t xml:space="preserve">algunos de </w:t>
      </w:r>
      <w:r>
        <w:rPr>
          <w:rFonts w:ascii="Arial" w:hAnsi="Arial" w:cs="Arial"/>
        </w:rPr>
        <w:t xml:space="preserve">los indicadores </w:t>
      </w:r>
      <w:r w:rsidR="00EE79CA">
        <w:rPr>
          <w:rFonts w:ascii="Arial" w:hAnsi="Arial" w:cs="Arial"/>
        </w:rPr>
        <w:t>para la medición de la calidad comercial</w:t>
      </w:r>
      <w:r>
        <w:rPr>
          <w:rFonts w:ascii="Arial" w:hAnsi="Arial" w:cs="Arial"/>
        </w:rPr>
        <w:t xml:space="preserve"> </w:t>
      </w:r>
      <w:r w:rsidR="007242E9">
        <w:rPr>
          <w:rFonts w:ascii="Arial" w:hAnsi="Arial" w:cs="Arial"/>
        </w:rPr>
        <w:t xml:space="preserve">requieren ajustes metodológicos para su cálculo y reporte por parte de </w:t>
      </w:r>
      <w:r w:rsidR="00D51FD7" w:rsidRPr="00D51FD7">
        <w:rPr>
          <w:rFonts w:ascii="Arial" w:hAnsi="Arial" w:cs="Arial"/>
        </w:rPr>
        <w:t xml:space="preserve">los </w:t>
      </w:r>
      <w:r w:rsidR="007242E9">
        <w:rPr>
          <w:rFonts w:ascii="Arial" w:hAnsi="Arial" w:cs="Arial"/>
        </w:rPr>
        <w:t>comercializadores, la CREG ha definido que</w:t>
      </w:r>
      <w:r w:rsidR="00D51FD7" w:rsidRPr="00D51FD7">
        <w:rPr>
          <w:rFonts w:ascii="Arial" w:hAnsi="Arial" w:cs="Arial"/>
        </w:rPr>
        <w:t xml:space="preserve"> la meta de cumplimiento será definida </w:t>
      </w:r>
      <w:r w:rsidR="008B09D8">
        <w:rPr>
          <w:rFonts w:ascii="Arial" w:hAnsi="Arial" w:cs="Arial"/>
        </w:rPr>
        <w:t xml:space="preserve">al momento </w:t>
      </w:r>
      <w:r w:rsidR="0002251F">
        <w:rPr>
          <w:rFonts w:ascii="Arial" w:hAnsi="Arial" w:cs="Arial"/>
        </w:rPr>
        <w:t>en que considere que</w:t>
      </w:r>
      <w:r w:rsidR="007242E9">
        <w:rPr>
          <w:rFonts w:ascii="Arial" w:hAnsi="Arial" w:cs="Arial"/>
        </w:rPr>
        <w:t xml:space="preserve"> se cuent</w:t>
      </w:r>
      <w:r w:rsidR="0002251F">
        <w:rPr>
          <w:rFonts w:ascii="Arial" w:hAnsi="Arial" w:cs="Arial"/>
        </w:rPr>
        <w:t>a</w:t>
      </w:r>
      <w:r w:rsidR="007242E9">
        <w:rPr>
          <w:rFonts w:ascii="Arial" w:hAnsi="Arial" w:cs="Arial"/>
        </w:rPr>
        <w:t xml:space="preserve"> con una línea base </w:t>
      </w:r>
      <w:r w:rsidR="00854DF9">
        <w:rPr>
          <w:rFonts w:ascii="Arial" w:hAnsi="Arial" w:cs="Arial"/>
        </w:rPr>
        <w:t xml:space="preserve">con información </w:t>
      </w:r>
      <w:r w:rsidR="00004C82">
        <w:rPr>
          <w:rFonts w:ascii="Arial" w:hAnsi="Arial" w:cs="Arial"/>
        </w:rPr>
        <w:t xml:space="preserve">precisa </w:t>
      </w:r>
      <w:r w:rsidR="00E5657C">
        <w:rPr>
          <w:rFonts w:ascii="Arial" w:hAnsi="Arial" w:cs="Arial"/>
        </w:rPr>
        <w:t xml:space="preserve">y que permita determinar </w:t>
      </w:r>
      <w:r w:rsidR="00EE79CA">
        <w:rPr>
          <w:rFonts w:ascii="Arial" w:hAnsi="Arial" w:cs="Arial"/>
        </w:rPr>
        <w:t xml:space="preserve">de forma objetiva la meta que debe observarse en cada indicador. </w:t>
      </w:r>
      <w:r w:rsidR="00BA2261">
        <w:rPr>
          <w:rFonts w:ascii="Arial" w:hAnsi="Arial" w:cs="Arial"/>
        </w:rPr>
        <w:t xml:space="preserve">La definición de una meta </w:t>
      </w:r>
      <w:r w:rsidR="001843E2">
        <w:rPr>
          <w:rFonts w:ascii="Arial" w:hAnsi="Arial" w:cs="Arial"/>
        </w:rPr>
        <w:t>mediante circular expedida por la CREG</w:t>
      </w:r>
      <w:r w:rsidR="001C03BE">
        <w:rPr>
          <w:rFonts w:ascii="Arial" w:hAnsi="Arial" w:cs="Arial"/>
        </w:rPr>
        <w:t xml:space="preserve"> será aplicable a l</w:t>
      </w:r>
      <w:r w:rsidR="00EE79CA">
        <w:rPr>
          <w:rFonts w:ascii="Arial" w:hAnsi="Arial" w:cs="Arial"/>
        </w:rPr>
        <w:t xml:space="preserve">os </w:t>
      </w:r>
      <w:r w:rsidR="000F36A2">
        <w:rPr>
          <w:rFonts w:ascii="Arial" w:hAnsi="Arial" w:cs="Arial"/>
        </w:rPr>
        <w:t>indicadores</w:t>
      </w:r>
      <w:r w:rsidR="000F36A2" w:rsidRPr="000F36A2">
        <w:rPr>
          <w:rFonts w:ascii="Arial" w:hAnsi="Arial" w:cs="Arial"/>
        </w:rPr>
        <w:t xml:space="preserve"> </w:t>
      </w:r>
      <w:r w:rsidR="000F36A2">
        <w:rPr>
          <w:rFonts w:ascii="Arial" w:hAnsi="Arial" w:cs="Arial"/>
        </w:rPr>
        <w:t>que se listan a continuación</w:t>
      </w:r>
      <w:r w:rsidR="00D51FD7" w:rsidRPr="00D51FD7">
        <w:rPr>
          <w:rFonts w:ascii="Arial" w:hAnsi="Arial" w:cs="Arial"/>
        </w:rPr>
        <w:t>:</w:t>
      </w:r>
    </w:p>
    <w:p w14:paraId="469A4EA5" w14:textId="77777777" w:rsidR="00D51FD7" w:rsidRPr="00D51FD7" w:rsidRDefault="00D51FD7" w:rsidP="00891C31">
      <w:pPr>
        <w:pStyle w:val="Prrafodelista"/>
        <w:spacing w:before="0" w:after="0"/>
        <w:jc w:val="both"/>
        <w:rPr>
          <w:rFonts w:ascii="Arial" w:hAnsi="Arial" w:cs="Arial"/>
        </w:rPr>
      </w:pPr>
    </w:p>
    <w:p w14:paraId="4BA684B1" w14:textId="77777777" w:rsidR="00D51FD7" w:rsidRPr="00D51FD7" w:rsidRDefault="00D51FD7" w:rsidP="00891C31">
      <w:pPr>
        <w:pStyle w:val="Prrafodelista"/>
        <w:spacing w:before="0" w:after="0"/>
        <w:jc w:val="both"/>
        <w:rPr>
          <w:rFonts w:ascii="Arial" w:hAnsi="Arial" w:cs="Arial"/>
        </w:rPr>
      </w:pPr>
      <w:r w:rsidRPr="00D51FD7">
        <w:rPr>
          <w:rFonts w:ascii="Arial" w:hAnsi="Arial" w:cs="Arial"/>
        </w:rPr>
        <w:t>-</w:t>
      </w:r>
      <w:r w:rsidRPr="00D51FD7">
        <w:rPr>
          <w:rFonts w:ascii="Arial" w:hAnsi="Arial" w:cs="Arial"/>
        </w:rPr>
        <w:tab/>
        <w:t>Calidad en la respuesta a quejas y reclamos</w:t>
      </w:r>
    </w:p>
    <w:p w14:paraId="4E3D6200" w14:textId="77777777" w:rsidR="00D51FD7" w:rsidRPr="00D51FD7" w:rsidRDefault="00D51FD7" w:rsidP="00891C31">
      <w:pPr>
        <w:pStyle w:val="Prrafodelista"/>
        <w:spacing w:before="0" w:after="0"/>
        <w:jc w:val="both"/>
        <w:rPr>
          <w:rFonts w:ascii="Arial" w:hAnsi="Arial" w:cs="Arial"/>
        </w:rPr>
      </w:pPr>
      <w:r w:rsidRPr="00D51FD7">
        <w:rPr>
          <w:rFonts w:ascii="Arial" w:hAnsi="Arial" w:cs="Arial"/>
        </w:rPr>
        <w:t>-</w:t>
      </w:r>
      <w:r w:rsidRPr="00D51FD7">
        <w:rPr>
          <w:rFonts w:ascii="Arial" w:hAnsi="Arial" w:cs="Arial"/>
        </w:rPr>
        <w:tab/>
        <w:t>Calidad en la atención de llamadas telefónicas</w:t>
      </w:r>
    </w:p>
    <w:p w14:paraId="23E582D4" w14:textId="77777777" w:rsidR="00D51FD7" w:rsidRPr="00D51FD7" w:rsidRDefault="00D51FD7" w:rsidP="00891C31">
      <w:pPr>
        <w:pStyle w:val="Prrafodelista"/>
        <w:spacing w:before="0" w:after="0"/>
        <w:jc w:val="both"/>
        <w:rPr>
          <w:rFonts w:ascii="Arial" w:hAnsi="Arial" w:cs="Arial"/>
        </w:rPr>
      </w:pPr>
      <w:r w:rsidRPr="00D51FD7">
        <w:rPr>
          <w:rFonts w:ascii="Arial" w:hAnsi="Arial" w:cs="Arial"/>
        </w:rPr>
        <w:t>-</w:t>
      </w:r>
      <w:r w:rsidRPr="00D51FD7">
        <w:rPr>
          <w:rFonts w:ascii="Arial" w:hAnsi="Arial" w:cs="Arial"/>
        </w:rPr>
        <w:tab/>
        <w:t>Gestión de abandono de llamada</w:t>
      </w:r>
    </w:p>
    <w:p w14:paraId="721965B9" w14:textId="36D8B6EA" w:rsidR="00D51FD7" w:rsidRPr="00D51FD7" w:rsidRDefault="00D51FD7" w:rsidP="00891C31">
      <w:pPr>
        <w:pStyle w:val="Prrafodelista"/>
        <w:spacing w:before="0" w:after="0"/>
        <w:jc w:val="both"/>
        <w:rPr>
          <w:rFonts w:ascii="Arial" w:hAnsi="Arial" w:cs="Arial"/>
        </w:rPr>
      </w:pPr>
      <w:r w:rsidRPr="00D51FD7">
        <w:rPr>
          <w:rFonts w:ascii="Arial" w:hAnsi="Arial" w:cs="Arial"/>
        </w:rPr>
        <w:t>-</w:t>
      </w:r>
      <w:r w:rsidRPr="00D51FD7">
        <w:rPr>
          <w:rFonts w:ascii="Arial" w:hAnsi="Arial" w:cs="Arial"/>
        </w:rPr>
        <w:tab/>
        <w:t>Respuesta a medios electrónicos</w:t>
      </w:r>
    </w:p>
    <w:p w14:paraId="4DEF6F89" w14:textId="77777777" w:rsidR="005643B4" w:rsidRDefault="005643B4" w:rsidP="00891C31">
      <w:pPr>
        <w:pStyle w:val="Prrafodelista"/>
        <w:spacing w:before="0" w:after="0"/>
        <w:jc w:val="both"/>
        <w:rPr>
          <w:rFonts w:ascii="Arial" w:hAnsi="Arial" w:cs="Arial"/>
        </w:rPr>
      </w:pPr>
    </w:p>
    <w:p w14:paraId="7FE315B1" w14:textId="40E34257" w:rsidR="00E206B8" w:rsidRDefault="005643B4" w:rsidP="00891C31">
      <w:pPr>
        <w:pStyle w:val="Prrafodelista"/>
        <w:spacing w:before="0" w:after="0"/>
        <w:jc w:val="both"/>
        <w:rPr>
          <w:rFonts w:ascii="Arial" w:hAnsi="Arial" w:cs="Arial"/>
        </w:rPr>
      </w:pPr>
      <w:r>
        <w:rPr>
          <w:rFonts w:ascii="Arial" w:hAnsi="Arial" w:cs="Arial"/>
        </w:rPr>
        <w:t xml:space="preserve">La evaluación de cumplimiento de estos indicadores </w:t>
      </w:r>
      <w:r w:rsidRPr="00E206B8">
        <w:rPr>
          <w:rFonts w:ascii="Arial" w:hAnsi="Arial" w:cs="Arial"/>
        </w:rPr>
        <w:t xml:space="preserve">se aplicará </w:t>
      </w:r>
      <w:r w:rsidR="008A026B">
        <w:rPr>
          <w:rFonts w:ascii="Arial" w:hAnsi="Arial" w:cs="Arial"/>
        </w:rPr>
        <w:t>a partir del periodo definido en la circular que define las metas de estos indicadores.</w:t>
      </w:r>
    </w:p>
    <w:p w14:paraId="48B5C3C1" w14:textId="77777777" w:rsidR="0063117D" w:rsidRDefault="0063117D" w:rsidP="00891C31">
      <w:pPr>
        <w:pStyle w:val="Prrafodelista"/>
        <w:spacing w:before="0" w:after="0"/>
        <w:jc w:val="both"/>
        <w:rPr>
          <w:rFonts w:ascii="Arial" w:hAnsi="Arial" w:cs="Arial"/>
        </w:rPr>
      </w:pPr>
    </w:p>
    <w:p w14:paraId="57A51EB6" w14:textId="475F3DE9" w:rsidR="00650BD8" w:rsidRPr="00AB333E" w:rsidRDefault="00CF72D8" w:rsidP="00576BFA">
      <w:pPr>
        <w:pStyle w:val="Ttulo1"/>
      </w:pPr>
      <w:bookmarkStart w:id="63" w:name="_Toc165037343"/>
      <w:r w:rsidRPr="00AB333E">
        <w:t>APLICACIÓN DE LA PROPUESTA REGULATORIA.</w:t>
      </w:r>
      <w:bookmarkEnd w:id="63"/>
    </w:p>
    <w:p w14:paraId="021AA85A" w14:textId="77777777" w:rsidR="00FF61C0" w:rsidRDefault="00650BD8" w:rsidP="003E6CBD">
      <w:pPr>
        <w:jc w:val="both"/>
        <w:rPr>
          <w:rFonts w:ascii="Arial" w:hAnsi="Arial" w:cs="Arial"/>
        </w:rPr>
      </w:pPr>
      <w:r>
        <w:rPr>
          <w:rFonts w:ascii="Arial" w:hAnsi="Arial" w:cs="Arial"/>
        </w:rPr>
        <w:t xml:space="preserve">En el documento CREG </w:t>
      </w:r>
      <w:r w:rsidR="003C6D72">
        <w:rPr>
          <w:rFonts w:ascii="Arial" w:hAnsi="Arial" w:cs="Arial"/>
        </w:rPr>
        <w:t xml:space="preserve">243 A de 2021, </w:t>
      </w:r>
      <w:r w:rsidR="00717E97">
        <w:rPr>
          <w:rFonts w:ascii="Arial" w:hAnsi="Arial" w:cs="Arial"/>
        </w:rPr>
        <w:t>soporte de la Resolución CREG 175 de 2021</w:t>
      </w:r>
      <w:r w:rsidR="003F381D">
        <w:rPr>
          <w:rStyle w:val="Refdenotaalpie"/>
          <w:rFonts w:ascii="Arial" w:hAnsi="Arial" w:cs="Arial"/>
        </w:rPr>
        <w:footnoteReference w:id="5"/>
      </w:r>
      <w:r w:rsidR="003F381D">
        <w:rPr>
          <w:rFonts w:ascii="Arial" w:hAnsi="Arial" w:cs="Arial"/>
        </w:rPr>
        <w:t>,</w:t>
      </w:r>
      <w:r w:rsidR="00717E97">
        <w:rPr>
          <w:rFonts w:ascii="Arial" w:hAnsi="Arial" w:cs="Arial"/>
        </w:rPr>
        <w:t xml:space="preserve"> “</w:t>
      </w:r>
      <w:r w:rsidR="003C6D72">
        <w:rPr>
          <w:rFonts w:ascii="Arial" w:hAnsi="Arial" w:cs="Arial"/>
        </w:rPr>
        <w:t xml:space="preserve">la Comisión incorporó </w:t>
      </w:r>
      <w:r w:rsidR="003F381D">
        <w:rPr>
          <w:rFonts w:ascii="Arial" w:hAnsi="Arial" w:cs="Arial"/>
        </w:rPr>
        <w:t>el</w:t>
      </w:r>
      <w:r w:rsidR="003C6D72">
        <w:rPr>
          <w:rFonts w:ascii="Arial" w:hAnsi="Arial" w:cs="Arial"/>
        </w:rPr>
        <w:t xml:space="preserve"> </w:t>
      </w:r>
      <w:r w:rsidR="000C06B3">
        <w:rPr>
          <w:rFonts w:ascii="Arial" w:hAnsi="Arial" w:cs="Arial"/>
        </w:rPr>
        <w:t>“A</w:t>
      </w:r>
      <w:r w:rsidR="000C06B3" w:rsidRPr="000C06B3">
        <w:rPr>
          <w:rFonts w:ascii="Arial" w:hAnsi="Arial" w:cs="Arial"/>
        </w:rPr>
        <w:t>nálisis jurídico del esquema general de cargos del sistema nacional de transporte de gas natural</w:t>
      </w:r>
      <w:r w:rsidR="000C06B3">
        <w:rPr>
          <w:rFonts w:ascii="Arial" w:hAnsi="Arial" w:cs="Arial"/>
        </w:rPr>
        <w:t>”</w:t>
      </w:r>
      <w:r w:rsidR="003F381D">
        <w:rPr>
          <w:rFonts w:ascii="Arial" w:hAnsi="Arial" w:cs="Arial"/>
        </w:rPr>
        <w:t xml:space="preserve">. </w:t>
      </w:r>
    </w:p>
    <w:p w14:paraId="264AD6E4" w14:textId="2D7F277D" w:rsidR="00C52E5D" w:rsidRDefault="00317CE0" w:rsidP="003E6CBD">
      <w:pPr>
        <w:jc w:val="both"/>
        <w:rPr>
          <w:rFonts w:ascii="Arial" w:hAnsi="Arial" w:cs="Arial"/>
        </w:rPr>
      </w:pPr>
      <w:r>
        <w:rPr>
          <w:rFonts w:ascii="Arial" w:hAnsi="Arial" w:cs="Arial"/>
        </w:rPr>
        <w:t xml:space="preserve">Este desarrolla los conceptos de: i) metodologías tarifarias, ii) </w:t>
      </w:r>
      <w:r w:rsidR="00185B61">
        <w:rPr>
          <w:rFonts w:ascii="Arial" w:hAnsi="Arial" w:cs="Arial"/>
        </w:rPr>
        <w:t xml:space="preserve">cumplimiento de los principios tarifarios, iii) </w:t>
      </w:r>
      <w:r w:rsidR="00185B61" w:rsidRPr="00185B61">
        <w:rPr>
          <w:rFonts w:ascii="Arial" w:hAnsi="Arial" w:cs="Arial"/>
        </w:rPr>
        <w:t>Período tarifario: Precisión de los conceptos de “vigencia” y “aplicación”</w:t>
      </w:r>
      <w:r w:rsidR="001F32D7">
        <w:rPr>
          <w:rFonts w:ascii="Arial" w:hAnsi="Arial" w:cs="Arial"/>
        </w:rPr>
        <w:t xml:space="preserve"> y, iv) </w:t>
      </w:r>
      <w:r w:rsidR="00245519" w:rsidRPr="00245519">
        <w:rPr>
          <w:rFonts w:ascii="Arial" w:hAnsi="Arial" w:cs="Arial"/>
        </w:rPr>
        <w:t>Necesidad de aplicación de un proceso de definición de cargos de la metodología de transporte de gas natural</w:t>
      </w:r>
      <w:r w:rsidR="008C7467">
        <w:rPr>
          <w:rFonts w:ascii="Arial" w:hAnsi="Arial" w:cs="Arial"/>
        </w:rPr>
        <w:t>.</w:t>
      </w:r>
      <w:r w:rsidR="00DB677A">
        <w:rPr>
          <w:rFonts w:ascii="Arial" w:hAnsi="Arial" w:cs="Arial"/>
        </w:rPr>
        <w:t xml:space="preserve"> </w:t>
      </w:r>
      <w:r w:rsidR="008C7467">
        <w:rPr>
          <w:rFonts w:ascii="Arial" w:hAnsi="Arial" w:cs="Arial"/>
        </w:rPr>
        <w:t xml:space="preserve">Frente a lo allí consignado, la Comisión identifica que </w:t>
      </w:r>
      <w:r w:rsidR="00952D99">
        <w:rPr>
          <w:rFonts w:ascii="Arial" w:hAnsi="Arial" w:cs="Arial"/>
        </w:rPr>
        <w:t xml:space="preserve">el análisis realizado y los elementos que </w:t>
      </w:r>
      <w:r w:rsidR="00DD5BAE">
        <w:rPr>
          <w:rFonts w:ascii="Arial" w:hAnsi="Arial" w:cs="Arial"/>
        </w:rPr>
        <w:t>lo sustentan son</w:t>
      </w:r>
      <w:r w:rsidR="00952D99">
        <w:rPr>
          <w:rFonts w:ascii="Arial" w:hAnsi="Arial" w:cs="Arial"/>
        </w:rPr>
        <w:t xml:space="preserve"> replicables en</w:t>
      </w:r>
      <w:r w:rsidR="00DD5BAE">
        <w:rPr>
          <w:rFonts w:ascii="Arial" w:hAnsi="Arial" w:cs="Arial"/>
        </w:rPr>
        <w:t xml:space="preserve"> el presente caso</w:t>
      </w:r>
      <w:r w:rsidR="00DB677A">
        <w:rPr>
          <w:rFonts w:ascii="Arial" w:hAnsi="Arial" w:cs="Arial"/>
        </w:rPr>
        <w:t xml:space="preserve"> de acuerdo con los </w:t>
      </w:r>
      <w:r w:rsidR="00C52E5D">
        <w:rPr>
          <w:rFonts w:ascii="Arial" w:hAnsi="Arial" w:cs="Arial"/>
        </w:rPr>
        <w:t>elementos que se exponen a continuación.</w:t>
      </w:r>
    </w:p>
    <w:p w14:paraId="1D34F51C" w14:textId="77777777" w:rsidR="00446F9F" w:rsidRDefault="00C52E5D" w:rsidP="003E6CBD">
      <w:pPr>
        <w:jc w:val="both"/>
        <w:rPr>
          <w:rFonts w:ascii="Arial" w:hAnsi="Arial" w:cs="Arial"/>
        </w:rPr>
      </w:pPr>
      <w:r>
        <w:rPr>
          <w:rFonts w:ascii="Arial" w:hAnsi="Arial" w:cs="Arial"/>
        </w:rPr>
        <w:t xml:space="preserve">En dicho documento se hace referencia a que </w:t>
      </w:r>
      <w:r w:rsidR="00197F71">
        <w:rPr>
          <w:rFonts w:ascii="Arial" w:hAnsi="Arial" w:cs="Arial"/>
        </w:rPr>
        <w:t xml:space="preserve">la definición </w:t>
      </w:r>
      <w:r w:rsidR="00197F71" w:rsidRPr="003D6063">
        <w:rPr>
          <w:rFonts w:ascii="Arial" w:hAnsi="Arial" w:cs="Arial"/>
        </w:rPr>
        <w:t>de las metodologías de remuneración en desarrollo de las facultades otorgadas a esta Comisión tiene</w:t>
      </w:r>
      <w:r w:rsidR="003D6063" w:rsidRPr="003D6063">
        <w:rPr>
          <w:rFonts w:ascii="Arial" w:hAnsi="Arial" w:cs="Arial"/>
        </w:rPr>
        <w:t xml:space="preserve"> como propósito el reconocimiento de los costos eficientes de operación de las actividades sujetas al régimen de libertad regulada, cumpliendo los principios constitucionales y legales, entre ellos los de eficiencia económica y suficiencia financiera. </w:t>
      </w:r>
      <w:r w:rsidR="00446F9F">
        <w:rPr>
          <w:rFonts w:ascii="Arial" w:hAnsi="Arial" w:cs="Arial"/>
        </w:rPr>
        <w:t xml:space="preserve">En relación con esto y sobre </w:t>
      </w:r>
      <w:r w:rsidR="00446F9F" w:rsidRPr="00446F9F">
        <w:rPr>
          <w:rFonts w:ascii="Arial" w:hAnsi="Arial" w:cs="Arial"/>
        </w:rPr>
        <w:t xml:space="preserve">la función estatal de regulación la Corte Constitucional en sentencia C150 de 2003 ha señalado que:  </w:t>
      </w:r>
    </w:p>
    <w:p w14:paraId="387C6B4B" w14:textId="4B3403ED" w:rsidR="00DB677A" w:rsidRPr="00DE0C2E" w:rsidRDefault="00446F9F" w:rsidP="00DE0C2E">
      <w:pPr>
        <w:ind w:left="284" w:right="284"/>
        <w:jc w:val="both"/>
        <w:rPr>
          <w:rFonts w:ascii="Arial" w:hAnsi="Arial" w:cs="Arial"/>
          <w:i/>
          <w:iCs/>
          <w:sz w:val="20"/>
          <w:szCs w:val="20"/>
        </w:rPr>
      </w:pPr>
      <w:r w:rsidRPr="00130C44">
        <w:rPr>
          <w:rFonts w:ascii="Arial" w:hAnsi="Arial" w:cs="Arial"/>
          <w:i/>
          <w:iCs/>
          <w:sz w:val="20"/>
          <w:szCs w:val="20"/>
        </w:rPr>
        <w:t xml:space="preserve">(…) La función de regulación está segmentada por sectores de actividad económica o social. El ejercicio de la función de regulación obedece a criterios técnicos relativos a las características del sector y a su dinámica propia. La regulación es una actividad continua que comprende el seguimiento de la evaluación del sector correspondiente y que implica la adopción de diversos tipos de decisiones y actos adecuados tanto a orientar la dinámica del sector hacia los fines que la justifican en cada caso, como a permitir el flujo de la actividad socioeconómica respectivo. La función de regulación usualmente exige de la concurrencia de, al menos, dos ramas del poder público y es ejercida de manera continua por un órgano que cumple el régimen de regulación fijado por el legislador, que goza de una especial autonomía constitucional o independencia </w:t>
      </w:r>
      <w:r w:rsidRPr="00130C44">
        <w:rPr>
          <w:rFonts w:ascii="Arial" w:hAnsi="Arial" w:cs="Arial"/>
          <w:i/>
          <w:iCs/>
          <w:sz w:val="20"/>
          <w:szCs w:val="20"/>
        </w:rPr>
        <w:lastRenderedPageBreak/>
        <w:t>legal, según el caso, para desarrollar su misión institucional y cuyo ámbito de competencia comprende distintos tipos de facultades</w:t>
      </w:r>
    </w:p>
    <w:p w14:paraId="1E2EBDF4" w14:textId="367A57DE" w:rsidR="006D3699" w:rsidRDefault="00E12629" w:rsidP="003E6CBD">
      <w:pPr>
        <w:jc w:val="both"/>
        <w:rPr>
          <w:rFonts w:ascii="Arial" w:hAnsi="Arial" w:cs="Arial"/>
        </w:rPr>
      </w:pPr>
      <w:r>
        <w:rPr>
          <w:rFonts w:ascii="Arial" w:hAnsi="Arial" w:cs="Arial"/>
        </w:rPr>
        <w:t>Es por esto que teniendo el alcance de la facultad regulatoria que tiene la Comisión</w:t>
      </w:r>
      <w:r w:rsidR="00075B62">
        <w:rPr>
          <w:rFonts w:ascii="Arial" w:hAnsi="Arial" w:cs="Arial"/>
        </w:rPr>
        <w:t xml:space="preserve"> y </w:t>
      </w:r>
      <w:r w:rsidR="00075B62" w:rsidRPr="00075B62">
        <w:rPr>
          <w:rFonts w:ascii="Arial" w:hAnsi="Arial" w:cs="Arial"/>
        </w:rPr>
        <w:t>en ejercicio de la libertad de configuración que tiene la autoridad administrativa para la consecución de los fines de la intervención del Estado en la economía y la materialización de los principios que la orientan, en la forma definida por la ley</w:t>
      </w:r>
      <w:r w:rsidR="0045568D">
        <w:rPr>
          <w:rFonts w:ascii="Arial" w:hAnsi="Arial" w:cs="Arial"/>
        </w:rPr>
        <w:t>;</w:t>
      </w:r>
      <w:r w:rsidR="00075B62" w:rsidRPr="00075B62">
        <w:rPr>
          <w:rFonts w:ascii="Arial" w:hAnsi="Arial" w:cs="Arial"/>
        </w:rPr>
        <w:t xml:space="preserve"> la Comisión, en la expedición de las metodologías y fórmulas de tarifas, puede establecer diversas decisiones, una de ellas podría ser que la aplicación de una metodología, para un determinado período tarifario, se haga por fases o etapas</w:t>
      </w:r>
      <w:r w:rsidR="00BE5E00">
        <w:rPr>
          <w:rFonts w:ascii="Arial" w:hAnsi="Arial" w:cs="Arial"/>
        </w:rPr>
        <w:t xml:space="preserve"> (i.e. como fue el caso de la Resolución CREG 175 de 2021)</w:t>
      </w:r>
      <w:r w:rsidR="00C1154A">
        <w:rPr>
          <w:rFonts w:ascii="Arial" w:hAnsi="Arial" w:cs="Arial"/>
        </w:rPr>
        <w:t xml:space="preserve">, o </w:t>
      </w:r>
      <w:r w:rsidR="00BE5E00">
        <w:rPr>
          <w:rFonts w:ascii="Arial" w:hAnsi="Arial" w:cs="Arial"/>
        </w:rPr>
        <w:t xml:space="preserve">que </w:t>
      </w:r>
      <w:r w:rsidR="006D3699">
        <w:rPr>
          <w:rFonts w:ascii="Arial" w:hAnsi="Arial" w:cs="Arial"/>
        </w:rPr>
        <w:t>esta aplicación se realice de mane</w:t>
      </w:r>
      <w:r w:rsidR="00C1154A">
        <w:rPr>
          <w:rFonts w:ascii="Arial" w:hAnsi="Arial" w:cs="Arial"/>
        </w:rPr>
        <w:t>ra</w:t>
      </w:r>
      <w:r w:rsidR="006D3699">
        <w:rPr>
          <w:rFonts w:ascii="Arial" w:hAnsi="Arial" w:cs="Arial"/>
        </w:rPr>
        <w:t xml:space="preserve"> inmediata</w:t>
      </w:r>
      <w:r w:rsidR="00C1154A">
        <w:rPr>
          <w:rFonts w:ascii="Arial" w:hAnsi="Arial" w:cs="Arial"/>
        </w:rPr>
        <w:t xml:space="preserve"> o que se requiera el desarrollo de actuaciones administrativas particulares para la definición de un cargo específico</w:t>
      </w:r>
      <w:r w:rsidR="006D3699">
        <w:rPr>
          <w:rFonts w:ascii="Arial" w:hAnsi="Arial" w:cs="Arial"/>
        </w:rPr>
        <w:t>.</w:t>
      </w:r>
    </w:p>
    <w:p w14:paraId="600C43C3" w14:textId="0C8C8304" w:rsidR="00AD4E7A" w:rsidRDefault="00C1154A" w:rsidP="003E6CBD">
      <w:pPr>
        <w:jc w:val="both"/>
        <w:rPr>
          <w:rFonts w:ascii="Arial" w:hAnsi="Arial" w:cs="Arial"/>
        </w:rPr>
      </w:pPr>
      <w:r>
        <w:rPr>
          <w:rFonts w:ascii="Arial" w:hAnsi="Arial" w:cs="Arial"/>
        </w:rPr>
        <w:t>De acuerdo con esto, se considera que e</w:t>
      </w:r>
      <w:r w:rsidR="006D3699">
        <w:rPr>
          <w:rFonts w:ascii="Arial" w:hAnsi="Arial" w:cs="Arial"/>
        </w:rPr>
        <w:t xml:space="preserve">ste tipo de decisiones se </w:t>
      </w:r>
      <w:r w:rsidR="00FF7DEB">
        <w:rPr>
          <w:rFonts w:ascii="Arial" w:hAnsi="Arial" w:cs="Arial"/>
        </w:rPr>
        <w:t xml:space="preserve">adoptan con el fin de llevar a cabo una correcta y adecuada aplicación de los criterios de </w:t>
      </w:r>
      <w:r w:rsidR="00075B62" w:rsidRPr="00075B62">
        <w:rPr>
          <w:rFonts w:ascii="Arial" w:hAnsi="Arial" w:cs="Arial"/>
        </w:rPr>
        <w:t xml:space="preserve">eficiencia económica y suficiencia financiera </w:t>
      </w:r>
      <w:r w:rsidR="00EE01E6">
        <w:rPr>
          <w:rFonts w:ascii="Arial" w:hAnsi="Arial" w:cs="Arial"/>
        </w:rPr>
        <w:t>pre</w:t>
      </w:r>
      <w:r w:rsidR="0040056E">
        <w:rPr>
          <w:rFonts w:ascii="Arial" w:hAnsi="Arial" w:cs="Arial"/>
        </w:rPr>
        <w:t xml:space="preserve">vistos en el artículo 87 de la Ley 142 de 1994 </w:t>
      </w:r>
      <w:r w:rsidR="00075B62" w:rsidRPr="00075B62">
        <w:rPr>
          <w:rFonts w:ascii="Arial" w:hAnsi="Arial" w:cs="Arial"/>
        </w:rPr>
        <w:t>a las características propias de la actividad regulada y a la evolución tanto de esa actividad como de la misma regulación.</w:t>
      </w:r>
      <w:r w:rsidR="009C0BE6">
        <w:rPr>
          <w:rFonts w:ascii="Arial" w:hAnsi="Arial" w:cs="Arial"/>
        </w:rPr>
        <w:t xml:space="preserve"> </w:t>
      </w:r>
    </w:p>
    <w:p w14:paraId="357273B0" w14:textId="711167CD" w:rsidR="004E523C" w:rsidRDefault="00E36D61" w:rsidP="004E523C">
      <w:pPr>
        <w:jc w:val="both"/>
        <w:rPr>
          <w:rFonts w:ascii="Arial" w:hAnsi="Arial" w:cs="Arial"/>
        </w:rPr>
      </w:pPr>
      <w:r>
        <w:rPr>
          <w:rFonts w:ascii="Arial" w:hAnsi="Arial" w:cs="Arial"/>
        </w:rPr>
        <w:t xml:space="preserve">Ahora, </w:t>
      </w:r>
      <w:r w:rsidR="00913C52">
        <w:rPr>
          <w:rFonts w:ascii="Arial" w:hAnsi="Arial" w:cs="Arial"/>
        </w:rPr>
        <w:t xml:space="preserve">se considera que </w:t>
      </w:r>
      <w:r>
        <w:rPr>
          <w:rFonts w:ascii="Arial" w:hAnsi="Arial" w:cs="Arial"/>
        </w:rPr>
        <w:t>l</w:t>
      </w:r>
      <w:r w:rsidR="004E523C" w:rsidRPr="008A175C">
        <w:rPr>
          <w:rFonts w:ascii="Arial" w:hAnsi="Arial" w:cs="Arial"/>
        </w:rPr>
        <w:t xml:space="preserve">a metodología propuesta a través de la </w:t>
      </w:r>
      <w:r>
        <w:rPr>
          <w:rFonts w:ascii="Arial" w:hAnsi="Arial" w:cs="Arial"/>
        </w:rPr>
        <w:t>propuesta regulatoria</w:t>
      </w:r>
      <w:r w:rsidR="004E523C" w:rsidRPr="008A175C">
        <w:rPr>
          <w:rFonts w:ascii="Arial" w:hAnsi="Arial" w:cs="Arial"/>
        </w:rPr>
        <w:t xml:space="preserve"> corresponde a un conjunto de variables y procedimientos de cálculo para determinar los cargos máximos que puede cobrar un comercializador de energía eléctrica por el desarrollo de esta actividad en un mercado de comercialización, y contiene las fórmulas que durante el período tarifario se deben aplicar para el cálculo de estos cargos por parte del comercializador. Por tanto, a esta metodología le aplican las reglas y principios que orientan el régimen tarifario definidos en la Ley 142 de 1994.</w:t>
      </w:r>
    </w:p>
    <w:p w14:paraId="5392D1AF" w14:textId="77777777" w:rsidR="0056250A" w:rsidRDefault="002764DF" w:rsidP="003E6CBD">
      <w:pPr>
        <w:jc w:val="both"/>
        <w:rPr>
          <w:rFonts w:ascii="Arial" w:hAnsi="Arial" w:cs="Arial"/>
        </w:rPr>
      </w:pPr>
      <w:r>
        <w:rPr>
          <w:rFonts w:ascii="Arial" w:hAnsi="Arial" w:cs="Arial"/>
        </w:rPr>
        <w:t xml:space="preserve">En este sentido, la posibilidad de llevar a cabo una aplicación inmediata de la propuesta regulatoria cumple en su integralidad la regla establecida en el </w:t>
      </w:r>
      <w:r w:rsidR="00E36D61" w:rsidRPr="001A0851">
        <w:rPr>
          <w:rFonts w:ascii="Arial" w:hAnsi="Arial" w:cs="Arial"/>
        </w:rPr>
        <w:t>artículo 126 de la citada ley dispone que “</w:t>
      </w:r>
      <w:r w:rsidR="00E36D61" w:rsidRPr="001A0851">
        <w:rPr>
          <w:rFonts w:ascii="Arial" w:hAnsi="Arial" w:cs="Arial"/>
          <w:i/>
          <w:iCs/>
        </w:rPr>
        <w:t>Las fórmulas tarifarias tendrán una vigencia de cinco años, salvo que antes haya acuerdo entre la empresa de servicios públicos y la comisión para modificarlas o prorrogarlas por un período igual</w:t>
      </w:r>
      <w:r w:rsidR="00E36D61" w:rsidRPr="001A0851">
        <w:rPr>
          <w:rFonts w:ascii="Arial" w:hAnsi="Arial" w:cs="Arial"/>
        </w:rPr>
        <w:t>…”</w:t>
      </w:r>
      <w:r w:rsidR="00DC1C3D">
        <w:rPr>
          <w:rFonts w:ascii="Arial" w:hAnsi="Arial" w:cs="Arial"/>
        </w:rPr>
        <w:t xml:space="preserve">. Dicha conclusión </w:t>
      </w:r>
      <w:r w:rsidR="006F6C1D">
        <w:rPr>
          <w:rFonts w:ascii="Arial" w:hAnsi="Arial" w:cs="Arial"/>
        </w:rPr>
        <w:t>se da a partir de</w:t>
      </w:r>
      <w:r w:rsidR="0056250A">
        <w:rPr>
          <w:rFonts w:ascii="Arial" w:hAnsi="Arial" w:cs="Arial"/>
        </w:rPr>
        <w:t xml:space="preserve"> los conceptos de los </w:t>
      </w:r>
      <w:r w:rsidR="003372E7">
        <w:rPr>
          <w:rFonts w:ascii="Arial" w:hAnsi="Arial" w:cs="Arial"/>
        </w:rPr>
        <w:t xml:space="preserve">conceptos de </w:t>
      </w:r>
      <w:r w:rsidR="00F11FE9">
        <w:rPr>
          <w:rFonts w:ascii="Arial" w:hAnsi="Arial" w:cs="Arial"/>
        </w:rPr>
        <w:t>“</w:t>
      </w:r>
      <w:r w:rsidR="003372E7" w:rsidRPr="00920BA4">
        <w:rPr>
          <w:rFonts w:ascii="Arial" w:hAnsi="Arial" w:cs="Arial"/>
          <w:i/>
          <w:iCs/>
        </w:rPr>
        <w:t>vigencia</w:t>
      </w:r>
      <w:r w:rsidR="00F11FE9">
        <w:rPr>
          <w:rFonts w:ascii="Arial" w:hAnsi="Arial" w:cs="Arial"/>
        </w:rPr>
        <w:t>”</w:t>
      </w:r>
      <w:r w:rsidR="003372E7">
        <w:rPr>
          <w:rFonts w:ascii="Arial" w:hAnsi="Arial" w:cs="Arial"/>
        </w:rPr>
        <w:t xml:space="preserve"> y </w:t>
      </w:r>
      <w:r w:rsidR="00F11FE9">
        <w:rPr>
          <w:rFonts w:ascii="Arial" w:hAnsi="Arial" w:cs="Arial"/>
        </w:rPr>
        <w:t>“</w:t>
      </w:r>
      <w:r w:rsidR="003372E7" w:rsidRPr="00920BA4">
        <w:rPr>
          <w:rFonts w:ascii="Arial" w:hAnsi="Arial" w:cs="Arial"/>
          <w:i/>
          <w:iCs/>
        </w:rPr>
        <w:t>aplicación</w:t>
      </w:r>
      <w:r w:rsidR="00F11FE9">
        <w:rPr>
          <w:rFonts w:ascii="Arial" w:hAnsi="Arial" w:cs="Arial"/>
        </w:rPr>
        <w:t>”</w:t>
      </w:r>
      <w:r w:rsidR="0056250A">
        <w:rPr>
          <w:rFonts w:ascii="Arial" w:hAnsi="Arial" w:cs="Arial"/>
        </w:rPr>
        <w:t xml:space="preserve"> en el caso concreto.</w:t>
      </w:r>
    </w:p>
    <w:p w14:paraId="6C618422" w14:textId="77777777" w:rsidR="009633A3" w:rsidRDefault="009633A3" w:rsidP="003E6CBD">
      <w:pPr>
        <w:jc w:val="both"/>
        <w:rPr>
          <w:rFonts w:ascii="Arial" w:hAnsi="Arial" w:cs="Arial"/>
        </w:rPr>
      </w:pPr>
      <w:r w:rsidRPr="009633A3">
        <w:rPr>
          <w:rFonts w:ascii="Arial" w:hAnsi="Arial" w:cs="Arial"/>
        </w:rPr>
        <w:t>El concepto de “</w:t>
      </w:r>
      <w:r w:rsidRPr="009633A3">
        <w:rPr>
          <w:rFonts w:ascii="Arial" w:hAnsi="Arial" w:cs="Arial"/>
          <w:i/>
          <w:iCs/>
        </w:rPr>
        <w:t>vigencia de las fórmulas tarifarias</w:t>
      </w:r>
      <w:r w:rsidRPr="009633A3">
        <w:rPr>
          <w:rFonts w:ascii="Arial" w:hAnsi="Arial" w:cs="Arial"/>
        </w:rPr>
        <w:t>” como norma a que hace referencia el artículo 126 de la Ley 142 de 1994, es de cinco (5) años. El término debe contarse al cabo del día siguiente de su publicación en el Diario Oficial. La misma Ley establece que "</w:t>
      </w:r>
      <w:r w:rsidRPr="009633A3">
        <w:rPr>
          <w:rFonts w:ascii="Arial" w:hAnsi="Arial" w:cs="Arial"/>
          <w:i/>
          <w:iCs/>
        </w:rPr>
        <w:t>vencido el período de vigencia de las fórmulas tarifarias, continuarán rigiendo mientras la comisión no fije las nuevas</w:t>
      </w:r>
      <w:r w:rsidRPr="009633A3">
        <w:rPr>
          <w:rFonts w:ascii="Arial" w:hAnsi="Arial" w:cs="Arial"/>
        </w:rPr>
        <w:t>”.</w:t>
      </w:r>
    </w:p>
    <w:p w14:paraId="2C2631A9" w14:textId="77777777" w:rsidR="0064254D" w:rsidRDefault="009633A3" w:rsidP="003E6CBD">
      <w:pPr>
        <w:jc w:val="both"/>
        <w:rPr>
          <w:rFonts w:ascii="Arial" w:hAnsi="Arial" w:cs="Arial"/>
        </w:rPr>
      </w:pPr>
      <w:r w:rsidRPr="009633A3">
        <w:rPr>
          <w:rFonts w:ascii="Arial" w:hAnsi="Arial" w:cs="Arial"/>
        </w:rPr>
        <w:t xml:space="preserve">La metodología que se expide en la resolución que soporta el presente documento, quedará vigente al cabo del día siguiente en que sea publicada en el Diario Oficial en su integralidad, es decir, ésta deberá considerarse dentro del ordenamiento jurídico y producirá efectos de manera inmediata.  </w:t>
      </w:r>
    </w:p>
    <w:p w14:paraId="13D20BCE" w14:textId="77777777" w:rsidR="0064254D" w:rsidRDefault="009633A3" w:rsidP="003E6CBD">
      <w:pPr>
        <w:jc w:val="both"/>
        <w:rPr>
          <w:rFonts w:ascii="Arial" w:hAnsi="Arial" w:cs="Arial"/>
        </w:rPr>
      </w:pPr>
      <w:r w:rsidRPr="009633A3">
        <w:rPr>
          <w:rFonts w:ascii="Arial" w:hAnsi="Arial" w:cs="Arial"/>
        </w:rPr>
        <w:t xml:space="preserve">En relación con esto, es importante traer como referencia el concepto de vigencia desarrollado por la Corte Constitucional en sentencia C-873 de 2003 en la cual se señala lo siguiente: </w:t>
      </w:r>
    </w:p>
    <w:p w14:paraId="68196A01" w14:textId="77777777" w:rsidR="0064254D" w:rsidRPr="0064254D" w:rsidRDefault="009633A3" w:rsidP="0064254D">
      <w:pPr>
        <w:ind w:left="284" w:right="284"/>
        <w:jc w:val="both"/>
        <w:rPr>
          <w:rFonts w:ascii="Arial" w:hAnsi="Arial" w:cs="Arial"/>
          <w:i/>
          <w:iCs/>
          <w:sz w:val="20"/>
          <w:szCs w:val="20"/>
        </w:rPr>
      </w:pPr>
      <w:r w:rsidRPr="0064254D">
        <w:rPr>
          <w:rFonts w:ascii="Arial" w:hAnsi="Arial" w:cs="Arial"/>
          <w:i/>
          <w:iCs/>
          <w:sz w:val="20"/>
          <w:szCs w:val="20"/>
        </w:rPr>
        <w:t xml:space="preserve">“La “vigencia” se halla íntimamente ligada a la noción de “eficacia jurídica”, en tanto se refiere, desde una perspectiva temporal o cronológica, a la generación de efectos jurídicos obligatorios por parte de la norma de la cual se predica; es decir, a su entrada en vigor. Así, se hace referencia al período de vigencia de una norma determinada para referirse al </w:t>
      </w:r>
      <w:proofErr w:type="gramStart"/>
      <w:r w:rsidRPr="0064254D">
        <w:rPr>
          <w:rFonts w:ascii="Arial" w:hAnsi="Arial" w:cs="Arial"/>
          <w:i/>
          <w:iCs/>
          <w:sz w:val="20"/>
          <w:szCs w:val="20"/>
        </w:rPr>
        <w:t>lapso de tiempo</w:t>
      </w:r>
      <w:proofErr w:type="gramEnd"/>
      <w:r w:rsidRPr="0064254D">
        <w:rPr>
          <w:rFonts w:ascii="Arial" w:hAnsi="Arial" w:cs="Arial"/>
          <w:i/>
          <w:iCs/>
          <w:sz w:val="20"/>
          <w:szCs w:val="20"/>
        </w:rPr>
        <w:t xml:space="preserve"> durante el cual ésta habrá de surtir efectos jurídicos. La regla general en nuestro ordenamiento es que las normas comienzan a surtir efectos jurídicos con posterioridad a su promulgación, </w:t>
      </w:r>
      <w:r w:rsidRPr="0064254D">
        <w:rPr>
          <w:rFonts w:ascii="Arial" w:hAnsi="Arial" w:cs="Arial"/>
          <w:i/>
          <w:iCs/>
          <w:sz w:val="20"/>
          <w:szCs w:val="20"/>
        </w:rPr>
        <w:lastRenderedPageBreak/>
        <w:t xml:space="preserve">según lo determinen ellas mismas, o de conformidad con las normas generales sobre el particular”. </w:t>
      </w:r>
    </w:p>
    <w:p w14:paraId="08702BB2" w14:textId="1EE591DC" w:rsidR="0056250A" w:rsidRDefault="009633A3" w:rsidP="003E6CBD">
      <w:pPr>
        <w:jc w:val="both"/>
        <w:rPr>
          <w:rFonts w:ascii="Arial" w:hAnsi="Arial" w:cs="Arial"/>
        </w:rPr>
      </w:pPr>
      <w:r w:rsidRPr="009633A3">
        <w:rPr>
          <w:rFonts w:ascii="Arial" w:hAnsi="Arial" w:cs="Arial"/>
        </w:rPr>
        <w:t xml:space="preserve">De acuerdo con lo anterior, se identifica que la vigencia de una metodología o fórmula tarifaria corresponde al período que se inicia desde cuando la regulación empieza a producir sus efectos jurídicos hasta cuando cesan por la expedición de una nueva metodología o fórmula.  </w:t>
      </w:r>
    </w:p>
    <w:p w14:paraId="61CE88C4" w14:textId="25695B49" w:rsidR="0081373D" w:rsidRDefault="003F5ED0" w:rsidP="003E6CBD">
      <w:pPr>
        <w:jc w:val="both"/>
        <w:rPr>
          <w:rFonts w:ascii="Arial" w:hAnsi="Arial" w:cs="Arial"/>
        </w:rPr>
      </w:pPr>
      <w:r>
        <w:rPr>
          <w:rFonts w:ascii="Arial" w:hAnsi="Arial" w:cs="Arial"/>
        </w:rPr>
        <w:t xml:space="preserve">Adicionalmente, para el caso del concepto </w:t>
      </w:r>
      <w:r w:rsidR="00AB1B8F">
        <w:rPr>
          <w:rFonts w:ascii="Arial" w:hAnsi="Arial" w:cs="Arial"/>
        </w:rPr>
        <w:t>“</w:t>
      </w:r>
      <w:r w:rsidR="00AB1B8F" w:rsidRPr="00AB1B8F">
        <w:rPr>
          <w:rFonts w:ascii="Arial" w:hAnsi="Arial" w:cs="Arial"/>
          <w:i/>
          <w:iCs/>
        </w:rPr>
        <w:t>aplicación</w:t>
      </w:r>
      <w:r w:rsidR="00AB1B8F">
        <w:rPr>
          <w:rFonts w:ascii="Arial" w:hAnsi="Arial" w:cs="Arial"/>
        </w:rPr>
        <w:t>”, d</w:t>
      </w:r>
      <w:r w:rsidR="00AB1B8F" w:rsidRPr="00AB1B8F">
        <w:rPr>
          <w:rFonts w:ascii="Arial" w:hAnsi="Arial" w:cs="Arial"/>
        </w:rPr>
        <w:t>urante la vigencia de las metodologías se pueden aplicar diferentes factores</w:t>
      </w:r>
      <w:r w:rsidR="004A463C">
        <w:rPr>
          <w:rFonts w:ascii="Arial" w:hAnsi="Arial" w:cs="Arial"/>
        </w:rPr>
        <w:t>,</w:t>
      </w:r>
      <w:r w:rsidR="004F22BB">
        <w:rPr>
          <w:rFonts w:ascii="Arial" w:hAnsi="Arial" w:cs="Arial"/>
        </w:rPr>
        <w:t xml:space="preserve"> por lo que cuando se habla de </w:t>
      </w:r>
      <w:r w:rsidR="00AB1B8F" w:rsidRPr="00AB1B8F">
        <w:rPr>
          <w:rFonts w:ascii="Arial" w:hAnsi="Arial" w:cs="Arial"/>
        </w:rPr>
        <w:t xml:space="preserve">aplicación de la regulación, este corresponde al proceso a través del cual sus disposiciones son interpretadas y desarrolladas frente a situaciones fácticas concretas.  </w:t>
      </w:r>
    </w:p>
    <w:p w14:paraId="23E9A61A" w14:textId="100B2E8E" w:rsidR="003F00E3" w:rsidRDefault="003F00E3" w:rsidP="003E6CBD">
      <w:pPr>
        <w:jc w:val="both"/>
        <w:rPr>
          <w:rFonts w:ascii="Arial" w:hAnsi="Arial" w:cs="Arial"/>
        </w:rPr>
      </w:pPr>
      <w:r>
        <w:rPr>
          <w:rFonts w:ascii="Arial" w:hAnsi="Arial" w:cs="Arial"/>
        </w:rPr>
        <w:t xml:space="preserve">En el documento CREG </w:t>
      </w:r>
      <w:r w:rsidR="00755EE2" w:rsidRPr="00755EE2">
        <w:rPr>
          <w:rFonts w:ascii="Arial" w:hAnsi="Arial" w:cs="Arial"/>
        </w:rPr>
        <w:t>243 A de 2021, soporte de la Resolución CREG 175 de 2021</w:t>
      </w:r>
      <w:r w:rsidR="00755EE2">
        <w:rPr>
          <w:rFonts w:ascii="Arial" w:hAnsi="Arial" w:cs="Arial"/>
        </w:rPr>
        <w:t>, para el caso de transporte de gas se listan algunos eventos</w:t>
      </w:r>
      <w:r w:rsidR="00B54FC8">
        <w:rPr>
          <w:rFonts w:ascii="Arial" w:hAnsi="Arial" w:cs="Arial"/>
        </w:rPr>
        <w:t xml:space="preserve"> que ocurren en diversos momentos del período tarifario</w:t>
      </w:r>
      <w:r w:rsidR="00C72C62">
        <w:rPr>
          <w:rFonts w:ascii="Arial" w:hAnsi="Arial" w:cs="Arial"/>
        </w:rPr>
        <w:t>, es decir, que existen diversos momentos de aplicación de la metodología</w:t>
      </w:r>
      <w:r w:rsidR="00993601">
        <w:rPr>
          <w:rFonts w:ascii="Arial" w:hAnsi="Arial" w:cs="Arial"/>
        </w:rPr>
        <w:t>; sin embargo</w:t>
      </w:r>
      <w:r w:rsidR="003774A7">
        <w:rPr>
          <w:rFonts w:ascii="Arial" w:hAnsi="Arial" w:cs="Arial"/>
        </w:rPr>
        <w:t>,</w:t>
      </w:r>
      <w:r w:rsidR="00993601">
        <w:rPr>
          <w:rFonts w:ascii="Arial" w:hAnsi="Arial" w:cs="Arial"/>
        </w:rPr>
        <w:t xml:space="preserve"> para el caso de la presente propuesta regulatoria, se establece que aquí no existen eventos similares, sino que se evidencia la posibilidad de llevar a cabo </w:t>
      </w:r>
      <w:r w:rsidR="00BB276E">
        <w:rPr>
          <w:rFonts w:ascii="Arial" w:hAnsi="Arial" w:cs="Arial"/>
        </w:rPr>
        <w:t>la aplicación de manera</w:t>
      </w:r>
      <w:r w:rsidR="00993601">
        <w:rPr>
          <w:rFonts w:ascii="Arial" w:hAnsi="Arial" w:cs="Arial"/>
        </w:rPr>
        <w:t xml:space="preserve"> inmediata</w:t>
      </w:r>
      <w:r w:rsidR="00BB276E">
        <w:rPr>
          <w:rFonts w:ascii="Arial" w:hAnsi="Arial" w:cs="Arial"/>
        </w:rPr>
        <w:t xml:space="preserve"> y en un solo momento</w:t>
      </w:r>
      <w:r w:rsidR="00993601">
        <w:rPr>
          <w:rFonts w:ascii="Arial" w:hAnsi="Arial" w:cs="Arial"/>
        </w:rPr>
        <w:t>.</w:t>
      </w:r>
    </w:p>
    <w:p w14:paraId="7539A498" w14:textId="452D72B2" w:rsidR="00737E1C" w:rsidRDefault="003774A7" w:rsidP="003E6CBD">
      <w:pPr>
        <w:jc w:val="both"/>
        <w:rPr>
          <w:rFonts w:ascii="Arial" w:hAnsi="Arial" w:cs="Arial"/>
        </w:rPr>
      </w:pPr>
      <w:r>
        <w:rPr>
          <w:rFonts w:ascii="Arial" w:hAnsi="Arial" w:cs="Arial"/>
        </w:rPr>
        <w:t>Es por esto que, para el caso de la actividad de comercialización de energía</w:t>
      </w:r>
      <w:r w:rsidR="00C16855">
        <w:rPr>
          <w:rFonts w:ascii="Arial" w:hAnsi="Arial" w:cs="Arial"/>
        </w:rPr>
        <w:t xml:space="preserve"> y una vez iniciada </w:t>
      </w:r>
      <w:r w:rsidR="002347A0">
        <w:rPr>
          <w:rFonts w:ascii="Arial" w:hAnsi="Arial" w:cs="Arial"/>
        </w:rPr>
        <w:t xml:space="preserve">su vigencia, se identifica que </w:t>
      </w:r>
      <w:r w:rsidR="00B26E80">
        <w:rPr>
          <w:rFonts w:ascii="Arial" w:hAnsi="Arial" w:cs="Arial"/>
        </w:rPr>
        <w:t>las variables</w:t>
      </w:r>
      <w:r w:rsidR="0053054E">
        <w:rPr>
          <w:rFonts w:ascii="Arial" w:hAnsi="Arial" w:cs="Arial"/>
        </w:rPr>
        <w:t xml:space="preserve"> establecidas en la metodología</w:t>
      </w:r>
      <w:r w:rsidR="007503F6">
        <w:rPr>
          <w:rFonts w:ascii="Arial" w:hAnsi="Arial" w:cs="Arial"/>
        </w:rPr>
        <w:t xml:space="preserve">, relativas al </w:t>
      </w:r>
      <w:r w:rsidR="007503F6" w:rsidRPr="007503F6">
        <w:rPr>
          <w:rFonts w:ascii="Arial" w:hAnsi="Arial" w:cs="Arial"/>
        </w:rPr>
        <w:t xml:space="preserve">costo base de comercialización, el riesgo de cartera, el margen </w:t>
      </w:r>
      <w:r w:rsidR="00F9252B">
        <w:rPr>
          <w:rFonts w:ascii="Arial" w:hAnsi="Arial" w:cs="Arial"/>
        </w:rPr>
        <w:t>operacional</w:t>
      </w:r>
      <w:r w:rsidR="0053054E">
        <w:rPr>
          <w:rFonts w:ascii="Arial" w:hAnsi="Arial" w:cs="Arial"/>
        </w:rPr>
        <w:t>,</w:t>
      </w:r>
      <w:r w:rsidR="007503F6" w:rsidRPr="007503F6">
        <w:rPr>
          <w:rFonts w:ascii="Arial" w:hAnsi="Arial" w:cs="Arial"/>
        </w:rPr>
        <w:t xml:space="preserve"> </w:t>
      </w:r>
      <w:r w:rsidR="00B26E80">
        <w:rPr>
          <w:rFonts w:ascii="Arial" w:hAnsi="Arial" w:cs="Arial"/>
        </w:rPr>
        <w:t>es posible</w:t>
      </w:r>
      <w:r w:rsidR="0053054E">
        <w:rPr>
          <w:rFonts w:ascii="Arial" w:hAnsi="Arial" w:cs="Arial"/>
        </w:rPr>
        <w:t xml:space="preserve"> aplicarlas para establecer los cargos </w:t>
      </w:r>
      <w:r w:rsidR="00737E1C" w:rsidRPr="00737E1C">
        <w:rPr>
          <w:rFonts w:ascii="Arial" w:hAnsi="Arial" w:cs="Arial"/>
        </w:rPr>
        <w:t>máximos que puede cobrar un comercializador de energía eléctrica por el desarrollo de esta actividad en un mercado de comercialización</w:t>
      </w:r>
      <w:r w:rsidR="00737E1C">
        <w:rPr>
          <w:rFonts w:ascii="Arial" w:hAnsi="Arial" w:cs="Arial"/>
        </w:rPr>
        <w:t xml:space="preserve">; lo anterior, sin que se requiera un procedimiento de fijación de cargos en actuaciones administrativas particulares en la que se tenga que definir situaciones jurídicas de este tipo. </w:t>
      </w:r>
      <w:r w:rsidR="009544E9" w:rsidRPr="009544E9">
        <w:rPr>
          <w:rFonts w:ascii="Arial" w:hAnsi="Arial" w:cs="Arial"/>
        </w:rPr>
        <w:t>En relación con esto, los comercializadores actúan como operadores de la regulación en materia tarifaria por lo que les corresponde a dar cumplimiento a la obligación de seguir y aplicar lo dispuesto en la regulación y la metodología de remuneración.</w:t>
      </w:r>
    </w:p>
    <w:p w14:paraId="42CA4717" w14:textId="439C4CB4" w:rsidR="00124208" w:rsidRDefault="00744E68" w:rsidP="003E6CBD">
      <w:pPr>
        <w:jc w:val="both"/>
        <w:rPr>
          <w:rFonts w:ascii="Arial" w:hAnsi="Arial" w:cs="Arial"/>
        </w:rPr>
      </w:pPr>
      <w:r>
        <w:rPr>
          <w:rFonts w:ascii="Arial" w:hAnsi="Arial" w:cs="Arial"/>
        </w:rPr>
        <w:t>Al igual que lo que ocurre en el caso de la metodología de transporte de gas natural, para el caso de la metodología de comercialización</w:t>
      </w:r>
      <w:r w:rsidR="00AB0339">
        <w:rPr>
          <w:rFonts w:ascii="Arial" w:hAnsi="Arial" w:cs="Arial"/>
        </w:rPr>
        <w:t>,</w:t>
      </w:r>
      <w:r>
        <w:rPr>
          <w:rFonts w:ascii="Arial" w:hAnsi="Arial" w:cs="Arial"/>
        </w:rPr>
        <w:t xml:space="preserve"> el</w:t>
      </w:r>
      <w:r w:rsidRPr="00744E68">
        <w:rPr>
          <w:rFonts w:ascii="Arial" w:hAnsi="Arial" w:cs="Arial"/>
        </w:rPr>
        <w:t xml:space="preserve"> esquema propuesto para la definición de cargos se diferencia de modelos de fijación de tarifas en los que se ha mantenido la aplicación de los cargos calculados con la metodología anterior durante la vigencia de la nueva metodología, hasta que se valoren todas las variables para actualizar los cargos. </w:t>
      </w:r>
    </w:p>
    <w:p w14:paraId="04524A27" w14:textId="1B849CA8" w:rsidR="00301DB7" w:rsidRDefault="00744E68" w:rsidP="002D65E5">
      <w:pPr>
        <w:jc w:val="both"/>
        <w:rPr>
          <w:rFonts w:ascii="Arial" w:hAnsi="Arial" w:cs="Arial"/>
        </w:rPr>
      </w:pPr>
      <w:r w:rsidRPr="00744E68">
        <w:rPr>
          <w:rFonts w:ascii="Arial" w:hAnsi="Arial" w:cs="Arial"/>
        </w:rPr>
        <w:t xml:space="preserve">Sin embargo, esta última alternativa no se ajusta al principio regulatorio de eficiencia económica, en el caso actual, porque mantener la aplicación de los cargos de la anterior metodología </w:t>
      </w:r>
      <w:r w:rsidR="00377B7A">
        <w:rPr>
          <w:rFonts w:ascii="Arial" w:hAnsi="Arial" w:cs="Arial"/>
        </w:rPr>
        <w:t xml:space="preserve">de </w:t>
      </w:r>
      <w:r w:rsidR="00301DB7">
        <w:rPr>
          <w:rFonts w:ascii="Arial" w:hAnsi="Arial" w:cs="Arial"/>
        </w:rPr>
        <w:t xml:space="preserve">comercialización </w:t>
      </w:r>
      <w:r w:rsidR="00AB0339">
        <w:rPr>
          <w:rFonts w:ascii="Arial" w:hAnsi="Arial" w:cs="Arial"/>
        </w:rPr>
        <w:t>de la Resolución CREG 180 de 2014</w:t>
      </w:r>
      <w:r w:rsidR="009F771B">
        <w:rPr>
          <w:rFonts w:ascii="Arial" w:hAnsi="Arial" w:cs="Arial"/>
        </w:rPr>
        <w:t xml:space="preserve"> </w:t>
      </w:r>
      <w:r w:rsidR="00301DB7">
        <w:rPr>
          <w:rFonts w:ascii="Arial" w:hAnsi="Arial" w:cs="Arial"/>
        </w:rPr>
        <w:t xml:space="preserve">y adelantar un proceso de </w:t>
      </w:r>
      <w:r w:rsidR="002D1E86">
        <w:rPr>
          <w:rFonts w:ascii="Arial" w:hAnsi="Arial" w:cs="Arial"/>
        </w:rPr>
        <w:t xml:space="preserve">revisión a través actuaciones administrativas particulares, limitarían la aplicación de </w:t>
      </w:r>
      <w:r w:rsidR="00830715" w:rsidRPr="00830715">
        <w:rPr>
          <w:rFonts w:ascii="Arial" w:hAnsi="Arial" w:cs="Arial"/>
        </w:rPr>
        <w:t>las condiciones de eficiencia actuales para dicha actividad</w:t>
      </w:r>
      <w:r w:rsidR="002C1D9F">
        <w:rPr>
          <w:rFonts w:ascii="Arial" w:hAnsi="Arial" w:cs="Arial"/>
        </w:rPr>
        <w:t>,</w:t>
      </w:r>
      <w:r w:rsidR="00830715">
        <w:rPr>
          <w:rFonts w:ascii="Arial" w:hAnsi="Arial" w:cs="Arial"/>
        </w:rPr>
        <w:t xml:space="preserve"> derivadas</w:t>
      </w:r>
      <w:r w:rsidR="000C7971">
        <w:rPr>
          <w:rFonts w:ascii="Arial" w:hAnsi="Arial" w:cs="Arial"/>
        </w:rPr>
        <w:t xml:space="preserve">, en algunos casos, de contar con un mayor nivel de información </w:t>
      </w:r>
      <w:r w:rsidR="0072177B">
        <w:rPr>
          <w:rFonts w:ascii="Arial" w:hAnsi="Arial" w:cs="Arial"/>
        </w:rPr>
        <w:t xml:space="preserve">y herramientas estadísticas, económicas y financieras </w:t>
      </w:r>
      <w:r w:rsidR="000C7971">
        <w:rPr>
          <w:rFonts w:ascii="Arial" w:hAnsi="Arial" w:cs="Arial"/>
        </w:rPr>
        <w:t>a la que se contaba para el año 2014, c</w:t>
      </w:r>
      <w:r w:rsidR="00F70E81">
        <w:rPr>
          <w:rFonts w:ascii="Arial" w:hAnsi="Arial" w:cs="Arial"/>
        </w:rPr>
        <w:t xml:space="preserve">omo es el caso </w:t>
      </w:r>
      <w:r w:rsidR="00EE5B17">
        <w:rPr>
          <w:rFonts w:ascii="Arial" w:hAnsi="Arial" w:cs="Arial"/>
        </w:rPr>
        <w:t>de</w:t>
      </w:r>
      <w:r w:rsidR="0072177B">
        <w:rPr>
          <w:rFonts w:ascii="Arial" w:hAnsi="Arial" w:cs="Arial"/>
        </w:rPr>
        <w:t>: i)</w:t>
      </w:r>
      <w:r w:rsidR="00EE5B17">
        <w:rPr>
          <w:rFonts w:ascii="Arial" w:hAnsi="Arial" w:cs="Arial"/>
        </w:rPr>
        <w:t xml:space="preserve"> la</w:t>
      </w:r>
      <w:r w:rsidR="00F70E81">
        <w:rPr>
          <w:rFonts w:ascii="Arial" w:hAnsi="Arial" w:cs="Arial"/>
        </w:rPr>
        <w:t xml:space="preserve"> </w:t>
      </w:r>
      <w:r w:rsidR="00EE5B17" w:rsidRPr="00EE5B17">
        <w:rPr>
          <w:rFonts w:ascii="Arial" w:hAnsi="Arial" w:cs="Arial"/>
        </w:rPr>
        <w:t>Información de Costos para la Regulación</w:t>
      </w:r>
      <w:r w:rsidR="00DB245E">
        <w:rPr>
          <w:rFonts w:ascii="Arial" w:hAnsi="Arial" w:cs="Arial"/>
        </w:rPr>
        <w:t xml:space="preserve"> </w:t>
      </w:r>
      <w:r w:rsidR="009F771B">
        <w:rPr>
          <w:rFonts w:ascii="Arial" w:hAnsi="Arial" w:cs="Arial"/>
        </w:rPr>
        <w:t>–</w:t>
      </w:r>
      <w:r w:rsidR="00DB245E">
        <w:rPr>
          <w:rFonts w:ascii="Arial" w:hAnsi="Arial" w:cs="Arial"/>
        </w:rPr>
        <w:t xml:space="preserve"> ICR</w:t>
      </w:r>
      <w:r w:rsidR="002B4419">
        <w:rPr>
          <w:rStyle w:val="Refdenotaalpie"/>
          <w:rFonts w:ascii="Arial" w:hAnsi="Arial" w:cs="Arial"/>
        </w:rPr>
        <w:footnoteReference w:id="6"/>
      </w:r>
      <w:r w:rsidR="009F771B">
        <w:rPr>
          <w:rFonts w:ascii="Arial" w:hAnsi="Arial" w:cs="Arial"/>
        </w:rPr>
        <w:t xml:space="preserve"> para el caso de los Costos y Gastos</w:t>
      </w:r>
      <w:r w:rsidR="0072177B">
        <w:rPr>
          <w:rFonts w:ascii="Arial" w:hAnsi="Arial" w:cs="Arial"/>
        </w:rPr>
        <w:t xml:space="preserve">; ii) </w:t>
      </w:r>
      <w:r w:rsidR="000C7971">
        <w:rPr>
          <w:rFonts w:ascii="Arial" w:hAnsi="Arial" w:cs="Arial"/>
        </w:rPr>
        <w:t xml:space="preserve"> </w:t>
      </w:r>
      <w:r w:rsidR="00201FC6">
        <w:rPr>
          <w:rFonts w:ascii="Arial" w:hAnsi="Arial" w:cs="Arial"/>
        </w:rPr>
        <w:t>aplicación de</w:t>
      </w:r>
      <w:r w:rsidR="00C22AEA">
        <w:rPr>
          <w:rFonts w:ascii="Arial" w:hAnsi="Arial" w:cs="Arial"/>
        </w:rPr>
        <w:t xml:space="preserve"> un mecanismo de Frontera </w:t>
      </w:r>
      <w:r w:rsidR="00633171">
        <w:rPr>
          <w:rFonts w:ascii="Arial" w:hAnsi="Arial" w:cs="Arial"/>
        </w:rPr>
        <w:t>Estocástica</w:t>
      </w:r>
      <w:r w:rsidR="00F9252B">
        <w:rPr>
          <w:rFonts w:ascii="Arial" w:hAnsi="Arial" w:cs="Arial"/>
        </w:rPr>
        <w:t xml:space="preserve"> para establecer la eficiencia a reconocer</w:t>
      </w:r>
      <w:r w:rsidR="00633171">
        <w:rPr>
          <w:rFonts w:ascii="Arial" w:hAnsi="Arial" w:cs="Arial"/>
        </w:rPr>
        <w:t>; ii) referencias de cálculo más actualizadas para el Margen Operacional; iv)</w:t>
      </w:r>
      <w:r w:rsidR="007538A3">
        <w:rPr>
          <w:rFonts w:ascii="Arial" w:hAnsi="Arial" w:cs="Arial"/>
        </w:rPr>
        <w:t xml:space="preserve"> inclusión de indicadores de calidad comercial; v) riesgo de cartera diferenciado</w:t>
      </w:r>
      <w:r w:rsidR="003D529A">
        <w:rPr>
          <w:rFonts w:ascii="Arial" w:hAnsi="Arial" w:cs="Arial"/>
        </w:rPr>
        <w:t xml:space="preserve"> con una p</w:t>
      </w:r>
      <w:r w:rsidR="00124208" w:rsidRPr="00124208">
        <w:rPr>
          <w:rFonts w:ascii="Arial" w:hAnsi="Arial" w:cs="Arial"/>
        </w:rPr>
        <w:t>onderación de los riesgos en función de las ventas por categoría</w:t>
      </w:r>
      <w:r w:rsidR="00EA0DF9">
        <w:rPr>
          <w:rFonts w:ascii="Arial" w:hAnsi="Arial" w:cs="Arial"/>
        </w:rPr>
        <w:t xml:space="preserve">, de igual forma que se </w:t>
      </w:r>
      <w:r w:rsidR="00743E8D">
        <w:rPr>
          <w:rFonts w:ascii="Arial" w:hAnsi="Arial" w:cs="Arial"/>
        </w:rPr>
        <w:t>mantendría</w:t>
      </w:r>
      <w:r w:rsidR="00EA0DF9">
        <w:rPr>
          <w:rFonts w:ascii="Arial" w:hAnsi="Arial" w:cs="Arial"/>
        </w:rPr>
        <w:t xml:space="preserve"> un reconocimiento de costos por eventos normativos </w:t>
      </w:r>
      <w:r w:rsidR="007F1A31">
        <w:rPr>
          <w:rFonts w:ascii="Arial" w:hAnsi="Arial" w:cs="Arial"/>
        </w:rPr>
        <w:t>establecidos</w:t>
      </w:r>
      <w:r w:rsidR="00EA0DF9">
        <w:rPr>
          <w:rFonts w:ascii="Arial" w:hAnsi="Arial" w:cs="Arial"/>
        </w:rPr>
        <w:t xml:space="preserve"> </w:t>
      </w:r>
      <w:r w:rsidR="007F1A31" w:rsidRPr="007F1A31">
        <w:rPr>
          <w:rFonts w:ascii="Arial" w:hAnsi="Arial" w:cs="Arial"/>
        </w:rPr>
        <w:t xml:space="preserve">en la Resolución MME 40272 de 2020, </w:t>
      </w:r>
      <w:r w:rsidR="007F1A31">
        <w:rPr>
          <w:rFonts w:ascii="Arial" w:hAnsi="Arial" w:cs="Arial"/>
        </w:rPr>
        <w:t xml:space="preserve">los cuales </w:t>
      </w:r>
      <w:r w:rsidR="007F1A31">
        <w:rPr>
          <w:rFonts w:ascii="Arial" w:hAnsi="Arial" w:cs="Arial"/>
        </w:rPr>
        <w:lastRenderedPageBreak/>
        <w:t xml:space="preserve">dejan de estar </w:t>
      </w:r>
      <w:r w:rsidR="00743E8D">
        <w:rPr>
          <w:rFonts w:ascii="Arial" w:hAnsi="Arial" w:cs="Arial"/>
        </w:rPr>
        <w:t>reconocidos</w:t>
      </w:r>
      <w:r w:rsidR="007F1A31">
        <w:rPr>
          <w:rFonts w:ascii="Arial" w:hAnsi="Arial" w:cs="Arial"/>
        </w:rPr>
        <w:t xml:space="preserve"> </w:t>
      </w:r>
      <w:r w:rsidR="007F1A31" w:rsidRPr="007F1A31">
        <w:rPr>
          <w:rFonts w:ascii="Arial" w:hAnsi="Arial" w:cs="Arial"/>
        </w:rPr>
        <w:t xml:space="preserve">a partir del siguiente mes al de entrada en vigencia de </w:t>
      </w:r>
      <w:r w:rsidR="00743E8D">
        <w:rPr>
          <w:rFonts w:ascii="Arial" w:hAnsi="Arial" w:cs="Arial"/>
        </w:rPr>
        <w:t>la metodolog</w:t>
      </w:r>
      <w:r w:rsidR="002D65E5">
        <w:rPr>
          <w:rFonts w:ascii="Arial" w:hAnsi="Arial" w:cs="Arial"/>
        </w:rPr>
        <w:t xml:space="preserve">ía, al dejarse de aplicar </w:t>
      </w:r>
      <w:r w:rsidR="007F1A31" w:rsidRPr="007F1A31">
        <w:rPr>
          <w:rFonts w:ascii="Arial" w:hAnsi="Arial" w:cs="Arial"/>
        </w:rPr>
        <w:t>los cargos definidos en la Resolución CREG 188 de 2020</w:t>
      </w:r>
      <w:r w:rsidR="002D65E5">
        <w:rPr>
          <w:rFonts w:ascii="Arial" w:hAnsi="Arial" w:cs="Arial"/>
        </w:rPr>
        <w:t>.</w:t>
      </w:r>
    </w:p>
    <w:p w14:paraId="2E3ED19D" w14:textId="444B8B20" w:rsidR="004C25C2" w:rsidRDefault="003363AE" w:rsidP="003E6CBD">
      <w:pPr>
        <w:jc w:val="both"/>
        <w:rPr>
          <w:rFonts w:ascii="Arial" w:hAnsi="Arial" w:cs="Arial"/>
        </w:rPr>
      </w:pPr>
      <w:r>
        <w:rPr>
          <w:rFonts w:ascii="Arial" w:hAnsi="Arial" w:cs="Arial"/>
        </w:rPr>
        <w:t xml:space="preserve">Estas mismas consideraciones son </w:t>
      </w:r>
      <w:r w:rsidR="00FA700B">
        <w:rPr>
          <w:rFonts w:ascii="Arial" w:hAnsi="Arial" w:cs="Arial"/>
        </w:rPr>
        <w:t xml:space="preserve">aplicables frente a la necesidad de aplicar un proceso de definición de cargos dentro de la metodología de comercialización de energía eléctrica </w:t>
      </w:r>
      <w:r w:rsidR="000A4FCF" w:rsidRPr="000A4FCF">
        <w:rPr>
          <w:rFonts w:ascii="Arial" w:hAnsi="Arial" w:cs="Arial"/>
        </w:rPr>
        <w:t>análisis del concepto “</w:t>
      </w:r>
      <w:r w:rsidR="000A4FCF" w:rsidRPr="00D02F98">
        <w:rPr>
          <w:rFonts w:ascii="Arial" w:hAnsi="Arial" w:cs="Arial"/>
          <w:i/>
          <w:iCs/>
        </w:rPr>
        <w:t>Necesidad de aplicación de un proceso de definición de cargos de la metodología de transporte de gas natural</w:t>
      </w:r>
      <w:r w:rsidR="000A4FCF" w:rsidRPr="000A4FCF">
        <w:rPr>
          <w:rFonts w:ascii="Arial" w:hAnsi="Arial" w:cs="Arial"/>
        </w:rPr>
        <w:t>”, consignado en el documento CREG 243 A de 2021</w:t>
      </w:r>
      <w:r w:rsidR="004C25C2">
        <w:rPr>
          <w:rFonts w:ascii="Arial" w:hAnsi="Arial" w:cs="Arial"/>
        </w:rPr>
        <w:t>.</w:t>
      </w:r>
    </w:p>
    <w:p w14:paraId="4986FA70" w14:textId="5B68066C" w:rsidR="00747B32" w:rsidRDefault="00046ABE" w:rsidP="003E6CBD">
      <w:pPr>
        <w:jc w:val="both"/>
        <w:rPr>
          <w:rFonts w:ascii="Arial" w:hAnsi="Arial" w:cs="Arial"/>
        </w:rPr>
      </w:pPr>
      <w:r>
        <w:rPr>
          <w:rFonts w:ascii="Arial" w:hAnsi="Arial" w:cs="Arial"/>
        </w:rPr>
        <w:t>De acuerdo con lo expuesto</w:t>
      </w:r>
      <w:r w:rsidRPr="00046ABE">
        <w:rPr>
          <w:rFonts w:ascii="Arial" w:hAnsi="Arial" w:cs="Arial"/>
        </w:rPr>
        <w:t xml:space="preserve">, el regulador en cumplimiento de la misión que le encomienda Ley, </w:t>
      </w:r>
      <w:r w:rsidR="00E83243">
        <w:rPr>
          <w:rFonts w:ascii="Arial" w:hAnsi="Arial" w:cs="Arial"/>
        </w:rPr>
        <w:t xml:space="preserve">así como atendiendo el alcance del ejercicio de su función regulatoria, </w:t>
      </w:r>
      <w:r>
        <w:rPr>
          <w:rFonts w:ascii="Arial" w:hAnsi="Arial" w:cs="Arial"/>
        </w:rPr>
        <w:t>al adoptar este tipo de decisiones, debe escoger</w:t>
      </w:r>
      <w:r w:rsidRPr="00046ABE">
        <w:rPr>
          <w:rFonts w:ascii="Arial" w:hAnsi="Arial" w:cs="Arial"/>
        </w:rPr>
        <w:t xml:space="preserve"> la que se adecúe a las exigencias de los principios tarifarios</w:t>
      </w:r>
      <w:r w:rsidR="0021168E">
        <w:rPr>
          <w:rFonts w:ascii="Arial" w:hAnsi="Arial" w:cs="Arial"/>
        </w:rPr>
        <w:t xml:space="preserve"> de acuerdo con lo previsto en la Ley 142 de 1994</w:t>
      </w:r>
      <w:r w:rsidRPr="00046ABE">
        <w:rPr>
          <w:rFonts w:ascii="Arial" w:hAnsi="Arial" w:cs="Arial"/>
        </w:rPr>
        <w:t xml:space="preserve">. De esta forma, </w:t>
      </w:r>
      <w:r w:rsidR="004568EF">
        <w:rPr>
          <w:rFonts w:ascii="Arial" w:hAnsi="Arial" w:cs="Arial"/>
        </w:rPr>
        <w:t>a</w:t>
      </w:r>
      <w:r w:rsidR="0021168E">
        <w:rPr>
          <w:rFonts w:ascii="Arial" w:hAnsi="Arial" w:cs="Arial"/>
        </w:rPr>
        <w:t xml:space="preserve">l dar </w:t>
      </w:r>
      <w:r w:rsidR="00285BE8">
        <w:rPr>
          <w:rFonts w:ascii="Arial" w:hAnsi="Arial" w:cs="Arial"/>
        </w:rPr>
        <w:t>una aplicación</w:t>
      </w:r>
      <w:r w:rsidR="004568EF">
        <w:rPr>
          <w:rFonts w:ascii="Arial" w:hAnsi="Arial" w:cs="Arial"/>
        </w:rPr>
        <w:t xml:space="preserve"> a la metodología una vez esta inicie su </w:t>
      </w:r>
      <w:r w:rsidRPr="00046ABE">
        <w:rPr>
          <w:rFonts w:ascii="Arial" w:hAnsi="Arial" w:cs="Arial"/>
        </w:rPr>
        <w:t>vigencia</w:t>
      </w:r>
      <w:r w:rsidR="004568EF">
        <w:rPr>
          <w:rFonts w:ascii="Arial" w:hAnsi="Arial" w:cs="Arial"/>
        </w:rPr>
        <w:t xml:space="preserve">, </w:t>
      </w:r>
      <w:r w:rsidRPr="00046ABE">
        <w:rPr>
          <w:rFonts w:ascii="Arial" w:hAnsi="Arial" w:cs="Arial"/>
        </w:rPr>
        <w:t xml:space="preserve">se está propendiendo por asegurar la eficiencia económica al evitar aplicar un cargo </w:t>
      </w:r>
      <w:r w:rsidR="001D1D2D">
        <w:rPr>
          <w:rFonts w:ascii="Arial" w:hAnsi="Arial" w:cs="Arial"/>
        </w:rPr>
        <w:t>que no reconoce las eficiencias actuales sobre la actividad</w:t>
      </w:r>
      <w:r w:rsidR="00285BE8">
        <w:rPr>
          <w:rFonts w:ascii="Arial" w:hAnsi="Arial" w:cs="Arial"/>
        </w:rPr>
        <w:t>.</w:t>
      </w:r>
      <w:r w:rsidR="000835DE">
        <w:rPr>
          <w:rFonts w:ascii="Arial" w:hAnsi="Arial" w:cs="Arial"/>
        </w:rPr>
        <w:t xml:space="preserve"> </w:t>
      </w:r>
    </w:p>
    <w:p w14:paraId="59767532" w14:textId="5BDAF18E" w:rsidR="00C86486" w:rsidRDefault="00C86486" w:rsidP="00C86486">
      <w:pPr>
        <w:jc w:val="both"/>
        <w:rPr>
          <w:rFonts w:ascii="Arial" w:hAnsi="Arial" w:cs="Arial"/>
        </w:rPr>
      </w:pPr>
      <w:r w:rsidRPr="00C86486">
        <w:rPr>
          <w:rFonts w:ascii="Arial" w:hAnsi="Arial" w:cs="Arial"/>
        </w:rPr>
        <w:t xml:space="preserve">Por lo tanto, </w:t>
      </w:r>
      <w:r>
        <w:rPr>
          <w:rFonts w:ascii="Arial" w:hAnsi="Arial" w:cs="Arial"/>
        </w:rPr>
        <w:t xml:space="preserve">no se considera razonable ni procedente en el presente caso </w:t>
      </w:r>
      <w:r w:rsidRPr="00C86486">
        <w:rPr>
          <w:rFonts w:ascii="Arial" w:hAnsi="Arial" w:cs="Arial"/>
        </w:rPr>
        <w:t xml:space="preserve">condicionar la aplicación de la totalidad de las disposiciones de la nueva metodología al reconocimiento de </w:t>
      </w:r>
      <w:r w:rsidR="00420229">
        <w:rPr>
          <w:rFonts w:ascii="Arial" w:hAnsi="Arial" w:cs="Arial"/>
        </w:rPr>
        <w:t xml:space="preserve">alguna situación particular </w:t>
      </w:r>
      <w:r w:rsidR="00C64184">
        <w:rPr>
          <w:rFonts w:ascii="Arial" w:hAnsi="Arial" w:cs="Arial"/>
        </w:rPr>
        <w:t xml:space="preserve">adelantada a través de un procedimiento de fijación de cargos, lo cual, como se ha mencionado, conllevaría a </w:t>
      </w:r>
      <w:r w:rsidRPr="00C86486">
        <w:rPr>
          <w:rFonts w:ascii="Arial" w:hAnsi="Arial" w:cs="Arial"/>
        </w:rPr>
        <w:t>dejar de aplicar elementos que reflejan las condiciones de eficiencia actuales.</w:t>
      </w:r>
    </w:p>
    <w:p w14:paraId="42CBE19A" w14:textId="410723CA" w:rsidR="00C86486" w:rsidRDefault="00046ABE" w:rsidP="003E6CBD">
      <w:pPr>
        <w:jc w:val="both"/>
        <w:rPr>
          <w:rFonts w:ascii="Arial" w:hAnsi="Arial" w:cs="Arial"/>
        </w:rPr>
      </w:pPr>
      <w:r w:rsidRPr="00046ABE">
        <w:rPr>
          <w:rFonts w:ascii="Arial" w:hAnsi="Arial" w:cs="Arial"/>
        </w:rPr>
        <w:t xml:space="preserve">Adicionalmente, </w:t>
      </w:r>
      <w:r w:rsidR="007B5BDA">
        <w:rPr>
          <w:rFonts w:ascii="Arial" w:hAnsi="Arial" w:cs="Arial"/>
        </w:rPr>
        <w:t xml:space="preserve">dentro de este ejercicio </w:t>
      </w:r>
      <w:r w:rsidRPr="00046ABE">
        <w:rPr>
          <w:rFonts w:ascii="Arial" w:hAnsi="Arial" w:cs="Arial"/>
        </w:rPr>
        <w:t xml:space="preserve">se </w:t>
      </w:r>
      <w:r w:rsidR="00215DFA">
        <w:rPr>
          <w:rFonts w:ascii="Arial" w:hAnsi="Arial" w:cs="Arial"/>
        </w:rPr>
        <w:t>debe</w:t>
      </w:r>
      <w:r w:rsidRPr="00046ABE">
        <w:rPr>
          <w:rFonts w:ascii="Arial" w:hAnsi="Arial" w:cs="Arial"/>
        </w:rPr>
        <w:t xml:space="preserve"> da</w:t>
      </w:r>
      <w:r w:rsidR="00A84689">
        <w:rPr>
          <w:rFonts w:ascii="Arial" w:hAnsi="Arial" w:cs="Arial"/>
        </w:rPr>
        <w:t>r</w:t>
      </w:r>
      <w:r w:rsidRPr="00046ABE">
        <w:rPr>
          <w:rFonts w:ascii="Arial" w:hAnsi="Arial" w:cs="Arial"/>
        </w:rPr>
        <w:t xml:space="preserve"> cumplimiento </w:t>
      </w:r>
      <w:r w:rsidR="00A84689">
        <w:rPr>
          <w:rFonts w:ascii="Arial" w:hAnsi="Arial" w:cs="Arial"/>
        </w:rPr>
        <w:t xml:space="preserve">simultáneamente </w:t>
      </w:r>
      <w:r w:rsidRPr="00046ABE">
        <w:rPr>
          <w:rFonts w:ascii="Arial" w:hAnsi="Arial" w:cs="Arial"/>
        </w:rPr>
        <w:t xml:space="preserve">a los procedimientos para expedición de este tipo de actos descritos en las normas internas de la Comisión como </w:t>
      </w:r>
      <w:r w:rsidR="000C05DB">
        <w:rPr>
          <w:rFonts w:ascii="Arial" w:hAnsi="Arial" w:cs="Arial"/>
        </w:rPr>
        <w:t xml:space="preserve">es </w:t>
      </w:r>
      <w:r w:rsidRPr="00046ABE">
        <w:rPr>
          <w:rFonts w:ascii="Arial" w:hAnsi="Arial" w:cs="Arial"/>
        </w:rPr>
        <w:t xml:space="preserve">la Resolución CREG </w:t>
      </w:r>
      <w:r w:rsidR="005038CB">
        <w:rPr>
          <w:rFonts w:ascii="Arial" w:hAnsi="Arial" w:cs="Arial"/>
        </w:rPr>
        <w:t>105</w:t>
      </w:r>
      <w:r w:rsidR="00AC74AE">
        <w:rPr>
          <w:rFonts w:ascii="Arial" w:hAnsi="Arial" w:cs="Arial"/>
        </w:rPr>
        <w:t>-</w:t>
      </w:r>
      <w:r w:rsidR="005038CB">
        <w:rPr>
          <w:rFonts w:ascii="Arial" w:hAnsi="Arial" w:cs="Arial"/>
        </w:rPr>
        <w:t>00</w:t>
      </w:r>
      <w:r w:rsidR="00AC74AE">
        <w:rPr>
          <w:rFonts w:ascii="Arial" w:hAnsi="Arial" w:cs="Arial"/>
        </w:rPr>
        <w:t>3 de 2023</w:t>
      </w:r>
      <w:r w:rsidRPr="00046ABE">
        <w:rPr>
          <w:rFonts w:ascii="Arial" w:hAnsi="Arial" w:cs="Arial"/>
        </w:rPr>
        <w:t>.</w:t>
      </w:r>
    </w:p>
    <w:p w14:paraId="42B87681" w14:textId="63AAEFD2" w:rsidR="00D32169" w:rsidRDefault="00D32169" w:rsidP="00FA1C50">
      <w:pPr>
        <w:pStyle w:val="Ttulo1"/>
      </w:pPr>
      <w:bookmarkStart w:id="64" w:name="_Toc165037344"/>
      <w:r w:rsidRPr="00115F4D">
        <w:t>IMPACTOS DE LA METODOLOGIA</w:t>
      </w:r>
      <w:bookmarkEnd w:id="64"/>
    </w:p>
    <w:p w14:paraId="0212334D" w14:textId="49C34AA6" w:rsidR="00F00A37" w:rsidRDefault="00DB0D67" w:rsidP="00F00A37">
      <w:pPr>
        <w:jc w:val="both"/>
        <w:rPr>
          <w:rFonts w:ascii="Arial" w:hAnsi="Arial" w:cs="Arial"/>
        </w:rPr>
      </w:pPr>
      <w:r>
        <w:rPr>
          <w:rFonts w:ascii="Arial" w:hAnsi="Arial" w:cs="Arial"/>
        </w:rPr>
        <w:t xml:space="preserve">En este numeral se presentan los impactos esperados por la implementación de la metodología para la remuneración de </w:t>
      </w:r>
      <w:r w:rsidR="00224B0D">
        <w:rPr>
          <w:rFonts w:ascii="Arial" w:hAnsi="Arial" w:cs="Arial"/>
        </w:rPr>
        <w:t xml:space="preserve">la actividad de comercialización a usuarios regulados por mercado de comercialización, partiendo de la mejor información disponible </w:t>
      </w:r>
      <w:r w:rsidR="00C25240">
        <w:rPr>
          <w:rFonts w:ascii="Arial" w:hAnsi="Arial" w:cs="Arial"/>
        </w:rPr>
        <w:t xml:space="preserve">al momento de publicación de </w:t>
      </w:r>
      <w:r w:rsidR="008E0608">
        <w:rPr>
          <w:rFonts w:ascii="Arial" w:hAnsi="Arial" w:cs="Arial"/>
        </w:rPr>
        <w:t>esta</w:t>
      </w:r>
      <w:r w:rsidR="00C25240">
        <w:rPr>
          <w:rFonts w:ascii="Arial" w:hAnsi="Arial" w:cs="Arial"/>
        </w:rPr>
        <w:t xml:space="preserve">, </w:t>
      </w:r>
      <w:r w:rsidR="001B2395">
        <w:rPr>
          <w:rFonts w:ascii="Arial" w:hAnsi="Arial" w:cs="Arial"/>
        </w:rPr>
        <w:t>y para cada una de las propuestas de</w:t>
      </w:r>
      <w:r w:rsidR="005A7821">
        <w:rPr>
          <w:rFonts w:ascii="Arial" w:hAnsi="Arial" w:cs="Arial"/>
        </w:rPr>
        <w:t xml:space="preserve"> ajuste</w:t>
      </w:r>
      <w:r w:rsidR="001B2395">
        <w:rPr>
          <w:rFonts w:ascii="Arial" w:hAnsi="Arial" w:cs="Arial"/>
        </w:rPr>
        <w:t xml:space="preserve"> de acuerdo con la estructura </w:t>
      </w:r>
      <w:r w:rsidR="002A4258">
        <w:rPr>
          <w:rFonts w:ascii="Arial" w:hAnsi="Arial" w:cs="Arial"/>
        </w:rPr>
        <w:t xml:space="preserve">descrita </w:t>
      </w:r>
      <w:r w:rsidR="008E0608">
        <w:rPr>
          <w:rFonts w:ascii="Arial" w:hAnsi="Arial" w:cs="Arial"/>
        </w:rPr>
        <w:t>anteriormente</w:t>
      </w:r>
      <w:r w:rsidR="005A7821">
        <w:rPr>
          <w:rFonts w:ascii="Arial" w:hAnsi="Arial" w:cs="Arial"/>
        </w:rPr>
        <w:t>. C</w:t>
      </w:r>
      <w:r w:rsidR="00195195">
        <w:rPr>
          <w:rFonts w:ascii="Arial" w:hAnsi="Arial" w:cs="Arial"/>
        </w:rPr>
        <w:t xml:space="preserve">on el objetivo de </w:t>
      </w:r>
      <w:r w:rsidR="00076CB9">
        <w:rPr>
          <w:rFonts w:ascii="Arial" w:hAnsi="Arial" w:cs="Arial"/>
        </w:rPr>
        <w:t>evaluar el impacto de la metodología se toma como mes base el mes de abril 202</w:t>
      </w:r>
      <w:r w:rsidR="005A7821">
        <w:rPr>
          <w:rFonts w:ascii="Arial" w:hAnsi="Arial" w:cs="Arial"/>
        </w:rPr>
        <w:t>3</w:t>
      </w:r>
      <w:r w:rsidR="00076CB9">
        <w:rPr>
          <w:rFonts w:ascii="Arial" w:hAnsi="Arial" w:cs="Arial"/>
        </w:rPr>
        <w:t>, debido a la disponibilidad de información</w:t>
      </w:r>
      <w:r w:rsidR="000D3A43">
        <w:rPr>
          <w:rFonts w:ascii="Arial" w:hAnsi="Arial" w:cs="Arial"/>
        </w:rPr>
        <w:t xml:space="preserve">, sin embargo, se espera actualizar el análisis con la información solicitada a través de circular por parte de la Comisión y </w:t>
      </w:r>
      <w:r w:rsidR="00694C86">
        <w:rPr>
          <w:rFonts w:ascii="Arial" w:hAnsi="Arial" w:cs="Arial"/>
        </w:rPr>
        <w:t>la actualización de los modelos de frontera</w:t>
      </w:r>
      <w:r w:rsidR="005A212A">
        <w:rPr>
          <w:rFonts w:ascii="Arial" w:hAnsi="Arial" w:cs="Arial"/>
        </w:rPr>
        <w:t xml:space="preserve"> estocástica, los cuales se </w:t>
      </w:r>
      <w:r w:rsidR="00C94C8F">
        <w:rPr>
          <w:rFonts w:ascii="Arial" w:hAnsi="Arial" w:cs="Arial"/>
        </w:rPr>
        <w:t>socializarán</w:t>
      </w:r>
      <w:r w:rsidR="005F133D">
        <w:rPr>
          <w:rFonts w:ascii="Arial" w:hAnsi="Arial" w:cs="Arial"/>
        </w:rPr>
        <w:t xml:space="preserve"> con los interesados durante el periodo de consulta de la metodología</w:t>
      </w:r>
      <w:r w:rsidR="008E0608">
        <w:rPr>
          <w:rFonts w:ascii="Arial" w:hAnsi="Arial" w:cs="Arial"/>
        </w:rPr>
        <w:t>.</w:t>
      </w:r>
      <w:r w:rsidR="00561D2F">
        <w:rPr>
          <w:rFonts w:ascii="Arial" w:hAnsi="Arial" w:cs="Arial"/>
        </w:rPr>
        <w:t xml:space="preserve"> No obstante, con la información </w:t>
      </w:r>
      <w:r w:rsidR="00FC4F74">
        <w:rPr>
          <w:rFonts w:ascii="Arial" w:hAnsi="Arial" w:cs="Arial"/>
        </w:rPr>
        <w:t xml:space="preserve">disponible es posible realizar el análisis de los impactos de la implementación de la propuesta </w:t>
      </w:r>
      <w:r w:rsidR="008C6487">
        <w:rPr>
          <w:rFonts w:ascii="Arial" w:hAnsi="Arial" w:cs="Arial"/>
        </w:rPr>
        <w:t>metodológica</w:t>
      </w:r>
      <w:r w:rsidR="00FC4F74">
        <w:rPr>
          <w:rFonts w:ascii="Arial" w:hAnsi="Arial" w:cs="Arial"/>
        </w:rPr>
        <w:t>,</w:t>
      </w:r>
      <w:r w:rsidR="00993269">
        <w:rPr>
          <w:rFonts w:ascii="Arial" w:hAnsi="Arial" w:cs="Arial"/>
        </w:rPr>
        <w:t xml:space="preserve"> toda vez que las variables usadas </w:t>
      </w:r>
      <w:r w:rsidR="007277D3">
        <w:rPr>
          <w:rFonts w:ascii="Arial" w:hAnsi="Arial" w:cs="Arial"/>
        </w:rPr>
        <w:t xml:space="preserve">para determinar los costos reconocidos </w:t>
      </w:r>
      <w:r w:rsidR="009F0264">
        <w:rPr>
          <w:rFonts w:ascii="Arial" w:hAnsi="Arial" w:cs="Arial"/>
        </w:rPr>
        <w:t>de la actividad de comercialización</w:t>
      </w:r>
      <w:r w:rsidR="009C4F52">
        <w:rPr>
          <w:rFonts w:ascii="Arial" w:hAnsi="Arial" w:cs="Arial"/>
        </w:rPr>
        <w:t xml:space="preserve"> son reportadas de forma periódica por los agentes</w:t>
      </w:r>
      <w:r w:rsidR="00E154F6">
        <w:rPr>
          <w:rFonts w:ascii="Arial" w:hAnsi="Arial" w:cs="Arial"/>
        </w:rPr>
        <w:t xml:space="preserve">, </w:t>
      </w:r>
      <w:r w:rsidR="0066051E">
        <w:rPr>
          <w:rFonts w:ascii="Arial" w:hAnsi="Arial" w:cs="Arial"/>
        </w:rPr>
        <w:t xml:space="preserve">guardando relación con la </w:t>
      </w:r>
      <w:r w:rsidR="003D3366">
        <w:rPr>
          <w:rFonts w:ascii="Arial" w:hAnsi="Arial" w:cs="Arial"/>
        </w:rPr>
        <w:t xml:space="preserve">información reportada en años anteriores, por lo cual no se esperan cambios significativos respecto a la </w:t>
      </w:r>
      <w:r w:rsidR="00DC60AC">
        <w:rPr>
          <w:rFonts w:ascii="Arial" w:hAnsi="Arial" w:cs="Arial"/>
        </w:rPr>
        <w:t>actualización de la información</w:t>
      </w:r>
      <w:r w:rsidR="003D3366">
        <w:rPr>
          <w:rFonts w:ascii="Arial" w:hAnsi="Arial" w:cs="Arial"/>
        </w:rPr>
        <w:t xml:space="preserve">. </w:t>
      </w:r>
      <w:r w:rsidR="00FC4F74">
        <w:rPr>
          <w:rFonts w:ascii="Arial" w:hAnsi="Arial" w:cs="Arial"/>
        </w:rPr>
        <w:t xml:space="preserve"> </w:t>
      </w:r>
    </w:p>
    <w:p w14:paraId="5828D37C" w14:textId="1D1516CD" w:rsidR="005F133D" w:rsidRPr="006B7432" w:rsidRDefault="005F133D" w:rsidP="00C00C77">
      <w:pPr>
        <w:pStyle w:val="Ttulo2"/>
        <w:numPr>
          <w:ilvl w:val="1"/>
          <w:numId w:val="26"/>
        </w:numPr>
      </w:pPr>
      <w:bookmarkStart w:id="65" w:name="_Toc165037345"/>
      <w:r>
        <w:t xml:space="preserve">Impacto en el </w:t>
      </w:r>
      <w:r w:rsidR="00EC3FDE">
        <w:t xml:space="preserve">componente fijo del </w:t>
      </w:r>
      <w:r w:rsidR="006B7432">
        <w:t>co</w:t>
      </w:r>
      <w:r w:rsidRPr="00115F4D">
        <w:t>sto de Comercialización</w:t>
      </w:r>
      <w:bookmarkEnd w:id="65"/>
    </w:p>
    <w:p w14:paraId="71C3FF99" w14:textId="539A3750" w:rsidR="008E0608" w:rsidRDefault="004E3C05" w:rsidP="00F00A37">
      <w:pPr>
        <w:jc w:val="both"/>
        <w:rPr>
          <w:rFonts w:ascii="Arial" w:hAnsi="Arial" w:cs="Arial"/>
        </w:rPr>
      </w:pPr>
      <w:r>
        <w:rPr>
          <w:rFonts w:ascii="Arial" w:hAnsi="Arial" w:cs="Arial"/>
        </w:rPr>
        <w:t>E</w:t>
      </w:r>
      <w:r w:rsidR="00FE5587">
        <w:rPr>
          <w:rFonts w:ascii="Arial" w:hAnsi="Arial" w:cs="Arial"/>
        </w:rPr>
        <w:t>l impacto</w:t>
      </w:r>
      <w:r>
        <w:rPr>
          <w:rFonts w:ascii="Arial" w:hAnsi="Arial" w:cs="Arial"/>
        </w:rPr>
        <w:t xml:space="preserve"> en el componente fijo del </w:t>
      </w:r>
      <w:r w:rsidR="00FE5587">
        <w:rPr>
          <w:rFonts w:ascii="Arial" w:hAnsi="Arial" w:cs="Arial"/>
        </w:rPr>
        <w:t xml:space="preserve">costo de comercialización se </w:t>
      </w:r>
      <w:r w:rsidR="00A178BE">
        <w:rPr>
          <w:rFonts w:ascii="Arial" w:hAnsi="Arial" w:cs="Arial"/>
        </w:rPr>
        <w:t xml:space="preserve">divide en el </w:t>
      </w:r>
      <w:r w:rsidR="00832A91">
        <w:rPr>
          <w:rFonts w:ascii="Arial" w:hAnsi="Arial" w:cs="Arial"/>
        </w:rPr>
        <w:t>efecto de</w:t>
      </w:r>
      <w:r w:rsidR="00D7209B">
        <w:rPr>
          <w:rFonts w:ascii="Arial" w:hAnsi="Arial" w:cs="Arial"/>
        </w:rPr>
        <w:t xml:space="preserve">l cambio </w:t>
      </w:r>
      <w:r w:rsidR="00532960">
        <w:rPr>
          <w:rFonts w:ascii="Arial" w:hAnsi="Arial" w:cs="Arial"/>
        </w:rPr>
        <w:t xml:space="preserve">por la información disponible en </w:t>
      </w:r>
      <w:r w:rsidR="00C312C8">
        <w:rPr>
          <w:rFonts w:ascii="Arial" w:hAnsi="Arial" w:cs="Arial"/>
        </w:rPr>
        <w:t>ICR</w:t>
      </w:r>
      <w:r w:rsidR="005F133D">
        <w:rPr>
          <w:rFonts w:ascii="Arial" w:hAnsi="Arial" w:cs="Arial"/>
        </w:rPr>
        <w:t xml:space="preserve"> y el modelo de frontera estocástica para evaluar la eficiencia de los comercializadores.</w:t>
      </w:r>
    </w:p>
    <w:p w14:paraId="75EBE7E2" w14:textId="18A226AC" w:rsidR="00713DF4" w:rsidRDefault="00713DF4" w:rsidP="00F00A37">
      <w:pPr>
        <w:jc w:val="both"/>
        <w:rPr>
          <w:rFonts w:ascii="Arial" w:hAnsi="Arial" w:cs="Arial"/>
        </w:rPr>
      </w:pPr>
      <w:r>
        <w:rPr>
          <w:rFonts w:ascii="Arial" w:hAnsi="Arial" w:cs="Arial"/>
        </w:rPr>
        <w:t xml:space="preserve">En la </w:t>
      </w:r>
      <w:r w:rsidR="00B12962">
        <w:rPr>
          <w:rFonts w:ascii="Arial" w:hAnsi="Arial" w:cs="Arial"/>
        </w:rPr>
        <w:fldChar w:fldCharType="begin"/>
      </w:r>
      <w:r w:rsidR="00B12962">
        <w:rPr>
          <w:rFonts w:ascii="Arial" w:hAnsi="Arial" w:cs="Arial"/>
        </w:rPr>
        <w:instrText xml:space="preserve"> REF _Ref164844205 \h </w:instrText>
      </w:r>
      <w:r w:rsidR="00136A38">
        <w:rPr>
          <w:rFonts w:ascii="Arial" w:hAnsi="Arial" w:cs="Arial"/>
        </w:rPr>
        <w:instrText xml:space="preserve"> \* MERGEFORMAT </w:instrText>
      </w:r>
      <w:r w:rsidR="00B12962">
        <w:rPr>
          <w:rFonts w:ascii="Arial" w:hAnsi="Arial" w:cs="Arial"/>
        </w:rPr>
      </w:r>
      <w:r w:rsidR="00B12962">
        <w:rPr>
          <w:rFonts w:ascii="Arial" w:hAnsi="Arial" w:cs="Arial"/>
        </w:rPr>
        <w:fldChar w:fldCharType="separate"/>
      </w:r>
      <w:r w:rsidR="002A641D" w:rsidRPr="002A641D">
        <w:rPr>
          <w:rFonts w:ascii="Arial" w:hAnsi="Arial" w:cs="Arial"/>
        </w:rPr>
        <w:t>Figura 5</w:t>
      </w:r>
      <w:r w:rsidR="00B12962">
        <w:rPr>
          <w:rFonts w:ascii="Arial" w:hAnsi="Arial" w:cs="Arial"/>
        </w:rPr>
        <w:fldChar w:fldCharType="end"/>
      </w:r>
      <w:r w:rsidR="00B12962">
        <w:rPr>
          <w:rFonts w:ascii="Arial" w:hAnsi="Arial" w:cs="Arial"/>
        </w:rPr>
        <w:t xml:space="preserve"> se muestran los impactos </w:t>
      </w:r>
      <w:r w:rsidR="00E558A1">
        <w:rPr>
          <w:rFonts w:ascii="Arial" w:hAnsi="Arial" w:cs="Arial"/>
        </w:rPr>
        <w:t xml:space="preserve">de la </w:t>
      </w:r>
      <w:r w:rsidR="00E6787D">
        <w:rPr>
          <w:rFonts w:ascii="Arial" w:hAnsi="Arial" w:cs="Arial"/>
        </w:rPr>
        <w:t>metodología</w:t>
      </w:r>
      <w:r w:rsidR="00E558A1">
        <w:rPr>
          <w:rFonts w:ascii="Arial" w:hAnsi="Arial" w:cs="Arial"/>
        </w:rPr>
        <w:t xml:space="preserve"> en el costo fijo de comercialización usando como referencia </w:t>
      </w:r>
      <w:r w:rsidR="00894DC6">
        <w:rPr>
          <w:rFonts w:ascii="Arial" w:hAnsi="Arial" w:cs="Arial"/>
        </w:rPr>
        <w:t xml:space="preserve">la información reportada por los comercializadores </w:t>
      </w:r>
      <w:r w:rsidR="00B15B48">
        <w:rPr>
          <w:rFonts w:ascii="Arial" w:hAnsi="Arial" w:cs="Arial"/>
        </w:rPr>
        <w:t xml:space="preserve">en ICR para el año 2021 </w:t>
      </w:r>
      <w:r w:rsidR="00D5772D">
        <w:rPr>
          <w:rFonts w:ascii="Arial" w:hAnsi="Arial" w:cs="Arial"/>
        </w:rPr>
        <w:t xml:space="preserve">y </w:t>
      </w:r>
      <w:r w:rsidR="00013F7D">
        <w:rPr>
          <w:rFonts w:ascii="Arial" w:hAnsi="Arial" w:cs="Arial"/>
        </w:rPr>
        <w:t xml:space="preserve">los resultados del modelo de frontera estocástica </w:t>
      </w:r>
      <w:r w:rsidR="00E67F56">
        <w:rPr>
          <w:rFonts w:ascii="Arial" w:hAnsi="Arial" w:cs="Arial"/>
        </w:rPr>
        <w:t xml:space="preserve">publicados en la </w:t>
      </w:r>
      <w:r w:rsidR="006B67E3">
        <w:rPr>
          <w:rFonts w:ascii="Arial" w:hAnsi="Arial" w:cs="Arial"/>
        </w:rPr>
        <w:t>C</w:t>
      </w:r>
      <w:r w:rsidR="00E67F56">
        <w:rPr>
          <w:rFonts w:ascii="Arial" w:hAnsi="Arial" w:cs="Arial"/>
        </w:rPr>
        <w:t xml:space="preserve">ircular 087 de 2021. </w:t>
      </w:r>
      <w:r w:rsidR="00F22C3E">
        <w:rPr>
          <w:rFonts w:ascii="Arial" w:hAnsi="Arial" w:cs="Arial"/>
        </w:rPr>
        <w:t xml:space="preserve">Los </w:t>
      </w:r>
      <w:r w:rsidR="00DB1DB4">
        <w:rPr>
          <w:rFonts w:ascii="Arial" w:hAnsi="Arial" w:cs="Arial"/>
        </w:rPr>
        <w:t xml:space="preserve">resultados muestran impacto </w:t>
      </w:r>
      <w:r w:rsidR="003C06DA">
        <w:rPr>
          <w:rFonts w:ascii="Arial" w:hAnsi="Arial" w:cs="Arial"/>
        </w:rPr>
        <w:t xml:space="preserve">promedio ponderado -2,17% en el costo unitario </w:t>
      </w:r>
      <w:r w:rsidR="003C06DA">
        <w:rPr>
          <w:rFonts w:ascii="Arial" w:hAnsi="Arial" w:cs="Arial"/>
        </w:rPr>
        <w:lastRenderedPageBreak/>
        <w:t xml:space="preserve">de prestación del servicio y de </w:t>
      </w:r>
      <w:r w:rsidR="001224B5">
        <w:rPr>
          <w:rFonts w:ascii="Arial" w:hAnsi="Arial" w:cs="Arial"/>
        </w:rPr>
        <w:t>-18</w:t>
      </w:r>
      <w:r w:rsidR="00500209">
        <w:rPr>
          <w:rFonts w:ascii="Arial" w:hAnsi="Arial" w:cs="Arial"/>
        </w:rPr>
        <w:t>,8% en el componente de comercialización</w:t>
      </w:r>
      <w:r w:rsidR="001F52B5">
        <w:rPr>
          <w:rFonts w:ascii="Arial" w:hAnsi="Arial" w:cs="Arial"/>
        </w:rPr>
        <w:t>, sin incluir el costo de la opción tarifaria</w:t>
      </w:r>
      <w:r w:rsidR="00DA2C15">
        <w:rPr>
          <w:rFonts w:ascii="Arial" w:hAnsi="Arial" w:cs="Arial"/>
        </w:rPr>
        <w:t>, tomando como referencia el costo unitario de abril de 2023</w:t>
      </w:r>
      <w:r w:rsidR="00500209">
        <w:rPr>
          <w:rFonts w:ascii="Arial" w:hAnsi="Arial" w:cs="Arial"/>
        </w:rPr>
        <w:t>.</w:t>
      </w:r>
    </w:p>
    <w:p w14:paraId="1882BBD3" w14:textId="6B448D98" w:rsidR="0062539E" w:rsidRDefault="00005865" w:rsidP="00FD1447">
      <w:pPr>
        <w:spacing w:after="0"/>
        <w:jc w:val="both"/>
        <w:rPr>
          <w:rFonts w:ascii="Arial" w:hAnsi="Arial" w:cs="Arial"/>
        </w:rPr>
      </w:pPr>
      <w:r>
        <w:rPr>
          <w:noProof/>
        </w:rPr>
        <w:drawing>
          <wp:inline distT="0" distB="0" distL="0" distR="0" wp14:anchorId="3FF8F209" wp14:editId="594653FD">
            <wp:extent cx="5731510" cy="2533015"/>
            <wp:effectExtent l="19050" t="19050" r="21590" b="19685"/>
            <wp:docPr id="151882983"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2983" name="Imagen 1" descr="Gráfico, Gráfico de barras&#10;&#10;Descripción generada automáticamente"/>
                    <pic:cNvPicPr/>
                  </pic:nvPicPr>
                  <pic:blipFill>
                    <a:blip r:embed="rId71"/>
                    <a:stretch>
                      <a:fillRect/>
                    </a:stretch>
                  </pic:blipFill>
                  <pic:spPr>
                    <a:xfrm>
                      <a:off x="0" y="0"/>
                      <a:ext cx="5731510" cy="2533015"/>
                    </a:xfrm>
                    <a:prstGeom prst="rect">
                      <a:avLst/>
                    </a:prstGeom>
                    <a:ln>
                      <a:solidFill>
                        <a:schemeClr val="bg2"/>
                      </a:solidFill>
                    </a:ln>
                  </pic:spPr>
                </pic:pic>
              </a:graphicData>
            </a:graphic>
          </wp:inline>
        </w:drawing>
      </w:r>
    </w:p>
    <w:p w14:paraId="35FCE572" w14:textId="12736717" w:rsidR="00005865" w:rsidRPr="00115F4D" w:rsidRDefault="00005865" w:rsidP="00005865">
      <w:pPr>
        <w:spacing w:before="0" w:after="0"/>
        <w:jc w:val="center"/>
        <w:rPr>
          <w:rFonts w:ascii="Arial" w:hAnsi="Arial" w:cs="Arial"/>
          <w:b/>
          <w:bCs/>
          <w:i/>
          <w:iCs/>
          <w:color w:val="000000" w:themeColor="text1"/>
          <w:sz w:val="18"/>
          <w:szCs w:val="18"/>
        </w:rPr>
      </w:pPr>
      <w:bookmarkStart w:id="66" w:name="_Ref164844205"/>
      <w:r w:rsidRPr="00115F4D">
        <w:rPr>
          <w:rFonts w:ascii="Arial" w:hAnsi="Arial" w:cs="Arial"/>
          <w:b/>
          <w:bCs/>
          <w:i/>
          <w:iCs/>
          <w:color w:val="000000" w:themeColor="text1"/>
          <w:sz w:val="18"/>
          <w:szCs w:val="18"/>
        </w:rPr>
        <w:t xml:space="preserve">Figura </w:t>
      </w:r>
      <w:r w:rsidRPr="00115F4D">
        <w:rPr>
          <w:rFonts w:ascii="Arial" w:hAnsi="Arial" w:cs="Arial"/>
          <w:b/>
          <w:bCs/>
          <w:i/>
          <w:iCs/>
          <w:color w:val="000000" w:themeColor="text1"/>
          <w:sz w:val="18"/>
          <w:szCs w:val="18"/>
        </w:rPr>
        <w:fldChar w:fldCharType="begin"/>
      </w:r>
      <w:r w:rsidRPr="00115F4D">
        <w:rPr>
          <w:rFonts w:ascii="Arial" w:hAnsi="Arial" w:cs="Arial"/>
          <w:b/>
          <w:bCs/>
          <w:i/>
          <w:iCs/>
          <w:color w:val="000000" w:themeColor="text1"/>
          <w:sz w:val="18"/>
          <w:szCs w:val="18"/>
        </w:rPr>
        <w:instrText xml:space="preserve"> SEQ Figura \* ARABIC </w:instrText>
      </w:r>
      <w:r w:rsidRPr="00115F4D">
        <w:rPr>
          <w:rFonts w:ascii="Arial" w:hAnsi="Arial" w:cs="Arial"/>
          <w:b/>
          <w:bCs/>
          <w:i/>
          <w:iCs/>
          <w:color w:val="000000" w:themeColor="text1"/>
          <w:sz w:val="18"/>
          <w:szCs w:val="18"/>
        </w:rPr>
        <w:fldChar w:fldCharType="separate"/>
      </w:r>
      <w:r w:rsidR="002A641D">
        <w:rPr>
          <w:rFonts w:ascii="Arial" w:hAnsi="Arial" w:cs="Arial"/>
          <w:b/>
          <w:bCs/>
          <w:i/>
          <w:iCs/>
          <w:noProof/>
          <w:color w:val="000000" w:themeColor="text1"/>
          <w:sz w:val="18"/>
          <w:szCs w:val="18"/>
        </w:rPr>
        <w:t>5</w:t>
      </w:r>
      <w:r w:rsidRPr="00115F4D">
        <w:rPr>
          <w:rFonts w:ascii="Arial" w:hAnsi="Arial" w:cs="Arial"/>
          <w:b/>
          <w:bCs/>
          <w:i/>
          <w:iCs/>
          <w:color w:val="000000" w:themeColor="text1"/>
          <w:sz w:val="18"/>
          <w:szCs w:val="18"/>
        </w:rPr>
        <w:fldChar w:fldCharType="end"/>
      </w:r>
      <w:bookmarkEnd w:id="66"/>
      <w:r w:rsidRPr="00115F4D">
        <w:rPr>
          <w:rFonts w:ascii="Arial" w:hAnsi="Arial" w:cs="Arial"/>
          <w:b/>
          <w:bCs/>
          <w:i/>
          <w:iCs/>
          <w:color w:val="000000" w:themeColor="text1"/>
          <w:sz w:val="18"/>
          <w:szCs w:val="18"/>
        </w:rPr>
        <w:t xml:space="preserve"> Resumen impactos </w:t>
      </w:r>
      <w:r>
        <w:rPr>
          <w:rFonts w:ascii="Arial" w:hAnsi="Arial" w:cs="Arial"/>
          <w:b/>
          <w:bCs/>
          <w:i/>
          <w:iCs/>
          <w:color w:val="000000" w:themeColor="text1"/>
          <w:sz w:val="18"/>
          <w:szCs w:val="18"/>
        </w:rPr>
        <w:t>en el costo fijo de comercialización</w:t>
      </w:r>
    </w:p>
    <w:p w14:paraId="41FB0A00" w14:textId="77777777" w:rsidR="00005865" w:rsidRPr="00115F4D" w:rsidRDefault="00005865" w:rsidP="00005865">
      <w:pPr>
        <w:spacing w:before="0" w:after="0"/>
        <w:jc w:val="center"/>
        <w:rPr>
          <w:rFonts w:ascii="Arial" w:hAnsi="Arial" w:cs="Arial"/>
          <w:b/>
          <w:bCs/>
          <w:i/>
          <w:iCs/>
          <w:color w:val="000000" w:themeColor="text1"/>
          <w:sz w:val="18"/>
          <w:szCs w:val="18"/>
        </w:rPr>
      </w:pPr>
      <w:r w:rsidRPr="00115F4D">
        <w:rPr>
          <w:rFonts w:ascii="Arial" w:hAnsi="Arial" w:cs="Arial"/>
          <w:b/>
          <w:bCs/>
          <w:i/>
          <w:iCs/>
          <w:color w:val="000000" w:themeColor="text1"/>
          <w:sz w:val="18"/>
          <w:szCs w:val="18"/>
        </w:rPr>
        <w:t>Fuente: Elaboración Propia</w:t>
      </w:r>
    </w:p>
    <w:p w14:paraId="54213B06" w14:textId="4D93DFCB" w:rsidR="00544FB1" w:rsidRPr="006B7432" w:rsidRDefault="00544FB1" w:rsidP="00C00C77">
      <w:pPr>
        <w:pStyle w:val="Ttulo2"/>
        <w:numPr>
          <w:ilvl w:val="1"/>
          <w:numId w:val="26"/>
        </w:numPr>
      </w:pPr>
      <w:bookmarkStart w:id="67" w:name="_Toc165037346"/>
      <w:r>
        <w:t xml:space="preserve">Impacto en el componente </w:t>
      </w:r>
      <w:r w:rsidR="006D1281">
        <w:t>v</w:t>
      </w:r>
      <w:r>
        <w:t>ariable del co</w:t>
      </w:r>
      <w:r w:rsidRPr="00115F4D">
        <w:t xml:space="preserve">sto de </w:t>
      </w:r>
      <w:r w:rsidR="00582FD0">
        <w:t>c</w:t>
      </w:r>
      <w:r w:rsidRPr="00115F4D">
        <w:t>omercialización</w:t>
      </w:r>
      <w:bookmarkEnd w:id="67"/>
    </w:p>
    <w:p w14:paraId="5C88E0E8" w14:textId="02E44008" w:rsidR="00582FD0" w:rsidRPr="00582FD0" w:rsidRDefault="00582FD0" w:rsidP="00582FD0">
      <w:pPr>
        <w:jc w:val="both"/>
        <w:rPr>
          <w:rFonts w:ascii="Arial" w:hAnsi="Arial" w:cs="Arial"/>
        </w:rPr>
      </w:pPr>
      <w:r w:rsidRPr="00582FD0">
        <w:rPr>
          <w:rFonts w:ascii="Arial" w:hAnsi="Arial" w:cs="Arial"/>
        </w:rPr>
        <w:t>Para evaluar los impactos e</w:t>
      </w:r>
      <w:r>
        <w:rPr>
          <w:rFonts w:ascii="Arial" w:hAnsi="Arial" w:cs="Arial"/>
        </w:rPr>
        <w:t xml:space="preserve">n el </w:t>
      </w:r>
      <w:r w:rsidR="0040196E">
        <w:rPr>
          <w:rFonts w:ascii="Arial" w:hAnsi="Arial" w:cs="Arial"/>
        </w:rPr>
        <w:t xml:space="preserve">costo variable de comercialización se </w:t>
      </w:r>
      <w:r w:rsidR="00C022A9">
        <w:rPr>
          <w:rFonts w:ascii="Arial" w:hAnsi="Arial" w:cs="Arial"/>
        </w:rPr>
        <w:t xml:space="preserve">divide en cada una de las variables que hacen parte del costo, margen </w:t>
      </w:r>
      <w:r w:rsidR="00CF2F8D">
        <w:rPr>
          <w:rFonts w:ascii="Arial" w:hAnsi="Arial" w:cs="Arial"/>
        </w:rPr>
        <w:t xml:space="preserve">operacional </w:t>
      </w:r>
      <w:r w:rsidR="00C022A9">
        <w:rPr>
          <w:rFonts w:ascii="Arial" w:hAnsi="Arial" w:cs="Arial"/>
        </w:rPr>
        <w:t>del comercializador</w:t>
      </w:r>
      <w:r w:rsidR="002E3B9A">
        <w:rPr>
          <w:rFonts w:ascii="Arial" w:hAnsi="Arial" w:cs="Arial"/>
        </w:rPr>
        <w:t xml:space="preserve">, riesgo de cartera y costos </w:t>
      </w:r>
      <w:r w:rsidR="00E72540">
        <w:rPr>
          <w:rFonts w:ascii="Arial" w:hAnsi="Arial" w:cs="Arial"/>
        </w:rPr>
        <w:t>financieros</w:t>
      </w:r>
      <w:r w:rsidR="002E3B9A">
        <w:rPr>
          <w:rFonts w:ascii="Arial" w:hAnsi="Arial" w:cs="Arial"/>
        </w:rPr>
        <w:t>.</w:t>
      </w:r>
    </w:p>
    <w:p w14:paraId="53FF3290" w14:textId="43C058BD" w:rsidR="00E226E1" w:rsidRPr="00582FD0" w:rsidRDefault="00E226E1" w:rsidP="00582FD0">
      <w:pPr>
        <w:jc w:val="both"/>
        <w:rPr>
          <w:rFonts w:ascii="Arial" w:hAnsi="Arial" w:cs="Arial"/>
        </w:rPr>
      </w:pPr>
      <w:r>
        <w:rPr>
          <w:rFonts w:ascii="Arial" w:hAnsi="Arial" w:cs="Arial"/>
        </w:rPr>
        <w:t>Inicialmente, respecto al margen operacional del comercializador</w:t>
      </w:r>
      <w:r w:rsidR="00541885">
        <w:rPr>
          <w:rFonts w:ascii="Arial" w:hAnsi="Arial" w:cs="Arial"/>
        </w:rPr>
        <w:t xml:space="preserve">, </w:t>
      </w:r>
      <w:r w:rsidR="00843B1F">
        <w:rPr>
          <w:rFonts w:ascii="Arial" w:hAnsi="Arial" w:cs="Arial"/>
        </w:rPr>
        <w:t xml:space="preserve">se utilizan los resultados </w:t>
      </w:r>
      <w:r w:rsidR="00C209C3">
        <w:rPr>
          <w:rFonts w:ascii="Arial" w:hAnsi="Arial" w:cs="Arial"/>
        </w:rPr>
        <w:t xml:space="preserve">de actualizar el margen operacional de acuerdo con la </w:t>
      </w:r>
      <w:r w:rsidR="00EC40DC">
        <w:rPr>
          <w:rFonts w:ascii="Arial" w:hAnsi="Arial" w:cs="Arial"/>
        </w:rPr>
        <w:t>metodología</w:t>
      </w:r>
      <w:r w:rsidR="00C209C3">
        <w:rPr>
          <w:rFonts w:ascii="Arial" w:hAnsi="Arial" w:cs="Arial"/>
        </w:rPr>
        <w:t xml:space="preserve"> descrita anteriormente y el promedio simple del costo unitario de prestación del servicio por mercado de </w:t>
      </w:r>
      <w:r w:rsidR="00F837B4">
        <w:rPr>
          <w:rFonts w:ascii="Arial" w:hAnsi="Arial" w:cs="Arial"/>
        </w:rPr>
        <w:t xml:space="preserve">comercialización entre el año 2018 y </w:t>
      </w:r>
      <w:r w:rsidR="00E903A8">
        <w:rPr>
          <w:rFonts w:ascii="Arial" w:hAnsi="Arial" w:cs="Arial"/>
        </w:rPr>
        <w:t>2022</w:t>
      </w:r>
      <w:r w:rsidR="00525028">
        <w:rPr>
          <w:rFonts w:ascii="Arial" w:hAnsi="Arial" w:cs="Arial"/>
        </w:rPr>
        <w:t xml:space="preserve"> en pesos de abril de 2023</w:t>
      </w:r>
      <w:r w:rsidR="00E903A8">
        <w:rPr>
          <w:rFonts w:ascii="Arial" w:hAnsi="Arial" w:cs="Arial"/>
        </w:rPr>
        <w:t>.</w:t>
      </w:r>
      <w:r w:rsidR="00EC40DC">
        <w:rPr>
          <w:rFonts w:ascii="Arial" w:hAnsi="Arial" w:cs="Arial"/>
        </w:rPr>
        <w:t xml:space="preserve"> En la </w:t>
      </w:r>
      <w:r w:rsidR="00FC7B7E">
        <w:rPr>
          <w:rFonts w:ascii="Arial" w:hAnsi="Arial" w:cs="Arial"/>
        </w:rPr>
        <w:fldChar w:fldCharType="begin"/>
      </w:r>
      <w:r w:rsidR="00FC7B7E">
        <w:rPr>
          <w:rFonts w:ascii="Arial" w:hAnsi="Arial" w:cs="Arial"/>
        </w:rPr>
        <w:instrText xml:space="preserve"> REF _Ref164850575 \h  \* MERGEFORMAT </w:instrText>
      </w:r>
      <w:r w:rsidR="00FC7B7E">
        <w:rPr>
          <w:rFonts w:ascii="Arial" w:hAnsi="Arial" w:cs="Arial"/>
        </w:rPr>
      </w:r>
      <w:r w:rsidR="00FC7B7E">
        <w:rPr>
          <w:rFonts w:ascii="Arial" w:hAnsi="Arial" w:cs="Arial"/>
        </w:rPr>
        <w:fldChar w:fldCharType="separate"/>
      </w:r>
      <w:r w:rsidR="002A641D" w:rsidRPr="002A641D">
        <w:rPr>
          <w:rFonts w:ascii="Arial" w:hAnsi="Arial" w:cs="Arial"/>
        </w:rPr>
        <w:t xml:space="preserve">Figura </w:t>
      </w:r>
      <w:r w:rsidR="002A641D">
        <w:rPr>
          <w:rFonts w:ascii="Arial" w:hAnsi="Arial" w:cs="Arial"/>
          <w:b/>
          <w:bCs/>
          <w:i/>
          <w:iCs/>
          <w:noProof/>
          <w:color w:val="000000" w:themeColor="text1"/>
          <w:sz w:val="18"/>
          <w:szCs w:val="18"/>
        </w:rPr>
        <w:t>6</w:t>
      </w:r>
      <w:r w:rsidR="00FC7B7E">
        <w:rPr>
          <w:rFonts w:ascii="Arial" w:hAnsi="Arial" w:cs="Arial"/>
        </w:rPr>
        <w:fldChar w:fldCharType="end"/>
      </w:r>
      <w:r w:rsidR="00FC7B7E">
        <w:rPr>
          <w:rFonts w:ascii="Arial" w:hAnsi="Arial" w:cs="Arial"/>
        </w:rPr>
        <w:t xml:space="preserve"> se muestran los impactos de la metodología en el impacto </w:t>
      </w:r>
      <w:r w:rsidR="00525028">
        <w:rPr>
          <w:rFonts w:ascii="Arial" w:hAnsi="Arial" w:cs="Arial"/>
        </w:rPr>
        <w:t xml:space="preserve">con un promedio ponderado de </w:t>
      </w:r>
      <w:r w:rsidR="00A1205D">
        <w:rPr>
          <w:rFonts w:ascii="Arial" w:hAnsi="Arial" w:cs="Arial"/>
        </w:rPr>
        <w:t xml:space="preserve">-0.63% en el costo unitario de prestación del servicio y </w:t>
      </w:r>
      <w:r w:rsidR="00EE291D">
        <w:rPr>
          <w:rFonts w:ascii="Arial" w:hAnsi="Arial" w:cs="Arial"/>
        </w:rPr>
        <w:t xml:space="preserve">-6,2% en el costo base de comercialización. </w:t>
      </w:r>
    </w:p>
    <w:p w14:paraId="5A1ED1B7" w14:textId="68B4BC83" w:rsidR="0062539E" w:rsidRDefault="00B955BD" w:rsidP="00EE291D">
      <w:pPr>
        <w:spacing w:after="0"/>
        <w:jc w:val="both"/>
        <w:rPr>
          <w:rFonts w:ascii="Arial" w:hAnsi="Arial" w:cs="Arial"/>
        </w:rPr>
      </w:pPr>
      <w:r>
        <w:rPr>
          <w:noProof/>
        </w:rPr>
        <w:drawing>
          <wp:inline distT="0" distB="0" distL="0" distR="0" wp14:anchorId="3E7DDFDD" wp14:editId="1A77742B">
            <wp:extent cx="5731510" cy="2414905"/>
            <wp:effectExtent l="19050" t="19050" r="21590" b="23495"/>
            <wp:docPr id="2135095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95616" name=""/>
                    <pic:cNvPicPr/>
                  </pic:nvPicPr>
                  <pic:blipFill>
                    <a:blip r:embed="rId72"/>
                    <a:stretch>
                      <a:fillRect/>
                    </a:stretch>
                  </pic:blipFill>
                  <pic:spPr>
                    <a:xfrm>
                      <a:off x="0" y="0"/>
                      <a:ext cx="5731510" cy="2414905"/>
                    </a:xfrm>
                    <a:prstGeom prst="rect">
                      <a:avLst/>
                    </a:prstGeom>
                    <a:ln>
                      <a:solidFill>
                        <a:schemeClr val="bg2"/>
                      </a:solidFill>
                    </a:ln>
                  </pic:spPr>
                </pic:pic>
              </a:graphicData>
            </a:graphic>
          </wp:inline>
        </w:drawing>
      </w:r>
    </w:p>
    <w:p w14:paraId="2B0A24DA" w14:textId="313F3C2B" w:rsidR="00F2672B" w:rsidRPr="00115F4D" w:rsidRDefault="00F2672B" w:rsidP="00F2672B">
      <w:pPr>
        <w:spacing w:before="0" w:after="0"/>
        <w:jc w:val="center"/>
        <w:rPr>
          <w:rFonts w:ascii="Arial" w:hAnsi="Arial" w:cs="Arial"/>
          <w:b/>
          <w:bCs/>
          <w:i/>
          <w:iCs/>
          <w:color w:val="000000" w:themeColor="text1"/>
          <w:sz w:val="18"/>
          <w:szCs w:val="18"/>
        </w:rPr>
      </w:pPr>
      <w:bookmarkStart w:id="68" w:name="_Ref164850575"/>
      <w:r w:rsidRPr="00115F4D">
        <w:rPr>
          <w:rFonts w:ascii="Arial" w:hAnsi="Arial" w:cs="Arial"/>
          <w:b/>
          <w:bCs/>
          <w:i/>
          <w:iCs/>
          <w:color w:val="000000" w:themeColor="text1"/>
          <w:sz w:val="18"/>
          <w:szCs w:val="18"/>
        </w:rPr>
        <w:t xml:space="preserve">Figura </w:t>
      </w:r>
      <w:r w:rsidRPr="00115F4D">
        <w:rPr>
          <w:rFonts w:ascii="Arial" w:hAnsi="Arial" w:cs="Arial"/>
          <w:b/>
          <w:bCs/>
          <w:i/>
          <w:iCs/>
          <w:color w:val="000000" w:themeColor="text1"/>
          <w:sz w:val="18"/>
          <w:szCs w:val="18"/>
        </w:rPr>
        <w:fldChar w:fldCharType="begin"/>
      </w:r>
      <w:r w:rsidRPr="00115F4D">
        <w:rPr>
          <w:rFonts w:ascii="Arial" w:hAnsi="Arial" w:cs="Arial"/>
          <w:b/>
          <w:bCs/>
          <w:i/>
          <w:iCs/>
          <w:color w:val="000000" w:themeColor="text1"/>
          <w:sz w:val="18"/>
          <w:szCs w:val="18"/>
        </w:rPr>
        <w:instrText xml:space="preserve"> SEQ Figura \* ARABIC </w:instrText>
      </w:r>
      <w:r w:rsidRPr="00115F4D">
        <w:rPr>
          <w:rFonts w:ascii="Arial" w:hAnsi="Arial" w:cs="Arial"/>
          <w:b/>
          <w:bCs/>
          <w:i/>
          <w:iCs/>
          <w:color w:val="000000" w:themeColor="text1"/>
          <w:sz w:val="18"/>
          <w:szCs w:val="18"/>
        </w:rPr>
        <w:fldChar w:fldCharType="separate"/>
      </w:r>
      <w:r w:rsidR="002A641D">
        <w:rPr>
          <w:rFonts w:ascii="Arial" w:hAnsi="Arial" w:cs="Arial"/>
          <w:b/>
          <w:bCs/>
          <w:i/>
          <w:iCs/>
          <w:noProof/>
          <w:color w:val="000000" w:themeColor="text1"/>
          <w:sz w:val="18"/>
          <w:szCs w:val="18"/>
        </w:rPr>
        <w:t>6</w:t>
      </w:r>
      <w:r w:rsidRPr="00115F4D">
        <w:rPr>
          <w:rFonts w:ascii="Arial" w:hAnsi="Arial" w:cs="Arial"/>
          <w:b/>
          <w:bCs/>
          <w:i/>
          <w:iCs/>
          <w:color w:val="000000" w:themeColor="text1"/>
          <w:sz w:val="18"/>
          <w:szCs w:val="18"/>
        </w:rPr>
        <w:fldChar w:fldCharType="end"/>
      </w:r>
      <w:bookmarkEnd w:id="68"/>
      <w:r w:rsidRPr="00115F4D">
        <w:rPr>
          <w:rFonts w:ascii="Arial" w:hAnsi="Arial" w:cs="Arial"/>
          <w:b/>
          <w:bCs/>
          <w:i/>
          <w:iCs/>
          <w:color w:val="000000" w:themeColor="text1"/>
          <w:sz w:val="18"/>
          <w:szCs w:val="18"/>
        </w:rPr>
        <w:t xml:space="preserve"> Resumen impactos </w:t>
      </w:r>
      <w:r w:rsidR="00D32574">
        <w:rPr>
          <w:rFonts w:ascii="Arial" w:hAnsi="Arial" w:cs="Arial"/>
          <w:b/>
          <w:bCs/>
          <w:i/>
          <w:iCs/>
          <w:color w:val="000000" w:themeColor="text1"/>
          <w:sz w:val="18"/>
          <w:szCs w:val="18"/>
        </w:rPr>
        <w:t xml:space="preserve">en el margen operacional </w:t>
      </w:r>
      <w:r w:rsidR="00FC7B7E">
        <w:rPr>
          <w:rFonts w:ascii="Arial" w:hAnsi="Arial" w:cs="Arial"/>
          <w:b/>
          <w:bCs/>
          <w:i/>
          <w:iCs/>
          <w:color w:val="000000" w:themeColor="text1"/>
          <w:sz w:val="18"/>
          <w:szCs w:val="18"/>
        </w:rPr>
        <w:t>del comercializador</w:t>
      </w:r>
    </w:p>
    <w:p w14:paraId="33E53FBA" w14:textId="7CA3D285" w:rsidR="00B955BD" w:rsidRDefault="00EE291D" w:rsidP="00F00A37">
      <w:pPr>
        <w:jc w:val="both"/>
        <w:rPr>
          <w:rFonts w:ascii="Arial" w:hAnsi="Arial" w:cs="Arial"/>
        </w:rPr>
      </w:pPr>
      <w:r>
        <w:rPr>
          <w:rFonts w:ascii="Arial" w:hAnsi="Arial" w:cs="Arial"/>
        </w:rPr>
        <w:t xml:space="preserve">El impacto </w:t>
      </w:r>
      <w:r w:rsidR="000E3B6A">
        <w:rPr>
          <w:rFonts w:ascii="Arial" w:hAnsi="Arial" w:cs="Arial"/>
        </w:rPr>
        <w:t xml:space="preserve">en el riesgo de cartera reconocido se </w:t>
      </w:r>
      <w:r w:rsidR="00DB7108">
        <w:rPr>
          <w:rFonts w:ascii="Arial" w:hAnsi="Arial" w:cs="Arial"/>
        </w:rPr>
        <w:t xml:space="preserve">muestra en la </w:t>
      </w:r>
      <w:r w:rsidR="007F5F2E">
        <w:rPr>
          <w:rFonts w:ascii="Arial" w:hAnsi="Arial" w:cs="Arial"/>
        </w:rPr>
        <w:fldChar w:fldCharType="begin"/>
      </w:r>
      <w:r w:rsidR="007F5F2E">
        <w:rPr>
          <w:rFonts w:ascii="Arial" w:hAnsi="Arial" w:cs="Arial"/>
        </w:rPr>
        <w:instrText xml:space="preserve"> REF _Ref164851022 \h  \* MERGEFORMAT </w:instrText>
      </w:r>
      <w:r w:rsidR="007F5F2E">
        <w:rPr>
          <w:rFonts w:ascii="Arial" w:hAnsi="Arial" w:cs="Arial"/>
        </w:rPr>
      </w:r>
      <w:r w:rsidR="007F5F2E">
        <w:rPr>
          <w:rFonts w:ascii="Arial" w:hAnsi="Arial" w:cs="Arial"/>
        </w:rPr>
        <w:fldChar w:fldCharType="separate"/>
      </w:r>
      <w:r w:rsidR="002A641D" w:rsidRPr="002A641D">
        <w:rPr>
          <w:rFonts w:ascii="Arial" w:hAnsi="Arial" w:cs="Arial"/>
        </w:rPr>
        <w:t>Figura 7</w:t>
      </w:r>
      <w:r w:rsidR="007F5F2E">
        <w:rPr>
          <w:rFonts w:ascii="Arial" w:hAnsi="Arial" w:cs="Arial"/>
        </w:rPr>
        <w:fldChar w:fldCharType="end"/>
      </w:r>
      <w:r w:rsidR="000C6499">
        <w:rPr>
          <w:rFonts w:ascii="Arial" w:hAnsi="Arial" w:cs="Arial"/>
        </w:rPr>
        <w:t>, usando la información reportada por las empresas a la comisión</w:t>
      </w:r>
      <w:r w:rsidR="001C6EA2">
        <w:rPr>
          <w:rFonts w:ascii="Arial" w:hAnsi="Arial" w:cs="Arial"/>
        </w:rPr>
        <w:t xml:space="preserve"> a través de circulares y en el SUI</w:t>
      </w:r>
      <w:r w:rsidR="000C6499">
        <w:rPr>
          <w:rFonts w:ascii="Arial" w:hAnsi="Arial" w:cs="Arial"/>
        </w:rPr>
        <w:t xml:space="preserve"> </w:t>
      </w:r>
      <w:r w:rsidR="00136DD7">
        <w:rPr>
          <w:rFonts w:ascii="Arial" w:hAnsi="Arial" w:cs="Arial"/>
        </w:rPr>
        <w:t>para el año 2021</w:t>
      </w:r>
      <w:r w:rsidR="00CD3B32">
        <w:rPr>
          <w:rFonts w:ascii="Arial" w:hAnsi="Arial" w:cs="Arial"/>
        </w:rPr>
        <w:t xml:space="preserve">. </w:t>
      </w:r>
      <w:r w:rsidR="00C831B6">
        <w:rPr>
          <w:rFonts w:ascii="Arial" w:hAnsi="Arial" w:cs="Arial"/>
        </w:rPr>
        <w:lastRenderedPageBreak/>
        <w:t xml:space="preserve">La propuesta tendría un impacto promedio ponderado de </w:t>
      </w:r>
      <w:r w:rsidR="00127344">
        <w:rPr>
          <w:rFonts w:ascii="Arial" w:hAnsi="Arial" w:cs="Arial"/>
        </w:rPr>
        <w:t>-1.</w:t>
      </w:r>
      <w:r w:rsidR="00990284">
        <w:rPr>
          <w:rFonts w:ascii="Arial" w:hAnsi="Arial" w:cs="Arial"/>
        </w:rPr>
        <w:t>03</w:t>
      </w:r>
      <w:r w:rsidR="00127344">
        <w:rPr>
          <w:rFonts w:ascii="Arial" w:hAnsi="Arial" w:cs="Arial"/>
        </w:rPr>
        <w:t>%</w:t>
      </w:r>
      <w:r w:rsidR="00C831B6">
        <w:rPr>
          <w:rFonts w:ascii="Arial" w:hAnsi="Arial" w:cs="Arial"/>
        </w:rPr>
        <w:t xml:space="preserve"> en el costo unitario de prestación del servicio y de </w:t>
      </w:r>
      <w:r w:rsidR="00C63F18">
        <w:rPr>
          <w:rFonts w:ascii="Arial" w:hAnsi="Arial" w:cs="Arial"/>
        </w:rPr>
        <w:t>-6,6%</w:t>
      </w:r>
      <w:r w:rsidR="00C831B6">
        <w:rPr>
          <w:rFonts w:ascii="Arial" w:hAnsi="Arial" w:cs="Arial"/>
        </w:rPr>
        <w:t xml:space="preserve"> en el componente de comercialización.</w:t>
      </w:r>
    </w:p>
    <w:p w14:paraId="0121D960" w14:textId="5D7ECB4C" w:rsidR="00B955BD" w:rsidRDefault="00C831B6" w:rsidP="00AD21DE">
      <w:pPr>
        <w:spacing w:after="0"/>
        <w:jc w:val="both"/>
        <w:rPr>
          <w:rFonts w:ascii="Arial" w:hAnsi="Arial" w:cs="Arial"/>
        </w:rPr>
      </w:pPr>
      <w:r>
        <w:rPr>
          <w:noProof/>
        </w:rPr>
        <w:drawing>
          <wp:inline distT="0" distB="0" distL="0" distR="0" wp14:anchorId="1A3009C9" wp14:editId="3F599079">
            <wp:extent cx="5731510" cy="2536190"/>
            <wp:effectExtent l="19050" t="19050" r="21590" b="16510"/>
            <wp:docPr id="399094914"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4914" name="Imagen 1" descr="Gráfico&#10;&#10;Descripción generada automáticamente"/>
                    <pic:cNvPicPr/>
                  </pic:nvPicPr>
                  <pic:blipFill>
                    <a:blip r:embed="rId73"/>
                    <a:stretch>
                      <a:fillRect/>
                    </a:stretch>
                  </pic:blipFill>
                  <pic:spPr>
                    <a:xfrm>
                      <a:off x="0" y="0"/>
                      <a:ext cx="5731510" cy="2536190"/>
                    </a:xfrm>
                    <a:prstGeom prst="rect">
                      <a:avLst/>
                    </a:prstGeom>
                    <a:ln>
                      <a:solidFill>
                        <a:schemeClr val="bg2"/>
                      </a:solidFill>
                    </a:ln>
                  </pic:spPr>
                </pic:pic>
              </a:graphicData>
            </a:graphic>
          </wp:inline>
        </w:drawing>
      </w:r>
    </w:p>
    <w:p w14:paraId="59D2DCA6" w14:textId="63FB2F4A" w:rsidR="00AD21DE" w:rsidRDefault="00AD21DE" w:rsidP="00AD21DE">
      <w:pPr>
        <w:spacing w:before="0" w:after="0"/>
        <w:jc w:val="center"/>
        <w:rPr>
          <w:rFonts w:ascii="Arial" w:hAnsi="Arial" w:cs="Arial"/>
          <w:b/>
          <w:bCs/>
          <w:i/>
          <w:iCs/>
          <w:color w:val="000000" w:themeColor="text1"/>
          <w:sz w:val="18"/>
          <w:szCs w:val="18"/>
        </w:rPr>
      </w:pPr>
      <w:bookmarkStart w:id="69" w:name="_Ref164851022"/>
      <w:r w:rsidRPr="00115F4D">
        <w:rPr>
          <w:rFonts w:ascii="Arial" w:hAnsi="Arial" w:cs="Arial"/>
          <w:b/>
          <w:bCs/>
          <w:i/>
          <w:iCs/>
          <w:color w:val="000000" w:themeColor="text1"/>
          <w:sz w:val="18"/>
          <w:szCs w:val="18"/>
        </w:rPr>
        <w:t xml:space="preserve">Figura </w:t>
      </w:r>
      <w:r w:rsidRPr="00115F4D">
        <w:rPr>
          <w:rFonts w:ascii="Arial" w:hAnsi="Arial" w:cs="Arial"/>
          <w:b/>
          <w:bCs/>
          <w:i/>
          <w:iCs/>
          <w:color w:val="000000" w:themeColor="text1"/>
          <w:sz w:val="18"/>
          <w:szCs w:val="18"/>
        </w:rPr>
        <w:fldChar w:fldCharType="begin"/>
      </w:r>
      <w:r w:rsidRPr="00115F4D">
        <w:rPr>
          <w:rFonts w:ascii="Arial" w:hAnsi="Arial" w:cs="Arial"/>
          <w:b/>
          <w:bCs/>
          <w:i/>
          <w:iCs/>
          <w:color w:val="000000" w:themeColor="text1"/>
          <w:sz w:val="18"/>
          <w:szCs w:val="18"/>
        </w:rPr>
        <w:instrText xml:space="preserve"> SEQ Figura \* ARABIC </w:instrText>
      </w:r>
      <w:r w:rsidRPr="00115F4D">
        <w:rPr>
          <w:rFonts w:ascii="Arial" w:hAnsi="Arial" w:cs="Arial"/>
          <w:b/>
          <w:bCs/>
          <w:i/>
          <w:iCs/>
          <w:color w:val="000000" w:themeColor="text1"/>
          <w:sz w:val="18"/>
          <w:szCs w:val="18"/>
        </w:rPr>
        <w:fldChar w:fldCharType="separate"/>
      </w:r>
      <w:r w:rsidR="002A641D">
        <w:rPr>
          <w:rFonts w:ascii="Arial" w:hAnsi="Arial" w:cs="Arial"/>
          <w:b/>
          <w:bCs/>
          <w:i/>
          <w:iCs/>
          <w:noProof/>
          <w:color w:val="000000" w:themeColor="text1"/>
          <w:sz w:val="18"/>
          <w:szCs w:val="18"/>
        </w:rPr>
        <w:t>7</w:t>
      </w:r>
      <w:r w:rsidRPr="00115F4D">
        <w:rPr>
          <w:rFonts w:ascii="Arial" w:hAnsi="Arial" w:cs="Arial"/>
          <w:b/>
          <w:bCs/>
          <w:i/>
          <w:iCs/>
          <w:color w:val="000000" w:themeColor="text1"/>
          <w:sz w:val="18"/>
          <w:szCs w:val="18"/>
        </w:rPr>
        <w:fldChar w:fldCharType="end"/>
      </w:r>
      <w:bookmarkEnd w:id="69"/>
      <w:r w:rsidRPr="00115F4D">
        <w:rPr>
          <w:rFonts w:ascii="Arial" w:hAnsi="Arial" w:cs="Arial"/>
          <w:b/>
          <w:bCs/>
          <w:i/>
          <w:iCs/>
          <w:color w:val="000000" w:themeColor="text1"/>
          <w:sz w:val="18"/>
          <w:szCs w:val="18"/>
        </w:rPr>
        <w:t xml:space="preserve"> Resumen impactos </w:t>
      </w:r>
      <w:r>
        <w:rPr>
          <w:rFonts w:ascii="Arial" w:hAnsi="Arial" w:cs="Arial"/>
          <w:b/>
          <w:bCs/>
          <w:i/>
          <w:iCs/>
          <w:color w:val="000000" w:themeColor="text1"/>
          <w:sz w:val="18"/>
          <w:szCs w:val="18"/>
        </w:rPr>
        <w:t>en el riesgo de cartera reconocido</w:t>
      </w:r>
    </w:p>
    <w:p w14:paraId="42BF254D" w14:textId="77777777" w:rsidR="0048143A" w:rsidRPr="00115F4D" w:rsidRDefault="0048143A" w:rsidP="0048143A">
      <w:pPr>
        <w:spacing w:before="0" w:after="0"/>
        <w:jc w:val="center"/>
        <w:rPr>
          <w:rFonts w:ascii="Arial" w:hAnsi="Arial" w:cs="Arial"/>
          <w:b/>
          <w:bCs/>
          <w:i/>
          <w:iCs/>
          <w:color w:val="000000" w:themeColor="text1"/>
          <w:sz w:val="18"/>
          <w:szCs w:val="18"/>
        </w:rPr>
      </w:pPr>
      <w:r w:rsidRPr="00115F4D">
        <w:rPr>
          <w:rFonts w:ascii="Arial" w:hAnsi="Arial" w:cs="Arial"/>
          <w:b/>
          <w:bCs/>
          <w:i/>
          <w:iCs/>
          <w:color w:val="000000" w:themeColor="text1"/>
          <w:sz w:val="18"/>
          <w:szCs w:val="18"/>
        </w:rPr>
        <w:t>Fuente: Elaboración Propia</w:t>
      </w:r>
    </w:p>
    <w:p w14:paraId="43F91A28" w14:textId="4DAE7402" w:rsidR="0017423D" w:rsidRPr="0017423D" w:rsidRDefault="005D7743" w:rsidP="00F801D3">
      <w:pPr>
        <w:jc w:val="both"/>
        <w:rPr>
          <w:rFonts w:ascii="Arial" w:hAnsi="Arial" w:cs="Arial"/>
        </w:rPr>
      </w:pPr>
      <w:r>
        <w:rPr>
          <w:rFonts w:ascii="Arial" w:hAnsi="Arial" w:cs="Arial"/>
        </w:rPr>
        <w:t xml:space="preserve">En la </w:t>
      </w:r>
      <w:r>
        <w:rPr>
          <w:rFonts w:ascii="Arial" w:hAnsi="Arial" w:cs="Arial"/>
        </w:rPr>
        <w:fldChar w:fldCharType="begin"/>
      </w:r>
      <w:r>
        <w:rPr>
          <w:rFonts w:ascii="Arial" w:hAnsi="Arial" w:cs="Arial"/>
        </w:rPr>
        <w:instrText xml:space="preserve"> REF _Ref164852106 \h  \* MERGEFORMAT </w:instrText>
      </w:r>
      <w:r>
        <w:rPr>
          <w:rFonts w:ascii="Arial" w:hAnsi="Arial" w:cs="Arial"/>
        </w:rPr>
      </w:r>
      <w:r>
        <w:rPr>
          <w:rFonts w:ascii="Arial" w:hAnsi="Arial" w:cs="Arial"/>
        </w:rPr>
        <w:fldChar w:fldCharType="separate"/>
      </w:r>
      <w:r w:rsidR="002A641D" w:rsidRPr="002A641D">
        <w:rPr>
          <w:rFonts w:ascii="Arial" w:hAnsi="Arial" w:cs="Arial"/>
        </w:rPr>
        <w:t>Figura 8</w:t>
      </w:r>
      <w:r>
        <w:rPr>
          <w:rFonts w:ascii="Arial" w:hAnsi="Arial" w:cs="Arial"/>
        </w:rPr>
        <w:fldChar w:fldCharType="end"/>
      </w:r>
      <w:r>
        <w:rPr>
          <w:rFonts w:ascii="Arial" w:hAnsi="Arial" w:cs="Arial"/>
        </w:rPr>
        <w:t xml:space="preserve"> se muestra el </w:t>
      </w:r>
      <w:r w:rsidR="004F16CB">
        <w:rPr>
          <w:rFonts w:ascii="Arial" w:hAnsi="Arial" w:cs="Arial"/>
        </w:rPr>
        <w:t>impacto</w:t>
      </w:r>
      <w:r>
        <w:rPr>
          <w:rFonts w:ascii="Arial" w:hAnsi="Arial" w:cs="Arial"/>
        </w:rPr>
        <w:t xml:space="preserve"> de </w:t>
      </w:r>
      <w:r w:rsidR="004F16CB">
        <w:rPr>
          <w:rFonts w:ascii="Arial" w:hAnsi="Arial" w:cs="Arial"/>
        </w:rPr>
        <w:t>los costos financieros reconocidos</w:t>
      </w:r>
      <w:r w:rsidR="001B650C">
        <w:rPr>
          <w:rFonts w:ascii="Arial" w:hAnsi="Arial" w:cs="Arial"/>
        </w:rPr>
        <w:t>, suponiendo que el costo financiero por el giro de los subsidios se mantiene constante y actualizando</w:t>
      </w:r>
      <w:r>
        <w:rPr>
          <w:rFonts w:ascii="Arial" w:hAnsi="Arial" w:cs="Arial"/>
        </w:rPr>
        <w:t xml:space="preserve"> </w:t>
      </w:r>
      <w:r w:rsidR="003D6994">
        <w:rPr>
          <w:rFonts w:ascii="Arial" w:hAnsi="Arial" w:cs="Arial"/>
        </w:rPr>
        <w:t>la</w:t>
      </w:r>
      <w:r w:rsidR="00B76AFB">
        <w:rPr>
          <w:rFonts w:ascii="Arial" w:hAnsi="Arial" w:cs="Arial"/>
        </w:rPr>
        <w:t>s tasas de captación</w:t>
      </w:r>
      <w:r w:rsidR="003D6994">
        <w:rPr>
          <w:rFonts w:ascii="Arial" w:hAnsi="Arial" w:cs="Arial"/>
        </w:rPr>
        <w:t xml:space="preserve"> </w:t>
      </w:r>
      <w:r w:rsidR="00A446C1">
        <w:rPr>
          <w:rFonts w:ascii="Arial" w:hAnsi="Arial" w:cs="Arial"/>
        </w:rPr>
        <w:t xml:space="preserve">y colocación del </w:t>
      </w:r>
      <w:r w:rsidR="003A7656">
        <w:rPr>
          <w:rFonts w:ascii="Arial" w:hAnsi="Arial" w:cs="Arial"/>
        </w:rPr>
        <w:t>B</w:t>
      </w:r>
      <w:r w:rsidR="00A446C1">
        <w:rPr>
          <w:rFonts w:ascii="Arial" w:hAnsi="Arial" w:cs="Arial"/>
        </w:rPr>
        <w:t xml:space="preserve">anco de la </w:t>
      </w:r>
      <w:r w:rsidR="003A7656">
        <w:rPr>
          <w:rFonts w:ascii="Arial" w:hAnsi="Arial" w:cs="Arial"/>
        </w:rPr>
        <w:t>República</w:t>
      </w:r>
      <w:r w:rsidR="00A446C1">
        <w:rPr>
          <w:rFonts w:ascii="Arial" w:hAnsi="Arial" w:cs="Arial"/>
        </w:rPr>
        <w:t xml:space="preserve"> para el año 2022</w:t>
      </w:r>
      <w:r w:rsidR="003A7656">
        <w:rPr>
          <w:rFonts w:ascii="Arial" w:hAnsi="Arial" w:cs="Arial"/>
        </w:rPr>
        <w:t xml:space="preserve">, </w:t>
      </w:r>
      <w:r w:rsidR="00E579EE">
        <w:rPr>
          <w:rFonts w:ascii="Arial" w:hAnsi="Arial" w:cs="Arial"/>
        </w:rPr>
        <w:t xml:space="preserve">así como el promedio de la variación mensual del IPP para este año. </w:t>
      </w:r>
      <w:bookmarkStart w:id="70" w:name="_Ref164851907"/>
    </w:p>
    <w:p w14:paraId="1A749D4B" w14:textId="53A1CF54" w:rsidR="0017423D" w:rsidRPr="0017423D" w:rsidRDefault="00EA3652" w:rsidP="0048143A">
      <w:pPr>
        <w:spacing w:after="0"/>
        <w:jc w:val="both"/>
        <w:rPr>
          <w:rFonts w:ascii="Arial" w:hAnsi="Arial" w:cs="Arial"/>
        </w:rPr>
      </w:pPr>
      <w:r>
        <w:rPr>
          <w:rFonts w:ascii="Arial" w:hAnsi="Arial" w:cs="Arial"/>
          <w:noProof/>
        </w:rPr>
        <w:drawing>
          <wp:inline distT="0" distB="0" distL="0" distR="0" wp14:anchorId="708BB7CC" wp14:editId="3AA1C288">
            <wp:extent cx="5756779" cy="2493034"/>
            <wp:effectExtent l="0" t="0" r="0" b="2540"/>
            <wp:docPr id="14983475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76882" cy="2501740"/>
                    </a:xfrm>
                    <a:prstGeom prst="rect">
                      <a:avLst/>
                    </a:prstGeom>
                    <a:noFill/>
                  </pic:spPr>
                </pic:pic>
              </a:graphicData>
            </a:graphic>
          </wp:inline>
        </w:drawing>
      </w:r>
    </w:p>
    <w:p w14:paraId="0921B816" w14:textId="2C41EEAA" w:rsidR="00C63F18" w:rsidRPr="00115F4D" w:rsidRDefault="00C63F18" w:rsidP="00C63F18">
      <w:pPr>
        <w:spacing w:before="0" w:after="0"/>
        <w:jc w:val="center"/>
        <w:rPr>
          <w:rFonts w:ascii="Arial" w:hAnsi="Arial" w:cs="Arial"/>
          <w:b/>
          <w:bCs/>
          <w:i/>
          <w:iCs/>
          <w:color w:val="000000" w:themeColor="text1"/>
          <w:sz w:val="18"/>
          <w:szCs w:val="18"/>
        </w:rPr>
      </w:pPr>
      <w:bookmarkStart w:id="71" w:name="_Ref164852106"/>
      <w:bookmarkEnd w:id="70"/>
      <w:r w:rsidRPr="00115F4D">
        <w:rPr>
          <w:rFonts w:ascii="Arial" w:hAnsi="Arial" w:cs="Arial"/>
          <w:b/>
          <w:bCs/>
          <w:i/>
          <w:iCs/>
          <w:color w:val="000000" w:themeColor="text1"/>
          <w:sz w:val="18"/>
          <w:szCs w:val="18"/>
        </w:rPr>
        <w:t xml:space="preserve">Figura </w:t>
      </w:r>
      <w:r w:rsidRPr="00115F4D">
        <w:rPr>
          <w:rFonts w:ascii="Arial" w:hAnsi="Arial" w:cs="Arial"/>
          <w:b/>
          <w:bCs/>
          <w:i/>
          <w:iCs/>
          <w:color w:val="000000" w:themeColor="text1"/>
          <w:sz w:val="18"/>
          <w:szCs w:val="18"/>
        </w:rPr>
        <w:fldChar w:fldCharType="begin"/>
      </w:r>
      <w:r w:rsidRPr="00115F4D">
        <w:rPr>
          <w:rFonts w:ascii="Arial" w:hAnsi="Arial" w:cs="Arial"/>
          <w:b/>
          <w:bCs/>
          <w:i/>
          <w:iCs/>
          <w:color w:val="000000" w:themeColor="text1"/>
          <w:sz w:val="18"/>
          <w:szCs w:val="18"/>
        </w:rPr>
        <w:instrText xml:space="preserve"> SEQ Figura \* ARABIC </w:instrText>
      </w:r>
      <w:r w:rsidRPr="00115F4D">
        <w:rPr>
          <w:rFonts w:ascii="Arial" w:hAnsi="Arial" w:cs="Arial"/>
          <w:b/>
          <w:bCs/>
          <w:i/>
          <w:iCs/>
          <w:color w:val="000000" w:themeColor="text1"/>
          <w:sz w:val="18"/>
          <w:szCs w:val="18"/>
        </w:rPr>
        <w:fldChar w:fldCharType="separate"/>
      </w:r>
      <w:r w:rsidR="002A641D">
        <w:rPr>
          <w:rFonts w:ascii="Arial" w:hAnsi="Arial" w:cs="Arial"/>
          <w:b/>
          <w:bCs/>
          <w:i/>
          <w:iCs/>
          <w:noProof/>
          <w:color w:val="000000" w:themeColor="text1"/>
          <w:sz w:val="18"/>
          <w:szCs w:val="18"/>
        </w:rPr>
        <w:t>8</w:t>
      </w:r>
      <w:r w:rsidRPr="00115F4D">
        <w:rPr>
          <w:rFonts w:ascii="Arial" w:hAnsi="Arial" w:cs="Arial"/>
          <w:b/>
          <w:bCs/>
          <w:i/>
          <w:iCs/>
          <w:color w:val="000000" w:themeColor="text1"/>
          <w:sz w:val="18"/>
          <w:szCs w:val="18"/>
        </w:rPr>
        <w:fldChar w:fldCharType="end"/>
      </w:r>
      <w:bookmarkEnd w:id="71"/>
      <w:r w:rsidRPr="00115F4D">
        <w:rPr>
          <w:rFonts w:ascii="Arial" w:hAnsi="Arial" w:cs="Arial"/>
          <w:b/>
          <w:bCs/>
          <w:i/>
          <w:iCs/>
          <w:color w:val="000000" w:themeColor="text1"/>
          <w:sz w:val="18"/>
          <w:szCs w:val="18"/>
        </w:rPr>
        <w:t xml:space="preserve"> Resumen impactos </w:t>
      </w:r>
      <w:r>
        <w:rPr>
          <w:rFonts w:ascii="Arial" w:hAnsi="Arial" w:cs="Arial"/>
          <w:b/>
          <w:bCs/>
          <w:i/>
          <w:iCs/>
          <w:color w:val="000000" w:themeColor="text1"/>
          <w:sz w:val="18"/>
          <w:szCs w:val="18"/>
        </w:rPr>
        <w:t>en el costo financiero reconocido</w:t>
      </w:r>
    </w:p>
    <w:p w14:paraId="79532B37" w14:textId="77777777" w:rsidR="0048143A" w:rsidRPr="00115F4D" w:rsidRDefault="0048143A" w:rsidP="0048143A">
      <w:pPr>
        <w:spacing w:before="0" w:after="0"/>
        <w:jc w:val="center"/>
        <w:rPr>
          <w:rFonts w:ascii="Arial" w:hAnsi="Arial" w:cs="Arial"/>
          <w:b/>
          <w:bCs/>
          <w:i/>
          <w:iCs/>
          <w:color w:val="000000" w:themeColor="text1"/>
          <w:sz w:val="18"/>
          <w:szCs w:val="18"/>
        </w:rPr>
      </w:pPr>
      <w:r w:rsidRPr="00115F4D">
        <w:rPr>
          <w:rFonts w:ascii="Arial" w:hAnsi="Arial" w:cs="Arial"/>
          <w:b/>
          <w:bCs/>
          <w:i/>
          <w:iCs/>
          <w:color w:val="000000" w:themeColor="text1"/>
          <w:sz w:val="18"/>
          <w:szCs w:val="18"/>
        </w:rPr>
        <w:t>Fuente: Elaboración Propia</w:t>
      </w:r>
    </w:p>
    <w:p w14:paraId="71D73A6E" w14:textId="639469B6" w:rsidR="008F5140" w:rsidRPr="00115F4D" w:rsidRDefault="008F5140" w:rsidP="008F5140">
      <w:pPr>
        <w:spacing w:before="0" w:after="0"/>
        <w:jc w:val="center"/>
        <w:rPr>
          <w:rFonts w:ascii="Arial" w:hAnsi="Arial" w:cs="Arial"/>
          <w:b/>
          <w:bCs/>
          <w:i/>
          <w:iCs/>
          <w:color w:val="000000" w:themeColor="text1"/>
          <w:sz w:val="18"/>
          <w:szCs w:val="18"/>
        </w:rPr>
      </w:pPr>
    </w:p>
    <w:p w14:paraId="041A7118" w14:textId="4B99585C" w:rsidR="0053616E" w:rsidRDefault="0053616E" w:rsidP="00C00C77">
      <w:pPr>
        <w:pStyle w:val="Ttulo2"/>
        <w:numPr>
          <w:ilvl w:val="1"/>
          <w:numId w:val="26"/>
        </w:numPr>
      </w:pPr>
      <w:bookmarkStart w:id="72" w:name="_Toc165037347"/>
      <w:proofErr w:type="gramStart"/>
      <w:r>
        <w:t xml:space="preserve">Impactos </w:t>
      </w:r>
      <w:r w:rsidR="00532B0F">
        <w:t>t</w:t>
      </w:r>
      <w:r>
        <w:t>otal</w:t>
      </w:r>
      <w:proofErr w:type="gramEnd"/>
      <w:r>
        <w:t xml:space="preserve"> de la metodología</w:t>
      </w:r>
      <w:bookmarkEnd w:id="72"/>
    </w:p>
    <w:p w14:paraId="222BC150" w14:textId="73142462" w:rsidR="00A357B7" w:rsidRPr="005642A8" w:rsidRDefault="00A357B7" w:rsidP="00212FD0">
      <w:pPr>
        <w:jc w:val="both"/>
        <w:rPr>
          <w:rFonts w:ascii="Arial" w:hAnsi="Arial" w:cs="Arial"/>
        </w:rPr>
      </w:pPr>
      <w:r w:rsidRPr="005642A8">
        <w:rPr>
          <w:rFonts w:ascii="Arial" w:hAnsi="Arial" w:cs="Arial"/>
        </w:rPr>
        <w:t xml:space="preserve">En este numeral se presentan los impactos de la propuesta para remunerar la actividad de comercialización de energía eléctrica a usuarios regulados, como el agregado de los impactos </w:t>
      </w:r>
      <w:r w:rsidR="00212FD0" w:rsidRPr="005642A8">
        <w:rPr>
          <w:rFonts w:ascii="Arial" w:hAnsi="Arial" w:cs="Arial"/>
        </w:rPr>
        <w:t xml:space="preserve">presentados en los numerales anteriores, teniendo en cuenta, además de los impactos </w:t>
      </w:r>
      <w:r w:rsidR="002B4CD3" w:rsidRPr="005642A8">
        <w:rPr>
          <w:rFonts w:ascii="Arial" w:hAnsi="Arial" w:cs="Arial"/>
        </w:rPr>
        <w:t xml:space="preserve">por la actualización de la metodología, </w:t>
      </w:r>
      <w:r w:rsidR="00A03D0B" w:rsidRPr="005642A8">
        <w:rPr>
          <w:rFonts w:ascii="Arial" w:hAnsi="Arial" w:cs="Arial"/>
        </w:rPr>
        <w:t>que,</w:t>
      </w:r>
      <w:r w:rsidR="002B4CD3" w:rsidRPr="005642A8">
        <w:rPr>
          <w:rFonts w:ascii="Arial" w:hAnsi="Arial" w:cs="Arial"/>
        </w:rPr>
        <w:t xml:space="preserve"> con la aplicación de los cargos de esta, terminan los </w:t>
      </w:r>
      <w:r w:rsidR="00FD2078" w:rsidRPr="005642A8">
        <w:rPr>
          <w:rFonts w:ascii="Arial" w:hAnsi="Arial" w:cs="Arial"/>
        </w:rPr>
        <w:t xml:space="preserve">ingresos </w:t>
      </w:r>
      <w:r w:rsidR="00305C61" w:rsidRPr="005642A8">
        <w:rPr>
          <w:rFonts w:ascii="Arial" w:hAnsi="Arial" w:cs="Arial"/>
        </w:rPr>
        <w:t xml:space="preserve">aprobados en la resolución 188 de 2020 para los mercados de comercialización </w:t>
      </w:r>
      <w:r w:rsidR="00BE63D2" w:rsidRPr="005642A8">
        <w:rPr>
          <w:rFonts w:ascii="Arial" w:hAnsi="Arial" w:cs="Arial"/>
        </w:rPr>
        <w:t>del Caribe.</w:t>
      </w:r>
    </w:p>
    <w:p w14:paraId="24D7F02D" w14:textId="509A7220" w:rsidR="00413842" w:rsidRPr="005642A8" w:rsidRDefault="003250E6" w:rsidP="00212FD0">
      <w:pPr>
        <w:jc w:val="both"/>
        <w:rPr>
          <w:rFonts w:ascii="Arial" w:hAnsi="Arial" w:cs="Arial"/>
        </w:rPr>
      </w:pPr>
      <w:r w:rsidRPr="005642A8">
        <w:rPr>
          <w:rFonts w:ascii="Arial" w:hAnsi="Arial" w:cs="Arial"/>
        </w:rPr>
        <w:lastRenderedPageBreak/>
        <w:t xml:space="preserve">El promedio ponderado de los impactos en el costo unitario para la prestación del servicio de la implementación de la propuesta metodológica es de </w:t>
      </w:r>
      <w:r w:rsidR="001D696D" w:rsidRPr="005642A8">
        <w:rPr>
          <w:rFonts w:ascii="Arial" w:hAnsi="Arial" w:cs="Arial"/>
        </w:rPr>
        <w:t>aproximadamente</w:t>
      </w:r>
      <w:r w:rsidR="002511C7" w:rsidRPr="005642A8">
        <w:rPr>
          <w:rFonts w:ascii="Arial" w:hAnsi="Arial" w:cs="Arial"/>
        </w:rPr>
        <w:t>–5,3%</w:t>
      </w:r>
      <w:r w:rsidR="00FC015E" w:rsidRPr="005642A8">
        <w:rPr>
          <w:rFonts w:ascii="Arial" w:hAnsi="Arial" w:cs="Arial"/>
        </w:rPr>
        <w:t xml:space="preserve">, mientras que el impacto en el componente de comercialización es de </w:t>
      </w:r>
      <w:r w:rsidR="00BB3E72" w:rsidRPr="005642A8">
        <w:rPr>
          <w:rFonts w:ascii="Arial" w:hAnsi="Arial" w:cs="Arial"/>
        </w:rPr>
        <w:t>cerca del -45</w:t>
      </w:r>
      <w:r w:rsidR="001D696D" w:rsidRPr="005642A8">
        <w:rPr>
          <w:rFonts w:ascii="Arial" w:hAnsi="Arial" w:cs="Arial"/>
        </w:rPr>
        <w:t>,1%</w:t>
      </w:r>
      <w:r w:rsidR="000B1FCE">
        <w:rPr>
          <w:rFonts w:ascii="Arial" w:hAnsi="Arial" w:cs="Arial"/>
        </w:rPr>
        <w:t xml:space="preserve"> como se muestra en la </w:t>
      </w:r>
      <w:r w:rsidR="000B1FCE">
        <w:rPr>
          <w:rFonts w:ascii="Arial" w:hAnsi="Arial" w:cs="Arial"/>
        </w:rPr>
        <w:fldChar w:fldCharType="begin"/>
      </w:r>
      <w:r w:rsidR="000B1FCE">
        <w:rPr>
          <w:rFonts w:ascii="Arial" w:hAnsi="Arial" w:cs="Arial"/>
        </w:rPr>
        <w:instrText xml:space="preserve"> REF _Ref164860479 \h </w:instrText>
      </w:r>
      <w:r w:rsidR="00105A5C">
        <w:rPr>
          <w:rFonts w:ascii="Arial" w:hAnsi="Arial" w:cs="Arial"/>
        </w:rPr>
        <w:instrText xml:space="preserve"> \* MERGEFORMAT </w:instrText>
      </w:r>
      <w:r w:rsidR="000B1FCE">
        <w:rPr>
          <w:rFonts w:ascii="Arial" w:hAnsi="Arial" w:cs="Arial"/>
        </w:rPr>
      </w:r>
      <w:r w:rsidR="000B1FCE">
        <w:rPr>
          <w:rFonts w:ascii="Arial" w:hAnsi="Arial" w:cs="Arial"/>
        </w:rPr>
        <w:fldChar w:fldCharType="separate"/>
      </w:r>
      <w:r w:rsidR="002A641D" w:rsidRPr="002A641D">
        <w:rPr>
          <w:rFonts w:ascii="Arial" w:hAnsi="Arial" w:cs="Arial"/>
        </w:rPr>
        <w:t>Figura 9</w:t>
      </w:r>
      <w:r w:rsidR="000B1FCE">
        <w:rPr>
          <w:rFonts w:ascii="Arial" w:hAnsi="Arial" w:cs="Arial"/>
        </w:rPr>
        <w:fldChar w:fldCharType="end"/>
      </w:r>
      <w:r w:rsidR="001D696D" w:rsidRPr="005642A8">
        <w:rPr>
          <w:rFonts w:ascii="Arial" w:hAnsi="Arial" w:cs="Arial"/>
        </w:rPr>
        <w:t>.</w:t>
      </w:r>
    </w:p>
    <w:p w14:paraId="24F0E48C" w14:textId="06B6CF26" w:rsidR="00F801D3" w:rsidRDefault="004D73D5" w:rsidP="0048143A">
      <w:pPr>
        <w:spacing w:after="0"/>
      </w:pPr>
      <w:r>
        <w:rPr>
          <w:noProof/>
        </w:rPr>
        <w:drawing>
          <wp:inline distT="0" distB="0" distL="0" distR="0" wp14:anchorId="637ADAFD" wp14:editId="59B2C7A4">
            <wp:extent cx="5737349" cy="3016333"/>
            <wp:effectExtent l="0" t="0" r="0" b="0"/>
            <wp:docPr id="2450355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46040" cy="3020902"/>
                    </a:xfrm>
                    <a:prstGeom prst="rect">
                      <a:avLst/>
                    </a:prstGeom>
                    <a:noFill/>
                  </pic:spPr>
                </pic:pic>
              </a:graphicData>
            </a:graphic>
          </wp:inline>
        </w:drawing>
      </w:r>
    </w:p>
    <w:p w14:paraId="13C77A33" w14:textId="3021AB78" w:rsidR="00BE63D2" w:rsidRDefault="00BE63D2" w:rsidP="0048143A">
      <w:pPr>
        <w:spacing w:before="0" w:after="0"/>
        <w:jc w:val="center"/>
        <w:rPr>
          <w:rFonts w:ascii="Arial" w:hAnsi="Arial" w:cs="Arial"/>
          <w:b/>
          <w:bCs/>
          <w:i/>
          <w:iCs/>
          <w:color w:val="000000" w:themeColor="text1"/>
          <w:sz w:val="18"/>
          <w:szCs w:val="18"/>
        </w:rPr>
      </w:pPr>
      <w:bookmarkStart w:id="73" w:name="_Ref164860479"/>
      <w:r w:rsidRPr="00115F4D">
        <w:rPr>
          <w:rFonts w:ascii="Arial" w:hAnsi="Arial" w:cs="Arial"/>
          <w:b/>
          <w:bCs/>
          <w:i/>
          <w:iCs/>
          <w:color w:val="000000" w:themeColor="text1"/>
          <w:sz w:val="18"/>
          <w:szCs w:val="18"/>
        </w:rPr>
        <w:t xml:space="preserve">Figura </w:t>
      </w:r>
      <w:r w:rsidRPr="00115F4D">
        <w:rPr>
          <w:rFonts w:ascii="Arial" w:hAnsi="Arial" w:cs="Arial"/>
          <w:b/>
          <w:bCs/>
          <w:i/>
          <w:iCs/>
          <w:color w:val="000000" w:themeColor="text1"/>
          <w:sz w:val="18"/>
          <w:szCs w:val="18"/>
        </w:rPr>
        <w:fldChar w:fldCharType="begin"/>
      </w:r>
      <w:r w:rsidRPr="00115F4D">
        <w:rPr>
          <w:rFonts w:ascii="Arial" w:hAnsi="Arial" w:cs="Arial"/>
          <w:b/>
          <w:bCs/>
          <w:i/>
          <w:iCs/>
          <w:color w:val="000000" w:themeColor="text1"/>
          <w:sz w:val="18"/>
          <w:szCs w:val="18"/>
        </w:rPr>
        <w:instrText xml:space="preserve"> SEQ Figura \* ARABIC </w:instrText>
      </w:r>
      <w:r w:rsidRPr="00115F4D">
        <w:rPr>
          <w:rFonts w:ascii="Arial" w:hAnsi="Arial" w:cs="Arial"/>
          <w:b/>
          <w:bCs/>
          <w:i/>
          <w:iCs/>
          <w:color w:val="000000" w:themeColor="text1"/>
          <w:sz w:val="18"/>
          <w:szCs w:val="18"/>
        </w:rPr>
        <w:fldChar w:fldCharType="separate"/>
      </w:r>
      <w:r w:rsidR="002A641D">
        <w:rPr>
          <w:rFonts w:ascii="Arial" w:hAnsi="Arial" w:cs="Arial"/>
          <w:b/>
          <w:bCs/>
          <w:i/>
          <w:iCs/>
          <w:noProof/>
          <w:color w:val="000000" w:themeColor="text1"/>
          <w:sz w:val="18"/>
          <w:szCs w:val="18"/>
        </w:rPr>
        <w:t>9</w:t>
      </w:r>
      <w:r w:rsidRPr="00115F4D">
        <w:rPr>
          <w:rFonts w:ascii="Arial" w:hAnsi="Arial" w:cs="Arial"/>
          <w:b/>
          <w:bCs/>
          <w:i/>
          <w:iCs/>
          <w:color w:val="000000" w:themeColor="text1"/>
          <w:sz w:val="18"/>
          <w:szCs w:val="18"/>
        </w:rPr>
        <w:fldChar w:fldCharType="end"/>
      </w:r>
      <w:bookmarkEnd w:id="73"/>
      <w:r w:rsidRPr="00115F4D">
        <w:rPr>
          <w:rFonts w:ascii="Arial" w:hAnsi="Arial" w:cs="Arial"/>
          <w:b/>
          <w:bCs/>
          <w:i/>
          <w:iCs/>
          <w:color w:val="000000" w:themeColor="text1"/>
          <w:sz w:val="18"/>
          <w:szCs w:val="18"/>
        </w:rPr>
        <w:t xml:space="preserve"> Resumen impactos </w:t>
      </w:r>
      <w:r w:rsidR="000B1FCE">
        <w:rPr>
          <w:rFonts w:ascii="Arial" w:hAnsi="Arial" w:cs="Arial"/>
          <w:b/>
          <w:bCs/>
          <w:i/>
          <w:iCs/>
          <w:color w:val="000000" w:themeColor="text1"/>
          <w:sz w:val="18"/>
          <w:szCs w:val="18"/>
        </w:rPr>
        <w:t xml:space="preserve">de la </w:t>
      </w:r>
      <w:r w:rsidR="00511F1F">
        <w:rPr>
          <w:rFonts w:ascii="Arial" w:hAnsi="Arial" w:cs="Arial"/>
          <w:b/>
          <w:bCs/>
          <w:i/>
          <w:iCs/>
          <w:color w:val="000000" w:themeColor="text1"/>
          <w:sz w:val="18"/>
          <w:szCs w:val="18"/>
        </w:rPr>
        <w:t>metodología</w:t>
      </w:r>
    </w:p>
    <w:p w14:paraId="2938EC8A" w14:textId="77777777" w:rsidR="0048143A" w:rsidRPr="00115F4D" w:rsidRDefault="0048143A" w:rsidP="0048143A">
      <w:pPr>
        <w:spacing w:before="0" w:after="0"/>
        <w:jc w:val="center"/>
        <w:rPr>
          <w:rFonts w:ascii="Arial" w:hAnsi="Arial" w:cs="Arial"/>
          <w:b/>
          <w:bCs/>
          <w:i/>
          <w:iCs/>
          <w:color w:val="000000" w:themeColor="text1"/>
          <w:sz w:val="18"/>
          <w:szCs w:val="18"/>
        </w:rPr>
      </w:pPr>
      <w:r w:rsidRPr="00115F4D">
        <w:rPr>
          <w:rFonts w:ascii="Arial" w:hAnsi="Arial" w:cs="Arial"/>
          <w:b/>
          <w:bCs/>
          <w:i/>
          <w:iCs/>
          <w:color w:val="000000" w:themeColor="text1"/>
          <w:sz w:val="18"/>
          <w:szCs w:val="18"/>
        </w:rPr>
        <w:t>Fuente: Elaboración Propia</w:t>
      </w:r>
    </w:p>
    <w:p w14:paraId="339E8E31" w14:textId="23FE70AA" w:rsidR="009148B2" w:rsidRDefault="009148B2" w:rsidP="007E23C7">
      <w:pPr>
        <w:jc w:val="both"/>
      </w:pPr>
    </w:p>
    <w:p w14:paraId="14595AC6" w14:textId="16F11B4F" w:rsidR="0053379E" w:rsidRPr="00557C9F" w:rsidRDefault="0053379E" w:rsidP="00557C9F">
      <w:pPr>
        <w:pStyle w:val="Ttulo1"/>
        <w:numPr>
          <w:ilvl w:val="0"/>
          <w:numId w:val="26"/>
        </w:numPr>
        <w:ind w:left="360" w:hanging="360"/>
      </w:pPr>
      <w:bookmarkStart w:id="74" w:name="_Toc165037348"/>
      <w:r w:rsidRPr="00557C9F">
        <w:t>INDICADORES DE SEGUIMIENTO</w:t>
      </w:r>
      <w:bookmarkEnd w:id="74"/>
    </w:p>
    <w:p w14:paraId="2093F24E" w14:textId="17399541" w:rsidR="005A625E" w:rsidRPr="009B3C68" w:rsidRDefault="00AE014E" w:rsidP="002A5485">
      <w:pPr>
        <w:jc w:val="both"/>
        <w:rPr>
          <w:rFonts w:ascii="Arial" w:eastAsiaTheme="majorEastAsia" w:hAnsi="Arial" w:cs="Arial"/>
        </w:rPr>
      </w:pPr>
      <w:r w:rsidRPr="00EA065E">
        <w:rPr>
          <w:rFonts w:ascii="Arial" w:eastAsiaTheme="majorEastAsia" w:hAnsi="Arial" w:cs="Arial"/>
        </w:rPr>
        <w:t xml:space="preserve">Se propone como indicadores de seguimiento de las medidas adoptadas </w:t>
      </w:r>
      <w:r w:rsidR="00F66C05" w:rsidRPr="00EA065E">
        <w:rPr>
          <w:rFonts w:ascii="Arial" w:eastAsiaTheme="majorEastAsia" w:hAnsi="Arial" w:cs="Arial"/>
        </w:rPr>
        <w:t xml:space="preserve">los listados en la </w:t>
      </w:r>
      <w:r w:rsidR="00AC638D">
        <w:rPr>
          <w:rFonts w:ascii="Arial" w:eastAsiaTheme="majorEastAsia" w:hAnsi="Arial" w:cs="Arial"/>
        </w:rPr>
        <w:fldChar w:fldCharType="begin"/>
      </w:r>
      <w:r w:rsidR="00AC638D">
        <w:rPr>
          <w:rFonts w:ascii="Arial" w:eastAsiaTheme="majorEastAsia" w:hAnsi="Arial" w:cs="Arial"/>
        </w:rPr>
        <w:instrText xml:space="preserve"> REF _Ref165037265 \h </w:instrText>
      </w:r>
      <w:r w:rsidR="00AC638D">
        <w:rPr>
          <w:rFonts w:ascii="Arial" w:eastAsiaTheme="majorEastAsia" w:hAnsi="Arial" w:cs="Arial"/>
        </w:rPr>
      </w:r>
      <w:r w:rsidR="00AC638D">
        <w:rPr>
          <w:rFonts w:ascii="Arial" w:eastAsiaTheme="majorEastAsia" w:hAnsi="Arial" w:cs="Arial"/>
        </w:rPr>
        <w:fldChar w:fldCharType="separate"/>
      </w:r>
      <w:r w:rsidR="002A641D" w:rsidRPr="00115F4D">
        <w:rPr>
          <w:rFonts w:ascii="Arial" w:hAnsi="Arial" w:cs="Arial"/>
          <w:b/>
          <w:bCs/>
        </w:rPr>
        <w:t xml:space="preserve">Tabla </w:t>
      </w:r>
      <w:r w:rsidR="002A641D">
        <w:rPr>
          <w:rFonts w:ascii="Arial" w:hAnsi="Arial" w:cs="Arial"/>
          <w:b/>
          <w:bCs/>
          <w:noProof/>
        </w:rPr>
        <w:t>18</w:t>
      </w:r>
      <w:r w:rsidR="00AC638D">
        <w:rPr>
          <w:rFonts w:ascii="Arial" w:eastAsiaTheme="majorEastAsia" w:hAnsi="Arial" w:cs="Arial"/>
        </w:rPr>
        <w:fldChar w:fldCharType="end"/>
      </w:r>
      <w:r w:rsidR="00F66C05" w:rsidRPr="00EA065E">
        <w:rPr>
          <w:rFonts w:ascii="Arial" w:eastAsiaTheme="majorEastAsia" w:hAnsi="Arial" w:cs="Arial"/>
        </w:rPr>
        <w:t>. Esto con el objetivo de realizar seguimiento a l</w:t>
      </w:r>
      <w:r w:rsidR="005627D1" w:rsidRPr="00EA065E">
        <w:rPr>
          <w:rFonts w:ascii="Arial" w:eastAsiaTheme="majorEastAsia" w:hAnsi="Arial" w:cs="Arial"/>
        </w:rPr>
        <w:t xml:space="preserve">os impactos de las medidas y realizar la evaluación </w:t>
      </w:r>
      <w:r w:rsidR="00557C9F" w:rsidRPr="00EA065E">
        <w:rPr>
          <w:rFonts w:ascii="Arial" w:eastAsiaTheme="majorEastAsia" w:hAnsi="Arial" w:cs="Arial"/>
        </w:rPr>
        <w:t xml:space="preserve">expost </w:t>
      </w:r>
      <w:r w:rsidR="005627D1" w:rsidRPr="00EA065E">
        <w:rPr>
          <w:rFonts w:ascii="Arial" w:eastAsiaTheme="majorEastAsia" w:hAnsi="Arial" w:cs="Arial"/>
        </w:rPr>
        <w:t xml:space="preserve">que permita a la comisión </w:t>
      </w:r>
      <w:r w:rsidR="00EA065E" w:rsidRPr="00EA065E">
        <w:rPr>
          <w:rFonts w:ascii="Arial" w:eastAsiaTheme="majorEastAsia" w:hAnsi="Arial" w:cs="Arial"/>
        </w:rPr>
        <w:t>mejorar su proceso regulatorio.</w:t>
      </w:r>
    </w:p>
    <w:p w14:paraId="5D244BB8" w14:textId="0FF281DF" w:rsidR="00AC638D" w:rsidRDefault="00AC638D" w:rsidP="00AC638D">
      <w:pPr>
        <w:pStyle w:val="Descripcin"/>
        <w:tabs>
          <w:tab w:val="left" w:pos="1276"/>
        </w:tabs>
        <w:spacing w:after="0"/>
        <w:jc w:val="center"/>
        <w:rPr>
          <w:rFonts w:ascii="Arial" w:hAnsi="Arial" w:cs="Arial"/>
          <w:b/>
          <w:bCs/>
          <w:color w:val="auto"/>
        </w:rPr>
      </w:pPr>
      <w:bookmarkStart w:id="75" w:name="_Ref165037265"/>
      <w:r w:rsidRPr="00115F4D">
        <w:rPr>
          <w:rFonts w:ascii="Arial" w:hAnsi="Arial" w:cs="Arial"/>
          <w:b/>
          <w:bCs/>
          <w:color w:val="auto"/>
        </w:rPr>
        <w:t xml:space="preserve">Tabla </w:t>
      </w:r>
      <w:r w:rsidRPr="00115F4D">
        <w:rPr>
          <w:rFonts w:ascii="Arial" w:hAnsi="Arial" w:cs="Arial"/>
          <w:b/>
          <w:bCs/>
          <w:color w:val="auto"/>
        </w:rPr>
        <w:fldChar w:fldCharType="begin"/>
      </w:r>
      <w:r w:rsidRPr="00115F4D">
        <w:rPr>
          <w:rFonts w:ascii="Arial" w:hAnsi="Arial" w:cs="Arial"/>
          <w:b/>
          <w:bCs/>
          <w:color w:val="auto"/>
        </w:rPr>
        <w:instrText xml:space="preserve"> SEQ Tabla \* ARABIC </w:instrText>
      </w:r>
      <w:r w:rsidRPr="00115F4D">
        <w:rPr>
          <w:rFonts w:ascii="Arial" w:hAnsi="Arial" w:cs="Arial"/>
          <w:b/>
          <w:bCs/>
          <w:color w:val="auto"/>
        </w:rPr>
        <w:fldChar w:fldCharType="separate"/>
      </w:r>
      <w:r w:rsidR="002A641D">
        <w:rPr>
          <w:rFonts w:ascii="Arial" w:hAnsi="Arial" w:cs="Arial"/>
          <w:b/>
          <w:bCs/>
          <w:noProof/>
          <w:color w:val="auto"/>
        </w:rPr>
        <w:t>18</w:t>
      </w:r>
      <w:r w:rsidRPr="00115F4D">
        <w:rPr>
          <w:rFonts w:ascii="Arial" w:hAnsi="Arial" w:cs="Arial"/>
          <w:b/>
          <w:bCs/>
          <w:color w:val="auto"/>
        </w:rPr>
        <w:fldChar w:fldCharType="end"/>
      </w:r>
      <w:bookmarkEnd w:id="75"/>
      <w:r w:rsidRPr="00656D70">
        <w:rPr>
          <w:rFonts w:ascii="Arial" w:hAnsi="Arial" w:cs="Arial"/>
          <w:b/>
          <w:bCs/>
          <w:color w:val="auto"/>
        </w:rPr>
        <w:t xml:space="preserve"> indicadores</w:t>
      </w:r>
      <w:r>
        <w:rPr>
          <w:rFonts w:ascii="Arial" w:hAnsi="Arial" w:cs="Arial"/>
          <w:b/>
          <w:bCs/>
          <w:color w:val="auto"/>
        </w:rPr>
        <w:t xml:space="preserve"> de seguimiento</w:t>
      </w:r>
    </w:p>
    <w:p w14:paraId="5479B3B3" w14:textId="77777777" w:rsidR="00AC638D" w:rsidRPr="00656D70" w:rsidRDefault="00AC638D" w:rsidP="00AC638D">
      <w:pPr>
        <w:pStyle w:val="Descripcin"/>
        <w:tabs>
          <w:tab w:val="left" w:pos="1276"/>
        </w:tabs>
        <w:spacing w:after="0"/>
        <w:jc w:val="center"/>
        <w:rPr>
          <w:rFonts w:ascii="Arial" w:hAnsi="Arial" w:cs="Arial"/>
          <w:b/>
          <w:bCs/>
          <w:color w:val="auto"/>
        </w:rPr>
      </w:pPr>
      <w:r w:rsidRPr="00656D70">
        <w:rPr>
          <w:rFonts w:ascii="Arial" w:hAnsi="Arial" w:cs="Arial"/>
          <w:b/>
          <w:bCs/>
          <w:color w:val="auto"/>
        </w:rPr>
        <w:t>Fuente: Elaboración CREG</w:t>
      </w:r>
    </w:p>
    <w:tbl>
      <w:tblPr>
        <w:tblStyle w:val="Tablaconcuadrcula1clara-nfasis3"/>
        <w:tblW w:w="5000" w:type="pct"/>
        <w:tblLook w:val="04A0" w:firstRow="1" w:lastRow="0" w:firstColumn="1" w:lastColumn="0" w:noHBand="0" w:noVBand="1"/>
      </w:tblPr>
      <w:tblGrid>
        <w:gridCol w:w="2631"/>
        <w:gridCol w:w="1929"/>
        <w:gridCol w:w="1551"/>
        <w:gridCol w:w="1621"/>
        <w:gridCol w:w="1284"/>
      </w:tblGrid>
      <w:tr w:rsidR="00AC638D" w:rsidRPr="00F86DF1" w14:paraId="2915223F" w14:textId="77777777" w:rsidTr="00AC6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pct"/>
            <w:vAlign w:val="center"/>
          </w:tcPr>
          <w:p w14:paraId="648F672A" w14:textId="09A0D464" w:rsidR="00AC638D" w:rsidRPr="00F86DF1" w:rsidRDefault="00AC638D" w:rsidP="00535C4A">
            <w:pPr>
              <w:pStyle w:val="Prrafodelista"/>
              <w:ind w:left="0"/>
              <w:jc w:val="center"/>
              <w:rPr>
                <w:rFonts w:ascii="Arial" w:eastAsiaTheme="majorEastAsia" w:hAnsi="Arial" w:cs="Arial"/>
                <w:sz w:val="20"/>
                <w:szCs w:val="20"/>
              </w:rPr>
            </w:pPr>
            <w:r w:rsidRPr="00F86DF1">
              <w:rPr>
                <w:rFonts w:ascii="Arial" w:eastAsiaTheme="majorEastAsia" w:hAnsi="Arial" w:cs="Arial"/>
                <w:sz w:val="20"/>
                <w:szCs w:val="20"/>
              </w:rPr>
              <w:t>Indicador</w:t>
            </w:r>
          </w:p>
        </w:tc>
        <w:tc>
          <w:tcPr>
            <w:tcW w:w="1070" w:type="pct"/>
            <w:vAlign w:val="center"/>
          </w:tcPr>
          <w:p w14:paraId="6C759B42" w14:textId="5C0399EB" w:rsidR="00AC638D" w:rsidRPr="00F86DF1" w:rsidRDefault="00AC638D" w:rsidP="00535C4A">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F86DF1">
              <w:rPr>
                <w:rFonts w:ascii="Arial" w:eastAsiaTheme="majorEastAsia" w:hAnsi="Arial" w:cs="Arial"/>
                <w:sz w:val="20"/>
                <w:szCs w:val="20"/>
              </w:rPr>
              <w:t>Periodo de evaluación</w:t>
            </w:r>
          </w:p>
        </w:tc>
        <w:tc>
          <w:tcPr>
            <w:tcW w:w="860" w:type="pct"/>
            <w:vAlign w:val="center"/>
          </w:tcPr>
          <w:p w14:paraId="76D22D7B" w14:textId="657063E7" w:rsidR="00AC638D" w:rsidRPr="00F86DF1" w:rsidRDefault="00AC638D" w:rsidP="00535C4A">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F86DF1">
              <w:rPr>
                <w:rFonts w:ascii="Arial" w:eastAsiaTheme="majorEastAsia" w:hAnsi="Arial" w:cs="Arial"/>
                <w:sz w:val="20"/>
                <w:szCs w:val="20"/>
              </w:rPr>
              <w:t>Fuente:</w:t>
            </w:r>
          </w:p>
        </w:tc>
        <w:tc>
          <w:tcPr>
            <w:tcW w:w="899" w:type="pct"/>
            <w:vAlign w:val="center"/>
          </w:tcPr>
          <w:p w14:paraId="3AA763ED" w14:textId="2F97E839" w:rsidR="00AC638D" w:rsidRPr="00F86DF1" w:rsidRDefault="00AC638D" w:rsidP="00535C4A">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F86DF1">
              <w:rPr>
                <w:rFonts w:ascii="Arial" w:eastAsiaTheme="majorEastAsia" w:hAnsi="Arial" w:cs="Arial"/>
                <w:sz w:val="20"/>
                <w:szCs w:val="20"/>
              </w:rPr>
              <w:t>Medición</w:t>
            </w:r>
            <w:r>
              <w:rPr>
                <w:rFonts w:ascii="Arial" w:eastAsiaTheme="majorEastAsia" w:hAnsi="Arial" w:cs="Arial"/>
                <w:sz w:val="20"/>
                <w:szCs w:val="20"/>
              </w:rPr>
              <w:t xml:space="preserve"> actual</w:t>
            </w:r>
          </w:p>
        </w:tc>
        <w:tc>
          <w:tcPr>
            <w:tcW w:w="712" w:type="pct"/>
            <w:vAlign w:val="center"/>
          </w:tcPr>
          <w:p w14:paraId="7827C749" w14:textId="138D9C07" w:rsidR="00AC638D" w:rsidRPr="00F86DF1" w:rsidRDefault="00AC638D" w:rsidP="00535C4A">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F86DF1">
              <w:rPr>
                <w:rFonts w:ascii="Arial" w:eastAsiaTheme="majorEastAsia" w:hAnsi="Arial" w:cs="Arial"/>
                <w:sz w:val="20"/>
                <w:szCs w:val="20"/>
              </w:rPr>
              <w:t>Meta</w:t>
            </w:r>
          </w:p>
        </w:tc>
      </w:tr>
      <w:tr w:rsidR="00AC638D" w:rsidRPr="00F86DF1" w14:paraId="6D70F652" w14:textId="77777777" w:rsidTr="00AC638D">
        <w:trPr>
          <w:trHeight w:val="155"/>
        </w:trPr>
        <w:tc>
          <w:tcPr>
            <w:cnfStyle w:val="001000000000" w:firstRow="0" w:lastRow="0" w:firstColumn="1" w:lastColumn="0" w:oddVBand="0" w:evenVBand="0" w:oddHBand="0" w:evenHBand="0" w:firstRowFirstColumn="0" w:firstRowLastColumn="0" w:lastRowFirstColumn="0" w:lastRowLastColumn="0"/>
            <w:tcW w:w="1459" w:type="pct"/>
          </w:tcPr>
          <w:p w14:paraId="2ACFA5ED" w14:textId="1289CD79" w:rsidR="00AC638D" w:rsidRPr="00F86DF1" w:rsidRDefault="00AC638D" w:rsidP="00FB7A37">
            <w:pPr>
              <w:pStyle w:val="Prrafodelista"/>
              <w:ind w:left="0"/>
              <w:rPr>
                <w:rFonts w:ascii="Arial" w:eastAsiaTheme="majorEastAsia" w:hAnsi="Arial" w:cs="Arial"/>
                <w:sz w:val="20"/>
                <w:szCs w:val="20"/>
              </w:rPr>
            </w:pPr>
            <w:r>
              <w:rPr>
                <w:rFonts w:ascii="Arial" w:eastAsiaTheme="majorEastAsia" w:hAnsi="Arial" w:cs="Arial"/>
                <w:sz w:val="20"/>
                <w:szCs w:val="20"/>
              </w:rPr>
              <w:t>Mantener el p</w:t>
            </w:r>
            <w:r w:rsidRPr="00F86DF1">
              <w:rPr>
                <w:rFonts w:ascii="Arial" w:eastAsiaTheme="majorEastAsia" w:hAnsi="Arial" w:cs="Arial"/>
                <w:sz w:val="20"/>
                <w:szCs w:val="20"/>
              </w:rPr>
              <w:t>eso promedio ponderado en la tarifa del componente de comercialización</w:t>
            </w:r>
            <w:r>
              <w:rPr>
                <w:rFonts w:ascii="Arial" w:eastAsiaTheme="majorEastAsia" w:hAnsi="Arial" w:cs="Arial"/>
                <w:sz w:val="20"/>
                <w:szCs w:val="20"/>
              </w:rPr>
              <w:t xml:space="preserve"> sin incluir el Costo de la opción Tarifaria dentro del costo unitario</w:t>
            </w:r>
          </w:p>
        </w:tc>
        <w:tc>
          <w:tcPr>
            <w:tcW w:w="1070" w:type="pct"/>
            <w:vAlign w:val="center"/>
          </w:tcPr>
          <w:p w14:paraId="7B1D432B" w14:textId="646E03C2" w:rsidR="00AC638D" w:rsidRPr="00F86DF1" w:rsidRDefault="00AC638D" w:rsidP="00134CCA">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F86DF1">
              <w:rPr>
                <w:rFonts w:ascii="Arial" w:eastAsiaTheme="majorEastAsia" w:hAnsi="Arial" w:cs="Arial"/>
                <w:sz w:val="20"/>
                <w:szCs w:val="20"/>
              </w:rPr>
              <w:t>Semestral</w:t>
            </w:r>
          </w:p>
        </w:tc>
        <w:tc>
          <w:tcPr>
            <w:tcW w:w="860" w:type="pct"/>
            <w:vAlign w:val="center"/>
          </w:tcPr>
          <w:p w14:paraId="2CA6D32A" w14:textId="0BE4C433" w:rsidR="00AC638D" w:rsidRPr="00F86DF1" w:rsidRDefault="00AC638D" w:rsidP="00134CCA">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F86DF1">
              <w:rPr>
                <w:rFonts w:ascii="Arial" w:eastAsiaTheme="majorEastAsia" w:hAnsi="Arial" w:cs="Arial"/>
                <w:sz w:val="20"/>
                <w:szCs w:val="20"/>
              </w:rPr>
              <w:t>S</w:t>
            </w:r>
            <w:r>
              <w:rPr>
                <w:rFonts w:ascii="Arial" w:eastAsiaTheme="majorEastAsia" w:hAnsi="Arial" w:cs="Arial"/>
                <w:sz w:val="20"/>
                <w:szCs w:val="20"/>
              </w:rPr>
              <w:t>UI</w:t>
            </w:r>
          </w:p>
        </w:tc>
        <w:tc>
          <w:tcPr>
            <w:tcW w:w="899" w:type="pct"/>
          </w:tcPr>
          <w:p w14:paraId="0EBEA5EF" w14:textId="4CC62D38" w:rsidR="00AC638D" w:rsidRPr="00F86DF1" w:rsidRDefault="00AC638D" w:rsidP="00134CCA">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12%</w:t>
            </w:r>
          </w:p>
        </w:tc>
        <w:tc>
          <w:tcPr>
            <w:tcW w:w="712" w:type="pct"/>
            <w:vAlign w:val="center"/>
          </w:tcPr>
          <w:p w14:paraId="16FFC68E" w14:textId="17BC7FEF" w:rsidR="00AC638D" w:rsidRPr="00F86DF1" w:rsidRDefault="00AC638D" w:rsidP="00134CCA">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&lt;</w:t>
            </w:r>
            <w:r w:rsidRPr="00F86DF1">
              <w:rPr>
                <w:rFonts w:ascii="Arial" w:eastAsiaTheme="majorEastAsia" w:hAnsi="Arial" w:cs="Arial"/>
                <w:sz w:val="20"/>
                <w:szCs w:val="20"/>
              </w:rPr>
              <w:t>10%</w:t>
            </w:r>
          </w:p>
        </w:tc>
      </w:tr>
      <w:tr w:rsidR="00AC638D" w:rsidRPr="00F86DF1" w14:paraId="24EC0B76" w14:textId="77777777" w:rsidTr="00AC638D">
        <w:tc>
          <w:tcPr>
            <w:cnfStyle w:val="001000000000" w:firstRow="0" w:lastRow="0" w:firstColumn="1" w:lastColumn="0" w:oddVBand="0" w:evenVBand="0" w:oddHBand="0" w:evenHBand="0" w:firstRowFirstColumn="0" w:firstRowLastColumn="0" w:lastRowFirstColumn="0" w:lastRowLastColumn="0"/>
            <w:tcW w:w="1459" w:type="pct"/>
          </w:tcPr>
          <w:p w14:paraId="21A6A599" w14:textId="1470F262" w:rsidR="00AC638D" w:rsidRPr="00037B5A" w:rsidRDefault="00AC638D" w:rsidP="005A625E">
            <w:pPr>
              <w:pStyle w:val="Prrafodelista"/>
              <w:ind w:left="0"/>
              <w:rPr>
                <w:rFonts w:ascii="Arial" w:eastAsiaTheme="majorEastAsia" w:hAnsi="Arial" w:cs="Arial"/>
                <w:b w:val="0"/>
                <w:bCs w:val="0"/>
                <w:sz w:val="20"/>
                <w:szCs w:val="20"/>
              </w:rPr>
            </w:pPr>
            <w:r>
              <w:rPr>
                <w:rFonts w:ascii="Arial" w:eastAsiaTheme="majorEastAsia" w:hAnsi="Arial" w:cs="Arial"/>
                <w:sz w:val="20"/>
                <w:szCs w:val="20"/>
              </w:rPr>
              <w:t>Cumplimiento de las metas de c</w:t>
            </w:r>
            <w:r w:rsidRPr="00F86DF1">
              <w:rPr>
                <w:rFonts w:ascii="Arial" w:eastAsiaTheme="majorEastAsia" w:hAnsi="Arial" w:cs="Arial"/>
                <w:sz w:val="20"/>
                <w:szCs w:val="20"/>
              </w:rPr>
              <w:t>alidad del servicio comercial</w:t>
            </w:r>
          </w:p>
        </w:tc>
        <w:tc>
          <w:tcPr>
            <w:tcW w:w="1070" w:type="pct"/>
          </w:tcPr>
          <w:p w14:paraId="112B9129" w14:textId="2A8DA4C0" w:rsidR="00AC638D" w:rsidRPr="00F86DF1" w:rsidRDefault="00AC638D" w:rsidP="005A625E">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Anual</w:t>
            </w:r>
          </w:p>
        </w:tc>
        <w:tc>
          <w:tcPr>
            <w:tcW w:w="860" w:type="pct"/>
          </w:tcPr>
          <w:p w14:paraId="4F6C9CAC" w14:textId="1FCB0895" w:rsidR="00AC638D" w:rsidRPr="00F86DF1" w:rsidRDefault="00AC638D" w:rsidP="005A625E">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SUI</w:t>
            </w:r>
          </w:p>
        </w:tc>
        <w:tc>
          <w:tcPr>
            <w:tcW w:w="899" w:type="pct"/>
          </w:tcPr>
          <w:p w14:paraId="7605F966" w14:textId="0478F3EE" w:rsidR="00AC638D" w:rsidRPr="00F86DF1" w:rsidRDefault="00AC638D" w:rsidP="005A625E">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A partir del año base.</w:t>
            </w:r>
          </w:p>
        </w:tc>
        <w:tc>
          <w:tcPr>
            <w:tcW w:w="712" w:type="pct"/>
          </w:tcPr>
          <w:p w14:paraId="14C356F7" w14:textId="78E4A11E" w:rsidR="00AC638D" w:rsidRPr="00F86DF1" w:rsidRDefault="00AC638D" w:rsidP="005A625E">
            <w:pPr>
              <w:pStyle w:val="Prrafodelista"/>
              <w:ind w:left="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p>
        </w:tc>
      </w:tr>
    </w:tbl>
    <w:p w14:paraId="05D55C96" w14:textId="77777777" w:rsidR="00557C9F" w:rsidRPr="00C11655" w:rsidRDefault="00557C9F" w:rsidP="005A625E">
      <w:pPr>
        <w:pStyle w:val="Prrafodelista"/>
        <w:ind w:left="480"/>
        <w:rPr>
          <w:rFonts w:ascii="Arial" w:eastAsiaTheme="majorEastAsia" w:hAnsi="Arial" w:cs="Arial"/>
        </w:rPr>
      </w:pPr>
    </w:p>
    <w:p w14:paraId="161E3E74" w14:textId="38BA2A88" w:rsidR="002A57E8" w:rsidRDefault="00460B6B" w:rsidP="00CF72D8">
      <w:pPr>
        <w:pStyle w:val="Ttulo1"/>
        <w:numPr>
          <w:ilvl w:val="0"/>
          <w:numId w:val="26"/>
        </w:numPr>
        <w:ind w:left="360" w:hanging="360"/>
      </w:pPr>
      <w:bookmarkStart w:id="76" w:name="_Toc165037349"/>
      <w:r>
        <w:lastRenderedPageBreak/>
        <w:t xml:space="preserve">CRONOGRAMA PARA LA </w:t>
      </w:r>
      <w:r w:rsidR="00383E46">
        <w:t xml:space="preserve">EXPEDICION DEFINITIVA </w:t>
      </w:r>
      <w:r>
        <w:t xml:space="preserve">DE LA METODOLOGÍA </w:t>
      </w:r>
      <w:r w:rsidR="00383E46">
        <w:t>Y SU APLICACIÓN</w:t>
      </w:r>
      <w:bookmarkEnd w:id="76"/>
      <w:r>
        <w:t xml:space="preserve"> </w:t>
      </w:r>
    </w:p>
    <w:p w14:paraId="5DDF6E43" w14:textId="7291ABD4" w:rsidR="00EA7142" w:rsidRPr="00C94002" w:rsidRDefault="0017369E" w:rsidP="00CD5F95">
      <w:pPr>
        <w:jc w:val="both"/>
        <w:rPr>
          <w:rFonts w:ascii="Arial" w:hAnsi="Arial" w:cs="Arial"/>
          <w:sz w:val="24"/>
          <w:szCs w:val="24"/>
        </w:rPr>
      </w:pPr>
      <w:r>
        <w:rPr>
          <w:rFonts w:ascii="Arial" w:hAnsi="Arial" w:cs="Arial"/>
        </w:rPr>
        <w:t xml:space="preserve">A </w:t>
      </w:r>
      <w:r w:rsidR="00A42EB4">
        <w:rPr>
          <w:rFonts w:ascii="Arial" w:hAnsi="Arial" w:cs="Arial"/>
        </w:rPr>
        <w:t>continuación,</w:t>
      </w:r>
      <w:r>
        <w:rPr>
          <w:rFonts w:ascii="Arial" w:hAnsi="Arial" w:cs="Arial"/>
        </w:rPr>
        <w:t xml:space="preserve"> se </w:t>
      </w:r>
      <w:r w:rsidR="00A42EB4">
        <w:rPr>
          <w:rFonts w:ascii="Arial" w:hAnsi="Arial" w:cs="Arial"/>
        </w:rPr>
        <w:t>indican</w:t>
      </w:r>
      <w:r>
        <w:rPr>
          <w:rFonts w:ascii="Arial" w:hAnsi="Arial" w:cs="Arial"/>
        </w:rPr>
        <w:t xml:space="preserve"> las actividades</w:t>
      </w:r>
      <w:r w:rsidR="000101D8" w:rsidRPr="000101D8">
        <w:rPr>
          <w:rFonts w:ascii="Arial" w:hAnsi="Arial" w:cs="Arial"/>
        </w:rPr>
        <w:t xml:space="preserve"> para </w:t>
      </w:r>
      <w:r w:rsidR="007C27AB">
        <w:rPr>
          <w:rFonts w:ascii="Arial" w:hAnsi="Arial" w:cs="Arial"/>
        </w:rPr>
        <w:t xml:space="preserve">llegar a </w:t>
      </w:r>
      <w:r w:rsidR="000101D8" w:rsidRPr="000101D8">
        <w:rPr>
          <w:rFonts w:ascii="Arial" w:hAnsi="Arial" w:cs="Arial"/>
        </w:rPr>
        <w:t xml:space="preserve">la expedición </w:t>
      </w:r>
      <w:r w:rsidR="007C27AB">
        <w:rPr>
          <w:rFonts w:ascii="Arial" w:hAnsi="Arial" w:cs="Arial"/>
        </w:rPr>
        <w:t xml:space="preserve">definitiva </w:t>
      </w:r>
      <w:r w:rsidR="000101D8" w:rsidRPr="000101D8">
        <w:rPr>
          <w:rFonts w:ascii="Arial" w:hAnsi="Arial" w:cs="Arial"/>
        </w:rPr>
        <w:t xml:space="preserve">de la metodología </w:t>
      </w:r>
      <w:r w:rsidR="007C27AB">
        <w:rPr>
          <w:rFonts w:ascii="Arial" w:hAnsi="Arial" w:cs="Arial"/>
        </w:rPr>
        <w:t>y</w:t>
      </w:r>
      <w:r w:rsidR="000101D8" w:rsidRPr="000101D8">
        <w:rPr>
          <w:rFonts w:ascii="Arial" w:hAnsi="Arial" w:cs="Arial"/>
        </w:rPr>
        <w:t xml:space="preserve"> la aplicación de los cargos </w:t>
      </w:r>
      <w:r w:rsidR="00A42EB4">
        <w:rPr>
          <w:rFonts w:ascii="Arial" w:hAnsi="Arial" w:cs="Arial"/>
        </w:rPr>
        <w:t xml:space="preserve">que </w:t>
      </w:r>
      <w:r w:rsidR="000101D8" w:rsidRPr="000101D8">
        <w:rPr>
          <w:rFonts w:ascii="Arial" w:hAnsi="Arial" w:cs="Arial"/>
        </w:rPr>
        <w:t xml:space="preserve">de </w:t>
      </w:r>
      <w:r w:rsidR="00A42EB4">
        <w:rPr>
          <w:rFonts w:ascii="Arial" w:hAnsi="Arial" w:cs="Arial"/>
        </w:rPr>
        <w:t>ella se derive:</w:t>
      </w:r>
    </w:p>
    <w:p w14:paraId="4CD55D9A" w14:textId="77777777" w:rsidR="00647DF1" w:rsidRPr="00C94002" w:rsidRDefault="00647DF1" w:rsidP="00647DF1">
      <w:pPr>
        <w:rPr>
          <w:rFonts w:ascii="Arial" w:hAnsi="Arial" w:cs="Arial"/>
          <w:sz w:val="24"/>
          <w:szCs w:val="24"/>
        </w:rPr>
      </w:pPr>
    </w:p>
    <w:tbl>
      <w:tblPr>
        <w:tblW w:w="0" w:type="auto"/>
        <w:tblCellMar>
          <w:left w:w="0" w:type="dxa"/>
          <w:right w:w="0" w:type="dxa"/>
        </w:tblCellMar>
        <w:tblLook w:val="0420" w:firstRow="1" w:lastRow="0" w:firstColumn="0" w:lastColumn="0" w:noHBand="0" w:noVBand="1"/>
      </w:tblPr>
      <w:tblGrid>
        <w:gridCol w:w="617"/>
        <w:gridCol w:w="3373"/>
        <w:gridCol w:w="1671"/>
        <w:gridCol w:w="3355"/>
      </w:tblGrid>
      <w:tr w:rsidR="00647DF1" w:rsidRPr="00647DF1" w14:paraId="5C72AD8B" w14:textId="77777777" w:rsidTr="00CD5F95">
        <w:trPr>
          <w:trHeight w:val="16"/>
          <w:tblHeader/>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205B5DE7" w14:textId="77777777" w:rsidR="00647DF1" w:rsidRPr="00647DF1" w:rsidRDefault="00647DF1" w:rsidP="00647DF1">
            <w:pPr>
              <w:spacing w:before="0" w:after="0"/>
              <w:rPr>
                <w:rFonts w:ascii="Times New Roman" w:eastAsia="Times New Roman" w:hAnsi="Times New Roman"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2E228F" w14:textId="77777777" w:rsidR="00647DF1" w:rsidRPr="00CD5F95" w:rsidRDefault="00647DF1" w:rsidP="00647DF1">
            <w:pPr>
              <w:spacing w:before="0" w:after="0"/>
              <w:jc w:val="center"/>
              <w:rPr>
                <w:rFonts w:ascii="Arial" w:eastAsia="Times New Roman" w:hAnsi="Arial" w:cs="Arial"/>
                <w:lang w:eastAsia="es-CO"/>
              </w:rPr>
            </w:pPr>
            <w:r w:rsidRPr="00CD5F95">
              <w:rPr>
                <w:rFonts w:ascii="Arial" w:eastAsia="Times New Roman" w:hAnsi="Arial" w:cs="Arial"/>
                <w:b/>
                <w:kern w:val="24"/>
                <w:u w:val="single"/>
                <w:lang w:eastAsia="es-CO"/>
              </w:rPr>
              <w:t>ACTIVIDAD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0B844" w14:textId="77777777" w:rsidR="00647DF1" w:rsidRPr="00CD5F95" w:rsidRDefault="00647DF1" w:rsidP="00647DF1">
            <w:pPr>
              <w:spacing w:before="0" w:after="0"/>
              <w:jc w:val="center"/>
              <w:rPr>
                <w:rFonts w:ascii="Arial" w:eastAsia="Times New Roman" w:hAnsi="Arial" w:cs="Arial"/>
                <w:lang w:eastAsia="es-CO"/>
              </w:rPr>
            </w:pPr>
            <w:r w:rsidRPr="00CD5F95">
              <w:rPr>
                <w:rFonts w:ascii="Arial" w:eastAsia="Times New Roman" w:hAnsi="Arial" w:cs="Arial"/>
                <w:b/>
                <w:kern w:val="24"/>
                <w:u w:val="single"/>
                <w:lang w:eastAsia="es-CO"/>
              </w:rPr>
              <w:t>ESTADO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D9ED54" w14:textId="77777777" w:rsidR="00647DF1" w:rsidRPr="00CD5F95" w:rsidRDefault="00647DF1" w:rsidP="00647DF1">
            <w:pPr>
              <w:spacing w:before="0" w:after="0"/>
              <w:jc w:val="center"/>
              <w:rPr>
                <w:rFonts w:ascii="Arial" w:eastAsia="Times New Roman" w:hAnsi="Arial" w:cs="Arial"/>
                <w:lang w:eastAsia="es-CO"/>
              </w:rPr>
            </w:pPr>
            <w:r w:rsidRPr="00CD5F95">
              <w:rPr>
                <w:rFonts w:ascii="Arial" w:eastAsia="Times New Roman" w:hAnsi="Arial" w:cs="Arial"/>
                <w:b/>
                <w:kern w:val="24"/>
                <w:u w:val="single"/>
                <w:lang w:eastAsia="es-CO"/>
              </w:rPr>
              <w:t>OBSERVACIÓN</w:t>
            </w:r>
          </w:p>
        </w:tc>
      </w:tr>
      <w:tr w:rsidR="00647DF1" w:rsidRPr="00647DF1" w14:paraId="2D4FDCCD" w14:textId="77777777" w:rsidTr="001E5E41">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36789B6B" w14:textId="77777777" w:rsidR="00647DF1" w:rsidRPr="00647DF1" w:rsidRDefault="00647DF1" w:rsidP="00647DF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F1D41" w14:textId="5DD6B20E" w:rsidR="00647DF1" w:rsidRPr="00CD5F95" w:rsidRDefault="00647DF1" w:rsidP="00647DF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Expedición de Bases conceptuales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422819" w14:textId="1307D657" w:rsidR="00647DF1" w:rsidRPr="00CD5F95" w:rsidRDefault="00CD5F95" w:rsidP="001E5E41">
            <w:pPr>
              <w:spacing w:before="0" w:after="0"/>
              <w:rPr>
                <w:rFonts w:ascii="Arial" w:eastAsia="Times New Roman" w:hAnsi="Arial" w:cs="Arial"/>
                <w:lang w:eastAsia="es-CO"/>
              </w:rPr>
            </w:pPr>
            <w:r>
              <w:rPr>
                <w:rFonts w:ascii="Arial" w:eastAsia="Times New Roman" w:hAnsi="Arial" w:cs="Arial"/>
                <w:lang w:eastAsia="es-CO"/>
              </w:rPr>
              <w:t>Cumplido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906A0" w14:textId="77777777" w:rsidR="00647DF1" w:rsidRPr="00CD5F95" w:rsidRDefault="00647DF1" w:rsidP="00E316F3">
            <w:pPr>
              <w:spacing w:before="0" w:after="0"/>
              <w:jc w:val="center"/>
              <w:rPr>
                <w:rFonts w:ascii="Arial" w:eastAsia="Times New Roman" w:hAnsi="Arial" w:cs="Arial"/>
                <w:lang w:eastAsia="es-CO"/>
              </w:rPr>
            </w:pPr>
            <w:r w:rsidRPr="00CD5F95">
              <w:rPr>
                <w:rFonts w:ascii="Arial" w:eastAsia="Times New Roman" w:hAnsi="Arial" w:cs="Arial"/>
                <w:color w:val="000000" w:themeColor="dark1"/>
                <w:kern w:val="24"/>
                <w:lang w:eastAsia="es-CO"/>
              </w:rPr>
              <w:t>Res. Creg 155 de 2019</w:t>
            </w:r>
          </w:p>
        </w:tc>
      </w:tr>
      <w:tr w:rsidR="00647DF1" w:rsidRPr="00647DF1" w14:paraId="46E5F2F8" w14:textId="77777777" w:rsidTr="001E5E41">
        <w:trPr>
          <w:trHeight w:val="584"/>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6BD6728C" w14:textId="77777777" w:rsidR="00647DF1" w:rsidRPr="00647DF1" w:rsidRDefault="00647DF1" w:rsidP="00647DF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F5490A" w14:textId="77777777" w:rsidR="00647DF1" w:rsidRPr="00CD5F95" w:rsidRDefault="00647DF1" w:rsidP="00647DF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Expedición Resolución propuesta de metodología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FFD8EE" w14:textId="4DB81A28" w:rsidR="00647DF1" w:rsidRPr="00CD5F95" w:rsidRDefault="00CD5F95" w:rsidP="001E5E41">
            <w:pPr>
              <w:spacing w:before="0" w:after="0"/>
              <w:rPr>
                <w:rFonts w:ascii="Arial" w:eastAsia="Times New Roman" w:hAnsi="Arial" w:cs="Arial"/>
                <w:lang w:eastAsia="es-CO"/>
              </w:rPr>
            </w:pPr>
            <w:r>
              <w:rPr>
                <w:rFonts w:ascii="Arial" w:eastAsia="Times New Roman" w:hAnsi="Arial" w:cs="Arial"/>
                <w:lang w:eastAsia="es-CO"/>
              </w:rPr>
              <w:t>Cumplido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31E333" w14:textId="77777777" w:rsidR="00647DF1" w:rsidRPr="00CD5F95" w:rsidRDefault="00647DF1" w:rsidP="00E316F3">
            <w:pPr>
              <w:spacing w:before="0" w:after="0"/>
              <w:jc w:val="center"/>
              <w:rPr>
                <w:rFonts w:ascii="Arial" w:eastAsia="Times New Roman" w:hAnsi="Arial" w:cs="Arial"/>
                <w:lang w:eastAsia="es-CO"/>
              </w:rPr>
            </w:pPr>
            <w:r w:rsidRPr="00CD5F95">
              <w:rPr>
                <w:rFonts w:ascii="Arial" w:eastAsia="Times New Roman" w:hAnsi="Arial" w:cs="Arial"/>
                <w:color w:val="000000" w:themeColor="dark1"/>
                <w:kern w:val="24"/>
                <w:lang w:eastAsia="es-CO"/>
              </w:rPr>
              <w:t>Res. Creg 701 038 de 2024</w:t>
            </w:r>
          </w:p>
        </w:tc>
      </w:tr>
      <w:tr w:rsidR="00647DF1" w:rsidRPr="00647DF1" w14:paraId="65D331E9" w14:textId="77777777" w:rsidTr="001E5E41">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7EA6ECF5" w14:textId="77777777" w:rsidR="00647DF1" w:rsidRPr="00647DF1" w:rsidRDefault="00647DF1" w:rsidP="00647DF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DD5D2D" w14:textId="77777777" w:rsidR="00647DF1" w:rsidRPr="00CD5F95" w:rsidRDefault="00647DF1" w:rsidP="00647DF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Audiencias y talleres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4C7006" w14:textId="017C68DF" w:rsidR="00647DF1" w:rsidRPr="00CD5F95" w:rsidRDefault="00CD5F95" w:rsidP="001E5E41">
            <w:pPr>
              <w:spacing w:before="0" w:after="0"/>
              <w:rPr>
                <w:rFonts w:ascii="Arial" w:eastAsia="Times New Roman" w:hAnsi="Arial" w:cs="Arial"/>
                <w:lang w:eastAsia="es-CO"/>
              </w:rPr>
            </w:pPr>
            <w:r>
              <w:rPr>
                <w:rFonts w:ascii="Arial" w:eastAsia="Times New Roman" w:hAnsi="Arial" w:cs="Arial"/>
                <w:color w:val="000000" w:themeColor="dark1"/>
                <w:kern w:val="24"/>
                <w:lang w:eastAsia="es-CO"/>
              </w:rPr>
              <w:t>En ejecución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726680" w14:textId="77777777" w:rsidR="00647DF1" w:rsidRPr="00CD5F95" w:rsidRDefault="00647DF1" w:rsidP="00E316F3">
            <w:pPr>
              <w:spacing w:before="0" w:after="0"/>
              <w:jc w:val="center"/>
              <w:rPr>
                <w:rFonts w:ascii="Arial" w:eastAsia="Times New Roman" w:hAnsi="Arial" w:cs="Arial"/>
                <w:lang w:eastAsia="es-CO"/>
              </w:rPr>
            </w:pPr>
            <w:r w:rsidRPr="00CD5F95">
              <w:rPr>
                <w:rFonts w:ascii="Arial" w:eastAsia="Times New Roman" w:hAnsi="Arial" w:cs="Arial"/>
                <w:color w:val="000000" w:themeColor="dark1"/>
                <w:kern w:val="24"/>
                <w:lang w:eastAsia="es-CO"/>
              </w:rPr>
              <w:t>Entre mayo y julio de 2024</w:t>
            </w:r>
          </w:p>
        </w:tc>
      </w:tr>
      <w:tr w:rsidR="00647DF1" w:rsidRPr="00647DF1" w14:paraId="6D983615" w14:textId="77777777" w:rsidTr="001E5E41">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722EA9AF" w14:textId="77777777" w:rsidR="00647DF1" w:rsidRPr="00647DF1" w:rsidRDefault="00647DF1" w:rsidP="00647DF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3089F3" w14:textId="77777777" w:rsidR="00647DF1" w:rsidRPr="00CD5F95" w:rsidRDefault="00647DF1" w:rsidP="00647DF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 xml:space="preserve">Solicitud de actualización de información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28EDFD" w14:textId="77777777" w:rsidR="00647DF1" w:rsidRPr="00CD5F95" w:rsidRDefault="00647DF1" w:rsidP="001E5E4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Expedición Circular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F0463" w14:textId="77777777" w:rsidR="00647DF1" w:rsidRPr="00CD5F95" w:rsidRDefault="00647DF1" w:rsidP="00E316F3">
            <w:pPr>
              <w:spacing w:before="0" w:after="0"/>
              <w:jc w:val="center"/>
              <w:rPr>
                <w:rFonts w:ascii="Arial" w:eastAsia="Times New Roman" w:hAnsi="Arial" w:cs="Arial"/>
                <w:lang w:eastAsia="es-CO"/>
              </w:rPr>
            </w:pPr>
            <w:r w:rsidRPr="00CD5F95">
              <w:rPr>
                <w:rFonts w:ascii="Arial" w:eastAsia="Times New Roman" w:hAnsi="Arial" w:cs="Arial"/>
                <w:color w:val="000000" w:themeColor="dark1"/>
                <w:kern w:val="24"/>
                <w:lang w:eastAsia="es-CO"/>
              </w:rPr>
              <w:t>Mayo de 2024</w:t>
            </w:r>
          </w:p>
        </w:tc>
      </w:tr>
      <w:tr w:rsidR="001E5E41" w:rsidRPr="00647DF1" w14:paraId="3994C84B" w14:textId="77777777" w:rsidTr="001E5E41">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035FC7F5" w14:textId="77777777" w:rsidR="001E5E41" w:rsidRPr="00647DF1" w:rsidRDefault="001E5E41" w:rsidP="001E5E4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6AD17" w14:textId="15941611" w:rsidR="001E5E41" w:rsidRPr="00CD5F95" w:rsidRDefault="001E5E41" w:rsidP="001E5E4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 xml:space="preserve">Actualización </w:t>
            </w:r>
            <w:r>
              <w:rPr>
                <w:rFonts w:ascii="Arial" w:eastAsia="Times New Roman" w:hAnsi="Arial" w:cs="Arial"/>
                <w:color w:val="000000" w:themeColor="dark1"/>
                <w:kern w:val="24"/>
                <w:lang w:eastAsia="es-CO"/>
              </w:rPr>
              <w:t xml:space="preserve">modelo </w:t>
            </w:r>
            <w:r w:rsidRPr="00CD5F95">
              <w:rPr>
                <w:rFonts w:ascii="Arial" w:eastAsia="Times New Roman" w:hAnsi="Arial" w:cs="Arial"/>
                <w:color w:val="000000" w:themeColor="dark1"/>
                <w:kern w:val="24"/>
                <w:lang w:eastAsia="es-CO"/>
              </w:rPr>
              <w:t>de eficiencia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AB0FD8" w14:textId="162D1D61" w:rsidR="001E5E41" w:rsidRPr="00CD5F95" w:rsidRDefault="001E5E41" w:rsidP="001E5E41">
            <w:pPr>
              <w:spacing w:before="0" w:after="0"/>
              <w:rPr>
                <w:rFonts w:ascii="Arial" w:eastAsia="Times New Roman" w:hAnsi="Arial" w:cs="Arial"/>
                <w:lang w:eastAsia="es-CO"/>
              </w:rPr>
            </w:pPr>
            <w:r>
              <w:rPr>
                <w:rFonts w:ascii="Arial" w:eastAsia="Times New Roman" w:hAnsi="Arial" w:cs="Arial"/>
                <w:color w:val="000000" w:themeColor="dark1"/>
                <w:kern w:val="24"/>
                <w:lang w:eastAsia="es-CO"/>
              </w:rPr>
              <w:t>En ejecución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8B85B2" w14:textId="77777777" w:rsidR="001E5E41" w:rsidRPr="00CD5F95" w:rsidRDefault="001E5E41" w:rsidP="00E316F3">
            <w:pPr>
              <w:spacing w:before="0" w:after="0"/>
              <w:jc w:val="center"/>
              <w:rPr>
                <w:rFonts w:ascii="Arial" w:eastAsia="Times New Roman" w:hAnsi="Arial" w:cs="Arial"/>
                <w:lang w:eastAsia="es-CO"/>
              </w:rPr>
            </w:pPr>
            <w:r w:rsidRPr="00CD5F95">
              <w:rPr>
                <w:rFonts w:ascii="Arial" w:eastAsia="Times New Roman" w:hAnsi="Arial" w:cs="Arial"/>
                <w:color w:val="000000" w:themeColor="dark1"/>
                <w:kern w:val="24"/>
                <w:lang w:eastAsia="es-CO"/>
              </w:rPr>
              <w:t>Entre mayo y junio de 2024</w:t>
            </w:r>
          </w:p>
        </w:tc>
      </w:tr>
      <w:tr w:rsidR="001E5E41" w:rsidRPr="00647DF1" w14:paraId="4C01256C" w14:textId="77777777" w:rsidTr="00F40D0D">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1BD4BBCA" w14:textId="77777777" w:rsidR="001E5E41" w:rsidRPr="00647DF1" w:rsidRDefault="001E5E41" w:rsidP="001E5E4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35065B" w14:textId="77777777" w:rsidR="001E5E41" w:rsidRPr="00CD5F95" w:rsidRDefault="001E5E41" w:rsidP="00F40D0D">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Recepción de comentarios propuesta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419FF5" w14:textId="2292DACA" w:rsidR="001E5E41" w:rsidRPr="00CD5F95" w:rsidRDefault="00B84DB4" w:rsidP="00F40D0D">
            <w:pPr>
              <w:spacing w:before="0" w:after="0"/>
              <w:rPr>
                <w:rFonts w:ascii="Arial" w:eastAsia="Times New Roman" w:hAnsi="Arial" w:cs="Arial"/>
                <w:lang w:eastAsia="es-CO"/>
              </w:rPr>
            </w:pPr>
            <w:r>
              <w:rPr>
                <w:rFonts w:ascii="Arial" w:eastAsia="Times New Roman" w:hAnsi="Arial" w:cs="Arial"/>
                <w:color w:val="000000" w:themeColor="dark1"/>
                <w:kern w:val="24"/>
                <w:lang w:eastAsia="es-CO"/>
              </w:rPr>
              <w:t>En ejecución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A25E1D" w14:textId="0AA87E41" w:rsidR="001E5E41" w:rsidRPr="00CD5F95" w:rsidRDefault="001E5E41" w:rsidP="00E316F3">
            <w:pPr>
              <w:spacing w:before="0" w:after="0"/>
              <w:jc w:val="center"/>
              <w:rPr>
                <w:rFonts w:ascii="Arial" w:eastAsia="Times New Roman" w:hAnsi="Arial" w:cs="Arial"/>
                <w:lang w:eastAsia="es-CO"/>
              </w:rPr>
            </w:pPr>
            <w:r w:rsidRPr="00CD5F95">
              <w:rPr>
                <w:rFonts w:ascii="Arial" w:eastAsia="Times New Roman" w:hAnsi="Arial" w:cs="Arial"/>
                <w:color w:val="000000" w:themeColor="dark1"/>
                <w:kern w:val="24"/>
                <w:lang w:eastAsia="es-CO"/>
              </w:rPr>
              <w:t>2</w:t>
            </w:r>
            <w:r w:rsidR="00F40D0D">
              <w:rPr>
                <w:rFonts w:ascii="Arial" w:eastAsia="Times New Roman" w:hAnsi="Arial" w:cs="Arial"/>
                <w:color w:val="000000" w:themeColor="dark1"/>
                <w:kern w:val="24"/>
                <w:lang w:eastAsia="es-CO"/>
              </w:rPr>
              <w:t>5</w:t>
            </w:r>
            <w:r w:rsidRPr="00CD5F95">
              <w:rPr>
                <w:rFonts w:ascii="Arial" w:eastAsia="Times New Roman" w:hAnsi="Arial" w:cs="Arial"/>
                <w:color w:val="000000" w:themeColor="dark1"/>
                <w:kern w:val="24"/>
                <w:lang w:eastAsia="es-CO"/>
              </w:rPr>
              <w:t xml:space="preserve"> de julio de 2024</w:t>
            </w:r>
          </w:p>
        </w:tc>
      </w:tr>
      <w:tr w:rsidR="001E5E41" w:rsidRPr="00647DF1" w14:paraId="591F8D93" w14:textId="77777777" w:rsidTr="00283825">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6305847D" w14:textId="77777777" w:rsidR="001E5E41" w:rsidRPr="00647DF1" w:rsidRDefault="001E5E41" w:rsidP="001E5E4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B88A99" w14:textId="77777777" w:rsidR="001E5E41" w:rsidRPr="00CD5F95" w:rsidRDefault="001E5E41" w:rsidP="001E5E4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 xml:space="preserve">Análisis de comentarios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A9EB97" w14:textId="663A7E51" w:rsidR="001E5E41" w:rsidRPr="00CD5F95" w:rsidRDefault="00283825" w:rsidP="00283825">
            <w:pPr>
              <w:spacing w:before="0" w:after="0"/>
              <w:jc w:val="center"/>
              <w:rPr>
                <w:rFonts w:ascii="Arial" w:eastAsia="Times New Roman" w:hAnsi="Arial" w:cs="Arial"/>
                <w:lang w:eastAsia="es-CO"/>
              </w:rPr>
            </w:pPr>
            <w:r>
              <w:rPr>
                <w:rFonts w:ascii="Arial" w:eastAsia="Times New Roman" w:hAnsi="Arial" w:cs="Arial"/>
                <w:color w:val="000000" w:themeColor="dark1"/>
                <w:kern w:val="24"/>
                <w:lang w:eastAsia="es-CO"/>
              </w:rPr>
              <w:t>Por iniciar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C00228" w14:textId="070531F4" w:rsidR="001E5E41" w:rsidRPr="00CD5F95" w:rsidRDefault="00E316F3" w:rsidP="00283825">
            <w:pPr>
              <w:spacing w:before="0" w:after="0"/>
              <w:jc w:val="center"/>
              <w:rPr>
                <w:rFonts w:ascii="Arial" w:eastAsia="Times New Roman" w:hAnsi="Arial" w:cs="Arial"/>
                <w:lang w:eastAsia="es-CO"/>
              </w:rPr>
            </w:pPr>
            <w:r>
              <w:rPr>
                <w:rFonts w:ascii="Arial" w:eastAsia="Times New Roman" w:hAnsi="Arial" w:cs="Arial"/>
                <w:color w:val="000000" w:themeColor="dark1"/>
                <w:kern w:val="24"/>
                <w:lang w:eastAsia="es-CO"/>
              </w:rPr>
              <w:t>Agosto 2024</w:t>
            </w:r>
          </w:p>
        </w:tc>
      </w:tr>
      <w:tr w:rsidR="001E5E41" w:rsidRPr="00647DF1" w14:paraId="111580F2" w14:textId="77777777" w:rsidTr="0053379E">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2A872076" w14:textId="77777777" w:rsidR="001E5E41" w:rsidRPr="00647DF1" w:rsidRDefault="001E5E41" w:rsidP="001E5E41">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F52377" w14:textId="77777777" w:rsidR="001E5E41" w:rsidRPr="00CD5F95" w:rsidRDefault="001E5E41" w:rsidP="001E5E41">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Expedición circular con datos para cálculo de cargos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5E427C" w14:textId="3991EB97" w:rsidR="001E5E41" w:rsidRPr="00CD5F95" w:rsidRDefault="00705FBD" w:rsidP="0053379E">
            <w:pPr>
              <w:spacing w:before="0" w:after="0"/>
              <w:jc w:val="center"/>
              <w:rPr>
                <w:rFonts w:ascii="Arial" w:eastAsia="Times New Roman" w:hAnsi="Arial" w:cs="Arial"/>
                <w:lang w:eastAsia="es-CO"/>
              </w:rPr>
            </w:pPr>
            <w:r>
              <w:rPr>
                <w:rFonts w:ascii="Arial" w:eastAsia="Times New Roman" w:hAnsi="Arial" w:cs="Arial"/>
                <w:color w:val="000000" w:themeColor="dark1"/>
                <w:kern w:val="24"/>
                <w:lang w:eastAsia="es-CO"/>
              </w:rPr>
              <w:t>Por iniciar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292FA4" w14:textId="2CB9B318" w:rsidR="001E5E41" w:rsidRPr="00CD5F95" w:rsidRDefault="00283825" w:rsidP="0053379E">
            <w:pPr>
              <w:spacing w:before="0" w:after="0"/>
              <w:jc w:val="center"/>
              <w:rPr>
                <w:rFonts w:ascii="Arial" w:eastAsia="Times New Roman" w:hAnsi="Arial" w:cs="Arial"/>
                <w:lang w:eastAsia="es-CO"/>
              </w:rPr>
            </w:pPr>
            <w:r>
              <w:rPr>
                <w:rFonts w:ascii="Arial" w:eastAsia="Times New Roman" w:hAnsi="Arial" w:cs="Arial"/>
                <w:color w:val="000000" w:themeColor="dark1"/>
                <w:kern w:val="24"/>
                <w:lang w:eastAsia="es-CO"/>
              </w:rPr>
              <w:t>Agosto 2024</w:t>
            </w:r>
          </w:p>
        </w:tc>
      </w:tr>
      <w:tr w:rsidR="0053379E" w:rsidRPr="00647DF1" w14:paraId="68D17C98" w14:textId="77777777" w:rsidTr="0053379E">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010079A4" w14:textId="77777777" w:rsidR="0053379E" w:rsidRPr="00647DF1" w:rsidRDefault="0053379E" w:rsidP="0053379E">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474520" w14:textId="58031E48" w:rsidR="0053379E" w:rsidRPr="00CD5F95" w:rsidRDefault="0053379E" w:rsidP="0053379E">
            <w:pPr>
              <w:spacing w:before="0" w:after="0"/>
              <w:rPr>
                <w:rFonts w:ascii="Arial" w:eastAsia="Times New Roman" w:hAnsi="Arial" w:cs="Arial"/>
                <w:lang w:eastAsia="es-CO"/>
              </w:rPr>
            </w:pPr>
            <w:r>
              <w:rPr>
                <w:rFonts w:ascii="Arial" w:eastAsia="Times New Roman" w:hAnsi="Arial" w:cs="Arial"/>
                <w:color w:val="000000" w:themeColor="dark1"/>
                <w:kern w:val="24"/>
                <w:lang w:eastAsia="es-CO"/>
              </w:rPr>
              <w:t xml:space="preserve">Cuestionario y </w:t>
            </w:r>
            <w:r w:rsidRPr="00CD5F95">
              <w:rPr>
                <w:rFonts w:ascii="Arial" w:eastAsia="Times New Roman" w:hAnsi="Arial" w:cs="Arial"/>
                <w:color w:val="000000" w:themeColor="dark1"/>
                <w:kern w:val="24"/>
                <w:lang w:eastAsia="es-CO"/>
              </w:rPr>
              <w:t>Concepto de abogacía de la competencia - SIC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33871C" w14:textId="48C62CBB" w:rsidR="0053379E" w:rsidRPr="00CD5F95" w:rsidRDefault="0053379E" w:rsidP="0053379E">
            <w:pPr>
              <w:spacing w:before="0" w:after="0"/>
              <w:jc w:val="center"/>
              <w:rPr>
                <w:rFonts w:ascii="Arial" w:eastAsia="Times New Roman" w:hAnsi="Arial" w:cs="Arial"/>
                <w:lang w:eastAsia="es-CO"/>
              </w:rPr>
            </w:pPr>
            <w:r>
              <w:rPr>
                <w:rFonts w:ascii="Arial" w:eastAsia="Times New Roman" w:hAnsi="Arial" w:cs="Arial"/>
                <w:color w:val="000000" w:themeColor="dark1"/>
                <w:kern w:val="24"/>
                <w:lang w:eastAsia="es-CO"/>
              </w:rPr>
              <w:t>Por definir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32224" w14:textId="3B8CCF3B" w:rsidR="0053379E" w:rsidRPr="00CD5F95" w:rsidRDefault="0053379E" w:rsidP="0053379E">
            <w:pPr>
              <w:spacing w:before="0" w:after="0"/>
              <w:jc w:val="center"/>
              <w:rPr>
                <w:rFonts w:ascii="Arial" w:eastAsia="Times New Roman" w:hAnsi="Arial" w:cs="Arial"/>
                <w:lang w:eastAsia="es-CO"/>
              </w:rPr>
            </w:pPr>
            <w:r>
              <w:rPr>
                <w:rFonts w:ascii="Arial" w:eastAsia="Times New Roman" w:hAnsi="Arial" w:cs="Arial"/>
                <w:color w:val="000000" w:themeColor="dark1"/>
                <w:kern w:val="24"/>
                <w:lang w:eastAsia="es-CO"/>
              </w:rPr>
              <w:t>Por definir</w:t>
            </w:r>
          </w:p>
        </w:tc>
      </w:tr>
      <w:tr w:rsidR="0053379E" w:rsidRPr="00647DF1" w14:paraId="076E4FEF" w14:textId="77777777" w:rsidTr="0053379E">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47A5B1EE" w14:textId="77777777" w:rsidR="0053379E" w:rsidRPr="00647DF1" w:rsidRDefault="0053379E" w:rsidP="0053379E">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A7C1B7" w14:textId="77777777" w:rsidR="0053379E" w:rsidRPr="00CD5F95" w:rsidRDefault="0053379E" w:rsidP="0053379E">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Regulación definitiva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BF638B" w14:textId="4AC6CED2" w:rsidR="0053379E" w:rsidRPr="00233223" w:rsidRDefault="0053379E" w:rsidP="0053379E">
            <w:pPr>
              <w:spacing w:before="0" w:after="0"/>
              <w:jc w:val="center"/>
              <w:rPr>
                <w:rFonts w:ascii="Arial" w:eastAsia="Times New Roman" w:hAnsi="Arial" w:cs="Arial"/>
                <w:color w:val="000000" w:themeColor="dark1"/>
                <w:kern w:val="24"/>
                <w:lang w:eastAsia="es-CO"/>
              </w:rPr>
            </w:pPr>
            <w:r>
              <w:rPr>
                <w:rFonts w:ascii="Arial" w:eastAsia="Times New Roman" w:hAnsi="Arial" w:cs="Arial"/>
                <w:color w:val="000000" w:themeColor="dark1"/>
                <w:kern w:val="24"/>
                <w:lang w:eastAsia="es-CO"/>
              </w:rPr>
              <w:t>Por iniciar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5AB212" w14:textId="47F92475" w:rsidR="0053379E" w:rsidRPr="00CD5F95" w:rsidRDefault="0053379E" w:rsidP="0053379E">
            <w:pPr>
              <w:spacing w:before="0" w:after="0"/>
              <w:jc w:val="center"/>
              <w:rPr>
                <w:rFonts w:ascii="Arial" w:eastAsia="Times New Roman" w:hAnsi="Arial" w:cs="Arial"/>
                <w:lang w:eastAsia="es-CO"/>
              </w:rPr>
            </w:pPr>
            <w:r>
              <w:rPr>
                <w:rFonts w:ascii="Arial" w:eastAsia="Times New Roman" w:hAnsi="Arial" w:cs="Arial"/>
                <w:lang w:eastAsia="es-CO"/>
              </w:rPr>
              <w:t>Septiembre 2024</w:t>
            </w:r>
          </w:p>
        </w:tc>
      </w:tr>
      <w:tr w:rsidR="0053379E" w:rsidRPr="00647DF1" w14:paraId="3578A7E7" w14:textId="77777777" w:rsidTr="0053379E">
        <w:trPr>
          <w:trHeight w:val="16"/>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2DFD2CD0" w14:textId="77777777" w:rsidR="0053379E" w:rsidRPr="00647DF1" w:rsidRDefault="0053379E" w:rsidP="0053379E">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ACE8C0" w14:textId="77777777" w:rsidR="0053379E" w:rsidRPr="00CD5F95" w:rsidRDefault="0053379E" w:rsidP="0053379E">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Cálculo de cargos por parte de las empresas.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69E8A3" w14:textId="4E07B68D" w:rsidR="0053379E" w:rsidRPr="00233223" w:rsidRDefault="0053379E" w:rsidP="0053379E">
            <w:pPr>
              <w:spacing w:before="0" w:after="0"/>
              <w:jc w:val="center"/>
              <w:rPr>
                <w:rFonts w:ascii="Arial" w:eastAsia="Times New Roman" w:hAnsi="Arial" w:cs="Arial"/>
                <w:color w:val="000000" w:themeColor="dark1"/>
                <w:kern w:val="24"/>
                <w:lang w:eastAsia="es-CO"/>
              </w:rPr>
            </w:pPr>
            <w:r>
              <w:rPr>
                <w:rFonts w:ascii="Arial" w:eastAsia="Times New Roman" w:hAnsi="Arial" w:cs="Arial"/>
                <w:color w:val="000000" w:themeColor="dark1"/>
                <w:kern w:val="24"/>
                <w:lang w:eastAsia="es-CO"/>
              </w:rPr>
              <w:t>Por iniciar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0E9BB7" w14:textId="43F24B82" w:rsidR="0053379E" w:rsidRPr="00CD5F95" w:rsidRDefault="0053379E" w:rsidP="0053379E">
            <w:pPr>
              <w:spacing w:before="0" w:after="0"/>
              <w:jc w:val="center"/>
              <w:rPr>
                <w:rFonts w:ascii="Arial" w:eastAsia="Times New Roman" w:hAnsi="Arial" w:cs="Arial"/>
                <w:lang w:eastAsia="es-CO"/>
              </w:rPr>
            </w:pPr>
            <w:r>
              <w:rPr>
                <w:rFonts w:ascii="Arial" w:eastAsia="Times New Roman" w:hAnsi="Arial" w:cs="Arial"/>
                <w:lang w:eastAsia="es-CO"/>
              </w:rPr>
              <w:t>Septiembre 2024</w:t>
            </w:r>
          </w:p>
        </w:tc>
      </w:tr>
      <w:tr w:rsidR="0053379E" w:rsidRPr="00647DF1" w14:paraId="41A0E5DE" w14:textId="77777777" w:rsidTr="0053379E">
        <w:trPr>
          <w:trHeight w:val="584"/>
        </w:trPr>
        <w:tc>
          <w:tcPr>
            <w:tcW w:w="0" w:type="auto"/>
            <w:tcBorders>
              <w:top w:val="nil"/>
              <w:left w:val="nil"/>
              <w:bottom w:val="nil"/>
              <w:right w:val="single" w:sz="8" w:space="0" w:color="000000"/>
            </w:tcBorders>
            <w:shd w:val="clear" w:color="auto" w:fill="1F4E79" w:themeFill="accent5" w:themeFillShade="80"/>
            <w:tcMar>
              <w:top w:w="72" w:type="dxa"/>
              <w:left w:w="144" w:type="dxa"/>
              <w:bottom w:w="72" w:type="dxa"/>
              <w:right w:w="144" w:type="dxa"/>
            </w:tcMar>
            <w:hideMark/>
          </w:tcPr>
          <w:p w14:paraId="70CE1C76" w14:textId="77777777" w:rsidR="0053379E" w:rsidRPr="00647DF1" w:rsidRDefault="0053379E" w:rsidP="0053379E">
            <w:pPr>
              <w:spacing w:before="0" w:after="0"/>
              <w:rPr>
                <w:rFonts w:ascii="Arial" w:eastAsia="Times New Roman" w:hAnsi="Arial" w:cs="Arial"/>
                <w:sz w:val="36"/>
                <w:szCs w:val="36"/>
                <w:lang w:eastAsia="es-CO"/>
              </w:rPr>
            </w:pPr>
            <w:r w:rsidRPr="00647DF1">
              <w:rPr>
                <w:rFonts w:ascii="Aptos" w:eastAsia="Times New Roman" w:hAnsi="Aptos" w:cs="Arial"/>
                <w:b/>
                <w:color w:val="FFFFFF" w:themeColor="background1"/>
                <w:kern w:val="24"/>
                <w:sz w:val="24"/>
                <w:szCs w:val="24"/>
                <w:lang w:eastAsia="es-CO"/>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6C903" w14:textId="77777777" w:rsidR="0053379E" w:rsidRPr="00CD5F95" w:rsidRDefault="0053379E" w:rsidP="0053379E">
            <w:pPr>
              <w:spacing w:before="0" w:after="0"/>
              <w:rPr>
                <w:rFonts w:ascii="Arial" w:eastAsia="Times New Roman" w:hAnsi="Arial" w:cs="Arial"/>
                <w:lang w:eastAsia="es-CO"/>
              </w:rPr>
            </w:pPr>
            <w:r w:rsidRPr="00CD5F95">
              <w:rPr>
                <w:rFonts w:ascii="Arial" w:eastAsia="Times New Roman" w:hAnsi="Arial" w:cs="Arial"/>
                <w:color w:val="000000" w:themeColor="dark1"/>
                <w:kern w:val="24"/>
                <w:lang w:eastAsia="es-CO"/>
              </w:rPr>
              <w:t>Aplicación de cargos por parte de las empresas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FA5288" w14:textId="6158FAA2" w:rsidR="0053379E" w:rsidRPr="00233223" w:rsidRDefault="0053379E" w:rsidP="0053379E">
            <w:pPr>
              <w:spacing w:before="0" w:after="0"/>
              <w:jc w:val="center"/>
              <w:rPr>
                <w:rFonts w:ascii="Arial" w:eastAsia="Times New Roman" w:hAnsi="Arial" w:cs="Arial"/>
                <w:color w:val="000000" w:themeColor="dark1"/>
                <w:kern w:val="24"/>
                <w:lang w:eastAsia="es-CO"/>
              </w:rPr>
            </w:pPr>
            <w:r>
              <w:rPr>
                <w:rFonts w:ascii="Arial" w:eastAsia="Times New Roman" w:hAnsi="Arial" w:cs="Arial"/>
                <w:color w:val="000000" w:themeColor="dark1"/>
                <w:kern w:val="24"/>
                <w:lang w:eastAsia="es-CO"/>
              </w:rPr>
              <w:t>Por iniciar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3CE819" w14:textId="0D3880F1" w:rsidR="0053379E" w:rsidRPr="00CD5F95" w:rsidRDefault="0053379E" w:rsidP="0053379E">
            <w:pPr>
              <w:spacing w:before="0" w:after="0"/>
              <w:jc w:val="center"/>
              <w:rPr>
                <w:rFonts w:ascii="Arial" w:eastAsia="Times New Roman" w:hAnsi="Arial" w:cs="Arial"/>
                <w:lang w:eastAsia="es-CO"/>
              </w:rPr>
            </w:pPr>
            <w:r w:rsidRPr="00CD5F95">
              <w:rPr>
                <w:rFonts w:ascii="Arial" w:eastAsia="Times New Roman" w:hAnsi="Arial" w:cs="Arial"/>
                <w:color w:val="000000" w:themeColor="dark1"/>
                <w:kern w:val="24"/>
                <w:lang w:eastAsia="es-CO"/>
              </w:rPr>
              <w:t>Mes siguiente a la publicación de la resolución definitiva</w:t>
            </w:r>
          </w:p>
        </w:tc>
      </w:tr>
    </w:tbl>
    <w:p w14:paraId="331825B8" w14:textId="58EC7B11" w:rsidR="00EC5BA9" w:rsidRPr="00A117C7" w:rsidRDefault="00EC5BA9" w:rsidP="00EC5BA9">
      <w:pPr>
        <w:rPr>
          <w:rFonts w:ascii="Arial" w:hAnsi="Arial" w:cs="Arial"/>
        </w:rPr>
      </w:pPr>
    </w:p>
    <w:sectPr w:rsidR="00EC5BA9" w:rsidRPr="00A117C7" w:rsidSect="002D64B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82619" w14:textId="77777777" w:rsidR="002D64BB" w:rsidRPr="00115F4D" w:rsidRDefault="002D64BB" w:rsidP="00CF5514">
      <w:pPr>
        <w:spacing w:before="0" w:after="0"/>
      </w:pPr>
      <w:r w:rsidRPr="00115F4D">
        <w:separator/>
      </w:r>
    </w:p>
  </w:endnote>
  <w:endnote w:type="continuationSeparator" w:id="0">
    <w:p w14:paraId="7E477554" w14:textId="77777777" w:rsidR="002D64BB" w:rsidRPr="00115F4D" w:rsidRDefault="002D64BB" w:rsidP="00CF5514">
      <w:pPr>
        <w:spacing w:before="0" w:after="0"/>
      </w:pPr>
      <w:r w:rsidRPr="00115F4D">
        <w:continuationSeparator/>
      </w:r>
    </w:p>
  </w:endnote>
  <w:endnote w:type="continuationNotice" w:id="1">
    <w:p w14:paraId="7167A8B2" w14:textId="77777777" w:rsidR="002D64BB" w:rsidRPr="00115F4D" w:rsidRDefault="002D64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E9A7" w14:textId="77777777" w:rsidR="00290357" w:rsidRPr="00115F4D" w:rsidRDefault="00290357" w:rsidP="00290357">
    <w:pPr>
      <w:pStyle w:val="Piedepgina"/>
      <w:jc w:val="right"/>
      <w:rPr>
        <w:rFonts w:ascii="Arial" w:hAnsi="Arial" w:cs="Arial"/>
        <w:sz w:val="18"/>
        <w:szCs w:val="18"/>
      </w:rPr>
    </w:pPr>
    <w:r w:rsidRPr="00115F4D">
      <w:rPr>
        <w:rFonts w:ascii="Arial" w:hAnsi="Arial" w:cs="Arial"/>
        <w:sz w:val="18"/>
        <w:szCs w:val="18"/>
      </w:rPr>
      <w:fldChar w:fldCharType="begin"/>
    </w:r>
    <w:r w:rsidRPr="00115F4D">
      <w:rPr>
        <w:rFonts w:ascii="Arial" w:hAnsi="Arial" w:cs="Arial"/>
        <w:sz w:val="18"/>
        <w:szCs w:val="18"/>
      </w:rPr>
      <w:instrText>PAGE   \* MERGEFORMAT</w:instrText>
    </w:r>
    <w:r w:rsidRPr="00115F4D">
      <w:rPr>
        <w:rFonts w:ascii="Arial" w:hAnsi="Arial" w:cs="Arial"/>
        <w:sz w:val="18"/>
        <w:szCs w:val="18"/>
      </w:rPr>
      <w:fldChar w:fldCharType="separate"/>
    </w:r>
    <w:r w:rsidRPr="00115F4D">
      <w:rPr>
        <w:rFonts w:ascii="Arial" w:hAnsi="Arial" w:cs="Arial"/>
        <w:sz w:val="18"/>
        <w:szCs w:val="18"/>
      </w:rPr>
      <w:t>3</w:t>
    </w:r>
    <w:r w:rsidRPr="00115F4D">
      <w:rPr>
        <w:rFonts w:ascii="Arial" w:hAnsi="Arial" w:cs="Arial"/>
        <w:sz w:val="18"/>
        <w:szCs w:val="18"/>
      </w:rPr>
      <w:fldChar w:fldCharType="end"/>
    </w:r>
  </w:p>
  <w:p w14:paraId="7BB11853" w14:textId="4ABDF8D6" w:rsidR="00290357" w:rsidRPr="00115F4D" w:rsidRDefault="0054466B" w:rsidP="00290357">
    <w:pPr>
      <w:pStyle w:val="Piedepgina"/>
      <w:rPr>
        <w:rFonts w:ascii="Arial" w:hAnsi="Arial" w:cs="Arial"/>
      </w:rPr>
    </w:pPr>
    <w:r>
      <w:rPr>
        <w:rFonts w:ascii="Arial" w:hAnsi="Arial" w:cs="Arial"/>
        <w:sz w:val="16"/>
      </w:rPr>
      <w:t>D</w:t>
    </w:r>
    <w:r w:rsidR="00C57052">
      <w:rPr>
        <w:rFonts w:ascii="Arial" w:hAnsi="Arial" w:cs="Arial"/>
        <w:sz w:val="16"/>
      </w:rPr>
      <w:t xml:space="preserve"> – 901</w:t>
    </w:r>
    <w:r w:rsidR="00E460E0">
      <w:rPr>
        <w:rFonts w:ascii="Arial" w:hAnsi="Arial" w:cs="Arial"/>
        <w:sz w:val="16"/>
      </w:rPr>
      <w:t xml:space="preserve"> </w:t>
    </w:r>
    <w:r w:rsidR="00C57052">
      <w:rPr>
        <w:rFonts w:ascii="Arial" w:hAnsi="Arial" w:cs="Arial"/>
        <w:sz w:val="16"/>
      </w:rPr>
      <w:t xml:space="preserve">060 DE 2024 </w:t>
    </w:r>
    <w:r w:rsidR="005F2947" w:rsidRPr="00115F4D">
      <w:rPr>
        <w:rFonts w:ascii="Arial" w:hAnsi="Arial" w:cs="Arial"/>
        <w:sz w:val="16"/>
      </w:rPr>
      <w:t>REMUNERACIÓN DE LA ACTIVIDAD DE COMERCIALIZACIÓN DE ENERGÍA ELÉCTRICA A USUARIOS REGULADOS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F9CB5" w14:textId="77777777" w:rsidR="002D64BB" w:rsidRPr="00115F4D" w:rsidRDefault="002D64BB" w:rsidP="00CF5514">
      <w:pPr>
        <w:spacing w:before="0" w:after="0"/>
      </w:pPr>
      <w:r w:rsidRPr="00115F4D">
        <w:separator/>
      </w:r>
    </w:p>
  </w:footnote>
  <w:footnote w:type="continuationSeparator" w:id="0">
    <w:p w14:paraId="26E58086" w14:textId="77777777" w:rsidR="002D64BB" w:rsidRPr="00115F4D" w:rsidRDefault="002D64BB" w:rsidP="00CF5514">
      <w:pPr>
        <w:spacing w:before="0" w:after="0"/>
      </w:pPr>
      <w:r w:rsidRPr="00115F4D">
        <w:continuationSeparator/>
      </w:r>
    </w:p>
  </w:footnote>
  <w:footnote w:type="continuationNotice" w:id="1">
    <w:p w14:paraId="51E36416" w14:textId="77777777" w:rsidR="002D64BB" w:rsidRPr="00115F4D" w:rsidRDefault="002D64BB">
      <w:pPr>
        <w:spacing w:before="0" w:after="0"/>
      </w:pPr>
    </w:p>
  </w:footnote>
  <w:footnote w:id="2">
    <w:p w14:paraId="2DBB47BA" w14:textId="77777777" w:rsidR="00580476" w:rsidRPr="002B2998" w:rsidRDefault="00580476" w:rsidP="00580476">
      <w:pPr>
        <w:pStyle w:val="Textonotapie"/>
        <w:rPr>
          <w:rFonts w:ascii="Arial" w:hAnsi="Arial" w:cs="Arial"/>
        </w:rPr>
      </w:pPr>
      <w:r w:rsidRPr="002B2998">
        <w:rPr>
          <w:rStyle w:val="Refdenotaalpie"/>
          <w:rFonts w:ascii="Arial" w:hAnsi="Arial" w:cs="Arial"/>
        </w:rPr>
        <w:footnoteRef/>
      </w:r>
      <w:r w:rsidRPr="002B2998">
        <w:rPr>
          <w:rFonts w:ascii="Arial" w:hAnsi="Arial" w:cs="Arial"/>
        </w:rPr>
        <w:t xml:space="preserve"> Pesos constantes de 2022 de acuerdo con la información obtenida a través de las 62 Resoluciones que el MME ha publicado en el periodo comprendido entre el 1 de enero de 2016 y el 1 de junio de 2022. </w:t>
      </w:r>
    </w:p>
  </w:footnote>
  <w:footnote w:id="3">
    <w:p w14:paraId="04BB7D4C" w14:textId="77777777" w:rsidR="00580476" w:rsidRPr="00115F4D" w:rsidRDefault="00580476" w:rsidP="00580476">
      <w:pPr>
        <w:pStyle w:val="Textonotapie"/>
      </w:pPr>
      <w:r w:rsidRPr="002B2998">
        <w:rPr>
          <w:rStyle w:val="Refdenotaalpie"/>
          <w:rFonts w:ascii="Arial" w:hAnsi="Arial" w:cs="Arial"/>
        </w:rPr>
        <w:footnoteRef/>
      </w:r>
      <w:r w:rsidRPr="002B2998">
        <w:rPr>
          <w:rFonts w:ascii="Arial" w:hAnsi="Arial" w:cs="Arial"/>
        </w:rPr>
        <w:t xml:space="preserve"> Promedio simple de acuerdo con los montos autorizados en cada Resolución </w:t>
      </w:r>
    </w:p>
  </w:footnote>
  <w:footnote w:id="4">
    <w:p w14:paraId="3B32B4C5" w14:textId="77777777" w:rsidR="00AA13D0" w:rsidRDefault="00AA13D0" w:rsidP="00424877">
      <w:pPr>
        <w:pStyle w:val="Textonotapie"/>
        <w:jc w:val="both"/>
      </w:pPr>
      <w:r w:rsidRPr="00115F4D">
        <w:rPr>
          <w:rStyle w:val="Refdenotaalpie"/>
        </w:rPr>
        <w:footnoteRef/>
      </w:r>
      <w:r w:rsidRPr="00115F4D">
        <w:t xml:space="preserve"> </w:t>
      </w:r>
      <w:r w:rsidRPr="00115F4D">
        <w:rPr>
          <w:sz w:val="18"/>
          <w:szCs w:val="18"/>
        </w:rPr>
        <w:t>Entre las experiencias analizadas, se abordaron como casos de estudio países como España, Reino Unido, Estados Unidos, Australia, Chile, Italia, México y Brasil.</w:t>
      </w:r>
    </w:p>
  </w:footnote>
  <w:footnote w:id="5">
    <w:p w14:paraId="37C30225" w14:textId="3F2D2CF8" w:rsidR="003F381D" w:rsidRPr="00847D23" w:rsidRDefault="003F381D">
      <w:pPr>
        <w:pStyle w:val="Textonotapie"/>
        <w:rPr>
          <w:rFonts w:ascii="Arial" w:hAnsi="Arial" w:cs="Arial"/>
        </w:rPr>
      </w:pPr>
      <w:r w:rsidRPr="00847D23">
        <w:rPr>
          <w:rStyle w:val="Refdenotaalpie"/>
          <w:rFonts w:ascii="Arial" w:hAnsi="Arial" w:cs="Arial"/>
          <w:sz w:val="16"/>
          <w:szCs w:val="16"/>
        </w:rPr>
        <w:footnoteRef/>
      </w:r>
      <w:r w:rsidRPr="00847D23">
        <w:rPr>
          <w:rFonts w:ascii="Arial" w:hAnsi="Arial" w:cs="Arial"/>
          <w:sz w:val="16"/>
          <w:szCs w:val="16"/>
        </w:rPr>
        <w:t xml:space="preserve"> Por la cual se establecen los criterios generales para la remuneración del servicio de transporte de gas natural y el esquema general de cargos del Sistema Nacional de Transporte, y se dictan otras disposiciones en materia de transporte de gas natural.</w:t>
      </w:r>
    </w:p>
  </w:footnote>
  <w:footnote w:id="6">
    <w:p w14:paraId="04D65FC5" w14:textId="693DF441" w:rsidR="002B4419" w:rsidRPr="000F2A14" w:rsidRDefault="002B4419">
      <w:pPr>
        <w:pStyle w:val="Textonotapie"/>
        <w:rPr>
          <w:rFonts w:ascii="Arial" w:hAnsi="Arial" w:cs="Arial"/>
        </w:rPr>
      </w:pPr>
      <w:r w:rsidRPr="000F2A14">
        <w:rPr>
          <w:rStyle w:val="Refdenotaalpie"/>
          <w:rFonts w:ascii="Arial" w:hAnsi="Arial" w:cs="Arial"/>
        </w:rPr>
        <w:footnoteRef/>
      </w:r>
      <w:r w:rsidRPr="000F2A14">
        <w:rPr>
          <w:rFonts w:ascii="Arial" w:hAnsi="Arial" w:cs="Arial"/>
        </w:rPr>
        <w:t xml:space="preserve"> Se considera que dentro de </w:t>
      </w:r>
      <w:r w:rsidR="00134B77" w:rsidRPr="000F2A14">
        <w:rPr>
          <w:rFonts w:ascii="Arial" w:hAnsi="Arial" w:cs="Arial"/>
        </w:rPr>
        <w:t>l</w:t>
      </w:r>
      <w:r w:rsidRPr="000F2A14">
        <w:rPr>
          <w:rFonts w:ascii="Arial" w:hAnsi="Arial" w:cs="Arial"/>
        </w:rPr>
        <w:t xml:space="preserve">os atributos que </w:t>
      </w:r>
      <w:r w:rsidR="00134B77" w:rsidRPr="000F2A14">
        <w:rPr>
          <w:rFonts w:ascii="Arial" w:hAnsi="Arial" w:cs="Arial"/>
        </w:rPr>
        <w:t xml:space="preserve">genera esta herramienta sobre la información son: </w:t>
      </w:r>
      <w:r w:rsidR="00AC74AE" w:rsidRPr="000F2A14">
        <w:rPr>
          <w:rFonts w:ascii="Arial" w:hAnsi="Arial" w:cs="Arial"/>
        </w:rPr>
        <w:t>i) Proporciona</w:t>
      </w:r>
      <w:r w:rsidRPr="000F2A14">
        <w:rPr>
          <w:rFonts w:ascii="Arial" w:hAnsi="Arial" w:cs="Arial"/>
        </w:rPr>
        <w:t xml:space="preserve"> información relevante para la remuneración y supervisión de actividades Garantiza la total separación de actividades desde el punto de vista regulatorio</w:t>
      </w:r>
      <w:r w:rsidR="00134B77" w:rsidRPr="000F2A14">
        <w:rPr>
          <w:rFonts w:ascii="Arial" w:hAnsi="Arial" w:cs="Arial"/>
        </w:rPr>
        <w:t xml:space="preserve">; ii) </w:t>
      </w:r>
      <w:r w:rsidRPr="000F2A14">
        <w:rPr>
          <w:rFonts w:ascii="Arial" w:hAnsi="Arial" w:cs="Arial"/>
        </w:rPr>
        <w:t>Alcanzar equilibrio entre el nivel de detalle de información necesario para cálculos tarifarios y separación contable</w:t>
      </w:r>
      <w:r w:rsidR="00134B77" w:rsidRPr="000F2A14">
        <w:rPr>
          <w:rFonts w:ascii="Arial" w:hAnsi="Arial" w:cs="Arial"/>
        </w:rPr>
        <w:t>; iii)</w:t>
      </w:r>
      <w:r w:rsidRPr="000F2A14">
        <w:rPr>
          <w:rFonts w:ascii="Arial" w:hAnsi="Arial" w:cs="Arial"/>
        </w:rPr>
        <w:t xml:space="preserve"> Homogeneidad en la identificación de criterios, EDC</w:t>
      </w:r>
      <w:r w:rsidR="000C7971" w:rsidRPr="000F2A14">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53B5" w14:textId="28BE589D" w:rsidR="00E212CE" w:rsidRPr="00115F4D" w:rsidRDefault="00E212CE">
    <w:pPr>
      <w:pStyle w:val="Encabezado"/>
    </w:pPr>
    <w:r w:rsidRPr="00115F4D">
      <w:rPr>
        <w:rFonts w:cs="Arial"/>
        <w:b/>
        <w:i/>
        <w:color w:val="808080"/>
        <w:sz w:val="16"/>
      </w:rPr>
      <w:t>Sesión No.</w:t>
    </w:r>
    <w:r w:rsidR="0054466B">
      <w:rPr>
        <w:rFonts w:cs="Arial"/>
        <w:b/>
        <w:i/>
        <w:color w:val="808080"/>
        <w:sz w:val="16"/>
      </w:rPr>
      <w:t>1308</w:t>
    </w:r>
  </w:p>
</w:hdr>
</file>

<file path=word/intelligence2.xml><?xml version="1.0" encoding="utf-8"?>
<int2:intelligence xmlns:int2="http://schemas.microsoft.com/office/intelligence/2020/intelligence" xmlns:oel="http://schemas.microsoft.com/office/2019/extlst">
  <int2:observations>
    <int2:bookmark int2:bookmarkName="_Int_qPSy2U68" int2:invalidationBookmarkName="" int2:hashCode="KLZVLW1PL/OnDo" int2:id="t7kKIa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75D"/>
    <w:multiLevelType w:val="hybridMultilevel"/>
    <w:tmpl w:val="47C009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06F"/>
    <w:multiLevelType w:val="hybridMultilevel"/>
    <w:tmpl w:val="32FAF748"/>
    <w:lvl w:ilvl="0" w:tplc="2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F6250"/>
    <w:multiLevelType w:val="hybridMultilevel"/>
    <w:tmpl w:val="AEA69E64"/>
    <w:lvl w:ilvl="0" w:tplc="C5F83C6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24D7"/>
    <w:multiLevelType w:val="hybridMultilevel"/>
    <w:tmpl w:val="8460C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6E6BC8"/>
    <w:multiLevelType w:val="hybridMultilevel"/>
    <w:tmpl w:val="04D82A16"/>
    <w:lvl w:ilvl="0" w:tplc="D61A59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CD2BF3"/>
    <w:multiLevelType w:val="hybridMultilevel"/>
    <w:tmpl w:val="6EDC4FC6"/>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EF362C"/>
    <w:multiLevelType w:val="hybridMultilevel"/>
    <w:tmpl w:val="04466E50"/>
    <w:lvl w:ilvl="0" w:tplc="8A9CFE0E">
      <w:start w:val="1"/>
      <w:numFmt w:val="bullet"/>
      <w:lvlText w:val="•"/>
      <w:lvlJc w:val="left"/>
      <w:pPr>
        <w:tabs>
          <w:tab w:val="num" w:pos="720"/>
        </w:tabs>
        <w:ind w:left="720" w:hanging="360"/>
      </w:pPr>
      <w:rPr>
        <w:rFonts w:ascii="Arial" w:hAnsi="Arial" w:hint="default"/>
        <w:color w:val="auto"/>
      </w:rPr>
    </w:lvl>
    <w:lvl w:ilvl="1" w:tplc="618244C4">
      <w:numFmt w:val="bullet"/>
      <w:lvlText w:val="•"/>
      <w:lvlJc w:val="left"/>
      <w:pPr>
        <w:tabs>
          <w:tab w:val="num" w:pos="1440"/>
        </w:tabs>
        <w:ind w:left="1440" w:hanging="360"/>
      </w:pPr>
      <w:rPr>
        <w:rFonts w:ascii="Arial" w:hAnsi="Arial" w:hint="default"/>
      </w:rPr>
    </w:lvl>
    <w:lvl w:ilvl="2" w:tplc="858A62EE" w:tentative="1">
      <w:start w:val="1"/>
      <w:numFmt w:val="bullet"/>
      <w:lvlText w:val="•"/>
      <w:lvlJc w:val="left"/>
      <w:pPr>
        <w:tabs>
          <w:tab w:val="num" w:pos="2160"/>
        </w:tabs>
        <w:ind w:left="2160" w:hanging="360"/>
      </w:pPr>
      <w:rPr>
        <w:rFonts w:ascii="Arial" w:hAnsi="Arial" w:hint="default"/>
      </w:rPr>
    </w:lvl>
    <w:lvl w:ilvl="3" w:tplc="A3AEC0D8" w:tentative="1">
      <w:start w:val="1"/>
      <w:numFmt w:val="bullet"/>
      <w:lvlText w:val="•"/>
      <w:lvlJc w:val="left"/>
      <w:pPr>
        <w:tabs>
          <w:tab w:val="num" w:pos="2880"/>
        </w:tabs>
        <w:ind w:left="2880" w:hanging="360"/>
      </w:pPr>
      <w:rPr>
        <w:rFonts w:ascii="Arial" w:hAnsi="Arial" w:hint="default"/>
      </w:rPr>
    </w:lvl>
    <w:lvl w:ilvl="4" w:tplc="BDE2F874" w:tentative="1">
      <w:start w:val="1"/>
      <w:numFmt w:val="bullet"/>
      <w:lvlText w:val="•"/>
      <w:lvlJc w:val="left"/>
      <w:pPr>
        <w:tabs>
          <w:tab w:val="num" w:pos="3600"/>
        </w:tabs>
        <w:ind w:left="3600" w:hanging="360"/>
      </w:pPr>
      <w:rPr>
        <w:rFonts w:ascii="Arial" w:hAnsi="Arial" w:hint="default"/>
      </w:rPr>
    </w:lvl>
    <w:lvl w:ilvl="5" w:tplc="3594D7DE" w:tentative="1">
      <w:start w:val="1"/>
      <w:numFmt w:val="bullet"/>
      <w:lvlText w:val="•"/>
      <w:lvlJc w:val="left"/>
      <w:pPr>
        <w:tabs>
          <w:tab w:val="num" w:pos="4320"/>
        </w:tabs>
        <w:ind w:left="4320" w:hanging="360"/>
      </w:pPr>
      <w:rPr>
        <w:rFonts w:ascii="Arial" w:hAnsi="Arial" w:hint="default"/>
      </w:rPr>
    </w:lvl>
    <w:lvl w:ilvl="6" w:tplc="0B0E5BBC" w:tentative="1">
      <w:start w:val="1"/>
      <w:numFmt w:val="bullet"/>
      <w:lvlText w:val="•"/>
      <w:lvlJc w:val="left"/>
      <w:pPr>
        <w:tabs>
          <w:tab w:val="num" w:pos="5040"/>
        </w:tabs>
        <w:ind w:left="5040" w:hanging="360"/>
      </w:pPr>
      <w:rPr>
        <w:rFonts w:ascii="Arial" w:hAnsi="Arial" w:hint="default"/>
      </w:rPr>
    </w:lvl>
    <w:lvl w:ilvl="7" w:tplc="A080B890" w:tentative="1">
      <w:start w:val="1"/>
      <w:numFmt w:val="bullet"/>
      <w:lvlText w:val="•"/>
      <w:lvlJc w:val="left"/>
      <w:pPr>
        <w:tabs>
          <w:tab w:val="num" w:pos="5760"/>
        </w:tabs>
        <w:ind w:left="5760" w:hanging="360"/>
      </w:pPr>
      <w:rPr>
        <w:rFonts w:ascii="Arial" w:hAnsi="Arial" w:hint="default"/>
      </w:rPr>
    </w:lvl>
    <w:lvl w:ilvl="8" w:tplc="F27033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7A5126"/>
    <w:multiLevelType w:val="hybridMultilevel"/>
    <w:tmpl w:val="A4FE2992"/>
    <w:lvl w:ilvl="0" w:tplc="192053D0">
      <w:start w:val="1"/>
      <w:numFmt w:val="bullet"/>
      <w:lvlText w:val=""/>
      <w:lvlJc w:val="left"/>
      <w:pPr>
        <w:tabs>
          <w:tab w:val="num" w:pos="720"/>
        </w:tabs>
        <w:ind w:left="720" w:hanging="360"/>
      </w:pPr>
      <w:rPr>
        <w:rFonts w:ascii="Symbol" w:hAnsi="Symbol" w:hint="default"/>
      </w:rPr>
    </w:lvl>
    <w:lvl w:ilvl="1" w:tplc="BC242C06" w:tentative="1">
      <w:start w:val="1"/>
      <w:numFmt w:val="bullet"/>
      <w:lvlText w:val=""/>
      <w:lvlJc w:val="left"/>
      <w:pPr>
        <w:tabs>
          <w:tab w:val="num" w:pos="1440"/>
        </w:tabs>
        <w:ind w:left="1440" w:hanging="360"/>
      </w:pPr>
      <w:rPr>
        <w:rFonts w:ascii="Symbol" w:hAnsi="Symbol" w:hint="default"/>
      </w:rPr>
    </w:lvl>
    <w:lvl w:ilvl="2" w:tplc="6D20E62C" w:tentative="1">
      <w:start w:val="1"/>
      <w:numFmt w:val="bullet"/>
      <w:lvlText w:val=""/>
      <w:lvlJc w:val="left"/>
      <w:pPr>
        <w:tabs>
          <w:tab w:val="num" w:pos="2160"/>
        </w:tabs>
        <w:ind w:left="2160" w:hanging="360"/>
      </w:pPr>
      <w:rPr>
        <w:rFonts w:ascii="Symbol" w:hAnsi="Symbol" w:hint="default"/>
      </w:rPr>
    </w:lvl>
    <w:lvl w:ilvl="3" w:tplc="A760B5B2" w:tentative="1">
      <w:start w:val="1"/>
      <w:numFmt w:val="bullet"/>
      <w:lvlText w:val=""/>
      <w:lvlJc w:val="left"/>
      <w:pPr>
        <w:tabs>
          <w:tab w:val="num" w:pos="2880"/>
        </w:tabs>
        <w:ind w:left="2880" w:hanging="360"/>
      </w:pPr>
      <w:rPr>
        <w:rFonts w:ascii="Symbol" w:hAnsi="Symbol" w:hint="default"/>
      </w:rPr>
    </w:lvl>
    <w:lvl w:ilvl="4" w:tplc="DE52A8E6" w:tentative="1">
      <w:start w:val="1"/>
      <w:numFmt w:val="bullet"/>
      <w:lvlText w:val=""/>
      <w:lvlJc w:val="left"/>
      <w:pPr>
        <w:tabs>
          <w:tab w:val="num" w:pos="3600"/>
        </w:tabs>
        <w:ind w:left="3600" w:hanging="360"/>
      </w:pPr>
      <w:rPr>
        <w:rFonts w:ascii="Symbol" w:hAnsi="Symbol" w:hint="default"/>
      </w:rPr>
    </w:lvl>
    <w:lvl w:ilvl="5" w:tplc="FEFA65DC" w:tentative="1">
      <w:start w:val="1"/>
      <w:numFmt w:val="bullet"/>
      <w:lvlText w:val=""/>
      <w:lvlJc w:val="left"/>
      <w:pPr>
        <w:tabs>
          <w:tab w:val="num" w:pos="4320"/>
        </w:tabs>
        <w:ind w:left="4320" w:hanging="360"/>
      </w:pPr>
      <w:rPr>
        <w:rFonts w:ascii="Symbol" w:hAnsi="Symbol" w:hint="default"/>
      </w:rPr>
    </w:lvl>
    <w:lvl w:ilvl="6" w:tplc="1D42B5DA" w:tentative="1">
      <w:start w:val="1"/>
      <w:numFmt w:val="bullet"/>
      <w:lvlText w:val=""/>
      <w:lvlJc w:val="left"/>
      <w:pPr>
        <w:tabs>
          <w:tab w:val="num" w:pos="5040"/>
        </w:tabs>
        <w:ind w:left="5040" w:hanging="360"/>
      </w:pPr>
      <w:rPr>
        <w:rFonts w:ascii="Symbol" w:hAnsi="Symbol" w:hint="default"/>
      </w:rPr>
    </w:lvl>
    <w:lvl w:ilvl="7" w:tplc="E83E1CD4" w:tentative="1">
      <w:start w:val="1"/>
      <w:numFmt w:val="bullet"/>
      <w:lvlText w:val=""/>
      <w:lvlJc w:val="left"/>
      <w:pPr>
        <w:tabs>
          <w:tab w:val="num" w:pos="5760"/>
        </w:tabs>
        <w:ind w:left="5760" w:hanging="360"/>
      </w:pPr>
      <w:rPr>
        <w:rFonts w:ascii="Symbol" w:hAnsi="Symbol" w:hint="default"/>
      </w:rPr>
    </w:lvl>
    <w:lvl w:ilvl="8" w:tplc="57A4BA8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D9250B"/>
    <w:multiLevelType w:val="hybridMultilevel"/>
    <w:tmpl w:val="C0C62366"/>
    <w:lvl w:ilvl="0" w:tplc="470C21F4">
      <w:start w:val="1"/>
      <w:numFmt w:val="bullet"/>
      <w:lvlText w:val=""/>
      <w:lvlJc w:val="left"/>
      <w:pPr>
        <w:tabs>
          <w:tab w:val="num" w:pos="720"/>
        </w:tabs>
        <w:ind w:left="720" w:hanging="360"/>
      </w:pPr>
      <w:rPr>
        <w:rFonts w:ascii="Symbol" w:hAnsi="Symbol" w:hint="default"/>
      </w:rPr>
    </w:lvl>
    <w:lvl w:ilvl="1" w:tplc="05BC75AC" w:tentative="1">
      <w:start w:val="1"/>
      <w:numFmt w:val="bullet"/>
      <w:lvlText w:val=""/>
      <w:lvlJc w:val="left"/>
      <w:pPr>
        <w:tabs>
          <w:tab w:val="num" w:pos="1440"/>
        </w:tabs>
        <w:ind w:left="1440" w:hanging="360"/>
      </w:pPr>
      <w:rPr>
        <w:rFonts w:ascii="Symbol" w:hAnsi="Symbol" w:hint="default"/>
      </w:rPr>
    </w:lvl>
    <w:lvl w:ilvl="2" w:tplc="D500EF8E" w:tentative="1">
      <w:start w:val="1"/>
      <w:numFmt w:val="bullet"/>
      <w:lvlText w:val=""/>
      <w:lvlJc w:val="left"/>
      <w:pPr>
        <w:tabs>
          <w:tab w:val="num" w:pos="2160"/>
        </w:tabs>
        <w:ind w:left="2160" w:hanging="360"/>
      </w:pPr>
      <w:rPr>
        <w:rFonts w:ascii="Symbol" w:hAnsi="Symbol" w:hint="default"/>
      </w:rPr>
    </w:lvl>
    <w:lvl w:ilvl="3" w:tplc="DADE0F5C" w:tentative="1">
      <w:start w:val="1"/>
      <w:numFmt w:val="bullet"/>
      <w:lvlText w:val=""/>
      <w:lvlJc w:val="left"/>
      <w:pPr>
        <w:tabs>
          <w:tab w:val="num" w:pos="2880"/>
        </w:tabs>
        <w:ind w:left="2880" w:hanging="360"/>
      </w:pPr>
      <w:rPr>
        <w:rFonts w:ascii="Symbol" w:hAnsi="Symbol" w:hint="default"/>
      </w:rPr>
    </w:lvl>
    <w:lvl w:ilvl="4" w:tplc="B308EE82" w:tentative="1">
      <w:start w:val="1"/>
      <w:numFmt w:val="bullet"/>
      <w:lvlText w:val=""/>
      <w:lvlJc w:val="left"/>
      <w:pPr>
        <w:tabs>
          <w:tab w:val="num" w:pos="3600"/>
        </w:tabs>
        <w:ind w:left="3600" w:hanging="360"/>
      </w:pPr>
      <w:rPr>
        <w:rFonts w:ascii="Symbol" w:hAnsi="Symbol" w:hint="default"/>
      </w:rPr>
    </w:lvl>
    <w:lvl w:ilvl="5" w:tplc="AB90586A" w:tentative="1">
      <w:start w:val="1"/>
      <w:numFmt w:val="bullet"/>
      <w:lvlText w:val=""/>
      <w:lvlJc w:val="left"/>
      <w:pPr>
        <w:tabs>
          <w:tab w:val="num" w:pos="4320"/>
        </w:tabs>
        <w:ind w:left="4320" w:hanging="360"/>
      </w:pPr>
      <w:rPr>
        <w:rFonts w:ascii="Symbol" w:hAnsi="Symbol" w:hint="default"/>
      </w:rPr>
    </w:lvl>
    <w:lvl w:ilvl="6" w:tplc="6A5020D4" w:tentative="1">
      <w:start w:val="1"/>
      <w:numFmt w:val="bullet"/>
      <w:lvlText w:val=""/>
      <w:lvlJc w:val="left"/>
      <w:pPr>
        <w:tabs>
          <w:tab w:val="num" w:pos="5040"/>
        </w:tabs>
        <w:ind w:left="5040" w:hanging="360"/>
      </w:pPr>
      <w:rPr>
        <w:rFonts w:ascii="Symbol" w:hAnsi="Symbol" w:hint="default"/>
      </w:rPr>
    </w:lvl>
    <w:lvl w:ilvl="7" w:tplc="CFDEF94A" w:tentative="1">
      <w:start w:val="1"/>
      <w:numFmt w:val="bullet"/>
      <w:lvlText w:val=""/>
      <w:lvlJc w:val="left"/>
      <w:pPr>
        <w:tabs>
          <w:tab w:val="num" w:pos="5760"/>
        </w:tabs>
        <w:ind w:left="5760" w:hanging="360"/>
      </w:pPr>
      <w:rPr>
        <w:rFonts w:ascii="Symbol" w:hAnsi="Symbol" w:hint="default"/>
      </w:rPr>
    </w:lvl>
    <w:lvl w:ilvl="8" w:tplc="17C4062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3C5564"/>
    <w:multiLevelType w:val="hybridMultilevel"/>
    <w:tmpl w:val="F59614D2"/>
    <w:lvl w:ilvl="0" w:tplc="037E4AA2">
      <w:start w:val="1"/>
      <w:numFmt w:val="bullet"/>
      <w:lvlText w:val="•"/>
      <w:lvlJc w:val="left"/>
      <w:pPr>
        <w:tabs>
          <w:tab w:val="num" w:pos="720"/>
        </w:tabs>
        <w:ind w:left="720" w:hanging="360"/>
      </w:pPr>
      <w:rPr>
        <w:rFonts w:ascii="Arial" w:hAnsi="Arial" w:hint="default"/>
        <w:color w:val="auto"/>
      </w:rPr>
    </w:lvl>
    <w:lvl w:ilvl="1" w:tplc="68340094">
      <w:numFmt w:val="bullet"/>
      <w:lvlText w:val="•"/>
      <w:lvlJc w:val="left"/>
      <w:pPr>
        <w:tabs>
          <w:tab w:val="num" w:pos="1440"/>
        </w:tabs>
        <w:ind w:left="1440" w:hanging="360"/>
      </w:pPr>
      <w:rPr>
        <w:rFonts w:ascii="Arial" w:hAnsi="Arial" w:hint="default"/>
      </w:rPr>
    </w:lvl>
    <w:lvl w:ilvl="2" w:tplc="7F48862C">
      <w:start w:val="1"/>
      <w:numFmt w:val="bullet"/>
      <w:lvlText w:val="•"/>
      <w:lvlJc w:val="left"/>
      <w:pPr>
        <w:tabs>
          <w:tab w:val="num" w:pos="2160"/>
        </w:tabs>
        <w:ind w:left="2160" w:hanging="360"/>
      </w:pPr>
      <w:rPr>
        <w:rFonts w:ascii="Arial" w:hAnsi="Arial" w:hint="default"/>
      </w:rPr>
    </w:lvl>
    <w:lvl w:ilvl="3" w:tplc="DB9A349E" w:tentative="1">
      <w:start w:val="1"/>
      <w:numFmt w:val="bullet"/>
      <w:lvlText w:val="•"/>
      <w:lvlJc w:val="left"/>
      <w:pPr>
        <w:tabs>
          <w:tab w:val="num" w:pos="2880"/>
        </w:tabs>
        <w:ind w:left="2880" w:hanging="360"/>
      </w:pPr>
      <w:rPr>
        <w:rFonts w:ascii="Arial" w:hAnsi="Arial" w:hint="default"/>
      </w:rPr>
    </w:lvl>
    <w:lvl w:ilvl="4" w:tplc="FA10D44A" w:tentative="1">
      <w:start w:val="1"/>
      <w:numFmt w:val="bullet"/>
      <w:lvlText w:val="•"/>
      <w:lvlJc w:val="left"/>
      <w:pPr>
        <w:tabs>
          <w:tab w:val="num" w:pos="3600"/>
        </w:tabs>
        <w:ind w:left="3600" w:hanging="360"/>
      </w:pPr>
      <w:rPr>
        <w:rFonts w:ascii="Arial" w:hAnsi="Arial" w:hint="default"/>
      </w:rPr>
    </w:lvl>
    <w:lvl w:ilvl="5" w:tplc="BDC6DF40" w:tentative="1">
      <w:start w:val="1"/>
      <w:numFmt w:val="bullet"/>
      <w:lvlText w:val="•"/>
      <w:lvlJc w:val="left"/>
      <w:pPr>
        <w:tabs>
          <w:tab w:val="num" w:pos="4320"/>
        </w:tabs>
        <w:ind w:left="4320" w:hanging="360"/>
      </w:pPr>
      <w:rPr>
        <w:rFonts w:ascii="Arial" w:hAnsi="Arial" w:hint="default"/>
      </w:rPr>
    </w:lvl>
    <w:lvl w:ilvl="6" w:tplc="555621FC" w:tentative="1">
      <w:start w:val="1"/>
      <w:numFmt w:val="bullet"/>
      <w:lvlText w:val="•"/>
      <w:lvlJc w:val="left"/>
      <w:pPr>
        <w:tabs>
          <w:tab w:val="num" w:pos="5040"/>
        </w:tabs>
        <w:ind w:left="5040" w:hanging="360"/>
      </w:pPr>
      <w:rPr>
        <w:rFonts w:ascii="Arial" w:hAnsi="Arial" w:hint="default"/>
      </w:rPr>
    </w:lvl>
    <w:lvl w:ilvl="7" w:tplc="496E7476" w:tentative="1">
      <w:start w:val="1"/>
      <w:numFmt w:val="bullet"/>
      <w:lvlText w:val="•"/>
      <w:lvlJc w:val="left"/>
      <w:pPr>
        <w:tabs>
          <w:tab w:val="num" w:pos="5760"/>
        </w:tabs>
        <w:ind w:left="5760" w:hanging="360"/>
      </w:pPr>
      <w:rPr>
        <w:rFonts w:ascii="Arial" w:hAnsi="Arial" w:hint="default"/>
      </w:rPr>
    </w:lvl>
    <w:lvl w:ilvl="8" w:tplc="52A288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637E72"/>
    <w:multiLevelType w:val="multilevel"/>
    <w:tmpl w:val="0116E710"/>
    <w:lvl w:ilvl="0">
      <w:start w:val="1"/>
      <w:numFmt w:val="decimal"/>
      <w:pStyle w:val="Ttulo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E9814DC"/>
    <w:multiLevelType w:val="hybridMultilevel"/>
    <w:tmpl w:val="BC1AAF1A"/>
    <w:lvl w:ilvl="0" w:tplc="21980E2A">
      <w:start w:val="1"/>
      <w:numFmt w:val="bullet"/>
      <w:lvlText w:val="•"/>
      <w:lvlJc w:val="left"/>
      <w:pPr>
        <w:tabs>
          <w:tab w:val="num" w:pos="720"/>
        </w:tabs>
        <w:ind w:left="720" w:hanging="360"/>
      </w:pPr>
      <w:rPr>
        <w:rFonts w:ascii="Arial" w:hAnsi="Arial" w:hint="default"/>
      </w:rPr>
    </w:lvl>
    <w:lvl w:ilvl="1" w:tplc="DD1E68AA" w:tentative="1">
      <w:start w:val="1"/>
      <w:numFmt w:val="bullet"/>
      <w:lvlText w:val="•"/>
      <w:lvlJc w:val="left"/>
      <w:pPr>
        <w:tabs>
          <w:tab w:val="num" w:pos="1440"/>
        </w:tabs>
        <w:ind w:left="1440" w:hanging="360"/>
      </w:pPr>
      <w:rPr>
        <w:rFonts w:ascii="Arial" w:hAnsi="Arial" w:hint="default"/>
      </w:rPr>
    </w:lvl>
    <w:lvl w:ilvl="2" w:tplc="DBACFD0A" w:tentative="1">
      <w:start w:val="1"/>
      <w:numFmt w:val="bullet"/>
      <w:lvlText w:val="•"/>
      <w:lvlJc w:val="left"/>
      <w:pPr>
        <w:tabs>
          <w:tab w:val="num" w:pos="2160"/>
        </w:tabs>
        <w:ind w:left="2160" w:hanging="360"/>
      </w:pPr>
      <w:rPr>
        <w:rFonts w:ascii="Arial" w:hAnsi="Arial" w:hint="default"/>
      </w:rPr>
    </w:lvl>
    <w:lvl w:ilvl="3" w:tplc="2490F742" w:tentative="1">
      <w:start w:val="1"/>
      <w:numFmt w:val="bullet"/>
      <w:lvlText w:val="•"/>
      <w:lvlJc w:val="left"/>
      <w:pPr>
        <w:tabs>
          <w:tab w:val="num" w:pos="2880"/>
        </w:tabs>
        <w:ind w:left="2880" w:hanging="360"/>
      </w:pPr>
      <w:rPr>
        <w:rFonts w:ascii="Arial" w:hAnsi="Arial" w:hint="default"/>
      </w:rPr>
    </w:lvl>
    <w:lvl w:ilvl="4" w:tplc="3550B038" w:tentative="1">
      <w:start w:val="1"/>
      <w:numFmt w:val="bullet"/>
      <w:lvlText w:val="•"/>
      <w:lvlJc w:val="left"/>
      <w:pPr>
        <w:tabs>
          <w:tab w:val="num" w:pos="3600"/>
        </w:tabs>
        <w:ind w:left="3600" w:hanging="360"/>
      </w:pPr>
      <w:rPr>
        <w:rFonts w:ascii="Arial" w:hAnsi="Arial" w:hint="default"/>
      </w:rPr>
    </w:lvl>
    <w:lvl w:ilvl="5" w:tplc="DD12A6DE" w:tentative="1">
      <w:start w:val="1"/>
      <w:numFmt w:val="bullet"/>
      <w:lvlText w:val="•"/>
      <w:lvlJc w:val="left"/>
      <w:pPr>
        <w:tabs>
          <w:tab w:val="num" w:pos="4320"/>
        </w:tabs>
        <w:ind w:left="4320" w:hanging="360"/>
      </w:pPr>
      <w:rPr>
        <w:rFonts w:ascii="Arial" w:hAnsi="Arial" w:hint="default"/>
      </w:rPr>
    </w:lvl>
    <w:lvl w:ilvl="6" w:tplc="137E2E98" w:tentative="1">
      <w:start w:val="1"/>
      <w:numFmt w:val="bullet"/>
      <w:lvlText w:val="•"/>
      <w:lvlJc w:val="left"/>
      <w:pPr>
        <w:tabs>
          <w:tab w:val="num" w:pos="5040"/>
        </w:tabs>
        <w:ind w:left="5040" w:hanging="360"/>
      </w:pPr>
      <w:rPr>
        <w:rFonts w:ascii="Arial" w:hAnsi="Arial" w:hint="default"/>
      </w:rPr>
    </w:lvl>
    <w:lvl w:ilvl="7" w:tplc="E86ACD16" w:tentative="1">
      <w:start w:val="1"/>
      <w:numFmt w:val="bullet"/>
      <w:lvlText w:val="•"/>
      <w:lvlJc w:val="left"/>
      <w:pPr>
        <w:tabs>
          <w:tab w:val="num" w:pos="5760"/>
        </w:tabs>
        <w:ind w:left="5760" w:hanging="360"/>
      </w:pPr>
      <w:rPr>
        <w:rFonts w:ascii="Arial" w:hAnsi="Arial" w:hint="default"/>
      </w:rPr>
    </w:lvl>
    <w:lvl w:ilvl="8" w:tplc="391C62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E95C2A"/>
    <w:multiLevelType w:val="hybridMultilevel"/>
    <w:tmpl w:val="FF7A7F74"/>
    <w:lvl w:ilvl="0" w:tplc="1EBEBEF2">
      <w:start w:val="1"/>
      <w:numFmt w:val="bullet"/>
      <w:lvlText w:val=""/>
      <w:lvlJc w:val="left"/>
      <w:pPr>
        <w:tabs>
          <w:tab w:val="num" w:pos="720"/>
        </w:tabs>
        <w:ind w:left="720" w:hanging="360"/>
      </w:pPr>
      <w:rPr>
        <w:rFonts w:ascii="Symbol" w:hAnsi="Symbol" w:hint="default"/>
      </w:rPr>
    </w:lvl>
    <w:lvl w:ilvl="1" w:tplc="D7E64F84" w:tentative="1">
      <w:start w:val="1"/>
      <w:numFmt w:val="bullet"/>
      <w:lvlText w:val=""/>
      <w:lvlJc w:val="left"/>
      <w:pPr>
        <w:tabs>
          <w:tab w:val="num" w:pos="1440"/>
        </w:tabs>
        <w:ind w:left="1440" w:hanging="360"/>
      </w:pPr>
      <w:rPr>
        <w:rFonts w:ascii="Symbol" w:hAnsi="Symbol" w:hint="default"/>
      </w:rPr>
    </w:lvl>
    <w:lvl w:ilvl="2" w:tplc="CC80CC88" w:tentative="1">
      <w:start w:val="1"/>
      <w:numFmt w:val="bullet"/>
      <w:lvlText w:val=""/>
      <w:lvlJc w:val="left"/>
      <w:pPr>
        <w:tabs>
          <w:tab w:val="num" w:pos="2160"/>
        </w:tabs>
        <w:ind w:left="2160" w:hanging="360"/>
      </w:pPr>
      <w:rPr>
        <w:rFonts w:ascii="Symbol" w:hAnsi="Symbol" w:hint="default"/>
      </w:rPr>
    </w:lvl>
    <w:lvl w:ilvl="3" w:tplc="254AF5F6" w:tentative="1">
      <w:start w:val="1"/>
      <w:numFmt w:val="bullet"/>
      <w:lvlText w:val=""/>
      <w:lvlJc w:val="left"/>
      <w:pPr>
        <w:tabs>
          <w:tab w:val="num" w:pos="2880"/>
        </w:tabs>
        <w:ind w:left="2880" w:hanging="360"/>
      </w:pPr>
      <w:rPr>
        <w:rFonts w:ascii="Symbol" w:hAnsi="Symbol" w:hint="default"/>
      </w:rPr>
    </w:lvl>
    <w:lvl w:ilvl="4" w:tplc="977ABBF0" w:tentative="1">
      <w:start w:val="1"/>
      <w:numFmt w:val="bullet"/>
      <w:lvlText w:val=""/>
      <w:lvlJc w:val="left"/>
      <w:pPr>
        <w:tabs>
          <w:tab w:val="num" w:pos="3600"/>
        </w:tabs>
        <w:ind w:left="3600" w:hanging="360"/>
      </w:pPr>
      <w:rPr>
        <w:rFonts w:ascii="Symbol" w:hAnsi="Symbol" w:hint="default"/>
      </w:rPr>
    </w:lvl>
    <w:lvl w:ilvl="5" w:tplc="9D484F14" w:tentative="1">
      <w:start w:val="1"/>
      <w:numFmt w:val="bullet"/>
      <w:lvlText w:val=""/>
      <w:lvlJc w:val="left"/>
      <w:pPr>
        <w:tabs>
          <w:tab w:val="num" w:pos="4320"/>
        </w:tabs>
        <w:ind w:left="4320" w:hanging="360"/>
      </w:pPr>
      <w:rPr>
        <w:rFonts w:ascii="Symbol" w:hAnsi="Symbol" w:hint="default"/>
      </w:rPr>
    </w:lvl>
    <w:lvl w:ilvl="6" w:tplc="228E17A6" w:tentative="1">
      <w:start w:val="1"/>
      <w:numFmt w:val="bullet"/>
      <w:lvlText w:val=""/>
      <w:lvlJc w:val="left"/>
      <w:pPr>
        <w:tabs>
          <w:tab w:val="num" w:pos="5040"/>
        </w:tabs>
        <w:ind w:left="5040" w:hanging="360"/>
      </w:pPr>
      <w:rPr>
        <w:rFonts w:ascii="Symbol" w:hAnsi="Symbol" w:hint="default"/>
      </w:rPr>
    </w:lvl>
    <w:lvl w:ilvl="7" w:tplc="8B2C8B30" w:tentative="1">
      <w:start w:val="1"/>
      <w:numFmt w:val="bullet"/>
      <w:lvlText w:val=""/>
      <w:lvlJc w:val="left"/>
      <w:pPr>
        <w:tabs>
          <w:tab w:val="num" w:pos="5760"/>
        </w:tabs>
        <w:ind w:left="5760" w:hanging="360"/>
      </w:pPr>
      <w:rPr>
        <w:rFonts w:ascii="Symbol" w:hAnsi="Symbol" w:hint="default"/>
      </w:rPr>
    </w:lvl>
    <w:lvl w:ilvl="8" w:tplc="33E2F63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0CF26F"/>
    <w:multiLevelType w:val="hybridMultilevel"/>
    <w:tmpl w:val="FFFFFFFF"/>
    <w:lvl w:ilvl="0" w:tplc="509CEC20">
      <w:start w:val="1"/>
      <w:numFmt w:val="bullet"/>
      <w:lvlText w:val=""/>
      <w:lvlJc w:val="left"/>
      <w:pPr>
        <w:ind w:left="720" w:hanging="360"/>
      </w:pPr>
      <w:rPr>
        <w:rFonts w:ascii="Symbol" w:hAnsi="Symbol" w:hint="default"/>
      </w:rPr>
    </w:lvl>
    <w:lvl w:ilvl="1" w:tplc="4998A362">
      <w:start w:val="1"/>
      <w:numFmt w:val="bullet"/>
      <w:lvlText w:val="o"/>
      <w:lvlJc w:val="left"/>
      <w:pPr>
        <w:ind w:left="1440" w:hanging="360"/>
      </w:pPr>
      <w:rPr>
        <w:rFonts w:ascii="Courier New" w:hAnsi="Courier New" w:hint="default"/>
      </w:rPr>
    </w:lvl>
    <w:lvl w:ilvl="2" w:tplc="73060A52">
      <w:start w:val="1"/>
      <w:numFmt w:val="bullet"/>
      <w:lvlText w:val=""/>
      <w:lvlJc w:val="left"/>
      <w:pPr>
        <w:ind w:left="2160" w:hanging="360"/>
      </w:pPr>
      <w:rPr>
        <w:rFonts w:ascii="Wingdings" w:hAnsi="Wingdings" w:hint="default"/>
      </w:rPr>
    </w:lvl>
    <w:lvl w:ilvl="3" w:tplc="2898B836">
      <w:start w:val="1"/>
      <w:numFmt w:val="bullet"/>
      <w:lvlText w:val=""/>
      <w:lvlJc w:val="left"/>
      <w:pPr>
        <w:ind w:left="2880" w:hanging="360"/>
      </w:pPr>
      <w:rPr>
        <w:rFonts w:ascii="Symbol" w:hAnsi="Symbol" w:hint="default"/>
      </w:rPr>
    </w:lvl>
    <w:lvl w:ilvl="4" w:tplc="80EEBAE4">
      <w:start w:val="1"/>
      <w:numFmt w:val="bullet"/>
      <w:lvlText w:val="o"/>
      <w:lvlJc w:val="left"/>
      <w:pPr>
        <w:ind w:left="3600" w:hanging="360"/>
      </w:pPr>
      <w:rPr>
        <w:rFonts w:ascii="Courier New" w:hAnsi="Courier New" w:hint="default"/>
      </w:rPr>
    </w:lvl>
    <w:lvl w:ilvl="5" w:tplc="3C9ED5A6">
      <w:start w:val="1"/>
      <w:numFmt w:val="bullet"/>
      <w:lvlText w:val=""/>
      <w:lvlJc w:val="left"/>
      <w:pPr>
        <w:ind w:left="4320" w:hanging="360"/>
      </w:pPr>
      <w:rPr>
        <w:rFonts w:ascii="Wingdings" w:hAnsi="Wingdings" w:hint="default"/>
      </w:rPr>
    </w:lvl>
    <w:lvl w:ilvl="6" w:tplc="DA80113C">
      <w:start w:val="1"/>
      <w:numFmt w:val="bullet"/>
      <w:lvlText w:val=""/>
      <w:lvlJc w:val="left"/>
      <w:pPr>
        <w:ind w:left="5040" w:hanging="360"/>
      </w:pPr>
      <w:rPr>
        <w:rFonts w:ascii="Symbol" w:hAnsi="Symbol" w:hint="default"/>
      </w:rPr>
    </w:lvl>
    <w:lvl w:ilvl="7" w:tplc="7096C538">
      <w:start w:val="1"/>
      <w:numFmt w:val="bullet"/>
      <w:lvlText w:val="o"/>
      <w:lvlJc w:val="left"/>
      <w:pPr>
        <w:ind w:left="5760" w:hanging="360"/>
      </w:pPr>
      <w:rPr>
        <w:rFonts w:ascii="Courier New" w:hAnsi="Courier New" w:hint="default"/>
      </w:rPr>
    </w:lvl>
    <w:lvl w:ilvl="8" w:tplc="7C0A1684">
      <w:start w:val="1"/>
      <w:numFmt w:val="bullet"/>
      <w:lvlText w:val=""/>
      <w:lvlJc w:val="left"/>
      <w:pPr>
        <w:ind w:left="6480" w:hanging="360"/>
      </w:pPr>
      <w:rPr>
        <w:rFonts w:ascii="Wingdings" w:hAnsi="Wingdings" w:hint="default"/>
      </w:rPr>
    </w:lvl>
  </w:abstractNum>
  <w:abstractNum w:abstractNumId="14" w15:restartNumberingAfterBreak="0">
    <w:nsid w:val="47112D43"/>
    <w:multiLevelType w:val="hybridMultilevel"/>
    <w:tmpl w:val="1F6CBAD8"/>
    <w:lvl w:ilvl="0" w:tplc="A3DCB488">
      <w:start w:val="1"/>
      <w:numFmt w:val="bullet"/>
      <w:lvlText w:val="•"/>
      <w:lvlJc w:val="left"/>
      <w:pPr>
        <w:tabs>
          <w:tab w:val="num" w:pos="720"/>
        </w:tabs>
        <w:ind w:left="720" w:hanging="360"/>
      </w:pPr>
      <w:rPr>
        <w:rFonts w:ascii="Arial" w:hAnsi="Arial" w:hint="default"/>
      </w:rPr>
    </w:lvl>
    <w:lvl w:ilvl="1" w:tplc="5E44CB16">
      <w:start w:val="1"/>
      <w:numFmt w:val="bullet"/>
      <w:lvlText w:val="•"/>
      <w:lvlJc w:val="left"/>
      <w:pPr>
        <w:tabs>
          <w:tab w:val="num" w:pos="1440"/>
        </w:tabs>
        <w:ind w:left="1440" w:hanging="360"/>
      </w:pPr>
      <w:rPr>
        <w:rFonts w:ascii="Arial" w:hAnsi="Arial" w:hint="default"/>
      </w:rPr>
    </w:lvl>
    <w:lvl w:ilvl="2" w:tplc="8684FBF2" w:tentative="1">
      <w:start w:val="1"/>
      <w:numFmt w:val="bullet"/>
      <w:lvlText w:val="•"/>
      <w:lvlJc w:val="left"/>
      <w:pPr>
        <w:tabs>
          <w:tab w:val="num" w:pos="2160"/>
        </w:tabs>
        <w:ind w:left="2160" w:hanging="360"/>
      </w:pPr>
      <w:rPr>
        <w:rFonts w:ascii="Arial" w:hAnsi="Arial" w:hint="default"/>
      </w:rPr>
    </w:lvl>
    <w:lvl w:ilvl="3" w:tplc="1236053C" w:tentative="1">
      <w:start w:val="1"/>
      <w:numFmt w:val="bullet"/>
      <w:lvlText w:val="•"/>
      <w:lvlJc w:val="left"/>
      <w:pPr>
        <w:tabs>
          <w:tab w:val="num" w:pos="2880"/>
        </w:tabs>
        <w:ind w:left="2880" w:hanging="360"/>
      </w:pPr>
      <w:rPr>
        <w:rFonts w:ascii="Arial" w:hAnsi="Arial" w:hint="default"/>
      </w:rPr>
    </w:lvl>
    <w:lvl w:ilvl="4" w:tplc="30082540" w:tentative="1">
      <w:start w:val="1"/>
      <w:numFmt w:val="bullet"/>
      <w:lvlText w:val="•"/>
      <w:lvlJc w:val="left"/>
      <w:pPr>
        <w:tabs>
          <w:tab w:val="num" w:pos="3600"/>
        </w:tabs>
        <w:ind w:left="3600" w:hanging="360"/>
      </w:pPr>
      <w:rPr>
        <w:rFonts w:ascii="Arial" w:hAnsi="Arial" w:hint="default"/>
      </w:rPr>
    </w:lvl>
    <w:lvl w:ilvl="5" w:tplc="5590F3B2" w:tentative="1">
      <w:start w:val="1"/>
      <w:numFmt w:val="bullet"/>
      <w:lvlText w:val="•"/>
      <w:lvlJc w:val="left"/>
      <w:pPr>
        <w:tabs>
          <w:tab w:val="num" w:pos="4320"/>
        </w:tabs>
        <w:ind w:left="4320" w:hanging="360"/>
      </w:pPr>
      <w:rPr>
        <w:rFonts w:ascii="Arial" w:hAnsi="Arial" w:hint="default"/>
      </w:rPr>
    </w:lvl>
    <w:lvl w:ilvl="6" w:tplc="7AAEC25A" w:tentative="1">
      <w:start w:val="1"/>
      <w:numFmt w:val="bullet"/>
      <w:lvlText w:val="•"/>
      <w:lvlJc w:val="left"/>
      <w:pPr>
        <w:tabs>
          <w:tab w:val="num" w:pos="5040"/>
        </w:tabs>
        <w:ind w:left="5040" w:hanging="360"/>
      </w:pPr>
      <w:rPr>
        <w:rFonts w:ascii="Arial" w:hAnsi="Arial" w:hint="default"/>
      </w:rPr>
    </w:lvl>
    <w:lvl w:ilvl="7" w:tplc="94782DDC" w:tentative="1">
      <w:start w:val="1"/>
      <w:numFmt w:val="bullet"/>
      <w:lvlText w:val="•"/>
      <w:lvlJc w:val="left"/>
      <w:pPr>
        <w:tabs>
          <w:tab w:val="num" w:pos="5760"/>
        </w:tabs>
        <w:ind w:left="5760" w:hanging="360"/>
      </w:pPr>
      <w:rPr>
        <w:rFonts w:ascii="Arial" w:hAnsi="Arial" w:hint="default"/>
      </w:rPr>
    </w:lvl>
    <w:lvl w:ilvl="8" w:tplc="9B78CB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D5099E"/>
    <w:multiLevelType w:val="hybridMultilevel"/>
    <w:tmpl w:val="B4EAE25C"/>
    <w:lvl w:ilvl="0" w:tplc="8F08BA68">
      <w:start w:val="1"/>
      <w:numFmt w:val="bullet"/>
      <w:lvlText w:val="•"/>
      <w:lvlJc w:val="left"/>
      <w:pPr>
        <w:tabs>
          <w:tab w:val="num" w:pos="720"/>
        </w:tabs>
        <w:ind w:left="720" w:hanging="360"/>
      </w:pPr>
      <w:rPr>
        <w:rFonts w:ascii="Arial" w:hAnsi="Arial" w:hint="default"/>
        <w:color w:val="auto"/>
      </w:rPr>
    </w:lvl>
    <w:lvl w:ilvl="1" w:tplc="CC94BF2C" w:tentative="1">
      <w:start w:val="1"/>
      <w:numFmt w:val="bullet"/>
      <w:lvlText w:val="•"/>
      <w:lvlJc w:val="left"/>
      <w:pPr>
        <w:tabs>
          <w:tab w:val="num" w:pos="1440"/>
        </w:tabs>
        <w:ind w:left="1440" w:hanging="360"/>
      </w:pPr>
      <w:rPr>
        <w:rFonts w:ascii="Arial" w:hAnsi="Arial" w:hint="default"/>
      </w:rPr>
    </w:lvl>
    <w:lvl w:ilvl="2" w:tplc="723AA05E" w:tentative="1">
      <w:start w:val="1"/>
      <w:numFmt w:val="bullet"/>
      <w:lvlText w:val="•"/>
      <w:lvlJc w:val="left"/>
      <w:pPr>
        <w:tabs>
          <w:tab w:val="num" w:pos="2160"/>
        </w:tabs>
        <w:ind w:left="2160" w:hanging="360"/>
      </w:pPr>
      <w:rPr>
        <w:rFonts w:ascii="Arial" w:hAnsi="Arial" w:hint="default"/>
      </w:rPr>
    </w:lvl>
    <w:lvl w:ilvl="3" w:tplc="CAC8FFBE" w:tentative="1">
      <w:start w:val="1"/>
      <w:numFmt w:val="bullet"/>
      <w:lvlText w:val="•"/>
      <w:lvlJc w:val="left"/>
      <w:pPr>
        <w:tabs>
          <w:tab w:val="num" w:pos="2880"/>
        </w:tabs>
        <w:ind w:left="2880" w:hanging="360"/>
      </w:pPr>
      <w:rPr>
        <w:rFonts w:ascii="Arial" w:hAnsi="Arial" w:hint="default"/>
      </w:rPr>
    </w:lvl>
    <w:lvl w:ilvl="4" w:tplc="A46C6482" w:tentative="1">
      <w:start w:val="1"/>
      <w:numFmt w:val="bullet"/>
      <w:lvlText w:val="•"/>
      <w:lvlJc w:val="left"/>
      <w:pPr>
        <w:tabs>
          <w:tab w:val="num" w:pos="3600"/>
        </w:tabs>
        <w:ind w:left="3600" w:hanging="360"/>
      </w:pPr>
      <w:rPr>
        <w:rFonts w:ascii="Arial" w:hAnsi="Arial" w:hint="default"/>
      </w:rPr>
    </w:lvl>
    <w:lvl w:ilvl="5" w:tplc="440CEFDA" w:tentative="1">
      <w:start w:val="1"/>
      <w:numFmt w:val="bullet"/>
      <w:lvlText w:val="•"/>
      <w:lvlJc w:val="left"/>
      <w:pPr>
        <w:tabs>
          <w:tab w:val="num" w:pos="4320"/>
        </w:tabs>
        <w:ind w:left="4320" w:hanging="360"/>
      </w:pPr>
      <w:rPr>
        <w:rFonts w:ascii="Arial" w:hAnsi="Arial" w:hint="default"/>
      </w:rPr>
    </w:lvl>
    <w:lvl w:ilvl="6" w:tplc="20302FC0" w:tentative="1">
      <w:start w:val="1"/>
      <w:numFmt w:val="bullet"/>
      <w:lvlText w:val="•"/>
      <w:lvlJc w:val="left"/>
      <w:pPr>
        <w:tabs>
          <w:tab w:val="num" w:pos="5040"/>
        </w:tabs>
        <w:ind w:left="5040" w:hanging="360"/>
      </w:pPr>
      <w:rPr>
        <w:rFonts w:ascii="Arial" w:hAnsi="Arial" w:hint="default"/>
      </w:rPr>
    </w:lvl>
    <w:lvl w:ilvl="7" w:tplc="4F2EF1B2" w:tentative="1">
      <w:start w:val="1"/>
      <w:numFmt w:val="bullet"/>
      <w:lvlText w:val="•"/>
      <w:lvlJc w:val="left"/>
      <w:pPr>
        <w:tabs>
          <w:tab w:val="num" w:pos="5760"/>
        </w:tabs>
        <w:ind w:left="5760" w:hanging="360"/>
      </w:pPr>
      <w:rPr>
        <w:rFonts w:ascii="Arial" w:hAnsi="Arial" w:hint="default"/>
      </w:rPr>
    </w:lvl>
    <w:lvl w:ilvl="8" w:tplc="E95E48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5E52EF"/>
    <w:multiLevelType w:val="hybridMultilevel"/>
    <w:tmpl w:val="1FB0E478"/>
    <w:lvl w:ilvl="0" w:tplc="2E9C9094">
      <w:numFmt w:val="bullet"/>
      <w:lvlText w:val="-"/>
      <w:lvlJc w:val="left"/>
      <w:pPr>
        <w:ind w:left="1080" w:hanging="360"/>
      </w:pPr>
      <w:rPr>
        <w:rFonts w:ascii="Arial" w:eastAsia="Arial MT"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9BA1D81"/>
    <w:multiLevelType w:val="multilevel"/>
    <w:tmpl w:val="1F52FA86"/>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293E96"/>
    <w:multiLevelType w:val="hybridMultilevel"/>
    <w:tmpl w:val="A4328E20"/>
    <w:lvl w:ilvl="0" w:tplc="F126D4E2">
      <w:start w:val="1"/>
      <w:numFmt w:val="bullet"/>
      <w:lvlText w:val=""/>
      <w:lvlJc w:val="left"/>
      <w:pPr>
        <w:tabs>
          <w:tab w:val="num" w:pos="720"/>
        </w:tabs>
        <w:ind w:left="720" w:hanging="360"/>
      </w:pPr>
      <w:rPr>
        <w:rFonts w:ascii="Symbol" w:hAnsi="Symbol" w:hint="default"/>
      </w:rPr>
    </w:lvl>
    <w:lvl w:ilvl="1" w:tplc="585E6FC4" w:tentative="1">
      <w:start w:val="1"/>
      <w:numFmt w:val="bullet"/>
      <w:lvlText w:val=""/>
      <w:lvlJc w:val="left"/>
      <w:pPr>
        <w:tabs>
          <w:tab w:val="num" w:pos="1440"/>
        </w:tabs>
        <w:ind w:left="1440" w:hanging="360"/>
      </w:pPr>
      <w:rPr>
        <w:rFonts w:ascii="Symbol" w:hAnsi="Symbol" w:hint="default"/>
      </w:rPr>
    </w:lvl>
    <w:lvl w:ilvl="2" w:tplc="247AD2E2" w:tentative="1">
      <w:start w:val="1"/>
      <w:numFmt w:val="bullet"/>
      <w:lvlText w:val=""/>
      <w:lvlJc w:val="left"/>
      <w:pPr>
        <w:tabs>
          <w:tab w:val="num" w:pos="2160"/>
        </w:tabs>
        <w:ind w:left="2160" w:hanging="360"/>
      </w:pPr>
      <w:rPr>
        <w:rFonts w:ascii="Symbol" w:hAnsi="Symbol" w:hint="default"/>
      </w:rPr>
    </w:lvl>
    <w:lvl w:ilvl="3" w:tplc="AE822066" w:tentative="1">
      <w:start w:val="1"/>
      <w:numFmt w:val="bullet"/>
      <w:lvlText w:val=""/>
      <w:lvlJc w:val="left"/>
      <w:pPr>
        <w:tabs>
          <w:tab w:val="num" w:pos="2880"/>
        </w:tabs>
        <w:ind w:left="2880" w:hanging="360"/>
      </w:pPr>
      <w:rPr>
        <w:rFonts w:ascii="Symbol" w:hAnsi="Symbol" w:hint="default"/>
      </w:rPr>
    </w:lvl>
    <w:lvl w:ilvl="4" w:tplc="717AEA8E" w:tentative="1">
      <w:start w:val="1"/>
      <w:numFmt w:val="bullet"/>
      <w:lvlText w:val=""/>
      <w:lvlJc w:val="left"/>
      <w:pPr>
        <w:tabs>
          <w:tab w:val="num" w:pos="3600"/>
        </w:tabs>
        <w:ind w:left="3600" w:hanging="360"/>
      </w:pPr>
      <w:rPr>
        <w:rFonts w:ascii="Symbol" w:hAnsi="Symbol" w:hint="default"/>
      </w:rPr>
    </w:lvl>
    <w:lvl w:ilvl="5" w:tplc="FF089FEC" w:tentative="1">
      <w:start w:val="1"/>
      <w:numFmt w:val="bullet"/>
      <w:lvlText w:val=""/>
      <w:lvlJc w:val="left"/>
      <w:pPr>
        <w:tabs>
          <w:tab w:val="num" w:pos="4320"/>
        </w:tabs>
        <w:ind w:left="4320" w:hanging="360"/>
      </w:pPr>
      <w:rPr>
        <w:rFonts w:ascii="Symbol" w:hAnsi="Symbol" w:hint="default"/>
      </w:rPr>
    </w:lvl>
    <w:lvl w:ilvl="6" w:tplc="BB7C2026" w:tentative="1">
      <w:start w:val="1"/>
      <w:numFmt w:val="bullet"/>
      <w:lvlText w:val=""/>
      <w:lvlJc w:val="left"/>
      <w:pPr>
        <w:tabs>
          <w:tab w:val="num" w:pos="5040"/>
        </w:tabs>
        <w:ind w:left="5040" w:hanging="360"/>
      </w:pPr>
      <w:rPr>
        <w:rFonts w:ascii="Symbol" w:hAnsi="Symbol" w:hint="default"/>
      </w:rPr>
    </w:lvl>
    <w:lvl w:ilvl="7" w:tplc="DA081192" w:tentative="1">
      <w:start w:val="1"/>
      <w:numFmt w:val="bullet"/>
      <w:lvlText w:val=""/>
      <w:lvlJc w:val="left"/>
      <w:pPr>
        <w:tabs>
          <w:tab w:val="num" w:pos="5760"/>
        </w:tabs>
        <w:ind w:left="5760" w:hanging="360"/>
      </w:pPr>
      <w:rPr>
        <w:rFonts w:ascii="Symbol" w:hAnsi="Symbol" w:hint="default"/>
      </w:rPr>
    </w:lvl>
    <w:lvl w:ilvl="8" w:tplc="8034B55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C547EB4"/>
    <w:multiLevelType w:val="multilevel"/>
    <w:tmpl w:val="4B123FB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142C4A"/>
    <w:multiLevelType w:val="hybridMultilevel"/>
    <w:tmpl w:val="0B6C82FC"/>
    <w:lvl w:ilvl="0" w:tplc="60004630">
      <w:start w:val="1"/>
      <w:numFmt w:val="bullet"/>
      <w:lvlText w:val=""/>
      <w:lvlJc w:val="left"/>
      <w:pPr>
        <w:ind w:left="720" w:hanging="360"/>
      </w:pPr>
      <w:rPr>
        <w:rFonts w:ascii="Symbol" w:eastAsiaTheme="minorHAnsi" w:hAnsi="Symbol"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067EB2"/>
    <w:multiLevelType w:val="multilevel"/>
    <w:tmpl w:val="BFCCA7AE"/>
    <w:lvl w:ilvl="0">
      <w:start w:val="5"/>
      <w:numFmt w:val="decimal"/>
      <w:lvlText w:val="%1."/>
      <w:lvlJc w:val="left"/>
      <w:pPr>
        <w:ind w:left="480" w:hanging="480"/>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5977DE"/>
    <w:multiLevelType w:val="hybridMultilevel"/>
    <w:tmpl w:val="8CC01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DA077D"/>
    <w:multiLevelType w:val="multilevel"/>
    <w:tmpl w:val="CE1C95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A4FF6"/>
    <w:multiLevelType w:val="hybridMultilevel"/>
    <w:tmpl w:val="C8A4F76C"/>
    <w:lvl w:ilvl="0" w:tplc="8AF0A794">
      <w:start w:val="1"/>
      <w:numFmt w:val="bullet"/>
      <w:lvlText w:val="•"/>
      <w:lvlJc w:val="left"/>
      <w:pPr>
        <w:tabs>
          <w:tab w:val="num" w:pos="720"/>
        </w:tabs>
        <w:ind w:left="720" w:hanging="360"/>
      </w:pPr>
      <w:rPr>
        <w:rFonts w:ascii="Arial" w:hAnsi="Arial" w:hint="default"/>
        <w:color w:val="auto"/>
      </w:rPr>
    </w:lvl>
    <w:lvl w:ilvl="1" w:tplc="6AEAFA8A" w:tentative="1">
      <w:start w:val="1"/>
      <w:numFmt w:val="bullet"/>
      <w:lvlText w:val="•"/>
      <w:lvlJc w:val="left"/>
      <w:pPr>
        <w:tabs>
          <w:tab w:val="num" w:pos="1440"/>
        </w:tabs>
        <w:ind w:left="1440" w:hanging="360"/>
      </w:pPr>
      <w:rPr>
        <w:rFonts w:ascii="Arial" w:hAnsi="Arial" w:hint="default"/>
      </w:rPr>
    </w:lvl>
    <w:lvl w:ilvl="2" w:tplc="07548122" w:tentative="1">
      <w:start w:val="1"/>
      <w:numFmt w:val="bullet"/>
      <w:lvlText w:val="•"/>
      <w:lvlJc w:val="left"/>
      <w:pPr>
        <w:tabs>
          <w:tab w:val="num" w:pos="2160"/>
        </w:tabs>
        <w:ind w:left="2160" w:hanging="360"/>
      </w:pPr>
      <w:rPr>
        <w:rFonts w:ascii="Arial" w:hAnsi="Arial" w:hint="default"/>
      </w:rPr>
    </w:lvl>
    <w:lvl w:ilvl="3" w:tplc="7FAC482E" w:tentative="1">
      <w:start w:val="1"/>
      <w:numFmt w:val="bullet"/>
      <w:lvlText w:val="•"/>
      <w:lvlJc w:val="left"/>
      <w:pPr>
        <w:tabs>
          <w:tab w:val="num" w:pos="2880"/>
        </w:tabs>
        <w:ind w:left="2880" w:hanging="360"/>
      </w:pPr>
      <w:rPr>
        <w:rFonts w:ascii="Arial" w:hAnsi="Arial" w:hint="default"/>
      </w:rPr>
    </w:lvl>
    <w:lvl w:ilvl="4" w:tplc="83A4CAC2" w:tentative="1">
      <w:start w:val="1"/>
      <w:numFmt w:val="bullet"/>
      <w:lvlText w:val="•"/>
      <w:lvlJc w:val="left"/>
      <w:pPr>
        <w:tabs>
          <w:tab w:val="num" w:pos="3600"/>
        </w:tabs>
        <w:ind w:left="3600" w:hanging="360"/>
      </w:pPr>
      <w:rPr>
        <w:rFonts w:ascii="Arial" w:hAnsi="Arial" w:hint="default"/>
      </w:rPr>
    </w:lvl>
    <w:lvl w:ilvl="5" w:tplc="FA8A2948" w:tentative="1">
      <w:start w:val="1"/>
      <w:numFmt w:val="bullet"/>
      <w:lvlText w:val="•"/>
      <w:lvlJc w:val="left"/>
      <w:pPr>
        <w:tabs>
          <w:tab w:val="num" w:pos="4320"/>
        </w:tabs>
        <w:ind w:left="4320" w:hanging="360"/>
      </w:pPr>
      <w:rPr>
        <w:rFonts w:ascii="Arial" w:hAnsi="Arial" w:hint="default"/>
      </w:rPr>
    </w:lvl>
    <w:lvl w:ilvl="6" w:tplc="FF2A72DC" w:tentative="1">
      <w:start w:val="1"/>
      <w:numFmt w:val="bullet"/>
      <w:lvlText w:val="•"/>
      <w:lvlJc w:val="left"/>
      <w:pPr>
        <w:tabs>
          <w:tab w:val="num" w:pos="5040"/>
        </w:tabs>
        <w:ind w:left="5040" w:hanging="360"/>
      </w:pPr>
      <w:rPr>
        <w:rFonts w:ascii="Arial" w:hAnsi="Arial" w:hint="default"/>
      </w:rPr>
    </w:lvl>
    <w:lvl w:ilvl="7" w:tplc="E0A0F446" w:tentative="1">
      <w:start w:val="1"/>
      <w:numFmt w:val="bullet"/>
      <w:lvlText w:val="•"/>
      <w:lvlJc w:val="left"/>
      <w:pPr>
        <w:tabs>
          <w:tab w:val="num" w:pos="5760"/>
        </w:tabs>
        <w:ind w:left="5760" w:hanging="360"/>
      </w:pPr>
      <w:rPr>
        <w:rFonts w:ascii="Arial" w:hAnsi="Arial" w:hint="default"/>
      </w:rPr>
    </w:lvl>
    <w:lvl w:ilvl="8" w:tplc="D90069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CE7AF6"/>
    <w:multiLevelType w:val="hybridMultilevel"/>
    <w:tmpl w:val="E62E32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B10706"/>
    <w:multiLevelType w:val="hybridMultilevel"/>
    <w:tmpl w:val="340AB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B44F05"/>
    <w:multiLevelType w:val="hybridMultilevel"/>
    <w:tmpl w:val="73C26DBA"/>
    <w:lvl w:ilvl="0" w:tplc="D1A07BBC">
      <w:start w:val="1"/>
      <w:numFmt w:val="bullet"/>
      <w:lvlText w:val=""/>
      <w:lvlJc w:val="left"/>
      <w:pPr>
        <w:tabs>
          <w:tab w:val="num" w:pos="720"/>
        </w:tabs>
        <w:ind w:left="720" w:hanging="360"/>
      </w:pPr>
      <w:rPr>
        <w:rFonts w:ascii="Symbol" w:hAnsi="Symbol" w:hint="default"/>
      </w:rPr>
    </w:lvl>
    <w:lvl w:ilvl="1" w:tplc="5532D644" w:tentative="1">
      <w:start w:val="1"/>
      <w:numFmt w:val="bullet"/>
      <w:lvlText w:val=""/>
      <w:lvlJc w:val="left"/>
      <w:pPr>
        <w:tabs>
          <w:tab w:val="num" w:pos="1440"/>
        </w:tabs>
        <w:ind w:left="1440" w:hanging="360"/>
      </w:pPr>
      <w:rPr>
        <w:rFonts w:ascii="Symbol" w:hAnsi="Symbol" w:hint="default"/>
      </w:rPr>
    </w:lvl>
    <w:lvl w:ilvl="2" w:tplc="81E0F9DC" w:tentative="1">
      <w:start w:val="1"/>
      <w:numFmt w:val="bullet"/>
      <w:lvlText w:val=""/>
      <w:lvlJc w:val="left"/>
      <w:pPr>
        <w:tabs>
          <w:tab w:val="num" w:pos="2160"/>
        </w:tabs>
        <w:ind w:left="2160" w:hanging="360"/>
      </w:pPr>
      <w:rPr>
        <w:rFonts w:ascii="Symbol" w:hAnsi="Symbol" w:hint="default"/>
      </w:rPr>
    </w:lvl>
    <w:lvl w:ilvl="3" w:tplc="35902B24" w:tentative="1">
      <w:start w:val="1"/>
      <w:numFmt w:val="bullet"/>
      <w:lvlText w:val=""/>
      <w:lvlJc w:val="left"/>
      <w:pPr>
        <w:tabs>
          <w:tab w:val="num" w:pos="2880"/>
        </w:tabs>
        <w:ind w:left="2880" w:hanging="360"/>
      </w:pPr>
      <w:rPr>
        <w:rFonts w:ascii="Symbol" w:hAnsi="Symbol" w:hint="default"/>
      </w:rPr>
    </w:lvl>
    <w:lvl w:ilvl="4" w:tplc="62E2CF34" w:tentative="1">
      <w:start w:val="1"/>
      <w:numFmt w:val="bullet"/>
      <w:lvlText w:val=""/>
      <w:lvlJc w:val="left"/>
      <w:pPr>
        <w:tabs>
          <w:tab w:val="num" w:pos="3600"/>
        </w:tabs>
        <w:ind w:left="3600" w:hanging="360"/>
      </w:pPr>
      <w:rPr>
        <w:rFonts w:ascii="Symbol" w:hAnsi="Symbol" w:hint="default"/>
      </w:rPr>
    </w:lvl>
    <w:lvl w:ilvl="5" w:tplc="854C3206" w:tentative="1">
      <w:start w:val="1"/>
      <w:numFmt w:val="bullet"/>
      <w:lvlText w:val=""/>
      <w:lvlJc w:val="left"/>
      <w:pPr>
        <w:tabs>
          <w:tab w:val="num" w:pos="4320"/>
        </w:tabs>
        <w:ind w:left="4320" w:hanging="360"/>
      </w:pPr>
      <w:rPr>
        <w:rFonts w:ascii="Symbol" w:hAnsi="Symbol" w:hint="default"/>
      </w:rPr>
    </w:lvl>
    <w:lvl w:ilvl="6" w:tplc="8F30879C" w:tentative="1">
      <w:start w:val="1"/>
      <w:numFmt w:val="bullet"/>
      <w:lvlText w:val=""/>
      <w:lvlJc w:val="left"/>
      <w:pPr>
        <w:tabs>
          <w:tab w:val="num" w:pos="5040"/>
        </w:tabs>
        <w:ind w:left="5040" w:hanging="360"/>
      </w:pPr>
      <w:rPr>
        <w:rFonts w:ascii="Symbol" w:hAnsi="Symbol" w:hint="default"/>
      </w:rPr>
    </w:lvl>
    <w:lvl w:ilvl="7" w:tplc="DA3498BE" w:tentative="1">
      <w:start w:val="1"/>
      <w:numFmt w:val="bullet"/>
      <w:lvlText w:val=""/>
      <w:lvlJc w:val="left"/>
      <w:pPr>
        <w:tabs>
          <w:tab w:val="num" w:pos="5760"/>
        </w:tabs>
        <w:ind w:left="5760" w:hanging="360"/>
      </w:pPr>
      <w:rPr>
        <w:rFonts w:ascii="Symbol" w:hAnsi="Symbol" w:hint="default"/>
      </w:rPr>
    </w:lvl>
    <w:lvl w:ilvl="8" w:tplc="4D843FB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212678C"/>
    <w:multiLevelType w:val="hybridMultilevel"/>
    <w:tmpl w:val="67A839C4"/>
    <w:lvl w:ilvl="0" w:tplc="8AF2D542">
      <w:start w:val="1"/>
      <w:numFmt w:val="bullet"/>
      <w:lvlText w:val="•"/>
      <w:lvlJc w:val="left"/>
      <w:pPr>
        <w:tabs>
          <w:tab w:val="num" w:pos="720"/>
        </w:tabs>
        <w:ind w:left="720" w:hanging="360"/>
      </w:pPr>
      <w:rPr>
        <w:rFonts w:ascii="Arial" w:hAnsi="Arial" w:hint="default"/>
      </w:rPr>
    </w:lvl>
    <w:lvl w:ilvl="1" w:tplc="D65AE8FE" w:tentative="1">
      <w:start w:val="1"/>
      <w:numFmt w:val="bullet"/>
      <w:lvlText w:val="•"/>
      <w:lvlJc w:val="left"/>
      <w:pPr>
        <w:tabs>
          <w:tab w:val="num" w:pos="1440"/>
        </w:tabs>
        <w:ind w:left="1440" w:hanging="360"/>
      </w:pPr>
      <w:rPr>
        <w:rFonts w:ascii="Arial" w:hAnsi="Arial" w:hint="default"/>
      </w:rPr>
    </w:lvl>
    <w:lvl w:ilvl="2" w:tplc="098EEB4E" w:tentative="1">
      <w:start w:val="1"/>
      <w:numFmt w:val="bullet"/>
      <w:lvlText w:val="•"/>
      <w:lvlJc w:val="left"/>
      <w:pPr>
        <w:tabs>
          <w:tab w:val="num" w:pos="2160"/>
        </w:tabs>
        <w:ind w:left="2160" w:hanging="360"/>
      </w:pPr>
      <w:rPr>
        <w:rFonts w:ascii="Arial" w:hAnsi="Arial" w:hint="default"/>
      </w:rPr>
    </w:lvl>
    <w:lvl w:ilvl="3" w:tplc="8CE0F47E" w:tentative="1">
      <w:start w:val="1"/>
      <w:numFmt w:val="bullet"/>
      <w:lvlText w:val="•"/>
      <w:lvlJc w:val="left"/>
      <w:pPr>
        <w:tabs>
          <w:tab w:val="num" w:pos="2880"/>
        </w:tabs>
        <w:ind w:left="2880" w:hanging="360"/>
      </w:pPr>
      <w:rPr>
        <w:rFonts w:ascii="Arial" w:hAnsi="Arial" w:hint="default"/>
      </w:rPr>
    </w:lvl>
    <w:lvl w:ilvl="4" w:tplc="286881E8" w:tentative="1">
      <w:start w:val="1"/>
      <w:numFmt w:val="bullet"/>
      <w:lvlText w:val="•"/>
      <w:lvlJc w:val="left"/>
      <w:pPr>
        <w:tabs>
          <w:tab w:val="num" w:pos="3600"/>
        </w:tabs>
        <w:ind w:left="3600" w:hanging="360"/>
      </w:pPr>
      <w:rPr>
        <w:rFonts w:ascii="Arial" w:hAnsi="Arial" w:hint="default"/>
      </w:rPr>
    </w:lvl>
    <w:lvl w:ilvl="5" w:tplc="0B422152" w:tentative="1">
      <w:start w:val="1"/>
      <w:numFmt w:val="bullet"/>
      <w:lvlText w:val="•"/>
      <w:lvlJc w:val="left"/>
      <w:pPr>
        <w:tabs>
          <w:tab w:val="num" w:pos="4320"/>
        </w:tabs>
        <w:ind w:left="4320" w:hanging="360"/>
      </w:pPr>
      <w:rPr>
        <w:rFonts w:ascii="Arial" w:hAnsi="Arial" w:hint="default"/>
      </w:rPr>
    </w:lvl>
    <w:lvl w:ilvl="6" w:tplc="C5445C46" w:tentative="1">
      <w:start w:val="1"/>
      <w:numFmt w:val="bullet"/>
      <w:lvlText w:val="•"/>
      <w:lvlJc w:val="left"/>
      <w:pPr>
        <w:tabs>
          <w:tab w:val="num" w:pos="5040"/>
        </w:tabs>
        <w:ind w:left="5040" w:hanging="360"/>
      </w:pPr>
      <w:rPr>
        <w:rFonts w:ascii="Arial" w:hAnsi="Arial" w:hint="default"/>
      </w:rPr>
    </w:lvl>
    <w:lvl w:ilvl="7" w:tplc="4E1AD29E" w:tentative="1">
      <w:start w:val="1"/>
      <w:numFmt w:val="bullet"/>
      <w:lvlText w:val="•"/>
      <w:lvlJc w:val="left"/>
      <w:pPr>
        <w:tabs>
          <w:tab w:val="num" w:pos="5760"/>
        </w:tabs>
        <w:ind w:left="5760" w:hanging="360"/>
      </w:pPr>
      <w:rPr>
        <w:rFonts w:ascii="Arial" w:hAnsi="Arial" w:hint="default"/>
      </w:rPr>
    </w:lvl>
    <w:lvl w:ilvl="8" w:tplc="9898A5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886589"/>
    <w:multiLevelType w:val="multilevel"/>
    <w:tmpl w:val="ECF4F2F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5B1873"/>
    <w:multiLevelType w:val="hybridMultilevel"/>
    <w:tmpl w:val="60484640"/>
    <w:lvl w:ilvl="0" w:tplc="240A0001">
      <w:start w:val="1"/>
      <w:numFmt w:val="bullet"/>
      <w:lvlText w:val=""/>
      <w:lvlJc w:val="left"/>
      <w:pPr>
        <w:ind w:left="720" w:hanging="360"/>
      </w:pPr>
      <w:rPr>
        <w:rFonts w:ascii="Symbol" w:hAnsi="Symbol" w:hint="default"/>
      </w:rPr>
    </w:lvl>
    <w:lvl w:ilvl="1" w:tplc="9800E3D6">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1F6CE2"/>
    <w:multiLevelType w:val="hybridMultilevel"/>
    <w:tmpl w:val="4E92AD72"/>
    <w:lvl w:ilvl="0" w:tplc="89D66FE4">
      <w:start w:val="1"/>
      <w:numFmt w:val="bullet"/>
      <w:lvlText w:val="•"/>
      <w:lvlJc w:val="left"/>
      <w:pPr>
        <w:tabs>
          <w:tab w:val="num" w:pos="720"/>
        </w:tabs>
        <w:ind w:left="720" w:hanging="360"/>
      </w:pPr>
      <w:rPr>
        <w:rFonts w:ascii="Arial" w:hAnsi="Arial" w:hint="default"/>
        <w:color w:val="auto"/>
      </w:rPr>
    </w:lvl>
    <w:lvl w:ilvl="1" w:tplc="D7AA0C98" w:tentative="1">
      <w:start w:val="1"/>
      <w:numFmt w:val="bullet"/>
      <w:lvlText w:val="•"/>
      <w:lvlJc w:val="left"/>
      <w:pPr>
        <w:tabs>
          <w:tab w:val="num" w:pos="1440"/>
        </w:tabs>
        <w:ind w:left="1440" w:hanging="360"/>
      </w:pPr>
      <w:rPr>
        <w:rFonts w:ascii="Arial" w:hAnsi="Arial" w:hint="default"/>
      </w:rPr>
    </w:lvl>
    <w:lvl w:ilvl="2" w:tplc="7FB276F0" w:tentative="1">
      <w:start w:val="1"/>
      <w:numFmt w:val="bullet"/>
      <w:lvlText w:val="•"/>
      <w:lvlJc w:val="left"/>
      <w:pPr>
        <w:tabs>
          <w:tab w:val="num" w:pos="2160"/>
        </w:tabs>
        <w:ind w:left="2160" w:hanging="360"/>
      </w:pPr>
      <w:rPr>
        <w:rFonts w:ascii="Arial" w:hAnsi="Arial" w:hint="default"/>
      </w:rPr>
    </w:lvl>
    <w:lvl w:ilvl="3" w:tplc="4322EF5C" w:tentative="1">
      <w:start w:val="1"/>
      <w:numFmt w:val="bullet"/>
      <w:lvlText w:val="•"/>
      <w:lvlJc w:val="left"/>
      <w:pPr>
        <w:tabs>
          <w:tab w:val="num" w:pos="2880"/>
        </w:tabs>
        <w:ind w:left="2880" w:hanging="360"/>
      </w:pPr>
      <w:rPr>
        <w:rFonts w:ascii="Arial" w:hAnsi="Arial" w:hint="default"/>
      </w:rPr>
    </w:lvl>
    <w:lvl w:ilvl="4" w:tplc="21FAF94C" w:tentative="1">
      <w:start w:val="1"/>
      <w:numFmt w:val="bullet"/>
      <w:lvlText w:val="•"/>
      <w:lvlJc w:val="left"/>
      <w:pPr>
        <w:tabs>
          <w:tab w:val="num" w:pos="3600"/>
        </w:tabs>
        <w:ind w:left="3600" w:hanging="360"/>
      </w:pPr>
      <w:rPr>
        <w:rFonts w:ascii="Arial" w:hAnsi="Arial" w:hint="default"/>
      </w:rPr>
    </w:lvl>
    <w:lvl w:ilvl="5" w:tplc="91840F64" w:tentative="1">
      <w:start w:val="1"/>
      <w:numFmt w:val="bullet"/>
      <w:lvlText w:val="•"/>
      <w:lvlJc w:val="left"/>
      <w:pPr>
        <w:tabs>
          <w:tab w:val="num" w:pos="4320"/>
        </w:tabs>
        <w:ind w:left="4320" w:hanging="360"/>
      </w:pPr>
      <w:rPr>
        <w:rFonts w:ascii="Arial" w:hAnsi="Arial" w:hint="default"/>
      </w:rPr>
    </w:lvl>
    <w:lvl w:ilvl="6" w:tplc="C36EFA9A" w:tentative="1">
      <w:start w:val="1"/>
      <w:numFmt w:val="bullet"/>
      <w:lvlText w:val="•"/>
      <w:lvlJc w:val="left"/>
      <w:pPr>
        <w:tabs>
          <w:tab w:val="num" w:pos="5040"/>
        </w:tabs>
        <w:ind w:left="5040" w:hanging="360"/>
      </w:pPr>
      <w:rPr>
        <w:rFonts w:ascii="Arial" w:hAnsi="Arial" w:hint="default"/>
      </w:rPr>
    </w:lvl>
    <w:lvl w:ilvl="7" w:tplc="8482D51E" w:tentative="1">
      <w:start w:val="1"/>
      <w:numFmt w:val="bullet"/>
      <w:lvlText w:val="•"/>
      <w:lvlJc w:val="left"/>
      <w:pPr>
        <w:tabs>
          <w:tab w:val="num" w:pos="5760"/>
        </w:tabs>
        <w:ind w:left="5760" w:hanging="360"/>
      </w:pPr>
      <w:rPr>
        <w:rFonts w:ascii="Arial" w:hAnsi="Arial" w:hint="default"/>
      </w:rPr>
    </w:lvl>
    <w:lvl w:ilvl="8" w:tplc="6CA43F40" w:tentative="1">
      <w:start w:val="1"/>
      <w:numFmt w:val="bullet"/>
      <w:lvlText w:val="•"/>
      <w:lvlJc w:val="left"/>
      <w:pPr>
        <w:tabs>
          <w:tab w:val="num" w:pos="6480"/>
        </w:tabs>
        <w:ind w:left="6480" w:hanging="360"/>
      </w:pPr>
      <w:rPr>
        <w:rFonts w:ascii="Arial" w:hAnsi="Arial" w:hint="default"/>
      </w:rPr>
    </w:lvl>
  </w:abstractNum>
  <w:num w:numId="1" w16cid:durableId="1124813927">
    <w:abstractNumId w:val="10"/>
  </w:num>
  <w:num w:numId="2" w16cid:durableId="905145245">
    <w:abstractNumId w:val="20"/>
  </w:num>
  <w:num w:numId="3" w16cid:durableId="1967659410">
    <w:abstractNumId w:val="2"/>
  </w:num>
  <w:num w:numId="4" w16cid:durableId="827944614">
    <w:abstractNumId w:val="16"/>
  </w:num>
  <w:num w:numId="5" w16cid:durableId="894048557">
    <w:abstractNumId w:val="0"/>
  </w:num>
  <w:num w:numId="6" w16cid:durableId="715007551">
    <w:abstractNumId w:val="26"/>
  </w:num>
  <w:num w:numId="7" w16cid:durableId="904801943">
    <w:abstractNumId w:val="3"/>
  </w:num>
  <w:num w:numId="8" w16cid:durableId="1416628620">
    <w:abstractNumId w:val="21"/>
  </w:num>
  <w:num w:numId="9" w16cid:durableId="50661375">
    <w:abstractNumId w:val="30"/>
  </w:num>
  <w:num w:numId="10" w16cid:durableId="91247016">
    <w:abstractNumId w:val="1"/>
  </w:num>
  <w:num w:numId="11" w16cid:durableId="154616356">
    <w:abstractNumId w:val="5"/>
  </w:num>
  <w:num w:numId="12" w16cid:durableId="626469574">
    <w:abstractNumId w:val="28"/>
  </w:num>
  <w:num w:numId="13" w16cid:durableId="242691859">
    <w:abstractNumId w:val="13"/>
  </w:num>
  <w:num w:numId="14" w16cid:durableId="1793011513">
    <w:abstractNumId w:val="14"/>
  </w:num>
  <w:num w:numId="15" w16cid:durableId="437454219">
    <w:abstractNumId w:val="23"/>
  </w:num>
  <w:num w:numId="16" w16cid:durableId="1465274802">
    <w:abstractNumId w:val="22"/>
  </w:num>
  <w:num w:numId="17" w16cid:durableId="159853022">
    <w:abstractNumId w:val="4"/>
  </w:num>
  <w:num w:numId="18" w16cid:durableId="88932366">
    <w:abstractNumId w:val="9"/>
  </w:num>
  <w:num w:numId="19" w16cid:durableId="728311967">
    <w:abstractNumId w:val="11"/>
  </w:num>
  <w:num w:numId="20" w16cid:durableId="475756366">
    <w:abstractNumId w:val="6"/>
  </w:num>
  <w:num w:numId="21" w16cid:durableId="1900629314">
    <w:abstractNumId w:val="31"/>
  </w:num>
  <w:num w:numId="22" w16cid:durableId="1380934906">
    <w:abstractNumId w:val="15"/>
  </w:num>
  <w:num w:numId="23" w16cid:durableId="2099863143">
    <w:abstractNumId w:val="24"/>
  </w:num>
  <w:num w:numId="24" w16cid:durableId="1893074958">
    <w:abstractNumId w:val="19"/>
  </w:num>
  <w:num w:numId="25" w16cid:durableId="1216773013">
    <w:abstractNumId w:val="17"/>
  </w:num>
  <w:num w:numId="26" w16cid:durableId="281806230">
    <w:abstractNumId w:val="29"/>
  </w:num>
  <w:num w:numId="27" w16cid:durableId="915823801">
    <w:abstractNumId w:val="25"/>
  </w:num>
  <w:num w:numId="28" w16cid:durableId="1391344554">
    <w:abstractNumId w:val="27"/>
  </w:num>
  <w:num w:numId="29" w16cid:durableId="316956199">
    <w:abstractNumId w:val="18"/>
  </w:num>
  <w:num w:numId="30" w16cid:durableId="766120286">
    <w:abstractNumId w:val="8"/>
  </w:num>
  <w:num w:numId="31" w16cid:durableId="580991088">
    <w:abstractNumId w:val="7"/>
  </w:num>
  <w:num w:numId="32" w16cid:durableId="852918220">
    <w:abstractNumId w:val="12"/>
  </w:num>
  <w:num w:numId="33" w16cid:durableId="73258651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zNjYzMzU0NQESxko6SsGpxcWZ+XkgBYa1AEPkdZMsAAAA"/>
  </w:docVars>
  <w:rsids>
    <w:rsidRoot w:val="73DA84A4"/>
    <w:rsid w:val="00000DB4"/>
    <w:rsid w:val="00001A8E"/>
    <w:rsid w:val="00002528"/>
    <w:rsid w:val="000025E6"/>
    <w:rsid w:val="00003412"/>
    <w:rsid w:val="000040A7"/>
    <w:rsid w:val="00004895"/>
    <w:rsid w:val="000048E0"/>
    <w:rsid w:val="00004C82"/>
    <w:rsid w:val="000050A8"/>
    <w:rsid w:val="00005865"/>
    <w:rsid w:val="00005F4B"/>
    <w:rsid w:val="0000615E"/>
    <w:rsid w:val="000061B7"/>
    <w:rsid w:val="00006852"/>
    <w:rsid w:val="000068AF"/>
    <w:rsid w:val="00006B0B"/>
    <w:rsid w:val="00006E53"/>
    <w:rsid w:val="00006F88"/>
    <w:rsid w:val="000078C0"/>
    <w:rsid w:val="00007C5B"/>
    <w:rsid w:val="00007C6F"/>
    <w:rsid w:val="000101D6"/>
    <w:rsid w:val="000101D8"/>
    <w:rsid w:val="0001036E"/>
    <w:rsid w:val="00010406"/>
    <w:rsid w:val="00010C9A"/>
    <w:rsid w:val="00010CBD"/>
    <w:rsid w:val="00010D2E"/>
    <w:rsid w:val="00010FC3"/>
    <w:rsid w:val="000115DB"/>
    <w:rsid w:val="00011917"/>
    <w:rsid w:val="00011927"/>
    <w:rsid w:val="000119EB"/>
    <w:rsid w:val="00011C61"/>
    <w:rsid w:val="0001248D"/>
    <w:rsid w:val="0001255F"/>
    <w:rsid w:val="00012EE9"/>
    <w:rsid w:val="00013472"/>
    <w:rsid w:val="0001371D"/>
    <w:rsid w:val="00013D88"/>
    <w:rsid w:val="00013F7D"/>
    <w:rsid w:val="0001418B"/>
    <w:rsid w:val="000145FA"/>
    <w:rsid w:val="00014959"/>
    <w:rsid w:val="00014B0B"/>
    <w:rsid w:val="00014EBD"/>
    <w:rsid w:val="00015754"/>
    <w:rsid w:val="00015835"/>
    <w:rsid w:val="00015E32"/>
    <w:rsid w:val="000165EE"/>
    <w:rsid w:val="00016681"/>
    <w:rsid w:val="000168C7"/>
    <w:rsid w:val="00016981"/>
    <w:rsid w:val="0001704F"/>
    <w:rsid w:val="0001786C"/>
    <w:rsid w:val="000204E2"/>
    <w:rsid w:val="00020D70"/>
    <w:rsid w:val="00021C5F"/>
    <w:rsid w:val="00021CB3"/>
    <w:rsid w:val="00021F92"/>
    <w:rsid w:val="000223C9"/>
    <w:rsid w:val="0002251F"/>
    <w:rsid w:val="000226CA"/>
    <w:rsid w:val="00022D27"/>
    <w:rsid w:val="00023501"/>
    <w:rsid w:val="000235D3"/>
    <w:rsid w:val="00023BE6"/>
    <w:rsid w:val="000240E5"/>
    <w:rsid w:val="00024EDA"/>
    <w:rsid w:val="00025B7F"/>
    <w:rsid w:val="00025ECC"/>
    <w:rsid w:val="000260F9"/>
    <w:rsid w:val="00026693"/>
    <w:rsid w:val="0002676A"/>
    <w:rsid w:val="000268F3"/>
    <w:rsid w:val="00027089"/>
    <w:rsid w:val="00027A86"/>
    <w:rsid w:val="000302F2"/>
    <w:rsid w:val="00030C19"/>
    <w:rsid w:val="000310D5"/>
    <w:rsid w:val="0003161D"/>
    <w:rsid w:val="000317AD"/>
    <w:rsid w:val="000320D9"/>
    <w:rsid w:val="0003211D"/>
    <w:rsid w:val="0003271D"/>
    <w:rsid w:val="00032ACF"/>
    <w:rsid w:val="00032E8C"/>
    <w:rsid w:val="00033BEB"/>
    <w:rsid w:val="00034932"/>
    <w:rsid w:val="00034A98"/>
    <w:rsid w:val="000354C6"/>
    <w:rsid w:val="00036528"/>
    <w:rsid w:val="0003675F"/>
    <w:rsid w:val="00036960"/>
    <w:rsid w:val="00036ADF"/>
    <w:rsid w:val="00036C98"/>
    <w:rsid w:val="00037B5A"/>
    <w:rsid w:val="00037D2D"/>
    <w:rsid w:val="00040234"/>
    <w:rsid w:val="000405F5"/>
    <w:rsid w:val="00040B21"/>
    <w:rsid w:val="00041106"/>
    <w:rsid w:val="0004119C"/>
    <w:rsid w:val="00041C64"/>
    <w:rsid w:val="00042072"/>
    <w:rsid w:val="0004207B"/>
    <w:rsid w:val="00042134"/>
    <w:rsid w:val="00042752"/>
    <w:rsid w:val="00042970"/>
    <w:rsid w:val="000429E1"/>
    <w:rsid w:val="00042D6C"/>
    <w:rsid w:val="00042ED4"/>
    <w:rsid w:val="000434C4"/>
    <w:rsid w:val="0004393B"/>
    <w:rsid w:val="00043B0E"/>
    <w:rsid w:val="00043CD1"/>
    <w:rsid w:val="00043E26"/>
    <w:rsid w:val="000441C2"/>
    <w:rsid w:val="000441C3"/>
    <w:rsid w:val="0004486B"/>
    <w:rsid w:val="00044870"/>
    <w:rsid w:val="00044B15"/>
    <w:rsid w:val="000452F7"/>
    <w:rsid w:val="00045402"/>
    <w:rsid w:val="000454AB"/>
    <w:rsid w:val="0004552E"/>
    <w:rsid w:val="0004569D"/>
    <w:rsid w:val="00045A5C"/>
    <w:rsid w:val="00045DC8"/>
    <w:rsid w:val="00045E9C"/>
    <w:rsid w:val="00045F8A"/>
    <w:rsid w:val="0004602F"/>
    <w:rsid w:val="000469BD"/>
    <w:rsid w:val="00046ABE"/>
    <w:rsid w:val="00046C7B"/>
    <w:rsid w:val="00046CF4"/>
    <w:rsid w:val="00046CF7"/>
    <w:rsid w:val="000471D8"/>
    <w:rsid w:val="000475D1"/>
    <w:rsid w:val="000477E6"/>
    <w:rsid w:val="00047CE1"/>
    <w:rsid w:val="00050169"/>
    <w:rsid w:val="00050388"/>
    <w:rsid w:val="0005140A"/>
    <w:rsid w:val="000514E2"/>
    <w:rsid w:val="00051649"/>
    <w:rsid w:val="00051AD6"/>
    <w:rsid w:val="00051D36"/>
    <w:rsid w:val="00052005"/>
    <w:rsid w:val="00052110"/>
    <w:rsid w:val="000526DE"/>
    <w:rsid w:val="00053217"/>
    <w:rsid w:val="00053D9A"/>
    <w:rsid w:val="00053E0B"/>
    <w:rsid w:val="00055B32"/>
    <w:rsid w:val="00055BCB"/>
    <w:rsid w:val="00056449"/>
    <w:rsid w:val="00056580"/>
    <w:rsid w:val="00056716"/>
    <w:rsid w:val="000567FA"/>
    <w:rsid w:val="00056A41"/>
    <w:rsid w:val="00056B05"/>
    <w:rsid w:val="00057268"/>
    <w:rsid w:val="000576DA"/>
    <w:rsid w:val="0005782A"/>
    <w:rsid w:val="000601A2"/>
    <w:rsid w:val="000605DC"/>
    <w:rsid w:val="0006095E"/>
    <w:rsid w:val="00060A43"/>
    <w:rsid w:val="00060F25"/>
    <w:rsid w:val="00061363"/>
    <w:rsid w:val="000616B0"/>
    <w:rsid w:val="00062187"/>
    <w:rsid w:val="000622DC"/>
    <w:rsid w:val="000624B7"/>
    <w:rsid w:val="000624C4"/>
    <w:rsid w:val="00062BE6"/>
    <w:rsid w:val="00063B4E"/>
    <w:rsid w:val="00063EDE"/>
    <w:rsid w:val="00064D10"/>
    <w:rsid w:val="00064DA0"/>
    <w:rsid w:val="00064E06"/>
    <w:rsid w:val="000654A9"/>
    <w:rsid w:val="0006562B"/>
    <w:rsid w:val="00065841"/>
    <w:rsid w:val="00065F83"/>
    <w:rsid w:val="000664BC"/>
    <w:rsid w:val="0006661F"/>
    <w:rsid w:val="0006681C"/>
    <w:rsid w:val="00066FFA"/>
    <w:rsid w:val="000671A9"/>
    <w:rsid w:val="00067348"/>
    <w:rsid w:val="0007004B"/>
    <w:rsid w:val="00070539"/>
    <w:rsid w:val="00070A5C"/>
    <w:rsid w:val="0007107C"/>
    <w:rsid w:val="000710AE"/>
    <w:rsid w:val="0007149A"/>
    <w:rsid w:val="00071641"/>
    <w:rsid w:val="0007168E"/>
    <w:rsid w:val="000720A9"/>
    <w:rsid w:val="0007230B"/>
    <w:rsid w:val="00072799"/>
    <w:rsid w:val="000728ED"/>
    <w:rsid w:val="00072F96"/>
    <w:rsid w:val="00073689"/>
    <w:rsid w:val="000737FB"/>
    <w:rsid w:val="0007392D"/>
    <w:rsid w:val="0007411B"/>
    <w:rsid w:val="00074330"/>
    <w:rsid w:val="000744E8"/>
    <w:rsid w:val="00074DBE"/>
    <w:rsid w:val="00075769"/>
    <w:rsid w:val="00075B62"/>
    <w:rsid w:val="00075D46"/>
    <w:rsid w:val="00075E90"/>
    <w:rsid w:val="00076CB9"/>
    <w:rsid w:val="00077206"/>
    <w:rsid w:val="000773D7"/>
    <w:rsid w:val="00077D2A"/>
    <w:rsid w:val="00077DEA"/>
    <w:rsid w:val="00080513"/>
    <w:rsid w:val="00080675"/>
    <w:rsid w:val="00080B1C"/>
    <w:rsid w:val="00081BE2"/>
    <w:rsid w:val="000820CB"/>
    <w:rsid w:val="0008255F"/>
    <w:rsid w:val="00082EBB"/>
    <w:rsid w:val="00082F56"/>
    <w:rsid w:val="000835DE"/>
    <w:rsid w:val="00083A2F"/>
    <w:rsid w:val="00083F09"/>
    <w:rsid w:val="0008444F"/>
    <w:rsid w:val="00084B56"/>
    <w:rsid w:val="000854E1"/>
    <w:rsid w:val="00085CDF"/>
    <w:rsid w:val="00085DB0"/>
    <w:rsid w:val="000863F9"/>
    <w:rsid w:val="00086A59"/>
    <w:rsid w:val="00086D9B"/>
    <w:rsid w:val="0008723B"/>
    <w:rsid w:val="0008733F"/>
    <w:rsid w:val="00087368"/>
    <w:rsid w:val="00087637"/>
    <w:rsid w:val="0008772F"/>
    <w:rsid w:val="000877B5"/>
    <w:rsid w:val="000879BB"/>
    <w:rsid w:val="00087F82"/>
    <w:rsid w:val="000905F6"/>
    <w:rsid w:val="00090665"/>
    <w:rsid w:val="000906E9"/>
    <w:rsid w:val="00090740"/>
    <w:rsid w:val="000907EF"/>
    <w:rsid w:val="00090886"/>
    <w:rsid w:val="0009096E"/>
    <w:rsid w:val="00090AAF"/>
    <w:rsid w:val="00090C1B"/>
    <w:rsid w:val="00090EA7"/>
    <w:rsid w:val="000913E7"/>
    <w:rsid w:val="00091509"/>
    <w:rsid w:val="00091604"/>
    <w:rsid w:val="00091858"/>
    <w:rsid w:val="000919F1"/>
    <w:rsid w:val="00091F91"/>
    <w:rsid w:val="000925DF"/>
    <w:rsid w:val="000926FB"/>
    <w:rsid w:val="00092A12"/>
    <w:rsid w:val="00093124"/>
    <w:rsid w:val="00094219"/>
    <w:rsid w:val="00094949"/>
    <w:rsid w:val="000949B4"/>
    <w:rsid w:val="00095FC0"/>
    <w:rsid w:val="00096452"/>
    <w:rsid w:val="000964B9"/>
    <w:rsid w:val="000972E3"/>
    <w:rsid w:val="0009730E"/>
    <w:rsid w:val="000976CC"/>
    <w:rsid w:val="0009775B"/>
    <w:rsid w:val="000A01AD"/>
    <w:rsid w:val="000A0397"/>
    <w:rsid w:val="000A18AB"/>
    <w:rsid w:val="000A1C9F"/>
    <w:rsid w:val="000A1E0C"/>
    <w:rsid w:val="000A1F2C"/>
    <w:rsid w:val="000A2AF4"/>
    <w:rsid w:val="000A3483"/>
    <w:rsid w:val="000A3734"/>
    <w:rsid w:val="000A3A3E"/>
    <w:rsid w:val="000A4002"/>
    <w:rsid w:val="000A4160"/>
    <w:rsid w:val="000A42A0"/>
    <w:rsid w:val="000A451A"/>
    <w:rsid w:val="000A4B56"/>
    <w:rsid w:val="000A4C05"/>
    <w:rsid w:val="000A4FCF"/>
    <w:rsid w:val="000A582E"/>
    <w:rsid w:val="000A5E2F"/>
    <w:rsid w:val="000A5FDB"/>
    <w:rsid w:val="000A61C9"/>
    <w:rsid w:val="000A6937"/>
    <w:rsid w:val="000A6E3C"/>
    <w:rsid w:val="000A7511"/>
    <w:rsid w:val="000A773C"/>
    <w:rsid w:val="000A7C51"/>
    <w:rsid w:val="000B02C4"/>
    <w:rsid w:val="000B0962"/>
    <w:rsid w:val="000B0B2F"/>
    <w:rsid w:val="000B0E86"/>
    <w:rsid w:val="000B111A"/>
    <w:rsid w:val="000B12E6"/>
    <w:rsid w:val="000B138E"/>
    <w:rsid w:val="000B1B12"/>
    <w:rsid w:val="000B1D28"/>
    <w:rsid w:val="000B1DAD"/>
    <w:rsid w:val="000B1FCE"/>
    <w:rsid w:val="000B2157"/>
    <w:rsid w:val="000B2484"/>
    <w:rsid w:val="000B26BA"/>
    <w:rsid w:val="000B28A9"/>
    <w:rsid w:val="000B2941"/>
    <w:rsid w:val="000B2D9C"/>
    <w:rsid w:val="000B34F8"/>
    <w:rsid w:val="000B38F0"/>
    <w:rsid w:val="000B3BF7"/>
    <w:rsid w:val="000B40CA"/>
    <w:rsid w:val="000B43B4"/>
    <w:rsid w:val="000B5053"/>
    <w:rsid w:val="000B5B09"/>
    <w:rsid w:val="000B5BE2"/>
    <w:rsid w:val="000B5FD4"/>
    <w:rsid w:val="000B666D"/>
    <w:rsid w:val="000B70EA"/>
    <w:rsid w:val="000B73A0"/>
    <w:rsid w:val="000C0032"/>
    <w:rsid w:val="000C0377"/>
    <w:rsid w:val="000C0523"/>
    <w:rsid w:val="000C05DB"/>
    <w:rsid w:val="000C05EE"/>
    <w:rsid w:val="000C06B3"/>
    <w:rsid w:val="000C1A0D"/>
    <w:rsid w:val="000C1AD9"/>
    <w:rsid w:val="000C1AE9"/>
    <w:rsid w:val="000C1FA1"/>
    <w:rsid w:val="000C2E5F"/>
    <w:rsid w:val="000C34F9"/>
    <w:rsid w:val="000C38CE"/>
    <w:rsid w:val="000C4909"/>
    <w:rsid w:val="000C4972"/>
    <w:rsid w:val="000C4CCC"/>
    <w:rsid w:val="000C4D11"/>
    <w:rsid w:val="000C4E62"/>
    <w:rsid w:val="000C501A"/>
    <w:rsid w:val="000C5292"/>
    <w:rsid w:val="000C5ADF"/>
    <w:rsid w:val="000C5E41"/>
    <w:rsid w:val="000C5F57"/>
    <w:rsid w:val="000C61FE"/>
    <w:rsid w:val="000C6465"/>
    <w:rsid w:val="000C6499"/>
    <w:rsid w:val="000C64FF"/>
    <w:rsid w:val="000C65F7"/>
    <w:rsid w:val="000C687E"/>
    <w:rsid w:val="000C702C"/>
    <w:rsid w:val="000C7653"/>
    <w:rsid w:val="000C7971"/>
    <w:rsid w:val="000C79BA"/>
    <w:rsid w:val="000C7EE4"/>
    <w:rsid w:val="000D0301"/>
    <w:rsid w:val="000D1378"/>
    <w:rsid w:val="000D156B"/>
    <w:rsid w:val="000D1A26"/>
    <w:rsid w:val="000D1B09"/>
    <w:rsid w:val="000D243C"/>
    <w:rsid w:val="000D27B2"/>
    <w:rsid w:val="000D292E"/>
    <w:rsid w:val="000D2BAE"/>
    <w:rsid w:val="000D2DAD"/>
    <w:rsid w:val="000D2F1D"/>
    <w:rsid w:val="000D3500"/>
    <w:rsid w:val="000D3878"/>
    <w:rsid w:val="000D3A43"/>
    <w:rsid w:val="000D3B24"/>
    <w:rsid w:val="000D3F19"/>
    <w:rsid w:val="000D493A"/>
    <w:rsid w:val="000D553A"/>
    <w:rsid w:val="000D55B7"/>
    <w:rsid w:val="000D5882"/>
    <w:rsid w:val="000D5F9C"/>
    <w:rsid w:val="000D61EE"/>
    <w:rsid w:val="000D6419"/>
    <w:rsid w:val="000D660D"/>
    <w:rsid w:val="000D68AA"/>
    <w:rsid w:val="000D6A6F"/>
    <w:rsid w:val="000D6E68"/>
    <w:rsid w:val="000D6FBA"/>
    <w:rsid w:val="000D705F"/>
    <w:rsid w:val="000D7284"/>
    <w:rsid w:val="000D7BAF"/>
    <w:rsid w:val="000E0294"/>
    <w:rsid w:val="000E097A"/>
    <w:rsid w:val="000E0ABA"/>
    <w:rsid w:val="000E0C0B"/>
    <w:rsid w:val="000E1032"/>
    <w:rsid w:val="000E1287"/>
    <w:rsid w:val="000E1EE7"/>
    <w:rsid w:val="000E1F13"/>
    <w:rsid w:val="000E20C9"/>
    <w:rsid w:val="000E20D9"/>
    <w:rsid w:val="000E22BE"/>
    <w:rsid w:val="000E2704"/>
    <w:rsid w:val="000E2ACB"/>
    <w:rsid w:val="000E2D6A"/>
    <w:rsid w:val="000E2F96"/>
    <w:rsid w:val="000E35ED"/>
    <w:rsid w:val="000E3B6A"/>
    <w:rsid w:val="000E3CDA"/>
    <w:rsid w:val="000E480F"/>
    <w:rsid w:val="000E5012"/>
    <w:rsid w:val="000E577B"/>
    <w:rsid w:val="000E5805"/>
    <w:rsid w:val="000E5C89"/>
    <w:rsid w:val="000E5F93"/>
    <w:rsid w:val="000E61A7"/>
    <w:rsid w:val="000E6B52"/>
    <w:rsid w:val="000E708E"/>
    <w:rsid w:val="000E72E6"/>
    <w:rsid w:val="000E73D6"/>
    <w:rsid w:val="000E740E"/>
    <w:rsid w:val="000E7B2D"/>
    <w:rsid w:val="000E7C31"/>
    <w:rsid w:val="000F03B6"/>
    <w:rsid w:val="000F0700"/>
    <w:rsid w:val="000F120C"/>
    <w:rsid w:val="000F1399"/>
    <w:rsid w:val="000F19C4"/>
    <w:rsid w:val="000F2A14"/>
    <w:rsid w:val="000F2F6B"/>
    <w:rsid w:val="000F31DB"/>
    <w:rsid w:val="000F3343"/>
    <w:rsid w:val="000F36A2"/>
    <w:rsid w:val="000F3A7C"/>
    <w:rsid w:val="000F3F32"/>
    <w:rsid w:val="000F45AA"/>
    <w:rsid w:val="000F4926"/>
    <w:rsid w:val="000F4A82"/>
    <w:rsid w:val="000F4BF0"/>
    <w:rsid w:val="000F5B1E"/>
    <w:rsid w:val="000F5B73"/>
    <w:rsid w:val="000F5D89"/>
    <w:rsid w:val="000F60CF"/>
    <w:rsid w:val="000F67D6"/>
    <w:rsid w:val="000F6DAF"/>
    <w:rsid w:val="000F6E67"/>
    <w:rsid w:val="000F6F91"/>
    <w:rsid w:val="000F716F"/>
    <w:rsid w:val="000F7204"/>
    <w:rsid w:val="000F726E"/>
    <w:rsid w:val="000F73DB"/>
    <w:rsid w:val="000F7483"/>
    <w:rsid w:val="000F74A8"/>
    <w:rsid w:val="000F7707"/>
    <w:rsid w:val="000F79F9"/>
    <w:rsid w:val="000F7D8E"/>
    <w:rsid w:val="001008AC"/>
    <w:rsid w:val="00100DC6"/>
    <w:rsid w:val="00100F86"/>
    <w:rsid w:val="00101030"/>
    <w:rsid w:val="001010F0"/>
    <w:rsid w:val="001017F1"/>
    <w:rsid w:val="00101F2B"/>
    <w:rsid w:val="00102A0F"/>
    <w:rsid w:val="00102D47"/>
    <w:rsid w:val="0010333F"/>
    <w:rsid w:val="001033AB"/>
    <w:rsid w:val="00103457"/>
    <w:rsid w:val="00103B15"/>
    <w:rsid w:val="00103D2F"/>
    <w:rsid w:val="001040E4"/>
    <w:rsid w:val="00104464"/>
    <w:rsid w:val="00104CFC"/>
    <w:rsid w:val="00105379"/>
    <w:rsid w:val="00105A5C"/>
    <w:rsid w:val="00105AD1"/>
    <w:rsid w:val="00105D3D"/>
    <w:rsid w:val="00105F2C"/>
    <w:rsid w:val="0010644A"/>
    <w:rsid w:val="00107209"/>
    <w:rsid w:val="0010758C"/>
    <w:rsid w:val="0011000F"/>
    <w:rsid w:val="00110137"/>
    <w:rsid w:val="001101C1"/>
    <w:rsid w:val="001103B1"/>
    <w:rsid w:val="00110899"/>
    <w:rsid w:val="00111E73"/>
    <w:rsid w:val="00112382"/>
    <w:rsid w:val="001125BC"/>
    <w:rsid w:val="00113123"/>
    <w:rsid w:val="001131DF"/>
    <w:rsid w:val="00114251"/>
    <w:rsid w:val="00114626"/>
    <w:rsid w:val="00114BB8"/>
    <w:rsid w:val="00114FCF"/>
    <w:rsid w:val="00115418"/>
    <w:rsid w:val="00115DAA"/>
    <w:rsid w:val="00115F4D"/>
    <w:rsid w:val="00116248"/>
    <w:rsid w:val="0011747B"/>
    <w:rsid w:val="00117530"/>
    <w:rsid w:val="00117D7B"/>
    <w:rsid w:val="00117FAA"/>
    <w:rsid w:val="00120057"/>
    <w:rsid w:val="00120C50"/>
    <w:rsid w:val="00120C90"/>
    <w:rsid w:val="00120E12"/>
    <w:rsid w:val="0012130F"/>
    <w:rsid w:val="001216EA"/>
    <w:rsid w:val="00121872"/>
    <w:rsid w:val="00121FA2"/>
    <w:rsid w:val="001224B5"/>
    <w:rsid w:val="00122B3D"/>
    <w:rsid w:val="00122CF1"/>
    <w:rsid w:val="001232D5"/>
    <w:rsid w:val="00123579"/>
    <w:rsid w:val="001241C0"/>
    <w:rsid w:val="00124208"/>
    <w:rsid w:val="00124C84"/>
    <w:rsid w:val="00124EA0"/>
    <w:rsid w:val="00125A5F"/>
    <w:rsid w:val="00125A62"/>
    <w:rsid w:val="00125E28"/>
    <w:rsid w:val="00125F7F"/>
    <w:rsid w:val="001260C3"/>
    <w:rsid w:val="0012665B"/>
    <w:rsid w:val="00126923"/>
    <w:rsid w:val="00126DD0"/>
    <w:rsid w:val="00126E30"/>
    <w:rsid w:val="00126EC1"/>
    <w:rsid w:val="00126FD4"/>
    <w:rsid w:val="00126FFB"/>
    <w:rsid w:val="001270D2"/>
    <w:rsid w:val="00127344"/>
    <w:rsid w:val="00127933"/>
    <w:rsid w:val="001308BA"/>
    <w:rsid w:val="00130C44"/>
    <w:rsid w:val="001311D3"/>
    <w:rsid w:val="0013163D"/>
    <w:rsid w:val="0013168D"/>
    <w:rsid w:val="00131C6D"/>
    <w:rsid w:val="00131C8F"/>
    <w:rsid w:val="00131F8B"/>
    <w:rsid w:val="0013221A"/>
    <w:rsid w:val="00132689"/>
    <w:rsid w:val="00132F27"/>
    <w:rsid w:val="00133DA1"/>
    <w:rsid w:val="00134B77"/>
    <w:rsid w:val="00134CCA"/>
    <w:rsid w:val="0013544B"/>
    <w:rsid w:val="001355C2"/>
    <w:rsid w:val="00135E50"/>
    <w:rsid w:val="00136610"/>
    <w:rsid w:val="00136A38"/>
    <w:rsid w:val="00136D57"/>
    <w:rsid w:val="00136DD7"/>
    <w:rsid w:val="00137307"/>
    <w:rsid w:val="001377F0"/>
    <w:rsid w:val="001379B3"/>
    <w:rsid w:val="00137C4E"/>
    <w:rsid w:val="00137D43"/>
    <w:rsid w:val="0014018E"/>
    <w:rsid w:val="00140282"/>
    <w:rsid w:val="00140792"/>
    <w:rsid w:val="001407B8"/>
    <w:rsid w:val="001407DA"/>
    <w:rsid w:val="001407F8"/>
    <w:rsid w:val="00140982"/>
    <w:rsid w:val="00140BC6"/>
    <w:rsid w:val="00140E84"/>
    <w:rsid w:val="001411EC"/>
    <w:rsid w:val="00141204"/>
    <w:rsid w:val="001414DB"/>
    <w:rsid w:val="00141B05"/>
    <w:rsid w:val="00141B6C"/>
    <w:rsid w:val="001420AF"/>
    <w:rsid w:val="001420E9"/>
    <w:rsid w:val="001421BB"/>
    <w:rsid w:val="00142618"/>
    <w:rsid w:val="00142781"/>
    <w:rsid w:val="00142819"/>
    <w:rsid w:val="00142D67"/>
    <w:rsid w:val="00143630"/>
    <w:rsid w:val="001436EB"/>
    <w:rsid w:val="00143BBE"/>
    <w:rsid w:val="00144179"/>
    <w:rsid w:val="001443BC"/>
    <w:rsid w:val="001448B5"/>
    <w:rsid w:val="001448EC"/>
    <w:rsid w:val="00144B5A"/>
    <w:rsid w:val="00144E7A"/>
    <w:rsid w:val="00145793"/>
    <w:rsid w:val="00146C2F"/>
    <w:rsid w:val="00146D66"/>
    <w:rsid w:val="00147FD7"/>
    <w:rsid w:val="0015005F"/>
    <w:rsid w:val="00150DB1"/>
    <w:rsid w:val="001517C2"/>
    <w:rsid w:val="00151867"/>
    <w:rsid w:val="001525DD"/>
    <w:rsid w:val="00152A07"/>
    <w:rsid w:val="00152DD1"/>
    <w:rsid w:val="0015375D"/>
    <w:rsid w:val="00153B83"/>
    <w:rsid w:val="00153C5F"/>
    <w:rsid w:val="00154687"/>
    <w:rsid w:val="00154DEB"/>
    <w:rsid w:val="0015553D"/>
    <w:rsid w:val="0015557E"/>
    <w:rsid w:val="00155A2F"/>
    <w:rsid w:val="00155BCA"/>
    <w:rsid w:val="00155EA8"/>
    <w:rsid w:val="00155F4E"/>
    <w:rsid w:val="001561F4"/>
    <w:rsid w:val="00156811"/>
    <w:rsid w:val="00157258"/>
    <w:rsid w:val="00157931"/>
    <w:rsid w:val="00157C26"/>
    <w:rsid w:val="00157ED0"/>
    <w:rsid w:val="0016018D"/>
    <w:rsid w:val="00160AB1"/>
    <w:rsid w:val="001612BB"/>
    <w:rsid w:val="001614AE"/>
    <w:rsid w:val="001615A6"/>
    <w:rsid w:val="00161A05"/>
    <w:rsid w:val="00161B89"/>
    <w:rsid w:val="00161E67"/>
    <w:rsid w:val="0016203B"/>
    <w:rsid w:val="00162101"/>
    <w:rsid w:val="00162281"/>
    <w:rsid w:val="00162764"/>
    <w:rsid w:val="00162905"/>
    <w:rsid w:val="00163319"/>
    <w:rsid w:val="00163725"/>
    <w:rsid w:val="00163BD5"/>
    <w:rsid w:val="00164442"/>
    <w:rsid w:val="00164753"/>
    <w:rsid w:val="00164C4B"/>
    <w:rsid w:val="00165A4E"/>
    <w:rsid w:val="00165E03"/>
    <w:rsid w:val="00165EB4"/>
    <w:rsid w:val="00166080"/>
    <w:rsid w:val="001660AD"/>
    <w:rsid w:val="001663CB"/>
    <w:rsid w:val="001666CF"/>
    <w:rsid w:val="00166C0E"/>
    <w:rsid w:val="00166F31"/>
    <w:rsid w:val="001679A4"/>
    <w:rsid w:val="00167D9A"/>
    <w:rsid w:val="001704B9"/>
    <w:rsid w:val="0017083D"/>
    <w:rsid w:val="00170C4F"/>
    <w:rsid w:val="00170DAC"/>
    <w:rsid w:val="001713AD"/>
    <w:rsid w:val="00171624"/>
    <w:rsid w:val="00171698"/>
    <w:rsid w:val="00171961"/>
    <w:rsid w:val="00172701"/>
    <w:rsid w:val="0017271D"/>
    <w:rsid w:val="001727AE"/>
    <w:rsid w:val="00172B5C"/>
    <w:rsid w:val="00172C2B"/>
    <w:rsid w:val="00172E58"/>
    <w:rsid w:val="0017369E"/>
    <w:rsid w:val="00174073"/>
    <w:rsid w:val="0017423D"/>
    <w:rsid w:val="001748C6"/>
    <w:rsid w:val="00174E40"/>
    <w:rsid w:val="00175272"/>
    <w:rsid w:val="001753C3"/>
    <w:rsid w:val="001757C8"/>
    <w:rsid w:val="00175840"/>
    <w:rsid w:val="0017650C"/>
    <w:rsid w:val="00176985"/>
    <w:rsid w:val="001769C6"/>
    <w:rsid w:val="001778C7"/>
    <w:rsid w:val="001779CB"/>
    <w:rsid w:val="00177C85"/>
    <w:rsid w:val="00177D55"/>
    <w:rsid w:val="001807F3"/>
    <w:rsid w:val="0018111D"/>
    <w:rsid w:val="00181796"/>
    <w:rsid w:val="001817AD"/>
    <w:rsid w:val="00181D69"/>
    <w:rsid w:val="0018206E"/>
    <w:rsid w:val="0018228D"/>
    <w:rsid w:val="001823AA"/>
    <w:rsid w:val="00182450"/>
    <w:rsid w:val="001825CA"/>
    <w:rsid w:val="001835FA"/>
    <w:rsid w:val="00183C87"/>
    <w:rsid w:val="0018429B"/>
    <w:rsid w:val="001843E2"/>
    <w:rsid w:val="00184588"/>
    <w:rsid w:val="00184F65"/>
    <w:rsid w:val="00185620"/>
    <w:rsid w:val="00185B61"/>
    <w:rsid w:val="00185CA7"/>
    <w:rsid w:val="00185CC0"/>
    <w:rsid w:val="00185D15"/>
    <w:rsid w:val="00185EA0"/>
    <w:rsid w:val="00186424"/>
    <w:rsid w:val="00186B32"/>
    <w:rsid w:val="00186EFD"/>
    <w:rsid w:val="001870C9"/>
    <w:rsid w:val="00187346"/>
    <w:rsid w:val="00187635"/>
    <w:rsid w:val="00187792"/>
    <w:rsid w:val="00187840"/>
    <w:rsid w:val="00187A57"/>
    <w:rsid w:val="00187FBC"/>
    <w:rsid w:val="00190BA8"/>
    <w:rsid w:val="00190BD7"/>
    <w:rsid w:val="00190C5E"/>
    <w:rsid w:val="00190C79"/>
    <w:rsid w:val="00190DFC"/>
    <w:rsid w:val="00190E36"/>
    <w:rsid w:val="0019145D"/>
    <w:rsid w:val="00191A7D"/>
    <w:rsid w:val="00191AB2"/>
    <w:rsid w:val="00191ACA"/>
    <w:rsid w:val="00191AD6"/>
    <w:rsid w:val="00191E38"/>
    <w:rsid w:val="00191ED0"/>
    <w:rsid w:val="001921AB"/>
    <w:rsid w:val="001922F9"/>
    <w:rsid w:val="00192B7A"/>
    <w:rsid w:val="00192EC5"/>
    <w:rsid w:val="001933DC"/>
    <w:rsid w:val="00193914"/>
    <w:rsid w:val="00193AE3"/>
    <w:rsid w:val="00193B4F"/>
    <w:rsid w:val="001943EF"/>
    <w:rsid w:val="001945F3"/>
    <w:rsid w:val="001946D3"/>
    <w:rsid w:val="00194B51"/>
    <w:rsid w:val="00194D44"/>
    <w:rsid w:val="00195195"/>
    <w:rsid w:val="00195223"/>
    <w:rsid w:val="001953CC"/>
    <w:rsid w:val="00195769"/>
    <w:rsid w:val="00195E73"/>
    <w:rsid w:val="00196311"/>
    <w:rsid w:val="00196318"/>
    <w:rsid w:val="001968F4"/>
    <w:rsid w:val="00196C9B"/>
    <w:rsid w:val="00196F15"/>
    <w:rsid w:val="0019712E"/>
    <w:rsid w:val="00197904"/>
    <w:rsid w:val="00197EE7"/>
    <w:rsid w:val="00197F71"/>
    <w:rsid w:val="001A04A7"/>
    <w:rsid w:val="001A0527"/>
    <w:rsid w:val="001A07EB"/>
    <w:rsid w:val="001A0851"/>
    <w:rsid w:val="001A093C"/>
    <w:rsid w:val="001A12A0"/>
    <w:rsid w:val="001A146D"/>
    <w:rsid w:val="001A16F9"/>
    <w:rsid w:val="001A1B58"/>
    <w:rsid w:val="001A1ECA"/>
    <w:rsid w:val="001A217A"/>
    <w:rsid w:val="001A23D0"/>
    <w:rsid w:val="001A2B59"/>
    <w:rsid w:val="001A2F92"/>
    <w:rsid w:val="001A3A82"/>
    <w:rsid w:val="001A4272"/>
    <w:rsid w:val="001A4B06"/>
    <w:rsid w:val="001A4F2C"/>
    <w:rsid w:val="001A53F9"/>
    <w:rsid w:val="001A5905"/>
    <w:rsid w:val="001A5B1D"/>
    <w:rsid w:val="001A5F01"/>
    <w:rsid w:val="001A6351"/>
    <w:rsid w:val="001A704F"/>
    <w:rsid w:val="001A7D15"/>
    <w:rsid w:val="001B043D"/>
    <w:rsid w:val="001B0891"/>
    <w:rsid w:val="001B10B8"/>
    <w:rsid w:val="001B16B7"/>
    <w:rsid w:val="001B2178"/>
    <w:rsid w:val="001B2395"/>
    <w:rsid w:val="001B346D"/>
    <w:rsid w:val="001B3B21"/>
    <w:rsid w:val="001B3DE6"/>
    <w:rsid w:val="001B4D16"/>
    <w:rsid w:val="001B5859"/>
    <w:rsid w:val="001B5894"/>
    <w:rsid w:val="001B5B51"/>
    <w:rsid w:val="001B5BAC"/>
    <w:rsid w:val="001B5CDF"/>
    <w:rsid w:val="001B5F56"/>
    <w:rsid w:val="001B5FC8"/>
    <w:rsid w:val="001B650C"/>
    <w:rsid w:val="001B6E67"/>
    <w:rsid w:val="001B6F48"/>
    <w:rsid w:val="001B7073"/>
    <w:rsid w:val="001B70A7"/>
    <w:rsid w:val="001B71A0"/>
    <w:rsid w:val="001B73EF"/>
    <w:rsid w:val="001B7AB1"/>
    <w:rsid w:val="001C012F"/>
    <w:rsid w:val="001C03BE"/>
    <w:rsid w:val="001C089A"/>
    <w:rsid w:val="001C09B2"/>
    <w:rsid w:val="001C0AC3"/>
    <w:rsid w:val="001C0D69"/>
    <w:rsid w:val="001C0F2D"/>
    <w:rsid w:val="001C0FA1"/>
    <w:rsid w:val="001C1803"/>
    <w:rsid w:val="001C181C"/>
    <w:rsid w:val="001C213E"/>
    <w:rsid w:val="001C2AFB"/>
    <w:rsid w:val="001C32FF"/>
    <w:rsid w:val="001C3D79"/>
    <w:rsid w:val="001C3F71"/>
    <w:rsid w:val="001C46AD"/>
    <w:rsid w:val="001C4B49"/>
    <w:rsid w:val="001C4F4D"/>
    <w:rsid w:val="001C4F66"/>
    <w:rsid w:val="001C51D0"/>
    <w:rsid w:val="001C527E"/>
    <w:rsid w:val="001C52E0"/>
    <w:rsid w:val="001C587D"/>
    <w:rsid w:val="001C58B9"/>
    <w:rsid w:val="001C5C39"/>
    <w:rsid w:val="001C6818"/>
    <w:rsid w:val="001C68B5"/>
    <w:rsid w:val="001C691B"/>
    <w:rsid w:val="001C6EA2"/>
    <w:rsid w:val="001C6F64"/>
    <w:rsid w:val="001C7A0A"/>
    <w:rsid w:val="001C7EF6"/>
    <w:rsid w:val="001D005C"/>
    <w:rsid w:val="001D08BC"/>
    <w:rsid w:val="001D0B0D"/>
    <w:rsid w:val="001D0D4C"/>
    <w:rsid w:val="001D1675"/>
    <w:rsid w:val="001D16CD"/>
    <w:rsid w:val="001D17FA"/>
    <w:rsid w:val="001D1925"/>
    <w:rsid w:val="001D1D2D"/>
    <w:rsid w:val="001D2428"/>
    <w:rsid w:val="001D2454"/>
    <w:rsid w:val="001D2F69"/>
    <w:rsid w:val="001D30C3"/>
    <w:rsid w:val="001D322C"/>
    <w:rsid w:val="001D3237"/>
    <w:rsid w:val="001D35B5"/>
    <w:rsid w:val="001D3D09"/>
    <w:rsid w:val="001D3E53"/>
    <w:rsid w:val="001D4213"/>
    <w:rsid w:val="001D4922"/>
    <w:rsid w:val="001D51E2"/>
    <w:rsid w:val="001D62B6"/>
    <w:rsid w:val="001D6536"/>
    <w:rsid w:val="001D689E"/>
    <w:rsid w:val="001D696D"/>
    <w:rsid w:val="001D6B19"/>
    <w:rsid w:val="001D6B9D"/>
    <w:rsid w:val="001D6BA1"/>
    <w:rsid w:val="001D7355"/>
    <w:rsid w:val="001D75C4"/>
    <w:rsid w:val="001D7951"/>
    <w:rsid w:val="001E00F9"/>
    <w:rsid w:val="001E0609"/>
    <w:rsid w:val="001E07D6"/>
    <w:rsid w:val="001E09F5"/>
    <w:rsid w:val="001E0C9B"/>
    <w:rsid w:val="001E13E9"/>
    <w:rsid w:val="001E142D"/>
    <w:rsid w:val="001E1448"/>
    <w:rsid w:val="001E1875"/>
    <w:rsid w:val="001E1F57"/>
    <w:rsid w:val="001E208A"/>
    <w:rsid w:val="001E21BF"/>
    <w:rsid w:val="001E21FF"/>
    <w:rsid w:val="001E3B29"/>
    <w:rsid w:val="001E41BF"/>
    <w:rsid w:val="001E4409"/>
    <w:rsid w:val="001E493F"/>
    <w:rsid w:val="001E4D8B"/>
    <w:rsid w:val="001E4EE8"/>
    <w:rsid w:val="001E4F37"/>
    <w:rsid w:val="001E56B8"/>
    <w:rsid w:val="001E5E41"/>
    <w:rsid w:val="001E6DB4"/>
    <w:rsid w:val="001E759E"/>
    <w:rsid w:val="001E77B1"/>
    <w:rsid w:val="001F0084"/>
    <w:rsid w:val="001F0280"/>
    <w:rsid w:val="001F0794"/>
    <w:rsid w:val="001F0C24"/>
    <w:rsid w:val="001F0EC7"/>
    <w:rsid w:val="001F0FD8"/>
    <w:rsid w:val="001F0FEC"/>
    <w:rsid w:val="001F1776"/>
    <w:rsid w:val="001F1AA2"/>
    <w:rsid w:val="001F29C3"/>
    <w:rsid w:val="001F3117"/>
    <w:rsid w:val="001F32D7"/>
    <w:rsid w:val="001F3D95"/>
    <w:rsid w:val="001F4C63"/>
    <w:rsid w:val="001F52B5"/>
    <w:rsid w:val="001F5313"/>
    <w:rsid w:val="001F5917"/>
    <w:rsid w:val="001F6317"/>
    <w:rsid w:val="001F661B"/>
    <w:rsid w:val="001F6AFE"/>
    <w:rsid w:val="001F72A3"/>
    <w:rsid w:val="001F735E"/>
    <w:rsid w:val="001F767A"/>
    <w:rsid w:val="001F78E0"/>
    <w:rsid w:val="001F78E6"/>
    <w:rsid w:val="001F7FEF"/>
    <w:rsid w:val="00200685"/>
    <w:rsid w:val="0020086A"/>
    <w:rsid w:val="00200AEF"/>
    <w:rsid w:val="00201BDB"/>
    <w:rsid w:val="00201C1F"/>
    <w:rsid w:val="00201F15"/>
    <w:rsid w:val="00201FC1"/>
    <w:rsid w:val="00201FC6"/>
    <w:rsid w:val="0020258A"/>
    <w:rsid w:val="002025C8"/>
    <w:rsid w:val="002028FB"/>
    <w:rsid w:val="00202AA2"/>
    <w:rsid w:val="00202AF4"/>
    <w:rsid w:val="00203262"/>
    <w:rsid w:val="00203478"/>
    <w:rsid w:val="002036DC"/>
    <w:rsid w:val="00203720"/>
    <w:rsid w:val="002037C5"/>
    <w:rsid w:val="00203BE9"/>
    <w:rsid w:val="002041BC"/>
    <w:rsid w:val="002042E7"/>
    <w:rsid w:val="00204B5E"/>
    <w:rsid w:val="00204E4C"/>
    <w:rsid w:val="002053B0"/>
    <w:rsid w:val="0020547F"/>
    <w:rsid w:val="00205995"/>
    <w:rsid w:val="00205E49"/>
    <w:rsid w:val="0020639F"/>
    <w:rsid w:val="002066B9"/>
    <w:rsid w:val="00206840"/>
    <w:rsid w:val="0020691B"/>
    <w:rsid w:val="0020699A"/>
    <w:rsid w:val="00206D90"/>
    <w:rsid w:val="0020770D"/>
    <w:rsid w:val="00207AC9"/>
    <w:rsid w:val="002102E6"/>
    <w:rsid w:val="0021068E"/>
    <w:rsid w:val="002111F7"/>
    <w:rsid w:val="00211518"/>
    <w:rsid w:val="0021168E"/>
    <w:rsid w:val="002118B9"/>
    <w:rsid w:val="00211A2F"/>
    <w:rsid w:val="00211CA3"/>
    <w:rsid w:val="00211E97"/>
    <w:rsid w:val="00212635"/>
    <w:rsid w:val="00212688"/>
    <w:rsid w:val="00212BBE"/>
    <w:rsid w:val="00212CBD"/>
    <w:rsid w:val="00212FD0"/>
    <w:rsid w:val="0021357C"/>
    <w:rsid w:val="00213C26"/>
    <w:rsid w:val="00214AD5"/>
    <w:rsid w:val="00214E29"/>
    <w:rsid w:val="00215164"/>
    <w:rsid w:val="00215281"/>
    <w:rsid w:val="00215752"/>
    <w:rsid w:val="00215DFA"/>
    <w:rsid w:val="00215FFA"/>
    <w:rsid w:val="00216762"/>
    <w:rsid w:val="00216F30"/>
    <w:rsid w:val="002173A0"/>
    <w:rsid w:val="002176BA"/>
    <w:rsid w:val="00217812"/>
    <w:rsid w:val="0022025B"/>
    <w:rsid w:val="0022081A"/>
    <w:rsid w:val="00220848"/>
    <w:rsid w:val="00220890"/>
    <w:rsid w:val="00220922"/>
    <w:rsid w:val="00220ADD"/>
    <w:rsid w:val="002216B1"/>
    <w:rsid w:val="002217D7"/>
    <w:rsid w:val="002219EE"/>
    <w:rsid w:val="00221D1D"/>
    <w:rsid w:val="00222098"/>
    <w:rsid w:val="0022223B"/>
    <w:rsid w:val="002223B7"/>
    <w:rsid w:val="002223F1"/>
    <w:rsid w:val="0022245A"/>
    <w:rsid w:val="00222638"/>
    <w:rsid w:val="00222F55"/>
    <w:rsid w:val="00222F89"/>
    <w:rsid w:val="0022300E"/>
    <w:rsid w:val="002233F9"/>
    <w:rsid w:val="00223C0A"/>
    <w:rsid w:val="00223EC4"/>
    <w:rsid w:val="00224182"/>
    <w:rsid w:val="00224537"/>
    <w:rsid w:val="00224609"/>
    <w:rsid w:val="002247B6"/>
    <w:rsid w:val="00224801"/>
    <w:rsid w:val="00224B0D"/>
    <w:rsid w:val="00224E5D"/>
    <w:rsid w:val="00225B1C"/>
    <w:rsid w:val="00225CA8"/>
    <w:rsid w:val="0022653B"/>
    <w:rsid w:val="00226905"/>
    <w:rsid w:val="00226A61"/>
    <w:rsid w:val="00226D0C"/>
    <w:rsid w:val="00226F30"/>
    <w:rsid w:val="0022733D"/>
    <w:rsid w:val="0022793F"/>
    <w:rsid w:val="00227C01"/>
    <w:rsid w:val="00230827"/>
    <w:rsid w:val="00230A32"/>
    <w:rsid w:val="00230B46"/>
    <w:rsid w:val="002316C6"/>
    <w:rsid w:val="00231BAC"/>
    <w:rsid w:val="00231BCB"/>
    <w:rsid w:val="00231FE8"/>
    <w:rsid w:val="00232146"/>
    <w:rsid w:val="0023215C"/>
    <w:rsid w:val="002322C7"/>
    <w:rsid w:val="002325E5"/>
    <w:rsid w:val="002327A0"/>
    <w:rsid w:val="00232A56"/>
    <w:rsid w:val="00233053"/>
    <w:rsid w:val="00233223"/>
    <w:rsid w:val="00233514"/>
    <w:rsid w:val="00233BBC"/>
    <w:rsid w:val="00233F8B"/>
    <w:rsid w:val="002340FB"/>
    <w:rsid w:val="0023420C"/>
    <w:rsid w:val="002347A0"/>
    <w:rsid w:val="00234833"/>
    <w:rsid w:val="002349E7"/>
    <w:rsid w:val="00235FC4"/>
    <w:rsid w:val="00235FD7"/>
    <w:rsid w:val="00236034"/>
    <w:rsid w:val="002360D2"/>
    <w:rsid w:val="002376CF"/>
    <w:rsid w:val="00237F20"/>
    <w:rsid w:val="00237F66"/>
    <w:rsid w:val="00238CDC"/>
    <w:rsid w:val="00240050"/>
    <w:rsid w:val="00240641"/>
    <w:rsid w:val="00240939"/>
    <w:rsid w:val="00240B06"/>
    <w:rsid w:val="00240DAD"/>
    <w:rsid w:val="0024111D"/>
    <w:rsid w:val="0024199E"/>
    <w:rsid w:val="00241A6B"/>
    <w:rsid w:val="002427E9"/>
    <w:rsid w:val="002430AA"/>
    <w:rsid w:val="002430FA"/>
    <w:rsid w:val="002431D9"/>
    <w:rsid w:val="002436AE"/>
    <w:rsid w:val="00243CEA"/>
    <w:rsid w:val="002443F4"/>
    <w:rsid w:val="002448DC"/>
    <w:rsid w:val="00244CAA"/>
    <w:rsid w:val="00244E17"/>
    <w:rsid w:val="00245519"/>
    <w:rsid w:val="002463BD"/>
    <w:rsid w:val="00246782"/>
    <w:rsid w:val="002469FF"/>
    <w:rsid w:val="0024706A"/>
    <w:rsid w:val="002470FD"/>
    <w:rsid w:val="0024791A"/>
    <w:rsid w:val="00247958"/>
    <w:rsid w:val="00247BD7"/>
    <w:rsid w:val="00247F14"/>
    <w:rsid w:val="00250232"/>
    <w:rsid w:val="00250A67"/>
    <w:rsid w:val="002511C7"/>
    <w:rsid w:val="00251222"/>
    <w:rsid w:val="0025141E"/>
    <w:rsid w:val="002515AF"/>
    <w:rsid w:val="0025178A"/>
    <w:rsid w:val="00252A1B"/>
    <w:rsid w:val="00252F29"/>
    <w:rsid w:val="0025338D"/>
    <w:rsid w:val="002536DF"/>
    <w:rsid w:val="00253F48"/>
    <w:rsid w:val="0025400F"/>
    <w:rsid w:val="0025458B"/>
    <w:rsid w:val="00254858"/>
    <w:rsid w:val="00254885"/>
    <w:rsid w:val="00254AC2"/>
    <w:rsid w:val="002557C3"/>
    <w:rsid w:val="00255AAF"/>
    <w:rsid w:val="0025610E"/>
    <w:rsid w:val="0025616A"/>
    <w:rsid w:val="002564C3"/>
    <w:rsid w:val="002565F0"/>
    <w:rsid w:val="00256822"/>
    <w:rsid w:val="00256D96"/>
    <w:rsid w:val="002578D2"/>
    <w:rsid w:val="00257D35"/>
    <w:rsid w:val="002600F9"/>
    <w:rsid w:val="002612CC"/>
    <w:rsid w:val="002613E3"/>
    <w:rsid w:val="00261537"/>
    <w:rsid w:val="00263169"/>
    <w:rsid w:val="00263415"/>
    <w:rsid w:val="0026356E"/>
    <w:rsid w:val="00263A1C"/>
    <w:rsid w:val="00263E26"/>
    <w:rsid w:val="00263EE5"/>
    <w:rsid w:val="0026446A"/>
    <w:rsid w:val="00264BB8"/>
    <w:rsid w:val="00265045"/>
    <w:rsid w:val="002650D2"/>
    <w:rsid w:val="0026531B"/>
    <w:rsid w:val="00265467"/>
    <w:rsid w:val="002656EA"/>
    <w:rsid w:val="00265A30"/>
    <w:rsid w:val="00265FEF"/>
    <w:rsid w:val="002664AD"/>
    <w:rsid w:val="002664C3"/>
    <w:rsid w:val="00266E96"/>
    <w:rsid w:val="00267178"/>
    <w:rsid w:val="00267180"/>
    <w:rsid w:val="00267969"/>
    <w:rsid w:val="00267A17"/>
    <w:rsid w:val="00267AAE"/>
    <w:rsid w:val="00267C81"/>
    <w:rsid w:val="00267E7A"/>
    <w:rsid w:val="002704CF"/>
    <w:rsid w:val="00270E2D"/>
    <w:rsid w:val="002712DE"/>
    <w:rsid w:val="00271F56"/>
    <w:rsid w:val="002723B7"/>
    <w:rsid w:val="0027266D"/>
    <w:rsid w:val="00272BBB"/>
    <w:rsid w:val="00272C15"/>
    <w:rsid w:val="00272C55"/>
    <w:rsid w:val="00273CEB"/>
    <w:rsid w:val="00274476"/>
    <w:rsid w:val="002744D8"/>
    <w:rsid w:val="00274684"/>
    <w:rsid w:val="00274701"/>
    <w:rsid w:val="00274FEF"/>
    <w:rsid w:val="002752E5"/>
    <w:rsid w:val="002756F3"/>
    <w:rsid w:val="00275DB8"/>
    <w:rsid w:val="00275FB3"/>
    <w:rsid w:val="002760E5"/>
    <w:rsid w:val="002764DF"/>
    <w:rsid w:val="00276712"/>
    <w:rsid w:val="00276DB5"/>
    <w:rsid w:val="00276DF2"/>
    <w:rsid w:val="0027712C"/>
    <w:rsid w:val="00277AF0"/>
    <w:rsid w:val="00277C89"/>
    <w:rsid w:val="00277ED4"/>
    <w:rsid w:val="00280133"/>
    <w:rsid w:val="0028023C"/>
    <w:rsid w:val="0028059D"/>
    <w:rsid w:val="00280868"/>
    <w:rsid w:val="0028131C"/>
    <w:rsid w:val="00281388"/>
    <w:rsid w:val="0028167E"/>
    <w:rsid w:val="00281958"/>
    <w:rsid w:val="00281A64"/>
    <w:rsid w:val="00281F38"/>
    <w:rsid w:val="00282318"/>
    <w:rsid w:val="0028239F"/>
    <w:rsid w:val="0028276C"/>
    <w:rsid w:val="00282953"/>
    <w:rsid w:val="0028315B"/>
    <w:rsid w:val="00283161"/>
    <w:rsid w:val="00283825"/>
    <w:rsid w:val="00283AFB"/>
    <w:rsid w:val="002843F1"/>
    <w:rsid w:val="0028493B"/>
    <w:rsid w:val="00284A38"/>
    <w:rsid w:val="00285270"/>
    <w:rsid w:val="002852E3"/>
    <w:rsid w:val="0028569B"/>
    <w:rsid w:val="00285BE8"/>
    <w:rsid w:val="00285E6F"/>
    <w:rsid w:val="002860A1"/>
    <w:rsid w:val="0028621C"/>
    <w:rsid w:val="002864AA"/>
    <w:rsid w:val="00286E7C"/>
    <w:rsid w:val="0028777F"/>
    <w:rsid w:val="00287DB7"/>
    <w:rsid w:val="0029007D"/>
    <w:rsid w:val="00290357"/>
    <w:rsid w:val="00291088"/>
    <w:rsid w:val="002914EE"/>
    <w:rsid w:val="0029177B"/>
    <w:rsid w:val="00291C90"/>
    <w:rsid w:val="00291CDD"/>
    <w:rsid w:val="002922AE"/>
    <w:rsid w:val="002922BC"/>
    <w:rsid w:val="0029241C"/>
    <w:rsid w:val="00292525"/>
    <w:rsid w:val="002930B3"/>
    <w:rsid w:val="002930C8"/>
    <w:rsid w:val="002930C9"/>
    <w:rsid w:val="00293D73"/>
    <w:rsid w:val="00294040"/>
    <w:rsid w:val="002940B2"/>
    <w:rsid w:val="002940FF"/>
    <w:rsid w:val="00294239"/>
    <w:rsid w:val="0029442E"/>
    <w:rsid w:val="0029476D"/>
    <w:rsid w:val="0029483F"/>
    <w:rsid w:val="002949DB"/>
    <w:rsid w:val="00294D4C"/>
    <w:rsid w:val="00294DAB"/>
    <w:rsid w:val="00295036"/>
    <w:rsid w:val="0029531E"/>
    <w:rsid w:val="0029584F"/>
    <w:rsid w:val="002968B6"/>
    <w:rsid w:val="00296D56"/>
    <w:rsid w:val="00297013"/>
    <w:rsid w:val="00297295"/>
    <w:rsid w:val="0029761F"/>
    <w:rsid w:val="00297841"/>
    <w:rsid w:val="00297E91"/>
    <w:rsid w:val="002A06FD"/>
    <w:rsid w:val="002A0CC9"/>
    <w:rsid w:val="002A1214"/>
    <w:rsid w:val="002A12AD"/>
    <w:rsid w:val="002A14B8"/>
    <w:rsid w:val="002A1590"/>
    <w:rsid w:val="002A17E1"/>
    <w:rsid w:val="002A1805"/>
    <w:rsid w:val="002A19C8"/>
    <w:rsid w:val="002A208A"/>
    <w:rsid w:val="002A22E6"/>
    <w:rsid w:val="002A2FDE"/>
    <w:rsid w:val="002A3DE3"/>
    <w:rsid w:val="002A4258"/>
    <w:rsid w:val="002A4610"/>
    <w:rsid w:val="002A4913"/>
    <w:rsid w:val="002A4F99"/>
    <w:rsid w:val="002A51AD"/>
    <w:rsid w:val="002A5485"/>
    <w:rsid w:val="002A5763"/>
    <w:rsid w:val="002A57E8"/>
    <w:rsid w:val="002A5C69"/>
    <w:rsid w:val="002A631E"/>
    <w:rsid w:val="002A641D"/>
    <w:rsid w:val="002A65E6"/>
    <w:rsid w:val="002A667C"/>
    <w:rsid w:val="002A68D8"/>
    <w:rsid w:val="002A6AE2"/>
    <w:rsid w:val="002A6B15"/>
    <w:rsid w:val="002A6B8D"/>
    <w:rsid w:val="002A6F61"/>
    <w:rsid w:val="002A717B"/>
    <w:rsid w:val="002A72AD"/>
    <w:rsid w:val="002A7C8C"/>
    <w:rsid w:val="002B0B62"/>
    <w:rsid w:val="002B0EAC"/>
    <w:rsid w:val="002B0F3D"/>
    <w:rsid w:val="002B10E8"/>
    <w:rsid w:val="002B16D0"/>
    <w:rsid w:val="002B1706"/>
    <w:rsid w:val="002B1A25"/>
    <w:rsid w:val="002B1CDB"/>
    <w:rsid w:val="002B230A"/>
    <w:rsid w:val="002B2998"/>
    <w:rsid w:val="002B2ABC"/>
    <w:rsid w:val="002B2B24"/>
    <w:rsid w:val="002B2B5C"/>
    <w:rsid w:val="002B2E7A"/>
    <w:rsid w:val="002B34E4"/>
    <w:rsid w:val="002B38CD"/>
    <w:rsid w:val="002B3D51"/>
    <w:rsid w:val="002B4419"/>
    <w:rsid w:val="002B4CD3"/>
    <w:rsid w:val="002B505C"/>
    <w:rsid w:val="002B50E1"/>
    <w:rsid w:val="002B51D9"/>
    <w:rsid w:val="002B5593"/>
    <w:rsid w:val="002B56F0"/>
    <w:rsid w:val="002B591D"/>
    <w:rsid w:val="002B71CE"/>
    <w:rsid w:val="002B74E1"/>
    <w:rsid w:val="002B75AE"/>
    <w:rsid w:val="002B776C"/>
    <w:rsid w:val="002B77FB"/>
    <w:rsid w:val="002B7A03"/>
    <w:rsid w:val="002C0603"/>
    <w:rsid w:val="002C0B3D"/>
    <w:rsid w:val="002C0F34"/>
    <w:rsid w:val="002C158C"/>
    <w:rsid w:val="002C1CED"/>
    <w:rsid w:val="002C1D9F"/>
    <w:rsid w:val="002C233C"/>
    <w:rsid w:val="002C2926"/>
    <w:rsid w:val="002C38B3"/>
    <w:rsid w:val="002C3C73"/>
    <w:rsid w:val="002C47E8"/>
    <w:rsid w:val="002C4B5C"/>
    <w:rsid w:val="002C515B"/>
    <w:rsid w:val="002C550A"/>
    <w:rsid w:val="002C579E"/>
    <w:rsid w:val="002C59FA"/>
    <w:rsid w:val="002C5A86"/>
    <w:rsid w:val="002C5D5F"/>
    <w:rsid w:val="002C5FB8"/>
    <w:rsid w:val="002C5FEB"/>
    <w:rsid w:val="002C60AF"/>
    <w:rsid w:val="002C6179"/>
    <w:rsid w:val="002C6AB8"/>
    <w:rsid w:val="002C738C"/>
    <w:rsid w:val="002C7534"/>
    <w:rsid w:val="002C775D"/>
    <w:rsid w:val="002C789E"/>
    <w:rsid w:val="002C78E0"/>
    <w:rsid w:val="002C78F2"/>
    <w:rsid w:val="002C7A4F"/>
    <w:rsid w:val="002C7CE7"/>
    <w:rsid w:val="002C7E06"/>
    <w:rsid w:val="002D0630"/>
    <w:rsid w:val="002D0D81"/>
    <w:rsid w:val="002D1084"/>
    <w:rsid w:val="002D1710"/>
    <w:rsid w:val="002D190B"/>
    <w:rsid w:val="002D19A0"/>
    <w:rsid w:val="002D1E86"/>
    <w:rsid w:val="002D2A7D"/>
    <w:rsid w:val="002D2AF4"/>
    <w:rsid w:val="002D359F"/>
    <w:rsid w:val="002D3A81"/>
    <w:rsid w:val="002D5041"/>
    <w:rsid w:val="002D532A"/>
    <w:rsid w:val="002D5931"/>
    <w:rsid w:val="002D5A0A"/>
    <w:rsid w:val="002D5EB6"/>
    <w:rsid w:val="002D5EEC"/>
    <w:rsid w:val="002D5F2B"/>
    <w:rsid w:val="002D64BB"/>
    <w:rsid w:val="002D65E5"/>
    <w:rsid w:val="002D671B"/>
    <w:rsid w:val="002D6F02"/>
    <w:rsid w:val="002D7A6E"/>
    <w:rsid w:val="002D7B08"/>
    <w:rsid w:val="002D7E87"/>
    <w:rsid w:val="002E0346"/>
    <w:rsid w:val="002E0481"/>
    <w:rsid w:val="002E1303"/>
    <w:rsid w:val="002E13F5"/>
    <w:rsid w:val="002E1424"/>
    <w:rsid w:val="002E19EA"/>
    <w:rsid w:val="002E1A53"/>
    <w:rsid w:val="002E1FE7"/>
    <w:rsid w:val="002E24B3"/>
    <w:rsid w:val="002E2BCF"/>
    <w:rsid w:val="002E2BFB"/>
    <w:rsid w:val="002E3B9A"/>
    <w:rsid w:val="002E4B6F"/>
    <w:rsid w:val="002E4E6A"/>
    <w:rsid w:val="002E5148"/>
    <w:rsid w:val="002E567B"/>
    <w:rsid w:val="002E5B41"/>
    <w:rsid w:val="002E612F"/>
    <w:rsid w:val="002E65DA"/>
    <w:rsid w:val="002E69E7"/>
    <w:rsid w:val="002E6BA7"/>
    <w:rsid w:val="002E6C41"/>
    <w:rsid w:val="002E6CB2"/>
    <w:rsid w:val="002E7111"/>
    <w:rsid w:val="002E716A"/>
    <w:rsid w:val="002E7A60"/>
    <w:rsid w:val="002E7F97"/>
    <w:rsid w:val="002F0378"/>
    <w:rsid w:val="002F056A"/>
    <w:rsid w:val="002F0A1B"/>
    <w:rsid w:val="002F0D22"/>
    <w:rsid w:val="002F0E57"/>
    <w:rsid w:val="002F1402"/>
    <w:rsid w:val="002F1BFD"/>
    <w:rsid w:val="002F1CA9"/>
    <w:rsid w:val="002F280D"/>
    <w:rsid w:val="002F29FA"/>
    <w:rsid w:val="002F308F"/>
    <w:rsid w:val="002F31F7"/>
    <w:rsid w:val="002F52B6"/>
    <w:rsid w:val="002F5AF0"/>
    <w:rsid w:val="002F5C56"/>
    <w:rsid w:val="002F63B9"/>
    <w:rsid w:val="002F6B05"/>
    <w:rsid w:val="002F7346"/>
    <w:rsid w:val="002F7651"/>
    <w:rsid w:val="002F76A7"/>
    <w:rsid w:val="002F7A83"/>
    <w:rsid w:val="002F7C0D"/>
    <w:rsid w:val="003000AF"/>
    <w:rsid w:val="003003EF"/>
    <w:rsid w:val="00300BC7"/>
    <w:rsid w:val="003019D7"/>
    <w:rsid w:val="00301DB7"/>
    <w:rsid w:val="00301E14"/>
    <w:rsid w:val="0030211A"/>
    <w:rsid w:val="0030278D"/>
    <w:rsid w:val="00302970"/>
    <w:rsid w:val="0030298B"/>
    <w:rsid w:val="00302CDF"/>
    <w:rsid w:val="003030C9"/>
    <w:rsid w:val="00303419"/>
    <w:rsid w:val="00303998"/>
    <w:rsid w:val="003039FF"/>
    <w:rsid w:val="00303CFC"/>
    <w:rsid w:val="00303EB3"/>
    <w:rsid w:val="00304EBE"/>
    <w:rsid w:val="003051A9"/>
    <w:rsid w:val="00305244"/>
    <w:rsid w:val="00305C61"/>
    <w:rsid w:val="00305E72"/>
    <w:rsid w:val="003065FD"/>
    <w:rsid w:val="00306611"/>
    <w:rsid w:val="003068FD"/>
    <w:rsid w:val="00307B3C"/>
    <w:rsid w:val="003103BA"/>
    <w:rsid w:val="00310740"/>
    <w:rsid w:val="00310B9D"/>
    <w:rsid w:val="003112AC"/>
    <w:rsid w:val="003112C8"/>
    <w:rsid w:val="00311344"/>
    <w:rsid w:val="00311647"/>
    <w:rsid w:val="00311E94"/>
    <w:rsid w:val="00311F3B"/>
    <w:rsid w:val="0031254F"/>
    <w:rsid w:val="0031282C"/>
    <w:rsid w:val="00313247"/>
    <w:rsid w:val="003138EB"/>
    <w:rsid w:val="00313B51"/>
    <w:rsid w:val="00313BF3"/>
    <w:rsid w:val="00313D19"/>
    <w:rsid w:val="00313E68"/>
    <w:rsid w:val="00314BF6"/>
    <w:rsid w:val="00315047"/>
    <w:rsid w:val="00315383"/>
    <w:rsid w:val="00315559"/>
    <w:rsid w:val="00315940"/>
    <w:rsid w:val="00315942"/>
    <w:rsid w:val="00315B5F"/>
    <w:rsid w:val="0031621B"/>
    <w:rsid w:val="00316989"/>
    <w:rsid w:val="0031776B"/>
    <w:rsid w:val="00317CE0"/>
    <w:rsid w:val="00317D2E"/>
    <w:rsid w:val="0032057B"/>
    <w:rsid w:val="00321304"/>
    <w:rsid w:val="003218AD"/>
    <w:rsid w:val="00321955"/>
    <w:rsid w:val="00321CC2"/>
    <w:rsid w:val="00322263"/>
    <w:rsid w:val="00322A05"/>
    <w:rsid w:val="00322D8D"/>
    <w:rsid w:val="003232DE"/>
    <w:rsid w:val="003235C0"/>
    <w:rsid w:val="0032361E"/>
    <w:rsid w:val="00323EA6"/>
    <w:rsid w:val="003244F4"/>
    <w:rsid w:val="003249D6"/>
    <w:rsid w:val="00324CD4"/>
    <w:rsid w:val="003250E6"/>
    <w:rsid w:val="00325F9D"/>
    <w:rsid w:val="0032639E"/>
    <w:rsid w:val="00326500"/>
    <w:rsid w:val="003265CB"/>
    <w:rsid w:val="003268B2"/>
    <w:rsid w:val="00326987"/>
    <w:rsid w:val="00326E72"/>
    <w:rsid w:val="00326EEC"/>
    <w:rsid w:val="003270FD"/>
    <w:rsid w:val="00327226"/>
    <w:rsid w:val="00327A90"/>
    <w:rsid w:val="00327D2D"/>
    <w:rsid w:val="00330014"/>
    <w:rsid w:val="0033006C"/>
    <w:rsid w:val="003304B0"/>
    <w:rsid w:val="00331782"/>
    <w:rsid w:val="0033187B"/>
    <w:rsid w:val="00331AA5"/>
    <w:rsid w:val="00331CB7"/>
    <w:rsid w:val="00331FC0"/>
    <w:rsid w:val="00332000"/>
    <w:rsid w:val="00332790"/>
    <w:rsid w:val="00332DC1"/>
    <w:rsid w:val="00332EC7"/>
    <w:rsid w:val="00332F20"/>
    <w:rsid w:val="00332F5B"/>
    <w:rsid w:val="0033384D"/>
    <w:rsid w:val="00333C67"/>
    <w:rsid w:val="00333E4A"/>
    <w:rsid w:val="0033472D"/>
    <w:rsid w:val="003351D1"/>
    <w:rsid w:val="0033535A"/>
    <w:rsid w:val="003358F9"/>
    <w:rsid w:val="003363AE"/>
    <w:rsid w:val="003366C8"/>
    <w:rsid w:val="0033682B"/>
    <w:rsid w:val="00336AA2"/>
    <w:rsid w:val="00336BCA"/>
    <w:rsid w:val="003372E7"/>
    <w:rsid w:val="003379A3"/>
    <w:rsid w:val="003379EF"/>
    <w:rsid w:val="00337C89"/>
    <w:rsid w:val="00337EED"/>
    <w:rsid w:val="003402FC"/>
    <w:rsid w:val="00340566"/>
    <w:rsid w:val="003409C1"/>
    <w:rsid w:val="0034192B"/>
    <w:rsid w:val="00341A2C"/>
    <w:rsid w:val="00341BE2"/>
    <w:rsid w:val="00342A53"/>
    <w:rsid w:val="0034311E"/>
    <w:rsid w:val="00343202"/>
    <w:rsid w:val="003435A9"/>
    <w:rsid w:val="00343811"/>
    <w:rsid w:val="00343CD9"/>
    <w:rsid w:val="00343FE8"/>
    <w:rsid w:val="0034418C"/>
    <w:rsid w:val="003442F8"/>
    <w:rsid w:val="003445D6"/>
    <w:rsid w:val="00344BEC"/>
    <w:rsid w:val="00345259"/>
    <w:rsid w:val="0034573F"/>
    <w:rsid w:val="00345906"/>
    <w:rsid w:val="003459A5"/>
    <w:rsid w:val="00345F89"/>
    <w:rsid w:val="00346094"/>
    <w:rsid w:val="003462A3"/>
    <w:rsid w:val="00346498"/>
    <w:rsid w:val="00346609"/>
    <w:rsid w:val="003466F4"/>
    <w:rsid w:val="003467F8"/>
    <w:rsid w:val="00346EB8"/>
    <w:rsid w:val="00347755"/>
    <w:rsid w:val="003477F7"/>
    <w:rsid w:val="00347983"/>
    <w:rsid w:val="00347D5F"/>
    <w:rsid w:val="0035000D"/>
    <w:rsid w:val="0035003B"/>
    <w:rsid w:val="003500F9"/>
    <w:rsid w:val="00350892"/>
    <w:rsid w:val="0035190E"/>
    <w:rsid w:val="00352077"/>
    <w:rsid w:val="0035227E"/>
    <w:rsid w:val="003526F3"/>
    <w:rsid w:val="00353BE8"/>
    <w:rsid w:val="00353DEB"/>
    <w:rsid w:val="00354CD8"/>
    <w:rsid w:val="00355746"/>
    <w:rsid w:val="00355AE2"/>
    <w:rsid w:val="00355E5E"/>
    <w:rsid w:val="003563C9"/>
    <w:rsid w:val="00356464"/>
    <w:rsid w:val="003566D3"/>
    <w:rsid w:val="00356B38"/>
    <w:rsid w:val="00356DE8"/>
    <w:rsid w:val="00357775"/>
    <w:rsid w:val="003578A6"/>
    <w:rsid w:val="00357B2C"/>
    <w:rsid w:val="00357E12"/>
    <w:rsid w:val="003602F4"/>
    <w:rsid w:val="00360470"/>
    <w:rsid w:val="00360B15"/>
    <w:rsid w:val="00360B5C"/>
    <w:rsid w:val="0036170A"/>
    <w:rsid w:val="00361C38"/>
    <w:rsid w:val="00362115"/>
    <w:rsid w:val="0036255C"/>
    <w:rsid w:val="00362C07"/>
    <w:rsid w:val="00363058"/>
    <w:rsid w:val="00363248"/>
    <w:rsid w:val="003634DD"/>
    <w:rsid w:val="0036362D"/>
    <w:rsid w:val="00363D4F"/>
    <w:rsid w:val="00363EE2"/>
    <w:rsid w:val="003641E2"/>
    <w:rsid w:val="00364272"/>
    <w:rsid w:val="0036453E"/>
    <w:rsid w:val="0036475A"/>
    <w:rsid w:val="003651DB"/>
    <w:rsid w:val="00365205"/>
    <w:rsid w:val="003655E9"/>
    <w:rsid w:val="00365D6A"/>
    <w:rsid w:val="00365FE2"/>
    <w:rsid w:val="003662AA"/>
    <w:rsid w:val="0036655A"/>
    <w:rsid w:val="003667BA"/>
    <w:rsid w:val="00366A7E"/>
    <w:rsid w:val="00366D04"/>
    <w:rsid w:val="00366EB4"/>
    <w:rsid w:val="003674EE"/>
    <w:rsid w:val="00367554"/>
    <w:rsid w:val="003677F1"/>
    <w:rsid w:val="003678D6"/>
    <w:rsid w:val="00370443"/>
    <w:rsid w:val="003705AD"/>
    <w:rsid w:val="003706B4"/>
    <w:rsid w:val="00370D9A"/>
    <w:rsid w:val="00371221"/>
    <w:rsid w:val="00371530"/>
    <w:rsid w:val="003717E4"/>
    <w:rsid w:val="00371A83"/>
    <w:rsid w:val="00371C08"/>
    <w:rsid w:val="00372691"/>
    <w:rsid w:val="00372AD1"/>
    <w:rsid w:val="00372C9A"/>
    <w:rsid w:val="00372E16"/>
    <w:rsid w:val="00372E9C"/>
    <w:rsid w:val="003732F7"/>
    <w:rsid w:val="0037332D"/>
    <w:rsid w:val="0037363E"/>
    <w:rsid w:val="00373643"/>
    <w:rsid w:val="003736EB"/>
    <w:rsid w:val="003736FB"/>
    <w:rsid w:val="003738A7"/>
    <w:rsid w:val="00373C0D"/>
    <w:rsid w:val="00374301"/>
    <w:rsid w:val="00374A11"/>
    <w:rsid w:val="00374AF8"/>
    <w:rsid w:val="00374C07"/>
    <w:rsid w:val="00375F12"/>
    <w:rsid w:val="00375FCF"/>
    <w:rsid w:val="00376083"/>
    <w:rsid w:val="0037665D"/>
    <w:rsid w:val="003767F6"/>
    <w:rsid w:val="00376FE3"/>
    <w:rsid w:val="003772EE"/>
    <w:rsid w:val="003774A7"/>
    <w:rsid w:val="00377781"/>
    <w:rsid w:val="00377A0F"/>
    <w:rsid w:val="00377B7A"/>
    <w:rsid w:val="0038018D"/>
    <w:rsid w:val="003804CD"/>
    <w:rsid w:val="0038061A"/>
    <w:rsid w:val="00380806"/>
    <w:rsid w:val="00380A01"/>
    <w:rsid w:val="00380FCF"/>
    <w:rsid w:val="003810EB"/>
    <w:rsid w:val="0038188F"/>
    <w:rsid w:val="00381B5D"/>
    <w:rsid w:val="003821C7"/>
    <w:rsid w:val="003821DE"/>
    <w:rsid w:val="0038238B"/>
    <w:rsid w:val="00382B1C"/>
    <w:rsid w:val="00383443"/>
    <w:rsid w:val="003834D2"/>
    <w:rsid w:val="0038357A"/>
    <w:rsid w:val="003836FE"/>
    <w:rsid w:val="00383E46"/>
    <w:rsid w:val="00383EF0"/>
    <w:rsid w:val="003840C7"/>
    <w:rsid w:val="0038428F"/>
    <w:rsid w:val="003848AD"/>
    <w:rsid w:val="00384ABF"/>
    <w:rsid w:val="00384BC0"/>
    <w:rsid w:val="00384D82"/>
    <w:rsid w:val="00385697"/>
    <w:rsid w:val="003856E9"/>
    <w:rsid w:val="00385A73"/>
    <w:rsid w:val="00386102"/>
    <w:rsid w:val="00386507"/>
    <w:rsid w:val="00386647"/>
    <w:rsid w:val="0038670F"/>
    <w:rsid w:val="0038721A"/>
    <w:rsid w:val="003872B3"/>
    <w:rsid w:val="00387480"/>
    <w:rsid w:val="00387E21"/>
    <w:rsid w:val="003902DB"/>
    <w:rsid w:val="00390323"/>
    <w:rsid w:val="003904BF"/>
    <w:rsid w:val="00390578"/>
    <w:rsid w:val="00390849"/>
    <w:rsid w:val="00390A00"/>
    <w:rsid w:val="00390D94"/>
    <w:rsid w:val="00390E29"/>
    <w:rsid w:val="00390F69"/>
    <w:rsid w:val="00390F99"/>
    <w:rsid w:val="0039122E"/>
    <w:rsid w:val="0039170A"/>
    <w:rsid w:val="003917C8"/>
    <w:rsid w:val="003921A1"/>
    <w:rsid w:val="0039228F"/>
    <w:rsid w:val="003922EB"/>
    <w:rsid w:val="00392696"/>
    <w:rsid w:val="00392722"/>
    <w:rsid w:val="00392890"/>
    <w:rsid w:val="00392BF5"/>
    <w:rsid w:val="00392DDB"/>
    <w:rsid w:val="00392E76"/>
    <w:rsid w:val="00392FC7"/>
    <w:rsid w:val="00393686"/>
    <w:rsid w:val="0039379F"/>
    <w:rsid w:val="00393990"/>
    <w:rsid w:val="00394164"/>
    <w:rsid w:val="0039498E"/>
    <w:rsid w:val="00394A67"/>
    <w:rsid w:val="00394FFF"/>
    <w:rsid w:val="00395849"/>
    <w:rsid w:val="00395A5A"/>
    <w:rsid w:val="00395AAF"/>
    <w:rsid w:val="0039602C"/>
    <w:rsid w:val="0039662B"/>
    <w:rsid w:val="00396FCB"/>
    <w:rsid w:val="00397075"/>
    <w:rsid w:val="00397200"/>
    <w:rsid w:val="003973CB"/>
    <w:rsid w:val="003978FD"/>
    <w:rsid w:val="003A0760"/>
    <w:rsid w:val="003A0DE5"/>
    <w:rsid w:val="003A11BC"/>
    <w:rsid w:val="003A1225"/>
    <w:rsid w:val="003A16DB"/>
    <w:rsid w:val="003A189C"/>
    <w:rsid w:val="003A1976"/>
    <w:rsid w:val="003A1A53"/>
    <w:rsid w:val="003A1E3D"/>
    <w:rsid w:val="003A1FE3"/>
    <w:rsid w:val="003A2835"/>
    <w:rsid w:val="003A2B0C"/>
    <w:rsid w:val="003A2D26"/>
    <w:rsid w:val="003A322C"/>
    <w:rsid w:val="003A3544"/>
    <w:rsid w:val="003A41EA"/>
    <w:rsid w:val="003A42F5"/>
    <w:rsid w:val="003A43B8"/>
    <w:rsid w:val="003A46C2"/>
    <w:rsid w:val="003A4E74"/>
    <w:rsid w:val="003A54A0"/>
    <w:rsid w:val="003A5A67"/>
    <w:rsid w:val="003A5BA3"/>
    <w:rsid w:val="003A6117"/>
    <w:rsid w:val="003A636D"/>
    <w:rsid w:val="003A671B"/>
    <w:rsid w:val="003A6E88"/>
    <w:rsid w:val="003A71BC"/>
    <w:rsid w:val="003A7523"/>
    <w:rsid w:val="003A7656"/>
    <w:rsid w:val="003A79AB"/>
    <w:rsid w:val="003B00FC"/>
    <w:rsid w:val="003B0406"/>
    <w:rsid w:val="003B0695"/>
    <w:rsid w:val="003B0F19"/>
    <w:rsid w:val="003B154B"/>
    <w:rsid w:val="003B16C5"/>
    <w:rsid w:val="003B17B0"/>
    <w:rsid w:val="003B17F9"/>
    <w:rsid w:val="003B1A46"/>
    <w:rsid w:val="003B1D83"/>
    <w:rsid w:val="003B1DAB"/>
    <w:rsid w:val="003B2056"/>
    <w:rsid w:val="003B2A3C"/>
    <w:rsid w:val="003B46E7"/>
    <w:rsid w:val="003B4A03"/>
    <w:rsid w:val="003B4DAB"/>
    <w:rsid w:val="003B50BB"/>
    <w:rsid w:val="003B5629"/>
    <w:rsid w:val="003B5D72"/>
    <w:rsid w:val="003B5F62"/>
    <w:rsid w:val="003B63B5"/>
    <w:rsid w:val="003B6741"/>
    <w:rsid w:val="003B7AC1"/>
    <w:rsid w:val="003B7DB7"/>
    <w:rsid w:val="003C0624"/>
    <w:rsid w:val="003C06DA"/>
    <w:rsid w:val="003C0AE5"/>
    <w:rsid w:val="003C0D84"/>
    <w:rsid w:val="003C0E2E"/>
    <w:rsid w:val="003C10E7"/>
    <w:rsid w:val="003C13ED"/>
    <w:rsid w:val="003C19E5"/>
    <w:rsid w:val="003C1A00"/>
    <w:rsid w:val="003C1C4C"/>
    <w:rsid w:val="003C25F9"/>
    <w:rsid w:val="003C27F6"/>
    <w:rsid w:val="003C2833"/>
    <w:rsid w:val="003C2C07"/>
    <w:rsid w:val="003C2E67"/>
    <w:rsid w:val="003C2F17"/>
    <w:rsid w:val="003C30E8"/>
    <w:rsid w:val="003C311B"/>
    <w:rsid w:val="003C38A0"/>
    <w:rsid w:val="003C39BA"/>
    <w:rsid w:val="003C40BD"/>
    <w:rsid w:val="003C489C"/>
    <w:rsid w:val="003C4EFE"/>
    <w:rsid w:val="003C51C6"/>
    <w:rsid w:val="003C5278"/>
    <w:rsid w:val="003C531D"/>
    <w:rsid w:val="003C5540"/>
    <w:rsid w:val="003C583F"/>
    <w:rsid w:val="003C6663"/>
    <w:rsid w:val="003C69C8"/>
    <w:rsid w:val="003C6D52"/>
    <w:rsid w:val="003C6D72"/>
    <w:rsid w:val="003C718C"/>
    <w:rsid w:val="003C71F6"/>
    <w:rsid w:val="003C72D0"/>
    <w:rsid w:val="003C7500"/>
    <w:rsid w:val="003C78F3"/>
    <w:rsid w:val="003D0491"/>
    <w:rsid w:val="003D07F5"/>
    <w:rsid w:val="003D0E39"/>
    <w:rsid w:val="003D11D6"/>
    <w:rsid w:val="003D15F0"/>
    <w:rsid w:val="003D2FC3"/>
    <w:rsid w:val="003D32C1"/>
    <w:rsid w:val="003D3366"/>
    <w:rsid w:val="003D343A"/>
    <w:rsid w:val="003D3FC9"/>
    <w:rsid w:val="003D4B22"/>
    <w:rsid w:val="003D4E0E"/>
    <w:rsid w:val="003D529A"/>
    <w:rsid w:val="003D5492"/>
    <w:rsid w:val="003D5899"/>
    <w:rsid w:val="003D5AB7"/>
    <w:rsid w:val="003D6063"/>
    <w:rsid w:val="003D6340"/>
    <w:rsid w:val="003D6757"/>
    <w:rsid w:val="003D6994"/>
    <w:rsid w:val="003D6AF2"/>
    <w:rsid w:val="003D6DFE"/>
    <w:rsid w:val="003D74FF"/>
    <w:rsid w:val="003D774C"/>
    <w:rsid w:val="003D7AE2"/>
    <w:rsid w:val="003E00E5"/>
    <w:rsid w:val="003E05BA"/>
    <w:rsid w:val="003E0796"/>
    <w:rsid w:val="003E0902"/>
    <w:rsid w:val="003E1A33"/>
    <w:rsid w:val="003E23E2"/>
    <w:rsid w:val="003E2437"/>
    <w:rsid w:val="003E27BD"/>
    <w:rsid w:val="003E2CBA"/>
    <w:rsid w:val="003E2D51"/>
    <w:rsid w:val="003E2E46"/>
    <w:rsid w:val="003E3088"/>
    <w:rsid w:val="003E3373"/>
    <w:rsid w:val="003E427E"/>
    <w:rsid w:val="003E43A2"/>
    <w:rsid w:val="003E43CB"/>
    <w:rsid w:val="003E4527"/>
    <w:rsid w:val="003E4E1A"/>
    <w:rsid w:val="003E57C6"/>
    <w:rsid w:val="003E5DE9"/>
    <w:rsid w:val="003E5F1C"/>
    <w:rsid w:val="003E6C0D"/>
    <w:rsid w:val="003E6CBD"/>
    <w:rsid w:val="003E6CDE"/>
    <w:rsid w:val="003E6E0B"/>
    <w:rsid w:val="003E6E36"/>
    <w:rsid w:val="003E6F72"/>
    <w:rsid w:val="003E70B4"/>
    <w:rsid w:val="003E72CC"/>
    <w:rsid w:val="003E7368"/>
    <w:rsid w:val="003E7CDA"/>
    <w:rsid w:val="003E7E3C"/>
    <w:rsid w:val="003F00E3"/>
    <w:rsid w:val="003F0BF1"/>
    <w:rsid w:val="003F0D89"/>
    <w:rsid w:val="003F0FD9"/>
    <w:rsid w:val="003F1038"/>
    <w:rsid w:val="003F1083"/>
    <w:rsid w:val="003F1181"/>
    <w:rsid w:val="003F1471"/>
    <w:rsid w:val="003F18E1"/>
    <w:rsid w:val="003F1DCA"/>
    <w:rsid w:val="003F2087"/>
    <w:rsid w:val="003F21E6"/>
    <w:rsid w:val="003F28D3"/>
    <w:rsid w:val="003F2A9A"/>
    <w:rsid w:val="003F36BE"/>
    <w:rsid w:val="003F381D"/>
    <w:rsid w:val="003F38E4"/>
    <w:rsid w:val="003F3B88"/>
    <w:rsid w:val="003F3C67"/>
    <w:rsid w:val="003F3DF5"/>
    <w:rsid w:val="003F3F74"/>
    <w:rsid w:val="003F468F"/>
    <w:rsid w:val="003F4BDC"/>
    <w:rsid w:val="003F506B"/>
    <w:rsid w:val="003F52C6"/>
    <w:rsid w:val="003F5317"/>
    <w:rsid w:val="003F55BF"/>
    <w:rsid w:val="003F56F3"/>
    <w:rsid w:val="003F5ED0"/>
    <w:rsid w:val="003F61B4"/>
    <w:rsid w:val="003F63D6"/>
    <w:rsid w:val="003F6457"/>
    <w:rsid w:val="003F6AA2"/>
    <w:rsid w:val="003F7273"/>
    <w:rsid w:val="003F72DC"/>
    <w:rsid w:val="003F74BA"/>
    <w:rsid w:val="003F7697"/>
    <w:rsid w:val="003F7899"/>
    <w:rsid w:val="003F7F31"/>
    <w:rsid w:val="0040056E"/>
    <w:rsid w:val="004006A9"/>
    <w:rsid w:val="00400791"/>
    <w:rsid w:val="0040099C"/>
    <w:rsid w:val="00400CDD"/>
    <w:rsid w:val="00400ECF"/>
    <w:rsid w:val="004015E9"/>
    <w:rsid w:val="004018ED"/>
    <w:rsid w:val="0040196E"/>
    <w:rsid w:val="004021B0"/>
    <w:rsid w:val="0040236E"/>
    <w:rsid w:val="0040253F"/>
    <w:rsid w:val="004028EC"/>
    <w:rsid w:val="004031F6"/>
    <w:rsid w:val="00403317"/>
    <w:rsid w:val="00403BC0"/>
    <w:rsid w:val="00403CFC"/>
    <w:rsid w:val="00403EDA"/>
    <w:rsid w:val="00404BFF"/>
    <w:rsid w:val="004059DA"/>
    <w:rsid w:val="00405AE2"/>
    <w:rsid w:val="0040652C"/>
    <w:rsid w:val="00406CF8"/>
    <w:rsid w:val="0040741E"/>
    <w:rsid w:val="00407EC0"/>
    <w:rsid w:val="004105A5"/>
    <w:rsid w:val="004106AE"/>
    <w:rsid w:val="00410990"/>
    <w:rsid w:val="004109EB"/>
    <w:rsid w:val="00410B0D"/>
    <w:rsid w:val="00410B0F"/>
    <w:rsid w:val="00410F2F"/>
    <w:rsid w:val="00411116"/>
    <w:rsid w:val="00411A62"/>
    <w:rsid w:val="004120D1"/>
    <w:rsid w:val="0041226E"/>
    <w:rsid w:val="00412423"/>
    <w:rsid w:val="00412734"/>
    <w:rsid w:val="00412B31"/>
    <w:rsid w:val="00412BE2"/>
    <w:rsid w:val="00412CF7"/>
    <w:rsid w:val="00413842"/>
    <w:rsid w:val="00413B55"/>
    <w:rsid w:val="00413C6C"/>
    <w:rsid w:val="00413D4B"/>
    <w:rsid w:val="004141AB"/>
    <w:rsid w:val="004149F2"/>
    <w:rsid w:val="00414EA8"/>
    <w:rsid w:val="00415771"/>
    <w:rsid w:val="004158C2"/>
    <w:rsid w:val="00415DC9"/>
    <w:rsid w:val="00416B5D"/>
    <w:rsid w:val="00416EB1"/>
    <w:rsid w:val="00417380"/>
    <w:rsid w:val="00417473"/>
    <w:rsid w:val="00417573"/>
    <w:rsid w:val="004175FD"/>
    <w:rsid w:val="004179F6"/>
    <w:rsid w:val="00417B74"/>
    <w:rsid w:val="00420229"/>
    <w:rsid w:val="004207A0"/>
    <w:rsid w:val="004207DE"/>
    <w:rsid w:val="00420C80"/>
    <w:rsid w:val="00421131"/>
    <w:rsid w:val="00421335"/>
    <w:rsid w:val="00421BB1"/>
    <w:rsid w:val="00421FC6"/>
    <w:rsid w:val="00422168"/>
    <w:rsid w:val="0042223C"/>
    <w:rsid w:val="00422405"/>
    <w:rsid w:val="00422468"/>
    <w:rsid w:val="004229F5"/>
    <w:rsid w:val="00422D75"/>
    <w:rsid w:val="00422FCC"/>
    <w:rsid w:val="00423558"/>
    <w:rsid w:val="0042361D"/>
    <w:rsid w:val="00423798"/>
    <w:rsid w:val="0042393C"/>
    <w:rsid w:val="004239C9"/>
    <w:rsid w:val="004240EF"/>
    <w:rsid w:val="0042418D"/>
    <w:rsid w:val="00424877"/>
    <w:rsid w:val="00424ADF"/>
    <w:rsid w:val="0042571E"/>
    <w:rsid w:val="0042589C"/>
    <w:rsid w:val="004258D2"/>
    <w:rsid w:val="00425903"/>
    <w:rsid w:val="004259E8"/>
    <w:rsid w:val="00425CC5"/>
    <w:rsid w:val="004264AB"/>
    <w:rsid w:val="004266F3"/>
    <w:rsid w:val="00426F70"/>
    <w:rsid w:val="00427414"/>
    <w:rsid w:val="0042769A"/>
    <w:rsid w:val="00430007"/>
    <w:rsid w:val="00430032"/>
    <w:rsid w:val="004306B4"/>
    <w:rsid w:val="00432349"/>
    <w:rsid w:val="0043288E"/>
    <w:rsid w:val="00432B13"/>
    <w:rsid w:val="00432FD0"/>
    <w:rsid w:val="0043325F"/>
    <w:rsid w:val="00433363"/>
    <w:rsid w:val="00433382"/>
    <w:rsid w:val="00433F62"/>
    <w:rsid w:val="0043432E"/>
    <w:rsid w:val="004343B9"/>
    <w:rsid w:val="00434E82"/>
    <w:rsid w:val="00434FE7"/>
    <w:rsid w:val="004350D1"/>
    <w:rsid w:val="00435B00"/>
    <w:rsid w:val="00435CEC"/>
    <w:rsid w:val="00436F2C"/>
    <w:rsid w:val="00436F36"/>
    <w:rsid w:val="00436FE1"/>
    <w:rsid w:val="004371F6"/>
    <w:rsid w:val="0043724F"/>
    <w:rsid w:val="00437945"/>
    <w:rsid w:val="004379AB"/>
    <w:rsid w:val="004405FC"/>
    <w:rsid w:val="00440AFB"/>
    <w:rsid w:val="00440C66"/>
    <w:rsid w:val="00440E1D"/>
    <w:rsid w:val="00440E60"/>
    <w:rsid w:val="00440F00"/>
    <w:rsid w:val="00441357"/>
    <w:rsid w:val="004421D4"/>
    <w:rsid w:val="00442E49"/>
    <w:rsid w:val="00442F92"/>
    <w:rsid w:val="004432CC"/>
    <w:rsid w:val="004433A0"/>
    <w:rsid w:val="00443680"/>
    <w:rsid w:val="0044387B"/>
    <w:rsid w:val="004439A1"/>
    <w:rsid w:val="00443A15"/>
    <w:rsid w:val="00443C26"/>
    <w:rsid w:val="00443CBA"/>
    <w:rsid w:val="004441CC"/>
    <w:rsid w:val="0044421D"/>
    <w:rsid w:val="0044475B"/>
    <w:rsid w:val="00445525"/>
    <w:rsid w:val="00445830"/>
    <w:rsid w:val="00445A6D"/>
    <w:rsid w:val="00445B0D"/>
    <w:rsid w:val="0044674A"/>
    <w:rsid w:val="00446ABD"/>
    <w:rsid w:val="00446F84"/>
    <w:rsid w:val="00446F9F"/>
    <w:rsid w:val="004470B6"/>
    <w:rsid w:val="00447399"/>
    <w:rsid w:val="004475F6"/>
    <w:rsid w:val="0045002F"/>
    <w:rsid w:val="00450330"/>
    <w:rsid w:val="00450B04"/>
    <w:rsid w:val="004514FE"/>
    <w:rsid w:val="004516EC"/>
    <w:rsid w:val="00451A3B"/>
    <w:rsid w:val="00452209"/>
    <w:rsid w:val="00452961"/>
    <w:rsid w:val="004531DA"/>
    <w:rsid w:val="00453431"/>
    <w:rsid w:val="00453597"/>
    <w:rsid w:val="004536EC"/>
    <w:rsid w:val="00453925"/>
    <w:rsid w:val="004539BB"/>
    <w:rsid w:val="004541B5"/>
    <w:rsid w:val="0045443C"/>
    <w:rsid w:val="00454EFC"/>
    <w:rsid w:val="00454FEE"/>
    <w:rsid w:val="00455100"/>
    <w:rsid w:val="0045568D"/>
    <w:rsid w:val="004558FF"/>
    <w:rsid w:val="00455B7D"/>
    <w:rsid w:val="00456308"/>
    <w:rsid w:val="004568EF"/>
    <w:rsid w:val="00456AC9"/>
    <w:rsid w:val="00456CCD"/>
    <w:rsid w:val="004572CF"/>
    <w:rsid w:val="00457B8D"/>
    <w:rsid w:val="00457E16"/>
    <w:rsid w:val="00460412"/>
    <w:rsid w:val="00460B6B"/>
    <w:rsid w:val="00460F53"/>
    <w:rsid w:val="0046134F"/>
    <w:rsid w:val="00461390"/>
    <w:rsid w:val="004614AC"/>
    <w:rsid w:val="00461C72"/>
    <w:rsid w:val="00461E1F"/>
    <w:rsid w:val="00461F11"/>
    <w:rsid w:val="004621F3"/>
    <w:rsid w:val="0046246C"/>
    <w:rsid w:val="004626C5"/>
    <w:rsid w:val="0046292A"/>
    <w:rsid w:val="004638E4"/>
    <w:rsid w:val="00463CE1"/>
    <w:rsid w:val="00464161"/>
    <w:rsid w:val="004642D6"/>
    <w:rsid w:val="0046440C"/>
    <w:rsid w:val="00464D52"/>
    <w:rsid w:val="00464EA1"/>
    <w:rsid w:val="004654FC"/>
    <w:rsid w:val="004657C3"/>
    <w:rsid w:val="00465F0D"/>
    <w:rsid w:val="004666C3"/>
    <w:rsid w:val="00466FBC"/>
    <w:rsid w:val="00467220"/>
    <w:rsid w:val="0046725B"/>
    <w:rsid w:val="0046779A"/>
    <w:rsid w:val="0046790D"/>
    <w:rsid w:val="00467979"/>
    <w:rsid w:val="00467BB4"/>
    <w:rsid w:val="00467DFB"/>
    <w:rsid w:val="00470232"/>
    <w:rsid w:val="00470266"/>
    <w:rsid w:val="004708A9"/>
    <w:rsid w:val="00470FB3"/>
    <w:rsid w:val="004711F1"/>
    <w:rsid w:val="00471367"/>
    <w:rsid w:val="004714E8"/>
    <w:rsid w:val="00472B23"/>
    <w:rsid w:val="0047317F"/>
    <w:rsid w:val="00473217"/>
    <w:rsid w:val="004738CB"/>
    <w:rsid w:val="004738E2"/>
    <w:rsid w:val="00473B0E"/>
    <w:rsid w:val="00473D95"/>
    <w:rsid w:val="0047429A"/>
    <w:rsid w:val="004743EF"/>
    <w:rsid w:val="00474925"/>
    <w:rsid w:val="00474F35"/>
    <w:rsid w:val="0047516F"/>
    <w:rsid w:val="0047539E"/>
    <w:rsid w:val="004755D9"/>
    <w:rsid w:val="004760F2"/>
    <w:rsid w:val="00476401"/>
    <w:rsid w:val="00476F5D"/>
    <w:rsid w:val="00477100"/>
    <w:rsid w:val="004772AE"/>
    <w:rsid w:val="004776FA"/>
    <w:rsid w:val="00477D83"/>
    <w:rsid w:val="00477E5C"/>
    <w:rsid w:val="00480AEC"/>
    <w:rsid w:val="00480C67"/>
    <w:rsid w:val="00480EFB"/>
    <w:rsid w:val="0048143A"/>
    <w:rsid w:val="00481A45"/>
    <w:rsid w:val="0048213E"/>
    <w:rsid w:val="00482314"/>
    <w:rsid w:val="00482ABC"/>
    <w:rsid w:val="00482CB9"/>
    <w:rsid w:val="00482E11"/>
    <w:rsid w:val="00483B9C"/>
    <w:rsid w:val="00483CD9"/>
    <w:rsid w:val="00484491"/>
    <w:rsid w:val="00484F8E"/>
    <w:rsid w:val="00484FB5"/>
    <w:rsid w:val="00485218"/>
    <w:rsid w:val="0048557A"/>
    <w:rsid w:val="0048579A"/>
    <w:rsid w:val="00485943"/>
    <w:rsid w:val="00486007"/>
    <w:rsid w:val="00486041"/>
    <w:rsid w:val="00486120"/>
    <w:rsid w:val="004861AF"/>
    <w:rsid w:val="00486215"/>
    <w:rsid w:val="00486481"/>
    <w:rsid w:val="0048648F"/>
    <w:rsid w:val="004865CF"/>
    <w:rsid w:val="0048666B"/>
    <w:rsid w:val="00486725"/>
    <w:rsid w:val="0048703F"/>
    <w:rsid w:val="004870AE"/>
    <w:rsid w:val="004875C1"/>
    <w:rsid w:val="004879C7"/>
    <w:rsid w:val="00487B5A"/>
    <w:rsid w:val="00487C77"/>
    <w:rsid w:val="00490509"/>
    <w:rsid w:val="004907D6"/>
    <w:rsid w:val="00490965"/>
    <w:rsid w:val="00491128"/>
    <w:rsid w:val="004913F1"/>
    <w:rsid w:val="00491E54"/>
    <w:rsid w:val="00492008"/>
    <w:rsid w:val="00492219"/>
    <w:rsid w:val="004922BD"/>
    <w:rsid w:val="004926E3"/>
    <w:rsid w:val="004928CB"/>
    <w:rsid w:val="0049292F"/>
    <w:rsid w:val="004937EA"/>
    <w:rsid w:val="00493E15"/>
    <w:rsid w:val="0049453F"/>
    <w:rsid w:val="00494566"/>
    <w:rsid w:val="0049468A"/>
    <w:rsid w:val="00494DDE"/>
    <w:rsid w:val="004954AB"/>
    <w:rsid w:val="00495640"/>
    <w:rsid w:val="0049584E"/>
    <w:rsid w:val="0049593B"/>
    <w:rsid w:val="00495C10"/>
    <w:rsid w:val="00496BC5"/>
    <w:rsid w:val="004970F8"/>
    <w:rsid w:val="0049758F"/>
    <w:rsid w:val="00497F06"/>
    <w:rsid w:val="004A07D2"/>
    <w:rsid w:val="004A0999"/>
    <w:rsid w:val="004A0EF2"/>
    <w:rsid w:val="004A1029"/>
    <w:rsid w:val="004A1472"/>
    <w:rsid w:val="004A1478"/>
    <w:rsid w:val="004A15A1"/>
    <w:rsid w:val="004A16E0"/>
    <w:rsid w:val="004A196D"/>
    <w:rsid w:val="004A1D22"/>
    <w:rsid w:val="004A2E77"/>
    <w:rsid w:val="004A34AB"/>
    <w:rsid w:val="004A42EB"/>
    <w:rsid w:val="004A4630"/>
    <w:rsid w:val="004A463C"/>
    <w:rsid w:val="004A4890"/>
    <w:rsid w:val="004A491F"/>
    <w:rsid w:val="004A4AEE"/>
    <w:rsid w:val="004A4D54"/>
    <w:rsid w:val="004A4DDD"/>
    <w:rsid w:val="004A4E31"/>
    <w:rsid w:val="004A5624"/>
    <w:rsid w:val="004A58C5"/>
    <w:rsid w:val="004A5F87"/>
    <w:rsid w:val="004A7450"/>
    <w:rsid w:val="004A75FF"/>
    <w:rsid w:val="004AE33E"/>
    <w:rsid w:val="004B0084"/>
    <w:rsid w:val="004B0173"/>
    <w:rsid w:val="004B0599"/>
    <w:rsid w:val="004B10A2"/>
    <w:rsid w:val="004B170F"/>
    <w:rsid w:val="004B195D"/>
    <w:rsid w:val="004B1E3C"/>
    <w:rsid w:val="004B2471"/>
    <w:rsid w:val="004B2529"/>
    <w:rsid w:val="004B3AEB"/>
    <w:rsid w:val="004B3D7A"/>
    <w:rsid w:val="004B4156"/>
    <w:rsid w:val="004B4235"/>
    <w:rsid w:val="004B475D"/>
    <w:rsid w:val="004B4876"/>
    <w:rsid w:val="004B533A"/>
    <w:rsid w:val="004B6876"/>
    <w:rsid w:val="004B7185"/>
    <w:rsid w:val="004B720C"/>
    <w:rsid w:val="004B7502"/>
    <w:rsid w:val="004B7634"/>
    <w:rsid w:val="004C06F7"/>
    <w:rsid w:val="004C092D"/>
    <w:rsid w:val="004C0E64"/>
    <w:rsid w:val="004C1A1B"/>
    <w:rsid w:val="004C1C53"/>
    <w:rsid w:val="004C1CF2"/>
    <w:rsid w:val="004C1F0D"/>
    <w:rsid w:val="004C25C2"/>
    <w:rsid w:val="004C26AC"/>
    <w:rsid w:val="004C276B"/>
    <w:rsid w:val="004C29F8"/>
    <w:rsid w:val="004C348E"/>
    <w:rsid w:val="004C3BF9"/>
    <w:rsid w:val="004C4B60"/>
    <w:rsid w:val="004C5F35"/>
    <w:rsid w:val="004C61BF"/>
    <w:rsid w:val="004C62D7"/>
    <w:rsid w:val="004C66B1"/>
    <w:rsid w:val="004C6757"/>
    <w:rsid w:val="004C6B12"/>
    <w:rsid w:val="004C7145"/>
    <w:rsid w:val="004C7442"/>
    <w:rsid w:val="004C7C36"/>
    <w:rsid w:val="004C7C39"/>
    <w:rsid w:val="004D0177"/>
    <w:rsid w:val="004D05AE"/>
    <w:rsid w:val="004D16C2"/>
    <w:rsid w:val="004D1736"/>
    <w:rsid w:val="004D17A0"/>
    <w:rsid w:val="004D1913"/>
    <w:rsid w:val="004D1EA1"/>
    <w:rsid w:val="004D2629"/>
    <w:rsid w:val="004D26E5"/>
    <w:rsid w:val="004D2A5A"/>
    <w:rsid w:val="004D2B06"/>
    <w:rsid w:val="004D2E83"/>
    <w:rsid w:val="004D2F59"/>
    <w:rsid w:val="004D3060"/>
    <w:rsid w:val="004D3249"/>
    <w:rsid w:val="004D32FF"/>
    <w:rsid w:val="004D33CE"/>
    <w:rsid w:val="004D347B"/>
    <w:rsid w:val="004D358D"/>
    <w:rsid w:val="004D3E0D"/>
    <w:rsid w:val="004D4150"/>
    <w:rsid w:val="004D454D"/>
    <w:rsid w:val="004D479B"/>
    <w:rsid w:val="004D4899"/>
    <w:rsid w:val="004D4947"/>
    <w:rsid w:val="004D4FF0"/>
    <w:rsid w:val="004D50C4"/>
    <w:rsid w:val="004D5268"/>
    <w:rsid w:val="004D58FC"/>
    <w:rsid w:val="004D5AA0"/>
    <w:rsid w:val="004D5EDC"/>
    <w:rsid w:val="004D5F19"/>
    <w:rsid w:val="004D62CC"/>
    <w:rsid w:val="004D66D0"/>
    <w:rsid w:val="004D67FF"/>
    <w:rsid w:val="004D68CC"/>
    <w:rsid w:val="004D73C1"/>
    <w:rsid w:val="004D73D5"/>
    <w:rsid w:val="004D76F5"/>
    <w:rsid w:val="004D789D"/>
    <w:rsid w:val="004E0031"/>
    <w:rsid w:val="004E081D"/>
    <w:rsid w:val="004E0901"/>
    <w:rsid w:val="004E1808"/>
    <w:rsid w:val="004E1E1C"/>
    <w:rsid w:val="004E24AB"/>
    <w:rsid w:val="004E2AD6"/>
    <w:rsid w:val="004E2B40"/>
    <w:rsid w:val="004E2D15"/>
    <w:rsid w:val="004E2D41"/>
    <w:rsid w:val="004E2E6E"/>
    <w:rsid w:val="004E2F64"/>
    <w:rsid w:val="004E3033"/>
    <w:rsid w:val="004E3159"/>
    <w:rsid w:val="004E33B9"/>
    <w:rsid w:val="004E39C6"/>
    <w:rsid w:val="004E3C05"/>
    <w:rsid w:val="004E4216"/>
    <w:rsid w:val="004E43D2"/>
    <w:rsid w:val="004E444D"/>
    <w:rsid w:val="004E523C"/>
    <w:rsid w:val="004E5564"/>
    <w:rsid w:val="004E5F05"/>
    <w:rsid w:val="004E65F5"/>
    <w:rsid w:val="004E7680"/>
    <w:rsid w:val="004E7AD4"/>
    <w:rsid w:val="004F0398"/>
    <w:rsid w:val="004F0699"/>
    <w:rsid w:val="004F08B8"/>
    <w:rsid w:val="004F091F"/>
    <w:rsid w:val="004F0F86"/>
    <w:rsid w:val="004F16CB"/>
    <w:rsid w:val="004F1854"/>
    <w:rsid w:val="004F1A43"/>
    <w:rsid w:val="004F224F"/>
    <w:rsid w:val="004F22BB"/>
    <w:rsid w:val="004F249F"/>
    <w:rsid w:val="004F254B"/>
    <w:rsid w:val="004F25A4"/>
    <w:rsid w:val="004F2BB0"/>
    <w:rsid w:val="004F2ED9"/>
    <w:rsid w:val="004F2FD0"/>
    <w:rsid w:val="004F3182"/>
    <w:rsid w:val="004F3964"/>
    <w:rsid w:val="004F39EB"/>
    <w:rsid w:val="004F3BAC"/>
    <w:rsid w:val="004F3F2A"/>
    <w:rsid w:val="004F5EF9"/>
    <w:rsid w:val="004F6034"/>
    <w:rsid w:val="004F6081"/>
    <w:rsid w:val="004F6083"/>
    <w:rsid w:val="004F6460"/>
    <w:rsid w:val="004F6637"/>
    <w:rsid w:val="004F6A31"/>
    <w:rsid w:val="004F6BFB"/>
    <w:rsid w:val="004F6D81"/>
    <w:rsid w:val="004F6EA9"/>
    <w:rsid w:val="004F7239"/>
    <w:rsid w:val="004F7D9F"/>
    <w:rsid w:val="0050019D"/>
    <w:rsid w:val="00500209"/>
    <w:rsid w:val="005002FF"/>
    <w:rsid w:val="00500DE5"/>
    <w:rsid w:val="00500EDD"/>
    <w:rsid w:val="00500FE0"/>
    <w:rsid w:val="00501339"/>
    <w:rsid w:val="005017BD"/>
    <w:rsid w:val="00501852"/>
    <w:rsid w:val="0050232D"/>
    <w:rsid w:val="0050250F"/>
    <w:rsid w:val="0050257E"/>
    <w:rsid w:val="00502BFA"/>
    <w:rsid w:val="00502CC2"/>
    <w:rsid w:val="00502ECA"/>
    <w:rsid w:val="00503332"/>
    <w:rsid w:val="005037DC"/>
    <w:rsid w:val="005038CB"/>
    <w:rsid w:val="00503B0F"/>
    <w:rsid w:val="005040FD"/>
    <w:rsid w:val="00504528"/>
    <w:rsid w:val="00504BA4"/>
    <w:rsid w:val="00505347"/>
    <w:rsid w:val="005055C2"/>
    <w:rsid w:val="00505677"/>
    <w:rsid w:val="005062AC"/>
    <w:rsid w:val="00506471"/>
    <w:rsid w:val="00506D9C"/>
    <w:rsid w:val="00506FE6"/>
    <w:rsid w:val="00507091"/>
    <w:rsid w:val="0050764F"/>
    <w:rsid w:val="00507D76"/>
    <w:rsid w:val="00507F32"/>
    <w:rsid w:val="00507FA4"/>
    <w:rsid w:val="00510E75"/>
    <w:rsid w:val="00510EE0"/>
    <w:rsid w:val="00511A41"/>
    <w:rsid w:val="00511D4F"/>
    <w:rsid w:val="00511F1F"/>
    <w:rsid w:val="0051220A"/>
    <w:rsid w:val="00512ABE"/>
    <w:rsid w:val="00512BCE"/>
    <w:rsid w:val="00513210"/>
    <w:rsid w:val="00513746"/>
    <w:rsid w:val="00514402"/>
    <w:rsid w:val="0051455D"/>
    <w:rsid w:val="0051465A"/>
    <w:rsid w:val="005148CD"/>
    <w:rsid w:val="00514BC7"/>
    <w:rsid w:val="00514EE3"/>
    <w:rsid w:val="00515037"/>
    <w:rsid w:val="00515531"/>
    <w:rsid w:val="0051556A"/>
    <w:rsid w:val="00515857"/>
    <w:rsid w:val="00516695"/>
    <w:rsid w:val="0051744C"/>
    <w:rsid w:val="0052039E"/>
    <w:rsid w:val="00520641"/>
    <w:rsid w:val="00521001"/>
    <w:rsid w:val="0052118D"/>
    <w:rsid w:val="0052168F"/>
    <w:rsid w:val="0052173C"/>
    <w:rsid w:val="00521896"/>
    <w:rsid w:val="00522C4D"/>
    <w:rsid w:val="00522E6D"/>
    <w:rsid w:val="00523115"/>
    <w:rsid w:val="00523F22"/>
    <w:rsid w:val="00524484"/>
    <w:rsid w:val="00525028"/>
    <w:rsid w:val="0052517A"/>
    <w:rsid w:val="005254F3"/>
    <w:rsid w:val="00525543"/>
    <w:rsid w:val="00526263"/>
    <w:rsid w:val="00526482"/>
    <w:rsid w:val="005264CA"/>
    <w:rsid w:val="005266ED"/>
    <w:rsid w:val="005267A2"/>
    <w:rsid w:val="00526CE7"/>
    <w:rsid w:val="00526E69"/>
    <w:rsid w:val="00526FBC"/>
    <w:rsid w:val="00527587"/>
    <w:rsid w:val="00530331"/>
    <w:rsid w:val="00530543"/>
    <w:rsid w:val="0053054E"/>
    <w:rsid w:val="005307D8"/>
    <w:rsid w:val="005307DF"/>
    <w:rsid w:val="00530836"/>
    <w:rsid w:val="005312D9"/>
    <w:rsid w:val="005312E6"/>
    <w:rsid w:val="00531696"/>
    <w:rsid w:val="005317BC"/>
    <w:rsid w:val="005323A7"/>
    <w:rsid w:val="00532960"/>
    <w:rsid w:val="00532B0F"/>
    <w:rsid w:val="005336E0"/>
    <w:rsid w:val="0053379E"/>
    <w:rsid w:val="00533AB3"/>
    <w:rsid w:val="00534300"/>
    <w:rsid w:val="0053460E"/>
    <w:rsid w:val="00534CEB"/>
    <w:rsid w:val="0053501D"/>
    <w:rsid w:val="005354AB"/>
    <w:rsid w:val="005359E4"/>
    <w:rsid w:val="00535C4A"/>
    <w:rsid w:val="00535DDA"/>
    <w:rsid w:val="00536135"/>
    <w:rsid w:val="0053616E"/>
    <w:rsid w:val="005361BC"/>
    <w:rsid w:val="0053632F"/>
    <w:rsid w:val="00536370"/>
    <w:rsid w:val="00536410"/>
    <w:rsid w:val="00536F95"/>
    <w:rsid w:val="00537345"/>
    <w:rsid w:val="0053734E"/>
    <w:rsid w:val="0053773F"/>
    <w:rsid w:val="005377FB"/>
    <w:rsid w:val="00537BA8"/>
    <w:rsid w:val="00540104"/>
    <w:rsid w:val="005404E1"/>
    <w:rsid w:val="00540A57"/>
    <w:rsid w:val="00541146"/>
    <w:rsid w:val="00541885"/>
    <w:rsid w:val="005419EE"/>
    <w:rsid w:val="00541D33"/>
    <w:rsid w:val="005425A1"/>
    <w:rsid w:val="00542878"/>
    <w:rsid w:val="00542905"/>
    <w:rsid w:val="00542925"/>
    <w:rsid w:val="00542BEA"/>
    <w:rsid w:val="00542ED0"/>
    <w:rsid w:val="005435E1"/>
    <w:rsid w:val="00543CE6"/>
    <w:rsid w:val="0054466B"/>
    <w:rsid w:val="00544F8D"/>
    <w:rsid w:val="00544FB1"/>
    <w:rsid w:val="0054518C"/>
    <w:rsid w:val="005453E5"/>
    <w:rsid w:val="005460A2"/>
    <w:rsid w:val="005466C6"/>
    <w:rsid w:val="0054671D"/>
    <w:rsid w:val="005469FC"/>
    <w:rsid w:val="00546CC3"/>
    <w:rsid w:val="00546E97"/>
    <w:rsid w:val="0054797A"/>
    <w:rsid w:val="00547C36"/>
    <w:rsid w:val="005508AE"/>
    <w:rsid w:val="005508C8"/>
    <w:rsid w:val="00551032"/>
    <w:rsid w:val="00551170"/>
    <w:rsid w:val="00551635"/>
    <w:rsid w:val="005516E3"/>
    <w:rsid w:val="00551A57"/>
    <w:rsid w:val="00551AD5"/>
    <w:rsid w:val="00551BA9"/>
    <w:rsid w:val="00551E9F"/>
    <w:rsid w:val="00552285"/>
    <w:rsid w:val="00552D90"/>
    <w:rsid w:val="00552EC7"/>
    <w:rsid w:val="00553198"/>
    <w:rsid w:val="005535B8"/>
    <w:rsid w:val="00553855"/>
    <w:rsid w:val="00553E6E"/>
    <w:rsid w:val="00553E83"/>
    <w:rsid w:val="005541BA"/>
    <w:rsid w:val="00554419"/>
    <w:rsid w:val="0055564F"/>
    <w:rsid w:val="00555724"/>
    <w:rsid w:val="00555732"/>
    <w:rsid w:val="00555781"/>
    <w:rsid w:val="00555D83"/>
    <w:rsid w:val="005566DB"/>
    <w:rsid w:val="00556E50"/>
    <w:rsid w:val="00556F60"/>
    <w:rsid w:val="00557560"/>
    <w:rsid w:val="005578AB"/>
    <w:rsid w:val="00557BDE"/>
    <w:rsid w:val="00557C9F"/>
    <w:rsid w:val="00557FBA"/>
    <w:rsid w:val="00560710"/>
    <w:rsid w:val="00560B84"/>
    <w:rsid w:val="00560E92"/>
    <w:rsid w:val="00561ADC"/>
    <w:rsid w:val="00561AEC"/>
    <w:rsid w:val="00561D2F"/>
    <w:rsid w:val="00561F6A"/>
    <w:rsid w:val="0056250A"/>
    <w:rsid w:val="005627D1"/>
    <w:rsid w:val="0056283A"/>
    <w:rsid w:val="00562C6B"/>
    <w:rsid w:val="005634EA"/>
    <w:rsid w:val="005636E5"/>
    <w:rsid w:val="0056390B"/>
    <w:rsid w:val="00563E5B"/>
    <w:rsid w:val="0056410F"/>
    <w:rsid w:val="005642A8"/>
    <w:rsid w:val="005643B4"/>
    <w:rsid w:val="00565756"/>
    <w:rsid w:val="00566010"/>
    <w:rsid w:val="00566027"/>
    <w:rsid w:val="005668BD"/>
    <w:rsid w:val="00566A58"/>
    <w:rsid w:val="00566AEE"/>
    <w:rsid w:val="00566D16"/>
    <w:rsid w:val="00567779"/>
    <w:rsid w:val="0057012C"/>
    <w:rsid w:val="005705F7"/>
    <w:rsid w:val="00570FE1"/>
    <w:rsid w:val="005712F5"/>
    <w:rsid w:val="00571396"/>
    <w:rsid w:val="005713F7"/>
    <w:rsid w:val="005715AB"/>
    <w:rsid w:val="005715B2"/>
    <w:rsid w:val="005715BA"/>
    <w:rsid w:val="00571600"/>
    <w:rsid w:val="00571B91"/>
    <w:rsid w:val="00571DD7"/>
    <w:rsid w:val="00571E45"/>
    <w:rsid w:val="00571F70"/>
    <w:rsid w:val="005720D1"/>
    <w:rsid w:val="005726B0"/>
    <w:rsid w:val="00573003"/>
    <w:rsid w:val="00573365"/>
    <w:rsid w:val="005733AB"/>
    <w:rsid w:val="005734CD"/>
    <w:rsid w:val="00573581"/>
    <w:rsid w:val="0057364B"/>
    <w:rsid w:val="00573977"/>
    <w:rsid w:val="00573B35"/>
    <w:rsid w:val="0057410F"/>
    <w:rsid w:val="00574A87"/>
    <w:rsid w:val="00575202"/>
    <w:rsid w:val="00575249"/>
    <w:rsid w:val="00575B70"/>
    <w:rsid w:val="00575E23"/>
    <w:rsid w:val="00576108"/>
    <w:rsid w:val="00576129"/>
    <w:rsid w:val="005766DE"/>
    <w:rsid w:val="005766E6"/>
    <w:rsid w:val="00576ADD"/>
    <w:rsid w:val="00576BF2"/>
    <w:rsid w:val="00576BFA"/>
    <w:rsid w:val="0057749F"/>
    <w:rsid w:val="00577931"/>
    <w:rsid w:val="005801D0"/>
    <w:rsid w:val="00580476"/>
    <w:rsid w:val="0058116C"/>
    <w:rsid w:val="005813FA"/>
    <w:rsid w:val="005821A5"/>
    <w:rsid w:val="005822A9"/>
    <w:rsid w:val="005827BA"/>
    <w:rsid w:val="00582F5E"/>
    <w:rsid w:val="00582FD0"/>
    <w:rsid w:val="00583321"/>
    <w:rsid w:val="005833CF"/>
    <w:rsid w:val="005834F9"/>
    <w:rsid w:val="005836DD"/>
    <w:rsid w:val="00583AEA"/>
    <w:rsid w:val="00583DB6"/>
    <w:rsid w:val="005842B5"/>
    <w:rsid w:val="005843F1"/>
    <w:rsid w:val="00584D53"/>
    <w:rsid w:val="005851D0"/>
    <w:rsid w:val="0058568B"/>
    <w:rsid w:val="0058672B"/>
    <w:rsid w:val="005867B2"/>
    <w:rsid w:val="005867E8"/>
    <w:rsid w:val="00586EB0"/>
    <w:rsid w:val="0058734C"/>
    <w:rsid w:val="005877D9"/>
    <w:rsid w:val="00587AE8"/>
    <w:rsid w:val="00587EEC"/>
    <w:rsid w:val="005901B4"/>
    <w:rsid w:val="005901EA"/>
    <w:rsid w:val="00590225"/>
    <w:rsid w:val="005914BE"/>
    <w:rsid w:val="0059180D"/>
    <w:rsid w:val="00591D16"/>
    <w:rsid w:val="00592A8B"/>
    <w:rsid w:val="00592DCF"/>
    <w:rsid w:val="00592F91"/>
    <w:rsid w:val="005933FA"/>
    <w:rsid w:val="00593AC5"/>
    <w:rsid w:val="00593BB6"/>
    <w:rsid w:val="00593DD5"/>
    <w:rsid w:val="00593EEA"/>
    <w:rsid w:val="0059453F"/>
    <w:rsid w:val="00595AA7"/>
    <w:rsid w:val="00596260"/>
    <w:rsid w:val="005966BF"/>
    <w:rsid w:val="00596782"/>
    <w:rsid w:val="005969E6"/>
    <w:rsid w:val="00596DD5"/>
    <w:rsid w:val="00596E33"/>
    <w:rsid w:val="00597037"/>
    <w:rsid w:val="00597170"/>
    <w:rsid w:val="00597228"/>
    <w:rsid w:val="00597CF7"/>
    <w:rsid w:val="0059E384"/>
    <w:rsid w:val="005A00D7"/>
    <w:rsid w:val="005A0639"/>
    <w:rsid w:val="005A07A0"/>
    <w:rsid w:val="005A0A01"/>
    <w:rsid w:val="005A0B66"/>
    <w:rsid w:val="005A0D49"/>
    <w:rsid w:val="005A1186"/>
    <w:rsid w:val="005A11E0"/>
    <w:rsid w:val="005A1507"/>
    <w:rsid w:val="005A1AF7"/>
    <w:rsid w:val="005A1E53"/>
    <w:rsid w:val="005A212A"/>
    <w:rsid w:val="005A223B"/>
    <w:rsid w:val="005A2444"/>
    <w:rsid w:val="005A2743"/>
    <w:rsid w:val="005A2993"/>
    <w:rsid w:val="005A3063"/>
    <w:rsid w:val="005A37FA"/>
    <w:rsid w:val="005A3A9B"/>
    <w:rsid w:val="005A3F49"/>
    <w:rsid w:val="005A406A"/>
    <w:rsid w:val="005A4467"/>
    <w:rsid w:val="005A4780"/>
    <w:rsid w:val="005A540E"/>
    <w:rsid w:val="005A5582"/>
    <w:rsid w:val="005A5749"/>
    <w:rsid w:val="005A57E9"/>
    <w:rsid w:val="005A625E"/>
    <w:rsid w:val="005A6269"/>
    <w:rsid w:val="005A6584"/>
    <w:rsid w:val="005A6755"/>
    <w:rsid w:val="005A67F8"/>
    <w:rsid w:val="005A697D"/>
    <w:rsid w:val="005A6C4A"/>
    <w:rsid w:val="005A77F3"/>
    <w:rsid w:val="005A7821"/>
    <w:rsid w:val="005A7ADC"/>
    <w:rsid w:val="005A7BA8"/>
    <w:rsid w:val="005A7E92"/>
    <w:rsid w:val="005B00D1"/>
    <w:rsid w:val="005B1681"/>
    <w:rsid w:val="005B1FA9"/>
    <w:rsid w:val="005B2135"/>
    <w:rsid w:val="005B2179"/>
    <w:rsid w:val="005B335A"/>
    <w:rsid w:val="005B337A"/>
    <w:rsid w:val="005B33A6"/>
    <w:rsid w:val="005B379B"/>
    <w:rsid w:val="005B3EF0"/>
    <w:rsid w:val="005B437A"/>
    <w:rsid w:val="005B4406"/>
    <w:rsid w:val="005B50CE"/>
    <w:rsid w:val="005B5983"/>
    <w:rsid w:val="005B5BEF"/>
    <w:rsid w:val="005B62C8"/>
    <w:rsid w:val="005B6334"/>
    <w:rsid w:val="005B6539"/>
    <w:rsid w:val="005B65B1"/>
    <w:rsid w:val="005B7419"/>
    <w:rsid w:val="005B751A"/>
    <w:rsid w:val="005B7553"/>
    <w:rsid w:val="005B7627"/>
    <w:rsid w:val="005B76A5"/>
    <w:rsid w:val="005B7918"/>
    <w:rsid w:val="005B7C97"/>
    <w:rsid w:val="005C058F"/>
    <w:rsid w:val="005C082B"/>
    <w:rsid w:val="005C0B77"/>
    <w:rsid w:val="005C0D28"/>
    <w:rsid w:val="005C0F82"/>
    <w:rsid w:val="005C142C"/>
    <w:rsid w:val="005C1473"/>
    <w:rsid w:val="005C14AD"/>
    <w:rsid w:val="005C1667"/>
    <w:rsid w:val="005C1FC3"/>
    <w:rsid w:val="005C25D5"/>
    <w:rsid w:val="005C2838"/>
    <w:rsid w:val="005C43F0"/>
    <w:rsid w:val="005C4770"/>
    <w:rsid w:val="005C4A05"/>
    <w:rsid w:val="005C55BD"/>
    <w:rsid w:val="005C56DA"/>
    <w:rsid w:val="005C5C3E"/>
    <w:rsid w:val="005C6180"/>
    <w:rsid w:val="005C660E"/>
    <w:rsid w:val="005C682B"/>
    <w:rsid w:val="005C69E3"/>
    <w:rsid w:val="005C6A0B"/>
    <w:rsid w:val="005C6B53"/>
    <w:rsid w:val="005C6BE6"/>
    <w:rsid w:val="005C6E74"/>
    <w:rsid w:val="005C6F48"/>
    <w:rsid w:val="005C7090"/>
    <w:rsid w:val="005C70D3"/>
    <w:rsid w:val="005C7311"/>
    <w:rsid w:val="005C742E"/>
    <w:rsid w:val="005C78E7"/>
    <w:rsid w:val="005C795A"/>
    <w:rsid w:val="005D03B5"/>
    <w:rsid w:val="005D0453"/>
    <w:rsid w:val="005D0A41"/>
    <w:rsid w:val="005D0FFA"/>
    <w:rsid w:val="005D1067"/>
    <w:rsid w:val="005D1AF2"/>
    <w:rsid w:val="005D1B67"/>
    <w:rsid w:val="005D21BF"/>
    <w:rsid w:val="005D2452"/>
    <w:rsid w:val="005D2B8E"/>
    <w:rsid w:val="005D3544"/>
    <w:rsid w:val="005D3ACD"/>
    <w:rsid w:val="005D3C04"/>
    <w:rsid w:val="005D3CF7"/>
    <w:rsid w:val="005D3DEA"/>
    <w:rsid w:val="005D3E10"/>
    <w:rsid w:val="005D3FD2"/>
    <w:rsid w:val="005D40B7"/>
    <w:rsid w:val="005D440E"/>
    <w:rsid w:val="005D4ADE"/>
    <w:rsid w:val="005D5252"/>
    <w:rsid w:val="005D5F2C"/>
    <w:rsid w:val="005D61BD"/>
    <w:rsid w:val="005D7030"/>
    <w:rsid w:val="005D728A"/>
    <w:rsid w:val="005D7325"/>
    <w:rsid w:val="005D7390"/>
    <w:rsid w:val="005D7397"/>
    <w:rsid w:val="005D7743"/>
    <w:rsid w:val="005D783D"/>
    <w:rsid w:val="005D78F0"/>
    <w:rsid w:val="005D79EA"/>
    <w:rsid w:val="005D7C66"/>
    <w:rsid w:val="005E0EE8"/>
    <w:rsid w:val="005E16FE"/>
    <w:rsid w:val="005E1FB6"/>
    <w:rsid w:val="005E2499"/>
    <w:rsid w:val="005E2A07"/>
    <w:rsid w:val="005E2A76"/>
    <w:rsid w:val="005E2AD2"/>
    <w:rsid w:val="005E2F5F"/>
    <w:rsid w:val="005E340A"/>
    <w:rsid w:val="005E37EF"/>
    <w:rsid w:val="005E387C"/>
    <w:rsid w:val="005E3C3D"/>
    <w:rsid w:val="005E3C97"/>
    <w:rsid w:val="005E4092"/>
    <w:rsid w:val="005E41F1"/>
    <w:rsid w:val="005E42D3"/>
    <w:rsid w:val="005E4587"/>
    <w:rsid w:val="005E4687"/>
    <w:rsid w:val="005E4CE9"/>
    <w:rsid w:val="005E4D8F"/>
    <w:rsid w:val="005E63F3"/>
    <w:rsid w:val="005E66A6"/>
    <w:rsid w:val="005E6ABF"/>
    <w:rsid w:val="005E6DE9"/>
    <w:rsid w:val="005E6EB3"/>
    <w:rsid w:val="005E6EB4"/>
    <w:rsid w:val="005E7393"/>
    <w:rsid w:val="005E73B0"/>
    <w:rsid w:val="005E773C"/>
    <w:rsid w:val="005E78EE"/>
    <w:rsid w:val="005E7D0B"/>
    <w:rsid w:val="005E7FD5"/>
    <w:rsid w:val="005F0E05"/>
    <w:rsid w:val="005F133D"/>
    <w:rsid w:val="005F1734"/>
    <w:rsid w:val="005F1F90"/>
    <w:rsid w:val="005F2690"/>
    <w:rsid w:val="005F2947"/>
    <w:rsid w:val="005F2F19"/>
    <w:rsid w:val="005F32A6"/>
    <w:rsid w:val="005F4066"/>
    <w:rsid w:val="005F4213"/>
    <w:rsid w:val="005F4214"/>
    <w:rsid w:val="005F4C84"/>
    <w:rsid w:val="005F4D6C"/>
    <w:rsid w:val="005F4FD4"/>
    <w:rsid w:val="005F544C"/>
    <w:rsid w:val="005F54B5"/>
    <w:rsid w:val="005F59B0"/>
    <w:rsid w:val="005F636C"/>
    <w:rsid w:val="005F65D7"/>
    <w:rsid w:val="005F65FF"/>
    <w:rsid w:val="005F6830"/>
    <w:rsid w:val="005F685C"/>
    <w:rsid w:val="005F693E"/>
    <w:rsid w:val="005F7315"/>
    <w:rsid w:val="005F74E3"/>
    <w:rsid w:val="005F7707"/>
    <w:rsid w:val="005F78D8"/>
    <w:rsid w:val="005F7D1F"/>
    <w:rsid w:val="005F7FAE"/>
    <w:rsid w:val="00601816"/>
    <w:rsid w:val="006020A6"/>
    <w:rsid w:val="006025B5"/>
    <w:rsid w:val="0060387F"/>
    <w:rsid w:val="00603BAB"/>
    <w:rsid w:val="00603E5C"/>
    <w:rsid w:val="00604764"/>
    <w:rsid w:val="00604CBC"/>
    <w:rsid w:val="00604FDF"/>
    <w:rsid w:val="00605373"/>
    <w:rsid w:val="00605D5A"/>
    <w:rsid w:val="00606565"/>
    <w:rsid w:val="00606594"/>
    <w:rsid w:val="0060666B"/>
    <w:rsid w:val="006068DA"/>
    <w:rsid w:val="00607218"/>
    <w:rsid w:val="006078D3"/>
    <w:rsid w:val="00607D5C"/>
    <w:rsid w:val="0060EAFE"/>
    <w:rsid w:val="00610098"/>
    <w:rsid w:val="00610162"/>
    <w:rsid w:val="0061134E"/>
    <w:rsid w:val="00611550"/>
    <w:rsid w:val="00611590"/>
    <w:rsid w:val="00611CC1"/>
    <w:rsid w:val="0061218A"/>
    <w:rsid w:val="00612225"/>
    <w:rsid w:val="00612247"/>
    <w:rsid w:val="0061264C"/>
    <w:rsid w:val="00612ECA"/>
    <w:rsid w:val="00613324"/>
    <w:rsid w:val="00613C67"/>
    <w:rsid w:val="00613DF4"/>
    <w:rsid w:val="00614279"/>
    <w:rsid w:val="0061462C"/>
    <w:rsid w:val="0061484F"/>
    <w:rsid w:val="00614D42"/>
    <w:rsid w:val="00614D7B"/>
    <w:rsid w:val="006154B9"/>
    <w:rsid w:val="00615614"/>
    <w:rsid w:val="00615787"/>
    <w:rsid w:val="00615D75"/>
    <w:rsid w:val="00616777"/>
    <w:rsid w:val="00616F78"/>
    <w:rsid w:val="006171FB"/>
    <w:rsid w:val="006200B6"/>
    <w:rsid w:val="0062024B"/>
    <w:rsid w:val="006203FD"/>
    <w:rsid w:val="0062068C"/>
    <w:rsid w:val="00621AA7"/>
    <w:rsid w:val="00621C31"/>
    <w:rsid w:val="006224B9"/>
    <w:rsid w:val="006228B7"/>
    <w:rsid w:val="0062304A"/>
    <w:rsid w:val="00623317"/>
    <w:rsid w:val="006238E3"/>
    <w:rsid w:val="00623B71"/>
    <w:rsid w:val="00623CDA"/>
    <w:rsid w:val="00624075"/>
    <w:rsid w:val="00624B03"/>
    <w:rsid w:val="0062539E"/>
    <w:rsid w:val="0062555F"/>
    <w:rsid w:val="00625B44"/>
    <w:rsid w:val="00625C22"/>
    <w:rsid w:val="00625D4D"/>
    <w:rsid w:val="0062602F"/>
    <w:rsid w:val="00626446"/>
    <w:rsid w:val="00626533"/>
    <w:rsid w:val="006266B1"/>
    <w:rsid w:val="006266B7"/>
    <w:rsid w:val="006267B9"/>
    <w:rsid w:val="006267BB"/>
    <w:rsid w:val="0062692C"/>
    <w:rsid w:val="00626E6B"/>
    <w:rsid w:val="00627C4E"/>
    <w:rsid w:val="00630213"/>
    <w:rsid w:val="00630227"/>
    <w:rsid w:val="006308E8"/>
    <w:rsid w:val="0063117D"/>
    <w:rsid w:val="0063163B"/>
    <w:rsid w:val="006317CC"/>
    <w:rsid w:val="0063188C"/>
    <w:rsid w:val="00631BC0"/>
    <w:rsid w:val="00632298"/>
    <w:rsid w:val="00632461"/>
    <w:rsid w:val="00632605"/>
    <w:rsid w:val="006328AF"/>
    <w:rsid w:val="00633171"/>
    <w:rsid w:val="006332D1"/>
    <w:rsid w:val="00633CF3"/>
    <w:rsid w:val="00633D9F"/>
    <w:rsid w:val="00633F0A"/>
    <w:rsid w:val="006342F4"/>
    <w:rsid w:val="006343B9"/>
    <w:rsid w:val="006344CE"/>
    <w:rsid w:val="00634620"/>
    <w:rsid w:val="00634A56"/>
    <w:rsid w:val="00634BAB"/>
    <w:rsid w:val="00634C1E"/>
    <w:rsid w:val="00634D89"/>
    <w:rsid w:val="00634E68"/>
    <w:rsid w:val="0063516D"/>
    <w:rsid w:val="0063529D"/>
    <w:rsid w:val="006352EA"/>
    <w:rsid w:val="00635689"/>
    <w:rsid w:val="00635AB0"/>
    <w:rsid w:val="006361A8"/>
    <w:rsid w:val="00636284"/>
    <w:rsid w:val="006364FC"/>
    <w:rsid w:val="00636744"/>
    <w:rsid w:val="00636A19"/>
    <w:rsid w:val="00636D56"/>
    <w:rsid w:val="00637AA3"/>
    <w:rsid w:val="006402D7"/>
    <w:rsid w:val="00640577"/>
    <w:rsid w:val="00640B28"/>
    <w:rsid w:val="00641106"/>
    <w:rsid w:val="006418A0"/>
    <w:rsid w:val="00641C77"/>
    <w:rsid w:val="00641DD9"/>
    <w:rsid w:val="00641F92"/>
    <w:rsid w:val="0064254D"/>
    <w:rsid w:val="00642C65"/>
    <w:rsid w:val="00642F87"/>
    <w:rsid w:val="00643187"/>
    <w:rsid w:val="00643274"/>
    <w:rsid w:val="0064348B"/>
    <w:rsid w:val="0064357E"/>
    <w:rsid w:val="00643AAE"/>
    <w:rsid w:val="00644296"/>
    <w:rsid w:val="0064429F"/>
    <w:rsid w:val="00644600"/>
    <w:rsid w:val="00644B5E"/>
    <w:rsid w:val="00644F7B"/>
    <w:rsid w:val="00644FBC"/>
    <w:rsid w:val="00645078"/>
    <w:rsid w:val="00645491"/>
    <w:rsid w:val="006454E0"/>
    <w:rsid w:val="0064630E"/>
    <w:rsid w:val="00646397"/>
    <w:rsid w:val="00646615"/>
    <w:rsid w:val="006466DE"/>
    <w:rsid w:val="006468D9"/>
    <w:rsid w:val="00646975"/>
    <w:rsid w:val="00646EBA"/>
    <w:rsid w:val="0064700B"/>
    <w:rsid w:val="0064711C"/>
    <w:rsid w:val="00647392"/>
    <w:rsid w:val="006473FF"/>
    <w:rsid w:val="00647479"/>
    <w:rsid w:val="00647B8C"/>
    <w:rsid w:val="00647DF1"/>
    <w:rsid w:val="0065088F"/>
    <w:rsid w:val="0065093E"/>
    <w:rsid w:val="00650BD8"/>
    <w:rsid w:val="00650C6D"/>
    <w:rsid w:val="00650EF5"/>
    <w:rsid w:val="0065147E"/>
    <w:rsid w:val="00651650"/>
    <w:rsid w:val="00651CA6"/>
    <w:rsid w:val="00652156"/>
    <w:rsid w:val="006522D5"/>
    <w:rsid w:val="0065249F"/>
    <w:rsid w:val="00652B64"/>
    <w:rsid w:val="00652FC9"/>
    <w:rsid w:val="00653573"/>
    <w:rsid w:val="006536D7"/>
    <w:rsid w:val="006538E4"/>
    <w:rsid w:val="00653CE7"/>
    <w:rsid w:val="00654099"/>
    <w:rsid w:val="0065493C"/>
    <w:rsid w:val="00654E19"/>
    <w:rsid w:val="0065502A"/>
    <w:rsid w:val="00655211"/>
    <w:rsid w:val="0065573E"/>
    <w:rsid w:val="00655A78"/>
    <w:rsid w:val="0065650B"/>
    <w:rsid w:val="006566CA"/>
    <w:rsid w:val="00656992"/>
    <w:rsid w:val="006569A0"/>
    <w:rsid w:val="00656D70"/>
    <w:rsid w:val="006576B4"/>
    <w:rsid w:val="0066026C"/>
    <w:rsid w:val="0066051E"/>
    <w:rsid w:val="0066066C"/>
    <w:rsid w:val="00660898"/>
    <w:rsid w:val="00660F2C"/>
    <w:rsid w:val="006613BD"/>
    <w:rsid w:val="00661A56"/>
    <w:rsid w:val="00661DF1"/>
    <w:rsid w:val="00662AD0"/>
    <w:rsid w:val="0066329D"/>
    <w:rsid w:val="006636F2"/>
    <w:rsid w:val="0066377B"/>
    <w:rsid w:val="0066399A"/>
    <w:rsid w:val="00663BBA"/>
    <w:rsid w:val="00663D47"/>
    <w:rsid w:val="00663E4F"/>
    <w:rsid w:val="00663F60"/>
    <w:rsid w:val="006641AC"/>
    <w:rsid w:val="00664267"/>
    <w:rsid w:val="00664445"/>
    <w:rsid w:val="0066509B"/>
    <w:rsid w:val="00665561"/>
    <w:rsid w:val="00665A93"/>
    <w:rsid w:val="00666A64"/>
    <w:rsid w:val="00666FFD"/>
    <w:rsid w:val="0066765A"/>
    <w:rsid w:val="006677B5"/>
    <w:rsid w:val="00667CBC"/>
    <w:rsid w:val="006703C0"/>
    <w:rsid w:val="006703FF"/>
    <w:rsid w:val="006707D9"/>
    <w:rsid w:val="00670848"/>
    <w:rsid w:val="00670B84"/>
    <w:rsid w:val="00670F7C"/>
    <w:rsid w:val="00671850"/>
    <w:rsid w:val="00671AB9"/>
    <w:rsid w:val="00671F99"/>
    <w:rsid w:val="006720B8"/>
    <w:rsid w:val="0067289F"/>
    <w:rsid w:val="00673251"/>
    <w:rsid w:val="0067336B"/>
    <w:rsid w:val="00673E7D"/>
    <w:rsid w:val="00673F1D"/>
    <w:rsid w:val="006741A9"/>
    <w:rsid w:val="00674468"/>
    <w:rsid w:val="00674C95"/>
    <w:rsid w:val="006750AE"/>
    <w:rsid w:val="00675179"/>
    <w:rsid w:val="006756D9"/>
    <w:rsid w:val="0067572C"/>
    <w:rsid w:val="00675BC4"/>
    <w:rsid w:val="00675CB7"/>
    <w:rsid w:val="00675E69"/>
    <w:rsid w:val="0067617A"/>
    <w:rsid w:val="00676537"/>
    <w:rsid w:val="00676B47"/>
    <w:rsid w:val="00676D5E"/>
    <w:rsid w:val="006774B5"/>
    <w:rsid w:val="0067761B"/>
    <w:rsid w:val="0067782C"/>
    <w:rsid w:val="00680DB0"/>
    <w:rsid w:val="006812B8"/>
    <w:rsid w:val="006813F0"/>
    <w:rsid w:val="006817BE"/>
    <w:rsid w:val="006819A7"/>
    <w:rsid w:val="00681F08"/>
    <w:rsid w:val="0068271F"/>
    <w:rsid w:val="00682886"/>
    <w:rsid w:val="00682AC3"/>
    <w:rsid w:val="006830EB"/>
    <w:rsid w:val="006834C9"/>
    <w:rsid w:val="00683A42"/>
    <w:rsid w:val="0068400E"/>
    <w:rsid w:val="006846FF"/>
    <w:rsid w:val="00684E7E"/>
    <w:rsid w:val="00685254"/>
    <w:rsid w:val="00685A9B"/>
    <w:rsid w:val="00685AA8"/>
    <w:rsid w:val="00685CB7"/>
    <w:rsid w:val="00685E29"/>
    <w:rsid w:val="00686B8D"/>
    <w:rsid w:val="006872DE"/>
    <w:rsid w:val="006872E7"/>
    <w:rsid w:val="00687CC6"/>
    <w:rsid w:val="00687D72"/>
    <w:rsid w:val="0069017A"/>
    <w:rsid w:val="0069033C"/>
    <w:rsid w:val="00690340"/>
    <w:rsid w:val="0069080B"/>
    <w:rsid w:val="006911D4"/>
    <w:rsid w:val="00691361"/>
    <w:rsid w:val="006916B9"/>
    <w:rsid w:val="0069183D"/>
    <w:rsid w:val="0069186A"/>
    <w:rsid w:val="0069190E"/>
    <w:rsid w:val="00691D3F"/>
    <w:rsid w:val="00691D6F"/>
    <w:rsid w:val="00691F14"/>
    <w:rsid w:val="0069245B"/>
    <w:rsid w:val="00692640"/>
    <w:rsid w:val="00692874"/>
    <w:rsid w:val="006928AE"/>
    <w:rsid w:val="006929E1"/>
    <w:rsid w:val="00692B89"/>
    <w:rsid w:val="0069306B"/>
    <w:rsid w:val="006935A4"/>
    <w:rsid w:val="00694327"/>
    <w:rsid w:val="00694C76"/>
    <w:rsid w:val="00694C86"/>
    <w:rsid w:val="0069526C"/>
    <w:rsid w:val="00695356"/>
    <w:rsid w:val="006953B1"/>
    <w:rsid w:val="0069648B"/>
    <w:rsid w:val="00696A5D"/>
    <w:rsid w:val="00696D67"/>
    <w:rsid w:val="00696EB3"/>
    <w:rsid w:val="006A021A"/>
    <w:rsid w:val="006A0271"/>
    <w:rsid w:val="006A0463"/>
    <w:rsid w:val="006A05D6"/>
    <w:rsid w:val="006A0B85"/>
    <w:rsid w:val="006A0C1C"/>
    <w:rsid w:val="006A0F92"/>
    <w:rsid w:val="006A2105"/>
    <w:rsid w:val="006A27E2"/>
    <w:rsid w:val="006A2EEE"/>
    <w:rsid w:val="006A30BC"/>
    <w:rsid w:val="006A3A45"/>
    <w:rsid w:val="006A4323"/>
    <w:rsid w:val="006A4344"/>
    <w:rsid w:val="006A4623"/>
    <w:rsid w:val="006A4A9D"/>
    <w:rsid w:val="006A4BF2"/>
    <w:rsid w:val="006A4CDE"/>
    <w:rsid w:val="006A54FF"/>
    <w:rsid w:val="006A5E23"/>
    <w:rsid w:val="006A6040"/>
    <w:rsid w:val="006A60CB"/>
    <w:rsid w:val="006A613D"/>
    <w:rsid w:val="006A6450"/>
    <w:rsid w:val="006A67BA"/>
    <w:rsid w:val="006A6EDC"/>
    <w:rsid w:val="006A72A8"/>
    <w:rsid w:val="006A7320"/>
    <w:rsid w:val="006A73C9"/>
    <w:rsid w:val="006A7915"/>
    <w:rsid w:val="006B004D"/>
    <w:rsid w:val="006B0246"/>
    <w:rsid w:val="006B02D3"/>
    <w:rsid w:val="006B02F7"/>
    <w:rsid w:val="006B0B51"/>
    <w:rsid w:val="006B11CF"/>
    <w:rsid w:val="006B1996"/>
    <w:rsid w:val="006B2754"/>
    <w:rsid w:val="006B2976"/>
    <w:rsid w:val="006B324D"/>
    <w:rsid w:val="006B33A2"/>
    <w:rsid w:val="006B33B8"/>
    <w:rsid w:val="006B3819"/>
    <w:rsid w:val="006B39B1"/>
    <w:rsid w:val="006B5268"/>
    <w:rsid w:val="006B5F07"/>
    <w:rsid w:val="006B67E3"/>
    <w:rsid w:val="006B6E9E"/>
    <w:rsid w:val="006B7432"/>
    <w:rsid w:val="006B7437"/>
    <w:rsid w:val="006B7D04"/>
    <w:rsid w:val="006C03C8"/>
    <w:rsid w:val="006C048D"/>
    <w:rsid w:val="006C0C7F"/>
    <w:rsid w:val="006C0E1D"/>
    <w:rsid w:val="006C0F87"/>
    <w:rsid w:val="006C1109"/>
    <w:rsid w:val="006C1365"/>
    <w:rsid w:val="006C1459"/>
    <w:rsid w:val="006C1550"/>
    <w:rsid w:val="006C18BD"/>
    <w:rsid w:val="006C1B7A"/>
    <w:rsid w:val="006C2697"/>
    <w:rsid w:val="006C26C3"/>
    <w:rsid w:val="006C2AE5"/>
    <w:rsid w:val="006C3391"/>
    <w:rsid w:val="006C3520"/>
    <w:rsid w:val="006C4175"/>
    <w:rsid w:val="006C4248"/>
    <w:rsid w:val="006C4CDA"/>
    <w:rsid w:val="006C4E20"/>
    <w:rsid w:val="006C5456"/>
    <w:rsid w:val="006C5853"/>
    <w:rsid w:val="006C69DF"/>
    <w:rsid w:val="006C73AA"/>
    <w:rsid w:val="006C7423"/>
    <w:rsid w:val="006C77C4"/>
    <w:rsid w:val="006C793D"/>
    <w:rsid w:val="006D001E"/>
    <w:rsid w:val="006D009B"/>
    <w:rsid w:val="006D04D0"/>
    <w:rsid w:val="006D0EE1"/>
    <w:rsid w:val="006D0F3A"/>
    <w:rsid w:val="006D1181"/>
    <w:rsid w:val="006D1269"/>
    <w:rsid w:val="006D1281"/>
    <w:rsid w:val="006D138D"/>
    <w:rsid w:val="006D24F4"/>
    <w:rsid w:val="006D2DC3"/>
    <w:rsid w:val="006D3311"/>
    <w:rsid w:val="006D3529"/>
    <w:rsid w:val="006D35FB"/>
    <w:rsid w:val="006D3699"/>
    <w:rsid w:val="006D397C"/>
    <w:rsid w:val="006D4071"/>
    <w:rsid w:val="006D40C5"/>
    <w:rsid w:val="006D4149"/>
    <w:rsid w:val="006D44A7"/>
    <w:rsid w:val="006D456D"/>
    <w:rsid w:val="006D4735"/>
    <w:rsid w:val="006D49C1"/>
    <w:rsid w:val="006D4EFF"/>
    <w:rsid w:val="006D5561"/>
    <w:rsid w:val="006D55BA"/>
    <w:rsid w:val="006D5C7F"/>
    <w:rsid w:val="006D6207"/>
    <w:rsid w:val="006D683C"/>
    <w:rsid w:val="006D7420"/>
    <w:rsid w:val="006D7FD8"/>
    <w:rsid w:val="006E00DE"/>
    <w:rsid w:val="006E0264"/>
    <w:rsid w:val="006E0707"/>
    <w:rsid w:val="006E0796"/>
    <w:rsid w:val="006E0A05"/>
    <w:rsid w:val="006E0EB0"/>
    <w:rsid w:val="006E1124"/>
    <w:rsid w:val="006E220E"/>
    <w:rsid w:val="006E222E"/>
    <w:rsid w:val="006E22C6"/>
    <w:rsid w:val="006E230C"/>
    <w:rsid w:val="006E2698"/>
    <w:rsid w:val="006E296F"/>
    <w:rsid w:val="006E34FC"/>
    <w:rsid w:val="006E360A"/>
    <w:rsid w:val="006E3E92"/>
    <w:rsid w:val="006E4084"/>
    <w:rsid w:val="006E4B89"/>
    <w:rsid w:val="006E4C39"/>
    <w:rsid w:val="006E5334"/>
    <w:rsid w:val="006E5442"/>
    <w:rsid w:val="006E55D7"/>
    <w:rsid w:val="006E57C1"/>
    <w:rsid w:val="006E5B89"/>
    <w:rsid w:val="006E6DE8"/>
    <w:rsid w:val="006E6F2B"/>
    <w:rsid w:val="006E725D"/>
    <w:rsid w:val="006E73B4"/>
    <w:rsid w:val="006E7AB6"/>
    <w:rsid w:val="006F025D"/>
    <w:rsid w:val="006F12C1"/>
    <w:rsid w:val="006F1510"/>
    <w:rsid w:val="006F1839"/>
    <w:rsid w:val="006F1D09"/>
    <w:rsid w:val="006F1ED8"/>
    <w:rsid w:val="006F2075"/>
    <w:rsid w:val="006F2827"/>
    <w:rsid w:val="006F2858"/>
    <w:rsid w:val="006F28B6"/>
    <w:rsid w:val="006F374E"/>
    <w:rsid w:val="006F3CF0"/>
    <w:rsid w:val="006F43D8"/>
    <w:rsid w:val="006F5A47"/>
    <w:rsid w:val="006F64BC"/>
    <w:rsid w:val="006F6B7B"/>
    <w:rsid w:val="006F6C1D"/>
    <w:rsid w:val="006F6DB4"/>
    <w:rsid w:val="006F6F64"/>
    <w:rsid w:val="006F716D"/>
    <w:rsid w:val="006F732F"/>
    <w:rsid w:val="006F79D8"/>
    <w:rsid w:val="0070054E"/>
    <w:rsid w:val="007006DA"/>
    <w:rsid w:val="00700836"/>
    <w:rsid w:val="00700B03"/>
    <w:rsid w:val="0070136A"/>
    <w:rsid w:val="007015DC"/>
    <w:rsid w:val="00701CEC"/>
    <w:rsid w:val="00701DC7"/>
    <w:rsid w:val="007021BD"/>
    <w:rsid w:val="007022BF"/>
    <w:rsid w:val="00702734"/>
    <w:rsid w:val="0070305A"/>
    <w:rsid w:val="00703846"/>
    <w:rsid w:val="007042FE"/>
    <w:rsid w:val="007049C6"/>
    <w:rsid w:val="00704EA1"/>
    <w:rsid w:val="00704EFF"/>
    <w:rsid w:val="00704F3B"/>
    <w:rsid w:val="0070555A"/>
    <w:rsid w:val="00705C4F"/>
    <w:rsid w:val="00705D7F"/>
    <w:rsid w:val="00705DCE"/>
    <w:rsid w:val="00705E51"/>
    <w:rsid w:val="00705FBD"/>
    <w:rsid w:val="007060C7"/>
    <w:rsid w:val="00706167"/>
    <w:rsid w:val="0070631F"/>
    <w:rsid w:val="007100AB"/>
    <w:rsid w:val="007100DE"/>
    <w:rsid w:val="007102E9"/>
    <w:rsid w:val="007107B6"/>
    <w:rsid w:val="00710C46"/>
    <w:rsid w:val="007114C0"/>
    <w:rsid w:val="00711700"/>
    <w:rsid w:val="007119E0"/>
    <w:rsid w:val="00711B5C"/>
    <w:rsid w:val="00711F27"/>
    <w:rsid w:val="00712362"/>
    <w:rsid w:val="0071250B"/>
    <w:rsid w:val="007127C3"/>
    <w:rsid w:val="00712AE3"/>
    <w:rsid w:val="0071318B"/>
    <w:rsid w:val="007133BD"/>
    <w:rsid w:val="007134D9"/>
    <w:rsid w:val="00713DF4"/>
    <w:rsid w:val="00713E37"/>
    <w:rsid w:val="00714038"/>
    <w:rsid w:val="007140BB"/>
    <w:rsid w:val="00714135"/>
    <w:rsid w:val="0071421A"/>
    <w:rsid w:val="00714511"/>
    <w:rsid w:val="0071466A"/>
    <w:rsid w:val="00714AE6"/>
    <w:rsid w:val="00714F41"/>
    <w:rsid w:val="00715A37"/>
    <w:rsid w:val="00715B98"/>
    <w:rsid w:val="00715F87"/>
    <w:rsid w:val="00715FE1"/>
    <w:rsid w:val="0071606B"/>
    <w:rsid w:val="0071624C"/>
    <w:rsid w:val="00716503"/>
    <w:rsid w:val="0071656B"/>
    <w:rsid w:val="0071658D"/>
    <w:rsid w:val="00716AE6"/>
    <w:rsid w:val="00716D9D"/>
    <w:rsid w:val="00717413"/>
    <w:rsid w:val="0071755D"/>
    <w:rsid w:val="007179BC"/>
    <w:rsid w:val="00717E97"/>
    <w:rsid w:val="00717FCD"/>
    <w:rsid w:val="00720084"/>
    <w:rsid w:val="007201C2"/>
    <w:rsid w:val="007203D7"/>
    <w:rsid w:val="0072065B"/>
    <w:rsid w:val="00720853"/>
    <w:rsid w:val="00720E48"/>
    <w:rsid w:val="00721234"/>
    <w:rsid w:val="007214E4"/>
    <w:rsid w:val="0072177B"/>
    <w:rsid w:val="007217E5"/>
    <w:rsid w:val="00721978"/>
    <w:rsid w:val="007219A1"/>
    <w:rsid w:val="007219AE"/>
    <w:rsid w:val="00721AC2"/>
    <w:rsid w:val="00721CA5"/>
    <w:rsid w:val="007223AA"/>
    <w:rsid w:val="00722911"/>
    <w:rsid w:val="00722EDB"/>
    <w:rsid w:val="00723396"/>
    <w:rsid w:val="007237B1"/>
    <w:rsid w:val="0072383B"/>
    <w:rsid w:val="00723A34"/>
    <w:rsid w:val="00723A6A"/>
    <w:rsid w:val="00723EC8"/>
    <w:rsid w:val="007242E9"/>
    <w:rsid w:val="00724D20"/>
    <w:rsid w:val="00725411"/>
    <w:rsid w:val="007254ED"/>
    <w:rsid w:val="00725B57"/>
    <w:rsid w:val="00725C9A"/>
    <w:rsid w:val="00725D65"/>
    <w:rsid w:val="0072640C"/>
    <w:rsid w:val="00726410"/>
    <w:rsid w:val="00726790"/>
    <w:rsid w:val="00727486"/>
    <w:rsid w:val="00727748"/>
    <w:rsid w:val="007277D3"/>
    <w:rsid w:val="0072787F"/>
    <w:rsid w:val="0072797C"/>
    <w:rsid w:val="00727F1F"/>
    <w:rsid w:val="00730A75"/>
    <w:rsid w:val="00730CAC"/>
    <w:rsid w:val="0073108B"/>
    <w:rsid w:val="00731259"/>
    <w:rsid w:val="00731928"/>
    <w:rsid w:val="00731C2F"/>
    <w:rsid w:val="00731D83"/>
    <w:rsid w:val="0073212D"/>
    <w:rsid w:val="00732761"/>
    <w:rsid w:val="00732CC0"/>
    <w:rsid w:val="00732D78"/>
    <w:rsid w:val="00732DDE"/>
    <w:rsid w:val="007333A1"/>
    <w:rsid w:val="0073342D"/>
    <w:rsid w:val="00733863"/>
    <w:rsid w:val="007338D9"/>
    <w:rsid w:val="00733EE1"/>
    <w:rsid w:val="00734006"/>
    <w:rsid w:val="00734419"/>
    <w:rsid w:val="007345DF"/>
    <w:rsid w:val="0073490C"/>
    <w:rsid w:val="00734B65"/>
    <w:rsid w:val="00735C26"/>
    <w:rsid w:val="007375B3"/>
    <w:rsid w:val="007378F0"/>
    <w:rsid w:val="007379FE"/>
    <w:rsid w:val="00737C3E"/>
    <w:rsid w:val="00737E1C"/>
    <w:rsid w:val="007402B8"/>
    <w:rsid w:val="007403BA"/>
    <w:rsid w:val="00740653"/>
    <w:rsid w:val="007406D8"/>
    <w:rsid w:val="0074094D"/>
    <w:rsid w:val="00740E5A"/>
    <w:rsid w:val="00741263"/>
    <w:rsid w:val="007412AE"/>
    <w:rsid w:val="00741472"/>
    <w:rsid w:val="00741B8B"/>
    <w:rsid w:val="0074279B"/>
    <w:rsid w:val="007428E1"/>
    <w:rsid w:val="00742941"/>
    <w:rsid w:val="00742C1E"/>
    <w:rsid w:val="00742DB5"/>
    <w:rsid w:val="00742DC0"/>
    <w:rsid w:val="007431CE"/>
    <w:rsid w:val="007432D7"/>
    <w:rsid w:val="00743349"/>
    <w:rsid w:val="00743819"/>
    <w:rsid w:val="00743CF4"/>
    <w:rsid w:val="00743D9C"/>
    <w:rsid w:val="00743E8D"/>
    <w:rsid w:val="0074450C"/>
    <w:rsid w:val="00744BE1"/>
    <w:rsid w:val="00744E68"/>
    <w:rsid w:val="00745109"/>
    <w:rsid w:val="007453D3"/>
    <w:rsid w:val="00745B21"/>
    <w:rsid w:val="0074636B"/>
    <w:rsid w:val="00746630"/>
    <w:rsid w:val="007466FA"/>
    <w:rsid w:val="00746F32"/>
    <w:rsid w:val="00747007"/>
    <w:rsid w:val="0074774B"/>
    <w:rsid w:val="00747817"/>
    <w:rsid w:val="007478C3"/>
    <w:rsid w:val="007478FB"/>
    <w:rsid w:val="00747B32"/>
    <w:rsid w:val="00747C04"/>
    <w:rsid w:val="00750290"/>
    <w:rsid w:val="007503F6"/>
    <w:rsid w:val="007504A4"/>
    <w:rsid w:val="007505FB"/>
    <w:rsid w:val="007506B5"/>
    <w:rsid w:val="00750EB0"/>
    <w:rsid w:val="00751833"/>
    <w:rsid w:val="00751955"/>
    <w:rsid w:val="00751CE3"/>
    <w:rsid w:val="00751FF2"/>
    <w:rsid w:val="007522DC"/>
    <w:rsid w:val="007524A9"/>
    <w:rsid w:val="00752856"/>
    <w:rsid w:val="0075286B"/>
    <w:rsid w:val="00752BDF"/>
    <w:rsid w:val="00752CCE"/>
    <w:rsid w:val="00753102"/>
    <w:rsid w:val="0075310C"/>
    <w:rsid w:val="0075343D"/>
    <w:rsid w:val="00753561"/>
    <w:rsid w:val="00753646"/>
    <w:rsid w:val="00753717"/>
    <w:rsid w:val="007537C9"/>
    <w:rsid w:val="0075386F"/>
    <w:rsid w:val="007538A3"/>
    <w:rsid w:val="00753D8A"/>
    <w:rsid w:val="00754701"/>
    <w:rsid w:val="00754BF9"/>
    <w:rsid w:val="00754E6D"/>
    <w:rsid w:val="00755265"/>
    <w:rsid w:val="0075570A"/>
    <w:rsid w:val="00755A74"/>
    <w:rsid w:val="00755A89"/>
    <w:rsid w:val="00755E98"/>
    <w:rsid w:val="00755EE2"/>
    <w:rsid w:val="00755FD7"/>
    <w:rsid w:val="007561B8"/>
    <w:rsid w:val="00756287"/>
    <w:rsid w:val="00756327"/>
    <w:rsid w:val="0075648D"/>
    <w:rsid w:val="007569BA"/>
    <w:rsid w:val="007571A0"/>
    <w:rsid w:val="007579EC"/>
    <w:rsid w:val="00757A6C"/>
    <w:rsid w:val="00757EF6"/>
    <w:rsid w:val="00760C11"/>
    <w:rsid w:val="00761671"/>
    <w:rsid w:val="00761992"/>
    <w:rsid w:val="00762295"/>
    <w:rsid w:val="00762711"/>
    <w:rsid w:val="0076298C"/>
    <w:rsid w:val="007629DB"/>
    <w:rsid w:val="00762B70"/>
    <w:rsid w:val="00762DA9"/>
    <w:rsid w:val="007633EB"/>
    <w:rsid w:val="0076372D"/>
    <w:rsid w:val="007638D5"/>
    <w:rsid w:val="0076422A"/>
    <w:rsid w:val="007644A0"/>
    <w:rsid w:val="00764860"/>
    <w:rsid w:val="007649DC"/>
    <w:rsid w:val="00764CB8"/>
    <w:rsid w:val="007653E6"/>
    <w:rsid w:val="0076568F"/>
    <w:rsid w:val="00765853"/>
    <w:rsid w:val="00765FEA"/>
    <w:rsid w:val="0076607D"/>
    <w:rsid w:val="007667EA"/>
    <w:rsid w:val="0076695A"/>
    <w:rsid w:val="00766D84"/>
    <w:rsid w:val="0076723D"/>
    <w:rsid w:val="00770554"/>
    <w:rsid w:val="00770555"/>
    <w:rsid w:val="00770E33"/>
    <w:rsid w:val="0077114D"/>
    <w:rsid w:val="00771206"/>
    <w:rsid w:val="00771307"/>
    <w:rsid w:val="0077137C"/>
    <w:rsid w:val="00771446"/>
    <w:rsid w:val="0077176E"/>
    <w:rsid w:val="007718C7"/>
    <w:rsid w:val="00771CB7"/>
    <w:rsid w:val="00771F8B"/>
    <w:rsid w:val="00772148"/>
    <w:rsid w:val="00772A0B"/>
    <w:rsid w:val="0077363E"/>
    <w:rsid w:val="007739E2"/>
    <w:rsid w:val="0077427C"/>
    <w:rsid w:val="0077461B"/>
    <w:rsid w:val="00774671"/>
    <w:rsid w:val="00774B82"/>
    <w:rsid w:val="00774E15"/>
    <w:rsid w:val="00775768"/>
    <w:rsid w:val="0077599C"/>
    <w:rsid w:val="00775BB5"/>
    <w:rsid w:val="00775FAE"/>
    <w:rsid w:val="007764CB"/>
    <w:rsid w:val="00776963"/>
    <w:rsid w:val="00776B59"/>
    <w:rsid w:val="00776B8D"/>
    <w:rsid w:val="0077728A"/>
    <w:rsid w:val="007774B5"/>
    <w:rsid w:val="0077750A"/>
    <w:rsid w:val="00777626"/>
    <w:rsid w:val="00780225"/>
    <w:rsid w:val="0078026D"/>
    <w:rsid w:val="007803B5"/>
    <w:rsid w:val="007803E3"/>
    <w:rsid w:val="00780402"/>
    <w:rsid w:val="00780645"/>
    <w:rsid w:val="00780D15"/>
    <w:rsid w:val="007812F2"/>
    <w:rsid w:val="00782471"/>
    <w:rsid w:val="007824BD"/>
    <w:rsid w:val="007827CA"/>
    <w:rsid w:val="00783811"/>
    <w:rsid w:val="007839B1"/>
    <w:rsid w:val="00783ADB"/>
    <w:rsid w:val="00783C52"/>
    <w:rsid w:val="00783CC8"/>
    <w:rsid w:val="00784192"/>
    <w:rsid w:val="00784B87"/>
    <w:rsid w:val="00784CC8"/>
    <w:rsid w:val="00785394"/>
    <w:rsid w:val="00786153"/>
    <w:rsid w:val="00786467"/>
    <w:rsid w:val="007865B9"/>
    <w:rsid w:val="00786636"/>
    <w:rsid w:val="00786EBC"/>
    <w:rsid w:val="00786ED8"/>
    <w:rsid w:val="00786FEA"/>
    <w:rsid w:val="0079045D"/>
    <w:rsid w:val="00790DA1"/>
    <w:rsid w:val="00792000"/>
    <w:rsid w:val="0079202D"/>
    <w:rsid w:val="007922BB"/>
    <w:rsid w:val="00792628"/>
    <w:rsid w:val="007926D5"/>
    <w:rsid w:val="00792D2E"/>
    <w:rsid w:val="00793198"/>
    <w:rsid w:val="00793199"/>
    <w:rsid w:val="00793432"/>
    <w:rsid w:val="007940D7"/>
    <w:rsid w:val="00794110"/>
    <w:rsid w:val="0079419B"/>
    <w:rsid w:val="007945EA"/>
    <w:rsid w:val="00794A6F"/>
    <w:rsid w:val="00794B8E"/>
    <w:rsid w:val="00794B94"/>
    <w:rsid w:val="00794E9A"/>
    <w:rsid w:val="0079532A"/>
    <w:rsid w:val="00795A57"/>
    <w:rsid w:val="00795D9E"/>
    <w:rsid w:val="007968E5"/>
    <w:rsid w:val="00796B79"/>
    <w:rsid w:val="00796BB9"/>
    <w:rsid w:val="00796C3F"/>
    <w:rsid w:val="00796C84"/>
    <w:rsid w:val="00796E64"/>
    <w:rsid w:val="00796ED0"/>
    <w:rsid w:val="00797918"/>
    <w:rsid w:val="00797F4A"/>
    <w:rsid w:val="007A0470"/>
    <w:rsid w:val="007A05E3"/>
    <w:rsid w:val="007A0692"/>
    <w:rsid w:val="007A06A0"/>
    <w:rsid w:val="007A06AB"/>
    <w:rsid w:val="007A07B8"/>
    <w:rsid w:val="007A0F43"/>
    <w:rsid w:val="007A189E"/>
    <w:rsid w:val="007A1D19"/>
    <w:rsid w:val="007A25FB"/>
    <w:rsid w:val="007A2767"/>
    <w:rsid w:val="007A2778"/>
    <w:rsid w:val="007A2D1C"/>
    <w:rsid w:val="007A30B6"/>
    <w:rsid w:val="007A3483"/>
    <w:rsid w:val="007A3637"/>
    <w:rsid w:val="007A3EBA"/>
    <w:rsid w:val="007A4263"/>
    <w:rsid w:val="007A4B40"/>
    <w:rsid w:val="007A5174"/>
    <w:rsid w:val="007A5485"/>
    <w:rsid w:val="007A5965"/>
    <w:rsid w:val="007A5A7D"/>
    <w:rsid w:val="007A60EC"/>
    <w:rsid w:val="007A61D7"/>
    <w:rsid w:val="007A6678"/>
    <w:rsid w:val="007A6919"/>
    <w:rsid w:val="007A6CA2"/>
    <w:rsid w:val="007A6CA4"/>
    <w:rsid w:val="007A6D61"/>
    <w:rsid w:val="007A6FC3"/>
    <w:rsid w:val="007A71B7"/>
    <w:rsid w:val="007A7497"/>
    <w:rsid w:val="007A752E"/>
    <w:rsid w:val="007A75FF"/>
    <w:rsid w:val="007A76B6"/>
    <w:rsid w:val="007B0556"/>
    <w:rsid w:val="007B09BD"/>
    <w:rsid w:val="007B0BBF"/>
    <w:rsid w:val="007B21BB"/>
    <w:rsid w:val="007B24F2"/>
    <w:rsid w:val="007B2842"/>
    <w:rsid w:val="007B28F5"/>
    <w:rsid w:val="007B2A1C"/>
    <w:rsid w:val="007B3058"/>
    <w:rsid w:val="007B31E6"/>
    <w:rsid w:val="007B3263"/>
    <w:rsid w:val="007B38E8"/>
    <w:rsid w:val="007B3EE0"/>
    <w:rsid w:val="007B4807"/>
    <w:rsid w:val="007B48FC"/>
    <w:rsid w:val="007B4E13"/>
    <w:rsid w:val="007B4FFC"/>
    <w:rsid w:val="007B5152"/>
    <w:rsid w:val="007B5906"/>
    <w:rsid w:val="007B5949"/>
    <w:rsid w:val="007B5BDA"/>
    <w:rsid w:val="007B603E"/>
    <w:rsid w:val="007B629F"/>
    <w:rsid w:val="007B6614"/>
    <w:rsid w:val="007B6821"/>
    <w:rsid w:val="007B6F86"/>
    <w:rsid w:val="007B7275"/>
    <w:rsid w:val="007B74F5"/>
    <w:rsid w:val="007B7677"/>
    <w:rsid w:val="007B7DC4"/>
    <w:rsid w:val="007C0068"/>
    <w:rsid w:val="007C0627"/>
    <w:rsid w:val="007C06AA"/>
    <w:rsid w:val="007C06E0"/>
    <w:rsid w:val="007C07D4"/>
    <w:rsid w:val="007C0C3F"/>
    <w:rsid w:val="007C0D80"/>
    <w:rsid w:val="007C1093"/>
    <w:rsid w:val="007C11C8"/>
    <w:rsid w:val="007C17D2"/>
    <w:rsid w:val="007C1C5D"/>
    <w:rsid w:val="007C27AB"/>
    <w:rsid w:val="007C31DA"/>
    <w:rsid w:val="007C3833"/>
    <w:rsid w:val="007C3858"/>
    <w:rsid w:val="007C40E8"/>
    <w:rsid w:val="007C45B9"/>
    <w:rsid w:val="007C46AA"/>
    <w:rsid w:val="007C5358"/>
    <w:rsid w:val="007C5BB7"/>
    <w:rsid w:val="007C6AE2"/>
    <w:rsid w:val="007C6E0C"/>
    <w:rsid w:val="007C6FA0"/>
    <w:rsid w:val="007C704D"/>
    <w:rsid w:val="007C7287"/>
    <w:rsid w:val="007C7E31"/>
    <w:rsid w:val="007D0331"/>
    <w:rsid w:val="007D09E3"/>
    <w:rsid w:val="007D0D8D"/>
    <w:rsid w:val="007D1002"/>
    <w:rsid w:val="007D1330"/>
    <w:rsid w:val="007D1724"/>
    <w:rsid w:val="007D1781"/>
    <w:rsid w:val="007D189B"/>
    <w:rsid w:val="007D1C18"/>
    <w:rsid w:val="007D20E1"/>
    <w:rsid w:val="007D287B"/>
    <w:rsid w:val="007D2BFC"/>
    <w:rsid w:val="007D2C72"/>
    <w:rsid w:val="007D3210"/>
    <w:rsid w:val="007D38F4"/>
    <w:rsid w:val="007D3BF7"/>
    <w:rsid w:val="007D3E40"/>
    <w:rsid w:val="007D4006"/>
    <w:rsid w:val="007D4300"/>
    <w:rsid w:val="007D4376"/>
    <w:rsid w:val="007D4E6D"/>
    <w:rsid w:val="007D52DB"/>
    <w:rsid w:val="007D531C"/>
    <w:rsid w:val="007D5B5E"/>
    <w:rsid w:val="007D6834"/>
    <w:rsid w:val="007D6964"/>
    <w:rsid w:val="007D6C81"/>
    <w:rsid w:val="007D7826"/>
    <w:rsid w:val="007E0136"/>
    <w:rsid w:val="007E07EA"/>
    <w:rsid w:val="007E08E2"/>
    <w:rsid w:val="007E1410"/>
    <w:rsid w:val="007E165E"/>
    <w:rsid w:val="007E1C09"/>
    <w:rsid w:val="007E1F2B"/>
    <w:rsid w:val="007E23C7"/>
    <w:rsid w:val="007E2920"/>
    <w:rsid w:val="007E2C55"/>
    <w:rsid w:val="007E2D3A"/>
    <w:rsid w:val="007E2FF5"/>
    <w:rsid w:val="007E32A0"/>
    <w:rsid w:val="007E3381"/>
    <w:rsid w:val="007E3A3C"/>
    <w:rsid w:val="007E3ED5"/>
    <w:rsid w:val="007E3F34"/>
    <w:rsid w:val="007E4322"/>
    <w:rsid w:val="007E4AFB"/>
    <w:rsid w:val="007E5249"/>
    <w:rsid w:val="007E54A2"/>
    <w:rsid w:val="007E5921"/>
    <w:rsid w:val="007E5EC7"/>
    <w:rsid w:val="007E60AA"/>
    <w:rsid w:val="007E6593"/>
    <w:rsid w:val="007E68CA"/>
    <w:rsid w:val="007E6B53"/>
    <w:rsid w:val="007E750A"/>
    <w:rsid w:val="007E76D4"/>
    <w:rsid w:val="007E7A80"/>
    <w:rsid w:val="007E7DF5"/>
    <w:rsid w:val="007E7E2E"/>
    <w:rsid w:val="007E7E3B"/>
    <w:rsid w:val="007F00BD"/>
    <w:rsid w:val="007F01A0"/>
    <w:rsid w:val="007F0AB4"/>
    <w:rsid w:val="007F0BF3"/>
    <w:rsid w:val="007F0FB4"/>
    <w:rsid w:val="007F13AB"/>
    <w:rsid w:val="007F1850"/>
    <w:rsid w:val="007F187A"/>
    <w:rsid w:val="007F1A31"/>
    <w:rsid w:val="007F1AEC"/>
    <w:rsid w:val="007F1FC6"/>
    <w:rsid w:val="007F22A1"/>
    <w:rsid w:val="007F23E3"/>
    <w:rsid w:val="007F27AA"/>
    <w:rsid w:val="007F2920"/>
    <w:rsid w:val="007F327E"/>
    <w:rsid w:val="007F4DF9"/>
    <w:rsid w:val="007F5005"/>
    <w:rsid w:val="007F50E6"/>
    <w:rsid w:val="007F54DA"/>
    <w:rsid w:val="007F5E9C"/>
    <w:rsid w:val="007F5F2E"/>
    <w:rsid w:val="007F616E"/>
    <w:rsid w:val="007F63C7"/>
    <w:rsid w:val="007F6C4E"/>
    <w:rsid w:val="007F73F5"/>
    <w:rsid w:val="007F7A4C"/>
    <w:rsid w:val="007F7BEC"/>
    <w:rsid w:val="008002B9"/>
    <w:rsid w:val="008004C7"/>
    <w:rsid w:val="00800CB5"/>
    <w:rsid w:val="00800D07"/>
    <w:rsid w:val="00801371"/>
    <w:rsid w:val="00801900"/>
    <w:rsid w:val="00801AD2"/>
    <w:rsid w:val="00802202"/>
    <w:rsid w:val="00802785"/>
    <w:rsid w:val="00802985"/>
    <w:rsid w:val="00802990"/>
    <w:rsid w:val="00802BC5"/>
    <w:rsid w:val="00802D32"/>
    <w:rsid w:val="00802E64"/>
    <w:rsid w:val="00803106"/>
    <w:rsid w:val="0080383D"/>
    <w:rsid w:val="00803997"/>
    <w:rsid w:val="00803D2A"/>
    <w:rsid w:val="00804108"/>
    <w:rsid w:val="008042E1"/>
    <w:rsid w:val="00804771"/>
    <w:rsid w:val="008048F9"/>
    <w:rsid w:val="008049F2"/>
    <w:rsid w:val="00804F7C"/>
    <w:rsid w:val="008050EB"/>
    <w:rsid w:val="008057EB"/>
    <w:rsid w:val="00805C97"/>
    <w:rsid w:val="00805E36"/>
    <w:rsid w:val="00805F39"/>
    <w:rsid w:val="00806062"/>
    <w:rsid w:val="00806116"/>
    <w:rsid w:val="0080695A"/>
    <w:rsid w:val="00807080"/>
    <w:rsid w:val="008070BA"/>
    <w:rsid w:val="00807562"/>
    <w:rsid w:val="00807AF6"/>
    <w:rsid w:val="008108FE"/>
    <w:rsid w:val="00810B9B"/>
    <w:rsid w:val="00811476"/>
    <w:rsid w:val="008118AE"/>
    <w:rsid w:val="00811A8D"/>
    <w:rsid w:val="00811B72"/>
    <w:rsid w:val="00811E1C"/>
    <w:rsid w:val="00812693"/>
    <w:rsid w:val="00812746"/>
    <w:rsid w:val="00813372"/>
    <w:rsid w:val="00813407"/>
    <w:rsid w:val="0081368B"/>
    <w:rsid w:val="0081373D"/>
    <w:rsid w:val="008138D6"/>
    <w:rsid w:val="00813C41"/>
    <w:rsid w:val="00813CF4"/>
    <w:rsid w:val="00814469"/>
    <w:rsid w:val="0081446B"/>
    <w:rsid w:val="008145C7"/>
    <w:rsid w:val="00814C31"/>
    <w:rsid w:val="00814C7E"/>
    <w:rsid w:val="00814D68"/>
    <w:rsid w:val="0081587F"/>
    <w:rsid w:val="00815EB9"/>
    <w:rsid w:val="008160BB"/>
    <w:rsid w:val="008165EA"/>
    <w:rsid w:val="00816817"/>
    <w:rsid w:val="008169C6"/>
    <w:rsid w:val="008169E4"/>
    <w:rsid w:val="00817929"/>
    <w:rsid w:val="008200A9"/>
    <w:rsid w:val="00820152"/>
    <w:rsid w:val="0082025F"/>
    <w:rsid w:val="008209B0"/>
    <w:rsid w:val="00820BA5"/>
    <w:rsid w:val="00820D75"/>
    <w:rsid w:val="00821188"/>
    <w:rsid w:val="008211A4"/>
    <w:rsid w:val="008211B3"/>
    <w:rsid w:val="00821AD8"/>
    <w:rsid w:val="00821BF6"/>
    <w:rsid w:val="00821CA3"/>
    <w:rsid w:val="00823510"/>
    <w:rsid w:val="0082368D"/>
    <w:rsid w:val="00823FE1"/>
    <w:rsid w:val="008243DB"/>
    <w:rsid w:val="008243ED"/>
    <w:rsid w:val="0082460E"/>
    <w:rsid w:val="00824CD9"/>
    <w:rsid w:val="008250F1"/>
    <w:rsid w:val="00825193"/>
    <w:rsid w:val="0082571C"/>
    <w:rsid w:val="00825812"/>
    <w:rsid w:val="00826571"/>
    <w:rsid w:val="00826616"/>
    <w:rsid w:val="0082669E"/>
    <w:rsid w:val="0082719A"/>
    <w:rsid w:val="00827828"/>
    <w:rsid w:val="00827A85"/>
    <w:rsid w:val="00827E0D"/>
    <w:rsid w:val="0083002A"/>
    <w:rsid w:val="00830236"/>
    <w:rsid w:val="008302B3"/>
    <w:rsid w:val="0083034E"/>
    <w:rsid w:val="00830715"/>
    <w:rsid w:val="00830F4F"/>
    <w:rsid w:val="0083108A"/>
    <w:rsid w:val="0083123D"/>
    <w:rsid w:val="00831A04"/>
    <w:rsid w:val="00831D89"/>
    <w:rsid w:val="00832112"/>
    <w:rsid w:val="008324E2"/>
    <w:rsid w:val="00832668"/>
    <w:rsid w:val="008327C2"/>
    <w:rsid w:val="008328B7"/>
    <w:rsid w:val="00832A91"/>
    <w:rsid w:val="00832D90"/>
    <w:rsid w:val="00833259"/>
    <w:rsid w:val="008333F1"/>
    <w:rsid w:val="00833893"/>
    <w:rsid w:val="00833A8B"/>
    <w:rsid w:val="00833CFB"/>
    <w:rsid w:val="00833DA6"/>
    <w:rsid w:val="00834AC0"/>
    <w:rsid w:val="00835D83"/>
    <w:rsid w:val="00836123"/>
    <w:rsid w:val="00836305"/>
    <w:rsid w:val="00836644"/>
    <w:rsid w:val="00836695"/>
    <w:rsid w:val="00836BA5"/>
    <w:rsid w:val="00836C08"/>
    <w:rsid w:val="00837125"/>
    <w:rsid w:val="00837764"/>
    <w:rsid w:val="00837D0F"/>
    <w:rsid w:val="00837E62"/>
    <w:rsid w:val="00840589"/>
    <w:rsid w:val="00840985"/>
    <w:rsid w:val="008409AA"/>
    <w:rsid w:val="0084156B"/>
    <w:rsid w:val="00841613"/>
    <w:rsid w:val="008423F9"/>
    <w:rsid w:val="00842441"/>
    <w:rsid w:val="0084254D"/>
    <w:rsid w:val="00842676"/>
    <w:rsid w:val="00842F39"/>
    <w:rsid w:val="00842FA6"/>
    <w:rsid w:val="00843B1F"/>
    <w:rsid w:val="00843BFE"/>
    <w:rsid w:val="00843C9C"/>
    <w:rsid w:val="00843D1A"/>
    <w:rsid w:val="008440CF"/>
    <w:rsid w:val="0084410C"/>
    <w:rsid w:val="0084421C"/>
    <w:rsid w:val="00844995"/>
    <w:rsid w:val="0084531E"/>
    <w:rsid w:val="008459CB"/>
    <w:rsid w:val="008460D5"/>
    <w:rsid w:val="008462C6"/>
    <w:rsid w:val="00846377"/>
    <w:rsid w:val="00846867"/>
    <w:rsid w:val="00846A42"/>
    <w:rsid w:val="00847877"/>
    <w:rsid w:val="00847D23"/>
    <w:rsid w:val="00850236"/>
    <w:rsid w:val="00850523"/>
    <w:rsid w:val="0085062F"/>
    <w:rsid w:val="008509A0"/>
    <w:rsid w:val="00850AD8"/>
    <w:rsid w:val="00851A7B"/>
    <w:rsid w:val="00851B9B"/>
    <w:rsid w:val="00851C34"/>
    <w:rsid w:val="00851DBD"/>
    <w:rsid w:val="008526B9"/>
    <w:rsid w:val="00852800"/>
    <w:rsid w:val="00852E9D"/>
    <w:rsid w:val="00853280"/>
    <w:rsid w:val="008538A3"/>
    <w:rsid w:val="00853A05"/>
    <w:rsid w:val="00853B10"/>
    <w:rsid w:val="00853C9C"/>
    <w:rsid w:val="008543F9"/>
    <w:rsid w:val="0085448C"/>
    <w:rsid w:val="008548ED"/>
    <w:rsid w:val="00854DF9"/>
    <w:rsid w:val="00854EA4"/>
    <w:rsid w:val="00854F8A"/>
    <w:rsid w:val="00854F91"/>
    <w:rsid w:val="00854FE1"/>
    <w:rsid w:val="008557A9"/>
    <w:rsid w:val="00855C0A"/>
    <w:rsid w:val="00855EC7"/>
    <w:rsid w:val="00855ECC"/>
    <w:rsid w:val="00856233"/>
    <w:rsid w:val="00856F7E"/>
    <w:rsid w:val="00857202"/>
    <w:rsid w:val="008578F7"/>
    <w:rsid w:val="00857FFC"/>
    <w:rsid w:val="00860880"/>
    <w:rsid w:val="008617E0"/>
    <w:rsid w:val="00861848"/>
    <w:rsid w:val="00861C40"/>
    <w:rsid w:val="008621C6"/>
    <w:rsid w:val="008623ED"/>
    <w:rsid w:val="0086267F"/>
    <w:rsid w:val="008626B9"/>
    <w:rsid w:val="00862AC3"/>
    <w:rsid w:val="00862D95"/>
    <w:rsid w:val="008631B3"/>
    <w:rsid w:val="00863523"/>
    <w:rsid w:val="0086361F"/>
    <w:rsid w:val="00863D4F"/>
    <w:rsid w:val="00863D98"/>
    <w:rsid w:val="00864583"/>
    <w:rsid w:val="0086480F"/>
    <w:rsid w:val="008652D4"/>
    <w:rsid w:val="00865506"/>
    <w:rsid w:val="0086565F"/>
    <w:rsid w:val="00866332"/>
    <w:rsid w:val="00866670"/>
    <w:rsid w:val="00866905"/>
    <w:rsid w:val="00866A1E"/>
    <w:rsid w:val="00866B33"/>
    <w:rsid w:val="00866BBB"/>
    <w:rsid w:val="00866F35"/>
    <w:rsid w:val="00867E8E"/>
    <w:rsid w:val="008701B6"/>
    <w:rsid w:val="00870553"/>
    <w:rsid w:val="008705EA"/>
    <w:rsid w:val="00870979"/>
    <w:rsid w:val="00870B58"/>
    <w:rsid w:val="00870CEC"/>
    <w:rsid w:val="0087159E"/>
    <w:rsid w:val="00871B94"/>
    <w:rsid w:val="00871E5C"/>
    <w:rsid w:val="00871F23"/>
    <w:rsid w:val="00872548"/>
    <w:rsid w:val="00872A39"/>
    <w:rsid w:val="008733F0"/>
    <w:rsid w:val="00873581"/>
    <w:rsid w:val="008736AB"/>
    <w:rsid w:val="008736EE"/>
    <w:rsid w:val="00873A32"/>
    <w:rsid w:val="008743D8"/>
    <w:rsid w:val="008745EE"/>
    <w:rsid w:val="00874F5F"/>
    <w:rsid w:val="008765DD"/>
    <w:rsid w:val="00876742"/>
    <w:rsid w:val="00876DEB"/>
    <w:rsid w:val="00877245"/>
    <w:rsid w:val="00877406"/>
    <w:rsid w:val="0088002A"/>
    <w:rsid w:val="0088012F"/>
    <w:rsid w:val="0088038D"/>
    <w:rsid w:val="0088096E"/>
    <w:rsid w:val="00881647"/>
    <w:rsid w:val="00881A48"/>
    <w:rsid w:val="00881F66"/>
    <w:rsid w:val="0088227E"/>
    <w:rsid w:val="00882DBA"/>
    <w:rsid w:val="00883272"/>
    <w:rsid w:val="0088405E"/>
    <w:rsid w:val="008841E4"/>
    <w:rsid w:val="00884503"/>
    <w:rsid w:val="008846FF"/>
    <w:rsid w:val="00884B7F"/>
    <w:rsid w:val="00885899"/>
    <w:rsid w:val="00885F8D"/>
    <w:rsid w:val="008860B3"/>
    <w:rsid w:val="008863E1"/>
    <w:rsid w:val="00886A17"/>
    <w:rsid w:val="00886EE4"/>
    <w:rsid w:val="00886FE7"/>
    <w:rsid w:val="0088725F"/>
    <w:rsid w:val="00887FEB"/>
    <w:rsid w:val="008900BA"/>
    <w:rsid w:val="00890D47"/>
    <w:rsid w:val="00890E63"/>
    <w:rsid w:val="00891204"/>
    <w:rsid w:val="0089150A"/>
    <w:rsid w:val="0089164A"/>
    <w:rsid w:val="00891760"/>
    <w:rsid w:val="00891B0A"/>
    <w:rsid w:val="00891C31"/>
    <w:rsid w:val="00892A01"/>
    <w:rsid w:val="00892D72"/>
    <w:rsid w:val="00892D76"/>
    <w:rsid w:val="00892E29"/>
    <w:rsid w:val="0089435A"/>
    <w:rsid w:val="00894633"/>
    <w:rsid w:val="00894844"/>
    <w:rsid w:val="00894D05"/>
    <w:rsid w:val="00894D59"/>
    <w:rsid w:val="00894DC6"/>
    <w:rsid w:val="008958E3"/>
    <w:rsid w:val="00896CE1"/>
    <w:rsid w:val="00897008"/>
    <w:rsid w:val="008976E6"/>
    <w:rsid w:val="008A026B"/>
    <w:rsid w:val="008A0F20"/>
    <w:rsid w:val="008A0F28"/>
    <w:rsid w:val="008A0F8B"/>
    <w:rsid w:val="008A1244"/>
    <w:rsid w:val="008A175C"/>
    <w:rsid w:val="008A1CDD"/>
    <w:rsid w:val="008A268F"/>
    <w:rsid w:val="008A2901"/>
    <w:rsid w:val="008A2A07"/>
    <w:rsid w:val="008A2B4A"/>
    <w:rsid w:val="008A2DE9"/>
    <w:rsid w:val="008A3525"/>
    <w:rsid w:val="008A3AAC"/>
    <w:rsid w:val="008A401E"/>
    <w:rsid w:val="008A4036"/>
    <w:rsid w:val="008A434C"/>
    <w:rsid w:val="008A449A"/>
    <w:rsid w:val="008A46D8"/>
    <w:rsid w:val="008A498B"/>
    <w:rsid w:val="008A4BB6"/>
    <w:rsid w:val="008A4ECD"/>
    <w:rsid w:val="008A5753"/>
    <w:rsid w:val="008A64E1"/>
    <w:rsid w:val="008A753B"/>
    <w:rsid w:val="008B01FA"/>
    <w:rsid w:val="008B0491"/>
    <w:rsid w:val="008B04FC"/>
    <w:rsid w:val="008B09D8"/>
    <w:rsid w:val="008B0BE7"/>
    <w:rsid w:val="008B138D"/>
    <w:rsid w:val="008B1432"/>
    <w:rsid w:val="008B1BB1"/>
    <w:rsid w:val="008B2279"/>
    <w:rsid w:val="008B24EA"/>
    <w:rsid w:val="008B2669"/>
    <w:rsid w:val="008B2CAB"/>
    <w:rsid w:val="008B336D"/>
    <w:rsid w:val="008B339D"/>
    <w:rsid w:val="008B355B"/>
    <w:rsid w:val="008B3CB9"/>
    <w:rsid w:val="008B3CED"/>
    <w:rsid w:val="008B4762"/>
    <w:rsid w:val="008B4812"/>
    <w:rsid w:val="008B4835"/>
    <w:rsid w:val="008B513D"/>
    <w:rsid w:val="008B555E"/>
    <w:rsid w:val="008B558D"/>
    <w:rsid w:val="008B558E"/>
    <w:rsid w:val="008B58CB"/>
    <w:rsid w:val="008B592F"/>
    <w:rsid w:val="008B59E1"/>
    <w:rsid w:val="008B7BDC"/>
    <w:rsid w:val="008C021D"/>
    <w:rsid w:val="008C05AB"/>
    <w:rsid w:val="008C0861"/>
    <w:rsid w:val="008C0A6A"/>
    <w:rsid w:val="008C0D1C"/>
    <w:rsid w:val="008C0DEB"/>
    <w:rsid w:val="008C1630"/>
    <w:rsid w:val="008C1639"/>
    <w:rsid w:val="008C1B48"/>
    <w:rsid w:val="008C1F92"/>
    <w:rsid w:val="008C2277"/>
    <w:rsid w:val="008C2682"/>
    <w:rsid w:val="008C2797"/>
    <w:rsid w:val="008C375D"/>
    <w:rsid w:val="008C3895"/>
    <w:rsid w:val="008C3B75"/>
    <w:rsid w:val="008C3D8B"/>
    <w:rsid w:val="008C4EA8"/>
    <w:rsid w:val="008C508D"/>
    <w:rsid w:val="008C509D"/>
    <w:rsid w:val="008C5871"/>
    <w:rsid w:val="008C5E57"/>
    <w:rsid w:val="008C63C3"/>
    <w:rsid w:val="008C6487"/>
    <w:rsid w:val="008C669E"/>
    <w:rsid w:val="008C6751"/>
    <w:rsid w:val="008C6843"/>
    <w:rsid w:val="008C6B7F"/>
    <w:rsid w:val="008C72F5"/>
    <w:rsid w:val="008C7467"/>
    <w:rsid w:val="008C75E9"/>
    <w:rsid w:val="008C769F"/>
    <w:rsid w:val="008C772C"/>
    <w:rsid w:val="008C7D10"/>
    <w:rsid w:val="008C7FF6"/>
    <w:rsid w:val="008D0446"/>
    <w:rsid w:val="008D0FDA"/>
    <w:rsid w:val="008D104B"/>
    <w:rsid w:val="008D1269"/>
    <w:rsid w:val="008D16D2"/>
    <w:rsid w:val="008D1C44"/>
    <w:rsid w:val="008D25DB"/>
    <w:rsid w:val="008D25DD"/>
    <w:rsid w:val="008D2A6C"/>
    <w:rsid w:val="008D38F0"/>
    <w:rsid w:val="008D3B31"/>
    <w:rsid w:val="008D3B71"/>
    <w:rsid w:val="008D41E6"/>
    <w:rsid w:val="008D422D"/>
    <w:rsid w:val="008D4472"/>
    <w:rsid w:val="008D49E8"/>
    <w:rsid w:val="008D4FCC"/>
    <w:rsid w:val="008D4FE1"/>
    <w:rsid w:val="008D577C"/>
    <w:rsid w:val="008D579F"/>
    <w:rsid w:val="008D5B3A"/>
    <w:rsid w:val="008D5C42"/>
    <w:rsid w:val="008D5E5D"/>
    <w:rsid w:val="008D5FA5"/>
    <w:rsid w:val="008D6375"/>
    <w:rsid w:val="008D6D59"/>
    <w:rsid w:val="008D6E75"/>
    <w:rsid w:val="008D73E5"/>
    <w:rsid w:val="008D760F"/>
    <w:rsid w:val="008D778D"/>
    <w:rsid w:val="008E0453"/>
    <w:rsid w:val="008E0608"/>
    <w:rsid w:val="008E0A7B"/>
    <w:rsid w:val="008E0F18"/>
    <w:rsid w:val="008E12C7"/>
    <w:rsid w:val="008E13DE"/>
    <w:rsid w:val="008E1569"/>
    <w:rsid w:val="008E17A6"/>
    <w:rsid w:val="008E194E"/>
    <w:rsid w:val="008E244C"/>
    <w:rsid w:val="008E2AD7"/>
    <w:rsid w:val="008E2BA0"/>
    <w:rsid w:val="008E2CB0"/>
    <w:rsid w:val="008E2D62"/>
    <w:rsid w:val="008E2D94"/>
    <w:rsid w:val="008E31AE"/>
    <w:rsid w:val="008E3950"/>
    <w:rsid w:val="008E39C4"/>
    <w:rsid w:val="008E3D42"/>
    <w:rsid w:val="008E3E62"/>
    <w:rsid w:val="008E419F"/>
    <w:rsid w:val="008E47E3"/>
    <w:rsid w:val="008E49A6"/>
    <w:rsid w:val="008E50C6"/>
    <w:rsid w:val="008E50D5"/>
    <w:rsid w:val="008E572C"/>
    <w:rsid w:val="008E597C"/>
    <w:rsid w:val="008E5E37"/>
    <w:rsid w:val="008E62B8"/>
    <w:rsid w:val="008E6373"/>
    <w:rsid w:val="008E6B0A"/>
    <w:rsid w:val="008E6DD0"/>
    <w:rsid w:val="008E729E"/>
    <w:rsid w:val="008F052E"/>
    <w:rsid w:val="008F0D34"/>
    <w:rsid w:val="008F0E8E"/>
    <w:rsid w:val="008F1154"/>
    <w:rsid w:val="008F11BE"/>
    <w:rsid w:val="008F16EA"/>
    <w:rsid w:val="008F1A27"/>
    <w:rsid w:val="008F1D70"/>
    <w:rsid w:val="008F2154"/>
    <w:rsid w:val="008F2A59"/>
    <w:rsid w:val="008F2F51"/>
    <w:rsid w:val="008F3240"/>
    <w:rsid w:val="008F3790"/>
    <w:rsid w:val="008F37EE"/>
    <w:rsid w:val="008F37F5"/>
    <w:rsid w:val="008F3DDD"/>
    <w:rsid w:val="008F4118"/>
    <w:rsid w:val="008F4223"/>
    <w:rsid w:val="008F443E"/>
    <w:rsid w:val="008F4527"/>
    <w:rsid w:val="008F4A5E"/>
    <w:rsid w:val="008F4DE7"/>
    <w:rsid w:val="008F5140"/>
    <w:rsid w:val="008F5380"/>
    <w:rsid w:val="008F53E0"/>
    <w:rsid w:val="008F68DA"/>
    <w:rsid w:val="008F6C81"/>
    <w:rsid w:val="008F72B4"/>
    <w:rsid w:val="008F78D5"/>
    <w:rsid w:val="00900DCA"/>
    <w:rsid w:val="009012F3"/>
    <w:rsid w:val="00901538"/>
    <w:rsid w:val="009020E4"/>
    <w:rsid w:val="0090264D"/>
    <w:rsid w:val="009035F6"/>
    <w:rsid w:val="00903F8D"/>
    <w:rsid w:val="00904A15"/>
    <w:rsid w:val="00904A18"/>
    <w:rsid w:val="00904C23"/>
    <w:rsid w:val="00905147"/>
    <w:rsid w:val="00905376"/>
    <w:rsid w:val="00905771"/>
    <w:rsid w:val="00905FFB"/>
    <w:rsid w:val="009064D8"/>
    <w:rsid w:val="009065F1"/>
    <w:rsid w:val="00906AE8"/>
    <w:rsid w:val="00906E2F"/>
    <w:rsid w:val="00907118"/>
    <w:rsid w:val="00907CF0"/>
    <w:rsid w:val="00907EA8"/>
    <w:rsid w:val="00907F6E"/>
    <w:rsid w:val="00910673"/>
    <w:rsid w:val="009107BB"/>
    <w:rsid w:val="00910AC6"/>
    <w:rsid w:val="0091137E"/>
    <w:rsid w:val="00911746"/>
    <w:rsid w:val="00911B32"/>
    <w:rsid w:val="00911C85"/>
    <w:rsid w:val="00911FB6"/>
    <w:rsid w:val="00912316"/>
    <w:rsid w:val="009124C2"/>
    <w:rsid w:val="009127F0"/>
    <w:rsid w:val="0091292C"/>
    <w:rsid w:val="00912DD7"/>
    <w:rsid w:val="0091378B"/>
    <w:rsid w:val="00913A74"/>
    <w:rsid w:val="00913C52"/>
    <w:rsid w:val="009148B2"/>
    <w:rsid w:val="00914936"/>
    <w:rsid w:val="00914B25"/>
    <w:rsid w:val="00916289"/>
    <w:rsid w:val="009163A6"/>
    <w:rsid w:val="00916575"/>
    <w:rsid w:val="00916B99"/>
    <w:rsid w:val="00916CE0"/>
    <w:rsid w:val="00917109"/>
    <w:rsid w:val="00917610"/>
    <w:rsid w:val="00920431"/>
    <w:rsid w:val="0092082A"/>
    <w:rsid w:val="00920BA4"/>
    <w:rsid w:val="00920C70"/>
    <w:rsid w:val="00921161"/>
    <w:rsid w:val="00921748"/>
    <w:rsid w:val="0092180C"/>
    <w:rsid w:val="009218E7"/>
    <w:rsid w:val="00921DC0"/>
    <w:rsid w:val="0092277A"/>
    <w:rsid w:val="00922EEF"/>
    <w:rsid w:val="0092378D"/>
    <w:rsid w:val="009237D0"/>
    <w:rsid w:val="00923833"/>
    <w:rsid w:val="00923863"/>
    <w:rsid w:val="0092391D"/>
    <w:rsid w:val="00923E0C"/>
    <w:rsid w:val="00923E28"/>
    <w:rsid w:val="009241AC"/>
    <w:rsid w:val="00924A8F"/>
    <w:rsid w:val="00924F4A"/>
    <w:rsid w:val="0092535D"/>
    <w:rsid w:val="009253A7"/>
    <w:rsid w:val="00925553"/>
    <w:rsid w:val="009256FE"/>
    <w:rsid w:val="00925E01"/>
    <w:rsid w:val="009265A2"/>
    <w:rsid w:val="009267D9"/>
    <w:rsid w:val="0092681E"/>
    <w:rsid w:val="00926866"/>
    <w:rsid w:val="00926CE5"/>
    <w:rsid w:val="0092716C"/>
    <w:rsid w:val="00927240"/>
    <w:rsid w:val="009301B4"/>
    <w:rsid w:val="0093044E"/>
    <w:rsid w:val="00930710"/>
    <w:rsid w:val="00931BE4"/>
    <w:rsid w:val="00931E90"/>
    <w:rsid w:val="00932673"/>
    <w:rsid w:val="00932C6C"/>
    <w:rsid w:val="009331B2"/>
    <w:rsid w:val="0093375F"/>
    <w:rsid w:val="00933B57"/>
    <w:rsid w:val="00933C80"/>
    <w:rsid w:val="00934646"/>
    <w:rsid w:val="0093467F"/>
    <w:rsid w:val="0093495F"/>
    <w:rsid w:val="0093529B"/>
    <w:rsid w:val="0093547D"/>
    <w:rsid w:val="0093555A"/>
    <w:rsid w:val="009356DB"/>
    <w:rsid w:val="00935F72"/>
    <w:rsid w:val="00936071"/>
    <w:rsid w:val="00936A01"/>
    <w:rsid w:val="00936A20"/>
    <w:rsid w:val="00936A58"/>
    <w:rsid w:val="00936D9C"/>
    <w:rsid w:val="00936E6A"/>
    <w:rsid w:val="00937C33"/>
    <w:rsid w:val="00937FB7"/>
    <w:rsid w:val="009401AF"/>
    <w:rsid w:val="009402A4"/>
    <w:rsid w:val="00940746"/>
    <w:rsid w:val="00940D6E"/>
    <w:rsid w:val="00940E68"/>
    <w:rsid w:val="00940F61"/>
    <w:rsid w:val="0094125D"/>
    <w:rsid w:val="0094133A"/>
    <w:rsid w:val="00941732"/>
    <w:rsid w:val="00941D15"/>
    <w:rsid w:val="009423AE"/>
    <w:rsid w:val="009423B3"/>
    <w:rsid w:val="00942436"/>
    <w:rsid w:val="00942C70"/>
    <w:rsid w:val="00942F6B"/>
    <w:rsid w:val="00942FC8"/>
    <w:rsid w:val="009433E7"/>
    <w:rsid w:val="00943599"/>
    <w:rsid w:val="00943D32"/>
    <w:rsid w:val="00943E88"/>
    <w:rsid w:val="00944320"/>
    <w:rsid w:val="009444A4"/>
    <w:rsid w:val="0094485F"/>
    <w:rsid w:val="00944A07"/>
    <w:rsid w:val="00944C49"/>
    <w:rsid w:val="00944D91"/>
    <w:rsid w:val="009454E0"/>
    <w:rsid w:val="009457B8"/>
    <w:rsid w:val="00945812"/>
    <w:rsid w:val="00946193"/>
    <w:rsid w:val="009468BD"/>
    <w:rsid w:val="009473BC"/>
    <w:rsid w:val="00947C7F"/>
    <w:rsid w:val="00947EE0"/>
    <w:rsid w:val="0095001C"/>
    <w:rsid w:val="0095086F"/>
    <w:rsid w:val="00950DB2"/>
    <w:rsid w:val="00951516"/>
    <w:rsid w:val="00951906"/>
    <w:rsid w:val="00951DB8"/>
    <w:rsid w:val="009524C2"/>
    <w:rsid w:val="00952D99"/>
    <w:rsid w:val="00952EE0"/>
    <w:rsid w:val="00953249"/>
    <w:rsid w:val="00953762"/>
    <w:rsid w:val="00953C21"/>
    <w:rsid w:val="00953CFE"/>
    <w:rsid w:val="00953EFB"/>
    <w:rsid w:val="00953F72"/>
    <w:rsid w:val="00953FF0"/>
    <w:rsid w:val="0095409F"/>
    <w:rsid w:val="00954268"/>
    <w:rsid w:val="0095429B"/>
    <w:rsid w:val="009543E7"/>
    <w:rsid w:val="009544E9"/>
    <w:rsid w:val="00954A85"/>
    <w:rsid w:val="00954DCC"/>
    <w:rsid w:val="00954E65"/>
    <w:rsid w:val="00955015"/>
    <w:rsid w:val="0095577F"/>
    <w:rsid w:val="00955A17"/>
    <w:rsid w:val="00955D4C"/>
    <w:rsid w:val="00955FAB"/>
    <w:rsid w:val="0095657F"/>
    <w:rsid w:val="009568CA"/>
    <w:rsid w:val="009568E5"/>
    <w:rsid w:val="00956A0A"/>
    <w:rsid w:val="00956E1B"/>
    <w:rsid w:val="00956FA6"/>
    <w:rsid w:val="00957222"/>
    <w:rsid w:val="00957724"/>
    <w:rsid w:val="009579D4"/>
    <w:rsid w:val="00957BF0"/>
    <w:rsid w:val="00957DF0"/>
    <w:rsid w:val="00960414"/>
    <w:rsid w:val="00960DBB"/>
    <w:rsid w:val="00960F83"/>
    <w:rsid w:val="009611D0"/>
    <w:rsid w:val="00961677"/>
    <w:rsid w:val="00961B3D"/>
    <w:rsid w:val="0096220E"/>
    <w:rsid w:val="00962D7C"/>
    <w:rsid w:val="00962E8F"/>
    <w:rsid w:val="009633A3"/>
    <w:rsid w:val="0096404A"/>
    <w:rsid w:val="0096477E"/>
    <w:rsid w:val="00964CA3"/>
    <w:rsid w:val="009656D1"/>
    <w:rsid w:val="00965C09"/>
    <w:rsid w:val="00965D36"/>
    <w:rsid w:val="00966620"/>
    <w:rsid w:val="009669EC"/>
    <w:rsid w:val="0096733B"/>
    <w:rsid w:val="009679A5"/>
    <w:rsid w:val="00967DC0"/>
    <w:rsid w:val="00967EE8"/>
    <w:rsid w:val="00967F06"/>
    <w:rsid w:val="009701AC"/>
    <w:rsid w:val="0097082C"/>
    <w:rsid w:val="00970CF3"/>
    <w:rsid w:val="00970DFC"/>
    <w:rsid w:val="00971046"/>
    <w:rsid w:val="00971D88"/>
    <w:rsid w:val="00971E31"/>
    <w:rsid w:val="00971E5C"/>
    <w:rsid w:val="00972B3D"/>
    <w:rsid w:val="00972DD5"/>
    <w:rsid w:val="00972E41"/>
    <w:rsid w:val="009730F5"/>
    <w:rsid w:val="0097353F"/>
    <w:rsid w:val="00973757"/>
    <w:rsid w:val="00973B1A"/>
    <w:rsid w:val="009751DB"/>
    <w:rsid w:val="009752F2"/>
    <w:rsid w:val="00975334"/>
    <w:rsid w:val="00975AF5"/>
    <w:rsid w:val="00975C10"/>
    <w:rsid w:val="00975E9C"/>
    <w:rsid w:val="0097656C"/>
    <w:rsid w:val="009767AC"/>
    <w:rsid w:val="00976A68"/>
    <w:rsid w:val="00976B33"/>
    <w:rsid w:val="00977159"/>
    <w:rsid w:val="0097715F"/>
    <w:rsid w:val="0097728D"/>
    <w:rsid w:val="00977342"/>
    <w:rsid w:val="00977538"/>
    <w:rsid w:val="00977ED8"/>
    <w:rsid w:val="00977F7F"/>
    <w:rsid w:val="0098009A"/>
    <w:rsid w:val="009801F6"/>
    <w:rsid w:val="009807B5"/>
    <w:rsid w:val="009807F8"/>
    <w:rsid w:val="009808A0"/>
    <w:rsid w:val="009809D8"/>
    <w:rsid w:val="00980F54"/>
    <w:rsid w:val="00981087"/>
    <w:rsid w:val="009811B8"/>
    <w:rsid w:val="009813DE"/>
    <w:rsid w:val="00981F96"/>
    <w:rsid w:val="00982EFC"/>
    <w:rsid w:val="009830DC"/>
    <w:rsid w:val="0098343B"/>
    <w:rsid w:val="009839BC"/>
    <w:rsid w:val="00983A68"/>
    <w:rsid w:val="00983F19"/>
    <w:rsid w:val="009848DD"/>
    <w:rsid w:val="00984D8A"/>
    <w:rsid w:val="009850AF"/>
    <w:rsid w:val="009853A6"/>
    <w:rsid w:val="0098557B"/>
    <w:rsid w:val="009857C9"/>
    <w:rsid w:val="00986738"/>
    <w:rsid w:val="0098753C"/>
    <w:rsid w:val="00987EB1"/>
    <w:rsid w:val="00990284"/>
    <w:rsid w:val="00990B9A"/>
    <w:rsid w:val="00990BD0"/>
    <w:rsid w:val="00990CBA"/>
    <w:rsid w:val="00990E89"/>
    <w:rsid w:val="00990F29"/>
    <w:rsid w:val="009910FC"/>
    <w:rsid w:val="00991643"/>
    <w:rsid w:val="00991670"/>
    <w:rsid w:val="00991782"/>
    <w:rsid w:val="00991814"/>
    <w:rsid w:val="009922B4"/>
    <w:rsid w:val="009924CB"/>
    <w:rsid w:val="00992997"/>
    <w:rsid w:val="00992CE5"/>
    <w:rsid w:val="0099324D"/>
    <w:rsid w:val="00993269"/>
    <w:rsid w:val="009933F5"/>
    <w:rsid w:val="00993601"/>
    <w:rsid w:val="00993607"/>
    <w:rsid w:val="0099391A"/>
    <w:rsid w:val="0099418F"/>
    <w:rsid w:val="00994840"/>
    <w:rsid w:val="00994A19"/>
    <w:rsid w:val="00994CA8"/>
    <w:rsid w:val="00995023"/>
    <w:rsid w:val="009950D9"/>
    <w:rsid w:val="0099549D"/>
    <w:rsid w:val="009958BF"/>
    <w:rsid w:val="00995DBF"/>
    <w:rsid w:val="00995FF5"/>
    <w:rsid w:val="00996925"/>
    <w:rsid w:val="00996C54"/>
    <w:rsid w:val="00996C9B"/>
    <w:rsid w:val="00997243"/>
    <w:rsid w:val="00997475"/>
    <w:rsid w:val="00997A67"/>
    <w:rsid w:val="00997C83"/>
    <w:rsid w:val="00997DDA"/>
    <w:rsid w:val="009A0F67"/>
    <w:rsid w:val="009A160C"/>
    <w:rsid w:val="009A16F8"/>
    <w:rsid w:val="009A1DE4"/>
    <w:rsid w:val="009A2747"/>
    <w:rsid w:val="009A279E"/>
    <w:rsid w:val="009A28CA"/>
    <w:rsid w:val="009A318B"/>
    <w:rsid w:val="009A3230"/>
    <w:rsid w:val="009A3CBF"/>
    <w:rsid w:val="009A3E32"/>
    <w:rsid w:val="009A4618"/>
    <w:rsid w:val="009A4EB1"/>
    <w:rsid w:val="009A5073"/>
    <w:rsid w:val="009A531B"/>
    <w:rsid w:val="009A61D9"/>
    <w:rsid w:val="009A66B0"/>
    <w:rsid w:val="009A670E"/>
    <w:rsid w:val="009A6CA5"/>
    <w:rsid w:val="009A6EFA"/>
    <w:rsid w:val="009A7F91"/>
    <w:rsid w:val="009B0596"/>
    <w:rsid w:val="009B05F5"/>
    <w:rsid w:val="009B1CD7"/>
    <w:rsid w:val="009B1E1E"/>
    <w:rsid w:val="009B207D"/>
    <w:rsid w:val="009B2A40"/>
    <w:rsid w:val="009B2A86"/>
    <w:rsid w:val="009B332A"/>
    <w:rsid w:val="009B336F"/>
    <w:rsid w:val="009B3421"/>
    <w:rsid w:val="009B3C68"/>
    <w:rsid w:val="009B3EC9"/>
    <w:rsid w:val="009B41D4"/>
    <w:rsid w:val="009B4528"/>
    <w:rsid w:val="009B45E4"/>
    <w:rsid w:val="009B478F"/>
    <w:rsid w:val="009B4986"/>
    <w:rsid w:val="009B4D8B"/>
    <w:rsid w:val="009B5243"/>
    <w:rsid w:val="009B5342"/>
    <w:rsid w:val="009B6B0C"/>
    <w:rsid w:val="009B6C66"/>
    <w:rsid w:val="009B7339"/>
    <w:rsid w:val="009B78BC"/>
    <w:rsid w:val="009B7E26"/>
    <w:rsid w:val="009C0263"/>
    <w:rsid w:val="009C0BE6"/>
    <w:rsid w:val="009C0D29"/>
    <w:rsid w:val="009C1673"/>
    <w:rsid w:val="009C1C03"/>
    <w:rsid w:val="009C2496"/>
    <w:rsid w:val="009C2930"/>
    <w:rsid w:val="009C2B95"/>
    <w:rsid w:val="009C35F4"/>
    <w:rsid w:val="009C376E"/>
    <w:rsid w:val="009C40FB"/>
    <w:rsid w:val="009C44AC"/>
    <w:rsid w:val="009C47FE"/>
    <w:rsid w:val="009C4F52"/>
    <w:rsid w:val="009C5309"/>
    <w:rsid w:val="009C5800"/>
    <w:rsid w:val="009C58D0"/>
    <w:rsid w:val="009C5D85"/>
    <w:rsid w:val="009C5F4A"/>
    <w:rsid w:val="009C6080"/>
    <w:rsid w:val="009C672B"/>
    <w:rsid w:val="009C68E6"/>
    <w:rsid w:val="009C6F37"/>
    <w:rsid w:val="009C7E65"/>
    <w:rsid w:val="009D02A8"/>
    <w:rsid w:val="009D0B7C"/>
    <w:rsid w:val="009D0BE9"/>
    <w:rsid w:val="009D0D07"/>
    <w:rsid w:val="009D13EF"/>
    <w:rsid w:val="009D223B"/>
    <w:rsid w:val="009D2574"/>
    <w:rsid w:val="009D2847"/>
    <w:rsid w:val="009D2971"/>
    <w:rsid w:val="009D330C"/>
    <w:rsid w:val="009D348B"/>
    <w:rsid w:val="009D385D"/>
    <w:rsid w:val="009D3B1D"/>
    <w:rsid w:val="009D3B92"/>
    <w:rsid w:val="009D43E6"/>
    <w:rsid w:val="009D44B5"/>
    <w:rsid w:val="009D50C3"/>
    <w:rsid w:val="009D5329"/>
    <w:rsid w:val="009D5893"/>
    <w:rsid w:val="009D5ABA"/>
    <w:rsid w:val="009D5DEE"/>
    <w:rsid w:val="009D5FAC"/>
    <w:rsid w:val="009D6AEB"/>
    <w:rsid w:val="009D7005"/>
    <w:rsid w:val="009E00E0"/>
    <w:rsid w:val="009E03C1"/>
    <w:rsid w:val="009E06A3"/>
    <w:rsid w:val="009E0D8A"/>
    <w:rsid w:val="009E1133"/>
    <w:rsid w:val="009E1157"/>
    <w:rsid w:val="009E1168"/>
    <w:rsid w:val="009E1244"/>
    <w:rsid w:val="009E1FD8"/>
    <w:rsid w:val="009E20EA"/>
    <w:rsid w:val="009E236E"/>
    <w:rsid w:val="009E239A"/>
    <w:rsid w:val="009E2965"/>
    <w:rsid w:val="009E2A06"/>
    <w:rsid w:val="009E2B58"/>
    <w:rsid w:val="009E2D5B"/>
    <w:rsid w:val="009E31FA"/>
    <w:rsid w:val="009E35DA"/>
    <w:rsid w:val="009E36AA"/>
    <w:rsid w:val="009E3FCA"/>
    <w:rsid w:val="009E4440"/>
    <w:rsid w:val="009E45F2"/>
    <w:rsid w:val="009E4835"/>
    <w:rsid w:val="009E4CD5"/>
    <w:rsid w:val="009E5280"/>
    <w:rsid w:val="009E5E2E"/>
    <w:rsid w:val="009E6A3F"/>
    <w:rsid w:val="009E6D5C"/>
    <w:rsid w:val="009E7059"/>
    <w:rsid w:val="009E7899"/>
    <w:rsid w:val="009E79A5"/>
    <w:rsid w:val="009E7D42"/>
    <w:rsid w:val="009E7F18"/>
    <w:rsid w:val="009E7FD8"/>
    <w:rsid w:val="009F0264"/>
    <w:rsid w:val="009F0288"/>
    <w:rsid w:val="009F0787"/>
    <w:rsid w:val="009F1380"/>
    <w:rsid w:val="009F138A"/>
    <w:rsid w:val="009F1807"/>
    <w:rsid w:val="009F195D"/>
    <w:rsid w:val="009F2579"/>
    <w:rsid w:val="009F35F3"/>
    <w:rsid w:val="009F451C"/>
    <w:rsid w:val="009F5292"/>
    <w:rsid w:val="009F5579"/>
    <w:rsid w:val="009F5947"/>
    <w:rsid w:val="009F5A1C"/>
    <w:rsid w:val="009F5C4B"/>
    <w:rsid w:val="009F5C60"/>
    <w:rsid w:val="009F608F"/>
    <w:rsid w:val="009F6C65"/>
    <w:rsid w:val="009F7417"/>
    <w:rsid w:val="009F771B"/>
    <w:rsid w:val="009F7818"/>
    <w:rsid w:val="009F7C6F"/>
    <w:rsid w:val="00A002FB"/>
    <w:rsid w:val="00A003F7"/>
    <w:rsid w:val="00A00B28"/>
    <w:rsid w:val="00A0144A"/>
    <w:rsid w:val="00A027B5"/>
    <w:rsid w:val="00A02FB4"/>
    <w:rsid w:val="00A0336A"/>
    <w:rsid w:val="00A03525"/>
    <w:rsid w:val="00A035A0"/>
    <w:rsid w:val="00A03D0B"/>
    <w:rsid w:val="00A03E1A"/>
    <w:rsid w:val="00A04398"/>
    <w:rsid w:val="00A04A33"/>
    <w:rsid w:val="00A04B30"/>
    <w:rsid w:val="00A04DB7"/>
    <w:rsid w:val="00A054B3"/>
    <w:rsid w:val="00A05772"/>
    <w:rsid w:val="00A05C30"/>
    <w:rsid w:val="00A0698B"/>
    <w:rsid w:val="00A069B1"/>
    <w:rsid w:val="00A06C88"/>
    <w:rsid w:val="00A06FC1"/>
    <w:rsid w:val="00A07262"/>
    <w:rsid w:val="00A07A3A"/>
    <w:rsid w:val="00A07A60"/>
    <w:rsid w:val="00A102AB"/>
    <w:rsid w:val="00A10AF2"/>
    <w:rsid w:val="00A10D90"/>
    <w:rsid w:val="00A117C7"/>
    <w:rsid w:val="00A11D0C"/>
    <w:rsid w:val="00A1205D"/>
    <w:rsid w:val="00A12340"/>
    <w:rsid w:val="00A125ED"/>
    <w:rsid w:val="00A1296D"/>
    <w:rsid w:val="00A12B70"/>
    <w:rsid w:val="00A12DD1"/>
    <w:rsid w:val="00A13003"/>
    <w:rsid w:val="00A132CC"/>
    <w:rsid w:val="00A13311"/>
    <w:rsid w:val="00A135B3"/>
    <w:rsid w:val="00A13BC2"/>
    <w:rsid w:val="00A148FF"/>
    <w:rsid w:val="00A149E5"/>
    <w:rsid w:val="00A14C5A"/>
    <w:rsid w:val="00A14D13"/>
    <w:rsid w:val="00A14ECD"/>
    <w:rsid w:val="00A15207"/>
    <w:rsid w:val="00A15762"/>
    <w:rsid w:val="00A15D28"/>
    <w:rsid w:val="00A1635C"/>
    <w:rsid w:val="00A16835"/>
    <w:rsid w:val="00A1712F"/>
    <w:rsid w:val="00A17191"/>
    <w:rsid w:val="00A17858"/>
    <w:rsid w:val="00A17887"/>
    <w:rsid w:val="00A178BE"/>
    <w:rsid w:val="00A17D88"/>
    <w:rsid w:val="00A20018"/>
    <w:rsid w:val="00A20239"/>
    <w:rsid w:val="00A2090C"/>
    <w:rsid w:val="00A20C56"/>
    <w:rsid w:val="00A20D7C"/>
    <w:rsid w:val="00A214E9"/>
    <w:rsid w:val="00A2159E"/>
    <w:rsid w:val="00A21684"/>
    <w:rsid w:val="00A21B29"/>
    <w:rsid w:val="00A21CDF"/>
    <w:rsid w:val="00A21D49"/>
    <w:rsid w:val="00A21E5E"/>
    <w:rsid w:val="00A2208C"/>
    <w:rsid w:val="00A222E3"/>
    <w:rsid w:val="00A224F8"/>
    <w:rsid w:val="00A22984"/>
    <w:rsid w:val="00A2393C"/>
    <w:rsid w:val="00A23B30"/>
    <w:rsid w:val="00A23DBC"/>
    <w:rsid w:val="00A23F4B"/>
    <w:rsid w:val="00A24074"/>
    <w:rsid w:val="00A24686"/>
    <w:rsid w:val="00A24CF2"/>
    <w:rsid w:val="00A24E14"/>
    <w:rsid w:val="00A24E1C"/>
    <w:rsid w:val="00A24FEB"/>
    <w:rsid w:val="00A256E0"/>
    <w:rsid w:val="00A25D38"/>
    <w:rsid w:val="00A263CA"/>
    <w:rsid w:val="00A26559"/>
    <w:rsid w:val="00A266AD"/>
    <w:rsid w:val="00A267E8"/>
    <w:rsid w:val="00A269A9"/>
    <w:rsid w:val="00A269EA"/>
    <w:rsid w:val="00A27247"/>
    <w:rsid w:val="00A2740B"/>
    <w:rsid w:val="00A274E0"/>
    <w:rsid w:val="00A2755B"/>
    <w:rsid w:val="00A275D3"/>
    <w:rsid w:val="00A27976"/>
    <w:rsid w:val="00A279BE"/>
    <w:rsid w:val="00A27D76"/>
    <w:rsid w:val="00A30796"/>
    <w:rsid w:val="00A312B9"/>
    <w:rsid w:val="00A3150F"/>
    <w:rsid w:val="00A31592"/>
    <w:rsid w:val="00A319F5"/>
    <w:rsid w:val="00A31D2D"/>
    <w:rsid w:val="00A31FE5"/>
    <w:rsid w:val="00A32025"/>
    <w:rsid w:val="00A323EC"/>
    <w:rsid w:val="00A325C9"/>
    <w:rsid w:val="00A327B2"/>
    <w:rsid w:val="00A32901"/>
    <w:rsid w:val="00A32A07"/>
    <w:rsid w:val="00A32D68"/>
    <w:rsid w:val="00A333D9"/>
    <w:rsid w:val="00A3387F"/>
    <w:rsid w:val="00A339CB"/>
    <w:rsid w:val="00A33A03"/>
    <w:rsid w:val="00A33B0E"/>
    <w:rsid w:val="00A34241"/>
    <w:rsid w:val="00A349C8"/>
    <w:rsid w:val="00A34CA8"/>
    <w:rsid w:val="00A34FB4"/>
    <w:rsid w:val="00A3536E"/>
    <w:rsid w:val="00A35579"/>
    <w:rsid w:val="00A35682"/>
    <w:rsid w:val="00A356BD"/>
    <w:rsid w:val="00A357B7"/>
    <w:rsid w:val="00A35C8F"/>
    <w:rsid w:val="00A35CD9"/>
    <w:rsid w:val="00A35ED1"/>
    <w:rsid w:val="00A35F1B"/>
    <w:rsid w:val="00A361AD"/>
    <w:rsid w:val="00A36219"/>
    <w:rsid w:val="00A364D4"/>
    <w:rsid w:val="00A36642"/>
    <w:rsid w:val="00A367D4"/>
    <w:rsid w:val="00A36907"/>
    <w:rsid w:val="00A3729D"/>
    <w:rsid w:val="00A37ADD"/>
    <w:rsid w:val="00A37FD5"/>
    <w:rsid w:val="00A4013A"/>
    <w:rsid w:val="00A40222"/>
    <w:rsid w:val="00A4038A"/>
    <w:rsid w:val="00A409C6"/>
    <w:rsid w:val="00A40B99"/>
    <w:rsid w:val="00A4160A"/>
    <w:rsid w:val="00A41D54"/>
    <w:rsid w:val="00A41DD2"/>
    <w:rsid w:val="00A41F3A"/>
    <w:rsid w:val="00A423EE"/>
    <w:rsid w:val="00A42B0A"/>
    <w:rsid w:val="00A42EB4"/>
    <w:rsid w:val="00A42FAF"/>
    <w:rsid w:val="00A43303"/>
    <w:rsid w:val="00A446C1"/>
    <w:rsid w:val="00A44B03"/>
    <w:rsid w:val="00A44E6F"/>
    <w:rsid w:val="00A44FA7"/>
    <w:rsid w:val="00A45357"/>
    <w:rsid w:val="00A453B2"/>
    <w:rsid w:val="00A453C1"/>
    <w:rsid w:val="00A45428"/>
    <w:rsid w:val="00A4579D"/>
    <w:rsid w:val="00A45E61"/>
    <w:rsid w:val="00A45EE1"/>
    <w:rsid w:val="00A462B9"/>
    <w:rsid w:val="00A4671B"/>
    <w:rsid w:val="00A4677D"/>
    <w:rsid w:val="00A47BE1"/>
    <w:rsid w:val="00A47EA3"/>
    <w:rsid w:val="00A47F5E"/>
    <w:rsid w:val="00A506FC"/>
    <w:rsid w:val="00A50FB7"/>
    <w:rsid w:val="00A51051"/>
    <w:rsid w:val="00A51288"/>
    <w:rsid w:val="00A5182E"/>
    <w:rsid w:val="00A51911"/>
    <w:rsid w:val="00A51CA0"/>
    <w:rsid w:val="00A51E8A"/>
    <w:rsid w:val="00A5209D"/>
    <w:rsid w:val="00A5261C"/>
    <w:rsid w:val="00A528CB"/>
    <w:rsid w:val="00A52D1B"/>
    <w:rsid w:val="00A53406"/>
    <w:rsid w:val="00A5380F"/>
    <w:rsid w:val="00A5434C"/>
    <w:rsid w:val="00A543DF"/>
    <w:rsid w:val="00A54868"/>
    <w:rsid w:val="00A54A61"/>
    <w:rsid w:val="00A54BA9"/>
    <w:rsid w:val="00A54C6F"/>
    <w:rsid w:val="00A54D34"/>
    <w:rsid w:val="00A54FE7"/>
    <w:rsid w:val="00A551D0"/>
    <w:rsid w:val="00A55202"/>
    <w:rsid w:val="00A55226"/>
    <w:rsid w:val="00A5533E"/>
    <w:rsid w:val="00A555BD"/>
    <w:rsid w:val="00A55DE9"/>
    <w:rsid w:val="00A564BD"/>
    <w:rsid w:val="00A56A20"/>
    <w:rsid w:val="00A574AC"/>
    <w:rsid w:val="00A577B6"/>
    <w:rsid w:val="00A57FED"/>
    <w:rsid w:val="00A6024B"/>
    <w:rsid w:val="00A6172C"/>
    <w:rsid w:val="00A61800"/>
    <w:rsid w:val="00A61957"/>
    <w:rsid w:val="00A61B44"/>
    <w:rsid w:val="00A61D39"/>
    <w:rsid w:val="00A61D75"/>
    <w:rsid w:val="00A62638"/>
    <w:rsid w:val="00A62AA5"/>
    <w:rsid w:val="00A62FBA"/>
    <w:rsid w:val="00A63BAE"/>
    <w:rsid w:val="00A645C1"/>
    <w:rsid w:val="00A64A78"/>
    <w:rsid w:val="00A64EFB"/>
    <w:rsid w:val="00A64FD3"/>
    <w:rsid w:val="00A651E0"/>
    <w:rsid w:val="00A6558F"/>
    <w:rsid w:val="00A66049"/>
    <w:rsid w:val="00A660B6"/>
    <w:rsid w:val="00A668EE"/>
    <w:rsid w:val="00A66D41"/>
    <w:rsid w:val="00A6719E"/>
    <w:rsid w:val="00A672EF"/>
    <w:rsid w:val="00A67313"/>
    <w:rsid w:val="00A673E4"/>
    <w:rsid w:val="00A6765A"/>
    <w:rsid w:val="00A67B82"/>
    <w:rsid w:val="00A67BD3"/>
    <w:rsid w:val="00A67CB1"/>
    <w:rsid w:val="00A68BAE"/>
    <w:rsid w:val="00A701A1"/>
    <w:rsid w:val="00A70486"/>
    <w:rsid w:val="00A70B02"/>
    <w:rsid w:val="00A70D82"/>
    <w:rsid w:val="00A710D4"/>
    <w:rsid w:val="00A71439"/>
    <w:rsid w:val="00A7143B"/>
    <w:rsid w:val="00A718E8"/>
    <w:rsid w:val="00A71B18"/>
    <w:rsid w:val="00A72395"/>
    <w:rsid w:val="00A725AD"/>
    <w:rsid w:val="00A72713"/>
    <w:rsid w:val="00A728BB"/>
    <w:rsid w:val="00A72A40"/>
    <w:rsid w:val="00A72E65"/>
    <w:rsid w:val="00A73285"/>
    <w:rsid w:val="00A7363F"/>
    <w:rsid w:val="00A7370B"/>
    <w:rsid w:val="00A73864"/>
    <w:rsid w:val="00A73E16"/>
    <w:rsid w:val="00A743DE"/>
    <w:rsid w:val="00A74A75"/>
    <w:rsid w:val="00A74BFA"/>
    <w:rsid w:val="00A752A2"/>
    <w:rsid w:val="00A75305"/>
    <w:rsid w:val="00A75587"/>
    <w:rsid w:val="00A755BE"/>
    <w:rsid w:val="00A75A5D"/>
    <w:rsid w:val="00A763D5"/>
    <w:rsid w:val="00A764F6"/>
    <w:rsid w:val="00A765F6"/>
    <w:rsid w:val="00A7694F"/>
    <w:rsid w:val="00A775D5"/>
    <w:rsid w:val="00A778C2"/>
    <w:rsid w:val="00A77D8C"/>
    <w:rsid w:val="00A77DA0"/>
    <w:rsid w:val="00A809FF"/>
    <w:rsid w:val="00A80A0A"/>
    <w:rsid w:val="00A80C54"/>
    <w:rsid w:val="00A81CFE"/>
    <w:rsid w:val="00A8210C"/>
    <w:rsid w:val="00A821CF"/>
    <w:rsid w:val="00A83062"/>
    <w:rsid w:val="00A832BD"/>
    <w:rsid w:val="00A8350E"/>
    <w:rsid w:val="00A837E7"/>
    <w:rsid w:val="00A83BF3"/>
    <w:rsid w:val="00A83EEC"/>
    <w:rsid w:val="00A84689"/>
    <w:rsid w:val="00A848EC"/>
    <w:rsid w:val="00A84ADB"/>
    <w:rsid w:val="00A85BE0"/>
    <w:rsid w:val="00A85FEE"/>
    <w:rsid w:val="00A860FC"/>
    <w:rsid w:val="00A8621F"/>
    <w:rsid w:val="00A862E8"/>
    <w:rsid w:val="00A86577"/>
    <w:rsid w:val="00A86A31"/>
    <w:rsid w:val="00A86B26"/>
    <w:rsid w:val="00A86E4D"/>
    <w:rsid w:val="00A86E56"/>
    <w:rsid w:val="00A87114"/>
    <w:rsid w:val="00A87139"/>
    <w:rsid w:val="00A879FE"/>
    <w:rsid w:val="00A87AA3"/>
    <w:rsid w:val="00A87ADF"/>
    <w:rsid w:val="00A87DB3"/>
    <w:rsid w:val="00A903B4"/>
    <w:rsid w:val="00A905D3"/>
    <w:rsid w:val="00A90BEF"/>
    <w:rsid w:val="00A90E20"/>
    <w:rsid w:val="00A91850"/>
    <w:rsid w:val="00A91971"/>
    <w:rsid w:val="00A91A67"/>
    <w:rsid w:val="00A9299E"/>
    <w:rsid w:val="00A9313D"/>
    <w:rsid w:val="00A93169"/>
    <w:rsid w:val="00A932DA"/>
    <w:rsid w:val="00A933EF"/>
    <w:rsid w:val="00A93541"/>
    <w:rsid w:val="00A93574"/>
    <w:rsid w:val="00A93778"/>
    <w:rsid w:val="00A93BF0"/>
    <w:rsid w:val="00A93E3A"/>
    <w:rsid w:val="00A940C9"/>
    <w:rsid w:val="00A94390"/>
    <w:rsid w:val="00A948BE"/>
    <w:rsid w:val="00A953E6"/>
    <w:rsid w:val="00A95678"/>
    <w:rsid w:val="00A96315"/>
    <w:rsid w:val="00A96A65"/>
    <w:rsid w:val="00A96AD8"/>
    <w:rsid w:val="00A96BFF"/>
    <w:rsid w:val="00A96DF6"/>
    <w:rsid w:val="00A96F71"/>
    <w:rsid w:val="00A97396"/>
    <w:rsid w:val="00A97397"/>
    <w:rsid w:val="00A978FC"/>
    <w:rsid w:val="00A97FCE"/>
    <w:rsid w:val="00AA0195"/>
    <w:rsid w:val="00AA13D0"/>
    <w:rsid w:val="00AA146B"/>
    <w:rsid w:val="00AA1705"/>
    <w:rsid w:val="00AA1AB6"/>
    <w:rsid w:val="00AA2367"/>
    <w:rsid w:val="00AA2593"/>
    <w:rsid w:val="00AA3130"/>
    <w:rsid w:val="00AA32C1"/>
    <w:rsid w:val="00AA35E7"/>
    <w:rsid w:val="00AA3756"/>
    <w:rsid w:val="00AA38D2"/>
    <w:rsid w:val="00AA3B10"/>
    <w:rsid w:val="00AA3B45"/>
    <w:rsid w:val="00AA402C"/>
    <w:rsid w:val="00AA4FA9"/>
    <w:rsid w:val="00AA53B2"/>
    <w:rsid w:val="00AA5470"/>
    <w:rsid w:val="00AA5E75"/>
    <w:rsid w:val="00AA64F9"/>
    <w:rsid w:val="00AA6814"/>
    <w:rsid w:val="00AA687C"/>
    <w:rsid w:val="00AA69B7"/>
    <w:rsid w:val="00AA6A2B"/>
    <w:rsid w:val="00AA6A30"/>
    <w:rsid w:val="00AA6C6B"/>
    <w:rsid w:val="00AA6C73"/>
    <w:rsid w:val="00AA6CEF"/>
    <w:rsid w:val="00AA70D4"/>
    <w:rsid w:val="00AA7791"/>
    <w:rsid w:val="00AA7C41"/>
    <w:rsid w:val="00AA7D54"/>
    <w:rsid w:val="00AB0086"/>
    <w:rsid w:val="00AB0339"/>
    <w:rsid w:val="00AB05E4"/>
    <w:rsid w:val="00AB0831"/>
    <w:rsid w:val="00AB0942"/>
    <w:rsid w:val="00AB0B74"/>
    <w:rsid w:val="00AB1153"/>
    <w:rsid w:val="00AB1307"/>
    <w:rsid w:val="00AB1A04"/>
    <w:rsid w:val="00AB1B8F"/>
    <w:rsid w:val="00AB2078"/>
    <w:rsid w:val="00AB2639"/>
    <w:rsid w:val="00AB29C6"/>
    <w:rsid w:val="00AB29E5"/>
    <w:rsid w:val="00AB333E"/>
    <w:rsid w:val="00AB3587"/>
    <w:rsid w:val="00AB39C9"/>
    <w:rsid w:val="00AB3DF7"/>
    <w:rsid w:val="00AB429E"/>
    <w:rsid w:val="00AB43F7"/>
    <w:rsid w:val="00AB461C"/>
    <w:rsid w:val="00AB475D"/>
    <w:rsid w:val="00AB5448"/>
    <w:rsid w:val="00AB550E"/>
    <w:rsid w:val="00AB562A"/>
    <w:rsid w:val="00AB5CC2"/>
    <w:rsid w:val="00AB5FDB"/>
    <w:rsid w:val="00AB6046"/>
    <w:rsid w:val="00AB617F"/>
    <w:rsid w:val="00AB6BE2"/>
    <w:rsid w:val="00AB7436"/>
    <w:rsid w:val="00AB7E9A"/>
    <w:rsid w:val="00AC05C2"/>
    <w:rsid w:val="00AC06ED"/>
    <w:rsid w:val="00AC0AD9"/>
    <w:rsid w:val="00AC1447"/>
    <w:rsid w:val="00AC1773"/>
    <w:rsid w:val="00AC18E0"/>
    <w:rsid w:val="00AC1A8E"/>
    <w:rsid w:val="00AC2809"/>
    <w:rsid w:val="00AC2920"/>
    <w:rsid w:val="00AC2CE5"/>
    <w:rsid w:val="00AC350D"/>
    <w:rsid w:val="00AC3963"/>
    <w:rsid w:val="00AC412A"/>
    <w:rsid w:val="00AC413B"/>
    <w:rsid w:val="00AC41D5"/>
    <w:rsid w:val="00AC459C"/>
    <w:rsid w:val="00AC48D5"/>
    <w:rsid w:val="00AC510A"/>
    <w:rsid w:val="00AC51AD"/>
    <w:rsid w:val="00AC529A"/>
    <w:rsid w:val="00AC5781"/>
    <w:rsid w:val="00AC591F"/>
    <w:rsid w:val="00AC59CF"/>
    <w:rsid w:val="00AC5ACB"/>
    <w:rsid w:val="00AC6142"/>
    <w:rsid w:val="00AC6248"/>
    <w:rsid w:val="00AC638D"/>
    <w:rsid w:val="00AC64E6"/>
    <w:rsid w:val="00AC66CE"/>
    <w:rsid w:val="00AC6B60"/>
    <w:rsid w:val="00AC7155"/>
    <w:rsid w:val="00AC74AE"/>
    <w:rsid w:val="00AC7C22"/>
    <w:rsid w:val="00AD04DF"/>
    <w:rsid w:val="00AD1102"/>
    <w:rsid w:val="00AD162C"/>
    <w:rsid w:val="00AD1B73"/>
    <w:rsid w:val="00AD21DE"/>
    <w:rsid w:val="00AD2907"/>
    <w:rsid w:val="00AD2A36"/>
    <w:rsid w:val="00AD34D3"/>
    <w:rsid w:val="00AD353A"/>
    <w:rsid w:val="00AD3777"/>
    <w:rsid w:val="00AD37C4"/>
    <w:rsid w:val="00AD37CB"/>
    <w:rsid w:val="00AD394A"/>
    <w:rsid w:val="00AD3983"/>
    <w:rsid w:val="00AD3CC6"/>
    <w:rsid w:val="00AD4395"/>
    <w:rsid w:val="00AD45CD"/>
    <w:rsid w:val="00AD460E"/>
    <w:rsid w:val="00AD4A48"/>
    <w:rsid w:val="00AD4E7A"/>
    <w:rsid w:val="00AD51B4"/>
    <w:rsid w:val="00AD57D3"/>
    <w:rsid w:val="00AD6084"/>
    <w:rsid w:val="00AD635C"/>
    <w:rsid w:val="00AD6615"/>
    <w:rsid w:val="00AD68DB"/>
    <w:rsid w:val="00AD6982"/>
    <w:rsid w:val="00AD6EFE"/>
    <w:rsid w:val="00AD703E"/>
    <w:rsid w:val="00AD7303"/>
    <w:rsid w:val="00AD73FA"/>
    <w:rsid w:val="00AD7D96"/>
    <w:rsid w:val="00AE014E"/>
    <w:rsid w:val="00AE0538"/>
    <w:rsid w:val="00AE0B4E"/>
    <w:rsid w:val="00AE0D1A"/>
    <w:rsid w:val="00AE176E"/>
    <w:rsid w:val="00AE189F"/>
    <w:rsid w:val="00AE1A2D"/>
    <w:rsid w:val="00AE1C62"/>
    <w:rsid w:val="00AE1CEC"/>
    <w:rsid w:val="00AE21B9"/>
    <w:rsid w:val="00AE25B2"/>
    <w:rsid w:val="00AE31A4"/>
    <w:rsid w:val="00AE330C"/>
    <w:rsid w:val="00AE3461"/>
    <w:rsid w:val="00AE361F"/>
    <w:rsid w:val="00AE3DFF"/>
    <w:rsid w:val="00AE4114"/>
    <w:rsid w:val="00AE57C8"/>
    <w:rsid w:val="00AE5C78"/>
    <w:rsid w:val="00AE5CEB"/>
    <w:rsid w:val="00AE679C"/>
    <w:rsid w:val="00AE688D"/>
    <w:rsid w:val="00AE6E50"/>
    <w:rsid w:val="00AE72F8"/>
    <w:rsid w:val="00AE76EE"/>
    <w:rsid w:val="00AE779E"/>
    <w:rsid w:val="00AE7C29"/>
    <w:rsid w:val="00AF0A6D"/>
    <w:rsid w:val="00AF0C49"/>
    <w:rsid w:val="00AF118A"/>
    <w:rsid w:val="00AF140D"/>
    <w:rsid w:val="00AF14B8"/>
    <w:rsid w:val="00AF17EA"/>
    <w:rsid w:val="00AF2CDB"/>
    <w:rsid w:val="00AF2D3D"/>
    <w:rsid w:val="00AF2FFC"/>
    <w:rsid w:val="00AF32E0"/>
    <w:rsid w:val="00AF37CE"/>
    <w:rsid w:val="00AF3A8D"/>
    <w:rsid w:val="00AF3C75"/>
    <w:rsid w:val="00AF3CF5"/>
    <w:rsid w:val="00AF475B"/>
    <w:rsid w:val="00AF4B67"/>
    <w:rsid w:val="00AF4C37"/>
    <w:rsid w:val="00AF4D2F"/>
    <w:rsid w:val="00AF4FCD"/>
    <w:rsid w:val="00AF50C5"/>
    <w:rsid w:val="00AF5129"/>
    <w:rsid w:val="00AF5227"/>
    <w:rsid w:val="00AF5F65"/>
    <w:rsid w:val="00AF6744"/>
    <w:rsid w:val="00AF70BF"/>
    <w:rsid w:val="00AF726F"/>
    <w:rsid w:val="00AF7A1E"/>
    <w:rsid w:val="00AF7D8C"/>
    <w:rsid w:val="00AF7DF1"/>
    <w:rsid w:val="00B00B7D"/>
    <w:rsid w:val="00B00C15"/>
    <w:rsid w:val="00B01143"/>
    <w:rsid w:val="00B011CA"/>
    <w:rsid w:val="00B01B0C"/>
    <w:rsid w:val="00B01F8F"/>
    <w:rsid w:val="00B02121"/>
    <w:rsid w:val="00B02449"/>
    <w:rsid w:val="00B0250A"/>
    <w:rsid w:val="00B0274D"/>
    <w:rsid w:val="00B028AA"/>
    <w:rsid w:val="00B03671"/>
    <w:rsid w:val="00B03899"/>
    <w:rsid w:val="00B038CF"/>
    <w:rsid w:val="00B03C90"/>
    <w:rsid w:val="00B03E2F"/>
    <w:rsid w:val="00B041ED"/>
    <w:rsid w:val="00B0426E"/>
    <w:rsid w:val="00B04539"/>
    <w:rsid w:val="00B0471A"/>
    <w:rsid w:val="00B04B6B"/>
    <w:rsid w:val="00B04CE1"/>
    <w:rsid w:val="00B06003"/>
    <w:rsid w:val="00B064D6"/>
    <w:rsid w:val="00B069D1"/>
    <w:rsid w:val="00B070DE"/>
    <w:rsid w:val="00B077BD"/>
    <w:rsid w:val="00B07A37"/>
    <w:rsid w:val="00B1036B"/>
    <w:rsid w:val="00B104B7"/>
    <w:rsid w:val="00B10BB2"/>
    <w:rsid w:val="00B10CC3"/>
    <w:rsid w:val="00B1114F"/>
    <w:rsid w:val="00B11156"/>
    <w:rsid w:val="00B111DD"/>
    <w:rsid w:val="00B114F9"/>
    <w:rsid w:val="00B1151D"/>
    <w:rsid w:val="00B11A83"/>
    <w:rsid w:val="00B11B4F"/>
    <w:rsid w:val="00B12693"/>
    <w:rsid w:val="00B127EB"/>
    <w:rsid w:val="00B12962"/>
    <w:rsid w:val="00B129D0"/>
    <w:rsid w:val="00B129F9"/>
    <w:rsid w:val="00B131A2"/>
    <w:rsid w:val="00B13293"/>
    <w:rsid w:val="00B132A4"/>
    <w:rsid w:val="00B13B50"/>
    <w:rsid w:val="00B13B59"/>
    <w:rsid w:val="00B13CE4"/>
    <w:rsid w:val="00B13F45"/>
    <w:rsid w:val="00B14CEA"/>
    <w:rsid w:val="00B14F87"/>
    <w:rsid w:val="00B1525E"/>
    <w:rsid w:val="00B157FB"/>
    <w:rsid w:val="00B15B48"/>
    <w:rsid w:val="00B15B77"/>
    <w:rsid w:val="00B15BBF"/>
    <w:rsid w:val="00B15E62"/>
    <w:rsid w:val="00B15F18"/>
    <w:rsid w:val="00B16007"/>
    <w:rsid w:val="00B16213"/>
    <w:rsid w:val="00B162DF"/>
    <w:rsid w:val="00B16751"/>
    <w:rsid w:val="00B167D6"/>
    <w:rsid w:val="00B16A2C"/>
    <w:rsid w:val="00B16F00"/>
    <w:rsid w:val="00B1704B"/>
    <w:rsid w:val="00B17553"/>
    <w:rsid w:val="00B17719"/>
    <w:rsid w:val="00B17C18"/>
    <w:rsid w:val="00B17F92"/>
    <w:rsid w:val="00B20166"/>
    <w:rsid w:val="00B204A8"/>
    <w:rsid w:val="00B20A81"/>
    <w:rsid w:val="00B20CEE"/>
    <w:rsid w:val="00B211F9"/>
    <w:rsid w:val="00B214AB"/>
    <w:rsid w:val="00B21A57"/>
    <w:rsid w:val="00B21B82"/>
    <w:rsid w:val="00B21BF1"/>
    <w:rsid w:val="00B21E55"/>
    <w:rsid w:val="00B21F99"/>
    <w:rsid w:val="00B22459"/>
    <w:rsid w:val="00B229CA"/>
    <w:rsid w:val="00B22F1C"/>
    <w:rsid w:val="00B22FAE"/>
    <w:rsid w:val="00B23362"/>
    <w:rsid w:val="00B233CB"/>
    <w:rsid w:val="00B23A63"/>
    <w:rsid w:val="00B23EA5"/>
    <w:rsid w:val="00B242AC"/>
    <w:rsid w:val="00B242E9"/>
    <w:rsid w:val="00B243E0"/>
    <w:rsid w:val="00B245DB"/>
    <w:rsid w:val="00B24BF2"/>
    <w:rsid w:val="00B24E16"/>
    <w:rsid w:val="00B2504C"/>
    <w:rsid w:val="00B25220"/>
    <w:rsid w:val="00B25369"/>
    <w:rsid w:val="00B2553C"/>
    <w:rsid w:val="00B25A15"/>
    <w:rsid w:val="00B25F6D"/>
    <w:rsid w:val="00B265C5"/>
    <w:rsid w:val="00B26BE2"/>
    <w:rsid w:val="00B26E80"/>
    <w:rsid w:val="00B26F4A"/>
    <w:rsid w:val="00B27499"/>
    <w:rsid w:val="00B27B00"/>
    <w:rsid w:val="00B27C12"/>
    <w:rsid w:val="00B30418"/>
    <w:rsid w:val="00B30651"/>
    <w:rsid w:val="00B3078A"/>
    <w:rsid w:val="00B30993"/>
    <w:rsid w:val="00B30DD9"/>
    <w:rsid w:val="00B30EFE"/>
    <w:rsid w:val="00B30F9C"/>
    <w:rsid w:val="00B30FE2"/>
    <w:rsid w:val="00B31298"/>
    <w:rsid w:val="00B31642"/>
    <w:rsid w:val="00B3174E"/>
    <w:rsid w:val="00B31ED1"/>
    <w:rsid w:val="00B31F98"/>
    <w:rsid w:val="00B3224F"/>
    <w:rsid w:val="00B32302"/>
    <w:rsid w:val="00B3279A"/>
    <w:rsid w:val="00B32810"/>
    <w:rsid w:val="00B329D6"/>
    <w:rsid w:val="00B32F7A"/>
    <w:rsid w:val="00B3301E"/>
    <w:rsid w:val="00B33056"/>
    <w:rsid w:val="00B330B6"/>
    <w:rsid w:val="00B330D8"/>
    <w:rsid w:val="00B337C8"/>
    <w:rsid w:val="00B33E83"/>
    <w:rsid w:val="00B33F14"/>
    <w:rsid w:val="00B34486"/>
    <w:rsid w:val="00B3451C"/>
    <w:rsid w:val="00B34E55"/>
    <w:rsid w:val="00B34EEB"/>
    <w:rsid w:val="00B352C2"/>
    <w:rsid w:val="00B3530A"/>
    <w:rsid w:val="00B35451"/>
    <w:rsid w:val="00B35A5D"/>
    <w:rsid w:val="00B363C8"/>
    <w:rsid w:val="00B36907"/>
    <w:rsid w:val="00B37309"/>
    <w:rsid w:val="00B378CA"/>
    <w:rsid w:val="00B37A18"/>
    <w:rsid w:val="00B37E41"/>
    <w:rsid w:val="00B40038"/>
    <w:rsid w:val="00B401E9"/>
    <w:rsid w:val="00B40286"/>
    <w:rsid w:val="00B40B3F"/>
    <w:rsid w:val="00B40F87"/>
    <w:rsid w:val="00B418B2"/>
    <w:rsid w:val="00B4192E"/>
    <w:rsid w:val="00B41C01"/>
    <w:rsid w:val="00B41DB9"/>
    <w:rsid w:val="00B421C8"/>
    <w:rsid w:val="00B42240"/>
    <w:rsid w:val="00B42624"/>
    <w:rsid w:val="00B42822"/>
    <w:rsid w:val="00B429E5"/>
    <w:rsid w:val="00B42C43"/>
    <w:rsid w:val="00B42EB7"/>
    <w:rsid w:val="00B43097"/>
    <w:rsid w:val="00B43149"/>
    <w:rsid w:val="00B435D9"/>
    <w:rsid w:val="00B43720"/>
    <w:rsid w:val="00B439C3"/>
    <w:rsid w:val="00B4485B"/>
    <w:rsid w:val="00B44975"/>
    <w:rsid w:val="00B44F7E"/>
    <w:rsid w:val="00B45092"/>
    <w:rsid w:val="00B45694"/>
    <w:rsid w:val="00B46159"/>
    <w:rsid w:val="00B4650C"/>
    <w:rsid w:val="00B46A3C"/>
    <w:rsid w:val="00B46A65"/>
    <w:rsid w:val="00B4729D"/>
    <w:rsid w:val="00B473D3"/>
    <w:rsid w:val="00B50179"/>
    <w:rsid w:val="00B50544"/>
    <w:rsid w:val="00B506FF"/>
    <w:rsid w:val="00B508DC"/>
    <w:rsid w:val="00B50947"/>
    <w:rsid w:val="00B50A5A"/>
    <w:rsid w:val="00B50E2D"/>
    <w:rsid w:val="00B51236"/>
    <w:rsid w:val="00B516AB"/>
    <w:rsid w:val="00B517DA"/>
    <w:rsid w:val="00B51939"/>
    <w:rsid w:val="00B52095"/>
    <w:rsid w:val="00B52520"/>
    <w:rsid w:val="00B529D9"/>
    <w:rsid w:val="00B52B13"/>
    <w:rsid w:val="00B52EF2"/>
    <w:rsid w:val="00B530C0"/>
    <w:rsid w:val="00B53411"/>
    <w:rsid w:val="00B53578"/>
    <w:rsid w:val="00B5365C"/>
    <w:rsid w:val="00B53C5A"/>
    <w:rsid w:val="00B53ED6"/>
    <w:rsid w:val="00B54CF2"/>
    <w:rsid w:val="00B54FC8"/>
    <w:rsid w:val="00B556AA"/>
    <w:rsid w:val="00B55ABA"/>
    <w:rsid w:val="00B568D3"/>
    <w:rsid w:val="00B570CB"/>
    <w:rsid w:val="00B575B1"/>
    <w:rsid w:val="00B57D98"/>
    <w:rsid w:val="00B57FF3"/>
    <w:rsid w:val="00B60D08"/>
    <w:rsid w:val="00B610E8"/>
    <w:rsid w:val="00B61167"/>
    <w:rsid w:val="00B6131E"/>
    <w:rsid w:val="00B613A7"/>
    <w:rsid w:val="00B613D4"/>
    <w:rsid w:val="00B61560"/>
    <w:rsid w:val="00B615E8"/>
    <w:rsid w:val="00B61C98"/>
    <w:rsid w:val="00B62052"/>
    <w:rsid w:val="00B622C9"/>
    <w:rsid w:val="00B6231C"/>
    <w:rsid w:val="00B62493"/>
    <w:rsid w:val="00B62D08"/>
    <w:rsid w:val="00B63101"/>
    <w:rsid w:val="00B63326"/>
    <w:rsid w:val="00B63739"/>
    <w:rsid w:val="00B639F1"/>
    <w:rsid w:val="00B64384"/>
    <w:rsid w:val="00B643FD"/>
    <w:rsid w:val="00B649CD"/>
    <w:rsid w:val="00B64A6C"/>
    <w:rsid w:val="00B64D8A"/>
    <w:rsid w:val="00B6522D"/>
    <w:rsid w:val="00B65AF1"/>
    <w:rsid w:val="00B65B78"/>
    <w:rsid w:val="00B66680"/>
    <w:rsid w:val="00B66A12"/>
    <w:rsid w:val="00B67028"/>
    <w:rsid w:val="00B678DC"/>
    <w:rsid w:val="00B679FD"/>
    <w:rsid w:val="00B70266"/>
    <w:rsid w:val="00B702CE"/>
    <w:rsid w:val="00B70351"/>
    <w:rsid w:val="00B70707"/>
    <w:rsid w:val="00B7088E"/>
    <w:rsid w:val="00B708BD"/>
    <w:rsid w:val="00B7125C"/>
    <w:rsid w:val="00B71B4C"/>
    <w:rsid w:val="00B71BF0"/>
    <w:rsid w:val="00B72841"/>
    <w:rsid w:val="00B73107"/>
    <w:rsid w:val="00B73595"/>
    <w:rsid w:val="00B7438A"/>
    <w:rsid w:val="00B744B4"/>
    <w:rsid w:val="00B74A2B"/>
    <w:rsid w:val="00B74D50"/>
    <w:rsid w:val="00B74EA1"/>
    <w:rsid w:val="00B74F19"/>
    <w:rsid w:val="00B755A0"/>
    <w:rsid w:val="00B75662"/>
    <w:rsid w:val="00B76094"/>
    <w:rsid w:val="00B76AFB"/>
    <w:rsid w:val="00B76B6E"/>
    <w:rsid w:val="00B7779C"/>
    <w:rsid w:val="00B77880"/>
    <w:rsid w:val="00B77FBF"/>
    <w:rsid w:val="00B80CD2"/>
    <w:rsid w:val="00B80D54"/>
    <w:rsid w:val="00B80E13"/>
    <w:rsid w:val="00B81073"/>
    <w:rsid w:val="00B810B3"/>
    <w:rsid w:val="00B81520"/>
    <w:rsid w:val="00B81975"/>
    <w:rsid w:val="00B81B96"/>
    <w:rsid w:val="00B81BE7"/>
    <w:rsid w:val="00B81D93"/>
    <w:rsid w:val="00B82486"/>
    <w:rsid w:val="00B8277E"/>
    <w:rsid w:val="00B82805"/>
    <w:rsid w:val="00B82C29"/>
    <w:rsid w:val="00B83418"/>
    <w:rsid w:val="00B840B7"/>
    <w:rsid w:val="00B84908"/>
    <w:rsid w:val="00B84DB4"/>
    <w:rsid w:val="00B84E6A"/>
    <w:rsid w:val="00B84EE0"/>
    <w:rsid w:val="00B8514C"/>
    <w:rsid w:val="00B856B5"/>
    <w:rsid w:val="00B856F2"/>
    <w:rsid w:val="00B857C6"/>
    <w:rsid w:val="00B85F24"/>
    <w:rsid w:val="00B86D06"/>
    <w:rsid w:val="00B87278"/>
    <w:rsid w:val="00B87836"/>
    <w:rsid w:val="00B87967"/>
    <w:rsid w:val="00B87BD7"/>
    <w:rsid w:val="00B87F1B"/>
    <w:rsid w:val="00B87F7A"/>
    <w:rsid w:val="00B9051A"/>
    <w:rsid w:val="00B90953"/>
    <w:rsid w:val="00B90A2B"/>
    <w:rsid w:val="00B90E54"/>
    <w:rsid w:val="00B91802"/>
    <w:rsid w:val="00B91B07"/>
    <w:rsid w:val="00B92322"/>
    <w:rsid w:val="00B93019"/>
    <w:rsid w:val="00B939F9"/>
    <w:rsid w:val="00B93B99"/>
    <w:rsid w:val="00B948AE"/>
    <w:rsid w:val="00B9490C"/>
    <w:rsid w:val="00B95101"/>
    <w:rsid w:val="00B9535F"/>
    <w:rsid w:val="00B955BD"/>
    <w:rsid w:val="00B9573C"/>
    <w:rsid w:val="00B95B0C"/>
    <w:rsid w:val="00B95D64"/>
    <w:rsid w:val="00B96284"/>
    <w:rsid w:val="00B96463"/>
    <w:rsid w:val="00B96747"/>
    <w:rsid w:val="00B9675E"/>
    <w:rsid w:val="00B96DAE"/>
    <w:rsid w:val="00B97A26"/>
    <w:rsid w:val="00B97E40"/>
    <w:rsid w:val="00BA0822"/>
    <w:rsid w:val="00BA091B"/>
    <w:rsid w:val="00BA0A05"/>
    <w:rsid w:val="00BA0B30"/>
    <w:rsid w:val="00BA1131"/>
    <w:rsid w:val="00BA1B04"/>
    <w:rsid w:val="00BA1C98"/>
    <w:rsid w:val="00BA1F32"/>
    <w:rsid w:val="00BA2261"/>
    <w:rsid w:val="00BA268F"/>
    <w:rsid w:val="00BA2DF0"/>
    <w:rsid w:val="00BA3293"/>
    <w:rsid w:val="00BA35A1"/>
    <w:rsid w:val="00BA36DC"/>
    <w:rsid w:val="00BA3CBC"/>
    <w:rsid w:val="00BA3E10"/>
    <w:rsid w:val="00BA40B1"/>
    <w:rsid w:val="00BA49F5"/>
    <w:rsid w:val="00BA4FB6"/>
    <w:rsid w:val="00BA5159"/>
    <w:rsid w:val="00BA55C5"/>
    <w:rsid w:val="00BA592E"/>
    <w:rsid w:val="00BA5B17"/>
    <w:rsid w:val="00BA6502"/>
    <w:rsid w:val="00BA67F0"/>
    <w:rsid w:val="00BA6A5E"/>
    <w:rsid w:val="00BA6DC6"/>
    <w:rsid w:val="00BA77E8"/>
    <w:rsid w:val="00BA793E"/>
    <w:rsid w:val="00BA7DB3"/>
    <w:rsid w:val="00BA7E5E"/>
    <w:rsid w:val="00BB05E6"/>
    <w:rsid w:val="00BB085F"/>
    <w:rsid w:val="00BB0D2A"/>
    <w:rsid w:val="00BB0D6A"/>
    <w:rsid w:val="00BB13CE"/>
    <w:rsid w:val="00BB1D47"/>
    <w:rsid w:val="00BB219A"/>
    <w:rsid w:val="00BB274F"/>
    <w:rsid w:val="00BB276E"/>
    <w:rsid w:val="00BB2ACE"/>
    <w:rsid w:val="00BB32A7"/>
    <w:rsid w:val="00BB3873"/>
    <w:rsid w:val="00BB3E72"/>
    <w:rsid w:val="00BB3F43"/>
    <w:rsid w:val="00BB4B94"/>
    <w:rsid w:val="00BB54C1"/>
    <w:rsid w:val="00BB63F3"/>
    <w:rsid w:val="00BB65E1"/>
    <w:rsid w:val="00BB6636"/>
    <w:rsid w:val="00BB6B65"/>
    <w:rsid w:val="00BB6EEF"/>
    <w:rsid w:val="00BB7496"/>
    <w:rsid w:val="00BB786B"/>
    <w:rsid w:val="00BB7F4A"/>
    <w:rsid w:val="00BB7FE7"/>
    <w:rsid w:val="00BC03FA"/>
    <w:rsid w:val="00BC078D"/>
    <w:rsid w:val="00BC0B2F"/>
    <w:rsid w:val="00BC0DDA"/>
    <w:rsid w:val="00BC1013"/>
    <w:rsid w:val="00BC14B6"/>
    <w:rsid w:val="00BC1C7A"/>
    <w:rsid w:val="00BC1E07"/>
    <w:rsid w:val="00BC201B"/>
    <w:rsid w:val="00BC227A"/>
    <w:rsid w:val="00BC2C00"/>
    <w:rsid w:val="00BC2C31"/>
    <w:rsid w:val="00BC2ECE"/>
    <w:rsid w:val="00BC3109"/>
    <w:rsid w:val="00BC31BF"/>
    <w:rsid w:val="00BC36FB"/>
    <w:rsid w:val="00BC3A67"/>
    <w:rsid w:val="00BC3C36"/>
    <w:rsid w:val="00BC3C7F"/>
    <w:rsid w:val="00BC3DC2"/>
    <w:rsid w:val="00BC3E07"/>
    <w:rsid w:val="00BC446E"/>
    <w:rsid w:val="00BC47C8"/>
    <w:rsid w:val="00BC4D21"/>
    <w:rsid w:val="00BC4DC0"/>
    <w:rsid w:val="00BC4F68"/>
    <w:rsid w:val="00BC5128"/>
    <w:rsid w:val="00BC5A67"/>
    <w:rsid w:val="00BC5B19"/>
    <w:rsid w:val="00BC620D"/>
    <w:rsid w:val="00BC69CD"/>
    <w:rsid w:val="00BC6CFD"/>
    <w:rsid w:val="00BC6D3B"/>
    <w:rsid w:val="00BC765E"/>
    <w:rsid w:val="00BC7DB3"/>
    <w:rsid w:val="00BC7EBD"/>
    <w:rsid w:val="00BD00BD"/>
    <w:rsid w:val="00BD0B4B"/>
    <w:rsid w:val="00BD0DBB"/>
    <w:rsid w:val="00BD0E27"/>
    <w:rsid w:val="00BD0E28"/>
    <w:rsid w:val="00BD0EF3"/>
    <w:rsid w:val="00BD13DA"/>
    <w:rsid w:val="00BD2567"/>
    <w:rsid w:val="00BD294A"/>
    <w:rsid w:val="00BD29D4"/>
    <w:rsid w:val="00BD2D36"/>
    <w:rsid w:val="00BD3069"/>
    <w:rsid w:val="00BD311D"/>
    <w:rsid w:val="00BD452B"/>
    <w:rsid w:val="00BD483B"/>
    <w:rsid w:val="00BD4A11"/>
    <w:rsid w:val="00BD6341"/>
    <w:rsid w:val="00BD669A"/>
    <w:rsid w:val="00BD69F6"/>
    <w:rsid w:val="00BD6B85"/>
    <w:rsid w:val="00BD6DC2"/>
    <w:rsid w:val="00BD6FBF"/>
    <w:rsid w:val="00BD71F1"/>
    <w:rsid w:val="00BD74A5"/>
    <w:rsid w:val="00BD779A"/>
    <w:rsid w:val="00BD78F3"/>
    <w:rsid w:val="00BD7F16"/>
    <w:rsid w:val="00BE039E"/>
    <w:rsid w:val="00BE03C5"/>
    <w:rsid w:val="00BE14DD"/>
    <w:rsid w:val="00BE171C"/>
    <w:rsid w:val="00BE18BC"/>
    <w:rsid w:val="00BE1A16"/>
    <w:rsid w:val="00BE1AB2"/>
    <w:rsid w:val="00BE209D"/>
    <w:rsid w:val="00BE2661"/>
    <w:rsid w:val="00BE28F6"/>
    <w:rsid w:val="00BE2D60"/>
    <w:rsid w:val="00BE3B58"/>
    <w:rsid w:val="00BE4744"/>
    <w:rsid w:val="00BE4779"/>
    <w:rsid w:val="00BE503F"/>
    <w:rsid w:val="00BE50D7"/>
    <w:rsid w:val="00BE5379"/>
    <w:rsid w:val="00BE56C1"/>
    <w:rsid w:val="00BE5702"/>
    <w:rsid w:val="00BE5A36"/>
    <w:rsid w:val="00BE5E00"/>
    <w:rsid w:val="00BE63D2"/>
    <w:rsid w:val="00BE6BBE"/>
    <w:rsid w:val="00BE6F27"/>
    <w:rsid w:val="00BE797F"/>
    <w:rsid w:val="00BE7B8B"/>
    <w:rsid w:val="00BF0AFD"/>
    <w:rsid w:val="00BF0B26"/>
    <w:rsid w:val="00BF0BEB"/>
    <w:rsid w:val="00BF0ECD"/>
    <w:rsid w:val="00BF124A"/>
    <w:rsid w:val="00BF1372"/>
    <w:rsid w:val="00BF1430"/>
    <w:rsid w:val="00BF16AF"/>
    <w:rsid w:val="00BF2C2F"/>
    <w:rsid w:val="00BF2CE0"/>
    <w:rsid w:val="00BF2D42"/>
    <w:rsid w:val="00BF3480"/>
    <w:rsid w:val="00BF36A4"/>
    <w:rsid w:val="00BF3BCE"/>
    <w:rsid w:val="00BF3FBD"/>
    <w:rsid w:val="00BF41E2"/>
    <w:rsid w:val="00BF4661"/>
    <w:rsid w:val="00BF4713"/>
    <w:rsid w:val="00BF530D"/>
    <w:rsid w:val="00BF5364"/>
    <w:rsid w:val="00BF53BA"/>
    <w:rsid w:val="00BF54B3"/>
    <w:rsid w:val="00BF5FC2"/>
    <w:rsid w:val="00BF645F"/>
    <w:rsid w:val="00BF67A1"/>
    <w:rsid w:val="00BF6E3C"/>
    <w:rsid w:val="00BF725A"/>
    <w:rsid w:val="00BF73F2"/>
    <w:rsid w:val="00BF750D"/>
    <w:rsid w:val="00BF7820"/>
    <w:rsid w:val="00BF7C3A"/>
    <w:rsid w:val="00BF7C68"/>
    <w:rsid w:val="00BF7F96"/>
    <w:rsid w:val="00C0039A"/>
    <w:rsid w:val="00C00C77"/>
    <w:rsid w:val="00C01132"/>
    <w:rsid w:val="00C0122F"/>
    <w:rsid w:val="00C012CA"/>
    <w:rsid w:val="00C01BAE"/>
    <w:rsid w:val="00C01F78"/>
    <w:rsid w:val="00C01FEB"/>
    <w:rsid w:val="00C022A9"/>
    <w:rsid w:val="00C0282A"/>
    <w:rsid w:val="00C02900"/>
    <w:rsid w:val="00C02917"/>
    <w:rsid w:val="00C02FBE"/>
    <w:rsid w:val="00C034D9"/>
    <w:rsid w:val="00C03848"/>
    <w:rsid w:val="00C03A7B"/>
    <w:rsid w:val="00C03CA1"/>
    <w:rsid w:val="00C03E4D"/>
    <w:rsid w:val="00C041E5"/>
    <w:rsid w:val="00C04EF6"/>
    <w:rsid w:val="00C04FB6"/>
    <w:rsid w:val="00C050A6"/>
    <w:rsid w:val="00C051A8"/>
    <w:rsid w:val="00C0525D"/>
    <w:rsid w:val="00C0532B"/>
    <w:rsid w:val="00C0599D"/>
    <w:rsid w:val="00C05DA2"/>
    <w:rsid w:val="00C06260"/>
    <w:rsid w:val="00C06742"/>
    <w:rsid w:val="00C06912"/>
    <w:rsid w:val="00C06B89"/>
    <w:rsid w:val="00C06BAF"/>
    <w:rsid w:val="00C0706C"/>
    <w:rsid w:val="00C07222"/>
    <w:rsid w:val="00C07646"/>
    <w:rsid w:val="00C07998"/>
    <w:rsid w:val="00C07BE4"/>
    <w:rsid w:val="00C10532"/>
    <w:rsid w:val="00C10861"/>
    <w:rsid w:val="00C109ED"/>
    <w:rsid w:val="00C10AF7"/>
    <w:rsid w:val="00C1154A"/>
    <w:rsid w:val="00C11655"/>
    <w:rsid w:val="00C117F4"/>
    <w:rsid w:val="00C11D71"/>
    <w:rsid w:val="00C11F64"/>
    <w:rsid w:val="00C11F8F"/>
    <w:rsid w:val="00C122C6"/>
    <w:rsid w:val="00C12A65"/>
    <w:rsid w:val="00C12B12"/>
    <w:rsid w:val="00C1390B"/>
    <w:rsid w:val="00C13B81"/>
    <w:rsid w:val="00C14322"/>
    <w:rsid w:val="00C14864"/>
    <w:rsid w:val="00C149C4"/>
    <w:rsid w:val="00C14BC1"/>
    <w:rsid w:val="00C14D5D"/>
    <w:rsid w:val="00C14E42"/>
    <w:rsid w:val="00C159F5"/>
    <w:rsid w:val="00C15A5C"/>
    <w:rsid w:val="00C15E6A"/>
    <w:rsid w:val="00C15FB4"/>
    <w:rsid w:val="00C16792"/>
    <w:rsid w:val="00C16855"/>
    <w:rsid w:val="00C168A8"/>
    <w:rsid w:val="00C168BB"/>
    <w:rsid w:val="00C16DFF"/>
    <w:rsid w:val="00C173B1"/>
    <w:rsid w:val="00C17B0E"/>
    <w:rsid w:val="00C17CA3"/>
    <w:rsid w:val="00C17E29"/>
    <w:rsid w:val="00C2061E"/>
    <w:rsid w:val="00C208DF"/>
    <w:rsid w:val="00C209C3"/>
    <w:rsid w:val="00C20BC2"/>
    <w:rsid w:val="00C20ECF"/>
    <w:rsid w:val="00C21563"/>
    <w:rsid w:val="00C2198A"/>
    <w:rsid w:val="00C21DF7"/>
    <w:rsid w:val="00C21F64"/>
    <w:rsid w:val="00C22546"/>
    <w:rsid w:val="00C225ED"/>
    <w:rsid w:val="00C2268B"/>
    <w:rsid w:val="00C22A5B"/>
    <w:rsid w:val="00C22AEA"/>
    <w:rsid w:val="00C23AB2"/>
    <w:rsid w:val="00C23D3A"/>
    <w:rsid w:val="00C23E93"/>
    <w:rsid w:val="00C244D4"/>
    <w:rsid w:val="00C245A8"/>
    <w:rsid w:val="00C24696"/>
    <w:rsid w:val="00C24B15"/>
    <w:rsid w:val="00C24E19"/>
    <w:rsid w:val="00C25240"/>
    <w:rsid w:val="00C253D3"/>
    <w:rsid w:val="00C25590"/>
    <w:rsid w:val="00C266D4"/>
    <w:rsid w:val="00C26973"/>
    <w:rsid w:val="00C26EF9"/>
    <w:rsid w:val="00C276DB"/>
    <w:rsid w:val="00C277A2"/>
    <w:rsid w:val="00C27938"/>
    <w:rsid w:val="00C27C9B"/>
    <w:rsid w:val="00C300AD"/>
    <w:rsid w:val="00C30152"/>
    <w:rsid w:val="00C305BB"/>
    <w:rsid w:val="00C30951"/>
    <w:rsid w:val="00C30C42"/>
    <w:rsid w:val="00C30F41"/>
    <w:rsid w:val="00C31012"/>
    <w:rsid w:val="00C312C8"/>
    <w:rsid w:val="00C314A5"/>
    <w:rsid w:val="00C315C1"/>
    <w:rsid w:val="00C31D19"/>
    <w:rsid w:val="00C32298"/>
    <w:rsid w:val="00C327C8"/>
    <w:rsid w:val="00C327EB"/>
    <w:rsid w:val="00C32AB1"/>
    <w:rsid w:val="00C3381B"/>
    <w:rsid w:val="00C3395D"/>
    <w:rsid w:val="00C33D73"/>
    <w:rsid w:val="00C33F3C"/>
    <w:rsid w:val="00C33F55"/>
    <w:rsid w:val="00C341B7"/>
    <w:rsid w:val="00C34372"/>
    <w:rsid w:val="00C349BA"/>
    <w:rsid w:val="00C34AB4"/>
    <w:rsid w:val="00C34E08"/>
    <w:rsid w:val="00C35D0C"/>
    <w:rsid w:val="00C36269"/>
    <w:rsid w:val="00C36504"/>
    <w:rsid w:val="00C3676C"/>
    <w:rsid w:val="00C368D8"/>
    <w:rsid w:val="00C36C59"/>
    <w:rsid w:val="00C36F05"/>
    <w:rsid w:val="00C371DE"/>
    <w:rsid w:val="00C37253"/>
    <w:rsid w:val="00C375F3"/>
    <w:rsid w:val="00C376D2"/>
    <w:rsid w:val="00C4050D"/>
    <w:rsid w:val="00C40C29"/>
    <w:rsid w:val="00C40DD2"/>
    <w:rsid w:val="00C41160"/>
    <w:rsid w:val="00C41691"/>
    <w:rsid w:val="00C41C7E"/>
    <w:rsid w:val="00C425B2"/>
    <w:rsid w:val="00C43169"/>
    <w:rsid w:val="00C437C8"/>
    <w:rsid w:val="00C4380F"/>
    <w:rsid w:val="00C43C84"/>
    <w:rsid w:val="00C44623"/>
    <w:rsid w:val="00C4490B"/>
    <w:rsid w:val="00C44C19"/>
    <w:rsid w:val="00C44C85"/>
    <w:rsid w:val="00C456E1"/>
    <w:rsid w:val="00C45799"/>
    <w:rsid w:val="00C45B31"/>
    <w:rsid w:val="00C46203"/>
    <w:rsid w:val="00C4621D"/>
    <w:rsid w:val="00C46502"/>
    <w:rsid w:val="00C46ACD"/>
    <w:rsid w:val="00C46FCB"/>
    <w:rsid w:val="00C47312"/>
    <w:rsid w:val="00C47A56"/>
    <w:rsid w:val="00C50169"/>
    <w:rsid w:val="00C507D8"/>
    <w:rsid w:val="00C50E5A"/>
    <w:rsid w:val="00C51523"/>
    <w:rsid w:val="00C51C10"/>
    <w:rsid w:val="00C51C1C"/>
    <w:rsid w:val="00C5246A"/>
    <w:rsid w:val="00C525C1"/>
    <w:rsid w:val="00C529C1"/>
    <w:rsid w:val="00C52BCD"/>
    <w:rsid w:val="00C52BF1"/>
    <w:rsid w:val="00C52C51"/>
    <w:rsid w:val="00C52D7E"/>
    <w:rsid w:val="00C52E5D"/>
    <w:rsid w:val="00C53966"/>
    <w:rsid w:val="00C53A48"/>
    <w:rsid w:val="00C54593"/>
    <w:rsid w:val="00C54EB5"/>
    <w:rsid w:val="00C5537F"/>
    <w:rsid w:val="00C55B2A"/>
    <w:rsid w:val="00C55C97"/>
    <w:rsid w:val="00C55E39"/>
    <w:rsid w:val="00C567EE"/>
    <w:rsid w:val="00C57052"/>
    <w:rsid w:val="00C573CF"/>
    <w:rsid w:val="00C5758C"/>
    <w:rsid w:val="00C576DE"/>
    <w:rsid w:val="00C577A0"/>
    <w:rsid w:val="00C57D2E"/>
    <w:rsid w:val="00C57DDA"/>
    <w:rsid w:val="00C603E1"/>
    <w:rsid w:val="00C61803"/>
    <w:rsid w:val="00C6187A"/>
    <w:rsid w:val="00C61FA8"/>
    <w:rsid w:val="00C6220F"/>
    <w:rsid w:val="00C624E3"/>
    <w:rsid w:val="00C625F2"/>
    <w:rsid w:val="00C63425"/>
    <w:rsid w:val="00C636CC"/>
    <w:rsid w:val="00C636F1"/>
    <w:rsid w:val="00C63758"/>
    <w:rsid w:val="00C638D2"/>
    <w:rsid w:val="00C63F18"/>
    <w:rsid w:val="00C64184"/>
    <w:rsid w:val="00C64985"/>
    <w:rsid w:val="00C65580"/>
    <w:rsid w:val="00C6594A"/>
    <w:rsid w:val="00C65B01"/>
    <w:rsid w:val="00C65C76"/>
    <w:rsid w:val="00C662B3"/>
    <w:rsid w:val="00C66470"/>
    <w:rsid w:val="00C66483"/>
    <w:rsid w:val="00C6674C"/>
    <w:rsid w:val="00C66DAD"/>
    <w:rsid w:val="00C67AD2"/>
    <w:rsid w:val="00C703D9"/>
    <w:rsid w:val="00C705C7"/>
    <w:rsid w:val="00C705CC"/>
    <w:rsid w:val="00C7074E"/>
    <w:rsid w:val="00C70771"/>
    <w:rsid w:val="00C7078A"/>
    <w:rsid w:val="00C708E8"/>
    <w:rsid w:val="00C70DF4"/>
    <w:rsid w:val="00C70EE6"/>
    <w:rsid w:val="00C71296"/>
    <w:rsid w:val="00C71390"/>
    <w:rsid w:val="00C715CC"/>
    <w:rsid w:val="00C71860"/>
    <w:rsid w:val="00C72044"/>
    <w:rsid w:val="00C72A99"/>
    <w:rsid w:val="00C72BB4"/>
    <w:rsid w:val="00C72C62"/>
    <w:rsid w:val="00C72CB2"/>
    <w:rsid w:val="00C73063"/>
    <w:rsid w:val="00C730C0"/>
    <w:rsid w:val="00C731C3"/>
    <w:rsid w:val="00C7333D"/>
    <w:rsid w:val="00C736A0"/>
    <w:rsid w:val="00C73EBD"/>
    <w:rsid w:val="00C7421E"/>
    <w:rsid w:val="00C7432F"/>
    <w:rsid w:val="00C74A49"/>
    <w:rsid w:val="00C74C01"/>
    <w:rsid w:val="00C750C7"/>
    <w:rsid w:val="00C753F6"/>
    <w:rsid w:val="00C759A6"/>
    <w:rsid w:val="00C75D50"/>
    <w:rsid w:val="00C75F55"/>
    <w:rsid w:val="00C76222"/>
    <w:rsid w:val="00C76286"/>
    <w:rsid w:val="00C76B85"/>
    <w:rsid w:val="00C76D36"/>
    <w:rsid w:val="00C7715D"/>
    <w:rsid w:val="00C77690"/>
    <w:rsid w:val="00C777E1"/>
    <w:rsid w:val="00C77AB7"/>
    <w:rsid w:val="00C77D2D"/>
    <w:rsid w:val="00C77D57"/>
    <w:rsid w:val="00C77E5A"/>
    <w:rsid w:val="00C7EB97"/>
    <w:rsid w:val="00C80071"/>
    <w:rsid w:val="00C80160"/>
    <w:rsid w:val="00C80383"/>
    <w:rsid w:val="00C80603"/>
    <w:rsid w:val="00C80BCF"/>
    <w:rsid w:val="00C81817"/>
    <w:rsid w:val="00C81A3A"/>
    <w:rsid w:val="00C8234E"/>
    <w:rsid w:val="00C824BF"/>
    <w:rsid w:val="00C82805"/>
    <w:rsid w:val="00C82890"/>
    <w:rsid w:val="00C82BBB"/>
    <w:rsid w:val="00C82FB7"/>
    <w:rsid w:val="00C831B6"/>
    <w:rsid w:val="00C83477"/>
    <w:rsid w:val="00C836FD"/>
    <w:rsid w:val="00C83912"/>
    <w:rsid w:val="00C84317"/>
    <w:rsid w:val="00C84597"/>
    <w:rsid w:val="00C84609"/>
    <w:rsid w:val="00C846E8"/>
    <w:rsid w:val="00C84CDF"/>
    <w:rsid w:val="00C84F16"/>
    <w:rsid w:val="00C85CF7"/>
    <w:rsid w:val="00C86048"/>
    <w:rsid w:val="00C86486"/>
    <w:rsid w:val="00C868F3"/>
    <w:rsid w:val="00C868FF"/>
    <w:rsid w:val="00C86FA8"/>
    <w:rsid w:val="00C8729A"/>
    <w:rsid w:val="00C90190"/>
    <w:rsid w:val="00C9022C"/>
    <w:rsid w:val="00C904DB"/>
    <w:rsid w:val="00C905CA"/>
    <w:rsid w:val="00C907E5"/>
    <w:rsid w:val="00C90C6F"/>
    <w:rsid w:val="00C90DB3"/>
    <w:rsid w:val="00C90E83"/>
    <w:rsid w:val="00C90EA4"/>
    <w:rsid w:val="00C9111C"/>
    <w:rsid w:val="00C9155B"/>
    <w:rsid w:val="00C915A3"/>
    <w:rsid w:val="00C926F1"/>
    <w:rsid w:val="00C92C5D"/>
    <w:rsid w:val="00C93A8E"/>
    <w:rsid w:val="00C93BAC"/>
    <w:rsid w:val="00C94002"/>
    <w:rsid w:val="00C940B6"/>
    <w:rsid w:val="00C947AB"/>
    <w:rsid w:val="00C94A27"/>
    <w:rsid w:val="00C94C8F"/>
    <w:rsid w:val="00C95770"/>
    <w:rsid w:val="00C95C9B"/>
    <w:rsid w:val="00C95E79"/>
    <w:rsid w:val="00C965E8"/>
    <w:rsid w:val="00C96D9B"/>
    <w:rsid w:val="00C977A7"/>
    <w:rsid w:val="00C9795D"/>
    <w:rsid w:val="00C97DB7"/>
    <w:rsid w:val="00CA0161"/>
    <w:rsid w:val="00CA01C2"/>
    <w:rsid w:val="00CA0918"/>
    <w:rsid w:val="00CA0E7F"/>
    <w:rsid w:val="00CA1705"/>
    <w:rsid w:val="00CA177F"/>
    <w:rsid w:val="00CA1853"/>
    <w:rsid w:val="00CA1A81"/>
    <w:rsid w:val="00CA1F4B"/>
    <w:rsid w:val="00CA2734"/>
    <w:rsid w:val="00CA2981"/>
    <w:rsid w:val="00CA2E8D"/>
    <w:rsid w:val="00CA3253"/>
    <w:rsid w:val="00CA33C3"/>
    <w:rsid w:val="00CA35C5"/>
    <w:rsid w:val="00CA3D9C"/>
    <w:rsid w:val="00CA4378"/>
    <w:rsid w:val="00CA45AC"/>
    <w:rsid w:val="00CA46E3"/>
    <w:rsid w:val="00CA4D77"/>
    <w:rsid w:val="00CA5151"/>
    <w:rsid w:val="00CA5838"/>
    <w:rsid w:val="00CA5B02"/>
    <w:rsid w:val="00CA5DB5"/>
    <w:rsid w:val="00CA6702"/>
    <w:rsid w:val="00CA6D41"/>
    <w:rsid w:val="00CA7258"/>
    <w:rsid w:val="00CA73D0"/>
    <w:rsid w:val="00CA7498"/>
    <w:rsid w:val="00CA7A94"/>
    <w:rsid w:val="00CA7CE2"/>
    <w:rsid w:val="00CA7D70"/>
    <w:rsid w:val="00CAF53B"/>
    <w:rsid w:val="00CB07CA"/>
    <w:rsid w:val="00CB0A5A"/>
    <w:rsid w:val="00CB0AF6"/>
    <w:rsid w:val="00CB1463"/>
    <w:rsid w:val="00CB179C"/>
    <w:rsid w:val="00CB1A7B"/>
    <w:rsid w:val="00CB1B4E"/>
    <w:rsid w:val="00CB2149"/>
    <w:rsid w:val="00CB29F9"/>
    <w:rsid w:val="00CB2F89"/>
    <w:rsid w:val="00CB312B"/>
    <w:rsid w:val="00CB3179"/>
    <w:rsid w:val="00CB3330"/>
    <w:rsid w:val="00CB3CD3"/>
    <w:rsid w:val="00CB3DC2"/>
    <w:rsid w:val="00CB41DA"/>
    <w:rsid w:val="00CB4AF7"/>
    <w:rsid w:val="00CB4D5B"/>
    <w:rsid w:val="00CB5845"/>
    <w:rsid w:val="00CB6A44"/>
    <w:rsid w:val="00CB6B97"/>
    <w:rsid w:val="00CB74CA"/>
    <w:rsid w:val="00CB77E0"/>
    <w:rsid w:val="00CB7B34"/>
    <w:rsid w:val="00CB7E70"/>
    <w:rsid w:val="00CC0567"/>
    <w:rsid w:val="00CC0BEF"/>
    <w:rsid w:val="00CC1C9E"/>
    <w:rsid w:val="00CC1CF6"/>
    <w:rsid w:val="00CC1D71"/>
    <w:rsid w:val="00CC20E7"/>
    <w:rsid w:val="00CC2657"/>
    <w:rsid w:val="00CC274F"/>
    <w:rsid w:val="00CC2B20"/>
    <w:rsid w:val="00CC2B5A"/>
    <w:rsid w:val="00CC2F6D"/>
    <w:rsid w:val="00CC3EDE"/>
    <w:rsid w:val="00CC48E0"/>
    <w:rsid w:val="00CC4B65"/>
    <w:rsid w:val="00CC4EA2"/>
    <w:rsid w:val="00CC5182"/>
    <w:rsid w:val="00CC5626"/>
    <w:rsid w:val="00CC5DB7"/>
    <w:rsid w:val="00CC6769"/>
    <w:rsid w:val="00CC6F5A"/>
    <w:rsid w:val="00CC7061"/>
    <w:rsid w:val="00CC79B4"/>
    <w:rsid w:val="00CD02A5"/>
    <w:rsid w:val="00CD1588"/>
    <w:rsid w:val="00CD1BD8"/>
    <w:rsid w:val="00CD2522"/>
    <w:rsid w:val="00CD25AC"/>
    <w:rsid w:val="00CD274B"/>
    <w:rsid w:val="00CD3629"/>
    <w:rsid w:val="00CD37BD"/>
    <w:rsid w:val="00CD38D0"/>
    <w:rsid w:val="00CD3B32"/>
    <w:rsid w:val="00CD3BF1"/>
    <w:rsid w:val="00CD3D08"/>
    <w:rsid w:val="00CD3DDB"/>
    <w:rsid w:val="00CD4048"/>
    <w:rsid w:val="00CD4777"/>
    <w:rsid w:val="00CD4A71"/>
    <w:rsid w:val="00CD4A94"/>
    <w:rsid w:val="00CD4B8F"/>
    <w:rsid w:val="00CD4E64"/>
    <w:rsid w:val="00CD5063"/>
    <w:rsid w:val="00CD590C"/>
    <w:rsid w:val="00CD5C6F"/>
    <w:rsid w:val="00CD5CBB"/>
    <w:rsid w:val="00CD5F95"/>
    <w:rsid w:val="00CD601C"/>
    <w:rsid w:val="00CD6075"/>
    <w:rsid w:val="00CD66C6"/>
    <w:rsid w:val="00CD66D3"/>
    <w:rsid w:val="00CD6DD7"/>
    <w:rsid w:val="00CD76A3"/>
    <w:rsid w:val="00CD7D1F"/>
    <w:rsid w:val="00CD7D61"/>
    <w:rsid w:val="00CE01D6"/>
    <w:rsid w:val="00CE043F"/>
    <w:rsid w:val="00CE0454"/>
    <w:rsid w:val="00CE0CDA"/>
    <w:rsid w:val="00CE103B"/>
    <w:rsid w:val="00CE1BDE"/>
    <w:rsid w:val="00CE1EC7"/>
    <w:rsid w:val="00CE23C0"/>
    <w:rsid w:val="00CE23D4"/>
    <w:rsid w:val="00CE2560"/>
    <w:rsid w:val="00CE2861"/>
    <w:rsid w:val="00CE29B2"/>
    <w:rsid w:val="00CE385F"/>
    <w:rsid w:val="00CE3BB6"/>
    <w:rsid w:val="00CE43BD"/>
    <w:rsid w:val="00CE4E53"/>
    <w:rsid w:val="00CE5D19"/>
    <w:rsid w:val="00CE5F8D"/>
    <w:rsid w:val="00CE6C5C"/>
    <w:rsid w:val="00CE70E2"/>
    <w:rsid w:val="00CE71C5"/>
    <w:rsid w:val="00CE71FD"/>
    <w:rsid w:val="00CE740A"/>
    <w:rsid w:val="00CE7451"/>
    <w:rsid w:val="00CE7652"/>
    <w:rsid w:val="00CE7658"/>
    <w:rsid w:val="00CE79CE"/>
    <w:rsid w:val="00CE7B4E"/>
    <w:rsid w:val="00CE7C20"/>
    <w:rsid w:val="00CF081D"/>
    <w:rsid w:val="00CF0AAF"/>
    <w:rsid w:val="00CF1AE7"/>
    <w:rsid w:val="00CF1CCF"/>
    <w:rsid w:val="00CF1E01"/>
    <w:rsid w:val="00CF240E"/>
    <w:rsid w:val="00CF2D56"/>
    <w:rsid w:val="00CF2F8D"/>
    <w:rsid w:val="00CF3131"/>
    <w:rsid w:val="00CF3132"/>
    <w:rsid w:val="00CF3B81"/>
    <w:rsid w:val="00CF4947"/>
    <w:rsid w:val="00CF52A5"/>
    <w:rsid w:val="00CF5514"/>
    <w:rsid w:val="00CF5523"/>
    <w:rsid w:val="00CF579B"/>
    <w:rsid w:val="00CF581B"/>
    <w:rsid w:val="00CF5A9A"/>
    <w:rsid w:val="00CF5CD5"/>
    <w:rsid w:val="00CF60BA"/>
    <w:rsid w:val="00CF663C"/>
    <w:rsid w:val="00CF6D49"/>
    <w:rsid w:val="00CF6FBC"/>
    <w:rsid w:val="00CF72D8"/>
    <w:rsid w:val="00CF7302"/>
    <w:rsid w:val="00CF7656"/>
    <w:rsid w:val="00CF7BD2"/>
    <w:rsid w:val="00CF7DDE"/>
    <w:rsid w:val="00CF7FAC"/>
    <w:rsid w:val="00D0171F"/>
    <w:rsid w:val="00D01850"/>
    <w:rsid w:val="00D019D4"/>
    <w:rsid w:val="00D01BA8"/>
    <w:rsid w:val="00D0254F"/>
    <w:rsid w:val="00D02605"/>
    <w:rsid w:val="00D02738"/>
    <w:rsid w:val="00D028DA"/>
    <w:rsid w:val="00D02E00"/>
    <w:rsid w:val="00D02F98"/>
    <w:rsid w:val="00D03A1A"/>
    <w:rsid w:val="00D040DB"/>
    <w:rsid w:val="00D0441A"/>
    <w:rsid w:val="00D045BF"/>
    <w:rsid w:val="00D048B2"/>
    <w:rsid w:val="00D0490A"/>
    <w:rsid w:val="00D051F8"/>
    <w:rsid w:val="00D05254"/>
    <w:rsid w:val="00D05614"/>
    <w:rsid w:val="00D05A0A"/>
    <w:rsid w:val="00D05CF6"/>
    <w:rsid w:val="00D05F92"/>
    <w:rsid w:val="00D064AF"/>
    <w:rsid w:val="00D068FE"/>
    <w:rsid w:val="00D06983"/>
    <w:rsid w:val="00D06B5D"/>
    <w:rsid w:val="00D07836"/>
    <w:rsid w:val="00D07A7E"/>
    <w:rsid w:val="00D10682"/>
    <w:rsid w:val="00D10856"/>
    <w:rsid w:val="00D10E60"/>
    <w:rsid w:val="00D1181E"/>
    <w:rsid w:val="00D11F24"/>
    <w:rsid w:val="00D129AC"/>
    <w:rsid w:val="00D12D30"/>
    <w:rsid w:val="00D138F1"/>
    <w:rsid w:val="00D13F18"/>
    <w:rsid w:val="00D141F8"/>
    <w:rsid w:val="00D142EB"/>
    <w:rsid w:val="00D14900"/>
    <w:rsid w:val="00D14C37"/>
    <w:rsid w:val="00D15525"/>
    <w:rsid w:val="00D15B1E"/>
    <w:rsid w:val="00D15F45"/>
    <w:rsid w:val="00D15FFB"/>
    <w:rsid w:val="00D16712"/>
    <w:rsid w:val="00D16801"/>
    <w:rsid w:val="00D16A16"/>
    <w:rsid w:val="00D17785"/>
    <w:rsid w:val="00D1783F"/>
    <w:rsid w:val="00D17887"/>
    <w:rsid w:val="00D17D29"/>
    <w:rsid w:val="00D2007F"/>
    <w:rsid w:val="00D20C0D"/>
    <w:rsid w:val="00D20D29"/>
    <w:rsid w:val="00D20EFE"/>
    <w:rsid w:val="00D21002"/>
    <w:rsid w:val="00D212AD"/>
    <w:rsid w:val="00D2142F"/>
    <w:rsid w:val="00D216F9"/>
    <w:rsid w:val="00D22D8A"/>
    <w:rsid w:val="00D23040"/>
    <w:rsid w:val="00D23431"/>
    <w:rsid w:val="00D235D2"/>
    <w:rsid w:val="00D23A81"/>
    <w:rsid w:val="00D245F0"/>
    <w:rsid w:val="00D24C86"/>
    <w:rsid w:val="00D24D08"/>
    <w:rsid w:val="00D24D6E"/>
    <w:rsid w:val="00D24ED5"/>
    <w:rsid w:val="00D24EEF"/>
    <w:rsid w:val="00D253EA"/>
    <w:rsid w:val="00D25C69"/>
    <w:rsid w:val="00D25D94"/>
    <w:rsid w:val="00D25DB2"/>
    <w:rsid w:val="00D260AB"/>
    <w:rsid w:val="00D26470"/>
    <w:rsid w:val="00D26687"/>
    <w:rsid w:val="00D26754"/>
    <w:rsid w:val="00D268D0"/>
    <w:rsid w:val="00D27940"/>
    <w:rsid w:val="00D301E3"/>
    <w:rsid w:val="00D30680"/>
    <w:rsid w:val="00D3074A"/>
    <w:rsid w:val="00D307FD"/>
    <w:rsid w:val="00D309DF"/>
    <w:rsid w:val="00D31251"/>
    <w:rsid w:val="00D3127A"/>
    <w:rsid w:val="00D31388"/>
    <w:rsid w:val="00D31DF2"/>
    <w:rsid w:val="00D32169"/>
    <w:rsid w:val="00D32574"/>
    <w:rsid w:val="00D32A71"/>
    <w:rsid w:val="00D32AAD"/>
    <w:rsid w:val="00D32BBD"/>
    <w:rsid w:val="00D32FDA"/>
    <w:rsid w:val="00D33C77"/>
    <w:rsid w:val="00D33EFB"/>
    <w:rsid w:val="00D34071"/>
    <w:rsid w:val="00D34DB6"/>
    <w:rsid w:val="00D351BE"/>
    <w:rsid w:val="00D35517"/>
    <w:rsid w:val="00D35A1F"/>
    <w:rsid w:val="00D367F5"/>
    <w:rsid w:val="00D36AFD"/>
    <w:rsid w:val="00D36B2D"/>
    <w:rsid w:val="00D36F01"/>
    <w:rsid w:val="00D3727E"/>
    <w:rsid w:val="00D372A5"/>
    <w:rsid w:val="00D373CF"/>
    <w:rsid w:val="00D37622"/>
    <w:rsid w:val="00D377CC"/>
    <w:rsid w:val="00D37B3C"/>
    <w:rsid w:val="00D4005C"/>
    <w:rsid w:val="00D40440"/>
    <w:rsid w:val="00D4056E"/>
    <w:rsid w:val="00D40690"/>
    <w:rsid w:val="00D407E4"/>
    <w:rsid w:val="00D4139F"/>
    <w:rsid w:val="00D415F8"/>
    <w:rsid w:val="00D42727"/>
    <w:rsid w:val="00D42DEF"/>
    <w:rsid w:val="00D433E2"/>
    <w:rsid w:val="00D4396E"/>
    <w:rsid w:val="00D44EC7"/>
    <w:rsid w:val="00D44F0F"/>
    <w:rsid w:val="00D44FDD"/>
    <w:rsid w:val="00D458F3"/>
    <w:rsid w:val="00D46A94"/>
    <w:rsid w:val="00D46CDF"/>
    <w:rsid w:val="00D47064"/>
    <w:rsid w:val="00D472E2"/>
    <w:rsid w:val="00D47415"/>
    <w:rsid w:val="00D50653"/>
    <w:rsid w:val="00D509E6"/>
    <w:rsid w:val="00D51475"/>
    <w:rsid w:val="00D51ABF"/>
    <w:rsid w:val="00D51CDF"/>
    <w:rsid w:val="00D51F7E"/>
    <w:rsid w:val="00D51FD7"/>
    <w:rsid w:val="00D51FE3"/>
    <w:rsid w:val="00D52166"/>
    <w:rsid w:val="00D53048"/>
    <w:rsid w:val="00D543BC"/>
    <w:rsid w:val="00D547FD"/>
    <w:rsid w:val="00D5517B"/>
    <w:rsid w:val="00D55653"/>
    <w:rsid w:val="00D559A9"/>
    <w:rsid w:val="00D56044"/>
    <w:rsid w:val="00D56AB5"/>
    <w:rsid w:val="00D56ACF"/>
    <w:rsid w:val="00D56D25"/>
    <w:rsid w:val="00D574F9"/>
    <w:rsid w:val="00D57709"/>
    <w:rsid w:val="00D5772D"/>
    <w:rsid w:val="00D57936"/>
    <w:rsid w:val="00D57B83"/>
    <w:rsid w:val="00D57D71"/>
    <w:rsid w:val="00D6007F"/>
    <w:rsid w:val="00D603BF"/>
    <w:rsid w:val="00D605D3"/>
    <w:rsid w:val="00D60EE7"/>
    <w:rsid w:val="00D61BA0"/>
    <w:rsid w:val="00D61D95"/>
    <w:rsid w:val="00D621F8"/>
    <w:rsid w:val="00D6225E"/>
    <w:rsid w:val="00D62407"/>
    <w:rsid w:val="00D625E5"/>
    <w:rsid w:val="00D628B2"/>
    <w:rsid w:val="00D62B46"/>
    <w:rsid w:val="00D62CDF"/>
    <w:rsid w:val="00D62F9D"/>
    <w:rsid w:val="00D6302F"/>
    <w:rsid w:val="00D631DE"/>
    <w:rsid w:val="00D632B9"/>
    <w:rsid w:val="00D633C2"/>
    <w:rsid w:val="00D636A3"/>
    <w:rsid w:val="00D641D9"/>
    <w:rsid w:val="00D64653"/>
    <w:rsid w:val="00D64A4F"/>
    <w:rsid w:val="00D64E9A"/>
    <w:rsid w:val="00D65074"/>
    <w:rsid w:val="00D653A1"/>
    <w:rsid w:val="00D6557F"/>
    <w:rsid w:val="00D65630"/>
    <w:rsid w:val="00D65677"/>
    <w:rsid w:val="00D66305"/>
    <w:rsid w:val="00D67407"/>
    <w:rsid w:val="00D6790B"/>
    <w:rsid w:val="00D67C76"/>
    <w:rsid w:val="00D67E5C"/>
    <w:rsid w:val="00D67F3A"/>
    <w:rsid w:val="00D700F9"/>
    <w:rsid w:val="00D70AC9"/>
    <w:rsid w:val="00D71090"/>
    <w:rsid w:val="00D71C70"/>
    <w:rsid w:val="00D7209B"/>
    <w:rsid w:val="00D72110"/>
    <w:rsid w:val="00D72322"/>
    <w:rsid w:val="00D72509"/>
    <w:rsid w:val="00D725BD"/>
    <w:rsid w:val="00D725F3"/>
    <w:rsid w:val="00D72867"/>
    <w:rsid w:val="00D7297E"/>
    <w:rsid w:val="00D730DB"/>
    <w:rsid w:val="00D73437"/>
    <w:rsid w:val="00D735AF"/>
    <w:rsid w:val="00D73A1E"/>
    <w:rsid w:val="00D74632"/>
    <w:rsid w:val="00D74A47"/>
    <w:rsid w:val="00D74C6D"/>
    <w:rsid w:val="00D7544F"/>
    <w:rsid w:val="00D757B4"/>
    <w:rsid w:val="00D7610B"/>
    <w:rsid w:val="00D764DD"/>
    <w:rsid w:val="00D77062"/>
    <w:rsid w:val="00D772D6"/>
    <w:rsid w:val="00D77658"/>
    <w:rsid w:val="00D800F0"/>
    <w:rsid w:val="00D803F1"/>
    <w:rsid w:val="00D8051C"/>
    <w:rsid w:val="00D80EE0"/>
    <w:rsid w:val="00D82075"/>
    <w:rsid w:val="00D82A61"/>
    <w:rsid w:val="00D82B03"/>
    <w:rsid w:val="00D82B78"/>
    <w:rsid w:val="00D82EDB"/>
    <w:rsid w:val="00D8360E"/>
    <w:rsid w:val="00D83C78"/>
    <w:rsid w:val="00D83C99"/>
    <w:rsid w:val="00D843C7"/>
    <w:rsid w:val="00D84413"/>
    <w:rsid w:val="00D848E7"/>
    <w:rsid w:val="00D84AD4"/>
    <w:rsid w:val="00D84B0E"/>
    <w:rsid w:val="00D8501D"/>
    <w:rsid w:val="00D850F1"/>
    <w:rsid w:val="00D85786"/>
    <w:rsid w:val="00D857DF"/>
    <w:rsid w:val="00D85AB1"/>
    <w:rsid w:val="00D869F6"/>
    <w:rsid w:val="00D86A69"/>
    <w:rsid w:val="00D86C66"/>
    <w:rsid w:val="00D86D2A"/>
    <w:rsid w:val="00D875E4"/>
    <w:rsid w:val="00D87691"/>
    <w:rsid w:val="00D87A49"/>
    <w:rsid w:val="00D9024C"/>
    <w:rsid w:val="00D9028E"/>
    <w:rsid w:val="00D9045F"/>
    <w:rsid w:val="00D91615"/>
    <w:rsid w:val="00D91646"/>
    <w:rsid w:val="00D917CC"/>
    <w:rsid w:val="00D91DF7"/>
    <w:rsid w:val="00D922C5"/>
    <w:rsid w:val="00D92CE3"/>
    <w:rsid w:val="00D93127"/>
    <w:rsid w:val="00D93C17"/>
    <w:rsid w:val="00D94CC7"/>
    <w:rsid w:val="00D94FCF"/>
    <w:rsid w:val="00D954F5"/>
    <w:rsid w:val="00D958A9"/>
    <w:rsid w:val="00D959B4"/>
    <w:rsid w:val="00D96444"/>
    <w:rsid w:val="00D964F2"/>
    <w:rsid w:val="00D96C9B"/>
    <w:rsid w:val="00D96D59"/>
    <w:rsid w:val="00D97200"/>
    <w:rsid w:val="00D973F4"/>
    <w:rsid w:val="00D97DD4"/>
    <w:rsid w:val="00DA0499"/>
    <w:rsid w:val="00DA0788"/>
    <w:rsid w:val="00DA09A2"/>
    <w:rsid w:val="00DA0DED"/>
    <w:rsid w:val="00DA1029"/>
    <w:rsid w:val="00DA10F7"/>
    <w:rsid w:val="00DA178F"/>
    <w:rsid w:val="00DA17ED"/>
    <w:rsid w:val="00DA186A"/>
    <w:rsid w:val="00DA1E9B"/>
    <w:rsid w:val="00DA261B"/>
    <w:rsid w:val="00DA295D"/>
    <w:rsid w:val="00DA2BE1"/>
    <w:rsid w:val="00DA2C15"/>
    <w:rsid w:val="00DA2FD2"/>
    <w:rsid w:val="00DA321C"/>
    <w:rsid w:val="00DA3230"/>
    <w:rsid w:val="00DA353F"/>
    <w:rsid w:val="00DA365E"/>
    <w:rsid w:val="00DA3754"/>
    <w:rsid w:val="00DA3B0E"/>
    <w:rsid w:val="00DA45D3"/>
    <w:rsid w:val="00DA46EF"/>
    <w:rsid w:val="00DA4B04"/>
    <w:rsid w:val="00DA4B51"/>
    <w:rsid w:val="00DA501E"/>
    <w:rsid w:val="00DA529A"/>
    <w:rsid w:val="00DA5ACB"/>
    <w:rsid w:val="00DA5DF0"/>
    <w:rsid w:val="00DA62B5"/>
    <w:rsid w:val="00DA6AE1"/>
    <w:rsid w:val="00DA7197"/>
    <w:rsid w:val="00DA79E9"/>
    <w:rsid w:val="00DA7A2C"/>
    <w:rsid w:val="00DA7D2D"/>
    <w:rsid w:val="00DA7E08"/>
    <w:rsid w:val="00DB0049"/>
    <w:rsid w:val="00DB01C3"/>
    <w:rsid w:val="00DB04D5"/>
    <w:rsid w:val="00DB05C8"/>
    <w:rsid w:val="00DB0ABA"/>
    <w:rsid w:val="00DB0D67"/>
    <w:rsid w:val="00DB12D7"/>
    <w:rsid w:val="00DB1769"/>
    <w:rsid w:val="00DB1AD6"/>
    <w:rsid w:val="00DB1DB4"/>
    <w:rsid w:val="00DB21FC"/>
    <w:rsid w:val="00DB226B"/>
    <w:rsid w:val="00DB245E"/>
    <w:rsid w:val="00DB2740"/>
    <w:rsid w:val="00DB284E"/>
    <w:rsid w:val="00DB2AD7"/>
    <w:rsid w:val="00DB2ECB"/>
    <w:rsid w:val="00DB37E7"/>
    <w:rsid w:val="00DB3B76"/>
    <w:rsid w:val="00DB3D03"/>
    <w:rsid w:val="00DB3E54"/>
    <w:rsid w:val="00DB4015"/>
    <w:rsid w:val="00DB4134"/>
    <w:rsid w:val="00DB4971"/>
    <w:rsid w:val="00DB4983"/>
    <w:rsid w:val="00DB4B8F"/>
    <w:rsid w:val="00DB4BD5"/>
    <w:rsid w:val="00DB4CCD"/>
    <w:rsid w:val="00DB4E68"/>
    <w:rsid w:val="00DB4FD8"/>
    <w:rsid w:val="00DB4FDC"/>
    <w:rsid w:val="00DB577E"/>
    <w:rsid w:val="00DB58BE"/>
    <w:rsid w:val="00DB631B"/>
    <w:rsid w:val="00DB677A"/>
    <w:rsid w:val="00DB7108"/>
    <w:rsid w:val="00DB7355"/>
    <w:rsid w:val="00DB7406"/>
    <w:rsid w:val="00DB7912"/>
    <w:rsid w:val="00DC00E2"/>
    <w:rsid w:val="00DC0B99"/>
    <w:rsid w:val="00DC0F10"/>
    <w:rsid w:val="00DC1078"/>
    <w:rsid w:val="00DC16C1"/>
    <w:rsid w:val="00DC1806"/>
    <w:rsid w:val="00DC1A67"/>
    <w:rsid w:val="00DC1C3D"/>
    <w:rsid w:val="00DC1E39"/>
    <w:rsid w:val="00DC1E44"/>
    <w:rsid w:val="00DC22B0"/>
    <w:rsid w:val="00DC2429"/>
    <w:rsid w:val="00DC2953"/>
    <w:rsid w:val="00DC2CD1"/>
    <w:rsid w:val="00DC3718"/>
    <w:rsid w:val="00DC4067"/>
    <w:rsid w:val="00DC4373"/>
    <w:rsid w:val="00DC4A15"/>
    <w:rsid w:val="00DC4E4F"/>
    <w:rsid w:val="00DC56CF"/>
    <w:rsid w:val="00DC5D53"/>
    <w:rsid w:val="00DC60AC"/>
    <w:rsid w:val="00DC6130"/>
    <w:rsid w:val="00DC63DD"/>
    <w:rsid w:val="00DC695E"/>
    <w:rsid w:val="00DC789D"/>
    <w:rsid w:val="00DD0240"/>
    <w:rsid w:val="00DD0501"/>
    <w:rsid w:val="00DD060F"/>
    <w:rsid w:val="00DD0856"/>
    <w:rsid w:val="00DD0B61"/>
    <w:rsid w:val="00DD0FA6"/>
    <w:rsid w:val="00DD15BC"/>
    <w:rsid w:val="00DD162C"/>
    <w:rsid w:val="00DD16F0"/>
    <w:rsid w:val="00DD18D6"/>
    <w:rsid w:val="00DD200C"/>
    <w:rsid w:val="00DD202F"/>
    <w:rsid w:val="00DD21D4"/>
    <w:rsid w:val="00DD333B"/>
    <w:rsid w:val="00DD3BC7"/>
    <w:rsid w:val="00DD3BD8"/>
    <w:rsid w:val="00DD3D4B"/>
    <w:rsid w:val="00DD3F85"/>
    <w:rsid w:val="00DD455E"/>
    <w:rsid w:val="00DD4F27"/>
    <w:rsid w:val="00DD5677"/>
    <w:rsid w:val="00DD59FE"/>
    <w:rsid w:val="00DD5BAE"/>
    <w:rsid w:val="00DD6745"/>
    <w:rsid w:val="00DD6A9B"/>
    <w:rsid w:val="00DD6B5E"/>
    <w:rsid w:val="00DD6F08"/>
    <w:rsid w:val="00DD6F0F"/>
    <w:rsid w:val="00DD707C"/>
    <w:rsid w:val="00DD777C"/>
    <w:rsid w:val="00DD7E20"/>
    <w:rsid w:val="00DE04B6"/>
    <w:rsid w:val="00DE0C2E"/>
    <w:rsid w:val="00DE1568"/>
    <w:rsid w:val="00DE1CBC"/>
    <w:rsid w:val="00DE1DD8"/>
    <w:rsid w:val="00DE2477"/>
    <w:rsid w:val="00DE290C"/>
    <w:rsid w:val="00DE29C1"/>
    <w:rsid w:val="00DE359D"/>
    <w:rsid w:val="00DE379D"/>
    <w:rsid w:val="00DE3A97"/>
    <w:rsid w:val="00DE3D07"/>
    <w:rsid w:val="00DE4100"/>
    <w:rsid w:val="00DE45B2"/>
    <w:rsid w:val="00DE4642"/>
    <w:rsid w:val="00DE4D13"/>
    <w:rsid w:val="00DE5195"/>
    <w:rsid w:val="00DE51D3"/>
    <w:rsid w:val="00DE52AD"/>
    <w:rsid w:val="00DE5690"/>
    <w:rsid w:val="00DE58AF"/>
    <w:rsid w:val="00DE58E6"/>
    <w:rsid w:val="00DE5BBB"/>
    <w:rsid w:val="00DE5D8C"/>
    <w:rsid w:val="00DE6150"/>
    <w:rsid w:val="00DE650E"/>
    <w:rsid w:val="00DE6A7D"/>
    <w:rsid w:val="00DE6F2D"/>
    <w:rsid w:val="00DE6F4B"/>
    <w:rsid w:val="00DE7252"/>
    <w:rsid w:val="00DE731D"/>
    <w:rsid w:val="00DE744E"/>
    <w:rsid w:val="00DE746C"/>
    <w:rsid w:val="00DF0018"/>
    <w:rsid w:val="00DF0073"/>
    <w:rsid w:val="00DF0180"/>
    <w:rsid w:val="00DF093B"/>
    <w:rsid w:val="00DF14A5"/>
    <w:rsid w:val="00DF1A0E"/>
    <w:rsid w:val="00DF1E20"/>
    <w:rsid w:val="00DF1FB3"/>
    <w:rsid w:val="00DF352D"/>
    <w:rsid w:val="00DF3665"/>
    <w:rsid w:val="00DF4120"/>
    <w:rsid w:val="00DF42BF"/>
    <w:rsid w:val="00DF42F7"/>
    <w:rsid w:val="00DF447A"/>
    <w:rsid w:val="00DF4511"/>
    <w:rsid w:val="00DF45DD"/>
    <w:rsid w:val="00DF5914"/>
    <w:rsid w:val="00DF637E"/>
    <w:rsid w:val="00DF65ED"/>
    <w:rsid w:val="00DF67C2"/>
    <w:rsid w:val="00DF69B0"/>
    <w:rsid w:val="00DF6AB1"/>
    <w:rsid w:val="00DF6E9F"/>
    <w:rsid w:val="00DF6F44"/>
    <w:rsid w:val="00DF7B5F"/>
    <w:rsid w:val="00DF7CE9"/>
    <w:rsid w:val="00DF7D57"/>
    <w:rsid w:val="00E00103"/>
    <w:rsid w:val="00E001A5"/>
    <w:rsid w:val="00E001FB"/>
    <w:rsid w:val="00E006F2"/>
    <w:rsid w:val="00E009DC"/>
    <w:rsid w:val="00E009FD"/>
    <w:rsid w:val="00E010BD"/>
    <w:rsid w:val="00E010F1"/>
    <w:rsid w:val="00E01F02"/>
    <w:rsid w:val="00E02513"/>
    <w:rsid w:val="00E0267B"/>
    <w:rsid w:val="00E02AD4"/>
    <w:rsid w:val="00E0300E"/>
    <w:rsid w:val="00E03738"/>
    <w:rsid w:val="00E038AA"/>
    <w:rsid w:val="00E0396C"/>
    <w:rsid w:val="00E03BF3"/>
    <w:rsid w:val="00E040CB"/>
    <w:rsid w:val="00E049BE"/>
    <w:rsid w:val="00E05264"/>
    <w:rsid w:val="00E0552F"/>
    <w:rsid w:val="00E06776"/>
    <w:rsid w:val="00E06F8C"/>
    <w:rsid w:val="00E075EF"/>
    <w:rsid w:val="00E0766F"/>
    <w:rsid w:val="00E077BC"/>
    <w:rsid w:val="00E07D09"/>
    <w:rsid w:val="00E10182"/>
    <w:rsid w:val="00E105BC"/>
    <w:rsid w:val="00E105FC"/>
    <w:rsid w:val="00E1088E"/>
    <w:rsid w:val="00E10A39"/>
    <w:rsid w:val="00E10FF1"/>
    <w:rsid w:val="00E120E1"/>
    <w:rsid w:val="00E1242F"/>
    <w:rsid w:val="00E12629"/>
    <w:rsid w:val="00E126C3"/>
    <w:rsid w:val="00E12A8E"/>
    <w:rsid w:val="00E12E45"/>
    <w:rsid w:val="00E12FE5"/>
    <w:rsid w:val="00E131E5"/>
    <w:rsid w:val="00E134A8"/>
    <w:rsid w:val="00E1357F"/>
    <w:rsid w:val="00E145B3"/>
    <w:rsid w:val="00E146F2"/>
    <w:rsid w:val="00E14AD4"/>
    <w:rsid w:val="00E14C5E"/>
    <w:rsid w:val="00E14E1B"/>
    <w:rsid w:val="00E1546C"/>
    <w:rsid w:val="00E154F6"/>
    <w:rsid w:val="00E155D6"/>
    <w:rsid w:val="00E158C1"/>
    <w:rsid w:val="00E15ED0"/>
    <w:rsid w:val="00E1674F"/>
    <w:rsid w:val="00E16C55"/>
    <w:rsid w:val="00E16C79"/>
    <w:rsid w:val="00E16FB9"/>
    <w:rsid w:val="00E16FC5"/>
    <w:rsid w:val="00E170E0"/>
    <w:rsid w:val="00E1741D"/>
    <w:rsid w:val="00E176EA"/>
    <w:rsid w:val="00E178CE"/>
    <w:rsid w:val="00E17B9C"/>
    <w:rsid w:val="00E17D5E"/>
    <w:rsid w:val="00E20144"/>
    <w:rsid w:val="00E206B8"/>
    <w:rsid w:val="00E20CD5"/>
    <w:rsid w:val="00E2100F"/>
    <w:rsid w:val="00E2119B"/>
    <w:rsid w:val="00E212CE"/>
    <w:rsid w:val="00E21737"/>
    <w:rsid w:val="00E21A77"/>
    <w:rsid w:val="00E21AA7"/>
    <w:rsid w:val="00E21B5D"/>
    <w:rsid w:val="00E21F05"/>
    <w:rsid w:val="00E2212E"/>
    <w:rsid w:val="00E226E1"/>
    <w:rsid w:val="00E228D0"/>
    <w:rsid w:val="00E22F94"/>
    <w:rsid w:val="00E2345A"/>
    <w:rsid w:val="00E23D9A"/>
    <w:rsid w:val="00E24013"/>
    <w:rsid w:val="00E240E3"/>
    <w:rsid w:val="00E2457D"/>
    <w:rsid w:val="00E25619"/>
    <w:rsid w:val="00E25F63"/>
    <w:rsid w:val="00E26526"/>
    <w:rsid w:val="00E2691A"/>
    <w:rsid w:val="00E27AE1"/>
    <w:rsid w:val="00E27BF3"/>
    <w:rsid w:val="00E30693"/>
    <w:rsid w:val="00E30956"/>
    <w:rsid w:val="00E309A3"/>
    <w:rsid w:val="00E314B0"/>
    <w:rsid w:val="00E316F3"/>
    <w:rsid w:val="00E31CC3"/>
    <w:rsid w:val="00E31F0B"/>
    <w:rsid w:val="00E31FBD"/>
    <w:rsid w:val="00E32191"/>
    <w:rsid w:val="00E322C4"/>
    <w:rsid w:val="00E32A30"/>
    <w:rsid w:val="00E32D36"/>
    <w:rsid w:val="00E32E0E"/>
    <w:rsid w:val="00E333D2"/>
    <w:rsid w:val="00E34116"/>
    <w:rsid w:val="00E3414E"/>
    <w:rsid w:val="00E34A08"/>
    <w:rsid w:val="00E35031"/>
    <w:rsid w:val="00E3521B"/>
    <w:rsid w:val="00E355ED"/>
    <w:rsid w:val="00E35635"/>
    <w:rsid w:val="00E35B79"/>
    <w:rsid w:val="00E366A1"/>
    <w:rsid w:val="00E367CB"/>
    <w:rsid w:val="00E368D2"/>
    <w:rsid w:val="00E36A60"/>
    <w:rsid w:val="00E36C5C"/>
    <w:rsid w:val="00E36D61"/>
    <w:rsid w:val="00E36D89"/>
    <w:rsid w:val="00E37D1D"/>
    <w:rsid w:val="00E40A8F"/>
    <w:rsid w:val="00E4121E"/>
    <w:rsid w:val="00E413EE"/>
    <w:rsid w:val="00E4176F"/>
    <w:rsid w:val="00E41E3B"/>
    <w:rsid w:val="00E41E3E"/>
    <w:rsid w:val="00E424BB"/>
    <w:rsid w:val="00E4258F"/>
    <w:rsid w:val="00E426A6"/>
    <w:rsid w:val="00E426B3"/>
    <w:rsid w:val="00E427DE"/>
    <w:rsid w:val="00E428EB"/>
    <w:rsid w:val="00E42B92"/>
    <w:rsid w:val="00E42F3C"/>
    <w:rsid w:val="00E432A2"/>
    <w:rsid w:val="00E43841"/>
    <w:rsid w:val="00E43887"/>
    <w:rsid w:val="00E441FA"/>
    <w:rsid w:val="00E4424B"/>
    <w:rsid w:val="00E44336"/>
    <w:rsid w:val="00E443EB"/>
    <w:rsid w:val="00E448A2"/>
    <w:rsid w:val="00E44A44"/>
    <w:rsid w:val="00E44E8C"/>
    <w:rsid w:val="00E44EA9"/>
    <w:rsid w:val="00E45428"/>
    <w:rsid w:val="00E45DB5"/>
    <w:rsid w:val="00E45DC4"/>
    <w:rsid w:val="00E460E0"/>
    <w:rsid w:val="00E4620B"/>
    <w:rsid w:val="00E46467"/>
    <w:rsid w:val="00E465B6"/>
    <w:rsid w:val="00E46E6F"/>
    <w:rsid w:val="00E46ECE"/>
    <w:rsid w:val="00E478C9"/>
    <w:rsid w:val="00E47B9C"/>
    <w:rsid w:val="00E47CE6"/>
    <w:rsid w:val="00E47DC9"/>
    <w:rsid w:val="00E50D70"/>
    <w:rsid w:val="00E50FF4"/>
    <w:rsid w:val="00E51165"/>
    <w:rsid w:val="00E5155C"/>
    <w:rsid w:val="00E51736"/>
    <w:rsid w:val="00E52A08"/>
    <w:rsid w:val="00E52FB6"/>
    <w:rsid w:val="00E532CC"/>
    <w:rsid w:val="00E535EE"/>
    <w:rsid w:val="00E53911"/>
    <w:rsid w:val="00E53EF6"/>
    <w:rsid w:val="00E54119"/>
    <w:rsid w:val="00E54212"/>
    <w:rsid w:val="00E54949"/>
    <w:rsid w:val="00E54A8F"/>
    <w:rsid w:val="00E54C3E"/>
    <w:rsid w:val="00E54D5A"/>
    <w:rsid w:val="00E5529F"/>
    <w:rsid w:val="00E558A1"/>
    <w:rsid w:val="00E558AC"/>
    <w:rsid w:val="00E55C6B"/>
    <w:rsid w:val="00E55FF5"/>
    <w:rsid w:val="00E5657C"/>
    <w:rsid w:val="00E56656"/>
    <w:rsid w:val="00E56A25"/>
    <w:rsid w:val="00E56F61"/>
    <w:rsid w:val="00E574A0"/>
    <w:rsid w:val="00E57737"/>
    <w:rsid w:val="00E579EE"/>
    <w:rsid w:val="00E57A0B"/>
    <w:rsid w:val="00E57C5F"/>
    <w:rsid w:val="00E57EF5"/>
    <w:rsid w:val="00E60D7A"/>
    <w:rsid w:val="00E61B8A"/>
    <w:rsid w:val="00E61FA4"/>
    <w:rsid w:val="00E6204F"/>
    <w:rsid w:val="00E623A4"/>
    <w:rsid w:val="00E62890"/>
    <w:rsid w:val="00E62AD9"/>
    <w:rsid w:val="00E62BA6"/>
    <w:rsid w:val="00E62D57"/>
    <w:rsid w:val="00E62D9F"/>
    <w:rsid w:val="00E6318E"/>
    <w:rsid w:val="00E6342B"/>
    <w:rsid w:val="00E64112"/>
    <w:rsid w:val="00E64188"/>
    <w:rsid w:val="00E64241"/>
    <w:rsid w:val="00E6510C"/>
    <w:rsid w:val="00E65236"/>
    <w:rsid w:val="00E65317"/>
    <w:rsid w:val="00E65703"/>
    <w:rsid w:val="00E6647A"/>
    <w:rsid w:val="00E664CF"/>
    <w:rsid w:val="00E673C7"/>
    <w:rsid w:val="00E6787D"/>
    <w:rsid w:val="00E67A0E"/>
    <w:rsid w:val="00E67BDD"/>
    <w:rsid w:val="00E67F34"/>
    <w:rsid w:val="00E67F56"/>
    <w:rsid w:val="00E700C9"/>
    <w:rsid w:val="00E7051D"/>
    <w:rsid w:val="00E70618"/>
    <w:rsid w:val="00E706CC"/>
    <w:rsid w:val="00E709A0"/>
    <w:rsid w:val="00E70B52"/>
    <w:rsid w:val="00E70F1F"/>
    <w:rsid w:val="00E7192C"/>
    <w:rsid w:val="00E71AD3"/>
    <w:rsid w:val="00E72540"/>
    <w:rsid w:val="00E725E1"/>
    <w:rsid w:val="00E72A32"/>
    <w:rsid w:val="00E72A56"/>
    <w:rsid w:val="00E73191"/>
    <w:rsid w:val="00E7329A"/>
    <w:rsid w:val="00E748E0"/>
    <w:rsid w:val="00E749B1"/>
    <w:rsid w:val="00E749B2"/>
    <w:rsid w:val="00E74A5E"/>
    <w:rsid w:val="00E74DEC"/>
    <w:rsid w:val="00E753BB"/>
    <w:rsid w:val="00E75403"/>
    <w:rsid w:val="00E76384"/>
    <w:rsid w:val="00E76768"/>
    <w:rsid w:val="00E76896"/>
    <w:rsid w:val="00E76F15"/>
    <w:rsid w:val="00E76FFE"/>
    <w:rsid w:val="00E774C8"/>
    <w:rsid w:val="00E77561"/>
    <w:rsid w:val="00E80BA8"/>
    <w:rsid w:val="00E80D3F"/>
    <w:rsid w:val="00E814A0"/>
    <w:rsid w:val="00E81506"/>
    <w:rsid w:val="00E8187F"/>
    <w:rsid w:val="00E81E6E"/>
    <w:rsid w:val="00E8205B"/>
    <w:rsid w:val="00E82562"/>
    <w:rsid w:val="00E82C9C"/>
    <w:rsid w:val="00E83054"/>
    <w:rsid w:val="00E83243"/>
    <w:rsid w:val="00E8336B"/>
    <w:rsid w:val="00E83549"/>
    <w:rsid w:val="00E83A6D"/>
    <w:rsid w:val="00E8421E"/>
    <w:rsid w:val="00E85AEE"/>
    <w:rsid w:val="00E8600C"/>
    <w:rsid w:val="00E8621D"/>
    <w:rsid w:val="00E86464"/>
    <w:rsid w:val="00E8653D"/>
    <w:rsid w:val="00E86F08"/>
    <w:rsid w:val="00E87227"/>
    <w:rsid w:val="00E872F1"/>
    <w:rsid w:val="00E87A1C"/>
    <w:rsid w:val="00E87F3D"/>
    <w:rsid w:val="00E90041"/>
    <w:rsid w:val="00E903A8"/>
    <w:rsid w:val="00E9045E"/>
    <w:rsid w:val="00E90B71"/>
    <w:rsid w:val="00E9144D"/>
    <w:rsid w:val="00E9182F"/>
    <w:rsid w:val="00E92191"/>
    <w:rsid w:val="00E929B3"/>
    <w:rsid w:val="00E93433"/>
    <w:rsid w:val="00E940CE"/>
    <w:rsid w:val="00E941C2"/>
    <w:rsid w:val="00E94ACC"/>
    <w:rsid w:val="00E94EBB"/>
    <w:rsid w:val="00E95529"/>
    <w:rsid w:val="00E95939"/>
    <w:rsid w:val="00E95F73"/>
    <w:rsid w:val="00E96298"/>
    <w:rsid w:val="00E973BF"/>
    <w:rsid w:val="00E97CBD"/>
    <w:rsid w:val="00EA0032"/>
    <w:rsid w:val="00EA012F"/>
    <w:rsid w:val="00EA0387"/>
    <w:rsid w:val="00EA0455"/>
    <w:rsid w:val="00EA0627"/>
    <w:rsid w:val="00EA065E"/>
    <w:rsid w:val="00EA0932"/>
    <w:rsid w:val="00EA0ABC"/>
    <w:rsid w:val="00EA0C1B"/>
    <w:rsid w:val="00EA0DF9"/>
    <w:rsid w:val="00EA11DB"/>
    <w:rsid w:val="00EA12A0"/>
    <w:rsid w:val="00EA19D7"/>
    <w:rsid w:val="00EA1C17"/>
    <w:rsid w:val="00EA2083"/>
    <w:rsid w:val="00EA2AF3"/>
    <w:rsid w:val="00EA2D1D"/>
    <w:rsid w:val="00EA2D5B"/>
    <w:rsid w:val="00EA31CC"/>
    <w:rsid w:val="00EA3652"/>
    <w:rsid w:val="00EA36A2"/>
    <w:rsid w:val="00EA3777"/>
    <w:rsid w:val="00EA3A0F"/>
    <w:rsid w:val="00EA3A10"/>
    <w:rsid w:val="00EA41D6"/>
    <w:rsid w:val="00EA448D"/>
    <w:rsid w:val="00EA4517"/>
    <w:rsid w:val="00EA4766"/>
    <w:rsid w:val="00EA55DD"/>
    <w:rsid w:val="00EA5892"/>
    <w:rsid w:val="00EA5A52"/>
    <w:rsid w:val="00EA5EAE"/>
    <w:rsid w:val="00EA67B7"/>
    <w:rsid w:val="00EA705F"/>
    <w:rsid w:val="00EA7142"/>
    <w:rsid w:val="00EA7377"/>
    <w:rsid w:val="00EA7529"/>
    <w:rsid w:val="00EA75D6"/>
    <w:rsid w:val="00EA7D2C"/>
    <w:rsid w:val="00EB003C"/>
    <w:rsid w:val="00EB03A0"/>
    <w:rsid w:val="00EB0901"/>
    <w:rsid w:val="00EB0BA3"/>
    <w:rsid w:val="00EB0D73"/>
    <w:rsid w:val="00EB0F48"/>
    <w:rsid w:val="00EB0F6A"/>
    <w:rsid w:val="00EB111D"/>
    <w:rsid w:val="00EB1444"/>
    <w:rsid w:val="00EB1874"/>
    <w:rsid w:val="00EB18CB"/>
    <w:rsid w:val="00EB2832"/>
    <w:rsid w:val="00EB2964"/>
    <w:rsid w:val="00EB2BAA"/>
    <w:rsid w:val="00EB2BD8"/>
    <w:rsid w:val="00EB2C5E"/>
    <w:rsid w:val="00EB2C82"/>
    <w:rsid w:val="00EB2F87"/>
    <w:rsid w:val="00EB442F"/>
    <w:rsid w:val="00EB44EF"/>
    <w:rsid w:val="00EB4B1B"/>
    <w:rsid w:val="00EB4DF9"/>
    <w:rsid w:val="00EB4E0C"/>
    <w:rsid w:val="00EB4E58"/>
    <w:rsid w:val="00EB4F53"/>
    <w:rsid w:val="00EB53F1"/>
    <w:rsid w:val="00EB54C4"/>
    <w:rsid w:val="00EB5703"/>
    <w:rsid w:val="00EB5D89"/>
    <w:rsid w:val="00EB68B0"/>
    <w:rsid w:val="00EB6911"/>
    <w:rsid w:val="00EB6DA4"/>
    <w:rsid w:val="00EB6F7A"/>
    <w:rsid w:val="00EB739B"/>
    <w:rsid w:val="00EB7734"/>
    <w:rsid w:val="00EB7AF5"/>
    <w:rsid w:val="00EB7B62"/>
    <w:rsid w:val="00EB7E98"/>
    <w:rsid w:val="00EC0361"/>
    <w:rsid w:val="00EC0553"/>
    <w:rsid w:val="00EC07DC"/>
    <w:rsid w:val="00EC0E98"/>
    <w:rsid w:val="00EC0EFE"/>
    <w:rsid w:val="00EC18C0"/>
    <w:rsid w:val="00EC1BDC"/>
    <w:rsid w:val="00EC24E1"/>
    <w:rsid w:val="00EC25EE"/>
    <w:rsid w:val="00EC2C77"/>
    <w:rsid w:val="00EC2EAC"/>
    <w:rsid w:val="00EC316F"/>
    <w:rsid w:val="00EC395A"/>
    <w:rsid w:val="00EC3A34"/>
    <w:rsid w:val="00EC3F59"/>
    <w:rsid w:val="00EC3FDE"/>
    <w:rsid w:val="00EC40DC"/>
    <w:rsid w:val="00EC4151"/>
    <w:rsid w:val="00EC45A8"/>
    <w:rsid w:val="00EC49E0"/>
    <w:rsid w:val="00EC505E"/>
    <w:rsid w:val="00EC57A7"/>
    <w:rsid w:val="00EC5AEC"/>
    <w:rsid w:val="00EC5BA9"/>
    <w:rsid w:val="00EC5D93"/>
    <w:rsid w:val="00EC632B"/>
    <w:rsid w:val="00EC6382"/>
    <w:rsid w:val="00EC63A7"/>
    <w:rsid w:val="00EC67A3"/>
    <w:rsid w:val="00EC6982"/>
    <w:rsid w:val="00EC6F7B"/>
    <w:rsid w:val="00EC7680"/>
    <w:rsid w:val="00ED01D5"/>
    <w:rsid w:val="00ED0988"/>
    <w:rsid w:val="00ED099B"/>
    <w:rsid w:val="00ED0A80"/>
    <w:rsid w:val="00ED0E0E"/>
    <w:rsid w:val="00ED108A"/>
    <w:rsid w:val="00ED1102"/>
    <w:rsid w:val="00ED11A5"/>
    <w:rsid w:val="00ED1243"/>
    <w:rsid w:val="00ED1254"/>
    <w:rsid w:val="00ED131B"/>
    <w:rsid w:val="00ED1420"/>
    <w:rsid w:val="00ED1C37"/>
    <w:rsid w:val="00ED1D8F"/>
    <w:rsid w:val="00ED1FE1"/>
    <w:rsid w:val="00ED200F"/>
    <w:rsid w:val="00ED2060"/>
    <w:rsid w:val="00ED27C3"/>
    <w:rsid w:val="00ED2D92"/>
    <w:rsid w:val="00ED31E9"/>
    <w:rsid w:val="00ED3254"/>
    <w:rsid w:val="00ED3378"/>
    <w:rsid w:val="00ED36DF"/>
    <w:rsid w:val="00ED3A39"/>
    <w:rsid w:val="00ED3BE9"/>
    <w:rsid w:val="00ED4035"/>
    <w:rsid w:val="00ED47DA"/>
    <w:rsid w:val="00ED4DB5"/>
    <w:rsid w:val="00ED4EE6"/>
    <w:rsid w:val="00ED50A5"/>
    <w:rsid w:val="00ED521C"/>
    <w:rsid w:val="00ED52AB"/>
    <w:rsid w:val="00ED55E7"/>
    <w:rsid w:val="00ED611A"/>
    <w:rsid w:val="00ED616D"/>
    <w:rsid w:val="00ED63FA"/>
    <w:rsid w:val="00ED6852"/>
    <w:rsid w:val="00ED6951"/>
    <w:rsid w:val="00ED6D2B"/>
    <w:rsid w:val="00ED7164"/>
    <w:rsid w:val="00ED78F6"/>
    <w:rsid w:val="00ED7BEC"/>
    <w:rsid w:val="00EE01C6"/>
    <w:rsid w:val="00EE01E6"/>
    <w:rsid w:val="00EE041F"/>
    <w:rsid w:val="00EE075E"/>
    <w:rsid w:val="00EE0F4D"/>
    <w:rsid w:val="00EE100D"/>
    <w:rsid w:val="00EE198C"/>
    <w:rsid w:val="00EE1F05"/>
    <w:rsid w:val="00EE27C3"/>
    <w:rsid w:val="00EE291D"/>
    <w:rsid w:val="00EE2E62"/>
    <w:rsid w:val="00EE2F2D"/>
    <w:rsid w:val="00EE373D"/>
    <w:rsid w:val="00EE3D1E"/>
    <w:rsid w:val="00EE3DD6"/>
    <w:rsid w:val="00EE3EB9"/>
    <w:rsid w:val="00EE3F54"/>
    <w:rsid w:val="00EE4117"/>
    <w:rsid w:val="00EE4180"/>
    <w:rsid w:val="00EE4216"/>
    <w:rsid w:val="00EE4CA6"/>
    <w:rsid w:val="00EE4F82"/>
    <w:rsid w:val="00EE5451"/>
    <w:rsid w:val="00EE5B17"/>
    <w:rsid w:val="00EE5E0C"/>
    <w:rsid w:val="00EE7018"/>
    <w:rsid w:val="00EE75EA"/>
    <w:rsid w:val="00EE79CA"/>
    <w:rsid w:val="00EE7B0F"/>
    <w:rsid w:val="00EE7C73"/>
    <w:rsid w:val="00EE7F64"/>
    <w:rsid w:val="00EF041F"/>
    <w:rsid w:val="00EF06D1"/>
    <w:rsid w:val="00EF0D56"/>
    <w:rsid w:val="00EF0E00"/>
    <w:rsid w:val="00EF10B1"/>
    <w:rsid w:val="00EF11DC"/>
    <w:rsid w:val="00EF1403"/>
    <w:rsid w:val="00EF1974"/>
    <w:rsid w:val="00EF1D70"/>
    <w:rsid w:val="00EF1EA2"/>
    <w:rsid w:val="00EF27A9"/>
    <w:rsid w:val="00EF2E6C"/>
    <w:rsid w:val="00EF3467"/>
    <w:rsid w:val="00EF359A"/>
    <w:rsid w:val="00EF371F"/>
    <w:rsid w:val="00EF373E"/>
    <w:rsid w:val="00EF387A"/>
    <w:rsid w:val="00EF3910"/>
    <w:rsid w:val="00EF4350"/>
    <w:rsid w:val="00EF4818"/>
    <w:rsid w:val="00EF4958"/>
    <w:rsid w:val="00EF54EC"/>
    <w:rsid w:val="00EF557F"/>
    <w:rsid w:val="00EF5750"/>
    <w:rsid w:val="00EF59FA"/>
    <w:rsid w:val="00EF5FA1"/>
    <w:rsid w:val="00EF6263"/>
    <w:rsid w:val="00EF66C8"/>
    <w:rsid w:val="00EF790D"/>
    <w:rsid w:val="00EF7E07"/>
    <w:rsid w:val="00F003C9"/>
    <w:rsid w:val="00F0073D"/>
    <w:rsid w:val="00F00A37"/>
    <w:rsid w:val="00F00E32"/>
    <w:rsid w:val="00F00FCF"/>
    <w:rsid w:val="00F012DA"/>
    <w:rsid w:val="00F01746"/>
    <w:rsid w:val="00F01D49"/>
    <w:rsid w:val="00F02AA2"/>
    <w:rsid w:val="00F0309F"/>
    <w:rsid w:val="00F03652"/>
    <w:rsid w:val="00F039DE"/>
    <w:rsid w:val="00F03B1A"/>
    <w:rsid w:val="00F044C8"/>
    <w:rsid w:val="00F046BD"/>
    <w:rsid w:val="00F047AA"/>
    <w:rsid w:val="00F049E9"/>
    <w:rsid w:val="00F04D92"/>
    <w:rsid w:val="00F04EA7"/>
    <w:rsid w:val="00F05015"/>
    <w:rsid w:val="00F05239"/>
    <w:rsid w:val="00F053C3"/>
    <w:rsid w:val="00F05A44"/>
    <w:rsid w:val="00F05D28"/>
    <w:rsid w:val="00F05F8B"/>
    <w:rsid w:val="00F06AA3"/>
    <w:rsid w:val="00F06BA1"/>
    <w:rsid w:val="00F06C97"/>
    <w:rsid w:val="00F06EE5"/>
    <w:rsid w:val="00F07292"/>
    <w:rsid w:val="00F0779C"/>
    <w:rsid w:val="00F10186"/>
    <w:rsid w:val="00F10D49"/>
    <w:rsid w:val="00F117E9"/>
    <w:rsid w:val="00F11E2D"/>
    <w:rsid w:val="00F11FE9"/>
    <w:rsid w:val="00F122FE"/>
    <w:rsid w:val="00F1239B"/>
    <w:rsid w:val="00F12807"/>
    <w:rsid w:val="00F12FA0"/>
    <w:rsid w:val="00F13282"/>
    <w:rsid w:val="00F136A5"/>
    <w:rsid w:val="00F138A9"/>
    <w:rsid w:val="00F13956"/>
    <w:rsid w:val="00F13A30"/>
    <w:rsid w:val="00F13A80"/>
    <w:rsid w:val="00F144EE"/>
    <w:rsid w:val="00F14C89"/>
    <w:rsid w:val="00F15040"/>
    <w:rsid w:val="00F1546E"/>
    <w:rsid w:val="00F1564A"/>
    <w:rsid w:val="00F15AFE"/>
    <w:rsid w:val="00F172CF"/>
    <w:rsid w:val="00F1743C"/>
    <w:rsid w:val="00F176A4"/>
    <w:rsid w:val="00F17BD0"/>
    <w:rsid w:val="00F2013A"/>
    <w:rsid w:val="00F203D6"/>
    <w:rsid w:val="00F20BE0"/>
    <w:rsid w:val="00F21236"/>
    <w:rsid w:val="00F21709"/>
    <w:rsid w:val="00F21BD9"/>
    <w:rsid w:val="00F21CCC"/>
    <w:rsid w:val="00F21FF7"/>
    <w:rsid w:val="00F22662"/>
    <w:rsid w:val="00F22AE0"/>
    <w:rsid w:val="00F22C3E"/>
    <w:rsid w:val="00F23587"/>
    <w:rsid w:val="00F236CD"/>
    <w:rsid w:val="00F23FEB"/>
    <w:rsid w:val="00F2400B"/>
    <w:rsid w:val="00F24564"/>
    <w:rsid w:val="00F259B3"/>
    <w:rsid w:val="00F25C63"/>
    <w:rsid w:val="00F2607F"/>
    <w:rsid w:val="00F26167"/>
    <w:rsid w:val="00F2648B"/>
    <w:rsid w:val="00F2655C"/>
    <w:rsid w:val="00F2672B"/>
    <w:rsid w:val="00F26DED"/>
    <w:rsid w:val="00F272AF"/>
    <w:rsid w:val="00F27DBE"/>
    <w:rsid w:val="00F30057"/>
    <w:rsid w:val="00F304D5"/>
    <w:rsid w:val="00F30507"/>
    <w:rsid w:val="00F3100A"/>
    <w:rsid w:val="00F313DC"/>
    <w:rsid w:val="00F31C66"/>
    <w:rsid w:val="00F32240"/>
    <w:rsid w:val="00F326BB"/>
    <w:rsid w:val="00F32847"/>
    <w:rsid w:val="00F32949"/>
    <w:rsid w:val="00F32F0C"/>
    <w:rsid w:val="00F33250"/>
    <w:rsid w:val="00F337C3"/>
    <w:rsid w:val="00F33F38"/>
    <w:rsid w:val="00F33FA9"/>
    <w:rsid w:val="00F3475A"/>
    <w:rsid w:val="00F34D92"/>
    <w:rsid w:val="00F35240"/>
    <w:rsid w:val="00F356D6"/>
    <w:rsid w:val="00F35AB7"/>
    <w:rsid w:val="00F35B46"/>
    <w:rsid w:val="00F35DC7"/>
    <w:rsid w:val="00F361C2"/>
    <w:rsid w:val="00F363F3"/>
    <w:rsid w:val="00F3655F"/>
    <w:rsid w:val="00F36570"/>
    <w:rsid w:val="00F36921"/>
    <w:rsid w:val="00F36A46"/>
    <w:rsid w:val="00F37539"/>
    <w:rsid w:val="00F3793B"/>
    <w:rsid w:val="00F4008A"/>
    <w:rsid w:val="00F4013D"/>
    <w:rsid w:val="00F402AA"/>
    <w:rsid w:val="00F4062F"/>
    <w:rsid w:val="00F40D0D"/>
    <w:rsid w:val="00F41205"/>
    <w:rsid w:val="00F412D7"/>
    <w:rsid w:val="00F4233C"/>
    <w:rsid w:val="00F427D0"/>
    <w:rsid w:val="00F42D9E"/>
    <w:rsid w:val="00F42E4C"/>
    <w:rsid w:val="00F42FB5"/>
    <w:rsid w:val="00F43349"/>
    <w:rsid w:val="00F434D4"/>
    <w:rsid w:val="00F43AE4"/>
    <w:rsid w:val="00F43C91"/>
    <w:rsid w:val="00F43CF5"/>
    <w:rsid w:val="00F44019"/>
    <w:rsid w:val="00F44482"/>
    <w:rsid w:val="00F44700"/>
    <w:rsid w:val="00F44743"/>
    <w:rsid w:val="00F45247"/>
    <w:rsid w:val="00F455AE"/>
    <w:rsid w:val="00F456A5"/>
    <w:rsid w:val="00F456AE"/>
    <w:rsid w:val="00F456C8"/>
    <w:rsid w:val="00F45939"/>
    <w:rsid w:val="00F45967"/>
    <w:rsid w:val="00F4633C"/>
    <w:rsid w:val="00F46AB3"/>
    <w:rsid w:val="00F46B4A"/>
    <w:rsid w:val="00F46C91"/>
    <w:rsid w:val="00F46CA7"/>
    <w:rsid w:val="00F46E26"/>
    <w:rsid w:val="00F471DE"/>
    <w:rsid w:val="00F476BD"/>
    <w:rsid w:val="00F478AD"/>
    <w:rsid w:val="00F5036A"/>
    <w:rsid w:val="00F5039B"/>
    <w:rsid w:val="00F504C3"/>
    <w:rsid w:val="00F5074F"/>
    <w:rsid w:val="00F50838"/>
    <w:rsid w:val="00F50F5C"/>
    <w:rsid w:val="00F517B6"/>
    <w:rsid w:val="00F51820"/>
    <w:rsid w:val="00F51895"/>
    <w:rsid w:val="00F51CC6"/>
    <w:rsid w:val="00F53248"/>
    <w:rsid w:val="00F532E2"/>
    <w:rsid w:val="00F5335E"/>
    <w:rsid w:val="00F53432"/>
    <w:rsid w:val="00F54572"/>
    <w:rsid w:val="00F5480E"/>
    <w:rsid w:val="00F55185"/>
    <w:rsid w:val="00F55595"/>
    <w:rsid w:val="00F55A28"/>
    <w:rsid w:val="00F55C21"/>
    <w:rsid w:val="00F5616A"/>
    <w:rsid w:val="00F56BC9"/>
    <w:rsid w:val="00F56CAD"/>
    <w:rsid w:val="00F57570"/>
    <w:rsid w:val="00F578A1"/>
    <w:rsid w:val="00F579E8"/>
    <w:rsid w:val="00F60233"/>
    <w:rsid w:val="00F60A76"/>
    <w:rsid w:val="00F612B7"/>
    <w:rsid w:val="00F613CA"/>
    <w:rsid w:val="00F6180F"/>
    <w:rsid w:val="00F6203E"/>
    <w:rsid w:val="00F62145"/>
    <w:rsid w:val="00F62902"/>
    <w:rsid w:val="00F62B42"/>
    <w:rsid w:val="00F62C19"/>
    <w:rsid w:val="00F63528"/>
    <w:rsid w:val="00F63836"/>
    <w:rsid w:val="00F63987"/>
    <w:rsid w:val="00F641F7"/>
    <w:rsid w:val="00F6424E"/>
    <w:rsid w:val="00F646A3"/>
    <w:rsid w:val="00F64871"/>
    <w:rsid w:val="00F652CE"/>
    <w:rsid w:val="00F6548D"/>
    <w:rsid w:val="00F65CB8"/>
    <w:rsid w:val="00F6623D"/>
    <w:rsid w:val="00F66C05"/>
    <w:rsid w:val="00F67743"/>
    <w:rsid w:val="00F677BC"/>
    <w:rsid w:val="00F67A64"/>
    <w:rsid w:val="00F67AE7"/>
    <w:rsid w:val="00F67EC6"/>
    <w:rsid w:val="00F701E7"/>
    <w:rsid w:val="00F70256"/>
    <w:rsid w:val="00F70B73"/>
    <w:rsid w:val="00F70E81"/>
    <w:rsid w:val="00F7174F"/>
    <w:rsid w:val="00F71A6C"/>
    <w:rsid w:val="00F71AE9"/>
    <w:rsid w:val="00F71E84"/>
    <w:rsid w:val="00F7236D"/>
    <w:rsid w:val="00F726CD"/>
    <w:rsid w:val="00F726D7"/>
    <w:rsid w:val="00F72B98"/>
    <w:rsid w:val="00F72E3F"/>
    <w:rsid w:val="00F72EF3"/>
    <w:rsid w:val="00F739D3"/>
    <w:rsid w:val="00F7411C"/>
    <w:rsid w:val="00F74705"/>
    <w:rsid w:val="00F74CF9"/>
    <w:rsid w:val="00F7510A"/>
    <w:rsid w:val="00F75370"/>
    <w:rsid w:val="00F7562D"/>
    <w:rsid w:val="00F75ACF"/>
    <w:rsid w:val="00F75FB2"/>
    <w:rsid w:val="00F76288"/>
    <w:rsid w:val="00F765F6"/>
    <w:rsid w:val="00F76A50"/>
    <w:rsid w:val="00F76C66"/>
    <w:rsid w:val="00F76CB0"/>
    <w:rsid w:val="00F76E26"/>
    <w:rsid w:val="00F76F57"/>
    <w:rsid w:val="00F77465"/>
    <w:rsid w:val="00F77802"/>
    <w:rsid w:val="00F779B0"/>
    <w:rsid w:val="00F77B07"/>
    <w:rsid w:val="00F77E0A"/>
    <w:rsid w:val="00F801D3"/>
    <w:rsid w:val="00F81171"/>
    <w:rsid w:val="00F8133D"/>
    <w:rsid w:val="00F8198D"/>
    <w:rsid w:val="00F81FF4"/>
    <w:rsid w:val="00F82401"/>
    <w:rsid w:val="00F824E8"/>
    <w:rsid w:val="00F828A8"/>
    <w:rsid w:val="00F82E30"/>
    <w:rsid w:val="00F82E75"/>
    <w:rsid w:val="00F8301B"/>
    <w:rsid w:val="00F83044"/>
    <w:rsid w:val="00F8314D"/>
    <w:rsid w:val="00F83398"/>
    <w:rsid w:val="00F833AA"/>
    <w:rsid w:val="00F837B4"/>
    <w:rsid w:val="00F83BD4"/>
    <w:rsid w:val="00F83D4E"/>
    <w:rsid w:val="00F83ED7"/>
    <w:rsid w:val="00F83F1A"/>
    <w:rsid w:val="00F851AE"/>
    <w:rsid w:val="00F85614"/>
    <w:rsid w:val="00F85997"/>
    <w:rsid w:val="00F85B39"/>
    <w:rsid w:val="00F85C08"/>
    <w:rsid w:val="00F86DF1"/>
    <w:rsid w:val="00F87343"/>
    <w:rsid w:val="00F87C93"/>
    <w:rsid w:val="00F90107"/>
    <w:rsid w:val="00F90BDB"/>
    <w:rsid w:val="00F90C16"/>
    <w:rsid w:val="00F90C3F"/>
    <w:rsid w:val="00F91193"/>
    <w:rsid w:val="00F91761"/>
    <w:rsid w:val="00F922FC"/>
    <w:rsid w:val="00F92341"/>
    <w:rsid w:val="00F9252B"/>
    <w:rsid w:val="00F92C8C"/>
    <w:rsid w:val="00F92CD7"/>
    <w:rsid w:val="00F92F92"/>
    <w:rsid w:val="00F9357B"/>
    <w:rsid w:val="00F936F9"/>
    <w:rsid w:val="00F9419F"/>
    <w:rsid w:val="00F94633"/>
    <w:rsid w:val="00F94EF9"/>
    <w:rsid w:val="00F95AAF"/>
    <w:rsid w:val="00F95ABD"/>
    <w:rsid w:val="00F95E05"/>
    <w:rsid w:val="00F961A2"/>
    <w:rsid w:val="00F963FB"/>
    <w:rsid w:val="00F96402"/>
    <w:rsid w:val="00F9641C"/>
    <w:rsid w:val="00F964B0"/>
    <w:rsid w:val="00F96659"/>
    <w:rsid w:val="00F9695B"/>
    <w:rsid w:val="00F96FF7"/>
    <w:rsid w:val="00F975BF"/>
    <w:rsid w:val="00F97796"/>
    <w:rsid w:val="00F97D40"/>
    <w:rsid w:val="00F97DC7"/>
    <w:rsid w:val="00F97F3A"/>
    <w:rsid w:val="00FA028F"/>
    <w:rsid w:val="00FA0988"/>
    <w:rsid w:val="00FA09C3"/>
    <w:rsid w:val="00FA0B71"/>
    <w:rsid w:val="00FA1551"/>
    <w:rsid w:val="00FA159A"/>
    <w:rsid w:val="00FA18B5"/>
    <w:rsid w:val="00FA1B54"/>
    <w:rsid w:val="00FA1B67"/>
    <w:rsid w:val="00FA1C50"/>
    <w:rsid w:val="00FA1D33"/>
    <w:rsid w:val="00FA2169"/>
    <w:rsid w:val="00FA2240"/>
    <w:rsid w:val="00FA22BB"/>
    <w:rsid w:val="00FA2534"/>
    <w:rsid w:val="00FA2D43"/>
    <w:rsid w:val="00FA2ED9"/>
    <w:rsid w:val="00FA34A7"/>
    <w:rsid w:val="00FA34C2"/>
    <w:rsid w:val="00FA383C"/>
    <w:rsid w:val="00FA39FB"/>
    <w:rsid w:val="00FA3A35"/>
    <w:rsid w:val="00FA4347"/>
    <w:rsid w:val="00FA46BE"/>
    <w:rsid w:val="00FA4C72"/>
    <w:rsid w:val="00FA4D3E"/>
    <w:rsid w:val="00FA4F6E"/>
    <w:rsid w:val="00FA5210"/>
    <w:rsid w:val="00FA5790"/>
    <w:rsid w:val="00FA606E"/>
    <w:rsid w:val="00FA6CDC"/>
    <w:rsid w:val="00FA6F7C"/>
    <w:rsid w:val="00FA700B"/>
    <w:rsid w:val="00FA7817"/>
    <w:rsid w:val="00FA7C44"/>
    <w:rsid w:val="00FB0AD4"/>
    <w:rsid w:val="00FB0AD5"/>
    <w:rsid w:val="00FB0E49"/>
    <w:rsid w:val="00FB1269"/>
    <w:rsid w:val="00FB144B"/>
    <w:rsid w:val="00FB14BA"/>
    <w:rsid w:val="00FB1ADE"/>
    <w:rsid w:val="00FB1CC1"/>
    <w:rsid w:val="00FB2682"/>
    <w:rsid w:val="00FB28B0"/>
    <w:rsid w:val="00FB2D22"/>
    <w:rsid w:val="00FB300A"/>
    <w:rsid w:val="00FB3676"/>
    <w:rsid w:val="00FB37C1"/>
    <w:rsid w:val="00FB4163"/>
    <w:rsid w:val="00FB48BC"/>
    <w:rsid w:val="00FB49A1"/>
    <w:rsid w:val="00FB4CEC"/>
    <w:rsid w:val="00FB4FE1"/>
    <w:rsid w:val="00FB542F"/>
    <w:rsid w:val="00FB6250"/>
    <w:rsid w:val="00FB6521"/>
    <w:rsid w:val="00FB663A"/>
    <w:rsid w:val="00FB66FB"/>
    <w:rsid w:val="00FB6A23"/>
    <w:rsid w:val="00FB6C36"/>
    <w:rsid w:val="00FB71AA"/>
    <w:rsid w:val="00FB7349"/>
    <w:rsid w:val="00FB7843"/>
    <w:rsid w:val="00FB795B"/>
    <w:rsid w:val="00FB7A37"/>
    <w:rsid w:val="00FB7C90"/>
    <w:rsid w:val="00FB7CA8"/>
    <w:rsid w:val="00FC015E"/>
    <w:rsid w:val="00FC04F2"/>
    <w:rsid w:val="00FC09CC"/>
    <w:rsid w:val="00FC0A56"/>
    <w:rsid w:val="00FC1565"/>
    <w:rsid w:val="00FC15AD"/>
    <w:rsid w:val="00FC1B72"/>
    <w:rsid w:val="00FC1E1C"/>
    <w:rsid w:val="00FC2242"/>
    <w:rsid w:val="00FC2690"/>
    <w:rsid w:val="00FC3445"/>
    <w:rsid w:val="00FC35FE"/>
    <w:rsid w:val="00FC3D43"/>
    <w:rsid w:val="00FC4305"/>
    <w:rsid w:val="00FC4F74"/>
    <w:rsid w:val="00FC51F4"/>
    <w:rsid w:val="00FC5E63"/>
    <w:rsid w:val="00FC5FDD"/>
    <w:rsid w:val="00FC605F"/>
    <w:rsid w:val="00FC6207"/>
    <w:rsid w:val="00FC68AA"/>
    <w:rsid w:val="00FC6C18"/>
    <w:rsid w:val="00FC6F12"/>
    <w:rsid w:val="00FC7B7E"/>
    <w:rsid w:val="00FC7E2A"/>
    <w:rsid w:val="00FC7EF2"/>
    <w:rsid w:val="00FD01C3"/>
    <w:rsid w:val="00FD0A5B"/>
    <w:rsid w:val="00FD0CB3"/>
    <w:rsid w:val="00FD1364"/>
    <w:rsid w:val="00FD1447"/>
    <w:rsid w:val="00FD1A72"/>
    <w:rsid w:val="00FD1BD8"/>
    <w:rsid w:val="00FD1D42"/>
    <w:rsid w:val="00FD1F29"/>
    <w:rsid w:val="00FD2078"/>
    <w:rsid w:val="00FD2948"/>
    <w:rsid w:val="00FD2950"/>
    <w:rsid w:val="00FD2A44"/>
    <w:rsid w:val="00FD2A8F"/>
    <w:rsid w:val="00FD2CDB"/>
    <w:rsid w:val="00FD3157"/>
    <w:rsid w:val="00FD3730"/>
    <w:rsid w:val="00FD3795"/>
    <w:rsid w:val="00FD39A7"/>
    <w:rsid w:val="00FD3AE2"/>
    <w:rsid w:val="00FD43C6"/>
    <w:rsid w:val="00FD4850"/>
    <w:rsid w:val="00FD4BD5"/>
    <w:rsid w:val="00FD4C84"/>
    <w:rsid w:val="00FD4F03"/>
    <w:rsid w:val="00FD5532"/>
    <w:rsid w:val="00FD5802"/>
    <w:rsid w:val="00FD5923"/>
    <w:rsid w:val="00FD61A4"/>
    <w:rsid w:val="00FD6200"/>
    <w:rsid w:val="00FD6494"/>
    <w:rsid w:val="00FD698D"/>
    <w:rsid w:val="00FD6CBC"/>
    <w:rsid w:val="00FD752D"/>
    <w:rsid w:val="00FD77DE"/>
    <w:rsid w:val="00FD7D07"/>
    <w:rsid w:val="00FD7D29"/>
    <w:rsid w:val="00FE022A"/>
    <w:rsid w:val="00FE0276"/>
    <w:rsid w:val="00FE0E5F"/>
    <w:rsid w:val="00FE0F63"/>
    <w:rsid w:val="00FE1012"/>
    <w:rsid w:val="00FE12CA"/>
    <w:rsid w:val="00FE13EE"/>
    <w:rsid w:val="00FE1A66"/>
    <w:rsid w:val="00FE1BC3"/>
    <w:rsid w:val="00FE21BF"/>
    <w:rsid w:val="00FE2707"/>
    <w:rsid w:val="00FE3814"/>
    <w:rsid w:val="00FE43AA"/>
    <w:rsid w:val="00FE4837"/>
    <w:rsid w:val="00FE4890"/>
    <w:rsid w:val="00FE4C0A"/>
    <w:rsid w:val="00FE4EC2"/>
    <w:rsid w:val="00FE52D7"/>
    <w:rsid w:val="00FE5587"/>
    <w:rsid w:val="00FE5714"/>
    <w:rsid w:val="00FE5845"/>
    <w:rsid w:val="00FE5B10"/>
    <w:rsid w:val="00FE5C90"/>
    <w:rsid w:val="00FE5D8D"/>
    <w:rsid w:val="00FE613E"/>
    <w:rsid w:val="00FE650B"/>
    <w:rsid w:val="00FE6AD1"/>
    <w:rsid w:val="00FE6B84"/>
    <w:rsid w:val="00FE7274"/>
    <w:rsid w:val="00FE78FE"/>
    <w:rsid w:val="00FF0115"/>
    <w:rsid w:val="00FF0437"/>
    <w:rsid w:val="00FF0542"/>
    <w:rsid w:val="00FF07F9"/>
    <w:rsid w:val="00FF0856"/>
    <w:rsid w:val="00FF114A"/>
    <w:rsid w:val="00FF1246"/>
    <w:rsid w:val="00FF1CD7"/>
    <w:rsid w:val="00FF252E"/>
    <w:rsid w:val="00FF26CF"/>
    <w:rsid w:val="00FF27C4"/>
    <w:rsid w:val="00FF2AEF"/>
    <w:rsid w:val="00FF32C0"/>
    <w:rsid w:val="00FF395B"/>
    <w:rsid w:val="00FF3CDD"/>
    <w:rsid w:val="00FF41D0"/>
    <w:rsid w:val="00FF4863"/>
    <w:rsid w:val="00FF4B17"/>
    <w:rsid w:val="00FF4DD9"/>
    <w:rsid w:val="00FF5A82"/>
    <w:rsid w:val="00FF5F4E"/>
    <w:rsid w:val="00FF6036"/>
    <w:rsid w:val="00FF61C0"/>
    <w:rsid w:val="00FF69E3"/>
    <w:rsid w:val="00FF6D42"/>
    <w:rsid w:val="00FF6D61"/>
    <w:rsid w:val="00FF6EDC"/>
    <w:rsid w:val="00FF70C4"/>
    <w:rsid w:val="00FF74C4"/>
    <w:rsid w:val="00FF7DEB"/>
    <w:rsid w:val="01767AFE"/>
    <w:rsid w:val="01D58D34"/>
    <w:rsid w:val="01E2ACF8"/>
    <w:rsid w:val="024FE284"/>
    <w:rsid w:val="02615EE4"/>
    <w:rsid w:val="02A8D1BC"/>
    <w:rsid w:val="02BA9B4C"/>
    <w:rsid w:val="02FC3EF9"/>
    <w:rsid w:val="03475CAA"/>
    <w:rsid w:val="03596842"/>
    <w:rsid w:val="037876A6"/>
    <w:rsid w:val="03B03370"/>
    <w:rsid w:val="042DAE04"/>
    <w:rsid w:val="04512B64"/>
    <w:rsid w:val="045CDD46"/>
    <w:rsid w:val="046B6E85"/>
    <w:rsid w:val="04770566"/>
    <w:rsid w:val="0481C72C"/>
    <w:rsid w:val="04F64416"/>
    <w:rsid w:val="054BF187"/>
    <w:rsid w:val="055251FE"/>
    <w:rsid w:val="05952BD0"/>
    <w:rsid w:val="059CD98E"/>
    <w:rsid w:val="05DB4689"/>
    <w:rsid w:val="05E7F3D3"/>
    <w:rsid w:val="0624436F"/>
    <w:rsid w:val="0635685E"/>
    <w:rsid w:val="0692EE30"/>
    <w:rsid w:val="06A196F3"/>
    <w:rsid w:val="0720113E"/>
    <w:rsid w:val="073C869C"/>
    <w:rsid w:val="076AB72E"/>
    <w:rsid w:val="0788BF3A"/>
    <w:rsid w:val="07903F47"/>
    <w:rsid w:val="079D56D1"/>
    <w:rsid w:val="07C0A6AE"/>
    <w:rsid w:val="07C3351E"/>
    <w:rsid w:val="07EEB490"/>
    <w:rsid w:val="07F4723B"/>
    <w:rsid w:val="08073DD1"/>
    <w:rsid w:val="0820B798"/>
    <w:rsid w:val="0834CF84"/>
    <w:rsid w:val="08440390"/>
    <w:rsid w:val="0848DDC8"/>
    <w:rsid w:val="08769F9A"/>
    <w:rsid w:val="08ADD080"/>
    <w:rsid w:val="09093957"/>
    <w:rsid w:val="090DF8ED"/>
    <w:rsid w:val="0920785A"/>
    <w:rsid w:val="09501EFB"/>
    <w:rsid w:val="0982C88A"/>
    <w:rsid w:val="09929651"/>
    <w:rsid w:val="09935F32"/>
    <w:rsid w:val="09DE307F"/>
    <w:rsid w:val="09E70765"/>
    <w:rsid w:val="0A0BD2DF"/>
    <w:rsid w:val="0A8E5610"/>
    <w:rsid w:val="0AA84B71"/>
    <w:rsid w:val="0AAFB374"/>
    <w:rsid w:val="0AE29F2F"/>
    <w:rsid w:val="0AE871F9"/>
    <w:rsid w:val="0B00692C"/>
    <w:rsid w:val="0B0AD2BA"/>
    <w:rsid w:val="0B386418"/>
    <w:rsid w:val="0B7F3DD0"/>
    <w:rsid w:val="0BE4A104"/>
    <w:rsid w:val="0C181A6F"/>
    <w:rsid w:val="0C4A880D"/>
    <w:rsid w:val="0CC9EAAD"/>
    <w:rsid w:val="0CFFD3D6"/>
    <w:rsid w:val="0D1DC7E0"/>
    <w:rsid w:val="0D241762"/>
    <w:rsid w:val="0D2B5EB3"/>
    <w:rsid w:val="0D337016"/>
    <w:rsid w:val="0D9F77E5"/>
    <w:rsid w:val="0DE23F09"/>
    <w:rsid w:val="0DEB429A"/>
    <w:rsid w:val="0EC09D01"/>
    <w:rsid w:val="0EEC5B8C"/>
    <w:rsid w:val="0F6C3989"/>
    <w:rsid w:val="0F836C3F"/>
    <w:rsid w:val="1000056D"/>
    <w:rsid w:val="1042E778"/>
    <w:rsid w:val="107145EF"/>
    <w:rsid w:val="1091E19E"/>
    <w:rsid w:val="10970A7B"/>
    <w:rsid w:val="10A3236F"/>
    <w:rsid w:val="10ECDD60"/>
    <w:rsid w:val="112D2689"/>
    <w:rsid w:val="1140CE4E"/>
    <w:rsid w:val="11448A77"/>
    <w:rsid w:val="115A500D"/>
    <w:rsid w:val="11932A4A"/>
    <w:rsid w:val="1199C30C"/>
    <w:rsid w:val="11B21423"/>
    <w:rsid w:val="1201A8E6"/>
    <w:rsid w:val="1204CD34"/>
    <w:rsid w:val="121CB43C"/>
    <w:rsid w:val="12589055"/>
    <w:rsid w:val="125FC8E3"/>
    <w:rsid w:val="12950AF5"/>
    <w:rsid w:val="12C6DFB8"/>
    <w:rsid w:val="12C9B974"/>
    <w:rsid w:val="12E42B73"/>
    <w:rsid w:val="130E0818"/>
    <w:rsid w:val="1370A1AA"/>
    <w:rsid w:val="13824D2C"/>
    <w:rsid w:val="13D316E5"/>
    <w:rsid w:val="13F024EC"/>
    <w:rsid w:val="1425102E"/>
    <w:rsid w:val="143A5219"/>
    <w:rsid w:val="14DBC593"/>
    <w:rsid w:val="14F31F6C"/>
    <w:rsid w:val="1537133B"/>
    <w:rsid w:val="15454BE2"/>
    <w:rsid w:val="157AF7D6"/>
    <w:rsid w:val="1587782B"/>
    <w:rsid w:val="15C3D909"/>
    <w:rsid w:val="15FBF080"/>
    <w:rsid w:val="16366BC9"/>
    <w:rsid w:val="16F8D028"/>
    <w:rsid w:val="16FFD5F3"/>
    <w:rsid w:val="1703F430"/>
    <w:rsid w:val="175704A4"/>
    <w:rsid w:val="17C52B61"/>
    <w:rsid w:val="17D8B302"/>
    <w:rsid w:val="17F749F4"/>
    <w:rsid w:val="18004ACE"/>
    <w:rsid w:val="184C32F5"/>
    <w:rsid w:val="185A1941"/>
    <w:rsid w:val="187931B5"/>
    <w:rsid w:val="18A88B0D"/>
    <w:rsid w:val="18BEE834"/>
    <w:rsid w:val="18D0F0E1"/>
    <w:rsid w:val="18E1791A"/>
    <w:rsid w:val="18EBE499"/>
    <w:rsid w:val="193589C4"/>
    <w:rsid w:val="19497FAD"/>
    <w:rsid w:val="1950CC18"/>
    <w:rsid w:val="19786E36"/>
    <w:rsid w:val="19AE09FA"/>
    <w:rsid w:val="19C0D974"/>
    <w:rsid w:val="19D9EEE1"/>
    <w:rsid w:val="1A43F2DC"/>
    <w:rsid w:val="1A4525B7"/>
    <w:rsid w:val="1A502FA4"/>
    <w:rsid w:val="1A86D5EE"/>
    <w:rsid w:val="1B0ACE84"/>
    <w:rsid w:val="1B65D1ED"/>
    <w:rsid w:val="1B6A5966"/>
    <w:rsid w:val="1B8DE84A"/>
    <w:rsid w:val="1C459296"/>
    <w:rsid w:val="1C531143"/>
    <w:rsid w:val="1C68995D"/>
    <w:rsid w:val="1CDA6F7D"/>
    <w:rsid w:val="1D059CFA"/>
    <w:rsid w:val="1D23EF9E"/>
    <w:rsid w:val="1D74CEE4"/>
    <w:rsid w:val="1D8A7E06"/>
    <w:rsid w:val="1DA7F3C7"/>
    <w:rsid w:val="1DA895D7"/>
    <w:rsid w:val="1DAF14F6"/>
    <w:rsid w:val="1DCCDF7F"/>
    <w:rsid w:val="1DCF21A0"/>
    <w:rsid w:val="1DFC5F25"/>
    <w:rsid w:val="1E302C66"/>
    <w:rsid w:val="1E4CC8E6"/>
    <w:rsid w:val="1E80B8E1"/>
    <w:rsid w:val="1EB7A060"/>
    <w:rsid w:val="1ECD038D"/>
    <w:rsid w:val="1EE67CC9"/>
    <w:rsid w:val="1EE69137"/>
    <w:rsid w:val="1EEDE33C"/>
    <w:rsid w:val="1EF74555"/>
    <w:rsid w:val="1F53A8D1"/>
    <w:rsid w:val="1F7CBCBF"/>
    <w:rsid w:val="1F968C2B"/>
    <w:rsid w:val="1FDFF0D3"/>
    <w:rsid w:val="20093270"/>
    <w:rsid w:val="2028EB0B"/>
    <w:rsid w:val="20307091"/>
    <w:rsid w:val="20C9D4AB"/>
    <w:rsid w:val="21041CDB"/>
    <w:rsid w:val="214DC33A"/>
    <w:rsid w:val="21525248"/>
    <w:rsid w:val="2180BC23"/>
    <w:rsid w:val="2193CC73"/>
    <w:rsid w:val="21A09740"/>
    <w:rsid w:val="21B7F935"/>
    <w:rsid w:val="21C114B0"/>
    <w:rsid w:val="22581DD9"/>
    <w:rsid w:val="2275E6B3"/>
    <w:rsid w:val="22974DAE"/>
    <w:rsid w:val="22CE2CED"/>
    <w:rsid w:val="22F2A7CC"/>
    <w:rsid w:val="230846E2"/>
    <w:rsid w:val="23248B33"/>
    <w:rsid w:val="2368D006"/>
    <w:rsid w:val="238E33C8"/>
    <w:rsid w:val="2394D9E9"/>
    <w:rsid w:val="240FD571"/>
    <w:rsid w:val="2427316E"/>
    <w:rsid w:val="2440A62C"/>
    <w:rsid w:val="244D2CA5"/>
    <w:rsid w:val="24510469"/>
    <w:rsid w:val="2484204F"/>
    <w:rsid w:val="2489366F"/>
    <w:rsid w:val="2491EB28"/>
    <w:rsid w:val="24C05B94"/>
    <w:rsid w:val="24D4784B"/>
    <w:rsid w:val="24DF2D07"/>
    <w:rsid w:val="24E8DB61"/>
    <w:rsid w:val="24FA3321"/>
    <w:rsid w:val="2507048D"/>
    <w:rsid w:val="257BFD43"/>
    <w:rsid w:val="25A40297"/>
    <w:rsid w:val="26044539"/>
    <w:rsid w:val="2639C1F9"/>
    <w:rsid w:val="267F064A"/>
    <w:rsid w:val="2680530A"/>
    <w:rsid w:val="2688B1E0"/>
    <w:rsid w:val="26922130"/>
    <w:rsid w:val="26B8A317"/>
    <w:rsid w:val="273280D9"/>
    <w:rsid w:val="273DBD44"/>
    <w:rsid w:val="276257BA"/>
    <w:rsid w:val="27695B64"/>
    <w:rsid w:val="2772C93D"/>
    <w:rsid w:val="27BD78D6"/>
    <w:rsid w:val="27DD0556"/>
    <w:rsid w:val="27F13F12"/>
    <w:rsid w:val="2808E89B"/>
    <w:rsid w:val="280C849D"/>
    <w:rsid w:val="283453BF"/>
    <w:rsid w:val="284EDB66"/>
    <w:rsid w:val="2853A216"/>
    <w:rsid w:val="285DEB71"/>
    <w:rsid w:val="288F5329"/>
    <w:rsid w:val="28FD7499"/>
    <w:rsid w:val="29430300"/>
    <w:rsid w:val="29471C65"/>
    <w:rsid w:val="29513BFE"/>
    <w:rsid w:val="297151DB"/>
    <w:rsid w:val="297665CB"/>
    <w:rsid w:val="298C9851"/>
    <w:rsid w:val="29B02C65"/>
    <w:rsid w:val="29C2A5BB"/>
    <w:rsid w:val="2A287FBC"/>
    <w:rsid w:val="2B0855C5"/>
    <w:rsid w:val="2B3AD40A"/>
    <w:rsid w:val="2B4A9A4A"/>
    <w:rsid w:val="2B847E06"/>
    <w:rsid w:val="2B894800"/>
    <w:rsid w:val="2BBCF8E2"/>
    <w:rsid w:val="2BD56278"/>
    <w:rsid w:val="2BDE7F31"/>
    <w:rsid w:val="2C1BC537"/>
    <w:rsid w:val="2C2BFDA1"/>
    <w:rsid w:val="2C5731D7"/>
    <w:rsid w:val="2C9FAED5"/>
    <w:rsid w:val="2CFED4E9"/>
    <w:rsid w:val="2D293DA5"/>
    <w:rsid w:val="2D3C52DB"/>
    <w:rsid w:val="2D44872C"/>
    <w:rsid w:val="2D804546"/>
    <w:rsid w:val="2DA08CBA"/>
    <w:rsid w:val="2DBD943C"/>
    <w:rsid w:val="2E3CF94C"/>
    <w:rsid w:val="2E52B652"/>
    <w:rsid w:val="2EBE6D11"/>
    <w:rsid w:val="2EF32787"/>
    <w:rsid w:val="2F4E781B"/>
    <w:rsid w:val="2F64B2C5"/>
    <w:rsid w:val="2F72397D"/>
    <w:rsid w:val="2F8508F7"/>
    <w:rsid w:val="2F9B1610"/>
    <w:rsid w:val="2F9BAD54"/>
    <w:rsid w:val="3013C26E"/>
    <w:rsid w:val="307BC199"/>
    <w:rsid w:val="30A5A691"/>
    <w:rsid w:val="30A5CA98"/>
    <w:rsid w:val="30C0D812"/>
    <w:rsid w:val="31008326"/>
    <w:rsid w:val="31189628"/>
    <w:rsid w:val="3126D3F6"/>
    <w:rsid w:val="313E2E5F"/>
    <w:rsid w:val="314402D0"/>
    <w:rsid w:val="316B2C10"/>
    <w:rsid w:val="31897B36"/>
    <w:rsid w:val="31982158"/>
    <w:rsid w:val="31C0582B"/>
    <w:rsid w:val="31E5E3DE"/>
    <w:rsid w:val="31F18C9A"/>
    <w:rsid w:val="3200F125"/>
    <w:rsid w:val="321791FA"/>
    <w:rsid w:val="32231AEC"/>
    <w:rsid w:val="3269C61D"/>
    <w:rsid w:val="328025A4"/>
    <w:rsid w:val="32837ED7"/>
    <w:rsid w:val="32C18DA9"/>
    <w:rsid w:val="3306432A"/>
    <w:rsid w:val="3326B3E7"/>
    <w:rsid w:val="3370B605"/>
    <w:rsid w:val="337BBD21"/>
    <w:rsid w:val="3388F125"/>
    <w:rsid w:val="33A51BE1"/>
    <w:rsid w:val="33B00E9E"/>
    <w:rsid w:val="34109A4B"/>
    <w:rsid w:val="3415C40C"/>
    <w:rsid w:val="34362B0B"/>
    <w:rsid w:val="344D0BF9"/>
    <w:rsid w:val="34A1AA6B"/>
    <w:rsid w:val="34B20731"/>
    <w:rsid w:val="34BEB618"/>
    <w:rsid w:val="34EBA420"/>
    <w:rsid w:val="3518D473"/>
    <w:rsid w:val="3561EE01"/>
    <w:rsid w:val="36503F0F"/>
    <w:rsid w:val="365D5699"/>
    <w:rsid w:val="36C6D0EF"/>
    <w:rsid w:val="36EE9827"/>
    <w:rsid w:val="3704D772"/>
    <w:rsid w:val="3720BE1A"/>
    <w:rsid w:val="37274C6D"/>
    <w:rsid w:val="374FE396"/>
    <w:rsid w:val="3763D4B3"/>
    <w:rsid w:val="37A22A7E"/>
    <w:rsid w:val="37CA09FC"/>
    <w:rsid w:val="37ED85F4"/>
    <w:rsid w:val="37F2FB52"/>
    <w:rsid w:val="380FB88A"/>
    <w:rsid w:val="38206A5A"/>
    <w:rsid w:val="3849E970"/>
    <w:rsid w:val="38734F27"/>
    <w:rsid w:val="3875F011"/>
    <w:rsid w:val="387CBF94"/>
    <w:rsid w:val="3883DDCF"/>
    <w:rsid w:val="3886B883"/>
    <w:rsid w:val="3890FD0A"/>
    <w:rsid w:val="389421DD"/>
    <w:rsid w:val="38FA7132"/>
    <w:rsid w:val="38FB25CF"/>
    <w:rsid w:val="399A1272"/>
    <w:rsid w:val="39ADEDD5"/>
    <w:rsid w:val="39B17661"/>
    <w:rsid w:val="39B686A8"/>
    <w:rsid w:val="39B71E20"/>
    <w:rsid w:val="3A0213F4"/>
    <w:rsid w:val="3A08A432"/>
    <w:rsid w:val="3A1472E0"/>
    <w:rsid w:val="3AC348F3"/>
    <w:rsid w:val="3AC9F35F"/>
    <w:rsid w:val="3BC66AF6"/>
    <w:rsid w:val="3BE396C3"/>
    <w:rsid w:val="3BF9379F"/>
    <w:rsid w:val="3C4A0EF1"/>
    <w:rsid w:val="3C6A7FAE"/>
    <w:rsid w:val="3C720AA0"/>
    <w:rsid w:val="3CA37997"/>
    <w:rsid w:val="3CA9D26B"/>
    <w:rsid w:val="3CADFC07"/>
    <w:rsid w:val="3D1D14AA"/>
    <w:rsid w:val="3D32D728"/>
    <w:rsid w:val="3DAC0D02"/>
    <w:rsid w:val="3DECCFBE"/>
    <w:rsid w:val="3E0FB345"/>
    <w:rsid w:val="3E13BE14"/>
    <w:rsid w:val="3E22B26C"/>
    <w:rsid w:val="3E62BFF7"/>
    <w:rsid w:val="3EEFD3C4"/>
    <w:rsid w:val="3F05032F"/>
    <w:rsid w:val="3F3B0ABC"/>
    <w:rsid w:val="3F777EDD"/>
    <w:rsid w:val="3F94EBFA"/>
    <w:rsid w:val="3FB502AB"/>
    <w:rsid w:val="3FBF8B0B"/>
    <w:rsid w:val="3FCAA8D0"/>
    <w:rsid w:val="3FE168B5"/>
    <w:rsid w:val="400238FE"/>
    <w:rsid w:val="400775CB"/>
    <w:rsid w:val="4016A488"/>
    <w:rsid w:val="4038C928"/>
    <w:rsid w:val="40466567"/>
    <w:rsid w:val="40FC95F3"/>
    <w:rsid w:val="4159A12B"/>
    <w:rsid w:val="4184DDB2"/>
    <w:rsid w:val="418A95DD"/>
    <w:rsid w:val="418F84C9"/>
    <w:rsid w:val="41C3F52F"/>
    <w:rsid w:val="41C49163"/>
    <w:rsid w:val="4216FFDC"/>
    <w:rsid w:val="4217F09B"/>
    <w:rsid w:val="424DB812"/>
    <w:rsid w:val="4251C1F3"/>
    <w:rsid w:val="42F2E79E"/>
    <w:rsid w:val="432F4648"/>
    <w:rsid w:val="43313F81"/>
    <w:rsid w:val="433E88E1"/>
    <w:rsid w:val="4432739B"/>
    <w:rsid w:val="443AC28E"/>
    <w:rsid w:val="445E109A"/>
    <w:rsid w:val="448792DA"/>
    <w:rsid w:val="4494C10F"/>
    <w:rsid w:val="44AE8AB0"/>
    <w:rsid w:val="44D40F90"/>
    <w:rsid w:val="44F36B58"/>
    <w:rsid w:val="44F86378"/>
    <w:rsid w:val="4549387A"/>
    <w:rsid w:val="454D5697"/>
    <w:rsid w:val="458787A0"/>
    <w:rsid w:val="45E8B74D"/>
    <w:rsid w:val="46068CC4"/>
    <w:rsid w:val="466C2CAA"/>
    <w:rsid w:val="46AB474D"/>
    <w:rsid w:val="46AE9463"/>
    <w:rsid w:val="46B1158B"/>
    <w:rsid w:val="470A4B97"/>
    <w:rsid w:val="47333F2C"/>
    <w:rsid w:val="4740BFAF"/>
    <w:rsid w:val="475B37A9"/>
    <w:rsid w:val="478C3707"/>
    <w:rsid w:val="47B293E3"/>
    <w:rsid w:val="47FFC019"/>
    <w:rsid w:val="48023839"/>
    <w:rsid w:val="4802AD9F"/>
    <w:rsid w:val="48308002"/>
    <w:rsid w:val="483F8532"/>
    <w:rsid w:val="4899E4DD"/>
    <w:rsid w:val="489E2E72"/>
    <w:rsid w:val="48A61BF8"/>
    <w:rsid w:val="48AB0035"/>
    <w:rsid w:val="48BD86AA"/>
    <w:rsid w:val="492F9AA8"/>
    <w:rsid w:val="49508145"/>
    <w:rsid w:val="49718296"/>
    <w:rsid w:val="49D18520"/>
    <w:rsid w:val="49EBD11C"/>
    <w:rsid w:val="4A09DA23"/>
    <w:rsid w:val="4A157BC8"/>
    <w:rsid w:val="4A1CA99D"/>
    <w:rsid w:val="4A35E80F"/>
    <w:rsid w:val="4AA2DB65"/>
    <w:rsid w:val="4AB12ACC"/>
    <w:rsid w:val="4ACBE099"/>
    <w:rsid w:val="4B0DEA6F"/>
    <w:rsid w:val="4B60ACB5"/>
    <w:rsid w:val="4B8068AD"/>
    <w:rsid w:val="4BA78912"/>
    <w:rsid w:val="4BC6F89F"/>
    <w:rsid w:val="4C10C4DE"/>
    <w:rsid w:val="4C4CD751"/>
    <w:rsid w:val="4CA6BAD5"/>
    <w:rsid w:val="4CB2C7AA"/>
    <w:rsid w:val="4CD52D3B"/>
    <w:rsid w:val="4D29FD6F"/>
    <w:rsid w:val="4D304367"/>
    <w:rsid w:val="4D467609"/>
    <w:rsid w:val="4D81A247"/>
    <w:rsid w:val="4DBD259D"/>
    <w:rsid w:val="4DBDDFF3"/>
    <w:rsid w:val="4DD5B682"/>
    <w:rsid w:val="4DDC3254"/>
    <w:rsid w:val="4DF0DB91"/>
    <w:rsid w:val="4E265CAB"/>
    <w:rsid w:val="4E46240F"/>
    <w:rsid w:val="4E4E980B"/>
    <w:rsid w:val="4E69BF08"/>
    <w:rsid w:val="4EB37C4F"/>
    <w:rsid w:val="4EBE05F3"/>
    <w:rsid w:val="4EEFF8E5"/>
    <w:rsid w:val="4F2BA5CB"/>
    <w:rsid w:val="4F3F7447"/>
    <w:rsid w:val="4F4DB8A9"/>
    <w:rsid w:val="4F8CA73B"/>
    <w:rsid w:val="4FB35F4D"/>
    <w:rsid w:val="4FEE4444"/>
    <w:rsid w:val="4FF3B341"/>
    <w:rsid w:val="5083729B"/>
    <w:rsid w:val="50AFD862"/>
    <w:rsid w:val="50B85CDD"/>
    <w:rsid w:val="50C00CC5"/>
    <w:rsid w:val="50C4AAE4"/>
    <w:rsid w:val="50DAAD30"/>
    <w:rsid w:val="50E401FD"/>
    <w:rsid w:val="5104AE14"/>
    <w:rsid w:val="51151AD6"/>
    <w:rsid w:val="5116B8B1"/>
    <w:rsid w:val="5190FF00"/>
    <w:rsid w:val="51C817D6"/>
    <w:rsid w:val="51CE13FC"/>
    <w:rsid w:val="51F62D79"/>
    <w:rsid w:val="520E2F63"/>
    <w:rsid w:val="522F8C4C"/>
    <w:rsid w:val="523077DD"/>
    <w:rsid w:val="523633C1"/>
    <w:rsid w:val="52773503"/>
    <w:rsid w:val="52BA4335"/>
    <w:rsid w:val="52BC3DE7"/>
    <w:rsid w:val="52FEEC11"/>
    <w:rsid w:val="53205AE2"/>
    <w:rsid w:val="532502B4"/>
    <w:rsid w:val="5343B50F"/>
    <w:rsid w:val="534D5A5E"/>
    <w:rsid w:val="537E6E58"/>
    <w:rsid w:val="5381E1B5"/>
    <w:rsid w:val="5388CE36"/>
    <w:rsid w:val="53CB9957"/>
    <w:rsid w:val="53D67161"/>
    <w:rsid w:val="53E9E1DF"/>
    <w:rsid w:val="53F42E62"/>
    <w:rsid w:val="54034D5E"/>
    <w:rsid w:val="540EB88A"/>
    <w:rsid w:val="54130564"/>
    <w:rsid w:val="544428CC"/>
    <w:rsid w:val="54489765"/>
    <w:rsid w:val="544EBEC6"/>
    <w:rsid w:val="5460431F"/>
    <w:rsid w:val="549F792C"/>
    <w:rsid w:val="54A547CA"/>
    <w:rsid w:val="54CAF781"/>
    <w:rsid w:val="54CBBC58"/>
    <w:rsid w:val="54E06BAF"/>
    <w:rsid w:val="5515AB66"/>
    <w:rsid w:val="554E1A36"/>
    <w:rsid w:val="555BF8FF"/>
    <w:rsid w:val="5592D8DB"/>
    <w:rsid w:val="55AC10CE"/>
    <w:rsid w:val="55B33902"/>
    <w:rsid w:val="55E97E45"/>
    <w:rsid w:val="56082963"/>
    <w:rsid w:val="561DC07A"/>
    <w:rsid w:val="562BD883"/>
    <w:rsid w:val="562DF27F"/>
    <w:rsid w:val="565EE440"/>
    <w:rsid w:val="5665A9AB"/>
    <w:rsid w:val="5683658F"/>
    <w:rsid w:val="568E24E5"/>
    <w:rsid w:val="5696E736"/>
    <w:rsid w:val="572F6379"/>
    <w:rsid w:val="57BE82B9"/>
    <w:rsid w:val="57F47BEB"/>
    <w:rsid w:val="57F54072"/>
    <w:rsid w:val="5802E2B7"/>
    <w:rsid w:val="585A5E95"/>
    <w:rsid w:val="58B670F3"/>
    <w:rsid w:val="58D250F8"/>
    <w:rsid w:val="58D2CD6A"/>
    <w:rsid w:val="59B7640E"/>
    <w:rsid w:val="59BDBD45"/>
    <w:rsid w:val="59D1C4F8"/>
    <w:rsid w:val="59D99834"/>
    <w:rsid w:val="5A158015"/>
    <w:rsid w:val="5A20218A"/>
    <w:rsid w:val="5A3991F2"/>
    <w:rsid w:val="5A5B7B3C"/>
    <w:rsid w:val="5A607876"/>
    <w:rsid w:val="5AC5C597"/>
    <w:rsid w:val="5B34C7C6"/>
    <w:rsid w:val="5B765803"/>
    <w:rsid w:val="5B8AC6BB"/>
    <w:rsid w:val="5BA434F7"/>
    <w:rsid w:val="5BF06B04"/>
    <w:rsid w:val="5C9B458B"/>
    <w:rsid w:val="5D0E139F"/>
    <w:rsid w:val="5D117C88"/>
    <w:rsid w:val="5D3D547F"/>
    <w:rsid w:val="5D61410D"/>
    <w:rsid w:val="5D894D6A"/>
    <w:rsid w:val="5D9BB875"/>
    <w:rsid w:val="5E122D05"/>
    <w:rsid w:val="5E2E0B29"/>
    <w:rsid w:val="5E590498"/>
    <w:rsid w:val="5E5B4744"/>
    <w:rsid w:val="5E645FEB"/>
    <w:rsid w:val="5E6CAFBD"/>
    <w:rsid w:val="5F1B4204"/>
    <w:rsid w:val="5F546B7A"/>
    <w:rsid w:val="5F7D3B25"/>
    <w:rsid w:val="5F92DA27"/>
    <w:rsid w:val="5F983A9B"/>
    <w:rsid w:val="5FB108D8"/>
    <w:rsid w:val="5FF13FE2"/>
    <w:rsid w:val="602FE62F"/>
    <w:rsid w:val="60349B2C"/>
    <w:rsid w:val="609F52B5"/>
    <w:rsid w:val="60A6E12D"/>
    <w:rsid w:val="60C7D137"/>
    <w:rsid w:val="61051BB7"/>
    <w:rsid w:val="61170575"/>
    <w:rsid w:val="6155FAB0"/>
    <w:rsid w:val="61763011"/>
    <w:rsid w:val="617895F1"/>
    <w:rsid w:val="617E84F4"/>
    <w:rsid w:val="617ED7D3"/>
    <w:rsid w:val="61C31D81"/>
    <w:rsid w:val="61F66E78"/>
    <w:rsid w:val="622576A0"/>
    <w:rsid w:val="625824A4"/>
    <w:rsid w:val="62861E45"/>
    <w:rsid w:val="628994D1"/>
    <w:rsid w:val="62B42565"/>
    <w:rsid w:val="62C8D3D0"/>
    <w:rsid w:val="62CB675A"/>
    <w:rsid w:val="62CCC6AA"/>
    <w:rsid w:val="62CF067C"/>
    <w:rsid w:val="62F0DA1A"/>
    <w:rsid w:val="63C14701"/>
    <w:rsid w:val="63D40403"/>
    <w:rsid w:val="63DF7D5E"/>
    <w:rsid w:val="6489B9B5"/>
    <w:rsid w:val="649984B2"/>
    <w:rsid w:val="64CA0F5B"/>
    <w:rsid w:val="64EF4C26"/>
    <w:rsid w:val="6574AC12"/>
    <w:rsid w:val="65ACB5E1"/>
    <w:rsid w:val="65BACA7B"/>
    <w:rsid w:val="65BC5653"/>
    <w:rsid w:val="65D7C1DC"/>
    <w:rsid w:val="65DB8D37"/>
    <w:rsid w:val="65FDFDFC"/>
    <w:rsid w:val="66123A42"/>
    <w:rsid w:val="66B8F1AE"/>
    <w:rsid w:val="66C6E0EA"/>
    <w:rsid w:val="670AB381"/>
    <w:rsid w:val="67116684"/>
    <w:rsid w:val="6715D543"/>
    <w:rsid w:val="676676AE"/>
    <w:rsid w:val="677C9402"/>
    <w:rsid w:val="67BE7097"/>
    <w:rsid w:val="67E67D07"/>
    <w:rsid w:val="6801B01D"/>
    <w:rsid w:val="6894B824"/>
    <w:rsid w:val="68A02C7E"/>
    <w:rsid w:val="68C2133A"/>
    <w:rsid w:val="68CA07BD"/>
    <w:rsid w:val="68D99DA7"/>
    <w:rsid w:val="68DA3A93"/>
    <w:rsid w:val="6945CBC5"/>
    <w:rsid w:val="6946D89F"/>
    <w:rsid w:val="69805314"/>
    <w:rsid w:val="69BDAB39"/>
    <w:rsid w:val="69C7683B"/>
    <w:rsid w:val="69CFFB2B"/>
    <w:rsid w:val="69D0553A"/>
    <w:rsid w:val="6A014524"/>
    <w:rsid w:val="6A09DF81"/>
    <w:rsid w:val="6A0C649C"/>
    <w:rsid w:val="6A29B8C6"/>
    <w:rsid w:val="6A4A0678"/>
    <w:rsid w:val="6A50FE98"/>
    <w:rsid w:val="6A55AA6F"/>
    <w:rsid w:val="6AACC258"/>
    <w:rsid w:val="6AEA0E62"/>
    <w:rsid w:val="6B5A9BE3"/>
    <w:rsid w:val="6B640139"/>
    <w:rsid w:val="6BFB2DB9"/>
    <w:rsid w:val="6C170F39"/>
    <w:rsid w:val="6C4DA334"/>
    <w:rsid w:val="6C9670F9"/>
    <w:rsid w:val="6D365F0B"/>
    <w:rsid w:val="6D485117"/>
    <w:rsid w:val="6DA84E69"/>
    <w:rsid w:val="6DB41E7D"/>
    <w:rsid w:val="6DD3B2A0"/>
    <w:rsid w:val="6E6CA7B7"/>
    <w:rsid w:val="6E902FDE"/>
    <w:rsid w:val="6E9E68F8"/>
    <w:rsid w:val="6E9F94C3"/>
    <w:rsid w:val="6EA1FFF5"/>
    <w:rsid w:val="6ECDF275"/>
    <w:rsid w:val="6EDD212C"/>
    <w:rsid w:val="6F0EA015"/>
    <w:rsid w:val="6F70A52D"/>
    <w:rsid w:val="6F76967A"/>
    <w:rsid w:val="6F9AF3E7"/>
    <w:rsid w:val="707229B6"/>
    <w:rsid w:val="707F2D0C"/>
    <w:rsid w:val="70AEF91C"/>
    <w:rsid w:val="70E40242"/>
    <w:rsid w:val="7101DFF3"/>
    <w:rsid w:val="7106D821"/>
    <w:rsid w:val="71075404"/>
    <w:rsid w:val="7169B017"/>
    <w:rsid w:val="717A160D"/>
    <w:rsid w:val="7197EA0D"/>
    <w:rsid w:val="71CB7226"/>
    <w:rsid w:val="71CC0FC3"/>
    <w:rsid w:val="71D9F9D0"/>
    <w:rsid w:val="7228E1CE"/>
    <w:rsid w:val="7245A098"/>
    <w:rsid w:val="725903F0"/>
    <w:rsid w:val="7273CAC0"/>
    <w:rsid w:val="72D3628F"/>
    <w:rsid w:val="72F5390D"/>
    <w:rsid w:val="73019AA4"/>
    <w:rsid w:val="7306BBFF"/>
    <w:rsid w:val="732F5D5D"/>
    <w:rsid w:val="734C9412"/>
    <w:rsid w:val="735B7E28"/>
    <w:rsid w:val="7375CA31"/>
    <w:rsid w:val="73DA84A4"/>
    <w:rsid w:val="7412C955"/>
    <w:rsid w:val="7430DF40"/>
    <w:rsid w:val="743C3689"/>
    <w:rsid w:val="7464EF16"/>
    <w:rsid w:val="74F1DDD5"/>
    <w:rsid w:val="751082C3"/>
    <w:rsid w:val="75162392"/>
    <w:rsid w:val="751DE981"/>
    <w:rsid w:val="75246B83"/>
    <w:rsid w:val="7558FF3B"/>
    <w:rsid w:val="7565A7AB"/>
    <w:rsid w:val="7590BB16"/>
    <w:rsid w:val="75A8C739"/>
    <w:rsid w:val="75EAC8CF"/>
    <w:rsid w:val="75F8B8AD"/>
    <w:rsid w:val="75F8CADE"/>
    <w:rsid w:val="7627B042"/>
    <w:rsid w:val="7672F388"/>
    <w:rsid w:val="767FAFB1"/>
    <w:rsid w:val="76B51D26"/>
    <w:rsid w:val="76C628F8"/>
    <w:rsid w:val="76C68C12"/>
    <w:rsid w:val="76F11742"/>
    <w:rsid w:val="7745C7EC"/>
    <w:rsid w:val="776C5933"/>
    <w:rsid w:val="778741AA"/>
    <w:rsid w:val="779C8FD8"/>
    <w:rsid w:val="77D888A2"/>
    <w:rsid w:val="78761C5A"/>
    <w:rsid w:val="78A01070"/>
    <w:rsid w:val="78F22246"/>
    <w:rsid w:val="78F5C2B4"/>
    <w:rsid w:val="78FC6D7D"/>
    <w:rsid w:val="79054C82"/>
    <w:rsid w:val="79533C97"/>
    <w:rsid w:val="7957DD14"/>
    <w:rsid w:val="796B861C"/>
    <w:rsid w:val="79F71C63"/>
    <w:rsid w:val="79FF655B"/>
    <w:rsid w:val="7A1265DD"/>
    <w:rsid w:val="7A573E42"/>
    <w:rsid w:val="7A5A9841"/>
    <w:rsid w:val="7A729C47"/>
    <w:rsid w:val="7A817980"/>
    <w:rsid w:val="7A869D65"/>
    <w:rsid w:val="7AB3155B"/>
    <w:rsid w:val="7B419D17"/>
    <w:rsid w:val="7B753C30"/>
    <w:rsid w:val="7B9FBCBA"/>
    <w:rsid w:val="7BAF7F21"/>
    <w:rsid w:val="7BC6E579"/>
    <w:rsid w:val="7C0A1484"/>
    <w:rsid w:val="7C10CBE7"/>
    <w:rsid w:val="7C22AAEC"/>
    <w:rsid w:val="7C58D1C1"/>
    <w:rsid w:val="7C7891E3"/>
    <w:rsid w:val="7C864C95"/>
    <w:rsid w:val="7D1B2686"/>
    <w:rsid w:val="7D2BB295"/>
    <w:rsid w:val="7D41FF22"/>
    <w:rsid w:val="7D49D894"/>
    <w:rsid w:val="7D769341"/>
    <w:rsid w:val="7D88B7E6"/>
    <w:rsid w:val="7DA85B3A"/>
    <w:rsid w:val="7DC149AA"/>
    <w:rsid w:val="7E1476C4"/>
    <w:rsid w:val="7E24BF7C"/>
    <w:rsid w:val="7E2C1FDA"/>
    <w:rsid w:val="7E932054"/>
    <w:rsid w:val="7E9384B0"/>
    <w:rsid w:val="7EC0CE15"/>
    <w:rsid w:val="7F3FD1CB"/>
    <w:rsid w:val="7F49CC52"/>
    <w:rsid w:val="7F8E15B4"/>
    <w:rsid w:val="7FCE9A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84A4"/>
  <w15:chartTrackingRefBased/>
  <w15:docId w15:val="{BA74E67E-CA49-4E79-90C3-7ACF87B2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3A"/>
    <w:pPr>
      <w:spacing w:before="240" w:after="240" w:line="240" w:lineRule="auto"/>
    </w:pPr>
    <w:rPr>
      <w:rFonts w:ascii="Calibri Light" w:hAnsi="Calibri Light" w:cs="Calibri Light"/>
      <w:lang w:val="es-CO"/>
    </w:rPr>
  </w:style>
  <w:style w:type="paragraph" w:styleId="Ttulo1">
    <w:name w:val="heading 1"/>
    <w:basedOn w:val="Normal"/>
    <w:next w:val="Normal"/>
    <w:link w:val="Ttulo1Car"/>
    <w:uiPriority w:val="9"/>
    <w:qFormat/>
    <w:rsid w:val="007B0556"/>
    <w:pPr>
      <w:keepNext/>
      <w:keepLines/>
      <w:numPr>
        <w:numId w:val="1"/>
      </w:numPr>
      <w:outlineLvl w:val="0"/>
    </w:pPr>
    <w:rPr>
      <w:rFonts w:ascii="Arial" w:eastAsiaTheme="majorEastAsia" w:hAnsi="Arial" w:cs="Arial"/>
      <w:b/>
      <w:bCs/>
    </w:rPr>
  </w:style>
  <w:style w:type="paragraph" w:styleId="Ttulo2">
    <w:name w:val="heading 2"/>
    <w:basedOn w:val="Normal"/>
    <w:next w:val="Normal"/>
    <w:link w:val="Ttulo2Car"/>
    <w:uiPriority w:val="9"/>
    <w:unhideWhenUsed/>
    <w:qFormat/>
    <w:rsid w:val="00720084"/>
    <w:pPr>
      <w:keepNext/>
      <w:keepLines/>
      <w:numPr>
        <w:ilvl w:val="1"/>
        <w:numId w:val="8"/>
      </w:numPr>
      <w:spacing w:before="120"/>
      <w:outlineLvl w:val="1"/>
    </w:pPr>
    <w:rPr>
      <w:rFonts w:ascii="Arial" w:eastAsiaTheme="majorEastAsia" w:hAnsi="Arial" w:cs="Arial"/>
      <w:b/>
      <w:bCs/>
    </w:rPr>
  </w:style>
  <w:style w:type="paragraph" w:styleId="Ttulo3">
    <w:name w:val="heading 3"/>
    <w:basedOn w:val="Normal"/>
    <w:next w:val="Normal"/>
    <w:link w:val="Ttulo3Car"/>
    <w:uiPriority w:val="9"/>
    <w:unhideWhenUsed/>
    <w:qFormat/>
    <w:rsid w:val="00F14C89"/>
    <w:pPr>
      <w:keepNext/>
      <w:keepLines/>
      <w:spacing w:before="40" w:after="0"/>
      <w:outlineLvl w:val="2"/>
    </w:pPr>
    <w:rPr>
      <w:rFonts w:ascii="Arial" w:eastAsiaTheme="majorEastAsia" w:hAnsi="Arial" w:cs="Arial"/>
      <w:b/>
      <w:bCs/>
      <w:i/>
      <w:iCs/>
    </w:rPr>
  </w:style>
  <w:style w:type="paragraph" w:styleId="Ttulo4">
    <w:name w:val="heading 4"/>
    <w:basedOn w:val="Normal"/>
    <w:next w:val="Normal"/>
    <w:link w:val="Ttulo4Car"/>
    <w:uiPriority w:val="9"/>
    <w:unhideWhenUsed/>
    <w:qFormat/>
    <w:rsid w:val="00732761"/>
    <w:pPr>
      <w:keepNext/>
      <w:keepLines/>
      <w:spacing w:before="40" w:after="0"/>
      <w:outlineLvl w:val="3"/>
    </w:pPr>
    <w:rPr>
      <w:rFonts w:ascii="Arial" w:eastAsiaTheme="majorEastAsia" w:hAnsi="Arial" w:cs="Arial"/>
      <w:b/>
      <w:bCs/>
      <w:i/>
      <w:iCs/>
    </w:rPr>
  </w:style>
  <w:style w:type="paragraph" w:styleId="Ttulo5">
    <w:name w:val="heading 5"/>
    <w:basedOn w:val="Normal"/>
    <w:next w:val="Normal"/>
    <w:link w:val="Ttulo5Car"/>
    <w:uiPriority w:val="9"/>
    <w:unhideWhenUsed/>
    <w:qFormat/>
    <w:rsid w:val="009D385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3E2E46"/>
    <w:pPr>
      <w:keepNext/>
      <w:keepLines/>
      <w:spacing w:before="40" w:after="0"/>
      <w:outlineLvl w:val="5"/>
    </w:pPr>
    <w:rPr>
      <w:rFonts w:ascii="Arial" w:eastAsiaTheme="majorEastAsia"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40BC6"/>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0BC6"/>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B0556"/>
    <w:rPr>
      <w:rFonts w:ascii="Arial" w:eastAsiaTheme="majorEastAsia" w:hAnsi="Arial" w:cs="Arial"/>
      <w:b/>
      <w:bCs/>
      <w:lang w:val="es-CO"/>
    </w:rPr>
  </w:style>
  <w:style w:type="character" w:customStyle="1" w:styleId="Ttulo2Car">
    <w:name w:val="Título 2 Car"/>
    <w:basedOn w:val="Fuentedeprrafopredeter"/>
    <w:link w:val="Ttulo2"/>
    <w:uiPriority w:val="9"/>
    <w:rsid w:val="00720084"/>
    <w:rPr>
      <w:rFonts w:ascii="Arial" w:eastAsiaTheme="majorEastAsia" w:hAnsi="Arial" w:cs="Arial"/>
      <w:b/>
      <w:bCs/>
      <w:lang w:val="es-CO"/>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uiPriority w:val="34"/>
    <w:qFormat/>
    <w:rsid w:val="00960F83"/>
    <w:pPr>
      <w:ind w:left="720"/>
      <w:contextualSpacing/>
    </w:pPr>
  </w:style>
  <w:style w:type="character" w:customStyle="1" w:styleId="Ttulo3Car">
    <w:name w:val="Título 3 Car"/>
    <w:basedOn w:val="Fuentedeprrafopredeter"/>
    <w:link w:val="Ttulo3"/>
    <w:uiPriority w:val="9"/>
    <w:rsid w:val="00F14C89"/>
    <w:rPr>
      <w:rFonts w:ascii="Arial" w:eastAsiaTheme="majorEastAsia" w:hAnsi="Arial" w:cs="Arial"/>
      <w:b/>
      <w:bCs/>
      <w:i/>
      <w:iCs/>
      <w:lang w:val="es-CO"/>
    </w:rPr>
  </w:style>
  <w:style w:type="paragraph" w:styleId="TtuloTDC">
    <w:name w:val="TOC Heading"/>
    <w:basedOn w:val="Ttulo1"/>
    <w:next w:val="Normal"/>
    <w:uiPriority w:val="39"/>
    <w:unhideWhenUsed/>
    <w:qFormat/>
    <w:rsid w:val="003634DD"/>
    <w:pPr>
      <w:spacing w:after="0" w:line="259" w:lineRule="auto"/>
      <w:outlineLvl w:val="9"/>
    </w:pPr>
    <w:rPr>
      <w:lang w:eastAsia="es-CO"/>
    </w:rPr>
  </w:style>
  <w:style w:type="paragraph" w:styleId="TDC1">
    <w:name w:val="toc 1"/>
    <w:basedOn w:val="Normal"/>
    <w:next w:val="Normal"/>
    <w:autoRedefine/>
    <w:uiPriority w:val="39"/>
    <w:unhideWhenUsed/>
    <w:rsid w:val="0069183D"/>
    <w:pPr>
      <w:tabs>
        <w:tab w:val="right" w:leader="dot" w:pos="9016"/>
      </w:tabs>
      <w:spacing w:after="100"/>
    </w:pPr>
  </w:style>
  <w:style w:type="paragraph" w:styleId="TDC2">
    <w:name w:val="toc 2"/>
    <w:basedOn w:val="Normal"/>
    <w:next w:val="Normal"/>
    <w:autoRedefine/>
    <w:uiPriority w:val="39"/>
    <w:unhideWhenUsed/>
    <w:rsid w:val="003634DD"/>
    <w:pPr>
      <w:spacing w:after="100"/>
      <w:ind w:left="220"/>
    </w:pPr>
  </w:style>
  <w:style w:type="paragraph" w:styleId="TDC3">
    <w:name w:val="toc 3"/>
    <w:basedOn w:val="Normal"/>
    <w:next w:val="Normal"/>
    <w:autoRedefine/>
    <w:uiPriority w:val="39"/>
    <w:unhideWhenUsed/>
    <w:rsid w:val="00DB3B76"/>
    <w:pPr>
      <w:tabs>
        <w:tab w:val="left" w:pos="880"/>
        <w:tab w:val="right" w:leader="dot" w:pos="9016"/>
      </w:tabs>
      <w:spacing w:after="100"/>
      <w:ind w:left="440"/>
    </w:pPr>
  </w:style>
  <w:style w:type="character" w:styleId="Hipervnculo">
    <w:name w:val="Hyperlink"/>
    <w:basedOn w:val="Fuentedeprrafopredeter"/>
    <w:uiPriority w:val="99"/>
    <w:unhideWhenUsed/>
    <w:rsid w:val="003634DD"/>
    <w:rPr>
      <w:color w:val="0563C1" w:themeColor="hyperlink"/>
      <w:u w:val="single"/>
    </w:rPr>
  </w:style>
  <w:style w:type="paragraph" w:styleId="Textonotapie">
    <w:name w:val="footnote text"/>
    <w:basedOn w:val="Normal"/>
    <w:link w:val="TextonotapieCar"/>
    <w:uiPriority w:val="99"/>
    <w:semiHidden/>
    <w:unhideWhenUsed/>
    <w:rsid w:val="00CF5514"/>
    <w:pPr>
      <w:spacing w:before="0" w:after="0"/>
    </w:pPr>
    <w:rPr>
      <w:sz w:val="20"/>
      <w:szCs w:val="20"/>
    </w:rPr>
  </w:style>
  <w:style w:type="character" w:customStyle="1" w:styleId="TextonotapieCar">
    <w:name w:val="Texto nota pie Car"/>
    <w:basedOn w:val="Fuentedeprrafopredeter"/>
    <w:link w:val="Textonotapie"/>
    <w:uiPriority w:val="99"/>
    <w:semiHidden/>
    <w:rsid w:val="00CF5514"/>
    <w:rPr>
      <w:rFonts w:ascii="Calibri Light" w:hAnsi="Calibri Light" w:cs="Calibri Light"/>
      <w:sz w:val="20"/>
      <w:szCs w:val="20"/>
      <w:lang w:val="es-CO"/>
    </w:rPr>
  </w:style>
  <w:style w:type="character" w:styleId="Refdenotaalpie">
    <w:name w:val="footnote reference"/>
    <w:basedOn w:val="Fuentedeprrafopredeter"/>
    <w:uiPriority w:val="99"/>
    <w:semiHidden/>
    <w:unhideWhenUsed/>
    <w:rsid w:val="00CF5514"/>
    <w:rPr>
      <w:vertAlign w:val="superscript"/>
    </w:rPr>
  </w:style>
  <w:style w:type="paragraph" w:styleId="Textoindependiente">
    <w:name w:val="Body Text"/>
    <w:basedOn w:val="Normal"/>
    <w:link w:val="TextoindependienteCar"/>
    <w:qFormat/>
    <w:rsid w:val="001C6818"/>
    <w:pPr>
      <w:widowControl w:val="0"/>
      <w:autoSpaceDE w:val="0"/>
      <w:autoSpaceDN w:val="0"/>
      <w:spacing w:before="0"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C6818"/>
    <w:rPr>
      <w:rFonts w:ascii="Arial MT" w:eastAsia="Arial MT" w:hAnsi="Arial MT" w:cs="Arial MT"/>
    </w:rPr>
  </w:style>
  <w:style w:type="character" w:styleId="Refdecomentario">
    <w:name w:val="annotation reference"/>
    <w:basedOn w:val="Fuentedeprrafopredeter"/>
    <w:uiPriority w:val="99"/>
    <w:semiHidden/>
    <w:unhideWhenUsed/>
    <w:rsid w:val="005460A2"/>
    <w:rPr>
      <w:sz w:val="16"/>
      <w:szCs w:val="16"/>
    </w:rPr>
  </w:style>
  <w:style w:type="paragraph" w:styleId="Textocomentario">
    <w:name w:val="annotation text"/>
    <w:basedOn w:val="Normal"/>
    <w:link w:val="TextocomentarioCar"/>
    <w:uiPriority w:val="99"/>
    <w:unhideWhenUsed/>
    <w:rsid w:val="005460A2"/>
    <w:rPr>
      <w:sz w:val="20"/>
      <w:szCs w:val="20"/>
    </w:rPr>
  </w:style>
  <w:style w:type="character" w:customStyle="1" w:styleId="TextocomentarioCar">
    <w:name w:val="Texto comentario Car"/>
    <w:basedOn w:val="Fuentedeprrafopredeter"/>
    <w:link w:val="Textocomentario"/>
    <w:uiPriority w:val="99"/>
    <w:rsid w:val="005460A2"/>
    <w:rPr>
      <w:rFonts w:ascii="Calibri Light" w:hAnsi="Calibri Light" w:cs="Calibri Light"/>
      <w:sz w:val="20"/>
      <w:szCs w:val="20"/>
      <w:lang w:val="es-CO"/>
    </w:rPr>
  </w:style>
  <w:style w:type="paragraph" w:styleId="Asuntodelcomentario">
    <w:name w:val="annotation subject"/>
    <w:basedOn w:val="Textocomentario"/>
    <w:next w:val="Textocomentario"/>
    <w:link w:val="AsuntodelcomentarioCar"/>
    <w:uiPriority w:val="99"/>
    <w:semiHidden/>
    <w:unhideWhenUsed/>
    <w:rsid w:val="005460A2"/>
    <w:rPr>
      <w:b/>
      <w:bCs/>
    </w:rPr>
  </w:style>
  <w:style w:type="character" w:customStyle="1" w:styleId="AsuntodelcomentarioCar">
    <w:name w:val="Asunto del comentario Car"/>
    <w:basedOn w:val="TextocomentarioCar"/>
    <w:link w:val="Asuntodelcomentario"/>
    <w:uiPriority w:val="99"/>
    <w:semiHidden/>
    <w:rsid w:val="005460A2"/>
    <w:rPr>
      <w:rFonts w:ascii="Calibri Light" w:hAnsi="Calibri Light" w:cs="Calibri Light"/>
      <w:b/>
      <w:bCs/>
      <w:sz w:val="20"/>
      <w:szCs w:val="20"/>
      <w:lang w:val="es-CO"/>
    </w:rPr>
  </w:style>
  <w:style w:type="paragraph" w:styleId="Descripcin">
    <w:name w:val="caption"/>
    <w:basedOn w:val="Normal"/>
    <w:next w:val="Normal"/>
    <w:link w:val="DescripcinCar"/>
    <w:uiPriority w:val="35"/>
    <w:unhideWhenUsed/>
    <w:qFormat/>
    <w:rsid w:val="00961677"/>
    <w:pPr>
      <w:spacing w:before="0" w:after="200"/>
    </w:pPr>
    <w:rPr>
      <w:i/>
      <w:iCs/>
      <w:color w:val="44546A" w:themeColor="text2"/>
      <w:sz w:val="18"/>
      <w:szCs w:val="18"/>
    </w:rPr>
  </w:style>
  <w:style w:type="paragraph" w:customStyle="1" w:styleId="Default">
    <w:name w:val="Default"/>
    <w:rsid w:val="00CC2657"/>
    <w:pPr>
      <w:autoSpaceDE w:val="0"/>
      <w:autoSpaceDN w:val="0"/>
      <w:adjustRightInd w:val="0"/>
      <w:spacing w:after="0" w:line="240" w:lineRule="auto"/>
    </w:pPr>
    <w:rPr>
      <w:rFonts w:ascii="Cambria Math" w:hAnsi="Cambria Math" w:cs="Cambria Math"/>
      <w:color w:val="000000"/>
      <w:sz w:val="24"/>
      <w:szCs w:val="24"/>
      <w:lang w:val="es-CO"/>
    </w:rPr>
  </w:style>
  <w:style w:type="table" w:customStyle="1" w:styleId="Tablaconcuadrcula1">
    <w:name w:val="Tabla con cuadrícula1"/>
    <w:basedOn w:val="Tablanormal"/>
    <w:next w:val="Tablaconcuadrcula"/>
    <w:uiPriority w:val="39"/>
    <w:rsid w:val="004E65F5"/>
    <w:pPr>
      <w:spacing w:after="0" w:line="240" w:lineRule="auto"/>
    </w:pPr>
    <w:rPr>
      <w:rFonts w:eastAsia="Times New Roman"/>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4E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66905"/>
    <w:rPr>
      <w:color w:val="808080"/>
    </w:rPr>
  </w:style>
  <w:style w:type="paragraph" w:styleId="Encabezado">
    <w:name w:val="header"/>
    <w:basedOn w:val="Normal"/>
    <w:link w:val="EncabezadoCar"/>
    <w:unhideWhenUsed/>
    <w:rsid w:val="0038357A"/>
    <w:pPr>
      <w:tabs>
        <w:tab w:val="center" w:pos="4419"/>
        <w:tab w:val="right" w:pos="8838"/>
      </w:tabs>
      <w:spacing w:before="0" w:after="0"/>
    </w:pPr>
  </w:style>
  <w:style w:type="character" w:customStyle="1" w:styleId="EncabezadoCar">
    <w:name w:val="Encabezado Car"/>
    <w:basedOn w:val="Fuentedeprrafopredeter"/>
    <w:link w:val="Encabezado"/>
    <w:uiPriority w:val="99"/>
    <w:rsid w:val="0038357A"/>
    <w:rPr>
      <w:rFonts w:ascii="Calibri Light" w:hAnsi="Calibri Light" w:cs="Calibri Light"/>
      <w:lang w:val="es-CO"/>
    </w:rPr>
  </w:style>
  <w:style w:type="paragraph" w:styleId="Piedepgina">
    <w:name w:val="footer"/>
    <w:basedOn w:val="Normal"/>
    <w:link w:val="PiedepginaCar"/>
    <w:uiPriority w:val="99"/>
    <w:unhideWhenUsed/>
    <w:rsid w:val="0038357A"/>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8357A"/>
    <w:rPr>
      <w:rFonts w:ascii="Calibri Light" w:hAnsi="Calibri Light" w:cs="Calibri Light"/>
      <w:lang w:val="es-CO"/>
    </w:rPr>
  </w:style>
  <w:style w:type="character" w:customStyle="1" w:styleId="Ttulo4Car">
    <w:name w:val="Título 4 Car"/>
    <w:basedOn w:val="Fuentedeprrafopredeter"/>
    <w:link w:val="Ttulo4"/>
    <w:uiPriority w:val="9"/>
    <w:rsid w:val="00732761"/>
    <w:rPr>
      <w:rFonts w:ascii="Arial" w:eastAsiaTheme="majorEastAsia" w:hAnsi="Arial" w:cs="Arial"/>
      <w:b/>
      <w:bCs/>
      <w:i/>
      <w:iCs/>
      <w:lang w:val="es-CO"/>
    </w:rPr>
  </w:style>
  <w:style w:type="paragraph" w:styleId="NormalWeb">
    <w:name w:val="Normal (Web)"/>
    <w:basedOn w:val="Normal"/>
    <w:uiPriority w:val="99"/>
    <w:semiHidden/>
    <w:unhideWhenUsed/>
    <w:rsid w:val="0038357A"/>
    <w:pPr>
      <w:spacing w:before="100" w:beforeAutospacing="1" w:after="100" w:afterAutospacing="1"/>
    </w:pPr>
    <w:rPr>
      <w:rFonts w:ascii="Times New Roman" w:eastAsia="Times New Roman" w:hAnsi="Times New Roman" w:cs="Times New Roman"/>
      <w:sz w:val="24"/>
      <w:szCs w:val="24"/>
      <w:lang w:eastAsia="es-CO"/>
    </w:rPr>
  </w:style>
  <w:style w:type="table" w:styleId="Tablaconcuadrculaclara">
    <w:name w:val="Grid Table Light"/>
    <w:basedOn w:val="Tablanormal"/>
    <w:uiPriority w:val="40"/>
    <w:rsid w:val="00383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link w:val="SubttuloCar"/>
    <w:uiPriority w:val="99"/>
    <w:qFormat/>
    <w:rsid w:val="0038357A"/>
    <w:pPr>
      <w:jc w:val="both"/>
    </w:pPr>
    <w:rPr>
      <w:rFonts w:ascii="Century Gothic" w:eastAsia="Times New Roman" w:hAnsi="Century Gothic" w:cs="Times New Roman"/>
      <w:b/>
      <w:bCs/>
      <w:sz w:val="24"/>
      <w:szCs w:val="24"/>
      <w:lang w:val="es-ES" w:eastAsia="es-ES"/>
    </w:rPr>
  </w:style>
  <w:style w:type="character" w:customStyle="1" w:styleId="SubttuloCar">
    <w:name w:val="Subtítulo Car"/>
    <w:basedOn w:val="Fuentedeprrafopredeter"/>
    <w:link w:val="Subttulo"/>
    <w:uiPriority w:val="99"/>
    <w:rsid w:val="0038357A"/>
    <w:rPr>
      <w:rFonts w:ascii="Century Gothic" w:eastAsia="Times New Roman" w:hAnsi="Century Gothic" w:cs="Times New Roman"/>
      <w:b/>
      <w:bCs/>
      <w:sz w:val="24"/>
      <w:szCs w:val="24"/>
      <w:lang w:eastAsia="es-ES"/>
    </w:r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uiPriority w:val="34"/>
    <w:qFormat/>
    <w:rsid w:val="00524484"/>
    <w:rPr>
      <w:rFonts w:ascii="Calibri Light" w:hAnsi="Calibri Light" w:cs="Calibri Light"/>
      <w:lang w:val="es-CO"/>
    </w:rPr>
  </w:style>
  <w:style w:type="character" w:customStyle="1" w:styleId="DescripcinCar">
    <w:name w:val="Descripción Car"/>
    <w:link w:val="Descripcin"/>
    <w:uiPriority w:val="35"/>
    <w:rsid w:val="00EE7F64"/>
    <w:rPr>
      <w:rFonts w:ascii="Calibri Light" w:hAnsi="Calibri Light" w:cs="Calibri Light"/>
      <w:i/>
      <w:iCs/>
      <w:color w:val="44546A" w:themeColor="text2"/>
      <w:sz w:val="18"/>
      <w:szCs w:val="18"/>
      <w:lang w:val="es-CO"/>
    </w:rPr>
  </w:style>
  <w:style w:type="paragraph" w:styleId="Revisin">
    <w:name w:val="Revision"/>
    <w:hidden/>
    <w:uiPriority w:val="99"/>
    <w:semiHidden/>
    <w:rsid w:val="00BC6D3B"/>
    <w:pPr>
      <w:spacing w:after="0" w:line="240" w:lineRule="auto"/>
    </w:pPr>
    <w:rPr>
      <w:rFonts w:ascii="Calibri Light" w:hAnsi="Calibri Light" w:cs="Calibri Light"/>
      <w:lang w:val="es-CO"/>
    </w:rPr>
  </w:style>
  <w:style w:type="character" w:customStyle="1" w:styleId="Ttulo5Car">
    <w:name w:val="Título 5 Car"/>
    <w:basedOn w:val="Fuentedeprrafopredeter"/>
    <w:link w:val="Ttulo5"/>
    <w:uiPriority w:val="9"/>
    <w:rsid w:val="009D385D"/>
    <w:rPr>
      <w:rFonts w:asciiTheme="majorHAnsi" w:eastAsiaTheme="majorEastAsia" w:hAnsiTheme="majorHAnsi" w:cstheme="majorBidi"/>
      <w:color w:val="2F5496" w:themeColor="accent1" w:themeShade="BF"/>
      <w:lang w:val="es-CO"/>
    </w:rPr>
  </w:style>
  <w:style w:type="character" w:customStyle="1" w:styleId="Ttulo6Car">
    <w:name w:val="Título 6 Car"/>
    <w:basedOn w:val="Fuentedeprrafopredeter"/>
    <w:link w:val="Ttulo6"/>
    <w:uiPriority w:val="9"/>
    <w:rsid w:val="003E2E46"/>
    <w:rPr>
      <w:rFonts w:ascii="Arial" w:eastAsiaTheme="majorEastAsia" w:hAnsi="Arial" w:cs="Arial"/>
      <w:b/>
      <w:bCs/>
      <w:lang w:val="es-CO"/>
    </w:rPr>
  </w:style>
  <w:style w:type="paragraph" w:styleId="Textoindependiente2">
    <w:name w:val="Body Text 2"/>
    <w:basedOn w:val="Normal"/>
    <w:link w:val="Textoindependiente2Car"/>
    <w:uiPriority w:val="99"/>
    <w:semiHidden/>
    <w:unhideWhenUsed/>
    <w:rsid w:val="00557560"/>
    <w:pPr>
      <w:spacing w:after="120" w:line="480" w:lineRule="auto"/>
    </w:pPr>
  </w:style>
  <w:style w:type="character" w:customStyle="1" w:styleId="Textoindependiente2Car">
    <w:name w:val="Texto independiente 2 Car"/>
    <w:basedOn w:val="Fuentedeprrafopredeter"/>
    <w:link w:val="Textoindependiente2"/>
    <w:uiPriority w:val="99"/>
    <w:semiHidden/>
    <w:rsid w:val="00557560"/>
    <w:rPr>
      <w:rFonts w:ascii="Calibri Light" w:hAnsi="Calibri Light" w:cs="Calibri Light"/>
      <w:lang w:val="es-CO"/>
    </w:rPr>
  </w:style>
  <w:style w:type="character" w:styleId="Mencionar">
    <w:name w:val="Mention"/>
    <w:basedOn w:val="Fuentedeprrafopredeter"/>
    <w:uiPriority w:val="99"/>
    <w:unhideWhenUsed/>
    <w:rsid w:val="00471367"/>
    <w:rPr>
      <w:color w:val="2B579A"/>
      <w:shd w:val="clear" w:color="auto" w:fill="E1DFDD"/>
    </w:rPr>
  </w:style>
  <w:style w:type="paragraph" w:customStyle="1" w:styleId="Texto">
    <w:name w:val="Texto"/>
    <w:basedOn w:val="Normal"/>
    <w:qFormat/>
    <w:rsid w:val="00A274E0"/>
    <w:pPr>
      <w:spacing w:before="0" w:after="0" w:line="276" w:lineRule="auto"/>
      <w:jc w:val="both"/>
    </w:pPr>
    <w:rPr>
      <w:rFonts w:ascii="Arial" w:eastAsia="Calibri" w:hAnsi="Arial" w:cs="Arial"/>
    </w:rPr>
  </w:style>
  <w:style w:type="table" w:styleId="Tablaconcuadrcula1clara-nfasis3">
    <w:name w:val="Grid Table 1 Light Accent 3"/>
    <w:basedOn w:val="Tablanormal"/>
    <w:uiPriority w:val="46"/>
    <w:rsid w:val="00CA6D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iaj">
    <w:name w:val="i_aj"/>
    <w:basedOn w:val="Fuentedeprrafopredeter"/>
    <w:rsid w:val="002664AD"/>
  </w:style>
  <w:style w:type="character" w:styleId="Mencinsinresolver">
    <w:name w:val="Unresolved Mention"/>
    <w:basedOn w:val="Fuentedeprrafopredeter"/>
    <w:uiPriority w:val="99"/>
    <w:semiHidden/>
    <w:unhideWhenUsed/>
    <w:rsid w:val="004E7AD4"/>
    <w:rPr>
      <w:color w:val="605E5C"/>
      <w:shd w:val="clear" w:color="auto" w:fill="E1DFDD"/>
    </w:rPr>
  </w:style>
  <w:style w:type="character" w:customStyle="1" w:styleId="ui-provider">
    <w:name w:val="ui-provider"/>
    <w:basedOn w:val="Fuentedeprrafopredeter"/>
    <w:rsid w:val="00C6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715">
      <w:bodyDiv w:val="1"/>
      <w:marLeft w:val="0"/>
      <w:marRight w:val="0"/>
      <w:marTop w:val="0"/>
      <w:marBottom w:val="0"/>
      <w:divBdr>
        <w:top w:val="none" w:sz="0" w:space="0" w:color="auto"/>
        <w:left w:val="none" w:sz="0" w:space="0" w:color="auto"/>
        <w:bottom w:val="none" w:sz="0" w:space="0" w:color="auto"/>
        <w:right w:val="none" w:sz="0" w:space="0" w:color="auto"/>
      </w:divBdr>
    </w:div>
    <w:div w:id="31661424">
      <w:bodyDiv w:val="1"/>
      <w:marLeft w:val="0"/>
      <w:marRight w:val="0"/>
      <w:marTop w:val="0"/>
      <w:marBottom w:val="0"/>
      <w:divBdr>
        <w:top w:val="none" w:sz="0" w:space="0" w:color="auto"/>
        <w:left w:val="none" w:sz="0" w:space="0" w:color="auto"/>
        <w:bottom w:val="none" w:sz="0" w:space="0" w:color="auto"/>
        <w:right w:val="none" w:sz="0" w:space="0" w:color="auto"/>
      </w:divBdr>
      <w:divsChild>
        <w:div w:id="1677418255">
          <w:marLeft w:val="446"/>
          <w:marRight w:val="0"/>
          <w:marTop w:val="0"/>
          <w:marBottom w:val="0"/>
          <w:divBdr>
            <w:top w:val="none" w:sz="0" w:space="0" w:color="auto"/>
            <w:left w:val="none" w:sz="0" w:space="0" w:color="auto"/>
            <w:bottom w:val="none" w:sz="0" w:space="0" w:color="auto"/>
            <w:right w:val="none" w:sz="0" w:space="0" w:color="auto"/>
          </w:divBdr>
        </w:div>
        <w:div w:id="1967465914">
          <w:marLeft w:val="446"/>
          <w:marRight w:val="0"/>
          <w:marTop w:val="0"/>
          <w:marBottom w:val="0"/>
          <w:divBdr>
            <w:top w:val="none" w:sz="0" w:space="0" w:color="auto"/>
            <w:left w:val="none" w:sz="0" w:space="0" w:color="auto"/>
            <w:bottom w:val="none" w:sz="0" w:space="0" w:color="auto"/>
            <w:right w:val="none" w:sz="0" w:space="0" w:color="auto"/>
          </w:divBdr>
        </w:div>
        <w:div w:id="2112241578">
          <w:marLeft w:val="446"/>
          <w:marRight w:val="0"/>
          <w:marTop w:val="0"/>
          <w:marBottom w:val="0"/>
          <w:divBdr>
            <w:top w:val="none" w:sz="0" w:space="0" w:color="auto"/>
            <w:left w:val="none" w:sz="0" w:space="0" w:color="auto"/>
            <w:bottom w:val="none" w:sz="0" w:space="0" w:color="auto"/>
            <w:right w:val="none" w:sz="0" w:space="0" w:color="auto"/>
          </w:divBdr>
        </w:div>
      </w:divsChild>
    </w:div>
    <w:div w:id="32850733">
      <w:bodyDiv w:val="1"/>
      <w:marLeft w:val="0"/>
      <w:marRight w:val="0"/>
      <w:marTop w:val="0"/>
      <w:marBottom w:val="0"/>
      <w:divBdr>
        <w:top w:val="none" w:sz="0" w:space="0" w:color="auto"/>
        <w:left w:val="none" w:sz="0" w:space="0" w:color="auto"/>
        <w:bottom w:val="none" w:sz="0" w:space="0" w:color="auto"/>
        <w:right w:val="none" w:sz="0" w:space="0" w:color="auto"/>
      </w:divBdr>
      <w:divsChild>
        <w:div w:id="64498668">
          <w:marLeft w:val="446"/>
          <w:marRight w:val="0"/>
          <w:marTop w:val="40"/>
          <w:marBottom w:val="40"/>
          <w:divBdr>
            <w:top w:val="none" w:sz="0" w:space="0" w:color="auto"/>
            <w:left w:val="none" w:sz="0" w:space="0" w:color="auto"/>
            <w:bottom w:val="none" w:sz="0" w:space="0" w:color="auto"/>
            <w:right w:val="none" w:sz="0" w:space="0" w:color="auto"/>
          </w:divBdr>
        </w:div>
        <w:div w:id="145168418">
          <w:marLeft w:val="446"/>
          <w:marRight w:val="0"/>
          <w:marTop w:val="40"/>
          <w:marBottom w:val="40"/>
          <w:divBdr>
            <w:top w:val="none" w:sz="0" w:space="0" w:color="auto"/>
            <w:left w:val="none" w:sz="0" w:space="0" w:color="auto"/>
            <w:bottom w:val="none" w:sz="0" w:space="0" w:color="auto"/>
            <w:right w:val="none" w:sz="0" w:space="0" w:color="auto"/>
          </w:divBdr>
        </w:div>
        <w:div w:id="185212681">
          <w:marLeft w:val="446"/>
          <w:marRight w:val="0"/>
          <w:marTop w:val="40"/>
          <w:marBottom w:val="40"/>
          <w:divBdr>
            <w:top w:val="none" w:sz="0" w:space="0" w:color="auto"/>
            <w:left w:val="none" w:sz="0" w:space="0" w:color="auto"/>
            <w:bottom w:val="none" w:sz="0" w:space="0" w:color="auto"/>
            <w:right w:val="none" w:sz="0" w:space="0" w:color="auto"/>
          </w:divBdr>
        </w:div>
        <w:div w:id="414712026">
          <w:marLeft w:val="446"/>
          <w:marRight w:val="0"/>
          <w:marTop w:val="40"/>
          <w:marBottom w:val="40"/>
          <w:divBdr>
            <w:top w:val="none" w:sz="0" w:space="0" w:color="auto"/>
            <w:left w:val="none" w:sz="0" w:space="0" w:color="auto"/>
            <w:bottom w:val="none" w:sz="0" w:space="0" w:color="auto"/>
            <w:right w:val="none" w:sz="0" w:space="0" w:color="auto"/>
          </w:divBdr>
        </w:div>
        <w:div w:id="481235929">
          <w:marLeft w:val="446"/>
          <w:marRight w:val="0"/>
          <w:marTop w:val="40"/>
          <w:marBottom w:val="40"/>
          <w:divBdr>
            <w:top w:val="none" w:sz="0" w:space="0" w:color="auto"/>
            <w:left w:val="none" w:sz="0" w:space="0" w:color="auto"/>
            <w:bottom w:val="none" w:sz="0" w:space="0" w:color="auto"/>
            <w:right w:val="none" w:sz="0" w:space="0" w:color="auto"/>
          </w:divBdr>
        </w:div>
        <w:div w:id="766654891">
          <w:marLeft w:val="446"/>
          <w:marRight w:val="0"/>
          <w:marTop w:val="40"/>
          <w:marBottom w:val="40"/>
          <w:divBdr>
            <w:top w:val="none" w:sz="0" w:space="0" w:color="auto"/>
            <w:left w:val="none" w:sz="0" w:space="0" w:color="auto"/>
            <w:bottom w:val="none" w:sz="0" w:space="0" w:color="auto"/>
            <w:right w:val="none" w:sz="0" w:space="0" w:color="auto"/>
          </w:divBdr>
        </w:div>
        <w:div w:id="853376749">
          <w:marLeft w:val="446"/>
          <w:marRight w:val="0"/>
          <w:marTop w:val="40"/>
          <w:marBottom w:val="40"/>
          <w:divBdr>
            <w:top w:val="none" w:sz="0" w:space="0" w:color="auto"/>
            <w:left w:val="none" w:sz="0" w:space="0" w:color="auto"/>
            <w:bottom w:val="none" w:sz="0" w:space="0" w:color="auto"/>
            <w:right w:val="none" w:sz="0" w:space="0" w:color="auto"/>
          </w:divBdr>
        </w:div>
        <w:div w:id="1680501022">
          <w:marLeft w:val="1166"/>
          <w:marRight w:val="0"/>
          <w:marTop w:val="40"/>
          <w:marBottom w:val="40"/>
          <w:divBdr>
            <w:top w:val="none" w:sz="0" w:space="0" w:color="auto"/>
            <w:left w:val="none" w:sz="0" w:space="0" w:color="auto"/>
            <w:bottom w:val="none" w:sz="0" w:space="0" w:color="auto"/>
            <w:right w:val="none" w:sz="0" w:space="0" w:color="auto"/>
          </w:divBdr>
        </w:div>
        <w:div w:id="1732777221">
          <w:marLeft w:val="1166"/>
          <w:marRight w:val="0"/>
          <w:marTop w:val="40"/>
          <w:marBottom w:val="40"/>
          <w:divBdr>
            <w:top w:val="none" w:sz="0" w:space="0" w:color="auto"/>
            <w:left w:val="none" w:sz="0" w:space="0" w:color="auto"/>
            <w:bottom w:val="none" w:sz="0" w:space="0" w:color="auto"/>
            <w:right w:val="none" w:sz="0" w:space="0" w:color="auto"/>
          </w:divBdr>
        </w:div>
        <w:div w:id="1871988808">
          <w:marLeft w:val="446"/>
          <w:marRight w:val="0"/>
          <w:marTop w:val="40"/>
          <w:marBottom w:val="40"/>
          <w:divBdr>
            <w:top w:val="none" w:sz="0" w:space="0" w:color="auto"/>
            <w:left w:val="none" w:sz="0" w:space="0" w:color="auto"/>
            <w:bottom w:val="none" w:sz="0" w:space="0" w:color="auto"/>
            <w:right w:val="none" w:sz="0" w:space="0" w:color="auto"/>
          </w:divBdr>
        </w:div>
        <w:div w:id="1952977365">
          <w:marLeft w:val="446"/>
          <w:marRight w:val="0"/>
          <w:marTop w:val="40"/>
          <w:marBottom w:val="40"/>
          <w:divBdr>
            <w:top w:val="none" w:sz="0" w:space="0" w:color="auto"/>
            <w:left w:val="none" w:sz="0" w:space="0" w:color="auto"/>
            <w:bottom w:val="none" w:sz="0" w:space="0" w:color="auto"/>
            <w:right w:val="none" w:sz="0" w:space="0" w:color="auto"/>
          </w:divBdr>
        </w:div>
      </w:divsChild>
    </w:div>
    <w:div w:id="79453092">
      <w:bodyDiv w:val="1"/>
      <w:marLeft w:val="0"/>
      <w:marRight w:val="0"/>
      <w:marTop w:val="0"/>
      <w:marBottom w:val="0"/>
      <w:divBdr>
        <w:top w:val="none" w:sz="0" w:space="0" w:color="auto"/>
        <w:left w:val="none" w:sz="0" w:space="0" w:color="auto"/>
        <w:bottom w:val="none" w:sz="0" w:space="0" w:color="auto"/>
        <w:right w:val="none" w:sz="0" w:space="0" w:color="auto"/>
      </w:divBdr>
      <w:divsChild>
        <w:div w:id="69498544">
          <w:marLeft w:val="274"/>
          <w:marRight w:val="0"/>
          <w:marTop w:val="0"/>
          <w:marBottom w:val="0"/>
          <w:divBdr>
            <w:top w:val="none" w:sz="0" w:space="0" w:color="auto"/>
            <w:left w:val="none" w:sz="0" w:space="0" w:color="auto"/>
            <w:bottom w:val="none" w:sz="0" w:space="0" w:color="auto"/>
            <w:right w:val="none" w:sz="0" w:space="0" w:color="auto"/>
          </w:divBdr>
        </w:div>
        <w:div w:id="99763917">
          <w:marLeft w:val="274"/>
          <w:marRight w:val="0"/>
          <w:marTop w:val="0"/>
          <w:marBottom w:val="0"/>
          <w:divBdr>
            <w:top w:val="none" w:sz="0" w:space="0" w:color="auto"/>
            <w:left w:val="none" w:sz="0" w:space="0" w:color="auto"/>
            <w:bottom w:val="none" w:sz="0" w:space="0" w:color="auto"/>
            <w:right w:val="none" w:sz="0" w:space="0" w:color="auto"/>
          </w:divBdr>
        </w:div>
        <w:div w:id="942690388">
          <w:marLeft w:val="274"/>
          <w:marRight w:val="0"/>
          <w:marTop w:val="0"/>
          <w:marBottom w:val="0"/>
          <w:divBdr>
            <w:top w:val="none" w:sz="0" w:space="0" w:color="auto"/>
            <w:left w:val="none" w:sz="0" w:space="0" w:color="auto"/>
            <w:bottom w:val="none" w:sz="0" w:space="0" w:color="auto"/>
            <w:right w:val="none" w:sz="0" w:space="0" w:color="auto"/>
          </w:divBdr>
        </w:div>
        <w:div w:id="1030687527">
          <w:marLeft w:val="274"/>
          <w:marRight w:val="0"/>
          <w:marTop w:val="0"/>
          <w:marBottom w:val="0"/>
          <w:divBdr>
            <w:top w:val="none" w:sz="0" w:space="0" w:color="auto"/>
            <w:left w:val="none" w:sz="0" w:space="0" w:color="auto"/>
            <w:bottom w:val="none" w:sz="0" w:space="0" w:color="auto"/>
            <w:right w:val="none" w:sz="0" w:space="0" w:color="auto"/>
          </w:divBdr>
        </w:div>
        <w:div w:id="1395470812">
          <w:marLeft w:val="274"/>
          <w:marRight w:val="0"/>
          <w:marTop w:val="0"/>
          <w:marBottom w:val="0"/>
          <w:divBdr>
            <w:top w:val="none" w:sz="0" w:space="0" w:color="auto"/>
            <w:left w:val="none" w:sz="0" w:space="0" w:color="auto"/>
            <w:bottom w:val="none" w:sz="0" w:space="0" w:color="auto"/>
            <w:right w:val="none" w:sz="0" w:space="0" w:color="auto"/>
          </w:divBdr>
        </w:div>
        <w:div w:id="1732651473">
          <w:marLeft w:val="274"/>
          <w:marRight w:val="0"/>
          <w:marTop w:val="0"/>
          <w:marBottom w:val="0"/>
          <w:divBdr>
            <w:top w:val="none" w:sz="0" w:space="0" w:color="auto"/>
            <w:left w:val="none" w:sz="0" w:space="0" w:color="auto"/>
            <w:bottom w:val="none" w:sz="0" w:space="0" w:color="auto"/>
            <w:right w:val="none" w:sz="0" w:space="0" w:color="auto"/>
          </w:divBdr>
        </w:div>
        <w:div w:id="1762751840">
          <w:marLeft w:val="274"/>
          <w:marRight w:val="0"/>
          <w:marTop w:val="0"/>
          <w:marBottom w:val="0"/>
          <w:divBdr>
            <w:top w:val="none" w:sz="0" w:space="0" w:color="auto"/>
            <w:left w:val="none" w:sz="0" w:space="0" w:color="auto"/>
            <w:bottom w:val="none" w:sz="0" w:space="0" w:color="auto"/>
            <w:right w:val="none" w:sz="0" w:space="0" w:color="auto"/>
          </w:divBdr>
        </w:div>
      </w:divsChild>
    </w:div>
    <w:div w:id="194269512">
      <w:bodyDiv w:val="1"/>
      <w:marLeft w:val="0"/>
      <w:marRight w:val="0"/>
      <w:marTop w:val="0"/>
      <w:marBottom w:val="0"/>
      <w:divBdr>
        <w:top w:val="none" w:sz="0" w:space="0" w:color="auto"/>
        <w:left w:val="none" w:sz="0" w:space="0" w:color="auto"/>
        <w:bottom w:val="none" w:sz="0" w:space="0" w:color="auto"/>
        <w:right w:val="none" w:sz="0" w:space="0" w:color="auto"/>
      </w:divBdr>
      <w:divsChild>
        <w:div w:id="63570955">
          <w:marLeft w:val="1166"/>
          <w:marRight w:val="0"/>
          <w:marTop w:val="0"/>
          <w:marBottom w:val="0"/>
          <w:divBdr>
            <w:top w:val="none" w:sz="0" w:space="0" w:color="auto"/>
            <w:left w:val="none" w:sz="0" w:space="0" w:color="auto"/>
            <w:bottom w:val="none" w:sz="0" w:space="0" w:color="auto"/>
            <w:right w:val="none" w:sz="0" w:space="0" w:color="auto"/>
          </w:divBdr>
        </w:div>
        <w:div w:id="258023114">
          <w:marLeft w:val="446"/>
          <w:marRight w:val="0"/>
          <w:marTop w:val="0"/>
          <w:marBottom w:val="0"/>
          <w:divBdr>
            <w:top w:val="none" w:sz="0" w:space="0" w:color="auto"/>
            <w:left w:val="none" w:sz="0" w:space="0" w:color="auto"/>
            <w:bottom w:val="none" w:sz="0" w:space="0" w:color="auto"/>
            <w:right w:val="none" w:sz="0" w:space="0" w:color="auto"/>
          </w:divBdr>
        </w:div>
        <w:div w:id="359356525">
          <w:marLeft w:val="446"/>
          <w:marRight w:val="0"/>
          <w:marTop w:val="0"/>
          <w:marBottom w:val="0"/>
          <w:divBdr>
            <w:top w:val="none" w:sz="0" w:space="0" w:color="auto"/>
            <w:left w:val="none" w:sz="0" w:space="0" w:color="auto"/>
            <w:bottom w:val="none" w:sz="0" w:space="0" w:color="auto"/>
            <w:right w:val="none" w:sz="0" w:space="0" w:color="auto"/>
          </w:divBdr>
        </w:div>
        <w:div w:id="391779072">
          <w:marLeft w:val="446"/>
          <w:marRight w:val="0"/>
          <w:marTop w:val="0"/>
          <w:marBottom w:val="0"/>
          <w:divBdr>
            <w:top w:val="none" w:sz="0" w:space="0" w:color="auto"/>
            <w:left w:val="none" w:sz="0" w:space="0" w:color="auto"/>
            <w:bottom w:val="none" w:sz="0" w:space="0" w:color="auto"/>
            <w:right w:val="none" w:sz="0" w:space="0" w:color="auto"/>
          </w:divBdr>
        </w:div>
        <w:div w:id="505244445">
          <w:marLeft w:val="446"/>
          <w:marRight w:val="0"/>
          <w:marTop w:val="0"/>
          <w:marBottom w:val="0"/>
          <w:divBdr>
            <w:top w:val="none" w:sz="0" w:space="0" w:color="auto"/>
            <w:left w:val="none" w:sz="0" w:space="0" w:color="auto"/>
            <w:bottom w:val="none" w:sz="0" w:space="0" w:color="auto"/>
            <w:right w:val="none" w:sz="0" w:space="0" w:color="auto"/>
          </w:divBdr>
        </w:div>
        <w:div w:id="1214465070">
          <w:marLeft w:val="446"/>
          <w:marRight w:val="0"/>
          <w:marTop w:val="0"/>
          <w:marBottom w:val="0"/>
          <w:divBdr>
            <w:top w:val="none" w:sz="0" w:space="0" w:color="auto"/>
            <w:left w:val="none" w:sz="0" w:space="0" w:color="auto"/>
            <w:bottom w:val="none" w:sz="0" w:space="0" w:color="auto"/>
            <w:right w:val="none" w:sz="0" w:space="0" w:color="auto"/>
          </w:divBdr>
        </w:div>
        <w:div w:id="1223563294">
          <w:marLeft w:val="1166"/>
          <w:marRight w:val="0"/>
          <w:marTop w:val="0"/>
          <w:marBottom w:val="0"/>
          <w:divBdr>
            <w:top w:val="none" w:sz="0" w:space="0" w:color="auto"/>
            <w:left w:val="none" w:sz="0" w:space="0" w:color="auto"/>
            <w:bottom w:val="none" w:sz="0" w:space="0" w:color="auto"/>
            <w:right w:val="none" w:sz="0" w:space="0" w:color="auto"/>
          </w:divBdr>
        </w:div>
        <w:div w:id="1550073509">
          <w:marLeft w:val="446"/>
          <w:marRight w:val="0"/>
          <w:marTop w:val="0"/>
          <w:marBottom w:val="0"/>
          <w:divBdr>
            <w:top w:val="none" w:sz="0" w:space="0" w:color="auto"/>
            <w:left w:val="none" w:sz="0" w:space="0" w:color="auto"/>
            <w:bottom w:val="none" w:sz="0" w:space="0" w:color="auto"/>
            <w:right w:val="none" w:sz="0" w:space="0" w:color="auto"/>
          </w:divBdr>
        </w:div>
        <w:div w:id="1669090387">
          <w:marLeft w:val="1166"/>
          <w:marRight w:val="0"/>
          <w:marTop w:val="0"/>
          <w:marBottom w:val="0"/>
          <w:divBdr>
            <w:top w:val="none" w:sz="0" w:space="0" w:color="auto"/>
            <w:left w:val="none" w:sz="0" w:space="0" w:color="auto"/>
            <w:bottom w:val="none" w:sz="0" w:space="0" w:color="auto"/>
            <w:right w:val="none" w:sz="0" w:space="0" w:color="auto"/>
          </w:divBdr>
        </w:div>
        <w:div w:id="1703165098">
          <w:marLeft w:val="446"/>
          <w:marRight w:val="0"/>
          <w:marTop w:val="0"/>
          <w:marBottom w:val="0"/>
          <w:divBdr>
            <w:top w:val="none" w:sz="0" w:space="0" w:color="auto"/>
            <w:left w:val="none" w:sz="0" w:space="0" w:color="auto"/>
            <w:bottom w:val="none" w:sz="0" w:space="0" w:color="auto"/>
            <w:right w:val="none" w:sz="0" w:space="0" w:color="auto"/>
          </w:divBdr>
        </w:div>
        <w:div w:id="1707754651">
          <w:marLeft w:val="446"/>
          <w:marRight w:val="0"/>
          <w:marTop w:val="0"/>
          <w:marBottom w:val="0"/>
          <w:divBdr>
            <w:top w:val="none" w:sz="0" w:space="0" w:color="auto"/>
            <w:left w:val="none" w:sz="0" w:space="0" w:color="auto"/>
            <w:bottom w:val="none" w:sz="0" w:space="0" w:color="auto"/>
            <w:right w:val="none" w:sz="0" w:space="0" w:color="auto"/>
          </w:divBdr>
        </w:div>
        <w:div w:id="1978024071">
          <w:marLeft w:val="446"/>
          <w:marRight w:val="0"/>
          <w:marTop w:val="0"/>
          <w:marBottom w:val="0"/>
          <w:divBdr>
            <w:top w:val="none" w:sz="0" w:space="0" w:color="auto"/>
            <w:left w:val="none" w:sz="0" w:space="0" w:color="auto"/>
            <w:bottom w:val="none" w:sz="0" w:space="0" w:color="auto"/>
            <w:right w:val="none" w:sz="0" w:space="0" w:color="auto"/>
          </w:divBdr>
        </w:div>
      </w:divsChild>
    </w:div>
    <w:div w:id="196042734">
      <w:bodyDiv w:val="1"/>
      <w:marLeft w:val="0"/>
      <w:marRight w:val="0"/>
      <w:marTop w:val="0"/>
      <w:marBottom w:val="0"/>
      <w:divBdr>
        <w:top w:val="none" w:sz="0" w:space="0" w:color="auto"/>
        <w:left w:val="none" w:sz="0" w:space="0" w:color="auto"/>
        <w:bottom w:val="none" w:sz="0" w:space="0" w:color="auto"/>
        <w:right w:val="none" w:sz="0" w:space="0" w:color="auto"/>
      </w:divBdr>
      <w:divsChild>
        <w:div w:id="377317957">
          <w:marLeft w:val="446"/>
          <w:marRight w:val="0"/>
          <w:marTop w:val="0"/>
          <w:marBottom w:val="0"/>
          <w:divBdr>
            <w:top w:val="none" w:sz="0" w:space="0" w:color="auto"/>
            <w:left w:val="none" w:sz="0" w:space="0" w:color="auto"/>
            <w:bottom w:val="none" w:sz="0" w:space="0" w:color="auto"/>
            <w:right w:val="none" w:sz="0" w:space="0" w:color="auto"/>
          </w:divBdr>
        </w:div>
      </w:divsChild>
    </w:div>
    <w:div w:id="310328444">
      <w:bodyDiv w:val="1"/>
      <w:marLeft w:val="0"/>
      <w:marRight w:val="0"/>
      <w:marTop w:val="0"/>
      <w:marBottom w:val="0"/>
      <w:divBdr>
        <w:top w:val="none" w:sz="0" w:space="0" w:color="auto"/>
        <w:left w:val="none" w:sz="0" w:space="0" w:color="auto"/>
        <w:bottom w:val="none" w:sz="0" w:space="0" w:color="auto"/>
        <w:right w:val="none" w:sz="0" w:space="0" w:color="auto"/>
      </w:divBdr>
    </w:div>
    <w:div w:id="330914420">
      <w:bodyDiv w:val="1"/>
      <w:marLeft w:val="0"/>
      <w:marRight w:val="0"/>
      <w:marTop w:val="0"/>
      <w:marBottom w:val="0"/>
      <w:divBdr>
        <w:top w:val="none" w:sz="0" w:space="0" w:color="auto"/>
        <w:left w:val="none" w:sz="0" w:space="0" w:color="auto"/>
        <w:bottom w:val="none" w:sz="0" w:space="0" w:color="auto"/>
        <w:right w:val="none" w:sz="0" w:space="0" w:color="auto"/>
      </w:divBdr>
    </w:div>
    <w:div w:id="391930999">
      <w:bodyDiv w:val="1"/>
      <w:marLeft w:val="0"/>
      <w:marRight w:val="0"/>
      <w:marTop w:val="0"/>
      <w:marBottom w:val="0"/>
      <w:divBdr>
        <w:top w:val="none" w:sz="0" w:space="0" w:color="auto"/>
        <w:left w:val="none" w:sz="0" w:space="0" w:color="auto"/>
        <w:bottom w:val="none" w:sz="0" w:space="0" w:color="auto"/>
        <w:right w:val="none" w:sz="0" w:space="0" w:color="auto"/>
      </w:divBdr>
    </w:div>
    <w:div w:id="405684095">
      <w:bodyDiv w:val="1"/>
      <w:marLeft w:val="0"/>
      <w:marRight w:val="0"/>
      <w:marTop w:val="0"/>
      <w:marBottom w:val="0"/>
      <w:divBdr>
        <w:top w:val="none" w:sz="0" w:space="0" w:color="auto"/>
        <w:left w:val="none" w:sz="0" w:space="0" w:color="auto"/>
        <w:bottom w:val="none" w:sz="0" w:space="0" w:color="auto"/>
        <w:right w:val="none" w:sz="0" w:space="0" w:color="auto"/>
      </w:divBdr>
    </w:div>
    <w:div w:id="456097243">
      <w:bodyDiv w:val="1"/>
      <w:marLeft w:val="0"/>
      <w:marRight w:val="0"/>
      <w:marTop w:val="0"/>
      <w:marBottom w:val="0"/>
      <w:divBdr>
        <w:top w:val="none" w:sz="0" w:space="0" w:color="auto"/>
        <w:left w:val="none" w:sz="0" w:space="0" w:color="auto"/>
        <w:bottom w:val="none" w:sz="0" w:space="0" w:color="auto"/>
        <w:right w:val="none" w:sz="0" w:space="0" w:color="auto"/>
      </w:divBdr>
    </w:div>
    <w:div w:id="539131307">
      <w:bodyDiv w:val="1"/>
      <w:marLeft w:val="0"/>
      <w:marRight w:val="0"/>
      <w:marTop w:val="0"/>
      <w:marBottom w:val="0"/>
      <w:divBdr>
        <w:top w:val="none" w:sz="0" w:space="0" w:color="auto"/>
        <w:left w:val="none" w:sz="0" w:space="0" w:color="auto"/>
        <w:bottom w:val="none" w:sz="0" w:space="0" w:color="auto"/>
        <w:right w:val="none" w:sz="0" w:space="0" w:color="auto"/>
      </w:divBdr>
      <w:divsChild>
        <w:div w:id="261300465">
          <w:marLeft w:val="547"/>
          <w:marRight w:val="0"/>
          <w:marTop w:val="0"/>
          <w:marBottom w:val="0"/>
          <w:divBdr>
            <w:top w:val="none" w:sz="0" w:space="0" w:color="auto"/>
            <w:left w:val="none" w:sz="0" w:space="0" w:color="auto"/>
            <w:bottom w:val="none" w:sz="0" w:space="0" w:color="auto"/>
            <w:right w:val="none" w:sz="0" w:space="0" w:color="auto"/>
          </w:divBdr>
        </w:div>
        <w:div w:id="325401519">
          <w:marLeft w:val="547"/>
          <w:marRight w:val="0"/>
          <w:marTop w:val="0"/>
          <w:marBottom w:val="0"/>
          <w:divBdr>
            <w:top w:val="none" w:sz="0" w:space="0" w:color="auto"/>
            <w:left w:val="none" w:sz="0" w:space="0" w:color="auto"/>
            <w:bottom w:val="none" w:sz="0" w:space="0" w:color="auto"/>
            <w:right w:val="none" w:sz="0" w:space="0" w:color="auto"/>
          </w:divBdr>
        </w:div>
        <w:div w:id="391543107">
          <w:marLeft w:val="547"/>
          <w:marRight w:val="0"/>
          <w:marTop w:val="0"/>
          <w:marBottom w:val="0"/>
          <w:divBdr>
            <w:top w:val="none" w:sz="0" w:space="0" w:color="auto"/>
            <w:left w:val="none" w:sz="0" w:space="0" w:color="auto"/>
            <w:bottom w:val="none" w:sz="0" w:space="0" w:color="auto"/>
            <w:right w:val="none" w:sz="0" w:space="0" w:color="auto"/>
          </w:divBdr>
        </w:div>
        <w:div w:id="1217206587">
          <w:marLeft w:val="547"/>
          <w:marRight w:val="0"/>
          <w:marTop w:val="0"/>
          <w:marBottom w:val="0"/>
          <w:divBdr>
            <w:top w:val="none" w:sz="0" w:space="0" w:color="auto"/>
            <w:left w:val="none" w:sz="0" w:space="0" w:color="auto"/>
            <w:bottom w:val="none" w:sz="0" w:space="0" w:color="auto"/>
            <w:right w:val="none" w:sz="0" w:space="0" w:color="auto"/>
          </w:divBdr>
        </w:div>
        <w:div w:id="1273442710">
          <w:marLeft w:val="547"/>
          <w:marRight w:val="0"/>
          <w:marTop w:val="0"/>
          <w:marBottom w:val="0"/>
          <w:divBdr>
            <w:top w:val="none" w:sz="0" w:space="0" w:color="auto"/>
            <w:left w:val="none" w:sz="0" w:space="0" w:color="auto"/>
            <w:bottom w:val="none" w:sz="0" w:space="0" w:color="auto"/>
            <w:right w:val="none" w:sz="0" w:space="0" w:color="auto"/>
          </w:divBdr>
        </w:div>
        <w:div w:id="1362315919">
          <w:marLeft w:val="547"/>
          <w:marRight w:val="0"/>
          <w:marTop w:val="0"/>
          <w:marBottom w:val="0"/>
          <w:divBdr>
            <w:top w:val="none" w:sz="0" w:space="0" w:color="auto"/>
            <w:left w:val="none" w:sz="0" w:space="0" w:color="auto"/>
            <w:bottom w:val="none" w:sz="0" w:space="0" w:color="auto"/>
            <w:right w:val="none" w:sz="0" w:space="0" w:color="auto"/>
          </w:divBdr>
        </w:div>
        <w:div w:id="1440947538">
          <w:marLeft w:val="547"/>
          <w:marRight w:val="0"/>
          <w:marTop w:val="0"/>
          <w:marBottom w:val="0"/>
          <w:divBdr>
            <w:top w:val="none" w:sz="0" w:space="0" w:color="auto"/>
            <w:left w:val="none" w:sz="0" w:space="0" w:color="auto"/>
            <w:bottom w:val="none" w:sz="0" w:space="0" w:color="auto"/>
            <w:right w:val="none" w:sz="0" w:space="0" w:color="auto"/>
          </w:divBdr>
        </w:div>
        <w:div w:id="1649701663">
          <w:marLeft w:val="547"/>
          <w:marRight w:val="0"/>
          <w:marTop w:val="0"/>
          <w:marBottom w:val="0"/>
          <w:divBdr>
            <w:top w:val="none" w:sz="0" w:space="0" w:color="auto"/>
            <w:left w:val="none" w:sz="0" w:space="0" w:color="auto"/>
            <w:bottom w:val="none" w:sz="0" w:space="0" w:color="auto"/>
            <w:right w:val="none" w:sz="0" w:space="0" w:color="auto"/>
          </w:divBdr>
        </w:div>
        <w:div w:id="1946185969">
          <w:marLeft w:val="547"/>
          <w:marRight w:val="0"/>
          <w:marTop w:val="0"/>
          <w:marBottom w:val="0"/>
          <w:divBdr>
            <w:top w:val="none" w:sz="0" w:space="0" w:color="auto"/>
            <w:left w:val="none" w:sz="0" w:space="0" w:color="auto"/>
            <w:bottom w:val="none" w:sz="0" w:space="0" w:color="auto"/>
            <w:right w:val="none" w:sz="0" w:space="0" w:color="auto"/>
          </w:divBdr>
        </w:div>
      </w:divsChild>
    </w:div>
    <w:div w:id="599679480">
      <w:bodyDiv w:val="1"/>
      <w:marLeft w:val="0"/>
      <w:marRight w:val="0"/>
      <w:marTop w:val="0"/>
      <w:marBottom w:val="0"/>
      <w:divBdr>
        <w:top w:val="none" w:sz="0" w:space="0" w:color="auto"/>
        <w:left w:val="none" w:sz="0" w:space="0" w:color="auto"/>
        <w:bottom w:val="none" w:sz="0" w:space="0" w:color="auto"/>
        <w:right w:val="none" w:sz="0" w:space="0" w:color="auto"/>
      </w:divBdr>
    </w:div>
    <w:div w:id="660619928">
      <w:bodyDiv w:val="1"/>
      <w:marLeft w:val="0"/>
      <w:marRight w:val="0"/>
      <w:marTop w:val="0"/>
      <w:marBottom w:val="0"/>
      <w:divBdr>
        <w:top w:val="none" w:sz="0" w:space="0" w:color="auto"/>
        <w:left w:val="none" w:sz="0" w:space="0" w:color="auto"/>
        <w:bottom w:val="none" w:sz="0" w:space="0" w:color="auto"/>
        <w:right w:val="none" w:sz="0" w:space="0" w:color="auto"/>
      </w:divBdr>
    </w:div>
    <w:div w:id="662273543">
      <w:bodyDiv w:val="1"/>
      <w:marLeft w:val="0"/>
      <w:marRight w:val="0"/>
      <w:marTop w:val="0"/>
      <w:marBottom w:val="0"/>
      <w:divBdr>
        <w:top w:val="none" w:sz="0" w:space="0" w:color="auto"/>
        <w:left w:val="none" w:sz="0" w:space="0" w:color="auto"/>
        <w:bottom w:val="none" w:sz="0" w:space="0" w:color="auto"/>
        <w:right w:val="none" w:sz="0" w:space="0" w:color="auto"/>
      </w:divBdr>
    </w:div>
    <w:div w:id="687407552">
      <w:bodyDiv w:val="1"/>
      <w:marLeft w:val="0"/>
      <w:marRight w:val="0"/>
      <w:marTop w:val="0"/>
      <w:marBottom w:val="0"/>
      <w:divBdr>
        <w:top w:val="none" w:sz="0" w:space="0" w:color="auto"/>
        <w:left w:val="none" w:sz="0" w:space="0" w:color="auto"/>
        <w:bottom w:val="none" w:sz="0" w:space="0" w:color="auto"/>
        <w:right w:val="none" w:sz="0" w:space="0" w:color="auto"/>
      </w:divBdr>
      <w:divsChild>
        <w:div w:id="52697908">
          <w:marLeft w:val="547"/>
          <w:marRight w:val="0"/>
          <w:marTop w:val="0"/>
          <w:marBottom w:val="0"/>
          <w:divBdr>
            <w:top w:val="none" w:sz="0" w:space="0" w:color="auto"/>
            <w:left w:val="none" w:sz="0" w:space="0" w:color="auto"/>
            <w:bottom w:val="none" w:sz="0" w:space="0" w:color="auto"/>
            <w:right w:val="none" w:sz="0" w:space="0" w:color="auto"/>
          </w:divBdr>
        </w:div>
        <w:div w:id="54208766">
          <w:marLeft w:val="547"/>
          <w:marRight w:val="0"/>
          <w:marTop w:val="0"/>
          <w:marBottom w:val="0"/>
          <w:divBdr>
            <w:top w:val="none" w:sz="0" w:space="0" w:color="auto"/>
            <w:left w:val="none" w:sz="0" w:space="0" w:color="auto"/>
            <w:bottom w:val="none" w:sz="0" w:space="0" w:color="auto"/>
            <w:right w:val="none" w:sz="0" w:space="0" w:color="auto"/>
          </w:divBdr>
        </w:div>
        <w:div w:id="318340798">
          <w:marLeft w:val="547"/>
          <w:marRight w:val="0"/>
          <w:marTop w:val="0"/>
          <w:marBottom w:val="0"/>
          <w:divBdr>
            <w:top w:val="none" w:sz="0" w:space="0" w:color="auto"/>
            <w:left w:val="none" w:sz="0" w:space="0" w:color="auto"/>
            <w:bottom w:val="none" w:sz="0" w:space="0" w:color="auto"/>
            <w:right w:val="none" w:sz="0" w:space="0" w:color="auto"/>
          </w:divBdr>
        </w:div>
        <w:div w:id="386491802">
          <w:marLeft w:val="547"/>
          <w:marRight w:val="0"/>
          <w:marTop w:val="0"/>
          <w:marBottom w:val="0"/>
          <w:divBdr>
            <w:top w:val="none" w:sz="0" w:space="0" w:color="auto"/>
            <w:left w:val="none" w:sz="0" w:space="0" w:color="auto"/>
            <w:bottom w:val="none" w:sz="0" w:space="0" w:color="auto"/>
            <w:right w:val="none" w:sz="0" w:space="0" w:color="auto"/>
          </w:divBdr>
        </w:div>
        <w:div w:id="388580849">
          <w:marLeft w:val="547"/>
          <w:marRight w:val="0"/>
          <w:marTop w:val="0"/>
          <w:marBottom w:val="0"/>
          <w:divBdr>
            <w:top w:val="none" w:sz="0" w:space="0" w:color="auto"/>
            <w:left w:val="none" w:sz="0" w:space="0" w:color="auto"/>
            <w:bottom w:val="none" w:sz="0" w:space="0" w:color="auto"/>
            <w:right w:val="none" w:sz="0" w:space="0" w:color="auto"/>
          </w:divBdr>
        </w:div>
        <w:div w:id="679427691">
          <w:marLeft w:val="547"/>
          <w:marRight w:val="0"/>
          <w:marTop w:val="0"/>
          <w:marBottom w:val="0"/>
          <w:divBdr>
            <w:top w:val="none" w:sz="0" w:space="0" w:color="auto"/>
            <w:left w:val="none" w:sz="0" w:space="0" w:color="auto"/>
            <w:bottom w:val="none" w:sz="0" w:space="0" w:color="auto"/>
            <w:right w:val="none" w:sz="0" w:space="0" w:color="auto"/>
          </w:divBdr>
        </w:div>
        <w:div w:id="825126744">
          <w:marLeft w:val="547"/>
          <w:marRight w:val="0"/>
          <w:marTop w:val="0"/>
          <w:marBottom w:val="0"/>
          <w:divBdr>
            <w:top w:val="none" w:sz="0" w:space="0" w:color="auto"/>
            <w:left w:val="none" w:sz="0" w:space="0" w:color="auto"/>
            <w:bottom w:val="none" w:sz="0" w:space="0" w:color="auto"/>
            <w:right w:val="none" w:sz="0" w:space="0" w:color="auto"/>
          </w:divBdr>
        </w:div>
        <w:div w:id="1302418507">
          <w:marLeft w:val="547"/>
          <w:marRight w:val="0"/>
          <w:marTop w:val="0"/>
          <w:marBottom w:val="0"/>
          <w:divBdr>
            <w:top w:val="none" w:sz="0" w:space="0" w:color="auto"/>
            <w:left w:val="none" w:sz="0" w:space="0" w:color="auto"/>
            <w:bottom w:val="none" w:sz="0" w:space="0" w:color="auto"/>
            <w:right w:val="none" w:sz="0" w:space="0" w:color="auto"/>
          </w:divBdr>
        </w:div>
        <w:div w:id="1617180960">
          <w:marLeft w:val="547"/>
          <w:marRight w:val="0"/>
          <w:marTop w:val="0"/>
          <w:marBottom w:val="0"/>
          <w:divBdr>
            <w:top w:val="none" w:sz="0" w:space="0" w:color="auto"/>
            <w:left w:val="none" w:sz="0" w:space="0" w:color="auto"/>
            <w:bottom w:val="none" w:sz="0" w:space="0" w:color="auto"/>
            <w:right w:val="none" w:sz="0" w:space="0" w:color="auto"/>
          </w:divBdr>
        </w:div>
        <w:div w:id="1652563937">
          <w:marLeft w:val="547"/>
          <w:marRight w:val="0"/>
          <w:marTop w:val="0"/>
          <w:marBottom w:val="0"/>
          <w:divBdr>
            <w:top w:val="none" w:sz="0" w:space="0" w:color="auto"/>
            <w:left w:val="none" w:sz="0" w:space="0" w:color="auto"/>
            <w:bottom w:val="none" w:sz="0" w:space="0" w:color="auto"/>
            <w:right w:val="none" w:sz="0" w:space="0" w:color="auto"/>
          </w:divBdr>
        </w:div>
        <w:div w:id="1823690129">
          <w:marLeft w:val="547"/>
          <w:marRight w:val="0"/>
          <w:marTop w:val="0"/>
          <w:marBottom w:val="0"/>
          <w:divBdr>
            <w:top w:val="none" w:sz="0" w:space="0" w:color="auto"/>
            <w:left w:val="none" w:sz="0" w:space="0" w:color="auto"/>
            <w:bottom w:val="none" w:sz="0" w:space="0" w:color="auto"/>
            <w:right w:val="none" w:sz="0" w:space="0" w:color="auto"/>
          </w:divBdr>
        </w:div>
        <w:div w:id="1881476133">
          <w:marLeft w:val="547"/>
          <w:marRight w:val="0"/>
          <w:marTop w:val="0"/>
          <w:marBottom w:val="0"/>
          <w:divBdr>
            <w:top w:val="none" w:sz="0" w:space="0" w:color="auto"/>
            <w:left w:val="none" w:sz="0" w:space="0" w:color="auto"/>
            <w:bottom w:val="none" w:sz="0" w:space="0" w:color="auto"/>
            <w:right w:val="none" w:sz="0" w:space="0" w:color="auto"/>
          </w:divBdr>
        </w:div>
        <w:div w:id="1893075864">
          <w:marLeft w:val="547"/>
          <w:marRight w:val="0"/>
          <w:marTop w:val="0"/>
          <w:marBottom w:val="0"/>
          <w:divBdr>
            <w:top w:val="none" w:sz="0" w:space="0" w:color="auto"/>
            <w:left w:val="none" w:sz="0" w:space="0" w:color="auto"/>
            <w:bottom w:val="none" w:sz="0" w:space="0" w:color="auto"/>
            <w:right w:val="none" w:sz="0" w:space="0" w:color="auto"/>
          </w:divBdr>
        </w:div>
        <w:div w:id="2022656050">
          <w:marLeft w:val="547"/>
          <w:marRight w:val="0"/>
          <w:marTop w:val="0"/>
          <w:marBottom w:val="0"/>
          <w:divBdr>
            <w:top w:val="none" w:sz="0" w:space="0" w:color="auto"/>
            <w:left w:val="none" w:sz="0" w:space="0" w:color="auto"/>
            <w:bottom w:val="none" w:sz="0" w:space="0" w:color="auto"/>
            <w:right w:val="none" w:sz="0" w:space="0" w:color="auto"/>
          </w:divBdr>
        </w:div>
        <w:div w:id="2042628171">
          <w:marLeft w:val="547"/>
          <w:marRight w:val="0"/>
          <w:marTop w:val="0"/>
          <w:marBottom w:val="0"/>
          <w:divBdr>
            <w:top w:val="none" w:sz="0" w:space="0" w:color="auto"/>
            <w:left w:val="none" w:sz="0" w:space="0" w:color="auto"/>
            <w:bottom w:val="none" w:sz="0" w:space="0" w:color="auto"/>
            <w:right w:val="none" w:sz="0" w:space="0" w:color="auto"/>
          </w:divBdr>
        </w:div>
      </w:divsChild>
    </w:div>
    <w:div w:id="712509307">
      <w:bodyDiv w:val="1"/>
      <w:marLeft w:val="0"/>
      <w:marRight w:val="0"/>
      <w:marTop w:val="0"/>
      <w:marBottom w:val="0"/>
      <w:divBdr>
        <w:top w:val="none" w:sz="0" w:space="0" w:color="auto"/>
        <w:left w:val="none" w:sz="0" w:space="0" w:color="auto"/>
        <w:bottom w:val="none" w:sz="0" w:space="0" w:color="auto"/>
        <w:right w:val="none" w:sz="0" w:space="0" w:color="auto"/>
      </w:divBdr>
    </w:div>
    <w:div w:id="718942030">
      <w:bodyDiv w:val="1"/>
      <w:marLeft w:val="0"/>
      <w:marRight w:val="0"/>
      <w:marTop w:val="0"/>
      <w:marBottom w:val="0"/>
      <w:divBdr>
        <w:top w:val="none" w:sz="0" w:space="0" w:color="auto"/>
        <w:left w:val="none" w:sz="0" w:space="0" w:color="auto"/>
        <w:bottom w:val="none" w:sz="0" w:space="0" w:color="auto"/>
        <w:right w:val="none" w:sz="0" w:space="0" w:color="auto"/>
      </w:divBdr>
    </w:div>
    <w:div w:id="837891217">
      <w:bodyDiv w:val="1"/>
      <w:marLeft w:val="0"/>
      <w:marRight w:val="0"/>
      <w:marTop w:val="0"/>
      <w:marBottom w:val="0"/>
      <w:divBdr>
        <w:top w:val="none" w:sz="0" w:space="0" w:color="auto"/>
        <w:left w:val="none" w:sz="0" w:space="0" w:color="auto"/>
        <w:bottom w:val="none" w:sz="0" w:space="0" w:color="auto"/>
        <w:right w:val="none" w:sz="0" w:space="0" w:color="auto"/>
      </w:divBdr>
      <w:divsChild>
        <w:div w:id="126551604">
          <w:marLeft w:val="446"/>
          <w:marRight w:val="0"/>
          <w:marTop w:val="40"/>
          <w:marBottom w:val="40"/>
          <w:divBdr>
            <w:top w:val="none" w:sz="0" w:space="0" w:color="auto"/>
            <w:left w:val="none" w:sz="0" w:space="0" w:color="auto"/>
            <w:bottom w:val="none" w:sz="0" w:space="0" w:color="auto"/>
            <w:right w:val="none" w:sz="0" w:space="0" w:color="auto"/>
          </w:divBdr>
        </w:div>
        <w:div w:id="257911529">
          <w:marLeft w:val="446"/>
          <w:marRight w:val="0"/>
          <w:marTop w:val="40"/>
          <w:marBottom w:val="40"/>
          <w:divBdr>
            <w:top w:val="none" w:sz="0" w:space="0" w:color="auto"/>
            <w:left w:val="none" w:sz="0" w:space="0" w:color="auto"/>
            <w:bottom w:val="none" w:sz="0" w:space="0" w:color="auto"/>
            <w:right w:val="none" w:sz="0" w:space="0" w:color="auto"/>
          </w:divBdr>
        </w:div>
        <w:div w:id="280115608">
          <w:marLeft w:val="446"/>
          <w:marRight w:val="0"/>
          <w:marTop w:val="40"/>
          <w:marBottom w:val="40"/>
          <w:divBdr>
            <w:top w:val="none" w:sz="0" w:space="0" w:color="auto"/>
            <w:left w:val="none" w:sz="0" w:space="0" w:color="auto"/>
            <w:bottom w:val="none" w:sz="0" w:space="0" w:color="auto"/>
            <w:right w:val="none" w:sz="0" w:space="0" w:color="auto"/>
          </w:divBdr>
        </w:div>
        <w:div w:id="811022568">
          <w:marLeft w:val="446"/>
          <w:marRight w:val="0"/>
          <w:marTop w:val="40"/>
          <w:marBottom w:val="40"/>
          <w:divBdr>
            <w:top w:val="none" w:sz="0" w:space="0" w:color="auto"/>
            <w:left w:val="none" w:sz="0" w:space="0" w:color="auto"/>
            <w:bottom w:val="none" w:sz="0" w:space="0" w:color="auto"/>
            <w:right w:val="none" w:sz="0" w:space="0" w:color="auto"/>
          </w:divBdr>
        </w:div>
        <w:div w:id="827020934">
          <w:marLeft w:val="446"/>
          <w:marRight w:val="0"/>
          <w:marTop w:val="40"/>
          <w:marBottom w:val="40"/>
          <w:divBdr>
            <w:top w:val="none" w:sz="0" w:space="0" w:color="auto"/>
            <w:left w:val="none" w:sz="0" w:space="0" w:color="auto"/>
            <w:bottom w:val="none" w:sz="0" w:space="0" w:color="auto"/>
            <w:right w:val="none" w:sz="0" w:space="0" w:color="auto"/>
          </w:divBdr>
        </w:div>
        <w:div w:id="834610116">
          <w:marLeft w:val="446"/>
          <w:marRight w:val="0"/>
          <w:marTop w:val="40"/>
          <w:marBottom w:val="40"/>
          <w:divBdr>
            <w:top w:val="none" w:sz="0" w:space="0" w:color="auto"/>
            <w:left w:val="none" w:sz="0" w:space="0" w:color="auto"/>
            <w:bottom w:val="none" w:sz="0" w:space="0" w:color="auto"/>
            <w:right w:val="none" w:sz="0" w:space="0" w:color="auto"/>
          </w:divBdr>
        </w:div>
        <w:div w:id="857813356">
          <w:marLeft w:val="446"/>
          <w:marRight w:val="0"/>
          <w:marTop w:val="40"/>
          <w:marBottom w:val="40"/>
          <w:divBdr>
            <w:top w:val="none" w:sz="0" w:space="0" w:color="auto"/>
            <w:left w:val="none" w:sz="0" w:space="0" w:color="auto"/>
            <w:bottom w:val="none" w:sz="0" w:space="0" w:color="auto"/>
            <w:right w:val="none" w:sz="0" w:space="0" w:color="auto"/>
          </w:divBdr>
        </w:div>
        <w:div w:id="1306004111">
          <w:marLeft w:val="446"/>
          <w:marRight w:val="0"/>
          <w:marTop w:val="40"/>
          <w:marBottom w:val="40"/>
          <w:divBdr>
            <w:top w:val="none" w:sz="0" w:space="0" w:color="auto"/>
            <w:left w:val="none" w:sz="0" w:space="0" w:color="auto"/>
            <w:bottom w:val="none" w:sz="0" w:space="0" w:color="auto"/>
            <w:right w:val="none" w:sz="0" w:space="0" w:color="auto"/>
          </w:divBdr>
        </w:div>
        <w:div w:id="1439375503">
          <w:marLeft w:val="446"/>
          <w:marRight w:val="0"/>
          <w:marTop w:val="40"/>
          <w:marBottom w:val="40"/>
          <w:divBdr>
            <w:top w:val="none" w:sz="0" w:space="0" w:color="auto"/>
            <w:left w:val="none" w:sz="0" w:space="0" w:color="auto"/>
            <w:bottom w:val="none" w:sz="0" w:space="0" w:color="auto"/>
            <w:right w:val="none" w:sz="0" w:space="0" w:color="auto"/>
          </w:divBdr>
        </w:div>
        <w:div w:id="1621454380">
          <w:marLeft w:val="446"/>
          <w:marRight w:val="0"/>
          <w:marTop w:val="40"/>
          <w:marBottom w:val="40"/>
          <w:divBdr>
            <w:top w:val="none" w:sz="0" w:space="0" w:color="auto"/>
            <w:left w:val="none" w:sz="0" w:space="0" w:color="auto"/>
            <w:bottom w:val="none" w:sz="0" w:space="0" w:color="auto"/>
            <w:right w:val="none" w:sz="0" w:space="0" w:color="auto"/>
          </w:divBdr>
        </w:div>
        <w:div w:id="1639527157">
          <w:marLeft w:val="446"/>
          <w:marRight w:val="0"/>
          <w:marTop w:val="40"/>
          <w:marBottom w:val="40"/>
          <w:divBdr>
            <w:top w:val="none" w:sz="0" w:space="0" w:color="auto"/>
            <w:left w:val="none" w:sz="0" w:space="0" w:color="auto"/>
            <w:bottom w:val="none" w:sz="0" w:space="0" w:color="auto"/>
            <w:right w:val="none" w:sz="0" w:space="0" w:color="auto"/>
          </w:divBdr>
        </w:div>
        <w:div w:id="1726416500">
          <w:marLeft w:val="446"/>
          <w:marRight w:val="0"/>
          <w:marTop w:val="40"/>
          <w:marBottom w:val="40"/>
          <w:divBdr>
            <w:top w:val="none" w:sz="0" w:space="0" w:color="auto"/>
            <w:left w:val="none" w:sz="0" w:space="0" w:color="auto"/>
            <w:bottom w:val="none" w:sz="0" w:space="0" w:color="auto"/>
            <w:right w:val="none" w:sz="0" w:space="0" w:color="auto"/>
          </w:divBdr>
        </w:div>
        <w:div w:id="1870678268">
          <w:marLeft w:val="446"/>
          <w:marRight w:val="0"/>
          <w:marTop w:val="40"/>
          <w:marBottom w:val="40"/>
          <w:divBdr>
            <w:top w:val="none" w:sz="0" w:space="0" w:color="auto"/>
            <w:left w:val="none" w:sz="0" w:space="0" w:color="auto"/>
            <w:bottom w:val="none" w:sz="0" w:space="0" w:color="auto"/>
            <w:right w:val="none" w:sz="0" w:space="0" w:color="auto"/>
          </w:divBdr>
        </w:div>
        <w:div w:id="2000768965">
          <w:marLeft w:val="446"/>
          <w:marRight w:val="0"/>
          <w:marTop w:val="40"/>
          <w:marBottom w:val="40"/>
          <w:divBdr>
            <w:top w:val="none" w:sz="0" w:space="0" w:color="auto"/>
            <w:left w:val="none" w:sz="0" w:space="0" w:color="auto"/>
            <w:bottom w:val="none" w:sz="0" w:space="0" w:color="auto"/>
            <w:right w:val="none" w:sz="0" w:space="0" w:color="auto"/>
          </w:divBdr>
        </w:div>
      </w:divsChild>
    </w:div>
    <w:div w:id="859120973">
      <w:bodyDiv w:val="1"/>
      <w:marLeft w:val="0"/>
      <w:marRight w:val="0"/>
      <w:marTop w:val="0"/>
      <w:marBottom w:val="0"/>
      <w:divBdr>
        <w:top w:val="none" w:sz="0" w:space="0" w:color="auto"/>
        <w:left w:val="none" w:sz="0" w:space="0" w:color="auto"/>
        <w:bottom w:val="none" w:sz="0" w:space="0" w:color="auto"/>
        <w:right w:val="none" w:sz="0" w:space="0" w:color="auto"/>
      </w:divBdr>
    </w:div>
    <w:div w:id="864444859">
      <w:bodyDiv w:val="1"/>
      <w:marLeft w:val="0"/>
      <w:marRight w:val="0"/>
      <w:marTop w:val="0"/>
      <w:marBottom w:val="0"/>
      <w:divBdr>
        <w:top w:val="none" w:sz="0" w:space="0" w:color="auto"/>
        <w:left w:val="none" w:sz="0" w:space="0" w:color="auto"/>
        <w:bottom w:val="none" w:sz="0" w:space="0" w:color="auto"/>
        <w:right w:val="none" w:sz="0" w:space="0" w:color="auto"/>
      </w:divBdr>
    </w:div>
    <w:div w:id="879366159">
      <w:bodyDiv w:val="1"/>
      <w:marLeft w:val="0"/>
      <w:marRight w:val="0"/>
      <w:marTop w:val="0"/>
      <w:marBottom w:val="0"/>
      <w:divBdr>
        <w:top w:val="none" w:sz="0" w:space="0" w:color="auto"/>
        <w:left w:val="none" w:sz="0" w:space="0" w:color="auto"/>
        <w:bottom w:val="none" w:sz="0" w:space="0" w:color="auto"/>
        <w:right w:val="none" w:sz="0" w:space="0" w:color="auto"/>
      </w:divBdr>
    </w:div>
    <w:div w:id="884678164">
      <w:bodyDiv w:val="1"/>
      <w:marLeft w:val="0"/>
      <w:marRight w:val="0"/>
      <w:marTop w:val="0"/>
      <w:marBottom w:val="0"/>
      <w:divBdr>
        <w:top w:val="none" w:sz="0" w:space="0" w:color="auto"/>
        <w:left w:val="none" w:sz="0" w:space="0" w:color="auto"/>
        <w:bottom w:val="none" w:sz="0" w:space="0" w:color="auto"/>
        <w:right w:val="none" w:sz="0" w:space="0" w:color="auto"/>
      </w:divBdr>
      <w:divsChild>
        <w:div w:id="490022774">
          <w:marLeft w:val="1166"/>
          <w:marRight w:val="0"/>
          <w:marTop w:val="0"/>
          <w:marBottom w:val="0"/>
          <w:divBdr>
            <w:top w:val="none" w:sz="0" w:space="0" w:color="auto"/>
            <w:left w:val="none" w:sz="0" w:space="0" w:color="auto"/>
            <w:bottom w:val="none" w:sz="0" w:space="0" w:color="auto"/>
            <w:right w:val="none" w:sz="0" w:space="0" w:color="auto"/>
          </w:divBdr>
        </w:div>
        <w:div w:id="660279092">
          <w:marLeft w:val="1166"/>
          <w:marRight w:val="0"/>
          <w:marTop w:val="0"/>
          <w:marBottom w:val="0"/>
          <w:divBdr>
            <w:top w:val="none" w:sz="0" w:space="0" w:color="auto"/>
            <w:left w:val="none" w:sz="0" w:space="0" w:color="auto"/>
            <w:bottom w:val="none" w:sz="0" w:space="0" w:color="auto"/>
            <w:right w:val="none" w:sz="0" w:space="0" w:color="auto"/>
          </w:divBdr>
        </w:div>
        <w:div w:id="712460059">
          <w:marLeft w:val="446"/>
          <w:marRight w:val="0"/>
          <w:marTop w:val="0"/>
          <w:marBottom w:val="0"/>
          <w:divBdr>
            <w:top w:val="none" w:sz="0" w:space="0" w:color="auto"/>
            <w:left w:val="none" w:sz="0" w:space="0" w:color="auto"/>
            <w:bottom w:val="none" w:sz="0" w:space="0" w:color="auto"/>
            <w:right w:val="none" w:sz="0" w:space="0" w:color="auto"/>
          </w:divBdr>
        </w:div>
        <w:div w:id="755900794">
          <w:marLeft w:val="1166"/>
          <w:marRight w:val="0"/>
          <w:marTop w:val="0"/>
          <w:marBottom w:val="0"/>
          <w:divBdr>
            <w:top w:val="none" w:sz="0" w:space="0" w:color="auto"/>
            <w:left w:val="none" w:sz="0" w:space="0" w:color="auto"/>
            <w:bottom w:val="none" w:sz="0" w:space="0" w:color="auto"/>
            <w:right w:val="none" w:sz="0" w:space="0" w:color="auto"/>
          </w:divBdr>
        </w:div>
        <w:div w:id="828980495">
          <w:marLeft w:val="446"/>
          <w:marRight w:val="0"/>
          <w:marTop w:val="0"/>
          <w:marBottom w:val="0"/>
          <w:divBdr>
            <w:top w:val="none" w:sz="0" w:space="0" w:color="auto"/>
            <w:left w:val="none" w:sz="0" w:space="0" w:color="auto"/>
            <w:bottom w:val="none" w:sz="0" w:space="0" w:color="auto"/>
            <w:right w:val="none" w:sz="0" w:space="0" w:color="auto"/>
          </w:divBdr>
        </w:div>
        <w:div w:id="839075793">
          <w:marLeft w:val="446"/>
          <w:marRight w:val="0"/>
          <w:marTop w:val="0"/>
          <w:marBottom w:val="0"/>
          <w:divBdr>
            <w:top w:val="none" w:sz="0" w:space="0" w:color="auto"/>
            <w:left w:val="none" w:sz="0" w:space="0" w:color="auto"/>
            <w:bottom w:val="none" w:sz="0" w:space="0" w:color="auto"/>
            <w:right w:val="none" w:sz="0" w:space="0" w:color="auto"/>
          </w:divBdr>
        </w:div>
        <w:div w:id="1184056934">
          <w:marLeft w:val="1166"/>
          <w:marRight w:val="0"/>
          <w:marTop w:val="0"/>
          <w:marBottom w:val="0"/>
          <w:divBdr>
            <w:top w:val="none" w:sz="0" w:space="0" w:color="auto"/>
            <w:left w:val="none" w:sz="0" w:space="0" w:color="auto"/>
            <w:bottom w:val="none" w:sz="0" w:space="0" w:color="auto"/>
            <w:right w:val="none" w:sz="0" w:space="0" w:color="auto"/>
          </w:divBdr>
        </w:div>
        <w:div w:id="1713191408">
          <w:marLeft w:val="446"/>
          <w:marRight w:val="0"/>
          <w:marTop w:val="0"/>
          <w:marBottom w:val="0"/>
          <w:divBdr>
            <w:top w:val="none" w:sz="0" w:space="0" w:color="auto"/>
            <w:left w:val="none" w:sz="0" w:space="0" w:color="auto"/>
            <w:bottom w:val="none" w:sz="0" w:space="0" w:color="auto"/>
            <w:right w:val="none" w:sz="0" w:space="0" w:color="auto"/>
          </w:divBdr>
        </w:div>
        <w:div w:id="1735735476">
          <w:marLeft w:val="446"/>
          <w:marRight w:val="0"/>
          <w:marTop w:val="0"/>
          <w:marBottom w:val="0"/>
          <w:divBdr>
            <w:top w:val="none" w:sz="0" w:space="0" w:color="auto"/>
            <w:left w:val="none" w:sz="0" w:space="0" w:color="auto"/>
            <w:bottom w:val="none" w:sz="0" w:space="0" w:color="auto"/>
            <w:right w:val="none" w:sz="0" w:space="0" w:color="auto"/>
          </w:divBdr>
        </w:div>
        <w:div w:id="1860042896">
          <w:marLeft w:val="446"/>
          <w:marRight w:val="0"/>
          <w:marTop w:val="0"/>
          <w:marBottom w:val="0"/>
          <w:divBdr>
            <w:top w:val="none" w:sz="0" w:space="0" w:color="auto"/>
            <w:left w:val="none" w:sz="0" w:space="0" w:color="auto"/>
            <w:bottom w:val="none" w:sz="0" w:space="0" w:color="auto"/>
            <w:right w:val="none" w:sz="0" w:space="0" w:color="auto"/>
          </w:divBdr>
        </w:div>
        <w:div w:id="1998027623">
          <w:marLeft w:val="446"/>
          <w:marRight w:val="0"/>
          <w:marTop w:val="0"/>
          <w:marBottom w:val="0"/>
          <w:divBdr>
            <w:top w:val="none" w:sz="0" w:space="0" w:color="auto"/>
            <w:left w:val="none" w:sz="0" w:space="0" w:color="auto"/>
            <w:bottom w:val="none" w:sz="0" w:space="0" w:color="auto"/>
            <w:right w:val="none" w:sz="0" w:space="0" w:color="auto"/>
          </w:divBdr>
        </w:div>
        <w:div w:id="2126658455">
          <w:marLeft w:val="446"/>
          <w:marRight w:val="0"/>
          <w:marTop w:val="0"/>
          <w:marBottom w:val="0"/>
          <w:divBdr>
            <w:top w:val="none" w:sz="0" w:space="0" w:color="auto"/>
            <w:left w:val="none" w:sz="0" w:space="0" w:color="auto"/>
            <w:bottom w:val="none" w:sz="0" w:space="0" w:color="auto"/>
            <w:right w:val="none" w:sz="0" w:space="0" w:color="auto"/>
          </w:divBdr>
        </w:div>
      </w:divsChild>
    </w:div>
    <w:div w:id="913050996">
      <w:bodyDiv w:val="1"/>
      <w:marLeft w:val="0"/>
      <w:marRight w:val="0"/>
      <w:marTop w:val="0"/>
      <w:marBottom w:val="0"/>
      <w:divBdr>
        <w:top w:val="none" w:sz="0" w:space="0" w:color="auto"/>
        <w:left w:val="none" w:sz="0" w:space="0" w:color="auto"/>
        <w:bottom w:val="none" w:sz="0" w:space="0" w:color="auto"/>
        <w:right w:val="none" w:sz="0" w:space="0" w:color="auto"/>
      </w:divBdr>
    </w:div>
    <w:div w:id="1061364578">
      <w:bodyDiv w:val="1"/>
      <w:marLeft w:val="0"/>
      <w:marRight w:val="0"/>
      <w:marTop w:val="0"/>
      <w:marBottom w:val="0"/>
      <w:divBdr>
        <w:top w:val="none" w:sz="0" w:space="0" w:color="auto"/>
        <w:left w:val="none" w:sz="0" w:space="0" w:color="auto"/>
        <w:bottom w:val="none" w:sz="0" w:space="0" w:color="auto"/>
        <w:right w:val="none" w:sz="0" w:space="0" w:color="auto"/>
      </w:divBdr>
      <w:divsChild>
        <w:div w:id="332538873">
          <w:marLeft w:val="446"/>
          <w:marRight w:val="0"/>
          <w:marTop w:val="0"/>
          <w:marBottom w:val="0"/>
          <w:divBdr>
            <w:top w:val="none" w:sz="0" w:space="0" w:color="auto"/>
            <w:left w:val="none" w:sz="0" w:space="0" w:color="auto"/>
            <w:bottom w:val="none" w:sz="0" w:space="0" w:color="auto"/>
            <w:right w:val="none" w:sz="0" w:space="0" w:color="auto"/>
          </w:divBdr>
        </w:div>
        <w:div w:id="779225595">
          <w:marLeft w:val="446"/>
          <w:marRight w:val="0"/>
          <w:marTop w:val="0"/>
          <w:marBottom w:val="0"/>
          <w:divBdr>
            <w:top w:val="none" w:sz="0" w:space="0" w:color="auto"/>
            <w:left w:val="none" w:sz="0" w:space="0" w:color="auto"/>
            <w:bottom w:val="none" w:sz="0" w:space="0" w:color="auto"/>
            <w:right w:val="none" w:sz="0" w:space="0" w:color="auto"/>
          </w:divBdr>
        </w:div>
        <w:div w:id="1193571578">
          <w:marLeft w:val="446"/>
          <w:marRight w:val="0"/>
          <w:marTop w:val="0"/>
          <w:marBottom w:val="0"/>
          <w:divBdr>
            <w:top w:val="none" w:sz="0" w:space="0" w:color="auto"/>
            <w:left w:val="none" w:sz="0" w:space="0" w:color="auto"/>
            <w:bottom w:val="none" w:sz="0" w:space="0" w:color="auto"/>
            <w:right w:val="none" w:sz="0" w:space="0" w:color="auto"/>
          </w:divBdr>
        </w:div>
        <w:div w:id="1244101653">
          <w:marLeft w:val="446"/>
          <w:marRight w:val="0"/>
          <w:marTop w:val="0"/>
          <w:marBottom w:val="0"/>
          <w:divBdr>
            <w:top w:val="none" w:sz="0" w:space="0" w:color="auto"/>
            <w:left w:val="none" w:sz="0" w:space="0" w:color="auto"/>
            <w:bottom w:val="none" w:sz="0" w:space="0" w:color="auto"/>
            <w:right w:val="none" w:sz="0" w:space="0" w:color="auto"/>
          </w:divBdr>
        </w:div>
        <w:div w:id="1558667748">
          <w:marLeft w:val="446"/>
          <w:marRight w:val="0"/>
          <w:marTop w:val="0"/>
          <w:marBottom w:val="0"/>
          <w:divBdr>
            <w:top w:val="none" w:sz="0" w:space="0" w:color="auto"/>
            <w:left w:val="none" w:sz="0" w:space="0" w:color="auto"/>
            <w:bottom w:val="none" w:sz="0" w:space="0" w:color="auto"/>
            <w:right w:val="none" w:sz="0" w:space="0" w:color="auto"/>
          </w:divBdr>
        </w:div>
        <w:div w:id="1874729955">
          <w:marLeft w:val="446"/>
          <w:marRight w:val="0"/>
          <w:marTop w:val="0"/>
          <w:marBottom w:val="0"/>
          <w:divBdr>
            <w:top w:val="none" w:sz="0" w:space="0" w:color="auto"/>
            <w:left w:val="none" w:sz="0" w:space="0" w:color="auto"/>
            <w:bottom w:val="none" w:sz="0" w:space="0" w:color="auto"/>
            <w:right w:val="none" w:sz="0" w:space="0" w:color="auto"/>
          </w:divBdr>
        </w:div>
      </w:divsChild>
    </w:div>
    <w:div w:id="1114708341">
      <w:bodyDiv w:val="1"/>
      <w:marLeft w:val="0"/>
      <w:marRight w:val="0"/>
      <w:marTop w:val="0"/>
      <w:marBottom w:val="0"/>
      <w:divBdr>
        <w:top w:val="none" w:sz="0" w:space="0" w:color="auto"/>
        <w:left w:val="none" w:sz="0" w:space="0" w:color="auto"/>
        <w:bottom w:val="none" w:sz="0" w:space="0" w:color="auto"/>
        <w:right w:val="none" w:sz="0" w:space="0" w:color="auto"/>
      </w:divBdr>
    </w:div>
    <w:div w:id="1152528222">
      <w:bodyDiv w:val="1"/>
      <w:marLeft w:val="0"/>
      <w:marRight w:val="0"/>
      <w:marTop w:val="0"/>
      <w:marBottom w:val="0"/>
      <w:divBdr>
        <w:top w:val="none" w:sz="0" w:space="0" w:color="auto"/>
        <w:left w:val="none" w:sz="0" w:space="0" w:color="auto"/>
        <w:bottom w:val="none" w:sz="0" w:space="0" w:color="auto"/>
        <w:right w:val="none" w:sz="0" w:space="0" w:color="auto"/>
      </w:divBdr>
    </w:div>
    <w:div w:id="1152599468">
      <w:bodyDiv w:val="1"/>
      <w:marLeft w:val="0"/>
      <w:marRight w:val="0"/>
      <w:marTop w:val="0"/>
      <w:marBottom w:val="0"/>
      <w:divBdr>
        <w:top w:val="none" w:sz="0" w:space="0" w:color="auto"/>
        <w:left w:val="none" w:sz="0" w:space="0" w:color="auto"/>
        <w:bottom w:val="none" w:sz="0" w:space="0" w:color="auto"/>
        <w:right w:val="none" w:sz="0" w:space="0" w:color="auto"/>
      </w:divBdr>
    </w:div>
    <w:div w:id="1158229669">
      <w:bodyDiv w:val="1"/>
      <w:marLeft w:val="0"/>
      <w:marRight w:val="0"/>
      <w:marTop w:val="0"/>
      <w:marBottom w:val="0"/>
      <w:divBdr>
        <w:top w:val="none" w:sz="0" w:space="0" w:color="auto"/>
        <w:left w:val="none" w:sz="0" w:space="0" w:color="auto"/>
        <w:bottom w:val="none" w:sz="0" w:space="0" w:color="auto"/>
        <w:right w:val="none" w:sz="0" w:space="0" w:color="auto"/>
      </w:divBdr>
    </w:div>
    <w:div w:id="1161701225">
      <w:bodyDiv w:val="1"/>
      <w:marLeft w:val="0"/>
      <w:marRight w:val="0"/>
      <w:marTop w:val="0"/>
      <w:marBottom w:val="0"/>
      <w:divBdr>
        <w:top w:val="none" w:sz="0" w:space="0" w:color="auto"/>
        <w:left w:val="none" w:sz="0" w:space="0" w:color="auto"/>
        <w:bottom w:val="none" w:sz="0" w:space="0" w:color="auto"/>
        <w:right w:val="none" w:sz="0" w:space="0" w:color="auto"/>
      </w:divBdr>
    </w:div>
    <w:div w:id="1164666582">
      <w:bodyDiv w:val="1"/>
      <w:marLeft w:val="0"/>
      <w:marRight w:val="0"/>
      <w:marTop w:val="0"/>
      <w:marBottom w:val="0"/>
      <w:divBdr>
        <w:top w:val="none" w:sz="0" w:space="0" w:color="auto"/>
        <w:left w:val="none" w:sz="0" w:space="0" w:color="auto"/>
        <w:bottom w:val="none" w:sz="0" w:space="0" w:color="auto"/>
        <w:right w:val="none" w:sz="0" w:space="0" w:color="auto"/>
      </w:divBdr>
      <w:divsChild>
        <w:div w:id="245193008">
          <w:marLeft w:val="446"/>
          <w:marRight w:val="0"/>
          <w:marTop w:val="0"/>
          <w:marBottom w:val="0"/>
          <w:divBdr>
            <w:top w:val="none" w:sz="0" w:space="0" w:color="auto"/>
            <w:left w:val="none" w:sz="0" w:space="0" w:color="auto"/>
            <w:bottom w:val="none" w:sz="0" w:space="0" w:color="auto"/>
            <w:right w:val="none" w:sz="0" w:space="0" w:color="auto"/>
          </w:divBdr>
        </w:div>
        <w:div w:id="271401325">
          <w:marLeft w:val="446"/>
          <w:marRight w:val="0"/>
          <w:marTop w:val="0"/>
          <w:marBottom w:val="0"/>
          <w:divBdr>
            <w:top w:val="none" w:sz="0" w:space="0" w:color="auto"/>
            <w:left w:val="none" w:sz="0" w:space="0" w:color="auto"/>
            <w:bottom w:val="none" w:sz="0" w:space="0" w:color="auto"/>
            <w:right w:val="none" w:sz="0" w:space="0" w:color="auto"/>
          </w:divBdr>
        </w:div>
        <w:div w:id="825128426">
          <w:marLeft w:val="446"/>
          <w:marRight w:val="0"/>
          <w:marTop w:val="0"/>
          <w:marBottom w:val="0"/>
          <w:divBdr>
            <w:top w:val="none" w:sz="0" w:space="0" w:color="auto"/>
            <w:left w:val="none" w:sz="0" w:space="0" w:color="auto"/>
            <w:bottom w:val="none" w:sz="0" w:space="0" w:color="auto"/>
            <w:right w:val="none" w:sz="0" w:space="0" w:color="auto"/>
          </w:divBdr>
        </w:div>
        <w:div w:id="1180199049">
          <w:marLeft w:val="446"/>
          <w:marRight w:val="0"/>
          <w:marTop w:val="0"/>
          <w:marBottom w:val="0"/>
          <w:divBdr>
            <w:top w:val="none" w:sz="0" w:space="0" w:color="auto"/>
            <w:left w:val="none" w:sz="0" w:space="0" w:color="auto"/>
            <w:bottom w:val="none" w:sz="0" w:space="0" w:color="auto"/>
            <w:right w:val="none" w:sz="0" w:space="0" w:color="auto"/>
          </w:divBdr>
        </w:div>
        <w:div w:id="1221743727">
          <w:marLeft w:val="446"/>
          <w:marRight w:val="0"/>
          <w:marTop w:val="0"/>
          <w:marBottom w:val="0"/>
          <w:divBdr>
            <w:top w:val="none" w:sz="0" w:space="0" w:color="auto"/>
            <w:left w:val="none" w:sz="0" w:space="0" w:color="auto"/>
            <w:bottom w:val="none" w:sz="0" w:space="0" w:color="auto"/>
            <w:right w:val="none" w:sz="0" w:space="0" w:color="auto"/>
          </w:divBdr>
        </w:div>
        <w:div w:id="1314220309">
          <w:marLeft w:val="446"/>
          <w:marRight w:val="0"/>
          <w:marTop w:val="0"/>
          <w:marBottom w:val="0"/>
          <w:divBdr>
            <w:top w:val="none" w:sz="0" w:space="0" w:color="auto"/>
            <w:left w:val="none" w:sz="0" w:space="0" w:color="auto"/>
            <w:bottom w:val="none" w:sz="0" w:space="0" w:color="auto"/>
            <w:right w:val="none" w:sz="0" w:space="0" w:color="auto"/>
          </w:divBdr>
        </w:div>
        <w:div w:id="1325208574">
          <w:marLeft w:val="1166"/>
          <w:marRight w:val="0"/>
          <w:marTop w:val="0"/>
          <w:marBottom w:val="0"/>
          <w:divBdr>
            <w:top w:val="none" w:sz="0" w:space="0" w:color="auto"/>
            <w:left w:val="none" w:sz="0" w:space="0" w:color="auto"/>
            <w:bottom w:val="none" w:sz="0" w:space="0" w:color="auto"/>
            <w:right w:val="none" w:sz="0" w:space="0" w:color="auto"/>
          </w:divBdr>
        </w:div>
        <w:div w:id="1684362020">
          <w:marLeft w:val="446"/>
          <w:marRight w:val="0"/>
          <w:marTop w:val="0"/>
          <w:marBottom w:val="0"/>
          <w:divBdr>
            <w:top w:val="none" w:sz="0" w:space="0" w:color="auto"/>
            <w:left w:val="none" w:sz="0" w:space="0" w:color="auto"/>
            <w:bottom w:val="none" w:sz="0" w:space="0" w:color="auto"/>
            <w:right w:val="none" w:sz="0" w:space="0" w:color="auto"/>
          </w:divBdr>
        </w:div>
        <w:div w:id="1735279141">
          <w:marLeft w:val="446"/>
          <w:marRight w:val="0"/>
          <w:marTop w:val="0"/>
          <w:marBottom w:val="0"/>
          <w:divBdr>
            <w:top w:val="none" w:sz="0" w:space="0" w:color="auto"/>
            <w:left w:val="none" w:sz="0" w:space="0" w:color="auto"/>
            <w:bottom w:val="none" w:sz="0" w:space="0" w:color="auto"/>
            <w:right w:val="none" w:sz="0" w:space="0" w:color="auto"/>
          </w:divBdr>
        </w:div>
        <w:div w:id="1810127766">
          <w:marLeft w:val="446"/>
          <w:marRight w:val="0"/>
          <w:marTop w:val="0"/>
          <w:marBottom w:val="0"/>
          <w:divBdr>
            <w:top w:val="none" w:sz="0" w:space="0" w:color="auto"/>
            <w:left w:val="none" w:sz="0" w:space="0" w:color="auto"/>
            <w:bottom w:val="none" w:sz="0" w:space="0" w:color="auto"/>
            <w:right w:val="none" w:sz="0" w:space="0" w:color="auto"/>
          </w:divBdr>
        </w:div>
        <w:div w:id="1881236985">
          <w:marLeft w:val="1166"/>
          <w:marRight w:val="0"/>
          <w:marTop w:val="0"/>
          <w:marBottom w:val="0"/>
          <w:divBdr>
            <w:top w:val="none" w:sz="0" w:space="0" w:color="auto"/>
            <w:left w:val="none" w:sz="0" w:space="0" w:color="auto"/>
            <w:bottom w:val="none" w:sz="0" w:space="0" w:color="auto"/>
            <w:right w:val="none" w:sz="0" w:space="0" w:color="auto"/>
          </w:divBdr>
        </w:div>
        <w:div w:id="1992365453">
          <w:marLeft w:val="1166"/>
          <w:marRight w:val="0"/>
          <w:marTop w:val="0"/>
          <w:marBottom w:val="0"/>
          <w:divBdr>
            <w:top w:val="none" w:sz="0" w:space="0" w:color="auto"/>
            <w:left w:val="none" w:sz="0" w:space="0" w:color="auto"/>
            <w:bottom w:val="none" w:sz="0" w:space="0" w:color="auto"/>
            <w:right w:val="none" w:sz="0" w:space="0" w:color="auto"/>
          </w:divBdr>
        </w:div>
      </w:divsChild>
    </w:div>
    <w:div w:id="1176770279">
      <w:bodyDiv w:val="1"/>
      <w:marLeft w:val="0"/>
      <w:marRight w:val="0"/>
      <w:marTop w:val="0"/>
      <w:marBottom w:val="0"/>
      <w:divBdr>
        <w:top w:val="none" w:sz="0" w:space="0" w:color="auto"/>
        <w:left w:val="none" w:sz="0" w:space="0" w:color="auto"/>
        <w:bottom w:val="none" w:sz="0" w:space="0" w:color="auto"/>
        <w:right w:val="none" w:sz="0" w:space="0" w:color="auto"/>
      </w:divBdr>
      <w:divsChild>
        <w:div w:id="1013995108">
          <w:marLeft w:val="446"/>
          <w:marRight w:val="0"/>
          <w:marTop w:val="0"/>
          <w:marBottom w:val="0"/>
          <w:divBdr>
            <w:top w:val="none" w:sz="0" w:space="0" w:color="auto"/>
            <w:left w:val="none" w:sz="0" w:space="0" w:color="auto"/>
            <w:bottom w:val="none" w:sz="0" w:space="0" w:color="auto"/>
            <w:right w:val="none" w:sz="0" w:space="0" w:color="auto"/>
          </w:divBdr>
        </w:div>
        <w:div w:id="1599486615">
          <w:marLeft w:val="446"/>
          <w:marRight w:val="0"/>
          <w:marTop w:val="0"/>
          <w:marBottom w:val="0"/>
          <w:divBdr>
            <w:top w:val="none" w:sz="0" w:space="0" w:color="auto"/>
            <w:left w:val="none" w:sz="0" w:space="0" w:color="auto"/>
            <w:bottom w:val="none" w:sz="0" w:space="0" w:color="auto"/>
            <w:right w:val="none" w:sz="0" w:space="0" w:color="auto"/>
          </w:divBdr>
        </w:div>
        <w:div w:id="1860846856">
          <w:marLeft w:val="446"/>
          <w:marRight w:val="0"/>
          <w:marTop w:val="0"/>
          <w:marBottom w:val="0"/>
          <w:divBdr>
            <w:top w:val="none" w:sz="0" w:space="0" w:color="auto"/>
            <w:left w:val="none" w:sz="0" w:space="0" w:color="auto"/>
            <w:bottom w:val="none" w:sz="0" w:space="0" w:color="auto"/>
            <w:right w:val="none" w:sz="0" w:space="0" w:color="auto"/>
          </w:divBdr>
        </w:div>
      </w:divsChild>
    </w:div>
    <w:div w:id="1191529402">
      <w:bodyDiv w:val="1"/>
      <w:marLeft w:val="0"/>
      <w:marRight w:val="0"/>
      <w:marTop w:val="0"/>
      <w:marBottom w:val="0"/>
      <w:divBdr>
        <w:top w:val="none" w:sz="0" w:space="0" w:color="auto"/>
        <w:left w:val="none" w:sz="0" w:space="0" w:color="auto"/>
        <w:bottom w:val="none" w:sz="0" w:space="0" w:color="auto"/>
        <w:right w:val="none" w:sz="0" w:space="0" w:color="auto"/>
      </w:divBdr>
      <w:divsChild>
        <w:div w:id="152721019">
          <w:marLeft w:val="446"/>
          <w:marRight w:val="0"/>
          <w:marTop w:val="0"/>
          <w:marBottom w:val="0"/>
          <w:divBdr>
            <w:top w:val="none" w:sz="0" w:space="0" w:color="auto"/>
            <w:left w:val="none" w:sz="0" w:space="0" w:color="auto"/>
            <w:bottom w:val="none" w:sz="0" w:space="0" w:color="auto"/>
            <w:right w:val="none" w:sz="0" w:space="0" w:color="auto"/>
          </w:divBdr>
        </w:div>
        <w:div w:id="1321931943">
          <w:marLeft w:val="446"/>
          <w:marRight w:val="0"/>
          <w:marTop w:val="0"/>
          <w:marBottom w:val="0"/>
          <w:divBdr>
            <w:top w:val="none" w:sz="0" w:space="0" w:color="auto"/>
            <w:left w:val="none" w:sz="0" w:space="0" w:color="auto"/>
            <w:bottom w:val="none" w:sz="0" w:space="0" w:color="auto"/>
            <w:right w:val="none" w:sz="0" w:space="0" w:color="auto"/>
          </w:divBdr>
        </w:div>
        <w:div w:id="2066875353">
          <w:marLeft w:val="446"/>
          <w:marRight w:val="0"/>
          <w:marTop w:val="0"/>
          <w:marBottom w:val="0"/>
          <w:divBdr>
            <w:top w:val="none" w:sz="0" w:space="0" w:color="auto"/>
            <w:left w:val="none" w:sz="0" w:space="0" w:color="auto"/>
            <w:bottom w:val="none" w:sz="0" w:space="0" w:color="auto"/>
            <w:right w:val="none" w:sz="0" w:space="0" w:color="auto"/>
          </w:divBdr>
        </w:div>
      </w:divsChild>
    </w:div>
    <w:div w:id="1200557525">
      <w:bodyDiv w:val="1"/>
      <w:marLeft w:val="0"/>
      <w:marRight w:val="0"/>
      <w:marTop w:val="0"/>
      <w:marBottom w:val="0"/>
      <w:divBdr>
        <w:top w:val="none" w:sz="0" w:space="0" w:color="auto"/>
        <w:left w:val="none" w:sz="0" w:space="0" w:color="auto"/>
        <w:bottom w:val="none" w:sz="0" w:space="0" w:color="auto"/>
        <w:right w:val="none" w:sz="0" w:space="0" w:color="auto"/>
      </w:divBdr>
    </w:div>
    <w:div w:id="1253397691">
      <w:bodyDiv w:val="1"/>
      <w:marLeft w:val="0"/>
      <w:marRight w:val="0"/>
      <w:marTop w:val="0"/>
      <w:marBottom w:val="0"/>
      <w:divBdr>
        <w:top w:val="none" w:sz="0" w:space="0" w:color="auto"/>
        <w:left w:val="none" w:sz="0" w:space="0" w:color="auto"/>
        <w:bottom w:val="none" w:sz="0" w:space="0" w:color="auto"/>
        <w:right w:val="none" w:sz="0" w:space="0" w:color="auto"/>
      </w:divBdr>
    </w:div>
    <w:div w:id="1289702667">
      <w:bodyDiv w:val="1"/>
      <w:marLeft w:val="0"/>
      <w:marRight w:val="0"/>
      <w:marTop w:val="0"/>
      <w:marBottom w:val="0"/>
      <w:divBdr>
        <w:top w:val="none" w:sz="0" w:space="0" w:color="auto"/>
        <w:left w:val="none" w:sz="0" w:space="0" w:color="auto"/>
        <w:bottom w:val="none" w:sz="0" w:space="0" w:color="auto"/>
        <w:right w:val="none" w:sz="0" w:space="0" w:color="auto"/>
      </w:divBdr>
    </w:div>
    <w:div w:id="1309628243">
      <w:bodyDiv w:val="1"/>
      <w:marLeft w:val="0"/>
      <w:marRight w:val="0"/>
      <w:marTop w:val="0"/>
      <w:marBottom w:val="0"/>
      <w:divBdr>
        <w:top w:val="none" w:sz="0" w:space="0" w:color="auto"/>
        <w:left w:val="none" w:sz="0" w:space="0" w:color="auto"/>
        <w:bottom w:val="none" w:sz="0" w:space="0" w:color="auto"/>
        <w:right w:val="none" w:sz="0" w:space="0" w:color="auto"/>
      </w:divBdr>
      <w:divsChild>
        <w:div w:id="90323554">
          <w:marLeft w:val="446"/>
          <w:marRight w:val="0"/>
          <w:marTop w:val="40"/>
          <w:marBottom w:val="40"/>
          <w:divBdr>
            <w:top w:val="none" w:sz="0" w:space="0" w:color="auto"/>
            <w:left w:val="none" w:sz="0" w:space="0" w:color="auto"/>
            <w:bottom w:val="none" w:sz="0" w:space="0" w:color="auto"/>
            <w:right w:val="none" w:sz="0" w:space="0" w:color="auto"/>
          </w:divBdr>
        </w:div>
        <w:div w:id="219903141">
          <w:marLeft w:val="446"/>
          <w:marRight w:val="0"/>
          <w:marTop w:val="40"/>
          <w:marBottom w:val="40"/>
          <w:divBdr>
            <w:top w:val="none" w:sz="0" w:space="0" w:color="auto"/>
            <w:left w:val="none" w:sz="0" w:space="0" w:color="auto"/>
            <w:bottom w:val="none" w:sz="0" w:space="0" w:color="auto"/>
            <w:right w:val="none" w:sz="0" w:space="0" w:color="auto"/>
          </w:divBdr>
        </w:div>
        <w:div w:id="307321747">
          <w:marLeft w:val="446"/>
          <w:marRight w:val="0"/>
          <w:marTop w:val="40"/>
          <w:marBottom w:val="40"/>
          <w:divBdr>
            <w:top w:val="none" w:sz="0" w:space="0" w:color="auto"/>
            <w:left w:val="none" w:sz="0" w:space="0" w:color="auto"/>
            <w:bottom w:val="none" w:sz="0" w:space="0" w:color="auto"/>
            <w:right w:val="none" w:sz="0" w:space="0" w:color="auto"/>
          </w:divBdr>
        </w:div>
        <w:div w:id="343167074">
          <w:marLeft w:val="446"/>
          <w:marRight w:val="0"/>
          <w:marTop w:val="40"/>
          <w:marBottom w:val="40"/>
          <w:divBdr>
            <w:top w:val="none" w:sz="0" w:space="0" w:color="auto"/>
            <w:left w:val="none" w:sz="0" w:space="0" w:color="auto"/>
            <w:bottom w:val="none" w:sz="0" w:space="0" w:color="auto"/>
            <w:right w:val="none" w:sz="0" w:space="0" w:color="auto"/>
          </w:divBdr>
        </w:div>
        <w:div w:id="474298697">
          <w:marLeft w:val="446"/>
          <w:marRight w:val="0"/>
          <w:marTop w:val="40"/>
          <w:marBottom w:val="40"/>
          <w:divBdr>
            <w:top w:val="none" w:sz="0" w:space="0" w:color="auto"/>
            <w:left w:val="none" w:sz="0" w:space="0" w:color="auto"/>
            <w:bottom w:val="none" w:sz="0" w:space="0" w:color="auto"/>
            <w:right w:val="none" w:sz="0" w:space="0" w:color="auto"/>
          </w:divBdr>
        </w:div>
        <w:div w:id="612710892">
          <w:marLeft w:val="446"/>
          <w:marRight w:val="0"/>
          <w:marTop w:val="40"/>
          <w:marBottom w:val="40"/>
          <w:divBdr>
            <w:top w:val="none" w:sz="0" w:space="0" w:color="auto"/>
            <w:left w:val="none" w:sz="0" w:space="0" w:color="auto"/>
            <w:bottom w:val="none" w:sz="0" w:space="0" w:color="auto"/>
            <w:right w:val="none" w:sz="0" w:space="0" w:color="auto"/>
          </w:divBdr>
        </w:div>
        <w:div w:id="776951821">
          <w:marLeft w:val="446"/>
          <w:marRight w:val="0"/>
          <w:marTop w:val="40"/>
          <w:marBottom w:val="40"/>
          <w:divBdr>
            <w:top w:val="none" w:sz="0" w:space="0" w:color="auto"/>
            <w:left w:val="none" w:sz="0" w:space="0" w:color="auto"/>
            <w:bottom w:val="none" w:sz="0" w:space="0" w:color="auto"/>
            <w:right w:val="none" w:sz="0" w:space="0" w:color="auto"/>
          </w:divBdr>
        </w:div>
        <w:div w:id="877745155">
          <w:marLeft w:val="446"/>
          <w:marRight w:val="0"/>
          <w:marTop w:val="40"/>
          <w:marBottom w:val="40"/>
          <w:divBdr>
            <w:top w:val="none" w:sz="0" w:space="0" w:color="auto"/>
            <w:left w:val="none" w:sz="0" w:space="0" w:color="auto"/>
            <w:bottom w:val="none" w:sz="0" w:space="0" w:color="auto"/>
            <w:right w:val="none" w:sz="0" w:space="0" w:color="auto"/>
          </w:divBdr>
        </w:div>
        <w:div w:id="1622490191">
          <w:marLeft w:val="446"/>
          <w:marRight w:val="0"/>
          <w:marTop w:val="40"/>
          <w:marBottom w:val="40"/>
          <w:divBdr>
            <w:top w:val="none" w:sz="0" w:space="0" w:color="auto"/>
            <w:left w:val="none" w:sz="0" w:space="0" w:color="auto"/>
            <w:bottom w:val="none" w:sz="0" w:space="0" w:color="auto"/>
            <w:right w:val="none" w:sz="0" w:space="0" w:color="auto"/>
          </w:divBdr>
        </w:div>
        <w:div w:id="1624850755">
          <w:marLeft w:val="446"/>
          <w:marRight w:val="0"/>
          <w:marTop w:val="40"/>
          <w:marBottom w:val="40"/>
          <w:divBdr>
            <w:top w:val="none" w:sz="0" w:space="0" w:color="auto"/>
            <w:left w:val="none" w:sz="0" w:space="0" w:color="auto"/>
            <w:bottom w:val="none" w:sz="0" w:space="0" w:color="auto"/>
            <w:right w:val="none" w:sz="0" w:space="0" w:color="auto"/>
          </w:divBdr>
        </w:div>
        <w:div w:id="1704788971">
          <w:marLeft w:val="446"/>
          <w:marRight w:val="0"/>
          <w:marTop w:val="40"/>
          <w:marBottom w:val="40"/>
          <w:divBdr>
            <w:top w:val="none" w:sz="0" w:space="0" w:color="auto"/>
            <w:left w:val="none" w:sz="0" w:space="0" w:color="auto"/>
            <w:bottom w:val="none" w:sz="0" w:space="0" w:color="auto"/>
            <w:right w:val="none" w:sz="0" w:space="0" w:color="auto"/>
          </w:divBdr>
        </w:div>
        <w:div w:id="1826161690">
          <w:marLeft w:val="446"/>
          <w:marRight w:val="0"/>
          <w:marTop w:val="40"/>
          <w:marBottom w:val="40"/>
          <w:divBdr>
            <w:top w:val="none" w:sz="0" w:space="0" w:color="auto"/>
            <w:left w:val="none" w:sz="0" w:space="0" w:color="auto"/>
            <w:bottom w:val="none" w:sz="0" w:space="0" w:color="auto"/>
            <w:right w:val="none" w:sz="0" w:space="0" w:color="auto"/>
          </w:divBdr>
        </w:div>
        <w:div w:id="2035305209">
          <w:marLeft w:val="446"/>
          <w:marRight w:val="0"/>
          <w:marTop w:val="40"/>
          <w:marBottom w:val="40"/>
          <w:divBdr>
            <w:top w:val="none" w:sz="0" w:space="0" w:color="auto"/>
            <w:left w:val="none" w:sz="0" w:space="0" w:color="auto"/>
            <w:bottom w:val="none" w:sz="0" w:space="0" w:color="auto"/>
            <w:right w:val="none" w:sz="0" w:space="0" w:color="auto"/>
          </w:divBdr>
        </w:div>
        <w:div w:id="2091655136">
          <w:marLeft w:val="446"/>
          <w:marRight w:val="0"/>
          <w:marTop w:val="40"/>
          <w:marBottom w:val="40"/>
          <w:divBdr>
            <w:top w:val="none" w:sz="0" w:space="0" w:color="auto"/>
            <w:left w:val="none" w:sz="0" w:space="0" w:color="auto"/>
            <w:bottom w:val="none" w:sz="0" w:space="0" w:color="auto"/>
            <w:right w:val="none" w:sz="0" w:space="0" w:color="auto"/>
          </w:divBdr>
        </w:div>
      </w:divsChild>
    </w:div>
    <w:div w:id="1323657704">
      <w:bodyDiv w:val="1"/>
      <w:marLeft w:val="0"/>
      <w:marRight w:val="0"/>
      <w:marTop w:val="0"/>
      <w:marBottom w:val="0"/>
      <w:divBdr>
        <w:top w:val="none" w:sz="0" w:space="0" w:color="auto"/>
        <w:left w:val="none" w:sz="0" w:space="0" w:color="auto"/>
        <w:bottom w:val="none" w:sz="0" w:space="0" w:color="auto"/>
        <w:right w:val="none" w:sz="0" w:space="0" w:color="auto"/>
      </w:divBdr>
    </w:div>
    <w:div w:id="1340500416">
      <w:bodyDiv w:val="1"/>
      <w:marLeft w:val="0"/>
      <w:marRight w:val="0"/>
      <w:marTop w:val="0"/>
      <w:marBottom w:val="0"/>
      <w:divBdr>
        <w:top w:val="none" w:sz="0" w:space="0" w:color="auto"/>
        <w:left w:val="none" w:sz="0" w:space="0" w:color="auto"/>
        <w:bottom w:val="none" w:sz="0" w:space="0" w:color="auto"/>
        <w:right w:val="none" w:sz="0" w:space="0" w:color="auto"/>
      </w:divBdr>
      <w:divsChild>
        <w:div w:id="629282602">
          <w:marLeft w:val="446"/>
          <w:marRight w:val="0"/>
          <w:marTop w:val="40"/>
          <w:marBottom w:val="40"/>
          <w:divBdr>
            <w:top w:val="none" w:sz="0" w:space="0" w:color="auto"/>
            <w:left w:val="none" w:sz="0" w:space="0" w:color="auto"/>
            <w:bottom w:val="none" w:sz="0" w:space="0" w:color="auto"/>
            <w:right w:val="none" w:sz="0" w:space="0" w:color="auto"/>
          </w:divBdr>
        </w:div>
        <w:div w:id="684408346">
          <w:marLeft w:val="446"/>
          <w:marRight w:val="0"/>
          <w:marTop w:val="40"/>
          <w:marBottom w:val="40"/>
          <w:divBdr>
            <w:top w:val="none" w:sz="0" w:space="0" w:color="auto"/>
            <w:left w:val="none" w:sz="0" w:space="0" w:color="auto"/>
            <w:bottom w:val="none" w:sz="0" w:space="0" w:color="auto"/>
            <w:right w:val="none" w:sz="0" w:space="0" w:color="auto"/>
          </w:divBdr>
        </w:div>
        <w:div w:id="694770932">
          <w:marLeft w:val="446"/>
          <w:marRight w:val="0"/>
          <w:marTop w:val="40"/>
          <w:marBottom w:val="40"/>
          <w:divBdr>
            <w:top w:val="none" w:sz="0" w:space="0" w:color="auto"/>
            <w:left w:val="none" w:sz="0" w:space="0" w:color="auto"/>
            <w:bottom w:val="none" w:sz="0" w:space="0" w:color="auto"/>
            <w:right w:val="none" w:sz="0" w:space="0" w:color="auto"/>
          </w:divBdr>
        </w:div>
        <w:div w:id="901403451">
          <w:marLeft w:val="1166"/>
          <w:marRight w:val="0"/>
          <w:marTop w:val="40"/>
          <w:marBottom w:val="40"/>
          <w:divBdr>
            <w:top w:val="none" w:sz="0" w:space="0" w:color="auto"/>
            <w:left w:val="none" w:sz="0" w:space="0" w:color="auto"/>
            <w:bottom w:val="none" w:sz="0" w:space="0" w:color="auto"/>
            <w:right w:val="none" w:sz="0" w:space="0" w:color="auto"/>
          </w:divBdr>
        </w:div>
        <w:div w:id="965428775">
          <w:marLeft w:val="446"/>
          <w:marRight w:val="0"/>
          <w:marTop w:val="40"/>
          <w:marBottom w:val="40"/>
          <w:divBdr>
            <w:top w:val="none" w:sz="0" w:space="0" w:color="auto"/>
            <w:left w:val="none" w:sz="0" w:space="0" w:color="auto"/>
            <w:bottom w:val="none" w:sz="0" w:space="0" w:color="auto"/>
            <w:right w:val="none" w:sz="0" w:space="0" w:color="auto"/>
          </w:divBdr>
        </w:div>
        <w:div w:id="1586376521">
          <w:marLeft w:val="1166"/>
          <w:marRight w:val="0"/>
          <w:marTop w:val="40"/>
          <w:marBottom w:val="40"/>
          <w:divBdr>
            <w:top w:val="none" w:sz="0" w:space="0" w:color="auto"/>
            <w:left w:val="none" w:sz="0" w:space="0" w:color="auto"/>
            <w:bottom w:val="none" w:sz="0" w:space="0" w:color="auto"/>
            <w:right w:val="none" w:sz="0" w:space="0" w:color="auto"/>
          </w:divBdr>
        </w:div>
        <w:div w:id="1634363229">
          <w:marLeft w:val="446"/>
          <w:marRight w:val="0"/>
          <w:marTop w:val="40"/>
          <w:marBottom w:val="40"/>
          <w:divBdr>
            <w:top w:val="none" w:sz="0" w:space="0" w:color="auto"/>
            <w:left w:val="none" w:sz="0" w:space="0" w:color="auto"/>
            <w:bottom w:val="none" w:sz="0" w:space="0" w:color="auto"/>
            <w:right w:val="none" w:sz="0" w:space="0" w:color="auto"/>
          </w:divBdr>
        </w:div>
        <w:div w:id="1819374386">
          <w:marLeft w:val="446"/>
          <w:marRight w:val="0"/>
          <w:marTop w:val="40"/>
          <w:marBottom w:val="40"/>
          <w:divBdr>
            <w:top w:val="none" w:sz="0" w:space="0" w:color="auto"/>
            <w:left w:val="none" w:sz="0" w:space="0" w:color="auto"/>
            <w:bottom w:val="none" w:sz="0" w:space="0" w:color="auto"/>
            <w:right w:val="none" w:sz="0" w:space="0" w:color="auto"/>
          </w:divBdr>
        </w:div>
        <w:div w:id="1820924253">
          <w:marLeft w:val="446"/>
          <w:marRight w:val="0"/>
          <w:marTop w:val="40"/>
          <w:marBottom w:val="40"/>
          <w:divBdr>
            <w:top w:val="none" w:sz="0" w:space="0" w:color="auto"/>
            <w:left w:val="none" w:sz="0" w:space="0" w:color="auto"/>
            <w:bottom w:val="none" w:sz="0" w:space="0" w:color="auto"/>
            <w:right w:val="none" w:sz="0" w:space="0" w:color="auto"/>
          </w:divBdr>
        </w:div>
        <w:div w:id="1857689413">
          <w:marLeft w:val="446"/>
          <w:marRight w:val="0"/>
          <w:marTop w:val="40"/>
          <w:marBottom w:val="40"/>
          <w:divBdr>
            <w:top w:val="none" w:sz="0" w:space="0" w:color="auto"/>
            <w:left w:val="none" w:sz="0" w:space="0" w:color="auto"/>
            <w:bottom w:val="none" w:sz="0" w:space="0" w:color="auto"/>
            <w:right w:val="none" w:sz="0" w:space="0" w:color="auto"/>
          </w:divBdr>
        </w:div>
        <w:div w:id="2073384360">
          <w:marLeft w:val="446"/>
          <w:marRight w:val="0"/>
          <w:marTop w:val="40"/>
          <w:marBottom w:val="40"/>
          <w:divBdr>
            <w:top w:val="none" w:sz="0" w:space="0" w:color="auto"/>
            <w:left w:val="none" w:sz="0" w:space="0" w:color="auto"/>
            <w:bottom w:val="none" w:sz="0" w:space="0" w:color="auto"/>
            <w:right w:val="none" w:sz="0" w:space="0" w:color="auto"/>
          </w:divBdr>
        </w:div>
      </w:divsChild>
    </w:div>
    <w:div w:id="1487280393">
      <w:bodyDiv w:val="1"/>
      <w:marLeft w:val="0"/>
      <w:marRight w:val="0"/>
      <w:marTop w:val="0"/>
      <w:marBottom w:val="0"/>
      <w:divBdr>
        <w:top w:val="none" w:sz="0" w:space="0" w:color="auto"/>
        <w:left w:val="none" w:sz="0" w:space="0" w:color="auto"/>
        <w:bottom w:val="none" w:sz="0" w:space="0" w:color="auto"/>
        <w:right w:val="none" w:sz="0" w:space="0" w:color="auto"/>
      </w:divBdr>
    </w:div>
    <w:div w:id="1522665406">
      <w:bodyDiv w:val="1"/>
      <w:marLeft w:val="0"/>
      <w:marRight w:val="0"/>
      <w:marTop w:val="0"/>
      <w:marBottom w:val="0"/>
      <w:divBdr>
        <w:top w:val="none" w:sz="0" w:space="0" w:color="auto"/>
        <w:left w:val="none" w:sz="0" w:space="0" w:color="auto"/>
        <w:bottom w:val="none" w:sz="0" w:space="0" w:color="auto"/>
        <w:right w:val="none" w:sz="0" w:space="0" w:color="auto"/>
      </w:divBdr>
      <w:divsChild>
        <w:div w:id="138500824">
          <w:marLeft w:val="274"/>
          <w:marRight w:val="0"/>
          <w:marTop w:val="0"/>
          <w:marBottom w:val="0"/>
          <w:divBdr>
            <w:top w:val="none" w:sz="0" w:space="0" w:color="auto"/>
            <w:left w:val="none" w:sz="0" w:space="0" w:color="auto"/>
            <w:bottom w:val="none" w:sz="0" w:space="0" w:color="auto"/>
            <w:right w:val="none" w:sz="0" w:space="0" w:color="auto"/>
          </w:divBdr>
        </w:div>
        <w:div w:id="631789674">
          <w:marLeft w:val="274"/>
          <w:marRight w:val="0"/>
          <w:marTop w:val="0"/>
          <w:marBottom w:val="0"/>
          <w:divBdr>
            <w:top w:val="none" w:sz="0" w:space="0" w:color="auto"/>
            <w:left w:val="none" w:sz="0" w:space="0" w:color="auto"/>
            <w:bottom w:val="none" w:sz="0" w:space="0" w:color="auto"/>
            <w:right w:val="none" w:sz="0" w:space="0" w:color="auto"/>
          </w:divBdr>
        </w:div>
        <w:div w:id="974455395">
          <w:marLeft w:val="274"/>
          <w:marRight w:val="0"/>
          <w:marTop w:val="0"/>
          <w:marBottom w:val="0"/>
          <w:divBdr>
            <w:top w:val="none" w:sz="0" w:space="0" w:color="auto"/>
            <w:left w:val="none" w:sz="0" w:space="0" w:color="auto"/>
            <w:bottom w:val="none" w:sz="0" w:space="0" w:color="auto"/>
            <w:right w:val="none" w:sz="0" w:space="0" w:color="auto"/>
          </w:divBdr>
        </w:div>
        <w:div w:id="1180392107">
          <w:marLeft w:val="274"/>
          <w:marRight w:val="0"/>
          <w:marTop w:val="0"/>
          <w:marBottom w:val="0"/>
          <w:divBdr>
            <w:top w:val="none" w:sz="0" w:space="0" w:color="auto"/>
            <w:left w:val="none" w:sz="0" w:space="0" w:color="auto"/>
            <w:bottom w:val="none" w:sz="0" w:space="0" w:color="auto"/>
            <w:right w:val="none" w:sz="0" w:space="0" w:color="auto"/>
          </w:divBdr>
        </w:div>
        <w:div w:id="1318340071">
          <w:marLeft w:val="274"/>
          <w:marRight w:val="0"/>
          <w:marTop w:val="0"/>
          <w:marBottom w:val="0"/>
          <w:divBdr>
            <w:top w:val="none" w:sz="0" w:space="0" w:color="auto"/>
            <w:left w:val="none" w:sz="0" w:space="0" w:color="auto"/>
            <w:bottom w:val="none" w:sz="0" w:space="0" w:color="auto"/>
            <w:right w:val="none" w:sz="0" w:space="0" w:color="auto"/>
          </w:divBdr>
        </w:div>
        <w:div w:id="1483692401">
          <w:marLeft w:val="274"/>
          <w:marRight w:val="0"/>
          <w:marTop w:val="0"/>
          <w:marBottom w:val="0"/>
          <w:divBdr>
            <w:top w:val="none" w:sz="0" w:space="0" w:color="auto"/>
            <w:left w:val="none" w:sz="0" w:space="0" w:color="auto"/>
            <w:bottom w:val="none" w:sz="0" w:space="0" w:color="auto"/>
            <w:right w:val="none" w:sz="0" w:space="0" w:color="auto"/>
          </w:divBdr>
        </w:div>
        <w:div w:id="2110271657">
          <w:marLeft w:val="274"/>
          <w:marRight w:val="0"/>
          <w:marTop w:val="0"/>
          <w:marBottom w:val="0"/>
          <w:divBdr>
            <w:top w:val="none" w:sz="0" w:space="0" w:color="auto"/>
            <w:left w:val="none" w:sz="0" w:space="0" w:color="auto"/>
            <w:bottom w:val="none" w:sz="0" w:space="0" w:color="auto"/>
            <w:right w:val="none" w:sz="0" w:space="0" w:color="auto"/>
          </w:divBdr>
        </w:div>
      </w:divsChild>
    </w:div>
    <w:div w:id="1530022832">
      <w:bodyDiv w:val="1"/>
      <w:marLeft w:val="0"/>
      <w:marRight w:val="0"/>
      <w:marTop w:val="0"/>
      <w:marBottom w:val="0"/>
      <w:divBdr>
        <w:top w:val="none" w:sz="0" w:space="0" w:color="auto"/>
        <w:left w:val="none" w:sz="0" w:space="0" w:color="auto"/>
        <w:bottom w:val="none" w:sz="0" w:space="0" w:color="auto"/>
        <w:right w:val="none" w:sz="0" w:space="0" w:color="auto"/>
      </w:divBdr>
      <w:divsChild>
        <w:div w:id="377513274">
          <w:marLeft w:val="547"/>
          <w:marRight w:val="0"/>
          <w:marTop w:val="0"/>
          <w:marBottom w:val="0"/>
          <w:divBdr>
            <w:top w:val="none" w:sz="0" w:space="0" w:color="auto"/>
            <w:left w:val="none" w:sz="0" w:space="0" w:color="auto"/>
            <w:bottom w:val="none" w:sz="0" w:space="0" w:color="auto"/>
            <w:right w:val="none" w:sz="0" w:space="0" w:color="auto"/>
          </w:divBdr>
        </w:div>
        <w:div w:id="680812702">
          <w:marLeft w:val="547"/>
          <w:marRight w:val="0"/>
          <w:marTop w:val="0"/>
          <w:marBottom w:val="0"/>
          <w:divBdr>
            <w:top w:val="none" w:sz="0" w:space="0" w:color="auto"/>
            <w:left w:val="none" w:sz="0" w:space="0" w:color="auto"/>
            <w:bottom w:val="none" w:sz="0" w:space="0" w:color="auto"/>
            <w:right w:val="none" w:sz="0" w:space="0" w:color="auto"/>
          </w:divBdr>
        </w:div>
        <w:div w:id="684474973">
          <w:marLeft w:val="547"/>
          <w:marRight w:val="0"/>
          <w:marTop w:val="0"/>
          <w:marBottom w:val="0"/>
          <w:divBdr>
            <w:top w:val="none" w:sz="0" w:space="0" w:color="auto"/>
            <w:left w:val="none" w:sz="0" w:space="0" w:color="auto"/>
            <w:bottom w:val="none" w:sz="0" w:space="0" w:color="auto"/>
            <w:right w:val="none" w:sz="0" w:space="0" w:color="auto"/>
          </w:divBdr>
        </w:div>
        <w:div w:id="805588518">
          <w:marLeft w:val="547"/>
          <w:marRight w:val="0"/>
          <w:marTop w:val="0"/>
          <w:marBottom w:val="0"/>
          <w:divBdr>
            <w:top w:val="none" w:sz="0" w:space="0" w:color="auto"/>
            <w:left w:val="none" w:sz="0" w:space="0" w:color="auto"/>
            <w:bottom w:val="none" w:sz="0" w:space="0" w:color="auto"/>
            <w:right w:val="none" w:sz="0" w:space="0" w:color="auto"/>
          </w:divBdr>
        </w:div>
        <w:div w:id="943658858">
          <w:marLeft w:val="547"/>
          <w:marRight w:val="0"/>
          <w:marTop w:val="0"/>
          <w:marBottom w:val="0"/>
          <w:divBdr>
            <w:top w:val="none" w:sz="0" w:space="0" w:color="auto"/>
            <w:left w:val="none" w:sz="0" w:space="0" w:color="auto"/>
            <w:bottom w:val="none" w:sz="0" w:space="0" w:color="auto"/>
            <w:right w:val="none" w:sz="0" w:space="0" w:color="auto"/>
          </w:divBdr>
        </w:div>
        <w:div w:id="1044598605">
          <w:marLeft w:val="547"/>
          <w:marRight w:val="0"/>
          <w:marTop w:val="0"/>
          <w:marBottom w:val="0"/>
          <w:divBdr>
            <w:top w:val="none" w:sz="0" w:space="0" w:color="auto"/>
            <w:left w:val="none" w:sz="0" w:space="0" w:color="auto"/>
            <w:bottom w:val="none" w:sz="0" w:space="0" w:color="auto"/>
            <w:right w:val="none" w:sz="0" w:space="0" w:color="auto"/>
          </w:divBdr>
        </w:div>
        <w:div w:id="1091581097">
          <w:marLeft w:val="547"/>
          <w:marRight w:val="0"/>
          <w:marTop w:val="0"/>
          <w:marBottom w:val="0"/>
          <w:divBdr>
            <w:top w:val="none" w:sz="0" w:space="0" w:color="auto"/>
            <w:left w:val="none" w:sz="0" w:space="0" w:color="auto"/>
            <w:bottom w:val="none" w:sz="0" w:space="0" w:color="auto"/>
            <w:right w:val="none" w:sz="0" w:space="0" w:color="auto"/>
          </w:divBdr>
        </w:div>
        <w:div w:id="1296638361">
          <w:marLeft w:val="547"/>
          <w:marRight w:val="0"/>
          <w:marTop w:val="0"/>
          <w:marBottom w:val="0"/>
          <w:divBdr>
            <w:top w:val="none" w:sz="0" w:space="0" w:color="auto"/>
            <w:left w:val="none" w:sz="0" w:space="0" w:color="auto"/>
            <w:bottom w:val="none" w:sz="0" w:space="0" w:color="auto"/>
            <w:right w:val="none" w:sz="0" w:space="0" w:color="auto"/>
          </w:divBdr>
        </w:div>
        <w:div w:id="1333755361">
          <w:marLeft w:val="547"/>
          <w:marRight w:val="0"/>
          <w:marTop w:val="0"/>
          <w:marBottom w:val="0"/>
          <w:divBdr>
            <w:top w:val="none" w:sz="0" w:space="0" w:color="auto"/>
            <w:left w:val="none" w:sz="0" w:space="0" w:color="auto"/>
            <w:bottom w:val="none" w:sz="0" w:space="0" w:color="auto"/>
            <w:right w:val="none" w:sz="0" w:space="0" w:color="auto"/>
          </w:divBdr>
        </w:div>
        <w:div w:id="1458987489">
          <w:marLeft w:val="547"/>
          <w:marRight w:val="0"/>
          <w:marTop w:val="0"/>
          <w:marBottom w:val="0"/>
          <w:divBdr>
            <w:top w:val="none" w:sz="0" w:space="0" w:color="auto"/>
            <w:left w:val="none" w:sz="0" w:space="0" w:color="auto"/>
            <w:bottom w:val="none" w:sz="0" w:space="0" w:color="auto"/>
            <w:right w:val="none" w:sz="0" w:space="0" w:color="auto"/>
          </w:divBdr>
        </w:div>
        <w:div w:id="1670253082">
          <w:marLeft w:val="547"/>
          <w:marRight w:val="0"/>
          <w:marTop w:val="0"/>
          <w:marBottom w:val="0"/>
          <w:divBdr>
            <w:top w:val="none" w:sz="0" w:space="0" w:color="auto"/>
            <w:left w:val="none" w:sz="0" w:space="0" w:color="auto"/>
            <w:bottom w:val="none" w:sz="0" w:space="0" w:color="auto"/>
            <w:right w:val="none" w:sz="0" w:space="0" w:color="auto"/>
          </w:divBdr>
        </w:div>
        <w:div w:id="1674452916">
          <w:marLeft w:val="547"/>
          <w:marRight w:val="0"/>
          <w:marTop w:val="0"/>
          <w:marBottom w:val="0"/>
          <w:divBdr>
            <w:top w:val="none" w:sz="0" w:space="0" w:color="auto"/>
            <w:left w:val="none" w:sz="0" w:space="0" w:color="auto"/>
            <w:bottom w:val="none" w:sz="0" w:space="0" w:color="auto"/>
            <w:right w:val="none" w:sz="0" w:space="0" w:color="auto"/>
          </w:divBdr>
        </w:div>
        <w:div w:id="1755007573">
          <w:marLeft w:val="547"/>
          <w:marRight w:val="0"/>
          <w:marTop w:val="0"/>
          <w:marBottom w:val="0"/>
          <w:divBdr>
            <w:top w:val="none" w:sz="0" w:space="0" w:color="auto"/>
            <w:left w:val="none" w:sz="0" w:space="0" w:color="auto"/>
            <w:bottom w:val="none" w:sz="0" w:space="0" w:color="auto"/>
            <w:right w:val="none" w:sz="0" w:space="0" w:color="auto"/>
          </w:divBdr>
        </w:div>
        <w:div w:id="1869367184">
          <w:marLeft w:val="547"/>
          <w:marRight w:val="0"/>
          <w:marTop w:val="0"/>
          <w:marBottom w:val="0"/>
          <w:divBdr>
            <w:top w:val="none" w:sz="0" w:space="0" w:color="auto"/>
            <w:left w:val="none" w:sz="0" w:space="0" w:color="auto"/>
            <w:bottom w:val="none" w:sz="0" w:space="0" w:color="auto"/>
            <w:right w:val="none" w:sz="0" w:space="0" w:color="auto"/>
          </w:divBdr>
        </w:div>
        <w:div w:id="2146044030">
          <w:marLeft w:val="547"/>
          <w:marRight w:val="0"/>
          <w:marTop w:val="0"/>
          <w:marBottom w:val="0"/>
          <w:divBdr>
            <w:top w:val="none" w:sz="0" w:space="0" w:color="auto"/>
            <w:left w:val="none" w:sz="0" w:space="0" w:color="auto"/>
            <w:bottom w:val="none" w:sz="0" w:space="0" w:color="auto"/>
            <w:right w:val="none" w:sz="0" w:space="0" w:color="auto"/>
          </w:divBdr>
        </w:div>
      </w:divsChild>
    </w:div>
    <w:div w:id="1584533172">
      <w:bodyDiv w:val="1"/>
      <w:marLeft w:val="0"/>
      <w:marRight w:val="0"/>
      <w:marTop w:val="0"/>
      <w:marBottom w:val="0"/>
      <w:divBdr>
        <w:top w:val="none" w:sz="0" w:space="0" w:color="auto"/>
        <w:left w:val="none" w:sz="0" w:space="0" w:color="auto"/>
        <w:bottom w:val="none" w:sz="0" w:space="0" w:color="auto"/>
        <w:right w:val="none" w:sz="0" w:space="0" w:color="auto"/>
      </w:divBdr>
      <w:divsChild>
        <w:div w:id="214240232">
          <w:marLeft w:val="446"/>
          <w:marRight w:val="0"/>
          <w:marTop w:val="0"/>
          <w:marBottom w:val="0"/>
          <w:divBdr>
            <w:top w:val="none" w:sz="0" w:space="0" w:color="auto"/>
            <w:left w:val="none" w:sz="0" w:space="0" w:color="auto"/>
            <w:bottom w:val="none" w:sz="0" w:space="0" w:color="auto"/>
            <w:right w:val="none" w:sz="0" w:space="0" w:color="auto"/>
          </w:divBdr>
        </w:div>
        <w:div w:id="468937724">
          <w:marLeft w:val="446"/>
          <w:marRight w:val="0"/>
          <w:marTop w:val="0"/>
          <w:marBottom w:val="0"/>
          <w:divBdr>
            <w:top w:val="none" w:sz="0" w:space="0" w:color="auto"/>
            <w:left w:val="none" w:sz="0" w:space="0" w:color="auto"/>
            <w:bottom w:val="none" w:sz="0" w:space="0" w:color="auto"/>
            <w:right w:val="none" w:sz="0" w:space="0" w:color="auto"/>
          </w:divBdr>
        </w:div>
        <w:div w:id="632713715">
          <w:marLeft w:val="446"/>
          <w:marRight w:val="0"/>
          <w:marTop w:val="0"/>
          <w:marBottom w:val="0"/>
          <w:divBdr>
            <w:top w:val="none" w:sz="0" w:space="0" w:color="auto"/>
            <w:left w:val="none" w:sz="0" w:space="0" w:color="auto"/>
            <w:bottom w:val="none" w:sz="0" w:space="0" w:color="auto"/>
            <w:right w:val="none" w:sz="0" w:space="0" w:color="auto"/>
          </w:divBdr>
        </w:div>
        <w:div w:id="758260640">
          <w:marLeft w:val="446"/>
          <w:marRight w:val="0"/>
          <w:marTop w:val="0"/>
          <w:marBottom w:val="0"/>
          <w:divBdr>
            <w:top w:val="none" w:sz="0" w:space="0" w:color="auto"/>
            <w:left w:val="none" w:sz="0" w:space="0" w:color="auto"/>
            <w:bottom w:val="none" w:sz="0" w:space="0" w:color="auto"/>
            <w:right w:val="none" w:sz="0" w:space="0" w:color="auto"/>
          </w:divBdr>
        </w:div>
        <w:div w:id="880632342">
          <w:marLeft w:val="446"/>
          <w:marRight w:val="0"/>
          <w:marTop w:val="0"/>
          <w:marBottom w:val="0"/>
          <w:divBdr>
            <w:top w:val="none" w:sz="0" w:space="0" w:color="auto"/>
            <w:left w:val="none" w:sz="0" w:space="0" w:color="auto"/>
            <w:bottom w:val="none" w:sz="0" w:space="0" w:color="auto"/>
            <w:right w:val="none" w:sz="0" w:space="0" w:color="auto"/>
          </w:divBdr>
        </w:div>
        <w:div w:id="1102841626">
          <w:marLeft w:val="446"/>
          <w:marRight w:val="0"/>
          <w:marTop w:val="0"/>
          <w:marBottom w:val="0"/>
          <w:divBdr>
            <w:top w:val="none" w:sz="0" w:space="0" w:color="auto"/>
            <w:left w:val="none" w:sz="0" w:space="0" w:color="auto"/>
            <w:bottom w:val="none" w:sz="0" w:space="0" w:color="auto"/>
            <w:right w:val="none" w:sz="0" w:space="0" w:color="auto"/>
          </w:divBdr>
        </w:div>
        <w:div w:id="1582986829">
          <w:marLeft w:val="446"/>
          <w:marRight w:val="0"/>
          <w:marTop w:val="0"/>
          <w:marBottom w:val="0"/>
          <w:divBdr>
            <w:top w:val="none" w:sz="0" w:space="0" w:color="auto"/>
            <w:left w:val="none" w:sz="0" w:space="0" w:color="auto"/>
            <w:bottom w:val="none" w:sz="0" w:space="0" w:color="auto"/>
            <w:right w:val="none" w:sz="0" w:space="0" w:color="auto"/>
          </w:divBdr>
        </w:div>
        <w:div w:id="1773280796">
          <w:marLeft w:val="446"/>
          <w:marRight w:val="0"/>
          <w:marTop w:val="0"/>
          <w:marBottom w:val="0"/>
          <w:divBdr>
            <w:top w:val="none" w:sz="0" w:space="0" w:color="auto"/>
            <w:left w:val="none" w:sz="0" w:space="0" w:color="auto"/>
            <w:bottom w:val="none" w:sz="0" w:space="0" w:color="auto"/>
            <w:right w:val="none" w:sz="0" w:space="0" w:color="auto"/>
          </w:divBdr>
        </w:div>
      </w:divsChild>
    </w:div>
    <w:div w:id="1674605372">
      <w:bodyDiv w:val="1"/>
      <w:marLeft w:val="0"/>
      <w:marRight w:val="0"/>
      <w:marTop w:val="0"/>
      <w:marBottom w:val="0"/>
      <w:divBdr>
        <w:top w:val="none" w:sz="0" w:space="0" w:color="auto"/>
        <w:left w:val="none" w:sz="0" w:space="0" w:color="auto"/>
        <w:bottom w:val="none" w:sz="0" w:space="0" w:color="auto"/>
        <w:right w:val="none" w:sz="0" w:space="0" w:color="auto"/>
      </w:divBdr>
    </w:div>
    <w:div w:id="1702314226">
      <w:bodyDiv w:val="1"/>
      <w:marLeft w:val="0"/>
      <w:marRight w:val="0"/>
      <w:marTop w:val="0"/>
      <w:marBottom w:val="0"/>
      <w:divBdr>
        <w:top w:val="none" w:sz="0" w:space="0" w:color="auto"/>
        <w:left w:val="none" w:sz="0" w:space="0" w:color="auto"/>
        <w:bottom w:val="none" w:sz="0" w:space="0" w:color="auto"/>
        <w:right w:val="none" w:sz="0" w:space="0" w:color="auto"/>
      </w:divBdr>
      <w:divsChild>
        <w:div w:id="158933636">
          <w:marLeft w:val="547"/>
          <w:marRight w:val="0"/>
          <w:marTop w:val="0"/>
          <w:marBottom w:val="0"/>
          <w:divBdr>
            <w:top w:val="none" w:sz="0" w:space="0" w:color="auto"/>
            <w:left w:val="none" w:sz="0" w:space="0" w:color="auto"/>
            <w:bottom w:val="none" w:sz="0" w:space="0" w:color="auto"/>
            <w:right w:val="none" w:sz="0" w:space="0" w:color="auto"/>
          </w:divBdr>
        </w:div>
        <w:div w:id="225267713">
          <w:marLeft w:val="547"/>
          <w:marRight w:val="0"/>
          <w:marTop w:val="0"/>
          <w:marBottom w:val="0"/>
          <w:divBdr>
            <w:top w:val="none" w:sz="0" w:space="0" w:color="auto"/>
            <w:left w:val="none" w:sz="0" w:space="0" w:color="auto"/>
            <w:bottom w:val="none" w:sz="0" w:space="0" w:color="auto"/>
            <w:right w:val="none" w:sz="0" w:space="0" w:color="auto"/>
          </w:divBdr>
        </w:div>
        <w:div w:id="255092496">
          <w:marLeft w:val="547"/>
          <w:marRight w:val="0"/>
          <w:marTop w:val="0"/>
          <w:marBottom w:val="0"/>
          <w:divBdr>
            <w:top w:val="none" w:sz="0" w:space="0" w:color="auto"/>
            <w:left w:val="none" w:sz="0" w:space="0" w:color="auto"/>
            <w:bottom w:val="none" w:sz="0" w:space="0" w:color="auto"/>
            <w:right w:val="none" w:sz="0" w:space="0" w:color="auto"/>
          </w:divBdr>
        </w:div>
        <w:div w:id="356346920">
          <w:marLeft w:val="547"/>
          <w:marRight w:val="0"/>
          <w:marTop w:val="0"/>
          <w:marBottom w:val="0"/>
          <w:divBdr>
            <w:top w:val="none" w:sz="0" w:space="0" w:color="auto"/>
            <w:left w:val="none" w:sz="0" w:space="0" w:color="auto"/>
            <w:bottom w:val="none" w:sz="0" w:space="0" w:color="auto"/>
            <w:right w:val="none" w:sz="0" w:space="0" w:color="auto"/>
          </w:divBdr>
        </w:div>
        <w:div w:id="564462061">
          <w:marLeft w:val="547"/>
          <w:marRight w:val="0"/>
          <w:marTop w:val="0"/>
          <w:marBottom w:val="0"/>
          <w:divBdr>
            <w:top w:val="none" w:sz="0" w:space="0" w:color="auto"/>
            <w:left w:val="none" w:sz="0" w:space="0" w:color="auto"/>
            <w:bottom w:val="none" w:sz="0" w:space="0" w:color="auto"/>
            <w:right w:val="none" w:sz="0" w:space="0" w:color="auto"/>
          </w:divBdr>
        </w:div>
        <w:div w:id="697198088">
          <w:marLeft w:val="547"/>
          <w:marRight w:val="0"/>
          <w:marTop w:val="0"/>
          <w:marBottom w:val="0"/>
          <w:divBdr>
            <w:top w:val="none" w:sz="0" w:space="0" w:color="auto"/>
            <w:left w:val="none" w:sz="0" w:space="0" w:color="auto"/>
            <w:bottom w:val="none" w:sz="0" w:space="0" w:color="auto"/>
            <w:right w:val="none" w:sz="0" w:space="0" w:color="auto"/>
          </w:divBdr>
        </w:div>
        <w:div w:id="848786942">
          <w:marLeft w:val="547"/>
          <w:marRight w:val="0"/>
          <w:marTop w:val="0"/>
          <w:marBottom w:val="0"/>
          <w:divBdr>
            <w:top w:val="none" w:sz="0" w:space="0" w:color="auto"/>
            <w:left w:val="none" w:sz="0" w:space="0" w:color="auto"/>
            <w:bottom w:val="none" w:sz="0" w:space="0" w:color="auto"/>
            <w:right w:val="none" w:sz="0" w:space="0" w:color="auto"/>
          </w:divBdr>
        </w:div>
        <w:div w:id="979919644">
          <w:marLeft w:val="547"/>
          <w:marRight w:val="0"/>
          <w:marTop w:val="0"/>
          <w:marBottom w:val="0"/>
          <w:divBdr>
            <w:top w:val="none" w:sz="0" w:space="0" w:color="auto"/>
            <w:left w:val="none" w:sz="0" w:space="0" w:color="auto"/>
            <w:bottom w:val="none" w:sz="0" w:space="0" w:color="auto"/>
            <w:right w:val="none" w:sz="0" w:space="0" w:color="auto"/>
          </w:divBdr>
        </w:div>
        <w:div w:id="1018237336">
          <w:marLeft w:val="547"/>
          <w:marRight w:val="0"/>
          <w:marTop w:val="0"/>
          <w:marBottom w:val="0"/>
          <w:divBdr>
            <w:top w:val="none" w:sz="0" w:space="0" w:color="auto"/>
            <w:left w:val="none" w:sz="0" w:space="0" w:color="auto"/>
            <w:bottom w:val="none" w:sz="0" w:space="0" w:color="auto"/>
            <w:right w:val="none" w:sz="0" w:space="0" w:color="auto"/>
          </w:divBdr>
        </w:div>
        <w:div w:id="1255089576">
          <w:marLeft w:val="547"/>
          <w:marRight w:val="0"/>
          <w:marTop w:val="0"/>
          <w:marBottom w:val="0"/>
          <w:divBdr>
            <w:top w:val="none" w:sz="0" w:space="0" w:color="auto"/>
            <w:left w:val="none" w:sz="0" w:space="0" w:color="auto"/>
            <w:bottom w:val="none" w:sz="0" w:space="0" w:color="auto"/>
            <w:right w:val="none" w:sz="0" w:space="0" w:color="auto"/>
          </w:divBdr>
        </w:div>
        <w:div w:id="1305164004">
          <w:marLeft w:val="547"/>
          <w:marRight w:val="0"/>
          <w:marTop w:val="0"/>
          <w:marBottom w:val="0"/>
          <w:divBdr>
            <w:top w:val="none" w:sz="0" w:space="0" w:color="auto"/>
            <w:left w:val="none" w:sz="0" w:space="0" w:color="auto"/>
            <w:bottom w:val="none" w:sz="0" w:space="0" w:color="auto"/>
            <w:right w:val="none" w:sz="0" w:space="0" w:color="auto"/>
          </w:divBdr>
        </w:div>
        <w:div w:id="1315601759">
          <w:marLeft w:val="547"/>
          <w:marRight w:val="0"/>
          <w:marTop w:val="0"/>
          <w:marBottom w:val="0"/>
          <w:divBdr>
            <w:top w:val="none" w:sz="0" w:space="0" w:color="auto"/>
            <w:left w:val="none" w:sz="0" w:space="0" w:color="auto"/>
            <w:bottom w:val="none" w:sz="0" w:space="0" w:color="auto"/>
            <w:right w:val="none" w:sz="0" w:space="0" w:color="auto"/>
          </w:divBdr>
        </w:div>
        <w:div w:id="1409499487">
          <w:marLeft w:val="547"/>
          <w:marRight w:val="0"/>
          <w:marTop w:val="0"/>
          <w:marBottom w:val="0"/>
          <w:divBdr>
            <w:top w:val="none" w:sz="0" w:space="0" w:color="auto"/>
            <w:left w:val="none" w:sz="0" w:space="0" w:color="auto"/>
            <w:bottom w:val="none" w:sz="0" w:space="0" w:color="auto"/>
            <w:right w:val="none" w:sz="0" w:space="0" w:color="auto"/>
          </w:divBdr>
        </w:div>
        <w:div w:id="1614896278">
          <w:marLeft w:val="547"/>
          <w:marRight w:val="0"/>
          <w:marTop w:val="0"/>
          <w:marBottom w:val="0"/>
          <w:divBdr>
            <w:top w:val="none" w:sz="0" w:space="0" w:color="auto"/>
            <w:left w:val="none" w:sz="0" w:space="0" w:color="auto"/>
            <w:bottom w:val="none" w:sz="0" w:space="0" w:color="auto"/>
            <w:right w:val="none" w:sz="0" w:space="0" w:color="auto"/>
          </w:divBdr>
        </w:div>
        <w:div w:id="1642926551">
          <w:marLeft w:val="547"/>
          <w:marRight w:val="0"/>
          <w:marTop w:val="0"/>
          <w:marBottom w:val="0"/>
          <w:divBdr>
            <w:top w:val="none" w:sz="0" w:space="0" w:color="auto"/>
            <w:left w:val="none" w:sz="0" w:space="0" w:color="auto"/>
            <w:bottom w:val="none" w:sz="0" w:space="0" w:color="auto"/>
            <w:right w:val="none" w:sz="0" w:space="0" w:color="auto"/>
          </w:divBdr>
        </w:div>
      </w:divsChild>
    </w:div>
    <w:div w:id="1750033797">
      <w:bodyDiv w:val="1"/>
      <w:marLeft w:val="0"/>
      <w:marRight w:val="0"/>
      <w:marTop w:val="0"/>
      <w:marBottom w:val="0"/>
      <w:divBdr>
        <w:top w:val="none" w:sz="0" w:space="0" w:color="auto"/>
        <w:left w:val="none" w:sz="0" w:space="0" w:color="auto"/>
        <w:bottom w:val="none" w:sz="0" w:space="0" w:color="auto"/>
        <w:right w:val="none" w:sz="0" w:space="0" w:color="auto"/>
      </w:divBdr>
    </w:div>
    <w:div w:id="1795562391">
      <w:bodyDiv w:val="1"/>
      <w:marLeft w:val="0"/>
      <w:marRight w:val="0"/>
      <w:marTop w:val="0"/>
      <w:marBottom w:val="0"/>
      <w:divBdr>
        <w:top w:val="none" w:sz="0" w:space="0" w:color="auto"/>
        <w:left w:val="none" w:sz="0" w:space="0" w:color="auto"/>
        <w:bottom w:val="none" w:sz="0" w:space="0" w:color="auto"/>
        <w:right w:val="none" w:sz="0" w:space="0" w:color="auto"/>
      </w:divBdr>
    </w:div>
    <w:div w:id="1795905583">
      <w:bodyDiv w:val="1"/>
      <w:marLeft w:val="0"/>
      <w:marRight w:val="0"/>
      <w:marTop w:val="0"/>
      <w:marBottom w:val="0"/>
      <w:divBdr>
        <w:top w:val="none" w:sz="0" w:space="0" w:color="auto"/>
        <w:left w:val="none" w:sz="0" w:space="0" w:color="auto"/>
        <w:bottom w:val="none" w:sz="0" w:space="0" w:color="auto"/>
        <w:right w:val="none" w:sz="0" w:space="0" w:color="auto"/>
      </w:divBdr>
      <w:divsChild>
        <w:div w:id="37512552">
          <w:marLeft w:val="446"/>
          <w:marRight w:val="0"/>
          <w:marTop w:val="0"/>
          <w:marBottom w:val="0"/>
          <w:divBdr>
            <w:top w:val="none" w:sz="0" w:space="0" w:color="auto"/>
            <w:left w:val="none" w:sz="0" w:space="0" w:color="auto"/>
            <w:bottom w:val="none" w:sz="0" w:space="0" w:color="auto"/>
            <w:right w:val="none" w:sz="0" w:space="0" w:color="auto"/>
          </w:divBdr>
        </w:div>
        <w:div w:id="309334762">
          <w:marLeft w:val="446"/>
          <w:marRight w:val="0"/>
          <w:marTop w:val="0"/>
          <w:marBottom w:val="0"/>
          <w:divBdr>
            <w:top w:val="none" w:sz="0" w:space="0" w:color="auto"/>
            <w:left w:val="none" w:sz="0" w:space="0" w:color="auto"/>
            <w:bottom w:val="none" w:sz="0" w:space="0" w:color="auto"/>
            <w:right w:val="none" w:sz="0" w:space="0" w:color="auto"/>
          </w:divBdr>
        </w:div>
        <w:div w:id="448820005">
          <w:marLeft w:val="1166"/>
          <w:marRight w:val="0"/>
          <w:marTop w:val="0"/>
          <w:marBottom w:val="0"/>
          <w:divBdr>
            <w:top w:val="none" w:sz="0" w:space="0" w:color="auto"/>
            <w:left w:val="none" w:sz="0" w:space="0" w:color="auto"/>
            <w:bottom w:val="none" w:sz="0" w:space="0" w:color="auto"/>
            <w:right w:val="none" w:sz="0" w:space="0" w:color="auto"/>
          </w:divBdr>
        </w:div>
        <w:div w:id="705757710">
          <w:marLeft w:val="1166"/>
          <w:marRight w:val="0"/>
          <w:marTop w:val="0"/>
          <w:marBottom w:val="0"/>
          <w:divBdr>
            <w:top w:val="none" w:sz="0" w:space="0" w:color="auto"/>
            <w:left w:val="none" w:sz="0" w:space="0" w:color="auto"/>
            <w:bottom w:val="none" w:sz="0" w:space="0" w:color="auto"/>
            <w:right w:val="none" w:sz="0" w:space="0" w:color="auto"/>
          </w:divBdr>
        </w:div>
        <w:div w:id="822237819">
          <w:marLeft w:val="446"/>
          <w:marRight w:val="0"/>
          <w:marTop w:val="0"/>
          <w:marBottom w:val="0"/>
          <w:divBdr>
            <w:top w:val="none" w:sz="0" w:space="0" w:color="auto"/>
            <w:left w:val="none" w:sz="0" w:space="0" w:color="auto"/>
            <w:bottom w:val="none" w:sz="0" w:space="0" w:color="auto"/>
            <w:right w:val="none" w:sz="0" w:space="0" w:color="auto"/>
          </w:divBdr>
        </w:div>
        <w:div w:id="1164468060">
          <w:marLeft w:val="446"/>
          <w:marRight w:val="0"/>
          <w:marTop w:val="0"/>
          <w:marBottom w:val="0"/>
          <w:divBdr>
            <w:top w:val="none" w:sz="0" w:space="0" w:color="auto"/>
            <w:left w:val="none" w:sz="0" w:space="0" w:color="auto"/>
            <w:bottom w:val="none" w:sz="0" w:space="0" w:color="auto"/>
            <w:right w:val="none" w:sz="0" w:space="0" w:color="auto"/>
          </w:divBdr>
        </w:div>
        <w:div w:id="1181042444">
          <w:marLeft w:val="1166"/>
          <w:marRight w:val="0"/>
          <w:marTop w:val="0"/>
          <w:marBottom w:val="0"/>
          <w:divBdr>
            <w:top w:val="none" w:sz="0" w:space="0" w:color="auto"/>
            <w:left w:val="none" w:sz="0" w:space="0" w:color="auto"/>
            <w:bottom w:val="none" w:sz="0" w:space="0" w:color="auto"/>
            <w:right w:val="none" w:sz="0" w:space="0" w:color="auto"/>
          </w:divBdr>
        </w:div>
        <w:div w:id="1269196183">
          <w:marLeft w:val="446"/>
          <w:marRight w:val="0"/>
          <w:marTop w:val="0"/>
          <w:marBottom w:val="0"/>
          <w:divBdr>
            <w:top w:val="none" w:sz="0" w:space="0" w:color="auto"/>
            <w:left w:val="none" w:sz="0" w:space="0" w:color="auto"/>
            <w:bottom w:val="none" w:sz="0" w:space="0" w:color="auto"/>
            <w:right w:val="none" w:sz="0" w:space="0" w:color="auto"/>
          </w:divBdr>
        </w:div>
        <w:div w:id="1398892881">
          <w:marLeft w:val="446"/>
          <w:marRight w:val="0"/>
          <w:marTop w:val="0"/>
          <w:marBottom w:val="0"/>
          <w:divBdr>
            <w:top w:val="none" w:sz="0" w:space="0" w:color="auto"/>
            <w:left w:val="none" w:sz="0" w:space="0" w:color="auto"/>
            <w:bottom w:val="none" w:sz="0" w:space="0" w:color="auto"/>
            <w:right w:val="none" w:sz="0" w:space="0" w:color="auto"/>
          </w:divBdr>
        </w:div>
        <w:div w:id="1588347551">
          <w:marLeft w:val="446"/>
          <w:marRight w:val="0"/>
          <w:marTop w:val="0"/>
          <w:marBottom w:val="0"/>
          <w:divBdr>
            <w:top w:val="none" w:sz="0" w:space="0" w:color="auto"/>
            <w:left w:val="none" w:sz="0" w:space="0" w:color="auto"/>
            <w:bottom w:val="none" w:sz="0" w:space="0" w:color="auto"/>
            <w:right w:val="none" w:sz="0" w:space="0" w:color="auto"/>
          </w:divBdr>
        </w:div>
        <w:div w:id="1804539231">
          <w:marLeft w:val="1166"/>
          <w:marRight w:val="0"/>
          <w:marTop w:val="0"/>
          <w:marBottom w:val="0"/>
          <w:divBdr>
            <w:top w:val="none" w:sz="0" w:space="0" w:color="auto"/>
            <w:left w:val="none" w:sz="0" w:space="0" w:color="auto"/>
            <w:bottom w:val="none" w:sz="0" w:space="0" w:color="auto"/>
            <w:right w:val="none" w:sz="0" w:space="0" w:color="auto"/>
          </w:divBdr>
        </w:div>
        <w:div w:id="1944075163">
          <w:marLeft w:val="446"/>
          <w:marRight w:val="0"/>
          <w:marTop w:val="0"/>
          <w:marBottom w:val="0"/>
          <w:divBdr>
            <w:top w:val="none" w:sz="0" w:space="0" w:color="auto"/>
            <w:left w:val="none" w:sz="0" w:space="0" w:color="auto"/>
            <w:bottom w:val="none" w:sz="0" w:space="0" w:color="auto"/>
            <w:right w:val="none" w:sz="0" w:space="0" w:color="auto"/>
          </w:divBdr>
        </w:div>
      </w:divsChild>
    </w:div>
    <w:div w:id="1864240880">
      <w:bodyDiv w:val="1"/>
      <w:marLeft w:val="0"/>
      <w:marRight w:val="0"/>
      <w:marTop w:val="0"/>
      <w:marBottom w:val="0"/>
      <w:divBdr>
        <w:top w:val="none" w:sz="0" w:space="0" w:color="auto"/>
        <w:left w:val="none" w:sz="0" w:space="0" w:color="auto"/>
        <w:bottom w:val="none" w:sz="0" w:space="0" w:color="auto"/>
        <w:right w:val="none" w:sz="0" w:space="0" w:color="auto"/>
      </w:divBdr>
    </w:div>
    <w:div w:id="1865897553">
      <w:bodyDiv w:val="1"/>
      <w:marLeft w:val="0"/>
      <w:marRight w:val="0"/>
      <w:marTop w:val="0"/>
      <w:marBottom w:val="0"/>
      <w:divBdr>
        <w:top w:val="none" w:sz="0" w:space="0" w:color="auto"/>
        <w:left w:val="none" w:sz="0" w:space="0" w:color="auto"/>
        <w:bottom w:val="none" w:sz="0" w:space="0" w:color="auto"/>
        <w:right w:val="none" w:sz="0" w:space="0" w:color="auto"/>
      </w:divBdr>
    </w:div>
    <w:div w:id="1905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estornormativo.creg.gov.co/gestor/entorno/docs/resolucion_creg_0117_2015.htm" TargetMode="External"/><Relationship Id="rId21" Type="http://schemas.openxmlformats.org/officeDocument/2006/relationships/hyperlink" Target="https://gestornormativo.creg.gov.co/gestor/entorno/docs/resolucion_creg_0120_2015.htm" TargetMode="External"/><Relationship Id="rId42" Type="http://schemas.openxmlformats.org/officeDocument/2006/relationships/hyperlink" Target="https://gestornormativo.creg.gov.co/gestor/entorno/docs/resolucion_creg_0014_2016.htm" TargetMode="External"/><Relationship Id="rId47" Type="http://schemas.openxmlformats.org/officeDocument/2006/relationships/hyperlink" Target="https://gestornormativo.creg.gov.co/gestor/entorno/docs/resolucion_creg_0119_2015.htm" TargetMode="External"/><Relationship Id="rId63" Type="http://schemas.openxmlformats.org/officeDocument/2006/relationships/hyperlink" Target="https://gestornormativo.creg.gov.co/gestor/entorno/docs/resolucion_creg_0217_2015.htm" TargetMode="External"/><Relationship Id="rId68" Type="http://schemas.openxmlformats.org/officeDocument/2006/relationships/image" Target="media/image6.png"/><Relationship Id="rId16" Type="http://schemas.openxmlformats.org/officeDocument/2006/relationships/hyperlink" Target="https://gestornormativo.creg.gov.co/gestor/entorno/docs/resolucion_creg_0122_2015.htm" TargetMode="External"/><Relationship Id="rId11" Type="http://schemas.openxmlformats.org/officeDocument/2006/relationships/image" Target="media/image1.png"/><Relationship Id="rId24" Type="http://schemas.openxmlformats.org/officeDocument/2006/relationships/hyperlink" Target="https://gestornormativo.creg.gov.co/gestor/entorno/docs/resolucion_creg_0205_2015.htm" TargetMode="External"/><Relationship Id="rId32" Type="http://schemas.openxmlformats.org/officeDocument/2006/relationships/hyperlink" Target="https://gestornormativo.creg.gov.co/gestor/entorno/docs/resolucion_creg_0036_2015.htm" TargetMode="External"/><Relationship Id="rId37" Type="http://schemas.openxmlformats.org/officeDocument/2006/relationships/hyperlink" Target="https://gestornormativo.creg.gov.co/gestor/entorno/docs/resolucion_creg_0233_2016.htm" TargetMode="External"/><Relationship Id="rId40" Type="http://schemas.openxmlformats.org/officeDocument/2006/relationships/hyperlink" Target="https://gestornormativo.creg.gov.co/gestor/entorno/docs/resolucion_creg_0230_2016.htm" TargetMode="External"/><Relationship Id="rId45" Type="http://schemas.openxmlformats.org/officeDocument/2006/relationships/hyperlink" Target="https://gestornormativo.creg.gov.co/gestor/entorno/docs/resolucion_creg_0229_2016.htm" TargetMode="External"/><Relationship Id="rId53" Type="http://schemas.openxmlformats.org/officeDocument/2006/relationships/hyperlink" Target="https://gestornormativo.creg.gov.co/gestor/entorno/docs/resolucion_creg_0080_2016.htm" TargetMode="External"/><Relationship Id="rId58" Type="http://schemas.openxmlformats.org/officeDocument/2006/relationships/hyperlink" Target="https://gestornormativo.creg.gov.co/gestor/entorno/docs/resolucion_creg_0216_2015.htm" TargetMode="External"/><Relationship Id="rId66" Type="http://schemas.openxmlformats.org/officeDocument/2006/relationships/footer" Target="footer1.xml"/><Relationship Id="rId74" Type="http://schemas.openxmlformats.org/officeDocument/2006/relationships/image" Target="media/image10.png"/><Relationship Id="rId5" Type="http://schemas.openxmlformats.org/officeDocument/2006/relationships/numbering" Target="numbering.xml"/><Relationship Id="rId61" Type="http://schemas.openxmlformats.org/officeDocument/2006/relationships/hyperlink" Target="https://gestornormativo.creg.gov.co/gestor/entorno/docs/resolucion_creg_0231_2016.htm" TargetMode="External"/><Relationship Id="rId19" Type="http://schemas.openxmlformats.org/officeDocument/2006/relationships/hyperlink" Target="https://gestornormativo.creg.gov.co/gestor/entorno/docs/resolucion_creg_0015_2016.htm" TargetMode="External"/><Relationship Id="rId14" Type="http://schemas.openxmlformats.org/officeDocument/2006/relationships/image" Target="media/image4.png"/><Relationship Id="rId22" Type="http://schemas.openxmlformats.org/officeDocument/2006/relationships/hyperlink" Target="https://gestornormativo.creg.gov.co/gestor/entorno/docs/resolucion_creg_0118_2015.htm" TargetMode="External"/><Relationship Id="rId27" Type="http://schemas.openxmlformats.org/officeDocument/2006/relationships/hyperlink" Target="https://gestornormativo.creg.gov.co/gestor/entorno/docs/resolucion_creg_0231_2016.htm" TargetMode="External"/><Relationship Id="rId30" Type="http://schemas.openxmlformats.org/officeDocument/2006/relationships/hyperlink" Target="https://gestornormativo.creg.gov.co/gestor/entorno/docs/resolucion_creg_0217_2015.htm" TargetMode="External"/><Relationship Id="rId35" Type="http://schemas.openxmlformats.org/officeDocument/2006/relationships/hyperlink" Target="https://gestornormativo.creg.gov.co/gestor/entorno/docs/resolucion_creg_0189_2015.htm" TargetMode="External"/><Relationship Id="rId43" Type="http://schemas.openxmlformats.org/officeDocument/2006/relationships/hyperlink" Target="https://gestornormativo.creg.gov.co/gestor/entorno/docs/resolucion_creg_0232_2016.htm" TargetMode="External"/><Relationship Id="rId48" Type="http://schemas.openxmlformats.org/officeDocument/2006/relationships/hyperlink" Target="https://gestornormativo.creg.gov.co/gestor/entorno/docs/resolucion_creg_0036_2015.htm" TargetMode="External"/><Relationship Id="rId56" Type="http://schemas.openxmlformats.org/officeDocument/2006/relationships/hyperlink" Target="https://gestornormativo.creg.gov.co/gestor/entorno/docs/resolucion_creg_0121_2015.htm" TargetMode="External"/><Relationship Id="rId64" Type="http://schemas.openxmlformats.org/officeDocument/2006/relationships/image" Target="media/image5.png"/><Relationship Id="rId69" Type="http://schemas.openxmlformats.org/officeDocument/2006/relationships/hyperlink" Target="https://gestornormativo.creg.gov.co/gestor/entorno/docs/resolucion_creg_0180_2014.htm"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cac.org.co/actividad_regulatoria/metodol_comercial/doc_creg/resol_particulares/Creg123-2015_ARAUCA.pdf" TargetMode="External"/><Relationship Id="rId72"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gestornormativo.creg.gov.co/gestor/entorno/docs/resolucion_creg_0119_2015.htm" TargetMode="External"/><Relationship Id="rId25" Type="http://schemas.openxmlformats.org/officeDocument/2006/relationships/hyperlink" Target="https://gestornormativo.creg.gov.co/gestor/entorno/docs/resolucion_creg_0188_2015.htm" TargetMode="External"/><Relationship Id="rId33" Type="http://schemas.openxmlformats.org/officeDocument/2006/relationships/hyperlink" Target="https://gestornormativo.creg.gov.co/gestor/entorno/docs/resolucion_creg_0036_2015.htm" TargetMode="External"/><Relationship Id="rId38" Type="http://schemas.openxmlformats.org/officeDocument/2006/relationships/hyperlink" Target="https://gestornormativo.creg.gov.co/gestor/entorno/docs/resolucion_creg_0199_2015.htm" TargetMode="External"/><Relationship Id="rId46" Type="http://schemas.openxmlformats.org/officeDocument/2006/relationships/hyperlink" Target="https://gestornormativo.creg.gov.co/gestor/entorno/docs/resolucion_creg_0017_2016.htm" TargetMode="External"/><Relationship Id="rId59" Type="http://schemas.openxmlformats.org/officeDocument/2006/relationships/hyperlink" Target="https://gestornormativo.creg.gov.co/gestor/entorno/docs/resolucion_creg_0016_2016.htm" TargetMode="External"/><Relationship Id="rId67" Type="http://schemas.microsoft.com/office/2014/relationships/chartEx" Target="charts/chartEx1.xml"/><Relationship Id="rId20" Type="http://schemas.openxmlformats.org/officeDocument/2006/relationships/hyperlink" Target="https://gestornormativo.creg.gov.co/gestor/entorno/docs/resolucion_creg_0016_2016.htm" TargetMode="External"/><Relationship Id="rId41" Type="http://schemas.openxmlformats.org/officeDocument/2006/relationships/hyperlink" Target="https://gestornormativo.creg.gov.co/gestor/entorno/docs/resolucion_creg_0124_2015.htm" TargetMode="External"/><Relationship Id="rId54" Type="http://schemas.openxmlformats.org/officeDocument/2006/relationships/hyperlink" Target="https://gestornormativo.creg.gov.co/gestor/entorno/docs/resolucion_creg_0190_2015.htm" TargetMode="External"/><Relationship Id="rId62" Type="http://schemas.openxmlformats.org/officeDocument/2006/relationships/hyperlink" Target="https://gestornormativo.creg.gov.co/gestor/entorno/docs/resolucion_creg_0199_2015.htm" TargetMode="External"/><Relationship Id="rId70" Type="http://schemas.openxmlformats.org/officeDocument/2006/relationships/hyperlink" Target="https://gestornormativo.creg.gov.co/gestor/entorno/docs/ley_0142_1994.htm" TargetMode="External"/><Relationship Id="rId75"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stornormativo.creg.gov.co/gestor/entorno/docs/resolucion_creg_0017_2016.htm" TargetMode="External"/><Relationship Id="rId23" Type="http://schemas.openxmlformats.org/officeDocument/2006/relationships/hyperlink" Target="https://gestornormativo.creg.gov.co/gestor/entorno/docs/resolucion_creg_0229_2016.htm" TargetMode="External"/><Relationship Id="rId28" Type="http://schemas.openxmlformats.org/officeDocument/2006/relationships/hyperlink" Target="https://gestornormativo.creg.gov.co/gestor/entorno/docs/resolucion_creg_0121_2015.htm" TargetMode="External"/><Relationship Id="rId36" Type="http://schemas.openxmlformats.org/officeDocument/2006/relationships/hyperlink" Target="https://gestornormativo.creg.gov.co/gestor/entorno/docs/resolucion_creg_0190_2015.htm" TargetMode="External"/><Relationship Id="rId49" Type="http://schemas.openxmlformats.org/officeDocument/2006/relationships/hyperlink" Target="https://gestornormativo.creg.gov.co/gestor/entorno/docs/resolucion_creg_0036_2015.htm" TargetMode="External"/><Relationship Id="rId57" Type="http://schemas.openxmlformats.org/officeDocument/2006/relationships/hyperlink" Target="https://gestornormativo.creg.gov.co/gestor/entorno/docs/resolucion_creg_0189_2015.htm" TargetMode="External"/><Relationship Id="rId10" Type="http://schemas.openxmlformats.org/officeDocument/2006/relationships/endnotes" Target="endnotes.xml"/><Relationship Id="rId31" Type="http://schemas.openxmlformats.org/officeDocument/2006/relationships/hyperlink" Target="https://gestornormativo.creg.gov.co/gestor/entorno/docs/resolucion_creg_0036_2015.htm" TargetMode="External"/><Relationship Id="rId44" Type="http://schemas.openxmlformats.org/officeDocument/2006/relationships/hyperlink" Target="https://gestornormativo.creg.gov.co/gestor/entorno/docs/resolucion_creg_0013_2016.htm" TargetMode="External"/><Relationship Id="rId52" Type="http://schemas.openxmlformats.org/officeDocument/2006/relationships/hyperlink" Target="https://gestornormativo.creg.gov.co/gestor/entorno/docs/resolucion_creg_0187_2015.htm" TargetMode="External"/><Relationship Id="rId60" Type="http://schemas.openxmlformats.org/officeDocument/2006/relationships/hyperlink" Target="https://gestornormativo.creg.gov.co/gestor/entorno/docs/resolucion_creg_0118_2015.htm" TargetMode="External"/><Relationship Id="rId65" Type="http://schemas.openxmlformats.org/officeDocument/2006/relationships/header" Target="header1.xml"/><Relationship Id="rId73" Type="http://schemas.openxmlformats.org/officeDocument/2006/relationships/image" Target="media/image9.png"/><Relationship Id="rId7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hyperlink" Target="https://gestornormativo.creg.gov.co/gestor/entorno/docs/resolucion_creg_0216_2015.htm" TargetMode="External"/><Relationship Id="rId39" Type="http://schemas.openxmlformats.org/officeDocument/2006/relationships/hyperlink" Target="https://gestornormativo.creg.gov.co/gestor/entorno/docs/resolucion_creg_0206_2015.htm" TargetMode="External"/><Relationship Id="rId34" Type="http://schemas.openxmlformats.org/officeDocument/2006/relationships/hyperlink" Target="http://www.cac.org.co/actividad_regulatoria/metodol_comercial/doc_creg/resol_particulares/Creg123-2015_ARAUCA.pdf" TargetMode="External"/><Relationship Id="rId50" Type="http://schemas.openxmlformats.org/officeDocument/2006/relationships/hyperlink" Target="https://gestornormativo.creg.gov.co/gestor/entorno/docs/resolucion_creg_0122_2015.htm" TargetMode="External"/><Relationship Id="rId55" Type="http://schemas.openxmlformats.org/officeDocument/2006/relationships/hyperlink" Target="https://gestornormativo.creg.gov.co/gestor/entorno/docs/resolucion_creg_0015_2016.htm"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s://gestornormativo.creg.gov.co/gestor/entorno/docs/resolucion_creg_0187_2015.htm" TargetMode="External"/></Relationships>
</file>

<file path=word/charts/_rels/chartEx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chartEx1.xml><?xml version="1.0" encoding="utf-8"?>
<cx:chartSpace xmlns:a="http://schemas.openxmlformats.org/drawingml/2006/main" xmlns:r="http://schemas.openxmlformats.org/officeDocument/2006/relationships" xmlns:cx="http://schemas.microsoft.com/office/drawing/2014/chartex">
  <cx:chartData>
    <cx:data id="0">
      <cx:numDim type="val">
        <cx:f>'Mo (2)'!$V$85:$V$107</cx:f>
        <cx:lvl ptCount="23" formatCode="General">
          <cx:pt idx="0">0.027323347671153839</cx:pt>
          <cx:pt idx="1">-0.0069749839322993876</cx:pt>
          <cx:pt idx="2">0.039297622593792096</cx:pt>
          <cx:pt idx="3">0.067245775789483153</cx:pt>
          <cx:pt idx="5">-0.027309640352046197</cx:pt>
          <cx:pt idx="6">-0.87110775219589165</cx:pt>
          <cx:pt idx="7">0.12316076435351167</cx:pt>
          <cx:pt idx="8">0.097586297016395318</cx:pt>
          <cx:pt idx="9">0.044204262475562334</cx:pt>
          <cx:pt idx="10">0.0056856686483549848</cx:pt>
          <cx:pt idx="11">0.10848605962761633</cx:pt>
          <cx:pt idx="12">0.030110106570650025</cx:pt>
          <cx:pt idx="13">0.20746555364566083</cx:pt>
          <cx:pt idx="14">0.067480339764872735</cx:pt>
          <cx:pt idx="15">0.0088967872676088879</cx:pt>
          <cx:pt idx="16">0.013922376865233141</cx:pt>
          <cx:pt idx="17">0.11491726830453737</cx:pt>
          <cx:pt idx="18">0.0026362958446352804</cx:pt>
          <cx:pt idx="19">-0.096023926996131187</cx:pt>
          <cx:pt idx="20">0.033934279764283738</cx:pt>
          <cx:pt idx="21">0.0068231817217328673</cx:pt>
          <cx:pt idx="22">-0.19183695750576985</cx:pt>
        </cx:lvl>
      </cx:numDim>
    </cx:data>
    <cx:data id="1">
      <cx:numDim type="val">
        <cx:f>'Mo (2)'!$W$85:$W$110</cx:f>
        <cx:lvl ptCount="26" formatCode="General">
          <cx:pt idx="0">0.035875871635554647</cx:pt>
          <cx:pt idx="1">0.014032668132955953</cx:pt>
          <cx:pt idx="2">0.0045666337442105244</cx:pt>
          <cx:pt idx="3">-0.0033471417067541171</cx:pt>
          <cx:pt idx="4">-0.15029860239056297</cx:pt>
          <cx:pt idx="5">-0.047785213375917054</cx:pt>
          <cx:pt idx="6">-0.016995079207242584</cx:pt>
          <cx:pt idx="7">0.07574624068469768</cx:pt>
          <cx:pt idx="8">0.084611235962405135</cx:pt>
          <cx:pt idx="9">0.031070887354756643</cx:pt>
          <cx:pt idx="10">0.0771688560417019</cx:pt>
          <cx:pt idx="11">0.055147696629930125</cx:pt>
          <cx:pt idx="12">0.16573899025499764</cx:pt>
          <cx:pt idx="13">0.062723723496059938</cx:pt>
          <cx:pt idx="14">0.031513318513954405</cx:pt>
          <cx:pt idx="15">0.014659546267857222</cx:pt>
          <cx:pt idx="16">0.020483725166919889</cx:pt>
          <cx:pt idx="17">-0.01384326017328715</cx:pt>
          <cx:pt idx="18">-0.00033912883503922126</cx:pt>
          <cx:pt idx="19">0.0069870434817324734</cx:pt>
          <cx:pt idx="20">-0.0062398800272987585</cx:pt>
          <cx:pt idx="21">-0.029937370352096562</cx:pt>
          <cx:pt idx="22">0.24342318267823454</cx:pt>
          <cx:pt idx="23">0.083917349888140064</cx:pt>
          <cx:pt idx="24">-0.081388482649999816</cx:pt>
          <cx:pt idx="25">-0.29931916562059702</cx:pt>
        </cx:lvl>
      </cx:numDim>
    </cx:data>
    <cx:data id="2">
      <cx:numDim type="val">
        <cx:f>'Mo (2)'!$X$85:$X$113</cx:f>
        <cx:lvl ptCount="29" formatCode="General">
          <cx:pt idx="0">0.039330999015401817</cx:pt>
          <cx:pt idx="1">0.047243406458732658</cx:pt>
          <cx:pt idx="2">0.057895896804304139</cx:pt>
          <cx:pt idx="3">-0.10706006863970874</cx:pt>
          <cx:pt idx="5">-0.11715014115139227</cx:pt>
          <cx:pt idx="6">0.045863359471354545</cx:pt>
          <cx:pt idx="7">0.040252250757976657</cx:pt>
          <cx:pt idx="8">0.066933992418639621</cx:pt>
          <cx:pt idx="9">0.025599744177042572</cx:pt>
          <cx:pt idx="10">0.090701822233954496</cx:pt>
          <cx:pt idx="11">0.061926144365372325</cx:pt>
          <cx:pt idx="12">0.050191231401973922</cx:pt>
          <cx:pt idx="13">0.15199143329118267</cx:pt>
          <cx:pt idx="14">0.061797753018590813</cx:pt>
          <cx:pt idx="15">0.037516253026926842</cx:pt>
          <cx:pt idx="16">0.011923554967399145</cx:pt>
          <cx:pt idx="17">0.018172815391389301</cx:pt>
          <cx:pt idx="18">-0.015784764072361471</cx:pt>
          <cx:pt idx="19">0.02168141293759538</cx:pt>
          <cx:pt idx="20">0.0013435527536437776</cx:pt>
          <cx:pt idx="21">0.013047842623018883</cx:pt>
          <cx:pt idx="22">0.50072785600497771</cx:pt>
          <cx:pt idx="23">0.00042979727294494306</cx:pt>
          <cx:pt idx="24">-0.001223715815079753</cx:pt>
          <cx:pt idx="25">0.024537302242742389</cx:pt>
          <cx:pt idx="26">0.0035569985293199447</cx:pt>
          <cx:pt idx="27">0.091425715380695341</cx:pt>
          <cx:pt idx="28">0.072535169371988562</cx:pt>
        </cx:lvl>
      </cx:numDim>
    </cx:data>
    <cx:data id="3">
      <cx:numDim type="val">
        <cx:f>'Mo (2)'!$Y$85:$Y$113</cx:f>
        <cx:lvl ptCount="29" formatCode="General">
          <cx:pt idx="0">0.0035028141711752588</cx:pt>
          <cx:pt idx="1">-0.066759720319835916</cx:pt>
          <cx:pt idx="2">0.050788813193567449</cx:pt>
          <cx:pt idx="3">0.044117718270503821</cx:pt>
          <cx:pt idx="4">0.044835114715484188</cx:pt>
          <cx:pt idx="5">0.031955260360762086</cx:pt>
          <cx:pt idx="6">0.12823917913139254</cx:pt>
          <cx:pt idx="7">-0.03900501803216766</cx:pt>
          <cx:pt idx="8">0.10758944783139282</cx:pt>
          <cx:pt idx="9">0.013440013273611485</cx:pt>
          <cx:pt idx="10">0.084994338557666749</cx:pt>
          <cx:pt idx="11">0.077090895064712173</cx:pt>
          <cx:pt idx="12">0.047307879626341302</cx:pt>
          <cx:pt idx="13">0.15150155133937626</cx:pt>
          <cx:pt idx="14">0.063168397149462083</cx:pt>
          <cx:pt idx="15">-0.0070549396034482875</cx:pt>
          <cx:pt idx="16">-0.01074651143730054</cx:pt>
          <cx:pt idx="17">0.01539548121790456</cx:pt>
          <cx:pt idx="18">0.0018661221222514681</cx:pt>
          <cx:pt idx="19">-0.021068621185780002</cx:pt>
          <cx:pt idx="20">0.098519197846628784</cx:pt>
          <cx:pt idx="21">0.019931134328061383</cx:pt>
          <cx:pt idx="22">-0.010197622075356558</cx:pt>
          <cx:pt idx="23">0.017086049373973476</cx:pt>
          <cx:pt idx="24">0.007154299930425375</cx:pt>
          <cx:pt idx="25">0.0085299823385362652</cx:pt>
          <cx:pt idx="26">-0.011080955887360532</cx:pt>
          <cx:pt idx="27">0.0027349919797208322</cx:pt>
          <cx:pt idx="28">-0.18341229912122636</cx:pt>
        </cx:lvl>
      </cx:numDim>
    </cx:data>
    <cx:data id="4">
      <cx:numDim type="val">
        <cx:f>'Mo (2)'!$Z$85:$Z$114</cx:f>
        <cx:lvl ptCount="30" formatCode="General">
          <cx:pt idx="0">0.17372132555468173</cx:pt>
          <cx:pt idx="1">0.008785446231080846</cx:pt>
          <cx:pt idx="2">0.042709306555764097</cx:pt>
          <cx:pt idx="3">0.25692527458112691</cx:pt>
          <cx:pt idx="4">0.01559999461713691</cx:pt>
          <cx:pt idx="5">0.036350689989676485</cx:pt>
          <cx:pt idx="6">0.22379573693681998</cx:pt>
          <cx:pt idx="7">0.091548909272491916</cx:pt>
          <cx:pt idx="8">0.14104756631460796</cx:pt>
          <cx:pt idx="9">0.093879250344848064</cx:pt>
          <cx:pt idx="10">0.019064610134005656</cx:pt>
          <cx:pt idx="11">0.12344328628483729</cx:pt>
          <cx:pt idx="12">0.09437032707945768</cx:pt>
          <cx:pt idx="13">0.13692940316408878</cx:pt>
          <cx:pt idx="14">0.36476726027634698</cx:pt>
          <cx:pt idx="15">0.068805060936377935</cx:pt>
          <cx:pt idx="16">0.028946184174652272</cx:pt>
          <cx:pt idx="17">0.0035805832195349488</cx:pt>
          <cx:pt idx="18">0.081453627211027516</cx:pt>
          <cx:pt idx="19">0.033373378838654676</cx:pt>
          <cx:pt idx="20">0.061824756718208654</cx:pt>
          <cx:pt idx="21">0.032740373850338914</cx:pt>
          <cx:pt idx="22">0.019580666931038753</cx:pt>
          <cx:pt idx="23">0.088762646325234174</cx:pt>
          <cx:pt idx="24">-0.018781573855844474</cx:pt>
          <cx:pt idx="25">0.0059024837601086072</cx:pt>
          <cx:pt idx="26">-0.014247498077721998</cx:pt>
          <cx:pt idx="27">0.0017894537032955486</cx:pt>
          <cx:pt idx="28">0.052799789784603743</cx:pt>
          <cx:pt idx="29">-0.097558620783924785</cx:pt>
        </cx:lvl>
      </cx:numDim>
    </cx:data>
  </cx:chartData>
  <cx:chart>
    <cx:plotArea>
      <cx:plotAreaRegion>
        <cx:series layoutId="boxWhisker" uniqueId="{F4F63C83-1947-43E0-A50F-4BD14B340A62}">
          <cx:tx>
            <cx:txData>
              <cx:f>'Mo (2)'!$V$84</cx:f>
              <cx:v>2017</cx:v>
            </cx:txData>
          </cx:tx>
          <cx:dataId val="0"/>
          <cx:layoutPr>
            <cx:visibility meanLine="0" meanMarker="1" nonoutliers="0" outliers="1"/>
            <cx:statistics quartileMethod="exclusive"/>
          </cx:layoutPr>
        </cx:series>
        <cx:series layoutId="boxWhisker" uniqueId="{00000001-C553-448E-870F-5AA64A60A769}">
          <cx:tx>
            <cx:txData>
              <cx:f>'Mo (2)'!$W$84</cx:f>
              <cx:v>2018</cx:v>
            </cx:txData>
          </cx:tx>
          <cx:dataId val="1"/>
          <cx:layoutPr>
            <cx:statistics quartileMethod="exclusive"/>
          </cx:layoutPr>
        </cx:series>
        <cx:series layoutId="boxWhisker" uniqueId="{00000002-C553-448E-870F-5AA64A60A769}">
          <cx:tx>
            <cx:txData>
              <cx:f>'Mo (2)'!$X$84</cx:f>
              <cx:v>2019</cx:v>
            </cx:txData>
          </cx:tx>
          <cx:dataId val="2"/>
          <cx:layoutPr>
            <cx:statistics quartileMethod="exclusive"/>
          </cx:layoutPr>
        </cx:series>
        <cx:series layoutId="boxWhisker" uniqueId="{00000003-C553-448E-870F-5AA64A60A769}">
          <cx:tx>
            <cx:txData>
              <cx:f>'Mo (2)'!$Y$84</cx:f>
              <cx:v>2020</cx:v>
            </cx:txData>
          </cx:tx>
          <cx:dataId val="3"/>
          <cx:layoutPr>
            <cx:statistics quartileMethod="exclusive"/>
          </cx:layoutPr>
        </cx:series>
        <cx:series layoutId="boxWhisker" uniqueId="{00000004-C553-448E-870F-5AA64A60A769}">
          <cx:tx>
            <cx:txData>
              <cx:f>'Mo (2)'!$Z$84</cx:f>
              <cx:v>2021</cx:v>
            </cx:txData>
          </cx:tx>
          <cx:dataId val="4"/>
          <cx:layoutPr>
            <cx:statistics quartileMethod="exclusive"/>
          </cx:layoutPr>
        </cx:series>
      </cx:plotAreaRegion>
      <cx:axis id="0" hidden="1">
        <cx:catScaling gapWidth="1"/>
        <cx:tickLabels/>
      </cx:axis>
      <cx:axis id="1">
        <cx:valScaling/>
        <cx:tickLabels/>
        <cx:numFmt formatCode="0%" sourceLinked="0"/>
        <cx:txPr>
          <a:bodyPr spcFirstLastPara="1" vertOverflow="ellipsis" horzOverflow="overflow" wrap="square" lIns="0" tIns="0" rIns="0" bIns="0" anchor="ctr" anchorCtr="1"/>
          <a:lstStyle/>
          <a:p>
            <a:pPr algn="ctr" rtl="0">
              <a:defRPr sz="700"/>
            </a:pPr>
            <a:endParaRPr lang="es-ES" sz="700" b="0" i="0" u="none" strike="noStrike" baseline="0">
              <a:solidFill>
                <a:sysClr val="windowText" lastClr="000000">
                  <a:lumMod val="65000"/>
                  <a:lumOff val="35000"/>
                </a:sysClr>
              </a:solidFill>
              <a:latin typeface="Calibri" panose="020F0502020204030204"/>
            </a:endParaRPr>
          </a:p>
        </cx:txPr>
      </cx:axis>
    </cx:plotArea>
    <cx:legend pos="b" align="ctr" overlay="0">
      <cx:txPr>
        <a:bodyPr spcFirstLastPara="1" vertOverflow="ellipsis" horzOverflow="overflow" wrap="square" lIns="0" tIns="0" rIns="0" bIns="0" anchor="ctr" anchorCtr="1"/>
        <a:lstStyle/>
        <a:p>
          <a:pPr algn="ctr" rtl="0">
            <a:defRPr sz="600"/>
          </a:pPr>
          <a:endParaRPr lang="es-ES" sz="600" b="0" i="0" u="none" strike="noStrike" baseline="0">
            <a:solidFill>
              <a:sysClr val="windowText" lastClr="000000">
                <a:lumMod val="65000"/>
                <a:lumOff val="35000"/>
              </a:sysClr>
            </a:solidFill>
            <a:latin typeface="Calibri" panose="020F0502020204030204"/>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SharedWithUsers xmlns="c5e352c5-a0a5-4aff-9101-fc8c076df9f7">
      <UserInfo>
        <DisplayName>Andres Vargas Rojas</DisplayName>
        <AccountId>20</AccountId>
        <AccountType/>
      </UserInfo>
      <UserInfo>
        <DisplayName>Jhan Camilo Pulido R.</DisplayName>
        <AccountId>71</AccountId>
        <AccountType/>
      </UserInfo>
      <UserInfo>
        <DisplayName>Lina Maria Gonzalez Paez</DisplayName>
        <AccountId>51</AccountId>
        <AccountType/>
      </UserInfo>
      <UserInfo>
        <DisplayName>Andres Libardo Gonzalez Garcia</DisplayName>
        <AccountId>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F87D0-99F4-4023-81C7-CC94E7937BC5}">
  <ds:schemaRefs>
    <ds:schemaRef ds:uri="http://schemas.microsoft.com/sharepoint/v3/contenttype/forms"/>
  </ds:schemaRefs>
</ds:datastoreItem>
</file>

<file path=customXml/itemProps2.xml><?xml version="1.0" encoding="utf-8"?>
<ds:datastoreItem xmlns:ds="http://schemas.openxmlformats.org/officeDocument/2006/customXml" ds:itemID="{28702D65-2567-4F89-96AE-E17A6A39F354}">
  <ds:schemaRefs>
    <ds:schemaRef ds:uri="http://schemas.openxmlformats.org/officeDocument/2006/bibliography"/>
  </ds:schemaRefs>
</ds:datastoreItem>
</file>

<file path=customXml/itemProps3.xml><?xml version="1.0" encoding="utf-8"?>
<ds:datastoreItem xmlns:ds="http://schemas.openxmlformats.org/officeDocument/2006/customXml" ds:itemID="{6439C2D2-4849-4C81-BF77-DF0A0B1209DD}">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4.xml><?xml version="1.0" encoding="utf-8"?>
<ds:datastoreItem xmlns:ds="http://schemas.openxmlformats.org/officeDocument/2006/customXml" ds:itemID="{37190C66-4A7A-4D11-8516-AE9D2A37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26126</Words>
  <Characters>143699</Characters>
  <Application>Microsoft Office Word</Application>
  <DocSecurity>0</DocSecurity>
  <Lines>1197</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169487</CharactersWithSpaces>
  <SharedDoc>false</SharedDoc>
  <HLinks>
    <vt:vector size="534" baseType="variant">
      <vt:variant>
        <vt:i4>720980</vt:i4>
      </vt:variant>
      <vt:variant>
        <vt:i4>480</vt:i4>
      </vt:variant>
      <vt:variant>
        <vt:i4>0</vt:i4>
      </vt:variant>
      <vt:variant>
        <vt:i4>5</vt:i4>
      </vt:variant>
      <vt:variant>
        <vt:lpwstr>https://gestornormativo.creg.gov.co/gestor/entorno/docs/ley_0142_1994.htm</vt:lpwstr>
      </vt:variant>
      <vt:variant>
        <vt:lpwstr>136</vt:lpwstr>
      </vt:variant>
      <vt:variant>
        <vt:i4>2752606</vt:i4>
      </vt:variant>
      <vt:variant>
        <vt:i4>447</vt:i4>
      </vt:variant>
      <vt:variant>
        <vt:i4>0</vt:i4>
      </vt:variant>
      <vt:variant>
        <vt:i4>5</vt:i4>
      </vt:variant>
      <vt:variant>
        <vt:lpwstr>https://gestornormativo.creg.gov.co/gestor/entorno/docs/resolucion_creg_0180_2014.htm</vt:lpwstr>
      </vt:variant>
      <vt:variant>
        <vt:lpwstr/>
      </vt:variant>
      <vt:variant>
        <vt:i4>3014742</vt:i4>
      </vt:variant>
      <vt:variant>
        <vt:i4>396</vt:i4>
      </vt:variant>
      <vt:variant>
        <vt:i4>0</vt:i4>
      </vt:variant>
      <vt:variant>
        <vt:i4>5</vt:i4>
      </vt:variant>
      <vt:variant>
        <vt:lpwstr>https://gestornormativo.creg.gov.co/gestor/entorno/docs/resolucion_creg_0217_2015.htm</vt:lpwstr>
      </vt:variant>
      <vt:variant>
        <vt:lpwstr/>
      </vt:variant>
      <vt:variant>
        <vt:i4>2293854</vt:i4>
      </vt:variant>
      <vt:variant>
        <vt:i4>393</vt:i4>
      </vt:variant>
      <vt:variant>
        <vt:i4>0</vt:i4>
      </vt:variant>
      <vt:variant>
        <vt:i4>5</vt:i4>
      </vt:variant>
      <vt:variant>
        <vt:lpwstr>https://gestornormativo.creg.gov.co/gestor/entorno/docs/resolucion_creg_0199_2015.htm</vt:lpwstr>
      </vt:variant>
      <vt:variant>
        <vt:lpwstr/>
      </vt:variant>
      <vt:variant>
        <vt:i4>2621527</vt:i4>
      </vt:variant>
      <vt:variant>
        <vt:i4>390</vt:i4>
      </vt:variant>
      <vt:variant>
        <vt:i4>0</vt:i4>
      </vt:variant>
      <vt:variant>
        <vt:i4>5</vt:i4>
      </vt:variant>
      <vt:variant>
        <vt:lpwstr>https://gestornormativo.creg.gov.co/gestor/entorno/docs/resolucion_creg_0231_2016.htm</vt:lpwstr>
      </vt:variant>
      <vt:variant>
        <vt:lpwstr/>
      </vt:variant>
      <vt:variant>
        <vt:i4>2228310</vt:i4>
      </vt:variant>
      <vt:variant>
        <vt:i4>387</vt:i4>
      </vt:variant>
      <vt:variant>
        <vt:i4>0</vt:i4>
      </vt:variant>
      <vt:variant>
        <vt:i4>5</vt:i4>
      </vt:variant>
      <vt:variant>
        <vt:lpwstr>https://gestornormativo.creg.gov.co/gestor/entorno/docs/resolucion_creg_0118_2015.htm</vt:lpwstr>
      </vt:variant>
      <vt:variant>
        <vt:lpwstr/>
      </vt:variant>
      <vt:variant>
        <vt:i4>2949205</vt:i4>
      </vt:variant>
      <vt:variant>
        <vt:i4>384</vt:i4>
      </vt:variant>
      <vt:variant>
        <vt:i4>0</vt:i4>
      </vt:variant>
      <vt:variant>
        <vt:i4>5</vt:i4>
      </vt:variant>
      <vt:variant>
        <vt:lpwstr>https://gestornormativo.creg.gov.co/gestor/entorno/docs/resolucion_creg_0016_2016.htm</vt:lpwstr>
      </vt:variant>
      <vt:variant>
        <vt:lpwstr/>
      </vt:variant>
      <vt:variant>
        <vt:i4>3080278</vt:i4>
      </vt:variant>
      <vt:variant>
        <vt:i4>381</vt:i4>
      </vt:variant>
      <vt:variant>
        <vt:i4>0</vt:i4>
      </vt:variant>
      <vt:variant>
        <vt:i4>5</vt:i4>
      </vt:variant>
      <vt:variant>
        <vt:lpwstr>https://gestornormativo.creg.gov.co/gestor/entorno/docs/resolucion_creg_0216_2015.htm</vt:lpwstr>
      </vt:variant>
      <vt:variant>
        <vt:lpwstr/>
      </vt:variant>
      <vt:variant>
        <vt:i4>2293855</vt:i4>
      </vt:variant>
      <vt:variant>
        <vt:i4>378</vt:i4>
      </vt:variant>
      <vt:variant>
        <vt:i4>0</vt:i4>
      </vt:variant>
      <vt:variant>
        <vt:i4>5</vt:i4>
      </vt:variant>
      <vt:variant>
        <vt:lpwstr>https://gestornormativo.creg.gov.co/gestor/entorno/docs/resolucion_creg_0189_2015.htm</vt:lpwstr>
      </vt:variant>
      <vt:variant>
        <vt:lpwstr/>
      </vt:variant>
      <vt:variant>
        <vt:i4>2818133</vt:i4>
      </vt:variant>
      <vt:variant>
        <vt:i4>375</vt:i4>
      </vt:variant>
      <vt:variant>
        <vt:i4>0</vt:i4>
      </vt:variant>
      <vt:variant>
        <vt:i4>5</vt:i4>
      </vt:variant>
      <vt:variant>
        <vt:lpwstr>https://gestornormativo.creg.gov.co/gestor/entorno/docs/resolucion_creg_0121_2015.htm</vt:lpwstr>
      </vt:variant>
      <vt:variant>
        <vt:lpwstr/>
      </vt:variant>
      <vt:variant>
        <vt:i4>3014741</vt:i4>
      </vt:variant>
      <vt:variant>
        <vt:i4>372</vt:i4>
      </vt:variant>
      <vt:variant>
        <vt:i4>0</vt:i4>
      </vt:variant>
      <vt:variant>
        <vt:i4>5</vt:i4>
      </vt:variant>
      <vt:variant>
        <vt:lpwstr>https://gestornormativo.creg.gov.co/gestor/entorno/docs/resolucion_creg_0015_2016.htm</vt:lpwstr>
      </vt:variant>
      <vt:variant>
        <vt:lpwstr/>
      </vt:variant>
      <vt:variant>
        <vt:i4>2752606</vt:i4>
      </vt:variant>
      <vt:variant>
        <vt:i4>369</vt:i4>
      </vt:variant>
      <vt:variant>
        <vt:i4>0</vt:i4>
      </vt:variant>
      <vt:variant>
        <vt:i4>5</vt:i4>
      </vt:variant>
      <vt:variant>
        <vt:lpwstr>https://gestornormativo.creg.gov.co/gestor/entorno/docs/resolucion_creg_0190_2015.htm</vt:lpwstr>
      </vt:variant>
      <vt:variant>
        <vt:lpwstr/>
      </vt:variant>
      <vt:variant>
        <vt:i4>2818140</vt:i4>
      </vt:variant>
      <vt:variant>
        <vt:i4>366</vt:i4>
      </vt:variant>
      <vt:variant>
        <vt:i4>0</vt:i4>
      </vt:variant>
      <vt:variant>
        <vt:i4>5</vt:i4>
      </vt:variant>
      <vt:variant>
        <vt:lpwstr>https://gestornormativo.creg.gov.co/gestor/entorno/docs/resolucion_creg_0080_2016.htm</vt:lpwstr>
      </vt:variant>
      <vt:variant>
        <vt:lpwstr/>
      </vt:variant>
      <vt:variant>
        <vt:i4>2949215</vt:i4>
      </vt:variant>
      <vt:variant>
        <vt:i4>363</vt:i4>
      </vt:variant>
      <vt:variant>
        <vt:i4>0</vt:i4>
      </vt:variant>
      <vt:variant>
        <vt:i4>5</vt:i4>
      </vt:variant>
      <vt:variant>
        <vt:lpwstr>https://gestornormativo.creg.gov.co/gestor/entorno/docs/resolucion_creg_0187_2015.htm</vt:lpwstr>
      </vt:variant>
      <vt:variant>
        <vt:lpwstr/>
      </vt:variant>
      <vt:variant>
        <vt:i4>2883607</vt:i4>
      </vt:variant>
      <vt:variant>
        <vt:i4>360</vt:i4>
      </vt:variant>
      <vt:variant>
        <vt:i4>0</vt:i4>
      </vt:variant>
      <vt:variant>
        <vt:i4>5</vt:i4>
      </vt:variant>
      <vt:variant>
        <vt:lpwstr>http://www.cac.org.co/actividad_regulatoria/metodol_comercial/doc_creg/resol_particulares/Creg123-2015_ARAUCA.pdf</vt:lpwstr>
      </vt:variant>
      <vt:variant>
        <vt:lpwstr/>
      </vt:variant>
      <vt:variant>
        <vt:i4>2621525</vt:i4>
      </vt:variant>
      <vt:variant>
        <vt:i4>357</vt:i4>
      </vt:variant>
      <vt:variant>
        <vt:i4>0</vt:i4>
      </vt:variant>
      <vt:variant>
        <vt:i4>5</vt:i4>
      </vt:variant>
      <vt:variant>
        <vt:lpwstr>https://gestornormativo.creg.gov.co/gestor/entorno/docs/resolucion_creg_0122_2015.htm</vt:lpwstr>
      </vt:variant>
      <vt:variant>
        <vt:lpwstr/>
      </vt:variant>
      <vt:variant>
        <vt:i4>2949204</vt:i4>
      </vt:variant>
      <vt:variant>
        <vt:i4>354</vt:i4>
      </vt:variant>
      <vt:variant>
        <vt:i4>0</vt:i4>
      </vt:variant>
      <vt:variant>
        <vt:i4>5</vt:i4>
      </vt:variant>
      <vt:variant>
        <vt:lpwstr>https://gestornormativo.creg.gov.co/gestor/entorno/docs/resolucion_creg_0036_2015.htm</vt:lpwstr>
      </vt:variant>
      <vt:variant>
        <vt:lpwstr/>
      </vt:variant>
      <vt:variant>
        <vt:i4>2949204</vt:i4>
      </vt:variant>
      <vt:variant>
        <vt:i4>351</vt:i4>
      </vt:variant>
      <vt:variant>
        <vt:i4>0</vt:i4>
      </vt:variant>
      <vt:variant>
        <vt:i4>5</vt:i4>
      </vt:variant>
      <vt:variant>
        <vt:lpwstr>https://gestornormativo.creg.gov.co/gestor/entorno/docs/resolucion_creg_0036_2015.htm</vt:lpwstr>
      </vt:variant>
      <vt:variant>
        <vt:lpwstr/>
      </vt:variant>
      <vt:variant>
        <vt:i4>2293846</vt:i4>
      </vt:variant>
      <vt:variant>
        <vt:i4>348</vt:i4>
      </vt:variant>
      <vt:variant>
        <vt:i4>0</vt:i4>
      </vt:variant>
      <vt:variant>
        <vt:i4>5</vt:i4>
      </vt:variant>
      <vt:variant>
        <vt:lpwstr>https://gestornormativo.creg.gov.co/gestor/entorno/docs/resolucion_creg_0119_2015.htm</vt:lpwstr>
      </vt:variant>
      <vt:variant>
        <vt:lpwstr/>
      </vt:variant>
      <vt:variant>
        <vt:i4>2883669</vt:i4>
      </vt:variant>
      <vt:variant>
        <vt:i4>345</vt:i4>
      </vt:variant>
      <vt:variant>
        <vt:i4>0</vt:i4>
      </vt:variant>
      <vt:variant>
        <vt:i4>5</vt:i4>
      </vt:variant>
      <vt:variant>
        <vt:lpwstr>https://gestornormativo.creg.gov.co/gestor/entorno/docs/resolucion_creg_0017_2016.htm</vt:lpwstr>
      </vt:variant>
      <vt:variant>
        <vt:lpwstr/>
      </vt:variant>
      <vt:variant>
        <vt:i4>2097238</vt:i4>
      </vt:variant>
      <vt:variant>
        <vt:i4>342</vt:i4>
      </vt:variant>
      <vt:variant>
        <vt:i4>0</vt:i4>
      </vt:variant>
      <vt:variant>
        <vt:i4>5</vt:i4>
      </vt:variant>
      <vt:variant>
        <vt:lpwstr>https://gestornormativo.creg.gov.co/gestor/entorno/docs/resolucion_creg_0229_2016.htm</vt:lpwstr>
      </vt:variant>
      <vt:variant>
        <vt:lpwstr/>
      </vt:variant>
      <vt:variant>
        <vt:i4>2621525</vt:i4>
      </vt:variant>
      <vt:variant>
        <vt:i4>333</vt:i4>
      </vt:variant>
      <vt:variant>
        <vt:i4>0</vt:i4>
      </vt:variant>
      <vt:variant>
        <vt:i4>5</vt:i4>
      </vt:variant>
      <vt:variant>
        <vt:lpwstr>https://gestornormativo.creg.gov.co/gestor/entorno/docs/resolucion_creg_0013_2016.htm</vt:lpwstr>
      </vt:variant>
      <vt:variant>
        <vt:lpwstr/>
      </vt:variant>
      <vt:variant>
        <vt:i4>2818135</vt:i4>
      </vt:variant>
      <vt:variant>
        <vt:i4>330</vt:i4>
      </vt:variant>
      <vt:variant>
        <vt:i4>0</vt:i4>
      </vt:variant>
      <vt:variant>
        <vt:i4>5</vt:i4>
      </vt:variant>
      <vt:variant>
        <vt:lpwstr>https://gestornormativo.creg.gov.co/gestor/entorno/docs/resolucion_creg_0232_2016.htm</vt:lpwstr>
      </vt:variant>
      <vt:variant>
        <vt:lpwstr/>
      </vt:variant>
      <vt:variant>
        <vt:i4>3080277</vt:i4>
      </vt:variant>
      <vt:variant>
        <vt:i4>327</vt:i4>
      </vt:variant>
      <vt:variant>
        <vt:i4>0</vt:i4>
      </vt:variant>
      <vt:variant>
        <vt:i4>5</vt:i4>
      </vt:variant>
      <vt:variant>
        <vt:lpwstr>https://gestornormativo.creg.gov.co/gestor/entorno/docs/resolucion_creg_0014_2016.htm</vt:lpwstr>
      </vt:variant>
      <vt:variant>
        <vt:lpwstr/>
      </vt:variant>
      <vt:variant>
        <vt:i4>3014741</vt:i4>
      </vt:variant>
      <vt:variant>
        <vt:i4>324</vt:i4>
      </vt:variant>
      <vt:variant>
        <vt:i4>0</vt:i4>
      </vt:variant>
      <vt:variant>
        <vt:i4>5</vt:i4>
      </vt:variant>
      <vt:variant>
        <vt:lpwstr>https://gestornormativo.creg.gov.co/gestor/entorno/docs/resolucion_creg_0124_2015.htm</vt:lpwstr>
      </vt:variant>
      <vt:variant>
        <vt:lpwstr/>
      </vt:variant>
      <vt:variant>
        <vt:i4>2687063</vt:i4>
      </vt:variant>
      <vt:variant>
        <vt:i4>321</vt:i4>
      </vt:variant>
      <vt:variant>
        <vt:i4>0</vt:i4>
      </vt:variant>
      <vt:variant>
        <vt:i4>5</vt:i4>
      </vt:variant>
      <vt:variant>
        <vt:lpwstr>https://gestornormativo.creg.gov.co/gestor/entorno/docs/resolucion_creg_0230_2016.htm</vt:lpwstr>
      </vt:variant>
      <vt:variant>
        <vt:lpwstr/>
      </vt:variant>
      <vt:variant>
        <vt:i4>3080279</vt:i4>
      </vt:variant>
      <vt:variant>
        <vt:i4>318</vt:i4>
      </vt:variant>
      <vt:variant>
        <vt:i4>0</vt:i4>
      </vt:variant>
      <vt:variant>
        <vt:i4>5</vt:i4>
      </vt:variant>
      <vt:variant>
        <vt:lpwstr>https://gestornormativo.creg.gov.co/gestor/entorno/docs/resolucion_creg_0206_2015.htm</vt:lpwstr>
      </vt:variant>
      <vt:variant>
        <vt:lpwstr/>
      </vt:variant>
      <vt:variant>
        <vt:i4>2293854</vt:i4>
      </vt:variant>
      <vt:variant>
        <vt:i4>315</vt:i4>
      </vt:variant>
      <vt:variant>
        <vt:i4>0</vt:i4>
      </vt:variant>
      <vt:variant>
        <vt:i4>5</vt:i4>
      </vt:variant>
      <vt:variant>
        <vt:lpwstr>https://gestornormativo.creg.gov.co/gestor/entorno/docs/resolucion_creg_0199_2015.htm</vt:lpwstr>
      </vt:variant>
      <vt:variant>
        <vt:lpwstr/>
      </vt:variant>
      <vt:variant>
        <vt:i4>2752599</vt:i4>
      </vt:variant>
      <vt:variant>
        <vt:i4>312</vt:i4>
      </vt:variant>
      <vt:variant>
        <vt:i4>0</vt:i4>
      </vt:variant>
      <vt:variant>
        <vt:i4>5</vt:i4>
      </vt:variant>
      <vt:variant>
        <vt:lpwstr>https://gestornormativo.creg.gov.co/gestor/entorno/docs/resolucion_creg_0233_2016.htm</vt:lpwstr>
      </vt:variant>
      <vt:variant>
        <vt:lpwstr/>
      </vt:variant>
      <vt:variant>
        <vt:i4>2752606</vt:i4>
      </vt:variant>
      <vt:variant>
        <vt:i4>309</vt:i4>
      </vt:variant>
      <vt:variant>
        <vt:i4>0</vt:i4>
      </vt:variant>
      <vt:variant>
        <vt:i4>5</vt:i4>
      </vt:variant>
      <vt:variant>
        <vt:lpwstr>https://gestornormativo.creg.gov.co/gestor/entorno/docs/resolucion_creg_0190_2015.htm</vt:lpwstr>
      </vt:variant>
      <vt:variant>
        <vt:lpwstr/>
      </vt:variant>
      <vt:variant>
        <vt:i4>2293855</vt:i4>
      </vt:variant>
      <vt:variant>
        <vt:i4>306</vt:i4>
      </vt:variant>
      <vt:variant>
        <vt:i4>0</vt:i4>
      </vt:variant>
      <vt:variant>
        <vt:i4>5</vt:i4>
      </vt:variant>
      <vt:variant>
        <vt:lpwstr>https://gestornormativo.creg.gov.co/gestor/entorno/docs/resolucion_creg_0189_2015.htm</vt:lpwstr>
      </vt:variant>
      <vt:variant>
        <vt:lpwstr/>
      </vt:variant>
      <vt:variant>
        <vt:i4>2883607</vt:i4>
      </vt:variant>
      <vt:variant>
        <vt:i4>303</vt:i4>
      </vt:variant>
      <vt:variant>
        <vt:i4>0</vt:i4>
      </vt:variant>
      <vt:variant>
        <vt:i4>5</vt:i4>
      </vt:variant>
      <vt:variant>
        <vt:lpwstr>http://www.cac.org.co/actividad_regulatoria/metodol_comercial/doc_creg/resol_particulares/Creg123-2015_ARAUCA.pdf</vt:lpwstr>
      </vt:variant>
      <vt:variant>
        <vt:lpwstr/>
      </vt:variant>
      <vt:variant>
        <vt:i4>2949204</vt:i4>
      </vt:variant>
      <vt:variant>
        <vt:i4>300</vt:i4>
      </vt:variant>
      <vt:variant>
        <vt:i4>0</vt:i4>
      </vt:variant>
      <vt:variant>
        <vt:i4>5</vt:i4>
      </vt:variant>
      <vt:variant>
        <vt:lpwstr>https://gestornormativo.creg.gov.co/gestor/entorno/docs/resolucion_creg_0036_2015.htm</vt:lpwstr>
      </vt:variant>
      <vt:variant>
        <vt:lpwstr/>
      </vt:variant>
      <vt:variant>
        <vt:i4>2949204</vt:i4>
      </vt:variant>
      <vt:variant>
        <vt:i4>297</vt:i4>
      </vt:variant>
      <vt:variant>
        <vt:i4>0</vt:i4>
      </vt:variant>
      <vt:variant>
        <vt:i4>5</vt:i4>
      </vt:variant>
      <vt:variant>
        <vt:lpwstr>https://gestornormativo.creg.gov.co/gestor/entorno/docs/resolucion_creg_0036_2015.htm</vt:lpwstr>
      </vt:variant>
      <vt:variant>
        <vt:lpwstr/>
      </vt:variant>
      <vt:variant>
        <vt:i4>2949204</vt:i4>
      </vt:variant>
      <vt:variant>
        <vt:i4>294</vt:i4>
      </vt:variant>
      <vt:variant>
        <vt:i4>0</vt:i4>
      </vt:variant>
      <vt:variant>
        <vt:i4>5</vt:i4>
      </vt:variant>
      <vt:variant>
        <vt:lpwstr>https://gestornormativo.creg.gov.co/gestor/entorno/docs/resolucion_creg_0036_2015.htm</vt:lpwstr>
      </vt:variant>
      <vt:variant>
        <vt:lpwstr/>
      </vt:variant>
      <vt:variant>
        <vt:i4>3014742</vt:i4>
      </vt:variant>
      <vt:variant>
        <vt:i4>291</vt:i4>
      </vt:variant>
      <vt:variant>
        <vt:i4>0</vt:i4>
      </vt:variant>
      <vt:variant>
        <vt:i4>5</vt:i4>
      </vt:variant>
      <vt:variant>
        <vt:lpwstr>https://gestornormativo.creg.gov.co/gestor/entorno/docs/resolucion_creg_0217_2015.htm</vt:lpwstr>
      </vt:variant>
      <vt:variant>
        <vt:lpwstr/>
      </vt:variant>
      <vt:variant>
        <vt:i4>2949215</vt:i4>
      </vt:variant>
      <vt:variant>
        <vt:i4>288</vt:i4>
      </vt:variant>
      <vt:variant>
        <vt:i4>0</vt:i4>
      </vt:variant>
      <vt:variant>
        <vt:i4>5</vt:i4>
      </vt:variant>
      <vt:variant>
        <vt:lpwstr>https://gestornormativo.creg.gov.co/gestor/entorno/docs/resolucion_creg_0187_2015.htm</vt:lpwstr>
      </vt:variant>
      <vt:variant>
        <vt:lpwstr/>
      </vt:variant>
      <vt:variant>
        <vt:i4>2818133</vt:i4>
      </vt:variant>
      <vt:variant>
        <vt:i4>285</vt:i4>
      </vt:variant>
      <vt:variant>
        <vt:i4>0</vt:i4>
      </vt:variant>
      <vt:variant>
        <vt:i4>5</vt:i4>
      </vt:variant>
      <vt:variant>
        <vt:lpwstr>https://gestornormativo.creg.gov.co/gestor/entorno/docs/resolucion_creg_0121_2015.htm</vt:lpwstr>
      </vt:variant>
      <vt:variant>
        <vt:lpwstr/>
      </vt:variant>
      <vt:variant>
        <vt:i4>2621527</vt:i4>
      </vt:variant>
      <vt:variant>
        <vt:i4>282</vt:i4>
      </vt:variant>
      <vt:variant>
        <vt:i4>0</vt:i4>
      </vt:variant>
      <vt:variant>
        <vt:i4>5</vt:i4>
      </vt:variant>
      <vt:variant>
        <vt:lpwstr>https://gestornormativo.creg.gov.co/gestor/entorno/docs/resolucion_creg_0231_2016.htm</vt:lpwstr>
      </vt:variant>
      <vt:variant>
        <vt:lpwstr/>
      </vt:variant>
      <vt:variant>
        <vt:i4>2949206</vt:i4>
      </vt:variant>
      <vt:variant>
        <vt:i4>279</vt:i4>
      </vt:variant>
      <vt:variant>
        <vt:i4>0</vt:i4>
      </vt:variant>
      <vt:variant>
        <vt:i4>5</vt:i4>
      </vt:variant>
      <vt:variant>
        <vt:lpwstr>https://gestornormativo.creg.gov.co/gestor/entorno/docs/resolucion_creg_0117_2015.htm</vt:lpwstr>
      </vt:variant>
      <vt:variant>
        <vt:lpwstr/>
      </vt:variant>
      <vt:variant>
        <vt:i4>2228319</vt:i4>
      </vt:variant>
      <vt:variant>
        <vt:i4>276</vt:i4>
      </vt:variant>
      <vt:variant>
        <vt:i4>0</vt:i4>
      </vt:variant>
      <vt:variant>
        <vt:i4>5</vt:i4>
      </vt:variant>
      <vt:variant>
        <vt:lpwstr>https://gestornormativo.creg.gov.co/gestor/entorno/docs/resolucion_creg_0188_2015.htm</vt:lpwstr>
      </vt:variant>
      <vt:variant>
        <vt:lpwstr/>
      </vt:variant>
      <vt:variant>
        <vt:i4>2883671</vt:i4>
      </vt:variant>
      <vt:variant>
        <vt:i4>273</vt:i4>
      </vt:variant>
      <vt:variant>
        <vt:i4>0</vt:i4>
      </vt:variant>
      <vt:variant>
        <vt:i4>5</vt:i4>
      </vt:variant>
      <vt:variant>
        <vt:lpwstr>https://gestornormativo.creg.gov.co/gestor/entorno/docs/resolucion_creg_0205_2015.htm</vt:lpwstr>
      </vt:variant>
      <vt:variant>
        <vt:lpwstr/>
      </vt:variant>
      <vt:variant>
        <vt:i4>2097238</vt:i4>
      </vt:variant>
      <vt:variant>
        <vt:i4>270</vt:i4>
      </vt:variant>
      <vt:variant>
        <vt:i4>0</vt:i4>
      </vt:variant>
      <vt:variant>
        <vt:i4>5</vt:i4>
      </vt:variant>
      <vt:variant>
        <vt:lpwstr>https://gestornormativo.creg.gov.co/gestor/entorno/docs/resolucion_creg_0229_2016.htm</vt:lpwstr>
      </vt:variant>
      <vt:variant>
        <vt:lpwstr/>
      </vt:variant>
      <vt:variant>
        <vt:i4>2228310</vt:i4>
      </vt:variant>
      <vt:variant>
        <vt:i4>267</vt:i4>
      </vt:variant>
      <vt:variant>
        <vt:i4>0</vt:i4>
      </vt:variant>
      <vt:variant>
        <vt:i4>5</vt:i4>
      </vt:variant>
      <vt:variant>
        <vt:lpwstr>https://gestornormativo.creg.gov.co/gestor/entorno/docs/resolucion_creg_0118_2015.htm</vt:lpwstr>
      </vt:variant>
      <vt:variant>
        <vt:lpwstr/>
      </vt:variant>
      <vt:variant>
        <vt:i4>2752597</vt:i4>
      </vt:variant>
      <vt:variant>
        <vt:i4>264</vt:i4>
      </vt:variant>
      <vt:variant>
        <vt:i4>0</vt:i4>
      </vt:variant>
      <vt:variant>
        <vt:i4>5</vt:i4>
      </vt:variant>
      <vt:variant>
        <vt:lpwstr>https://gestornormativo.creg.gov.co/gestor/entorno/docs/resolucion_creg_0120_2015.htm</vt:lpwstr>
      </vt:variant>
      <vt:variant>
        <vt:lpwstr/>
      </vt:variant>
      <vt:variant>
        <vt:i4>2949205</vt:i4>
      </vt:variant>
      <vt:variant>
        <vt:i4>261</vt:i4>
      </vt:variant>
      <vt:variant>
        <vt:i4>0</vt:i4>
      </vt:variant>
      <vt:variant>
        <vt:i4>5</vt:i4>
      </vt:variant>
      <vt:variant>
        <vt:lpwstr>https://gestornormativo.creg.gov.co/gestor/entorno/docs/resolucion_creg_0016_2016.htm</vt:lpwstr>
      </vt:variant>
      <vt:variant>
        <vt:lpwstr/>
      </vt:variant>
      <vt:variant>
        <vt:i4>3014741</vt:i4>
      </vt:variant>
      <vt:variant>
        <vt:i4>258</vt:i4>
      </vt:variant>
      <vt:variant>
        <vt:i4>0</vt:i4>
      </vt:variant>
      <vt:variant>
        <vt:i4>5</vt:i4>
      </vt:variant>
      <vt:variant>
        <vt:lpwstr>https://gestornormativo.creg.gov.co/gestor/entorno/docs/resolucion_creg_0015_2016.htm</vt:lpwstr>
      </vt:variant>
      <vt:variant>
        <vt:lpwstr/>
      </vt:variant>
      <vt:variant>
        <vt:i4>3080278</vt:i4>
      </vt:variant>
      <vt:variant>
        <vt:i4>255</vt:i4>
      </vt:variant>
      <vt:variant>
        <vt:i4>0</vt:i4>
      </vt:variant>
      <vt:variant>
        <vt:i4>5</vt:i4>
      </vt:variant>
      <vt:variant>
        <vt:lpwstr>https://gestornormativo.creg.gov.co/gestor/entorno/docs/resolucion_creg_0216_2015.htm</vt:lpwstr>
      </vt:variant>
      <vt:variant>
        <vt:lpwstr/>
      </vt:variant>
      <vt:variant>
        <vt:i4>2293846</vt:i4>
      </vt:variant>
      <vt:variant>
        <vt:i4>252</vt:i4>
      </vt:variant>
      <vt:variant>
        <vt:i4>0</vt:i4>
      </vt:variant>
      <vt:variant>
        <vt:i4>5</vt:i4>
      </vt:variant>
      <vt:variant>
        <vt:lpwstr>https://gestornormativo.creg.gov.co/gestor/entorno/docs/resolucion_creg_0119_2015.htm</vt:lpwstr>
      </vt:variant>
      <vt:variant>
        <vt:lpwstr/>
      </vt:variant>
      <vt:variant>
        <vt:i4>2621525</vt:i4>
      </vt:variant>
      <vt:variant>
        <vt:i4>249</vt:i4>
      </vt:variant>
      <vt:variant>
        <vt:i4>0</vt:i4>
      </vt:variant>
      <vt:variant>
        <vt:i4>5</vt:i4>
      </vt:variant>
      <vt:variant>
        <vt:lpwstr>https://gestornormativo.creg.gov.co/gestor/entorno/docs/resolucion_creg_0122_2015.htm</vt:lpwstr>
      </vt:variant>
      <vt:variant>
        <vt:lpwstr/>
      </vt:variant>
      <vt:variant>
        <vt:i4>2883669</vt:i4>
      </vt:variant>
      <vt:variant>
        <vt:i4>246</vt:i4>
      </vt:variant>
      <vt:variant>
        <vt:i4>0</vt:i4>
      </vt:variant>
      <vt:variant>
        <vt:i4>5</vt:i4>
      </vt:variant>
      <vt:variant>
        <vt:lpwstr>https://gestornormativo.creg.gov.co/gestor/entorno/docs/resolucion_creg_0017_2016.htm</vt:lpwstr>
      </vt:variant>
      <vt:variant>
        <vt:lpwstr/>
      </vt:variant>
      <vt:variant>
        <vt:i4>1179700</vt:i4>
      </vt:variant>
      <vt:variant>
        <vt:i4>224</vt:i4>
      </vt:variant>
      <vt:variant>
        <vt:i4>0</vt:i4>
      </vt:variant>
      <vt:variant>
        <vt:i4>5</vt:i4>
      </vt:variant>
      <vt:variant>
        <vt:lpwstr/>
      </vt:variant>
      <vt:variant>
        <vt:lpwstr>_Toc165037349</vt:lpwstr>
      </vt:variant>
      <vt:variant>
        <vt:i4>1179700</vt:i4>
      </vt:variant>
      <vt:variant>
        <vt:i4>218</vt:i4>
      </vt:variant>
      <vt:variant>
        <vt:i4>0</vt:i4>
      </vt:variant>
      <vt:variant>
        <vt:i4>5</vt:i4>
      </vt:variant>
      <vt:variant>
        <vt:lpwstr/>
      </vt:variant>
      <vt:variant>
        <vt:lpwstr>_Toc165037348</vt:lpwstr>
      </vt:variant>
      <vt:variant>
        <vt:i4>1179700</vt:i4>
      </vt:variant>
      <vt:variant>
        <vt:i4>212</vt:i4>
      </vt:variant>
      <vt:variant>
        <vt:i4>0</vt:i4>
      </vt:variant>
      <vt:variant>
        <vt:i4>5</vt:i4>
      </vt:variant>
      <vt:variant>
        <vt:lpwstr/>
      </vt:variant>
      <vt:variant>
        <vt:lpwstr>_Toc165037347</vt:lpwstr>
      </vt:variant>
      <vt:variant>
        <vt:i4>1179700</vt:i4>
      </vt:variant>
      <vt:variant>
        <vt:i4>206</vt:i4>
      </vt:variant>
      <vt:variant>
        <vt:i4>0</vt:i4>
      </vt:variant>
      <vt:variant>
        <vt:i4>5</vt:i4>
      </vt:variant>
      <vt:variant>
        <vt:lpwstr/>
      </vt:variant>
      <vt:variant>
        <vt:lpwstr>_Toc165037346</vt:lpwstr>
      </vt:variant>
      <vt:variant>
        <vt:i4>1179700</vt:i4>
      </vt:variant>
      <vt:variant>
        <vt:i4>200</vt:i4>
      </vt:variant>
      <vt:variant>
        <vt:i4>0</vt:i4>
      </vt:variant>
      <vt:variant>
        <vt:i4>5</vt:i4>
      </vt:variant>
      <vt:variant>
        <vt:lpwstr/>
      </vt:variant>
      <vt:variant>
        <vt:lpwstr>_Toc165037345</vt:lpwstr>
      </vt:variant>
      <vt:variant>
        <vt:i4>1179700</vt:i4>
      </vt:variant>
      <vt:variant>
        <vt:i4>194</vt:i4>
      </vt:variant>
      <vt:variant>
        <vt:i4>0</vt:i4>
      </vt:variant>
      <vt:variant>
        <vt:i4>5</vt:i4>
      </vt:variant>
      <vt:variant>
        <vt:lpwstr/>
      </vt:variant>
      <vt:variant>
        <vt:lpwstr>_Toc165037344</vt:lpwstr>
      </vt:variant>
      <vt:variant>
        <vt:i4>1179700</vt:i4>
      </vt:variant>
      <vt:variant>
        <vt:i4>188</vt:i4>
      </vt:variant>
      <vt:variant>
        <vt:i4>0</vt:i4>
      </vt:variant>
      <vt:variant>
        <vt:i4>5</vt:i4>
      </vt:variant>
      <vt:variant>
        <vt:lpwstr/>
      </vt:variant>
      <vt:variant>
        <vt:lpwstr>_Toc165037343</vt:lpwstr>
      </vt:variant>
      <vt:variant>
        <vt:i4>1179700</vt:i4>
      </vt:variant>
      <vt:variant>
        <vt:i4>182</vt:i4>
      </vt:variant>
      <vt:variant>
        <vt:i4>0</vt:i4>
      </vt:variant>
      <vt:variant>
        <vt:i4>5</vt:i4>
      </vt:variant>
      <vt:variant>
        <vt:lpwstr/>
      </vt:variant>
      <vt:variant>
        <vt:lpwstr>_Toc165037342</vt:lpwstr>
      </vt:variant>
      <vt:variant>
        <vt:i4>1179700</vt:i4>
      </vt:variant>
      <vt:variant>
        <vt:i4>176</vt:i4>
      </vt:variant>
      <vt:variant>
        <vt:i4>0</vt:i4>
      </vt:variant>
      <vt:variant>
        <vt:i4>5</vt:i4>
      </vt:variant>
      <vt:variant>
        <vt:lpwstr/>
      </vt:variant>
      <vt:variant>
        <vt:lpwstr>_Toc165037341</vt:lpwstr>
      </vt:variant>
      <vt:variant>
        <vt:i4>1179700</vt:i4>
      </vt:variant>
      <vt:variant>
        <vt:i4>170</vt:i4>
      </vt:variant>
      <vt:variant>
        <vt:i4>0</vt:i4>
      </vt:variant>
      <vt:variant>
        <vt:i4>5</vt:i4>
      </vt:variant>
      <vt:variant>
        <vt:lpwstr/>
      </vt:variant>
      <vt:variant>
        <vt:lpwstr>_Toc165037340</vt:lpwstr>
      </vt:variant>
      <vt:variant>
        <vt:i4>1376308</vt:i4>
      </vt:variant>
      <vt:variant>
        <vt:i4>164</vt:i4>
      </vt:variant>
      <vt:variant>
        <vt:i4>0</vt:i4>
      </vt:variant>
      <vt:variant>
        <vt:i4>5</vt:i4>
      </vt:variant>
      <vt:variant>
        <vt:lpwstr/>
      </vt:variant>
      <vt:variant>
        <vt:lpwstr>_Toc165037339</vt:lpwstr>
      </vt:variant>
      <vt:variant>
        <vt:i4>1376308</vt:i4>
      </vt:variant>
      <vt:variant>
        <vt:i4>158</vt:i4>
      </vt:variant>
      <vt:variant>
        <vt:i4>0</vt:i4>
      </vt:variant>
      <vt:variant>
        <vt:i4>5</vt:i4>
      </vt:variant>
      <vt:variant>
        <vt:lpwstr/>
      </vt:variant>
      <vt:variant>
        <vt:lpwstr>_Toc165037338</vt:lpwstr>
      </vt:variant>
      <vt:variant>
        <vt:i4>1376308</vt:i4>
      </vt:variant>
      <vt:variant>
        <vt:i4>152</vt:i4>
      </vt:variant>
      <vt:variant>
        <vt:i4>0</vt:i4>
      </vt:variant>
      <vt:variant>
        <vt:i4>5</vt:i4>
      </vt:variant>
      <vt:variant>
        <vt:lpwstr/>
      </vt:variant>
      <vt:variant>
        <vt:lpwstr>_Toc165037337</vt:lpwstr>
      </vt:variant>
      <vt:variant>
        <vt:i4>1376308</vt:i4>
      </vt:variant>
      <vt:variant>
        <vt:i4>146</vt:i4>
      </vt:variant>
      <vt:variant>
        <vt:i4>0</vt:i4>
      </vt:variant>
      <vt:variant>
        <vt:i4>5</vt:i4>
      </vt:variant>
      <vt:variant>
        <vt:lpwstr/>
      </vt:variant>
      <vt:variant>
        <vt:lpwstr>_Toc165037336</vt:lpwstr>
      </vt:variant>
      <vt:variant>
        <vt:i4>1376308</vt:i4>
      </vt:variant>
      <vt:variant>
        <vt:i4>140</vt:i4>
      </vt:variant>
      <vt:variant>
        <vt:i4>0</vt:i4>
      </vt:variant>
      <vt:variant>
        <vt:i4>5</vt:i4>
      </vt:variant>
      <vt:variant>
        <vt:lpwstr/>
      </vt:variant>
      <vt:variant>
        <vt:lpwstr>_Toc165037335</vt:lpwstr>
      </vt:variant>
      <vt:variant>
        <vt:i4>1376308</vt:i4>
      </vt:variant>
      <vt:variant>
        <vt:i4>134</vt:i4>
      </vt:variant>
      <vt:variant>
        <vt:i4>0</vt:i4>
      </vt:variant>
      <vt:variant>
        <vt:i4>5</vt:i4>
      </vt:variant>
      <vt:variant>
        <vt:lpwstr/>
      </vt:variant>
      <vt:variant>
        <vt:lpwstr>_Toc165037334</vt:lpwstr>
      </vt:variant>
      <vt:variant>
        <vt:i4>1376308</vt:i4>
      </vt:variant>
      <vt:variant>
        <vt:i4>128</vt:i4>
      </vt:variant>
      <vt:variant>
        <vt:i4>0</vt:i4>
      </vt:variant>
      <vt:variant>
        <vt:i4>5</vt:i4>
      </vt:variant>
      <vt:variant>
        <vt:lpwstr/>
      </vt:variant>
      <vt:variant>
        <vt:lpwstr>_Toc165037333</vt:lpwstr>
      </vt:variant>
      <vt:variant>
        <vt:i4>1376308</vt:i4>
      </vt:variant>
      <vt:variant>
        <vt:i4>122</vt:i4>
      </vt:variant>
      <vt:variant>
        <vt:i4>0</vt:i4>
      </vt:variant>
      <vt:variant>
        <vt:i4>5</vt:i4>
      </vt:variant>
      <vt:variant>
        <vt:lpwstr/>
      </vt:variant>
      <vt:variant>
        <vt:lpwstr>_Toc165037332</vt:lpwstr>
      </vt:variant>
      <vt:variant>
        <vt:i4>1376308</vt:i4>
      </vt:variant>
      <vt:variant>
        <vt:i4>116</vt:i4>
      </vt:variant>
      <vt:variant>
        <vt:i4>0</vt:i4>
      </vt:variant>
      <vt:variant>
        <vt:i4>5</vt:i4>
      </vt:variant>
      <vt:variant>
        <vt:lpwstr/>
      </vt:variant>
      <vt:variant>
        <vt:lpwstr>_Toc165037331</vt:lpwstr>
      </vt:variant>
      <vt:variant>
        <vt:i4>1376308</vt:i4>
      </vt:variant>
      <vt:variant>
        <vt:i4>110</vt:i4>
      </vt:variant>
      <vt:variant>
        <vt:i4>0</vt:i4>
      </vt:variant>
      <vt:variant>
        <vt:i4>5</vt:i4>
      </vt:variant>
      <vt:variant>
        <vt:lpwstr/>
      </vt:variant>
      <vt:variant>
        <vt:lpwstr>_Toc165037330</vt:lpwstr>
      </vt:variant>
      <vt:variant>
        <vt:i4>1310772</vt:i4>
      </vt:variant>
      <vt:variant>
        <vt:i4>104</vt:i4>
      </vt:variant>
      <vt:variant>
        <vt:i4>0</vt:i4>
      </vt:variant>
      <vt:variant>
        <vt:i4>5</vt:i4>
      </vt:variant>
      <vt:variant>
        <vt:lpwstr/>
      </vt:variant>
      <vt:variant>
        <vt:lpwstr>_Toc165037329</vt:lpwstr>
      </vt:variant>
      <vt:variant>
        <vt:i4>1310772</vt:i4>
      </vt:variant>
      <vt:variant>
        <vt:i4>98</vt:i4>
      </vt:variant>
      <vt:variant>
        <vt:i4>0</vt:i4>
      </vt:variant>
      <vt:variant>
        <vt:i4>5</vt:i4>
      </vt:variant>
      <vt:variant>
        <vt:lpwstr/>
      </vt:variant>
      <vt:variant>
        <vt:lpwstr>_Toc165037328</vt:lpwstr>
      </vt:variant>
      <vt:variant>
        <vt:i4>1310772</vt:i4>
      </vt:variant>
      <vt:variant>
        <vt:i4>92</vt:i4>
      </vt:variant>
      <vt:variant>
        <vt:i4>0</vt:i4>
      </vt:variant>
      <vt:variant>
        <vt:i4>5</vt:i4>
      </vt:variant>
      <vt:variant>
        <vt:lpwstr/>
      </vt:variant>
      <vt:variant>
        <vt:lpwstr>_Toc165037327</vt:lpwstr>
      </vt:variant>
      <vt:variant>
        <vt:i4>1310772</vt:i4>
      </vt:variant>
      <vt:variant>
        <vt:i4>86</vt:i4>
      </vt:variant>
      <vt:variant>
        <vt:i4>0</vt:i4>
      </vt:variant>
      <vt:variant>
        <vt:i4>5</vt:i4>
      </vt:variant>
      <vt:variant>
        <vt:lpwstr/>
      </vt:variant>
      <vt:variant>
        <vt:lpwstr>_Toc165037326</vt:lpwstr>
      </vt:variant>
      <vt:variant>
        <vt:i4>1310772</vt:i4>
      </vt:variant>
      <vt:variant>
        <vt:i4>80</vt:i4>
      </vt:variant>
      <vt:variant>
        <vt:i4>0</vt:i4>
      </vt:variant>
      <vt:variant>
        <vt:i4>5</vt:i4>
      </vt:variant>
      <vt:variant>
        <vt:lpwstr/>
      </vt:variant>
      <vt:variant>
        <vt:lpwstr>_Toc165037325</vt:lpwstr>
      </vt:variant>
      <vt:variant>
        <vt:i4>1310772</vt:i4>
      </vt:variant>
      <vt:variant>
        <vt:i4>74</vt:i4>
      </vt:variant>
      <vt:variant>
        <vt:i4>0</vt:i4>
      </vt:variant>
      <vt:variant>
        <vt:i4>5</vt:i4>
      </vt:variant>
      <vt:variant>
        <vt:lpwstr/>
      </vt:variant>
      <vt:variant>
        <vt:lpwstr>_Toc165037324</vt:lpwstr>
      </vt:variant>
      <vt:variant>
        <vt:i4>1310772</vt:i4>
      </vt:variant>
      <vt:variant>
        <vt:i4>68</vt:i4>
      </vt:variant>
      <vt:variant>
        <vt:i4>0</vt:i4>
      </vt:variant>
      <vt:variant>
        <vt:i4>5</vt:i4>
      </vt:variant>
      <vt:variant>
        <vt:lpwstr/>
      </vt:variant>
      <vt:variant>
        <vt:lpwstr>_Toc165037323</vt:lpwstr>
      </vt:variant>
      <vt:variant>
        <vt:i4>1310772</vt:i4>
      </vt:variant>
      <vt:variant>
        <vt:i4>62</vt:i4>
      </vt:variant>
      <vt:variant>
        <vt:i4>0</vt:i4>
      </vt:variant>
      <vt:variant>
        <vt:i4>5</vt:i4>
      </vt:variant>
      <vt:variant>
        <vt:lpwstr/>
      </vt:variant>
      <vt:variant>
        <vt:lpwstr>_Toc165037322</vt:lpwstr>
      </vt:variant>
      <vt:variant>
        <vt:i4>1310772</vt:i4>
      </vt:variant>
      <vt:variant>
        <vt:i4>56</vt:i4>
      </vt:variant>
      <vt:variant>
        <vt:i4>0</vt:i4>
      </vt:variant>
      <vt:variant>
        <vt:i4>5</vt:i4>
      </vt:variant>
      <vt:variant>
        <vt:lpwstr/>
      </vt:variant>
      <vt:variant>
        <vt:lpwstr>_Toc165037321</vt:lpwstr>
      </vt:variant>
      <vt:variant>
        <vt:i4>1310772</vt:i4>
      </vt:variant>
      <vt:variant>
        <vt:i4>50</vt:i4>
      </vt:variant>
      <vt:variant>
        <vt:i4>0</vt:i4>
      </vt:variant>
      <vt:variant>
        <vt:i4>5</vt:i4>
      </vt:variant>
      <vt:variant>
        <vt:lpwstr/>
      </vt:variant>
      <vt:variant>
        <vt:lpwstr>_Toc165037320</vt:lpwstr>
      </vt:variant>
      <vt:variant>
        <vt:i4>1507380</vt:i4>
      </vt:variant>
      <vt:variant>
        <vt:i4>44</vt:i4>
      </vt:variant>
      <vt:variant>
        <vt:i4>0</vt:i4>
      </vt:variant>
      <vt:variant>
        <vt:i4>5</vt:i4>
      </vt:variant>
      <vt:variant>
        <vt:lpwstr/>
      </vt:variant>
      <vt:variant>
        <vt:lpwstr>_Toc165037319</vt:lpwstr>
      </vt:variant>
      <vt:variant>
        <vt:i4>1507380</vt:i4>
      </vt:variant>
      <vt:variant>
        <vt:i4>38</vt:i4>
      </vt:variant>
      <vt:variant>
        <vt:i4>0</vt:i4>
      </vt:variant>
      <vt:variant>
        <vt:i4>5</vt:i4>
      </vt:variant>
      <vt:variant>
        <vt:lpwstr/>
      </vt:variant>
      <vt:variant>
        <vt:lpwstr>_Toc165037318</vt:lpwstr>
      </vt:variant>
      <vt:variant>
        <vt:i4>1507380</vt:i4>
      </vt:variant>
      <vt:variant>
        <vt:i4>32</vt:i4>
      </vt:variant>
      <vt:variant>
        <vt:i4>0</vt:i4>
      </vt:variant>
      <vt:variant>
        <vt:i4>5</vt:i4>
      </vt:variant>
      <vt:variant>
        <vt:lpwstr/>
      </vt:variant>
      <vt:variant>
        <vt:lpwstr>_Toc165037317</vt:lpwstr>
      </vt:variant>
      <vt:variant>
        <vt:i4>1507380</vt:i4>
      </vt:variant>
      <vt:variant>
        <vt:i4>26</vt:i4>
      </vt:variant>
      <vt:variant>
        <vt:i4>0</vt:i4>
      </vt:variant>
      <vt:variant>
        <vt:i4>5</vt:i4>
      </vt:variant>
      <vt:variant>
        <vt:lpwstr/>
      </vt:variant>
      <vt:variant>
        <vt:lpwstr>_Toc165037316</vt:lpwstr>
      </vt:variant>
      <vt:variant>
        <vt:i4>1507380</vt:i4>
      </vt:variant>
      <vt:variant>
        <vt:i4>20</vt:i4>
      </vt:variant>
      <vt:variant>
        <vt:i4>0</vt:i4>
      </vt:variant>
      <vt:variant>
        <vt:i4>5</vt:i4>
      </vt:variant>
      <vt:variant>
        <vt:lpwstr/>
      </vt:variant>
      <vt:variant>
        <vt:lpwstr>_Toc165037315</vt:lpwstr>
      </vt:variant>
      <vt:variant>
        <vt:i4>1507380</vt:i4>
      </vt:variant>
      <vt:variant>
        <vt:i4>14</vt:i4>
      </vt:variant>
      <vt:variant>
        <vt:i4>0</vt:i4>
      </vt:variant>
      <vt:variant>
        <vt:i4>5</vt:i4>
      </vt:variant>
      <vt:variant>
        <vt:lpwstr/>
      </vt:variant>
      <vt:variant>
        <vt:lpwstr>_Toc165037314</vt:lpwstr>
      </vt:variant>
      <vt:variant>
        <vt:i4>1507380</vt:i4>
      </vt:variant>
      <vt:variant>
        <vt:i4>8</vt:i4>
      </vt:variant>
      <vt:variant>
        <vt:i4>0</vt:i4>
      </vt:variant>
      <vt:variant>
        <vt:i4>5</vt:i4>
      </vt:variant>
      <vt:variant>
        <vt:lpwstr/>
      </vt:variant>
      <vt:variant>
        <vt:lpwstr>_Toc165037313</vt:lpwstr>
      </vt:variant>
      <vt:variant>
        <vt:i4>1507380</vt:i4>
      </vt:variant>
      <vt:variant>
        <vt:i4>2</vt:i4>
      </vt:variant>
      <vt:variant>
        <vt:i4>0</vt:i4>
      </vt:variant>
      <vt:variant>
        <vt:i4>5</vt:i4>
      </vt:variant>
      <vt:variant>
        <vt:lpwstr/>
      </vt:variant>
      <vt:variant>
        <vt:lpwstr>_Toc165037312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Mariño Silva</dc:creator>
  <cp:keywords/>
  <dc:description/>
  <cp:lastModifiedBy>Eliana Rodriguez Fonseca</cp:lastModifiedBy>
  <cp:revision>2</cp:revision>
  <cp:lastPrinted>2024-04-26T21:53:00Z</cp:lastPrinted>
  <dcterms:created xsi:type="dcterms:W3CDTF">2024-04-26T22:08:00Z</dcterms:created>
  <dcterms:modified xsi:type="dcterms:W3CDTF">2024-04-26T22:08:00Z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