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4143B" w14:textId="77777777" w:rsidR="00020441" w:rsidRDefault="00000520">
      <w:r>
        <w:rPr>
          <w:noProof/>
          <w:sz w:val="20"/>
          <w:lang w:val="es-CO" w:eastAsia="es-CO"/>
        </w:rPr>
        <w:drawing>
          <wp:anchor distT="0" distB="0" distL="114300" distR="114300" simplePos="0" relativeHeight="251658240"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Default="00020441"/>
    <w:p w14:paraId="626BE014" w14:textId="77777777" w:rsidR="00020441" w:rsidRDefault="00020441" w:rsidP="003965A1">
      <w:pPr>
        <w:pStyle w:val="TDC1"/>
      </w:pPr>
    </w:p>
    <w:p w14:paraId="59F27ABD" w14:textId="77777777" w:rsidR="00020441" w:rsidRDefault="00020441" w:rsidP="003965A1">
      <w:pPr>
        <w:pStyle w:val="TDC1"/>
      </w:pPr>
    </w:p>
    <w:p w14:paraId="465B98F3" w14:textId="77777777" w:rsidR="00020441" w:rsidRDefault="00020441"/>
    <w:p w14:paraId="43077885" w14:textId="77777777" w:rsidR="00020441" w:rsidRDefault="00020441"/>
    <w:p w14:paraId="10A762C8" w14:textId="77777777" w:rsidR="00020441" w:rsidRDefault="00020441"/>
    <w:p w14:paraId="00F8537C" w14:textId="10078B9B" w:rsidR="00020441" w:rsidRPr="005328E3" w:rsidRDefault="005328E3" w:rsidP="008C6E50">
      <w:pPr>
        <w:jc w:val="center"/>
        <w:rPr>
          <w:caps/>
        </w:rPr>
      </w:pPr>
      <w:r w:rsidRPr="005328E3">
        <w:rPr>
          <w:b/>
          <w:bCs/>
          <w:caps/>
          <w:noProof/>
          <w:sz w:val="40"/>
          <w:szCs w:val="40"/>
          <w:lang w:val="es-ES"/>
        </w:rPr>
        <w:t xml:space="preserve">adiciones transitorias a los aspectos comerciales del suministro del </w:t>
      </w:r>
      <w:r w:rsidR="004B170D">
        <w:rPr>
          <w:b/>
          <w:bCs/>
          <w:caps/>
          <w:noProof/>
          <w:sz w:val="40"/>
          <w:szCs w:val="40"/>
          <w:lang w:val="es-ES"/>
        </w:rPr>
        <w:t>Mercado</w:t>
      </w:r>
      <w:r w:rsidRPr="005328E3">
        <w:rPr>
          <w:b/>
          <w:bCs/>
          <w:caps/>
          <w:noProof/>
          <w:sz w:val="40"/>
          <w:szCs w:val="40"/>
          <w:lang w:val="es-ES"/>
        </w:rPr>
        <w:t xml:space="preserve"> </w:t>
      </w:r>
      <w:r w:rsidR="004B170D">
        <w:rPr>
          <w:b/>
          <w:bCs/>
          <w:caps/>
          <w:noProof/>
          <w:sz w:val="40"/>
          <w:szCs w:val="40"/>
          <w:lang w:val="es-ES"/>
        </w:rPr>
        <w:t>Mayorista</w:t>
      </w:r>
      <w:r w:rsidRPr="005328E3">
        <w:rPr>
          <w:b/>
          <w:bCs/>
          <w:caps/>
          <w:noProof/>
          <w:sz w:val="40"/>
          <w:szCs w:val="40"/>
          <w:lang w:val="es-ES"/>
        </w:rPr>
        <w:t xml:space="preserve"> de gas natural establecidos en la Resolución CREG 186 de 2020</w:t>
      </w:r>
    </w:p>
    <w:p w14:paraId="51A764C5" w14:textId="77777777" w:rsidR="00020441" w:rsidRDefault="00020441"/>
    <w:p w14:paraId="1222BB47" w14:textId="77777777" w:rsidR="00020441" w:rsidRDefault="00020441"/>
    <w:p w14:paraId="59776045" w14:textId="77777777" w:rsidR="00020441" w:rsidRDefault="00020441"/>
    <w:p w14:paraId="53B509DC" w14:textId="32251C5D" w:rsidR="00020441" w:rsidRDefault="00020441">
      <w:pPr>
        <w:rPr>
          <w:b/>
          <w:caps/>
          <w:sz w:val="36"/>
          <w:lang w:val="es-ES"/>
        </w:rPr>
      </w:pPr>
      <w:r>
        <w:rPr>
          <w:b/>
          <w:caps/>
          <w:sz w:val="28"/>
          <w:lang w:val="es-ES"/>
        </w:rPr>
        <w:t xml:space="preserve">DOCUMENTO </w:t>
      </w:r>
      <w:r>
        <w:rPr>
          <w:b/>
          <w:caps/>
          <w:sz w:val="40"/>
          <w:lang w:val="es-ES"/>
        </w:rPr>
        <w:t>CREG-</w:t>
      </w:r>
      <w:r w:rsidR="00BB2955">
        <w:rPr>
          <w:b/>
          <w:caps/>
          <w:sz w:val="40"/>
          <w:lang w:val="es-ES"/>
        </w:rPr>
        <w:t xml:space="preserve"> </w:t>
      </w:r>
      <w:r w:rsidR="00D31137" w:rsidRPr="00D31137">
        <w:rPr>
          <w:b/>
          <w:caps/>
          <w:sz w:val="40"/>
          <w:lang w:val="es-ES"/>
        </w:rPr>
        <w:t>902</w:t>
      </w:r>
      <w:r w:rsidR="00D31137">
        <w:rPr>
          <w:b/>
          <w:caps/>
          <w:sz w:val="40"/>
          <w:lang w:val="es-ES"/>
        </w:rPr>
        <w:t xml:space="preserve"> </w:t>
      </w:r>
      <w:r w:rsidR="00D31137" w:rsidRPr="00D31137">
        <w:rPr>
          <w:b/>
          <w:caps/>
          <w:sz w:val="40"/>
          <w:lang w:val="es-ES"/>
        </w:rPr>
        <w:t>029</w:t>
      </w:r>
      <w:r w:rsidR="00D31137">
        <w:rPr>
          <w:b/>
          <w:caps/>
          <w:sz w:val="40"/>
          <w:lang w:val="es-ES"/>
        </w:rPr>
        <w:t xml:space="preserve"> </w:t>
      </w:r>
      <w:r w:rsidR="00D31137">
        <w:rPr>
          <w:b/>
          <w:sz w:val="40"/>
          <w:lang w:val="es-ES"/>
        </w:rPr>
        <w:t>de</w:t>
      </w:r>
      <w:r w:rsidR="00D31137">
        <w:rPr>
          <w:b/>
          <w:caps/>
          <w:sz w:val="40"/>
          <w:lang w:val="es-ES"/>
        </w:rPr>
        <w:t xml:space="preserve"> 2024</w:t>
      </w:r>
      <w:r w:rsidR="00F40D91" w:rsidRPr="00ED211B">
        <w:rPr>
          <w:rFonts w:cs="Arial"/>
          <w:b/>
          <w:bCs/>
          <w:lang w:val="es-MX"/>
        </w:rPr>
        <w:t xml:space="preserve"> </w:t>
      </w:r>
    </w:p>
    <w:p w14:paraId="44F07507" w14:textId="23D2BBC3" w:rsidR="000B5AD2" w:rsidRDefault="00DD1C49" w:rsidP="00F40D91">
      <w:pPr>
        <w:tabs>
          <w:tab w:val="left" w:pos="9142"/>
        </w:tabs>
        <w:ind w:left="9142" w:hanging="9142"/>
        <w:jc w:val="left"/>
        <w:rPr>
          <w:rFonts w:cs="Arial"/>
          <w:b/>
          <w:bCs/>
          <w:sz w:val="28"/>
          <w:szCs w:val="28"/>
          <w:lang w:val="es-MX"/>
        </w:rPr>
      </w:pPr>
      <w:r>
        <w:rPr>
          <w:rFonts w:cs="Arial"/>
          <w:b/>
          <w:bCs/>
          <w:sz w:val="28"/>
          <w:szCs w:val="28"/>
          <w:lang w:val="es-MX"/>
        </w:rPr>
        <w:t>18</w:t>
      </w:r>
      <w:r w:rsidR="00F40D91" w:rsidRPr="00AA58DD">
        <w:rPr>
          <w:rFonts w:cs="Arial"/>
          <w:b/>
          <w:bCs/>
          <w:sz w:val="28"/>
          <w:szCs w:val="28"/>
          <w:lang w:val="es-MX"/>
        </w:rPr>
        <w:fldChar w:fldCharType="begin"/>
      </w:r>
      <w:r w:rsidR="00F40D91" w:rsidRPr="00AA58DD">
        <w:rPr>
          <w:rFonts w:cs="Arial"/>
          <w:b/>
          <w:bCs/>
          <w:sz w:val="28"/>
          <w:szCs w:val="28"/>
          <w:lang w:val="es-MX"/>
        </w:rPr>
        <w:instrText xml:space="preserve"> MERGEFIELD  Fecha  \* MERGEFORMAT </w:instrText>
      </w:r>
      <w:r w:rsidR="00F40D91" w:rsidRPr="00AA58DD">
        <w:rPr>
          <w:rFonts w:cs="Arial"/>
          <w:b/>
          <w:bCs/>
          <w:sz w:val="28"/>
          <w:szCs w:val="28"/>
          <w:lang w:val="es-MX"/>
        </w:rPr>
        <w:fldChar w:fldCharType="separate"/>
      </w:r>
      <w:r w:rsidR="006F497C" w:rsidRPr="00AA58DD">
        <w:rPr>
          <w:rFonts w:cs="Arial"/>
          <w:b/>
          <w:bCs/>
          <w:noProof/>
          <w:sz w:val="28"/>
          <w:szCs w:val="28"/>
          <w:lang w:val="es-MX"/>
        </w:rPr>
        <w:t xml:space="preserve"> DE </w:t>
      </w:r>
      <w:r w:rsidR="002C3B38" w:rsidRPr="00AA58DD">
        <w:rPr>
          <w:rFonts w:cs="Arial"/>
          <w:b/>
          <w:bCs/>
          <w:noProof/>
          <w:sz w:val="28"/>
          <w:szCs w:val="28"/>
          <w:lang w:val="es-MX"/>
        </w:rPr>
        <w:t>ABRIL</w:t>
      </w:r>
      <w:r w:rsidR="00EE785A" w:rsidRPr="00AA58DD">
        <w:rPr>
          <w:rFonts w:cs="Arial"/>
          <w:b/>
          <w:bCs/>
          <w:noProof/>
          <w:sz w:val="28"/>
          <w:szCs w:val="28"/>
          <w:lang w:val="es-MX"/>
        </w:rPr>
        <w:t xml:space="preserve"> DE 202</w:t>
      </w:r>
      <w:r w:rsidR="00EF64D0" w:rsidRPr="00AA58DD">
        <w:rPr>
          <w:rFonts w:cs="Arial"/>
          <w:b/>
          <w:bCs/>
          <w:noProof/>
          <w:sz w:val="28"/>
          <w:szCs w:val="28"/>
          <w:lang w:val="es-MX"/>
        </w:rPr>
        <w:t>4</w:t>
      </w:r>
      <w:r w:rsidR="00F40D91" w:rsidRPr="00AA58DD">
        <w:rPr>
          <w:rFonts w:cs="Arial"/>
          <w:b/>
          <w:bCs/>
          <w:sz w:val="28"/>
          <w:szCs w:val="28"/>
          <w:lang w:val="es-MX"/>
        </w:rPr>
        <w:fldChar w:fldCharType="end"/>
      </w:r>
      <w:r w:rsidR="009C08C1" w:rsidRPr="00AA58DD">
        <w:rPr>
          <w:rFonts w:cs="Arial"/>
          <w:b/>
          <w:bCs/>
          <w:sz w:val="28"/>
          <w:szCs w:val="28"/>
          <w:lang w:val="es-MX"/>
        </w:rPr>
        <w:t xml:space="preserve">    </w:t>
      </w:r>
      <w:r w:rsidR="009C08C1">
        <w:rPr>
          <w:rFonts w:cs="Arial"/>
          <w:b/>
          <w:bCs/>
          <w:sz w:val="28"/>
          <w:szCs w:val="28"/>
          <w:lang w:val="es-MX"/>
        </w:rPr>
        <w:t xml:space="preserve">  </w:t>
      </w:r>
      <w:r w:rsidR="009C08C1">
        <w:rPr>
          <w:rFonts w:cs="Arial"/>
          <w:b/>
          <w:bCs/>
          <w:sz w:val="28"/>
          <w:szCs w:val="28"/>
          <w:lang w:val="es-MX"/>
        </w:rPr>
        <w:tab/>
      </w:r>
    </w:p>
    <w:p w14:paraId="18F1E9BA" w14:textId="075CEE6C" w:rsidR="00E166D7" w:rsidRDefault="00E166D7" w:rsidP="009C08C1">
      <w:pPr>
        <w:tabs>
          <w:tab w:val="left" w:pos="9142"/>
        </w:tabs>
        <w:jc w:val="left"/>
        <w:rPr>
          <w:rFonts w:cs="Arial"/>
          <w:sz w:val="22"/>
          <w:szCs w:val="22"/>
          <w:lang w:val="es-MX"/>
        </w:rPr>
      </w:pPr>
    </w:p>
    <w:p w14:paraId="6E829A66" w14:textId="77777777" w:rsidR="0010544E" w:rsidRPr="00F40D91" w:rsidRDefault="0010544E" w:rsidP="00F40D91">
      <w:pPr>
        <w:tabs>
          <w:tab w:val="left" w:pos="9142"/>
        </w:tabs>
        <w:ind w:left="9142" w:hanging="9142"/>
        <w:jc w:val="left"/>
        <w:rPr>
          <w:sz w:val="28"/>
          <w:szCs w:val="28"/>
        </w:rPr>
      </w:pPr>
    </w:p>
    <w:p w14:paraId="071E5D13" w14:textId="0F319AFD" w:rsidR="00020441" w:rsidRDefault="00020441">
      <w:pPr>
        <w:ind w:left="4956"/>
        <w:jc w:val="left"/>
        <w:rPr>
          <w:bCs/>
        </w:rPr>
      </w:pPr>
    </w:p>
    <w:p w14:paraId="32E55F6B" w14:textId="77777777" w:rsidR="00020441" w:rsidRDefault="00020441">
      <w:pPr>
        <w:ind w:left="4956"/>
        <w:jc w:val="left"/>
        <w:rPr>
          <w:b/>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5FB9C57C" w14:textId="77777777">
        <w:tc>
          <w:tcPr>
            <w:tcW w:w="4024" w:type="dxa"/>
          </w:tcPr>
          <w:p w14:paraId="248A6A95" w14:textId="77777777" w:rsidR="0077100C" w:rsidRDefault="0077100C">
            <w:pPr>
              <w:jc w:val="left"/>
              <w:rPr>
                <w:b/>
                <w:bCs/>
              </w:rPr>
            </w:pPr>
          </w:p>
          <w:p w14:paraId="6D27A061" w14:textId="77777777" w:rsidR="0077100C" w:rsidRDefault="0077100C">
            <w:pPr>
              <w:jc w:val="left"/>
              <w:rPr>
                <w:b/>
                <w:bCs/>
              </w:rPr>
            </w:pPr>
          </w:p>
          <w:p w14:paraId="2440A9AB" w14:textId="77777777" w:rsidR="00020441" w:rsidRDefault="00020441">
            <w:pPr>
              <w:jc w:val="left"/>
              <w:rPr>
                <w:b/>
                <w:bCs/>
              </w:rPr>
            </w:pPr>
            <w:r>
              <w:rPr>
                <w:b/>
                <w:bCs/>
              </w:rPr>
              <w:t>CIRCULACIÓN:</w:t>
            </w:r>
          </w:p>
        </w:tc>
      </w:tr>
      <w:tr w:rsidR="00020441" w14:paraId="6A659732" w14:textId="77777777">
        <w:tc>
          <w:tcPr>
            <w:tcW w:w="4024" w:type="dxa"/>
          </w:tcPr>
          <w:p w14:paraId="74DA0102" w14:textId="77777777" w:rsidR="00020441" w:rsidRDefault="00020441">
            <w:pPr>
              <w:jc w:val="left"/>
              <w:rPr>
                <w:b/>
                <w:bCs/>
              </w:rPr>
            </w:pPr>
            <w:r>
              <w:rPr>
                <w:b/>
                <w:bCs/>
              </w:rPr>
              <w:t>MIEMBROS DE LA COMISIÓN DE</w:t>
            </w:r>
          </w:p>
        </w:tc>
      </w:tr>
      <w:tr w:rsidR="00020441" w14:paraId="2BED25F3" w14:textId="77777777">
        <w:tc>
          <w:tcPr>
            <w:tcW w:w="4024" w:type="dxa"/>
          </w:tcPr>
          <w:p w14:paraId="5666418A" w14:textId="333EE706" w:rsidR="00020441" w:rsidRDefault="00020441">
            <w:pPr>
              <w:tabs>
                <w:tab w:val="left" w:pos="4606"/>
                <w:tab w:val="left" w:pos="9142"/>
              </w:tabs>
              <w:jc w:val="left"/>
              <w:rPr>
                <w:b/>
                <w:bCs/>
              </w:rPr>
            </w:pPr>
            <w:r>
              <w:rPr>
                <w:b/>
                <w:bCs/>
              </w:rPr>
              <w:t xml:space="preserve">REGULACIÓN DE ENERGÍA Y GAS </w:t>
            </w:r>
          </w:p>
        </w:tc>
      </w:tr>
    </w:tbl>
    <w:p w14:paraId="43D59473" w14:textId="77777777" w:rsidR="00E7209B" w:rsidRDefault="00E7209B" w:rsidP="003C55ED">
      <w:pPr>
        <w:pStyle w:val="Ttulo1"/>
        <w:numPr>
          <w:ilvl w:val="0"/>
          <w:numId w:val="0"/>
        </w:numPr>
        <w:ind w:left="432" w:hanging="432"/>
        <w:jc w:val="center"/>
      </w:pPr>
    </w:p>
    <w:p w14:paraId="73ACC9F4" w14:textId="77777777" w:rsidR="00E7209B" w:rsidRDefault="00020441" w:rsidP="003C55ED">
      <w:pPr>
        <w:pStyle w:val="Ttulo1"/>
        <w:numPr>
          <w:ilvl w:val="0"/>
          <w:numId w:val="0"/>
        </w:numPr>
        <w:ind w:left="432" w:hanging="432"/>
        <w:jc w:val="center"/>
      </w:pPr>
      <w:r>
        <w:br w:type="page"/>
      </w:r>
      <w:bookmarkStart w:id="0" w:name="_Toc417034533"/>
      <w:bookmarkStart w:id="1" w:name="_Toc429486657"/>
    </w:p>
    <w:p w14:paraId="46CC8F19" w14:textId="77777777" w:rsidR="00E7209B" w:rsidRDefault="00E7209B" w:rsidP="003C55ED">
      <w:pPr>
        <w:pStyle w:val="Ttulo1"/>
        <w:numPr>
          <w:ilvl w:val="0"/>
          <w:numId w:val="0"/>
        </w:numPr>
        <w:ind w:left="432" w:hanging="432"/>
        <w:jc w:val="center"/>
      </w:pPr>
    </w:p>
    <w:p w14:paraId="309A9CDB" w14:textId="77777777" w:rsidR="00E7209B" w:rsidRDefault="00E7209B" w:rsidP="003C55ED">
      <w:pPr>
        <w:pStyle w:val="Ttulo1"/>
        <w:numPr>
          <w:ilvl w:val="0"/>
          <w:numId w:val="0"/>
        </w:numPr>
        <w:ind w:left="432" w:hanging="432"/>
        <w:jc w:val="center"/>
      </w:pPr>
    </w:p>
    <w:p w14:paraId="3680512E" w14:textId="77777777" w:rsidR="004E3965" w:rsidRDefault="004E3965" w:rsidP="003C55ED">
      <w:pPr>
        <w:pStyle w:val="Ttulo1"/>
        <w:numPr>
          <w:ilvl w:val="0"/>
          <w:numId w:val="0"/>
        </w:numPr>
        <w:ind w:left="432" w:hanging="432"/>
        <w:jc w:val="center"/>
      </w:pPr>
      <w:bookmarkStart w:id="2" w:name="_Toc158211398"/>
      <w:r w:rsidRPr="00D35318">
        <w:t>C</w:t>
      </w:r>
      <w:r w:rsidR="003C55ED" w:rsidRPr="00D35318">
        <w:t>ONTENIDO</w:t>
      </w:r>
      <w:bookmarkEnd w:id="0"/>
      <w:bookmarkEnd w:id="1"/>
      <w:bookmarkEnd w:id="2"/>
    </w:p>
    <w:p w14:paraId="73B72075" w14:textId="77777777" w:rsidR="003C55ED" w:rsidRPr="003C55ED" w:rsidRDefault="003C55ED" w:rsidP="003C55ED"/>
    <w:sdt>
      <w:sdtPr>
        <w:rPr>
          <w:rFonts w:ascii="Arial" w:eastAsia="Times New Roman" w:hAnsi="Arial" w:cs="Times New Roman"/>
          <w:color w:val="auto"/>
          <w:sz w:val="24"/>
          <w:szCs w:val="20"/>
          <w:lang w:val="es-ES" w:eastAsia="es-ES"/>
        </w:rPr>
        <w:id w:val="1670910116"/>
        <w:docPartObj>
          <w:docPartGallery w:val="Table of Contents"/>
          <w:docPartUnique/>
        </w:docPartObj>
      </w:sdtPr>
      <w:sdtEndPr>
        <w:rPr>
          <w:b/>
          <w:bCs/>
        </w:rPr>
      </w:sdtEndPr>
      <w:sdtContent>
        <w:p w14:paraId="0FC2FD21" w14:textId="5B3A5B88" w:rsidR="00CA4551" w:rsidRDefault="00CA4551">
          <w:pPr>
            <w:pStyle w:val="TtuloTDC"/>
          </w:pPr>
        </w:p>
        <w:p w14:paraId="20FD1031" w14:textId="0E7446A9" w:rsidR="002E4C08" w:rsidRDefault="00CA4551">
          <w:pPr>
            <w:pStyle w:val="TDC1"/>
            <w:rPr>
              <w:rFonts w:asciiTheme="minorHAnsi" w:eastAsiaTheme="minorEastAsia" w:hAnsiTheme="minorHAnsi" w:cstheme="minorBidi"/>
              <w:kern w:val="2"/>
              <w:lang w:val="es-CO" w:eastAsia="es-CO"/>
              <w14:ligatures w14:val="standardContextual"/>
            </w:rPr>
          </w:pPr>
          <w:r>
            <w:fldChar w:fldCharType="begin"/>
          </w:r>
          <w:r>
            <w:instrText xml:space="preserve"> TOC \o "1-3" \h \z \u </w:instrText>
          </w:r>
          <w:r>
            <w:fldChar w:fldCharType="separate"/>
          </w:r>
          <w:hyperlink w:anchor="_Toc158211398" w:history="1">
            <w:r w:rsidR="002E4C08" w:rsidRPr="00C61B71">
              <w:rPr>
                <w:rStyle w:val="Hipervnculo"/>
              </w:rPr>
              <w:t>CONTENIDO</w:t>
            </w:r>
            <w:r w:rsidR="002E4C08">
              <w:rPr>
                <w:webHidden/>
              </w:rPr>
              <w:tab/>
            </w:r>
            <w:r w:rsidR="002E4C08">
              <w:rPr>
                <w:webHidden/>
              </w:rPr>
              <w:fldChar w:fldCharType="begin"/>
            </w:r>
            <w:r w:rsidR="002E4C08">
              <w:rPr>
                <w:webHidden/>
              </w:rPr>
              <w:instrText xml:space="preserve"> PAGEREF _Toc158211398 \h </w:instrText>
            </w:r>
            <w:r w:rsidR="002E4C08">
              <w:rPr>
                <w:webHidden/>
              </w:rPr>
            </w:r>
            <w:r w:rsidR="002E4C08">
              <w:rPr>
                <w:webHidden/>
              </w:rPr>
              <w:fldChar w:fldCharType="separate"/>
            </w:r>
            <w:r w:rsidR="0027336D">
              <w:rPr>
                <w:webHidden/>
              </w:rPr>
              <w:t>2</w:t>
            </w:r>
            <w:r w:rsidR="002E4C08">
              <w:rPr>
                <w:webHidden/>
              </w:rPr>
              <w:fldChar w:fldCharType="end"/>
            </w:r>
          </w:hyperlink>
        </w:p>
        <w:p w14:paraId="2762F5E1" w14:textId="523FD748"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399" w:history="1">
            <w:r w:rsidR="002E4C08" w:rsidRPr="00C61B71">
              <w:rPr>
                <w:rStyle w:val="Hipervnculo"/>
              </w:rPr>
              <w:t>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ANTECEDENTES</w:t>
            </w:r>
            <w:r w:rsidR="002E4C08">
              <w:rPr>
                <w:webHidden/>
              </w:rPr>
              <w:tab/>
            </w:r>
            <w:r w:rsidR="002E4C08">
              <w:rPr>
                <w:webHidden/>
              </w:rPr>
              <w:fldChar w:fldCharType="begin"/>
            </w:r>
            <w:r w:rsidR="002E4C08">
              <w:rPr>
                <w:webHidden/>
              </w:rPr>
              <w:instrText xml:space="preserve"> PAGEREF _Toc158211399 \h </w:instrText>
            </w:r>
            <w:r w:rsidR="002E4C08">
              <w:rPr>
                <w:webHidden/>
              </w:rPr>
            </w:r>
            <w:r w:rsidR="002E4C08">
              <w:rPr>
                <w:webHidden/>
              </w:rPr>
              <w:fldChar w:fldCharType="separate"/>
            </w:r>
            <w:r w:rsidR="0027336D">
              <w:rPr>
                <w:webHidden/>
              </w:rPr>
              <w:t>8</w:t>
            </w:r>
            <w:r w:rsidR="002E4C08">
              <w:rPr>
                <w:webHidden/>
              </w:rPr>
              <w:fldChar w:fldCharType="end"/>
            </w:r>
          </w:hyperlink>
        </w:p>
        <w:p w14:paraId="1A7F768F" w14:textId="17654551"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0" w:history="1">
            <w:r w:rsidR="002E4C08" w:rsidRPr="00C61B71">
              <w:rPr>
                <w:rStyle w:val="Hipervnculo"/>
              </w:rPr>
              <w:t>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INFORMACIÓN GENERAL</w:t>
            </w:r>
            <w:r w:rsidR="002E4C08">
              <w:rPr>
                <w:webHidden/>
              </w:rPr>
              <w:tab/>
            </w:r>
            <w:r w:rsidR="002E4C08">
              <w:rPr>
                <w:webHidden/>
              </w:rPr>
              <w:fldChar w:fldCharType="begin"/>
            </w:r>
            <w:r w:rsidR="002E4C08">
              <w:rPr>
                <w:webHidden/>
              </w:rPr>
              <w:instrText xml:space="preserve"> PAGEREF _Toc158211400 \h </w:instrText>
            </w:r>
            <w:r w:rsidR="002E4C08">
              <w:rPr>
                <w:webHidden/>
              </w:rPr>
            </w:r>
            <w:r w:rsidR="002E4C08">
              <w:rPr>
                <w:webHidden/>
              </w:rPr>
              <w:fldChar w:fldCharType="separate"/>
            </w:r>
            <w:r w:rsidR="0027336D">
              <w:rPr>
                <w:webHidden/>
              </w:rPr>
              <w:t>10</w:t>
            </w:r>
            <w:r w:rsidR="002E4C08">
              <w:rPr>
                <w:webHidden/>
              </w:rPr>
              <w:fldChar w:fldCharType="end"/>
            </w:r>
          </w:hyperlink>
        </w:p>
        <w:p w14:paraId="26F3F9CF" w14:textId="40115EBB"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1" w:history="1">
            <w:r w:rsidR="002E4C08" w:rsidRPr="00C61B71">
              <w:rPr>
                <w:rStyle w:val="Hipervnculo"/>
              </w:rPr>
              <w:t>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DEFINICIÓN DEL PROBLEMA</w:t>
            </w:r>
            <w:r w:rsidR="002E4C08">
              <w:rPr>
                <w:webHidden/>
              </w:rPr>
              <w:tab/>
            </w:r>
            <w:r w:rsidR="002E4C08">
              <w:rPr>
                <w:webHidden/>
              </w:rPr>
              <w:fldChar w:fldCharType="begin"/>
            </w:r>
            <w:r w:rsidR="002E4C08">
              <w:rPr>
                <w:webHidden/>
              </w:rPr>
              <w:instrText xml:space="preserve"> PAGEREF _Toc158211401 \h </w:instrText>
            </w:r>
            <w:r w:rsidR="002E4C08">
              <w:rPr>
                <w:webHidden/>
              </w:rPr>
            </w:r>
            <w:r w:rsidR="002E4C08">
              <w:rPr>
                <w:webHidden/>
              </w:rPr>
              <w:fldChar w:fldCharType="separate"/>
            </w:r>
            <w:r w:rsidR="0027336D">
              <w:rPr>
                <w:webHidden/>
              </w:rPr>
              <w:t>17</w:t>
            </w:r>
            <w:r w:rsidR="002E4C08">
              <w:rPr>
                <w:webHidden/>
              </w:rPr>
              <w:fldChar w:fldCharType="end"/>
            </w:r>
          </w:hyperlink>
        </w:p>
        <w:p w14:paraId="78C333F7" w14:textId="48D934A0"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2" w:history="1">
            <w:r w:rsidR="002E4C08" w:rsidRPr="00C61B71">
              <w:rPr>
                <w:rStyle w:val="Hipervnculo"/>
              </w:rPr>
              <w:t>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OBJETIVOS</w:t>
            </w:r>
            <w:r w:rsidR="002E4C08">
              <w:rPr>
                <w:webHidden/>
              </w:rPr>
              <w:tab/>
            </w:r>
            <w:r w:rsidR="002E4C08">
              <w:rPr>
                <w:webHidden/>
              </w:rPr>
              <w:fldChar w:fldCharType="begin"/>
            </w:r>
            <w:r w:rsidR="002E4C08">
              <w:rPr>
                <w:webHidden/>
              </w:rPr>
              <w:instrText xml:space="preserve"> PAGEREF _Toc158211402 \h </w:instrText>
            </w:r>
            <w:r w:rsidR="002E4C08">
              <w:rPr>
                <w:webHidden/>
              </w:rPr>
            </w:r>
            <w:r w:rsidR="002E4C08">
              <w:rPr>
                <w:webHidden/>
              </w:rPr>
              <w:fldChar w:fldCharType="separate"/>
            </w:r>
            <w:r w:rsidR="0027336D">
              <w:rPr>
                <w:webHidden/>
              </w:rPr>
              <w:t>19</w:t>
            </w:r>
            <w:r w:rsidR="002E4C08">
              <w:rPr>
                <w:webHidden/>
              </w:rPr>
              <w:fldChar w:fldCharType="end"/>
            </w:r>
          </w:hyperlink>
        </w:p>
        <w:p w14:paraId="73AD8CA7" w14:textId="4659ECDB"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3" w:history="1">
            <w:r w:rsidR="002E4C08" w:rsidRPr="00C61B71">
              <w:rPr>
                <w:rStyle w:val="Hipervnculo"/>
              </w:rPr>
              <w:t>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PROPUESTA REGULATORIA</w:t>
            </w:r>
            <w:r w:rsidR="002E4C08">
              <w:rPr>
                <w:webHidden/>
              </w:rPr>
              <w:tab/>
            </w:r>
            <w:r w:rsidR="002E4C08">
              <w:rPr>
                <w:webHidden/>
              </w:rPr>
              <w:fldChar w:fldCharType="begin"/>
            </w:r>
            <w:r w:rsidR="002E4C08">
              <w:rPr>
                <w:webHidden/>
              </w:rPr>
              <w:instrText xml:space="preserve"> PAGEREF _Toc158211403 \h </w:instrText>
            </w:r>
            <w:r w:rsidR="002E4C08">
              <w:rPr>
                <w:webHidden/>
              </w:rPr>
            </w:r>
            <w:r w:rsidR="002E4C08">
              <w:rPr>
                <w:webHidden/>
              </w:rPr>
              <w:fldChar w:fldCharType="separate"/>
            </w:r>
            <w:r w:rsidR="0027336D">
              <w:rPr>
                <w:webHidden/>
              </w:rPr>
              <w:t>20</w:t>
            </w:r>
            <w:r w:rsidR="002E4C08">
              <w:rPr>
                <w:webHidden/>
              </w:rPr>
              <w:fldChar w:fldCharType="end"/>
            </w:r>
          </w:hyperlink>
        </w:p>
        <w:p w14:paraId="63F9E1AB" w14:textId="73BDDED0"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4" w:history="1">
            <w:r w:rsidR="002E4C08" w:rsidRPr="00C61B71">
              <w:rPr>
                <w:rStyle w:val="Hipervnculo"/>
              </w:rPr>
              <w:t>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CONSULTA PÚBLICA</w:t>
            </w:r>
            <w:r w:rsidR="002E4C08">
              <w:rPr>
                <w:webHidden/>
              </w:rPr>
              <w:tab/>
            </w:r>
            <w:r w:rsidR="002E4C08">
              <w:rPr>
                <w:webHidden/>
              </w:rPr>
              <w:fldChar w:fldCharType="begin"/>
            </w:r>
            <w:r w:rsidR="002E4C08">
              <w:rPr>
                <w:webHidden/>
              </w:rPr>
              <w:instrText xml:space="preserve"> PAGEREF _Toc158211404 \h </w:instrText>
            </w:r>
            <w:r w:rsidR="002E4C08">
              <w:rPr>
                <w:webHidden/>
              </w:rPr>
            </w:r>
            <w:r w:rsidR="002E4C08">
              <w:rPr>
                <w:webHidden/>
              </w:rPr>
              <w:fldChar w:fldCharType="separate"/>
            </w:r>
            <w:r w:rsidR="0027336D">
              <w:rPr>
                <w:webHidden/>
              </w:rPr>
              <w:t>22</w:t>
            </w:r>
            <w:r w:rsidR="002E4C08">
              <w:rPr>
                <w:webHidden/>
              </w:rPr>
              <w:fldChar w:fldCharType="end"/>
            </w:r>
          </w:hyperlink>
        </w:p>
        <w:p w14:paraId="045358D5" w14:textId="36944042"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5" w:history="1">
            <w:r w:rsidR="002E4C08" w:rsidRPr="00C61B71">
              <w:rPr>
                <w:rStyle w:val="Hipervnculo"/>
              </w:rPr>
              <w:t>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ANÁLISIS DE IMPACTOS</w:t>
            </w:r>
            <w:r w:rsidR="002E4C08">
              <w:rPr>
                <w:webHidden/>
              </w:rPr>
              <w:tab/>
            </w:r>
            <w:r w:rsidR="002E4C08">
              <w:rPr>
                <w:webHidden/>
              </w:rPr>
              <w:fldChar w:fldCharType="begin"/>
            </w:r>
            <w:r w:rsidR="002E4C08">
              <w:rPr>
                <w:webHidden/>
              </w:rPr>
              <w:instrText xml:space="preserve"> PAGEREF _Toc158211405 \h </w:instrText>
            </w:r>
            <w:r w:rsidR="002E4C08">
              <w:rPr>
                <w:webHidden/>
              </w:rPr>
            </w:r>
            <w:r w:rsidR="002E4C08">
              <w:rPr>
                <w:webHidden/>
              </w:rPr>
              <w:fldChar w:fldCharType="separate"/>
            </w:r>
            <w:r w:rsidR="0027336D">
              <w:rPr>
                <w:webHidden/>
              </w:rPr>
              <w:t>23</w:t>
            </w:r>
            <w:r w:rsidR="002E4C08">
              <w:rPr>
                <w:webHidden/>
              </w:rPr>
              <w:fldChar w:fldCharType="end"/>
            </w:r>
          </w:hyperlink>
        </w:p>
        <w:p w14:paraId="0C839296" w14:textId="6150DF04"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6" w:history="1">
            <w:r w:rsidR="002E4C08" w:rsidRPr="00C61B71">
              <w:rPr>
                <w:rStyle w:val="Hipervnculo"/>
              </w:rPr>
              <w:t>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INDICADORES DE SEGUIMIENTO</w:t>
            </w:r>
            <w:r w:rsidR="002E4C08">
              <w:rPr>
                <w:webHidden/>
              </w:rPr>
              <w:tab/>
            </w:r>
            <w:r w:rsidR="002E4C08">
              <w:rPr>
                <w:webHidden/>
              </w:rPr>
              <w:fldChar w:fldCharType="begin"/>
            </w:r>
            <w:r w:rsidR="002E4C08">
              <w:rPr>
                <w:webHidden/>
              </w:rPr>
              <w:instrText xml:space="preserve"> PAGEREF _Toc158211406 \h </w:instrText>
            </w:r>
            <w:r w:rsidR="002E4C08">
              <w:rPr>
                <w:webHidden/>
              </w:rPr>
            </w:r>
            <w:r w:rsidR="002E4C08">
              <w:rPr>
                <w:webHidden/>
              </w:rPr>
              <w:fldChar w:fldCharType="separate"/>
            </w:r>
            <w:r w:rsidR="0027336D">
              <w:rPr>
                <w:webHidden/>
              </w:rPr>
              <w:t>23</w:t>
            </w:r>
            <w:r w:rsidR="002E4C08">
              <w:rPr>
                <w:webHidden/>
              </w:rPr>
              <w:fldChar w:fldCharType="end"/>
            </w:r>
          </w:hyperlink>
        </w:p>
        <w:p w14:paraId="2E9B489A" w14:textId="70453DD7"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7" w:history="1">
            <w:r w:rsidR="002E4C08" w:rsidRPr="00C61B71">
              <w:rPr>
                <w:rStyle w:val="Hipervnculo"/>
              </w:rPr>
              <w:t>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CUESTIONARIO DE LA ABOGACÍA DE LA COMPETENCIA</w:t>
            </w:r>
            <w:r w:rsidR="002E4C08">
              <w:rPr>
                <w:webHidden/>
              </w:rPr>
              <w:tab/>
            </w:r>
            <w:r w:rsidR="002E4C08">
              <w:rPr>
                <w:webHidden/>
              </w:rPr>
              <w:fldChar w:fldCharType="begin"/>
            </w:r>
            <w:r w:rsidR="002E4C08">
              <w:rPr>
                <w:webHidden/>
              </w:rPr>
              <w:instrText xml:space="preserve"> PAGEREF _Toc158211407 \h </w:instrText>
            </w:r>
            <w:r w:rsidR="002E4C08">
              <w:rPr>
                <w:webHidden/>
              </w:rPr>
            </w:r>
            <w:r w:rsidR="002E4C08">
              <w:rPr>
                <w:webHidden/>
              </w:rPr>
              <w:fldChar w:fldCharType="separate"/>
            </w:r>
            <w:r w:rsidR="0027336D">
              <w:rPr>
                <w:webHidden/>
              </w:rPr>
              <w:t>26</w:t>
            </w:r>
            <w:r w:rsidR="002E4C08">
              <w:rPr>
                <w:webHidden/>
              </w:rPr>
              <w:fldChar w:fldCharType="end"/>
            </w:r>
          </w:hyperlink>
        </w:p>
        <w:p w14:paraId="163D1A0F" w14:textId="779AECAF"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8" w:history="1">
            <w:r w:rsidR="002E4C08" w:rsidRPr="00C61B71">
              <w:rPr>
                <w:rStyle w:val="Hipervnculo"/>
              </w:rPr>
              <w:t>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CONCEPTO SIC DE LA ABOGACÍA DE LA COMPETENCIA</w:t>
            </w:r>
            <w:r w:rsidR="002E4C08">
              <w:rPr>
                <w:webHidden/>
              </w:rPr>
              <w:tab/>
            </w:r>
            <w:r w:rsidR="002E4C08">
              <w:rPr>
                <w:webHidden/>
              </w:rPr>
              <w:fldChar w:fldCharType="begin"/>
            </w:r>
            <w:r w:rsidR="002E4C08">
              <w:rPr>
                <w:webHidden/>
              </w:rPr>
              <w:instrText xml:space="preserve"> PAGEREF _Toc158211408 \h </w:instrText>
            </w:r>
            <w:r w:rsidR="002E4C08">
              <w:rPr>
                <w:webHidden/>
              </w:rPr>
            </w:r>
            <w:r w:rsidR="002E4C08">
              <w:rPr>
                <w:webHidden/>
              </w:rPr>
              <w:fldChar w:fldCharType="separate"/>
            </w:r>
            <w:r w:rsidR="0027336D">
              <w:rPr>
                <w:webHidden/>
              </w:rPr>
              <w:t>30</w:t>
            </w:r>
            <w:r w:rsidR="002E4C08">
              <w:rPr>
                <w:webHidden/>
              </w:rPr>
              <w:fldChar w:fldCharType="end"/>
            </w:r>
          </w:hyperlink>
        </w:p>
        <w:p w14:paraId="411D6A52" w14:textId="28D0B8D5"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09" w:history="1">
            <w:r w:rsidR="002E4C08" w:rsidRPr="00C61B71">
              <w:rPr>
                <w:rStyle w:val="Hipervnculo"/>
                <w:rFonts w:cs="Arial"/>
              </w:rPr>
              <w:t xml:space="preserve">ANEXO 1. </w:t>
            </w:r>
            <w:r w:rsidR="002E4C08" w:rsidRPr="00C61B71">
              <w:rPr>
                <w:rStyle w:val="Hipervnculo"/>
              </w:rPr>
              <w:t>ANÁLISIS DE COMENTARIOS RECIBIDOS</w:t>
            </w:r>
            <w:r w:rsidR="002E4C08">
              <w:rPr>
                <w:webHidden/>
              </w:rPr>
              <w:tab/>
            </w:r>
            <w:r w:rsidR="002E4C08">
              <w:rPr>
                <w:webHidden/>
              </w:rPr>
              <w:fldChar w:fldCharType="begin"/>
            </w:r>
            <w:r w:rsidR="002E4C08">
              <w:rPr>
                <w:webHidden/>
              </w:rPr>
              <w:instrText xml:space="preserve"> PAGEREF _Toc158211409 \h </w:instrText>
            </w:r>
            <w:r w:rsidR="002E4C08">
              <w:rPr>
                <w:webHidden/>
              </w:rPr>
            </w:r>
            <w:r w:rsidR="002E4C08">
              <w:rPr>
                <w:webHidden/>
              </w:rPr>
              <w:fldChar w:fldCharType="separate"/>
            </w:r>
            <w:r w:rsidR="0027336D">
              <w:rPr>
                <w:webHidden/>
              </w:rPr>
              <w:t>55</w:t>
            </w:r>
            <w:r w:rsidR="002E4C08">
              <w:rPr>
                <w:webHidden/>
              </w:rPr>
              <w:fldChar w:fldCharType="end"/>
            </w:r>
          </w:hyperlink>
        </w:p>
        <w:p w14:paraId="2084A076" w14:textId="06671789"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10" w:history="1">
            <w:r w:rsidR="002E4C08" w:rsidRPr="00C61B71">
              <w:rPr>
                <w:rStyle w:val="Hipervnculo"/>
              </w:rPr>
              <w:t>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w:t>
            </w:r>
            <w:r w:rsidR="002E4C08">
              <w:rPr>
                <w:webHidden/>
              </w:rPr>
              <w:tab/>
            </w:r>
            <w:r w:rsidR="002E4C08">
              <w:rPr>
                <w:webHidden/>
              </w:rPr>
              <w:fldChar w:fldCharType="begin"/>
            </w:r>
            <w:r w:rsidR="002E4C08">
              <w:rPr>
                <w:webHidden/>
              </w:rPr>
              <w:instrText xml:space="preserve"> PAGEREF _Toc158211410 \h </w:instrText>
            </w:r>
            <w:r w:rsidR="002E4C08">
              <w:rPr>
                <w:webHidden/>
              </w:rPr>
            </w:r>
            <w:r w:rsidR="002E4C08">
              <w:rPr>
                <w:webHidden/>
              </w:rPr>
              <w:fldChar w:fldCharType="separate"/>
            </w:r>
            <w:r w:rsidR="0027336D">
              <w:rPr>
                <w:webHidden/>
              </w:rPr>
              <w:t>56</w:t>
            </w:r>
            <w:r w:rsidR="002E4C08">
              <w:rPr>
                <w:webHidden/>
              </w:rPr>
              <w:fldChar w:fldCharType="end"/>
            </w:r>
          </w:hyperlink>
        </w:p>
        <w:p w14:paraId="1B0C8C16" w14:textId="3072251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1" w:history="1">
            <w:r w:rsidR="002E4C08" w:rsidRPr="00C61B71">
              <w:rPr>
                <w:rStyle w:val="Hipervnculo"/>
              </w:rPr>
              <w:t>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_Toc158211411 \h </w:instrText>
            </w:r>
            <w:r w:rsidR="002E4C08">
              <w:rPr>
                <w:webHidden/>
              </w:rPr>
            </w:r>
            <w:r w:rsidR="002E4C08">
              <w:rPr>
                <w:webHidden/>
              </w:rPr>
              <w:fldChar w:fldCharType="separate"/>
            </w:r>
            <w:r w:rsidR="0027336D">
              <w:rPr>
                <w:webHidden/>
              </w:rPr>
              <w:t>56</w:t>
            </w:r>
            <w:r w:rsidR="002E4C08">
              <w:rPr>
                <w:webHidden/>
              </w:rPr>
              <w:fldChar w:fldCharType="end"/>
            </w:r>
          </w:hyperlink>
        </w:p>
        <w:p w14:paraId="4B66EAD4" w14:textId="3E056BB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2" w:history="1">
            <w:r w:rsidR="002E4C08" w:rsidRPr="00C61B71">
              <w:rPr>
                <w:rStyle w:val="Hipervnculo"/>
              </w:rPr>
              <w:t>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PROGASUR</w:t>
            </w:r>
            <w:r w:rsidR="002E4C08">
              <w:rPr>
                <w:webHidden/>
              </w:rPr>
              <w:tab/>
            </w:r>
            <w:r w:rsidR="002E4C08">
              <w:rPr>
                <w:webHidden/>
              </w:rPr>
              <w:fldChar w:fldCharType="begin"/>
            </w:r>
            <w:r w:rsidR="002E4C08">
              <w:rPr>
                <w:webHidden/>
              </w:rPr>
              <w:instrText xml:space="preserve"> PAGEREF _Toc158211412 \h </w:instrText>
            </w:r>
            <w:r w:rsidR="002E4C08">
              <w:rPr>
                <w:webHidden/>
              </w:rPr>
            </w:r>
            <w:r w:rsidR="002E4C08">
              <w:rPr>
                <w:webHidden/>
              </w:rPr>
              <w:fldChar w:fldCharType="separate"/>
            </w:r>
            <w:r w:rsidR="0027336D">
              <w:rPr>
                <w:webHidden/>
              </w:rPr>
              <w:t>56</w:t>
            </w:r>
            <w:r w:rsidR="002E4C08">
              <w:rPr>
                <w:webHidden/>
              </w:rPr>
              <w:fldChar w:fldCharType="end"/>
            </w:r>
          </w:hyperlink>
        </w:p>
        <w:p w14:paraId="464BA1C1" w14:textId="163A2B9B"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13" w:history="1">
            <w:r w:rsidR="002E4C08" w:rsidRPr="00C61B71">
              <w:rPr>
                <w:rStyle w:val="Hipervnculo"/>
              </w:rPr>
              <w:t>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2</w:t>
            </w:r>
            <w:r w:rsidR="002E4C08">
              <w:rPr>
                <w:webHidden/>
              </w:rPr>
              <w:tab/>
            </w:r>
            <w:r w:rsidR="002E4C08">
              <w:rPr>
                <w:webHidden/>
              </w:rPr>
              <w:fldChar w:fldCharType="begin"/>
            </w:r>
            <w:r w:rsidR="002E4C08">
              <w:rPr>
                <w:webHidden/>
              </w:rPr>
              <w:instrText xml:space="preserve"> PAGEREF _Toc158211413 \h </w:instrText>
            </w:r>
            <w:r w:rsidR="002E4C08">
              <w:rPr>
                <w:webHidden/>
              </w:rPr>
            </w:r>
            <w:r w:rsidR="002E4C08">
              <w:rPr>
                <w:webHidden/>
              </w:rPr>
              <w:fldChar w:fldCharType="separate"/>
            </w:r>
            <w:r w:rsidR="0027336D">
              <w:rPr>
                <w:webHidden/>
              </w:rPr>
              <w:t>56</w:t>
            </w:r>
            <w:r w:rsidR="002E4C08">
              <w:rPr>
                <w:webHidden/>
              </w:rPr>
              <w:fldChar w:fldCharType="end"/>
            </w:r>
          </w:hyperlink>
        </w:p>
        <w:p w14:paraId="5E8941AD" w14:textId="498E2D2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4" w:history="1">
            <w:r w:rsidR="002E4C08" w:rsidRPr="00C61B71">
              <w:rPr>
                <w:rStyle w:val="Hipervnculo"/>
              </w:rPr>
              <w:t>2.1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_Toc158211414 \h </w:instrText>
            </w:r>
            <w:r w:rsidR="002E4C08">
              <w:rPr>
                <w:webHidden/>
              </w:rPr>
            </w:r>
            <w:r w:rsidR="002E4C08">
              <w:rPr>
                <w:webHidden/>
              </w:rPr>
              <w:fldChar w:fldCharType="separate"/>
            </w:r>
            <w:r w:rsidR="0027336D">
              <w:rPr>
                <w:webHidden/>
              </w:rPr>
              <w:t>56</w:t>
            </w:r>
            <w:r w:rsidR="002E4C08">
              <w:rPr>
                <w:webHidden/>
              </w:rPr>
              <w:fldChar w:fldCharType="end"/>
            </w:r>
          </w:hyperlink>
        </w:p>
        <w:p w14:paraId="52A97E83" w14:textId="69D7750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5" w:history="1">
            <w:r w:rsidR="002E4C08" w:rsidRPr="00C61B71">
              <w:rPr>
                <w:rStyle w:val="Hipervnculo"/>
              </w:rPr>
              <w:t>2.2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Calamarí LNG</w:t>
            </w:r>
            <w:r w:rsidR="002E4C08">
              <w:rPr>
                <w:webHidden/>
              </w:rPr>
              <w:tab/>
            </w:r>
            <w:r w:rsidR="002E4C08">
              <w:rPr>
                <w:webHidden/>
              </w:rPr>
              <w:fldChar w:fldCharType="begin"/>
            </w:r>
            <w:r w:rsidR="002E4C08">
              <w:rPr>
                <w:webHidden/>
              </w:rPr>
              <w:instrText xml:space="preserve"> PAGEREF _Toc158211415 \h </w:instrText>
            </w:r>
            <w:r w:rsidR="002E4C08">
              <w:rPr>
                <w:webHidden/>
              </w:rPr>
            </w:r>
            <w:r w:rsidR="002E4C08">
              <w:rPr>
                <w:webHidden/>
              </w:rPr>
              <w:fldChar w:fldCharType="separate"/>
            </w:r>
            <w:r w:rsidR="0027336D">
              <w:rPr>
                <w:webHidden/>
              </w:rPr>
              <w:t>57</w:t>
            </w:r>
            <w:r w:rsidR="002E4C08">
              <w:rPr>
                <w:webHidden/>
              </w:rPr>
              <w:fldChar w:fldCharType="end"/>
            </w:r>
          </w:hyperlink>
        </w:p>
        <w:p w14:paraId="4B673A4F" w14:textId="4EF2AC4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6" w:history="1">
            <w:r w:rsidR="002E4C08" w:rsidRPr="00C61B71">
              <w:rPr>
                <w:rStyle w:val="Hipervnculo"/>
              </w:rPr>
              <w:t>2.3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_Toc158211416 \h </w:instrText>
            </w:r>
            <w:r w:rsidR="002E4C08">
              <w:rPr>
                <w:webHidden/>
              </w:rPr>
            </w:r>
            <w:r w:rsidR="002E4C08">
              <w:rPr>
                <w:webHidden/>
              </w:rPr>
              <w:fldChar w:fldCharType="separate"/>
            </w:r>
            <w:r w:rsidR="0027336D">
              <w:rPr>
                <w:webHidden/>
              </w:rPr>
              <w:t>58</w:t>
            </w:r>
            <w:r w:rsidR="002E4C08">
              <w:rPr>
                <w:webHidden/>
              </w:rPr>
              <w:fldChar w:fldCharType="end"/>
            </w:r>
          </w:hyperlink>
        </w:p>
        <w:p w14:paraId="5234D6EB" w14:textId="4C91922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7" w:history="1">
            <w:r w:rsidR="002E4C08" w:rsidRPr="00C61B71">
              <w:rPr>
                <w:rStyle w:val="Hipervnculo"/>
              </w:rPr>
              <w:t>2.4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_Toc158211417 \h </w:instrText>
            </w:r>
            <w:r w:rsidR="002E4C08">
              <w:rPr>
                <w:webHidden/>
              </w:rPr>
            </w:r>
            <w:r w:rsidR="002E4C08">
              <w:rPr>
                <w:webHidden/>
              </w:rPr>
              <w:fldChar w:fldCharType="separate"/>
            </w:r>
            <w:r w:rsidR="0027336D">
              <w:rPr>
                <w:webHidden/>
              </w:rPr>
              <w:t>59</w:t>
            </w:r>
            <w:r w:rsidR="002E4C08">
              <w:rPr>
                <w:webHidden/>
              </w:rPr>
              <w:fldChar w:fldCharType="end"/>
            </w:r>
          </w:hyperlink>
        </w:p>
        <w:p w14:paraId="5025D6A1" w14:textId="1D674ED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8" w:history="1">
            <w:r w:rsidR="002E4C08" w:rsidRPr="00C61B71">
              <w:rPr>
                <w:rStyle w:val="Hipervnculo"/>
              </w:rPr>
              <w:t>2.5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_Toc158211418 \h </w:instrText>
            </w:r>
            <w:r w:rsidR="002E4C08">
              <w:rPr>
                <w:webHidden/>
              </w:rPr>
            </w:r>
            <w:r w:rsidR="002E4C08">
              <w:rPr>
                <w:webHidden/>
              </w:rPr>
              <w:fldChar w:fldCharType="separate"/>
            </w:r>
            <w:r w:rsidR="0027336D">
              <w:rPr>
                <w:webHidden/>
              </w:rPr>
              <w:t>60</w:t>
            </w:r>
            <w:r w:rsidR="002E4C08">
              <w:rPr>
                <w:webHidden/>
              </w:rPr>
              <w:fldChar w:fldCharType="end"/>
            </w:r>
          </w:hyperlink>
        </w:p>
        <w:p w14:paraId="56A7AF7C" w14:textId="1B4908D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19" w:history="1">
            <w:r w:rsidR="002E4C08" w:rsidRPr="00C61B71">
              <w:rPr>
                <w:rStyle w:val="Hipervnculo"/>
              </w:rPr>
              <w:t>2.6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_Toc158211419 \h </w:instrText>
            </w:r>
            <w:r w:rsidR="002E4C08">
              <w:rPr>
                <w:webHidden/>
              </w:rPr>
            </w:r>
            <w:r w:rsidR="002E4C08">
              <w:rPr>
                <w:webHidden/>
              </w:rPr>
              <w:fldChar w:fldCharType="separate"/>
            </w:r>
            <w:r w:rsidR="0027336D">
              <w:rPr>
                <w:webHidden/>
              </w:rPr>
              <w:t>60</w:t>
            </w:r>
            <w:r w:rsidR="002E4C08">
              <w:rPr>
                <w:webHidden/>
              </w:rPr>
              <w:fldChar w:fldCharType="end"/>
            </w:r>
          </w:hyperlink>
        </w:p>
        <w:p w14:paraId="7A040F72" w14:textId="55AF30B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0" w:history="1">
            <w:r w:rsidR="002E4C08" w:rsidRPr="00C61B71">
              <w:rPr>
                <w:rStyle w:val="Hipervnculo"/>
              </w:rPr>
              <w:t>2.7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_Toc158211420 \h </w:instrText>
            </w:r>
            <w:r w:rsidR="002E4C08">
              <w:rPr>
                <w:webHidden/>
              </w:rPr>
            </w:r>
            <w:r w:rsidR="002E4C08">
              <w:rPr>
                <w:webHidden/>
              </w:rPr>
              <w:fldChar w:fldCharType="separate"/>
            </w:r>
            <w:r w:rsidR="0027336D">
              <w:rPr>
                <w:webHidden/>
              </w:rPr>
              <w:t>61</w:t>
            </w:r>
            <w:r w:rsidR="002E4C08">
              <w:rPr>
                <w:webHidden/>
              </w:rPr>
              <w:fldChar w:fldCharType="end"/>
            </w:r>
          </w:hyperlink>
        </w:p>
        <w:p w14:paraId="08D17BBB" w14:textId="5262977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1" w:history="1">
            <w:r w:rsidR="002E4C08" w:rsidRPr="00C61B71">
              <w:rPr>
                <w:rStyle w:val="Hipervnculo"/>
              </w:rPr>
              <w:t>2.8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_Toc158211421 \h </w:instrText>
            </w:r>
            <w:r w:rsidR="002E4C08">
              <w:rPr>
                <w:webHidden/>
              </w:rPr>
            </w:r>
            <w:r w:rsidR="002E4C08">
              <w:rPr>
                <w:webHidden/>
              </w:rPr>
              <w:fldChar w:fldCharType="separate"/>
            </w:r>
            <w:r w:rsidR="0027336D">
              <w:rPr>
                <w:webHidden/>
              </w:rPr>
              <w:t>62</w:t>
            </w:r>
            <w:r w:rsidR="002E4C08">
              <w:rPr>
                <w:webHidden/>
              </w:rPr>
              <w:fldChar w:fldCharType="end"/>
            </w:r>
          </w:hyperlink>
        </w:p>
        <w:p w14:paraId="67847D63" w14:textId="548C036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2" w:history="1">
            <w:r w:rsidR="002E4C08" w:rsidRPr="00C61B71">
              <w:rPr>
                <w:rStyle w:val="Hipervnculo"/>
              </w:rPr>
              <w:t>2.9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OGE LEGAL SERVICES</w:t>
            </w:r>
            <w:r w:rsidR="002E4C08">
              <w:rPr>
                <w:webHidden/>
              </w:rPr>
              <w:tab/>
            </w:r>
            <w:r w:rsidR="002E4C08">
              <w:rPr>
                <w:webHidden/>
              </w:rPr>
              <w:fldChar w:fldCharType="begin"/>
            </w:r>
            <w:r w:rsidR="002E4C08">
              <w:rPr>
                <w:webHidden/>
              </w:rPr>
              <w:instrText xml:space="preserve"> PAGEREF _Toc158211422 \h </w:instrText>
            </w:r>
            <w:r w:rsidR="002E4C08">
              <w:rPr>
                <w:webHidden/>
              </w:rPr>
            </w:r>
            <w:r w:rsidR="002E4C08">
              <w:rPr>
                <w:webHidden/>
              </w:rPr>
              <w:fldChar w:fldCharType="separate"/>
            </w:r>
            <w:r w:rsidR="0027336D">
              <w:rPr>
                <w:webHidden/>
              </w:rPr>
              <w:t>62</w:t>
            </w:r>
            <w:r w:rsidR="002E4C08">
              <w:rPr>
                <w:webHidden/>
              </w:rPr>
              <w:fldChar w:fldCharType="end"/>
            </w:r>
          </w:hyperlink>
        </w:p>
        <w:p w14:paraId="60CB319A" w14:textId="3FFD974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3" w:history="1">
            <w:r w:rsidR="002E4C08" w:rsidRPr="00C61B71">
              <w:rPr>
                <w:rStyle w:val="Hipervnculo"/>
              </w:rPr>
              <w:t>2.10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Prime Energía</w:t>
            </w:r>
            <w:r w:rsidR="002E4C08">
              <w:rPr>
                <w:webHidden/>
              </w:rPr>
              <w:tab/>
            </w:r>
            <w:r w:rsidR="002E4C08">
              <w:rPr>
                <w:webHidden/>
              </w:rPr>
              <w:fldChar w:fldCharType="begin"/>
            </w:r>
            <w:r w:rsidR="002E4C08">
              <w:rPr>
                <w:webHidden/>
              </w:rPr>
              <w:instrText xml:space="preserve"> PAGEREF _Toc158211423 \h </w:instrText>
            </w:r>
            <w:r w:rsidR="002E4C08">
              <w:rPr>
                <w:webHidden/>
              </w:rPr>
            </w:r>
            <w:r w:rsidR="002E4C08">
              <w:rPr>
                <w:webHidden/>
              </w:rPr>
              <w:fldChar w:fldCharType="separate"/>
            </w:r>
            <w:r w:rsidR="0027336D">
              <w:rPr>
                <w:webHidden/>
              </w:rPr>
              <w:t>63</w:t>
            </w:r>
            <w:r w:rsidR="002E4C08">
              <w:rPr>
                <w:webHidden/>
              </w:rPr>
              <w:fldChar w:fldCharType="end"/>
            </w:r>
          </w:hyperlink>
        </w:p>
        <w:p w14:paraId="6E3ADDB3" w14:textId="63CB001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4" w:history="1">
            <w:r w:rsidR="002E4C08" w:rsidRPr="00C61B71">
              <w:rPr>
                <w:rStyle w:val="Hipervnculo"/>
              </w:rPr>
              <w:t>2.11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_Toc158211424 \h </w:instrText>
            </w:r>
            <w:r w:rsidR="002E4C08">
              <w:rPr>
                <w:webHidden/>
              </w:rPr>
            </w:r>
            <w:r w:rsidR="002E4C08">
              <w:rPr>
                <w:webHidden/>
              </w:rPr>
              <w:fldChar w:fldCharType="separate"/>
            </w:r>
            <w:r w:rsidR="0027336D">
              <w:rPr>
                <w:webHidden/>
              </w:rPr>
              <w:t>63</w:t>
            </w:r>
            <w:r w:rsidR="002E4C08">
              <w:rPr>
                <w:webHidden/>
              </w:rPr>
              <w:fldChar w:fldCharType="end"/>
            </w:r>
          </w:hyperlink>
        </w:p>
        <w:p w14:paraId="6358066C" w14:textId="23CDBD8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5" w:history="1">
            <w:r w:rsidR="002E4C08" w:rsidRPr="00C61B71">
              <w:rPr>
                <w:rStyle w:val="Hipervnculo"/>
              </w:rPr>
              <w:t>2.12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TEBSA</w:t>
            </w:r>
            <w:r w:rsidR="002E4C08">
              <w:rPr>
                <w:webHidden/>
              </w:rPr>
              <w:tab/>
            </w:r>
            <w:r w:rsidR="002E4C08">
              <w:rPr>
                <w:webHidden/>
              </w:rPr>
              <w:fldChar w:fldCharType="begin"/>
            </w:r>
            <w:r w:rsidR="002E4C08">
              <w:rPr>
                <w:webHidden/>
              </w:rPr>
              <w:instrText xml:space="preserve"> PAGEREF _Toc158211425 \h </w:instrText>
            </w:r>
            <w:r w:rsidR="002E4C08">
              <w:rPr>
                <w:webHidden/>
              </w:rPr>
            </w:r>
            <w:r w:rsidR="002E4C08">
              <w:rPr>
                <w:webHidden/>
              </w:rPr>
              <w:fldChar w:fldCharType="separate"/>
            </w:r>
            <w:r w:rsidR="0027336D">
              <w:rPr>
                <w:webHidden/>
              </w:rPr>
              <w:t>63</w:t>
            </w:r>
            <w:r w:rsidR="002E4C08">
              <w:rPr>
                <w:webHidden/>
              </w:rPr>
              <w:fldChar w:fldCharType="end"/>
            </w:r>
          </w:hyperlink>
        </w:p>
        <w:p w14:paraId="42FB5ABD" w14:textId="41D2D9A6"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26" w:history="1">
            <w:r w:rsidR="002E4C08" w:rsidRPr="00C61B71">
              <w:rPr>
                <w:rStyle w:val="Hipervnculo"/>
              </w:rPr>
              <w:t>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3</w:t>
            </w:r>
            <w:r w:rsidR="002E4C08">
              <w:rPr>
                <w:webHidden/>
              </w:rPr>
              <w:tab/>
            </w:r>
            <w:r w:rsidR="002E4C08">
              <w:rPr>
                <w:webHidden/>
              </w:rPr>
              <w:fldChar w:fldCharType="begin"/>
            </w:r>
            <w:r w:rsidR="002E4C08">
              <w:rPr>
                <w:webHidden/>
              </w:rPr>
              <w:instrText xml:space="preserve"> PAGEREF _Toc158211426 \h </w:instrText>
            </w:r>
            <w:r w:rsidR="002E4C08">
              <w:rPr>
                <w:webHidden/>
              </w:rPr>
            </w:r>
            <w:r w:rsidR="002E4C08">
              <w:rPr>
                <w:webHidden/>
              </w:rPr>
              <w:fldChar w:fldCharType="separate"/>
            </w:r>
            <w:r w:rsidR="0027336D">
              <w:rPr>
                <w:webHidden/>
              </w:rPr>
              <w:t>64</w:t>
            </w:r>
            <w:r w:rsidR="002E4C08">
              <w:rPr>
                <w:webHidden/>
              </w:rPr>
              <w:fldChar w:fldCharType="end"/>
            </w:r>
          </w:hyperlink>
        </w:p>
        <w:p w14:paraId="3FD4E804" w14:textId="4F47259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7" w:history="1">
            <w:r w:rsidR="002E4C08" w:rsidRPr="00C61B71">
              <w:rPr>
                <w:rStyle w:val="Hipervnculo"/>
              </w:rPr>
              <w:t>3.1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ACOLGÉN</w:t>
            </w:r>
            <w:r w:rsidR="002E4C08">
              <w:rPr>
                <w:webHidden/>
              </w:rPr>
              <w:tab/>
            </w:r>
            <w:r w:rsidR="002E4C08">
              <w:rPr>
                <w:webHidden/>
              </w:rPr>
              <w:fldChar w:fldCharType="begin"/>
            </w:r>
            <w:r w:rsidR="002E4C08">
              <w:rPr>
                <w:webHidden/>
              </w:rPr>
              <w:instrText xml:space="preserve"> PAGEREF _Toc158211427 \h </w:instrText>
            </w:r>
            <w:r w:rsidR="002E4C08">
              <w:rPr>
                <w:webHidden/>
              </w:rPr>
            </w:r>
            <w:r w:rsidR="002E4C08">
              <w:rPr>
                <w:webHidden/>
              </w:rPr>
              <w:fldChar w:fldCharType="separate"/>
            </w:r>
            <w:r w:rsidR="0027336D">
              <w:rPr>
                <w:webHidden/>
              </w:rPr>
              <w:t>64</w:t>
            </w:r>
            <w:r w:rsidR="002E4C08">
              <w:rPr>
                <w:webHidden/>
              </w:rPr>
              <w:fldChar w:fldCharType="end"/>
            </w:r>
          </w:hyperlink>
        </w:p>
        <w:p w14:paraId="65D5B5BF" w14:textId="0ECBEDA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8" w:history="1">
            <w:r w:rsidR="002E4C08" w:rsidRPr="00C61B71">
              <w:rPr>
                <w:rStyle w:val="Hipervnculo"/>
              </w:rPr>
              <w:t>3.2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ACP</w:t>
            </w:r>
            <w:r w:rsidR="002E4C08">
              <w:rPr>
                <w:webHidden/>
              </w:rPr>
              <w:tab/>
            </w:r>
            <w:r w:rsidR="002E4C08">
              <w:rPr>
                <w:webHidden/>
              </w:rPr>
              <w:fldChar w:fldCharType="begin"/>
            </w:r>
            <w:r w:rsidR="002E4C08">
              <w:rPr>
                <w:webHidden/>
              </w:rPr>
              <w:instrText xml:space="preserve"> PAGEREF _Toc158211428 \h </w:instrText>
            </w:r>
            <w:r w:rsidR="002E4C08">
              <w:rPr>
                <w:webHidden/>
              </w:rPr>
            </w:r>
            <w:r w:rsidR="002E4C08">
              <w:rPr>
                <w:webHidden/>
              </w:rPr>
              <w:fldChar w:fldCharType="separate"/>
            </w:r>
            <w:r w:rsidR="0027336D">
              <w:rPr>
                <w:webHidden/>
              </w:rPr>
              <w:t>64</w:t>
            </w:r>
            <w:r w:rsidR="002E4C08">
              <w:rPr>
                <w:webHidden/>
              </w:rPr>
              <w:fldChar w:fldCharType="end"/>
            </w:r>
          </w:hyperlink>
        </w:p>
        <w:p w14:paraId="52AA477D" w14:textId="26C0038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29" w:history="1">
            <w:r w:rsidR="002E4C08" w:rsidRPr="00C61B71">
              <w:rPr>
                <w:rStyle w:val="Hipervnculo"/>
              </w:rPr>
              <w:t>3.3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Alcanos de Colombia S.A. E.S.P.</w:t>
            </w:r>
            <w:r w:rsidR="002E4C08">
              <w:rPr>
                <w:webHidden/>
              </w:rPr>
              <w:tab/>
            </w:r>
            <w:r w:rsidR="002E4C08">
              <w:rPr>
                <w:webHidden/>
              </w:rPr>
              <w:fldChar w:fldCharType="begin"/>
            </w:r>
            <w:r w:rsidR="002E4C08">
              <w:rPr>
                <w:webHidden/>
              </w:rPr>
              <w:instrText xml:space="preserve"> PAGEREF _Toc158211429 \h </w:instrText>
            </w:r>
            <w:r w:rsidR="002E4C08">
              <w:rPr>
                <w:webHidden/>
              </w:rPr>
            </w:r>
            <w:r w:rsidR="002E4C08">
              <w:rPr>
                <w:webHidden/>
              </w:rPr>
              <w:fldChar w:fldCharType="separate"/>
            </w:r>
            <w:r w:rsidR="0027336D">
              <w:rPr>
                <w:webHidden/>
              </w:rPr>
              <w:t>64</w:t>
            </w:r>
            <w:r w:rsidR="002E4C08">
              <w:rPr>
                <w:webHidden/>
              </w:rPr>
              <w:fldChar w:fldCharType="end"/>
            </w:r>
          </w:hyperlink>
        </w:p>
        <w:p w14:paraId="69855DD9" w14:textId="501AD59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0" w:history="1">
            <w:r w:rsidR="002E4C08" w:rsidRPr="00C61B71">
              <w:rPr>
                <w:rStyle w:val="Hipervnculo"/>
              </w:rPr>
              <w:t>3.4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_Toc158211430 \h </w:instrText>
            </w:r>
            <w:r w:rsidR="002E4C08">
              <w:rPr>
                <w:webHidden/>
              </w:rPr>
            </w:r>
            <w:r w:rsidR="002E4C08">
              <w:rPr>
                <w:webHidden/>
              </w:rPr>
              <w:fldChar w:fldCharType="separate"/>
            </w:r>
            <w:r w:rsidR="0027336D">
              <w:rPr>
                <w:webHidden/>
              </w:rPr>
              <w:t>65</w:t>
            </w:r>
            <w:r w:rsidR="002E4C08">
              <w:rPr>
                <w:webHidden/>
              </w:rPr>
              <w:fldChar w:fldCharType="end"/>
            </w:r>
          </w:hyperlink>
        </w:p>
        <w:p w14:paraId="3C6E4D10" w14:textId="7A2320A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1" w:history="1">
            <w:r w:rsidR="002E4C08" w:rsidRPr="00C61B71">
              <w:rPr>
                <w:rStyle w:val="Hipervnculo"/>
              </w:rPr>
              <w:t>3.5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_Toc158211431 \h </w:instrText>
            </w:r>
            <w:r w:rsidR="002E4C08">
              <w:rPr>
                <w:webHidden/>
              </w:rPr>
            </w:r>
            <w:r w:rsidR="002E4C08">
              <w:rPr>
                <w:webHidden/>
              </w:rPr>
              <w:fldChar w:fldCharType="separate"/>
            </w:r>
            <w:r w:rsidR="0027336D">
              <w:rPr>
                <w:webHidden/>
              </w:rPr>
              <w:t>65</w:t>
            </w:r>
            <w:r w:rsidR="002E4C08">
              <w:rPr>
                <w:webHidden/>
              </w:rPr>
              <w:fldChar w:fldCharType="end"/>
            </w:r>
          </w:hyperlink>
        </w:p>
        <w:p w14:paraId="6E8F229F" w14:textId="34AE11F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2" w:history="1">
            <w:r w:rsidR="002E4C08" w:rsidRPr="00C61B71">
              <w:rPr>
                <w:rStyle w:val="Hipervnculo"/>
              </w:rPr>
              <w:t>3.6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_Toc158211432 \h </w:instrText>
            </w:r>
            <w:r w:rsidR="002E4C08">
              <w:rPr>
                <w:webHidden/>
              </w:rPr>
            </w:r>
            <w:r w:rsidR="002E4C08">
              <w:rPr>
                <w:webHidden/>
              </w:rPr>
              <w:fldChar w:fldCharType="separate"/>
            </w:r>
            <w:r w:rsidR="0027336D">
              <w:rPr>
                <w:webHidden/>
              </w:rPr>
              <w:t>66</w:t>
            </w:r>
            <w:r w:rsidR="002E4C08">
              <w:rPr>
                <w:webHidden/>
              </w:rPr>
              <w:fldChar w:fldCharType="end"/>
            </w:r>
          </w:hyperlink>
        </w:p>
        <w:p w14:paraId="0430165E" w14:textId="5FB97ED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3" w:history="1">
            <w:r w:rsidR="002E4C08" w:rsidRPr="00C61B71">
              <w:rPr>
                <w:rStyle w:val="Hipervnculo"/>
              </w:rPr>
              <w:t>3.7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ASOENERGIA</w:t>
            </w:r>
            <w:r w:rsidR="002E4C08">
              <w:rPr>
                <w:webHidden/>
              </w:rPr>
              <w:tab/>
            </w:r>
            <w:r w:rsidR="002E4C08">
              <w:rPr>
                <w:webHidden/>
              </w:rPr>
              <w:fldChar w:fldCharType="begin"/>
            </w:r>
            <w:r w:rsidR="002E4C08">
              <w:rPr>
                <w:webHidden/>
              </w:rPr>
              <w:instrText xml:space="preserve"> PAGEREF _Toc158211433 \h </w:instrText>
            </w:r>
            <w:r w:rsidR="002E4C08">
              <w:rPr>
                <w:webHidden/>
              </w:rPr>
            </w:r>
            <w:r w:rsidR="002E4C08">
              <w:rPr>
                <w:webHidden/>
              </w:rPr>
              <w:fldChar w:fldCharType="separate"/>
            </w:r>
            <w:r w:rsidR="0027336D">
              <w:rPr>
                <w:webHidden/>
              </w:rPr>
              <w:t>66</w:t>
            </w:r>
            <w:r w:rsidR="002E4C08">
              <w:rPr>
                <w:webHidden/>
              </w:rPr>
              <w:fldChar w:fldCharType="end"/>
            </w:r>
          </w:hyperlink>
        </w:p>
        <w:p w14:paraId="43D6B724" w14:textId="529BD38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4" w:history="1">
            <w:r w:rsidR="002E4C08" w:rsidRPr="00C61B71">
              <w:rPr>
                <w:rStyle w:val="Hipervnculo"/>
              </w:rPr>
              <w:t>3.8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_Toc158211434 \h </w:instrText>
            </w:r>
            <w:r w:rsidR="002E4C08">
              <w:rPr>
                <w:webHidden/>
              </w:rPr>
            </w:r>
            <w:r w:rsidR="002E4C08">
              <w:rPr>
                <w:webHidden/>
              </w:rPr>
              <w:fldChar w:fldCharType="separate"/>
            </w:r>
            <w:r w:rsidR="0027336D">
              <w:rPr>
                <w:webHidden/>
              </w:rPr>
              <w:t>67</w:t>
            </w:r>
            <w:r w:rsidR="002E4C08">
              <w:rPr>
                <w:webHidden/>
              </w:rPr>
              <w:fldChar w:fldCharType="end"/>
            </w:r>
          </w:hyperlink>
        </w:p>
        <w:p w14:paraId="1F3CB340" w14:textId="33EE776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5" w:history="1">
            <w:r w:rsidR="002E4C08" w:rsidRPr="00C61B71">
              <w:rPr>
                <w:rStyle w:val="Hipervnculo"/>
              </w:rPr>
              <w:t>3.9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_Toc158211435 \h </w:instrText>
            </w:r>
            <w:r w:rsidR="002E4C08">
              <w:rPr>
                <w:webHidden/>
              </w:rPr>
            </w:r>
            <w:r w:rsidR="002E4C08">
              <w:rPr>
                <w:webHidden/>
              </w:rPr>
              <w:fldChar w:fldCharType="separate"/>
            </w:r>
            <w:r w:rsidR="0027336D">
              <w:rPr>
                <w:webHidden/>
              </w:rPr>
              <w:t>67</w:t>
            </w:r>
            <w:r w:rsidR="002E4C08">
              <w:rPr>
                <w:webHidden/>
              </w:rPr>
              <w:fldChar w:fldCharType="end"/>
            </w:r>
          </w:hyperlink>
        </w:p>
        <w:p w14:paraId="76B5698D" w14:textId="4383529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6" w:history="1">
            <w:r w:rsidR="002E4C08" w:rsidRPr="00C61B71">
              <w:rPr>
                <w:rStyle w:val="Hipervnculo"/>
              </w:rPr>
              <w:t>3.10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_Toc158211436 \h </w:instrText>
            </w:r>
            <w:r w:rsidR="002E4C08">
              <w:rPr>
                <w:webHidden/>
              </w:rPr>
            </w:r>
            <w:r w:rsidR="002E4C08">
              <w:rPr>
                <w:webHidden/>
              </w:rPr>
              <w:fldChar w:fldCharType="separate"/>
            </w:r>
            <w:r w:rsidR="0027336D">
              <w:rPr>
                <w:webHidden/>
              </w:rPr>
              <w:t>68</w:t>
            </w:r>
            <w:r w:rsidR="002E4C08">
              <w:rPr>
                <w:webHidden/>
              </w:rPr>
              <w:fldChar w:fldCharType="end"/>
            </w:r>
          </w:hyperlink>
        </w:p>
        <w:p w14:paraId="289F351E" w14:textId="445AC2E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7" w:history="1">
            <w:r w:rsidR="002E4C08" w:rsidRPr="00C61B71">
              <w:rPr>
                <w:rStyle w:val="Hipervnculo"/>
              </w:rPr>
              <w:t>3.11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EPM</w:t>
            </w:r>
            <w:r w:rsidR="002E4C08">
              <w:rPr>
                <w:webHidden/>
              </w:rPr>
              <w:tab/>
            </w:r>
            <w:r w:rsidR="002E4C08">
              <w:rPr>
                <w:webHidden/>
              </w:rPr>
              <w:fldChar w:fldCharType="begin"/>
            </w:r>
            <w:r w:rsidR="002E4C08">
              <w:rPr>
                <w:webHidden/>
              </w:rPr>
              <w:instrText xml:space="preserve"> PAGEREF _Toc158211437 \h </w:instrText>
            </w:r>
            <w:r w:rsidR="002E4C08">
              <w:rPr>
                <w:webHidden/>
              </w:rPr>
            </w:r>
            <w:r w:rsidR="002E4C08">
              <w:rPr>
                <w:webHidden/>
              </w:rPr>
              <w:fldChar w:fldCharType="separate"/>
            </w:r>
            <w:r w:rsidR="0027336D">
              <w:rPr>
                <w:webHidden/>
              </w:rPr>
              <w:t>69</w:t>
            </w:r>
            <w:r w:rsidR="002E4C08">
              <w:rPr>
                <w:webHidden/>
              </w:rPr>
              <w:fldChar w:fldCharType="end"/>
            </w:r>
          </w:hyperlink>
        </w:p>
        <w:p w14:paraId="7EC59324" w14:textId="6B9DD58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8" w:history="1">
            <w:r w:rsidR="002E4C08" w:rsidRPr="00C61B71">
              <w:rPr>
                <w:rStyle w:val="Hipervnculo"/>
              </w:rPr>
              <w:t>3.12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Oriente S.A E.S.P</w:t>
            </w:r>
            <w:r w:rsidR="002E4C08">
              <w:rPr>
                <w:webHidden/>
              </w:rPr>
              <w:tab/>
            </w:r>
            <w:r w:rsidR="002E4C08">
              <w:rPr>
                <w:webHidden/>
              </w:rPr>
              <w:fldChar w:fldCharType="begin"/>
            </w:r>
            <w:r w:rsidR="002E4C08">
              <w:rPr>
                <w:webHidden/>
              </w:rPr>
              <w:instrText xml:space="preserve"> PAGEREF _Toc158211438 \h </w:instrText>
            </w:r>
            <w:r w:rsidR="002E4C08">
              <w:rPr>
                <w:webHidden/>
              </w:rPr>
            </w:r>
            <w:r w:rsidR="002E4C08">
              <w:rPr>
                <w:webHidden/>
              </w:rPr>
              <w:fldChar w:fldCharType="separate"/>
            </w:r>
            <w:r w:rsidR="0027336D">
              <w:rPr>
                <w:webHidden/>
              </w:rPr>
              <w:t>69</w:t>
            </w:r>
            <w:r w:rsidR="002E4C08">
              <w:rPr>
                <w:webHidden/>
              </w:rPr>
              <w:fldChar w:fldCharType="end"/>
            </w:r>
          </w:hyperlink>
        </w:p>
        <w:p w14:paraId="7CAAC4B6" w14:textId="0204C92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39" w:history="1">
            <w:r w:rsidR="002E4C08" w:rsidRPr="00C61B71">
              <w:rPr>
                <w:rStyle w:val="Hipervnculo"/>
              </w:rPr>
              <w:t>3.13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GECELCA SA ESP</w:t>
            </w:r>
            <w:r w:rsidR="002E4C08">
              <w:rPr>
                <w:webHidden/>
              </w:rPr>
              <w:tab/>
            </w:r>
            <w:r w:rsidR="002E4C08">
              <w:rPr>
                <w:webHidden/>
              </w:rPr>
              <w:fldChar w:fldCharType="begin"/>
            </w:r>
            <w:r w:rsidR="002E4C08">
              <w:rPr>
                <w:webHidden/>
              </w:rPr>
              <w:instrText xml:space="preserve"> PAGEREF _Toc158211439 \h </w:instrText>
            </w:r>
            <w:r w:rsidR="002E4C08">
              <w:rPr>
                <w:webHidden/>
              </w:rPr>
            </w:r>
            <w:r w:rsidR="002E4C08">
              <w:rPr>
                <w:webHidden/>
              </w:rPr>
              <w:fldChar w:fldCharType="separate"/>
            </w:r>
            <w:r w:rsidR="0027336D">
              <w:rPr>
                <w:webHidden/>
              </w:rPr>
              <w:t>69</w:t>
            </w:r>
            <w:r w:rsidR="002E4C08">
              <w:rPr>
                <w:webHidden/>
              </w:rPr>
              <w:fldChar w:fldCharType="end"/>
            </w:r>
          </w:hyperlink>
        </w:p>
        <w:p w14:paraId="3E49650A" w14:textId="2548FC1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0" w:history="1">
            <w:r w:rsidR="002E4C08" w:rsidRPr="00C61B71">
              <w:rPr>
                <w:rStyle w:val="Hipervnculo"/>
              </w:rPr>
              <w:t>3.14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Grupo Energético de las Américas S.A.S. E.S.P.</w:t>
            </w:r>
            <w:r w:rsidR="002E4C08">
              <w:rPr>
                <w:webHidden/>
              </w:rPr>
              <w:tab/>
            </w:r>
            <w:r w:rsidR="002E4C08">
              <w:rPr>
                <w:webHidden/>
              </w:rPr>
              <w:fldChar w:fldCharType="begin"/>
            </w:r>
            <w:r w:rsidR="002E4C08">
              <w:rPr>
                <w:webHidden/>
              </w:rPr>
              <w:instrText xml:space="preserve"> PAGEREF _Toc158211440 \h </w:instrText>
            </w:r>
            <w:r w:rsidR="002E4C08">
              <w:rPr>
                <w:webHidden/>
              </w:rPr>
            </w:r>
            <w:r w:rsidR="002E4C08">
              <w:rPr>
                <w:webHidden/>
              </w:rPr>
              <w:fldChar w:fldCharType="separate"/>
            </w:r>
            <w:r w:rsidR="0027336D">
              <w:rPr>
                <w:webHidden/>
              </w:rPr>
              <w:t>70</w:t>
            </w:r>
            <w:r w:rsidR="002E4C08">
              <w:rPr>
                <w:webHidden/>
              </w:rPr>
              <w:fldChar w:fldCharType="end"/>
            </w:r>
          </w:hyperlink>
        </w:p>
        <w:p w14:paraId="20B61244" w14:textId="189BA85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1" w:history="1">
            <w:r w:rsidR="002E4C08" w:rsidRPr="00C61B71">
              <w:rPr>
                <w:rStyle w:val="Hipervnculo"/>
              </w:rPr>
              <w:t>3.15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_Toc158211441 \h </w:instrText>
            </w:r>
            <w:r w:rsidR="002E4C08">
              <w:rPr>
                <w:webHidden/>
              </w:rPr>
            </w:r>
            <w:r w:rsidR="002E4C08">
              <w:rPr>
                <w:webHidden/>
              </w:rPr>
              <w:fldChar w:fldCharType="separate"/>
            </w:r>
            <w:r w:rsidR="0027336D">
              <w:rPr>
                <w:webHidden/>
              </w:rPr>
              <w:t>70</w:t>
            </w:r>
            <w:r w:rsidR="002E4C08">
              <w:rPr>
                <w:webHidden/>
              </w:rPr>
              <w:fldChar w:fldCharType="end"/>
            </w:r>
          </w:hyperlink>
        </w:p>
        <w:p w14:paraId="03E7882F" w14:textId="4452CA2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2" w:history="1">
            <w:r w:rsidR="002E4C08" w:rsidRPr="00C61B71">
              <w:rPr>
                <w:rStyle w:val="Hipervnculo"/>
              </w:rPr>
              <w:t>3.16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Metrogas de Colombia SA ESP</w:t>
            </w:r>
            <w:r w:rsidR="002E4C08">
              <w:rPr>
                <w:webHidden/>
              </w:rPr>
              <w:tab/>
            </w:r>
            <w:r w:rsidR="002E4C08">
              <w:rPr>
                <w:webHidden/>
              </w:rPr>
              <w:fldChar w:fldCharType="begin"/>
            </w:r>
            <w:r w:rsidR="002E4C08">
              <w:rPr>
                <w:webHidden/>
              </w:rPr>
              <w:instrText xml:space="preserve"> PAGEREF _Toc158211442 \h </w:instrText>
            </w:r>
            <w:r w:rsidR="002E4C08">
              <w:rPr>
                <w:webHidden/>
              </w:rPr>
            </w:r>
            <w:r w:rsidR="002E4C08">
              <w:rPr>
                <w:webHidden/>
              </w:rPr>
              <w:fldChar w:fldCharType="separate"/>
            </w:r>
            <w:r w:rsidR="0027336D">
              <w:rPr>
                <w:webHidden/>
              </w:rPr>
              <w:t>71</w:t>
            </w:r>
            <w:r w:rsidR="002E4C08">
              <w:rPr>
                <w:webHidden/>
              </w:rPr>
              <w:fldChar w:fldCharType="end"/>
            </w:r>
          </w:hyperlink>
        </w:p>
        <w:p w14:paraId="64601F81" w14:textId="54F8C8B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3" w:history="1">
            <w:r w:rsidR="002E4C08" w:rsidRPr="00C61B71">
              <w:rPr>
                <w:rStyle w:val="Hipervnculo"/>
              </w:rPr>
              <w:t>3.17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OGE LEGAL SERVICES</w:t>
            </w:r>
            <w:r w:rsidR="002E4C08">
              <w:rPr>
                <w:webHidden/>
              </w:rPr>
              <w:tab/>
            </w:r>
            <w:r w:rsidR="002E4C08">
              <w:rPr>
                <w:webHidden/>
              </w:rPr>
              <w:fldChar w:fldCharType="begin"/>
            </w:r>
            <w:r w:rsidR="002E4C08">
              <w:rPr>
                <w:webHidden/>
              </w:rPr>
              <w:instrText xml:space="preserve"> PAGEREF _Toc158211443 \h </w:instrText>
            </w:r>
            <w:r w:rsidR="002E4C08">
              <w:rPr>
                <w:webHidden/>
              </w:rPr>
            </w:r>
            <w:r w:rsidR="002E4C08">
              <w:rPr>
                <w:webHidden/>
              </w:rPr>
              <w:fldChar w:fldCharType="separate"/>
            </w:r>
            <w:r w:rsidR="0027336D">
              <w:rPr>
                <w:webHidden/>
              </w:rPr>
              <w:t>71</w:t>
            </w:r>
            <w:r w:rsidR="002E4C08">
              <w:rPr>
                <w:webHidden/>
              </w:rPr>
              <w:fldChar w:fldCharType="end"/>
            </w:r>
          </w:hyperlink>
        </w:p>
        <w:p w14:paraId="56A58D0D" w14:textId="6F7FB20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4" w:history="1">
            <w:r w:rsidR="002E4C08" w:rsidRPr="00C61B71">
              <w:rPr>
                <w:rStyle w:val="Hipervnculo"/>
              </w:rPr>
              <w:t>3.18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_Toc158211444 \h </w:instrText>
            </w:r>
            <w:r w:rsidR="002E4C08">
              <w:rPr>
                <w:webHidden/>
              </w:rPr>
            </w:r>
            <w:r w:rsidR="002E4C08">
              <w:rPr>
                <w:webHidden/>
              </w:rPr>
              <w:fldChar w:fldCharType="separate"/>
            </w:r>
            <w:r w:rsidR="0027336D">
              <w:rPr>
                <w:webHidden/>
              </w:rPr>
              <w:t>72</w:t>
            </w:r>
            <w:r w:rsidR="002E4C08">
              <w:rPr>
                <w:webHidden/>
              </w:rPr>
              <w:fldChar w:fldCharType="end"/>
            </w:r>
          </w:hyperlink>
        </w:p>
        <w:p w14:paraId="282108DC" w14:textId="7B71EA8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5" w:history="1">
            <w:r w:rsidR="002E4C08" w:rsidRPr="00C61B71">
              <w:rPr>
                <w:rStyle w:val="Hipervnculo"/>
              </w:rPr>
              <w:t>3.19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TEBSA</w:t>
            </w:r>
            <w:r w:rsidR="002E4C08">
              <w:rPr>
                <w:webHidden/>
              </w:rPr>
              <w:tab/>
            </w:r>
            <w:r w:rsidR="002E4C08">
              <w:rPr>
                <w:webHidden/>
              </w:rPr>
              <w:fldChar w:fldCharType="begin"/>
            </w:r>
            <w:r w:rsidR="002E4C08">
              <w:rPr>
                <w:webHidden/>
              </w:rPr>
              <w:instrText xml:space="preserve"> PAGEREF _Toc158211445 \h </w:instrText>
            </w:r>
            <w:r w:rsidR="002E4C08">
              <w:rPr>
                <w:webHidden/>
              </w:rPr>
            </w:r>
            <w:r w:rsidR="002E4C08">
              <w:rPr>
                <w:webHidden/>
              </w:rPr>
              <w:fldChar w:fldCharType="separate"/>
            </w:r>
            <w:r w:rsidR="0027336D">
              <w:rPr>
                <w:webHidden/>
              </w:rPr>
              <w:t>72</w:t>
            </w:r>
            <w:r w:rsidR="002E4C08">
              <w:rPr>
                <w:webHidden/>
              </w:rPr>
              <w:fldChar w:fldCharType="end"/>
            </w:r>
          </w:hyperlink>
        </w:p>
        <w:p w14:paraId="165DB14C" w14:textId="072AC60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6" w:history="1">
            <w:r w:rsidR="002E4C08" w:rsidRPr="00C61B71">
              <w:rPr>
                <w:rStyle w:val="Hipervnculo"/>
              </w:rPr>
              <w:t>3.20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_Toc158211446 \h </w:instrText>
            </w:r>
            <w:r w:rsidR="002E4C08">
              <w:rPr>
                <w:webHidden/>
              </w:rPr>
            </w:r>
            <w:r w:rsidR="002E4C08">
              <w:rPr>
                <w:webHidden/>
              </w:rPr>
              <w:fldChar w:fldCharType="separate"/>
            </w:r>
            <w:r w:rsidR="0027336D">
              <w:rPr>
                <w:webHidden/>
              </w:rPr>
              <w:t>72</w:t>
            </w:r>
            <w:r w:rsidR="002E4C08">
              <w:rPr>
                <w:webHidden/>
              </w:rPr>
              <w:fldChar w:fldCharType="end"/>
            </w:r>
          </w:hyperlink>
        </w:p>
        <w:p w14:paraId="23676E21" w14:textId="486956E7"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47" w:history="1">
            <w:r w:rsidR="002E4C08" w:rsidRPr="00C61B71">
              <w:rPr>
                <w:rStyle w:val="Hipervnculo"/>
              </w:rPr>
              <w:t>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4</w:t>
            </w:r>
            <w:r w:rsidR="002E4C08">
              <w:rPr>
                <w:webHidden/>
              </w:rPr>
              <w:tab/>
            </w:r>
            <w:r w:rsidR="002E4C08">
              <w:rPr>
                <w:webHidden/>
              </w:rPr>
              <w:fldChar w:fldCharType="begin"/>
            </w:r>
            <w:r w:rsidR="002E4C08">
              <w:rPr>
                <w:webHidden/>
              </w:rPr>
              <w:instrText xml:space="preserve"> PAGEREF _Toc158211447 \h </w:instrText>
            </w:r>
            <w:r w:rsidR="002E4C08">
              <w:rPr>
                <w:webHidden/>
              </w:rPr>
            </w:r>
            <w:r w:rsidR="002E4C08">
              <w:rPr>
                <w:webHidden/>
              </w:rPr>
              <w:fldChar w:fldCharType="separate"/>
            </w:r>
            <w:r w:rsidR="0027336D">
              <w:rPr>
                <w:webHidden/>
              </w:rPr>
              <w:t>73</w:t>
            </w:r>
            <w:r w:rsidR="002E4C08">
              <w:rPr>
                <w:webHidden/>
              </w:rPr>
              <w:fldChar w:fldCharType="end"/>
            </w:r>
          </w:hyperlink>
        </w:p>
        <w:p w14:paraId="51F8A055" w14:textId="514479A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8" w:history="1">
            <w:r w:rsidR="002E4C08" w:rsidRPr="00C61B71">
              <w:rPr>
                <w:rStyle w:val="Hipervnculo"/>
              </w:rPr>
              <w:t>4.1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ENEL Colombia S.A. E.S.P</w:t>
            </w:r>
            <w:r w:rsidR="002E4C08">
              <w:rPr>
                <w:webHidden/>
              </w:rPr>
              <w:tab/>
            </w:r>
            <w:r w:rsidR="002E4C08">
              <w:rPr>
                <w:webHidden/>
              </w:rPr>
              <w:fldChar w:fldCharType="begin"/>
            </w:r>
            <w:r w:rsidR="002E4C08">
              <w:rPr>
                <w:webHidden/>
              </w:rPr>
              <w:instrText xml:space="preserve"> PAGEREF _Toc158211448 \h </w:instrText>
            </w:r>
            <w:r w:rsidR="002E4C08">
              <w:rPr>
                <w:webHidden/>
              </w:rPr>
            </w:r>
            <w:r w:rsidR="002E4C08">
              <w:rPr>
                <w:webHidden/>
              </w:rPr>
              <w:fldChar w:fldCharType="separate"/>
            </w:r>
            <w:r w:rsidR="0027336D">
              <w:rPr>
                <w:webHidden/>
              </w:rPr>
              <w:t>73</w:t>
            </w:r>
            <w:r w:rsidR="002E4C08">
              <w:rPr>
                <w:webHidden/>
              </w:rPr>
              <w:fldChar w:fldCharType="end"/>
            </w:r>
          </w:hyperlink>
        </w:p>
        <w:p w14:paraId="4A2BCD7F" w14:textId="25B13A7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49" w:history="1">
            <w:r w:rsidR="002E4C08" w:rsidRPr="00C61B71">
              <w:rPr>
                <w:rStyle w:val="Hipervnculo"/>
              </w:rPr>
              <w:t>4.2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_Toc158211449 \h </w:instrText>
            </w:r>
            <w:r w:rsidR="002E4C08">
              <w:rPr>
                <w:webHidden/>
              </w:rPr>
            </w:r>
            <w:r w:rsidR="002E4C08">
              <w:rPr>
                <w:webHidden/>
              </w:rPr>
              <w:fldChar w:fldCharType="separate"/>
            </w:r>
            <w:r w:rsidR="0027336D">
              <w:rPr>
                <w:webHidden/>
              </w:rPr>
              <w:t>74</w:t>
            </w:r>
            <w:r w:rsidR="002E4C08">
              <w:rPr>
                <w:webHidden/>
              </w:rPr>
              <w:fldChar w:fldCharType="end"/>
            </w:r>
          </w:hyperlink>
        </w:p>
        <w:p w14:paraId="0D775B34" w14:textId="0DD2F448"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50" w:history="1">
            <w:r w:rsidR="002E4C08" w:rsidRPr="00C61B71">
              <w:rPr>
                <w:rStyle w:val="Hipervnculo"/>
              </w:rPr>
              <w:t>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5</w:t>
            </w:r>
            <w:r w:rsidR="002E4C08">
              <w:rPr>
                <w:webHidden/>
              </w:rPr>
              <w:tab/>
            </w:r>
            <w:r w:rsidR="002E4C08">
              <w:rPr>
                <w:webHidden/>
              </w:rPr>
              <w:fldChar w:fldCharType="begin"/>
            </w:r>
            <w:r w:rsidR="002E4C08">
              <w:rPr>
                <w:webHidden/>
              </w:rPr>
              <w:instrText xml:space="preserve"> PAGEREF _Toc158211450 \h </w:instrText>
            </w:r>
            <w:r w:rsidR="002E4C08">
              <w:rPr>
                <w:webHidden/>
              </w:rPr>
            </w:r>
            <w:r w:rsidR="002E4C08">
              <w:rPr>
                <w:webHidden/>
              </w:rPr>
              <w:fldChar w:fldCharType="separate"/>
            </w:r>
            <w:r w:rsidR="0027336D">
              <w:rPr>
                <w:webHidden/>
              </w:rPr>
              <w:t>74</w:t>
            </w:r>
            <w:r w:rsidR="002E4C08">
              <w:rPr>
                <w:webHidden/>
              </w:rPr>
              <w:fldChar w:fldCharType="end"/>
            </w:r>
          </w:hyperlink>
        </w:p>
        <w:p w14:paraId="36F29A1B" w14:textId="170C127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1" w:history="1">
            <w:r w:rsidR="002E4C08" w:rsidRPr="00C61B71">
              <w:rPr>
                <w:rStyle w:val="Hipervnculo"/>
              </w:rPr>
              <w:t>5.1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ACP</w:t>
            </w:r>
            <w:r w:rsidR="002E4C08">
              <w:rPr>
                <w:webHidden/>
              </w:rPr>
              <w:tab/>
            </w:r>
            <w:r w:rsidR="002E4C08">
              <w:rPr>
                <w:webHidden/>
              </w:rPr>
              <w:fldChar w:fldCharType="begin"/>
            </w:r>
            <w:r w:rsidR="002E4C08">
              <w:rPr>
                <w:webHidden/>
              </w:rPr>
              <w:instrText xml:space="preserve"> PAGEREF _Toc158211451 \h </w:instrText>
            </w:r>
            <w:r w:rsidR="002E4C08">
              <w:rPr>
                <w:webHidden/>
              </w:rPr>
            </w:r>
            <w:r w:rsidR="002E4C08">
              <w:rPr>
                <w:webHidden/>
              </w:rPr>
              <w:fldChar w:fldCharType="separate"/>
            </w:r>
            <w:r w:rsidR="0027336D">
              <w:rPr>
                <w:webHidden/>
              </w:rPr>
              <w:t>74</w:t>
            </w:r>
            <w:r w:rsidR="002E4C08">
              <w:rPr>
                <w:webHidden/>
              </w:rPr>
              <w:fldChar w:fldCharType="end"/>
            </w:r>
          </w:hyperlink>
        </w:p>
        <w:p w14:paraId="140ECAD6" w14:textId="03803A9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2" w:history="1">
            <w:r w:rsidR="002E4C08" w:rsidRPr="00C61B71">
              <w:rPr>
                <w:rStyle w:val="Hipervnculo"/>
              </w:rPr>
              <w:t>5.2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Andesco</w:t>
            </w:r>
            <w:r w:rsidR="002E4C08">
              <w:rPr>
                <w:webHidden/>
              </w:rPr>
              <w:tab/>
            </w:r>
            <w:r w:rsidR="002E4C08">
              <w:rPr>
                <w:webHidden/>
              </w:rPr>
              <w:fldChar w:fldCharType="begin"/>
            </w:r>
            <w:r w:rsidR="002E4C08">
              <w:rPr>
                <w:webHidden/>
              </w:rPr>
              <w:instrText xml:space="preserve"> PAGEREF _Toc158211452 \h </w:instrText>
            </w:r>
            <w:r w:rsidR="002E4C08">
              <w:rPr>
                <w:webHidden/>
              </w:rPr>
            </w:r>
            <w:r w:rsidR="002E4C08">
              <w:rPr>
                <w:webHidden/>
              </w:rPr>
              <w:fldChar w:fldCharType="separate"/>
            </w:r>
            <w:r w:rsidR="0027336D">
              <w:rPr>
                <w:webHidden/>
              </w:rPr>
              <w:t>76</w:t>
            </w:r>
            <w:r w:rsidR="002E4C08">
              <w:rPr>
                <w:webHidden/>
              </w:rPr>
              <w:fldChar w:fldCharType="end"/>
            </w:r>
          </w:hyperlink>
        </w:p>
        <w:p w14:paraId="16884318" w14:textId="63E133D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3" w:history="1">
            <w:r w:rsidR="002E4C08" w:rsidRPr="00C61B71">
              <w:rPr>
                <w:rStyle w:val="Hipervnculo"/>
              </w:rPr>
              <w:t>5.3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Calamarí LNG</w:t>
            </w:r>
            <w:r w:rsidR="002E4C08">
              <w:rPr>
                <w:webHidden/>
              </w:rPr>
              <w:tab/>
            </w:r>
            <w:r w:rsidR="002E4C08">
              <w:rPr>
                <w:webHidden/>
              </w:rPr>
              <w:fldChar w:fldCharType="begin"/>
            </w:r>
            <w:r w:rsidR="002E4C08">
              <w:rPr>
                <w:webHidden/>
              </w:rPr>
              <w:instrText xml:space="preserve"> PAGEREF _Toc158211453 \h </w:instrText>
            </w:r>
            <w:r w:rsidR="002E4C08">
              <w:rPr>
                <w:webHidden/>
              </w:rPr>
            </w:r>
            <w:r w:rsidR="002E4C08">
              <w:rPr>
                <w:webHidden/>
              </w:rPr>
              <w:fldChar w:fldCharType="separate"/>
            </w:r>
            <w:r w:rsidR="0027336D">
              <w:rPr>
                <w:webHidden/>
              </w:rPr>
              <w:t>77</w:t>
            </w:r>
            <w:r w:rsidR="002E4C08">
              <w:rPr>
                <w:webHidden/>
              </w:rPr>
              <w:fldChar w:fldCharType="end"/>
            </w:r>
          </w:hyperlink>
        </w:p>
        <w:p w14:paraId="0482B0E9" w14:textId="572C3EC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4" w:history="1">
            <w:r w:rsidR="002E4C08" w:rsidRPr="00C61B71">
              <w:rPr>
                <w:rStyle w:val="Hipervnculo"/>
              </w:rPr>
              <w:t>5.4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_Toc158211454 \h </w:instrText>
            </w:r>
            <w:r w:rsidR="002E4C08">
              <w:rPr>
                <w:webHidden/>
              </w:rPr>
            </w:r>
            <w:r w:rsidR="002E4C08">
              <w:rPr>
                <w:webHidden/>
              </w:rPr>
              <w:fldChar w:fldCharType="separate"/>
            </w:r>
            <w:r w:rsidR="0027336D">
              <w:rPr>
                <w:webHidden/>
              </w:rPr>
              <w:t>77</w:t>
            </w:r>
            <w:r w:rsidR="002E4C08">
              <w:rPr>
                <w:webHidden/>
              </w:rPr>
              <w:fldChar w:fldCharType="end"/>
            </w:r>
          </w:hyperlink>
        </w:p>
        <w:p w14:paraId="24C98F2C" w14:textId="1684128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5" w:history="1">
            <w:r w:rsidR="002E4C08" w:rsidRPr="00C61B71">
              <w:rPr>
                <w:rStyle w:val="Hipervnculo"/>
              </w:rPr>
              <w:t>5.5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_Toc158211455 \h </w:instrText>
            </w:r>
            <w:r w:rsidR="002E4C08">
              <w:rPr>
                <w:webHidden/>
              </w:rPr>
            </w:r>
            <w:r w:rsidR="002E4C08">
              <w:rPr>
                <w:webHidden/>
              </w:rPr>
              <w:fldChar w:fldCharType="separate"/>
            </w:r>
            <w:r w:rsidR="0027336D">
              <w:rPr>
                <w:webHidden/>
              </w:rPr>
              <w:t>78</w:t>
            </w:r>
            <w:r w:rsidR="002E4C08">
              <w:rPr>
                <w:webHidden/>
              </w:rPr>
              <w:fldChar w:fldCharType="end"/>
            </w:r>
          </w:hyperlink>
        </w:p>
        <w:p w14:paraId="63864B1F" w14:textId="09EB373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6" w:history="1">
            <w:r w:rsidR="002E4C08" w:rsidRPr="00C61B71">
              <w:rPr>
                <w:rStyle w:val="Hipervnculo"/>
              </w:rPr>
              <w:t>5.6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_Toc158211456 \h </w:instrText>
            </w:r>
            <w:r w:rsidR="002E4C08">
              <w:rPr>
                <w:webHidden/>
              </w:rPr>
            </w:r>
            <w:r w:rsidR="002E4C08">
              <w:rPr>
                <w:webHidden/>
              </w:rPr>
              <w:fldChar w:fldCharType="separate"/>
            </w:r>
            <w:r w:rsidR="0027336D">
              <w:rPr>
                <w:webHidden/>
              </w:rPr>
              <w:t>78</w:t>
            </w:r>
            <w:r w:rsidR="002E4C08">
              <w:rPr>
                <w:webHidden/>
              </w:rPr>
              <w:fldChar w:fldCharType="end"/>
            </w:r>
          </w:hyperlink>
        </w:p>
        <w:p w14:paraId="31FCD0AF" w14:textId="14F1FE9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7" w:history="1">
            <w:r w:rsidR="002E4C08" w:rsidRPr="00C61B71">
              <w:rPr>
                <w:rStyle w:val="Hipervnculo"/>
              </w:rPr>
              <w:t>5.7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_Toc158211457 \h </w:instrText>
            </w:r>
            <w:r w:rsidR="002E4C08">
              <w:rPr>
                <w:webHidden/>
              </w:rPr>
            </w:r>
            <w:r w:rsidR="002E4C08">
              <w:rPr>
                <w:webHidden/>
              </w:rPr>
              <w:fldChar w:fldCharType="separate"/>
            </w:r>
            <w:r w:rsidR="0027336D">
              <w:rPr>
                <w:webHidden/>
              </w:rPr>
              <w:t>79</w:t>
            </w:r>
            <w:r w:rsidR="002E4C08">
              <w:rPr>
                <w:webHidden/>
              </w:rPr>
              <w:fldChar w:fldCharType="end"/>
            </w:r>
          </w:hyperlink>
        </w:p>
        <w:p w14:paraId="4ADE9D0B" w14:textId="6F306F8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8" w:history="1">
            <w:r w:rsidR="002E4C08" w:rsidRPr="00C61B71">
              <w:rPr>
                <w:rStyle w:val="Hipervnculo"/>
              </w:rPr>
              <w:t>5.8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_Toc158211458 \h </w:instrText>
            </w:r>
            <w:r w:rsidR="002E4C08">
              <w:rPr>
                <w:webHidden/>
              </w:rPr>
            </w:r>
            <w:r w:rsidR="002E4C08">
              <w:rPr>
                <w:webHidden/>
              </w:rPr>
              <w:fldChar w:fldCharType="separate"/>
            </w:r>
            <w:r w:rsidR="0027336D">
              <w:rPr>
                <w:webHidden/>
              </w:rPr>
              <w:t>79</w:t>
            </w:r>
            <w:r w:rsidR="002E4C08">
              <w:rPr>
                <w:webHidden/>
              </w:rPr>
              <w:fldChar w:fldCharType="end"/>
            </w:r>
          </w:hyperlink>
        </w:p>
        <w:p w14:paraId="593B962C" w14:textId="3F6A17B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59" w:history="1">
            <w:r w:rsidR="002E4C08" w:rsidRPr="00C61B71">
              <w:rPr>
                <w:rStyle w:val="Hipervnculo"/>
              </w:rPr>
              <w:t>5.9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_Toc158211459 \h </w:instrText>
            </w:r>
            <w:r w:rsidR="002E4C08">
              <w:rPr>
                <w:webHidden/>
              </w:rPr>
            </w:r>
            <w:r w:rsidR="002E4C08">
              <w:rPr>
                <w:webHidden/>
              </w:rPr>
              <w:fldChar w:fldCharType="separate"/>
            </w:r>
            <w:r w:rsidR="0027336D">
              <w:rPr>
                <w:webHidden/>
              </w:rPr>
              <w:t>80</w:t>
            </w:r>
            <w:r w:rsidR="002E4C08">
              <w:rPr>
                <w:webHidden/>
              </w:rPr>
              <w:fldChar w:fldCharType="end"/>
            </w:r>
          </w:hyperlink>
        </w:p>
        <w:p w14:paraId="5DFCF464" w14:textId="650AC1C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0" w:history="1">
            <w:r w:rsidR="002E4C08" w:rsidRPr="00C61B71">
              <w:rPr>
                <w:rStyle w:val="Hipervnculo"/>
              </w:rPr>
              <w:t>5.10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ENEL Colombia S.A. E.S.P</w:t>
            </w:r>
            <w:r w:rsidR="002E4C08">
              <w:rPr>
                <w:webHidden/>
              </w:rPr>
              <w:tab/>
            </w:r>
            <w:r w:rsidR="002E4C08">
              <w:rPr>
                <w:webHidden/>
              </w:rPr>
              <w:fldChar w:fldCharType="begin"/>
            </w:r>
            <w:r w:rsidR="002E4C08">
              <w:rPr>
                <w:webHidden/>
              </w:rPr>
              <w:instrText xml:space="preserve"> PAGEREF _Toc158211460 \h </w:instrText>
            </w:r>
            <w:r w:rsidR="002E4C08">
              <w:rPr>
                <w:webHidden/>
              </w:rPr>
            </w:r>
            <w:r w:rsidR="002E4C08">
              <w:rPr>
                <w:webHidden/>
              </w:rPr>
              <w:fldChar w:fldCharType="separate"/>
            </w:r>
            <w:r w:rsidR="0027336D">
              <w:rPr>
                <w:webHidden/>
              </w:rPr>
              <w:t>80</w:t>
            </w:r>
            <w:r w:rsidR="002E4C08">
              <w:rPr>
                <w:webHidden/>
              </w:rPr>
              <w:fldChar w:fldCharType="end"/>
            </w:r>
          </w:hyperlink>
        </w:p>
        <w:p w14:paraId="4C389B6F" w14:textId="0B10365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1" w:history="1">
            <w:r w:rsidR="002E4C08" w:rsidRPr="00C61B71">
              <w:rPr>
                <w:rStyle w:val="Hipervnculo"/>
              </w:rPr>
              <w:t>5.11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ENEL Colombia S.A. E.S.P</w:t>
            </w:r>
            <w:r w:rsidR="002E4C08">
              <w:rPr>
                <w:webHidden/>
              </w:rPr>
              <w:tab/>
            </w:r>
            <w:r w:rsidR="002E4C08">
              <w:rPr>
                <w:webHidden/>
              </w:rPr>
              <w:fldChar w:fldCharType="begin"/>
            </w:r>
            <w:r w:rsidR="002E4C08">
              <w:rPr>
                <w:webHidden/>
              </w:rPr>
              <w:instrText xml:space="preserve"> PAGEREF _Toc158211461 \h </w:instrText>
            </w:r>
            <w:r w:rsidR="002E4C08">
              <w:rPr>
                <w:webHidden/>
              </w:rPr>
            </w:r>
            <w:r w:rsidR="002E4C08">
              <w:rPr>
                <w:webHidden/>
              </w:rPr>
              <w:fldChar w:fldCharType="separate"/>
            </w:r>
            <w:r w:rsidR="0027336D">
              <w:rPr>
                <w:webHidden/>
              </w:rPr>
              <w:t>80</w:t>
            </w:r>
            <w:r w:rsidR="002E4C08">
              <w:rPr>
                <w:webHidden/>
              </w:rPr>
              <w:fldChar w:fldCharType="end"/>
            </w:r>
          </w:hyperlink>
        </w:p>
        <w:p w14:paraId="32AFDBE0" w14:textId="52C3674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2" w:history="1">
            <w:r w:rsidR="002E4C08" w:rsidRPr="00C61B71">
              <w:rPr>
                <w:rStyle w:val="Hipervnculo"/>
              </w:rPr>
              <w:t>5.12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EPM</w:t>
            </w:r>
            <w:r w:rsidR="002E4C08">
              <w:rPr>
                <w:webHidden/>
              </w:rPr>
              <w:tab/>
            </w:r>
            <w:r w:rsidR="002E4C08">
              <w:rPr>
                <w:webHidden/>
              </w:rPr>
              <w:fldChar w:fldCharType="begin"/>
            </w:r>
            <w:r w:rsidR="002E4C08">
              <w:rPr>
                <w:webHidden/>
              </w:rPr>
              <w:instrText xml:space="preserve"> PAGEREF _Toc158211462 \h </w:instrText>
            </w:r>
            <w:r w:rsidR="002E4C08">
              <w:rPr>
                <w:webHidden/>
              </w:rPr>
            </w:r>
            <w:r w:rsidR="002E4C08">
              <w:rPr>
                <w:webHidden/>
              </w:rPr>
              <w:fldChar w:fldCharType="separate"/>
            </w:r>
            <w:r w:rsidR="0027336D">
              <w:rPr>
                <w:webHidden/>
              </w:rPr>
              <w:t>81</w:t>
            </w:r>
            <w:r w:rsidR="002E4C08">
              <w:rPr>
                <w:webHidden/>
              </w:rPr>
              <w:fldChar w:fldCharType="end"/>
            </w:r>
          </w:hyperlink>
        </w:p>
        <w:p w14:paraId="1F92DF18" w14:textId="64144F3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3" w:history="1">
            <w:r w:rsidR="002E4C08" w:rsidRPr="00C61B71">
              <w:rPr>
                <w:rStyle w:val="Hipervnculo"/>
              </w:rPr>
              <w:t>5.13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Caribe</w:t>
            </w:r>
            <w:r w:rsidR="002E4C08">
              <w:rPr>
                <w:webHidden/>
              </w:rPr>
              <w:tab/>
            </w:r>
            <w:r w:rsidR="002E4C08">
              <w:rPr>
                <w:webHidden/>
              </w:rPr>
              <w:fldChar w:fldCharType="begin"/>
            </w:r>
            <w:r w:rsidR="002E4C08">
              <w:rPr>
                <w:webHidden/>
              </w:rPr>
              <w:instrText xml:space="preserve"> PAGEREF _Toc158211463 \h </w:instrText>
            </w:r>
            <w:r w:rsidR="002E4C08">
              <w:rPr>
                <w:webHidden/>
              </w:rPr>
            </w:r>
            <w:r w:rsidR="002E4C08">
              <w:rPr>
                <w:webHidden/>
              </w:rPr>
              <w:fldChar w:fldCharType="separate"/>
            </w:r>
            <w:r w:rsidR="0027336D">
              <w:rPr>
                <w:webHidden/>
              </w:rPr>
              <w:t>81</w:t>
            </w:r>
            <w:r w:rsidR="002E4C08">
              <w:rPr>
                <w:webHidden/>
              </w:rPr>
              <w:fldChar w:fldCharType="end"/>
            </w:r>
          </w:hyperlink>
        </w:p>
        <w:p w14:paraId="60855077" w14:textId="343D75A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4" w:history="1">
            <w:r w:rsidR="002E4C08" w:rsidRPr="00C61B71">
              <w:rPr>
                <w:rStyle w:val="Hipervnculo"/>
              </w:rPr>
              <w:t>5.14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Oriente S.A E.S.P</w:t>
            </w:r>
            <w:r w:rsidR="002E4C08">
              <w:rPr>
                <w:webHidden/>
              </w:rPr>
              <w:tab/>
            </w:r>
            <w:r w:rsidR="002E4C08">
              <w:rPr>
                <w:webHidden/>
              </w:rPr>
              <w:fldChar w:fldCharType="begin"/>
            </w:r>
            <w:r w:rsidR="002E4C08">
              <w:rPr>
                <w:webHidden/>
              </w:rPr>
              <w:instrText xml:space="preserve"> PAGEREF _Toc158211464 \h </w:instrText>
            </w:r>
            <w:r w:rsidR="002E4C08">
              <w:rPr>
                <w:webHidden/>
              </w:rPr>
            </w:r>
            <w:r w:rsidR="002E4C08">
              <w:rPr>
                <w:webHidden/>
              </w:rPr>
              <w:fldChar w:fldCharType="separate"/>
            </w:r>
            <w:r w:rsidR="0027336D">
              <w:rPr>
                <w:webHidden/>
              </w:rPr>
              <w:t>82</w:t>
            </w:r>
            <w:r w:rsidR="002E4C08">
              <w:rPr>
                <w:webHidden/>
              </w:rPr>
              <w:fldChar w:fldCharType="end"/>
            </w:r>
          </w:hyperlink>
        </w:p>
        <w:p w14:paraId="756CE0A2" w14:textId="2CBA6A4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5" w:history="1">
            <w:r w:rsidR="002E4C08" w:rsidRPr="00C61B71">
              <w:rPr>
                <w:rStyle w:val="Hipervnculo"/>
              </w:rPr>
              <w:t>5.15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Oriente S.A E.S.P</w:t>
            </w:r>
            <w:r w:rsidR="002E4C08">
              <w:rPr>
                <w:webHidden/>
              </w:rPr>
              <w:tab/>
            </w:r>
            <w:r w:rsidR="002E4C08">
              <w:rPr>
                <w:webHidden/>
              </w:rPr>
              <w:fldChar w:fldCharType="begin"/>
            </w:r>
            <w:r w:rsidR="002E4C08">
              <w:rPr>
                <w:webHidden/>
              </w:rPr>
              <w:instrText xml:space="preserve"> PAGEREF _Toc158211465 \h </w:instrText>
            </w:r>
            <w:r w:rsidR="002E4C08">
              <w:rPr>
                <w:webHidden/>
              </w:rPr>
            </w:r>
            <w:r w:rsidR="002E4C08">
              <w:rPr>
                <w:webHidden/>
              </w:rPr>
              <w:fldChar w:fldCharType="separate"/>
            </w:r>
            <w:r w:rsidR="0027336D">
              <w:rPr>
                <w:webHidden/>
              </w:rPr>
              <w:t>82</w:t>
            </w:r>
            <w:r w:rsidR="002E4C08">
              <w:rPr>
                <w:webHidden/>
              </w:rPr>
              <w:fldChar w:fldCharType="end"/>
            </w:r>
          </w:hyperlink>
        </w:p>
        <w:p w14:paraId="6CF2AD45" w14:textId="5DF30EF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6" w:history="1">
            <w:r w:rsidR="002E4C08" w:rsidRPr="00C61B71">
              <w:rPr>
                <w:rStyle w:val="Hipervnculo"/>
              </w:rPr>
              <w:t>5.16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_Toc158211466 \h </w:instrText>
            </w:r>
            <w:r w:rsidR="002E4C08">
              <w:rPr>
                <w:webHidden/>
              </w:rPr>
            </w:r>
            <w:r w:rsidR="002E4C08">
              <w:rPr>
                <w:webHidden/>
              </w:rPr>
              <w:fldChar w:fldCharType="separate"/>
            </w:r>
            <w:r w:rsidR="0027336D">
              <w:rPr>
                <w:webHidden/>
              </w:rPr>
              <w:t>83</w:t>
            </w:r>
            <w:r w:rsidR="002E4C08">
              <w:rPr>
                <w:webHidden/>
              </w:rPr>
              <w:fldChar w:fldCharType="end"/>
            </w:r>
          </w:hyperlink>
        </w:p>
        <w:p w14:paraId="34EE2B2D" w14:textId="11EDE0F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7" w:history="1">
            <w:r w:rsidR="002E4C08" w:rsidRPr="00C61B71">
              <w:rPr>
                <w:rStyle w:val="Hipervnculo"/>
              </w:rPr>
              <w:t>5.17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_Toc158211467 \h </w:instrText>
            </w:r>
            <w:r w:rsidR="002E4C08">
              <w:rPr>
                <w:webHidden/>
              </w:rPr>
            </w:r>
            <w:r w:rsidR="002E4C08">
              <w:rPr>
                <w:webHidden/>
              </w:rPr>
              <w:fldChar w:fldCharType="separate"/>
            </w:r>
            <w:r w:rsidR="0027336D">
              <w:rPr>
                <w:webHidden/>
              </w:rPr>
              <w:t>83</w:t>
            </w:r>
            <w:r w:rsidR="002E4C08">
              <w:rPr>
                <w:webHidden/>
              </w:rPr>
              <w:fldChar w:fldCharType="end"/>
            </w:r>
          </w:hyperlink>
        </w:p>
        <w:p w14:paraId="2FFB219C" w14:textId="5F25F88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8" w:history="1">
            <w:r w:rsidR="002E4C08" w:rsidRPr="00C61B71">
              <w:rPr>
                <w:rStyle w:val="Hipervnculo"/>
              </w:rPr>
              <w:t>5.18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_Toc158211468 \h </w:instrText>
            </w:r>
            <w:r w:rsidR="002E4C08">
              <w:rPr>
                <w:webHidden/>
              </w:rPr>
            </w:r>
            <w:r w:rsidR="002E4C08">
              <w:rPr>
                <w:webHidden/>
              </w:rPr>
              <w:fldChar w:fldCharType="separate"/>
            </w:r>
            <w:r w:rsidR="0027336D">
              <w:rPr>
                <w:webHidden/>
              </w:rPr>
              <w:t>84</w:t>
            </w:r>
            <w:r w:rsidR="002E4C08">
              <w:rPr>
                <w:webHidden/>
              </w:rPr>
              <w:fldChar w:fldCharType="end"/>
            </w:r>
          </w:hyperlink>
        </w:p>
        <w:p w14:paraId="5045235B" w14:textId="44A2B4B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69" w:history="1">
            <w:r w:rsidR="002E4C08" w:rsidRPr="00C61B71">
              <w:rPr>
                <w:rStyle w:val="Hipervnculo"/>
              </w:rPr>
              <w:t>5.19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_Toc158211469 \h </w:instrText>
            </w:r>
            <w:r w:rsidR="002E4C08">
              <w:rPr>
                <w:webHidden/>
              </w:rPr>
            </w:r>
            <w:r w:rsidR="002E4C08">
              <w:rPr>
                <w:webHidden/>
              </w:rPr>
              <w:fldChar w:fldCharType="separate"/>
            </w:r>
            <w:r w:rsidR="0027336D">
              <w:rPr>
                <w:webHidden/>
              </w:rPr>
              <w:t>84</w:t>
            </w:r>
            <w:r w:rsidR="002E4C08">
              <w:rPr>
                <w:webHidden/>
              </w:rPr>
              <w:fldChar w:fldCharType="end"/>
            </w:r>
          </w:hyperlink>
        </w:p>
        <w:p w14:paraId="076A310E" w14:textId="55AD380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0" w:history="1">
            <w:r w:rsidR="002E4C08" w:rsidRPr="00C61B71">
              <w:rPr>
                <w:rStyle w:val="Hipervnculo"/>
              </w:rPr>
              <w:t>5.20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_Toc158211470 \h </w:instrText>
            </w:r>
            <w:r w:rsidR="002E4C08">
              <w:rPr>
                <w:webHidden/>
              </w:rPr>
            </w:r>
            <w:r w:rsidR="002E4C08">
              <w:rPr>
                <w:webHidden/>
              </w:rPr>
              <w:fldChar w:fldCharType="separate"/>
            </w:r>
            <w:r w:rsidR="0027336D">
              <w:rPr>
                <w:webHidden/>
              </w:rPr>
              <w:t>84</w:t>
            </w:r>
            <w:r w:rsidR="002E4C08">
              <w:rPr>
                <w:webHidden/>
              </w:rPr>
              <w:fldChar w:fldCharType="end"/>
            </w:r>
          </w:hyperlink>
        </w:p>
        <w:p w14:paraId="0FE89525" w14:textId="7C9166E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1" w:history="1">
            <w:r w:rsidR="002E4C08" w:rsidRPr="00C61B71">
              <w:rPr>
                <w:rStyle w:val="Hipervnculo"/>
              </w:rPr>
              <w:t>5.21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_Toc158211471 \h </w:instrText>
            </w:r>
            <w:r w:rsidR="002E4C08">
              <w:rPr>
                <w:webHidden/>
              </w:rPr>
            </w:r>
            <w:r w:rsidR="002E4C08">
              <w:rPr>
                <w:webHidden/>
              </w:rPr>
              <w:fldChar w:fldCharType="separate"/>
            </w:r>
            <w:r w:rsidR="0027336D">
              <w:rPr>
                <w:webHidden/>
              </w:rPr>
              <w:t>85</w:t>
            </w:r>
            <w:r w:rsidR="002E4C08">
              <w:rPr>
                <w:webHidden/>
              </w:rPr>
              <w:fldChar w:fldCharType="end"/>
            </w:r>
          </w:hyperlink>
        </w:p>
        <w:p w14:paraId="68AE629D" w14:textId="51D23EC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2" w:history="1">
            <w:r w:rsidR="002E4C08" w:rsidRPr="00C61B71">
              <w:rPr>
                <w:rStyle w:val="Hipervnculo"/>
              </w:rPr>
              <w:t>5.22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_Toc158211472 \h </w:instrText>
            </w:r>
            <w:r w:rsidR="002E4C08">
              <w:rPr>
                <w:webHidden/>
              </w:rPr>
            </w:r>
            <w:r w:rsidR="002E4C08">
              <w:rPr>
                <w:webHidden/>
              </w:rPr>
              <w:fldChar w:fldCharType="separate"/>
            </w:r>
            <w:r w:rsidR="0027336D">
              <w:rPr>
                <w:webHidden/>
              </w:rPr>
              <w:t>85</w:t>
            </w:r>
            <w:r w:rsidR="002E4C08">
              <w:rPr>
                <w:webHidden/>
              </w:rPr>
              <w:fldChar w:fldCharType="end"/>
            </w:r>
          </w:hyperlink>
        </w:p>
        <w:p w14:paraId="050A0764" w14:textId="6EA6ABE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3" w:history="1">
            <w:r w:rsidR="002E4C08" w:rsidRPr="00C61B71">
              <w:rPr>
                <w:rStyle w:val="Hipervnculo"/>
              </w:rPr>
              <w:t>5.23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_Toc158211473 \h </w:instrText>
            </w:r>
            <w:r w:rsidR="002E4C08">
              <w:rPr>
                <w:webHidden/>
              </w:rPr>
            </w:r>
            <w:r w:rsidR="002E4C08">
              <w:rPr>
                <w:webHidden/>
              </w:rPr>
              <w:fldChar w:fldCharType="separate"/>
            </w:r>
            <w:r w:rsidR="0027336D">
              <w:rPr>
                <w:webHidden/>
              </w:rPr>
              <w:t>86</w:t>
            </w:r>
            <w:r w:rsidR="002E4C08">
              <w:rPr>
                <w:webHidden/>
              </w:rPr>
              <w:fldChar w:fldCharType="end"/>
            </w:r>
          </w:hyperlink>
        </w:p>
        <w:p w14:paraId="6CCA3F72" w14:textId="6F03CF8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4" w:history="1">
            <w:r w:rsidR="002E4C08" w:rsidRPr="00C61B71">
              <w:rPr>
                <w:rStyle w:val="Hipervnculo"/>
              </w:rPr>
              <w:t>5.24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_Toc158211474 \h </w:instrText>
            </w:r>
            <w:r w:rsidR="002E4C08">
              <w:rPr>
                <w:webHidden/>
              </w:rPr>
            </w:r>
            <w:r w:rsidR="002E4C08">
              <w:rPr>
                <w:webHidden/>
              </w:rPr>
              <w:fldChar w:fldCharType="separate"/>
            </w:r>
            <w:r w:rsidR="0027336D">
              <w:rPr>
                <w:webHidden/>
              </w:rPr>
              <w:t>86</w:t>
            </w:r>
            <w:r w:rsidR="002E4C08">
              <w:rPr>
                <w:webHidden/>
              </w:rPr>
              <w:fldChar w:fldCharType="end"/>
            </w:r>
          </w:hyperlink>
        </w:p>
        <w:p w14:paraId="25F0FA7E" w14:textId="6F232ED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5" w:history="1">
            <w:r w:rsidR="002E4C08" w:rsidRPr="00C61B71">
              <w:rPr>
                <w:rStyle w:val="Hipervnculo"/>
              </w:rPr>
              <w:t>5.25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OGE LEGAL SERVICES</w:t>
            </w:r>
            <w:r w:rsidR="002E4C08">
              <w:rPr>
                <w:webHidden/>
              </w:rPr>
              <w:tab/>
            </w:r>
            <w:r w:rsidR="002E4C08">
              <w:rPr>
                <w:webHidden/>
              </w:rPr>
              <w:fldChar w:fldCharType="begin"/>
            </w:r>
            <w:r w:rsidR="002E4C08">
              <w:rPr>
                <w:webHidden/>
              </w:rPr>
              <w:instrText xml:space="preserve"> PAGEREF _Toc158211475 \h </w:instrText>
            </w:r>
            <w:r w:rsidR="002E4C08">
              <w:rPr>
                <w:webHidden/>
              </w:rPr>
            </w:r>
            <w:r w:rsidR="002E4C08">
              <w:rPr>
                <w:webHidden/>
              </w:rPr>
              <w:fldChar w:fldCharType="separate"/>
            </w:r>
            <w:r w:rsidR="0027336D">
              <w:rPr>
                <w:webHidden/>
              </w:rPr>
              <w:t>87</w:t>
            </w:r>
            <w:r w:rsidR="002E4C08">
              <w:rPr>
                <w:webHidden/>
              </w:rPr>
              <w:fldChar w:fldCharType="end"/>
            </w:r>
          </w:hyperlink>
        </w:p>
        <w:p w14:paraId="28C673D7" w14:textId="3036F05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6" w:history="1">
            <w:r w:rsidR="002E4C08" w:rsidRPr="00C61B71">
              <w:rPr>
                <w:rStyle w:val="Hipervnculo"/>
              </w:rPr>
              <w:t>5.26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PETROMIL GAS S.A.S. E.S.P.</w:t>
            </w:r>
            <w:r w:rsidR="002E4C08">
              <w:rPr>
                <w:webHidden/>
              </w:rPr>
              <w:tab/>
            </w:r>
            <w:r w:rsidR="002E4C08">
              <w:rPr>
                <w:webHidden/>
              </w:rPr>
              <w:fldChar w:fldCharType="begin"/>
            </w:r>
            <w:r w:rsidR="002E4C08">
              <w:rPr>
                <w:webHidden/>
              </w:rPr>
              <w:instrText xml:space="preserve"> PAGEREF _Toc158211476 \h </w:instrText>
            </w:r>
            <w:r w:rsidR="002E4C08">
              <w:rPr>
                <w:webHidden/>
              </w:rPr>
            </w:r>
            <w:r w:rsidR="002E4C08">
              <w:rPr>
                <w:webHidden/>
              </w:rPr>
              <w:fldChar w:fldCharType="separate"/>
            </w:r>
            <w:r w:rsidR="0027336D">
              <w:rPr>
                <w:webHidden/>
              </w:rPr>
              <w:t>87</w:t>
            </w:r>
            <w:r w:rsidR="002E4C08">
              <w:rPr>
                <w:webHidden/>
              </w:rPr>
              <w:fldChar w:fldCharType="end"/>
            </w:r>
          </w:hyperlink>
        </w:p>
        <w:p w14:paraId="6056BE32" w14:textId="5B1BB5A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7" w:history="1">
            <w:r w:rsidR="002E4C08" w:rsidRPr="00C61B71">
              <w:rPr>
                <w:rStyle w:val="Hipervnculo"/>
              </w:rPr>
              <w:t>5.27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Prime Energía</w:t>
            </w:r>
            <w:r w:rsidR="002E4C08">
              <w:rPr>
                <w:webHidden/>
              </w:rPr>
              <w:tab/>
            </w:r>
            <w:r w:rsidR="002E4C08">
              <w:rPr>
                <w:webHidden/>
              </w:rPr>
              <w:fldChar w:fldCharType="begin"/>
            </w:r>
            <w:r w:rsidR="002E4C08">
              <w:rPr>
                <w:webHidden/>
              </w:rPr>
              <w:instrText xml:space="preserve"> PAGEREF _Toc158211477 \h </w:instrText>
            </w:r>
            <w:r w:rsidR="002E4C08">
              <w:rPr>
                <w:webHidden/>
              </w:rPr>
            </w:r>
            <w:r w:rsidR="002E4C08">
              <w:rPr>
                <w:webHidden/>
              </w:rPr>
              <w:fldChar w:fldCharType="separate"/>
            </w:r>
            <w:r w:rsidR="0027336D">
              <w:rPr>
                <w:webHidden/>
              </w:rPr>
              <w:t>87</w:t>
            </w:r>
            <w:r w:rsidR="002E4C08">
              <w:rPr>
                <w:webHidden/>
              </w:rPr>
              <w:fldChar w:fldCharType="end"/>
            </w:r>
          </w:hyperlink>
        </w:p>
        <w:p w14:paraId="7ACB5BC1" w14:textId="1D65825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8" w:history="1">
            <w:r w:rsidR="002E4C08" w:rsidRPr="00C61B71">
              <w:rPr>
                <w:rStyle w:val="Hipervnculo"/>
              </w:rPr>
              <w:t>5.28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Progasur</w:t>
            </w:r>
            <w:r w:rsidR="002E4C08">
              <w:rPr>
                <w:webHidden/>
              </w:rPr>
              <w:tab/>
            </w:r>
            <w:r w:rsidR="002E4C08">
              <w:rPr>
                <w:webHidden/>
              </w:rPr>
              <w:fldChar w:fldCharType="begin"/>
            </w:r>
            <w:r w:rsidR="002E4C08">
              <w:rPr>
                <w:webHidden/>
              </w:rPr>
              <w:instrText xml:space="preserve"> PAGEREF _Toc158211478 \h </w:instrText>
            </w:r>
            <w:r w:rsidR="002E4C08">
              <w:rPr>
                <w:webHidden/>
              </w:rPr>
            </w:r>
            <w:r w:rsidR="002E4C08">
              <w:rPr>
                <w:webHidden/>
              </w:rPr>
              <w:fldChar w:fldCharType="separate"/>
            </w:r>
            <w:r w:rsidR="0027336D">
              <w:rPr>
                <w:webHidden/>
              </w:rPr>
              <w:t>88</w:t>
            </w:r>
            <w:r w:rsidR="002E4C08">
              <w:rPr>
                <w:webHidden/>
              </w:rPr>
              <w:fldChar w:fldCharType="end"/>
            </w:r>
          </w:hyperlink>
        </w:p>
        <w:p w14:paraId="668BE1EA" w14:textId="5090BCD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79" w:history="1">
            <w:r w:rsidR="002E4C08" w:rsidRPr="00C61B71">
              <w:rPr>
                <w:rStyle w:val="Hipervnculo"/>
              </w:rPr>
              <w:t>5.29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_Toc158211479 \h </w:instrText>
            </w:r>
            <w:r w:rsidR="002E4C08">
              <w:rPr>
                <w:webHidden/>
              </w:rPr>
            </w:r>
            <w:r w:rsidR="002E4C08">
              <w:rPr>
                <w:webHidden/>
              </w:rPr>
              <w:fldChar w:fldCharType="separate"/>
            </w:r>
            <w:r w:rsidR="0027336D">
              <w:rPr>
                <w:webHidden/>
              </w:rPr>
              <w:t>88</w:t>
            </w:r>
            <w:r w:rsidR="002E4C08">
              <w:rPr>
                <w:webHidden/>
              </w:rPr>
              <w:fldChar w:fldCharType="end"/>
            </w:r>
          </w:hyperlink>
        </w:p>
        <w:p w14:paraId="1F66AFF1" w14:textId="68ED8D0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0" w:history="1">
            <w:r w:rsidR="002E4C08" w:rsidRPr="00C61B71">
              <w:rPr>
                <w:rStyle w:val="Hipervnculo"/>
              </w:rPr>
              <w:t>5.30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_Toc158211480 \h </w:instrText>
            </w:r>
            <w:r w:rsidR="002E4C08">
              <w:rPr>
                <w:webHidden/>
              </w:rPr>
            </w:r>
            <w:r w:rsidR="002E4C08">
              <w:rPr>
                <w:webHidden/>
              </w:rPr>
              <w:fldChar w:fldCharType="separate"/>
            </w:r>
            <w:r w:rsidR="0027336D">
              <w:rPr>
                <w:webHidden/>
              </w:rPr>
              <w:t>88</w:t>
            </w:r>
            <w:r w:rsidR="002E4C08">
              <w:rPr>
                <w:webHidden/>
              </w:rPr>
              <w:fldChar w:fldCharType="end"/>
            </w:r>
          </w:hyperlink>
        </w:p>
        <w:p w14:paraId="41787389" w14:textId="06E5E09B"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81" w:history="1">
            <w:r w:rsidR="002E4C08" w:rsidRPr="00C61B71">
              <w:rPr>
                <w:rStyle w:val="Hipervnculo"/>
              </w:rPr>
              <w:t>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6</w:t>
            </w:r>
            <w:r w:rsidR="002E4C08">
              <w:rPr>
                <w:webHidden/>
              </w:rPr>
              <w:tab/>
            </w:r>
            <w:r w:rsidR="002E4C08">
              <w:rPr>
                <w:webHidden/>
              </w:rPr>
              <w:fldChar w:fldCharType="begin"/>
            </w:r>
            <w:r w:rsidR="002E4C08">
              <w:rPr>
                <w:webHidden/>
              </w:rPr>
              <w:instrText xml:space="preserve"> PAGEREF _Toc158211481 \h </w:instrText>
            </w:r>
            <w:r w:rsidR="002E4C08">
              <w:rPr>
                <w:webHidden/>
              </w:rPr>
            </w:r>
            <w:r w:rsidR="002E4C08">
              <w:rPr>
                <w:webHidden/>
              </w:rPr>
              <w:fldChar w:fldCharType="separate"/>
            </w:r>
            <w:r w:rsidR="0027336D">
              <w:rPr>
                <w:webHidden/>
              </w:rPr>
              <w:t>89</w:t>
            </w:r>
            <w:r w:rsidR="002E4C08">
              <w:rPr>
                <w:webHidden/>
              </w:rPr>
              <w:fldChar w:fldCharType="end"/>
            </w:r>
          </w:hyperlink>
        </w:p>
        <w:p w14:paraId="44F53772" w14:textId="0FE94B2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2" w:history="1">
            <w:r w:rsidR="002E4C08" w:rsidRPr="00C61B71">
              <w:rPr>
                <w:rStyle w:val="Hipervnculo"/>
              </w:rPr>
              <w:t>6.1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ACOLGÉN</w:t>
            </w:r>
            <w:r w:rsidR="002E4C08">
              <w:rPr>
                <w:webHidden/>
              </w:rPr>
              <w:tab/>
            </w:r>
            <w:r w:rsidR="002E4C08">
              <w:rPr>
                <w:webHidden/>
              </w:rPr>
              <w:fldChar w:fldCharType="begin"/>
            </w:r>
            <w:r w:rsidR="002E4C08">
              <w:rPr>
                <w:webHidden/>
              </w:rPr>
              <w:instrText xml:space="preserve"> PAGEREF _Toc158211482 \h </w:instrText>
            </w:r>
            <w:r w:rsidR="002E4C08">
              <w:rPr>
                <w:webHidden/>
              </w:rPr>
            </w:r>
            <w:r w:rsidR="002E4C08">
              <w:rPr>
                <w:webHidden/>
              </w:rPr>
              <w:fldChar w:fldCharType="separate"/>
            </w:r>
            <w:r w:rsidR="0027336D">
              <w:rPr>
                <w:webHidden/>
              </w:rPr>
              <w:t>89</w:t>
            </w:r>
            <w:r w:rsidR="002E4C08">
              <w:rPr>
                <w:webHidden/>
              </w:rPr>
              <w:fldChar w:fldCharType="end"/>
            </w:r>
          </w:hyperlink>
        </w:p>
        <w:p w14:paraId="0E5CE0BE" w14:textId="0176B86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3" w:history="1">
            <w:r w:rsidR="002E4C08" w:rsidRPr="00C61B71">
              <w:rPr>
                <w:rStyle w:val="Hipervnculo"/>
              </w:rPr>
              <w:t>6.2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ACP</w:t>
            </w:r>
            <w:r w:rsidR="002E4C08">
              <w:rPr>
                <w:webHidden/>
              </w:rPr>
              <w:tab/>
            </w:r>
            <w:r w:rsidR="002E4C08">
              <w:rPr>
                <w:webHidden/>
              </w:rPr>
              <w:fldChar w:fldCharType="begin"/>
            </w:r>
            <w:r w:rsidR="002E4C08">
              <w:rPr>
                <w:webHidden/>
              </w:rPr>
              <w:instrText xml:space="preserve"> PAGEREF _Toc158211483 \h </w:instrText>
            </w:r>
            <w:r w:rsidR="002E4C08">
              <w:rPr>
                <w:webHidden/>
              </w:rPr>
            </w:r>
            <w:r w:rsidR="002E4C08">
              <w:rPr>
                <w:webHidden/>
              </w:rPr>
              <w:fldChar w:fldCharType="separate"/>
            </w:r>
            <w:r w:rsidR="0027336D">
              <w:rPr>
                <w:webHidden/>
              </w:rPr>
              <w:t>89</w:t>
            </w:r>
            <w:r w:rsidR="002E4C08">
              <w:rPr>
                <w:webHidden/>
              </w:rPr>
              <w:fldChar w:fldCharType="end"/>
            </w:r>
          </w:hyperlink>
        </w:p>
        <w:p w14:paraId="1C2681B6" w14:textId="1895420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4" w:history="1">
            <w:r w:rsidR="002E4C08" w:rsidRPr="00C61B71">
              <w:rPr>
                <w:rStyle w:val="Hipervnculo"/>
              </w:rPr>
              <w:t>6.3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_Toc158211484 \h </w:instrText>
            </w:r>
            <w:r w:rsidR="002E4C08">
              <w:rPr>
                <w:webHidden/>
              </w:rPr>
            </w:r>
            <w:r w:rsidR="002E4C08">
              <w:rPr>
                <w:webHidden/>
              </w:rPr>
              <w:fldChar w:fldCharType="separate"/>
            </w:r>
            <w:r w:rsidR="0027336D">
              <w:rPr>
                <w:webHidden/>
              </w:rPr>
              <w:t>90</w:t>
            </w:r>
            <w:r w:rsidR="002E4C08">
              <w:rPr>
                <w:webHidden/>
              </w:rPr>
              <w:fldChar w:fldCharType="end"/>
            </w:r>
          </w:hyperlink>
        </w:p>
        <w:p w14:paraId="0C4AEECC" w14:textId="1F80CBF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5" w:history="1">
            <w:r w:rsidR="002E4C08" w:rsidRPr="00C61B71">
              <w:rPr>
                <w:rStyle w:val="Hipervnculo"/>
              </w:rPr>
              <w:t>6.4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_Toc158211485 \h </w:instrText>
            </w:r>
            <w:r w:rsidR="002E4C08">
              <w:rPr>
                <w:webHidden/>
              </w:rPr>
            </w:r>
            <w:r w:rsidR="002E4C08">
              <w:rPr>
                <w:webHidden/>
              </w:rPr>
              <w:fldChar w:fldCharType="separate"/>
            </w:r>
            <w:r w:rsidR="0027336D">
              <w:rPr>
                <w:webHidden/>
              </w:rPr>
              <w:t>90</w:t>
            </w:r>
            <w:r w:rsidR="002E4C08">
              <w:rPr>
                <w:webHidden/>
              </w:rPr>
              <w:fldChar w:fldCharType="end"/>
            </w:r>
          </w:hyperlink>
        </w:p>
        <w:p w14:paraId="31B7CD1F" w14:textId="2261170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6" w:history="1">
            <w:r w:rsidR="002E4C08" w:rsidRPr="00C61B71">
              <w:rPr>
                <w:rStyle w:val="Hipervnculo"/>
              </w:rPr>
              <w:t>6.5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ENEL Colombia S.A. E.S.P</w:t>
            </w:r>
            <w:r w:rsidR="002E4C08">
              <w:rPr>
                <w:webHidden/>
              </w:rPr>
              <w:tab/>
            </w:r>
            <w:r w:rsidR="002E4C08">
              <w:rPr>
                <w:webHidden/>
              </w:rPr>
              <w:fldChar w:fldCharType="begin"/>
            </w:r>
            <w:r w:rsidR="002E4C08">
              <w:rPr>
                <w:webHidden/>
              </w:rPr>
              <w:instrText xml:space="preserve"> PAGEREF _Toc158211486 \h </w:instrText>
            </w:r>
            <w:r w:rsidR="002E4C08">
              <w:rPr>
                <w:webHidden/>
              </w:rPr>
            </w:r>
            <w:r w:rsidR="002E4C08">
              <w:rPr>
                <w:webHidden/>
              </w:rPr>
              <w:fldChar w:fldCharType="separate"/>
            </w:r>
            <w:r w:rsidR="0027336D">
              <w:rPr>
                <w:webHidden/>
              </w:rPr>
              <w:t>91</w:t>
            </w:r>
            <w:r w:rsidR="002E4C08">
              <w:rPr>
                <w:webHidden/>
              </w:rPr>
              <w:fldChar w:fldCharType="end"/>
            </w:r>
          </w:hyperlink>
        </w:p>
        <w:p w14:paraId="7344DCE6" w14:textId="67CF5FF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7" w:history="1">
            <w:r w:rsidR="002E4C08" w:rsidRPr="00C61B71">
              <w:rPr>
                <w:rStyle w:val="Hipervnculo"/>
              </w:rPr>
              <w:t>6.6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Caribe</w:t>
            </w:r>
            <w:r w:rsidR="002E4C08">
              <w:rPr>
                <w:webHidden/>
              </w:rPr>
              <w:tab/>
            </w:r>
            <w:r w:rsidR="002E4C08">
              <w:rPr>
                <w:webHidden/>
              </w:rPr>
              <w:fldChar w:fldCharType="begin"/>
            </w:r>
            <w:r w:rsidR="002E4C08">
              <w:rPr>
                <w:webHidden/>
              </w:rPr>
              <w:instrText xml:space="preserve"> PAGEREF _Toc158211487 \h </w:instrText>
            </w:r>
            <w:r w:rsidR="002E4C08">
              <w:rPr>
                <w:webHidden/>
              </w:rPr>
            </w:r>
            <w:r w:rsidR="002E4C08">
              <w:rPr>
                <w:webHidden/>
              </w:rPr>
              <w:fldChar w:fldCharType="separate"/>
            </w:r>
            <w:r w:rsidR="0027336D">
              <w:rPr>
                <w:webHidden/>
              </w:rPr>
              <w:t>91</w:t>
            </w:r>
            <w:r w:rsidR="002E4C08">
              <w:rPr>
                <w:webHidden/>
              </w:rPr>
              <w:fldChar w:fldCharType="end"/>
            </w:r>
          </w:hyperlink>
        </w:p>
        <w:p w14:paraId="33DB5E10" w14:textId="5B28B61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88" w:history="1">
            <w:r w:rsidR="002E4C08" w:rsidRPr="00C61B71">
              <w:rPr>
                <w:rStyle w:val="Hipervnculo"/>
              </w:rPr>
              <w:t>6.7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_Toc158211488 \h </w:instrText>
            </w:r>
            <w:r w:rsidR="002E4C08">
              <w:rPr>
                <w:webHidden/>
              </w:rPr>
            </w:r>
            <w:r w:rsidR="002E4C08">
              <w:rPr>
                <w:webHidden/>
              </w:rPr>
              <w:fldChar w:fldCharType="separate"/>
            </w:r>
            <w:r w:rsidR="0027336D">
              <w:rPr>
                <w:webHidden/>
              </w:rPr>
              <w:t>91</w:t>
            </w:r>
            <w:r w:rsidR="002E4C08">
              <w:rPr>
                <w:webHidden/>
              </w:rPr>
              <w:fldChar w:fldCharType="end"/>
            </w:r>
          </w:hyperlink>
        </w:p>
        <w:p w14:paraId="01B4650E" w14:textId="2D4DB556"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89" w:history="1">
            <w:r w:rsidR="002E4C08" w:rsidRPr="00C61B71">
              <w:rPr>
                <w:rStyle w:val="Hipervnculo"/>
              </w:rPr>
              <w:t>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7</w:t>
            </w:r>
            <w:r w:rsidR="002E4C08">
              <w:rPr>
                <w:webHidden/>
              </w:rPr>
              <w:tab/>
            </w:r>
            <w:r w:rsidR="002E4C08">
              <w:rPr>
                <w:webHidden/>
              </w:rPr>
              <w:fldChar w:fldCharType="begin"/>
            </w:r>
            <w:r w:rsidR="002E4C08">
              <w:rPr>
                <w:webHidden/>
              </w:rPr>
              <w:instrText xml:space="preserve"> PAGEREF _Toc158211489 \h </w:instrText>
            </w:r>
            <w:r w:rsidR="002E4C08">
              <w:rPr>
                <w:webHidden/>
              </w:rPr>
            </w:r>
            <w:r w:rsidR="002E4C08">
              <w:rPr>
                <w:webHidden/>
              </w:rPr>
              <w:fldChar w:fldCharType="separate"/>
            </w:r>
            <w:r w:rsidR="0027336D">
              <w:rPr>
                <w:webHidden/>
              </w:rPr>
              <w:t>92</w:t>
            </w:r>
            <w:r w:rsidR="002E4C08">
              <w:rPr>
                <w:webHidden/>
              </w:rPr>
              <w:fldChar w:fldCharType="end"/>
            </w:r>
          </w:hyperlink>
        </w:p>
        <w:p w14:paraId="00958A61" w14:textId="41C8358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0" w:history="1">
            <w:r w:rsidR="002E4C08" w:rsidRPr="00C61B71">
              <w:rPr>
                <w:rStyle w:val="Hipervnculo"/>
              </w:rPr>
              <w:t>7.1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ACP</w:t>
            </w:r>
            <w:r w:rsidR="002E4C08">
              <w:rPr>
                <w:webHidden/>
              </w:rPr>
              <w:tab/>
            </w:r>
            <w:r w:rsidR="002E4C08">
              <w:rPr>
                <w:webHidden/>
              </w:rPr>
              <w:fldChar w:fldCharType="begin"/>
            </w:r>
            <w:r w:rsidR="002E4C08">
              <w:rPr>
                <w:webHidden/>
              </w:rPr>
              <w:instrText xml:space="preserve"> PAGEREF _Toc158211490 \h </w:instrText>
            </w:r>
            <w:r w:rsidR="002E4C08">
              <w:rPr>
                <w:webHidden/>
              </w:rPr>
            </w:r>
            <w:r w:rsidR="002E4C08">
              <w:rPr>
                <w:webHidden/>
              </w:rPr>
              <w:fldChar w:fldCharType="separate"/>
            </w:r>
            <w:r w:rsidR="0027336D">
              <w:rPr>
                <w:webHidden/>
              </w:rPr>
              <w:t>92</w:t>
            </w:r>
            <w:r w:rsidR="002E4C08">
              <w:rPr>
                <w:webHidden/>
              </w:rPr>
              <w:fldChar w:fldCharType="end"/>
            </w:r>
          </w:hyperlink>
        </w:p>
        <w:p w14:paraId="03EA58E0" w14:textId="73DBE62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1" w:history="1">
            <w:r w:rsidR="002E4C08" w:rsidRPr="00C61B71">
              <w:rPr>
                <w:rStyle w:val="Hipervnculo"/>
              </w:rPr>
              <w:t>7.2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ENEL Colombia S.A. E.S.P</w:t>
            </w:r>
            <w:r w:rsidR="002E4C08">
              <w:rPr>
                <w:webHidden/>
              </w:rPr>
              <w:tab/>
            </w:r>
            <w:r w:rsidR="002E4C08">
              <w:rPr>
                <w:webHidden/>
              </w:rPr>
              <w:fldChar w:fldCharType="begin"/>
            </w:r>
            <w:r w:rsidR="002E4C08">
              <w:rPr>
                <w:webHidden/>
              </w:rPr>
              <w:instrText xml:space="preserve"> PAGEREF _Toc158211491 \h </w:instrText>
            </w:r>
            <w:r w:rsidR="002E4C08">
              <w:rPr>
                <w:webHidden/>
              </w:rPr>
            </w:r>
            <w:r w:rsidR="002E4C08">
              <w:rPr>
                <w:webHidden/>
              </w:rPr>
              <w:fldChar w:fldCharType="separate"/>
            </w:r>
            <w:r w:rsidR="0027336D">
              <w:rPr>
                <w:webHidden/>
              </w:rPr>
              <w:t>92</w:t>
            </w:r>
            <w:r w:rsidR="002E4C08">
              <w:rPr>
                <w:webHidden/>
              </w:rPr>
              <w:fldChar w:fldCharType="end"/>
            </w:r>
          </w:hyperlink>
        </w:p>
        <w:p w14:paraId="5060453C" w14:textId="44EFC8E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2" w:history="1">
            <w:r w:rsidR="002E4C08" w:rsidRPr="00C61B71">
              <w:rPr>
                <w:rStyle w:val="Hipervnculo"/>
              </w:rPr>
              <w:t>7.3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_Toc158211492 \h </w:instrText>
            </w:r>
            <w:r w:rsidR="002E4C08">
              <w:rPr>
                <w:webHidden/>
              </w:rPr>
            </w:r>
            <w:r w:rsidR="002E4C08">
              <w:rPr>
                <w:webHidden/>
              </w:rPr>
              <w:fldChar w:fldCharType="separate"/>
            </w:r>
            <w:r w:rsidR="0027336D">
              <w:rPr>
                <w:webHidden/>
              </w:rPr>
              <w:t>92</w:t>
            </w:r>
            <w:r w:rsidR="002E4C08">
              <w:rPr>
                <w:webHidden/>
              </w:rPr>
              <w:fldChar w:fldCharType="end"/>
            </w:r>
          </w:hyperlink>
        </w:p>
        <w:p w14:paraId="184D00E6" w14:textId="6D6FF16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3" w:history="1">
            <w:r w:rsidR="002E4C08" w:rsidRPr="00C61B71">
              <w:rPr>
                <w:rStyle w:val="Hipervnculo"/>
              </w:rPr>
              <w:t>7.4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_Toc158211493 \h </w:instrText>
            </w:r>
            <w:r w:rsidR="002E4C08">
              <w:rPr>
                <w:webHidden/>
              </w:rPr>
            </w:r>
            <w:r w:rsidR="002E4C08">
              <w:rPr>
                <w:webHidden/>
              </w:rPr>
              <w:fldChar w:fldCharType="separate"/>
            </w:r>
            <w:r w:rsidR="0027336D">
              <w:rPr>
                <w:webHidden/>
              </w:rPr>
              <w:t>93</w:t>
            </w:r>
            <w:r w:rsidR="002E4C08">
              <w:rPr>
                <w:webHidden/>
              </w:rPr>
              <w:fldChar w:fldCharType="end"/>
            </w:r>
          </w:hyperlink>
        </w:p>
        <w:p w14:paraId="5D282509" w14:textId="0C6E20D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4" w:history="1">
            <w:r w:rsidR="002E4C08" w:rsidRPr="00C61B71">
              <w:rPr>
                <w:rStyle w:val="Hipervnculo"/>
              </w:rPr>
              <w:t>7.5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_Toc158211494 \h </w:instrText>
            </w:r>
            <w:r w:rsidR="002E4C08">
              <w:rPr>
                <w:webHidden/>
              </w:rPr>
            </w:r>
            <w:r w:rsidR="002E4C08">
              <w:rPr>
                <w:webHidden/>
              </w:rPr>
              <w:fldChar w:fldCharType="separate"/>
            </w:r>
            <w:r w:rsidR="0027336D">
              <w:rPr>
                <w:webHidden/>
              </w:rPr>
              <w:t>94</w:t>
            </w:r>
            <w:r w:rsidR="002E4C08">
              <w:rPr>
                <w:webHidden/>
              </w:rPr>
              <w:fldChar w:fldCharType="end"/>
            </w:r>
          </w:hyperlink>
        </w:p>
        <w:p w14:paraId="6821ADEC" w14:textId="02E0FA7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5" w:history="1">
            <w:r w:rsidR="002E4C08" w:rsidRPr="00C61B71">
              <w:rPr>
                <w:rStyle w:val="Hipervnculo"/>
              </w:rPr>
              <w:t>7.6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MADIGAS INGENIEROS SA ESP</w:t>
            </w:r>
            <w:r w:rsidR="002E4C08">
              <w:rPr>
                <w:webHidden/>
              </w:rPr>
              <w:tab/>
            </w:r>
            <w:r w:rsidR="002E4C08">
              <w:rPr>
                <w:webHidden/>
              </w:rPr>
              <w:fldChar w:fldCharType="begin"/>
            </w:r>
            <w:r w:rsidR="002E4C08">
              <w:rPr>
                <w:webHidden/>
              </w:rPr>
              <w:instrText xml:space="preserve"> PAGEREF _Toc158211495 \h </w:instrText>
            </w:r>
            <w:r w:rsidR="002E4C08">
              <w:rPr>
                <w:webHidden/>
              </w:rPr>
            </w:r>
            <w:r w:rsidR="002E4C08">
              <w:rPr>
                <w:webHidden/>
              </w:rPr>
              <w:fldChar w:fldCharType="separate"/>
            </w:r>
            <w:r w:rsidR="0027336D">
              <w:rPr>
                <w:webHidden/>
              </w:rPr>
              <w:t>94</w:t>
            </w:r>
            <w:r w:rsidR="002E4C08">
              <w:rPr>
                <w:webHidden/>
              </w:rPr>
              <w:fldChar w:fldCharType="end"/>
            </w:r>
          </w:hyperlink>
        </w:p>
        <w:p w14:paraId="6F1A26E6" w14:textId="4A418E4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6" w:history="1">
            <w:r w:rsidR="002E4C08" w:rsidRPr="00C61B71">
              <w:rPr>
                <w:rStyle w:val="Hipervnculo"/>
              </w:rPr>
              <w:t>7.7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_Toc158211496 \h </w:instrText>
            </w:r>
            <w:r w:rsidR="002E4C08">
              <w:rPr>
                <w:webHidden/>
              </w:rPr>
            </w:r>
            <w:r w:rsidR="002E4C08">
              <w:rPr>
                <w:webHidden/>
              </w:rPr>
              <w:fldChar w:fldCharType="separate"/>
            </w:r>
            <w:r w:rsidR="0027336D">
              <w:rPr>
                <w:webHidden/>
              </w:rPr>
              <w:t>94</w:t>
            </w:r>
            <w:r w:rsidR="002E4C08">
              <w:rPr>
                <w:webHidden/>
              </w:rPr>
              <w:fldChar w:fldCharType="end"/>
            </w:r>
          </w:hyperlink>
        </w:p>
        <w:p w14:paraId="59534289" w14:textId="1E1D9533"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497" w:history="1">
            <w:r w:rsidR="002E4C08" w:rsidRPr="00C61B71">
              <w:rPr>
                <w:rStyle w:val="Hipervnculo"/>
              </w:rPr>
              <w:t>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8</w:t>
            </w:r>
            <w:r w:rsidR="002E4C08">
              <w:rPr>
                <w:webHidden/>
              </w:rPr>
              <w:tab/>
            </w:r>
            <w:r w:rsidR="002E4C08">
              <w:rPr>
                <w:webHidden/>
              </w:rPr>
              <w:fldChar w:fldCharType="begin"/>
            </w:r>
            <w:r w:rsidR="002E4C08">
              <w:rPr>
                <w:webHidden/>
              </w:rPr>
              <w:instrText xml:space="preserve"> PAGEREF _Toc158211497 \h </w:instrText>
            </w:r>
            <w:r w:rsidR="002E4C08">
              <w:rPr>
                <w:webHidden/>
              </w:rPr>
            </w:r>
            <w:r w:rsidR="002E4C08">
              <w:rPr>
                <w:webHidden/>
              </w:rPr>
              <w:fldChar w:fldCharType="separate"/>
            </w:r>
            <w:r w:rsidR="0027336D">
              <w:rPr>
                <w:webHidden/>
              </w:rPr>
              <w:t>95</w:t>
            </w:r>
            <w:r w:rsidR="002E4C08">
              <w:rPr>
                <w:webHidden/>
              </w:rPr>
              <w:fldChar w:fldCharType="end"/>
            </w:r>
          </w:hyperlink>
        </w:p>
        <w:p w14:paraId="6A2C5AB5" w14:textId="1F7978F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8" w:history="1">
            <w:r w:rsidR="002E4C08" w:rsidRPr="00C61B71">
              <w:rPr>
                <w:rStyle w:val="Hipervnculo"/>
              </w:rPr>
              <w:t>8.1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Alcanos de Colombia S.A. E.S.P.</w:t>
            </w:r>
            <w:r w:rsidR="002E4C08">
              <w:rPr>
                <w:webHidden/>
              </w:rPr>
              <w:tab/>
            </w:r>
            <w:r w:rsidR="002E4C08">
              <w:rPr>
                <w:webHidden/>
              </w:rPr>
              <w:fldChar w:fldCharType="begin"/>
            </w:r>
            <w:r w:rsidR="002E4C08">
              <w:rPr>
                <w:webHidden/>
              </w:rPr>
              <w:instrText xml:space="preserve"> PAGEREF _Toc158211498 \h </w:instrText>
            </w:r>
            <w:r w:rsidR="002E4C08">
              <w:rPr>
                <w:webHidden/>
              </w:rPr>
            </w:r>
            <w:r w:rsidR="002E4C08">
              <w:rPr>
                <w:webHidden/>
              </w:rPr>
              <w:fldChar w:fldCharType="separate"/>
            </w:r>
            <w:r w:rsidR="0027336D">
              <w:rPr>
                <w:webHidden/>
              </w:rPr>
              <w:t>95</w:t>
            </w:r>
            <w:r w:rsidR="002E4C08">
              <w:rPr>
                <w:webHidden/>
              </w:rPr>
              <w:fldChar w:fldCharType="end"/>
            </w:r>
          </w:hyperlink>
        </w:p>
        <w:p w14:paraId="42A0C2E5" w14:textId="7377CFE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499" w:history="1">
            <w:r w:rsidR="002E4C08" w:rsidRPr="00C61B71">
              <w:rPr>
                <w:rStyle w:val="Hipervnculo"/>
              </w:rPr>
              <w:t>8.2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ASOENERGIA</w:t>
            </w:r>
            <w:r w:rsidR="002E4C08">
              <w:rPr>
                <w:webHidden/>
              </w:rPr>
              <w:tab/>
            </w:r>
            <w:r w:rsidR="002E4C08">
              <w:rPr>
                <w:webHidden/>
              </w:rPr>
              <w:fldChar w:fldCharType="begin"/>
            </w:r>
            <w:r w:rsidR="002E4C08">
              <w:rPr>
                <w:webHidden/>
              </w:rPr>
              <w:instrText xml:space="preserve"> PAGEREF _Toc158211499 \h </w:instrText>
            </w:r>
            <w:r w:rsidR="002E4C08">
              <w:rPr>
                <w:webHidden/>
              </w:rPr>
            </w:r>
            <w:r w:rsidR="002E4C08">
              <w:rPr>
                <w:webHidden/>
              </w:rPr>
              <w:fldChar w:fldCharType="separate"/>
            </w:r>
            <w:r w:rsidR="0027336D">
              <w:rPr>
                <w:webHidden/>
              </w:rPr>
              <w:t>96</w:t>
            </w:r>
            <w:r w:rsidR="002E4C08">
              <w:rPr>
                <w:webHidden/>
              </w:rPr>
              <w:fldChar w:fldCharType="end"/>
            </w:r>
          </w:hyperlink>
        </w:p>
        <w:p w14:paraId="2C61AFAC" w14:textId="2DAA89B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0" w:history="1">
            <w:r w:rsidR="002E4C08" w:rsidRPr="00C61B71">
              <w:rPr>
                <w:rStyle w:val="Hipervnculo"/>
              </w:rPr>
              <w:t>8.3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CANACOL</w:t>
            </w:r>
            <w:r w:rsidR="002E4C08">
              <w:rPr>
                <w:webHidden/>
              </w:rPr>
              <w:tab/>
            </w:r>
            <w:r w:rsidR="002E4C08">
              <w:rPr>
                <w:webHidden/>
              </w:rPr>
              <w:fldChar w:fldCharType="begin"/>
            </w:r>
            <w:r w:rsidR="002E4C08">
              <w:rPr>
                <w:webHidden/>
              </w:rPr>
              <w:instrText xml:space="preserve"> PAGEREF _Toc158211500 \h </w:instrText>
            </w:r>
            <w:r w:rsidR="002E4C08">
              <w:rPr>
                <w:webHidden/>
              </w:rPr>
            </w:r>
            <w:r w:rsidR="002E4C08">
              <w:rPr>
                <w:webHidden/>
              </w:rPr>
              <w:fldChar w:fldCharType="separate"/>
            </w:r>
            <w:r w:rsidR="0027336D">
              <w:rPr>
                <w:webHidden/>
              </w:rPr>
              <w:t>97</w:t>
            </w:r>
            <w:r w:rsidR="002E4C08">
              <w:rPr>
                <w:webHidden/>
              </w:rPr>
              <w:fldChar w:fldCharType="end"/>
            </w:r>
          </w:hyperlink>
        </w:p>
        <w:p w14:paraId="3A9D2337" w14:textId="5FC0C95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1" w:history="1">
            <w:r w:rsidR="002E4C08" w:rsidRPr="00C61B71">
              <w:rPr>
                <w:rStyle w:val="Hipervnculo"/>
              </w:rPr>
              <w:t>8.4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Calamarí LNG</w:t>
            </w:r>
            <w:r w:rsidR="002E4C08">
              <w:rPr>
                <w:webHidden/>
              </w:rPr>
              <w:tab/>
            </w:r>
            <w:r w:rsidR="002E4C08">
              <w:rPr>
                <w:webHidden/>
              </w:rPr>
              <w:fldChar w:fldCharType="begin"/>
            </w:r>
            <w:r w:rsidR="002E4C08">
              <w:rPr>
                <w:webHidden/>
              </w:rPr>
              <w:instrText xml:space="preserve"> PAGEREF _Toc158211501 \h </w:instrText>
            </w:r>
            <w:r w:rsidR="002E4C08">
              <w:rPr>
                <w:webHidden/>
              </w:rPr>
            </w:r>
            <w:r w:rsidR="002E4C08">
              <w:rPr>
                <w:webHidden/>
              </w:rPr>
              <w:fldChar w:fldCharType="separate"/>
            </w:r>
            <w:r w:rsidR="0027336D">
              <w:rPr>
                <w:webHidden/>
              </w:rPr>
              <w:t>98</w:t>
            </w:r>
            <w:r w:rsidR="002E4C08">
              <w:rPr>
                <w:webHidden/>
              </w:rPr>
              <w:fldChar w:fldCharType="end"/>
            </w:r>
          </w:hyperlink>
        </w:p>
        <w:p w14:paraId="395CC4A1" w14:textId="6B6F6B2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2" w:history="1">
            <w:r w:rsidR="002E4C08" w:rsidRPr="00C61B71">
              <w:rPr>
                <w:rStyle w:val="Hipervnculo"/>
              </w:rPr>
              <w:t>8.5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_Toc158211502 \h </w:instrText>
            </w:r>
            <w:r w:rsidR="002E4C08">
              <w:rPr>
                <w:webHidden/>
              </w:rPr>
            </w:r>
            <w:r w:rsidR="002E4C08">
              <w:rPr>
                <w:webHidden/>
              </w:rPr>
              <w:fldChar w:fldCharType="separate"/>
            </w:r>
            <w:r w:rsidR="0027336D">
              <w:rPr>
                <w:webHidden/>
              </w:rPr>
              <w:t>99</w:t>
            </w:r>
            <w:r w:rsidR="002E4C08">
              <w:rPr>
                <w:webHidden/>
              </w:rPr>
              <w:fldChar w:fldCharType="end"/>
            </w:r>
          </w:hyperlink>
        </w:p>
        <w:p w14:paraId="36F0318D" w14:textId="2206EFB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3" w:history="1">
            <w:r w:rsidR="002E4C08" w:rsidRPr="00C61B71">
              <w:rPr>
                <w:rStyle w:val="Hipervnculo"/>
              </w:rPr>
              <w:t>8.6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_Toc158211503 \h </w:instrText>
            </w:r>
            <w:r w:rsidR="002E4C08">
              <w:rPr>
                <w:webHidden/>
              </w:rPr>
            </w:r>
            <w:r w:rsidR="002E4C08">
              <w:rPr>
                <w:webHidden/>
              </w:rPr>
              <w:fldChar w:fldCharType="separate"/>
            </w:r>
            <w:r w:rsidR="0027336D">
              <w:rPr>
                <w:webHidden/>
              </w:rPr>
              <w:t>99</w:t>
            </w:r>
            <w:r w:rsidR="002E4C08">
              <w:rPr>
                <w:webHidden/>
              </w:rPr>
              <w:fldChar w:fldCharType="end"/>
            </w:r>
          </w:hyperlink>
        </w:p>
        <w:p w14:paraId="37A9B8A1" w14:textId="3C7343D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4" w:history="1">
            <w:r w:rsidR="002E4C08" w:rsidRPr="00C61B71">
              <w:rPr>
                <w:rStyle w:val="Hipervnculo"/>
              </w:rPr>
              <w:t>8.7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_Toc158211504 \h </w:instrText>
            </w:r>
            <w:r w:rsidR="002E4C08">
              <w:rPr>
                <w:webHidden/>
              </w:rPr>
            </w:r>
            <w:r w:rsidR="002E4C08">
              <w:rPr>
                <w:webHidden/>
              </w:rPr>
              <w:fldChar w:fldCharType="separate"/>
            </w:r>
            <w:r w:rsidR="0027336D">
              <w:rPr>
                <w:webHidden/>
              </w:rPr>
              <w:t>100</w:t>
            </w:r>
            <w:r w:rsidR="002E4C08">
              <w:rPr>
                <w:webHidden/>
              </w:rPr>
              <w:fldChar w:fldCharType="end"/>
            </w:r>
          </w:hyperlink>
        </w:p>
        <w:p w14:paraId="051CBA21" w14:textId="179687F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5" w:history="1">
            <w:r w:rsidR="002E4C08" w:rsidRPr="00C61B71">
              <w:rPr>
                <w:rStyle w:val="Hipervnculo"/>
              </w:rPr>
              <w:t>8.8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ENEL Colombia S.A. E.S.P</w:t>
            </w:r>
            <w:r w:rsidR="002E4C08">
              <w:rPr>
                <w:webHidden/>
              </w:rPr>
              <w:tab/>
            </w:r>
            <w:r w:rsidR="002E4C08">
              <w:rPr>
                <w:webHidden/>
              </w:rPr>
              <w:fldChar w:fldCharType="begin"/>
            </w:r>
            <w:r w:rsidR="002E4C08">
              <w:rPr>
                <w:webHidden/>
              </w:rPr>
              <w:instrText xml:space="preserve"> PAGEREF _Toc158211505 \h </w:instrText>
            </w:r>
            <w:r w:rsidR="002E4C08">
              <w:rPr>
                <w:webHidden/>
              </w:rPr>
            </w:r>
            <w:r w:rsidR="002E4C08">
              <w:rPr>
                <w:webHidden/>
              </w:rPr>
              <w:fldChar w:fldCharType="separate"/>
            </w:r>
            <w:r w:rsidR="0027336D">
              <w:rPr>
                <w:webHidden/>
              </w:rPr>
              <w:t>101</w:t>
            </w:r>
            <w:r w:rsidR="002E4C08">
              <w:rPr>
                <w:webHidden/>
              </w:rPr>
              <w:fldChar w:fldCharType="end"/>
            </w:r>
          </w:hyperlink>
        </w:p>
        <w:p w14:paraId="3A1D3BF6" w14:textId="3752802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6" w:history="1">
            <w:r w:rsidR="002E4C08" w:rsidRPr="00C61B71">
              <w:rPr>
                <w:rStyle w:val="Hipervnculo"/>
              </w:rPr>
              <w:t>8.9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Caribe</w:t>
            </w:r>
            <w:r w:rsidR="002E4C08">
              <w:rPr>
                <w:webHidden/>
              </w:rPr>
              <w:tab/>
            </w:r>
            <w:r w:rsidR="002E4C08">
              <w:rPr>
                <w:webHidden/>
              </w:rPr>
              <w:fldChar w:fldCharType="begin"/>
            </w:r>
            <w:r w:rsidR="002E4C08">
              <w:rPr>
                <w:webHidden/>
              </w:rPr>
              <w:instrText xml:space="preserve"> PAGEREF _Toc158211506 \h </w:instrText>
            </w:r>
            <w:r w:rsidR="002E4C08">
              <w:rPr>
                <w:webHidden/>
              </w:rPr>
            </w:r>
            <w:r w:rsidR="002E4C08">
              <w:rPr>
                <w:webHidden/>
              </w:rPr>
              <w:fldChar w:fldCharType="separate"/>
            </w:r>
            <w:r w:rsidR="0027336D">
              <w:rPr>
                <w:webHidden/>
              </w:rPr>
              <w:t>101</w:t>
            </w:r>
            <w:r w:rsidR="002E4C08">
              <w:rPr>
                <w:webHidden/>
              </w:rPr>
              <w:fldChar w:fldCharType="end"/>
            </w:r>
          </w:hyperlink>
        </w:p>
        <w:p w14:paraId="0E921A25" w14:textId="3128853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7" w:history="1">
            <w:r w:rsidR="002E4C08" w:rsidRPr="00C61B71">
              <w:rPr>
                <w:rStyle w:val="Hipervnculo"/>
              </w:rPr>
              <w:t>8.10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GECELCA SA ESP</w:t>
            </w:r>
            <w:r w:rsidR="002E4C08">
              <w:rPr>
                <w:webHidden/>
              </w:rPr>
              <w:tab/>
            </w:r>
            <w:r w:rsidR="002E4C08">
              <w:rPr>
                <w:webHidden/>
              </w:rPr>
              <w:fldChar w:fldCharType="begin"/>
            </w:r>
            <w:r w:rsidR="002E4C08">
              <w:rPr>
                <w:webHidden/>
              </w:rPr>
              <w:instrText xml:space="preserve"> PAGEREF _Toc158211507 \h </w:instrText>
            </w:r>
            <w:r w:rsidR="002E4C08">
              <w:rPr>
                <w:webHidden/>
              </w:rPr>
            </w:r>
            <w:r w:rsidR="002E4C08">
              <w:rPr>
                <w:webHidden/>
              </w:rPr>
              <w:fldChar w:fldCharType="separate"/>
            </w:r>
            <w:r w:rsidR="0027336D">
              <w:rPr>
                <w:webHidden/>
              </w:rPr>
              <w:t>102</w:t>
            </w:r>
            <w:r w:rsidR="002E4C08">
              <w:rPr>
                <w:webHidden/>
              </w:rPr>
              <w:fldChar w:fldCharType="end"/>
            </w:r>
          </w:hyperlink>
        </w:p>
        <w:p w14:paraId="1601C5C0" w14:textId="369EC4B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8" w:history="1">
            <w:r w:rsidR="002E4C08" w:rsidRPr="00C61B71">
              <w:rPr>
                <w:rStyle w:val="Hipervnculo"/>
              </w:rPr>
              <w:t>8.11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_Toc158211508 \h </w:instrText>
            </w:r>
            <w:r w:rsidR="002E4C08">
              <w:rPr>
                <w:webHidden/>
              </w:rPr>
            </w:r>
            <w:r w:rsidR="002E4C08">
              <w:rPr>
                <w:webHidden/>
              </w:rPr>
              <w:fldChar w:fldCharType="separate"/>
            </w:r>
            <w:r w:rsidR="0027336D">
              <w:rPr>
                <w:webHidden/>
              </w:rPr>
              <w:t>102</w:t>
            </w:r>
            <w:r w:rsidR="002E4C08">
              <w:rPr>
                <w:webHidden/>
              </w:rPr>
              <w:fldChar w:fldCharType="end"/>
            </w:r>
          </w:hyperlink>
        </w:p>
        <w:p w14:paraId="5D0C1517" w14:textId="52CEF67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09" w:history="1">
            <w:r w:rsidR="002E4C08" w:rsidRPr="00C61B71">
              <w:rPr>
                <w:rStyle w:val="Hipervnculo"/>
              </w:rPr>
              <w:t>8.12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Metrogas de Colombia SA ESP</w:t>
            </w:r>
            <w:r w:rsidR="002E4C08">
              <w:rPr>
                <w:webHidden/>
              </w:rPr>
              <w:tab/>
            </w:r>
            <w:r w:rsidR="002E4C08">
              <w:rPr>
                <w:webHidden/>
              </w:rPr>
              <w:fldChar w:fldCharType="begin"/>
            </w:r>
            <w:r w:rsidR="002E4C08">
              <w:rPr>
                <w:webHidden/>
              </w:rPr>
              <w:instrText xml:space="preserve"> PAGEREF _Toc158211509 \h </w:instrText>
            </w:r>
            <w:r w:rsidR="002E4C08">
              <w:rPr>
                <w:webHidden/>
              </w:rPr>
            </w:r>
            <w:r w:rsidR="002E4C08">
              <w:rPr>
                <w:webHidden/>
              </w:rPr>
              <w:fldChar w:fldCharType="separate"/>
            </w:r>
            <w:r w:rsidR="0027336D">
              <w:rPr>
                <w:webHidden/>
              </w:rPr>
              <w:t>103</w:t>
            </w:r>
            <w:r w:rsidR="002E4C08">
              <w:rPr>
                <w:webHidden/>
              </w:rPr>
              <w:fldChar w:fldCharType="end"/>
            </w:r>
          </w:hyperlink>
        </w:p>
        <w:p w14:paraId="3391F1FE" w14:textId="7536E9B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0" w:history="1">
            <w:r w:rsidR="002E4C08" w:rsidRPr="00C61B71">
              <w:rPr>
                <w:rStyle w:val="Hipervnculo"/>
              </w:rPr>
              <w:t>8.13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_Toc158211510 \h </w:instrText>
            </w:r>
            <w:r w:rsidR="002E4C08">
              <w:rPr>
                <w:webHidden/>
              </w:rPr>
            </w:r>
            <w:r w:rsidR="002E4C08">
              <w:rPr>
                <w:webHidden/>
              </w:rPr>
              <w:fldChar w:fldCharType="separate"/>
            </w:r>
            <w:r w:rsidR="0027336D">
              <w:rPr>
                <w:webHidden/>
              </w:rPr>
              <w:t>103</w:t>
            </w:r>
            <w:r w:rsidR="002E4C08">
              <w:rPr>
                <w:webHidden/>
              </w:rPr>
              <w:fldChar w:fldCharType="end"/>
            </w:r>
          </w:hyperlink>
        </w:p>
        <w:p w14:paraId="00FD6090" w14:textId="0B46DCE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1" w:history="1">
            <w:r w:rsidR="002E4C08" w:rsidRPr="00C61B71">
              <w:rPr>
                <w:rStyle w:val="Hipervnculo"/>
              </w:rPr>
              <w:t>8.14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_Toc158211511 \h </w:instrText>
            </w:r>
            <w:r w:rsidR="002E4C08">
              <w:rPr>
                <w:webHidden/>
              </w:rPr>
            </w:r>
            <w:r w:rsidR="002E4C08">
              <w:rPr>
                <w:webHidden/>
              </w:rPr>
              <w:fldChar w:fldCharType="separate"/>
            </w:r>
            <w:r w:rsidR="0027336D">
              <w:rPr>
                <w:webHidden/>
              </w:rPr>
              <w:t>104</w:t>
            </w:r>
            <w:r w:rsidR="002E4C08">
              <w:rPr>
                <w:webHidden/>
              </w:rPr>
              <w:fldChar w:fldCharType="end"/>
            </w:r>
          </w:hyperlink>
        </w:p>
        <w:p w14:paraId="136E2C23" w14:textId="6EC65F4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2" w:history="1">
            <w:r w:rsidR="002E4C08" w:rsidRPr="00C61B71">
              <w:rPr>
                <w:rStyle w:val="Hipervnculo"/>
              </w:rPr>
              <w:t>8.15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PETROMIL GAS S.A.S. E.S.P.</w:t>
            </w:r>
            <w:r w:rsidR="002E4C08">
              <w:rPr>
                <w:webHidden/>
              </w:rPr>
              <w:tab/>
            </w:r>
            <w:r w:rsidR="002E4C08">
              <w:rPr>
                <w:webHidden/>
              </w:rPr>
              <w:fldChar w:fldCharType="begin"/>
            </w:r>
            <w:r w:rsidR="002E4C08">
              <w:rPr>
                <w:webHidden/>
              </w:rPr>
              <w:instrText xml:space="preserve"> PAGEREF _Toc158211512 \h </w:instrText>
            </w:r>
            <w:r w:rsidR="002E4C08">
              <w:rPr>
                <w:webHidden/>
              </w:rPr>
            </w:r>
            <w:r w:rsidR="002E4C08">
              <w:rPr>
                <w:webHidden/>
              </w:rPr>
              <w:fldChar w:fldCharType="separate"/>
            </w:r>
            <w:r w:rsidR="0027336D">
              <w:rPr>
                <w:webHidden/>
              </w:rPr>
              <w:t>104</w:t>
            </w:r>
            <w:r w:rsidR="002E4C08">
              <w:rPr>
                <w:webHidden/>
              </w:rPr>
              <w:fldChar w:fldCharType="end"/>
            </w:r>
          </w:hyperlink>
        </w:p>
        <w:p w14:paraId="049FFA8F" w14:textId="3F416B7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3" w:history="1">
            <w:r w:rsidR="002E4C08" w:rsidRPr="00C61B71">
              <w:rPr>
                <w:rStyle w:val="Hipervnculo"/>
              </w:rPr>
              <w:t>8.16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Prime Energía</w:t>
            </w:r>
            <w:r w:rsidR="002E4C08">
              <w:rPr>
                <w:webHidden/>
              </w:rPr>
              <w:tab/>
            </w:r>
            <w:r w:rsidR="002E4C08">
              <w:rPr>
                <w:webHidden/>
              </w:rPr>
              <w:fldChar w:fldCharType="begin"/>
            </w:r>
            <w:r w:rsidR="002E4C08">
              <w:rPr>
                <w:webHidden/>
              </w:rPr>
              <w:instrText xml:space="preserve"> PAGEREF _Toc158211513 \h </w:instrText>
            </w:r>
            <w:r w:rsidR="002E4C08">
              <w:rPr>
                <w:webHidden/>
              </w:rPr>
            </w:r>
            <w:r w:rsidR="002E4C08">
              <w:rPr>
                <w:webHidden/>
              </w:rPr>
              <w:fldChar w:fldCharType="separate"/>
            </w:r>
            <w:r w:rsidR="0027336D">
              <w:rPr>
                <w:webHidden/>
              </w:rPr>
              <w:t>105</w:t>
            </w:r>
            <w:r w:rsidR="002E4C08">
              <w:rPr>
                <w:webHidden/>
              </w:rPr>
              <w:fldChar w:fldCharType="end"/>
            </w:r>
          </w:hyperlink>
        </w:p>
        <w:p w14:paraId="085BF5A4" w14:textId="4997733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4" w:history="1">
            <w:r w:rsidR="002E4C08" w:rsidRPr="00C61B71">
              <w:rPr>
                <w:rStyle w:val="Hipervnculo"/>
              </w:rPr>
              <w:t>8.17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Progasur</w:t>
            </w:r>
            <w:r w:rsidR="002E4C08">
              <w:rPr>
                <w:webHidden/>
              </w:rPr>
              <w:tab/>
            </w:r>
            <w:r w:rsidR="002E4C08">
              <w:rPr>
                <w:webHidden/>
              </w:rPr>
              <w:fldChar w:fldCharType="begin"/>
            </w:r>
            <w:r w:rsidR="002E4C08">
              <w:rPr>
                <w:webHidden/>
              </w:rPr>
              <w:instrText xml:space="preserve"> PAGEREF _Toc158211514 \h </w:instrText>
            </w:r>
            <w:r w:rsidR="002E4C08">
              <w:rPr>
                <w:webHidden/>
              </w:rPr>
            </w:r>
            <w:r w:rsidR="002E4C08">
              <w:rPr>
                <w:webHidden/>
              </w:rPr>
              <w:fldChar w:fldCharType="separate"/>
            </w:r>
            <w:r w:rsidR="0027336D">
              <w:rPr>
                <w:webHidden/>
              </w:rPr>
              <w:t>106</w:t>
            </w:r>
            <w:r w:rsidR="002E4C08">
              <w:rPr>
                <w:webHidden/>
              </w:rPr>
              <w:fldChar w:fldCharType="end"/>
            </w:r>
          </w:hyperlink>
        </w:p>
        <w:p w14:paraId="4AEB3A74" w14:textId="2261E88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5" w:history="1">
            <w:r w:rsidR="002E4C08" w:rsidRPr="00C61B71">
              <w:rPr>
                <w:rStyle w:val="Hipervnculo"/>
              </w:rPr>
              <w:t>8.18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_Toc158211515 \h </w:instrText>
            </w:r>
            <w:r w:rsidR="002E4C08">
              <w:rPr>
                <w:webHidden/>
              </w:rPr>
            </w:r>
            <w:r w:rsidR="002E4C08">
              <w:rPr>
                <w:webHidden/>
              </w:rPr>
              <w:fldChar w:fldCharType="separate"/>
            </w:r>
            <w:r w:rsidR="0027336D">
              <w:rPr>
                <w:webHidden/>
              </w:rPr>
              <w:t>106</w:t>
            </w:r>
            <w:r w:rsidR="002E4C08">
              <w:rPr>
                <w:webHidden/>
              </w:rPr>
              <w:fldChar w:fldCharType="end"/>
            </w:r>
          </w:hyperlink>
        </w:p>
        <w:p w14:paraId="3D2E5A3B" w14:textId="44BB71E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6" w:history="1">
            <w:r w:rsidR="002E4C08" w:rsidRPr="00C61B71">
              <w:rPr>
                <w:rStyle w:val="Hipervnculo"/>
              </w:rPr>
              <w:t>8.19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TERMONORTE S.A.S. E.S.P.</w:t>
            </w:r>
            <w:r w:rsidR="002E4C08">
              <w:rPr>
                <w:webHidden/>
              </w:rPr>
              <w:tab/>
            </w:r>
            <w:r w:rsidR="002E4C08">
              <w:rPr>
                <w:webHidden/>
              </w:rPr>
              <w:fldChar w:fldCharType="begin"/>
            </w:r>
            <w:r w:rsidR="002E4C08">
              <w:rPr>
                <w:webHidden/>
              </w:rPr>
              <w:instrText xml:space="preserve"> PAGEREF _Toc158211516 \h </w:instrText>
            </w:r>
            <w:r w:rsidR="002E4C08">
              <w:rPr>
                <w:webHidden/>
              </w:rPr>
            </w:r>
            <w:r w:rsidR="002E4C08">
              <w:rPr>
                <w:webHidden/>
              </w:rPr>
              <w:fldChar w:fldCharType="separate"/>
            </w:r>
            <w:r w:rsidR="0027336D">
              <w:rPr>
                <w:webHidden/>
              </w:rPr>
              <w:t>106</w:t>
            </w:r>
            <w:r w:rsidR="002E4C08">
              <w:rPr>
                <w:webHidden/>
              </w:rPr>
              <w:fldChar w:fldCharType="end"/>
            </w:r>
          </w:hyperlink>
        </w:p>
        <w:p w14:paraId="364862C0" w14:textId="55E67FC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7" w:history="1">
            <w:r w:rsidR="002E4C08" w:rsidRPr="00C61B71">
              <w:rPr>
                <w:rStyle w:val="Hipervnculo"/>
              </w:rPr>
              <w:t>8.20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_Toc158211517 \h </w:instrText>
            </w:r>
            <w:r w:rsidR="002E4C08">
              <w:rPr>
                <w:webHidden/>
              </w:rPr>
            </w:r>
            <w:r w:rsidR="002E4C08">
              <w:rPr>
                <w:webHidden/>
              </w:rPr>
              <w:fldChar w:fldCharType="separate"/>
            </w:r>
            <w:r w:rsidR="0027336D">
              <w:rPr>
                <w:webHidden/>
              </w:rPr>
              <w:t>107</w:t>
            </w:r>
            <w:r w:rsidR="002E4C08">
              <w:rPr>
                <w:webHidden/>
              </w:rPr>
              <w:fldChar w:fldCharType="end"/>
            </w:r>
          </w:hyperlink>
        </w:p>
        <w:p w14:paraId="12012703" w14:textId="461525C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8" w:history="1">
            <w:r w:rsidR="002E4C08" w:rsidRPr="00C61B71">
              <w:rPr>
                <w:rStyle w:val="Hipervnculo"/>
              </w:rPr>
              <w:t>8.21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_Toc158211518 \h </w:instrText>
            </w:r>
            <w:r w:rsidR="002E4C08">
              <w:rPr>
                <w:webHidden/>
              </w:rPr>
            </w:r>
            <w:r w:rsidR="002E4C08">
              <w:rPr>
                <w:webHidden/>
              </w:rPr>
              <w:fldChar w:fldCharType="separate"/>
            </w:r>
            <w:r w:rsidR="0027336D">
              <w:rPr>
                <w:webHidden/>
              </w:rPr>
              <w:t>107</w:t>
            </w:r>
            <w:r w:rsidR="002E4C08">
              <w:rPr>
                <w:webHidden/>
              </w:rPr>
              <w:fldChar w:fldCharType="end"/>
            </w:r>
          </w:hyperlink>
        </w:p>
        <w:p w14:paraId="51424799" w14:textId="3B623D0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19" w:history="1">
            <w:r w:rsidR="002E4C08" w:rsidRPr="00C61B71">
              <w:rPr>
                <w:rStyle w:val="Hipervnculo"/>
              </w:rPr>
              <w:t>8.22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_Toc158211519 \h </w:instrText>
            </w:r>
            <w:r w:rsidR="002E4C08">
              <w:rPr>
                <w:webHidden/>
              </w:rPr>
            </w:r>
            <w:r w:rsidR="002E4C08">
              <w:rPr>
                <w:webHidden/>
              </w:rPr>
              <w:fldChar w:fldCharType="separate"/>
            </w:r>
            <w:r w:rsidR="0027336D">
              <w:rPr>
                <w:webHidden/>
              </w:rPr>
              <w:t>107</w:t>
            </w:r>
            <w:r w:rsidR="002E4C08">
              <w:rPr>
                <w:webHidden/>
              </w:rPr>
              <w:fldChar w:fldCharType="end"/>
            </w:r>
          </w:hyperlink>
        </w:p>
        <w:p w14:paraId="76C1AA8C" w14:textId="3782F27D"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20" w:history="1">
            <w:r w:rsidR="002E4C08" w:rsidRPr="00C61B71">
              <w:rPr>
                <w:rStyle w:val="Hipervnculo"/>
              </w:rPr>
              <w:t>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9</w:t>
            </w:r>
            <w:r w:rsidR="002E4C08">
              <w:rPr>
                <w:webHidden/>
              </w:rPr>
              <w:tab/>
            </w:r>
            <w:r w:rsidR="002E4C08">
              <w:rPr>
                <w:webHidden/>
              </w:rPr>
              <w:fldChar w:fldCharType="begin"/>
            </w:r>
            <w:r w:rsidR="002E4C08">
              <w:rPr>
                <w:webHidden/>
              </w:rPr>
              <w:instrText xml:space="preserve"> PAGEREF _Toc158211520 \h </w:instrText>
            </w:r>
            <w:r w:rsidR="002E4C08">
              <w:rPr>
                <w:webHidden/>
              </w:rPr>
            </w:r>
            <w:r w:rsidR="002E4C08">
              <w:rPr>
                <w:webHidden/>
              </w:rPr>
              <w:fldChar w:fldCharType="separate"/>
            </w:r>
            <w:r w:rsidR="0027336D">
              <w:rPr>
                <w:webHidden/>
              </w:rPr>
              <w:t>108</w:t>
            </w:r>
            <w:r w:rsidR="002E4C08">
              <w:rPr>
                <w:webHidden/>
              </w:rPr>
              <w:fldChar w:fldCharType="end"/>
            </w:r>
          </w:hyperlink>
        </w:p>
        <w:p w14:paraId="7EB8A143" w14:textId="73E0062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1" w:history="1">
            <w:r w:rsidR="002E4C08" w:rsidRPr="00C61B71">
              <w:rPr>
                <w:rStyle w:val="Hipervnculo"/>
              </w:rPr>
              <w:t>9.1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Andesco</w:t>
            </w:r>
            <w:r w:rsidR="002E4C08">
              <w:rPr>
                <w:webHidden/>
              </w:rPr>
              <w:tab/>
            </w:r>
            <w:r w:rsidR="002E4C08">
              <w:rPr>
                <w:webHidden/>
              </w:rPr>
              <w:fldChar w:fldCharType="begin"/>
            </w:r>
            <w:r w:rsidR="002E4C08">
              <w:rPr>
                <w:webHidden/>
              </w:rPr>
              <w:instrText xml:space="preserve"> PAGEREF _Toc158211521 \h </w:instrText>
            </w:r>
            <w:r w:rsidR="002E4C08">
              <w:rPr>
                <w:webHidden/>
              </w:rPr>
            </w:r>
            <w:r w:rsidR="002E4C08">
              <w:rPr>
                <w:webHidden/>
              </w:rPr>
              <w:fldChar w:fldCharType="separate"/>
            </w:r>
            <w:r w:rsidR="0027336D">
              <w:rPr>
                <w:webHidden/>
              </w:rPr>
              <w:t>108</w:t>
            </w:r>
            <w:r w:rsidR="002E4C08">
              <w:rPr>
                <w:webHidden/>
              </w:rPr>
              <w:fldChar w:fldCharType="end"/>
            </w:r>
          </w:hyperlink>
        </w:p>
        <w:p w14:paraId="0C0F7078" w14:textId="31E71ED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2" w:history="1">
            <w:r w:rsidR="002E4C08" w:rsidRPr="00C61B71">
              <w:rPr>
                <w:rStyle w:val="Hipervnculo"/>
              </w:rPr>
              <w:t>9.2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_Toc158211522 \h </w:instrText>
            </w:r>
            <w:r w:rsidR="002E4C08">
              <w:rPr>
                <w:webHidden/>
              </w:rPr>
            </w:r>
            <w:r w:rsidR="002E4C08">
              <w:rPr>
                <w:webHidden/>
              </w:rPr>
              <w:fldChar w:fldCharType="separate"/>
            </w:r>
            <w:r w:rsidR="0027336D">
              <w:rPr>
                <w:webHidden/>
              </w:rPr>
              <w:t>110</w:t>
            </w:r>
            <w:r w:rsidR="002E4C08">
              <w:rPr>
                <w:webHidden/>
              </w:rPr>
              <w:fldChar w:fldCharType="end"/>
            </w:r>
          </w:hyperlink>
        </w:p>
        <w:p w14:paraId="475A5913" w14:textId="5A9668E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3" w:history="1">
            <w:r w:rsidR="002E4C08" w:rsidRPr="00C61B71">
              <w:rPr>
                <w:rStyle w:val="Hipervnculo"/>
              </w:rPr>
              <w:t>9.3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_Toc158211523 \h </w:instrText>
            </w:r>
            <w:r w:rsidR="002E4C08">
              <w:rPr>
                <w:webHidden/>
              </w:rPr>
            </w:r>
            <w:r w:rsidR="002E4C08">
              <w:rPr>
                <w:webHidden/>
              </w:rPr>
              <w:fldChar w:fldCharType="separate"/>
            </w:r>
            <w:r w:rsidR="0027336D">
              <w:rPr>
                <w:webHidden/>
              </w:rPr>
              <w:t>110</w:t>
            </w:r>
            <w:r w:rsidR="002E4C08">
              <w:rPr>
                <w:webHidden/>
              </w:rPr>
              <w:fldChar w:fldCharType="end"/>
            </w:r>
          </w:hyperlink>
        </w:p>
        <w:p w14:paraId="7018118E" w14:textId="45403D3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4" w:history="1">
            <w:r w:rsidR="002E4C08" w:rsidRPr="00C61B71">
              <w:rPr>
                <w:rStyle w:val="Hipervnculo"/>
              </w:rPr>
              <w:t>9.4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LEWIS ENERGY COLOMBIA INC</w:t>
            </w:r>
            <w:r w:rsidR="002E4C08">
              <w:rPr>
                <w:webHidden/>
              </w:rPr>
              <w:tab/>
            </w:r>
            <w:r w:rsidR="002E4C08">
              <w:rPr>
                <w:webHidden/>
              </w:rPr>
              <w:fldChar w:fldCharType="begin"/>
            </w:r>
            <w:r w:rsidR="002E4C08">
              <w:rPr>
                <w:webHidden/>
              </w:rPr>
              <w:instrText xml:space="preserve"> PAGEREF _Toc158211524 \h </w:instrText>
            </w:r>
            <w:r w:rsidR="002E4C08">
              <w:rPr>
                <w:webHidden/>
              </w:rPr>
            </w:r>
            <w:r w:rsidR="002E4C08">
              <w:rPr>
                <w:webHidden/>
              </w:rPr>
              <w:fldChar w:fldCharType="separate"/>
            </w:r>
            <w:r w:rsidR="0027336D">
              <w:rPr>
                <w:webHidden/>
              </w:rPr>
              <w:t>110</w:t>
            </w:r>
            <w:r w:rsidR="002E4C08">
              <w:rPr>
                <w:webHidden/>
              </w:rPr>
              <w:fldChar w:fldCharType="end"/>
            </w:r>
          </w:hyperlink>
        </w:p>
        <w:p w14:paraId="666664C0" w14:textId="569815A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5" w:history="1">
            <w:r w:rsidR="002E4C08" w:rsidRPr="00C61B71">
              <w:rPr>
                <w:rStyle w:val="Hipervnculo"/>
              </w:rPr>
              <w:t>9.5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MADIGAS INGENIEROS SA ESP</w:t>
            </w:r>
            <w:r w:rsidR="002E4C08">
              <w:rPr>
                <w:webHidden/>
              </w:rPr>
              <w:tab/>
            </w:r>
            <w:r w:rsidR="002E4C08">
              <w:rPr>
                <w:webHidden/>
              </w:rPr>
              <w:fldChar w:fldCharType="begin"/>
            </w:r>
            <w:r w:rsidR="002E4C08">
              <w:rPr>
                <w:webHidden/>
              </w:rPr>
              <w:instrText xml:space="preserve"> PAGEREF _Toc158211525 \h </w:instrText>
            </w:r>
            <w:r w:rsidR="002E4C08">
              <w:rPr>
                <w:webHidden/>
              </w:rPr>
            </w:r>
            <w:r w:rsidR="002E4C08">
              <w:rPr>
                <w:webHidden/>
              </w:rPr>
              <w:fldChar w:fldCharType="separate"/>
            </w:r>
            <w:r w:rsidR="0027336D">
              <w:rPr>
                <w:webHidden/>
              </w:rPr>
              <w:t>111</w:t>
            </w:r>
            <w:r w:rsidR="002E4C08">
              <w:rPr>
                <w:webHidden/>
              </w:rPr>
              <w:fldChar w:fldCharType="end"/>
            </w:r>
          </w:hyperlink>
        </w:p>
        <w:p w14:paraId="013416CF" w14:textId="6A5334B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6" w:history="1">
            <w:r w:rsidR="002E4C08" w:rsidRPr="00C61B71">
              <w:rPr>
                <w:rStyle w:val="Hipervnculo"/>
              </w:rPr>
              <w:t>9.6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_Toc158211526 \h </w:instrText>
            </w:r>
            <w:r w:rsidR="002E4C08">
              <w:rPr>
                <w:webHidden/>
              </w:rPr>
            </w:r>
            <w:r w:rsidR="002E4C08">
              <w:rPr>
                <w:webHidden/>
              </w:rPr>
              <w:fldChar w:fldCharType="separate"/>
            </w:r>
            <w:r w:rsidR="0027336D">
              <w:rPr>
                <w:webHidden/>
              </w:rPr>
              <w:t>112</w:t>
            </w:r>
            <w:r w:rsidR="002E4C08">
              <w:rPr>
                <w:webHidden/>
              </w:rPr>
              <w:fldChar w:fldCharType="end"/>
            </w:r>
          </w:hyperlink>
        </w:p>
        <w:p w14:paraId="465BBCBE" w14:textId="2688EC7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7" w:history="1">
            <w:r w:rsidR="002E4C08" w:rsidRPr="00C61B71">
              <w:rPr>
                <w:rStyle w:val="Hipervnculo"/>
              </w:rPr>
              <w:t>9.7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_Toc158211527 \h </w:instrText>
            </w:r>
            <w:r w:rsidR="002E4C08">
              <w:rPr>
                <w:webHidden/>
              </w:rPr>
            </w:r>
            <w:r w:rsidR="002E4C08">
              <w:rPr>
                <w:webHidden/>
              </w:rPr>
              <w:fldChar w:fldCharType="separate"/>
            </w:r>
            <w:r w:rsidR="0027336D">
              <w:rPr>
                <w:webHidden/>
              </w:rPr>
              <w:t>112</w:t>
            </w:r>
            <w:r w:rsidR="002E4C08">
              <w:rPr>
                <w:webHidden/>
              </w:rPr>
              <w:fldChar w:fldCharType="end"/>
            </w:r>
          </w:hyperlink>
        </w:p>
        <w:p w14:paraId="4864B20C" w14:textId="6BC1C7A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8" w:history="1">
            <w:r w:rsidR="002E4C08" w:rsidRPr="00C61B71">
              <w:rPr>
                <w:rStyle w:val="Hipervnculo"/>
              </w:rPr>
              <w:t>9.8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_Toc158211528 \h </w:instrText>
            </w:r>
            <w:r w:rsidR="002E4C08">
              <w:rPr>
                <w:webHidden/>
              </w:rPr>
            </w:r>
            <w:r w:rsidR="002E4C08">
              <w:rPr>
                <w:webHidden/>
              </w:rPr>
              <w:fldChar w:fldCharType="separate"/>
            </w:r>
            <w:r w:rsidR="0027336D">
              <w:rPr>
                <w:webHidden/>
              </w:rPr>
              <w:t>112</w:t>
            </w:r>
            <w:r w:rsidR="002E4C08">
              <w:rPr>
                <w:webHidden/>
              </w:rPr>
              <w:fldChar w:fldCharType="end"/>
            </w:r>
          </w:hyperlink>
        </w:p>
        <w:p w14:paraId="5A0F4050" w14:textId="650F09D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29" w:history="1">
            <w:r w:rsidR="002E4C08" w:rsidRPr="00C61B71">
              <w:rPr>
                <w:rStyle w:val="Hipervnculo"/>
              </w:rPr>
              <w:t>9.9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_Toc158211529 \h </w:instrText>
            </w:r>
            <w:r w:rsidR="002E4C08">
              <w:rPr>
                <w:webHidden/>
              </w:rPr>
            </w:r>
            <w:r w:rsidR="002E4C08">
              <w:rPr>
                <w:webHidden/>
              </w:rPr>
              <w:fldChar w:fldCharType="separate"/>
            </w:r>
            <w:r w:rsidR="0027336D">
              <w:rPr>
                <w:webHidden/>
              </w:rPr>
              <w:t>113</w:t>
            </w:r>
            <w:r w:rsidR="002E4C08">
              <w:rPr>
                <w:webHidden/>
              </w:rPr>
              <w:fldChar w:fldCharType="end"/>
            </w:r>
          </w:hyperlink>
        </w:p>
        <w:p w14:paraId="1623219F" w14:textId="5E5102F1"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30" w:history="1">
            <w:r w:rsidR="002E4C08" w:rsidRPr="00C61B71">
              <w:rPr>
                <w:rStyle w:val="Hipervnculo"/>
              </w:rPr>
              <w:t>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10</w:t>
            </w:r>
            <w:r w:rsidR="002E4C08">
              <w:rPr>
                <w:webHidden/>
              </w:rPr>
              <w:tab/>
            </w:r>
            <w:r w:rsidR="002E4C08">
              <w:rPr>
                <w:webHidden/>
              </w:rPr>
              <w:fldChar w:fldCharType="begin"/>
            </w:r>
            <w:r w:rsidR="002E4C08">
              <w:rPr>
                <w:webHidden/>
              </w:rPr>
              <w:instrText xml:space="preserve"> PAGEREF _Toc158211530 \h </w:instrText>
            </w:r>
            <w:r w:rsidR="002E4C08">
              <w:rPr>
                <w:webHidden/>
              </w:rPr>
            </w:r>
            <w:r w:rsidR="002E4C08">
              <w:rPr>
                <w:webHidden/>
              </w:rPr>
              <w:fldChar w:fldCharType="separate"/>
            </w:r>
            <w:r w:rsidR="0027336D">
              <w:rPr>
                <w:webHidden/>
              </w:rPr>
              <w:t>113</w:t>
            </w:r>
            <w:r w:rsidR="002E4C08">
              <w:rPr>
                <w:webHidden/>
              </w:rPr>
              <w:fldChar w:fldCharType="end"/>
            </w:r>
          </w:hyperlink>
        </w:p>
        <w:p w14:paraId="5CCD7B18" w14:textId="1D13DEF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1" w:history="1">
            <w:r w:rsidR="002E4C08" w:rsidRPr="00C61B71">
              <w:rPr>
                <w:rStyle w:val="Hipervnculo"/>
              </w:rPr>
              <w:t>10.1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_Toc158211531 \h </w:instrText>
            </w:r>
            <w:r w:rsidR="002E4C08">
              <w:rPr>
                <w:webHidden/>
              </w:rPr>
            </w:r>
            <w:r w:rsidR="002E4C08">
              <w:rPr>
                <w:webHidden/>
              </w:rPr>
              <w:fldChar w:fldCharType="separate"/>
            </w:r>
            <w:r w:rsidR="0027336D">
              <w:rPr>
                <w:webHidden/>
              </w:rPr>
              <w:t>113</w:t>
            </w:r>
            <w:r w:rsidR="002E4C08">
              <w:rPr>
                <w:webHidden/>
              </w:rPr>
              <w:fldChar w:fldCharType="end"/>
            </w:r>
          </w:hyperlink>
        </w:p>
        <w:p w14:paraId="51F8399C" w14:textId="5A74CE8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2" w:history="1">
            <w:r w:rsidR="002E4C08" w:rsidRPr="00C61B71">
              <w:rPr>
                <w:rStyle w:val="Hipervnculo"/>
              </w:rPr>
              <w:t>10.2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_Toc158211532 \h </w:instrText>
            </w:r>
            <w:r w:rsidR="002E4C08">
              <w:rPr>
                <w:webHidden/>
              </w:rPr>
            </w:r>
            <w:r w:rsidR="002E4C08">
              <w:rPr>
                <w:webHidden/>
              </w:rPr>
              <w:fldChar w:fldCharType="separate"/>
            </w:r>
            <w:r w:rsidR="0027336D">
              <w:rPr>
                <w:webHidden/>
              </w:rPr>
              <w:t>114</w:t>
            </w:r>
            <w:r w:rsidR="002E4C08">
              <w:rPr>
                <w:webHidden/>
              </w:rPr>
              <w:fldChar w:fldCharType="end"/>
            </w:r>
          </w:hyperlink>
        </w:p>
        <w:p w14:paraId="3AC6F31C" w14:textId="798E554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3" w:history="1">
            <w:r w:rsidR="002E4C08" w:rsidRPr="00C61B71">
              <w:rPr>
                <w:rStyle w:val="Hipervnculo"/>
              </w:rPr>
              <w:t>10.3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_Toc158211533 \h </w:instrText>
            </w:r>
            <w:r w:rsidR="002E4C08">
              <w:rPr>
                <w:webHidden/>
              </w:rPr>
            </w:r>
            <w:r w:rsidR="002E4C08">
              <w:rPr>
                <w:webHidden/>
              </w:rPr>
              <w:fldChar w:fldCharType="separate"/>
            </w:r>
            <w:r w:rsidR="0027336D">
              <w:rPr>
                <w:webHidden/>
              </w:rPr>
              <w:t>114</w:t>
            </w:r>
            <w:r w:rsidR="002E4C08">
              <w:rPr>
                <w:webHidden/>
              </w:rPr>
              <w:fldChar w:fldCharType="end"/>
            </w:r>
          </w:hyperlink>
        </w:p>
        <w:p w14:paraId="7D69400D" w14:textId="64382B1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4" w:history="1">
            <w:r w:rsidR="002E4C08" w:rsidRPr="00C61B71">
              <w:rPr>
                <w:rStyle w:val="Hipervnculo"/>
              </w:rPr>
              <w:t>10.4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Andesco</w:t>
            </w:r>
            <w:r w:rsidR="002E4C08">
              <w:rPr>
                <w:webHidden/>
              </w:rPr>
              <w:tab/>
            </w:r>
            <w:r w:rsidR="002E4C08">
              <w:rPr>
                <w:webHidden/>
              </w:rPr>
              <w:fldChar w:fldCharType="begin"/>
            </w:r>
            <w:r w:rsidR="002E4C08">
              <w:rPr>
                <w:webHidden/>
              </w:rPr>
              <w:instrText xml:space="preserve"> PAGEREF _Toc158211534 \h </w:instrText>
            </w:r>
            <w:r w:rsidR="002E4C08">
              <w:rPr>
                <w:webHidden/>
              </w:rPr>
            </w:r>
            <w:r w:rsidR="002E4C08">
              <w:rPr>
                <w:webHidden/>
              </w:rPr>
              <w:fldChar w:fldCharType="separate"/>
            </w:r>
            <w:r w:rsidR="0027336D">
              <w:rPr>
                <w:webHidden/>
              </w:rPr>
              <w:t>115</w:t>
            </w:r>
            <w:r w:rsidR="002E4C08">
              <w:rPr>
                <w:webHidden/>
              </w:rPr>
              <w:fldChar w:fldCharType="end"/>
            </w:r>
          </w:hyperlink>
        </w:p>
        <w:p w14:paraId="49CB2C7B" w14:textId="7E337972"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5" w:history="1">
            <w:r w:rsidR="002E4C08" w:rsidRPr="00C61B71">
              <w:rPr>
                <w:rStyle w:val="Hipervnculo"/>
              </w:rPr>
              <w:t>10.5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Calamarí LNG.</w:t>
            </w:r>
            <w:r w:rsidR="002E4C08">
              <w:rPr>
                <w:webHidden/>
              </w:rPr>
              <w:tab/>
            </w:r>
            <w:r w:rsidR="002E4C08">
              <w:rPr>
                <w:webHidden/>
              </w:rPr>
              <w:fldChar w:fldCharType="begin"/>
            </w:r>
            <w:r w:rsidR="002E4C08">
              <w:rPr>
                <w:webHidden/>
              </w:rPr>
              <w:instrText xml:space="preserve"> PAGEREF _Toc158211535 \h </w:instrText>
            </w:r>
            <w:r w:rsidR="002E4C08">
              <w:rPr>
                <w:webHidden/>
              </w:rPr>
            </w:r>
            <w:r w:rsidR="002E4C08">
              <w:rPr>
                <w:webHidden/>
              </w:rPr>
              <w:fldChar w:fldCharType="separate"/>
            </w:r>
            <w:r w:rsidR="0027336D">
              <w:rPr>
                <w:webHidden/>
              </w:rPr>
              <w:t>115</w:t>
            </w:r>
            <w:r w:rsidR="002E4C08">
              <w:rPr>
                <w:webHidden/>
              </w:rPr>
              <w:fldChar w:fldCharType="end"/>
            </w:r>
          </w:hyperlink>
        </w:p>
        <w:p w14:paraId="12764AF8" w14:textId="4A147F6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6" w:history="1">
            <w:r w:rsidR="002E4C08" w:rsidRPr="00C61B71">
              <w:rPr>
                <w:rStyle w:val="Hipervnculo"/>
              </w:rPr>
              <w:t>10.6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_Toc158211536 \h </w:instrText>
            </w:r>
            <w:r w:rsidR="002E4C08">
              <w:rPr>
                <w:webHidden/>
              </w:rPr>
            </w:r>
            <w:r w:rsidR="002E4C08">
              <w:rPr>
                <w:webHidden/>
              </w:rPr>
              <w:fldChar w:fldCharType="separate"/>
            </w:r>
            <w:r w:rsidR="0027336D">
              <w:rPr>
                <w:webHidden/>
              </w:rPr>
              <w:t>115</w:t>
            </w:r>
            <w:r w:rsidR="002E4C08">
              <w:rPr>
                <w:webHidden/>
              </w:rPr>
              <w:fldChar w:fldCharType="end"/>
            </w:r>
          </w:hyperlink>
        </w:p>
        <w:p w14:paraId="5F26CF3A" w14:textId="2075F35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7" w:history="1">
            <w:r w:rsidR="002E4C08" w:rsidRPr="00C61B71">
              <w:rPr>
                <w:rStyle w:val="Hipervnculo"/>
              </w:rPr>
              <w:t>10.7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_Toc158211537 \h </w:instrText>
            </w:r>
            <w:r w:rsidR="002E4C08">
              <w:rPr>
                <w:webHidden/>
              </w:rPr>
            </w:r>
            <w:r w:rsidR="002E4C08">
              <w:rPr>
                <w:webHidden/>
              </w:rPr>
              <w:fldChar w:fldCharType="separate"/>
            </w:r>
            <w:r w:rsidR="0027336D">
              <w:rPr>
                <w:webHidden/>
              </w:rPr>
              <w:t>116</w:t>
            </w:r>
            <w:r w:rsidR="002E4C08">
              <w:rPr>
                <w:webHidden/>
              </w:rPr>
              <w:fldChar w:fldCharType="end"/>
            </w:r>
          </w:hyperlink>
        </w:p>
        <w:p w14:paraId="6EE8DAAE" w14:textId="0F02371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8" w:history="1">
            <w:r w:rsidR="002E4C08" w:rsidRPr="00C61B71">
              <w:rPr>
                <w:rStyle w:val="Hipervnculo"/>
              </w:rPr>
              <w:t>10.8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_Toc158211538 \h </w:instrText>
            </w:r>
            <w:r w:rsidR="002E4C08">
              <w:rPr>
                <w:webHidden/>
              </w:rPr>
            </w:r>
            <w:r w:rsidR="002E4C08">
              <w:rPr>
                <w:webHidden/>
              </w:rPr>
              <w:fldChar w:fldCharType="separate"/>
            </w:r>
            <w:r w:rsidR="0027336D">
              <w:rPr>
                <w:webHidden/>
              </w:rPr>
              <w:t>116</w:t>
            </w:r>
            <w:r w:rsidR="002E4C08">
              <w:rPr>
                <w:webHidden/>
              </w:rPr>
              <w:fldChar w:fldCharType="end"/>
            </w:r>
          </w:hyperlink>
        </w:p>
        <w:p w14:paraId="761A33A7" w14:textId="2656965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39" w:history="1">
            <w:r w:rsidR="002E4C08" w:rsidRPr="00C61B71">
              <w:rPr>
                <w:rStyle w:val="Hipervnculo"/>
              </w:rPr>
              <w:t>10.9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_Toc158211539 \h </w:instrText>
            </w:r>
            <w:r w:rsidR="002E4C08">
              <w:rPr>
                <w:webHidden/>
              </w:rPr>
            </w:r>
            <w:r w:rsidR="002E4C08">
              <w:rPr>
                <w:webHidden/>
              </w:rPr>
              <w:fldChar w:fldCharType="separate"/>
            </w:r>
            <w:r w:rsidR="0027336D">
              <w:rPr>
                <w:webHidden/>
              </w:rPr>
              <w:t>116</w:t>
            </w:r>
            <w:r w:rsidR="002E4C08">
              <w:rPr>
                <w:webHidden/>
              </w:rPr>
              <w:fldChar w:fldCharType="end"/>
            </w:r>
          </w:hyperlink>
        </w:p>
        <w:p w14:paraId="663C83FA" w14:textId="640FB60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0" w:history="1">
            <w:r w:rsidR="002E4C08" w:rsidRPr="00C61B71">
              <w:rPr>
                <w:rStyle w:val="Hipervnculo"/>
              </w:rPr>
              <w:t>10.10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_Toc158211540 \h </w:instrText>
            </w:r>
            <w:r w:rsidR="002E4C08">
              <w:rPr>
                <w:webHidden/>
              </w:rPr>
            </w:r>
            <w:r w:rsidR="002E4C08">
              <w:rPr>
                <w:webHidden/>
              </w:rPr>
              <w:fldChar w:fldCharType="separate"/>
            </w:r>
            <w:r w:rsidR="0027336D">
              <w:rPr>
                <w:webHidden/>
              </w:rPr>
              <w:t>117</w:t>
            </w:r>
            <w:r w:rsidR="002E4C08">
              <w:rPr>
                <w:webHidden/>
              </w:rPr>
              <w:fldChar w:fldCharType="end"/>
            </w:r>
          </w:hyperlink>
        </w:p>
        <w:p w14:paraId="3AA006D5" w14:textId="517B974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1" w:history="1">
            <w:r w:rsidR="002E4C08" w:rsidRPr="00C61B71">
              <w:rPr>
                <w:rStyle w:val="Hipervnculo"/>
              </w:rPr>
              <w:t>10.11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Metrogas de Colombia SA ESP</w:t>
            </w:r>
            <w:r w:rsidR="002E4C08">
              <w:rPr>
                <w:webHidden/>
              </w:rPr>
              <w:tab/>
            </w:r>
            <w:r w:rsidR="002E4C08">
              <w:rPr>
                <w:webHidden/>
              </w:rPr>
              <w:fldChar w:fldCharType="begin"/>
            </w:r>
            <w:r w:rsidR="002E4C08">
              <w:rPr>
                <w:webHidden/>
              </w:rPr>
              <w:instrText xml:space="preserve"> PAGEREF _Toc158211541 \h </w:instrText>
            </w:r>
            <w:r w:rsidR="002E4C08">
              <w:rPr>
                <w:webHidden/>
              </w:rPr>
            </w:r>
            <w:r w:rsidR="002E4C08">
              <w:rPr>
                <w:webHidden/>
              </w:rPr>
              <w:fldChar w:fldCharType="separate"/>
            </w:r>
            <w:r w:rsidR="0027336D">
              <w:rPr>
                <w:webHidden/>
              </w:rPr>
              <w:t>117</w:t>
            </w:r>
            <w:r w:rsidR="002E4C08">
              <w:rPr>
                <w:webHidden/>
              </w:rPr>
              <w:fldChar w:fldCharType="end"/>
            </w:r>
          </w:hyperlink>
        </w:p>
        <w:p w14:paraId="2832DA45" w14:textId="026FB44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2" w:history="1">
            <w:r w:rsidR="002E4C08" w:rsidRPr="00C61B71">
              <w:rPr>
                <w:rStyle w:val="Hipervnculo"/>
              </w:rPr>
              <w:t>10.12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_Toc158211542 \h </w:instrText>
            </w:r>
            <w:r w:rsidR="002E4C08">
              <w:rPr>
                <w:webHidden/>
              </w:rPr>
            </w:r>
            <w:r w:rsidR="002E4C08">
              <w:rPr>
                <w:webHidden/>
              </w:rPr>
              <w:fldChar w:fldCharType="separate"/>
            </w:r>
            <w:r w:rsidR="0027336D">
              <w:rPr>
                <w:webHidden/>
              </w:rPr>
              <w:t>117</w:t>
            </w:r>
            <w:r w:rsidR="002E4C08">
              <w:rPr>
                <w:webHidden/>
              </w:rPr>
              <w:fldChar w:fldCharType="end"/>
            </w:r>
          </w:hyperlink>
        </w:p>
        <w:p w14:paraId="41EC4815" w14:textId="7E0CD80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3" w:history="1">
            <w:r w:rsidR="002E4C08" w:rsidRPr="00C61B71">
              <w:rPr>
                <w:rStyle w:val="Hipervnculo"/>
              </w:rPr>
              <w:t>10.13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_Toc158211543 \h </w:instrText>
            </w:r>
            <w:r w:rsidR="002E4C08">
              <w:rPr>
                <w:webHidden/>
              </w:rPr>
            </w:r>
            <w:r w:rsidR="002E4C08">
              <w:rPr>
                <w:webHidden/>
              </w:rPr>
              <w:fldChar w:fldCharType="separate"/>
            </w:r>
            <w:r w:rsidR="0027336D">
              <w:rPr>
                <w:webHidden/>
              </w:rPr>
              <w:t>118</w:t>
            </w:r>
            <w:r w:rsidR="002E4C08">
              <w:rPr>
                <w:webHidden/>
              </w:rPr>
              <w:fldChar w:fldCharType="end"/>
            </w:r>
          </w:hyperlink>
        </w:p>
        <w:p w14:paraId="20961E41" w14:textId="7E48F05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4" w:history="1">
            <w:r w:rsidR="002E4C08" w:rsidRPr="00C61B71">
              <w:rPr>
                <w:rStyle w:val="Hipervnculo"/>
              </w:rPr>
              <w:t>10.14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SSPD</w:t>
            </w:r>
            <w:r w:rsidR="002E4C08">
              <w:rPr>
                <w:webHidden/>
              </w:rPr>
              <w:tab/>
            </w:r>
            <w:r w:rsidR="002E4C08">
              <w:rPr>
                <w:webHidden/>
              </w:rPr>
              <w:fldChar w:fldCharType="begin"/>
            </w:r>
            <w:r w:rsidR="002E4C08">
              <w:rPr>
                <w:webHidden/>
              </w:rPr>
              <w:instrText xml:space="preserve"> PAGEREF _Toc158211544 \h </w:instrText>
            </w:r>
            <w:r w:rsidR="002E4C08">
              <w:rPr>
                <w:webHidden/>
              </w:rPr>
            </w:r>
            <w:r w:rsidR="002E4C08">
              <w:rPr>
                <w:webHidden/>
              </w:rPr>
              <w:fldChar w:fldCharType="separate"/>
            </w:r>
            <w:r w:rsidR="0027336D">
              <w:rPr>
                <w:webHidden/>
              </w:rPr>
              <w:t>118</w:t>
            </w:r>
            <w:r w:rsidR="002E4C08">
              <w:rPr>
                <w:webHidden/>
              </w:rPr>
              <w:fldChar w:fldCharType="end"/>
            </w:r>
          </w:hyperlink>
        </w:p>
        <w:p w14:paraId="3A13682C" w14:textId="6F8309B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5" w:history="1">
            <w:r w:rsidR="002E4C08" w:rsidRPr="00C61B71">
              <w:rPr>
                <w:rStyle w:val="Hipervnculo"/>
              </w:rPr>
              <w:t>10.15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SSPD</w:t>
            </w:r>
            <w:r w:rsidR="002E4C08">
              <w:rPr>
                <w:webHidden/>
              </w:rPr>
              <w:tab/>
            </w:r>
            <w:r w:rsidR="002E4C08">
              <w:rPr>
                <w:webHidden/>
              </w:rPr>
              <w:fldChar w:fldCharType="begin"/>
            </w:r>
            <w:r w:rsidR="002E4C08">
              <w:rPr>
                <w:webHidden/>
              </w:rPr>
              <w:instrText xml:space="preserve"> PAGEREF _Toc158211545 \h </w:instrText>
            </w:r>
            <w:r w:rsidR="002E4C08">
              <w:rPr>
                <w:webHidden/>
              </w:rPr>
            </w:r>
            <w:r w:rsidR="002E4C08">
              <w:rPr>
                <w:webHidden/>
              </w:rPr>
              <w:fldChar w:fldCharType="separate"/>
            </w:r>
            <w:r w:rsidR="0027336D">
              <w:rPr>
                <w:webHidden/>
              </w:rPr>
              <w:t>119</w:t>
            </w:r>
            <w:r w:rsidR="002E4C08">
              <w:rPr>
                <w:webHidden/>
              </w:rPr>
              <w:fldChar w:fldCharType="end"/>
            </w:r>
          </w:hyperlink>
        </w:p>
        <w:p w14:paraId="1590418B" w14:textId="78BC170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6" w:history="1">
            <w:r w:rsidR="002E4C08" w:rsidRPr="00C61B71">
              <w:rPr>
                <w:rStyle w:val="Hipervnculo"/>
              </w:rPr>
              <w:t>10.16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TEBSA</w:t>
            </w:r>
            <w:r w:rsidR="002E4C08">
              <w:rPr>
                <w:webHidden/>
              </w:rPr>
              <w:tab/>
            </w:r>
            <w:r w:rsidR="002E4C08">
              <w:rPr>
                <w:webHidden/>
              </w:rPr>
              <w:fldChar w:fldCharType="begin"/>
            </w:r>
            <w:r w:rsidR="002E4C08">
              <w:rPr>
                <w:webHidden/>
              </w:rPr>
              <w:instrText xml:space="preserve"> PAGEREF _Toc158211546 \h </w:instrText>
            </w:r>
            <w:r w:rsidR="002E4C08">
              <w:rPr>
                <w:webHidden/>
              </w:rPr>
            </w:r>
            <w:r w:rsidR="002E4C08">
              <w:rPr>
                <w:webHidden/>
              </w:rPr>
              <w:fldChar w:fldCharType="separate"/>
            </w:r>
            <w:r w:rsidR="0027336D">
              <w:rPr>
                <w:webHidden/>
              </w:rPr>
              <w:t>119</w:t>
            </w:r>
            <w:r w:rsidR="002E4C08">
              <w:rPr>
                <w:webHidden/>
              </w:rPr>
              <w:fldChar w:fldCharType="end"/>
            </w:r>
          </w:hyperlink>
        </w:p>
        <w:p w14:paraId="5A2F3801" w14:textId="6C9CFFE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7" w:history="1">
            <w:r w:rsidR="002E4C08" w:rsidRPr="00C61B71">
              <w:rPr>
                <w:rStyle w:val="Hipervnculo"/>
              </w:rPr>
              <w:t>10.17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TERMONORTE S.A.S. E.S.P.</w:t>
            </w:r>
            <w:r w:rsidR="002E4C08">
              <w:rPr>
                <w:webHidden/>
              </w:rPr>
              <w:tab/>
            </w:r>
            <w:r w:rsidR="002E4C08">
              <w:rPr>
                <w:webHidden/>
              </w:rPr>
              <w:fldChar w:fldCharType="begin"/>
            </w:r>
            <w:r w:rsidR="002E4C08">
              <w:rPr>
                <w:webHidden/>
              </w:rPr>
              <w:instrText xml:space="preserve"> PAGEREF _Toc158211547 \h </w:instrText>
            </w:r>
            <w:r w:rsidR="002E4C08">
              <w:rPr>
                <w:webHidden/>
              </w:rPr>
            </w:r>
            <w:r w:rsidR="002E4C08">
              <w:rPr>
                <w:webHidden/>
              </w:rPr>
              <w:fldChar w:fldCharType="separate"/>
            </w:r>
            <w:r w:rsidR="0027336D">
              <w:rPr>
                <w:webHidden/>
              </w:rPr>
              <w:t>119</w:t>
            </w:r>
            <w:r w:rsidR="002E4C08">
              <w:rPr>
                <w:webHidden/>
              </w:rPr>
              <w:fldChar w:fldCharType="end"/>
            </w:r>
          </w:hyperlink>
        </w:p>
        <w:p w14:paraId="60845547" w14:textId="6AC989DB"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48" w:history="1">
            <w:r w:rsidR="002E4C08" w:rsidRPr="00C61B71">
              <w:rPr>
                <w:rStyle w:val="Hipervnculo"/>
              </w:rPr>
              <w:t>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11</w:t>
            </w:r>
            <w:r w:rsidR="002E4C08">
              <w:rPr>
                <w:webHidden/>
              </w:rPr>
              <w:tab/>
            </w:r>
            <w:r w:rsidR="002E4C08">
              <w:rPr>
                <w:webHidden/>
              </w:rPr>
              <w:fldChar w:fldCharType="begin"/>
            </w:r>
            <w:r w:rsidR="002E4C08">
              <w:rPr>
                <w:webHidden/>
              </w:rPr>
              <w:instrText xml:space="preserve"> PAGEREF _Toc158211548 \h </w:instrText>
            </w:r>
            <w:r w:rsidR="002E4C08">
              <w:rPr>
                <w:webHidden/>
              </w:rPr>
            </w:r>
            <w:r w:rsidR="002E4C08">
              <w:rPr>
                <w:webHidden/>
              </w:rPr>
              <w:fldChar w:fldCharType="separate"/>
            </w:r>
            <w:r w:rsidR="0027336D">
              <w:rPr>
                <w:webHidden/>
              </w:rPr>
              <w:t>120</w:t>
            </w:r>
            <w:r w:rsidR="002E4C08">
              <w:rPr>
                <w:webHidden/>
              </w:rPr>
              <w:fldChar w:fldCharType="end"/>
            </w:r>
          </w:hyperlink>
        </w:p>
        <w:p w14:paraId="4FC8799B" w14:textId="20C0ADF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49" w:history="1">
            <w:r w:rsidR="002E4C08" w:rsidRPr="00C61B71">
              <w:rPr>
                <w:rStyle w:val="Hipervnculo"/>
              </w:rPr>
              <w:t>11.1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ACOLGÉN</w:t>
            </w:r>
            <w:r w:rsidR="002E4C08">
              <w:rPr>
                <w:webHidden/>
              </w:rPr>
              <w:tab/>
            </w:r>
            <w:r w:rsidR="002E4C08">
              <w:rPr>
                <w:webHidden/>
              </w:rPr>
              <w:fldChar w:fldCharType="begin"/>
            </w:r>
            <w:r w:rsidR="002E4C08">
              <w:rPr>
                <w:webHidden/>
              </w:rPr>
              <w:instrText xml:space="preserve"> PAGEREF _Toc158211549 \h </w:instrText>
            </w:r>
            <w:r w:rsidR="002E4C08">
              <w:rPr>
                <w:webHidden/>
              </w:rPr>
            </w:r>
            <w:r w:rsidR="002E4C08">
              <w:rPr>
                <w:webHidden/>
              </w:rPr>
              <w:fldChar w:fldCharType="separate"/>
            </w:r>
            <w:r w:rsidR="0027336D">
              <w:rPr>
                <w:webHidden/>
              </w:rPr>
              <w:t>120</w:t>
            </w:r>
            <w:r w:rsidR="002E4C08">
              <w:rPr>
                <w:webHidden/>
              </w:rPr>
              <w:fldChar w:fldCharType="end"/>
            </w:r>
          </w:hyperlink>
        </w:p>
        <w:p w14:paraId="58EE0FF7" w14:textId="6BA780E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0" w:history="1">
            <w:r w:rsidR="002E4C08" w:rsidRPr="00C61B71">
              <w:rPr>
                <w:rStyle w:val="Hipervnculo"/>
              </w:rPr>
              <w:t>11.2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Alcanos de Colombia S.A. E.S.P.</w:t>
            </w:r>
            <w:r w:rsidR="002E4C08">
              <w:rPr>
                <w:webHidden/>
              </w:rPr>
              <w:tab/>
            </w:r>
            <w:r w:rsidR="002E4C08">
              <w:rPr>
                <w:webHidden/>
              </w:rPr>
              <w:fldChar w:fldCharType="begin"/>
            </w:r>
            <w:r w:rsidR="002E4C08">
              <w:rPr>
                <w:webHidden/>
              </w:rPr>
              <w:instrText xml:space="preserve"> PAGEREF _Toc158211550 \h </w:instrText>
            </w:r>
            <w:r w:rsidR="002E4C08">
              <w:rPr>
                <w:webHidden/>
              </w:rPr>
            </w:r>
            <w:r w:rsidR="002E4C08">
              <w:rPr>
                <w:webHidden/>
              </w:rPr>
              <w:fldChar w:fldCharType="separate"/>
            </w:r>
            <w:r w:rsidR="0027336D">
              <w:rPr>
                <w:webHidden/>
              </w:rPr>
              <w:t>123</w:t>
            </w:r>
            <w:r w:rsidR="002E4C08">
              <w:rPr>
                <w:webHidden/>
              </w:rPr>
              <w:fldChar w:fldCharType="end"/>
            </w:r>
          </w:hyperlink>
        </w:p>
        <w:p w14:paraId="3FE75CB5" w14:textId="113BB31C"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1" w:history="1">
            <w:r w:rsidR="002E4C08" w:rsidRPr="00C61B71">
              <w:rPr>
                <w:rStyle w:val="Hipervnculo"/>
              </w:rPr>
              <w:t>11.3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Alcanos de Colombia S.A. E.S.P.</w:t>
            </w:r>
            <w:r w:rsidR="002E4C08">
              <w:rPr>
                <w:webHidden/>
              </w:rPr>
              <w:tab/>
            </w:r>
            <w:r w:rsidR="002E4C08">
              <w:rPr>
                <w:webHidden/>
              </w:rPr>
              <w:fldChar w:fldCharType="begin"/>
            </w:r>
            <w:r w:rsidR="002E4C08">
              <w:rPr>
                <w:webHidden/>
              </w:rPr>
              <w:instrText xml:space="preserve"> PAGEREF _Toc158211551 \h </w:instrText>
            </w:r>
            <w:r w:rsidR="002E4C08">
              <w:rPr>
                <w:webHidden/>
              </w:rPr>
            </w:r>
            <w:r w:rsidR="002E4C08">
              <w:rPr>
                <w:webHidden/>
              </w:rPr>
              <w:fldChar w:fldCharType="separate"/>
            </w:r>
            <w:r w:rsidR="0027336D">
              <w:rPr>
                <w:webHidden/>
              </w:rPr>
              <w:t>123</w:t>
            </w:r>
            <w:r w:rsidR="002E4C08">
              <w:rPr>
                <w:webHidden/>
              </w:rPr>
              <w:fldChar w:fldCharType="end"/>
            </w:r>
          </w:hyperlink>
        </w:p>
        <w:p w14:paraId="29DC6DC3" w14:textId="1AEB86D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2" w:history="1">
            <w:r w:rsidR="002E4C08" w:rsidRPr="00C61B71">
              <w:rPr>
                <w:rStyle w:val="Hipervnculo"/>
              </w:rPr>
              <w:t>11.4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Andesco</w:t>
            </w:r>
            <w:r w:rsidR="002E4C08">
              <w:rPr>
                <w:webHidden/>
              </w:rPr>
              <w:tab/>
            </w:r>
            <w:r w:rsidR="002E4C08">
              <w:rPr>
                <w:webHidden/>
              </w:rPr>
              <w:fldChar w:fldCharType="begin"/>
            </w:r>
            <w:r w:rsidR="002E4C08">
              <w:rPr>
                <w:webHidden/>
              </w:rPr>
              <w:instrText xml:space="preserve"> PAGEREF _Toc158211552 \h </w:instrText>
            </w:r>
            <w:r w:rsidR="002E4C08">
              <w:rPr>
                <w:webHidden/>
              </w:rPr>
            </w:r>
            <w:r w:rsidR="002E4C08">
              <w:rPr>
                <w:webHidden/>
              </w:rPr>
              <w:fldChar w:fldCharType="separate"/>
            </w:r>
            <w:r w:rsidR="0027336D">
              <w:rPr>
                <w:webHidden/>
              </w:rPr>
              <w:t>123</w:t>
            </w:r>
            <w:r w:rsidR="002E4C08">
              <w:rPr>
                <w:webHidden/>
              </w:rPr>
              <w:fldChar w:fldCharType="end"/>
            </w:r>
          </w:hyperlink>
        </w:p>
        <w:p w14:paraId="086B9BCC" w14:textId="4CE4C5F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3" w:history="1">
            <w:r w:rsidR="002E4C08" w:rsidRPr="00C61B71">
              <w:rPr>
                <w:rStyle w:val="Hipervnculo"/>
              </w:rPr>
              <w:t>11.5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ASOENERGIA</w:t>
            </w:r>
            <w:r w:rsidR="002E4C08">
              <w:rPr>
                <w:webHidden/>
              </w:rPr>
              <w:tab/>
            </w:r>
            <w:r w:rsidR="002E4C08">
              <w:rPr>
                <w:webHidden/>
              </w:rPr>
              <w:fldChar w:fldCharType="begin"/>
            </w:r>
            <w:r w:rsidR="002E4C08">
              <w:rPr>
                <w:webHidden/>
              </w:rPr>
              <w:instrText xml:space="preserve"> PAGEREF _Toc158211553 \h </w:instrText>
            </w:r>
            <w:r w:rsidR="002E4C08">
              <w:rPr>
                <w:webHidden/>
              </w:rPr>
            </w:r>
            <w:r w:rsidR="002E4C08">
              <w:rPr>
                <w:webHidden/>
              </w:rPr>
              <w:fldChar w:fldCharType="separate"/>
            </w:r>
            <w:r w:rsidR="0027336D">
              <w:rPr>
                <w:webHidden/>
              </w:rPr>
              <w:t>124</w:t>
            </w:r>
            <w:r w:rsidR="002E4C08">
              <w:rPr>
                <w:webHidden/>
              </w:rPr>
              <w:fldChar w:fldCharType="end"/>
            </w:r>
          </w:hyperlink>
        </w:p>
        <w:p w14:paraId="23449F4D" w14:textId="4EB7528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4" w:history="1">
            <w:r w:rsidR="002E4C08" w:rsidRPr="00C61B71">
              <w:rPr>
                <w:rStyle w:val="Hipervnculo"/>
              </w:rPr>
              <w:t>11.6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EPM</w:t>
            </w:r>
            <w:r w:rsidR="002E4C08">
              <w:rPr>
                <w:webHidden/>
              </w:rPr>
              <w:tab/>
            </w:r>
            <w:r w:rsidR="002E4C08">
              <w:rPr>
                <w:webHidden/>
              </w:rPr>
              <w:fldChar w:fldCharType="begin"/>
            </w:r>
            <w:r w:rsidR="002E4C08">
              <w:rPr>
                <w:webHidden/>
              </w:rPr>
              <w:instrText xml:space="preserve"> PAGEREF _Toc158211554 \h </w:instrText>
            </w:r>
            <w:r w:rsidR="002E4C08">
              <w:rPr>
                <w:webHidden/>
              </w:rPr>
            </w:r>
            <w:r w:rsidR="002E4C08">
              <w:rPr>
                <w:webHidden/>
              </w:rPr>
              <w:fldChar w:fldCharType="separate"/>
            </w:r>
            <w:r w:rsidR="0027336D">
              <w:rPr>
                <w:webHidden/>
              </w:rPr>
              <w:t>124</w:t>
            </w:r>
            <w:r w:rsidR="002E4C08">
              <w:rPr>
                <w:webHidden/>
              </w:rPr>
              <w:fldChar w:fldCharType="end"/>
            </w:r>
          </w:hyperlink>
        </w:p>
        <w:p w14:paraId="1AA01DAC" w14:textId="4325D7A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5" w:history="1">
            <w:r w:rsidR="002E4C08" w:rsidRPr="00C61B71">
              <w:rPr>
                <w:rStyle w:val="Hipervnculo"/>
              </w:rPr>
              <w:t>11.7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Caribe</w:t>
            </w:r>
            <w:r w:rsidR="002E4C08">
              <w:rPr>
                <w:webHidden/>
              </w:rPr>
              <w:tab/>
            </w:r>
            <w:r w:rsidR="002E4C08">
              <w:rPr>
                <w:webHidden/>
              </w:rPr>
              <w:fldChar w:fldCharType="begin"/>
            </w:r>
            <w:r w:rsidR="002E4C08">
              <w:rPr>
                <w:webHidden/>
              </w:rPr>
              <w:instrText xml:space="preserve"> PAGEREF _Toc158211555 \h </w:instrText>
            </w:r>
            <w:r w:rsidR="002E4C08">
              <w:rPr>
                <w:webHidden/>
              </w:rPr>
            </w:r>
            <w:r w:rsidR="002E4C08">
              <w:rPr>
                <w:webHidden/>
              </w:rPr>
              <w:fldChar w:fldCharType="separate"/>
            </w:r>
            <w:r w:rsidR="0027336D">
              <w:rPr>
                <w:webHidden/>
              </w:rPr>
              <w:t>124</w:t>
            </w:r>
            <w:r w:rsidR="002E4C08">
              <w:rPr>
                <w:webHidden/>
              </w:rPr>
              <w:fldChar w:fldCharType="end"/>
            </w:r>
          </w:hyperlink>
        </w:p>
        <w:p w14:paraId="0B9F1B04" w14:textId="3A45B01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6" w:history="1">
            <w:r w:rsidR="002E4C08" w:rsidRPr="00C61B71">
              <w:rPr>
                <w:rStyle w:val="Hipervnculo"/>
              </w:rPr>
              <w:t>11.8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Oriente S.A E.S.P</w:t>
            </w:r>
            <w:r w:rsidR="002E4C08">
              <w:rPr>
                <w:webHidden/>
              </w:rPr>
              <w:tab/>
            </w:r>
            <w:r w:rsidR="002E4C08">
              <w:rPr>
                <w:webHidden/>
              </w:rPr>
              <w:fldChar w:fldCharType="begin"/>
            </w:r>
            <w:r w:rsidR="002E4C08">
              <w:rPr>
                <w:webHidden/>
              </w:rPr>
              <w:instrText xml:space="preserve"> PAGEREF _Toc158211556 \h </w:instrText>
            </w:r>
            <w:r w:rsidR="002E4C08">
              <w:rPr>
                <w:webHidden/>
              </w:rPr>
            </w:r>
            <w:r w:rsidR="002E4C08">
              <w:rPr>
                <w:webHidden/>
              </w:rPr>
              <w:fldChar w:fldCharType="separate"/>
            </w:r>
            <w:r w:rsidR="0027336D">
              <w:rPr>
                <w:webHidden/>
              </w:rPr>
              <w:t>125</w:t>
            </w:r>
            <w:r w:rsidR="002E4C08">
              <w:rPr>
                <w:webHidden/>
              </w:rPr>
              <w:fldChar w:fldCharType="end"/>
            </w:r>
          </w:hyperlink>
        </w:p>
        <w:p w14:paraId="71DC1F86" w14:textId="51A974B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7" w:history="1">
            <w:r w:rsidR="002E4C08" w:rsidRPr="00C61B71">
              <w:rPr>
                <w:rStyle w:val="Hipervnculo"/>
              </w:rPr>
              <w:t>11.9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Grupo Energético de las Américas S.A.S. E.S.P.</w:t>
            </w:r>
            <w:r w:rsidR="002E4C08">
              <w:rPr>
                <w:webHidden/>
              </w:rPr>
              <w:tab/>
            </w:r>
            <w:r w:rsidR="002E4C08">
              <w:rPr>
                <w:webHidden/>
              </w:rPr>
              <w:fldChar w:fldCharType="begin"/>
            </w:r>
            <w:r w:rsidR="002E4C08">
              <w:rPr>
                <w:webHidden/>
              </w:rPr>
              <w:instrText xml:space="preserve"> PAGEREF _Toc158211557 \h </w:instrText>
            </w:r>
            <w:r w:rsidR="002E4C08">
              <w:rPr>
                <w:webHidden/>
              </w:rPr>
            </w:r>
            <w:r w:rsidR="002E4C08">
              <w:rPr>
                <w:webHidden/>
              </w:rPr>
              <w:fldChar w:fldCharType="separate"/>
            </w:r>
            <w:r w:rsidR="0027336D">
              <w:rPr>
                <w:webHidden/>
              </w:rPr>
              <w:t>125</w:t>
            </w:r>
            <w:r w:rsidR="002E4C08">
              <w:rPr>
                <w:webHidden/>
              </w:rPr>
              <w:fldChar w:fldCharType="end"/>
            </w:r>
          </w:hyperlink>
        </w:p>
        <w:p w14:paraId="24B244ED" w14:textId="209628E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8" w:history="1">
            <w:r w:rsidR="002E4C08" w:rsidRPr="00C61B71">
              <w:rPr>
                <w:rStyle w:val="Hipervnculo"/>
              </w:rPr>
              <w:t>11.10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LEWIS ENERGY COLOMBIA INC</w:t>
            </w:r>
            <w:r w:rsidR="002E4C08">
              <w:rPr>
                <w:webHidden/>
              </w:rPr>
              <w:tab/>
            </w:r>
            <w:r w:rsidR="002E4C08">
              <w:rPr>
                <w:webHidden/>
              </w:rPr>
              <w:fldChar w:fldCharType="begin"/>
            </w:r>
            <w:r w:rsidR="002E4C08">
              <w:rPr>
                <w:webHidden/>
              </w:rPr>
              <w:instrText xml:space="preserve"> PAGEREF _Toc158211558 \h </w:instrText>
            </w:r>
            <w:r w:rsidR="002E4C08">
              <w:rPr>
                <w:webHidden/>
              </w:rPr>
            </w:r>
            <w:r w:rsidR="002E4C08">
              <w:rPr>
                <w:webHidden/>
              </w:rPr>
              <w:fldChar w:fldCharType="separate"/>
            </w:r>
            <w:r w:rsidR="0027336D">
              <w:rPr>
                <w:webHidden/>
              </w:rPr>
              <w:t>126</w:t>
            </w:r>
            <w:r w:rsidR="002E4C08">
              <w:rPr>
                <w:webHidden/>
              </w:rPr>
              <w:fldChar w:fldCharType="end"/>
            </w:r>
          </w:hyperlink>
        </w:p>
        <w:p w14:paraId="660B0BA4" w14:textId="570E3B9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59" w:history="1">
            <w:r w:rsidR="002E4C08" w:rsidRPr="00C61B71">
              <w:rPr>
                <w:rStyle w:val="Hipervnculo"/>
              </w:rPr>
              <w:t>11.11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Metrogas de Colombia SA ESP</w:t>
            </w:r>
            <w:r w:rsidR="002E4C08">
              <w:rPr>
                <w:webHidden/>
              </w:rPr>
              <w:tab/>
            </w:r>
            <w:r w:rsidR="002E4C08">
              <w:rPr>
                <w:webHidden/>
              </w:rPr>
              <w:fldChar w:fldCharType="begin"/>
            </w:r>
            <w:r w:rsidR="002E4C08">
              <w:rPr>
                <w:webHidden/>
              </w:rPr>
              <w:instrText xml:space="preserve"> PAGEREF _Toc158211559 \h </w:instrText>
            </w:r>
            <w:r w:rsidR="002E4C08">
              <w:rPr>
                <w:webHidden/>
              </w:rPr>
            </w:r>
            <w:r w:rsidR="002E4C08">
              <w:rPr>
                <w:webHidden/>
              </w:rPr>
              <w:fldChar w:fldCharType="separate"/>
            </w:r>
            <w:r w:rsidR="0027336D">
              <w:rPr>
                <w:webHidden/>
              </w:rPr>
              <w:t>126</w:t>
            </w:r>
            <w:r w:rsidR="002E4C08">
              <w:rPr>
                <w:webHidden/>
              </w:rPr>
              <w:fldChar w:fldCharType="end"/>
            </w:r>
          </w:hyperlink>
        </w:p>
        <w:p w14:paraId="50CA80B9" w14:textId="4B55C0C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0" w:history="1">
            <w:r w:rsidR="002E4C08" w:rsidRPr="00C61B71">
              <w:rPr>
                <w:rStyle w:val="Hipervnculo"/>
              </w:rPr>
              <w:t>11.12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Naturgas</w:t>
            </w:r>
            <w:r w:rsidR="002E4C08">
              <w:rPr>
                <w:webHidden/>
              </w:rPr>
              <w:tab/>
            </w:r>
            <w:r w:rsidR="002E4C08">
              <w:rPr>
                <w:webHidden/>
              </w:rPr>
              <w:fldChar w:fldCharType="begin"/>
            </w:r>
            <w:r w:rsidR="002E4C08">
              <w:rPr>
                <w:webHidden/>
              </w:rPr>
              <w:instrText xml:space="preserve"> PAGEREF _Toc158211560 \h </w:instrText>
            </w:r>
            <w:r w:rsidR="002E4C08">
              <w:rPr>
                <w:webHidden/>
              </w:rPr>
            </w:r>
            <w:r w:rsidR="002E4C08">
              <w:rPr>
                <w:webHidden/>
              </w:rPr>
              <w:fldChar w:fldCharType="separate"/>
            </w:r>
            <w:r w:rsidR="0027336D">
              <w:rPr>
                <w:webHidden/>
              </w:rPr>
              <w:t>127</w:t>
            </w:r>
            <w:r w:rsidR="002E4C08">
              <w:rPr>
                <w:webHidden/>
              </w:rPr>
              <w:fldChar w:fldCharType="end"/>
            </w:r>
          </w:hyperlink>
        </w:p>
        <w:p w14:paraId="03B91380" w14:textId="2C8ED4F8"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1" w:history="1">
            <w:r w:rsidR="002E4C08" w:rsidRPr="00C61B71">
              <w:rPr>
                <w:rStyle w:val="Hipervnculo"/>
              </w:rPr>
              <w:t>11.13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PETROMIL GAS S.A.S. E.S.P.</w:t>
            </w:r>
            <w:r w:rsidR="002E4C08">
              <w:rPr>
                <w:webHidden/>
              </w:rPr>
              <w:tab/>
            </w:r>
            <w:r w:rsidR="002E4C08">
              <w:rPr>
                <w:webHidden/>
              </w:rPr>
              <w:fldChar w:fldCharType="begin"/>
            </w:r>
            <w:r w:rsidR="002E4C08">
              <w:rPr>
                <w:webHidden/>
              </w:rPr>
              <w:instrText xml:space="preserve"> PAGEREF _Toc158211561 \h </w:instrText>
            </w:r>
            <w:r w:rsidR="002E4C08">
              <w:rPr>
                <w:webHidden/>
              </w:rPr>
            </w:r>
            <w:r w:rsidR="002E4C08">
              <w:rPr>
                <w:webHidden/>
              </w:rPr>
              <w:fldChar w:fldCharType="separate"/>
            </w:r>
            <w:r w:rsidR="0027336D">
              <w:rPr>
                <w:webHidden/>
              </w:rPr>
              <w:t>127</w:t>
            </w:r>
            <w:r w:rsidR="002E4C08">
              <w:rPr>
                <w:webHidden/>
              </w:rPr>
              <w:fldChar w:fldCharType="end"/>
            </w:r>
          </w:hyperlink>
        </w:p>
        <w:p w14:paraId="6E2DC441" w14:textId="01BB816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2" w:history="1">
            <w:r w:rsidR="002E4C08" w:rsidRPr="00C61B71">
              <w:rPr>
                <w:rStyle w:val="Hipervnculo"/>
              </w:rPr>
              <w:t>11.14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_Toc158211562 \h </w:instrText>
            </w:r>
            <w:r w:rsidR="002E4C08">
              <w:rPr>
                <w:webHidden/>
              </w:rPr>
            </w:r>
            <w:r w:rsidR="002E4C08">
              <w:rPr>
                <w:webHidden/>
              </w:rPr>
              <w:fldChar w:fldCharType="separate"/>
            </w:r>
            <w:r w:rsidR="0027336D">
              <w:rPr>
                <w:webHidden/>
              </w:rPr>
              <w:t>128</w:t>
            </w:r>
            <w:r w:rsidR="002E4C08">
              <w:rPr>
                <w:webHidden/>
              </w:rPr>
              <w:fldChar w:fldCharType="end"/>
            </w:r>
          </w:hyperlink>
        </w:p>
        <w:p w14:paraId="6CCED8A3" w14:textId="3F35DC0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3" w:history="1">
            <w:r w:rsidR="002E4C08" w:rsidRPr="00C61B71">
              <w:rPr>
                <w:rStyle w:val="Hipervnculo"/>
              </w:rPr>
              <w:t>11.15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_Toc158211563 \h </w:instrText>
            </w:r>
            <w:r w:rsidR="002E4C08">
              <w:rPr>
                <w:webHidden/>
              </w:rPr>
            </w:r>
            <w:r w:rsidR="002E4C08">
              <w:rPr>
                <w:webHidden/>
              </w:rPr>
              <w:fldChar w:fldCharType="separate"/>
            </w:r>
            <w:r w:rsidR="0027336D">
              <w:rPr>
                <w:webHidden/>
              </w:rPr>
              <w:t>128</w:t>
            </w:r>
            <w:r w:rsidR="002E4C08">
              <w:rPr>
                <w:webHidden/>
              </w:rPr>
              <w:fldChar w:fldCharType="end"/>
            </w:r>
          </w:hyperlink>
        </w:p>
        <w:p w14:paraId="5659DC20" w14:textId="212009F9"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64" w:history="1">
            <w:r w:rsidR="002E4C08" w:rsidRPr="00C61B71">
              <w:rPr>
                <w:rStyle w:val="Hipervnculo"/>
              </w:rPr>
              <w:t>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12</w:t>
            </w:r>
            <w:r w:rsidR="002E4C08">
              <w:rPr>
                <w:webHidden/>
              </w:rPr>
              <w:tab/>
            </w:r>
            <w:r w:rsidR="002E4C08">
              <w:rPr>
                <w:webHidden/>
              </w:rPr>
              <w:fldChar w:fldCharType="begin"/>
            </w:r>
            <w:r w:rsidR="002E4C08">
              <w:rPr>
                <w:webHidden/>
              </w:rPr>
              <w:instrText xml:space="preserve"> PAGEREF _Toc158211564 \h </w:instrText>
            </w:r>
            <w:r w:rsidR="002E4C08">
              <w:rPr>
                <w:webHidden/>
              </w:rPr>
            </w:r>
            <w:r w:rsidR="002E4C08">
              <w:rPr>
                <w:webHidden/>
              </w:rPr>
              <w:fldChar w:fldCharType="separate"/>
            </w:r>
            <w:r w:rsidR="0027336D">
              <w:rPr>
                <w:webHidden/>
              </w:rPr>
              <w:t>128</w:t>
            </w:r>
            <w:r w:rsidR="002E4C08">
              <w:rPr>
                <w:webHidden/>
              </w:rPr>
              <w:fldChar w:fldCharType="end"/>
            </w:r>
          </w:hyperlink>
        </w:p>
        <w:p w14:paraId="505E9BA7" w14:textId="4C8ABD1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5" w:history="1">
            <w:r w:rsidR="002E4C08" w:rsidRPr="00C61B71">
              <w:rPr>
                <w:rStyle w:val="Hipervnculo"/>
              </w:rPr>
              <w:t>12.1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ACOLGÉN</w:t>
            </w:r>
            <w:r w:rsidR="002E4C08">
              <w:rPr>
                <w:webHidden/>
              </w:rPr>
              <w:tab/>
            </w:r>
            <w:r w:rsidR="002E4C08">
              <w:rPr>
                <w:webHidden/>
              </w:rPr>
              <w:fldChar w:fldCharType="begin"/>
            </w:r>
            <w:r w:rsidR="002E4C08">
              <w:rPr>
                <w:webHidden/>
              </w:rPr>
              <w:instrText xml:space="preserve"> PAGEREF _Toc158211565 \h </w:instrText>
            </w:r>
            <w:r w:rsidR="002E4C08">
              <w:rPr>
                <w:webHidden/>
              </w:rPr>
            </w:r>
            <w:r w:rsidR="002E4C08">
              <w:rPr>
                <w:webHidden/>
              </w:rPr>
              <w:fldChar w:fldCharType="separate"/>
            </w:r>
            <w:r w:rsidR="0027336D">
              <w:rPr>
                <w:webHidden/>
              </w:rPr>
              <w:t>128</w:t>
            </w:r>
            <w:r w:rsidR="002E4C08">
              <w:rPr>
                <w:webHidden/>
              </w:rPr>
              <w:fldChar w:fldCharType="end"/>
            </w:r>
          </w:hyperlink>
        </w:p>
        <w:p w14:paraId="58864250" w14:textId="779F577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6" w:history="1">
            <w:r w:rsidR="002E4C08" w:rsidRPr="00C61B71">
              <w:rPr>
                <w:rStyle w:val="Hipervnculo"/>
              </w:rPr>
              <w:t>12.2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EPM</w:t>
            </w:r>
            <w:r w:rsidR="002E4C08">
              <w:rPr>
                <w:webHidden/>
              </w:rPr>
              <w:tab/>
            </w:r>
            <w:r w:rsidR="002E4C08">
              <w:rPr>
                <w:webHidden/>
              </w:rPr>
              <w:fldChar w:fldCharType="begin"/>
            </w:r>
            <w:r w:rsidR="002E4C08">
              <w:rPr>
                <w:webHidden/>
              </w:rPr>
              <w:instrText xml:space="preserve"> PAGEREF _Toc158211566 \h </w:instrText>
            </w:r>
            <w:r w:rsidR="002E4C08">
              <w:rPr>
                <w:webHidden/>
              </w:rPr>
            </w:r>
            <w:r w:rsidR="002E4C08">
              <w:rPr>
                <w:webHidden/>
              </w:rPr>
              <w:fldChar w:fldCharType="separate"/>
            </w:r>
            <w:r w:rsidR="0027336D">
              <w:rPr>
                <w:webHidden/>
              </w:rPr>
              <w:t>129</w:t>
            </w:r>
            <w:r w:rsidR="002E4C08">
              <w:rPr>
                <w:webHidden/>
              </w:rPr>
              <w:fldChar w:fldCharType="end"/>
            </w:r>
          </w:hyperlink>
        </w:p>
        <w:p w14:paraId="31AADF70" w14:textId="55A5C5F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7" w:history="1">
            <w:r w:rsidR="002E4C08" w:rsidRPr="00C61B71">
              <w:rPr>
                <w:rStyle w:val="Hipervnculo"/>
              </w:rPr>
              <w:t>12.3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Gases del Caribe</w:t>
            </w:r>
            <w:r w:rsidR="002E4C08">
              <w:rPr>
                <w:webHidden/>
              </w:rPr>
              <w:tab/>
            </w:r>
            <w:r w:rsidR="002E4C08">
              <w:rPr>
                <w:webHidden/>
              </w:rPr>
              <w:fldChar w:fldCharType="begin"/>
            </w:r>
            <w:r w:rsidR="002E4C08">
              <w:rPr>
                <w:webHidden/>
              </w:rPr>
              <w:instrText xml:space="preserve"> PAGEREF _Toc158211567 \h </w:instrText>
            </w:r>
            <w:r w:rsidR="002E4C08">
              <w:rPr>
                <w:webHidden/>
              </w:rPr>
            </w:r>
            <w:r w:rsidR="002E4C08">
              <w:rPr>
                <w:webHidden/>
              </w:rPr>
              <w:fldChar w:fldCharType="separate"/>
            </w:r>
            <w:r w:rsidR="0027336D">
              <w:rPr>
                <w:webHidden/>
              </w:rPr>
              <w:t>130</w:t>
            </w:r>
            <w:r w:rsidR="002E4C08">
              <w:rPr>
                <w:webHidden/>
              </w:rPr>
              <w:fldChar w:fldCharType="end"/>
            </w:r>
          </w:hyperlink>
        </w:p>
        <w:p w14:paraId="034AA681" w14:textId="0158B53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8" w:history="1">
            <w:r w:rsidR="002E4C08" w:rsidRPr="00C61B71">
              <w:rPr>
                <w:rStyle w:val="Hipervnculo"/>
              </w:rPr>
              <w:t>12.4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_Toc158211568 \h </w:instrText>
            </w:r>
            <w:r w:rsidR="002E4C08">
              <w:rPr>
                <w:webHidden/>
              </w:rPr>
            </w:r>
            <w:r w:rsidR="002E4C08">
              <w:rPr>
                <w:webHidden/>
              </w:rPr>
              <w:fldChar w:fldCharType="separate"/>
            </w:r>
            <w:r w:rsidR="0027336D">
              <w:rPr>
                <w:webHidden/>
              </w:rPr>
              <w:t>131</w:t>
            </w:r>
            <w:r w:rsidR="002E4C08">
              <w:rPr>
                <w:webHidden/>
              </w:rPr>
              <w:fldChar w:fldCharType="end"/>
            </w:r>
          </w:hyperlink>
        </w:p>
        <w:p w14:paraId="61E25C08" w14:textId="7B32C31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69" w:history="1">
            <w:r w:rsidR="002E4C08" w:rsidRPr="00C61B71">
              <w:rPr>
                <w:rStyle w:val="Hipervnculo"/>
              </w:rPr>
              <w:t>12.5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_Toc158211569 \h </w:instrText>
            </w:r>
            <w:r w:rsidR="002E4C08">
              <w:rPr>
                <w:webHidden/>
              </w:rPr>
            </w:r>
            <w:r w:rsidR="002E4C08">
              <w:rPr>
                <w:webHidden/>
              </w:rPr>
              <w:fldChar w:fldCharType="separate"/>
            </w:r>
            <w:r w:rsidR="0027336D">
              <w:rPr>
                <w:webHidden/>
              </w:rPr>
              <w:t>131</w:t>
            </w:r>
            <w:r w:rsidR="002E4C08">
              <w:rPr>
                <w:webHidden/>
              </w:rPr>
              <w:fldChar w:fldCharType="end"/>
            </w:r>
          </w:hyperlink>
        </w:p>
        <w:p w14:paraId="43F18F73" w14:textId="70C2CD5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70" w:history="1">
            <w:r w:rsidR="002E4C08" w:rsidRPr="00C61B71">
              <w:rPr>
                <w:rStyle w:val="Hipervnculo"/>
              </w:rPr>
              <w:t>12.6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_Toc158211570 \h </w:instrText>
            </w:r>
            <w:r w:rsidR="002E4C08">
              <w:rPr>
                <w:webHidden/>
              </w:rPr>
            </w:r>
            <w:r w:rsidR="002E4C08">
              <w:rPr>
                <w:webHidden/>
              </w:rPr>
              <w:fldChar w:fldCharType="separate"/>
            </w:r>
            <w:r w:rsidR="0027336D">
              <w:rPr>
                <w:webHidden/>
              </w:rPr>
              <w:t>131</w:t>
            </w:r>
            <w:r w:rsidR="002E4C08">
              <w:rPr>
                <w:webHidden/>
              </w:rPr>
              <w:fldChar w:fldCharType="end"/>
            </w:r>
          </w:hyperlink>
        </w:p>
        <w:p w14:paraId="251918E1" w14:textId="0901A5D7"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71" w:history="1">
            <w:r w:rsidR="002E4C08" w:rsidRPr="00C61B71">
              <w:rPr>
                <w:rStyle w:val="Hipervnculo"/>
              </w:rPr>
              <w:t>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13</w:t>
            </w:r>
            <w:r w:rsidR="002E4C08">
              <w:rPr>
                <w:webHidden/>
              </w:rPr>
              <w:tab/>
            </w:r>
            <w:r w:rsidR="002E4C08">
              <w:rPr>
                <w:webHidden/>
              </w:rPr>
              <w:fldChar w:fldCharType="begin"/>
            </w:r>
            <w:r w:rsidR="002E4C08">
              <w:rPr>
                <w:webHidden/>
              </w:rPr>
              <w:instrText xml:space="preserve"> PAGEREF _Toc158211571 \h </w:instrText>
            </w:r>
            <w:r w:rsidR="002E4C08">
              <w:rPr>
                <w:webHidden/>
              </w:rPr>
            </w:r>
            <w:r w:rsidR="002E4C08">
              <w:rPr>
                <w:webHidden/>
              </w:rPr>
              <w:fldChar w:fldCharType="separate"/>
            </w:r>
            <w:r w:rsidR="0027336D">
              <w:rPr>
                <w:webHidden/>
              </w:rPr>
              <w:t>132</w:t>
            </w:r>
            <w:r w:rsidR="002E4C08">
              <w:rPr>
                <w:webHidden/>
              </w:rPr>
              <w:fldChar w:fldCharType="end"/>
            </w:r>
          </w:hyperlink>
        </w:p>
        <w:p w14:paraId="4EDC2B02" w14:textId="07BD257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72" w:history="1">
            <w:r w:rsidR="002E4C08" w:rsidRPr="00C61B71">
              <w:rPr>
                <w:rStyle w:val="Hipervnculo"/>
              </w:rPr>
              <w:t>13.1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EPM</w:t>
            </w:r>
            <w:r w:rsidR="002E4C08">
              <w:rPr>
                <w:webHidden/>
              </w:rPr>
              <w:tab/>
            </w:r>
            <w:r w:rsidR="002E4C08">
              <w:rPr>
                <w:webHidden/>
              </w:rPr>
              <w:fldChar w:fldCharType="begin"/>
            </w:r>
            <w:r w:rsidR="002E4C08">
              <w:rPr>
                <w:webHidden/>
              </w:rPr>
              <w:instrText xml:space="preserve"> PAGEREF _Toc158211572 \h </w:instrText>
            </w:r>
            <w:r w:rsidR="002E4C08">
              <w:rPr>
                <w:webHidden/>
              </w:rPr>
            </w:r>
            <w:r w:rsidR="002E4C08">
              <w:rPr>
                <w:webHidden/>
              </w:rPr>
              <w:fldChar w:fldCharType="separate"/>
            </w:r>
            <w:r w:rsidR="0027336D">
              <w:rPr>
                <w:webHidden/>
              </w:rPr>
              <w:t>132</w:t>
            </w:r>
            <w:r w:rsidR="002E4C08">
              <w:rPr>
                <w:webHidden/>
              </w:rPr>
              <w:fldChar w:fldCharType="end"/>
            </w:r>
          </w:hyperlink>
        </w:p>
        <w:p w14:paraId="6F6AB933" w14:textId="4C5453B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73" w:history="1">
            <w:r w:rsidR="002E4C08" w:rsidRPr="00C61B71">
              <w:rPr>
                <w:rStyle w:val="Hipervnculo"/>
              </w:rPr>
              <w:t>13.2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_Toc158211573 \h </w:instrText>
            </w:r>
            <w:r w:rsidR="002E4C08">
              <w:rPr>
                <w:webHidden/>
              </w:rPr>
            </w:r>
            <w:r w:rsidR="002E4C08">
              <w:rPr>
                <w:webHidden/>
              </w:rPr>
              <w:fldChar w:fldCharType="separate"/>
            </w:r>
            <w:r w:rsidR="0027336D">
              <w:rPr>
                <w:webHidden/>
              </w:rPr>
              <w:t>133</w:t>
            </w:r>
            <w:r w:rsidR="002E4C08">
              <w:rPr>
                <w:webHidden/>
              </w:rPr>
              <w:fldChar w:fldCharType="end"/>
            </w:r>
          </w:hyperlink>
        </w:p>
        <w:p w14:paraId="6C4FD2AF" w14:textId="6ABADD2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74" w:history="1">
            <w:r w:rsidR="002E4C08" w:rsidRPr="00C61B71">
              <w:rPr>
                <w:rStyle w:val="Hipervnculo"/>
              </w:rPr>
              <w:t>13.3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_Toc158211574 \h </w:instrText>
            </w:r>
            <w:r w:rsidR="002E4C08">
              <w:rPr>
                <w:webHidden/>
              </w:rPr>
            </w:r>
            <w:r w:rsidR="002E4C08">
              <w:rPr>
                <w:webHidden/>
              </w:rPr>
              <w:fldChar w:fldCharType="separate"/>
            </w:r>
            <w:r w:rsidR="0027336D">
              <w:rPr>
                <w:webHidden/>
              </w:rPr>
              <w:t>134</w:t>
            </w:r>
            <w:r w:rsidR="002E4C08">
              <w:rPr>
                <w:webHidden/>
              </w:rPr>
              <w:fldChar w:fldCharType="end"/>
            </w:r>
          </w:hyperlink>
        </w:p>
        <w:p w14:paraId="4D5278D6" w14:textId="71C49450"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75" w:history="1">
            <w:r w:rsidR="002E4C08" w:rsidRPr="00C61B71">
              <w:rPr>
                <w:rStyle w:val="Hipervnculo"/>
              </w:rPr>
              <w:t>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14</w:t>
            </w:r>
            <w:r w:rsidR="002E4C08">
              <w:rPr>
                <w:webHidden/>
              </w:rPr>
              <w:tab/>
            </w:r>
            <w:r w:rsidR="002E4C08">
              <w:rPr>
                <w:webHidden/>
              </w:rPr>
              <w:fldChar w:fldCharType="begin"/>
            </w:r>
            <w:r w:rsidR="002E4C08">
              <w:rPr>
                <w:webHidden/>
              </w:rPr>
              <w:instrText xml:space="preserve"> PAGEREF _Toc158211575 \h </w:instrText>
            </w:r>
            <w:r w:rsidR="002E4C08">
              <w:rPr>
                <w:webHidden/>
              </w:rPr>
            </w:r>
            <w:r w:rsidR="002E4C08">
              <w:rPr>
                <w:webHidden/>
              </w:rPr>
              <w:fldChar w:fldCharType="separate"/>
            </w:r>
            <w:r w:rsidR="0027336D">
              <w:rPr>
                <w:webHidden/>
              </w:rPr>
              <w:t>134</w:t>
            </w:r>
            <w:r w:rsidR="002E4C08">
              <w:rPr>
                <w:webHidden/>
              </w:rPr>
              <w:fldChar w:fldCharType="end"/>
            </w:r>
          </w:hyperlink>
        </w:p>
        <w:p w14:paraId="6FF28DEB" w14:textId="09DF193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76" w:history="1">
            <w:r w:rsidR="002E4C08" w:rsidRPr="00C61B71">
              <w:rPr>
                <w:rStyle w:val="Hipervnculo"/>
              </w:rPr>
              <w:t>14.1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_Toc158211576 \h </w:instrText>
            </w:r>
            <w:r w:rsidR="002E4C08">
              <w:rPr>
                <w:webHidden/>
              </w:rPr>
            </w:r>
            <w:r w:rsidR="002E4C08">
              <w:rPr>
                <w:webHidden/>
              </w:rPr>
              <w:fldChar w:fldCharType="separate"/>
            </w:r>
            <w:r w:rsidR="0027336D">
              <w:rPr>
                <w:webHidden/>
              </w:rPr>
              <w:t>134</w:t>
            </w:r>
            <w:r w:rsidR="002E4C08">
              <w:rPr>
                <w:webHidden/>
              </w:rPr>
              <w:fldChar w:fldCharType="end"/>
            </w:r>
          </w:hyperlink>
        </w:p>
        <w:p w14:paraId="473B6AF4" w14:textId="5831958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77" w:history="1">
            <w:r w:rsidR="002E4C08" w:rsidRPr="00C61B71">
              <w:rPr>
                <w:rStyle w:val="Hipervnculo"/>
              </w:rPr>
              <w:t>14.2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_Toc158211577 \h </w:instrText>
            </w:r>
            <w:r w:rsidR="002E4C08">
              <w:rPr>
                <w:webHidden/>
              </w:rPr>
            </w:r>
            <w:r w:rsidR="002E4C08">
              <w:rPr>
                <w:webHidden/>
              </w:rPr>
              <w:fldChar w:fldCharType="separate"/>
            </w:r>
            <w:r w:rsidR="0027336D">
              <w:rPr>
                <w:webHidden/>
              </w:rPr>
              <w:t>134</w:t>
            </w:r>
            <w:r w:rsidR="002E4C08">
              <w:rPr>
                <w:webHidden/>
              </w:rPr>
              <w:fldChar w:fldCharType="end"/>
            </w:r>
          </w:hyperlink>
        </w:p>
        <w:p w14:paraId="4D82F2C6" w14:textId="07F433D7"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78" w:history="1">
            <w:r w:rsidR="002E4C08" w:rsidRPr="00C61B71">
              <w:rPr>
                <w:rStyle w:val="Hipervnculo"/>
              </w:rPr>
              <w:t>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15</w:t>
            </w:r>
            <w:r w:rsidR="002E4C08">
              <w:rPr>
                <w:webHidden/>
              </w:rPr>
              <w:tab/>
            </w:r>
            <w:r w:rsidR="002E4C08">
              <w:rPr>
                <w:webHidden/>
              </w:rPr>
              <w:fldChar w:fldCharType="begin"/>
            </w:r>
            <w:r w:rsidR="002E4C08">
              <w:rPr>
                <w:webHidden/>
              </w:rPr>
              <w:instrText xml:space="preserve"> PAGEREF _Toc158211578 \h </w:instrText>
            </w:r>
            <w:r w:rsidR="002E4C08">
              <w:rPr>
                <w:webHidden/>
              </w:rPr>
            </w:r>
            <w:r w:rsidR="002E4C08">
              <w:rPr>
                <w:webHidden/>
              </w:rPr>
              <w:fldChar w:fldCharType="separate"/>
            </w:r>
            <w:r w:rsidR="0027336D">
              <w:rPr>
                <w:webHidden/>
              </w:rPr>
              <w:t>134</w:t>
            </w:r>
            <w:r w:rsidR="002E4C08">
              <w:rPr>
                <w:webHidden/>
              </w:rPr>
              <w:fldChar w:fldCharType="end"/>
            </w:r>
          </w:hyperlink>
        </w:p>
        <w:p w14:paraId="33A8717E" w14:textId="3AAB3BF3"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79" w:history="1">
            <w:r w:rsidR="002E4C08" w:rsidRPr="00C61B71">
              <w:rPr>
                <w:rStyle w:val="Hipervnculo"/>
              </w:rPr>
              <w:t>15.1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ACP</w:t>
            </w:r>
            <w:r w:rsidR="002E4C08">
              <w:rPr>
                <w:webHidden/>
              </w:rPr>
              <w:tab/>
            </w:r>
            <w:r w:rsidR="002E4C08">
              <w:rPr>
                <w:webHidden/>
              </w:rPr>
              <w:fldChar w:fldCharType="begin"/>
            </w:r>
            <w:r w:rsidR="002E4C08">
              <w:rPr>
                <w:webHidden/>
              </w:rPr>
              <w:instrText xml:space="preserve"> PAGEREF _Toc158211579 \h </w:instrText>
            </w:r>
            <w:r w:rsidR="002E4C08">
              <w:rPr>
                <w:webHidden/>
              </w:rPr>
            </w:r>
            <w:r w:rsidR="002E4C08">
              <w:rPr>
                <w:webHidden/>
              </w:rPr>
              <w:fldChar w:fldCharType="separate"/>
            </w:r>
            <w:r w:rsidR="0027336D">
              <w:rPr>
                <w:webHidden/>
              </w:rPr>
              <w:t>134</w:t>
            </w:r>
            <w:r w:rsidR="002E4C08">
              <w:rPr>
                <w:webHidden/>
              </w:rPr>
              <w:fldChar w:fldCharType="end"/>
            </w:r>
          </w:hyperlink>
        </w:p>
        <w:p w14:paraId="6016C743" w14:textId="4B883DA6"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0" w:history="1">
            <w:r w:rsidR="002E4C08" w:rsidRPr="00C61B71">
              <w:rPr>
                <w:rStyle w:val="Hipervnculo"/>
              </w:rPr>
              <w:t>15.2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ASOENERGIA</w:t>
            </w:r>
            <w:r w:rsidR="002E4C08">
              <w:rPr>
                <w:webHidden/>
              </w:rPr>
              <w:tab/>
            </w:r>
            <w:r w:rsidR="002E4C08">
              <w:rPr>
                <w:webHidden/>
              </w:rPr>
              <w:fldChar w:fldCharType="begin"/>
            </w:r>
            <w:r w:rsidR="002E4C08">
              <w:rPr>
                <w:webHidden/>
              </w:rPr>
              <w:instrText xml:space="preserve"> PAGEREF _Toc158211580 \h </w:instrText>
            </w:r>
            <w:r w:rsidR="002E4C08">
              <w:rPr>
                <w:webHidden/>
              </w:rPr>
            </w:r>
            <w:r w:rsidR="002E4C08">
              <w:rPr>
                <w:webHidden/>
              </w:rPr>
              <w:fldChar w:fldCharType="separate"/>
            </w:r>
            <w:r w:rsidR="0027336D">
              <w:rPr>
                <w:webHidden/>
              </w:rPr>
              <w:t>135</w:t>
            </w:r>
            <w:r w:rsidR="002E4C08">
              <w:rPr>
                <w:webHidden/>
              </w:rPr>
              <w:fldChar w:fldCharType="end"/>
            </w:r>
          </w:hyperlink>
        </w:p>
        <w:p w14:paraId="64E74308" w14:textId="779A71A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1" w:history="1">
            <w:r w:rsidR="002E4C08" w:rsidRPr="00C61B71">
              <w:rPr>
                <w:rStyle w:val="Hipervnculo"/>
              </w:rPr>
              <w:t>15.3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GECELCA SA ESP</w:t>
            </w:r>
            <w:r w:rsidR="002E4C08">
              <w:rPr>
                <w:webHidden/>
              </w:rPr>
              <w:tab/>
            </w:r>
            <w:r w:rsidR="002E4C08">
              <w:rPr>
                <w:webHidden/>
              </w:rPr>
              <w:fldChar w:fldCharType="begin"/>
            </w:r>
            <w:r w:rsidR="002E4C08">
              <w:rPr>
                <w:webHidden/>
              </w:rPr>
              <w:instrText xml:space="preserve"> PAGEREF _Toc158211581 \h </w:instrText>
            </w:r>
            <w:r w:rsidR="002E4C08">
              <w:rPr>
                <w:webHidden/>
              </w:rPr>
            </w:r>
            <w:r w:rsidR="002E4C08">
              <w:rPr>
                <w:webHidden/>
              </w:rPr>
              <w:fldChar w:fldCharType="separate"/>
            </w:r>
            <w:r w:rsidR="0027336D">
              <w:rPr>
                <w:webHidden/>
              </w:rPr>
              <w:t>135</w:t>
            </w:r>
            <w:r w:rsidR="002E4C08">
              <w:rPr>
                <w:webHidden/>
              </w:rPr>
              <w:fldChar w:fldCharType="end"/>
            </w:r>
          </w:hyperlink>
        </w:p>
        <w:p w14:paraId="1703871D" w14:textId="5944872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2" w:history="1">
            <w:r w:rsidR="002E4C08" w:rsidRPr="00C61B71">
              <w:rPr>
                <w:rStyle w:val="Hipervnculo"/>
              </w:rPr>
              <w:t>15.4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_Toc158211582 \h </w:instrText>
            </w:r>
            <w:r w:rsidR="002E4C08">
              <w:rPr>
                <w:webHidden/>
              </w:rPr>
            </w:r>
            <w:r w:rsidR="002E4C08">
              <w:rPr>
                <w:webHidden/>
              </w:rPr>
              <w:fldChar w:fldCharType="separate"/>
            </w:r>
            <w:r w:rsidR="0027336D">
              <w:rPr>
                <w:webHidden/>
              </w:rPr>
              <w:t>136</w:t>
            </w:r>
            <w:r w:rsidR="002E4C08">
              <w:rPr>
                <w:webHidden/>
              </w:rPr>
              <w:fldChar w:fldCharType="end"/>
            </w:r>
          </w:hyperlink>
        </w:p>
        <w:p w14:paraId="7D632B03" w14:textId="409A415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3" w:history="1">
            <w:r w:rsidR="002E4C08" w:rsidRPr="00C61B71">
              <w:rPr>
                <w:rStyle w:val="Hipervnculo"/>
              </w:rPr>
              <w:t>15.5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_Toc158211583 \h </w:instrText>
            </w:r>
            <w:r w:rsidR="002E4C08">
              <w:rPr>
                <w:webHidden/>
              </w:rPr>
            </w:r>
            <w:r w:rsidR="002E4C08">
              <w:rPr>
                <w:webHidden/>
              </w:rPr>
              <w:fldChar w:fldCharType="separate"/>
            </w:r>
            <w:r w:rsidR="0027336D">
              <w:rPr>
                <w:webHidden/>
              </w:rPr>
              <w:t>136</w:t>
            </w:r>
            <w:r w:rsidR="002E4C08">
              <w:rPr>
                <w:webHidden/>
              </w:rPr>
              <w:fldChar w:fldCharType="end"/>
            </w:r>
          </w:hyperlink>
        </w:p>
        <w:p w14:paraId="60761D3B" w14:textId="7696602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4" w:history="1">
            <w:r w:rsidR="002E4C08" w:rsidRPr="00C61B71">
              <w:rPr>
                <w:rStyle w:val="Hipervnculo"/>
              </w:rPr>
              <w:t>15.6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SSPD</w:t>
            </w:r>
            <w:r w:rsidR="002E4C08">
              <w:rPr>
                <w:webHidden/>
              </w:rPr>
              <w:tab/>
            </w:r>
            <w:r w:rsidR="002E4C08">
              <w:rPr>
                <w:webHidden/>
              </w:rPr>
              <w:fldChar w:fldCharType="begin"/>
            </w:r>
            <w:r w:rsidR="002E4C08">
              <w:rPr>
                <w:webHidden/>
              </w:rPr>
              <w:instrText xml:space="preserve"> PAGEREF _Toc158211584 \h </w:instrText>
            </w:r>
            <w:r w:rsidR="002E4C08">
              <w:rPr>
                <w:webHidden/>
              </w:rPr>
            </w:r>
            <w:r w:rsidR="002E4C08">
              <w:rPr>
                <w:webHidden/>
              </w:rPr>
              <w:fldChar w:fldCharType="separate"/>
            </w:r>
            <w:r w:rsidR="0027336D">
              <w:rPr>
                <w:webHidden/>
              </w:rPr>
              <w:t>137</w:t>
            </w:r>
            <w:r w:rsidR="002E4C08">
              <w:rPr>
                <w:webHidden/>
              </w:rPr>
              <w:fldChar w:fldCharType="end"/>
            </w:r>
          </w:hyperlink>
        </w:p>
        <w:p w14:paraId="2E4C461D" w14:textId="24E5A5C2"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85" w:history="1">
            <w:r w:rsidR="002E4C08" w:rsidRPr="00C61B71">
              <w:rPr>
                <w:rStyle w:val="Hipervnculo"/>
              </w:rPr>
              <w:t>16.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16</w:t>
            </w:r>
            <w:r w:rsidR="002E4C08">
              <w:rPr>
                <w:webHidden/>
              </w:rPr>
              <w:tab/>
            </w:r>
            <w:r w:rsidR="002E4C08">
              <w:rPr>
                <w:webHidden/>
              </w:rPr>
              <w:fldChar w:fldCharType="begin"/>
            </w:r>
            <w:r w:rsidR="002E4C08">
              <w:rPr>
                <w:webHidden/>
              </w:rPr>
              <w:instrText xml:space="preserve"> PAGEREF _Toc158211585 \h </w:instrText>
            </w:r>
            <w:r w:rsidR="002E4C08">
              <w:rPr>
                <w:webHidden/>
              </w:rPr>
            </w:r>
            <w:r w:rsidR="002E4C08">
              <w:rPr>
                <w:webHidden/>
              </w:rPr>
              <w:fldChar w:fldCharType="separate"/>
            </w:r>
            <w:r w:rsidR="0027336D">
              <w:rPr>
                <w:webHidden/>
              </w:rPr>
              <w:t>137</w:t>
            </w:r>
            <w:r w:rsidR="002E4C08">
              <w:rPr>
                <w:webHidden/>
              </w:rPr>
              <w:fldChar w:fldCharType="end"/>
            </w:r>
          </w:hyperlink>
        </w:p>
        <w:p w14:paraId="3F2A8CAB" w14:textId="4E5C0D8B"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6" w:history="1">
            <w:r w:rsidR="002E4C08" w:rsidRPr="00C61B71">
              <w:rPr>
                <w:rStyle w:val="Hipervnculo"/>
              </w:rPr>
              <w:t>16.1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VANTI</w:t>
            </w:r>
            <w:r w:rsidR="002E4C08">
              <w:rPr>
                <w:webHidden/>
              </w:rPr>
              <w:tab/>
            </w:r>
            <w:r w:rsidR="002E4C08">
              <w:rPr>
                <w:webHidden/>
              </w:rPr>
              <w:fldChar w:fldCharType="begin"/>
            </w:r>
            <w:r w:rsidR="002E4C08">
              <w:rPr>
                <w:webHidden/>
              </w:rPr>
              <w:instrText xml:space="preserve"> PAGEREF _Toc158211586 \h </w:instrText>
            </w:r>
            <w:r w:rsidR="002E4C08">
              <w:rPr>
                <w:webHidden/>
              </w:rPr>
            </w:r>
            <w:r w:rsidR="002E4C08">
              <w:rPr>
                <w:webHidden/>
              </w:rPr>
              <w:fldChar w:fldCharType="separate"/>
            </w:r>
            <w:r w:rsidR="0027336D">
              <w:rPr>
                <w:webHidden/>
              </w:rPr>
              <w:t>137</w:t>
            </w:r>
            <w:r w:rsidR="002E4C08">
              <w:rPr>
                <w:webHidden/>
              </w:rPr>
              <w:fldChar w:fldCharType="end"/>
            </w:r>
          </w:hyperlink>
        </w:p>
        <w:p w14:paraId="5E63568F" w14:textId="25599C4B"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87" w:history="1">
            <w:r w:rsidR="002E4C08" w:rsidRPr="00C61B71">
              <w:rPr>
                <w:rStyle w:val="Hipervnculo"/>
              </w:rPr>
              <w:t>17.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ARTÍCULO 17</w:t>
            </w:r>
            <w:r w:rsidR="002E4C08">
              <w:rPr>
                <w:webHidden/>
              </w:rPr>
              <w:tab/>
            </w:r>
            <w:r w:rsidR="002E4C08">
              <w:rPr>
                <w:webHidden/>
              </w:rPr>
              <w:fldChar w:fldCharType="begin"/>
            </w:r>
            <w:r w:rsidR="002E4C08">
              <w:rPr>
                <w:webHidden/>
              </w:rPr>
              <w:instrText xml:space="preserve"> PAGEREF _Toc158211587 \h </w:instrText>
            </w:r>
            <w:r w:rsidR="002E4C08">
              <w:rPr>
                <w:webHidden/>
              </w:rPr>
            </w:r>
            <w:r w:rsidR="002E4C08">
              <w:rPr>
                <w:webHidden/>
              </w:rPr>
              <w:fldChar w:fldCharType="separate"/>
            </w:r>
            <w:r w:rsidR="0027336D">
              <w:rPr>
                <w:webHidden/>
              </w:rPr>
              <w:t>138</w:t>
            </w:r>
            <w:r w:rsidR="002E4C08">
              <w:rPr>
                <w:webHidden/>
              </w:rPr>
              <w:fldChar w:fldCharType="end"/>
            </w:r>
          </w:hyperlink>
        </w:p>
        <w:p w14:paraId="23FC8F02" w14:textId="65A535F5"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8" w:history="1">
            <w:r w:rsidR="002E4C08" w:rsidRPr="00C61B71">
              <w:rPr>
                <w:rStyle w:val="Hipervnculo"/>
              </w:rPr>
              <w:t>17.1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ACP</w:t>
            </w:r>
            <w:r w:rsidR="002E4C08">
              <w:rPr>
                <w:webHidden/>
              </w:rPr>
              <w:tab/>
            </w:r>
            <w:r w:rsidR="002E4C08">
              <w:rPr>
                <w:webHidden/>
              </w:rPr>
              <w:fldChar w:fldCharType="begin"/>
            </w:r>
            <w:r w:rsidR="002E4C08">
              <w:rPr>
                <w:webHidden/>
              </w:rPr>
              <w:instrText xml:space="preserve"> PAGEREF _Toc158211588 \h </w:instrText>
            </w:r>
            <w:r w:rsidR="002E4C08">
              <w:rPr>
                <w:webHidden/>
              </w:rPr>
            </w:r>
            <w:r w:rsidR="002E4C08">
              <w:rPr>
                <w:webHidden/>
              </w:rPr>
              <w:fldChar w:fldCharType="separate"/>
            </w:r>
            <w:r w:rsidR="0027336D">
              <w:rPr>
                <w:webHidden/>
              </w:rPr>
              <w:t>138</w:t>
            </w:r>
            <w:r w:rsidR="002E4C08">
              <w:rPr>
                <w:webHidden/>
              </w:rPr>
              <w:fldChar w:fldCharType="end"/>
            </w:r>
          </w:hyperlink>
        </w:p>
        <w:p w14:paraId="2B06F826" w14:textId="29C2190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89" w:history="1">
            <w:r w:rsidR="002E4C08" w:rsidRPr="00C61B71">
              <w:rPr>
                <w:rStyle w:val="Hipervnculo"/>
              </w:rPr>
              <w:t>17.2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GECELCA SA ESP</w:t>
            </w:r>
            <w:r w:rsidR="002E4C08">
              <w:rPr>
                <w:webHidden/>
              </w:rPr>
              <w:tab/>
            </w:r>
            <w:r w:rsidR="002E4C08">
              <w:rPr>
                <w:webHidden/>
              </w:rPr>
              <w:fldChar w:fldCharType="begin"/>
            </w:r>
            <w:r w:rsidR="002E4C08">
              <w:rPr>
                <w:webHidden/>
              </w:rPr>
              <w:instrText xml:space="preserve"> PAGEREF _Toc158211589 \h </w:instrText>
            </w:r>
            <w:r w:rsidR="002E4C08">
              <w:rPr>
                <w:webHidden/>
              </w:rPr>
            </w:r>
            <w:r w:rsidR="002E4C08">
              <w:rPr>
                <w:webHidden/>
              </w:rPr>
              <w:fldChar w:fldCharType="separate"/>
            </w:r>
            <w:r w:rsidR="0027336D">
              <w:rPr>
                <w:webHidden/>
              </w:rPr>
              <w:t>139</w:t>
            </w:r>
            <w:r w:rsidR="002E4C08">
              <w:rPr>
                <w:webHidden/>
              </w:rPr>
              <w:fldChar w:fldCharType="end"/>
            </w:r>
          </w:hyperlink>
        </w:p>
        <w:p w14:paraId="456A9B07" w14:textId="17131B4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0" w:history="1">
            <w:r w:rsidR="002E4C08" w:rsidRPr="00C61B71">
              <w:rPr>
                <w:rStyle w:val="Hipervnculo"/>
              </w:rPr>
              <w:t>17.3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Gestor del Mercado de Gas Natural en Colombia</w:t>
            </w:r>
            <w:r w:rsidR="002E4C08">
              <w:rPr>
                <w:webHidden/>
              </w:rPr>
              <w:tab/>
            </w:r>
            <w:r w:rsidR="002E4C08">
              <w:rPr>
                <w:webHidden/>
              </w:rPr>
              <w:fldChar w:fldCharType="begin"/>
            </w:r>
            <w:r w:rsidR="002E4C08">
              <w:rPr>
                <w:webHidden/>
              </w:rPr>
              <w:instrText xml:space="preserve"> PAGEREF _Toc158211590 \h </w:instrText>
            </w:r>
            <w:r w:rsidR="002E4C08">
              <w:rPr>
                <w:webHidden/>
              </w:rPr>
            </w:r>
            <w:r w:rsidR="002E4C08">
              <w:rPr>
                <w:webHidden/>
              </w:rPr>
              <w:fldChar w:fldCharType="separate"/>
            </w:r>
            <w:r w:rsidR="0027336D">
              <w:rPr>
                <w:webHidden/>
              </w:rPr>
              <w:t>139</w:t>
            </w:r>
            <w:r w:rsidR="002E4C08">
              <w:rPr>
                <w:webHidden/>
              </w:rPr>
              <w:fldChar w:fldCharType="end"/>
            </w:r>
          </w:hyperlink>
        </w:p>
        <w:p w14:paraId="25CA317D" w14:textId="796836F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1" w:history="1">
            <w:r w:rsidR="002E4C08" w:rsidRPr="00C61B71">
              <w:rPr>
                <w:rStyle w:val="Hipervnculo"/>
              </w:rPr>
              <w:t>17.4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Hocol S.A.</w:t>
            </w:r>
            <w:r w:rsidR="002E4C08">
              <w:rPr>
                <w:webHidden/>
              </w:rPr>
              <w:tab/>
            </w:r>
            <w:r w:rsidR="002E4C08">
              <w:rPr>
                <w:webHidden/>
              </w:rPr>
              <w:fldChar w:fldCharType="begin"/>
            </w:r>
            <w:r w:rsidR="002E4C08">
              <w:rPr>
                <w:webHidden/>
              </w:rPr>
              <w:instrText xml:space="preserve"> PAGEREF _Toc158211591 \h </w:instrText>
            </w:r>
            <w:r w:rsidR="002E4C08">
              <w:rPr>
                <w:webHidden/>
              </w:rPr>
            </w:r>
            <w:r w:rsidR="002E4C08">
              <w:rPr>
                <w:webHidden/>
              </w:rPr>
              <w:fldChar w:fldCharType="separate"/>
            </w:r>
            <w:r w:rsidR="0027336D">
              <w:rPr>
                <w:webHidden/>
              </w:rPr>
              <w:t>140</w:t>
            </w:r>
            <w:r w:rsidR="002E4C08">
              <w:rPr>
                <w:webHidden/>
              </w:rPr>
              <w:fldChar w:fldCharType="end"/>
            </w:r>
          </w:hyperlink>
        </w:p>
        <w:p w14:paraId="58D948FF" w14:textId="0547A9B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2" w:history="1">
            <w:r w:rsidR="002E4C08" w:rsidRPr="00C61B71">
              <w:rPr>
                <w:rStyle w:val="Hipervnculo"/>
              </w:rPr>
              <w:t>17.5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SANTAFÉ ENERGY</w:t>
            </w:r>
            <w:r w:rsidR="002E4C08">
              <w:rPr>
                <w:webHidden/>
              </w:rPr>
              <w:tab/>
            </w:r>
            <w:r w:rsidR="002E4C08">
              <w:rPr>
                <w:webHidden/>
              </w:rPr>
              <w:fldChar w:fldCharType="begin"/>
            </w:r>
            <w:r w:rsidR="002E4C08">
              <w:rPr>
                <w:webHidden/>
              </w:rPr>
              <w:instrText xml:space="preserve"> PAGEREF _Toc158211592 \h </w:instrText>
            </w:r>
            <w:r w:rsidR="002E4C08">
              <w:rPr>
                <w:webHidden/>
              </w:rPr>
            </w:r>
            <w:r w:rsidR="002E4C08">
              <w:rPr>
                <w:webHidden/>
              </w:rPr>
              <w:fldChar w:fldCharType="separate"/>
            </w:r>
            <w:r w:rsidR="0027336D">
              <w:rPr>
                <w:webHidden/>
              </w:rPr>
              <w:t>140</w:t>
            </w:r>
            <w:r w:rsidR="002E4C08">
              <w:rPr>
                <w:webHidden/>
              </w:rPr>
              <w:fldChar w:fldCharType="end"/>
            </w:r>
          </w:hyperlink>
        </w:p>
        <w:p w14:paraId="22D24E82" w14:textId="3A6C044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3" w:history="1">
            <w:r w:rsidR="002E4C08" w:rsidRPr="00C61B71">
              <w:rPr>
                <w:rStyle w:val="Hipervnculo"/>
              </w:rPr>
              <w:t>17.6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SSPD</w:t>
            </w:r>
            <w:r w:rsidR="002E4C08">
              <w:rPr>
                <w:webHidden/>
              </w:rPr>
              <w:tab/>
            </w:r>
            <w:r w:rsidR="002E4C08">
              <w:rPr>
                <w:webHidden/>
              </w:rPr>
              <w:fldChar w:fldCharType="begin"/>
            </w:r>
            <w:r w:rsidR="002E4C08">
              <w:rPr>
                <w:webHidden/>
              </w:rPr>
              <w:instrText xml:space="preserve"> PAGEREF _Toc158211593 \h </w:instrText>
            </w:r>
            <w:r w:rsidR="002E4C08">
              <w:rPr>
                <w:webHidden/>
              </w:rPr>
            </w:r>
            <w:r w:rsidR="002E4C08">
              <w:rPr>
                <w:webHidden/>
              </w:rPr>
              <w:fldChar w:fldCharType="separate"/>
            </w:r>
            <w:r w:rsidR="0027336D">
              <w:rPr>
                <w:webHidden/>
              </w:rPr>
              <w:t>140</w:t>
            </w:r>
            <w:r w:rsidR="002E4C08">
              <w:rPr>
                <w:webHidden/>
              </w:rPr>
              <w:fldChar w:fldCharType="end"/>
            </w:r>
          </w:hyperlink>
        </w:p>
        <w:p w14:paraId="791A8BF8" w14:textId="5E50B117" w:rsidR="002E4C08" w:rsidRDefault="00000000">
          <w:pPr>
            <w:pStyle w:val="TDC1"/>
            <w:rPr>
              <w:rFonts w:asciiTheme="minorHAnsi" w:eastAsiaTheme="minorEastAsia" w:hAnsiTheme="minorHAnsi" w:cstheme="minorBidi"/>
              <w:kern w:val="2"/>
              <w:lang w:val="es-CO" w:eastAsia="es-CO"/>
              <w14:ligatures w14:val="standardContextual"/>
            </w:rPr>
          </w:pPr>
          <w:hyperlink w:anchor="_Toc158211594" w:history="1">
            <w:r w:rsidR="002E4C08" w:rsidRPr="00C61B71">
              <w:rPr>
                <w:rStyle w:val="Hipervnculo"/>
              </w:rPr>
              <w:t>18.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GENERAL</w:t>
            </w:r>
            <w:r w:rsidR="002E4C08">
              <w:rPr>
                <w:webHidden/>
              </w:rPr>
              <w:tab/>
            </w:r>
            <w:r w:rsidR="002E4C08">
              <w:rPr>
                <w:webHidden/>
              </w:rPr>
              <w:fldChar w:fldCharType="begin"/>
            </w:r>
            <w:r w:rsidR="002E4C08">
              <w:rPr>
                <w:webHidden/>
              </w:rPr>
              <w:instrText xml:space="preserve"> PAGEREF _Toc158211594 \h </w:instrText>
            </w:r>
            <w:r w:rsidR="002E4C08">
              <w:rPr>
                <w:webHidden/>
              </w:rPr>
            </w:r>
            <w:r w:rsidR="002E4C08">
              <w:rPr>
                <w:webHidden/>
              </w:rPr>
              <w:fldChar w:fldCharType="separate"/>
            </w:r>
            <w:r w:rsidR="0027336D">
              <w:rPr>
                <w:webHidden/>
              </w:rPr>
              <w:t>140</w:t>
            </w:r>
            <w:r w:rsidR="002E4C08">
              <w:rPr>
                <w:webHidden/>
              </w:rPr>
              <w:fldChar w:fldCharType="end"/>
            </w:r>
          </w:hyperlink>
        </w:p>
        <w:p w14:paraId="0A789285" w14:textId="0C07B10D"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5" w:history="1">
            <w:r w:rsidR="002E4C08" w:rsidRPr="00C61B71">
              <w:rPr>
                <w:rStyle w:val="Hipervnculo"/>
              </w:rPr>
              <w:t>18.1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ACOLGÉN</w:t>
            </w:r>
            <w:r w:rsidR="002E4C08">
              <w:rPr>
                <w:webHidden/>
              </w:rPr>
              <w:tab/>
            </w:r>
            <w:r w:rsidR="002E4C08">
              <w:rPr>
                <w:webHidden/>
              </w:rPr>
              <w:fldChar w:fldCharType="begin"/>
            </w:r>
            <w:r w:rsidR="002E4C08">
              <w:rPr>
                <w:webHidden/>
              </w:rPr>
              <w:instrText xml:space="preserve"> PAGEREF _Toc158211595 \h </w:instrText>
            </w:r>
            <w:r w:rsidR="002E4C08">
              <w:rPr>
                <w:webHidden/>
              </w:rPr>
            </w:r>
            <w:r w:rsidR="002E4C08">
              <w:rPr>
                <w:webHidden/>
              </w:rPr>
              <w:fldChar w:fldCharType="separate"/>
            </w:r>
            <w:r w:rsidR="0027336D">
              <w:rPr>
                <w:webHidden/>
              </w:rPr>
              <w:t>140</w:t>
            </w:r>
            <w:r w:rsidR="002E4C08">
              <w:rPr>
                <w:webHidden/>
              </w:rPr>
              <w:fldChar w:fldCharType="end"/>
            </w:r>
          </w:hyperlink>
        </w:p>
        <w:p w14:paraId="4E99C1AC" w14:textId="4DEF389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6" w:history="1">
            <w:r w:rsidR="002E4C08" w:rsidRPr="00C61B71">
              <w:rPr>
                <w:rStyle w:val="Hipervnculo"/>
              </w:rPr>
              <w:t>18.2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ACOLGÉN</w:t>
            </w:r>
            <w:r w:rsidR="002E4C08">
              <w:rPr>
                <w:webHidden/>
              </w:rPr>
              <w:tab/>
            </w:r>
            <w:r w:rsidR="002E4C08">
              <w:rPr>
                <w:webHidden/>
              </w:rPr>
              <w:fldChar w:fldCharType="begin"/>
            </w:r>
            <w:r w:rsidR="002E4C08">
              <w:rPr>
                <w:webHidden/>
              </w:rPr>
              <w:instrText xml:space="preserve"> PAGEREF _Toc158211596 \h </w:instrText>
            </w:r>
            <w:r w:rsidR="002E4C08">
              <w:rPr>
                <w:webHidden/>
              </w:rPr>
            </w:r>
            <w:r w:rsidR="002E4C08">
              <w:rPr>
                <w:webHidden/>
              </w:rPr>
              <w:fldChar w:fldCharType="separate"/>
            </w:r>
            <w:r w:rsidR="0027336D">
              <w:rPr>
                <w:webHidden/>
              </w:rPr>
              <w:t>141</w:t>
            </w:r>
            <w:r w:rsidR="002E4C08">
              <w:rPr>
                <w:webHidden/>
              </w:rPr>
              <w:fldChar w:fldCharType="end"/>
            </w:r>
          </w:hyperlink>
        </w:p>
        <w:p w14:paraId="7BA7B6A7" w14:textId="5F327CF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7" w:history="1">
            <w:r w:rsidR="002E4C08" w:rsidRPr="00C61B71">
              <w:rPr>
                <w:rStyle w:val="Hipervnculo"/>
              </w:rPr>
              <w:t>18.3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_Toc158211597 \h </w:instrText>
            </w:r>
            <w:r w:rsidR="002E4C08">
              <w:rPr>
                <w:webHidden/>
              </w:rPr>
            </w:r>
            <w:r w:rsidR="002E4C08">
              <w:rPr>
                <w:webHidden/>
              </w:rPr>
              <w:fldChar w:fldCharType="separate"/>
            </w:r>
            <w:r w:rsidR="0027336D">
              <w:rPr>
                <w:webHidden/>
              </w:rPr>
              <w:t>141</w:t>
            </w:r>
            <w:r w:rsidR="002E4C08">
              <w:rPr>
                <w:webHidden/>
              </w:rPr>
              <w:fldChar w:fldCharType="end"/>
            </w:r>
          </w:hyperlink>
        </w:p>
        <w:p w14:paraId="6C171655" w14:textId="0042659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8" w:history="1">
            <w:r w:rsidR="002E4C08" w:rsidRPr="00C61B71">
              <w:rPr>
                <w:rStyle w:val="Hipervnculo"/>
              </w:rPr>
              <w:t>18.4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ANDEG</w:t>
            </w:r>
            <w:r w:rsidR="002E4C08">
              <w:rPr>
                <w:webHidden/>
              </w:rPr>
              <w:tab/>
            </w:r>
            <w:r w:rsidR="002E4C08">
              <w:rPr>
                <w:webHidden/>
              </w:rPr>
              <w:fldChar w:fldCharType="begin"/>
            </w:r>
            <w:r w:rsidR="002E4C08">
              <w:rPr>
                <w:webHidden/>
              </w:rPr>
              <w:instrText xml:space="preserve"> PAGEREF _Toc158211598 \h </w:instrText>
            </w:r>
            <w:r w:rsidR="002E4C08">
              <w:rPr>
                <w:webHidden/>
              </w:rPr>
            </w:r>
            <w:r w:rsidR="002E4C08">
              <w:rPr>
                <w:webHidden/>
              </w:rPr>
              <w:fldChar w:fldCharType="separate"/>
            </w:r>
            <w:r w:rsidR="0027336D">
              <w:rPr>
                <w:webHidden/>
              </w:rPr>
              <w:t>142</w:t>
            </w:r>
            <w:r w:rsidR="002E4C08">
              <w:rPr>
                <w:webHidden/>
              </w:rPr>
              <w:fldChar w:fldCharType="end"/>
            </w:r>
          </w:hyperlink>
        </w:p>
        <w:p w14:paraId="4CC0A9D9" w14:textId="70BC5707"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599" w:history="1">
            <w:r w:rsidR="002E4C08" w:rsidRPr="00C61B71">
              <w:rPr>
                <w:rStyle w:val="Hipervnculo"/>
              </w:rPr>
              <w:t>18.5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Andesco</w:t>
            </w:r>
            <w:r w:rsidR="002E4C08">
              <w:rPr>
                <w:webHidden/>
              </w:rPr>
              <w:tab/>
            </w:r>
            <w:r w:rsidR="002E4C08">
              <w:rPr>
                <w:webHidden/>
              </w:rPr>
              <w:fldChar w:fldCharType="begin"/>
            </w:r>
            <w:r w:rsidR="002E4C08">
              <w:rPr>
                <w:webHidden/>
              </w:rPr>
              <w:instrText xml:space="preserve"> PAGEREF _Toc158211599 \h </w:instrText>
            </w:r>
            <w:r w:rsidR="002E4C08">
              <w:rPr>
                <w:webHidden/>
              </w:rPr>
            </w:r>
            <w:r w:rsidR="002E4C08">
              <w:rPr>
                <w:webHidden/>
              </w:rPr>
              <w:fldChar w:fldCharType="separate"/>
            </w:r>
            <w:r w:rsidR="0027336D">
              <w:rPr>
                <w:webHidden/>
              </w:rPr>
              <w:t>142</w:t>
            </w:r>
            <w:r w:rsidR="002E4C08">
              <w:rPr>
                <w:webHidden/>
              </w:rPr>
              <w:fldChar w:fldCharType="end"/>
            </w:r>
          </w:hyperlink>
        </w:p>
        <w:p w14:paraId="1640C420" w14:textId="7F17D93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0" w:history="1">
            <w:r w:rsidR="002E4C08" w:rsidRPr="00C61B71">
              <w:rPr>
                <w:rStyle w:val="Hipervnculo"/>
              </w:rPr>
              <w:t>18.6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Andesco</w:t>
            </w:r>
            <w:r w:rsidR="002E4C08">
              <w:rPr>
                <w:webHidden/>
              </w:rPr>
              <w:tab/>
            </w:r>
            <w:r w:rsidR="002E4C08">
              <w:rPr>
                <w:webHidden/>
              </w:rPr>
              <w:fldChar w:fldCharType="begin"/>
            </w:r>
            <w:r w:rsidR="002E4C08">
              <w:rPr>
                <w:webHidden/>
              </w:rPr>
              <w:instrText xml:space="preserve"> PAGEREF _Toc158211600 \h </w:instrText>
            </w:r>
            <w:r w:rsidR="002E4C08">
              <w:rPr>
                <w:webHidden/>
              </w:rPr>
            </w:r>
            <w:r w:rsidR="002E4C08">
              <w:rPr>
                <w:webHidden/>
              </w:rPr>
              <w:fldChar w:fldCharType="separate"/>
            </w:r>
            <w:r w:rsidR="0027336D">
              <w:rPr>
                <w:webHidden/>
              </w:rPr>
              <w:t>142</w:t>
            </w:r>
            <w:r w:rsidR="002E4C08">
              <w:rPr>
                <w:webHidden/>
              </w:rPr>
              <w:fldChar w:fldCharType="end"/>
            </w:r>
          </w:hyperlink>
        </w:p>
        <w:p w14:paraId="4DB0AE61" w14:textId="0D6291F0"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1" w:history="1">
            <w:r w:rsidR="002E4C08" w:rsidRPr="00C61B71">
              <w:rPr>
                <w:rStyle w:val="Hipervnculo"/>
              </w:rPr>
              <w:t>18.7</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Calamarí LNG</w:t>
            </w:r>
            <w:r w:rsidR="002E4C08">
              <w:rPr>
                <w:webHidden/>
              </w:rPr>
              <w:tab/>
            </w:r>
            <w:r w:rsidR="002E4C08">
              <w:rPr>
                <w:webHidden/>
              </w:rPr>
              <w:fldChar w:fldCharType="begin"/>
            </w:r>
            <w:r w:rsidR="002E4C08">
              <w:rPr>
                <w:webHidden/>
              </w:rPr>
              <w:instrText xml:space="preserve"> PAGEREF _Toc158211601 \h </w:instrText>
            </w:r>
            <w:r w:rsidR="002E4C08">
              <w:rPr>
                <w:webHidden/>
              </w:rPr>
            </w:r>
            <w:r w:rsidR="002E4C08">
              <w:rPr>
                <w:webHidden/>
              </w:rPr>
              <w:fldChar w:fldCharType="separate"/>
            </w:r>
            <w:r w:rsidR="0027336D">
              <w:rPr>
                <w:webHidden/>
              </w:rPr>
              <w:t>143</w:t>
            </w:r>
            <w:r w:rsidR="002E4C08">
              <w:rPr>
                <w:webHidden/>
              </w:rPr>
              <w:fldChar w:fldCharType="end"/>
            </w:r>
          </w:hyperlink>
        </w:p>
        <w:p w14:paraId="0E1EA645" w14:textId="2D49F1DE"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2" w:history="1">
            <w:r w:rsidR="002E4C08" w:rsidRPr="00C61B71">
              <w:rPr>
                <w:rStyle w:val="Hipervnculo"/>
              </w:rPr>
              <w:t>18.8</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_Toc158211602 \h </w:instrText>
            </w:r>
            <w:r w:rsidR="002E4C08">
              <w:rPr>
                <w:webHidden/>
              </w:rPr>
            </w:r>
            <w:r w:rsidR="002E4C08">
              <w:rPr>
                <w:webHidden/>
              </w:rPr>
              <w:fldChar w:fldCharType="separate"/>
            </w:r>
            <w:r w:rsidR="0027336D">
              <w:rPr>
                <w:webHidden/>
              </w:rPr>
              <w:t>144</w:t>
            </w:r>
            <w:r w:rsidR="002E4C08">
              <w:rPr>
                <w:webHidden/>
              </w:rPr>
              <w:fldChar w:fldCharType="end"/>
            </w:r>
          </w:hyperlink>
        </w:p>
        <w:p w14:paraId="48DD4F2D" w14:textId="47C8922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3" w:history="1">
            <w:r w:rsidR="002E4C08" w:rsidRPr="00C61B71">
              <w:rPr>
                <w:rStyle w:val="Hipervnculo"/>
              </w:rPr>
              <w:t>18.9</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_Toc158211603 \h </w:instrText>
            </w:r>
            <w:r w:rsidR="002E4C08">
              <w:rPr>
                <w:webHidden/>
              </w:rPr>
            </w:r>
            <w:r w:rsidR="002E4C08">
              <w:rPr>
                <w:webHidden/>
              </w:rPr>
              <w:fldChar w:fldCharType="separate"/>
            </w:r>
            <w:r w:rsidR="0027336D">
              <w:rPr>
                <w:webHidden/>
              </w:rPr>
              <w:t>144</w:t>
            </w:r>
            <w:r w:rsidR="002E4C08">
              <w:rPr>
                <w:webHidden/>
              </w:rPr>
              <w:fldChar w:fldCharType="end"/>
            </w:r>
          </w:hyperlink>
        </w:p>
        <w:p w14:paraId="6D334E55" w14:textId="213E8384"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4" w:history="1">
            <w:r w:rsidR="002E4C08" w:rsidRPr="00C61B71">
              <w:rPr>
                <w:rStyle w:val="Hipervnculo"/>
              </w:rPr>
              <w:t>18.10</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Ecopetrol S.A.</w:t>
            </w:r>
            <w:r w:rsidR="002E4C08">
              <w:rPr>
                <w:webHidden/>
              </w:rPr>
              <w:tab/>
            </w:r>
            <w:r w:rsidR="002E4C08">
              <w:rPr>
                <w:webHidden/>
              </w:rPr>
              <w:fldChar w:fldCharType="begin"/>
            </w:r>
            <w:r w:rsidR="002E4C08">
              <w:rPr>
                <w:webHidden/>
              </w:rPr>
              <w:instrText xml:space="preserve"> PAGEREF _Toc158211604 \h </w:instrText>
            </w:r>
            <w:r w:rsidR="002E4C08">
              <w:rPr>
                <w:webHidden/>
              </w:rPr>
            </w:r>
            <w:r w:rsidR="002E4C08">
              <w:rPr>
                <w:webHidden/>
              </w:rPr>
              <w:fldChar w:fldCharType="separate"/>
            </w:r>
            <w:r w:rsidR="0027336D">
              <w:rPr>
                <w:webHidden/>
              </w:rPr>
              <w:t>144</w:t>
            </w:r>
            <w:r w:rsidR="002E4C08">
              <w:rPr>
                <w:webHidden/>
              </w:rPr>
              <w:fldChar w:fldCharType="end"/>
            </w:r>
          </w:hyperlink>
        </w:p>
        <w:p w14:paraId="6450FCAD" w14:textId="45AD1AFF"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5" w:history="1">
            <w:r w:rsidR="002E4C08" w:rsidRPr="00C61B71">
              <w:rPr>
                <w:rStyle w:val="Hipervnculo"/>
              </w:rPr>
              <w:t>18.11</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EPM</w:t>
            </w:r>
            <w:r w:rsidR="002E4C08">
              <w:rPr>
                <w:webHidden/>
              </w:rPr>
              <w:tab/>
            </w:r>
            <w:r w:rsidR="002E4C08">
              <w:rPr>
                <w:webHidden/>
              </w:rPr>
              <w:fldChar w:fldCharType="begin"/>
            </w:r>
            <w:r w:rsidR="002E4C08">
              <w:rPr>
                <w:webHidden/>
              </w:rPr>
              <w:instrText xml:space="preserve"> PAGEREF _Toc158211605 \h </w:instrText>
            </w:r>
            <w:r w:rsidR="002E4C08">
              <w:rPr>
                <w:webHidden/>
              </w:rPr>
            </w:r>
            <w:r w:rsidR="002E4C08">
              <w:rPr>
                <w:webHidden/>
              </w:rPr>
              <w:fldChar w:fldCharType="separate"/>
            </w:r>
            <w:r w:rsidR="0027336D">
              <w:rPr>
                <w:webHidden/>
              </w:rPr>
              <w:t>145</w:t>
            </w:r>
            <w:r w:rsidR="002E4C08">
              <w:rPr>
                <w:webHidden/>
              </w:rPr>
              <w:fldChar w:fldCharType="end"/>
            </w:r>
          </w:hyperlink>
        </w:p>
        <w:p w14:paraId="11FA64F9" w14:textId="76E5627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6" w:history="1">
            <w:r w:rsidR="002E4C08" w:rsidRPr="00C61B71">
              <w:rPr>
                <w:rStyle w:val="Hipervnculo"/>
              </w:rPr>
              <w:t>18.12</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LEWIS ENERGY COLOMBIA INC</w:t>
            </w:r>
            <w:r w:rsidR="002E4C08">
              <w:rPr>
                <w:webHidden/>
              </w:rPr>
              <w:tab/>
            </w:r>
            <w:r w:rsidR="002E4C08">
              <w:rPr>
                <w:webHidden/>
              </w:rPr>
              <w:fldChar w:fldCharType="begin"/>
            </w:r>
            <w:r w:rsidR="002E4C08">
              <w:rPr>
                <w:webHidden/>
              </w:rPr>
              <w:instrText xml:space="preserve"> PAGEREF _Toc158211606 \h </w:instrText>
            </w:r>
            <w:r w:rsidR="002E4C08">
              <w:rPr>
                <w:webHidden/>
              </w:rPr>
            </w:r>
            <w:r w:rsidR="002E4C08">
              <w:rPr>
                <w:webHidden/>
              </w:rPr>
              <w:fldChar w:fldCharType="separate"/>
            </w:r>
            <w:r w:rsidR="0027336D">
              <w:rPr>
                <w:webHidden/>
              </w:rPr>
              <w:t>145</w:t>
            </w:r>
            <w:r w:rsidR="002E4C08">
              <w:rPr>
                <w:webHidden/>
              </w:rPr>
              <w:fldChar w:fldCharType="end"/>
            </w:r>
          </w:hyperlink>
        </w:p>
        <w:p w14:paraId="4E005C0E" w14:textId="65FF015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7" w:history="1">
            <w:r w:rsidR="002E4C08" w:rsidRPr="00C61B71">
              <w:rPr>
                <w:rStyle w:val="Hipervnculo"/>
              </w:rPr>
              <w:t>18.13</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OGE LEGAL SERVICES</w:t>
            </w:r>
            <w:r w:rsidR="002E4C08">
              <w:rPr>
                <w:webHidden/>
              </w:rPr>
              <w:tab/>
            </w:r>
            <w:r w:rsidR="002E4C08">
              <w:rPr>
                <w:webHidden/>
              </w:rPr>
              <w:fldChar w:fldCharType="begin"/>
            </w:r>
            <w:r w:rsidR="002E4C08">
              <w:rPr>
                <w:webHidden/>
              </w:rPr>
              <w:instrText xml:space="preserve"> PAGEREF _Toc158211607 \h </w:instrText>
            </w:r>
            <w:r w:rsidR="002E4C08">
              <w:rPr>
                <w:webHidden/>
              </w:rPr>
            </w:r>
            <w:r w:rsidR="002E4C08">
              <w:rPr>
                <w:webHidden/>
              </w:rPr>
              <w:fldChar w:fldCharType="separate"/>
            </w:r>
            <w:r w:rsidR="0027336D">
              <w:rPr>
                <w:webHidden/>
              </w:rPr>
              <w:t>146</w:t>
            </w:r>
            <w:r w:rsidR="002E4C08">
              <w:rPr>
                <w:webHidden/>
              </w:rPr>
              <w:fldChar w:fldCharType="end"/>
            </w:r>
          </w:hyperlink>
        </w:p>
        <w:p w14:paraId="7ED85661" w14:textId="6F387C51"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8" w:history="1">
            <w:r w:rsidR="002E4C08" w:rsidRPr="00C61B71">
              <w:rPr>
                <w:rStyle w:val="Hipervnculo"/>
              </w:rPr>
              <w:t>18.14</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OGE LEGAL SERVICES</w:t>
            </w:r>
            <w:r w:rsidR="002E4C08">
              <w:rPr>
                <w:webHidden/>
              </w:rPr>
              <w:tab/>
            </w:r>
            <w:r w:rsidR="002E4C08">
              <w:rPr>
                <w:webHidden/>
              </w:rPr>
              <w:fldChar w:fldCharType="begin"/>
            </w:r>
            <w:r w:rsidR="002E4C08">
              <w:rPr>
                <w:webHidden/>
              </w:rPr>
              <w:instrText xml:space="preserve"> PAGEREF _Toc158211608 \h </w:instrText>
            </w:r>
            <w:r w:rsidR="002E4C08">
              <w:rPr>
                <w:webHidden/>
              </w:rPr>
            </w:r>
            <w:r w:rsidR="002E4C08">
              <w:rPr>
                <w:webHidden/>
              </w:rPr>
              <w:fldChar w:fldCharType="separate"/>
            </w:r>
            <w:r w:rsidR="0027336D">
              <w:rPr>
                <w:webHidden/>
              </w:rPr>
              <w:t>147</w:t>
            </w:r>
            <w:r w:rsidR="002E4C08">
              <w:rPr>
                <w:webHidden/>
              </w:rPr>
              <w:fldChar w:fldCharType="end"/>
            </w:r>
          </w:hyperlink>
        </w:p>
        <w:p w14:paraId="4C76CA83" w14:textId="37C8CE79"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09" w:history="1">
            <w:r w:rsidR="002E4C08" w:rsidRPr="00C61B71">
              <w:rPr>
                <w:rStyle w:val="Hipervnculo"/>
              </w:rPr>
              <w:t>18.15</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TEBSA</w:t>
            </w:r>
            <w:r w:rsidR="002E4C08">
              <w:rPr>
                <w:webHidden/>
              </w:rPr>
              <w:tab/>
            </w:r>
            <w:r w:rsidR="002E4C08">
              <w:rPr>
                <w:webHidden/>
              </w:rPr>
              <w:fldChar w:fldCharType="begin"/>
            </w:r>
            <w:r w:rsidR="002E4C08">
              <w:rPr>
                <w:webHidden/>
              </w:rPr>
              <w:instrText xml:space="preserve"> PAGEREF _Toc158211609 \h </w:instrText>
            </w:r>
            <w:r w:rsidR="002E4C08">
              <w:rPr>
                <w:webHidden/>
              </w:rPr>
            </w:r>
            <w:r w:rsidR="002E4C08">
              <w:rPr>
                <w:webHidden/>
              </w:rPr>
              <w:fldChar w:fldCharType="separate"/>
            </w:r>
            <w:r w:rsidR="0027336D">
              <w:rPr>
                <w:webHidden/>
              </w:rPr>
              <w:t>147</w:t>
            </w:r>
            <w:r w:rsidR="002E4C08">
              <w:rPr>
                <w:webHidden/>
              </w:rPr>
              <w:fldChar w:fldCharType="end"/>
            </w:r>
          </w:hyperlink>
        </w:p>
        <w:p w14:paraId="0443E66D" w14:textId="4DE42B7A" w:rsidR="002E4C08" w:rsidRDefault="00000000">
          <w:pPr>
            <w:pStyle w:val="TDC2"/>
            <w:rPr>
              <w:rFonts w:asciiTheme="minorHAnsi" w:eastAsiaTheme="minorEastAsia" w:hAnsiTheme="minorHAnsi" w:cstheme="minorBidi"/>
              <w:kern w:val="2"/>
              <w:lang w:val="es-CO" w:eastAsia="es-CO"/>
              <w14:ligatures w14:val="standardContextual"/>
            </w:rPr>
          </w:pPr>
          <w:hyperlink w:anchor="_Toc158211610" w:history="1">
            <w:r w:rsidR="002E4C08" w:rsidRPr="00C61B71">
              <w:rPr>
                <w:rStyle w:val="Hipervnculo"/>
              </w:rPr>
              <w:t>18.16</w:t>
            </w:r>
            <w:r w:rsidR="002E4C08">
              <w:rPr>
                <w:rFonts w:asciiTheme="minorHAnsi" w:eastAsiaTheme="minorEastAsia" w:hAnsiTheme="minorHAnsi" w:cstheme="minorBidi"/>
                <w:kern w:val="2"/>
                <w:lang w:val="es-CO" w:eastAsia="es-CO"/>
                <w14:ligatures w14:val="standardContextual"/>
              </w:rPr>
              <w:tab/>
            </w:r>
            <w:r w:rsidR="002E4C08" w:rsidRPr="00C61B71">
              <w:rPr>
                <w:rStyle w:val="Hipervnculo"/>
              </w:rPr>
              <w:t>TEBSA</w:t>
            </w:r>
            <w:r w:rsidR="002E4C08">
              <w:rPr>
                <w:webHidden/>
              </w:rPr>
              <w:tab/>
            </w:r>
            <w:r w:rsidR="002E4C08">
              <w:rPr>
                <w:webHidden/>
              </w:rPr>
              <w:fldChar w:fldCharType="begin"/>
            </w:r>
            <w:r w:rsidR="002E4C08">
              <w:rPr>
                <w:webHidden/>
              </w:rPr>
              <w:instrText xml:space="preserve"> PAGEREF _Toc158211610 \h </w:instrText>
            </w:r>
            <w:r w:rsidR="002E4C08">
              <w:rPr>
                <w:webHidden/>
              </w:rPr>
            </w:r>
            <w:r w:rsidR="002E4C08">
              <w:rPr>
                <w:webHidden/>
              </w:rPr>
              <w:fldChar w:fldCharType="separate"/>
            </w:r>
            <w:r w:rsidR="0027336D">
              <w:rPr>
                <w:webHidden/>
              </w:rPr>
              <w:t>147</w:t>
            </w:r>
            <w:r w:rsidR="002E4C08">
              <w:rPr>
                <w:webHidden/>
              </w:rPr>
              <w:fldChar w:fldCharType="end"/>
            </w:r>
          </w:hyperlink>
        </w:p>
        <w:p w14:paraId="46759BA7" w14:textId="3BEB871D" w:rsidR="00CA4551" w:rsidRDefault="00CA4551">
          <w:r>
            <w:rPr>
              <w:b/>
              <w:bCs/>
              <w:lang w:val="es-ES"/>
            </w:rPr>
            <w:fldChar w:fldCharType="end"/>
          </w:r>
        </w:p>
      </w:sdtContent>
    </w:sdt>
    <w:p w14:paraId="4126F0F1" w14:textId="77777777" w:rsidR="00346BC3" w:rsidRDefault="00346BC3" w:rsidP="0038050C">
      <w:pPr>
        <w:rPr>
          <w:sz w:val="22"/>
        </w:rPr>
      </w:pPr>
    </w:p>
    <w:p w14:paraId="0DF62D9D" w14:textId="77777777" w:rsidR="00346BC3" w:rsidRDefault="00346BC3" w:rsidP="0038050C">
      <w:pPr>
        <w:rPr>
          <w:sz w:val="22"/>
        </w:rPr>
      </w:pPr>
    </w:p>
    <w:p w14:paraId="38408E44" w14:textId="77777777" w:rsidR="00346BC3" w:rsidRDefault="00346BC3" w:rsidP="0038050C">
      <w:pPr>
        <w:rPr>
          <w:sz w:val="22"/>
        </w:rPr>
      </w:pPr>
    </w:p>
    <w:p w14:paraId="1F9EA351" w14:textId="77777777" w:rsidR="00346BC3" w:rsidRDefault="00346BC3" w:rsidP="0038050C">
      <w:pPr>
        <w:rPr>
          <w:sz w:val="22"/>
        </w:rPr>
      </w:pPr>
    </w:p>
    <w:p w14:paraId="1488C5A9" w14:textId="1F925F40" w:rsidR="008B7395" w:rsidRPr="000C39B1" w:rsidRDefault="008B7395" w:rsidP="008B7395">
      <w:pPr>
        <w:rPr>
          <w:rFonts w:cs="Arial"/>
          <w:b/>
          <w:bCs/>
          <w:caps/>
          <w:sz w:val="22"/>
          <w:szCs w:val="22"/>
        </w:rPr>
      </w:pPr>
      <w:r w:rsidRPr="000C39B1">
        <w:rPr>
          <w:rFonts w:cs="Arial"/>
          <w:b/>
          <w:bCs/>
          <w:caps/>
          <w:sz w:val="22"/>
          <w:szCs w:val="22"/>
        </w:rPr>
        <w:t xml:space="preserve">Listado de </w:t>
      </w:r>
      <w:r>
        <w:rPr>
          <w:rFonts w:cs="Arial"/>
          <w:b/>
          <w:bCs/>
          <w:caps/>
          <w:sz w:val="22"/>
          <w:szCs w:val="22"/>
        </w:rPr>
        <w:t>ILUSTRACIONES</w:t>
      </w:r>
    </w:p>
    <w:p w14:paraId="5E1396F8" w14:textId="77777777" w:rsidR="008B7395" w:rsidRPr="000C39B1" w:rsidRDefault="008B7395" w:rsidP="008B7395">
      <w:pPr>
        <w:rPr>
          <w:rFonts w:cs="Arial"/>
          <w:b/>
          <w:bCs/>
          <w:sz w:val="22"/>
          <w:szCs w:val="22"/>
        </w:rPr>
      </w:pPr>
    </w:p>
    <w:p w14:paraId="70DD01EB" w14:textId="20C90B94" w:rsidR="00BB278F" w:rsidRDefault="008B7395">
      <w:pPr>
        <w:pStyle w:val="Tabladeilustraciones"/>
        <w:rPr>
          <w:rFonts w:asciiTheme="minorHAnsi" w:eastAsiaTheme="minorEastAsia" w:hAnsiTheme="minorHAnsi" w:cstheme="minorBidi"/>
          <w:kern w:val="2"/>
          <w:sz w:val="22"/>
          <w:szCs w:val="22"/>
          <w:lang w:val="es-CO" w:eastAsia="es-CO"/>
          <w14:ligatures w14:val="standardContextual"/>
        </w:rPr>
      </w:pPr>
      <w:r>
        <w:rPr>
          <w:sz w:val="22"/>
        </w:rPr>
        <w:fldChar w:fldCharType="begin"/>
      </w:r>
      <w:r>
        <w:rPr>
          <w:sz w:val="22"/>
        </w:rPr>
        <w:instrText xml:space="preserve"> TOC \h \z \c "Ilustración" </w:instrText>
      </w:r>
      <w:r>
        <w:rPr>
          <w:sz w:val="22"/>
        </w:rPr>
        <w:fldChar w:fldCharType="separate"/>
      </w:r>
      <w:hyperlink w:anchor="_Toc149302163" w:history="1">
        <w:r w:rsidR="00BB278F" w:rsidRPr="00C2293F">
          <w:rPr>
            <w:rStyle w:val="Hipervnculo"/>
          </w:rPr>
          <w:t>Ilustración 1 PTDV publicada a 31 de mayo de 2023 por tipo de fuente de suministro</w:t>
        </w:r>
        <w:r w:rsidR="00BB278F">
          <w:rPr>
            <w:webHidden/>
          </w:rPr>
          <w:tab/>
        </w:r>
        <w:r w:rsidR="00BB278F">
          <w:rPr>
            <w:webHidden/>
          </w:rPr>
          <w:fldChar w:fldCharType="begin"/>
        </w:r>
        <w:r w:rsidR="00BB278F">
          <w:rPr>
            <w:webHidden/>
          </w:rPr>
          <w:instrText xml:space="preserve"> PAGEREF _Toc149302163 \h </w:instrText>
        </w:r>
        <w:r w:rsidR="00BB278F">
          <w:rPr>
            <w:webHidden/>
          </w:rPr>
        </w:r>
        <w:r w:rsidR="00BB278F">
          <w:rPr>
            <w:webHidden/>
          </w:rPr>
          <w:fldChar w:fldCharType="separate"/>
        </w:r>
        <w:r w:rsidR="0027336D">
          <w:rPr>
            <w:webHidden/>
          </w:rPr>
          <w:t>12</w:t>
        </w:r>
        <w:r w:rsidR="00BB278F">
          <w:rPr>
            <w:webHidden/>
          </w:rPr>
          <w:fldChar w:fldCharType="end"/>
        </w:r>
      </w:hyperlink>
    </w:p>
    <w:p w14:paraId="699F9253" w14:textId="056B0D54" w:rsidR="00BB278F" w:rsidRDefault="00000000">
      <w:pPr>
        <w:pStyle w:val="Tabladeilustraciones"/>
        <w:rPr>
          <w:rFonts w:asciiTheme="minorHAnsi" w:eastAsiaTheme="minorEastAsia" w:hAnsiTheme="minorHAnsi" w:cstheme="minorBidi"/>
          <w:kern w:val="2"/>
          <w:sz w:val="22"/>
          <w:szCs w:val="22"/>
          <w:lang w:val="es-CO" w:eastAsia="es-CO"/>
          <w14:ligatures w14:val="standardContextual"/>
        </w:rPr>
      </w:pPr>
      <w:hyperlink w:anchor="_Toc149302164" w:history="1">
        <w:r w:rsidR="00BB278F" w:rsidRPr="00C2293F">
          <w:rPr>
            <w:rStyle w:val="Hipervnculo"/>
          </w:rPr>
          <w:t>Ilustración 2 Comparación de energía facturada a usuarios residenciales y comerciales regulados y energía contratada en el Mercado Primario</w:t>
        </w:r>
        <w:r w:rsidR="00BB278F">
          <w:rPr>
            <w:webHidden/>
          </w:rPr>
          <w:tab/>
        </w:r>
        <w:r w:rsidR="00BB278F">
          <w:rPr>
            <w:webHidden/>
          </w:rPr>
          <w:fldChar w:fldCharType="begin"/>
        </w:r>
        <w:r w:rsidR="00BB278F">
          <w:rPr>
            <w:webHidden/>
          </w:rPr>
          <w:instrText xml:space="preserve"> PAGEREF _Toc149302164 \h </w:instrText>
        </w:r>
        <w:r w:rsidR="00BB278F">
          <w:rPr>
            <w:webHidden/>
          </w:rPr>
        </w:r>
        <w:r w:rsidR="00BB278F">
          <w:rPr>
            <w:webHidden/>
          </w:rPr>
          <w:fldChar w:fldCharType="separate"/>
        </w:r>
        <w:r w:rsidR="0027336D">
          <w:rPr>
            <w:webHidden/>
          </w:rPr>
          <w:t>14</w:t>
        </w:r>
        <w:r w:rsidR="00BB278F">
          <w:rPr>
            <w:webHidden/>
          </w:rPr>
          <w:fldChar w:fldCharType="end"/>
        </w:r>
      </w:hyperlink>
    </w:p>
    <w:p w14:paraId="29BD6108" w14:textId="2EC51421" w:rsidR="00BB278F" w:rsidRDefault="00000000">
      <w:pPr>
        <w:pStyle w:val="Tabladeilustraciones"/>
        <w:rPr>
          <w:rFonts w:asciiTheme="minorHAnsi" w:eastAsiaTheme="minorEastAsia" w:hAnsiTheme="minorHAnsi" w:cstheme="minorBidi"/>
          <w:kern w:val="2"/>
          <w:sz w:val="22"/>
          <w:szCs w:val="22"/>
          <w:lang w:val="es-CO" w:eastAsia="es-CO"/>
          <w14:ligatures w14:val="standardContextual"/>
        </w:rPr>
      </w:pPr>
      <w:hyperlink w:anchor="_Toc149302165" w:history="1">
        <w:r w:rsidR="00BB278F" w:rsidRPr="00C2293F">
          <w:rPr>
            <w:rStyle w:val="Hipervnculo"/>
          </w:rPr>
          <w:t>Ilustración 3 Balance conceptual de potencial de oferta en firme  2023 - 2024</w:t>
        </w:r>
        <w:r w:rsidR="00BB278F">
          <w:rPr>
            <w:webHidden/>
          </w:rPr>
          <w:tab/>
        </w:r>
        <w:r w:rsidR="00BB278F">
          <w:rPr>
            <w:webHidden/>
          </w:rPr>
          <w:fldChar w:fldCharType="begin"/>
        </w:r>
        <w:r w:rsidR="00BB278F">
          <w:rPr>
            <w:webHidden/>
          </w:rPr>
          <w:instrText xml:space="preserve"> PAGEREF _Toc149302165 \h </w:instrText>
        </w:r>
        <w:r w:rsidR="00BB278F">
          <w:rPr>
            <w:webHidden/>
          </w:rPr>
        </w:r>
        <w:r w:rsidR="00BB278F">
          <w:rPr>
            <w:webHidden/>
          </w:rPr>
          <w:fldChar w:fldCharType="separate"/>
        </w:r>
        <w:r w:rsidR="0027336D">
          <w:rPr>
            <w:webHidden/>
          </w:rPr>
          <w:t>16</w:t>
        </w:r>
        <w:r w:rsidR="00BB278F">
          <w:rPr>
            <w:webHidden/>
          </w:rPr>
          <w:fldChar w:fldCharType="end"/>
        </w:r>
      </w:hyperlink>
    </w:p>
    <w:p w14:paraId="61403271" w14:textId="39B90484" w:rsidR="00BB278F" w:rsidRDefault="00000000">
      <w:pPr>
        <w:pStyle w:val="Tabladeilustraciones"/>
        <w:rPr>
          <w:rFonts w:asciiTheme="minorHAnsi" w:eastAsiaTheme="minorEastAsia" w:hAnsiTheme="minorHAnsi" w:cstheme="minorBidi"/>
          <w:kern w:val="2"/>
          <w:sz w:val="22"/>
          <w:szCs w:val="22"/>
          <w:lang w:val="es-CO" w:eastAsia="es-CO"/>
          <w14:ligatures w14:val="standardContextual"/>
        </w:rPr>
      </w:pPr>
      <w:hyperlink w:anchor="_Toc149302166" w:history="1">
        <w:r w:rsidR="00BB278F" w:rsidRPr="00C2293F">
          <w:rPr>
            <w:rStyle w:val="Hipervnculo"/>
          </w:rPr>
          <w:t>Ilustración 4 Comportamiento Demanda Regulada Esencial Mercado X en 2021</w:t>
        </w:r>
        <w:r w:rsidR="00BB278F">
          <w:rPr>
            <w:webHidden/>
          </w:rPr>
          <w:tab/>
        </w:r>
        <w:r w:rsidR="00BB278F">
          <w:rPr>
            <w:webHidden/>
          </w:rPr>
          <w:fldChar w:fldCharType="begin"/>
        </w:r>
        <w:r w:rsidR="00BB278F">
          <w:rPr>
            <w:webHidden/>
          </w:rPr>
          <w:instrText xml:space="preserve"> PAGEREF _Toc149302166 \h </w:instrText>
        </w:r>
        <w:r w:rsidR="00BB278F">
          <w:rPr>
            <w:webHidden/>
          </w:rPr>
        </w:r>
        <w:r w:rsidR="00BB278F">
          <w:rPr>
            <w:webHidden/>
          </w:rPr>
          <w:fldChar w:fldCharType="separate"/>
        </w:r>
        <w:r w:rsidR="0027336D">
          <w:rPr>
            <w:webHidden/>
          </w:rPr>
          <w:t>17</w:t>
        </w:r>
        <w:r w:rsidR="00BB278F">
          <w:rPr>
            <w:webHidden/>
          </w:rPr>
          <w:fldChar w:fldCharType="end"/>
        </w:r>
      </w:hyperlink>
    </w:p>
    <w:p w14:paraId="23EC2163" w14:textId="76DBFE47" w:rsidR="00346BC3" w:rsidRDefault="008B7395" w:rsidP="008B7395">
      <w:pPr>
        <w:spacing w:before="120" w:after="120" w:line="360" w:lineRule="auto"/>
        <w:rPr>
          <w:sz w:val="22"/>
        </w:rPr>
      </w:pPr>
      <w:r>
        <w:rPr>
          <w:sz w:val="22"/>
        </w:rPr>
        <w:fldChar w:fldCharType="end"/>
      </w:r>
    </w:p>
    <w:p w14:paraId="34C986F7" w14:textId="77777777" w:rsidR="00346BC3" w:rsidRDefault="00346BC3" w:rsidP="0038050C">
      <w:pPr>
        <w:rPr>
          <w:sz w:val="22"/>
        </w:rPr>
      </w:pPr>
    </w:p>
    <w:p w14:paraId="324B8DD2" w14:textId="77777777" w:rsidR="00346BC3" w:rsidRDefault="00346BC3" w:rsidP="0038050C">
      <w:pPr>
        <w:rPr>
          <w:sz w:val="22"/>
        </w:rPr>
      </w:pPr>
    </w:p>
    <w:p w14:paraId="178C6DD5" w14:textId="77777777" w:rsidR="00346BC3" w:rsidRDefault="00346BC3" w:rsidP="0038050C">
      <w:pPr>
        <w:rPr>
          <w:sz w:val="22"/>
        </w:rPr>
      </w:pPr>
    </w:p>
    <w:p w14:paraId="015E553B" w14:textId="77777777" w:rsidR="00346BC3" w:rsidRDefault="00346BC3" w:rsidP="0038050C">
      <w:pPr>
        <w:rPr>
          <w:sz w:val="22"/>
        </w:rPr>
      </w:pPr>
    </w:p>
    <w:p w14:paraId="1D4BBCBB" w14:textId="77777777" w:rsidR="00EF64D0" w:rsidRDefault="00EF64D0" w:rsidP="0038050C">
      <w:pPr>
        <w:rPr>
          <w:sz w:val="22"/>
        </w:rPr>
        <w:sectPr w:rsidR="00EF64D0" w:rsidSect="00813D90">
          <w:headerReference w:type="default" r:id="rId12"/>
          <w:footerReference w:type="default" r:id="rId13"/>
          <w:pgSz w:w="12242" w:h="15842" w:code="1"/>
          <w:pgMar w:top="1418" w:right="1418" w:bottom="1418" w:left="1418" w:header="851" w:footer="567" w:gutter="0"/>
          <w:cols w:space="720"/>
          <w:titlePg/>
          <w:docGrid w:linePitch="326"/>
        </w:sectPr>
      </w:pPr>
    </w:p>
    <w:p w14:paraId="139A074B" w14:textId="0F4270AB" w:rsidR="00E7209B" w:rsidRPr="00313D59" w:rsidRDefault="00E7209B" w:rsidP="00CF75E0">
      <w:pPr>
        <w:pStyle w:val="Ttulo1"/>
        <w:numPr>
          <w:ilvl w:val="0"/>
          <w:numId w:val="14"/>
        </w:numPr>
        <w:spacing w:after="0"/>
        <w:ind w:left="431" w:hanging="431"/>
        <w:jc w:val="left"/>
        <w:rPr>
          <w:szCs w:val="24"/>
        </w:rPr>
      </w:pPr>
      <w:bookmarkStart w:id="3" w:name="_Toc41901972"/>
      <w:bookmarkStart w:id="4" w:name="_Toc506979468"/>
      <w:bookmarkStart w:id="5" w:name="_Toc494863466"/>
      <w:bookmarkStart w:id="6" w:name="_Ref149288225"/>
      <w:bookmarkStart w:id="7" w:name="_Toc158211399"/>
      <w:r w:rsidRPr="00313D59">
        <w:rPr>
          <w:szCs w:val="24"/>
        </w:rPr>
        <w:lastRenderedPageBreak/>
        <w:t>ANTECEDENTES</w:t>
      </w:r>
      <w:bookmarkEnd w:id="3"/>
      <w:bookmarkEnd w:id="4"/>
      <w:bookmarkEnd w:id="5"/>
      <w:bookmarkEnd w:id="6"/>
      <w:bookmarkEnd w:id="7"/>
      <w:r w:rsidRPr="00313D59">
        <w:rPr>
          <w:szCs w:val="24"/>
        </w:rPr>
        <w:t xml:space="preserve"> </w:t>
      </w:r>
    </w:p>
    <w:p w14:paraId="17167894" w14:textId="77777777" w:rsidR="00E7209B" w:rsidRDefault="00E7209B" w:rsidP="00CF75E0">
      <w:pPr>
        <w:jc w:val="left"/>
        <w:rPr>
          <w:sz w:val="22"/>
        </w:rPr>
      </w:pPr>
    </w:p>
    <w:p w14:paraId="1A3C4997" w14:textId="77777777" w:rsidR="0098248E" w:rsidRPr="0098248E" w:rsidRDefault="0098248E" w:rsidP="00CF75E0">
      <w:pPr>
        <w:jc w:val="left"/>
        <w:rPr>
          <w:rFonts w:cs="Arial"/>
          <w:sz w:val="22"/>
          <w:szCs w:val="22"/>
        </w:rPr>
      </w:pPr>
      <w:r w:rsidRPr="0098248E">
        <w:rPr>
          <w:rFonts w:cs="Arial"/>
          <w:sz w:val="22"/>
          <w:szCs w:val="22"/>
        </w:rPr>
        <w:t>En el Artículo 2.2.2.2.1 del Decreto 1073 de 2015 se establece la prioridad en el abastecimiento de gas natural cuando se presenten insalvables restricciones en la oferta de gas natural o situaciones de grave emergencia, no transitorias, originadas en la infraestructura de suministro o de transporte, que impidan la prestación continúa del servicio. Asimismo, en el Artículo 2.2.2.2.4 del mismo Decreto se establece el orden de atención de la demanda de gas natural entre los agentes cuando se trate de Racionamiento Programado de Gas Natural o de Energía Eléctrica declarado por parte del Ministerio de Minas y Energía.</w:t>
      </w:r>
    </w:p>
    <w:p w14:paraId="15DFE76C" w14:textId="77777777" w:rsidR="0098248E" w:rsidRPr="0098248E" w:rsidRDefault="0098248E" w:rsidP="00CF75E0">
      <w:pPr>
        <w:jc w:val="left"/>
        <w:rPr>
          <w:rFonts w:cs="Arial"/>
          <w:sz w:val="22"/>
          <w:szCs w:val="22"/>
        </w:rPr>
      </w:pPr>
    </w:p>
    <w:p w14:paraId="49BDCB3D" w14:textId="77777777" w:rsidR="0098248E" w:rsidRPr="0098248E" w:rsidRDefault="0098248E" w:rsidP="00CF75E0">
      <w:pPr>
        <w:jc w:val="left"/>
        <w:rPr>
          <w:rFonts w:cs="Arial"/>
          <w:sz w:val="22"/>
          <w:szCs w:val="22"/>
        </w:rPr>
      </w:pPr>
      <w:r w:rsidRPr="0098248E">
        <w:rPr>
          <w:rFonts w:cs="Arial"/>
          <w:sz w:val="22"/>
          <w:szCs w:val="22"/>
        </w:rPr>
        <w:t>En el Artículo 2.2.2.2.16 ibídem, se establece que los Agentes que atiendan la Demanda Esencial tienen la obligación de contratar el suministro y el transporte de gas natural para la atención de dicha demanda, según corresponda, con Agentes que cuenten con Respaldo Físico. En su Parágrafo 2° se establece que la CREG, siguiendo los lineamientos establecidos en el artículo 2.2.2.2.26 de dicho Decreto, definirá los mecanismos que permitan a los Agentes que atiendan a la Demanda Esencial tener acceso a los contratos de suministro y/o transporte de gas natural.</w:t>
      </w:r>
    </w:p>
    <w:p w14:paraId="112AB50F" w14:textId="77777777" w:rsidR="0098248E" w:rsidRPr="0098248E" w:rsidRDefault="0098248E" w:rsidP="00CF75E0">
      <w:pPr>
        <w:jc w:val="left"/>
        <w:rPr>
          <w:rFonts w:cs="Arial"/>
          <w:sz w:val="22"/>
          <w:szCs w:val="22"/>
        </w:rPr>
      </w:pPr>
    </w:p>
    <w:p w14:paraId="0980E511" w14:textId="13C40F75" w:rsidR="0098248E" w:rsidRDefault="0098248E" w:rsidP="00CF75E0">
      <w:pPr>
        <w:jc w:val="left"/>
        <w:rPr>
          <w:rFonts w:cs="Arial"/>
          <w:sz w:val="22"/>
          <w:szCs w:val="22"/>
        </w:rPr>
      </w:pPr>
      <w:r w:rsidRPr="0098248E">
        <w:rPr>
          <w:rFonts w:cs="Arial"/>
          <w:sz w:val="22"/>
          <w:szCs w:val="22"/>
        </w:rPr>
        <w:t xml:space="preserve">En el Artículo 2.2.2.2.42 ibídem, se señala que al expedir el reglamento de operación mediante el cual se regula el funcionamiento del </w:t>
      </w:r>
      <w:r w:rsidR="004B170D">
        <w:rPr>
          <w:rFonts w:cs="Arial"/>
          <w:sz w:val="22"/>
          <w:szCs w:val="22"/>
        </w:rPr>
        <w:t>Mercado</w:t>
      </w:r>
      <w:r w:rsidRPr="0098248E">
        <w:rPr>
          <w:rFonts w:cs="Arial"/>
          <w:sz w:val="22"/>
          <w:szCs w:val="22"/>
        </w:rPr>
        <w:t xml:space="preserve"> </w:t>
      </w:r>
      <w:r w:rsidR="004B170D">
        <w:rPr>
          <w:rFonts w:cs="Arial"/>
          <w:sz w:val="22"/>
          <w:szCs w:val="22"/>
        </w:rPr>
        <w:t>Mayorista</w:t>
      </w:r>
      <w:r w:rsidRPr="0098248E">
        <w:rPr>
          <w:rFonts w:cs="Arial"/>
          <w:sz w:val="22"/>
          <w:szCs w:val="22"/>
        </w:rPr>
        <w:t xml:space="preserve"> de gas natural, la Comisión de Regulación de Energía y Gas podrá, entre otros, señalar la información que será declarada por los participantes del </w:t>
      </w:r>
      <w:r w:rsidR="004B170D">
        <w:rPr>
          <w:rFonts w:cs="Arial"/>
          <w:sz w:val="22"/>
          <w:szCs w:val="22"/>
        </w:rPr>
        <w:t>Mercado</w:t>
      </w:r>
      <w:r w:rsidRPr="0098248E">
        <w:rPr>
          <w:rFonts w:cs="Arial"/>
          <w:sz w:val="22"/>
          <w:szCs w:val="22"/>
        </w:rPr>
        <w:t xml:space="preserve"> y establecer los mecanismos y procedimientos para obtener, organizar, revisar y divulgar dicha información en forma oportuna para el funcionamiento del </w:t>
      </w:r>
      <w:r w:rsidR="004B170D">
        <w:rPr>
          <w:rFonts w:cs="Arial"/>
          <w:sz w:val="22"/>
          <w:szCs w:val="22"/>
        </w:rPr>
        <w:t>Mercado</w:t>
      </w:r>
      <w:r w:rsidRPr="0098248E">
        <w:rPr>
          <w:rFonts w:cs="Arial"/>
          <w:sz w:val="22"/>
          <w:szCs w:val="22"/>
        </w:rPr>
        <w:t xml:space="preserve"> </w:t>
      </w:r>
      <w:r w:rsidR="004B170D">
        <w:rPr>
          <w:rFonts w:cs="Arial"/>
          <w:sz w:val="22"/>
          <w:szCs w:val="22"/>
        </w:rPr>
        <w:t>Mayorista</w:t>
      </w:r>
      <w:r w:rsidRPr="0098248E">
        <w:rPr>
          <w:rFonts w:cs="Arial"/>
          <w:sz w:val="22"/>
          <w:szCs w:val="22"/>
        </w:rPr>
        <w:t xml:space="preserve"> de gas natural.</w:t>
      </w:r>
    </w:p>
    <w:p w14:paraId="2B3DA023" w14:textId="77777777" w:rsidR="0098248E" w:rsidRDefault="0098248E" w:rsidP="00CF75E0">
      <w:pPr>
        <w:jc w:val="left"/>
        <w:rPr>
          <w:rFonts w:cs="Arial"/>
          <w:sz w:val="22"/>
          <w:szCs w:val="22"/>
        </w:rPr>
      </w:pPr>
    </w:p>
    <w:p w14:paraId="0BEE894F" w14:textId="74A18395" w:rsidR="00313D59" w:rsidRPr="00A379E6" w:rsidRDefault="00313D59" w:rsidP="00CF75E0">
      <w:pPr>
        <w:jc w:val="left"/>
        <w:rPr>
          <w:rFonts w:cs="Arial"/>
          <w:sz w:val="22"/>
          <w:szCs w:val="22"/>
        </w:rPr>
      </w:pPr>
      <w:r w:rsidRPr="00A379E6">
        <w:rPr>
          <w:rFonts w:cs="Arial"/>
          <w:sz w:val="22"/>
          <w:szCs w:val="22"/>
        </w:rPr>
        <w:t>La Comisión de Regulación de Energía y Gas estableció</w:t>
      </w:r>
      <w:r w:rsidR="00971D8C">
        <w:rPr>
          <w:rFonts w:cs="Arial"/>
          <w:sz w:val="22"/>
          <w:szCs w:val="22"/>
        </w:rPr>
        <w:t>,</w:t>
      </w:r>
      <w:r w:rsidRPr="00A379E6">
        <w:rPr>
          <w:rFonts w:cs="Arial"/>
          <w:sz w:val="22"/>
          <w:szCs w:val="22"/>
        </w:rPr>
        <w:t xml:space="preserve"> mediante la Resolución CREG 186 de 2020, </w:t>
      </w:r>
      <w:r w:rsidR="00971D8C">
        <w:rPr>
          <w:rFonts w:cs="Arial"/>
          <w:sz w:val="22"/>
          <w:szCs w:val="22"/>
        </w:rPr>
        <w:t xml:space="preserve">aspectos comerciales </w:t>
      </w:r>
      <w:r w:rsidRPr="00A379E6">
        <w:rPr>
          <w:rFonts w:cs="Arial"/>
          <w:sz w:val="22"/>
          <w:szCs w:val="22"/>
        </w:rPr>
        <w:t xml:space="preserve">del suministro del </w:t>
      </w:r>
      <w:r w:rsidR="004B170D">
        <w:rPr>
          <w:rFonts w:cs="Arial"/>
          <w:sz w:val="22"/>
          <w:szCs w:val="22"/>
        </w:rPr>
        <w:t>Mercado</w:t>
      </w:r>
      <w:r w:rsidR="00971D8C">
        <w:rPr>
          <w:rFonts w:cs="Arial"/>
          <w:sz w:val="22"/>
          <w:szCs w:val="22"/>
        </w:rPr>
        <w:t xml:space="preserve"> </w:t>
      </w:r>
      <w:r w:rsidR="004B170D">
        <w:rPr>
          <w:rFonts w:cs="Arial"/>
          <w:sz w:val="22"/>
          <w:szCs w:val="22"/>
        </w:rPr>
        <w:t>Mayorista</w:t>
      </w:r>
      <w:r w:rsidR="00971D8C">
        <w:rPr>
          <w:rFonts w:cs="Arial"/>
          <w:sz w:val="22"/>
          <w:szCs w:val="22"/>
        </w:rPr>
        <w:t xml:space="preserve"> de </w:t>
      </w:r>
      <w:r w:rsidRPr="00A379E6">
        <w:rPr>
          <w:rFonts w:cs="Arial"/>
          <w:sz w:val="22"/>
          <w:szCs w:val="22"/>
        </w:rPr>
        <w:t xml:space="preserve">gas natural en Colombia, cuyo uso está destinado a la atención del servicio público </w:t>
      </w:r>
      <w:r w:rsidR="00971D8C">
        <w:rPr>
          <w:rFonts w:cs="Arial"/>
          <w:sz w:val="22"/>
          <w:szCs w:val="22"/>
        </w:rPr>
        <w:t xml:space="preserve">domiciliario </w:t>
      </w:r>
      <w:r w:rsidRPr="00A379E6">
        <w:rPr>
          <w:rFonts w:cs="Arial"/>
          <w:sz w:val="22"/>
          <w:szCs w:val="22"/>
        </w:rPr>
        <w:t xml:space="preserve">de gas combustible. </w:t>
      </w:r>
      <w:r w:rsidR="008C6E50">
        <w:rPr>
          <w:rFonts w:cs="Arial"/>
          <w:sz w:val="22"/>
          <w:szCs w:val="22"/>
        </w:rPr>
        <w:t xml:space="preserve">De manera complementaria estableció, mediante </w:t>
      </w:r>
      <w:r w:rsidR="008C6E50" w:rsidRPr="008C6E50">
        <w:rPr>
          <w:rFonts w:cs="Arial"/>
          <w:sz w:val="22"/>
          <w:szCs w:val="22"/>
        </w:rPr>
        <w:t xml:space="preserve">la Resolución CREG 136 de 2014, modificada por la Resolución CREG 005 de 2017, aspectos comerciales aplicables a la compraventa de gas natural mediante contratos firmes bimestrales en el </w:t>
      </w:r>
      <w:r w:rsidR="004B170D">
        <w:rPr>
          <w:rFonts w:cs="Arial"/>
          <w:sz w:val="22"/>
          <w:szCs w:val="22"/>
        </w:rPr>
        <w:t>Mercado</w:t>
      </w:r>
      <w:r w:rsidR="008C6E50" w:rsidRPr="008C6E50">
        <w:rPr>
          <w:rFonts w:cs="Arial"/>
          <w:sz w:val="22"/>
          <w:szCs w:val="22"/>
        </w:rPr>
        <w:t xml:space="preserve"> </w:t>
      </w:r>
      <w:r w:rsidR="004B170D">
        <w:rPr>
          <w:rFonts w:cs="Arial"/>
          <w:sz w:val="22"/>
          <w:szCs w:val="22"/>
        </w:rPr>
        <w:t>Mayorista</w:t>
      </w:r>
      <w:r w:rsidR="008C6E50" w:rsidRPr="008C6E50">
        <w:rPr>
          <w:rFonts w:cs="Arial"/>
          <w:sz w:val="22"/>
          <w:szCs w:val="22"/>
        </w:rPr>
        <w:t xml:space="preserve"> de gas natural, como parte del reglamento de operación de gas natural.</w:t>
      </w:r>
      <w:r w:rsidR="008C6E50">
        <w:rPr>
          <w:rFonts w:cs="Arial"/>
          <w:sz w:val="22"/>
          <w:szCs w:val="22"/>
        </w:rPr>
        <w:t xml:space="preserve"> Por determinación legal y normativa, s</w:t>
      </w:r>
      <w:r w:rsidRPr="00A379E6">
        <w:rPr>
          <w:rFonts w:cs="Arial"/>
          <w:sz w:val="22"/>
          <w:szCs w:val="22"/>
        </w:rPr>
        <w:t>e exceptúan de la aplicación de dicha</w:t>
      </w:r>
      <w:r w:rsidR="008C6E50">
        <w:rPr>
          <w:rFonts w:cs="Arial"/>
          <w:sz w:val="22"/>
          <w:szCs w:val="22"/>
        </w:rPr>
        <w:t>s</w:t>
      </w:r>
      <w:r w:rsidRPr="00A379E6">
        <w:rPr>
          <w:rFonts w:cs="Arial"/>
          <w:sz w:val="22"/>
          <w:szCs w:val="22"/>
        </w:rPr>
        <w:t xml:space="preserve"> re</w:t>
      </w:r>
      <w:r w:rsidR="008C6E50">
        <w:rPr>
          <w:rFonts w:cs="Arial"/>
          <w:sz w:val="22"/>
          <w:szCs w:val="22"/>
        </w:rPr>
        <w:t>soluciones</w:t>
      </w:r>
      <w:r w:rsidRPr="00A379E6">
        <w:rPr>
          <w:rFonts w:cs="Arial"/>
          <w:sz w:val="22"/>
          <w:szCs w:val="22"/>
        </w:rPr>
        <w:t xml:space="preserve"> los aspectos comerciales del gas con destino al procesamiento de gas natural, a su utilización como materia prima de procesos industriales petroquímicos, al consumo de los productores</w:t>
      </w:r>
      <w:r w:rsidR="008C6E50">
        <w:rPr>
          <w:rFonts w:cs="Arial"/>
          <w:sz w:val="22"/>
          <w:szCs w:val="22"/>
        </w:rPr>
        <w:t>-</w:t>
      </w:r>
      <w:r w:rsidRPr="00A379E6">
        <w:rPr>
          <w:rFonts w:cs="Arial"/>
          <w:sz w:val="22"/>
          <w:szCs w:val="22"/>
        </w:rPr>
        <w:t>comercializadores o a la exportación</w:t>
      </w:r>
      <w:r w:rsidR="008C6E50">
        <w:rPr>
          <w:rFonts w:cs="Arial"/>
          <w:sz w:val="22"/>
          <w:szCs w:val="22"/>
        </w:rPr>
        <w:t>,</w:t>
      </w:r>
      <w:r w:rsidRPr="00A379E6">
        <w:rPr>
          <w:rFonts w:cs="Arial"/>
          <w:sz w:val="22"/>
          <w:szCs w:val="22"/>
        </w:rPr>
        <w:t xml:space="preserve"> </w:t>
      </w:r>
      <w:r w:rsidR="00971D8C">
        <w:rPr>
          <w:rFonts w:cs="Arial"/>
          <w:sz w:val="22"/>
          <w:szCs w:val="22"/>
        </w:rPr>
        <w:t xml:space="preserve">que </w:t>
      </w:r>
      <w:r w:rsidRPr="00A379E6">
        <w:rPr>
          <w:rFonts w:cs="Arial"/>
          <w:sz w:val="22"/>
          <w:szCs w:val="22"/>
        </w:rPr>
        <w:t>será la que sobre el particular se profiera o haya sido proferida por las autoridades competentes</w:t>
      </w:r>
      <w:r w:rsidR="008C6E50">
        <w:rPr>
          <w:rFonts w:cs="Arial"/>
          <w:sz w:val="22"/>
          <w:szCs w:val="22"/>
        </w:rPr>
        <w:t xml:space="preserve"> en dichas materias</w:t>
      </w:r>
      <w:r w:rsidRPr="00A379E6">
        <w:rPr>
          <w:rFonts w:cs="Arial"/>
          <w:sz w:val="22"/>
          <w:szCs w:val="22"/>
        </w:rPr>
        <w:t xml:space="preserve">. </w:t>
      </w:r>
    </w:p>
    <w:p w14:paraId="49CE0D2A" w14:textId="77777777" w:rsidR="00313D59" w:rsidRPr="00A379E6" w:rsidRDefault="00313D59" w:rsidP="00CF75E0">
      <w:pPr>
        <w:jc w:val="left"/>
        <w:rPr>
          <w:rFonts w:cs="Arial"/>
          <w:sz w:val="22"/>
          <w:szCs w:val="22"/>
        </w:rPr>
      </w:pPr>
    </w:p>
    <w:p w14:paraId="0346A542" w14:textId="2BB58AFE" w:rsidR="00313D59" w:rsidRDefault="00971D8C" w:rsidP="00CF75E0">
      <w:pPr>
        <w:jc w:val="left"/>
        <w:rPr>
          <w:rFonts w:cs="Arial"/>
          <w:sz w:val="22"/>
          <w:szCs w:val="22"/>
        </w:rPr>
      </w:pPr>
      <w:r>
        <w:rPr>
          <w:rFonts w:cs="Arial"/>
          <w:sz w:val="22"/>
          <w:szCs w:val="22"/>
        </w:rPr>
        <w:t>En e</w:t>
      </w:r>
      <w:r w:rsidR="008C6E50">
        <w:rPr>
          <w:rFonts w:cs="Arial"/>
          <w:sz w:val="22"/>
          <w:szCs w:val="22"/>
        </w:rPr>
        <w:t>l</w:t>
      </w:r>
      <w:r>
        <w:rPr>
          <w:rFonts w:cs="Arial"/>
          <w:sz w:val="22"/>
          <w:szCs w:val="22"/>
        </w:rPr>
        <w:t xml:space="preserve"> </w:t>
      </w:r>
      <w:r w:rsidR="004B170D">
        <w:rPr>
          <w:rFonts w:cs="Arial"/>
          <w:sz w:val="22"/>
          <w:szCs w:val="22"/>
        </w:rPr>
        <w:t>Mercado</w:t>
      </w:r>
      <w:r>
        <w:rPr>
          <w:rFonts w:cs="Arial"/>
          <w:sz w:val="22"/>
          <w:szCs w:val="22"/>
        </w:rPr>
        <w:t xml:space="preserve"> </w:t>
      </w:r>
      <w:r w:rsidR="004B170D">
        <w:rPr>
          <w:rFonts w:cs="Arial"/>
          <w:sz w:val="22"/>
          <w:szCs w:val="22"/>
        </w:rPr>
        <w:t>Mayorista</w:t>
      </w:r>
      <w:r>
        <w:rPr>
          <w:rFonts w:cs="Arial"/>
          <w:sz w:val="22"/>
          <w:szCs w:val="22"/>
        </w:rPr>
        <w:t xml:space="preserve"> se incluye</w:t>
      </w:r>
      <w:r w:rsidR="00313D59" w:rsidRPr="00A379E6">
        <w:rPr>
          <w:rFonts w:cs="Arial"/>
          <w:sz w:val="22"/>
          <w:szCs w:val="22"/>
        </w:rPr>
        <w:t xml:space="preserve"> el </w:t>
      </w:r>
      <w:r w:rsidR="004B170D">
        <w:rPr>
          <w:rFonts w:cs="Arial"/>
          <w:sz w:val="22"/>
          <w:szCs w:val="22"/>
        </w:rPr>
        <w:t>Mercado</w:t>
      </w:r>
      <w:r w:rsidR="00313D59" w:rsidRPr="00A379E6">
        <w:rPr>
          <w:rFonts w:cs="Arial"/>
          <w:sz w:val="22"/>
          <w:szCs w:val="22"/>
        </w:rPr>
        <w:t xml:space="preserve"> </w:t>
      </w:r>
      <w:r w:rsidR="004B170D">
        <w:rPr>
          <w:rFonts w:cs="Arial"/>
          <w:sz w:val="22"/>
          <w:szCs w:val="22"/>
        </w:rPr>
        <w:t>Primario</w:t>
      </w:r>
      <w:r w:rsidR="00313D59" w:rsidRPr="00A379E6">
        <w:rPr>
          <w:rFonts w:cs="Arial"/>
          <w:sz w:val="22"/>
          <w:szCs w:val="22"/>
        </w:rPr>
        <w:t xml:space="preserve">, en el que participan como vendedores los productores–comercializadores y los comercializadores de gas importado y como compradores los comercializadores y los usuarios no regulados. También se </w:t>
      </w:r>
      <w:r>
        <w:rPr>
          <w:rFonts w:cs="Arial"/>
          <w:sz w:val="22"/>
          <w:szCs w:val="22"/>
        </w:rPr>
        <w:t>incluye e</w:t>
      </w:r>
      <w:r w:rsidR="00313D59" w:rsidRPr="00A379E6">
        <w:rPr>
          <w:rFonts w:cs="Arial"/>
          <w:sz w:val="22"/>
          <w:szCs w:val="22"/>
        </w:rPr>
        <w:t xml:space="preserve">l </w:t>
      </w:r>
      <w:r w:rsidR="004B170D">
        <w:rPr>
          <w:rFonts w:cs="Arial"/>
          <w:sz w:val="22"/>
          <w:szCs w:val="22"/>
        </w:rPr>
        <w:t>Mercado</w:t>
      </w:r>
      <w:r w:rsidR="00313D59" w:rsidRPr="00A379E6">
        <w:rPr>
          <w:rFonts w:cs="Arial"/>
          <w:sz w:val="22"/>
          <w:szCs w:val="22"/>
        </w:rPr>
        <w:t xml:space="preserve"> </w:t>
      </w:r>
      <w:r w:rsidR="004B170D">
        <w:rPr>
          <w:rFonts w:cs="Arial"/>
          <w:sz w:val="22"/>
          <w:szCs w:val="22"/>
        </w:rPr>
        <w:t>Secundario</w:t>
      </w:r>
      <w:r w:rsidR="00313D59" w:rsidRPr="00A379E6">
        <w:rPr>
          <w:rFonts w:cs="Arial"/>
          <w:sz w:val="22"/>
          <w:szCs w:val="22"/>
        </w:rPr>
        <w:t xml:space="preserve">, en el que participan como vendedores los comercializadores y </w:t>
      </w:r>
      <w:r w:rsidR="008C6E50">
        <w:rPr>
          <w:rFonts w:cs="Arial"/>
          <w:sz w:val="22"/>
          <w:szCs w:val="22"/>
        </w:rPr>
        <w:t xml:space="preserve">con limitaciones expresas </w:t>
      </w:r>
      <w:r w:rsidR="00313D59" w:rsidRPr="00A379E6">
        <w:rPr>
          <w:rFonts w:cs="Arial"/>
          <w:sz w:val="22"/>
          <w:szCs w:val="22"/>
        </w:rPr>
        <w:t>los usuarios no regulados</w:t>
      </w:r>
      <w:r w:rsidR="008C6E50">
        <w:rPr>
          <w:rFonts w:cs="Arial"/>
          <w:sz w:val="22"/>
          <w:szCs w:val="22"/>
        </w:rPr>
        <w:t>,</w:t>
      </w:r>
      <w:r w:rsidR="00313D59" w:rsidRPr="00A379E6">
        <w:rPr>
          <w:rFonts w:cs="Arial"/>
          <w:sz w:val="22"/>
          <w:szCs w:val="22"/>
        </w:rPr>
        <w:t xml:space="preserve"> y como compradores los productores–comercializadores, los comercializadores de gas importado y los comercializadores.</w:t>
      </w:r>
      <w:r w:rsidR="008C6E50">
        <w:rPr>
          <w:rFonts w:cs="Arial"/>
          <w:sz w:val="22"/>
          <w:szCs w:val="22"/>
        </w:rPr>
        <w:t xml:space="preserve"> </w:t>
      </w:r>
      <w:r w:rsidR="00313D59" w:rsidRPr="00A379E6">
        <w:rPr>
          <w:rFonts w:cs="Arial"/>
          <w:sz w:val="22"/>
          <w:szCs w:val="22"/>
        </w:rPr>
        <w:t xml:space="preserve"> </w:t>
      </w:r>
    </w:p>
    <w:p w14:paraId="7D2B2524" w14:textId="77777777" w:rsidR="008C6E50" w:rsidRDefault="008C6E50" w:rsidP="00CF75E0">
      <w:pPr>
        <w:jc w:val="left"/>
        <w:rPr>
          <w:rFonts w:cs="Arial"/>
          <w:sz w:val="22"/>
          <w:szCs w:val="22"/>
        </w:rPr>
      </w:pPr>
    </w:p>
    <w:p w14:paraId="21E5FD3D" w14:textId="4E588C90" w:rsidR="00313D59" w:rsidRDefault="008C6E50" w:rsidP="00CF75E0">
      <w:pPr>
        <w:jc w:val="left"/>
        <w:rPr>
          <w:rFonts w:cs="Arial"/>
          <w:sz w:val="22"/>
          <w:szCs w:val="22"/>
        </w:rPr>
      </w:pPr>
      <w:r>
        <w:rPr>
          <w:rFonts w:cs="Arial"/>
          <w:sz w:val="22"/>
          <w:szCs w:val="22"/>
        </w:rPr>
        <w:t>La CREG ha aclarado</w:t>
      </w:r>
      <w:r w:rsidR="003F2AAD">
        <w:rPr>
          <w:rFonts w:cs="Arial"/>
          <w:sz w:val="22"/>
          <w:szCs w:val="22"/>
        </w:rPr>
        <w:t>, mediante Concepto publicado el 5 de abril de 2017 en atención a la comunicación E-2016-008692</w:t>
      </w:r>
      <w:r>
        <w:rPr>
          <w:rFonts w:cs="Arial"/>
          <w:sz w:val="22"/>
          <w:szCs w:val="22"/>
        </w:rPr>
        <w:t xml:space="preserve"> que</w:t>
      </w:r>
      <w:r w:rsidR="0084024C">
        <w:rPr>
          <w:rFonts w:cs="Arial"/>
          <w:sz w:val="22"/>
          <w:szCs w:val="22"/>
        </w:rPr>
        <w:t>,</w:t>
      </w:r>
      <w:r>
        <w:rPr>
          <w:rFonts w:cs="Arial"/>
          <w:sz w:val="22"/>
          <w:szCs w:val="22"/>
        </w:rPr>
        <w:t xml:space="preserve"> </w:t>
      </w:r>
      <w:r w:rsidR="003F2AAD" w:rsidRPr="003F2AAD">
        <w:rPr>
          <w:rFonts w:cs="Arial"/>
          <w:sz w:val="22"/>
          <w:szCs w:val="22"/>
        </w:rPr>
        <w:t xml:space="preserve">en el </w:t>
      </w:r>
      <w:r w:rsidR="004B170D">
        <w:rPr>
          <w:rFonts w:cs="Arial"/>
          <w:sz w:val="22"/>
          <w:szCs w:val="22"/>
        </w:rPr>
        <w:t>Mercado</w:t>
      </w:r>
      <w:r w:rsidR="003F2AAD" w:rsidRPr="003F2AAD">
        <w:rPr>
          <w:rFonts w:cs="Arial"/>
          <w:sz w:val="22"/>
          <w:szCs w:val="22"/>
        </w:rPr>
        <w:t xml:space="preserve"> </w:t>
      </w:r>
      <w:r w:rsidR="004B170D">
        <w:rPr>
          <w:rFonts w:cs="Arial"/>
          <w:sz w:val="22"/>
          <w:szCs w:val="22"/>
        </w:rPr>
        <w:t>Mayorista</w:t>
      </w:r>
      <w:r w:rsidR="003F2AAD" w:rsidRPr="003F2AAD">
        <w:rPr>
          <w:rFonts w:cs="Arial"/>
          <w:sz w:val="22"/>
          <w:szCs w:val="22"/>
        </w:rPr>
        <w:t xml:space="preserve"> de </w:t>
      </w:r>
      <w:r w:rsidR="0084024C">
        <w:rPr>
          <w:rFonts w:cs="Arial"/>
          <w:sz w:val="22"/>
          <w:szCs w:val="22"/>
        </w:rPr>
        <w:t>G</w:t>
      </w:r>
      <w:r w:rsidR="003F2AAD" w:rsidRPr="003F2AAD">
        <w:rPr>
          <w:rFonts w:cs="Arial"/>
          <w:sz w:val="22"/>
          <w:szCs w:val="22"/>
        </w:rPr>
        <w:t xml:space="preserve">as </w:t>
      </w:r>
      <w:r w:rsidR="0084024C">
        <w:rPr>
          <w:rFonts w:cs="Arial"/>
          <w:sz w:val="22"/>
          <w:szCs w:val="22"/>
        </w:rPr>
        <w:t>N</w:t>
      </w:r>
      <w:r w:rsidR="003F2AAD" w:rsidRPr="003F2AAD">
        <w:rPr>
          <w:rFonts w:cs="Arial"/>
          <w:sz w:val="22"/>
          <w:szCs w:val="22"/>
        </w:rPr>
        <w:t>atural</w:t>
      </w:r>
      <w:r w:rsidR="0084024C">
        <w:rPr>
          <w:rFonts w:cs="Arial"/>
          <w:sz w:val="22"/>
          <w:szCs w:val="22"/>
        </w:rPr>
        <w:t>,</w:t>
      </w:r>
      <w:r w:rsidR="003F2AAD" w:rsidRPr="003F2AAD">
        <w:rPr>
          <w:rFonts w:cs="Arial"/>
          <w:sz w:val="22"/>
          <w:szCs w:val="22"/>
        </w:rPr>
        <w:t xml:space="preserve"> un productor-comercializador no puede ejercer la actividad de comercialización y consecuentemente en el </w:t>
      </w:r>
      <w:r w:rsidR="004B170D">
        <w:rPr>
          <w:rFonts w:cs="Arial"/>
          <w:sz w:val="22"/>
          <w:szCs w:val="22"/>
        </w:rPr>
        <w:t>Mercado</w:t>
      </w:r>
      <w:r w:rsidR="003F2AAD" w:rsidRPr="003F2AAD">
        <w:rPr>
          <w:rFonts w:cs="Arial"/>
          <w:sz w:val="22"/>
          <w:szCs w:val="22"/>
        </w:rPr>
        <w:t xml:space="preserve"> </w:t>
      </w:r>
      <w:r w:rsidR="004B170D">
        <w:rPr>
          <w:rFonts w:cs="Arial"/>
          <w:sz w:val="22"/>
          <w:szCs w:val="22"/>
        </w:rPr>
        <w:t>Mayorista</w:t>
      </w:r>
      <w:r w:rsidR="003F2AAD" w:rsidRPr="003F2AAD">
        <w:rPr>
          <w:rFonts w:cs="Arial"/>
          <w:sz w:val="22"/>
          <w:szCs w:val="22"/>
        </w:rPr>
        <w:t xml:space="preserve"> de gas una empresa no puede actuar simultáneamente como productor-comercializador y como comercializador.</w:t>
      </w:r>
      <w:r w:rsidR="003F2AAD">
        <w:rPr>
          <w:rFonts w:cs="Arial"/>
          <w:sz w:val="22"/>
          <w:szCs w:val="22"/>
        </w:rPr>
        <w:t xml:space="preserve"> Es así</w:t>
      </w:r>
      <w:r w:rsidR="003F2AAD" w:rsidRPr="003F2AAD">
        <w:rPr>
          <w:rFonts w:cs="Arial"/>
          <w:sz w:val="22"/>
          <w:szCs w:val="22"/>
        </w:rPr>
        <w:t xml:space="preserve"> como esta misma regla aplica para los comercializadores de gas importado dado que estos participantes del </w:t>
      </w:r>
      <w:r w:rsidR="004B170D">
        <w:rPr>
          <w:rFonts w:cs="Arial"/>
          <w:sz w:val="22"/>
          <w:szCs w:val="22"/>
        </w:rPr>
        <w:t>Mercado</w:t>
      </w:r>
      <w:r w:rsidR="003F2AAD" w:rsidRPr="003F2AAD">
        <w:rPr>
          <w:rFonts w:cs="Arial"/>
          <w:sz w:val="22"/>
          <w:szCs w:val="22"/>
        </w:rPr>
        <w:t xml:space="preserve"> están sujetos a </w:t>
      </w:r>
      <w:r w:rsidR="003F2AAD" w:rsidRPr="003F2AAD">
        <w:rPr>
          <w:rFonts w:cs="Arial"/>
          <w:sz w:val="22"/>
          <w:szCs w:val="22"/>
        </w:rPr>
        <w:lastRenderedPageBreak/>
        <w:t xml:space="preserve">las mismas reglas de comercialización aplicables a los productores-comercializadores, es decir, en el </w:t>
      </w:r>
      <w:r w:rsidR="004B170D">
        <w:rPr>
          <w:rFonts w:cs="Arial"/>
          <w:sz w:val="22"/>
          <w:szCs w:val="22"/>
        </w:rPr>
        <w:t>Mercado</w:t>
      </w:r>
      <w:r w:rsidR="003F2AAD" w:rsidRPr="003F2AAD">
        <w:rPr>
          <w:rFonts w:cs="Arial"/>
          <w:sz w:val="22"/>
          <w:szCs w:val="22"/>
        </w:rPr>
        <w:t xml:space="preserve"> </w:t>
      </w:r>
      <w:r w:rsidR="004B170D">
        <w:rPr>
          <w:rFonts w:cs="Arial"/>
          <w:sz w:val="22"/>
          <w:szCs w:val="22"/>
        </w:rPr>
        <w:t>Mayorista</w:t>
      </w:r>
      <w:r w:rsidR="003F2AAD" w:rsidRPr="003F2AAD">
        <w:rPr>
          <w:rFonts w:cs="Arial"/>
          <w:sz w:val="22"/>
          <w:szCs w:val="22"/>
        </w:rPr>
        <w:t xml:space="preserve"> de </w:t>
      </w:r>
      <w:r w:rsidR="0084024C">
        <w:rPr>
          <w:rFonts w:cs="Arial"/>
          <w:sz w:val="22"/>
          <w:szCs w:val="22"/>
        </w:rPr>
        <w:t>G</w:t>
      </w:r>
      <w:r w:rsidR="003F2AAD" w:rsidRPr="003F2AAD">
        <w:rPr>
          <w:rFonts w:cs="Arial"/>
          <w:sz w:val="22"/>
          <w:szCs w:val="22"/>
        </w:rPr>
        <w:t xml:space="preserve">as </w:t>
      </w:r>
      <w:r w:rsidR="0084024C">
        <w:rPr>
          <w:rFonts w:cs="Arial"/>
          <w:sz w:val="22"/>
          <w:szCs w:val="22"/>
        </w:rPr>
        <w:t>N</w:t>
      </w:r>
      <w:r w:rsidR="003F2AAD" w:rsidRPr="003F2AAD">
        <w:rPr>
          <w:rFonts w:cs="Arial"/>
          <w:sz w:val="22"/>
          <w:szCs w:val="22"/>
        </w:rPr>
        <w:t>atural una empresa no puede actuar simultáneamente como comercializador de gas importado y como comercializador.</w:t>
      </w:r>
    </w:p>
    <w:p w14:paraId="241071B3" w14:textId="77777777" w:rsidR="003F2AAD" w:rsidRPr="00A379E6" w:rsidRDefault="003F2AAD" w:rsidP="00CF75E0">
      <w:pPr>
        <w:jc w:val="left"/>
        <w:rPr>
          <w:rFonts w:cs="Arial"/>
          <w:sz w:val="22"/>
          <w:szCs w:val="22"/>
        </w:rPr>
      </w:pPr>
    </w:p>
    <w:p w14:paraId="3B9BCF4C" w14:textId="42E9DFB8" w:rsidR="00385B81" w:rsidRDefault="00385B81" w:rsidP="00CF75E0">
      <w:pPr>
        <w:jc w:val="left"/>
        <w:rPr>
          <w:rFonts w:cs="Arial"/>
          <w:sz w:val="22"/>
          <w:szCs w:val="22"/>
        </w:rPr>
      </w:pPr>
      <w:r>
        <w:rPr>
          <w:rFonts w:cs="Arial"/>
          <w:sz w:val="22"/>
          <w:szCs w:val="22"/>
        </w:rPr>
        <w:t>En la Resolución CREG 185 de 2020 y aquellas que la han modificado, la Comisión ha regulado</w:t>
      </w:r>
      <w:r w:rsidRPr="00385B81">
        <w:rPr>
          <w:rFonts w:cs="Arial"/>
          <w:sz w:val="22"/>
          <w:szCs w:val="22"/>
        </w:rPr>
        <w:t xml:space="preserve"> aspectos comerciales del </w:t>
      </w:r>
      <w:r>
        <w:rPr>
          <w:rFonts w:cs="Arial"/>
          <w:sz w:val="22"/>
          <w:szCs w:val="22"/>
        </w:rPr>
        <w:t>M</w:t>
      </w:r>
      <w:r w:rsidRPr="00385B81">
        <w:rPr>
          <w:rFonts w:cs="Arial"/>
          <w:sz w:val="22"/>
          <w:szCs w:val="22"/>
        </w:rPr>
        <w:t xml:space="preserve">ercado </w:t>
      </w:r>
      <w:r>
        <w:rPr>
          <w:rFonts w:cs="Arial"/>
          <w:sz w:val="22"/>
          <w:szCs w:val="22"/>
        </w:rPr>
        <w:t>M</w:t>
      </w:r>
      <w:r w:rsidRPr="00385B81">
        <w:rPr>
          <w:rFonts w:cs="Arial"/>
          <w:sz w:val="22"/>
          <w:szCs w:val="22"/>
        </w:rPr>
        <w:t xml:space="preserve">ayorista de </w:t>
      </w:r>
      <w:r>
        <w:rPr>
          <w:rFonts w:cs="Arial"/>
          <w:sz w:val="22"/>
          <w:szCs w:val="22"/>
        </w:rPr>
        <w:t>G</w:t>
      </w:r>
      <w:r w:rsidRPr="00385B81">
        <w:rPr>
          <w:rFonts w:cs="Arial"/>
          <w:sz w:val="22"/>
          <w:szCs w:val="22"/>
        </w:rPr>
        <w:t xml:space="preserve">as </w:t>
      </w:r>
      <w:r>
        <w:rPr>
          <w:rFonts w:cs="Arial"/>
          <w:sz w:val="22"/>
          <w:szCs w:val="22"/>
        </w:rPr>
        <w:t>N</w:t>
      </w:r>
      <w:r w:rsidRPr="00385B81">
        <w:rPr>
          <w:rFonts w:cs="Arial"/>
          <w:sz w:val="22"/>
          <w:szCs w:val="22"/>
        </w:rPr>
        <w:t>atural, como parte del reglamento de operación de gas natural, relacionados con la comercialización de capacidad de transporte de gas natural. Esta resolución contiene el conjunto de disposiciones aplicables a las negociaciones de capacidad de transporte de gas natural que se realicen en el mercado primario y en el mercado secundario</w:t>
      </w:r>
      <w:r>
        <w:rPr>
          <w:rFonts w:cs="Arial"/>
          <w:sz w:val="22"/>
          <w:szCs w:val="22"/>
        </w:rPr>
        <w:t xml:space="preserve">. </w:t>
      </w:r>
      <w:r w:rsidR="00B61814">
        <w:rPr>
          <w:rFonts w:cs="Arial"/>
          <w:sz w:val="22"/>
          <w:szCs w:val="22"/>
        </w:rPr>
        <w:t>En la misma se define el servicio de parqueo que e</w:t>
      </w:r>
      <w:r w:rsidR="00B61814" w:rsidRPr="00B61814">
        <w:rPr>
          <w:rFonts w:cs="Arial"/>
          <w:sz w:val="22"/>
          <w:szCs w:val="22"/>
        </w:rPr>
        <w:t>s el servicio que permite a un remitente almacenar gas de parqueo en un tramo o grupo de gasoductos del SNT por un período determinado</w:t>
      </w:r>
      <w:r w:rsidR="00B61814">
        <w:rPr>
          <w:rFonts w:cs="Arial"/>
          <w:sz w:val="22"/>
          <w:szCs w:val="22"/>
        </w:rPr>
        <w:t xml:space="preserve"> y se establecen las condiciones para la contratación de</w:t>
      </w:r>
      <w:r w:rsidR="00B61814" w:rsidRPr="00B61814">
        <w:rPr>
          <w:rFonts w:cs="Arial"/>
          <w:sz w:val="22"/>
          <w:szCs w:val="22"/>
        </w:rPr>
        <w:t xml:space="preserve"> la prestación del servicio de parqueo</w:t>
      </w:r>
      <w:r w:rsidR="00B61814">
        <w:rPr>
          <w:rFonts w:cs="Arial"/>
          <w:sz w:val="22"/>
          <w:szCs w:val="22"/>
        </w:rPr>
        <w:t>.</w:t>
      </w:r>
      <w:r w:rsidR="00B61814" w:rsidRPr="00B61814">
        <w:rPr>
          <w:rFonts w:cs="Arial"/>
          <w:sz w:val="22"/>
          <w:szCs w:val="22"/>
        </w:rPr>
        <w:t xml:space="preserve"> </w:t>
      </w:r>
    </w:p>
    <w:p w14:paraId="676E6EEF" w14:textId="77777777" w:rsidR="00D12498" w:rsidRDefault="00D12498" w:rsidP="00CF75E0">
      <w:pPr>
        <w:jc w:val="left"/>
        <w:rPr>
          <w:rFonts w:cs="Arial"/>
          <w:sz w:val="22"/>
          <w:szCs w:val="22"/>
        </w:rPr>
      </w:pPr>
    </w:p>
    <w:p w14:paraId="0CEFE1C0" w14:textId="50DD6B16" w:rsidR="00313D59" w:rsidRPr="00A379E6" w:rsidRDefault="00971D8C" w:rsidP="00CF75E0">
      <w:pPr>
        <w:jc w:val="left"/>
        <w:rPr>
          <w:rFonts w:cs="Arial"/>
          <w:sz w:val="22"/>
          <w:szCs w:val="22"/>
        </w:rPr>
      </w:pPr>
      <w:r>
        <w:rPr>
          <w:rFonts w:cs="Arial"/>
          <w:sz w:val="22"/>
          <w:szCs w:val="22"/>
        </w:rPr>
        <w:t>E</w:t>
      </w:r>
      <w:r w:rsidRPr="00A379E6">
        <w:rPr>
          <w:rFonts w:cs="Arial"/>
          <w:sz w:val="22"/>
          <w:szCs w:val="22"/>
        </w:rPr>
        <w:t xml:space="preserve">n la Resolución </w:t>
      </w:r>
      <w:r w:rsidR="003F2AAD">
        <w:rPr>
          <w:rFonts w:cs="Arial"/>
          <w:sz w:val="22"/>
          <w:szCs w:val="22"/>
        </w:rPr>
        <w:t>CREG 186 de 2020</w:t>
      </w:r>
      <w:r>
        <w:rPr>
          <w:rFonts w:cs="Arial"/>
          <w:sz w:val="22"/>
          <w:szCs w:val="22"/>
        </w:rPr>
        <w:t xml:space="preserve"> l</w:t>
      </w:r>
      <w:r w:rsidR="00313D59" w:rsidRPr="00A379E6">
        <w:rPr>
          <w:rFonts w:cs="Arial"/>
          <w:sz w:val="22"/>
          <w:szCs w:val="22"/>
        </w:rPr>
        <w:t>a Comisión ha establecido</w:t>
      </w:r>
      <w:r>
        <w:rPr>
          <w:rFonts w:cs="Arial"/>
          <w:sz w:val="22"/>
          <w:szCs w:val="22"/>
        </w:rPr>
        <w:t>,</w:t>
      </w:r>
      <w:r w:rsidR="00313D59" w:rsidRPr="00A379E6">
        <w:rPr>
          <w:rFonts w:cs="Arial"/>
          <w:sz w:val="22"/>
          <w:szCs w:val="22"/>
        </w:rPr>
        <w:t xml:space="preserve"> entre otros aspectos, mecanismos de comercialización, modalidades contractuales permitidas</w:t>
      </w:r>
      <w:r>
        <w:rPr>
          <w:rFonts w:cs="Arial"/>
          <w:sz w:val="22"/>
          <w:szCs w:val="22"/>
        </w:rPr>
        <w:t xml:space="preserve"> y</w:t>
      </w:r>
      <w:r w:rsidR="00313D59" w:rsidRPr="00A379E6">
        <w:rPr>
          <w:rFonts w:cs="Arial"/>
          <w:sz w:val="22"/>
          <w:szCs w:val="22"/>
        </w:rPr>
        <w:t xml:space="preserve"> las condiciones mínimas que debe contener cada una de las modalidades contractuales del </w:t>
      </w:r>
      <w:r w:rsidR="004B170D">
        <w:rPr>
          <w:rFonts w:cs="Arial"/>
          <w:sz w:val="22"/>
          <w:szCs w:val="22"/>
        </w:rPr>
        <w:t>Mercado</w:t>
      </w:r>
      <w:r w:rsidR="00313D59" w:rsidRPr="00A379E6">
        <w:rPr>
          <w:rFonts w:cs="Arial"/>
          <w:sz w:val="22"/>
          <w:szCs w:val="22"/>
        </w:rPr>
        <w:t xml:space="preserve"> </w:t>
      </w:r>
      <w:r w:rsidR="004B170D">
        <w:rPr>
          <w:rFonts w:cs="Arial"/>
          <w:sz w:val="22"/>
          <w:szCs w:val="22"/>
        </w:rPr>
        <w:t>Primario</w:t>
      </w:r>
      <w:r>
        <w:rPr>
          <w:rFonts w:cs="Arial"/>
          <w:sz w:val="22"/>
          <w:szCs w:val="22"/>
        </w:rPr>
        <w:t>;</w:t>
      </w:r>
      <w:r w:rsidR="00313D59" w:rsidRPr="00A379E6">
        <w:rPr>
          <w:rFonts w:cs="Arial"/>
          <w:sz w:val="22"/>
          <w:szCs w:val="22"/>
        </w:rPr>
        <w:t xml:space="preserve"> entre ellas</w:t>
      </w:r>
      <w:r>
        <w:rPr>
          <w:rFonts w:cs="Arial"/>
          <w:sz w:val="22"/>
          <w:szCs w:val="22"/>
        </w:rPr>
        <w:t xml:space="preserve"> se destacan</w:t>
      </w:r>
      <w:r w:rsidR="00313D59" w:rsidRPr="00A379E6">
        <w:rPr>
          <w:rFonts w:cs="Arial"/>
          <w:sz w:val="22"/>
          <w:szCs w:val="22"/>
        </w:rPr>
        <w:t xml:space="preserve"> la duración de </w:t>
      </w:r>
      <w:r w:rsidR="0067152C">
        <w:rPr>
          <w:rFonts w:cs="Arial"/>
          <w:sz w:val="22"/>
          <w:szCs w:val="22"/>
        </w:rPr>
        <w:t xml:space="preserve">la ejecución de </w:t>
      </w:r>
      <w:r w:rsidR="00313D59" w:rsidRPr="00A379E6">
        <w:rPr>
          <w:rFonts w:cs="Arial"/>
          <w:sz w:val="22"/>
          <w:szCs w:val="22"/>
        </w:rPr>
        <w:t xml:space="preserve">los contratos, </w:t>
      </w:r>
      <w:r w:rsidR="0067152C">
        <w:rPr>
          <w:rFonts w:cs="Arial"/>
          <w:sz w:val="22"/>
          <w:szCs w:val="22"/>
        </w:rPr>
        <w:t>los procedimientos ante la ocurrencia de</w:t>
      </w:r>
      <w:r w:rsidR="00313D59" w:rsidRPr="00A379E6">
        <w:rPr>
          <w:rFonts w:cs="Arial"/>
          <w:sz w:val="22"/>
          <w:szCs w:val="22"/>
        </w:rPr>
        <w:t xml:space="preserve"> eventos de fuerza mayor</w:t>
      </w:r>
      <w:r w:rsidR="0067152C">
        <w:rPr>
          <w:rFonts w:cs="Arial"/>
          <w:sz w:val="22"/>
          <w:szCs w:val="22"/>
        </w:rPr>
        <w:t>, caso fortuito o causa extraña, los eventos eximentes,</w:t>
      </w:r>
      <w:r w:rsidR="00313D59" w:rsidRPr="00A379E6">
        <w:rPr>
          <w:rFonts w:cs="Arial"/>
          <w:sz w:val="22"/>
          <w:szCs w:val="22"/>
        </w:rPr>
        <w:t xml:space="preserve"> l</w:t>
      </w:r>
      <w:r w:rsidR="0067152C">
        <w:rPr>
          <w:rFonts w:cs="Arial"/>
          <w:sz w:val="22"/>
          <w:szCs w:val="22"/>
        </w:rPr>
        <w:t>a</w:t>
      </w:r>
      <w:r w:rsidR="00313D59" w:rsidRPr="00A379E6">
        <w:rPr>
          <w:rFonts w:cs="Arial"/>
          <w:sz w:val="22"/>
          <w:szCs w:val="22"/>
        </w:rPr>
        <w:t xml:space="preserve">s </w:t>
      </w:r>
      <w:r w:rsidR="0067152C">
        <w:rPr>
          <w:rFonts w:cs="Arial"/>
          <w:sz w:val="22"/>
          <w:szCs w:val="22"/>
        </w:rPr>
        <w:t xml:space="preserve">causales de </w:t>
      </w:r>
      <w:r w:rsidR="00313D59" w:rsidRPr="00A379E6">
        <w:rPr>
          <w:rFonts w:cs="Arial"/>
          <w:sz w:val="22"/>
          <w:szCs w:val="22"/>
        </w:rPr>
        <w:t xml:space="preserve">incumplimiento, las compensaciones por </w:t>
      </w:r>
      <w:r w:rsidR="0067152C">
        <w:rPr>
          <w:rFonts w:cs="Arial"/>
          <w:sz w:val="22"/>
          <w:szCs w:val="22"/>
        </w:rPr>
        <w:t xml:space="preserve">causa de </w:t>
      </w:r>
      <w:r w:rsidR="00313D59" w:rsidRPr="00A379E6">
        <w:rPr>
          <w:rFonts w:cs="Arial"/>
          <w:sz w:val="22"/>
          <w:szCs w:val="22"/>
        </w:rPr>
        <w:t>incumplimiento</w:t>
      </w:r>
      <w:r w:rsidR="0067152C">
        <w:rPr>
          <w:rFonts w:cs="Arial"/>
          <w:sz w:val="22"/>
          <w:szCs w:val="22"/>
        </w:rPr>
        <w:t>s</w:t>
      </w:r>
      <w:r w:rsidR="00313D59" w:rsidRPr="00A379E6">
        <w:rPr>
          <w:rFonts w:cs="Arial"/>
          <w:sz w:val="22"/>
          <w:szCs w:val="22"/>
        </w:rPr>
        <w:t xml:space="preserve">, las horas máximas de mantenimiento permitidas </w:t>
      </w:r>
      <w:r w:rsidR="0067152C">
        <w:rPr>
          <w:rFonts w:cs="Arial"/>
          <w:sz w:val="22"/>
          <w:szCs w:val="22"/>
        </w:rPr>
        <w:t xml:space="preserve">como evento eximente </w:t>
      </w:r>
      <w:r w:rsidR="00313D59" w:rsidRPr="00A379E6">
        <w:rPr>
          <w:rFonts w:cs="Arial"/>
          <w:sz w:val="22"/>
          <w:szCs w:val="22"/>
        </w:rPr>
        <w:t>y las ecuaciones de actualización anual de</w:t>
      </w:r>
      <w:r w:rsidR="0067152C">
        <w:rPr>
          <w:rFonts w:cs="Arial"/>
          <w:sz w:val="22"/>
          <w:szCs w:val="22"/>
        </w:rPr>
        <w:t>l precio de suministro que se aplica al inicio de ejecución de un contrato</w:t>
      </w:r>
      <w:r w:rsidR="00313D59" w:rsidRPr="00A379E6">
        <w:rPr>
          <w:rFonts w:cs="Arial"/>
          <w:sz w:val="22"/>
          <w:szCs w:val="22"/>
        </w:rPr>
        <w:t xml:space="preserve">. </w:t>
      </w:r>
    </w:p>
    <w:p w14:paraId="4240845B" w14:textId="77777777" w:rsidR="00313D59" w:rsidRPr="00A379E6" w:rsidRDefault="00313D59" w:rsidP="00CF75E0">
      <w:pPr>
        <w:jc w:val="left"/>
        <w:rPr>
          <w:rFonts w:cs="Arial"/>
          <w:sz w:val="22"/>
          <w:szCs w:val="22"/>
        </w:rPr>
      </w:pPr>
    </w:p>
    <w:p w14:paraId="60C78BEE" w14:textId="3A1F8CD8" w:rsidR="00313D59" w:rsidRPr="00A379E6" w:rsidRDefault="00313D59" w:rsidP="00CF75E0">
      <w:pPr>
        <w:jc w:val="left"/>
        <w:rPr>
          <w:rFonts w:cs="Arial"/>
          <w:sz w:val="22"/>
          <w:szCs w:val="22"/>
        </w:rPr>
      </w:pPr>
      <w:r w:rsidRPr="00A379E6">
        <w:rPr>
          <w:rFonts w:cs="Arial"/>
          <w:sz w:val="22"/>
          <w:szCs w:val="22"/>
        </w:rPr>
        <w:t xml:space="preserve">Dentro de las modalidades contractuales de suministro de gas en el </w:t>
      </w:r>
      <w:r w:rsidR="004B170D">
        <w:rPr>
          <w:rFonts w:cs="Arial"/>
          <w:sz w:val="22"/>
          <w:szCs w:val="22"/>
        </w:rPr>
        <w:t>Mercado</w:t>
      </w:r>
      <w:r w:rsidRPr="00A379E6">
        <w:rPr>
          <w:rFonts w:cs="Arial"/>
          <w:sz w:val="22"/>
          <w:szCs w:val="22"/>
        </w:rPr>
        <w:t xml:space="preserve"> </w:t>
      </w:r>
      <w:r w:rsidR="004B170D">
        <w:rPr>
          <w:rFonts w:cs="Arial"/>
          <w:sz w:val="22"/>
          <w:szCs w:val="22"/>
        </w:rPr>
        <w:t>Primario</w:t>
      </w:r>
      <w:r w:rsidRPr="00A379E6">
        <w:rPr>
          <w:rFonts w:cs="Arial"/>
          <w:sz w:val="22"/>
          <w:szCs w:val="22"/>
        </w:rPr>
        <w:t xml:space="preserve">, </w:t>
      </w:r>
      <w:r w:rsidR="0067152C">
        <w:rPr>
          <w:rFonts w:cs="Arial"/>
          <w:sz w:val="22"/>
          <w:szCs w:val="22"/>
        </w:rPr>
        <w:t xml:space="preserve">se </w:t>
      </w:r>
      <w:r w:rsidRPr="00A379E6">
        <w:rPr>
          <w:rFonts w:cs="Arial"/>
          <w:sz w:val="22"/>
          <w:szCs w:val="22"/>
        </w:rPr>
        <w:t>ha</w:t>
      </w:r>
      <w:r w:rsidR="0067152C">
        <w:rPr>
          <w:rFonts w:cs="Arial"/>
          <w:sz w:val="22"/>
          <w:szCs w:val="22"/>
        </w:rPr>
        <w:t>n</w:t>
      </w:r>
      <w:r w:rsidRPr="00A379E6">
        <w:rPr>
          <w:rFonts w:cs="Arial"/>
          <w:sz w:val="22"/>
          <w:szCs w:val="22"/>
        </w:rPr>
        <w:t xml:space="preserve"> establecido las siguientes: </w:t>
      </w:r>
    </w:p>
    <w:p w14:paraId="4B9967E9" w14:textId="77777777" w:rsidR="00313D59" w:rsidRPr="00A379E6" w:rsidRDefault="00313D59" w:rsidP="00CF75E0">
      <w:pPr>
        <w:jc w:val="left"/>
        <w:rPr>
          <w:rFonts w:cs="Arial"/>
          <w:sz w:val="22"/>
          <w:szCs w:val="22"/>
        </w:rPr>
      </w:pPr>
    </w:p>
    <w:p w14:paraId="366CC6AD" w14:textId="77777777"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Firme al 95%, CF95. </w:t>
      </w:r>
    </w:p>
    <w:p w14:paraId="7A22F90B" w14:textId="77777777"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C1. </w:t>
      </w:r>
    </w:p>
    <w:p w14:paraId="17026B8F" w14:textId="77777777"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C2. </w:t>
      </w:r>
    </w:p>
    <w:p w14:paraId="01533D9B" w14:textId="294C4D8F"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opción de compra de gas contra exportaciones, OCGX. </w:t>
      </w:r>
    </w:p>
    <w:p w14:paraId="361D4978" w14:textId="2B0D582D"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de contingencia, CSC. </w:t>
      </w:r>
    </w:p>
    <w:p w14:paraId="1AC11249" w14:textId="67409E45"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con interrupciones, CI. </w:t>
      </w:r>
    </w:p>
    <w:p w14:paraId="6FF8F481" w14:textId="342774A7"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con firmeza condicionada, CFC. </w:t>
      </w:r>
    </w:p>
    <w:p w14:paraId="096D29F2" w14:textId="601EEC1F" w:rsidR="00313D59" w:rsidRPr="00070DB2" w:rsidRDefault="00313D59" w:rsidP="00CF75E0">
      <w:pPr>
        <w:pStyle w:val="Prrafodelista"/>
        <w:numPr>
          <w:ilvl w:val="0"/>
          <w:numId w:val="25"/>
        </w:numPr>
        <w:jc w:val="left"/>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opción de compra de gas, OCG. </w:t>
      </w:r>
    </w:p>
    <w:p w14:paraId="54DD41C2" w14:textId="77777777" w:rsidR="00313D59" w:rsidRPr="00A379E6" w:rsidRDefault="00313D59" w:rsidP="00CF75E0">
      <w:pPr>
        <w:jc w:val="left"/>
        <w:rPr>
          <w:rFonts w:cs="Arial"/>
          <w:sz w:val="22"/>
          <w:szCs w:val="22"/>
        </w:rPr>
      </w:pPr>
    </w:p>
    <w:p w14:paraId="40CB0ECC" w14:textId="39C4D7D9" w:rsidR="003F2AAD" w:rsidRDefault="003F2AAD" w:rsidP="00CF75E0">
      <w:pPr>
        <w:jc w:val="left"/>
        <w:rPr>
          <w:rFonts w:cs="Arial"/>
          <w:sz w:val="22"/>
          <w:szCs w:val="22"/>
        </w:rPr>
      </w:pPr>
      <w:r>
        <w:rPr>
          <w:rFonts w:cs="Arial"/>
          <w:sz w:val="22"/>
          <w:szCs w:val="22"/>
        </w:rPr>
        <w:t>En la Resolución CREG 102 004 de 2023</w:t>
      </w:r>
      <w:r w:rsidR="004C02E6">
        <w:rPr>
          <w:rFonts w:cs="Arial"/>
          <w:sz w:val="22"/>
          <w:szCs w:val="22"/>
        </w:rPr>
        <w:t xml:space="preserve"> se </w:t>
      </w:r>
      <w:r w:rsidR="004C02E6" w:rsidRPr="004C02E6">
        <w:rPr>
          <w:rFonts w:cs="Arial"/>
          <w:sz w:val="22"/>
          <w:szCs w:val="22"/>
        </w:rPr>
        <w:t>adopta</w:t>
      </w:r>
      <w:r w:rsidR="004C02E6">
        <w:rPr>
          <w:rFonts w:cs="Arial"/>
          <w:sz w:val="22"/>
          <w:szCs w:val="22"/>
        </w:rPr>
        <w:t>ro</w:t>
      </w:r>
      <w:r w:rsidR="004C02E6" w:rsidRPr="004C02E6">
        <w:rPr>
          <w:rFonts w:cs="Arial"/>
          <w:sz w:val="22"/>
          <w:szCs w:val="22"/>
        </w:rPr>
        <w:t xml:space="preserve">n medidas transitorias en relación con los mecanismos y procedimientos de comercialización de gas natural de la </w:t>
      </w:r>
      <w:r w:rsidR="001B1E14">
        <w:rPr>
          <w:rFonts w:cs="Arial"/>
          <w:sz w:val="22"/>
          <w:szCs w:val="22"/>
        </w:rPr>
        <w:t>oferta de p</w:t>
      </w:r>
      <w:r w:rsidR="004C02E6" w:rsidRPr="004C02E6">
        <w:rPr>
          <w:rFonts w:cs="Arial"/>
          <w:sz w:val="22"/>
          <w:szCs w:val="22"/>
        </w:rPr>
        <w:t xml:space="preserve">roducción </w:t>
      </w:r>
      <w:r w:rsidR="001B1E14">
        <w:rPr>
          <w:rFonts w:cs="Arial"/>
          <w:sz w:val="22"/>
          <w:szCs w:val="22"/>
        </w:rPr>
        <w:t>t</w:t>
      </w:r>
      <w:r w:rsidR="004C02E6" w:rsidRPr="004C02E6">
        <w:rPr>
          <w:rFonts w:cs="Arial"/>
          <w:sz w:val="22"/>
          <w:szCs w:val="22"/>
        </w:rPr>
        <w:t xml:space="preserve">otal </w:t>
      </w:r>
      <w:r w:rsidR="001B1E14">
        <w:rPr>
          <w:rFonts w:cs="Arial"/>
          <w:sz w:val="22"/>
          <w:szCs w:val="22"/>
        </w:rPr>
        <w:t>d</w:t>
      </w:r>
      <w:r w:rsidR="004C02E6" w:rsidRPr="004C02E6">
        <w:rPr>
          <w:rFonts w:cs="Arial"/>
          <w:sz w:val="22"/>
          <w:szCs w:val="22"/>
        </w:rPr>
        <w:t>isponible para la Venta en Firme (</w:t>
      </w:r>
      <w:r w:rsidR="001B1E14">
        <w:rPr>
          <w:rFonts w:cs="Arial"/>
          <w:sz w:val="22"/>
          <w:szCs w:val="22"/>
        </w:rPr>
        <w:t xml:space="preserve">oferta de </w:t>
      </w:r>
      <w:r w:rsidR="004C02E6" w:rsidRPr="004C02E6">
        <w:rPr>
          <w:rFonts w:cs="Arial"/>
          <w:sz w:val="22"/>
          <w:szCs w:val="22"/>
        </w:rPr>
        <w:t>PTDVF) y de la</w:t>
      </w:r>
      <w:r w:rsidR="001B1E14">
        <w:rPr>
          <w:rFonts w:cs="Arial"/>
          <w:sz w:val="22"/>
          <w:szCs w:val="22"/>
        </w:rPr>
        <w:t xml:space="preserve"> oferta de ca</w:t>
      </w:r>
      <w:r w:rsidR="004C02E6" w:rsidRPr="004C02E6">
        <w:rPr>
          <w:rFonts w:cs="Arial"/>
          <w:sz w:val="22"/>
          <w:szCs w:val="22"/>
        </w:rPr>
        <w:t xml:space="preserve">ntidades </w:t>
      </w:r>
      <w:r w:rsidR="001B1E14">
        <w:rPr>
          <w:rFonts w:cs="Arial"/>
          <w:sz w:val="22"/>
          <w:szCs w:val="22"/>
        </w:rPr>
        <w:t>i</w:t>
      </w:r>
      <w:r w:rsidR="004C02E6" w:rsidRPr="004C02E6">
        <w:rPr>
          <w:rFonts w:cs="Arial"/>
          <w:sz w:val="22"/>
          <w:szCs w:val="22"/>
        </w:rPr>
        <w:t xml:space="preserve">mportadas </w:t>
      </w:r>
      <w:r w:rsidR="001B1E14">
        <w:rPr>
          <w:rFonts w:cs="Arial"/>
          <w:sz w:val="22"/>
          <w:szCs w:val="22"/>
        </w:rPr>
        <w:t>d</w:t>
      </w:r>
      <w:r w:rsidR="004C02E6" w:rsidRPr="004C02E6">
        <w:rPr>
          <w:rFonts w:cs="Arial"/>
          <w:sz w:val="22"/>
          <w:szCs w:val="22"/>
        </w:rPr>
        <w:t xml:space="preserve">isponibles para la </w:t>
      </w:r>
      <w:r w:rsidR="001B1E14">
        <w:rPr>
          <w:rFonts w:cs="Arial"/>
          <w:sz w:val="22"/>
          <w:szCs w:val="22"/>
        </w:rPr>
        <w:t>v</w:t>
      </w:r>
      <w:r w:rsidR="004C02E6" w:rsidRPr="004C02E6">
        <w:rPr>
          <w:rFonts w:cs="Arial"/>
          <w:sz w:val="22"/>
          <w:szCs w:val="22"/>
        </w:rPr>
        <w:t xml:space="preserve">enta en </w:t>
      </w:r>
      <w:r w:rsidR="001B1E14">
        <w:rPr>
          <w:rFonts w:cs="Arial"/>
          <w:sz w:val="22"/>
          <w:szCs w:val="22"/>
        </w:rPr>
        <w:t>f</w:t>
      </w:r>
      <w:r w:rsidR="004C02E6" w:rsidRPr="004C02E6">
        <w:rPr>
          <w:rFonts w:cs="Arial"/>
          <w:sz w:val="22"/>
          <w:szCs w:val="22"/>
        </w:rPr>
        <w:t>irme (</w:t>
      </w:r>
      <w:r w:rsidR="001B1E14">
        <w:rPr>
          <w:rFonts w:cs="Arial"/>
          <w:sz w:val="22"/>
          <w:szCs w:val="22"/>
        </w:rPr>
        <w:t xml:space="preserve">oferta de </w:t>
      </w:r>
      <w:r w:rsidR="004C02E6" w:rsidRPr="004C02E6">
        <w:rPr>
          <w:rFonts w:cs="Arial"/>
          <w:sz w:val="22"/>
          <w:szCs w:val="22"/>
        </w:rPr>
        <w:t>CIDVF), conforme a lo establecido en la Resolución CREG 186 de 2020.</w:t>
      </w:r>
      <w:r w:rsidR="004C02E6">
        <w:rPr>
          <w:rFonts w:cs="Arial"/>
          <w:sz w:val="22"/>
          <w:szCs w:val="22"/>
        </w:rPr>
        <w:t xml:space="preserve"> Principalmente se posibilitó </w:t>
      </w:r>
      <w:r w:rsidR="001B1E14">
        <w:rPr>
          <w:rFonts w:cs="Arial"/>
          <w:sz w:val="22"/>
          <w:szCs w:val="22"/>
        </w:rPr>
        <w:t xml:space="preserve">de manera temporal para el cumplimiento de las negociaciones en el año 2023 </w:t>
      </w:r>
      <w:r w:rsidR="004C02E6">
        <w:rPr>
          <w:rFonts w:cs="Arial"/>
          <w:sz w:val="22"/>
          <w:szCs w:val="22"/>
        </w:rPr>
        <w:t xml:space="preserve">la aplicación del mecanismo de negociación directa para contratos de duración de uno (1) o más años, la obligatoriedad de la declaración al Gestor del </w:t>
      </w:r>
      <w:r w:rsidR="004B170D">
        <w:rPr>
          <w:rFonts w:cs="Arial"/>
          <w:sz w:val="22"/>
          <w:szCs w:val="22"/>
        </w:rPr>
        <w:t>Mercado</w:t>
      </w:r>
      <w:r w:rsidR="004C02E6">
        <w:rPr>
          <w:rFonts w:cs="Arial"/>
          <w:sz w:val="22"/>
          <w:szCs w:val="22"/>
        </w:rPr>
        <w:t xml:space="preserve"> de la oferta de PTDVF y de </w:t>
      </w:r>
      <w:r w:rsidR="001B1E14">
        <w:rPr>
          <w:rFonts w:cs="Arial"/>
          <w:sz w:val="22"/>
          <w:szCs w:val="22"/>
        </w:rPr>
        <w:t xml:space="preserve">la oferta de </w:t>
      </w:r>
      <w:r w:rsidR="004C02E6">
        <w:rPr>
          <w:rFonts w:cs="Arial"/>
          <w:sz w:val="22"/>
          <w:szCs w:val="22"/>
        </w:rPr>
        <w:t>CIDVF de todas las fuentes de suministro, sin excepciones, y previo al registro de contratos de tipo firme</w:t>
      </w:r>
      <w:r w:rsidR="001B1E14">
        <w:rPr>
          <w:rFonts w:cs="Arial"/>
          <w:sz w:val="22"/>
          <w:szCs w:val="22"/>
        </w:rPr>
        <w:t xml:space="preserve">. Asimismo se posibilitó la declaración de cantidades adicionales de oferta de PTDVF de las cuentes de suministro contempladas en el Artículo 19 de la Resolución CREG 186 de 2020. </w:t>
      </w:r>
      <w:r w:rsidR="004C02E6">
        <w:rPr>
          <w:rFonts w:cs="Arial"/>
          <w:sz w:val="22"/>
          <w:szCs w:val="22"/>
        </w:rPr>
        <w:t xml:space="preserve"> </w:t>
      </w:r>
    </w:p>
    <w:p w14:paraId="18B5381E" w14:textId="77777777" w:rsidR="00076D28" w:rsidRDefault="00076D28" w:rsidP="00CF75E0">
      <w:pPr>
        <w:jc w:val="left"/>
        <w:rPr>
          <w:rFonts w:cs="Arial"/>
          <w:sz w:val="22"/>
          <w:szCs w:val="22"/>
        </w:rPr>
      </w:pPr>
    </w:p>
    <w:p w14:paraId="1474D763" w14:textId="2E89C387" w:rsidR="00076D28" w:rsidRDefault="00C57680" w:rsidP="00CF75E0">
      <w:pPr>
        <w:jc w:val="left"/>
        <w:rPr>
          <w:rFonts w:cs="Arial"/>
          <w:sz w:val="22"/>
          <w:szCs w:val="22"/>
        </w:rPr>
      </w:pPr>
      <w:r>
        <w:rPr>
          <w:rFonts w:cs="Arial"/>
          <w:sz w:val="22"/>
          <w:szCs w:val="22"/>
        </w:rPr>
        <w:lastRenderedPageBreak/>
        <w:t>Por otra parte, en el Decreto 1073 de 2015, se determinan las siguientes condiciones con respecto a la comercialización de gas natural:</w:t>
      </w:r>
    </w:p>
    <w:p w14:paraId="725AC823" w14:textId="77777777" w:rsidR="00C57680" w:rsidRDefault="00C57680" w:rsidP="00CF75E0">
      <w:pPr>
        <w:jc w:val="left"/>
        <w:rPr>
          <w:rFonts w:cs="Arial"/>
          <w:sz w:val="22"/>
          <w:szCs w:val="22"/>
        </w:rPr>
      </w:pPr>
    </w:p>
    <w:p w14:paraId="7FCF9709" w14:textId="464546E8" w:rsidR="00C57680" w:rsidRDefault="00C57680" w:rsidP="00CF75E0">
      <w:pPr>
        <w:pStyle w:val="Prrafodelista"/>
        <w:numPr>
          <w:ilvl w:val="0"/>
          <w:numId w:val="24"/>
        </w:numPr>
        <w:jc w:val="left"/>
        <w:rPr>
          <w:rFonts w:cs="Arial"/>
          <w:sz w:val="22"/>
          <w:szCs w:val="22"/>
        </w:rPr>
      </w:pPr>
      <w:r w:rsidRPr="00C57680">
        <w:rPr>
          <w:rFonts w:cs="Arial"/>
          <w:sz w:val="22"/>
          <w:szCs w:val="22"/>
        </w:rPr>
        <w:t>"</w:t>
      </w:r>
      <w:r w:rsidRPr="00070DB2">
        <w:rPr>
          <w:rFonts w:cs="Arial"/>
          <w:i/>
          <w:iCs/>
          <w:sz w:val="22"/>
          <w:szCs w:val="22"/>
        </w:rPr>
        <w:t>ARTÍCULO 2.2.2.1.1. (…)</w:t>
      </w:r>
      <w:r>
        <w:rPr>
          <w:rFonts w:cs="Arial"/>
          <w:sz w:val="22"/>
          <w:szCs w:val="22"/>
        </w:rPr>
        <w:t xml:space="preserve"> </w:t>
      </w:r>
      <w:r w:rsidRPr="00C57680">
        <w:t xml:space="preserve"> </w:t>
      </w:r>
      <w:r w:rsidRPr="00070DB2">
        <w:rPr>
          <w:rFonts w:cs="Arial"/>
          <w:i/>
          <w:iCs/>
          <w:sz w:val="22"/>
          <w:szCs w:val="22"/>
        </w:rPr>
        <w:t xml:space="preserve">Producción Total Disponible para la Venta - PTDV: Totalidad de las </w:t>
      </w:r>
      <w:r w:rsidRPr="00070DB2">
        <w:rPr>
          <w:rFonts w:cs="Arial"/>
          <w:b/>
          <w:bCs/>
          <w:i/>
          <w:iCs/>
          <w:sz w:val="22"/>
          <w:szCs w:val="22"/>
          <w:u w:val="single"/>
        </w:rPr>
        <w:t>cantidades diarias promedio mes</w:t>
      </w:r>
      <w:r w:rsidRPr="00070DB2">
        <w:rPr>
          <w:rFonts w:cs="Arial"/>
          <w:i/>
          <w:iCs/>
          <w:sz w:val="22"/>
          <w:szCs w:val="22"/>
        </w:rPr>
        <w:t xml:space="preserve"> de gas natural, medidas en GBTUD, que un productor o productor comercializador estima que tendrá disponibles para la venta bajo cualquier modalidad, en un periodo determinado, a través de contratos de suministro en cada campo o en un punto de entrada al SNT</w:t>
      </w:r>
      <w:r w:rsidRPr="00C57680">
        <w:rPr>
          <w:rFonts w:cs="Arial"/>
          <w:sz w:val="22"/>
          <w:szCs w:val="22"/>
        </w:rPr>
        <w:t>.</w:t>
      </w:r>
      <w:r>
        <w:rPr>
          <w:rFonts w:cs="Arial"/>
          <w:sz w:val="22"/>
          <w:szCs w:val="22"/>
        </w:rPr>
        <w:t xml:space="preserve"> (…)” (subrayado con resaltado fuera de texto)</w:t>
      </w:r>
    </w:p>
    <w:p w14:paraId="5CCB8F06" w14:textId="77777777" w:rsidR="00C57680" w:rsidRPr="00C57680" w:rsidRDefault="00C57680" w:rsidP="00CF75E0">
      <w:pPr>
        <w:pStyle w:val="Prrafodelista"/>
        <w:ind w:left="791"/>
        <w:jc w:val="left"/>
        <w:rPr>
          <w:rFonts w:cs="Arial"/>
          <w:sz w:val="22"/>
          <w:szCs w:val="22"/>
        </w:rPr>
      </w:pPr>
    </w:p>
    <w:p w14:paraId="0C79CF83" w14:textId="0495BF11" w:rsidR="00C57680" w:rsidRDefault="00C57680" w:rsidP="00CF75E0">
      <w:pPr>
        <w:pStyle w:val="Prrafodelista"/>
        <w:numPr>
          <w:ilvl w:val="0"/>
          <w:numId w:val="24"/>
        </w:numPr>
        <w:jc w:val="left"/>
        <w:rPr>
          <w:rFonts w:cs="Arial"/>
          <w:sz w:val="22"/>
          <w:szCs w:val="22"/>
        </w:rPr>
      </w:pPr>
      <w:r>
        <w:rPr>
          <w:rFonts w:cs="Arial"/>
          <w:sz w:val="22"/>
          <w:szCs w:val="22"/>
        </w:rPr>
        <w:t>“</w:t>
      </w:r>
      <w:r w:rsidRPr="00070DB2">
        <w:rPr>
          <w:rFonts w:cs="Arial"/>
          <w:i/>
          <w:iCs/>
          <w:sz w:val="22"/>
          <w:szCs w:val="22"/>
        </w:rPr>
        <w:t xml:space="preserve">ARTÍCULO 2.2.2.2.22. </w:t>
      </w:r>
      <w:r w:rsidRPr="00070DB2">
        <w:rPr>
          <w:rFonts w:cs="Arial"/>
          <w:b/>
          <w:bCs/>
          <w:i/>
          <w:iCs/>
          <w:sz w:val="22"/>
          <w:szCs w:val="22"/>
          <w:u w:val="single"/>
        </w:rPr>
        <w:t>Actualización de la declaración de producción</w:t>
      </w:r>
      <w:r w:rsidRPr="00070DB2">
        <w:rPr>
          <w:rFonts w:cs="Arial"/>
          <w:i/>
          <w:iCs/>
          <w:sz w:val="22"/>
          <w:szCs w:val="22"/>
        </w:rPr>
        <w:t xml:space="preserve">. Todos los productores, los productores-comercializadores de gas natural y los comercializadores de gas importado obligados a declarar conforme a lo previsto en el presente Decreto, deberán actualizar su declaración exponiendo y documentando las razones que la justifican, por variación en la información disponible al momento de la declaración </w:t>
      </w:r>
      <w:r w:rsidRPr="00070DB2">
        <w:rPr>
          <w:rFonts w:cs="Arial"/>
          <w:b/>
          <w:bCs/>
          <w:i/>
          <w:iCs/>
          <w:sz w:val="22"/>
          <w:szCs w:val="22"/>
          <w:u w:val="single"/>
        </w:rPr>
        <w:t>y/o inmediatamente se surta un procedimiento de comercialización</w:t>
      </w:r>
      <w:r w:rsidRPr="00070DB2">
        <w:rPr>
          <w:rFonts w:cs="Arial"/>
          <w:i/>
          <w:iCs/>
          <w:sz w:val="22"/>
          <w:szCs w:val="22"/>
        </w:rPr>
        <w:t>, conforme a lo previsto en este Decreto</w:t>
      </w:r>
      <w:r w:rsidRPr="00C57680">
        <w:rPr>
          <w:rFonts w:cs="Arial"/>
          <w:sz w:val="22"/>
          <w:szCs w:val="22"/>
        </w:rPr>
        <w:t>.</w:t>
      </w:r>
      <w:r>
        <w:rPr>
          <w:rFonts w:cs="Arial"/>
          <w:sz w:val="22"/>
          <w:szCs w:val="22"/>
        </w:rPr>
        <w:t>” (subrayado con resaltado fuera de texto)</w:t>
      </w:r>
    </w:p>
    <w:p w14:paraId="6699D6F6" w14:textId="77777777" w:rsidR="00C57680" w:rsidRPr="00070DB2" w:rsidRDefault="00C57680" w:rsidP="00CF75E0">
      <w:pPr>
        <w:pStyle w:val="Prrafodelista"/>
        <w:ind w:left="791"/>
        <w:jc w:val="left"/>
        <w:rPr>
          <w:rFonts w:cs="Arial"/>
          <w:sz w:val="22"/>
          <w:szCs w:val="22"/>
        </w:rPr>
      </w:pPr>
    </w:p>
    <w:p w14:paraId="1FE1B8CE" w14:textId="77777777" w:rsidR="000F1350" w:rsidRDefault="000F1350" w:rsidP="000F1350">
      <w:pPr>
        <w:ind w:left="142" w:right="142"/>
        <w:jc w:val="left"/>
        <w:rPr>
          <w:rFonts w:cs="Arial"/>
          <w:sz w:val="22"/>
          <w:szCs w:val="22"/>
        </w:rPr>
      </w:pPr>
      <w:r>
        <w:rPr>
          <w:rFonts w:cs="Arial"/>
          <w:sz w:val="22"/>
          <w:szCs w:val="22"/>
        </w:rPr>
        <w:t>En el Artículo Parágrafo 2 del Artículo 11 de la Ley 401 de 1997 se establece que:</w:t>
      </w:r>
    </w:p>
    <w:p w14:paraId="69C3AD0A" w14:textId="77777777" w:rsidR="000F1350" w:rsidRDefault="000F1350" w:rsidP="000F1350">
      <w:pPr>
        <w:ind w:left="142" w:right="142"/>
        <w:jc w:val="left"/>
        <w:rPr>
          <w:rFonts w:cs="Arial"/>
          <w:sz w:val="22"/>
          <w:szCs w:val="22"/>
        </w:rPr>
      </w:pPr>
    </w:p>
    <w:p w14:paraId="51A3B946" w14:textId="415FB5EA" w:rsidR="000F1350" w:rsidRDefault="000F1350" w:rsidP="000F1350">
      <w:pPr>
        <w:ind w:left="708" w:right="142"/>
        <w:jc w:val="left"/>
        <w:rPr>
          <w:rFonts w:cs="Arial"/>
          <w:sz w:val="22"/>
          <w:szCs w:val="22"/>
        </w:rPr>
      </w:pPr>
      <w:r>
        <w:rPr>
          <w:rFonts w:cs="Arial"/>
          <w:sz w:val="22"/>
          <w:szCs w:val="22"/>
        </w:rPr>
        <w:t>“</w:t>
      </w:r>
      <w:r w:rsidRPr="000F1350">
        <w:rPr>
          <w:rFonts w:cs="Arial"/>
          <w:i/>
          <w:iCs/>
          <w:sz w:val="22"/>
          <w:szCs w:val="22"/>
        </w:rPr>
        <w:t>PARAGRAFO 2o. Las competencias previstas en la Ley 142 de 1994 en lo relacionado con el servicio público domiciliario, comercial e industrial de gas combustible, sólo se predicarán en los casos en que el gas se utilice efectivamente como combustible y no como materia prima de procesos industriales petroquímicos.”</w:t>
      </w:r>
      <w:r>
        <w:rPr>
          <w:rFonts w:cs="Arial"/>
          <w:sz w:val="22"/>
          <w:szCs w:val="22"/>
        </w:rPr>
        <w:t xml:space="preserve"> </w:t>
      </w:r>
    </w:p>
    <w:p w14:paraId="11078561" w14:textId="77777777" w:rsidR="000F1350" w:rsidRDefault="000F1350" w:rsidP="000F1350">
      <w:pPr>
        <w:ind w:left="142" w:right="142"/>
        <w:jc w:val="left"/>
        <w:rPr>
          <w:rFonts w:cs="Arial"/>
          <w:sz w:val="22"/>
          <w:szCs w:val="22"/>
        </w:rPr>
      </w:pPr>
    </w:p>
    <w:p w14:paraId="689490A2" w14:textId="3549789F" w:rsidR="000F1350" w:rsidRDefault="000F1350" w:rsidP="000F1350">
      <w:pPr>
        <w:ind w:left="142" w:right="142"/>
        <w:jc w:val="left"/>
        <w:rPr>
          <w:rFonts w:cs="Arial"/>
          <w:sz w:val="22"/>
          <w:szCs w:val="22"/>
        </w:rPr>
      </w:pPr>
      <w:r>
        <w:rPr>
          <w:rFonts w:cs="Arial"/>
          <w:sz w:val="22"/>
          <w:szCs w:val="22"/>
        </w:rPr>
        <w:t xml:space="preserve">En el </w:t>
      </w:r>
      <w:r w:rsidR="0062433F">
        <w:rPr>
          <w:rFonts w:cs="Arial"/>
          <w:sz w:val="22"/>
          <w:szCs w:val="22"/>
        </w:rPr>
        <w:t>Artículo 2.2.2.2.42 “</w:t>
      </w:r>
      <w:r w:rsidR="0062433F" w:rsidRPr="0062433F">
        <w:rPr>
          <w:rFonts w:cs="Arial"/>
          <w:i/>
          <w:iCs/>
          <w:sz w:val="22"/>
          <w:szCs w:val="22"/>
        </w:rPr>
        <w:t>Funcionamiento del mercado mayorista”</w:t>
      </w:r>
      <w:r w:rsidR="0062433F">
        <w:rPr>
          <w:rFonts w:cs="Arial"/>
          <w:sz w:val="22"/>
          <w:szCs w:val="22"/>
        </w:rPr>
        <w:t xml:space="preserve"> del </w:t>
      </w:r>
      <w:r>
        <w:rPr>
          <w:rFonts w:cs="Arial"/>
          <w:sz w:val="22"/>
          <w:szCs w:val="22"/>
        </w:rPr>
        <w:t>Decreto 1073 de 2015 se establece que</w:t>
      </w:r>
      <w:r w:rsidR="0062433F">
        <w:rPr>
          <w:rFonts w:cs="Arial"/>
          <w:sz w:val="22"/>
          <w:szCs w:val="22"/>
        </w:rPr>
        <w:t>:</w:t>
      </w:r>
    </w:p>
    <w:p w14:paraId="03E50836" w14:textId="77777777" w:rsidR="0062433F" w:rsidRDefault="0062433F" w:rsidP="000F1350">
      <w:pPr>
        <w:ind w:left="142" w:right="142"/>
        <w:jc w:val="left"/>
        <w:rPr>
          <w:rFonts w:cs="Arial"/>
          <w:sz w:val="22"/>
          <w:szCs w:val="22"/>
        </w:rPr>
      </w:pPr>
    </w:p>
    <w:p w14:paraId="6D834F83" w14:textId="77777777" w:rsidR="0062433F" w:rsidRPr="0062433F" w:rsidRDefault="0062433F" w:rsidP="0062433F">
      <w:pPr>
        <w:ind w:left="708" w:right="142"/>
        <w:jc w:val="left"/>
        <w:rPr>
          <w:rFonts w:cs="Arial"/>
          <w:i/>
          <w:iCs/>
          <w:sz w:val="22"/>
          <w:szCs w:val="22"/>
        </w:rPr>
      </w:pPr>
      <w:r>
        <w:rPr>
          <w:rFonts w:cs="Arial"/>
          <w:sz w:val="22"/>
          <w:szCs w:val="22"/>
        </w:rPr>
        <w:t>“</w:t>
      </w:r>
      <w:r w:rsidRPr="0062433F">
        <w:rPr>
          <w:rFonts w:cs="Arial"/>
          <w:b/>
          <w:bCs/>
          <w:i/>
          <w:iCs/>
          <w:sz w:val="22"/>
          <w:szCs w:val="22"/>
        </w:rPr>
        <w:t>ARTÍCULO    2.2.2.2.42.</w:t>
      </w:r>
      <w:r w:rsidRPr="0062433F">
        <w:rPr>
          <w:rFonts w:cs="Arial"/>
          <w:i/>
          <w:iCs/>
          <w:sz w:val="22"/>
          <w:szCs w:val="22"/>
        </w:rPr>
        <w:t xml:space="preserve">    Al expedir el reglamento de operación mediante el cual se regula el    Funcionamiento del mercado mayorista.    funcionamiento del mercado mayorista de gas natural, la Comisión de Regulación de Energía y Gas podrá:    </w:t>
      </w:r>
    </w:p>
    <w:p w14:paraId="665C1093" w14:textId="77777777" w:rsidR="0062433F" w:rsidRPr="0062433F" w:rsidRDefault="0062433F" w:rsidP="0062433F">
      <w:pPr>
        <w:ind w:left="708" w:right="142"/>
        <w:jc w:val="left"/>
        <w:rPr>
          <w:rFonts w:cs="Arial"/>
          <w:i/>
          <w:iCs/>
          <w:sz w:val="22"/>
          <w:szCs w:val="22"/>
        </w:rPr>
      </w:pPr>
    </w:p>
    <w:p w14:paraId="66E26571" w14:textId="058F527C" w:rsidR="0062433F" w:rsidRPr="0062433F" w:rsidRDefault="0062433F" w:rsidP="0062433F">
      <w:pPr>
        <w:ind w:left="708" w:right="142"/>
        <w:jc w:val="left"/>
        <w:rPr>
          <w:rFonts w:cs="Arial"/>
          <w:i/>
          <w:iCs/>
          <w:sz w:val="22"/>
          <w:szCs w:val="22"/>
        </w:rPr>
      </w:pPr>
      <w:r w:rsidRPr="0062433F">
        <w:rPr>
          <w:rFonts w:cs="Arial"/>
          <w:i/>
          <w:iCs/>
          <w:sz w:val="22"/>
          <w:szCs w:val="22"/>
        </w:rPr>
        <w:t>(…)</w:t>
      </w:r>
    </w:p>
    <w:p w14:paraId="2BC02670" w14:textId="77777777" w:rsidR="0062433F" w:rsidRPr="0062433F" w:rsidRDefault="0062433F" w:rsidP="0062433F">
      <w:pPr>
        <w:ind w:left="708" w:right="142"/>
        <w:jc w:val="left"/>
        <w:rPr>
          <w:rFonts w:cs="Arial"/>
          <w:i/>
          <w:iCs/>
          <w:sz w:val="22"/>
          <w:szCs w:val="22"/>
        </w:rPr>
      </w:pPr>
    </w:p>
    <w:p w14:paraId="232B4C09" w14:textId="50D5C265" w:rsidR="0062433F" w:rsidRDefault="0062433F" w:rsidP="0062433F">
      <w:pPr>
        <w:ind w:left="708" w:right="142"/>
        <w:jc w:val="left"/>
        <w:rPr>
          <w:rFonts w:cs="Arial"/>
          <w:sz w:val="22"/>
          <w:szCs w:val="22"/>
        </w:rPr>
      </w:pPr>
      <w:r w:rsidRPr="0062433F">
        <w:rPr>
          <w:rFonts w:cs="Arial"/>
          <w:i/>
          <w:iCs/>
          <w:sz w:val="22"/>
          <w:szCs w:val="22"/>
        </w:rPr>
        <w:t xml:space="preserve">b) </w:t>
      </w:r>
      <w:r w:rsidRPr="0062433F">
        <w:rPr>
          <w:rFonts w:cs="Arial"/>
          <w:b/>
          <w:bCs/>
          <w:i/>
          <w:iCs/>
          <w:sz w:val="22"/>
          <w:szCs w:val="22"/>
          <w:u w:val="single"/>
        </w:rPr>
        <w:t>Señalar la información que será declarada por los participantes del mercado</w:t>
      </w:r>
      <w:r w:rsidRPr="0062433F">
        <w:rPr>
          <w:rFonts w:cs="Arial"/>
          <w:i/>
          <w:iCs/>
          <w:sz w:val="22"/>
          <w:szCs w:val="22"/>
        </w:rPr>
        <w:t xml:space="preserve"> y establecer los mecanismos y procedimientos para obtener, organizar, revisar y divulgar dicha información en forma oportuna </w:t>
      </w:r>
      <w:r w:rsidRPr="0062433F">
        <w:rPr>
          <w:rFonts w:cs="Arial"/>
          <w:b/>
          <w:bCs/>
          <w:i/>
          <w:iCs/>
          <w:sz w:val="22"/>
          <w:szCs w:val="22"/>
          <w:u w:val="single"/>
        </w:rPr>
        <w:t>para el funcionamiento del mercado mayorista de gas natural</w:t>
      </w:r>
      <w:r w:rsidRPr="0062433F">
        <w:rPr>
          <w:rFonts w:cs="Arial"/>
          <w:b/>
          <w:bCs/>
          <w:sz w:val="22"/>
          <w:szCs w:val="22"/>
          <w:u w:val="single"/>
        </w:rPr>
        <w:t>.</w:t>
      </w:r>
      <w:r>
        <w:rPr>
          <w:rFonts w:cs="Arial"/>
          <w:sz w:val="22"/>
          <w:szCs w:val="22"/>
        </w:rPr>
        <w:t>” (subrayado con resaltado fuera de texto)</w:t>
      </w:r>
    </w:p>
    <w:p w14:paraId="7D8BA132" w14:textId="77777777" w:rsidR="00313D59" w:rsidRDefault="00313D59" w:rsidP="00CF75E0">
      <w:pPr>
        <w:jc w:val="left"/>
      </w:pPr>
    </w:p>
    <w:p w14:paraId="7A8D02CC" w14:textId="77777777" w:rsidR="00B93785" w:rsidRDefault="00B93785" w:rsidP="00CF75E0">
      <w:pPr>
        <w:jc w:val="left"/>
      </w:pPr>
    </w:p>
    <w:p w14:paraId="17B17A2F" w14:textId="478193F9" w:rsidR="0055379D" w:rsidRPr="00313D59" w:rsidRDefault="0055379D" w:rsidP="00CF75E0">
      <w:pPr>
        <w:pStyle w:val="Ttulo1"/>
        <w:numPr>
          <w:ilvl w:val="0"/>
          <w:numId w:val="14"/>
        </w:numPr>
        <w:spacing w:after="0"/>
        <w:ind w:left="431" w:hanging="431"/>
        <w:jc w:val="left"/>
        <w:rPr>
          <w:szCs w:val="24"/>
        </w:rPr>
      </w:pPr>
      <w:bookmarkStart w:id="8" w:name="_Ref148943086"/>
      <w:bookmarkStart w:id="9" w:name="_Ref148955855"/>
      <w:bookmarkStart w:id="10" w:name="_Toc158211400"/>
      <w:r>
        <w:rPr>
          <w:szCs w:val="24"/>
        </w:rPr>
        <w:t>INFORMACIÓN GENERAL</w:t>
      </w:r>
      <w:bookmarkEnd w:id="8"/>
      <w:bookmarkEnd w:id="9"/>
      <w:bookmarkEnd w:id="10"/>
      <w:r w:rsidRPr="00313D59">
        <w:rPr>
          <w:szCs w:val="24"/>
        </w:rPr>
        <w:t xml:space="preserve"> </w:t>
      </w:r>
    </w:p>
    <w:p w14:paraId="4174B147" w14:textId="77777777" w:rsidR="00313D59" w:rsidRDefault="00313D59" w:rsidP="00CF75E0">
      <w:pPr>
        <w:jc w:val="left"/>
        <w:rPr>
          <w:sz w:val="22"/>
        </w:rPr>
      </w:pPr>
    </w:p>
    <w:p w14:paraId="531D3E86" w14:textId="0400685D" w:rsidR="000F3AF1" w:rsidRDefault="00FE1453" w:rsidP="00CF75E0">
      <w:pPr>
        <w:jc w:val="left"/>
        <w:rPr>
          <w:bCs/>
          <w:sz w:val="22"/>
        </w:rPr>
      </w:pPr>
      <w:r>
        <w:rPr>
          <w:bCs/>
          <w:sz w:val="22"/>
        </w:rPr>
        <w:t xml:space="preserve">Mediante la Circular CREG </w:t>
      </w:r>
      <w:r w:rsidR="000F3AF1">
        <w:rPr>
          <w:bCs/>
          <w:sz w:val="22"/>
        </w:rPr>
        <w:t xml:space="preserve">046 de 2023, </w:t>
      </w:r>
      <w:r w:rsidR="000F3AF1" w:rsidRPr="000F3AF1">
        <w:rPr>
          <w:bCs/>
          <w:sz w:val="22"/>
        </w:rPr>
        <w:t>teniendo en</w:t>
      </w:r>
      <w:r w:rsidR="000F3AF1">
        <w:rPr>
          <w:bCs/>
          <w:sz w:val="22"/>
        </w:rPr>
        <w:t xml:space="preserve"> </w:t>
      </w:r>
      <w:r w:rsidR="000F3AF1" w:rsidRPr="000F3AF1">
        <w:rPr>
          <w:bCs/>
          <w:sz w:val="22"/>
        </w:rPr>
        <w:t xml:space="preserve">cuenta lo dispuesto en el Artículo 22 de la Resolución CREG 186 de 2020, </w:t>
      </w:r>
      <w:r w:rsidR="00F06226">
        <w:rPr>
          <w:bCs/>
          <w:sz w:val="22"/>
        </w:rPr>
        <w:t xml:space="preserve">se </w:t>
      </w:r>
      <w:r w:rsidR="000F3AF1" w:rsidRPr="000F3AF1">
        <w:rPr>
          <w:bCs/>
          <w:sz w:val="22"/>
        </w:rPr>
        <w:t>public</w:t>
      </w:r>
      <w:r w:rsidR="000F3AF1">
        <w:rPr>
          <w:bCs/>
          <w:sz w:val="22"/>
        </w:rPr>
        <w:t>ó</w:t>
      </w:r>
      <w:r w:rsidR="000F3AF1" w:rsidRPr="000F3AF1">
        <w:rPr>
          <w:bCs/>
          <w:sz w:val="22"/>
        </w:rPr>
        <w:t xml:space="preserve"> el</w:t>
      </w:r>
      <w:r w:rsidR="000F3AF1">
        <w:rPr>
          <w:bCs/>
          <w:sz w:val="22"/>
        </w:rPr>
        <w:t xml:space="preserve"> </w:t>
      </w:r>
      <w:r w:rsidR="000F3AF1" w:rsidRPr="000F3AF1">
        <w:rPr>
          <w:bCs/>
          <w:sz w:val="22"/>
        </w:rPr>
        <w:t xml:space="preserve">cronograma de la comercialización del </w:t>
      </w:r>
      <w:r w:rsidR="004B170D">
        <w:rPr>
          <w:bCs/>
          <w:sz w:val="22"/>
        </w:rPr>
        <w:t>Mercado</w:t>
      </w:r>
      <w:r w:rsidR="000F3AF1" w:rsidRPr="000F3AF1">
        <w:rPr>
          <w:bCs/>
          <w:sz w:val="22"/>
        </w:rPr>
        <w:t xml:space="preserve"> </w:t>
      </w:r>
      <w:r w:rsidR="004B170D">
        <w:rPr>
          <w:bCs/>
          <w:sz w:val="22"/>
        </w:rPr>
        <w:t>Mayorista</w:t>
      </w:r>
      <w:r w:rsidR="000F3AF1" w:rsidRPr="000F3AF1">
        <w:rPr>
          <w:bCs/>
          <w:sz w:val="22"/>
        </w:rPr>
        <w:t xml:space="preserve"> de gas natura</w:t>
      </w:r>
      <w:r w:rsidR="00F06226">
        <w:rPr>
          <w:bCs/>
          <w:sz w:val="22"/>
        </w:rPr>
        <w:t>l durante el año 2023,</w:t>
      </w:r>
      <w:r w:rsidR="000F3AF1" w:rsidRPr="000F3AF1">
        <w:rPr>
          <w:bCs/>
          <w:sz w:val="22"/>
        </w:rPr>
        <w:t xml:space="preserve"> a ser tenido en</w:t>
      </w:r>
      <w:r w:rsidR="000F3AF1">
        <w:rPr>
          <w:bCs/>
          <w:sz w:val="22"/>
        </w:rPr>
        <w:t xml:space="preserve"> </w:t>
      </w:r>
      <w:r w:rsidR="000F3AF1" w:rsidRPr="000F3AF1">
        <w:rPr>
          <w:bCs/>
          <w:sz w:val="22"/>
        </w:rPr>
        <w:t xml:space="preserve">cuenta para el desarrollo de </w:t>
      </w:r>
      <w:r w:rsidR="00F06226">
        <w:rPr>
          <w:bCs/>
          <w:sz w:val="22"/>
        </w:rPr>
        <w:t>los mecanismos de comercialización establecidos por la CREG</w:t>
      </w:r>
      <w:r w:rsidR="000F3AF1" w:rsidRPr="000F3AF1">
        <w:rPr>
          <w:bCs/>
          <w:sz w:val="22"/>
        </w:rPr>
        <w:t>.</w:t>
      </w:r>
      <w:r w:rsidR="000F3AF1">
        <w:rPr>
          <w:bCs/>
          <w:sz w:val="22"/>
        </w:rPr>
        <w:t xml:space="preserve"> Posteriormente</w:t>
      </w:r>
      <w:r w:rsidR="00F06226">
        <w:rPr>
          <w:bCs/>
          <w:sz w:val="22"/>
        </w:rPr>
        <w:t>,</w:t>
      </w:r>
      <w:r w:rsidR="000F3AF1">
        <w:rPr>
          <w:bCs/>
          <w:sz w:val="22"/>
        </w:rPr>
        <w:t xml:space="preserve"> mediante las circulares CREG 055 y 066 de 2023 se realizaron modificaciones a algunas de las fechas establecidas inicialmente, tomando en consideración </w:t>
      </w:r>
      <w:r w:rsidR="00F06226">
        <w:rPr>
          <w:bCs/>
          <w:sz w:val="22"/>
        </w:rPr>
        <w:t xml:space="preserve">el avance y </w:t>
      </w:r>
      <w:r w:rsidR="000F3AF1">
        <w:rPr>
          <w:bCs/>
          <w:sz w:val="22"/>
        </w:rPr>
        <w:t xml:space="preserve">los efectos de la publicación de la Resolución CREG 102 004 de 2023. Dicho cronograma es aplicable a las fuentes de </w:t>
      </w:r>
      <w:r w:rsidR="000F3AF1">
        <w:rPr>
          <w:bCs/>
          <w:sz w:val="22"/>
        </w:rPr>
        <w:lastRenderedPageBreak/>
        <w:t>suministro sobre las que no se pueden hacer negociaciones en cualquier momento del año</w:t>
      </w:r>
      <w:r w:rsidR="00F06226">
        <w:rPr>
          <w:bCs/>
          <w:sz w:val="22"/>
        </w:rPr>
        <w:t>,</w:t>
      </w:r>
      <w:r w:rsidR="000F3AF1">
        <w:rPr>
          <w:bCs/>
          <w:sz w:val="22"/>
        </w:rPr>
        <w:t xml:space="preserve"> de acuerdo con lo contemplado en los Artículos 19 y 20 de la Resolución CREG 186 de 2020.</w:t>
      </w:r>
    </w:p>
    <w:p w14:paraId="74C7DCBE" w14:textId="77777777" w:rsidR="000F3AF1" w:rsidRDefault="000F3AF1" w:rsidP="00CF75E0">
      <w:pPr>
        <w:jc w:val="left"/>
        <w:rPr>
          <w:bCs/>
          <w:sz w:val="22"/>
        </w:rPr>
      </w:pPr>
    </w:p>
    <w:p w14:paraId="446FF863" w14:textId="0E42570D" w:rsidR="00F06226" w:rsidRDefault="00F06226" w:rsidP="00CF75E0">
      <w:pPr>
        <w:jc w:val="left"/>
        <w:rPr>
          <w:bCs/>
          <w:sz w:val="22"/>
        </w:rPr>
      </w:pPr>
      <w:r>
        <w:rPr>
          <w:bCs/>
          <w:sz w:val="22"/>
        </w:rPr>
        <w:t xml:space="preserve">En el cronograma vigente los contratos suscritos por los agentes del </w:t>
      </w:r>
      <w:r w:rsidR="004B170D">
        <w:rPr>
          <w:bCs/>
          <w:sz w:val="22"/>
        </w:rPr>
        <w:t>Mercado</w:t>
      </w:r>
      <w:r>
        <w:rPr>
          <w:bCs/>
          <w:sz w:val="22"/>
        </w:rPr>
        <w:t xml:space="preserve"> </w:t>
      </w:r>
      <w:r w:rsidR="004B170D">
        <w:rPr>
          <w:bCs/>
          <w:sz w:val="22"/>
        </w:rPr>
        <w:t>Primario</w:t>
      </w:r>
      <w:r>
        <w:rPr>
          <w:bCs/>
          <w:sz w:val="22"/>
        </w:rPr>
        <w:t xml:space="preserve"> mediante el mecanismo de negociaciones directas tenían el 15 de septiembre de 2023 como plazo máximo de registro</w:t>
      </w:r>
      <w:r w:rsidR="00934DB3">
        <w:rPr>
          <w:bCs/>
          <w:sz w:val="22"/>
        </w:rPr>
        <w:t xml:space="preserve"> de los contratos suscritos </w:t>
      </w:r>
      <w:r>
        <w:rPr>
          <w:bCs/>
          <w:sz w:val="22"/>
        </w:rPr>
        <w:t xml:space="preserve">ante el Gestor del </w:t>
      </w:r>
      <w:r w:rsidR="004B170D">
        <w:rPr>
          <w:bCs/>
          <w:sz w:val="22"/>
        </w:rPr>
        <w:t>Mercado</w:t>
      </w:r>
      <w:r>
        <w:rPr>
          <w:bCs/>
          <w:sz w:val="22"/>
        </w:rPr>
        <w:t>.</w:t>
      </w:r>
      <w:r w:rsidR="00934DB3">
        <w:rPr>
          <w:bCs/>
          <w:sz w:val="22"/>
        </w:rPr>
        <w:t xml:space="preserve"> Una vez terminadas dichas negociaciones y en caso de que haya aún cantidades de gas disponibles para la venta en firme, se procede con el mecanismo de reserva de cantidades a usuarios regulados y posteriormente se desarrollan las subastas de los productos C1 y C2, que tiene duración de un (1) año, entre 1 de diciembre y 30 de noviembre del siguiente año. </w:t>
      </w:r>
    </w:p>
    <w:p w14:paraId="7C393265" w14:textId="77777777" w:rsidR="00F06226" w:rsidRDefault="00F06226" w:rsidP="00CF75E0">
      <w:pPr>
        <w:jc w:val="left"/>
        <w:rPr>
          <w:bCs/>
          <w:sz w:val="22"/>
        </w:rPr>
      </w:pPr>
    </w:p>
    <w:p w14:paraId="4CC88EFB" w14:textId="65830D86" w:rsidR="00934DB3" w:rsidRDefault="00934DB3" w:rsidP="00CF75E0">
      <w:pPr>
        <w:jc w:val="left"/>
        <w:rPr>
          <w:bCs/>
          <w:sz w:val="22"/>
        </w:rPr>
      </w:pPr>
      <w:r>
        <w:rPr>
          <w:bCs/>
          <w:sz w:val="22"/>
        </w:rPr>
        <w:t xml:space="preserve">Las cantidades aún disponible para la contratación de tipo firme, que no puedan ser garantizadas para un año de duración como mínimo, pueden ser negociadas posteriormente, mediante el mecanismo de subastas de contratos firmes bimestrales. </w:t>
      </w:r>
      <w:r w:rsidR="00EF5749">
        <w:rPr>
          <w:bCs/>
          <w:sz w:val="22"/>
        </w:rPr>
        <w:t xml:space="preserve">Este es el único mecanismo establecido por la CREG para la negociación de contratos de tipo firme cuando el suministro de gas se garantiza por menor plazo a un año de gas. </w:t>
      </w:r>
    </w:p>
    <w:p w14:paraId="040B66E9" w14:textId="77777777" w:rsidR="00EF5749" w:rsidRDefault="00EF5749" w:rsidP="00CF75E0">
      <w:pPr>
        <w:jc w:val="left"/>
        <w:rPr>
          <w:bCs/>
          <w:sz w:val="22"/>
        </w:rPr>
      </w:pPr>
    </w:p>
    <w:p w14:paraId="3E2FB1A4" w14:textId="35834FD2" w:rsidR="00EF5749" w:rsidRDefault="00EF5749" w:rsidP="00CF75E0">
      <w:pPr>
        <w:jc w:val="left"/>
        <w:rPr>
          <w:bCs/>
          <w:sz w:val="22"/>
        </w:rPr>
      </w:pPr>
      <w:r>
        <w:rPr>
          <w:bCs/>
          <w:sz w:val="22"/>
        </w:rPr>
        <w:t>En cuanto al suministro de gas de tipo interrumpible, para el que la CREG ha establecido la modalidad de “</w:t>
      </w:r>
      <w:r w:rsidRPr="00EF5749">
        <w:rPr>
          <w:bCs/>
          <w:i/>
          <w:iCs/>
          <w:sz w:val="22"/>
        </w:rPr>
        <w:t>contrato con interrupciones</w:t>
      </w:r>
      <w:r>
        <w:rPr>
          <w:bCs/>
          <w:sz w:val="22"/>
        </w:rPr>
        <w:t xml:space="preserve">” tanto en el </w:t>
      </w:r>
      <w:r w:rsidR="004B170D">
        <w:rPr>
          <w:bCs/>
          <w:sz w:val="22"/>
        </w:rPr>
        <w:t>Mercado</w:t>
      </w:r>
      <w:r>
        <w:rPr>
          <w:bCs/>
          <w:sz w:val="22"/>
        </w:rPr>
        <w:t xml:space="preserve"> </w:t>
      </w:r>
      <w:r w:rsidR="004B170D">
        <w:rPr>
          <w:bCs/>
          <w:sz w:val="22"/>
        </w:rPr>
        <w:t>Primario</w:t>
      </w:r>
      <w:r>
        <w:rPr>
          <w:bCs/>
          <w:sz w:val="22"/>
        </w:rPr>
        <w:t xml:space="preserve"> como en el </w:t>
      </w:r>
      <w:r w:rsidR="004B170D">
        <w:rPr>
          <w:bCs/>
          <w:sz w:val="22"/>
        </w:rPr>
        <w:t>Mercado</w:t>
      </w:r>
      <w:r>
        <w:rPr>
          <w:bCs/>
          <w:sz w:val="22"/>
        </w:rPr>
        <w:t xml:space="preserve"> </w:t>
      </w:r>
      <w:r w:rsidR="004B170D">
        <w:rPr>
          <w:bCs/>
          <w:sz w:val="22"/>
        </w:rPr>
        <w:t>Secundario</w:t>
      </w:r>
      <w:r>
        <w:rPr>
          <w:bCs/>
          <w:sz w:val="22"/>
        </w:rPr>
        <w:t xml:space="preserve">, se han establecido dos mecanismos de comercialización: </w:t>
      </w:r>
      <w:r w:rsidR="00942CF3">
        <w:rPr>
          <w:bCs/>
          <w:sz w:val="22"/>
        </w:rPr>
        <w:t>i.) E</w:t>
      </w:r>
      <w:r>
        <w:rPr>
          <w:bCs/>
          <w:sz w:val="22"/>
        </w:rPr>
        <w:t>l mecanismo de subasta mensual</w:t>
      </w:r>
      <w:r w:rsidR="00942CF3">
        <w:rPr>
          <w:bCs/>
          <w:sz w:val="22"/>
        </w:rPr>
        <w:t>,</w:t>
      </w:r>
      <w:r>
        <w:rPr>
          <w:bCs/>
          <w:sz w:val="22"/>
        </w:rPr>
        <w:t xml:space="preserve"> de tipo “</w:t>
      </w:r>
      <w:r w:rsidRPr="00EF5749">
        <w:rPr>
          <w:bCs/>
          <w:i/>
          <w:iCs/>
          <w:sz w:val="22"/>
        </w:rPr>
        <w:t>sobre cerrado</w:t>
      </w:r>
      <w:r>
        <w:rPr>
          <w:bCs/>
          <w:sz w:val="22"/>
        </w:rPr>
        <w:t>”</w:t>
      </w:r>
      <w:r w:rsidR="00CA272C">
        <w:rPr>
          <w:bCs/>
          <w:sz w:val="22"/>
        </w:rPr>
        <w:t>,</w:t>
      </w:r>
      <w:r w:rsidR="00942CF3">
        <w:rPr>
          <w:bCs/>
          <w:sz w:val="22"/>
        </w:rPr>
        <w:t xml:space="preserve"> que aplica como único mecanismo de contratación </w:t>
      </w:r>
      <w:r w:rsidR="00CA272C">
        <w:rPr>
          <w:bCs/>
          <w:sz w:val="22"/>
        </w:rPr>
        <w:t xml:space="preserve">con duración de un mes </w:t>
      </w:r>
      <w:r w:rsidR="00942CF3">
        <w:rPr>
          <w:bCs/>
          <w:sz w:val="22"/>
        </w:rPr>
        <w:t>para las fuentes de suministro que obligatoriamente deben aplicar los mecanismos de comercialización establecidos por la CREG y para los usuarios no regulados,</w:t>
      </w:r>
      <w:r>
        <w:rPr>
          <w:bCs/>
          <w:sz w:val="22"/>
        </w:rPr>
        <w:t xml:space="preserve"> </w:t>
      </w:r>
      <w:r w:rsidR="00942CF3">
        <w:rPr>
          <w:bCs/>
          <w:sz w:val="22"/>
        </w:rPr>
        <w:t xml:space="preserve">en la que pueden participar también como oferentes los agentes que representan las demás fuentes de suministro y los vendedores del </w:t>
      </w:r>
      <w:r w:rsidR="004B170D">
        <w:rPr>
          <w:bCs/>
          <w:sz w:val="22"/>
        </w:rPr>
        <w:t>Mercado</w:t>
      </w:r>
      <w:r w:rsidR="00942CF3">
        <w:rPr>
          <w:bCs/>
          <w:sz w:val="22"/>
        </w:rPr>
        <w:t xml:space="preserve"> </w:t>
      </w:r>
      <w:r w:rsidR="004B170D">
        <w:rPr>
          <w:bCs/>
          <w:sz w:val="22"/>
        </w:rPr>
        <w:t>Secundario</w:t>
      </w:r>
      <w:r w:rsidR="00942CF3">
        <w:rPr>
          <w:bCs/>
          <w:sz w:val="22"/>
        </w:rPr>
        <w:t>; y, ii.) El mecanismo de negociaciones directas</w:t>
      </w:r>
      <w:r w:rsidR="00CA272C">
        <w:rPr>
          <w:bCs/>
          <w:sz w:val="22"/>
        </w:rPr>
        <w:t xml:space="preserve"> en el que pueden participar como oferentes los vendedores del </w:t>
      </w:r>
      <w:r w:rsidR="004B170D">
        <w:rPr>
          <w:bCs/>
          <w:sz w:val="22"/>
        </w:rPr>
        <w:t>Mercado</w:t>
      </w:r>
      <w:r w:rsidR="00CA272C">
        <w:rPr>
          <w:bCs/>
          <w:sz w:val="22"/>
        </w:rPr>
        <w:t xml:space="preserve"> </w:t>
      </w:r>
      <w:r w:rsidR="004B170D">
        <w:rPr>
          <w:bCs/>
          <w:sz w:val="22"/>
        </w:rPr>
        <w:t>Secundario</w:t>
      </w:r>
      <w:r w:rsidR="00CA272C">
        <w:rPr>
          <w:bCs/>
          <w:sz w:val="22"/>
        </w:rPr>
        <w:t xml:space="preserve"> (excepto los usuarios no regulados) y los agentes que representan los </w:t>
      </w:r>
      <w:r w:rsidR="00CA272C" w:rsidRPr="00CA272C">
        <w:rPr>
          <w:bCs/>
          <w:sz w:val="22"/>
        </w:rPr>
        <w:t>campos que se encuentren en pruebas extensas o sobre los cuales no se haya declarado su comercialidad, de campos menores o de yacimientos no convencionales</w:t>
      </w:r>
      <w:r w:rsidR="00CA272C">
        <w:rPr>
          <w:bCs/>
          <w:sz w:val="22"/>
        </w:rPr>
        <w:t>. En este segundo mecanismo también pueden negociar l</w:t>
      </w:r>
      <w:r w:rsidR="00CA272C" w:rsidRPr="00CA272C">
        <w:rPr>
          <w:bCs/>
          <w:sz w:val="22"/>
        </w:rPr>
        <w:t xml:space="preserve">os Comercializadores de gas importado con los generadores térmicos, </w:t>
      </w:r>
      <w:r w:rsidR="00CA272C">
        <w:rPr>
          <w:bCs/>
          <w:sz w:val="22"/>
        </w:rPr>
        <w:t xml:space="preserve">con </w:t>
      </w:r>
      <w:r w:rsidR="00CA272C" w:rsidRPr="00CA272C">
        <w:rPr>
          <w:bCs/>
          <w:sz w:val="22"/>
        </w:rPr>
        <w:t xml:space="preserve">duración mensual con destino a la atención de la demanda de generadores termoeléctricos. </w:t>
      </w:r>
      <w:r w:rsidR="00CA272C">
        <w:rPr>
          <w:bCs/>
          <w:sz w:val="22"/>
        </w:rPr>
        <w:t xml:space="preserve">  </w:t>
      </w:r>
      <w:r w:rsidR="00942CF3">
        <w:rPr>
          <w:bCs/>
          <w:sz w:val="22"/>
        </w:rPr>
        <w:t xml:space="preserve">  </w:t>
      </w:r>
      <w:r>
        <w:rPr>
          <w:bCs/>
          <w:sz w:val="22"/>
        </w:rPr>
        <w:t xml:space="preserve"> </w:t>
      </w:r>
    </w:p>
    <w:p w14:paraId="46910E65" w14:textId="77777777" w:rsidR="00934DB3" w:rsidRDefault="00934DB3" w:rsidP="00CF75E0">
      <w:pPr>
        <w:jc w:val="left"/>
        <w:rPr>
          <w:bCs/>
          <w:sz w:val="22"/>
        </w:rPr>
      </w:pPr>
    </w:p>
    <w:p w14:paraId="5FE34514" w14:textId="74B0AA8F" w:rsidR="00C538B7" w:rsidRDefault="00CA272C" w:rsidP="00CF75E0">
      <w:pPr>
        <w:jc w:val="left"/>
        <w:rPr>
          <w:bCs/>
          <w:sz w:val="22"/>
        </w:rPr>
      </w:pPr>
      <w:r>
        <w:rPr>
          <w:bCs/>
          <w:sz w:val="22"/>
        </w:rPr>
        <w:t>Con base en las declaraciones de producción publicadas el 31 de mayo de 2023 por el Ministerio de Minas y Energía se obtuvo el siguiente balance de PTDV</w:t>
      </w:r>
      <w:r w:rsidR="0042305D">
        <w:rPr>
          <w:bCs/>
          <w:sz w:val="22"/>
        </w:rPr>
        <w:t xml:space="preserve"> </w:t>
      </w:r>
      <w:r w:rsidR="0042305D" w:rsidRPr="0042305D">
        <w:rPr>
          <w:bCs/>
          <w:sz w:val="22"/>
          <w:szCs w:val="22"/>
        </w:rPr>
        <w:t xml:space="preserve">en la </w:t>
      </w:r>
      <w:r w:rsidR="0042305D" w:rsidRPr="0042305D">
        <w:rPr>
          <w:bCs/>
          <w:sz w:val="22"/>
          <w:szCs w:val="22"/>
        </w:rPr>
        <w:fldChar w:fldCharType="begin"/>
      </w:r>
      <w:r w:rsidR="0042305D" w:rsidRPr="0042305D">
        <w:rPr>
          <w:bCs/>
          <w:sz w:val="22"/>
          <w:szCs w:val="22"/>
        </w:rPr>
        <w:instrText xml:space="preserve"> REF _Ref146290567 \h  \* MERGEFORMAT </w:instrText>
      </w:r>
      <w:r w:rsidR="0042305D" w:rsidRPr="0042305D">
        <w:rPr>
          <w:bCs/>
          <w:sz w:val="22"/>
          <w:szCs w:val="22"/>
        </w:rPr>
      </w:r>
      <w:r w:rsidR="0042305D" w:rsidRPr="0042305D">
        <w:rPr>
          <w:bCs/>
          <w:sz w:val="22"/>
          <w:szCs w:val="22"/>
        </w:rPr>
        <w:fldChar w:fldCharType="separate"/>
      </w:r>
      <w:r w:rsidR="0027336D" w:rsidRPr="0027336D">
        <w:rPr>
          <w:sz w:val="22"/>
          <w:szCs w:val="22"/>
        </w:rPr>
        <w:t xml:space="preserve">Ilustración </w:t>
      </w:r>
      <w:r w:rsidR="0027336D" w:rsidRPr="0027336D">
        <w:rPr>
          <w:noProof/>
          <w:sz w:val="22"/>
          <w:szCs w:val="22"/>
        </w:rPr>
        <w:t>1</w:t>
      </w:r>
      <w:r w:rsidR="0042305D" w:rsidRPr="0042305D">
        <w:rPr>
          <w:bCs/>
          <w:sz w:val="22"/>
          <w:szCs w:val="22"/>
        </w:rPr>
        <w:fldChar w:fldCharType="end"/>
      </w:r>
      <w:r w:rsidRPr="0042305D">
        <w:rPr>
          <w:bCs/>
          <w:sz w:val="22"/>
          <w:szCs w:val="22"/>
        </w:rPr>
        <w:t>, que</w:t>
      </w:r>
      <w:r>
        <w:rPr>
          <w:bCs/>
          <w:sz w:val="22"/>
        </w:rPr>
        <w:t xml:space="preserve"> muestra que la mayor cantidad de potencial de oferta disponible para la venta se presenta en las fuentes de suministro que pueden negociar de manera directa en cualquier momento del año y que no están sujetas al cronograma publicado por la CREG ni a los mecanismos establecidos en dicho cronograma, como se muestra en la tabla siguiente. </w:t>
      </w:r>
      <w:r w:rsidR="00BC26AF">
        <w:rPr>
          <w:bCs/>
          <w:sz w:val="22"/>
        </w:rPr>
        <w:t>Esto es importante tenerlo en consideración en cuanto a la gran flexibilidad que se presenta para la contratación de estas fuentes y la gran participación que tienen en la actual oferta.</w:t>
      </w:r>
    </w:p>
    <w:p w14:paraId="2C7FB5C3" w14:textId="77777777" w:rsidR="00CA272C" w:rsidRDefault="00CA272C" w:rsidP="00CF75E0">
      <w:pPr>
        <w:jc w:val="left"/>
        <w:rPr>
          <w:bCs/>
          <w:sz w:val="22"/>
        </w:rPr>
      </w:pPr>
    </w:p>
    <w:p w14:paraId="66CD7BF1" w14:textId="7DE4DA20" w:rsidR="0042305D" w:rsidRPr="0042305D" w:rsidRDefault="0042305D" w:rsidP="00CF75E0">
      <w:pPr>
        <w:pStyle w:val="Descripcin"/>
        <w:keepNext/>
        <w:jc w:val="left"/>
        <w:rPr>
          <w:i w:val="0"/>
          <w:iCs w:val="0"/>
        </w:rPr>
      </w:pPr>
      <w:bookmarkStart w:id="11" w:name="_Ref146290567"/>
      <w:bookmarkStart w:id="12" w:name="_Toc149302163"/>
      <w:r w:rsidRPr="0042305D">
        <w:rPr>
          <w:i w:val="0"/>
          <w:iCs w:val="0"/>
        </w:rPr>
        <w:lastRenderedPageBreak/>
        <w:t xml:space="preserve">Ilustración </w:t>
      </w:r>
      <w:r w:rsidRPr="0042305D">
        <w:rPr>
          <w:i w:val="0"/>
          <w:iCs w:val="0"/>
        </w:rPr>
        <w:fldChar w:fldCharType="begin"/>
      </w:r>
      <w:r w:rsidRPr="0042305D">
        <w:rPr>
          <w:i w:val="0"/>
          <w:iCs w:val="0"/>
        </w:rPr>
        <w:instrText xml:space="preserve"> SEQ Ilustración \* ARABIC </w:instrText>
      </w:r>
      <w:r w:rsidRPr="0042305D">
        <w:rPr>
          <w:i w:val="0"/>
          <w:iCs w:val="0"/>
        </w:rPr>
        <w:fldChar w:fldCharType="separate"/>
      </w:r>
      <w:r w:rsidR="0027336D">
        <w:rPr>
          <w:i w:val="0"/>
          <w:iCs w:val="0"/>
          <w:noProof/>
        </w:rPr>
        <w:t>1</w:t>
      </w:r>
      <w:r w:rsidRPr="0042305D">
        <w:rPr>
          <w:i w:val="0"/>
          <w:iCs w:val="0"/>
        </w:rPr>
        <w:fldChar w:fldCharType="end"/>
      </w:r>
      <w:bookmarkEnd w:id="11"/>
      <w:r w:rsidRPr="0042305D">
        <w:rPr>
          <w:i w:val="0"/>
          <w:iCs w:val="0"/>
        </w:rPr>
        <w:t xml:space="preserve"> PTDV publicada a 31 de mayo de 2023 por tipo de fuente de suministro</w:t>
      </w:r>
      <w:bookmarkEnd w:id="12"/>
    </w:p>
    <w:p w14:paraId="5C4D89BC" w14:textId="3C8FE86D" w:rsidR="00C538B7" w:rsidRDefault="00C538B7" w:rsidP="00CF75E0">
      <w:pPr>
        <w:jc w:val="left"/>
        <w:rPr>
          <w:bCs/>
          <w:sz w:val="22"/>
        </w:rPr>
      </w:pPr>
      <w:r>
        <w:rPr>
          <w:bCs/>
          <w:noProof/>
          <w:sz w:val="22"/>
        </w:rPr>
        <w:drawing>
          <wp:inline distT="0" distB="0" distL="0" distR="0" wp14:anchorId="0D0EC082" wp14:editId="53FA18A2">
            <wp:extent cx="5972810" cy="2190750"/>
            <wp:effectExtent l="0" t="0" r="8890" b="0"/>
            <wp:docPr id="2102812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2190750"/>
                    </a:xfrm>
                    <a:prstGeom prst="rect">
                      <a:avLst/>
                    </a:prstGeom>
                    <a:noFill/>
                    <a:ln>
                      <a:noFill/>
                    </a:ln>
                  </pic:spPr>
                </pic:pic>
              </a:graphicData>
            </a:graphic>
          </wp:inline>
        </w:drawing>
      </w:r>
    </w:p>
    <w:p w14:paraId="033E9DF8" w14:textId="77777777" w:rsidR="000F3AF1" w:rsidRPr="00DE4354" w:rsidRDefault="000F3AF1" w:rsidP="00CF75E0">
      <w:pPr>
        <w:jc w:val="left"/>
        <w:rPr>
          <w:rFonts w:cs="Arial"/>
          <w:sz w:val="22"/>
          <w:szCs w:val="22"/>
        </w:rPr>
      </w:pPr>
    </w:p>
    <w:p w14:paraId="34BEAC6E" w14:textId="77777777" w:rsidR="00DE4354" w:rsidRPr="00DE4354" w:rsidRDefault="00DE4354" w:rsidP="00DE4354">
      <w:pPr>
        <w:ind w:left="142" w:right="142"/>
        <w:rPr>
          <w:rFonts w:cs="Arial"/>
          <w:sz w:val="22"/>
          <w:szCs w:val="22"/>
        </w:rPr>
      </w:pPr>
      <w:r w:rsidRPr="00DE4354">
        <w:rPr>
          <w:rFonts w:cs="Arial"/>
          <w:sz w:val="22"/>
          <w:szCs w:val="22"/>
        </w:rPr>
        <w:t>Según ha publicado el IDEAM en la publicación “</w:t>
      </w:r>
      <w:r w:rsidRPr="00DE4354">
        <w:rPr>
          <w:rFonts w:cs="Arial"/>
          <w:i/>
          <w:iCs/>
          <w:sz w:val="22"/>
          <w:szCs w:val="22"/>
        </w:rPr>
        <w:t>SEGUIMIENTO AL CINCLO ENOS El Niño – Oscilación del Sur Boletín No. 181</w:t>
      </w:r>
      <w:r w:rsidRPr="00DE4354">
        <w:rPr>
          <w:rFonts w:cs="Arial"/>
          <w:sz w:val="22"/>
          <w:szCs w:val="22"/>
        </w:rPr>
        <w:t>”, “</w:t>
      </w:r>
      <w:r w:rsidRPr="00DE4354">
        <w:rPr>
          <w:rFonts w:cs="Arial"/>
          <w:i/>
          <w:iCs/>
          <w:sz w:val="22"/>
          <w:szCs w:val="22"/>
        </w:rPr>
        <w:t>Los diferentes estudios realizados por el IDEAM han permitido establecer que el impacto de El Niño en Colombia, se refleja en un déficit significativo de las precipitaciones, así como en un aumento importante de la temperatura del aire, especialmente en sectores de las regiones Caribe, Andina y Pacífica. Cabe destacar, que la alteración del régimen de lluvias por la ocurrencia de estos fenómenos no sigue un patrón común; por el contrario, es diferencial a lo largo y ancho del territorio nacional</w:t>
      </w:r>
      <w:r w:rsidRPr="00DE4354">
        <w:rPr>
          <w:rFonts w:cs="Arial"/>
          <w:sz w:val="22"/>
          <w:szCs w:val="22"/>
        </w:rPr>
        <w:t>”.</w:t>
      </w:r>
    </w:p>
    <w:p w14:paraId="11E9DA1F" w14:textId="77777777" w:rsidR="00DE4354" w:rsidRPr="00DE4354" w:rsidRDefault="00DE4354" w:rsidP="00DE4354">
      <w:pPr>
        <w:ind w:left="142" w:right="142"/>
        <w:rPr>
          <w:rFonts w:cs="Arial"/>
          <w:sz w:val="22"/>
          <w:szCs w:val="22"/>
        </w:rPr>
      </w:pPr>
    </w:p>
    <w:p w14:paraId="2ED88208" w14:textId="12CC51FE" w:rsidR="00A8611C" w:rsidRPr="00A8611C" w:rsidRDefault="00A8611C" w:rsidP="00A8611C">
      <w:pPr>
        <w:ind w:left="142" w:right="142"/>
        <w:jc w:val="left"/>
        <w:rPr>
          <w:rFonts w:cs="Arial"/>
          <w:sz w:val="22"/>
          <w:szCs w:val="22"/>
        </w:rPr>
      </w:pPr>
      <w:r w:rsidRPr="00A8611C">
        <w:rPr>
          <w:rFonts w:cs="Arial"/>
          <w:sz w:val="22"/>
          <w:szCs w:val="22"/>
        </w:rPr>
        <w:t xml:space="preserve">Actualmente, de acuerdo con información más reciente publicada el 15 de abril de 2024 por el Climate Prediction Center / NCEP de los Estados Unidos de América (enlace https://www.cpc.ncep.noaa.gov/products/analysis_monitoring/enso_advisory/ensodisc_Sp.shtml), las anomalías atmosféricas del Pacífico tropical se están debilitando y se espera una transición de El Niño a una Oscilación de El Niño (ENSO por sus siglas en inglés) neutral para el período abril – junio con un 85% de probabilidad. </w:t>
      </w:r>
    </w:p>
    <w:p w14:paraId="43013F7A" w14:textId="77777777" w:rsidR="00A8611C" w:rsidRPr="00A8611C" w:rsidRDefault="00A8611C" w:rsidP="00A8611C">
      <w:pPr>
        <w:ind w:left="142" w:right="142"/>
        <w:jc w:val="left"/>
        <w:rPr>
          <w:rFonts w:cs="Arial"/>
          <w:sz w:val="22"/>
          <w:szCs w:val="22"/>
        </w:rPr>
      </w:pPr>
    </w:p>
    <w:p w14:paraId="6B9C2D4B" w14:textId="60A6EBCC" w:rsidR="00966243" w:rsidRDefault="00966243" w:rsidP="00CF75E0">
      <w:pPr>
        <w:ind w:left="142" w:right="142"/>
        <w:jc w:val="left"/>
        <w:rPr>
          <w:rFonts w:cs="Arial"/>
          <w:sz w:val="22"/>
          <w:szCs w:val="22"/>
        </w:rPr>
      </w:pPr>
      <w:r>
        <w:rPr>
          <w:rFonts w:cs="Arial"/>
          <w:sz w:val="22"/>
          <w:szCs w:val="22"/>
        </w:rPr>
        <w:t xml:space="preserve">Como resultado de la ocurrencia de un Fenómeno de El Niño, se reducen los aportes hídricos utilizados por las centrales de generación hidroeléctrica para su participación en la oferta para el despacho diario de la generación eléctrica en el Sistema Interconectado Nacional, lo que lleva a una mayor participación de las centrales térmicas de generación eléctrica en sustitución parcial de la generación hidroeléctrica. Para ello, las centrales térmicas de generación utilizan principalmente, bien sea combustibles como el gas natural o combustibles líquidos derivados del petróleo. Adicionalmente las centrales térmicas de generación deben considerar en la contratación del combustible a utilizar, la posibilidad de la ejecución de las Obligaciones de Energía Firme cuando les han sido asignadas previamente. Para todo lo anterior, es necesario contar con la mayor disponibilidad del suministro y transporte a los sitios de generación, tanto del gas natural como de los combustibles líquidos, siendo lo normal de que haya despachos de generación eléctrica de muy corto plazo (diario) que no son continuos ni predecibles. </w:t>
      </w:r>
    </w:p>
    <w:p w14:paraId="1206A1EC" w14:textId="77777777" w:rsidR="00A8611C" w:rsidRDefault="00A8611C" w:rsidP="00CF75E0">
      <w:pPr>
        <w:ind w:left="142" w:right="142"/>
        <w:jc w:val="left"/>
        <w:rPr>
          <w:rFonts w:cs="Arial"/>
          <w:sz w:val="22"/>
          <w:szCs w:val="22"/>
        </w:rPr>
      </w:pPr>
    </w:p>
    <w:p w14:paraId="1C5F5476" w14:textId="01FB060B" w:rsidR="00A8611C" w:rsidRDefault="00A8611C" w:rsidP="00A8611C">
      <w:pPr>
        <w:ind w:left="142" w:right="142"/>
        <w:jc w:val="left"/>
        <w:rPr>
          <w:rFonts w:cs="Arial"/>
          <w:sz w:val="22"/>
          <w:szCs w:val="22"/>
        </w:rPr>
      </w:pPr>
      <w:r>
        <w:rPr>
          <w:rFonts w:cs="Arial"/>
          <w:sz w:val="22"/>
          <w:szCs w:val="22"/>
        </w:rPr>
        <w:t>Actualmente</w:t>
      </w:r>
      <w:r w:rsidRPr="00A8611C">
        <w:rPr>
          <w:rFonts w:cs="Arial"/>
          <w:sz w:val="22"/>
          <w:szCs w:val="22"/>
        </w:rPr>
        <w:t xml:space="preserve">, con corte al 16 de abril de 2024 se presenta el menor nivel de las reservas hídricas y la capacidad útil en energía y porcentaje de los embalses del Sistema Interconectado Nacional (SIN) desde que se realiza este tipo de registros, de acuerdo con la publicación que realiza diariamente XM, a través de la página electrónica de Sinergox (sitio </w:t>
      </w:r>
      <w:r w:rsidRPr="00A8611C">
        <w:rPr>
          <w:rFonts w:cs="Arial"/>
          <w:sz w:val="22"/>
          <w:szCs w:val="22"/>
        </w:rPr>
        <w:lastRenderedPageBreak/>
        <w:t>web administrado por XM, que centraliza la información pública del Mercado de Energía Mayorista y la operación del Sistema Interconectado Nacional), con un porcentaje registrado del veintinueve coma cuarenta y seis por ciento (29,46%).</w:t>
      </w:r>
    </w:p>
    <w:p w14:paraId="48310A27" w14:textId="77777777" w:rsidR="00A8611C" w:rsidRDefault="00A8611C" w:rsidP="00CF75E0">
      <w:pPr>
        <w:ind w:left="142" w:right="142"/>
        <w:jc w:val="left"/>
        <w:rPr>
          <w:rFonts w:cs="Arial"/>
          <w:sz w:val="22"/>
          <w:szCs w:val="22"/>
        </w:rPr>
      </w:pPr>
    </w:p>
    <w:p w14:paraId="693D123F" w14:textId="11246459" w:rsidR="00966243" w:rsidRDefault="002E5FE3" w:rsidP="00CF75E0">
      <w:pPr>
        <w:ind w:left="142" w:right="142"/>
        <w:jc w:val="left"/>
        <w:rPr>
          <w:rFonts w:cs="Arial"/>
          <w:sz w:val="22"/>
          <w:szCs w:val="22"/>
        </w:rPr>
      </w:pPr>
      <w:r>
        <w:rPr>
          <w:rFonts w:cs="Arial"/>
          <w:sz w:val="22"/>
          <w:szCs w:val="22"/>
        </w:rPr>
        <w:t>Como resultado del muy bajo nivel de embalse agregado del Sistema Interconectado Nacional, es necesario prever la disponibilidad de la mayor cantidad posible de suministro de gas natural en los meses siguientes, con el fin de facilitar la gestión de recuperación del nivel de embalses, en particular para iniciar la estación de verano que inicia en diciembre de 2024. Para ello se considera necesario mantener las flexibilizaciones de muy corto plazo en las negociaciones de suministro del Mercado Mayorista de suministro de gas natural.</w:t>
      </w:r>
    </w:p>
    <w:p w14:paraId="6E729862" w14:textId="77777777" w:rsidR="002E5FE3" w:rsidRDefault="002E5FE3" w:rsidP="00CF75E0">
      <w:pPr>
        <w:ind w:left="142" w:right="142"/>
        <w:jc w:val="left"/>
        <w:rPr>
          <w:rFonts w:cs="Arial"/>
          <w:sz w:val="22"/>
          <w:szCs w:val="22"/>
        </w:rPr>
      </w:pPr>
    </w:p>
    <w:p w14:paraId="45760036" w14:textId="058B7C0C" w:rsidR="00764CC7" w:rsidRDefault="002E5FE3" w:rsidP="00CF75E0">
      <w:pPr>
        <w:ind w:left="142" w:right="142"/>
        <w:jc w:val="left"/>
        <w:rPr>
          <w:rFonts w:cs="Arial"/>
          <w:sz w:val="22"/>
          <w:szCs w:val="22"/>
        </w:rPr>
      </w:pPr>
      <w:r>
        <w:rPr>
          <w:rFonts w:cs="Arial"/>
          <w:sz w:val="22"/>
          <w:szCs w:val="22"/>
        </w:rPr>
        <w:t>Por otra parte, s</w:t>
      </w:r>
      <w:r w:rsidR="00764CC7" w:rsidRPr="00AA3973">
        <w:rPr>
          <w:rFonts w:cs="Arial"/>
          <w:sz w:val="22"/>
          <w:szCs w:val="22"/>
        </w:rPr>
        <w:t xml:space="preserve">egún informaciones </w:t>
      </w:r>
      <w:r w:rsidR="00764CC7" w:rsidRPr="00764CC7">
        <w:rPr>
          <w:rFonts w:cs="Arial"/>
          <w:sz w:val="22"/>
          <w:szCs w:val="22"/>
        </w:rPr>
        <w:t xml:space="preserve">recibidas </w:t>
      </w:r>
      <w:r w:rsidR="00764CC7" w:rsidRPr="00AA3973">
        <w:rPr>
          <w:rFonts w:cs="Arial"/>
          <w:sz w:val="22"/>
          <w:szCs w:val="22"/>
        </w:rPr>
        <w:t xml:space="preserve">de algunos de los vendedores y compradores </w:t>
      </w:r>
      <w:r w:rsidR="003253FC">
        <w:rPr>
          <w:rFonts w:cs="Arial"/>
          <w:sz w:val="22"/>
          <w:szCs w:val="22"/>
        </w:rPr>
        <w:t xml:space="preserve">del </w:t>
      </w:r>
      <w:r w:rsidR="004B170D">
        <w:rPr>
          <w:rFonts w:cs="Arial"/>
          <w:sz w:val="22"/>
          <w:szCs w:val="22"/>
        </w:rPr>
        <w:t>Mercado</w:t>
      </w:r>
      <w:r w:rsidR="003253FC">
        <w:rPr>
          <w:rFonts w:cs="Arial"/>
          <w:sz w:val="22"/>
          <w:szCs w:val="22"/>
        </w:rPr>
        <w:t xml:space="preserve">  </w:t>
      </w:r>
      <w:r w:rsidR="004B170D">
        <w:rPr>
          <w:rFonts w:cs="Arial"/>
          <w:sz w:val="22"/>
          <w:szCs w:val="22"/>
        </w:rPr>
        <w:t>Mayorista</w:t>
      </w:r>
      <w:r w:rsidR="003253FC">
        <w:rPr>
          <w:rFonts w:cs="Arial"/>
          <w:sz w:val="22"/>
          <w:szCs w:val="22"/>
        </w:rPr>
        <w:t xml:space="preserve"> de suministro de gas natural </w:t>
      </w:r>
      <w:r w:rsidR="00764CC7" w:rsidRPr="00AA3973">
        <w:rPr>
          <w:rFonts w:cs="Arial"/>
          <w:sz w:val="22"/>
          <w:szCs w:val="22"/>
        </w:rPr>
        <w:t xml:space="preserve">en el interior del país y en la región Caribe, la oferta en firme PTDVF </w:t>
      </w:r>
      <w:r w:rsidR="00764CC7" w:rsidRPr="00764CC7">
        <w:rPr>
          <w:rFonts w:cs="Arial"/>
          <w:sz w:val="22"/>
          <w:szCs w:val="22"/>
        </w:rPr>
        <w:t>declarada</w:t>
      </w:r>
      <w:r w:rsidR="00764CC7" w:rsidRPr="00AA3973">
        <w:rPr>
          <w:rFonts w:cs="Arial"/>
          <w:sz w:val="22"/>
          <w:szCs w:val="22"/>
        </w:rPr>
        <w:t xml:space="preserve"> en el mecanismo de negociaciones directas para las fuentes de suministro obligadas a cumplir con los mecanismos de comercialización establecidos por la CREG en las Resoluciones 136 de 2014 y sus modificatorias y </w:t>
      </w:r>
      <w:r w:rsidR="00764CC7" w:rsidRPr="00764CC7">
        <w:rPr>
          <w:rFonts w:cs="Arial"/>
          <w:sz w:val="22"/>
          <w:szCs w:val="22"/>
        </w:rPr>
        <w:t xml:space="preserve">en la Resolución </w:t>
      </w:r>
      <w:r w:rsidR="00764CC7" w:rsidRPr="00AA3973">
        <w:rPr>
          <w:rFonts w:cs="Arial"/>
          <w:sz w:val="22"/>
          <w:szCs w:val="22"/>
        </w:rPr>
        <w:t xml:space="preserve">186 de 2020, no </w:t>
      </w:r>
      <w:r w:rsidR="00764CC7" w:rsidRPr="00764CC7">
        <w:rPr>
          <w:rFonts w:cs="Arial"/>
          <w:sz w:val="22"/>
          <w:szCs w:val="22"/>
        </w:rPr>
        <w:t>es</w:t>
      </w:r>
      <w:r w:rsidR="00764CC7" w:rsidRPr="00AA3973">
        <w:rPr>
          <w:rFonts w:cs="Arial"/>
          <w:sz w:val="22"/>
          <w:szCs w:val="22"/>
        </w:rPr>
        <w:t xml:space="preserve"> suficiente para atender</w:t>
      </w:r>
      <w:r w:rsidR="00A94F19">
        <w:rPr>
          <w:rFonts w:cs="Arial"/>
          <w:sz w:val="22"/>
          <w:szCs w:val="22"/>
        </w:rPr>
        <w:t xml:space="preserve"> en el año de gas entre diciembre 2023 y noviembre 2024,</w:t>
      </w:r>
      <w:r w:rsidR="00764CC7" w:rsidRPr="00AA3973">
        <w:rPr>
          <w:rFonts w:cs="Arial"/>
          <w:sz w:val="22"/>
          <w:szCs w:val="22"/>
        </w:rPr>
        <w:t xml:space="preserve"> la totalidad de las solicitudes de compra de los agentes que representan</w:t>
      </w:r>
      <w:r w:rsidR="00A94F19">
        <w:rPr>
          <w:rFonts w:cs="Arial"/>
          <w:sz w:val="22"/>
          <w:szCs w:val="22"/>
        </w:rPr>
        <w:t xml:space="preserve"> directa o indirectamente</w:t>
      </w:r>
      <w:r w:rsidR="00764CC7" w:rsidRPr="00AA3973">
        <w:rPr>
          <w:rFonts w:cs="Arial"/>
          <w:sz w:val="22"/>
          <w:szCs w:val="22"/>
        </w:rPr>
        <w:t xml:space="preserve"> la demanda, incluyendo la Demanda Esencial.</w:t>
      </w:r>
    </w:p>
    <w:p w14:paraId="44DB339E" w14:textId="77777777" w:rsidR="00BC26AF" w:rsidRDefault="00BC26AF" w:rsidP="00CF75E0">
      <w:pPr>
        <w:ind w:left="142" w:right="142"/>
        <w:jc w:val="left"/>
        <w:rPr>
          <w:rFonts w:cs="Arial"/>
          <w:sz w:val="22"/>
          <w:szCs w:val="22"/>
        </w:rPr>
      </w:pPr>
    </w:p>
    <w:p w14:paraId="52838A39" w14:textId="2C53B6EA" w:rsidR="00BC26AF" w:rsidRDefault="00BC26AF" w:rsidP="00CF75E0">
      <w:pPr>
        <w:ind w:left="142" w:right="142"/>
        <w:jc w:val="left"/>
        <w:rPr>
          <w:rFonts w:cs="Arial"/>
          <w:sz w:val="22"/>
          <w:szCs w:val="22"/>
        </w:rPr>
      </w:pPr>
      <w:r>
        <w:rPr>
          <w:rFonts w:cs="Arial"/>
          <w:sz w:val="22"/>
          <w:szCs w:val="22"/>
        </w:rPr>
        <w:t>Cuando se observa la comparación de la energía facturada a los usuarios regulados de tipo residencial y de tipo comercial (pequeños usuarios comerciales) por cada empresa comercializadora</w:t>
      </w:r>
      <w:r w:rsidR="0042305D">
        <w:rPr>
          <w:rFonts w:cs="Arial"/>
          <w:sz w:val="22"/>
          <w:szCs w:val="22"/>
        </w:rPr>
        <w:t xml:space="preserve"> en </w:t>
      </w:r>
      <w:r w:rsidR="0042305D" w:rsidRPr="0042305D">
        <w:rPr>
          <w:rFonts w:cs="Arial"/>
          <w:sz w:val="22"/>
          <w:szCs w:val="22"/>
        </w:rPr>
        <w:t xml:space="preserve">la </w:t>
      </w:r>
      <w:r w:rsidR="0042305D" w:rsidRPr="0042305D">
        <w:rPr>
          <w:rFonts w:cs="Arial"/>
          <w:sz w:val="22"/>
          <w:szCs w:val="22"/>
        </w:rPr>
        <w:fldChar w:fldCharType="begin"/>
      </w:r>
      <w:r w:rsidR="0042305D" w:rsidRPr="0042305D">
        <w:rPr>
          <w:rFonts w:cs="Arial"/>
          <w:sz w:val="22"/>
          <w:szCs w:val="22"/>
        </w:rPr>
        <w:instrText xml:space="preserve"> REF _Ref146290462 \h  \* MERGEFORMAT </w:instrText>
      </w:r>
      <w:r w:rsidR="0042305D" w:rsidRPr="0042305D">
        <w:rPr>
          <w:rFonts w:cs="Arial"/>
          <w:sz w:val="22"/>
          <w:szCs w:val="22"/>
        </w:rPr>
      </w:r>
      <w:r w:rsidR="0042305D" w:rsidRPr="0042305D">
        <w:rPr>
          <w:rFonts w:cs="Arial"/>
          <w:sz w:val="22"/>
          <w:szCs w:val="22"/>
        </w:rPr>
        <w:fldChar w:fldCharType="separate"/>
      </w:r>
      <w:r w:rsidR="0027336D" w:rsidRPr="0027336D">
        <w:rPr>
          <w:sz w:val="22"/>
          <w:szCs w:val="22"/>
        </w:rPr>
        <w:t xml:space="preserve">Ilustración </w:t>
      </w:r>
      <w:r w:rsidR="0027336D" w:rsidRPr="0027336D">
        <w:rPr>
          <w:noProof/>
          <w:sz w:val="22"/>
          <w:szCs w:val="22"/>
        </w:rPr>
        <w:t>2</w:t>
      </w:r>
      <w:r w:rsidR="0042305D" w:rsidRPr="0042305D">
        <w:rPr>
          <w:rFonts w:cs="Arial"/>
          <w:sz w:val="22"/>
          <w:szCs w:val="22"/>
        </w:rPr>
        <w:fldChar w:fldCharType="end"/>
      </w:r>
      <w:r w:rsidRPr="0042305D">
        <w:rPr>
          <w:rFonts w:cs="Arial"/>
          <w:sz w:val="22"/>
          <w:szCs w:val="22"/>
        </w:rPr>
        <w:t>, según</w:t>
      </w:r>
      <w:r>
        <w:rPr>
          <w:rFonts w:cs="Arial"/>
          <w:sz w:val="22"/>
          <w:szCs w:val="22"/>
        </w:rPr>
        <w:t xml:space="preserve"> los datos obtenidos del Sistema Único de Información – SUI para el año 2022, con el que se cuenta con toda la información del año y la información de cantidades contratadas de tipo firme con corte a 19 de septiembre de 2023</w:t>
      </w:r>
      <w:r w:rsidR="00B202FC">
        <w:rPr>
          <w:rFonts w:cs="Arial"/>
          <w:sz w:val="22"/>
          <w:szCs w:val="22"/>
        </w:rPr>
        <w:t>, después de terminadas las negociaciones directas del cronograma de la CREG</w:t>
      </w:r>
      <w:r>
        <w:rPr>
          <w:rFonts w:cs="Arial"/>
          <w:sz w:val="22"/>
          <w:szCs w:val="22"/>
        </w:rPr>
        <w:t xml:space="preserve">, incluyendo lo que se registra con la modalidad “Otras” que en algunos pocos casos contiene contratos que corresponden realmente a contratos de tipo interrumpible, se observa que las cantidades totales </w:t>
      </w:r>
      <w:r w:rsidR="00623873">
        <w:rPr>
          <w:rFonts w:cs="Arial"/>
          <w:sz w:val="22"/>
          <w:szCs w:val="22"/>
        </w:rPr>
        <w:t xml:space="preserve">de tipo firme </w:t>
      </w:r>
      <w:r>
        <w:rPr>
          <w:rFonts w:cs="Arial"/>
          <w:sz w:val="22"/>
          <w:szCs w:val="22"/>
        </w:rPr>
        <w:t xml:space="preserve">registradas al Gestor del </w:t>
      </w:r>
      <w:r w:rsidR="004B170D">
        <w:rPr>
          <w:rFonts w:cs="Arial"/>
          <w:sz w:val="22"/>
          <w:szCs w:val="22"/>
        </w:rPr>
        <w:t>Mercado</w:t>
      </w:r>
      <w:r>
        <w:rPr>
          <w:rFonts w:cs="Arial"/>
          <w:sz w:val="22"/>
          <w:szCs w:val="22"/>
        </w:rPr>
        <w:t xml:space="preserve"> con destino </w:t>
      </w:r>
      <w:r w:rsidR="00B202FC">
        <w:rPr>
          <w:rFonts w:cs="Arial"/>
          <w:sz w:val="22"/>
          <w:szCs w:val="22"/>
        </w:rPr>
        <w:t xml:space="preserve">a partir de 1 de diciembre de 2023 </w:t>
      </w:r>
      <w:r>
        <w:rPr>
          <w:rFonts w:cs="Arial"/>
          <w:sz w:val="22"/>
          <w:szCs w:val="22"/>
        </w:rPr>
        <w:t>a la demanda residencial (231,9 GBTUD) y a la demanda regulada comercial (44,5 GBTUD) superan las cantidades máximas registradas en el SUI para el año 2022, tanto para el sector residencial (173 GBTUD</w:t>
      </w:r>
      <w:r w:rsidR="00B202FC">
        <w:rPr>
          <w:rFonts w:cs="Arial"/>
          <w:sz w:val="22"/>
          <w:szCs w:val="22"/>
        </w:rPr>
        <w:t>) en más de un 34%,</w:t>
      </w:r>
      <w:r>
        <w:rPr>
          <w:rFonts w:cs="Arial"/>
          <w:sz w:val="22"/>
          <w:szCs w:val="22"/>
        </w:rPr>
        <w:t xml:space="preserve"> como para el sector comercial</w:t>
      </w:r>
      <w:r>
        <w:rPr>
          <w:rStyle w:val="Refdenotaalpie"/>
          <w:rFonts w:cs="Arial"/>
          <w:sz w:val="22"/>
          <w:szCs w:val="22"/>
        </w:rPr>
        <w:footnoteReference w:id="2"/>
      </w:r>
      <w:r w:rsidR="00B202FC">
        <w:rPr>
          <w:rFonts w:cs="Arial"/>
          <w:sz w:val="22"/>
          <w:szCs w:val="22"/>
        </w:rPr>
        <w:t xml:space="preserve"> (43,4 GBTUD) que son las condiciones de consumo pico en todo el año, de muy poca frecuencia</w:t>
      </w:r>
      <w:r>
        <w:rPr>
          <w:rFonts w:cs="Arial"/>
          <w:sz w:val="22"/>
          <w:szCs w:val="22"/>
        </w:rPr>
        <w:t>.</w:t>
      </w:r>
    </w:p>
    <w:p w14:paraId="71E6F937" w14:textId="77777777" w:rsidR="00B202FC" w:rsidRDefault="00B202FC" w:rsidP="00CF75E0">
      <w:pPr>
        <w:ind w:left="142" w:right="142"/>
        <w:jc w:val="left"/>
        <w:rPr>
          <w:rFonts w:cs="Arial"/>
          <w:sz w:val="22"/>
          <w:szCs w:val="22"/>
        </w:rPr>
      </w:pPr>
    </w:p>
    <w:p w14:paraId="50D82A4E" w14:textId="3A26671C" w:rsidR="00B202FC" w:rsidRDefault="00B202FC" w:rsidP="00CF75E0">
      <w:pPr>
        <w:ind w:left="142" w:right="142"/>
        <w:jc w:val="left"/>
        <w:rPr>
          <w:rFonts w:cs="Arial"/>
          <w:sz w:val="22"/>
          <w:szCs w:val="22"/>
        </w:rPr>
      </w:pPr>
      <w:r>
        <w:rPr>
          <w:rFonts w:cs="Arial"/>
          <w:sz w:val="22"/>
          <w:szCs w:val="22"/>
        </w:rPr>
        <w:t xml:space="preserve">Es de notar que no todos los compradores del </w:t>
      </w:r>
      <w:r w:rsidR="004B170D">
        <w:rPr>
          <w:rFonts w:cs="Arial"/>
          <w:sz w:val="22"/>
          <w:szCs w:val="22"/>
        </w:rPr>
        <w:t>Mercado</w:t>
      </w:r>
      <w:r>
        <w:rPr>
          <w:rFonts w:cs="Arial"/>
          <w:sz w:val="22"/>
          <w:szCs w:val="22"/>
        </w:rPr>
        <w:t xml:space="preserve"> </w:t>
      </w:r>
      <w:r w:rsidR="004B170D">
        <w:rPr>
          <w:rFonts w:cs="Arial"/>
          <w:sz w:val="22"/>
          <w:szCs w:val="22"/>
        </w:rPr>
        <w:t>Primario</w:t>
      </w:r>
      <w:r>
        <w:rPr>
          <w:rFonts w:cs="Arial"/>
          <w:sz w:val="22"/>
          <w:szCs w:val="22"/>
        </w:rPr>
        <w:t xml:space="preserve"> atienden la demanda final, como se observa de la tabla cuando no se presentan valores en las celdas correspondientes a la información del SUI. Estos compradores registran los contratos </w:t>
      </w:r>
      <w:r w:rsidR="00623873">
        <w:rPr>
          <w:rFonts w:cs="Arial"/>
          <w:sz w:val="22"/>
          <w:szCs w:val="22"/>
        </w:rPr>
        <w:t xml:space="preserve">de tipo firme </w:t>
      </w:r>
      <w:r>
        <w:rPr>
          <w:rFonts w:cs="Arial"/>
          <w:sz w:val="22"/>
          <w:szCs w:val="22"/>
        </w:rPr>
        <w:t xml:space="preserve">con destino eso sí a la demanda residencial o comercial regulada, por lo que se entiende que son agregadores de demanda para atender </w:t>
      </w:r>
      <w:r w:rsidR="004B170D">
        <w:rPr>
          <w:rFonts w:cs="Arial"/>
          <w:sz w:val="22"/>
          <w:szCs w:val="22"/>
        </w:rPr>
        <w:t>Mercado</w:t>
      </w:r>
      <w:r>
        <w:rPr>
          <w:rFonts w:cs="Arial"/>
          <w:sz w:val="22"/>
          <w:szCs w:val="22"/>
        </w:rPr>
        <w:t xml:space="preserve">s pequeños, realizando las ventas en el </w:t>
      </w:r>
      <w:r w:rsidR="004B170D">
        <w:rPr>
          <w:rFonts w:cs="Arial"/>
          <w:sz w:val="22"/>
          <w:szCs w:val="22"/>
        </w:rPr>
        <w:t>Mercado</w:t>
      </w:r>
      <w:r>
        <w:rPr>
          <w:rFonts w:cs="Arial"/>
          <w:sz w:val="22"/>
          <w:szCs w:val="22"/>
        </w:rPr>
        <w:t xml:space="preserve"> </w:t>
      </w:r>
      <w:r w:rsidR="004B170D">
        <w:rPr>
          <w:rFonts w:cs="Arial"/>
          <w:sz w:val="22"/>
          <w:szCs w:val="22"/>
        </w:rPr>
        <w:t>Secundario</w:t>
      </w:r>
      <w:r w:rsidR="00A81810">
        <w:rPr>
          <w:rFonts w:cs="Arial"/>
          <w:sz w:val="22"/>
          <w:szCs w:val="22"/>
        </w:rPr>
        <w:t xml:space="preserve"> a quienes atienden esa demanda final residencial y comercial regulada</w:t>
      </w:r>
      <w:r>
        <w:rPr>
          <w:rFonts w:cs="Arial"/>
          <w:sz w:val="22"/>
          <w:szCs w:val="22"/>
        </w:rPr>
        <w:t>.</w:t>
      </w:r>
      <w:r w:rsidR="005E33EB">
        <w:rPr>
          <w:rFonts w:cs="Arial"/>
          <w:sz w:val="22"/>
          <w:szCs w:val="22"/>
        </w:rPr>
        <w:t xml:space="preserve"> De modo correspondiente, se observan comercializadores de usuarios regulados que, a pesar de que tiene registros de consumo final en el SUI, no presentan registros de contratos de suministro </w:t>
      </w:r>
      <w:r w:rsidR="00623873">
        <w:rPr>
          <w:rFonts w:cs="Arial"/>
          <w:sz w:val="22"/>
          <w:szCs w:val="22"/>
        </w:rPr>
        <w:t xml:space="preserve">de tipo firme </w:t>
      </w:r>
      <w:r w:rsidR="005E33EB">
        <w:rPr>
          <w:rFonts w:cs="Arial"/>
          <w:sz w:val="22"/>
          <w:szCs w:val="22"/>
        </w:rPr>
        <w:t xml:space="preserve">en el </w:t>
      </w:r>
      <w:r w:rsidR="004B170D">
        <w:rPr>
          <w:rFonts w:cs="Arial"/>
          <w:sz w:val="22"/>
          <w:szCs w:val="22"/>
        </w:rPr>
        <w:t>Mercado</w:t>
      </w:r>
      <w:r w:rsidR="005E33EB">
        <w:rPr>
          <w:rFonts w:cs="Arial"/>
          <w:sz w:val="22"/>
          <w:szCs w:val="22"/>
        </w:rPr>
        <w:t xml:space="preserve"> </w:t>
      </w:r>
      <w:r w:rsidR="004B170D">
        <w:rPr>
          <w:rFonts w:cs="Arial"/>
          <w:sz w:val="22"/>
          <w:szCs w:val="22"/>
        </w:rPr>
        <w:t>Primario</w:t>
      </w:r>
      <w:r w:rsidR="005E33EB">
        <w:rPr>
          <w:rFonts w:cs="Arial"/>
          <w:sz w:val="22"/>
          <w:szCs w:val="22"/>
        </w:rPr>
        <w:t xml:space="preserve">, aunque sí se encuentran registros de contratos de suministro en el </w:t>
      </w:r>
      <w:r w:rsidR="004B170D">
        <w:rPr>
          <w:rFonts w:cs="Arial"/>
          <w:sz w:val="22"/>
          <w:szCs w:val="22"/>
        </w:rPr>
        <w:t>Mercado</w:t>
      </w:r>
      <w:r w:rsidR="005E33EB">
        <w:rPr>
          <w:rFonts w:cs="Arial"/>
          <w:sz w:val="22"/>
          <w:szCs w:val="22"/>
        </w:rPr>
        <w:t xml:space="preserve"> </w:t>
      </w:r>
      <w:r w:rsidR="004B170D">
        <w:rPr>
          <w:rFonts w:cs="Arial"/>
          <w:sz w:val="22"/>
          <w:szCs w:val="22"/>
        </w:rPr>
        <w:t>Secundario</w:t>
      </w:r>
      <w:r w:rsidR="005E33EB">
        <w:rPr>
          <w:rFonts w:cs="Arial"/>
          <w:sz w:val="22"/>
          <w:szCs w:val="22"/>
        </w:rPr>
        <w:t>.</w:t>
      </w:r>
    </w:p>
    <w:p w14:paraId="23954C65" w14:textId="77777777" w:rsidR="00BC26AF" w:rsidRDefault="00BC26AF" w:rsidP="00CF75E0">
      <w:pPr>
        <w:ind w:left="142" w:right="142"/>
        <w:jc w:val="left"/>
        <w:rPr>
          <w:rFonts w:cs="Arial"/>
          <w:sz w:val="22"/>
          <w:szCs w:val="22"/>
        </w:rPr>
      </w:pPr>
    </w:p>
    <w:p w14:paraId="73A4A927" w14:textId="1B0C6E15" w:rsidR="00BC26AF" w:rsidRDefault="00B202FC" w:rsidP="00CF75E0">
      <w:pPr>
        <w:ind w:left="142" w:right="142"/>
        <w:jc w:val="left"/>
        <w:rPr>
          <w:rFonts w:cs="Arial"/>
          <w:sz w:val="22"/>
          <w:szCs w:val="22"/>
        </w:rPr>
      </w:pPr>
      <w:r>
        <w:rPr>
          <w:rFonts w:cs="Arial"/>
          <w:sz w:val="22"/>
          <w:szCs w:val="22"/>
        </w:rPr>
        <w:lastRenderedPageBreak/>
        <w:t>Asimismo, e</w:t>
      </w:r>
      <w:r w:rsidR="00BC26AF">
        <w:rPr>
          <w:rFonts w:cs="Arial"/>
          <w:sz w:val="22"/>
          <w:szCs w:val="22"/>
        </w:rPr>
        <w:t xml:space="preserve">s de tener en cuenta que la duración del suministro a partir de 1 de diciembre de 2023 es por </w:t>
      </w:r>
      <w:r w:rsidR="00623873">
        <w:rPr>
          <w:rFonts w:cs="Arial"/>
          <w:sz w:val="22"/>
          <w:szCs w:val="22"/>
        </w:rPr>
        <w:t xml:space="preserve">lo menos de </w:t>
      </w:r>
      <w:r w:rsidR="00BC26AF">
        <w:rPr>
          <w:rFonts w:cs="Arial"/>
          <w:sz w:val="22"/>
          <w:szCs w:val="22"/>
        </w:rPr>
        <w:t>un año, hasta el 30 de noviembre de 2024, excepto en un solo caso en que un contrato de tipo firme solo se extiende hasta 29 de febrero de 2024 de un agente comercializador.</w:t>
      </w:r>
    </w:p>
    <w:p w14:paraId="354D5A86" w14:textId="77777777" w:rsidR="00DA367E" w:rsidRDefault="00DA367E" w:rsidP="00CF75E0">
      <w:pPr>
        <w:jc w:val="left"/>
        <w:rPr>
          <w:sz w:val="22"/>
          <w:szCs w:val="22"/>
        </w:rPr>
      </w:pPr>
    </w:p>
    <w:p w14:paraId="5AF90FAD" w14:textId="4BB29C04" w:rsidR="0042305D" w:rsidRPr="0042305D" w:rsidRDefault="0042305D" w:rsidP="00CF75E0">
      <w:pPr>
        <w:pStyle w:val="Descripcin"/>
        <w:keepNext/>
        <w:jc w:val="left"/>
        <w:rPr>
          <w:i w:val="0"/>
          <w:iCs w:val="0"/>
        </w:rPr>
      </w:pPr>
      <w:bookmarkStart w:id="13" w:name="_Ref146290462"/>
      <w:bookmarkStart w:id="14" w:name="_Toc149302164"/>
      <w:r w:rsidRPr="0042305D">
        <w:rPr>
          <w:i w:val="0"/>
          <w:iCs w:val="0"/>
        </w:rPr>
        <w:t xml:space="preserve">Ilustración </w:t>
      </w:r>
      <w:r w:rsidRPr="0042305D">
        <w:rPr>
          <w:i w:val="0"/>
          <w:iCs w:val="0"/>
        </w:rPr>
        <w:fldChar w:fldCharType="begin"/>
      </w:r>
      <w:r w:rsidRPr="0042305D">
        <w:rPr>
          <w:i w:val="0"/>
          <w:iCs w:val="0"/>
        </w:rPr>
        <w:instrText xml:space="preserve"> SEQ Ilustración \* ARABIC </w:instrText>
      </w:r>
      <w:r w:rsidRPr="0042305D">
        <w:rPr>
          <w:i w:val="0"/>
          <w:iCs w:val="0"/>
        </w:rPr>
        <w:fldChar w:fldCharType="separate"/>
      </w:r>
      <w:r w:rsidR="0027336D">
        <w:rPr>
          <w:i w:val="0"/>
          <w:iCs w:val="0"/>
          <w:noProof/>
        </w:rPr>
        <w:t>2</w:t>
      </w:r>
      <w:r w:rsidRPr="0042305D">
        <w:rPr>
          <w:i w:val="0"/>
          <w:iCs w:val="0"/>
        </w:rPr>
        <w:fldChar w:fldCharType="end"/>
      </w:r>
      <w:bookmarkEnd w:id="13"/>
      <w:r w:rsidRPr="0042305D">
        <w:rPr>
          <w:i w:val="0"/>
          <w:iCs w:val="0"/>
        </w:rPr>
        <w:t xml:space="preserve"> Comparación de energía facturada a usuarios residenciales y comerciales regulados y energía contratada en el </w:t>
      </w:r>
      <w:r w:rsidR="004B170D">
        <w:rPr>
          <w:i w:val="0"/>
          <w:iCs w:val="0"/>
        </w:rPr>
        <w:t>Mercado</w:t>
      </w:r>
      <w:r w:rsidRPr="0042305D">
        <w:rPr>
          <w:i w:val="0"/>
          <w:iCs w:val="0"/>
        </w:rPr>
        <w:t xml:space="preserve"> </w:t>
      </w:r>
      <w:r w:rsidR="004B170D">
        <w:rPr>
          <w:i w:val="0"/>
          <w:iCs w:val="0"/>
        </w:rPr>
        <w:t>Primario</w:t>
      </w:r>
      <w:bookmarkEnd w:id="14"/>
    </w:p>
    <w:p w14:paraId="4EC8C502" w14:textId="77777777" w:rsidR="0042305D" w:rsidRDefault="00DA367E" w:rsidP="00CF75E0">
      <w:pPr>
        <w:keepNext/>
        <w:jc w:val="left"/>
      </w:pPr>
      <w:r w:rsidRPr="00C45F2B">
        <w:rPr>
          <w:noProof/>
        </w:rPr>
        <w:drawing>
          <wp:inline distT="0" distB="0" distL="0" distR="0" wp14:anchorId="0A7619F1" wp14:editId="6FCDE07B">
            <wp:extent cx="5972810" cy="3779520"/>
            <wp:effectExtent l="0" t="0" r="8890" b="0"/>
            <wp:docPr id="2054431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31498" name=""/>
                    <pic:cNvPicPr/>
                  </pic:nvPicPr>
                  <pic:blipFill>
                    <a:blip r:embed="rId15"/>
                    <a:stretch>
                      <a:fillRect/>
                    </a:stretch>
                  </pic:blipFill>
                  <pic:spPr>
                    <a:xfrm>
                      <a:off x="0" y="0"/>
                      <a:ext cx="5972810" cy="3779520"/>
                    </a:xfrm>
                    <a:prstGeom prst="rect">
                      <a:avLst/>
                    </a:prstGeom>
                  </pic:spPr>
                </pic:pic>
              </a:graphicData>
            </a:graphic>
          </wp:inline>
        </w:drawing>
      </w:r>
    </w:p>
    <w:p w14:paraId="70A7ED61" w14:textId="77777777" w:rsidR="00DA367E" w:rsidRDefault="00DA367E" w:rsidP="00CF75E0">
      <w:pPr>
        <w:jc w:val="left"/>
        <w:rPr>
          <w:sz w:val="22"/>
          <w:szCs w:val="22"/>
        </w:rPr>
      </w:pPr>
    </w:p>
    <w:p w14:paraId="754A96C0" w14:textId="77777777" w:rsidR="00DA367E" w:rsidRDefault="00DA367E" w:rsidP="00CF75E0">
      <w:pPr>
        <w:jc w:val="left"/>
        <w:rPr>
          <w:sz w:val="22"/>
          <w:szCs w:val="22"/>
        </w:rPr>
      </w:pPr>
      <w:r w:rsidRPr="00C45F2B">
        <w:rPr>
          <w:noProof/>
        </w:rPr>
        <w:lastRenderedPageBreak/>
        <w:drawing>
          <wp:inline distT="0" distB="0" distL="0" distR="0" wp14:anchorId="4829B5C9" wp14:editId="032FB777">
            <wp:extent cx="5972810" cy="3484245"/>
            <wp:effectExtent l="0" t="0" r="8890" b="1905"/>
            <wp:docPr id="2058442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42586" name=""/>
                    <pic:cNvPicPr/>
                  </pic:nvPicPr>
                  <pic:blipFill>
                    <a:blip r:embed="rId16"/>
                    <a:stretch>
                      <a:fillRect/>
                    </a:stretch>
                  </pic:blipFill>
                  <pic:spPr>
                    <a:xfrm>
                      <a:off x="0" y="0"/>
                      <a:ext cx="5972810" cy="3484245"/>
                    </a:xfrm>
                    <a:prstGeom prst="rect">
                      <a:avLst/>
                    </a:prstGeom>
                  </pic:spPr>
                </pic:pic>
              </a:graphicData>
            </a:graphic>
          </wp:inline>
        </w:drawing>
      </w:r>
    </w:p>
    <w:p w14:paraId="49862EF9" w14:textId="77777777" w:rsidR="00DA367E" w:rsidRPr="00A379E6" w:rsidRDefault="00DA367E" w:rsidP="00CF75E0">
      <w:pPr>
        <w:jc w:val="left"/>
        <w:rPr>
          <w:bCs/>
          <w:sz w:val="22"/>
          <w:szCs w:val="22"/>
        </w:rPr>
      </w:pPr>
    </w:p>
    <w:p w14:paraId="5AF2F68D" w14:textId="77777777" w:rsidR="00764CC7" w:rsidRPr="00AA3973" w:rsidRDefault="00764CC7" w:rsidP="00CF75E0">
      <w:pPr>
        <w:ind w:left="142" w:right="142"/>
        <w:jc w:val="left"/>
        <w:rPr>
          <w:rFonts w:cs="Arial"/>
          <w:sz w:val="22"/>
          <w:szCs w:val="22"/>
        </w:rPr>
      </w:pPr>
    </w:p>
    <w:p w14:paraId="35E95E62" w14:textId="3C2A5484" w:rsidR="00764CC7" w:rsidRPr="00AA3973" w:rsidRDefault="00B501F7" w:rsidP="00CF75E0">
      <w:pPr>
        <w:ind w:left="142" w:right="142"/>
        <w:jc w:val="left"/>
        <w:rPr>
          <w:rFonts w:cs="Arial"/>
          <w:sz w:val="22"/>
          <w:szCs w:val="22"/>
        </w:rPr>
      </w:pPr>
      <w:r>
        <w:rPr>
          <w:rFonts w:cs="Arial"/>
          <w:sz w:val="22"/>
          <w:szCs w:val="22"/>
        </w:rPr>
        <w:t xml:space="preserve">Por otro lado, </w:t>
      </w:r>
      <w:r w:rsidR="00DE4354" w:rsidRPr="00DE4354">
        <w:rPr>
          <w:rFonts w:cs="Arial"/>
          <w:sz w:val="22"/>
          <w:szCs w:val="22"/>
        </w:rPr>
        <w:t>del 8 de agosto de 2023 los productores-comercializadores CNEOG Colombia y CNE Oil &amp; Gas declararon al Ministerio de Minas y Energía una Insalvable Restricción en la Oferta de Gas Natural en el punto de entrega Estación Jobo, No Transitoria, inicialmente por 23.600 MBTUD. En comunicación del 20 de octubre de 2023 el Secretario</w:t>
      </w:r>
      <w:r w:rsidR="00DE4354">
        <w:rPr>
          <w:rFonts w:cs="Arial"/>
          <w:sz w:val="22"/>
          <w:szCs w:val="22"/>
        </w:rPr>
        <w:t xml:space="preserve"> </w:t>
      </w:r>
      <w:r w:rsidR="00DE4354" w:rsidRPr="00DE4354">
        <w:rPr>
          <w:rFonts w:cs="Arial"/>
          <w:sz w:val="22"/>
          <w:szCs w:val="22"/>
        </w:rPr>
        <w:t xml:space="preserve">Técnico del CNO Gas informó que la restricción total se encuentra en 75.600 MBTUD, </w:t>
      </w:r>
      <w:r w:rsidR="00496D67">
        <w:rPr>
          <w:rFonts w:cs="Arial"/>
          <w:sz w:val="22"/>
          <w:szCs w:val="22"/>
        </w:rPr>
        <w:t>que se ha ido reduciendo</w:t>
      </w:r>
      <w:r w:rsidR="00DE4354" w:rsidRPr="00DE4354">
        <w:rPr>
          <w:rFonts w:cs="Arial"/>
          <w:sz w:val="22"/>
          <w:szCs w:val="22"/>
        </w:rPr>
        <w:t xml:space="preserve">. </w:t>
      </w:r>
      <w:r w:rsidR="00496D67" w:rsidRPr="00496D67">
        <w:rPr>
          <w:rFonts w:cs="Arial"/>
          <w:sz w:val="22"/>
          <w:szCs w:val="22"/>
        </w:rPr>
        <w:t>Estas restricciones afectan el suministro a algunos de los usuarios del gas natural, por lo que se hace necesario para ellos buscar otras fuentes de suministro para atender sus necesidades de consumo de gas natural, en el caso que se presenten de nuevo ya sea en esta fuente o se presenten en cualquiera otra fuente de suministro nacional</w:t>
      </w:r>
      <w:r w:rsidR="00DE4354" w:rsidRPr="00DE4354">
        <w:rPr>
          <w:rFonts w:cs="Arial"/>
          <w:sz w:val="22"/>
          <w:szCs w:val="22"/>
        </w:rPr>
        <w:t xml:space="preserve">.  </w:t>
      </w:r>
    </w:p>
    <w:p w14:paraId="54D6A34D" w14:textId="77777777" w:rsidR="00764CC7" w:rsidRDefault="00764CC7" w:rsidP="00CF75E0">
      <w:pPr>
        <w:ind w:left="142" w:right="142"/>
        <w:jc w:val="left"/>
        <w:rPr>
          <w:rFonts w:cs="Arial"/>
          <w:sz w:val="22"/>
          <w:szCs w:val="22"/>
        </w:rPr>
      </w:pPr>
    </w:p>
    <w:p w14:paraId="36795491" w14:textId="7CC504AD" w:rsidR="00DA5577" w:rsidRDefault="00990C93" w:rsidP="00CF75E0">
      <w:pPr>
        <w:ind w:left="142" w:right="142"/>
        <w:jc w:val="left"/>
        <w:rPr>
          <w:rFonts w:cs="Arial"/>
          <w:sz w:val="22"/>
          <w:szCs w:val="22"/>
        </w:rPr>
      </w:pPr>
      <w:r w:rsidRPr="00990C93">
        <w:rPr>
          <w:rFonts w:cs="Arial"/>
          <w:sz w:val="22"/>
          <w:szCs w:val="22"/>
        </w:rPr>
        <w:t xml:space="preserve">Algunos participantes del </w:t>
      </w:r>
      <w:r w:rsidR="004B170D">
        <w:rPr>
          <w:rFonts w:cs="Arial"/>
          <w:sz w:val="22"/>
          <w:szCs w:val="22"/>
        </w:rPr>
        <w:t>Mercado</w:t>
      </w:r>
      <w:r w:rsidRPr="00990C93">
        <w:rPr>
          <w:rFonts w:cs="Arial"/>
          <w:sz w:val="22"/>
          <w:szCs w:val="22"/>
        </w:rPr>
        <w:t xml:space="preserve"> han manifestado al Ministerio de Minas y Energía y a la Comisión la necesidad de flexibilizar los mecanismos de comercialización para negociar contratos de suministro de gas de corto plazo, con el fin de asignar la mayor cantidad posible de volúmenes de gas natural disponibles, con radicados E-2023-015244 de Vanti, E-2023-015806 de Ecopetrol, E-2023-015962 de Madigás, E-2023-015989 de Surtigás y Gases del Caribe y E-2023-016109 de Naturgás.</w:t>
      </w:r>
    </w:p>
    <w:p w14:paraId="1E73602B" w14:textId="77777777" w:rsidR="00DA5577" w:rsidRPr="00AA3973" w:rsidRDefault="00DA5577" w:rsidP="00CF75E0">
      <w:pPr>
        <w:ind w:left="142" w:right="142"/>
        <w:jc w:val="left"/>
        <w:rPr>
          <w:rFonts w:cs="Arial"/>
          <w:sz w:val="22"/>
          <w:szCs w:val="22"/>
        </w:rPr>
      </w:pPr>
    </w:p>
    <w:p w14:paraId="4943A8AC" w14:textId="2CB3D2F9" w:rsidR="00764CC7" w:rsidRDefault="00B501F7" w:rsidP="00CF75E0">
      <w:pPr>
        <w:ind w:left="142" w:right="142"/>
        <w:jc w:val="left"/>
        <w:rPr>
          <w:rFonts w:cs="Arial"/>
          <w:sz w:val="22"/>
          <w:szCs w:val="22"/>
        </w:rPr>
      </w:pPr>
      <w:r>
        <w:rPr>
          <w:rFonts w:cs="Arial"/>
          <w:sz w:val="22"/>
          <w:szCs w:val="22"/>
        </w:rPr>
        <w:t>A</w:t>
      </w:r>
      <w:r w:rsidR="00764CC7" w:rsidRPr="00764CC7">
        <w:rPr>
          <w:rFonts w:cs="Arial"/>
          <w:sz w:val="22"/>
          <w:szCs w:val="22"/>
        </w:rPr>
        <w:t xml:space="preserve">ctualmente no existe la obligación de registro ante el Gestor del </w:t>
      </w:r>
      <w:r w:rsidR="004B170D">
        <w:rPr>
          <w:rFonts w:cs="Arial"/>
          <w:sz w:val="22"/>
          <w:szCs w:val="22"/>
        </w:rPr>
        <w:t>Mercado</w:t>
      </w:r>
      <w:r w:rsidR="00764CC7" w:rsidRPr="00764CC7">
        <w:rPr>
          <w:rFonts w:cs="Arial"/>
          <w:sz w:val="22"/>
          <w:szCs w:val="22"/>
        </w:rPr>
        <w:t xml:space="preserve"> de los contratos de suministro de gas natural en los que el gas no se utilice efectivamente como combustible sino como materia prima de procesos industriales petroquímicos, lo que dificulta el seguimiento al </w:t>
      </w:r>
      <w:r w:rsidR="004B170D">
        <w:rPr>
          <w:rFonts w:cs="Arial"/>
          <w:sz w:val="22"/>
          <w:szCs w:val="22"/>
        </w:rPr>
        <w:t>Mercado</w:t>
      </w:r>
      <w:r w:rsidR="00764CC7" w:rsidRPr="00764CC7">
        <w:rPr>
          <w:rFonts w:cs="Arial"/>
          <w:sz w:val="22"/>
          <w:szCs w:val="22"/>
        </w:rPr>
        <w:t xml:space="preserve"> </w:t>
      </w:r>
      <w:r w:rsidR="004B170D">
        <w:rPr>
          <w:rFonts w:cs="Arial"/>
          <w:sz w:val="22"/>
          <w:szCs w:val="22"/>
        </w:rPr>
        <w:t>Mayorista</w:t>
      </w:r>
      <w:r w:rsidR="00764CC7" w:rsidRPr="00764CC7">
        <w:rPr>
          <w:rFonts w:cs="Arial"/>
          <w:sz w:val="22"/>
          <w:szCs w:val="22"/>
        </w:rPr>
        <w:t xml:space="preserve"> de Gas Natural. Dicho destino no está incluido en la Demanda Esencial según la definición contenida en el Artículo 2.2.2.1.4 del Decreto 1073 de 2015.</w:t>
      </w:r>
      <w:r w:rsidR="00B6373E">
        <w:rPr>
          <w:rFonts w:cs="Arial"/>
          <w:sz w:val="22"/>
          <w:szCs w:val="22"/>
        </w:rPr>
        <w:t xml:space="preserve"> Lo anterior aún a pesar de que quienes ofrecen el suministro del gas natural para este tipo de compradores son los mismos tipo</w:t>
      </w:r>
      <w:r w:rsidR="00DA5577">
        <w:rPr>
          <w:rFonts w:cs="Arial"/>
          <w:sz w:val="22"/>
          <w:szCs w:val="22"/>
        </w:rPr>
        <w:t>s</w:t>
      </w:r>
      <w:r w:rsidR="00B6373E">
        <w:rPr>
          <w:rFonts w:cs="Arial"/>
          <w:sz w:val="22"/>
          <w:szCs w:val="22"/>
        </w:rPr>
        <w:t xml:space="preserve"> de agentes que ofrecen el suministro para atender el servicio público domiciliario de gas combustible. </w:t>
      </w:r>
    </w:p>
    <w:p w14:paraId="75322F1C" w14:textId="77777777" w:rsidR="004A2267" w:rsidRDefault="004A2267" w:rsidP="00CF75E0">
      <w:pPr>
        <w:ind w:left="142" w:right="142"/>
        <w:jc w:val="left"/>
        <w:rPr>
          <w:rFonts w:cs="Arial"/>
          <w:sz w:val="22"/>
          <w:szCs w:val="22"/>
        </w:rPr>
      </w:pPr>
    </w:p>
    <w:p w14:paraId="086A08DC" w14:textId="5898811E" w:rsidR="00C45F2B" w:rsidRDefault="004A2267" w:rsidP="00CF75E0">
      <w:pPr>
        <w:ind w:left="142" w:right="142"/>
        <w:jc w:val="left"/>
        <w:rPr>
          <w:sz w:val="22"/>
          <w:szCs w:val="22"/>
        </w:rPr>
      </w:pPr>
      <w:r>
        <w:rPr>
          <w:rFonts w:cs="Arial"/>
          <w:sz w:val="22"/>
          <w:szCs w:val="22"/>
        </w:rPr>
        <w:t xml:space="preserve">Cuando al Potencial de Producción – PP publicado por el Ministerio de Minas y Energía el pasado 5 de septiembre de 2023 se le </w:t>
      </w:r>
      <w:r w:rsidR="001C1D61">
        <w:rPr>
          <w:rFonts w:cs="Arial"/>
          <w:sz w:val="22"/>
          <w:szCs w:val="22"/>
        </w:rPr>
        <w:t>r</w:t>
      </w:r>
      <w:r>
        <w:rPr>
          <w:rFonts w:cs="Arial"/>
          <w:sz w:val="22"/>
          <w:szCs w:val="22"/>
        </w:rPr>
        <w:t>est</w:t>
      </w:r>
      <w:r w:rsidR="001C1D61">
        <w:rPr>
          <w:rFonts w:cs="Arial"/>
          <w:sz w:val="22"/>
          <w:szCs w:val="22"/>
        </w:rPr>
        <w:t>a</w:t>
      </w:r>
      <w:r>
        <w:rPr>
          <w:rFonts w:cs="Arial"/>
          <w:sz w:val="22"/>
          <w:szCs w:val="22"/>
        </w:rPr>
        <w:t xml:space="preserve">n las cantidades máximas comprometidas en contratos de tipo firme a  nivel nacional, con corte al 19 de septiembre de 2023  una vez terminado el registro de los contratos de negociaciones directas según el cronograma CREG, se obtendría lo que correspondería al potencial disponible para la venta (PTDV) que en duraciones de muy corto plazo hipotéticamente podrían declarar los vendedores del </w:t>
      </w:r>
      <w:r w:rsidR="004B170D">
        <w:rPr>
          <w:rFonts w:cs="Arial"/>
          <w:sz w:val="22"/>
          <w:szCs w:val="22"/>
        </w:rPr>
        <w:t>Mercado</w:t>
      </w:r>
      <w:r>
        <w:rPr>
          <w:rFonts w:cs="Arial"/>
          <w:sz w:val="22"/>
          <w:szCs w:val="22"/>
        </w:rPr>
        <w:t xml:space="preserve"> </w:t>
      </w:r>
      <w:r w:rsidR="004B170D">
        <w:rPr>
          <w:rFonts w:cs="Arial"/>
          <w:sz w:val="22"/>
          <w:szCs w:val="22"/>
        </w:rPr>
        <w:t>Primario</w:t>
      </w:r>
      <w:r>
        <w:rPr>
          <w:rFonts w:cs="Arial"/>
          <w:sz w:val="22"/>
          <w:szCs w:val="22"/>
        </w:rPr>
        <w:t xml:space="preserve"> como PTDVF</w:t>
      </w:r>
      <w:r w:rsidR="0034059D">
        <w:rPr>
          <w:rFonts w:cs="Arial"/>
          <w:sz w:val="22"/>
          <w:szCs w:val="22"/>
        </w:rPr>
        <w:t xml:space="preserve">, como se observa </w:t>
      </w:r>
      <w:r w:rsidR="0034059D" w:rsidRPr="0034059D">
        <w:rPr>
          <w:rFonts w:cs="Arial"/>
          <w:sz w:val="22"/>
          <w:szCs w:val="22"/>
        </w:rPr>
        <w:t xml:space="preserve">en la </w:t>
      </w:r>
      <w:r w:rsidR="0034059D" w:rsidRPr="0034059D">
        <w:rPr>
          <w:rFonts w:cs="Arial"/>
          <w:sz w:val="22"/>
          <w:szCs w:val="22"/>
        </w:rPr>
        <w:fldChar w:fldCharType="begin"/>
      </w:r>
      <w:r w:rsidR="0034059D" w:rsidRPr="0034059D">
        <w:rPr>
          <w:rFonts w:cs="Arial"/>
          <w:sz w:val="22"/>
          <w:szCs w:val="22"/>
        </w:rPr>
        <w:instrText xml:space="preserve"> REF _Ref146290714 \h  \* MERGEFORMAT </w:instrText>
      </w:r>
      <w:r w:rsidR="0034059D" w:rsidRPr="0034059D">
        <w:rPr>
          <w:rFonts w:cs="Arial"/>
          <w:sz w:val="22"/>
          <w:szCs w:val="22"/>
        </w:rPr>
      </w:r>
      <w:r w:rsidR="0034059D" w:rsidRPr="0034059D">
        <w:rPr>
          <w:rFonts w:cs="Arial"/>
          <w:sz w:val="22"/>
          <w:szCs w:val="22"/>
        </w:rPr>
        <w:fldChar w:fldCharType="separate"/>
      </w:r>
      <w:r w:rsidR="0027336D" w:rsidRPr="0027336D">
        <w:rPr>
          <w:sz w:val="22"/>
          <w:szCs w:val="22"/>
        </w:rPr>
        <w:t xml:space="preserve">Ilustración </w:t>
      </w:r>
      <w:r w:rsidR="0027336D" w:rsidRPr="0027336D">
        <w:rPr>
          <w:noProof/>
          <w:sz w:val="22"/>
          <w:szCs w:val="22"/>
        </w:rPr>
        <w:t>3</w:t>
      </w:r>
      <w:r w:rsidR="0034059D" w:rsidRPr="0034059D">
        <w:rPr>
          <w:rFonts w:cs="Arial"/>
          <w:sz w:val="22"/>
          <w:szCs w:val="22"/>
        </w:rPr>
        <w:fldChar w:fldCharType="end"/>
      </w:r>
      <w:r w:rsidRPr="0034059D">
        <w:rPr>
          <w:rFonts w:cs="Arial"/>
          <w:sz w:val="22"/>
          <w:szCs w:val="22"/>
        </w:rPr>
        <w:t>.</w:t>
      </w:r>
      <w:r>
        <w:rPr>
          <w:rFonts w:cs="Arial"/>
          <w:sz w:val="22"/>
          <w:szCs w:val="22"/>
        </w:rPr>
        <w:t xml:space="preserve"> En </w:t>
      </w:r>
      <w:r w:rsidR="001C1D61">
        <w:rPr>
          <w:rFonts w:cs="Arial"/>
          <w:sz w:val="22"/>
          <w:szCs w:val="22"/>
        </w:rPr>
        <w:t>dicha ilustración</w:t>
      </w:r>
      <w:r>
        <w:rPr>
          <w:rFonts w:cs="Arial"/>
          <w:sz w:val="22"/>
          <w:szCs w:val="22"/>
        </w:rPr>
        <w:t xml:space="preserve"> se observa el resultado de dicha resta, observando que el eje derecho sirve de referencia para el potencial para venta en firme. Lo importante de la observación es que se evidencia que hay posibilidades de que se puedan contratar cantidades de tipo firme, si las duraciones de la garantía del suministro de esas cantidades se reducen. Si se tratase de la contratación con duración de un año las cantidades a comprometer serían de como máximo 18 GBTUD, es decir, una energía total de 6.5</w:t>
      </w:r>
      <w:r w:rsidR="00430EBC">
        <w:rPr>
          <w:rFonts w:cs="Arial"/>
          <w:sz w:val="22"/>
          <w:szCs w:val="22"/>
        </w:rPr>
        <w:t>88</w:t>
      </w:r>
      <w:r>
        <w:rPr>
          <w:rFonts w:cs="Arial"/>
          <w:sz w:val="22"/>
          <w:szCs w:val="22"/>
        </w:rPr>
        <w:t xml:space="preserve"> GBTU. En ca</w:t>
      </w:r>
      <w:r w:rsidR="00C47F44">
        <w:rPr>
          <w:rFonts w:cs="Arial"/>
          <w:sz w:val="22"/>
          <w:szCs w:val="22"/>
        </w:rPr>
        <w:t xml:space="preserve">mbio, si se pudiesen negociar cantidades de duración mensual, la energía total a comprometer sería de </w:t>
      </w:r>
      <w:r w:rsidR="00430EBC">
        <w:rPr>
          <w:rFonts w:cs="Arial"/>
          <w:sz w:val="22"/>
          <w:szCs w:val="22"/>
        </w:rPr>
        <w:t>22.855 GBTU, es decir, 3,5 veces más</w:t>
      </w:r>
      <w:r w:rsidR="00941778">
        <w:rPr>
          <w:rFonts w:cs="Arial"/>
          <w:sz w:val="22"/>
          <w:szCs w:val="22"/>
        </w:rPr>
        <w:t xml:space="preserve"> que en el caso anterior</w:t>
      </w:r>
      <w:r w:rsidR="00430EBC">
        <w:rPr>
          <w:rFonts w:cs="Arial"/>
          <w:sz w:val="22"/>
          <w:szCs w:val="22"/>
        </w:rPr>
        <w:t>.</w:t>
      </w:r>
    </w:p>
    <w:p w14:paraId="1FC72480" w14:textId="77777777" w:rsidR="00C45F2B" w:rsidRDefault="00C45F2B" w:rsidP="00CF75E0">
      <w:pPr>
        <w:jc w:val="left"/>
        <w:rPr>
          <w:sz w:val="22"/>
          <w:szCs w:val="22"/>
        </w:rPr>
      </w:pPr>
    </w:p>
    <w:p w14:paraId="49CC081E" w14:textId="12C27A82" w:rsidR="0034059D" w:rsidRPr="0034059D" w:rsidRDefault="0034059D" w:rsidP="00CF75E0">
      <w:pPr>
        <w:pStyle w:val="Descripcin"/>
        <w:keepNext/>
        <w:jc w:val="left"/>
        <w:rPr>
          <w:i w:val="0"/>
          <w:iCs w:val="0"/>
        </w:rPr>
      </w:pPr>
      <w:bookmarkStart w:id="15" w:name="_Ref146290714"/>
      <w:bookmarkStart w:id="16" w:name="_Toc149302165"/>
      <w:r w:rsidRPr="0034059D">
        <w:rPr>
          <w:i w:val="0"/>
          <w:iCs w:val="0"/>
        </w:rPr>
        <w:t xml:space="preserve">Ilustración </w:t>
      </w:r>
      <w:r w:rsidRPr="0034059D">
        <w:rPr>
          <w:i w:val="0"/>
          <w:iCs w:val="0"/>
        </w:rPr>
        <w:fldChar w:fldCharType="begin"/>
      </w:r>
      <w:r w:rsidRPr="0034059D">
        <w:rPr>
          <w:i w:val="0"/>
          <w:iCs w:val="0"/>
        </w:rPr>
        <w:instrText xml:space="preserve"> SEQ Ilustración \* ARABIC </w:instrText>
      </w:r>
      <w:r w:rsidRPr="0034059D">
        <w:rPr>
          <w:i w:val="0"/>
          <w:iCs w:val="0"/>
        </w:rPr>
        <w:fldChar w:fldCharType="separate"/>
      </w:r>
      <w:r w:rsidR="0027336D">
        <w:rPr>
          <w:i w:val="0"/>
          <w:iCs w:val="0"/>
          <w:noProof/>
        </w:rPr>
        <w:t>3</w:t>
      </w:r>
      <w:r w:rsidRPr="0034059D">
        <w:rPr>
          <w:i w:val="0"/>
          <w:iCs w:val="0"/>
        </w:rPr>
        <w:fldChar w:fldCharType="end"/>
      </w:r>
      <w:bookmarkEnd w:id="15"/>
      <w:r w:rsidRPr="0034059D">
        <w:rPr>
          <w:i w:val="0"/>
          <w:iCs w:val="0"/>
        </w:rPr>
        <w:t xml:space="preserve"> Balance conceptual de potencial de oferta en firme 2023 - 2024</w:t>
      </w:r>
      <w:bookmarkEnd w:id="16"/>
    </w:p>
    <w:p w14:paraId="0A329A6C" w14:textId="6447E6CC" w:rsidR="00C45F2B" w:rsidRDefault="003D2E27" w:rsidP="002E5FE3">
      <w:pPr>
        <w:jc w:val="center"/>
        <w:rPr>
          <w:sz w:val="22"/>
          <w:szCs w:val="22"/>
        </w:rPr>
      </w:pPr>
      <w:r>
        <w:rPr>
          <w:noProof/>
        </w:rPr>
        <w:drawing>
          <wp:inline distT="0" distB="0" distL="0" distR="0" wp14:anchorId="356E148D" wp14:editId="09EAA021">
            <wp:extent cx="4678878" cy="2820390"/>
            <wp:effectExtent l="0" t="0" r="7620" b="18415"/>
            <wp:docPr id="2139963485" name="Gráfico 1">
              <a:extLst xmlns:a="http://schemas.openxmlformats.org/drawingml/2006/main">
                <a:ext uri="{FF2B5EF4-FFF2-40B4-BE49-F238E27FC236}">
                  <a16:creationId xmlns:a16="http://schemas.microsoft.com/office/drawing/2014/main" id="{4576BD3D-9B09-44DA-AC0E-306BAD343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CC0E53" w14:textId="77777777" w:rsidR="001C1D61" w:rsidRDefault="001C1D61" w:rsidP="00CF75E0">
      <w:pPr>
        <w:jc w:val="left"/>
        <w:rPr>
          <w:sz w:val="22"/>
          <w:szCs w:val="22"/>
        </w:rPr>
      </w:pPr>
    </w:p>
    <w:p w14:paraId="3DB11A57" w14:textId="77777777" w:rsidR="001C1D61" w:rsidRDefault="001C1D61" w:rsidP="00CF75E0">
      <w:pPr>
        <w:jc w:val="left"/>
        <w:rPr>
          <w:sz w:val="22"/>
          <w:szCs w:val="22"/>
        </w:rPr>
      </w:pPr>
    </w:p>
    <w:p w14:paraId="5015C7E9" w14:textId="246D9111" w:rsidR="00F31953" w:rsidRDefault="00F31953" w:rsidP="00CF75E0">
      <w:pPr>
        <w:jc w:val="left"/>
        <w:rPr>
          <w:sz w:val="22"/>
          <w:szCs w:val="22"/>
        </w:rPr>
      </w:pPr>
      <w:r>
        <w:rPr>
          <w:sz w:val="22"/>
          <w:szCs w:val="22"/>
        </w:rPr>
        <w:t>Por otra parte, se observa un típico comportamiento de la demanda regulada incluida en la Demanda Esencial</w:t>
      </w:r>
      <w:r w:rsidR="00CC111F">
        <w:rPr>
          <w:sz w:val="22"/>
          <w:szCs w:val="22"/>
        </w:rPr>
        <w:t>, similar a la</w:t>
      </w:r>
      <w:r w:rsidR="00F56366">
        <w:rPr>
          <w:sz w:val="22"/>
          <w:szCs w:val="22"/>
        </w:rPr>
        <w:t xml:space="preserve"> informada por un comercializador </w:t>
      </w:r>
      <w:r w:rsidR="008D0241">
        <w:rPr>
          <w:sz w:val="22"/>
          <w:szCs w:val="22"/>
        </w:rPr>
        <w:t xml:space="preserve">minorista </w:t>
      </w:r>
      <w:r w:rsidR="00F56366">
        <w:rPr>
          <w:sz w:val="22"/>
          <w:szCs w:val="22"/>
        </w:rPr>
        <w:t>para el año 2021</w:t>
      </w:r>
      <w:r w:rsidR="00CC111F">
        <w:rPr>
          <w:sz w:val="22"/>
          <w:szCs w:val="22"/>
        </w:rPr>
        <w:t xml:space="preserve"> de un mercado de grandes consumos</w:t>
      </w:r>
      <w:r>
        <w:rPr>
          <w:sz w:val="22"/>
          <w:szCs w:val="22"/>
        </w:rPr>
        <w:t xml:space="preserve">, como </w:t>
      </w:r>
      <w:r w:rsidR="008D0241">
        <w:rPr>
          <w:sz w:val="22"/>
          <w:szCs w:val="22"/>
        </w:rPr>
        <w:t>la</w:t>
      </w:r>
      <w:r>
        <w:rPr>
          <w:sz w:val="22"/>
          <w:szCs w:val="22"/>
        </w:rPr>
        <w:t xml:space="preserve"> que se muestra en la </w:t>
      </w:r>
      <w:r w:rsidR="008D0241" w:rsidRPr="008D0241">
        <w:rPr>
          <w:sz w:val="22"/>
          <w:szCs w:val="22"/>
        </w:rPr>
        <w:fldChar w:fldCharType="begin"/>
      </w:r>
      <w:r w:rsidR="008D0241" w:rsidRPr="008D0241">
        <w:rPr>
          <w:sz w:val="22"/>
          <w:szCs w:val="22"/>
        </w:rPr>
        <w:instrText xml:space="preserve"> REF _Ref146523859 \h  \* MERGEFORMAT </w:instrText>
      </w:r>
      <w:r w:rsidR="008D0241" w:rsidRPr="008D0241">
        <w:rPr>
          <w:sz w:val="22"/>
          <w:szCs w:val="22"/>
        </w:rPr>
      </w:r>
      <w:r w:rsidR="008D0241" w:rsidRPr="008D0241">
        <w:rPr>
          <w:sz w:val="22"/>
          <w:szCs w:val="22"/>
        </w:rPr>
        <w:fldChar w:fldCharType="separate"/>
      </w:r>
      <w:r w:rsidR="0027336D" w:rsidRPr="008D0241">
        <w:t xml:space="preserve">Ilustración </w:t>
      </w:r>
      <w:r w:rsidR="0027336D" w:rsidRPr="0027336D">
        <w:rPr>
          <w:noProof/>
        </w:rPr>
        <w:t>4</w:t>
      </w:r>
      <w:r w:rsidR="008D0241" w:rsidRPr="008D0241">
        <w:rPr>
          <w:sz w:val="22"/>
          <w:szCs w:val="22"/>
        </w:rPr>
        <w:fldChar w:fldCharType="end"/>
      </w:r>
      <w:r w:rsidRPr="008D0241">
        <w:rPr>
          <w:sz w:val="22"/>
          <w:szCs w:val="22"/>
        </w:rPr>
        <w:t>.</w:t>
      </w:r>
    </w:p>
    <w:p w14:paraId="159D533D" w14:textId="77777777" w:rsidR="00F31953" w:rsidRDefault="00F31953" w:rsidP="00CF75E0">
      <w:pPr>
        <w:jc w:val="left"/>
        <w:rPr>
          <w:sz w:val="22"/>
          <w:szCs w:val="22"/>
        </w:rPr>
      </w:pPr>
    </w:p>
    <w:p w14:paraId="68D310A6" w14:textId="5F4125C9" w:rsidR="008D0241" w:rsidRPr="008D0241" w:rsidRDefault="008D0241" w:rsidP="00CF75E0">
      <w:pPr>
        <w:pStyle w:val="Descripcin"/>
        <w:keepNext/>
        <w:jc w:val="left"/>
        <w:rPr>
          <w:i w:val="0"/>
          <w:iCs w:val="0"/>
        </w:rPr>
      </w:pPr>
      <w:bookmarkStart w:id="17" w:name="_Ref146523859"/>
      <w:bookmarkStart w:id="18" w:name="_Toc149302166"/>
      <w:r w:rsidRPr="008D0241">
        <w:rPr>
          <w:i w:val="0"/>
          <w:iCs w:val="0"/>
        </w:rPr>
        <w:lastRenderedPageBreak/>
        <w:t xml:space="preserve">Ilustración </w:t>
      </w:r>
      <w:r w:rsidRPr="008D0241">
        <w:rPr>
          <w:i w:val="0"/>
          <w:iCs w:val="0"/>
        </w:rPr>
        <w:fldChar w:fldCharType="begin"/>
      </w:r>
      <w:r w:rsidRPr="008D0241">
        <w:rPr>
          <w:i w:val="0"/>
          <w:iCs w:val="0"/>
        </w:rPr>
        <w:instrText xml:space="preserve"> SEQ Ilustración \* ARABIC </w:instrText>
      </w:r>
      <w:r w:rsidRPr="008D0241">
        <w:rPr>
          <w:i w:val="0"/>
          <w:iCs w:val="0"/>
        </w:rPr>
        <w:fldChar w:fldCharType="separate"/>
      </w:r>
      <w:r w:rsidR="0027336D">
        <w:rPr>
          <w:i w:val="0"/>
          <w:iCs w:val="0"/>
          <w:noProof/>
        </w:rPr>
        <w:t>4</w:t>
      </w:r>
      <w:r w:rsidRPr="008D0241">
        <w:rPr>
          <w:i w:val="0"/>
          <w:iCs w:val="0"/>
        </w:rPr>
        <w:fldChar w:fldCharType="end"/>
      </w:r>
      <w:bookmarkEnd w:id="17"/>
      <w:r w:rsidRPr="008D0241">
        <w:rPr>
          <w:i w:val="0"/>
          <w:iCs w:val="0"/>
        </w:rPr>
        <w:t xml:space="preserve"> Comportamiento Demanda Regulada Esencial </w:t>
      </w:r>
      <w:r w:rsidR="004B170D">
        <w:rPr>
          <w:i w:val="0"/>
          <w:iCs w:val="0"/>
        </w:rPr>
        <w:t>Mercado</w:t>
      </w:r>
      <w:r w:rsidRPr="008D0241">
        <w:rPr>
          <w:i w:val="0"/>
          <w:iCs w:val="0"/>
        </w:rPr>
        <w:t xml:space="preserve"> X en 2021</w:t>
      </w:r>
      <w:bookmarkEnd w:id="18"/>
    </w:p>
    <w:p w14:paraId="3C4FBEF0" w14:textId="20888CBF" w:rsidR="00F31953" w:rsidRDefault="008D0241" w:rsidP="00CF75E0">
      <w:pPr>
        <w:jc w:val="left"/>
        <w:rPr>
          <w:sz w:val="22"/>
          <w:szCs w:val="22"/>
        </w:rPr>
      </w:pPr>
      <w:r>
        <w:rPr>
          <w:sz w:val="22"/>
          <w:szCs w:val="22"/>
        </w:rPr>
        <w:object w:dxaOrig="17275" w:dyaOrig="9677" w14:anchorId="05D6C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278.25pt" o:ole="">
            <v:imagedata r:id="rId18" o:title=""/>
          </v:shape>
          <o:OLEObject Type="Embed" ProgID="Excel.Sheet.12" ShapeID="_x0000_i1025" DrawAspect="Content" ObjectID="_1780406832" r:id="rId19"/>
        </w:object>
      </w:r>
    </w:p>
    <w:p w14:paraId="27E38F01" w14:textId="45EAC3C6" w:rsidR="00F31953" w:rsidRDefault="00F31953" w:rsidP="00CF75E0">
      <w:pPr>
        <w:jc w:val="left"/>
        <w:rPr>
          <w:sz w:val="22"/>
          <w:szCs w:val="22"/>
        </w:rPr>
      </w:pPr>
      <w:r>
        <w:rPr>
          <w:sz w:val="22"/>
          <w:szCs w:val="22"/>
        </w:rPr>
        <w:t>A partir de dicha ilustración se pueden concluir que:</w:t>
      </w:r>
    </w:p>
    <w:p w14:paraId="7AFE61C2" w14:textId="77777777" w:rsidR="00F31953" w:rsidRDefault="00F31953" w:rsidP="00CF75E0">
      <w:pPr>
        <w:jc w:val="left"/>
        <w:rPr>
          <w:sz w:val="22"/>
          <w:szCs w:val="22"/>
        </w:rPr>
      </w:pPr>
    </w:p>
    <w:p w14:paraId="4ED7F0AD" w14:textId="76319B22" w:rsidR="00C632FA" w:rsidRDefault="00C632FA" w:rsidP="00CF75E0">
      <w:pPr>
        <w:pStyle w:val="Prrafodelista"/>
        <w:numPr>
          <w:ilvl w:val="0"/>
          <w:numId w:val="20"/>
        </w:numPr>
        <w:jc w:val="left"/>
        <w:rPr>
          <w:sz w:val="22"/>
          <w:szCs w:val="22"/>
        </w:rPr>
      </w:pPr>
      <w:r>
        <w:rPr>
          <w:sz w:val="22"/>
          <w:szCs w:val="22"/>
        </w:rPr>
        <w:t>En los días laborales se encuentran los mayores porcentajes de consumo del gas natural;</w:t>
      </w:r>
    </w:p>
    <w:p w14:paraId="056574F7" w14:textId="2B98B1F4" w:rsidR="00C632FA" w:rsidRDefault="00C632FA" w:rsidP="00CF75E0">
      <w:pPr>
        <w:pStyle w:val="Prrafodelista"/>
        <w:numPr>
          <w:ilvl w:val="0"/>
          <w:numId w:val="20"/>
        </w:numPr>
        <w:jc w:val="left"/>
        <w:rPr>
          <w:sz w:val="22"/>
          <w:szCs w:val="22"/>
        </w:rPr>
      </w:pPr>
      <w:r>
        <w:rPr>
          <w:sz w:val="22"/>
          <w:szCs w:val="22"/>
        </w:rPr>
        <w:t xml:space="preserve">En los días sábados el consumo </w:t>
      </w:r>
      <w:r w:rsidRPr="00C632FA">
        <w:rPr>
          <w:sz w:val="22"/>
          <w:szCs w:val="22"/>
        </w:rPr>
        <w:t xml:space="preserve">se reduce a niveles de 90 % respecto del promedio de </w:t>
      </w:r>
      <w:r>
        <w:rPr>
          <w:sz w:val="22"/>
          <w:szCs w:val="22"/>
        </w:rPr>
        <w:t xml:space="preserve">consumo de </w:t>
      </w:r>
      <w:r w:rsidRPr="00C632FA">
        <w:rPr>
          <w:sz w:val="22"/>
          <w:szCs w:val="22"/>
        </w:rPr>
        <w:t>día laboral</w:t>
      </w:r>
      <w:r>
        <w:rPr>
          <w:sz w:val="22"/>
          <w:szCs w:val="22"/>
        </w:rPr>
        <w:t>;</w:t>
      </w:r>
    </w:p>
    <w:p w14:paraId="6E838A18" w14:textId="0323B55B" w:rsidR="00C632FA" w:rsidRDefault="00C632FA" w:rsidP="00CF75E0">
      <w:pPr>
        <w:pStyle w:val="Prrafodelista"/>
        <w:numPr>
          <w:ilvl w:val="0"/>
          <w:numId w:val="20"/>
        </w:numPr>
        <w:jc w:val="left"/>
        <w:rPr>
          <w:sz w:val="22"/>
          <w:szCs w:val="22"/>
        </w:rPr>
      </w:pPr>
      <w:r>
        <w:rPr>
          <w:sz w:val="22"/>
          <w:szCs w:val="22"/>
        </w:rPr>
        <w:t xml:space="preserve">En los días domingos o festivos, el consumo se reduce al </w:t>
      </w:r>
      <w:r w:rsidRPr="00C632FA">
        <w:rPr>
          <w:sz w:val="22"/>
          <w:szCs w:val="22"/>
        </w:rPr>
        <w:t>72%</w:t>
      </w:r>
      <w:r>
        <w:rPr>
          <w:sz w:val="22"/>
          <w:szCs w:val="22"/>
        </w:rPr>
        <w:t xml:space="preserve"> </w:t>
      </w:r>
      <w:r w:rsidRPr="00C632FA">
        <w:rPr>
          <w:sz w:val="22"/>
          <w:szCs w:val="22"/>
        </w:rPr>
        <w:t xml:space="preserve">respecto del promedio de </w:t>
      </w:r>
      <w:r>
        <w:rPr>
          <w:sz w:val="22"/>
          <w:szCs w:val="22"/>
        </w:rPr>
        <w:t xml:space="preserve">consumo de </w:t>
      </w:r>
      <w:r w:rsidRPr="00C632FA">
        <w:rPr>
          <w:sz w:val="22"/>
          <w:szCs w:val="22"/>
        </w:rPr>
        <w:t>día laboral</w:t>
      </w:r>
      <w:r>
        <w:rPr>
          <w:sz w:val="22"/>
          <w:szCs w:val="22"/>
        </w:rPr>
        <w:t>.</w:t>
      </w:r>
    </w:p>
    <w:p w14:paraId="3E6ADDFB" w14:textId="78AFBCF5" w:rsidR="00EE796E" w:rsidRPr="00EE796E" w:rsidRDefault="00EE796E" w:rsidP="00EE796E">
      <w:pPr>
        <w:jc w:val="left"/>
        <w:rPr>
          <w:b/>
          <w:bCs/>
          <w:sz w:val="22"/>
          <w:szCs w:val="22"/>
        </w:rPr>
      </w:pPr>
    </w:p>
    <w:p w14:paraId="19AA7237" w14:textId="3B65FC96" w:rsidR="00C632FA" w:rsidRDefault="00AD48B0" w:rsidP="00AD48B0">
      <w:pPr>
        <w:jc w:val="left"/>
        <w:rPr>
          <w:sz w:val="22"/>
          <w:szCs w:val="22"/>
        </w:rPr>
      </w:pPr>
      <w:r w:rsidRPr="00AD48B0">
        <w:rPr>
          <w:sz w:val="22"/>
          <w:szCs w:val="22"/>
        </w:rPr>
        <w:t xml:space="preserve">La Comisión en sesión 1307 de 2024 aprobó la </w:t>
      </w:r>
      <w:r>
        <w:rPr>
          <w:sz w:val="22"/>
          <w:szCs w:val="22"/>
        </w:rPr>
        <w:t xml:space="preserve">publicación de la </w:t>
      </w:r>
      <w:r w:rsidRPr="00AD48B0">
        <w:rPr>
          <w:sz w:val="22"/>
          <w:szCs w:val="22"/>
        </w:rPr>
        <w:t>Resolución CREG 102 006 de 2024, sin embargo, dicho acto administrativo no es oponible, toda vez que el texto aprobado no correspondió al que fue objeto de concepto de abogacía de la competencia por parte de la Superintendencia de Industria y Comercio. En virtud de lo anterior, en la resolución</w:t>
      </w:r>
      <w:r>
        <w:rPr>
          <w:sz w:val="22"/>
          <w:szCs w:val="22"/>
        </w:rPr>
        <w:t xml:space="preserve"> definitiva</w:t>
      </w:r>
      <w:r w:rsidRPr="00AD48B0">
        <w:rPr>
          <w:sz w:val="22"/>
          <w:szCs w:val="22"/>
        </w:rPr>
        <w:t>, se está derogando en forma expresa la Resolución CREG 102 006 de 2024.</w:t>
      </w:r>
    </w:p>
    <w:p w14:paraId="4E804A15" w14:textId="77777777" w:rsidR="00AD48B0" w:rsidRPr="00C632FA" w:rsidRDefault="00AD48B0" w:rsidP="00AD48B0">
      <w:pPr>
        <w:jc w:val="left"/>
        <w:rPr>
          <w:sz w:val="22"/>
          <w:szCs w:val="22"/>
        </w:rPr>
      </w:pPr>
    </w:p>
    <w:p w14:paraId="3DA1B3F3" w14:textId="77777777" w:rsidR="002278AA" w:rsidRDefault="002278AA" w:rsidP="00CF75E0">
      <w:pPr>
        <w:jc w:val="left"/>
        <w:rPr>
          <w:bCs/>
          <w:sz w:val="22"/>
        </w:rPr>
      </w:pPr>
    </w:p>
    <w:p w14:paraId="2FFA0864" w14:textId="0E4C0DA2" w:rsidR="006141EA" w:rsidRPr="00313D59" w:rsidRDefault="006141EA" w:rsidP="00CF75E0">
      <w:pPr>
        <w:pStyle w:val="Ttulo1"/>
        <w:numPr>
          <w:ilvl w:val="0"/>
          <w:numId w:val="14"/>
        </w:numPr>
        <w:spacing w:after="0"/>
        <w:ind w:left="431" w:hanging="431"/>
        <w:jc w:val="left"/>
        <w:rPr>
          <w:szCs w:val="24"/>
        </w:rPr>
      </w:pPr>
      <w:bookmarkStart w:id="19" w:name="_Toc158211401"/>
      <w:r>
        <w:rPr>
          <w:szCs w:val="24"/>
        </w:rPr>
        <w:t>DEFINICIÓN DEL PROBLEMA</w:t>
      </w:r>
      <w:bookmarkEnd w:id="19"/>
    </w:p>
    <w:p w14:paraId="5E3AA2CF" w14:textId="77777777" w:rsidR="006141EA" w:rsidRDefault="006141EA" w:rsidP="00CF75E0">
      <w:pPr>
        <w:jc w:val="left"/>
        <w:rPr>
          <w:bCs/>
          <w:sz w:val="22"/>
        </w:rPr>
      </w:pPr>
    </w:p>
    <w:p w14:paraId="2804A613" w14:textId="1974314E" w:rsidR="00623873" w:rsidRDefault="00623873" w:rsidP="00CF75E0">
      <w:pPr>
        <w:jc w:val="left"/>
        <w:rPr>
          <w:bCs/>
          <w:sz w:val="22"/>
        </w:rPr>
      </w:pPr>
      <w:r>
        <w:rPr>
          <w:bCs/>
          <w:sz w:val="22"/>
        </w:rPr>
        <w:t xml:space="preserve">Se presentan en forma simultánea condiciones atípicas en el suministro del gas natural (suficiencia de la oferta de mínimo un año, insalvables restricciones no transitorias, condiciones establecidas por los vendedores en las negociaciones directas), como en los comportamientos de la contratación de la demanda (cubrimiento en contratos de tipo firme de la Demanda Esencial, presencia de un Fenómeno de El Niño) que dificultan las obligaciones de cumplimiento de los comercializadores en la prestación del servicio público domiciliario de gas combustible con gas natural, en las actuales condiciones establecidas por la regulación para el </w:t>
      </w:r>
      <w:r w:rsidR="004B170D">
        <w:rPr>
          <w:bCs/>
          <w:sz w:val="22"/>
        </w:rPr>
        <w:lastRenderedPageBreak/>
        <w:t>Mercado</w:t>
      </w:r>
      <w:r>
        <w:rPr>
          <w:bCs/>
          <w:sz w:val="22"/>
        </w:rPr>
        <w:t xml:space="preserve"> </w:t>
      </w:r>
      <w:r w:rsidR="004B170D">
        <w:rPr>
          <w:bCs/>
          <w:sz w:val="22"/>
        </w:rPr>
        <w:t>Mayorista</w:t>
      </w:r>
      <w:r>
        <w:rPr>
          <w:bCs/>
          <w:sz w:val="22"/>
        </w:rPr>
        <w:t xml:space="preserve"> de gas natural</w:t>
      </w:r>
      <w:r w:rsidR="003F2BF1">
        <w:rPr>
          <w:bCs/>
          <w:sz w:val="22"/>
        </w:rPr>
        <w:t>,</w:t>
      </w:r>
      <w:r w:rsidR="00CE13D1">
        <w:rPr>
          <w:bCs/>
          <w:sz w:val="22"/>
        </w:rPr>
        <w:t xml:space="preserve"> ya sea para el gas natural de origen nacional como para el gas natural </w:t>
      </w:r>
      <w:r w:rsidR="003F2BF1">
        <w:rPr>
          <w:bCs/>
          <w:sz w:val="22"/>
        </w:rPr>
        <w:t>obtenido</w:t>
      </w:r>
      <w:r w:rsidR="00CE13D1">
        <w:rPr>
          <w:bCs/>
          <w:sz w:val="22"/>
        </w:rPr>
        <w:t xml:space="preserve"> en el exterior</w:t>
      </w:r>
      <w:r>
        <w:rPr>
          <w:bCs/>
          <w:sz w:val="22"/>
        </w:rPr>
        <w:t>.</w:t>
      </w:r>
    </w:p>
    <w:p w14:paraId="75F82822" w14:textId="77777777" w:rsidR="00623873" w:rsidRDefault="00623873" w:rsidP="00CF75E0">
      <w:pPr>
        <w:jc w:val="left"/>
        <w:rPr>
          <w:bCs/>
          <w:sz w:val="22"/>
        </w:rPr>
      </w:pPr>
    </w:p>
    <w:p w14:paraId="04520E1D" w14:textId="7B06661A" w:rsidR="009C5245" w:rsidRDefault="003F2BF1" w:rsidP="00CF75E0">
      <w:pPr>
        <w:jc w:val="left"/>
        <w:rPr>
          <w:bCs/>
          <w:sz w:val="22"/>
        </w:rPr>
      </w:pPr>
      <w:r>
        <w:rPr>
          <w:bCs/>
          <w:sz w:val="22"/>
        </w:rPr>
        <w:t>Por otra parte, a</w:t>
      </w:r>
      <w:r w:rsidR="009C5245">
        <w:rPr>
          <w:bCs/>
          <w:sz w:val="22"/>
        </w:rPr>
        <w:t xml:space="preserve"> pesar </w:t>
      </w:r>
      <w:r w:rsidR="003E064F">
        <w:rPr>
          <w:bCs/>
          <w:sz w:val="22"/>
        </w:rPr>
        <w:t xml:space="preserve">de </w:t>
      </w:r>
      <w:r w:rsidR="009C5245">
        <w:rPr>
          <w:bCs/>
          <w:sz w:val="22"/>
        </w:rPr>
        <w:t xml:space="preserve">que hay volúmenes de gas nacional de tipo firme contratado en el </w:t>
      </w:r>
      <w:r w:rsidR="004B170D">
        <w:rPr>
          <w:bCs/>
          <w:sz w:val="22"/>
        </w:rPr>
        <w:t>Mercado</w:t>
      </w:r>
      <w:r w:rsidR="009C5245">
        <w:rPr>
          <w:bCs/>
          <w:sz w:val="22"/>
        </w:rPr>
        <w:t xml:space="preserve"> </w:t>
      </w:r>
      <w:r w:rsidR="004B170D">
        <w:rPr>
          <w:bCs/>
          <w:sz w:val="22"/>
        </w:rPr>
        <w:t>Primario</w:t>
      </w:r>
      <w:r w:rsidR="009C5245">
        <w:rPr>
          <w:bCs/>
          <w:sz w:val="22"/>
        </w:rPr>
        <w:t xml:space="preserve"> para atender </w:t>
      </w:r>
      <w:r>
        <w:rPr>
          <w:bCs/>
          <w:sz w:val="22"/>
        </w:rPr>
        <w:t xml:space="preserve">la totalidad de </w:t>
      </w:r>
      <w:r w:rsidR="009C5245">
        <w:rPr>
          <w:bCs/>
          <w:sz w:val="22"/>
        </w:rPr>
        <w:t xml:space="preserve">las necesidades </w:t>
      </w:r>
      <w:r w:rsidR="006E0593">
        <w:rPr>
          <w:bCs/>
          <w:sz w:val="22"/>
        </w:rPr>
        <w:t xml:space="preserve">finales </w:t>
      </w:r>
      <w:r w:rsidR="009C5245">
        <w:rPr>
          <w:bCs/>
          <w:sz w:val="22"/>
        </w:rPr>
        <w:t>de la demanda residencial, la demanda de los pequeños usuarios comerciales y la demanda de GNCV, es posible que ante las circunstancias de</w:t>
      </w:r>
      <w:r w:rsidR="003E5DB0">
        <w:rPr>
          <w:bCs/>
          <w:sz w:val="22"/>
        </w:rPr>
        <w:t xml:space="preserve"> incremento de la</w:t>
      </w:r>
      <w:r w:rsidR="009C5245">
        <w:rPr>
          <w:bCs/>
          <w:sz w:val="22"/>
        </w:rPr>
        <w:t xml:space="preserve"> demanda del sector termoeléctrico e incluso de la </w:t>
      </w:r>
      <w:r w:rsidR="006E0593">
        <w:rPr>
          <w:bCs/>
          <w:sz w:val="22"/>
        </w:rPr>
        <w:t xml:space="preserve">misma </w:t>
      </w:r>
      <w:r w:rsidR="009C5245">
        <w:rPr>
          <w:bCs/>
          <w:sz w:val="22"/>
        </w:rPr>
        <w:t xml:space="preserve">demanda regulada, </w:t>
      </w:r>
      <w:r w:rsidR="003E064F">
        <w:rPr>
          <w:bCs/>
          <w:sz w:val="22"/>
        </w:rPr>
        <w:t xml:space="preserve">algunos de los vendedores y </w:t>
      </w:r>
      <w:r w:rsidR="006E0593">
        <w:rPr>
          <w:bCs/>
          <w:sz w:val="22"/>
        </w:rPr>
        <w:t xml:space="preserve">las empresas comercializadoras con faltantes de suministro en el </w:t>
      </w:r>
      <w:r w:rsidR="004B170D">
        <w:rPr>
          <w:bCs/>
          <w:sz w:val="22"/>
        </w:rPr>
        <w:t>Mercado</w:t>
      </w:r>
      <w:r w:rsidR="006E0593">
        <w:rPr>
          <w:bCs/>
          <w:sz w:val="22"/>
        </w:rPr>
        <w:t xml:space="preserve"> </w:t>
      </w:r>
      <w:r w:rsidR="004B170D">
        <w:rPr>
          <w:bCs/>
          <w:sz w:val="22"/>
        </w:rPr>
        <w:t>Primario</w:t>
      </w:r>
      <w:r w:rsidR="006E0593">
        <w:rPr>
          <w:bCs/>
          <w:sz w:val="22"/>
        </w:rPr>
        <w:t xml:space="preserve"> </w:t>
      </w:r>
      <w:r w:rsidR="003E5DB0">
        <w:rPr>
          <w:bCs/>
          <w:sz w:val="22"/>
        </w:rPr>
        <w:t>se encuentren con las siguiente</w:t>
      </w:r>
      <w:r w:rsidR="003E064F">
        <w:rPr>
          <w:bCs/>
          <w:sz w:val="22"/>
        </w:rPr>
        <w:t>s</w:t>
      </w:r>
      <w:r w:rsidR="003E5DB0">
        <w:rPr>
          <w:bCs/>
          <w:sz w:val="22"/>
        </w:rPr>
        <w:t xml:space="preserve"> situaciones</w:t>
      </w:r>
      <w:r w:rsidR="003E064F">
        <w:rPr>
          <w:bCs/>
          <w:sz w:val="22"/>
        </w:rPr>
        <w:t xml:space="preserve"> en el </w:t>
      </w:r>
      <w:r w:rsidR="004B170D">
        <w:rPr>
          <w:bCs/>
          <w:sz w:val="22"/>
        </w:rPr>
        <w:t>Mercado</w:t>
      </w:r>
      <w:r w:rsidR="003E064F">
        <w:rPr>
          <w:bCs/>
          <w:sz w:val="22"/>
        </w:rPr>
        <w:t xml:space="preserve"> </w:t>
      </w:r>
      <w:r w:rsidR="004B170D">
        <w:rPr>
          <w:bCs/>
          <w:sz w:val="22"/>
        </w:rPr>
        <w:t>Secundario</w:t>
      </w:r>
      <w:r w:rsidR="003E5DB0">
        <w:rPr>
          <w:bCs/>
          <w:sz w:val="22"/>
        </w:rPr>
        <w:t>: i.) No obten</w:t>
      </w:r>
      <w:r w:rsidR="003E064F">
        <w:rPr>
          <w:bCs/>
          <w:sz w:val="22"/>
        </w:rPr>
        <w:t>er</w:t>
      </w:r>
      <w:r w:rsidR="003E5DB0">
        <w:rPr>
          <w:bCs/>
          <w:sz w:val="22"/>
        </w:rPr>
        <w:t xml:space="preserve"> en forma oportuna y suficiente información </w:t>
      </w:r>
      <w:r w:rsidR="00780F51">
        <w:rPr>
          <w:bCs/>
          <w:sz w:val="22"/>
        </w:rPr>
        <w:t>que debe publicar</w:t>
      </w:r>
      <w:r w:rsidR="003E5DB0">
        <w:rPr>
          <w:bCs/>
          <w:sz w:val="22"/>
        </w:rPr>
        <w:t xml:space="preserve"> el Gestor del </w:t>
      </w:r>
      <w:r w:rsidR="004B170D">
        <w:rPr>
          <w:bCs/>
          <w:sz w:val="22"/>
        </w:rPr>
        <w:t>Mercado</w:t>
      </w:r>
      <w:r w:rsidR="003E5DB0">
        <w:rPr>
          <w:bCs/>
          <w:sz w:val="22"/>
        </w:rPr>
        <w:t xml:space="preserve"> concerniente a la oferta disponible </w:t>
      </w:r>
      <w:r w:rsidR="003E064F">
        <w:rPr>
          <w:bCs/>
          <w:sz w:val="22"/>
        </w:rPr>
        <w:t>y a la</w:t>
      </w:r>
      <w:r w:rsidR="00C416BA">
        <w:rPr>
          <w:bCs/>
          <w:sz w:val="22"/>
        </w:rPr>
        <w:t>s solicitudes de compra (o</w:t>
      </w:r>
      <w:r w:rsidR="003E5DB0">
        <w:rPr>
          <w:bCs/>
          <w:sz w:val="22"/>
        </w:rPr>
        <w:t xml:space="preserve">ferentes, cantidades, precios, </w:t>
      </w:r>
      <w:r w:rsidR="003E064F">
        <w:rPr>
          <w:bCs/>
          <w:sz w:val="22"/>
        </w:rPr>
        <w:t>duración de contratos</w:t>
      </w:r>
      <w:r w:rsidR="003E5DB0">
        <w:rPr>
          <w:bCs/>
          <w:sz w:val="22"/>
        </w:rPr>
        <w:t>)</w:t>
      </w:r>
      <w:r w:rsidR="003E064F">
        <w:rPr>
          <w:bCs/>
          <w:sz w:val="22"/>
        </w:rPr>
        <w:t>; ii.) No</w:t>
      </w:r>
      <w:r w:rsidR="009C5245">
        <w:rPr>
          <w:bCs/>
          <w:sz w:val="22"/>
        </w:rPr>
        <w:t xml:space="preserve"> obten</w:t>
      </w:r>
      <w:r w:rsidR="003E064F">
        <w:rPr>
          <w:bCs/>
          <w:sz w:val="22"/>
        </w:rPr>
        <w:t>er</w:t>
      </w:r>
      <w:r w:rsidR="009C5245">
        <w:rPr>
          <w:bCs/>
          <w:sz w:val="22"/>
        </w:rPr>
        <w:t xml:space="preserve"> </w:t>
      </w:r>
      <w:r w:rsidR="006E0593">
        <w:rPr>
          <w:bCs/>
          <w:sz w:val="22"/>
        </w:rPr>
        <w:t xml:space="preserve">en el </w:t>
      </w:r>
      <w:r w:rsidR="004B170D">
        <w:rPr>
          <w:bCs/>
          <w:sz w:val="22"/>
        </w:rPr>
        <w:t>Mercado</w:t>
      </w:r>
      <w:r w:rsidR="006E0593">
        <w:rPr>
          <w:bCs/>
          <w:sz w:val="22"/>
        </w:rPr>
        <w:t xml:space="preserve"> </w:t>
      </w:r>
      <w:r w:rsidR="004B170D">
        <w:rPr>
          <w:bCs/>
          <w:sz w:val="22"/>
        </w:rPr>
        <w:t>Secundario</w:t>
      </w:r>
      <w:r w:rsidR="006E0593">
        <w:rPr>
          <w:bCs/>
          <w:sz w:val="22"/>
        </w:rPr>
        <w:t xml:space="preserve"> </w:t>
      </w:r>
      <w:r w:rsidR="009C5245">
        <w:rPr>
          <w:bCs/>
          <w:sz w:val="22"/>
        </w:rPr>
        <w:t>las cantidades suficientes para atender la totalidad de la demanda a precios accesibles</w:t>
      </w:r>
      <w:r w:rsidR="00990C93">
        <w:rPr>
          <w:bCs/>
          <w:sz w:val="22"/>
        </w:rPr>
        <w:t>,</w:t>
      </w:r>
      <w:r w:rsidR="009C5245">
        <w:rPr>
          <w:bCs/>
          <w:sz w:val="22"/>
        </w:rPr>
        <w:t xml:space="preserve"> lo cual puede ser exacerbado </w:t>
      </w:r>
      <w:r w:rsidR="00CE13D1">
        <w:rPr>
          <w:bCs/>
          <w:sz w:val="22"/>
        </w:rPr>
        <w:t>ante Insalvables Restricciones en la Oferta de Gas Natural, No Transitorias</w:t>
      </w:r>
      <w:r w:rsidR="00C416BA">
        <w:rPr>
          <w:bCs/>
          <w:sz w:val="22"/>
        </w:rPr>
        <w:t>,</w:t>
      </w:r>
      <w:r w:rsidR="00CE13D1">
        <w:rPr>
          <w:bCs/>
          <w:sz w:val="22"/>
        </w:rPr>
        <w:t xml:space="preserve"> que se presentan actualmente o</w:t>
      </w:r>
      <w:r w:rsidR="00215B79">
        <w:rPr>
          <w:bCs/>
          <w:sz w:val="22"/>
        </w:rPr>
        <w:t>,</w:t>
      </w:r>
      <w:r w:rsidR="00CE13D1">
        <w:rPr>
          <w:bCs/>
          <w:sz w:val="22"/>
        </w:rPr>
        <w:t xml:space="preserve"> eventualmente</w:t>
      </w:r>
      <w:r w:rsidR="00215B79">
        <w:rPr>
          <w:bCs/>
          <w:sz w:val="22"/>
        </w:rPr>
        <w:t>,</w:t>
      </w:r>
      <w:r w:rsidR="00CE13D1">
        <w:rPr>
          <w:bCs/>
          <w:sz w:val="22"/>
        </w:rPr>
        <w:t xml:space="preserve"> en el inmediato futuro.</w:t>
      </w:r>
      <w:r w:rsidR="009C5245">
        <w:rPr>
          <w:bCs/>
          <w:sz w:val="22"/>
        </w:rPr>
        <w:t xml:space="preserve"> </w:t>
      </w:r>
      <w:r w:rsidR="00AF2369">
        <w:rPr>
          <w:bCs/>
          <w:sz w:val="22"/>
        </w:rPr>
        <w:t xml:space="preserve">Lo anterior </w:t>
      </w:r>
      <w:r w:rsidR="003E064F">
        <w:rPr>
          <w:bCs/>
          <w:sz w:val="22"/>
        </w:rPr>
        <w:t xml:space="preserve">con mayor significancia para los agentes que atienden o son parte de la Demanda Esencial, por las consecuencias de no contar con contratos de suministro de tipo firme (con Respaldo Físico). </w:t>
      </w:r>
    </w:p>
    <w:p w14:paraId="6153EF93" w14:textId="77777777" w:rsidR="009C5245" w:rsidRDefault="009C5245" w:rsidP="00CF75E0">
      <w:pPr>
        <w:jc w:val="left"/>
        <w:rPr>
          <w:bCs/>
          <w:sz w:val="22"/>
        </w:rPr>
      </w:pPr>
    </w:p>
    <w:p w14:paraId="4075F5B6" w14:textId="056EE95E" w:rsidR="001C1D61" w:rsidRDefault="001C1D61" w:rsidP="00CF75E0">
      <w:pPr>
        <w:jc w:val="left"/>
        <w:rPr>
          <w:bCs/>
          <w:sz w:val="22"/>
        </w:rPr>
      </w:pPr>
      <w:r>
        <w:rPr>
          <w:bCs/>
          <w:sz w:val="22"/>
        </w:rPr>
        <w:t>Asimismo, un agente vendedor con muy alta participación en la oferta de suministro de</w:t>
      </w:r>
      <w:r w:rsidR="003B5FFB">
        <w:rPr>
          <w:bCs/>
          <w:sz w:val="22"/>
        </w:rPr>
        <w:t>l</w:t>
      </w:r>
      <w:r>
        <w:rPr>
          <w:bCs/>
          <w:sz w:val="22"/>
        </w:rPr>
        <w:t xml:space="preserve"> gas natural, ha mencionado que en las actuales circunstancias de negociaciones directas, no podía discriminar por iniciativa propia y a falta de competencia en la oferta en el </w:t>
      </w:r>
      <w:r w:rsidR="004B170D">
        <w:rPr>
          <w:bCs/>
          <w:sz w:val="22"/>
        </w:rPr>
        <w:t>Mercado</w:t>
      </w:r>
      <w:r>
        <w:rPr>
          <w:bCs/>
          <w:sz w:val="22"/>
        </w:rPr>
        <w:t>, la asignación a los compradores dependiendo del tipo de demanda final que se propone atender con los contratos</w:t>
      </w:r>
      <w:r w:rsidR="00EF33C4">
        <w:rPr>
          <w:bCs/>
          <w:sz w:val="22"/>
        </w:rPr>
        <w:t xml:space="preserve"> de suministro</w:t>
      </w:r>
      <w:r>
        <w:rPr>
          <w:bCs/>
          <w:sz w:val="22"/>
        </w:rPr>
        <w:t xml:space="preserve">. Que para ello se consideraba necesario que la regulación precisase dichas reglas de discriminación. </w:t>
      </w:r>
    </w:p>
    <w:p w14:paraId="610EA84A" w14:textId="086012CC" w:rsidR="001C1D61" w:rsidRDefault="001C1D61" w:rsidP="00CF75E0">
      <w:pPr>
        <w:jc w:val="left"/>
        <w:rPr>
          <w:bCs/>
          <w:sz w:val="22"/>
        </w:rPr>
      </w:pPr>
    </w:p>
    <w:p w14:paraId="6123DCFC" w14:textId="380D985D" w:rsidR="00947B06" w:rsidRDefault="002E5FE3" w:rsidP="00CF75E0">
      <w:pPr>
        <w:jc w:val="left"/>
        <w:rPr>
          <w:bCs/>
          <w:sz w:val="22"/>
        </w:rPr>
      </w:pPr>
      <w:r>
        <w:rPr>
          <w:bCs/>
          <w:sz w:val="22"/>
        </w:rPr>
        <w:t>Es importante entender la diferencia entre lo que significa un</w:t>
      </w:r>
      <w:r w:rsidR="00E66A01">
        <w:rPr>
          <w:bCs/>
          <w:sz w:val="22"/>
        </w:rPr>
        <w:t xml:space="preserve"> déficit </w:t>
      </w:r>
      <w:r>
        <w:rPr>
          <w:bCs/>
          <w:sz w:val="22"/>
        </w:rPr>
        <w:t>contractual y lo que significa un</w:t>
      </w:r>
      <w:r w:rsidR="00E66A01">
        <w:rPr>
          <w:bCs/>
          <w:sz w:val="22"/>
        </w:rPr>
        <w:t xml:space="preserve"> déficit</w:t>
      </w:r>
      <w:r>
        <w:rPr>
          <w:bCs/>
          <w:sz w:val="22"/>
        </w:rPr>
        <w:t xml:space="preserve"> físic</w:t>
      </w:r>
      <w:r w:rsidR="00E66A01">
        <w:rPr>
          <w:bCs/>
          <w:sz w:val="22"/>
        </w:rPr>
        <w:t>o</w:t>
      </w:r>
      <w:r>
        <w:rPr>
          <w:bCs/>
          <w:sz w:val="22"/>
        </w:rPr>
        <w:t>, en el contexto de la regulación del mercado mayorista de gas natural establecida por la CREG. En el primer caso (</w:t>
      </w:r>
      <w:r w:rsidR="00E66A01">
        <w:rPr>
          <w:bCs/>
          <w:sz w:val="22"/>
        </w:rPr>
        <w:t xml:space="preserve">déficit </w:t>
      </w:r>
      <w:r>
        <w:rPr>
          <w:bCs/>
          <w:sz w:val="22"/>
        </w:rPr>
        <w:t>contractual) se entiende que los vendedores</w:t>
      </w:r>
      <w:r w:rsidR="00A41282">
        <w:rPr>
          <w:bCs/>
          <w:sz w:val="22"/>
        </w:rPr>
        <w:t xml:space="preserve">, en particular los del Mercado Primario, </w:t>
      </w:r>
      <w:r>
        <w:rPr>
          <w:bCs/>
          <w:sz w:val="22"/>
        </w:rPr>
        <w:t xml:space="preserve">no tienen la suficiente cantidad ofertada </w:t>
      </w:r>
      <w:r w:rsidR="00261B44">
        <w:rPr>
          <w:bCs/>
          <w:sz w:val="22"/>
        </w:rPr>
        <w:t xml:space="preserve">en firme </w:t>
      </w:r>
      <w:r>
        <w:rPr>
          <w:bCs/>
          <w:sz w:val="22"/>
        </w:rPr>
        <w:t xml:space="preserve">para atender la totalidad de las necesidades de cantidades a contratar en firme informadas </w:t>
      </w:r>
      <w:r w:rsidR="00261B44">
        <w:rPr>
          <w:bCs/>
          <w:sz w:val="22"/>
        </w:rPr>
        <w:t xml:space="preserve">o solicitadas </w:t>
      </w:r>
      <w:r>
        <w:rPr>
          <w:bCs/>
          <w:sz w:val="22"/>
        </w:rPr>
        <w:t xml:space="preserve">por parte de los compradores. </w:t>
      </w:r>
      <w:r w:rsidR="00D07716">
        <w:rPr>
          <w:bCs/>
          <w:sz w:val="22"/>
        </w:rPr>
        <w:t xml:space="preserve">Dichas cantidades ofertadas están respaldadas con </w:t>
      </w:r>
      <w:r w:rsidR="00597EFB">
        <w:rPr>
          <w:bCs/>
          <w:sz w:val="22"/>
        </w:rPr>
        <w:t xml:space="preserve">un plan de desarrollo de reservas que incluye la capacidad de producirlas, realizar su tratamiento </w:t>
      </w:r>
      <w:r w:rsidR="000F798A">
        <w:rPr>
          <w:bCs/>
          <w:sz w:val="22"/>
        </w:rPr>
        <w:t>para cumplir con la calidad necesaria</w:t>
      </w:r>
      <w:r w:rsidR="00597EFB">
        <w:rPr>
          <w:bCs/>
          <w:sz w:val="22"/>
        </w:rPr>
        <w:t xml:space="preserve"> e inyectarlas al SNT</w:t>
      </w:r>
      <w:r w:rsidR="00D74C27">
        <w:rPr>
          <w:bCs/>
          <w:sz w:val="22"/>
        </w:rPr>
        <w:t xml:space="preserve"> o entregarlas en boca de pozo</w:t>
      </w:r>
      <w:r w:rsidR="00597EFB">
        <w:rPr>
          <w:bCs/>
          <w:sz w:val="22"/>
        </w:rPr>
        <w:t xml:space="preserve">. </w:t>
      </w:r>
      <w:r>
        <w:rPr>
          <w:bCs/>
          <w:sz w:val="22"/>
        </w:rPr>
        <w:t>Sin embargo, ello no implica que esas cantidades contratadas sean las que finalmente se</w:t>
      </w:r>
      <w:r w:rsidR="00D74C27">
        <w:rPr>
          <w:bCs/>
          <w:sz w:val="22"/>
        </w:rPr>
        <w:t>an</w:t>
      </w:r>
      <w:r>
        <w:rPr>
          <w:bCs/>
          <w:sz w:val="22"/>
        </w:rPr>
        <w:t xml:space="preserve"> </w:t>
      </w:r>
      <w:r w:rsidR="00D74C27">
        <w:rPr>
          <w:bCs/>
          <w:sz w:val="22"/>
        </w:rPr>
        <w:t xml:space="preserve">nominadas diariamente </w:t>
      </w:r>
      <w:r w:rsidR="00947B06">
        <w:rPr>
          <w:bCs/>
          <w:sz w:val="22"/>
        </w:rPr>
        <w:t>por el comprador</w:t>
      </w:r>
      <w:r>
        <w:rPr>
          <w:bCs/>
          <w:sz w:val="22"/>
        </w:rPr>
        <w:t xml:space="preserve"> y despacha</w:t>
      </w:r>
      <w:r w:rsidR="00D74C27">
        <w:rPr>
          <w:bCs/>
          <w:sz w:val="22"/>
        </w:rPr>
        <w:t>das</w:t>
      </w:r>
      <w:r>
        <w:rPr>
          <w:bCs/>
          <w:sz w:val="22"/>
        </w:rPr>
        <w:t xml:space="preserve"> </w:t>
      </w:r>
      <w:r w:rsidR="00947B06">
        <w:rPr>
          <w:bCs/>
          <w:sz w:val="22"/>
        </w:rPr>
        <w:t xml:space="preserve">por el vendedor </w:t>
      </w:r>
      <w:r>
        <w:rPr>
          <w:bCs/>
          <w:sz w:val="22"/>
        </w:rPr>
        <w:t>diariament</w:t>
      </w:r>
      <w:r w:rsidR="00D74C27">
        <w:rPr>
          <w:bCs/>
          <w:sz w:val="22"/>
        </w:rPr>
        <w:t>e</w:t>
      </w:r>
      <w:r>
        <w:rPr>
          <w:bCs/>
          <w:sz w:val="22"/>
        </w:rPr>
        <w:t>, pues mediante el contrato firme se asegura la disponibilidad de una cantidad máxima diaria a estar disponible por parte del vendedor al comprador</w:t>
      </w:r>
      <w:r w:rsidR="00947B06">
        <w:rPr>
          <w:bCs/>
          <w:sz w:val="22"/>
        </w:rPr>
        <w:t>. El cálculo de esa cantidad máxima corresponde al comprador</w:t>
      </w:r>
      <w:r w:rsidR="002F5145">
        <w:rPr>
          <w:bCs/>
          <w:sz w:val="22"/>
        </w:rPr>
        <w:t>,</w:t>
      </w:r>
      <w:r w:rsidR="00947B06">
        <w:rPr>
          <w:bCs/>
          <w:sz w:val="22"/>
        </w:rPr>
        <w:t xml:space="preserve"> que es quien conoce el comportamiento de su demanda actual y potencial e implica que en la gran mayoría de los casos, habrá cantidades diarias que</w:t>
      </w:r>
      <w:r w:rsidR="00ED5800">
        <w:rPr>
          <w:bCs/>
          <w:sz w:val="22"/>
        </w:rPr>
        <w:t xml:space="preserve">, </w:t>
      </w:r>
      <w:r w:rsidR="00947B06">
        <w:rPr>
          <w:bCs/>
          <w:sz w:val="22"/>
        </w:rPr>
        <w:t>no serán nominadas por los compradores de esos contratos y, por tanto, quedan disponibles para ser vendidas en el Mercado Secundario. Sin embargo, ante limitaciones en la oferta de gas en firme</w:t>
      </w:r>
      <w:r w:rsidR="00A41282">
        <w:rPr>
          <w:bCs/>
          <w:sz w:val="22"/>
        </w:rPr>
        <w:t xml:space="preserve"> de los vendedores del Mercado Primario</w:t>
      </w:r>
      <w:r w:rsidR="00947B06">
        <w:rPr>
          <w:bCs/>
          <w:sz w:val="22"/>
        </w:rPr>
        <w:t>, se puede dar que no todos los compradores obtengan la contratación de las cantidades máximas solicitadas a los vendedores en el Mercado Primario.</w:t>
      </w:r>
    </w:p>
    <w:p w14:paraId="6784F167" w14:textId="77777777" w:rsidR="00947B06" w:rsidRDefault="00947B06" w:rsidP="00CF75E0">
      <w:pPr>
        <w:jc w:val="left"/>
        <w:rPr>
          <w:bCs/>
          <w:sz w:val="22"/>
        </w:rPr>
      </w:pPr>
    </w:p>
    <w:p w14:paraId="30F418D8" w14:textId="63C3343C" w:rsidR="00947B06" w:rsidRDefault="00947B06" w:rsidP="0072076E">
      <w:pPr>
        <w:rPr>
          <w:bCs/>
          <w:sz w:val="22"/>
        </w:rPr>
      </w:pPr>
      <w:r>
        <w:rPr>
          <w:bCs/>
          <w:sz w:val="22"/>
        </w:rPr>
        <w:t>Es posible</w:t>
      </w:r>
      <w:r w:rsidR="0072076E">
        <w:rPr>
          <w:bCs/>
          <w:sz w:val="22"/>
        </w:rPr>
        <w:t>,</w:t>
      </w:r>
      <w:r>
        <w:rPr>
          <w:bCs/>
          <w:sz w:val="22"/>
        </w:rPr>
        <w:t xml:space="preserve"> por tanto, que la totalidad de la oferta diaria de gas del Mercado Primario sí sea suficiente para atender las cantidades diarias </w:t>
      </w:r>
      <w:r w:rsidR="00AC01CB">
        <w:rPr>
          <w:bCs/>
          <w:sz w:val="22"/>
        </w:rPr>
        <w:t xml:space="preserve">requeridas </w:t>
      </w:r>
      <w:r>
        <w:rPr>
          <w:bCs/>
          <w:sz w:val="22"/>
        </w:rPr>
        <w:t xml:space="preserve">por </w:t>
      </w:r>
      <w:r w:rsidR="00AC01CB">
        <w:rPr>
          <w:bCs/>
          <w:sz w:val="22"/>
        </w:rPr>
        <w:t xml:space="preserve">todos </w:t>
      </w:r>
      <w:r>
        <w:rPr>
          <w:bCs/>
          <w:sz w:val="22"/>
        </w:rPr>
        <w:t xml:space="preserve">los compradores, siendo para ello clave el correcto funcionamiento del Mercado Secundario, su eficacia, transparencia, </w:t>
      </w:r>
      <w:r>
        <w:rPr>
          <w:bCs/>
          <w:sz w:val="22"/>
        </w:rPr>
        <w:lastRenderedPageBreak/>
        <w:t xml:space="preserve">oportunidad y precisión. </w:t>
      </w:r>
      <w:r w:rsidR="0072076E">
        <w:rPr>
          <w:bCs/>
          <w:sz w:val="22"/>
        </w:rPr>
        <w:t xml:space="preserve">Así, se </w:t>
      </w:r>
      <w:r w:rsidR="006275DE">
        <w:rPr>
          <w:bCs/>
          <w:sz w:val="22"/>
        </w:rPr>
        <w:t xml:space="preserve">puede </w:t>
      </w:r>
      <w:r w:rsidR="0072076E">
        <w:rPr>
          <w:bCs/>
          <w:sz w:val="22"/>
        </w:rPr>
        <w:t>presenta</w:t>
      </w:r>
      <w:r w:rsidR="006275DE">
        <w:rPr>
          <w:bCs/>
          <w:sz w:val="22"/>
        </w:rPr>
        <w:t>r</w:t>
      </w:r>
      <w:r w:rsidR="0072076E">
        <w:rPr>
          <w:bCs/>
          <w:sz w:val="22"/>
        </w:rPr>
        <w:t xml:space="preserve"> un</w:t>
      </w:r>
      <w:r w:rsidR="006275DE">
        <w:rPr>
          <w:bCs/>
          <w:sz w:val="22"/>
        </w:rPr>
        <w:t xml:space="preserve"> déficit</w:t>
      </w:r>
      <w:r w:rsidR="0072076E">
        <w:rPr>
          <w:bCs/>
          <w:sz w:val="22"/>
        </w:rPr>
        <w:t xml:space="preserve"> físic</w:t>
      </w:r>
      <w:r w:rsidR="006275DE">
        <w:rPr>
          <w:bCs/>
          <w:sz w:val="22"/>
        </w:rPr>
        <w:t>o</w:t>
      </w:r>
      <w:r w:rsidR="0072076E">
        <w:rPr>
          <w:bCs/>
          <w:sz w:val="22"/>
        </w:rPr>
        <w:t xml:space="preserve"> del suministro (no necesariamente de la capacidad de transporte)</w:t>
      </w:r>
      <w:r>
        <w:rPr>
          <w:bCs/>
          <w:sz w:val="22"/>
        </w:rPr>
        <w:t xml:space="preserve">, </w:t>
      </w:r>
      <w:r w:rsidR="0072076E">
        <w:rPr>
          <w:bCs/>
          <w:sz w:val="22"/>
        </w:rPr>
        <w:t>cuando</w:t>
      </w:r>
      <w:r>
        <w:rPr>
          <w:bCs/>
          <w:sz w:val="22"/>
        </w:rPr>
        <w:t xml:space="preserve"> simultáneamente</w:t>
      </w:r>
      <w:r w:rsidR="0072076E">
        <w:rPr>
          <w:bCs/>
          <w:sz w:val="22"/>
        </w:rPr>
        <w:t>: a)</w:t>
      </w:r>
      <w:r>
        <w:rPr>
          <w:bCs/>
          <w:sz w:val="22"/>
        </w:rPr>
        <w:t xml:space="preserve"> </w:t>
      </w:r>
      <w:r w:rsidR="0072076E">
        <w:rPr>
          <w:bCs/>
          <w:sz w:val="22"/>
        </w:rPr>
        <w:t>L</w:t>
      </w:r>
      <w:r>
        <w:rPr>
          <w:bCs/>
          <w:sz w:val="22"/>
        </w:rPr>
        <w:t>os vendedores del Mercado Primario tiene comprometidos en contratos de tipo firme la totalidad de su oferta diar</w:t>
      </w:r>
      <w:r w:rsidR="0072076E">
        <w:rPr>
          <w:bCs/>
          <w:sz w:val="22"/>
        </w:rPr>
        <w:t>i</w:t>
      </w:r>
      <w:r>
        <w:rPr>
          <w:bCs/>
          <w:sz w:val="22"/>
        </w:rPr>
        <w:t>a</w:t>
      </w:r>
      <w:r w:rsidR="004A0880">
        <w:rPr>
          <w:bCs/>
          <w:sz w:val="22"/>
        </w:rPr>
        <w:t xml:space="preserve"> y se ha presentado un déficit contractual</w:t>
      </w:r>
      <w:r w:rsidR="0072076E">
        <w:rPr>
          <w:bCs/>
          <w:sz w:val="22"/>
        </w:rPr>
        <w:t>; b) L</w:t>
      </w:r>
      <w:r>
        <w:rPr>
          <w:bCs/>
          <w:sz w:val="22"/>
        </w:rPr>
        <w:t xml:space="preserve">os compradores del Mercado Primario </w:t>
      </w:r>
      <w:r w:rsidR="0072076E">
        <w:rPr>
          <w:bCs/>
          <w:sz w:val="22"/>
        </w:rPr>
        <w:t xml:space="preserve">tienen vendida en el Mercado Secundario o en el Mercado Minorista, </w:t>
      </w:r>
      <w:r>
        <w:rPr>
          <w:bCs/>
          <w:sz w:val="22"/>
        </w:rPr>
        <w:t xml:space="preserve">la totalidad </w:t>
      </w:r>
      <w:r w:rsidR="0072076E">
        <w:rPr>
          <w:bCs/>
          <w:sz w:val="22"/>
        </w:rPr>
        <w:t xml:space="preserve">diaria </w:t>
      </w:r>
      <w:r>
        <w:rPr>
          <w:bCs/>
          <w:sz w:val="22"/>
        </w:rPr>
        <w:t xml:space="preserve">de sus excedentes de compra </w:t>
      </w:r>
      <w:r w:rsidR="0072076E">
        <w:rPr>
          <w:bCs/>
          <w:sz w:val="22"/>
        </w:rPr>
        <w:t xml:space="preserve">obtenida </w:t>
      </w:r>
      <w:r>
        <w:rPr>
          <w:bCs/>
          <w:sz w:val="22"/>
        </w:rPr>
        <w:t xml:space="preserve">en </w:t>
      </w:r>
      <w:r w:rsidR="004A0880">
        <w:rPr>
          <w:bCs/>
          <w:sz w:val="22"/>
        </w:rPr>
        <w:t xml:space="preserve">el </w:t>
      </w:r>
      <w:r>
        <w:rPr>
          <w:bCs/>
          <w:sz w:val="22"/>
        </w:rPr>
        <w:t>Mercado</w:t>
      </w:r>
      <w:r w:rsidR="004A0880">
        <w:rPr>
          <w:bCs/>
          <w:sz w:val="22"/>
        </w:rPr>
        <w:t xml:space="preserve"> Primario</w:t>
      </w:r>
      <w:r>
        <w:rPr>
          <w:bCs/>
          <w:sz w:val="22"/>
        </w:rPr>
        <w:t xml:space="preserve"> porque no se está requiriendo la cantidad máxima contratada</w:t>
      </w:r>
      <w:r w:rsidR="0072076E">
        <w:rPr>
          <w:bCs/>
          <w:sz w:val="22"/>
        </w:rPr>
        <w:t xml:space="preserve">; y, c) la cantidad </w:t>
      </w:r>
      <w:r w:rsidR="005E0893">
        <w:rPr>
          <w:bCs/>
          <w:sz w:val="22"/>
        </w:rPr>
        <w:t xml:space="preserve">diaria </w:t>
      </w:r>
      <w:r w:rsidR="0072076E">
        <w:rPr>
          <w:bCs/>
          <w:sz w:val="22"/>
        </w:rPr>
        <w:t>requerida por los agentes para atender su demanda comercial (mercado minorista) o propia (consumo propio) es superior a la cantidad total diaria disponible en las anteriores circunstancias.</w:t>
      </w:r>
    </w:p>
    <w:p w14:paraId="3ABCA055" w14:textId="77777777" w:rsidR="00947B06" w:rsidRDefault="00947B06" w:rsidP="00CF75E0">
      <w:pPr>
        <w:jc w:val="left"/>
        <w:rPr>
          <w:bCs/>
          <w:sz w:val="22"/>
        </w:rPr>
      </w:pPr>
    </w:p>
    <w:p w14:paraId="04EF7668" w14:textId="5E1709EA" w:rsidR="006141EA" w:rsidRDefault="00F127F8" w:rsidP="00CF75E0">
      <w:pPr>
        <w:jc w:val="left"/>
        <w:rPr>
          <w:bCs/>
          <w:sz w:val="22"/>
        </w:rPr>
      </w:pPr>
      <w:r>
        <w:rPr>
          <w:bCs/>
          <w:sz w:val="22"/>
        </w:rPr>
        <w:t>E</w:t>
      </w:r>
      <w:r w:rsidR="000D67D4">
        <w:rPr>
          <w:bCs/>
          <w:sz w:val="22"/>
        </w:rPr>
        <w:t>s de considerar que</w:t>
      </w:r>
      <w:r w:rsidR="002E5FE3">
        <w:rPr>
          <w:bCs/>
          <w:sz w:val="22"/>
        </w:rPr>
        <w:t>,</w:t>
      </w:r>
      <w:r w:rsidR="006141EA" w:rsidRPr="006141EA">
        <w:rPr>
          <w:bCs/>
          <w:sz w:val="22"/>
        </w:rPr>
        <w:t xml:space="preserve"> </w:t>
      </w:r>
      <w:r w:rsidR="00F02338">
        <w:rPr>
          <w:bCs/>
          <w:sz w:val="22"/>
        </w:rPr>
        <w:t>si</w:t>
      </w:r>
      <w:r w:rsidR="006141EA" w:rsidRPr="006141EA">
        <w:rPr>
          <w:bCs/>
          <w:sz w:val="22"/>
        </w:rPr>
        <w:t xml:space="preserve"> el Gestor del </w:t>
      </w:r>
      <w:r w:rsidR="004B170D">
        <w:rPr>
          <w:bCs/>
          <w:sz w:val="22"/>
        </w:rPr>
        <w:t>Mercado</w:t>
      </w:r>
      <w:r w:rsidR="006141EA" w:rsidRPr="006141EA">
        <w:rPr>
          <w:bCs/>
          <w:sz w:val="22"/>
        </w:rPr>
        <w:t xml:space="preserve"> </w:t>
      </w:r>
      <w:r w:rsidR="00F02338">
        <w:rPr>
          <w:bCs/>
          <w:sz w:val="22"/>
        </w:rPr>
        <w:t xml:space="preserve">no conoce </w:t>
      </w:r>
      <w:r w:rsidR="006141EA" w:rsidRPr="006141EA">
        <w:rPr>
          <w:bCs/>
          <w:sz w:val="22"/>
        </w:rPr>
        <w:t xml:space="preserve">la oferta de PTDVF </w:t>
      </w:r>
      <w:r w:rsidR="00F02338">
        <w:rPr>
          <w:bCs/>
          <w:sz w:val="22"/>
        </w:rPr>
        <w:t>de una fuente de suministro, no podrá hacer</w:t>
      </w:r>
      <w:r w:rsidR="006141EA" w:rsidRPr="006141EA">
        <w:rPr>
          <w:bCs/>
          <w:sz w:val="22"/>
        </w:rPr>
        <w:t xml:space="preserve"> un </w:t>
      </w:r>
      <w:r w:rsidR="00F02338">
        <w:rPr>
          <w:bCs/>
          <w:sz w:val="22"/>
        </w:rPr>
        <w:t>análisis</w:t>
      </w:r>
      <w:r w:rsidR="006141EA" w:rsidRPr="006141EA">
        <w:rPr>
          <w:bCs/>
          <w:sz w:val="22"/>
        </w:rPr>
        <w:t xml:space="preserve"> </w:t>
      </w:r>
      <w:r w:rsidR="00F02338">
        <w:rPr>
          <w:bCs/>
          <w:sz w:val="22"/>
        </w:rPr>
        <w:t xml:space="preserve">efectivo </w:t>
      </w:r>
      <w:r w:rsidR="006141EA" w:rsidRPr="006141EA">
        <w:rPr>
          <w:bCs/>
          <w:sz w:val="22"/>
        </w:rPr>
        <w:t>de la</w:t>
      </w:r>
      <w:r w:rsidR="00F02338">
        <w:rPr>
          <w:bCs/>
          <w:sz w:val="22"/>
        </w:rPr>
        <w:t xml:space="preserve"> suficiencia de la</w:t>
      </w:r>
      <w:r w:rsidR="006141EA" w:rsidRPr="006141EA">
        <w:rPr>
          <w:bCs/>
          <w:sz w:val="22"/>
        </w:rPr>
        <w:t xml:space="preserve">s cantidades </w:t>
      </w:r>
      <w:r w:rsidR="00F02338">
        <w:rPr>
          <w:bCs/>
          <w:sz w:val="22"/>
        </w:rPr>
        <w:t>que soportan el cumplimiento de</w:t>
      </w:r>
      <w:r w:rsidR="006141EA" w:rsidRPr="006141EA">
        <w:rPr>
          <w:bCs/>
          <w:sz w:val="22"/>
        </w:rPr>
        <w:t xml:space="preserve"> los contratos firmes o con</w:t>
      </w:r>
      <w:r w:rsidR="006141EA">
        <w:rPr>
          <w:bCs/>
          <w:sz w:val="22"/>
        </w:rPr>
        <w:t xml:space="preserve"> </w:t>
      </w:r>
      <w:r w:rsidR="006141EA" w:rsidRPr="006141EA">
        <w:rPr>
          <w:bCs/>
          <w:sz w:val="22"/>
        </w:rPr>
        <w:t>garantía de firmeza que se desean registrar</w:t>
      </w:r>
      <w:r w:rsidR="00F02338">
        <w:rPr>
          <w:bCs/>
          <w:sz w:val="22"/>
        </w:rPr>
        <w:t>, particularmente para aquellas fuentes no obligadas explícitamente a declararle previamente esa información de cantidades.</w:t>
      </w:r>
      <w:r w:rsidR="00990C93">
        <w:rPr>
          <w:bCs/>
          <w:sz w:val="22"/>
        </w:rPr>
        <w:t xml:space="preserve"> De modo similar, si no conoce la totalidad de los compromisos contractuales asumidos por los vendedores del </w:t>
      </w:r>
      <w:r w:rsidR="004B170D">
        <w:rPr>
          <w:bCs/>
          <w:sz w:val="22"/>
        </w:rPr>
        <w:t>Mercado</w:t>
      </w:r>
      <w:r w:rsidR="00990C93">
        <w:rPr>
          <w:bCs/>
          <w:sz w:val="22"/>
        </w:rPr>
        <w:t xml:space="preserve"> </w:t>
      </w:r>
      <w:r w:rsidR="004B170D">
        <w:rPr>
          <w:bCs/>
          <w:sz w:val="22"/>
        </w:rPr>
        <w:t>Primario</w:t>
      </w:r>
      <w:r w:rsidR="00990C93">
        <w:rPr>
          <w:bCs/>
          <w:sz w:val="22"/>
        </w:rPr>
        <w:t xml:space="preserve"> y del </w:t>
      </w:r>
      <w:r w:rsidR="004B170D">
        <w:rPr>
          <w:bCs/>
          <w:sz w:val="22"/>
        </w:rPr>
        <w:t>Mercado</w:t>
      </w:r>
      <w:r w:rsidR="00990C93">
        <w:rPr>
          <w:bCs/>
          <w:sz w:val="22"/>
        </w:rPr>
        <w:t xml:space="preserve"> </w:t>
      </w:r>
      <w:r w:rsidR="004B170D">
        <w:rPr>
          <w:bCs/>
          <w:sz w:val="22"/>
        </w:rPr>
        <w:t>Secundario</w:t>
      </w:r>
      <w:r w:rsidR="00990C93">
        <w:rPr>
          <w:bCs/>
          <w:sz w:val="22"/>
        </w:rPr>
        <w:t xml:space="preserve"> con respecto a </w:t>
      </w:r>
      <w:r w:rsidR="000D67D4">
        <w:rPr>
          <w:bCs/>
          <w:sz w:val="22"/>
        </w:rPr>
        <w:t xml:space="preserve">las </w:t>
      </w:r>
      <w:r w:rsidR="00990C93">
        <w:rPr>
          <w:bCs/>
          <w:sz w:val="22"/>
        </w:rPr>
        <w:t>ventas de gas natural cuyo destino final no es para su uso como combustible, no será posible realizar balances para determinar la suficiencia comercial (contractual) que es requerida por la demanda del gas natural</w:t>
      </w:r>
      <w:r w:rsidR="000D67D4">
        <w:rPr>
          <w:bCs/>
          <w:sz w:val="22"/>
        </w:rPr>
        <w:t>,</w:t>
      </w:r>
      <w:r w:rsidR="00990C93">
        <w:rPr>
          <w:bCs/>
          <w:sz w:val="22"/>
        </w:rPr>
        <w:t xml:space="preserve"> con los efectos que ello implica. </w:t>
      </w:r>
    </w:p>
    <w:p w14:paraId="10E1FA86" w14:textId="77777777" w:rsidR="00F127F8" w:rsidRDefault="00F127F8" w:rsidP="00CF75E0">
      <w:pPr>
        <w:jc w:val="left"/>
        <w:rPr>
          <w:bCs/>
          <w:sz w:val="22"/>
        </w:rPr>
      </w:pPr>
    </w:p>
    <w:p w14:paraId="57447AB4" w14:textId="0436E2E9" w:rsidR="00F127F8" w:rsidRPr="006141EA" w:rsidRDefault="00F127F8" w:rsidP="00CF75E0">
      <w:pPr>
        <w:jc w:val="left"/>
        <w:rPr>
          <w:bCs/>
          <w:sz w:val="22"/>
        </w:rPr>
      </w:pPr>
      <w:r>
        <w:rPr>
          <w:bCs/>
          <w:sz w:val="22"/>
        </w:rPr>
        <w:t xml:space="preserve">Finalmente, se debe considerar la dificultad que implica que las declaraciones de producción que se realizan al Ministerio de Minas y Energía se presentan tomando como referencia el mes calendario y no períodos menores, ya sean diarios, semanales o quincenales. Cualquier ajuste </w:t>
      </w:r>
      <w:r w:rsidR="00585460">
        <w:rPr>
          <w:bCs/>
          <w:sz w:val="22"/>
        </w:rPr>
        <w:t xml:space="preserve">regulatorio </w:t>
      </w:r>
      <w:r>
        <w:rPr>
          <w:bCs/>
          <w:sz w:val="22"/>
        </w:rPr>
        <w:t xml:space="preserve">que se realice para reducir los períodos de duración de los contratos de tipo firme, </w:t>
      </w:r>
      <w:r w:rsidR="00585460">
        <w:rPr>
          <w:bCs/>
          <w:sz w:val="22"/>
        </w:rPr>
        <w:t>y por tanto, las declaraciones de PTDVF que se realizan al Gestor del Mercado, deben tener una manera de comparar la PTDV que se declara al MME en períodos mensuales con la PTDVF que se permita declarar al Gestor del Mercado para suscribir contratos de duración menor a un mes.</w:t>
      </w:r>
      <w:r w:rsidR="00665B8B">
        <w:rPr>
          <w:bCs/>
          <w:sz w:val="22"/>
        </w:rPr>
        <w:t xml:space="preserve"> Lo anterior de tal manera que el Gestor del Mercado para permitir el registro del contrato, pueda verificar que las cantidades que aporta cada fuente de suministro incluida en el contrato que se desea registrar del Mercado Primario, sean iguales o inferiores a la PTDV vigente</w:t>
      </w:r>
      <w:r>
        <w:rPr>
          <w:bCs/>
          <w:sz w:val="22"/>
        </w:rPr>
        <w:t xml:space="preserve"> </w:t>
      </w:r>
      <w:r w:rsidR="00665B8B">
        <w:rPr>
          <w:bCs/>
          <w:sz w:val="22"/>
        </w:rPr>
        <w:t>para esa misma fuente y ese mismo período.</w:t>
      </w:r>
    </w:p>
    <w:p w14:paraId="42E21F31" w14:textId="77777777" w:rsidR="006141EA" w:rsidRDefault="006141EA" w:rsidP="00CF75E0">
      <w:pPr>
        <w:jc w:val="left"/>
        <w:rPr>
          <w:bCs/>
          <w:sz w:val="22"/>
        </w:rPr>
      </w:pPr>
    </w:p>
    <w:p w14:paraId="6F1145E2" w14:textId="77777777" w:rsidR="006141EA" w:rsidRDefault="006141EA" w:rsidP="00CF75E0">
      <w:pPr>
        <w:jc w:val="left"/>
        <w:rPr>
          <w:bCs/>
          <w:sz w:val="22"/>
        </w:rPr>
      </w:pPr>
    </w:p>
    <w:p w14:paraId="0757626D" w14:textId="5CEAA597" w:rsidR="0011646A" w:rsidRPr="00313D59" w:rsidRDefault="0011646A" w:rsidP="00CF75E0">
      <w:pPr>
        <w:pStyle w:val="Ttulo1"/>
        <w:numPr>
          <w:ilvl w:val="0"/>
          <w:numId w:val="14"/>
        </w:numPr>
        <w:spacing w:after="0"/>
        <w:ind w:left="431" w:hanging="431"/>
        <w:jc w:val="left"/>
        <w:rPr>
          <w:szCs w:val="24"/>
        </w:rPr>
      </w:pPr>
      <w:bookmarkStart w:id="20" w:name="_Toc158211402"/>
      <w:r>
        <w:rPr>
          <w:szCs w:val="24"/>
        </w:rPr>
        <w:t>OBJETIVO</w:t>
      </w:r>
      <w:r w:rsidR="00D255AA">
        <w:rPr>
          <w:szCs w:val="24"/>
        </w:rPr>
        <w:t>S</w:t>
      </w:r>
      <w:bookmarkEnd w:id="20"/>
    </w:p>
    <w:p w14:paraId="5CCD54F3" w14:textId="77777777" w:rsidR="006141EA" w:rsidRDefault="006141EA" w:rsidP="00CF75E0">
      <w:pPr>
        <w:jc w:val="left"/>
        <w:rPr>
          <w:bCs/>
          <w:sz w:val="22"/>
        </w:rPr>
      </w:pPr>
    </w:p>
    <w:p w14:paraId="003E2C6E" w14:textId="1050D3AE" w:rsidR="007821D9" w:rsidRDefault="00D255AA" w:rsidP="00CF75E0">
      <w:pPr>
        <w:jc w:val="left"/>
        <w:rPr>
          <w:bCs/>
          <w:sz w:val="22"/>
        </w:rPr>
      </w:pPr>
      <w:r>
        <w:rPr>
          <w:bCs/>
          <w:sz w:val="22"/>
        </w:rPr>
        <w:t>Se propone</w:t>
      </w:r>
      <w:r w:rsidR="006E0593">
        <w:rPr>
          <w:bCs/>
          <w:sz w:val="22"/>
        </w:rPr>
        <w:t>n</w:t>
      </w:r>
      <w:r>
        <w:rPr>
          <w:bCs/>
          <w:sz w:val="22"/>
        </w:rPr>
        <w:t xml:space="preserve"> e</w:t>
      </w:r>
      <w:r w:rsidR="007821D9">
        <w:rPr>
          <w:bCs/>
          <w:sz w:val="22"/>
        </w:rPr>
        <w:t>stablecer</w:t>
      </w:r>
      <w:r w:rsidR="007821D9" w:rsidRPr="007821D9">
        <w:rPr>
          <w:bCs/>
          <w:sz w:val="22"/>
        </w:rPr>
        <w:t xml:space="preserve"> medidas </w:t>
      </w:r>
      <w:r w:rsidR="007821D9">
        <w:rPr>
          <w:bCs/>
          <w:sz w:val="22"/>
        </w:rPr>
        <w:t>que</w:t>
      </w:r>
      <w:r w:rsidR="00235414">
        <w:rPr>
          <w:bCs/>
          <w:sz w:val="22"/>
        </w:rPr>
        <w:t>, ante la actual coyuntura,</w:t>
      </w:r>
      <w:r w:rsidR="007821D9">
        <w:rPr>
          <w:bCs/>
          <w:sz w:val="22"/>
        </w:rPr>
        <w:t xml:space="preserve"> logren</w:t>
      </w:r>
      <w:r w:rsidR="007821D9" w:rsidRPr="007821D9">
        <w:rPr>
          <w:bCs/>
          <w:sz w:val="22"/>
        </w:rPr>
        <w:t xml:space="preserve"> </w:t>
      </w:r>
      <w:r w:rsidR="00DD34EE">
        <w:rPr>
          <w:bCs/>
          <w:sz w:val="22"/>
        </w:rPr>
        <w:t>dar mayor flexibilidad</w:t>
      </w:r>
      <w:r w:rsidR="007821D9" w:rsidRPr="007821D9">
        <w:rPr>
          <w:bCs/>
          <w:sz w:val="22"/>
        </w:rPr>
        <w:t xml:space="preserve"> en el</w:t>
      </w:r>
      <w:r w:rsidR="007821D9">
        <w:rPr>
          <w:bCs/>
          <w:sz w:val="22"/>
        </w:rPr>
        <w:t xml:space="preserve"> </w:t>
      </w:r>
      <w:r w:rsidR="007821D9" w:rsidRPr="007821D9">
        <w:rPr>
          <w:bCs/>
          <w:sz w:val="22"/>
        </w:rPr>
        <w:t xml:space="preserve">desarrollo de las negociaciones </w:t>
      </w:r>
      <w:r w:rsidR="00DD34EE">
        <w:rPr>
          <w:bCs/>
          <w:sz w:val="22"/>
        </w:rPr>
        <w:t xml:space="preserve">de suministro a realizarse en </w:t>
      </w:r>
      <w:r w:rsidR="007821D9" w:rsidRPr="007821D9">
        <w:rPr>
          <w:bCs/>
          <w:sz w:val="22"/>
        </w:rPr>
        <w:t>el período 202</w:t>
      </w:r>
      <w:r w:rsidR="007821D9">
        <w:rPr>
          <w:bCs/>
          <w:sz w:val="22"/>
        </w:rPr>
        <w:t>3</w:t>
      </w:r>
      <w:r w:rsidR="007821D9" w:rsidRPr="007821D9">
        <w:rPr>
          <w:bCs/>
          <w:sz w:val="22"/>
        </w:rPr>
        <w:t>-202</w:t>
      </w:r>
      <w:r w:rsidR="007821D9">
        <w:rPr>
          <w:bCs/>
          <w:sz w:val="22"/>
        </w:rPr>
        <w:t xml:space="preserve">4 en el </w:t>
      </w:r>
      <w:r w:rsidR="004B170D">
        <w:rPr>
          <w:bCs/>
          <w:sz w:val="22"/>
        </w:rPr>
        <w:t>Mercado</w:t>
      </w:r>
      <w:r w:rsidR="007821D9">
        <w:rPr>
          <w:bCs/>
          <w:sz w:val="22"/>
        </w:rPr>
        <w:t xml:space="preserve"> </w:t>
      </w:r>
      <w:r w:rsidR="004B170D">
        <w:rPr>
          <w:bCs/>
          <w:sz w:val="22"/>
        </w:rPr>
        <w:t>Primario</w:t>
      </w:r>
      <w:r w:rsidR="00DD34EE">
        <w:rPr>
          <w:bCs/>
          <w:sz w:val="22"/>
        </w:rPr>
        <w:t xml:space="preserve"> de suministro </w:t>
      </w:r>
      <w:r w:rsidR="00426D4E">
        <w:rPr>
          <w:bCs/>
          <w:sz w:val="22"/>
        </w:rPr>
        <w:t xml:space="preserve">y </w:t>
      </w:r>
      <w:r w:rsidR="00426D4E" w:rsidRPr="007821D9">
        <w:rPr>
          <w:bCs/>
          <w:sz w:val="22"/>
        </w:rPr>
        <w:t>mayor transparencia</w:t>
      </w:r>
      <w:r w:rsidR="00426D4E">
        <w:rPr>
          <w:bCs/>
          <w:sz w:val="22"/>
        </w:rPr>
        <w:t xml:space="preserve"> en la información </w:t>
      </w:r>
      <w:r w:rsidR="00235414">
        <w:rPr>
          <w:bCs/>
          <w:sz w:val="22"/>
        </w:rPr>
        <w:t xml:space="preserve">oportuna </w:t>
      </w:r>
      <w:r w:rsidR="00426D4E">
        <w:rPr>
          <w:bCs/>
          <w:sz w:val="22"/>
        </w:rPr>
        <w:t xml:space="preserve">de oferta y demanda en el </w:t>
      </w:r>
      <w:r w:rsidR="004B170D">
        <w:rPr>
          <w:bCs/>
          <w:sz w:val="22"/>
        </w:rPr>
        <w:t>Mercado</w:t>
      </w:r>
      <w:r w:rsidR="00426D4E">
        <w:rPr>
          <w:bCs/>
          <w:sz w:val="22"/>
        </w:rPr>
        <w:t xml:space="preserve"> </w:t>
      </w:r>
      <w:r w:rsidR="004B170D">
        <w:rPr>
          <w:bCs/>
          <w:sz w:val="22"/>
        </w:rPr>
        <w:t>Secundario</w:t>
      </w:r>
      <w:r w:rsidR="007821D9" w:rsidRPr="007821D9">
        <w:rPr>
          <w:bCs/>
          <w:sz w:val="22"/>
        </w:rPr>
        <w:t xml:space="preserve">, </w:t>
      </w:r>
      <w:r w:rsidR="00DD34EE">
        <w:rPr>
          <w:bCs/>
          <w:sz w:val="22"/>
        </w:rPr>
        <w:t xml:space="preserve">de modo </w:t>
      </w:r>
      <w:r w:rsidR="00B220B7">
        <w:rPr>
          <w:bCs/>
          <w:sz w:val="22"/>
        </w:rPr>
        <w:t xml:space="preserve">que </w:t>
      </w:r>
      <w:r w:rsidR="00DD34EE">
        <w:rPr>
          <w:bCs/>
          <w:sz w:val="22"/>
        </w:rPr>
        <w:t xml:space="preserve">se </w:t>
      </w:r>
      <w:r w:rsidR="00B220B7">
        <w:rPr>
          <w:bCs/>
          <w:sz w:val="22"/>
        </w:rPr>
        <w:t xml:space="preserve">logren </w:t>
      </w:r>
      <w:r w:rsidR="007821D9">
        <w:rPr>
          <w:bCs/>
          <w:sz w:val="22"/>
        </w:rPr>
        <w:t>maximizar las cantidades que se contraten de la oferta disponible en firme</w:t>
      </w:r>
      <w:r w:rsidR="007821D9" w:rsidRPr="007821D9">
        <w:rPr>
          <w:bCs/>
          <w:sz w:val="22"/>
        </w:rPr>
        <w:t>.</w:t>
      </w:r>
    </w:p>
    <w:p w14:paraId="11342A9A" w14:textId="77777777" w:rsidR="00410254" w:rsidRDefault="00410254" w:rsidP="00CF75E0">
      <w:pPr>
        <w:jc w:val="left"/>
        <w:rPr>
          <w:bCs/>
          <w:sz w:val="22"/>
        </w:rPr>
      </w:pPr>
    </w:p>
    <w:p w14:paraId="3E93A6D7" w14:textId="133953D1" w:rsidR="00D255AA" w:rsidRDefault="00D255AA" w:rsidP="00CF75E0">
      <w:pPr>
        <w:jc w:val="left"/>
        <w:rPr>
          <w:bCs/>
          <w:sz w:val="22"/>
        </w:rPr>
      </w:pPr>
      <w:r>
        <w:rPr>
          <w:bCs/>
          <w:sz w:val="22"/>
        </w:rPr>
        <w:t xml:space="preserve">Asimismo, se propone establecer medidas con </w:t>
      </w:r>
      <w:r w:rsidR="003C0D3F">
        <w:rPr>
          <w:bCs/>
          <w:sz w:val="22"/>
        </w:rPr>
        <w:t>tre</w:t>
      </w:r>
      <w:r>
        <w:rPr>
          <w:bCs/>
          <w:sz w:val="22"/>
        </w:rPr>
        <w:t>s características</w:t>
      </w:r>
      <w:r w:rsidR="00B61814">
        <w:rPr>
          <w:bCs/>
          <w:sz w:val="22"/>
        </w:rPr>
        <w:t xml:space="preserve"> principales</w:t>
      </w:r>
      <w:r>
        <w:rPr>
          <w:bCs/>
          <w:sz w:val="22"/>
        </w:rPr>
        <w:t>: que sean transitorias</w:t>
      </w:r>
      <w:r w:rsidR="00B61814">
        <w:rPr>
          <w:bCs/>
          <w:sz w:val="22"/>
        </w:rPr>
        <w:t>,</w:t>
      </w:r>
      <w:r>
        <w:rPr>
          <w:bCs/>
          <w:sz w:val="22"/>
        </w:rPr>
        <w:t xml:space="preserve"> para no afectar la actual organización del </w:t>
      </w:r>
      <w:r w:rsidR="004B170D">
        <w:rPr>
          <w:bCs/>
          <w:sz w:val="22"/>
        </w:rPr>
        <w:t>Mercado</w:t>
      </w:r>
      <w:r>
        <w:rPr>
          <w:bCs/>
          <w:sz w:val="22"/>
        </w:rPr>
        <w:t xml:space="preserve"> desarrollada para condiciones típicas, que sean de corto plazo, </w:t>
      </w:r>
      <w:r w:rsidR="00AD43FE">
        <w:rPr>
          <w:bCs/>
          <w:sz w:val="22"/>
        </w:rPr>
        <w:t xml:space="preserve">correspondiente con la duración esperada de las circunstancias extraordinarias planteadas en el capítulo </w:t>
      </w:r>
      <w:r w:rsidR="00AD43FE">
        <w:rPr>
          <w:bCs/>
          <w:sz w:val="22"/>
        </w:rPr>
        <w:fldChar w:fldCharType="begin"/>
      </w:r>
      <w:r w:rsidR="00AD43FE">
        <w:rPr>
          <w:bCs/>
          <w:sz w:val="22"/>
        </w:rPr>
        <w:instrText xml:space="preserve"> REF _Ref148943086 \w \h </w:instrText>
      </w:r>
      <w:r w:rsidR="00AD43FE">
        <w:rPr>
          <w:bCs/>
          <w:sz w:val="22"/>
        </w:rPr>
      </w:r>
      <w:r w:rsidR="00AD43FE">
        <w:rPr>
          <w:bCs/>
          <w:sz w:val="22"/>
        </w:rPr>
        <w:fldChar w:fldCharType="separate"/>
      </w:r>
      <w:r w:rsidR="0027336D">
        <w:rPr>
          <w:bCs/>
          <w:sz w:val="22"/>
        </w:rPr>
        <w:t>2</w:t>
      </w:r>
      <w:r w:rsidR="00AD43FE">
        <w:rPr>
          <w:bCs/>
          <w:sz w:val="22"/>
        </w:rPr>
        <w:fldChar w:fldCharType="end"/>
      </w:r>
      <w:r w:rsidR="00AD43FE">
        <w:rPr>
          <w:bCs/>
          <w:sz w:val="22"/>
        </w:rPr>
        <w:t xml:space="preserve"> del presente documento, en particular la duración de un Fenómeno de El Niño y </w:t>
      </w:r>
      <w:r w:rsidR="003C0D3F">
        <w:rPr>
          <w:bCs/>
          <w:sz w:val="22"/>
        </w:rPr>
        <w:t>en vista d</w:t>
      </w:r>
      <w:r>
        <w:rPr>
          <w:bCs/>
          <w:sz w:val="22"/>
        </w:rPr>
        <w:t xml:space="preserve">el objetivo de la expedición de ajustes al funcionamiento del </w:t>
      </w:r>
      <w:r w:rsidR="004B170D">
        <w:rPr>
          <w:bCs/>
          <w:sz w:val="22"/>
        </w:rPr>
        <w:t>Mercado</w:t>
      </w:r>
      <w:r>
        <w:rPr>
          <w:bCs/>
          <w:sz w:val="22"/>
        </w:rPr>
        <w:t xml:space="preserve"> </w:t>
      </w:r>
      <w:r w:rsidR="004B170D">
        <w:rPr>
          <w:bCs/>
          <w:sz w:val="22"/>
        </w:rPr>
        <w:t>Mayorista</w:t>
      </w:r>
      <w:r>
        <w:rPr>
          <w:bCs/>
          <w:sz w:val="22"/>
        </w:rPr>
        <w:t xml:space="preserve"> de acuerdo con las propuestas presentadas de mayor fondo y estructura, mediante el Proyecto de Resolución CREG 702 003 de 2023. </w:t>
      </w:r>
    </w:p>
    <w:p w14:paraId="25CE7867" w14:textId="77777777" w:rsidR="00D255AA" w:rsidRDefault="00D255AA" w:rsidP="00CF75E0">
      <w:pPr>
        <w:jc w:val="left"/>
        <w:rPr>
          <w:bCs/>
          <w:sz w:val="22"/>
        </w:rPr>
      </w:pPr>
    </w:p>
    <w:p w14:paraId="21F941C5" w14:textId="24A0EACC" w:rsidR="00410254" w:rsidRDefault="004D16D8" w:rsidP="00CF75E0">
      <w:pPr>
        <w:jc w:val="left"/>
        <w:rPr>
          <w:bCs/>
          <w:sz w:val="22"/>
        </w:rPr>
      </w:pPr>
      <w:r>
        <w:rPr>
          <w:bCs/>
          <w:sz w:val="22"/>
        </w:rPr>
        <w:lastRenderedPageBreak/>
        <w:t>Para lo anterior, e</w:t>
      </w:r>
      <w:r w:rsidR="00D255AA">
        <w:rPr>
          <w:bCs/>
          <w:sz w:val="22"/>
        </w:rPr>
        <w:t>l conjunto de las medidas que se proponen tomar tiene por objetivo lograr e</w:t>
      </w:r>
      <w:r w:rsidR="00410254">
        <w:rPr>
          <w:bCs/>
          <w:sz w:val="22"/>
        </w:rPr>
        <w:t xml:space="preserve">l mejor equilibrio entre la comercialización de gas del </w:t>
      </w:r>
      <w:r w:rsidR="004B170D">
        <w:rPr>
          <w:bCs/>
          <w:sz w:val="22"/>
        </w:rPr>
        <w:t>Mercado</w:t>
      </w:r>
      <w:r w:rsidR="00410254">
        <w:rPr>
          <w:bCs/>
          <w:sz w:val="22"/>
        </w:rPr>
        <w:t xml:space="preserve"> </w:t>
      </w:r>
      <w:r w:rsidR="004B170D">
        <w:rPr>
          <w:bCs/>
          <w:sz w:val="22"/>
        </w:rPr>
        <w:t>Primario</w:t>
      </w:r>
      <w:r>
        <w:rPr>
          <w:bCs/>
          <w:sz w:val="22"/>
        </w:rPr>
        <w:t xml:space="preserve">, </w:t>
      </w:r>
      <w:r w:rsidR="00410254">
        <w:rPr>
          <w:bCs/>
          <w:sz w:val="22"/>
        </w:rPr>
        <w:t xml:space="preserve">la comercialización </w:t>
      </w:r>
      <w:r>
        <w:rPr>
          <w:bCs/>
          <w:sz w:val="22"/>
        </w:rPr>
        <w:t xml:space="preserve">de excedentes </w:t>
      </w:r>
      <w:r w:rsidR="00410254">
        <w:rPr>
          <w:bCs/>
          <w:sz w:val="22"/>
        </w:rPr>
        <w:t xml:space="preserve">del gas del </w:t>
      </w:r>
      <w:r w:rsidR="004B170D">
        <w:rPr>
          <w:bCs/>
          <w:sz w:val="22"/>
        </w:rPr>
        <w:t>Mercado</w:t>
      </w:r>
      <w:r w:rsidR="00410254">
        <w:rPr>
          <w:bCs/>
          <w:sz w:val="22"/>
        </w:rPr>
        <w:t xml:space="preserve"> </w:t>
      </w:r>
      <w:r w:rsidR="004B170D">
        <w:rPr>
          <w:bCs/>
          <w:sz w:val="22"/>
        </w:rPr>
        <w:t>Secundario</w:t>
      </w:r>
      <w:r w:rsidR="00410254">
        <w:rPr>
          <w:bCs/>
          <w:sz w:val="22"/>
        </w:rPr>
        <w:t xml:space="preserve"> y la comercialización de gas obtenido en el exterior, </w:t>
      </w:r>
      <w:r w:rsidR="00D255AA">
        <w:rPr>
          <w:bCs/>
          <w:sz w:val="22"/>
        </w:rPr>
        <w:t xml:space="preserve">promoviendo la </w:t>
      </w:r>
      <w:r w:rsidR="00D255AA" w:rsidRPr="00D255AA">
        <w:rPr>
          <w:bCs/>
          <w:sz w:val="22"/>
        </w:rPr>
        <w:t xml:space="preserve">competencia, </w:t>
      </w:r>
      <w:r w:rsidR="00D255AA">
        <w:rPr>
          <w:bCs/>
          <w:sz w:val="22"/>
        </w:rPr>
        <w:t xml:space="preserve">propiciando </w:t>
      </w:r>
      <w:r w:rsidR="00D255AA" w:rsidRPr="00D255AA">
        <w:rPr>
          <w:bCs/>
          <w:sz w:val="22"/>
        </w:rPr>
        <w:t>la formación de precios eficientes a través de procesos que reflejen el costo de oportunidad del recurso,</w:t>
      </w:r>
      <w:r w:rsidR="00D255AA">
        <w:rPr>
          <w:bCs/>
          <w:sz w:val="22"/>
        </w:rPr>
        <w:t xml:space="preserve"> buscando </w:t>
      </w:r>
      <w:r w:rsidR="00D255AA" w:rsidRPr="00D255AA">
        <w:rPr>
          <w:bCs/>
          <w:sz w:val="22"/>
        </w:rPr>
        <w:t>mitig</w:t>
      </w:r>
      <w:r w:rsidR="00D255AA">
        <w:rPr>
          <w:bCs/>
          <w:sz w:val="22"/>
        </w:rPr>
        <w:t>ar</w:t>
      </w:r>
      <w:r w:rsidR="00D255AA" w:rsidRPr="00D255AA">
        <w:rPr>
          <w:bCs/>
          <w:sz w:val="22"/>
        </w:rPr>
        <w:t xml:space="preserve"> los efectos de la concentración del </w:t>
      </w:r>
      <w:r w:rsidR="004B170D">
        <w:rPr>
          <w:bCs/>
          <w:sz w:val="22"/>
        </w:rPr>
        <w:t>Mercado</w:t>
      </w:r>
      <w:r w:rsidR="00D255AA">
        <w:rPr>
          <w:bCs/>
          <w:sz w:val="22"/>
        </w:rPr>
        <w:t xml:space="preserve">. Lo anterior acompañado de la generación de </w:t>
      </w:r>
      <w:r w:rsidR="00D255AA" w:rsidRPr="00D255AA">
        <w:rPr>
          <w:bCs/>
          <w:sz w:val="22"/>
        </w:rPr>
        <w:t xml:space="preserve">información oportuna </w:t>
      </w:r>
      <w:r w:rsidR="00D255AA">
        <w:rPr>
          <w:bCs/>
          <w:sz w:val="22"/>
        </w:rPr>
        <w:t xml:space="preserve">y </w:t>
      </w:r>
      <w:r w:rsidR="00D255AA" w:rsidRPr="00D255AA">
        <w:rPr>
          <w:bCs/>
          <w:sz w:val="22"/>
        </w:rPr>
        <w:t>suficiente para los Agentes.</w:t>
      </w:r>
    </w:p>
    <w:p w14:paraId="49891972" w14:textId="77777777" w:rsidR="00D255AA" w:rsidRDefault="00D255AA" w:rsidP="00CF75E0">
      <w:pPr>
        <w:jc w:val="left"/>
        <w:rPr>
          <w:bCs/>
          <w:sz w:val="22"/>
        </w:rPr>
      </w:pPr>
    </w:p>
    <w:p w14:paraId="02CBF4CE" w14:textId="4FADB25C" w:rsidR="00D255AA" w:rsidRDefault="004D16D8" w:rsidP="00CF75E0">
      <w:pPr>
        <w:jc w:val="left"/>
        <w:rPr>
          <w:bCs/>
          <w:sz w:val="22"/>
        </w:rPr>
      </w:pPr>
      <w:r>
        <w:rPr>
          <w:bCs/>
          <w:sz w:val="22"/>
        </w:rPr>
        <w:t>Por otra parte</w:t>
      </w:r>
      <w:r w:rsidR="00D255AA">
        <w:rPr>
          <w:bCs/>
          <w:sz w:val="22"/>
        </w:rPr>
        <w:t>, se propone</w:t>
      </w:r>
      <w:r w:rsidR="004E70B1">
        <w:rPr>
          <w:bCs/>
          <w:sz w:val="22"/>
        </w:rPr>
        <w:t>n</w:t>
      </w:r>
      <w:r w:rsidR="00D255AA">
        <w:rPr>
          <w:bCs/>
          <w:sz w:val="22"/>
        </w:rPr>
        <w:t xml:space="preserve"> especificar </w:t>
      </w:r>
      <w:r w:rsidR="004E70B1">
        <w:rPr>
          <w:bCs/>
          <w:sz w:val="22"/>
        </w:rPr>
        <w:t xml:space="preserve">reglas </w:t>
      </w:r>
      <w:r w:rsidR="00D255AA">
        <w:rPr>
          <w:bCs/>
          <w:sz w:val="22"/>
        </w:rPr>
        <w:t xml:space="preserve">que deben </w:t>
      </w:r>
      <w:r w:rsidR="004E70B1">
        <w:rPr>
          <w:bCs/>
          <w:sz w:val="22"/>
        </w:rPr>
        <w:t>aplic</w:t>
      </w:r>
      <w:r w:rsidR="00D255AA">
        <w:rPr>
          <w:bCs/>
          <w:sz w:val="22"/>
        </w:rPr>
        <w:t xml:space="preserve">ar los vendedores del </w:t>
      </w:r>
      <w:r w:rsidR="004B170D">
        <w:rPr>
          <w:bCs/>
          <w:sz w:val="22"/>
        </w:rPr>
        <w:t>Mercado</w:t>
      </w:r>
      <w:r w:rsidR="00D255AA">
        <w:rPr>
          <w:bCs/>
          <w:sz w:val="22"/>
        </w:rPr>
        <w:t xml:space="preserve"> </w:t>
      </w:r>
      <w:r w:rsidR="004B170D">
        <w:rPr>
          <w:bCs/>
          <w:sz w:val="22"/>
        </w:rPr>
        <w:t>Primario</w:t>
      </w:r>
      <w:r w:rsidR="004E70B1">
        <w:rPr>
          <w:bCs/>
          <w:sz w:val="22"/>
        </w:rPr>
        <w:t>,</w:t>
      </w:r>
      <w:r w:rsidR="00D255AA">
        <w:rPr>
          <w:bCs/>
          <w:sz w:val="22"/>
        </w:rPr>
        <w:t xml:space="preserve"> </w:t>
      </w:r>
      <w:r w:rsidR="00D255AA" w:rsidRPr="00D255AA">
        <w:rPr>
          <w:bCs/>
          <w:sz w:val="22"/>
        </w:rPr>
        <w:t>que permitan</w:t>
      </w:r>
      <w:r w:rsidR="00D255AA">
        <w:rPr>
          <w:bCs/>
          <w:sz w:val="22"/>
        </w:rPr>
        <w:t xml:space="preserve"> </w:t>
      </w:r>
      <w:r w:rsidR="00D255AA" w:rsidRPr="00D255AA">
        <w:rPr>
          <w:bCs/>
          <w:sz w:val="22"/>
        </w:rPr>
        <w:t xml:space="preserve">a los Agentes que </w:t>
      </w:r>
      <w:r w:rsidR="0041131C">
        <w:rPr>
          <w:bCs/>
          <w:sz w:val="22"/>
        </w:rPr>
        <w:t>comercializan</w:t>
      </w:r>
      <w:r w:rsidR="00D255AA" w:rsidRPr="00D255AA">
        <w:rPr>
          <w:bCs/>
          <w:sz w:val="22"/>
        </w:rPr>
        <w:t xml:space="preserve"> a la Demanda Esencial</w:t>
      </w:r>
      <w:r w:rsidR="0041131C">
        <w:rPr>
          <w:bCs/>
          <w:sz w:val="22"/>
        </w:rPr>
        <w:t>,</w:t>
      </w:r>
      <w:r w:rsidR="00D255AA" w:rsidRPr="00D255AA">
        <w:rPr>
          <w:bCs/>
          <w:sz w:val="22"/>
        </w:rPr>
        <w:t xml:space="preserve"> tener acceso a los contratos de suministro de gas natural </w:t>
      </w:r>
      <w:r w:rsidR="00D255AA">
        <w:rPr>
          <w:bCs/>
          <w:sz w:val="22"/>
        </w:rPr>
        <w:t>de tipo firme (con Respaldo Físico)</w:t>
      </w:r>
      <w:r w:rsidR="004E70B1">
        <w:rPr>
          <w:bCs/>
          <w:sz w:val="22"/>
        </w:rPr>
        <w:t>,</w:t>
      </w:r>
      <w:r w:rsidR="00D255AA">
        <w:rPr>
          <w:bCs/>
          <w:sz w:val="22"/>
        </w:rPr>
        <w:t xml:space="preserve"> de modo que se apliquen por los diferentes vendedores reglas homogéneas y que no discriminen injustamente.</w:t>
      </w:r>
    </w:p>
    <w:p w14:paraId="76515C91" w14:textId="77777777" w:rsidR="00E350EE" w:rsidRDefault="00E350EE" w:rsidP="00CF75E0">
      <w:pPr>
        <w:jc w:val="left"/>
        <w:rPr>
          <w:bCs/>
          <w:sz w:val="22"/>
        </w:rPr>
      </w:pPr>
    </w:p>
    <w:p w14:paraId="37DF46CD" w14:textId="4E84C8BB" w:rsidR="00E350EE" w:rsidRDefault="00901004" w:rsidP="00CF75E0">
      <w:pPr>
        <w:jc w:val="left"/>
        <w:rPr>
          <w:bCs/>
          <w:sz w:val="22"/>
        </w:rPr>
      </w:pPr>
      <w:r>
        <w:rPr>
          <w:bCs/>
          <w:sz w:val="22"/>
        </w:rPr>
        <w:t>Finalmente</w:t>
      </w:r>
      <w:r w:rsidR="005A0158">
        <w:rPr>
          <w:bCs/>
          <w:sz w:val="22"/>
        </w:rPr>
        <w:t xml:space="preserve">, </w:t>
      </w:r>
      <w:r>
        <w:rPr>
          <w:bCs/>
          <w:sz w:val="22"/>
        </w:rPr>
        <w:t>se proponen medidas que buscan i</w:t>
      </w:r>
      <w:r w:rsidR="00E350EE">
        <w:rPr>
          <w:bCs/>
          <w:sz w:val="22"/>
        </w:rPr>
        <w:t>gualar en la actual coyuntura</w:t>
      </w:r>
      <w:r w:rsidR="004241EB">
        <w:rPr>
          <w:bCs/>
          <w:sz w:val="22"/>
        </w:rPr>
        <w:t xml:space="preserve"> y para el corto plazo</w:t>
      </w:r>
      <w:r w:rsidR="00E350EE">
        <w:rPr>
          <w:bCs/>
          <w:sz w:val="22"/>
        </w:rPr>
        <w:t xml:space="preserve">, las flexibilidades en </w:t>
      </w:r>
      <w:r>
        <w:rPr>
          <w:bCs/>
          <w:sz w:val="22"/>
        </w:rPr>
        <w:t>la</w:t>
      </w:r>
      <w:r w:rsidR="00E350EE">
        <w:rPr>
          <w:bCs/>
          <w:sz w:val="22"/>
        </w:rPr>
        <w:t xml:space="preserve"> comercialización de gas natural entre los diferentes tipos de fuentes de suministro de tipo firme, como son </w:t>
      </w:r>
      <w:r w:rsidR="001C1D61">
        <w:rPr>
          <w:bCs/>
          <w:sz w:val="22"/>
        </w:rPr>
        <w:t xml:space="preserve">entre otras, </w:t>
      </w:r>
      <w:r w:rsidR="00E350EE">
        <w:rPr>
          <w:bCs/>
          <w:sz w:val="22"/>
        </w:rPr>
        <w:t>los campos tradicionales y los campos menores</w:t>
      </w:r>
      <w:r>
        <w:rPr>
          <w:bCs/>
          <w:sz w:val="22"/>
        </w:rPr>
        <w:t xml:space="preserve">, y las </w:t>
      </w:r>
      <w:r w:rsidR="005A0158">
        <w:rPr>
          <w:bCs/>
          <w:sz w:val="22"/>
        </w:rPr>
        <w:t xml:space="preserve">que ofrecen el suministro </w:t>
      </w:r>
      <w:r>
        <w:rPr>
          <w:bCs/>
          <w:sz w:val="22"/>
        </w:rPr>
        <w:t>de tipo interrumpible</w:t>
      </w:r>
      <w:r w:rsidR="00E350EE">
        <w:rPr>
          <w:bCs/>
          <w:sz w:val="22"/>
        </w:rPr>
        <w:t>.</w:t>
      </w:r>
      <w:r w:rsidR="00BF54FE">
        <w:rPr>
          <w:bCs/>
          <w:sz w:val="22"/>
        </w:rPr>
        <w:t xml:space="preserve"> Parte fundamental </w:t>
      </w:r>
      <w:r w:rsidR="005A0158">
        <w:rPr>
          <w:bCs/>
          <w:sz w:val="22"/>
        </w:rPr>
        <w:t xml:space="preserve">la constituye </w:t>
      </w:r>
      <w:r w:rsidR="00BF54FE">
        <w:rPr>
          <w:bCs/>
          <w:sz w:val="22"/>
        </w:rPr>
        <w:t xml:space="preserve">la propuesta de </w:t>
      </w:r>
      <w:r w:rsidR="005A0158">
        <w:rPr>
          <w:bCs/>
          <w:sz w:val="22"/>
        </w:rPr>
        <w:t xml:space="preserve">permitir </w:t>
      </w:r>
      <w:r w:rsidR="00BF54FE">
        <w:rPr>
          <w:bCs/>
          <w:sz w:val="22"/>
        </w:rPr>
        <w:t>duraciones contractuales más reducidas par</w:t>
      </w:r>
      <w:r w:rsidR="004241EB">
        <w:rPr>
          <w:bCs/>
          <w:sz w:val="22"/>
        </w:rPr>
        <w:t>a</w:t>
      </w:r>
      <w:r w:rsidR="00BF54FE">
        <w:rPr>
          <w:bCs/>
          <w:sz w:val="22"/>
        </w:rPr>
        <w:t xml:space="preserve"> todo tipo de fuente de suministro</w:t>
      </w:r>
      <w:r w:rsidR="004241EB">
        <w:rPr>
          <w:bCs/>
          <w:sz w:val="22"/>
        </w:rPr>
        <w:t>, ya sea de gas nacional o de gas obtenido en el exterior</w:t>
      </w:r>
      <w:r w:rsidR="00BF54FE">
        <w:rPr>
          <w:bCs/>
          <w:sz w:val="22"/>
        </w:rPr>
        <w:t>.</w:t>
      </w:r>
      <w:r w:rsidR="00E350EE">
        <w:rPr>
          <w:bCs/>
          <w:sz w:val="22"/>
        </w:rPr>
        <w:t xml:space="preserve">  </w:t>
      </w:r>
    </w:p>
    <w:p w14:paraId="16A96993" w14:textId="77777777" w:rsidR="00E350EE" w:rsidRDefault="00E350EE" w:rsidP="00CF75E0">
      <w:pPr>
        <w:jc w:val="left"/>
        <w:rPr>
          <w:bCs/>
          <w:sz w:val="22"/>
        </w:rPr>
      </w:pPr>
    </w:p>
    <w:p w14:paraId="441F7B7F" w14:textId="77777777" w:rsidR="00B93785" w:rsidRDefault="00B93785" w:rsidP="00CF75E0">
      <w:pPr>
        <w:jc w:val="left"/>
        <w:rPr>
          <w:bCs/>
          <w:sz w:val="22"/>
        </w:rPr>
      </w:pPr>
    </w:p>
    <w:p w14:paraId="67741A7F" w14:textId="38ABD610" w:rsidR="007821D9" w:rsidRDefault="001830E8" w:rsidP="00CF75E0">
      <w:pPr>
        <w:pStyle w:val="Ttulo1"/>
        <w:numPr>
          <w:ilvl w:val="0"/>
          <w:numId w:val="14"/>
        </w:numPr>
        <w:spacing w:after="0"/>
        <w:ind w:left="431" w:hanging="431"/>
        <w:jc w:val="left"/>
        <w:rPr>
          <w:szCs w:val="24"/>
        </w:rPr>
      </w:pPr>
      <w:bookmarkStart w:id="21" w:name="_Toc158211403"/>
      <w:r>
        <w:rPr>
          <w:szCs w:val="24"/>
        </w:rPr>
        <w:t>PRO</w:t>
      </w:r>
      <w:r w:rsidR="00D027D6">
        <w:rPr>
          <w:szCs w:val="24"/>
        </w:rPr>
        <w:t>PUESTA REGULATORIA</w:t>
      </w:r>
      <w:bookmarkEnd w:id="21"/>
    </w:p>
    <w:p w14:paraId="63F2E9FB" w14:textId="77777777" w:rsidR="001C1D61" w:rsidRDefault="001C1D61" w:rsidP="00CF75E0">
      <w:pPr>
        <w:jc w:val="left"/>
      </w:pPr>
    </w:p>
    <w:p w14:paraId="6CCC0E44" w14:textId="6BD213A0" w:rsidR="00D027D6" w:rsidRDefault="00D027D6" w:rsidP="00CF75E0">
      <w:pPr>
        <w:jc w:val="left"/>
        <w:rPr>
          <w:rFonts w:cs="Arial"/>
          <w:sz w:val="22"/>
          <w:szCs w:val="22"/>
        </w:rPr>
      </w:pPr>
      <w:r w:rsidRPr="00D027D6">
        <w:rPr>
          <w:rFonts w:cs="Arial"/>
          <w:sz w:val="22"/>
          <w:szCs w:val="22"/>
        </w:rPr>
        <w:t xml:space="preserve">Con el propósito de </w:t>
      </w:r>
      <w:r>
        <w:rPr>
          <w:rFonts w:cs="Arial"/>
          <w:sz w:val="22"/>
          <w:szCs w:val="22"/>
        </w:rPr>
        <w:t xml:space="preserve">lograr </w:t>
      </w:r>
      <w:r w:rsidR="00683186">
        <w:rPr>
          <w:rFonts w:cs="Arial"/>
          <w:sz w:val="22"/>
          <w:szCs w:val="22"/>
        </w:rPr>
        <w:t>los</w:t>
      </w:r>
      <w:r>
        <w:rPr>
          <w:rFonts w:cs="Arial"/>
          <w:sz w:val="22"/>
          <w:szCs w:val="22"/>
        </w:rPr>
        <w:t xml:space="preserve"> objetivo</w:t>
      </w:r>
      <w:r w:rsidR="00683186">
        <w:rPr>
          <w:rFonts w:cs="Arial"/>
          <w:sz w:val="22"/>
          <w:szCs w:val="22"/>
        </w:rPr>
        <w:t>s</w:t>
      </w:r>
      <w:r>
        <w:rPr>
          <w:rFonts w:cs="Arial"/>
          <w:sz w:val="22"/>
          <w:szCs w:val="22"/>
        </w:rPr>
        <w:t xml:space="preserve"> planteado</w:t>
      </w:r>
      <w:r w:rsidR="00683186">
        <w:rPr>
          <w:rFonts w:cs="Arial"/>
          <w:sz w:val="22"/>
          <w:szCs w:val="22"/>
        </w:rPr>
        <w:t>s</w:t>
      </w:r>
      <w:r>
        <w:rPr>
          <w:rFonts w:cs="Arial"/>
          <w:sz w:val="22"/>
          <w:szCs w:val="22"/>
        </w:rPr>
        <w:t xml:space="preserve"> </w:t>
      </w:r>
      <w:r w:rsidRPr="00D027D6">
        <w:rPr>
          <w:rFonts w:cs="Arial"/>
          <w:sz w:val="22"/>
          <w:szCs w:val="22"/>
        </w:rPr>
        <w:t>se prop</w:t>
      </w:r>
      <w:r w:rsidR="00F31953">
        <w:rPr>
          <w:rFonts w:cs="Arial"/>
          <w:sz w:val="22"/>
          <w:szCs w:val="22"/>
        </w:rPr>
        <w:t>onen</w:t>
      </w:r>
      <w:r w:rsidRPr="00D027D6">
        <w:rPr>
          <w:rFonts w:cs="Arial"/>
          <w:sz w:val="22"/>
          <w:szCs w:val="22"/>
        </w:rPr>
        <w:t xml:space="preserve"> </w:t>
      </w:r>
      <w:r>
        <w:rPr>
          <w:rFonts w:cs="Arial"/>
          <w:sz w:val="22"/>
          <w:szCs w:val="22"/>
        </w:rPr>
        <w:t>l</w:t>
      </w:r>
      <w:r w:rsidR="0089302A">
        <w:rPr>
          <w:rFonts w:cs="Arial"/>
          <w:sz w:val="22"/>
          <w:szCs w:val="22"/>
        </w:rPr>
        <w:t>a</w:t>
      </w:r>
      <w:r>
        <w:rPr>
          <w:rFonts w:cs="Arial"/>
          <w:sz w:val="22"/>
          <w:szCs w:val="22"/>
        </w:rPr>
        <w:t xml:space="preserve">s siguientes </w:t>
      </w:r>
      <w:r w:rsidRPr="00B65589">
        <w:rPr>
          <w:rFonts w:cs="Arial"/>
          <w:sz w:val="22"/>
          <w:szCs w:val="22"/>
        </w:rPr>
        <w:t xml:space="preserve">medidas </w:t>
      </w:r>
      <w:r>
        <w:rPr>
          <w:rFonts w:cs="Arial"/>
          <w:sz w:val="22"/>
          <w:szCs w:val="22"/>
        </w:rPr>
        <w:t>transitorias</w:t>
      </w:r>
      <w:r w:rsidR="00F31953">
        <w:rPr>
          <w:rFonts w:cs="Arial"/>
          <w:sz w:val="22"/>
          <w:szCs w:val="22"/>
        </w:rPr>
        <w:t>,</w:t>
      </w:r>
      <w:r w:rsidRPr="00B65589">
        <w:rPr>
          <w:rFonts w:cs="Arial"/>
          <w:sz w:val="22"/>
          <w:szCs w:val="22"/>
        </w:rPr>
        <w:t xml:space="preserve"> </w:t>
      </w:r>
      <w:r w:rsidR="0089302A">
        <w:rPr>
          <w:rFonts w:cs="Arial"/>
          <w:sz w:val="22"/>
          <w:szCs w:val="22"/>
        </w:rPr>
        <w:t xml:space="preserve">resumidas </w:t>
      </w:r>
      <w:r w:rsidR="004241EB">
        <w:rPr>
          <w:rFonts w:cs="Arial"/>
          <w:sz w:val="22"/>
          <w:szCs w:val="22"/>
        </w:rPr>
        <w:t>a continuación</w:t>
      </w:r>
      <w:r w:rsidRPr="00B65589">
        <w:rPr>
          <w:rFonts w:cs="Arial"/>
          <w:sz w:val="22"/>
          <w:szCs w:val="22"/>
        </w:rPr>
        <w:t>:</w:t>
      </w:r>
    </w:p>
    <w:p w14:paraId="763D7C5D" w14:textId="77777777" w:rsidR="00B65589" w:rsidRPr="00B65589" w:rsidRDefault="00B65589" w:rsidP="00CF75E0">
      <w:pPr>
        <w:jc w:val="left"/>
        <w:rPr>
          <w:rFonts w:cs="Arial"/>
          <w:sz w:val="22"/>
          <w:szCs w:val="22"/>
        </w:rPr>
      </w:pPr>
    </w:p>
    <w:p w14:paraId="2BEC4C22" w14:textId="046DABEA" w:rsidR="00DB43E8" w:rsidRDefault="00DB43E8" w:rsidP="00CF75E0">
      <w:pPr>
        <w:pStyle w:val="Prrafodelista"/>
        <w:numPr>
          <w:ilvl w:val="0"/>
          <w:numId w:val="18"/>
        </w:numPr>
        <w:ind w:left="360"/>
        <w:jc w:val="left"/>
        <w:rPr>
          <w:rFonts w:cs="Arial"/>
          <w:sz w:val="22"/>
          <w:szCs w:val="22"/>
        </w:rPr>
      </w:pPr>
      <w:r>
        <w:rPr>
          <w:rFonts w:cs="Arial"/>
          <w:sz w:val="22"/>
          <w:szCs w:val="22"/>
        </w:rPr>
        <w:t xml:space="preserve">Se posibilita la </w:t>
      </w:r>
      <w:r w:rsidRPr="00DB43E8">
        <w:rPr>
          <w:rFonts w:cs="Arial"/>
          <w:sz w:val="22"/>
          <w:szCs w:val="22"/>
        </w:rPr>
        <w:t>aplicación de</w:t>
      </w:r>
      <w:r>
        <w:rPr>
          <w:rFonts w:cs="Arial"/>
          <w:sz w:val="22"/>
          <w:szCs w:val="22"/>
        </w:rPr>
        <w:t xml:space="preserve">l mecanismo de </w:t>
      </w:r>
      <w:r w:rsidRPr="00DB43E8">
        <w:rPr>
          <w:rFonts w:cs="Arial"/>
          <w:sz w:val="22"/>
          <w:szCs w:val="22"/>
        </w:rPr>
        <w:t>negociaci</w:t>
      </w:r>
      <w:r>
        <w:rPr>
          <w:rFonts w:cs="Arial"/>
          <w:sz w:val="22"/>
          <w:szCs w:val="22"/>
        </w:rPr>
        <w:t>ón</w:t>
      </w:r>
      <w:r w:rsidRPr="00DB43E8">
        <w:rPr>
          <w:rFonts w:cs="Arial"/>
          <w:sz w:val="22"/>
          <w:szCs w:val="22"/>
        </w:rPr>
        <w:t xml:space="preserve"> directa, </w:t>
      </w:r>
      <w:r>
        <w:rPr>
          <w:rFonts w:cs="Arial"/>
          <w:sz w:val="22"/>
          <w:szCs w:val="22"/>
        </w:rPr>
        <w:t xml:space="preserve">para lo cual </w:t>
      </w:r>
      <w:r w:rsidRPr="00DB43E8">
        <w:rPr>
          <w:rFonts w:cs="Arial"/>
          <w:sz w:val="22"/>
          <w:szCs w:val="22"/>
        </w:rPr>
        <w:t>los vendedores</w:t>
      </w:r>
      <w:r>
        <w:rPr>
          <w:rFonts w:cs="Arial"/>
          <w:sz w:val="22"/>
          <w:szCs w:val="22"/>
        </w:rPr>
        <w:t xml:space="preserve"> del </w:t>
      </w:r>
      <w:r w:rsidR="004B170D">
        <w:rPr>
          <w:rFonts w:cs="Arial"/>
          <w:sz w:val="22"/>
          <w:szCs w:val="22"/>
        </w:rPr>
        <w:t>Mercado</w:t>
      </w:r>
      <w:r>
        <w:rPr>
          <w:rFonts w:cs="Arial"/>
          <w:sz w:val="22"/>
          <w:szCs w:val="22"/>
        </w:rPr>
        <w:t xml:space="preserve"> </w:t>
      </w:r>
      <w:r w:rsidR="004B170D">
        <w:rPr>
          <w:rFonts w:cs="Arial"/>
          <w:sz w:val="22"/>
          <w:szCs w:val="22"/>
        </w:rPr>
        <w:t>Primario</w:t>
      </w:r>
      <w:r w:rsidRPr="00DB43E8">
        <w:rPr>
          <w:rFonts w:cs="Arial"/>
          <w:sz w:val="22"/>
          <w:szCs w:val="22"/>
        </w:rPr>
        <w:t xml:space="preserve">, sin excepción, deberán declarar al Gestor del </w:t>
      </w:r>
      <w:r w:rsidR="004B170D">
        <w:rPr>
          <w:rFonts w:cs="Arial"/>
          <w:sz w:val="22"/>
          <w:szCs w:val="22"/>
        </w:rPr>
        <w:t>Mercado</w:t>
      </w:r>
      <w:r w:rsidRPr="00DB43E8">
        <w:rPr>
          <w:rFonts w:cs="Arial"/>
          <w:sz w:val="22"/>
          <w:szCs w:val="22"/>
        </w:rPr>
        <w:t xml:space="preserve"> en el siguiente día hábil a su ocurrencia, las cantidades adicionales de oferta de PTDVF o de CIDVF que surjan por variación en la información disponible al momento de la declaración inicial dada de acuerdo con el cronograma establecido en la circular CREG 066 de 2023 o las que la modifiquen, o por variaciones posteriores. En la nueva declaración al Gestor del </w:t>
      </w:r>
      <w:r w:rsidR="004B170D">
        <w:rPr>
          <w:rFonts w:cs="Arial"/>
          <w:sz w:val="22"/>
          <w:szCs w:val="22"/>
        </w:rPr>
        <w:t>Mercado</w:t>
      </w:r>
      <w:r w:rsidRPr="00DB43E8">
        <w:rPr>
          <w:rFonts w:cs="Arial"/>
          <w:sz w:val="22"/>
          <w:szCs w:val="22"/>
        </w:rPr>
        <w:t xml:space="preserve"> se deberá anexar un documento que exponga las razones que expliquen dichas cantidades adicionales</w:t>
      </w:r>
      <w:r>
        <w:rPr>
          <w:rFonts w:cs="Arial"/>
          <w:sz w:val="22"/>
          <w:szCs w:val="22"/>
        </w:rPr>
        <w:t>.</w:t>
      </w:r>
    </w:p>
    <w:p w14:paraId="54216FFB" w14:textId="77777777" w:rsidR="00DB43E8" w:rsidRDefault="00DB43E8" w:rsidP="00CF75E0">
      <w:pPr>
        <w:pStyle w:val="Prrafodelista"/>
        <w:ind w:left="360"/>
        <w:jc w:val="left"/>
        <w:rPr>
          <w:rFonts w:cs="Arial"/>
          <w:sz w:val="22"/>
          <w:szCs w:val="22"/>
        </w:rPr>
      </w:pPr>
    </w:p>
    <w:p w14:paraId="0B8D33D5" w14:textId="198CD67B" w:rsidR="00DB43E8" w:rsidRDefault="00DB43E8" w:rsidP="00CF75E0">
      <w:pPr>
        <w:pStyle w:val="Prrafodelista"/>
        <w:numPr>
          <w:ilvl w:val="0"/>
          <w:numId w:val="18"/>
        </w:numPr>
        <w:ind w:left="360"/>
        <w:jc w:val="left"/>
        <w:rPr>
          <w:rFonts w:cs="Arial"/>
          <w:sz w:val="22"/>
          <w:szCs w:val="22"/>
        </w:rPr>
      </w:pPr>
      <w:r>
        <w:rPr>
          <w:rFonts w:cs="Arial"/>
          <w:sz w:val="22"/>
          <w:szCs w:val="22"/>
        </w:rPr>
        <w:t xml:space="preserve">Se posibilita la </w:t>
      </w:r>
      <w:r w:rsidRPr="00DB43E8">
        <w:rPr>
          <w:rFonts w:cs="Arial"/>
          <w:sz w:val="22"/>
          <w:szCs w:val="22"/>
        </w:rPr>
        <w:t>aplicación de</w:t>
      </w:r>
      <w:r>
        <w:rPr>
          <w:rFonts w:cs="Arial"/>
          <w:sz w:val="22"/>
          <w:szCs w:val="22"/>
        </w:rPr>
        <w:t xml:space="preserve">l mecanismo de </w:t>
      </w:r>
      <w:r w:rsidRPr="00DB43E8">
        <w:rPr>
          <w:rFonts w:cs="Arial"/>
          <w:sz w:val="22"/>
          <w:szCs w:val="22"/>
        </w:rPr>
        <w:t>negociaci</w:t>
      </w:r>
      <w:r>
        <w:rPr>
          <w:rFonts w:cs="Arial"/>
          <w:sz w:val="22"/>
          <w:szCs w:val="22"/>
        </w:rPr>
        <w:t>ón</w:t>
      </w:r>
      <w:r w:rsidRPr="00DB43E8">
        <w:rPr>
          <w:rFonts w:cs="Arial"/>
          <w:sz w:val="22"/>
          <w:szCs w:val="22"/>
        </w:rPr>
        <w:t xml:space="preserve"> directa</w:t>
      </w:r>
      <w:r>
        <w:rPr>
          <w:rFonts w:cs="Arial"/>
          <w:sz w:val="22"/>
          <w:szCs w:val="22"/>
        </w:rPr>
        <w:t xml:space="preserve"> en el </w:t>
      </w:r>
      <w:r w:rsidR="004B170D">
        <w:rPr>
          <w:rFonts w:cs="Arial"/>
          <w:sz w:val="22"/>
          <w:szCs w:val="22"/>
        </w:rPr>
        <w:t>Mercado</w:t>
      </w:r>
      <w:r>
        <w:rPr>
          <w:rFonts w:cs="Arial"/>
          <w:sz w:val="22"/>
          <w:szCs w:val="22"/>
        </w:rPr>
        <w:t xml:space="preserve"> </w:t>
      </w:r>
      <w:r w:rsidR="004B170D">
        <w:rPr>
          <w:rFonts w:cs="Arial"/>
          <w:sz w:val="22"/>
          <w:szCs w:val="22"/>
        </w:rPr>
        <w:t>Primario</w:t>
      </w:r>
      <w:r w:rsidRPr="00DB43E8">
        <w:rPr>
          <w:rFonts w:cs="Arial"/>
          <w:sz w:val="22"/>
          <w:szCs w:val="22"/>
        </w:rPr>
        <w:t xml:space="preserve">, para las cantidades ofertadas con duraciones de ejecución menores a un (1) año, </w:t>
      </w:r>
      <w:r>
        <w:rPr>
          <w:rFonts w:cs="Arial"/>
          <w:sz w:val="22"/>
          <w:szCs w:val="22"/>
        </w:rPr>
        <w:t xml:space="preserve">para lo cual los vendedores deberán </w:t>
      </w:r>
      <w:r w:rsidRPr="00DB43E8">
        <w:rPr>
          <w:rFonts w:cs="Arial"/>
          <w:sz w:val="22"/>
          <w:szCs w:val="22"/>
        </w:rPr>
        <w:t>establecer un mecanismo de priorización de la asignación de las cantidades solicitadas por parte de los agentes que atienden directamente a usuarios que hacen parte de la Demanda Esencial o de los usuarios no regulados que hacen parte de dicha Demanda.</w:t>
      </w:r>
      <w:r>
        <w:rPr>
          <w:rFonts w:cs="Arial"/>
          <w:sz w:val="22"/>
          <w:szCs w:val="22"/>
        </w:rPr>
        <w:t xml:space="preserve"> Ello no significa en absoluto, que las cantidades ofertadas solamente se ofrezcan para la atención de la Demanda Esencial pues también se podrán ofrecer para la demás demanda</w:t>
      </w:r>
      <w:r w:rsidR="00537AC1">
        <w:rPr>
          <w:rFonts w:cs="Arial"/>
          <w:sz w:val="22"/>
          <w:szCs w:val="22"/>
        </w:rPr>
        <w:t>, solo que para la asignación de cantidades se prioriza la Demanda Esencial</w:t>
      </w:r>
      <w:r>
        <w:rPr>
          <w:rFonts w:cs="Arial"/>
          <w:sz w:val="22"/>
          <w:szCs w:val="22"/>
        </w:rPr>
        <w:t>.</w:t>
      </w:r>
    </w:p>
    <w:p w14:paraId="430A3571" w14:textId="77777777" w:rsidR="00DB43E8" w:rsidRPr="00DB43E8" w:rsidRDefault="00DB43E8" w:rsidP="00CF75E0">
      <w:pPr>
        <w:pStyle w:val="Prrafodelista"/>
        <w:jc w:val="left"/>
        <w:rPr>
          <w:rFonts w:cs="Arial"/>
          <w:sz w:val="22"/>
          <w:szCs w:val="22"/>
        </w:rPr>
      </w:pPr>
    </w:p>
    <w:p w14:paraId="2D167443" w14:textId="6220C3C0" w:rsidR="00B65589" w:rsidRDefault="00F31953" w:rsidP="00CF75E0">
      <w:pPr>
        <w:pStyle w:val="Prrafodelista"/>
        <w:numPr>
          <w:ilvl w:val="0"/>
          <w:numId w:val="18"/>
        </w:numPr>
        <w:ind w:left="360"/>
        <w:jc w:val="left"/>
        <w:rPr>
          <w:rFonts w:cs="Arial"/>
          <w:sz w:val="22"/>
          <w:szCs w:val="22"/>
        </w:rPr>
      </w:pPr>
      <w:r>
        <w:rPr>
          <w:rFonts w:cs="Arial"/>
          <w:sz w:val="22"/>
          <w:szCs w:val="22"/>
        </w:rPr>
        <w:t>Se posibilita negociar la duración de los contratos de suministro en “semanas laborales”</w:t>
      </w:r>
      <w:r w:rsidR="00DB43E8">
        <w:rPr>
          <w:rFonts w:cs="Arial"/>
          <w:sz w:val="22"/>
          <w:szCs w:val="22"/>
        </w:rPr>
        <w:t xml:space="preserve"> o en semanas calendario</w:t>
      </w:r>
      <w:r w:rsidR="004241EB">
        <w:rPr>
          <w:rFonts w:cs="Arial"/>
          <w:sz w:val="22"/>
          <w:szCs w:val="22"/>
        </w:rPr>
        <w:t xml:space="preserve">, para cualquier modalidad contractual de tipo firme establecida en la regulación, siendo propuesta la definición de “semana laboral” como el </w:t>
      </w:r>
      <w:r w:rsidR="004241EB" w:rsidRPr="004241EB">
        <w:rPr>
          <w:rFonts w:cs="Arial"/>
          <w:sz w:val="22"/>
          <w:szCs w:val="22"/>
        </w:rPr>
        <w:t xml:space="preserve">período de tiempo que va desde las 00:00 del lunes hasta las 24:00 horas del viernes de la misma semana </w:t>
      </w:r>
      <w:r w:rsidR="004241EB" w:rsidRPr="004241EB">
        <w:rPr>
          <w:rFonts w:cs="Arial"/>
          <w:sz w:val="22"/>
          <w:szCs w:val="22"/>
        </w:rPr>
        <w:lastRenderedPageBreak/>
        <w:t>calendario. La semana laboral no tendrá en cuenta los días festivos que se presenten en el período de tiempo estipulado</w:t>
      </w:r>
      <w:r w:rsidR="00B65589" w:rsidRPr="004241EB">
        <w:rPr>
          <w:rFonts w:cs="Arial"/>
          <w:sz w:val="22"/>
          <w:szCs w:val="22"/>
        </w:rPr>
        <w:t>.</w:t>
      </w:r>
      <w:r w:rsidR="004241EB">
        <w:rPr>
          <w:rFonts w:cs="Arial"/>
          <w:sz w:val="22"/>
          <w:szCs w:val="22"/>
        </w:rPr>
        <w:t xml:space="preserve"> Para ello se especifica que:</w:t>
      </w:r>
    </w:p>
    <w:p w14:paraId="4D1E4DE4" w14:textId="77777777" w:rsidR="004241EB" w:rsidRDefault="004241EB" w:rsidP="00CF75E0">
      <w:pPr>
        <w:jc w:val="left"/>
        <w:rPr>
          <w:rFonts w:cs="Arial"/>
          <w:sz w:val="22"/>
          <w:szCs w:val="22"/>
        </w:rPr>
      </w:pPr>
    </w:p>
    <w:p w14:paraId="7A439EC8" w14:textId="1417C105" w:rsidR="004241EB" w:rsidRDefault="004241EB" w:rsidP="00CF75E0">
      <w:pPr>
        <w:pStyle w:val="Prrafodelista"/>
        <w:numPr>
          <w:ilvl w:val="0"/>
          <w:numId w:val="21"/>
        </w:numPr>
        <w:jc w:val="left"/>
        <w:rPr>
          <w:rFonts w:cs="Arial"/>
          <w:sz w:val="22"/>
          <w:szCs w:val="22"/>
        </w:rPr>
      </w:pPr>
      <w:r>
        <w:rPr>
          <w:rFonts w:cs="Arial"/>
          <w:sz w:val="22"/>
          <w:szCs w:val="22"/>
        </w:rPr>
        <w:t>La</w:t>
      </w:r>
      <w:r w:rsidRPr="004241EB">
        <w:rPr>
          <w:rFonts w:cs="Arial"/>
          <w:sz w:val="22"/>
          <w:szCs w:val="22"/>
        </w:rPr>
        <w:t xml:space="preserve"> duración se podrá pactar en semanas laborales continuas.</w:t>
      </w:r>
    </w:p>
    <w:p w14:paraId="4E5B4A7F" w14:textId="77777777" w:rsidR="00DB43E8" w:rsidRPr="004241EB" w:rsidRDefault="00DB43E8" w:rsidP="00CF75E0">
      <w:pPr>
        <w:pStyle w:val="Prrafodelista"/>
        <w:ind w:left="720"/>
        <w:jc w:val="left"/>
        <w:rPr>
          <w:rFonts w:cs="Arial"/>
          <w:sz w:val="22"/>
          <w:szCs w:val="22"/>
        </w:rPr>
      </w:pPr>
    </w:p>
    <w:p w14:paraId="0F2F47EF" w14:textId="1F45CF98" w:rsidR="004241EB" w:rsidRDefault="004241EB" w:rsidP="00CF75E0">
      <w:pPr>
        <w:pStyle w:val="Prrafodelista"/>
        <w:numPr>
          <w:ilvl w:val="0"/>
          <w:numId w:val="21"/>
        </w:numPr>
        <w:jc w:val="left"/>
        <w:rPr>
          <w:rFonts w:cs="Arial"/>
          <w:sz w:val="22"/>
          <w:szCs w:val="22"/>
        </w:rPr>
      </w:pPr>
      <w:r w:rsidRPr="004241EB">
        <w:rPr>
          <w:rFonts w:cs="Arial"/>
          <w:sz w:val="22"/>
          <w:szCs w:val="22"/>
        </w:rPr>
        <w:t xml:space="preserve">Podrán tener una duración de como mínimo una (1) semana laboral y de como máximo doce (12) semanas laborales, excepto en los casos contemplados en el Artículo 20 de la Resolución CREG 186 de 2020. </w:t>
      </w:r>
      <w:r>
        <w:rPr>
          <w:rFonts w:cs="Arial"/>
          <w:sz w:val="22"/>
          <w:szCs w:val="22"/>
        </w:rPr>
        <w:t>Por tanto, los contratos de suministro que se pacten en el período transitorio no tendrán que tener como fecha de terminación un 3</w:t>
      </w:r>
      <w:r w:rsidR="00DB43E8">
        <w:rPr>
          <w:rFonts w:cs="Arial"/>
          <w:sz w:val="22"/>
          <w:szCs w:val="22"/>
        </w:rPr>
        <w:t>0</w:t>
      </w:r>
      <w:r>
        <w:rPr>
          <w:rFonts w:cs="Arial"/>
          <w:sz w:val="22"/>
          <w:szCs w:val="22"/>
        </w:rPr>
        <w:t xml:space="preserve"> de noviembre</w:t>
      </w:r>
      <w:r w:rsidR="00DB43E8">
        <w:rPr>
          <w:rFonts w:cs="Arial"/>
          <w:sz w:val="22"/>
          <w:szCs w:val="22"/>
        </w:rPr>
        <w:t>.</w:t>
      </w:r>
    </w:p>
    <w:p w14:paraId="31E7EEEA" w14:textId="77777777" w:rsidR="00DB43E8" w:rsidRPr="00DB43E8" w:rsidRDefault="00DB43E8" w:rsidP="00CF75E0">
      <w:pPr>
        <w:pStyle w:val="Prrafodelista"/>
        <w:jc w:val="left"/>
        <w:rPr>
          <w:rFonts w:cs="Arial"/>
          <w:sz w:val="22"/>
          <w:szCs w:val="22"/>
        </w:rPr>
      </w:pPr>
    </w:p>
    <w:p w14:paraId="23E7573F" w14:textId="60F57905" w:rsidR="004241EB" w:rsidRDefault="004241EB" w:rsidP="00CF75E0">
      <w:pPr>
        <w:pStyle w:val="Prrafodelista"/>
        <w:numPr>
          <w:ilvl w:val="0"/>
          <w:numId w:val="21"/>
        </w:numPr>
        <w:jc w:val="left"/>
        <w:rPr>
          <w:rFonts w:cs="Arial"/>
          <w:sz w:val="22"/>
          <w:szCs w:val="22"/>
        </w:rPr>
      </w:pPr>
      <w:r w:rsidRPr="004241EB">
        <w:rPr>
          <w:rFonts w:cs="Arial"/>
          <w:sz w:val="22"/>
          <w:szCs w:val="22"/>
        </w:rPr>
        <w:t xml:space="preserve">En caso de que no se pacte la duración en semanas laborales, podrán tener una duración de como mínimo una semana calendario y de como máximo tres (3) meses, excepto en los casos contemplados en el Artículo 20 de la Resolución CREG 186 de 2020. </w:t>
      </w:r>
    </w:p>
    <w:p w14:paraId="6169CAC0" w14:textId="77777777" w:rsidR="00DB43E8" w:rsidRPr="00DB43E8" w:rsidRDefault="00DB43E8" w:rsidP="00CF75E0">
      <w:pPr>
        <w:pStyle w:val="Prrafodelista"/>
        <w:jc w:val="left"/>
        <w:rPr>
          <w:rFonts w:cs="Arial"/>
          <w:sz w:val="22"/>
          <w:szCs w:val="22"/>
        </w:rPr>
      </w:pPr>
    </w:p>
    <w:p w14:paraId="7D0AC0EF" w14:textId="0040CE3D" w:rsidR="004241EB" w:rsidRDefault="004241EB" w:rsidP="00CF75E0">
      <w:pPr>
        <w:pStyle w:val="Prrafodelista"/>
        <w:numPr>
          <w:ilvl w:val="0"/>
          <w:numId w:val="21"/>
        </w:numPr>
        <w:jc w:val="left"/>
        <w:rPr>
          <w:rFonts w:cs="Arial"/>
          <w:sz w:val="22"/>
          <w:szCs w:val="22"/>
        </w:rPr>
      </w:pPr>
      <w:r w:rsidRPr="004241EB">
        <w:rPr>
          <w:rFonts w:cs="Arial"/>
          <w:sz w:val="22"/>
          <w:szCs w:val="22"/>
        </w:rPr>
        <w:t>Los volúmenes garantizados podrán ser diferentes para cada semana laboral, en caso de que se pacte la ejecución en semanas laborales continuas y los mismos deberán quedar registrados en el contrato. De no pactarse así, la cantidad a garantizar será la misma para toda la ejecución contractual.</w:t>
      </w:r>
    </w:p>
    <w:p w14:paraId="5F8DFC14" w14:textId="77777777" w:rsidR="00DB43E8" w:rsidRPr="00DB43E8" w:rsidRDefault="00DB43E8" w:rsidP="00CF75E0">
      <w:pPr>
        <w:pStyle w:val="Prrafodelista"/>
        <w:jc w:val="left"/>
        <w:rPr>
          <w:rFonts w:cs="Arial"/>
          <w:sz w:val="22"/>
          <w:szCs w:val="22"/>
        </w:rPr>
      </w:pPr>
    </w:p>
    <w:p w14:paraId="209881BE" w14:textId="344E398E" w:rsidR="004241EB" w:rsidRDefault="004241EB" w:rsidP="00CF75E0">
      <w:pPr>
        <w:pStyle w:val="Prrafodelista"/>
        <w:numPr>
          <w:ilvl w:val="0"/>
          <w:numId w:val="21"/>
        </w:numPr>
        <w:jc w:val="left"/>
        <w:rPr>
          <w:rFonts w:cs="Arial"/>
          <w:sz w:val="22"/>
          <w:szCs w:val="22"/>
        </w:rPr>
      </w:pPr>
      <w:r w:rsidRPr="004241EB">
        <w:rPr>
          <w:rFonts w:cs="Arial"/>
          <w:sz w:val="22"/>
          <w:szCs w:val="22"/>
        </w:rPr>
        <w:t xml:space="preserve">El precio será fijo, aplicable a toda la duración de ejecución del contrato. </w:t>
      </w:r>
    </w:p>
    <w:p w14:paraId="551651F0" w14:textId="77777777" w:rsidR="00DB43E8" w:rsidRPr="00DB43E8" w:rsidRDefault="00DB43E8" w:rsidP="00CF75E0">
      <w:pPr>
        <w:pStyle w:val="Prrafodelista"/>
        <w:jc w:val="left"/>
        <w:rPr>
          <w:rFonts w:cs="Arial"/>
          <w:sz w:val="22"/>
          <w:szCs w:val="22"/>
        </w:rPr>
      </w:pPr>
    </w:p>
    <w:p w14:paraId="15B625AD" w14:textId="75CF6CCB" w:rsidR="004241EB" w:rsidRDefault="004241EB" w:rsidP="00CF75E0">
      <w:pPr>
        <w:pStyle w:val="Prrafodelista"/>
        <w:numPr>
          <w:ilvl w:val="0"/>
          <w:numId w:val="21"/>
        </w:numPr>
        <w:jc w:val="left"/>
        <w:rPr>
          <w:rFonts w:cs="Arial"/>
          <w:sz w:val="22"/>
          <w:szCs w:val="22"/>
        </w:rPr>
      </w:pPr>
      <w:r w:rsidRPr="004241EB">
        <w:rPr>
          <w:rFonts w:cs="Arial"/>
          <w:sz w:val="22"/>
          <w:szCs w:val="22"/>
        </w:rPr>
        <w:t>La facturación se realizará de manera mensual, independientemente de si el contrato tiene duración menor a un mes y en el cálculo del valor mínimo a cobrar mensual se deberá tener en cuenta el número de días calendario en que se comprometió la garantía de suministro del volumen contratado.</w:t>
      </w:r>
    </w:p>
    <w:p w14:paraId="4584DE67" w14:textId="77777777" w:rsidR="00DB43E8" w:rsidRPr="00DB43E8" w:rsidRDefault="00DB43E8" w:rsidP="00CF75E0">
      <w:pPr>
        <w:pStyle w:val="Prrafodelista"/>
        <w:jc w:val="left"/>
        <w:rPr>
          <w:rFonts w:cs="Arial"/>
          <w:sz w:val="22"/>
          <w:szCs w:val="22"/>
        </w:rPr>
      </w:pPr>
    </w:p>
    <w:p w14:paraId="0C00A4C4" w14:textId="2745DF73" w:rsidR="004241EB" w:rsidRDefault="004241EB" w:rsidP="00CF75E0">
      <w:pPr>
        <w:pStyle w:val="Prrafodelista"/>
        <w:numPr>
          <w:ilvl w:val="0"/>
          <w:numId w:val="21"/>
        </w:numPr>
        <w:jc w:val="left"/>
        <w:rPr>
          <w:rFonts w:cs="Arial"/>
          <w:sz w:val="22"/>
          <w:szCs w:val="22"/>
        </w:rPr>
      </w:pPr>
      <w:r w:rsidRPr="004241EB">
        <w:rPr>
          <w:rFonts w:cs="Arial"/>
          <w:sz w:val="22"/>
          <w:szCs w:val="22"/>
        </w:rPr>
        <w:t>En cada contrato se deberá especificar el nombre de la fuente de suministro, la cantidad que proviene de dicha fuente para cada semana que se incluye, si la fuente está incluida en algunas de las condiciones de las fuentes especificadas en los literales a), b) y c) del numeral 1 del Artículo 19 de la Resolución CREG 186 de 2020.</w:t>
      </w:r>
    </w:p>
    <w:p w14:paraId="4D493E44" w14:textId="77777777" w:rsidR="00DB43E8" w:rsidRPr="00DB43E8" w:rsidRDefault="00DB43E8" w:rsidP="00CF75E0">
      <w:pPr>
        <w:pStyle w:val="Prrafodelista"/>
        <w:jc w:val="left"/>
        <w:rPr>
          <w:rFonts w:cs="Arial"/>
          <w:sz w:val="22"/>
          <w:szCs w:val="22"/>
        </w:rPr>
      </w:pPr>
    </w:p>
    <w:p w14:paraId="5F86801B" w14:textId="259A5F71" w:rsidR="00DB43E8" w:rsidRDefault="00DB43E8" w:rsidP="00CF75E0">
      <w:pPr>
        <w:pStyle w:val="Prrafodelista"/>
        <w:numPr>
          <w:ilvl w:val="0"/>
          <w:numId w:val="21"/>
        </w:numPr>
        <w:jc w:val="left"/>
        <w:rPr>
          <w:rFonts w:cs="Arial"/>
          <w:sz w:val="22"/>
          <w:szCs w:val="22"/>
        </w:rPr>
      </w:pPr>
      <w:r w:rsidRPr="00DB43E8">
        <w:rPr>
          <w:rFonts w:cs="Arial"/>
          <w:sz w:val="22"/>
          <w:szCs w:val="22"/>
        </w:rPr>
        <w:t xml:space="preserve">Contratos de la modalidad Opción de Compra de Gas: adicional a las condiciones del numeral anteriores, no se pagará la prima por el derecho a tomar hasta la cantidad máxima de gas, en el caso que el contrato tenga una duración menor o igual a un mes calendario.  Asimismo, en el caso de que el contrato tenga una duración menor a un año, la garantía de suministro sin interrupciones solamente se dará cuando se presente la condición de probable escasez. </w:t>
      </w:r>
    </w:p>
    <w:p w14:paraId="54A3790A" w14:textId="77777777" w:rsidR="00DB43E8" w:rsidRPr="00DB43E8" w:rsidRDefault="00DB43E8" w:rsidP="00CF75E0">
      <w:pPr>
        <w:pStyle w:val="Prrafodelista"/>
        <w:jc w:val="left"/>
        <w:rPr>
          <w:rFonts w:cs="Arial"/>
          <w:sz w:val="22"/>
          <w:szCs w:val="22"/>
        </w:rPr>
      </w:pPr>
    </w:p>
    <w:p w14:paraId="42A8BD37" w14:textId="305CB628" w:rsidR="00DB43E8" w:rsidRDefault="00DB43E8" w:rsidP="00CF75E0">
      <w:pPr>
        <w:pStyle w:val="Prrafodelista"/>
        <w:numPr>
          <w:ilvl w:val="0"/>
          <w:numId w:val="21"/>
        </w:numPr>
        <w:jc w:val="left"/>
        <w:rPr>
          <w:rFonts w:cs="Arial"/>
          <w:sz w:val="22"/>
          <w:szCs w:val="22"/>
        </w:rPr>
      </w:pPr>
      <w:r w:rsidRPr="00DB43E8">
        <w:rPr>
          <w:rFonts w:cs="Arial"/>
          <w:sz w:val="22"/>
          <w:szCs w:val="22"/>
        </w:rPr>
        <w:t>Contratos de la modalidad Contrato de Suministro con Firmeza Condicionada:  adicional a las condiciones anteriores, la garantía de suministro sin interrupciones se dará siempre que no se presente la condición de probable escasez en aquellos que tengan una duración menor a un año.</w:t>
      </w:r>
    </w:p>
    <w:p w14:paraId="5B87EF7B" w14:textId="77777777" w:rsidR="00DB43E8" w:rsidRPr="00DB43E8" w:rsidRDefault="00DB43E8" w:rsidP="00CF75E0">
      <w:pPr>
        <w:pStyle w:val="Prrafodelista"/>
        <w:jc w:val="left"/>
        <w:rPr>
          <w:rFonts w:cs="Arial"/>
          <w:sz w:val="22"/>
          <w:szCs w:val="22"/>
        </w:rPr>
      </w:pPr>
    </w:p>
    <w:p w14:paraId="5E6FB248" w14:textId="77777777" w:rsidR="00DB43E8" w:rsidRPr="00DB43E8" w:rsidRDefault="00DB43E8" w:rsidP="00CF75E0">
      <w:pPr>
        <w:pStyle w:val="Prrafodelista"/>
        <w:numPr>
          <w:ilvl w:val="0"/>
          <w:numId w:val="21"/>
        </w:numPr>
        <w:jc w:val="left"/>
        <w:rPr>
          <w:rFonts w:cs="Arial"/>
          <w:sz w:val="22"/>
          <w:szCs w:val="22"/>
        </w:rPr>
      </w:pPr>
      <w:r w:rsidRPr="00DB43E8">
        <w:rPr>
          <w:rFonts w:cs="Arial"/>
          <w:sz w:val="22"/>
          <w:szCs w:val="22"/>
        </w:rPr>
        <w:t>En el caso de los contratos de la modalidad Contrato de Suministro de Contingencia, el agente que garantiza el suministro desde una fuente alterna de suministro, podrá ser el mismo agente que suministra el gas natural desde la(s) fuente(s) que enfrenta al evento que le impide la prestación del servicio.</w:t>
      </w:r>
    </w:p>
    <w:p w14:paraId="4B2CE9AC" w14:textId="77777777" w:rsidR="00DB43E8" w:rsidRPr="004241EB" w:rsidRDefault="00DB43E8" w:rsidP="00CF75E0">
      <w:pPr>
        <w:pStyle w:val="Prrafodelista"/>
        <w:ind w:left="720"/>
        <w:jc w:val="left"/>
        <w:rPr>
          <w:rFonts w:cs="Arial"/>
          <w:sz w:val="22"/>
          <w:szCs w:val="22"/>
        </w:rPr>
      </w:pPr>
    </w:p>
    <w:p w14:paraId="174A83F0" w14:textId="0EFFC260" w:rsidR="004241EB" w:rsidRDefault="004241EB" w:rsidP="00CF75E0">
      <w:pPr>
        <w:pStyle w:val="Prrafodelista"/>
        <w:numPr>
          <w:ilvl w:val="0"/>
          <w:numId w:val="18"/>
        </w:numPr>
        <w:ind w:left="360"/>
        <w:jc w:val="left"/>
        <w:rPr>
          <w:rFonts w:cs="Arial"/>
          <w:sz w:val="22"/>
          <w:szCs w:val="22"/>
        </w:rPr>
      </w:pPr>
      <w:r>
        <w:rPr>
          <w:rFonts w:cs="Arial"/>
          <w:sz w:val="22"/>
          <w:szCs w:val="22"/>
        </w:rPr>
        <w:t>Se adiciona como evento eximente de cumplimiento en el contrato de suministro, entendido tanto para el vendedor como para el comprador, los</w:t>
      </w:r>
      <w:r w:rsidRPr="004241EB">
        <w:rPr>
          <w:rFonts w:cs="Arial"/>
          <w:sz w:val="22"/>
          <w:szCs w:val="22"/>
        </w:rPr>
        <w:t xml:space="preserve"> eventos en la capacidad de transporte que impliquen las suspensiones por ocasión de la ocurrencia de eventos de fuerza mayor, caso fortuito o causa extraña, eventos eximentes y labores programadas para reparaciones técnicas o mantenimientos periódicos de la infraestructura de transporte, incluida la infraestructura de importación y la infraestructura de regasificación,  que contiene el punto de entrada que sirve como punto de entrega del respectivo contrato de suministro</w:t>
      </w:r>
      <w:r w:rsidR="00816650">
        <w:rPr>
          <w:rFonts w:cs="Arial"/>
          <w:sz w:val="22"/>
          <w:szCs w:val="22"/>
        </w:rPr>
        <w:t>. Se aclara que dicha regla se aplica solamente a los contratos de tipo firme que se registren con base en las condiciones establecidas en la resolución def</w:t>
      </w:r>
      <w:r w:rsidR="0005490F">
        <w:rPr>
          <w:rFonts w:cs="Arial"/>
          <w:sz w:val="22"/>
          <w:szCs w:val="22"/>
        </w:rPr>
        <w:t>i</w:t>
      </w:r>
      <w:r w:rsidR="00816650">
        <w:rPr>
          <w:rFonts w:cs="Arial"/>
          <w:sz w:val="22"/>
          <w:szCs w:val="22"/>
        </w:rPr>
        <w:t>nitiva.</w:t>
      </w:r>
    </w:p>
    <w:p w14:paraId="362E860B" w14:textId="77777777" w:rsidR="004241EB" w:rsidRPr="004241EB" w:rsidRDefault="004241EB" w:rsidP="00CF75E0">
      <w:pPr>
        <w:pStyle w:val="Prrafodelista"/>
        <w:jc w:val="left"/>
        <w:rPr>
          <w:rFonts w:cs="Arial"/>
          <w:sz w:val="22"/>
          <w:szCs w:val="22"/>
        </w:rPr>
      </w:pPr>
    </w:p>
    <w:p w14:paraId="3A95548D" w14:textId="41F8455D" w:rsidR="002F340F" w:rsidRDefault="004241EB" w:rsidP="00CF75E0">
      <w:pPr>
        <w:pStyle w:val="Prrafodelista"/>
        <w:numPr>
          <w:ilvl w:val="0"/>
          <w:numId w:val="18"/>
        </w:numPr>
        <w:ind w:left="426" w:hanging="426"/>
        <w:jc w:val="left"/>
        <w:rPr>
          <w:rFonts w:cs="Arial"/>
          <w:sz w:val="22"/>
          <w:szCs w:val="22"/>
        </w:rPr>
      </w:pPr>
      <w:r w:rsidRPr="002F340F">
        <w:rPr>
          <w:rFonts w:cs="Arial"/>
          <w:sz w:val="22"/>
          <w:szCs w:val="22"/>
        </w:rPr>
        <w:t xml:space="preserve">Se </w:t>
      </w:r>
      <w:r w:rsidR="002F340F" w:rsidRPr="002F340F">
        <w:rPr>
          <w:rFonts w:cs="Arial"/>
          <w:sz w:val="22"/>
          <w:szCs w:val="22"/>
        </w:rPr>
        <w:t xml:space="preserve">vuelve obligatorio </w:t>
      </w:r>
      <w:r w:rsidR="002F340F">
        <w:rPr>
          <w:rFonts w:cs="Arial"/>
          <w:sz w:val="22"/>
          <w:szCs w:val="22"/>
        </w:rPr>
        <w:t>que t</w:t>
      </w:r>
      <w:r w:rsidR="002F340F" w:rsidRPr="002F340F">
        <w:rPr>
          <w:rFonts w:cs="Arial"/>
          <w:sz w:val="22"/>
          <w:szCs w:val="22"/>
        </w:rPr>
        <w:t>odos los contratos de suministro de gas natural, sin excepción, deberán ser registrados por los vendedores, así el gas natural que se suministra no sea usado como combustible por el usuario final. En el caso de que a la fecha de entrada en vigencia de la resolución haya contratos suscritos previamente que no han sido registrados, los vendedores deberán hacerlo, de acuerdo con los requerimientos de información detallados en el Anexo 1 de la Resolución CREG 186 de 2020, en un término máximo de cinco (5) días hábiles contados a partir de la entrada en vigencia de la resolución</w:t>
      </w:r>
      <w:r w:rsidR="00AC4D80">
        <w:rPr>
          <w:rFonts w:cs="Arial"/>
          <w:sz w:val="22"/>
          <w:szCs w:val="22"/>
        </w:rPr>
        <w:t xml:space="preserve"> definitiva</w:t>
      </w:r>
      <w:r w:rsidR="002F340F" w:rsidRPr="002F340F">
        <w:rPr>
          <w:rFonts w:cs="Arial"/>
          <w:sz w:val="22"/>
          <w:szCs w:val="22"/>
        </w:rPr>
        <w:t>.</w:t>
      </w:r>
    </w:p>
    <w:p w14:paraId="3BE9FC19" w14:textId="77777777" w:rsidR="00B6706C" w:rsidRPr="00B6706C" w:rsidRDefault="00B6706C" w:rsidP="00CF75E0">
      <w:pPr>
        <w:pStyle w:val="Prrafodelista"/>
        <w:jc w:val="left"/>
        <w:rPr>
          <w:rFonts w:cs="Arial"/>
          <w:sz w:val="22"/>
          <w:szCs w:val="22"/>
        </w:rPr>
      </w:pPr>
    </w:p>
    <w:p w14:paraId="5C37B88C" w14:textId="216501D8" w:rsidR="003E3D98" w:rsidRDefault="003E3D98" w:rsidP="00CF75E0">
      <w:pPr>
        <w:pStyle w:val="Prrafodelista"/>
        <w:numPr>
          <w:ilvl w:val="0"/>
          <w:numId w:val="18"/>
        </w:numPr>
        <w:ind w:left="426" w:hanging="426"/>
        <w:jc w:val="left"/>
        <w:rPr>
          <w:rFonts w:cs="Arial"/>
          <w:sz w:val="22"/>
          <w:szCs w:val="22"/>
        </w:rPr>
      </w:pPr>
      <w:r>
        <w:rPr>
          <w:rFonts w:cs="Arial"/>
          <w:sz w:val="22"/>
          <w:szCs w:val="22"/>
        </w:rPr>
        <w:t>Para permitir el registro de contratos de tipo firme propuestos en las medidas transitorias, el Gestor del Mercado debe verificar al momento de que un vendedor del Mercado Primario declare o actualice la PTDVF de una fuente de suministro, que el valor promedio aritmético de la PTDVF de las semanas calendario de ese mes sea igual o inferior al valor mensual vigente de PTDV.  Para ello se deberá tener en cuenta</w:t>
      </w:r>
      <w:r w:rsidR="00081E3F">
        <w:rPr>
          <w:sz w:val="22"/>
          <w:szCs w:val="22"/>
        </w:rPr>
        <w:t xml:space="preserve"> que </w:t>
      </w:r>
      <w:r w:rsidR="00081E3F" w:rsidRPr="00C33DE6">
        <w:rPr>
          <w:sz w:val="22"/>
          <w:szCs w:val="22"/>
        </w:rPr>
        <w:t xml:space="preserve">la semana </w:t>
      </w:r>
      <w:r w:rsidR="00081E3F">
        <w:rPr>
          <w:sz w:val="22"/>
          <w:szCs w:val="22"/>
        </w:rPr>
        <w:t xml:space="preserve">calendario se </w:t>
      </w:r>
      <w:r w:rsidR="00081E3F" w:rsidRPr="00C33DE6">
        <w:rPr>
          <w:sz w:val="22"/>
          <w:szCs w:val="22"/>
        </w:rPr>
        <w:t>asigna al mes en que ocurre la mayor cantidad de días laborales de esa semana</w:t>
      </w:r>
      <w:r w:rsidR="00081E3F">
        <w:rPr>
          <w:sz w:val="22"/>
          <w:szCs w:val="22"/>
        </w:rPr>
        <w:t>.</w:t>
      </w:r>
    </w:p>
    <w:p w14:paraId="60AFCAE5" w14:textId="77777777" w:rsidR="003E3D98" w:rsidRPr="00070DB2" w:rsidRDefault="003E3D98" w:rsidP="00CF75E0">
      <w:pPr>
        <w:pStyle w:val="Prrafodelista"/>
        <w:jc w:val="left"/>
        <w:rPr>
          <w:rFonts w:cs="Arial"/>
          <w:sz w:val="22"/>
          <w:szCs w:val="22"/>
        </w:rPr>
      </w:pPr>
    </w:p>
    <w:p w14:paraId="2557FF4D" w14:textId="2040422F" w:rsidR="00B6706C" w:rsidRPr="002F340F" w:rsidRDefault="00B6706C" w:rsidP="00CF75E0">
      <w:pPr>
        <w:pStyle w:val="Prrafodelista"/>
        <w:numPr>
          <w:ilvl w:val="0"/>
          <w:numId w:val="18"/>
        </w:numPr>
        <w:ind w:left="426" w:hanging="426"/>
        <w:jc w:val="left"/>
        <w:rPr>
          <w:rFonts w:cs="Arial"/>
          <w:sz w:val="22"/>
          <w:szCs w:val="22"/>
        </w:rPr>
      </w:pPr>
      <w:r w:rsidRPr="00B6706C">
        <w:rPr>
          <w:rFonts w:cs="Arial"/>
          <w:sz w:val="22"/>
          <w:szCs w:val="22"/>
        </w:rPr>
        <w:t xml:space="preserve">Todos los agentes que deseen hacer negociaciones directas en el </w:t>
      </w:r>
      <w:r w:rsidR="004B170D">
        <w:rPr>
          <w:rFonts w:cs="Arial"/>
          <w:sz w:val="22"/>
          <w:szCs w:val="22"/>
        </w:rPr>
        <w:t>Mercado</w:t>
      </w:r>
      <w:r w:rsidRPr="00B6706C">
        <w:rPr>
          <w:rFonts w:cs="Arial"/>
          <w:sz w:val="22"/>
          <w:szCs w:val="22"/>
        </w:rPr>
        <w:t xml:space="preserve"> </w:t>
      </w:r>
      <w:r w:rsidR="004B170D">
        <w:rPr>
          <w:rFonts w:cs="Arial"/>
          <w:sz w:val="22"/>
          <w:szCs w:val="22"/>
        </w:rPr>
        <w:t>Secundario</w:t>
      </w:r>
      <w:r w:rsidRPr="00B6706C">
        <w:rPr>
          <w:rFonts w:cs="Arial"/>
          <w:sz w:val="22"/>
          <w:szCs w:val="22"/>
        </w:rPr>
        <w:t xml:space="preserve">, están obligados a entregar </w:t>
      </w:r>
      <w:r>
        <w:rPr>
          <w:rFonts w:cs="Arial"/>
          <w:sz w:val="22"/>
          <w:szCs w:val="22"/>
        </w:rPr>
        <w:t xml:space="preserve">al Gestor del </w:t>
      </w:r>
      <w:r w:rsidR="004B170D">
        <w:rPr>
          <w:rFonts w:cs="Arial"/>
          <w:sz w:val="22"/>
          <w:szCs w:val="22"/>
        </w:rPr>
        <w:t>Mercado</w:t>
      </w:r>
      <w:r>
        <w:rPr>
          <w:rFonts w:cs="Arial"/>
          <w:sz w:val="22"/>
          <w:szCs w:val="22"/>
        </w:rPr>
        <w:t xml:space="preserve"> </w:t>
      </w:r>
      <w:r w:rsidRPr="00B6706C">
        <w:rPr>
          <w:rFonts w:cs="Arial"/>
          <w:sz w:val="22"/>
          <w:szCs w:val="22"/>
        </w:rPr>
        <w:t xml:space="preserve">la información requerida para </w:t>
      </w:r>
      <w:r>
        <w:rPr>
          <w:rFonts w:cs="Arial"/>
          <w:sz w:val="22"/>
          <w:szCs w:val="22"/>
        </w:rPr>
        <w:t xml:space="preserve">las ofertas de gas natural y para las solicitudes de compra de gas natural </w:t>
      </w:r>
      <w:r w:rsidRPr="00B6706C">
        <w:rPr>
          <w:rFonts w:cs="Arial"/>
          <w:sz w:val="22"/>
          <w:szCs w:val="22"/>
        </w:rPr>
        <w:t xml:space="preserve">el cumplimiento de lo establecido en el artículo 33 </w:t>
      </w:r>
      <w:r>
        <w:rPr>
          <w:rFonts w:cs="Arial"/>
          <w:sz w:val="22"/>
          <w:szCs w:val="22"/>
        </w:rPr>
        <w:t>de la</w:t>
      </w:r>
      <w:r w:rsidRPr="00B6706C">
        <w:rPr>
          <w:rFonts w:cs="Arial"/>
          <w:sz w:val="22"/>
          <w:szCs w:val="22"/>
        </w:rPr>
        <w:t xml:space="preserve"> resolución</w:t>
      </w:r>
      <w:r>
        <w:rPr>
          <w:rFonts w:cs="Arial"/>
          <w:sz w:val="22"/>
          <w:szCs w:val="22"/>
        </w:rPr>
        <w:t xml:space="preserve"> CREG 186 de 2020</w:t>
      </w:r>
      <w:r w:rsidRPr="00B6706C">
        <w:rPr>
          <w:rFonts w:cs="Arial"/>
          <w:sz w:val="22"/>
          <w:szCs w:val="22"/>
        </w:rPr>
        <w:t xml:space="preserve">, antes de cualquier negociación de compraventa y en el caso de los vendedores adicionalmente deberán informar si el gas es de origen nacional o importado. Una vez publicada la información por el Gestor del </w:t>
      </w:r>
      <w:r w:rsidR="004B170D">
        <w:rPr>
          <w:rFonts w:cs="Arial"/>
          <w:sz w:val="22"/>
          <w:szCs w:val="22"/>
        </w:rPr>
        <w:t>Mercado</w:t>
      </w:r>
      <w:r w:rsidRPr="00B6706C">
        <w:rPr>
          <w:rFonts w:cs="Arial"/>
          <w:sz w:val="22"/>
          <w:szCs w:val="22"/>
        </w:rPr>
        <w:t xml:space="preserve">, los agentes podrán hacer uso de otras plataformas, como se establece en el artículo 34 de la misma. En caso de no cumplirse con este requisito, el Gestor del </w:t>
      </w:r>
      <w:r w:rsidR="004B170D">
        <w:rPr>
          <w:rFonts w:cs="Arial"/>
          <w:sz w:val="22"/>
          <w:szCs w:val="22"/>
        </w:rPr>
        <w:t>Mercado</w:t>
      </w:r>
      <w:r w:rsidRPr="00B6706C">
        <w:rPr>
          <w:rFonts w:cs="Arial"/>
          <w:sz w:val="22"/>
          <w:szCs w:val="22"/>
        </w:rPr>
        <w:t xml:space="preserve"> deberá informarlo a las partes, abstenerse de registrar el contrato y dar aviso a las autoridades de vigilancia y control.</w:t>
      </w:r>
    </w:p>
    <w:p w14:paraId="01F78E46" w14:textId="34AF5C79" w:rsidR="00B6706C" w:rsidRDefault="00B6706C" w:rsidP="00CF75E0">
      <w:pPr>
        <w:pStyle w:val="Prrafodelista"/>
        <w:ind w:left="360"/>
        <w:jc w:val="left"/>
        <w:rPr>
          <w:rFonts w:cs="Arial"/>
          <w:sz w:val="22"/>
          <w:szCs w:val="22"/>
        </w:rPr>
      </w:pPr>
    </w:p>
    <w:p w14:paraId="35709DF0" w14:textId="1EC9F095" w:rsidR="00B6706C" w:rsidRDefault="00B6706C" w:rsidP="00CF75E0">
      <w:pPr>
        <w:pStyle w:val="Prrafodelista"/>
        <w:numPr>
          <w:ilvl w:val="0"/>
          <w:numId w:val="18"/>
        </w:numPr>
        <w:ind w:left="360"/>
        <w:jc w:val="left"/>
        <w:rPr>
          <w:rFonts w:cs="Arial"/>
          <w:sz w:val="22"/>
          <w:szCs w:val="22"/>
        </w:rPr>
      </w:pPr>
      <w:r w:rsidRPr="00B6706C">
        <w:rPr>
          <w:rFonts w:cs="Arial"/>
          <w:sz w:val="22"/>
          <w:szCs w:val="22"/>
        </w:rPr>
        <w:t xml:space="preserve">Los vendedores y </w:t>
      </w:r>
      <w:r>
        <w:rPr>
          <w:rFonts w:cs="Arial"/>
          <w:sz w:val="22"/>
          <w:szCs w:val="22"/>
        </w:rPr>
        <w:t xml:space="preserve">los </w:t>
      </w:r>
      <w:r w:rsidRPr="00B6706C">
        <w:rPr>
          <w:rFonts w:cs="Arial"/>
          <w:sz w:val="22"/>
          <w:szCs w:val="22"/>
        </w:rPr>
        <w:t xml:space="preserve">compradores del </w:t>
      </w:r>
      <w:r w:rsidR="004B170D">
        <w:rPr>
          <w:rFonts w:cs="Arial"/>
          <w:sz w:val="22"/>
          <w:szCs w:val="22"/>
        </w:rPr>
        <w:t>Mercado</w:t>
      </w:r>
      <w:r w:rsidRPr="00B6706C">
        <w:rPr>
          <w:rFonts w:cs="Arial"/>
          <w:sz w:val="22"/>
          <w:szCs w:val="22"/>
        </w:rPr>
        <w:t xml:space="preserve"> </w:t>
      </w:r>
      <w:r w:rsidR="004B170D">
        <w:rPr>
          <w:rFonts w:cs="Arial"/>
          <w:sz w:val="22"/>
          <w:szCs w:val="22"/>
        </w:rPr>
        <w:t>Primario</w:t>
      </w:r>
      <w:r w:rsidRPr="00B6706C">
        <w:rPr>
          <w:rFonts w:cs="Arial"/>
          <w:sz w:val="22"/>
          <w:szCs w:val="22"/>
        </w:rPr>
        <w:t xml:space="preserve"> podrán negociar directamente contratos con interrupciones en el mes previo al mes de inicio de su ejecución</w:t>
      </w:r>
      <w:r w:rsidR="00D82FBA">
        <w:rPr>
          <w:rFonts w:cs="Arial"/>
          <w:sz w:val="22"/>
          <w:szCs w:val="22"/>
        </w:rPr>
        <w:t>.</w:t>
      </w:r>
    </w:p>
    <w:p w14:paraId="3C67DFB9" w14:textId="77777777" w:rsidR="00B6706C" w:rsidRPr="00B6706C" w:rsidRDefault="00B6706C" w:rsidP="00CF75E0">
      <w:pPr>
        <w:pStyle w:val="Prrafodelista"/>
        <w:jc w:val="left"/>
        <w:rPr>
          <w:rFonts w:cs="Arial"/>
          <w:sz w:val="22"/>
          <w:szCs w:val="22"/>
        </w:rPr>
      </w:pPr>
    </w:p>
    <w:p w14:paraId="23DD07BA" w14:textId="775AD077" w:rsidR="00B65589" w:rsidRDefault="00B6706C" w:rsidP="00CF75E0">
      <w:pPr>
        <w:pStyle w:val="Prrafodelista"/>
        <w:numPr>
          <w:ilvl w:val="0"/>
          <w:numId w:val="18"/>
        </w:numPr>
        <w:ind w:left="360"/>
        <w:jc w:val="left"/>
        <w:rPr>
          <w:rFonts w:cs="Arial"/>
          <w:sz w:val="22"/>
          <w:szCs w:val="22"/>
        </w:rPr>
      </w:pPr>
      <w:r>
        <w:rPr>
          <w:rFonts w:cs="Arial"/>
          <w:sz w:val="22"/>
          <w:szCs w:val="22"/>
        </w:rPr>
        <w:t xml:space="preserve">Como consecuencia da las flexibilidades dadas mencionadas anteriormente, durante la vigencia de la resolución que se propone, no se realizarán las subastas mensuales de contratos con interrupciones ni las subastas de contratos firmes bimestrales. </w:t>
      </w:r>
    </w:p>
    <w:p w14:paraId="23912BF3" w14:textId="77777777" w:rsidR="006141EA" w:rsidRPr="00B6706C" w:rsidRDefault="006141EA" w:rsidP="00CF75E0">
      <w:pPr>
        <w:jc w:val="left"/>
        <w:rPr>
          <w:bCs/>
          <w:sz w:val="22"/>
          <w:szCs w:val="22"/>
        </w:rPr>
      </w:pPr>
    </w:p>
    <w:p w14:paraId="2C925ADF" w14:textId="2A05CE24" w:rsidR="00AD70F1" w:rsidRPr="00B6706C" w:rsidRDefault="00D027D6" w:rsidP="00CF75E0">
      <w:pPr>
        <w:pStyle w:val="Ttulo1"/>
        <w:numPr>
          <w:ilvl w:val="0"/>
          <w:numId w:val="14"/>
        </w:numPr>
        <w:spacing w:after="0"/>
        <w:ind w:left="431" w:hanging="431"/>
        <w:jc w:val="left"/>
        <w:rPr>
          <w:szCs w:val="24"/>
        </w:rPr>
      </w:pPr>
      <w:bookmarkStart w:id="22" w:name="_Toc158211404"/>
      <w:r w:rsidRPr="00B6706C">
        <w:rPr>
          <w:szCs w:val="24"/>
        </w:rPr>
        <w:t>CONSULTA PÚBLICA</w:t>
      </w:r>
      <w:bookmarkEnd w:id="22"/>
    </w:p>
    <w:p w14:paraId="1C93A80A" w14:textId="77777777" w:rsidR="00AD70F1" w:rsidRDefault="00AD70F1" w:rsidP="00CF75E0">
      <w:pPr>
        <w:jc w:val="left"/>
      </w:pPr>
    </w:p>
    <w:p w14:paraId="2E08EDAD" w14:textId="590B19C6" w:rsidR="001D07F0" w:rsidRDefault="00711F9A" w:rsidP="00CF75E0">
      <w:pPr>
        <w:jc w:val="left"/>
        <w:rPr>
          <w:sz w:val="22"/>
          <w:szCs w:val="22"/>
        </w:rPr>
      </w:pPr>
      <w:r w:rsidRPr="00711F9A">
        <w:rPr>
          <w:rFonts w:cs="Arial"/>
          <w:sz w:val="22"/>
          <w:szCs w:val="22"/>
        </w:rPr>
        <w:t>Considerando las circunstancias descritas en el capítulo 2 “</w:t>
      </w:r>
      <w:r w:rsidRPr="00711F9A">
        <w:rPr>
          <w:rFonts w:cs="Arial"/>
          <w:i/>
          <w:iCs/>
          <w:sz w:val="22"/>
          <w:szCs w:val="22"/>
        </w:rPr>
        <w:t>Información General</w:t>
      </w:r>
      <w:r w:rsidRPr="00711F9A">
        <w:rPr>
          <w:rFonts w:cs="Arial"/>
          <w:sz w:val="22"/>
          <w:szCs w:val="22"/>
        </w:rPr>
        <w:t>” del presente documento</w:t>
      </w:r>
      <w:r>
        <w:rPr>
          <w:rFonts w:cs="Arial"/>
          <w:sz w:val="22"/>
          <w:szCs w:val="22"/>
        </w:rPr>
        <w:t xml:space="preserve"> y los plazos establecidos en el Reglamento </w:t>
      </w:r>
      <w:r w:rsidR="009827C3">
        <w:rPr>
          <w:rFonts w:cs="Arial"/>
          <w:sz w:val="22"/>
          <w:szCs w:val="22"/>
        </w:rPr>
        <w:t xml:space="preserve">Interno </w:t>
      </w:r>
      <w:r w:rsidR="00BF256A">
        <w:rPr>
          <w:rFonts w:cs="Arial"/>
          <w:sz w:val="22"/>
          <w:szCs w:val="22"/>
        </w:rPr>
        <w:t xml:space="preserve">vigente </w:t>
      </w:r>
      <w:r>
        <w:rPr>
          <w:rFonts w:cs="Arial"/>
          <w:sz w:val="22"/>
          <w:szCs w:val="22"/>
        </w:rPr>
        <w:t xml:space="preserve">de la CREG de la </w:t>
      </w:r>
      <w:r>
        <w:rPr>
          <w:rFonts w:cs="Arial"/>
          <w:sz w:val="22"/>
          <w:szCs w:val="22"/>
        </w:rPr>
        <w:lastRenderedPageBreak/>
        <w:t>Resolución CREG</w:t>
      </w:r>
      <w:r w:rsidR="009827C3">
        <w:rPr>
          <w:rFonts w:cs="Arial"/>
          <w:sz w:val="22"/>
          <w:szCs w:val="22"/>
        </w:rPr>
        <w:t xml:space="preserve"> 039 de 2017</w:t>
      </w:r>
      <w:r>
        <w:rPr>
          <w:rFonts w:cs="Arial"/>
          <w:sz w:val="22"/>
          <w:szCs w:val="22"/>
        </w:rPr>
        <w:t>,</w:t>
      </w:r>
      <w:r w:rsidRPr="00711F9A">
        <w:rPr>
          <w:rFonts w:cs="Arial"/>
          <w:sz w:val="22"/>
          <w:szCs w:val="22"/>
        </w:rPr>
        <w:t xml:space="preserve"> </w:t>
      </w:r>
      <w:r w:rsidRPr="00711F9A">
        <w:rPr>
          <w:sz w:val="22"/>
          <w:szCs w:val="22"/>
        </w:rPr>
        <w:t xml:space="preserve">se </w:t>
      </w:r>
      <w:r>
        <w:rPr>
          <w:sz w:val="22"/>
          <w:szCs w:val="22"/>
        </w:rPr>
        <w:t>plant</w:t>
      </w:r>
      <w:r w:rsidR="00767C18">
        <w:rPr>
          <w:sz w:val="22"/>
          <w:szCs w:val="22"/>
        </w:rPr>
        <w:t>eó</w:t>
      </w:r>
      <w:r>
        <w:rPr>
          <w:sz w:val="22"/>
          <w:szCs w:val="22"/>
        </w:rPr>
        <w:t xml:space="preserve"> un período de consulta de cinco (5) días hábiles contados a partir de la publicación del Proyecto de Resolución. </w:t>
      </w:r>
    </w:p>
    <w:p w14:paraId="33973692" w14:textId="77777777" w:rsidR="009827C3" w:rsidRDefault="009827C3" w:rsidP="00CF75E0">
      <w:pPr>
        <w:jc w:val="left"/>
        <w:rPr>
          <w:sz w:val="22"/>
          <w:szCs w:val="22"/>
        </w:rPr>
      </w:pPr>
    </w:p>
    <w:p w14:paraId="0CF6E1CD" w14:textId="44C925C0" w:rsidR="009827C3" w:rsidRPr="00711F9A" w:rsidRDefault="009827C3" w:rsidP="00CF75E0">
      <w:pPr>
        <w:jc w:val="left"/>
        <w:rPr>
          <w:sz w:val="22"/>
          <w:szCs w:val="22"/>
        </w:rPr>
      </w:pPr>
      <w:r>
        <w:rPr>
          <w:sz w:val="22"/>
          <w:szCs w:val="22"/>
        </w:rPr>
        <w:t>Lo anterior por cuanto</w:t>
      </w:r>
      <w:r w:rsidRPr="009827C3">
        <w:rPr>
          <w:sz w:val="22"/>
          <w:szCs w:val="22"/>
        </w:rPr>
        <w:t xml:space="preserve"> se requier</w:t>
      </w:r>
      <w:r>
        <w:rPr>
          <w:sz w:val="22"/>
          <w:szCs w:val="22"/>
        </w:rPr>
        <w:t>en</w:t>
      </w:r>
      <w:r w:rsidRPr="009827C3">
        <w:rPr>
          <w:sz w:val="22"/>
          <w:szCs w:val="22"/>
        </w:rPr>
        <w:t xml:space="preserve"> tomar medidas urgentes para garantizar el abastecimiento del producto o la continuidad y confiabilidad del servicio</w:t>
      </w:r>
      <w:r>
        <w:rPr>
          <w:sz w:val="22"/>
          <w:szCs w:val="22"/>
        </w:rPr>
        <w:t xml:space="preserve"> y</w:t>
      </w:r>
      <w:r w:rsidRPr="009827C3">
        <w:rPr>
          <w:sz w:val="22"/>
          <w:szCs w:val="22"/>
        </w:rPr>
        <w:t xml:space="preserve"> tomar medidas ante situaciones de la naturaleza u orden público, económico o social que tengan la capacidad de afectar de manera grave la prestación continua del servicio público regulado.</w:t>
      </w:r>
    </w:p>
    <w:p w14:paraId="0A217342" w14:textId="77777777" w:rsidR="00F35404" w:rsidRDefault="00F35404" w:rsidP="00CF75E0">
      <w:pPr>
        <w:jc w:val="left"/>
        <w:rPr>
          <w:sz w:val="22"/>
          <w:szCs w:val="22"/>
        </w:rPr>
      </w:pPr>
    </w:p>
    <w:p w14:paraId="4C9DECF7" w14:textId="77777777" w:rsidR="00BB4F7C" w:rsidRPr="0089302A" w:rsidRDefault="00BB4F7C" w:rsidP="00CF75E0">
      <w:pPr>
        <w:jc w:val="left"/>
        <w:rPr>
          <w:sz w:val="22"/>
          <w:szCs w:val="22"/>
        </w:rPr>
      </w:pPr>
    </w:p>
    <w:p w14:paraId="230F55C6" w14:textId="2D160E47" w:rsidR="007458E2" w:rsidRPr="00B6706C" w:rsidRDefault="007458E2" w:rsidP="00CF75E0">
      <w:pPr>
        <w:pStyle w:val="Ttulo1"/>
        <w:numPr>
          <w:ilvl w:val="0"/>
          <w:numId w:val="14"/>
        </w:numPr>
        <w:spacing w:after="0"/>
        <w:ind w:left="431" w:hanging="431"/>
        <w:jc w:val="left"/>
        <w:rPr>
          <w:szCs w:val="24"/>
        </w:rPr>
      </w:pPr>
      <w:bookmarkStart w:id="23" w:name="_Toc158211405"/>
      <w:r w:rsidRPr="00B6706C">
        <w:rPr>
          <w:szCs w:val="24"/>
        </w:rPr>
        <w:t>ANÁLISIS DE IMPACTOS</w:t>
      </w:r>
      <w:bookmarkEnd w:id="23"/>
    </w:p>
    <w:p w14:paraId="7C74D454" w14:textId="77777777" w:rsidR="007458E2" w:rsidRPr="0089302A" w:rsidRDefault="007458E2" w:rsidP="00CF75E0">
      <w:pPr>
        <w:jc w:val="left"/>
        <w:rPr>
          <w:sz w:val="22"/>
          <w:szCs w:val="22"/>
        </w:rPr>
      </w:pPr>
    </w:p>
    <w:p w14:paraId="0E5D121A" w14:textId="4A3299DB" w:rsidR="00E7209B" w:rsidRDefault="007458E2" w:rsidP="00CF75E0">
      <w:pPr>
        <w:jc w:val="left"/>
        <w:rPr>
          <w:sz w:val="22"/>
          <w:szCs w:val="22"/>
        </w:rPr>
      </w:pPr>
      <w:r w:rsidRPr="0089302A">
        <w:rPr>
          <w:sz w:val="22"/>
          <w:szCs w:val="22"/>
        </w:rPr>
        <w:t>Con las medidas propuestas se busca</w:t>
      </w:r>
      <w:r w:rsidR="00235972">
        <w:rPr>
          <w:sz w:val="22"/>
          <w:szCs w:val="22"/>
        </w:rPr>
        <w:t xml:space="preserve"> </w:t>
      </w:r>
      <w:r w:rsidRPr="0089302A">
        <w:rPr>
          <w:sz w:val="22"/>
          <w:szCs w:val="22"/>
        </w:rPr>
        <w:t xml:space="preserve">aumentar la comercialización y la contratación del gas firme disponible de corto plazo y que los usuarios de una alta variación en su consumo de gas natural, cuenten con más opciones de negociación directa que les faciliten obtener el suministro del gas mediante las modalidades contractuales que actualmente están dispuestas para dicho tipo de usuarios y a precios negociados con un mayor nivel de información de parte de todos los participantes en el </w:t>
      </w:r>
      <w:r w:rsidR="004B170D">
        <w:rPr>
          <w:sz w:val="22"/>
          <w:szCs w:val="22"/>
        </w:rPr>
        <w:t>Mercado</w:t>
      </w:r>
      <w:r w:rsidRPr="0089302A">
        <w:rPr>
          <w:sz w:val="22"/>
          <w:szCs w:val="22"/>
        </w:rPr>
        <w:t xml:space="preserve"> </w:t>
      </w:r>
      <w:r w:rsidR="004B170D">
        <w:rPr>
          <w:sz w:val="22"/>
          <w:szCs w:val="22"/>
        </w:rPr>
        <w:t>Mayorista</w:t>
      </w:r>
      <w:r w:rsidRPr="0089302A">
        <w:rPr>
          <w:sz w:val="22"/>
          <w:szCs w:val="22"/>
        </w:rPr>
        <w:t xml:space="preserve"> de Gas Natural. </w:t>
      </w:r>
    </w:p>
    <w:p w14:paraId="4C8D2DF7" w14:textId="77777777" w:rsidR="00235972" w:rsidRDefault="00235972" w:rsidP="00CF75E0">
      <w:pPr>
        <w:jc w:val="left"/>
        <w:rPr>
          <w:sz w:val="22"/>
          <w:szCs w:val="22"/>
        </w:rPr>
      </w:pPr>
    </w:p>
    <w:p w14:paraId="4C94FFE6" w14:textId="1A12AAE0" w:rsidR="00235972" w:rsidRDefault="00235972" w:rsidP="00CF75E0">
      <w:pPr>
        <w:jc w:val="left"/>
        <w:rPr>
          <w:sz w:val="22"/>
          <w:szCs w:val="22"/>
        </w:rPr>
      </w:pPr>
      <w:r>
        <w:rPr>
          <w:sz w:val="22"/>
          <w:szCs w:val="22"/>
        </w:rPr>
        <w:t xml:space="preserve">Se espera que las empresas comercializadoras que atienden usuarios finales que pertenecen a la Demanda Esencial cuenten con mayores opciones para la contratación en firme de las cantidades necesarias para atender dicha demanda, de modo que la priorización en el despacho del gas esté respaldada comercialmente cuando se presentan insalvables restricciones en el suministro o en el transporte o cuando el Ministerio de Minas y Energía declara racionamientos programados. Además de ello, se espera que los agentes que requieren gas natural para la operación de plantas térmicas de generación eléctrica puedan contar con el suministro de mayores cantidades de gas natural </w:t>
      </w:r>
      <w:r w:rsidR="00D809F9">
        <w:rPr>
          <w:sz w:val="22"/>
          <w:szCs w:val="22"/>
        </w:rPr>
        <w:t>para</w:t>
      </w:r>
      <w:r>
        <w:rPr>
          <w:sz w:val="22"/>
          <w:szCs w:val="22"/>
        </w:rPr>
        <w:t xml:space="preserve"> menores períodos de duración contractual.</w:t>
      </w:r>
    </w:p>
    <w:p w14:paraId="30DEF77C" w14:textId="77777777" w:rsidR="00235972" w:rsidRDefault="00235972" w:rsidP="00CF75E0">
      <w:pPr>
        <w:jc w:val="left"/>
        <w:rPr>
          <w:sz w:val="22"/>
          <w:szCs w:val="22"/>
        </w:rPr>
      </w:pPr>
    </w:p>
    <w:p w14:paraId="645E7AE0" w14:textId="201B5C9C" w:rsidR="00235972" w:rsidRPr="0089302A" w:rsidRDefault="00235972" w:rsidP="00CF75E0">
      <w:pPr>
        <w:jc w:val="left"/>
        <w:rPr>
          <w:sz w:val="22"/>
          <w:szCs w:val="22"/>
        </w:rPr>
      </w:pPr>
      <w:r>
        <w:rPr>
          <w:sz w:val="22"/>
          <w:szCs w:val="22"/>
        </w:rPr>
        <w:t xml:space="preserve">En general se esperan mayores volúmenes de contratación de muy corto plazo en el </w:t>
      </w:r>
      <w:r w:rsidR="004B170D">
        <w:rPr>
          <w:sz w:val="22"/>
          <w:szCs w:val="22"/>
        </w:rPr>
        <w:t>Mercado</w:t>
      </w:r>
      <w:r>
        <w:rPr>
          <w:sz w:val="22"/>
          <w:szCs w:val="22"/>
        </w:rPr>
        <w:t xml:space="preserve"> </w:t>
      </w:r>
      <w:r w:rsidR="004B170D">
        <w:rPr>
          <w:sz w:val="22"/>
          <w:szCs w:val="22"/>
        </w:rPr>
        <w:t>Primario</w:t>
      </w:r>
      <w:r>
        <w:rPr>
          <w:sz w:val="22"/>
          <w:szCs w:val="22"/>
        </w:rPr>
        <w:t xml:space="preserve"> que permita una mayor eficiencia en la negociación de volúmenes y sus precios tanto en el </w:t>
      </w:r>
      <w:r w:rsidR="004B170D">
        <w:rPr>
          <w:sz w:val="22"/>
          <w:szCs w:val="22"/>
        </w:rPr>
        <w:t>Mercado</w:t>
      </w:r>
      <w:r>
        <w:rPr>
          <w:sz w:val="22"/>
          <w:szCs w:val="22"/>
        </w:rPr>
        <w:t xml:space="preserve"> </w:t>
      </w:r>
      <w:r w:rsidR="004B170D">
        <w:rPr>
          <w:sz w:val="22"/>
          <w:szCs w:val="22"/>
        </w:rPr>
        <w:t>Primario</w:t>
      </w:r>
      <w:r>
        <w:rPr>
          <w:sz w:val="22"/>
          <w:szCs w:val="22"/>
        </w:rPr>
        <w:t xml:space="preserve">, en el </w:t>
      </w:r>
      <w:r w:rsidR="004B170D">
        <w:rPr>
          <w:sz w:val="22"/>
          <w:szCs w:val="22"/>
        </w:rPr>
        <w:t>Mercado</w:t>
      </w:r>
      <w:r>
        <w:rPr>
          <w:sz w:val="22"/>
          <w:szCs w:val="22"/>
        </w:rPr>
        <w:t xml:space="preserve"> </w:t>
      </w:r>
      <w:r w:rsidR="004B170D">
        <w:rPr>
          <w:sz w:val="22"/>
          <w:szCs w:val="22"/>
        </w:rPr>
        <w:t>Secundario</w:t>
      </w:r>
      <w:r>
        <w:rPr>
          <w:sz w:val="22"/>
          <w:szCs w:val="22"/>
        </w:rPr>
        <w:t xml:space="preserve"> como en el </w:t>
      </w:r>
      <w:r w:rsidR="004B170D">
        <w:rPr>
          <w:sz w:val="22"/>
          <w:szCs w:val="22"/>
        </w:rPr>
        <w:t>Mercado</w:t>
      </w:r>
      <w:r>
        <w:rPr>
          <w:sz w:val="22"/>
          <w:szCs w:val="22"/>
        </w:rPr>
        <w:t xml:space="preserve"> </w:t>
      </w:r>
      <w:r w:rsidR="00943F2D">
        <w:rPr>
          <w:sz w:val="22"/>
          <w:szCs w:val="22"/>
        </w:rPr>
        <w:t>M</w:t>
      </w:r>
      <w:r>
        <w:rPr>
          <w:sz w:val="22"/>
          <w:szCs w:val="22"/>
        </w:rPr>
        <w:t>inorista.</w:t>
      </w:r>
    </w:p>
    <w:p w14:paraId="3348281B" w14:textId="77777777" w:rsidR="00D027D6" w:rsidRDefault="00D027D6" w:rsidP="00CF75E0">
      <w:pPr>
        <w:jc w:val="left"/>
        <w:rPr>
          <w:sz w:val="22"/>
        </w:rPr>
      </w:pPr>
    </w:p>
    <w:p w14:paraId="2E0CB9EC" w14:textId="77777777" w:rsidR="00BB4F7C" w:rsidRDefault="00BB4F7C" w:rsidP="00CF75E0">
      <w:pPr>
        <w:jc w:val="left"/>
        <w:rPr>
          <w:sz w:val="22"/>
        </w:rPr>
      </w:pPr>
    </w:p>
    <w:p w14:paraId="66EE142D" w14:textId="02D906D0" w:rsidR="008C518B" w:rsidRDefault="008C518B" w:rsidP="00CF75E0">
      <w:pPr>
        <w:pStyle w:val="Ttulo1"/>
        <w:numPr>
          <w:ilvl w:val="0"/>
          <w:numId w:val="14"/>
        </w:numPr>
        <w:spacing w:after="0"/>
        <w:ind w:left="431" w:hanging="431"/>
        <w:jc w:val="left"/>
        <w:rPr>
          <w:szCs w:val="24"/>
        </w:rPr>
      </w:pPr>
      <w:bookmarkStart w:id="24" w:name="_Toc158211406"/>
      <w:r>
        <w:rPr>
          <w:szCs w:val="24"/>
        </w:rPr>
        <w:t>INDICADORES DE SEGUIMIENTO</w:t>
      </w:r>
      <w:bookmarkEnd w:id="24"/>
    </w:p>
    <w:p w14:paraId="5B15C982" w14:textId="77777777" w:rsidR="008C518B" w:rsidRDefault="008C518B" w:rsidP="00CF75E0">
      <w:pPr>
        <w:jc w:val="left"/>
      </w:pPr>
    </w:p>
    <w:p w14:paraId="01F7D5C0" w14:textId="459EAB83" w:rsidR="008C518B" w:rsidRPr="00070DB2" w:rsidRDefault="008C518B" w:rsidP="00CF75E0">
      <w:pPr>
        <w:jc w:val="left"/>
        <w:rPr>
          <w:sz w:val="22"/>
          <w:szCs w:val="22"/>
        </w:rPr>
      </w:pPr>
      <w:r w:rsidRPr="00070DB2">
        <w:rPr>
          <w:sz w:val="22"/>
          <w:szCs w:val="22"/>
        </w:rPr>
        <w:t>Se proponen utilizar los siguientes indicadores:</w:t>
      </w:r>
    </w:p>
    <w:p w14:paraId="3C1B785C" w14:textId="77777777" w:rsidR="008C518B" w:rsidRPr="00070DB2" w:rsidRDefault="008C518B" w:rsidP="00CF75E0">
      <w:pPr>
        <w:jc w:val="left"/>
        <w:rPr>
          <w:sz w:val="22"/>
          <w:szCs w:val="22"/>
        </w:rPr>
      </w:pPr>
    </w:p>
    <w:p w14:paraId="2A1E75A9" w14:textId="44C8332E" w:rsidR="008C518B" w:rsidRPr="00070DB2" w:rsidRDefault="0010705A" w:rsidP="00CF75E0">
      <w:pPr>
        <w:pStyle w:val="Prrafodelista"/>
        <w:numPr>
          <w:ilvl w:val="0"/>
          <w:numId w:val="23"/>
        </w:numPr>
        <w:jc w:val="left"/>
        <w:rPr>
          <w:sz w:val="22"/>
          <w:szCs w:val="22"/>
        </w:rPr>
      </w:pPr>
      <w:r>
        <w:rPr>
          <w:sz w:val="22"/>
          <w:szCs w:val="22"/>
        </w:rPr>
        <w:t>Actualización de PTDVF</w:t>
      </w:r>
    </w:p>
    <w:p w14:paraId="4239E33A" w14:textId="77777777" w:rsidR="008C518B" w:rsidRPr="00070DB2" w:rsidRDefault="008C518B" w:rsidP="00CF75E0">
      <w:pPr>
        <w:pStyle w:val="Prrafodelista"/>
        <w:ind w:left="360"/>
        <w:jc w:val="left"/>
        <w:rPr>
          <w:sz w:val="22"/>
          <w:szCs w:val="22"/>
        </w:rPr>
      </w:pPr>
    </w:p>
    <w:p w14:paraId="23B29DB2" w14:textId="463EBAC0" w:rsidR="00202EC9" w:rsidRPr="00070DB2" w:rsidRDefault="00CC17EB" w:rsidP="00CF75E0">
      <w:pPr>
        <w:pStyle w:val="Prrafodelista"/>
        <w:ind w:left="2121" w:hanging="1695"/>
        <w:jc w:val="left"/>
        <w:rPr>
          <w:b/>
          <w:bCs/>
          <w:sz w:val="22"/>
          <w:szCs w:val="22"/>
        </w:rPr>
      </w:pPr>
      <w:r w:rsidRPr="00070DB2">
        <w:rPr>
          <w:b/>
          <w:bCs/>
          <w:sz w:val="22"/>
          <w:szCs w:val="22"/>
        </w:rPr>
        <w:t>Ejemplo</w:t>
      </w:r>
      <w:r w:rsidR="00C94D87">
        <w:rPr>
          <w:b/>
          <w:bCs/>
          <w:sz w:val="22"/>
          <w:szCs w:val="22"/>
        </w:rPr>
        <w:t xml:space="preserve"> 1</w:t>
      </w:r>
      <w:r w:rsidRPr="00070DB2">
        <w:rPr>
          <w:b/>
          <w:bCs/>
          <w:sz w:val="22"/>
          <w:szCs w:val="22"/>
        </w:rPr>
        <w:t xml:space="preserve">: </w:t>
      </w:r>
      <w:r w:rsidR="00C14D2B" w:rsidRPr="00070DB2">
        <w:rPr>
          <w:b/>
          <w:bCs/>
          <w:sz w:val="22"/>
          <w:szCs w:val="22"/>
        </w:rPr>
        <w:tab/>
      </w:r>
    </w:p>
    <w:p w14:paraId="62FB7007" w14:textId="77777777" w:rsidR="00202EC9" w:rsidRPr="00070DB2" w:rsidRDefault="00202EC9" w:rsidP="00CF75E0">
      <w:pPr>
        <w:pStyle w:val="Prrafodelista"/>
        <w:ind w:left="2121" w:hanging="1695"/>
        <w:jc w:val="left"/>
        <w:rPr>
          <w:sz w:val="22"/>
          <w:szCs w:val="22"/>
        </w:rPr>
      </w:pPr>
    </w:p>
    <w:p w14:paraId="2D277C61" w14:textId="08CDB725" w:rsidR="00081E3F" w:rsidRPr="00070DB2" w:rsidRDefault="00C14D2B" w:rsidP="00CF75E0">
      <w:pPr>
        <w:pStyle w:val="Prrafodelista"/>
        <w:ind w:left="426"/>
        <w:jc w:val="left"/>
        <w:rPr>
          <w:sz w:val="22"/>
          <w:szCs w:val="22"/>
        </w:rPr>
      </w:pPr>
      <w:r w:rsidRPr="00070DB2">
        <w:rPr>
          <w:sz w:val="22"/>
          <w:szCs w:val="22"/>
        </w:rPr>
        <w:t>E</w:t>
      </w:r>
      <w:r w:rsidR="00CC17EB" w:rsidRPr="00070DB2">
        <w:rPr>
          <w:sz w:val="22"/>
          <w:szCs w:val="22"/>
        </w:rPr>
        <w:t>l MME public</w:t>
      </w:r>
      <w:r w:rsidR="0010705A">
        <w:rPr>
          <w:sz w:val="22"/>
          <w:szCs w:val="22"/>
        </w:rPr>
        <w:t>a</w:t>
      </w:r>
      <w:r w:rsidR="00CC17EB" w:rsidRPr="00070DB2">
        <w:rPr>
          <w:sz w:val="22"/>
          <w:szCs w:val="22"/>
        </w:rPr>
        <w:t xml:space="preserve"> la </w:t>
      </w:r>
      <w:r w:rsidR="001F20C3">
        <w:rPr>
          <w:sz w:val="22"/>
          <w:szCs w:val="22"/>
        </w:rPr>
        <w:t xml:space="preserve">actualización de la </w:t>
      </w:r>
      <w:r w:rsidR="00CC17EB" w:rsidRPr="00070DB2">
        <w:rPr>
          <w:sz w:val="22"/>
          <w:szCs w:val="22"/>
        </w:rPr>
        <w:t>declaración de producción de la fuente de suministro fs1</w:t>
      </w:r>
      <w:r w:rsidR="00202EC9" w:rsidRPr="00070DB2">
        <w:rPr>
          <w:sz w:val="22"/>
          <w:szCs w:val="22"/>
        </w:rPr>
        <w:t>,</w:t>
      </w:r>
      <w:r w:rsidR="00CC17EB" w:rsidRPr="00070DB2">
        <w:rPr>
          <w:sz w:val="22"/>
          <w:szCs w:val="22"/>
        </w:rPr>
        <w:t xml:space="preserve"> para el</w:t>
      </w:r>
      <w:r w:rsidR="00202EC9" w:rsidRPr="00070DB2">
        <w:rPr>
          <w:sz w:val="22"/>
          <w:szCs w:val="22"/>
        </w:rPr>
        <w:t xml:space="preserve"> </w:t>
      </w:r>
      <w:r w:rsidR="00CC17EB" w:rsidRPr="00070DB2">
        <w:rPr>
          <w:sz w:val="22"/>
          <w:szCs w:val="22"/>
        </w:rPr>
        <w:t xml:space="preserve">vendedor </w:t>
      </w:r>
      <w:r w:rsidRPr="00070DB2">
        <w:rPr>
          <w:sz w:val="22"/>
          <w:szCs w:val="22"/>
        </w:rPr>
        <w:t>v1</w:t>
      </w:r>
      <w:r w:rsidR="00202EC9" w:rsidRPr="00070DB2">
        <w:rPr>
          <w:sz w:val="22"/>
          <w:szCs w:val="22"/>
        </w:rPr>
        <w:t>,</w:t>
      </w:r>
      <w:r w:rsidRPr="00070DB2">
        <w:rPr>
          <w:sz w:val="22"/>
          <w:szCs w:val="22"/>
        </w:rPr>
        <w:t xml:space="preserve"> con corte a </w:t>
      </w:r>
      <w:r w:rsidR="00202EC9" w:rsidRPr="00070DB2">
        <w:rPr>
          <w:sz w:val="22"/>
          <w:szCs w:val="22"/>
        </w:rPr>
        <w:t xml:space="preserve">31 de octubre </w:t>
      </w:r>
      <w:r w:rsidRPr="00070DB2">
        <w:rPr>
          <w:sz w:val="22"/>
          <w:szCs w:val="22"/>
        </w:rPr>
        <w:t xml:space="preserve">de 2023, </w:t>
      </w:r>
      <w:r w:rsidR="00202EC9" w:rsidRPr="00070DB2">
        <w:rPr>
          <w:sz w:val="22"/>
          <w:szCs w:val="22"/>
        </w:rPr>
        <w:t>con los valores de PTDV, así</w:t>
      </w:r>
      <w:r w:rsidRPr="00070DB2">
        <w:rPr>
          <w:sz w:val="22"/>
          <w:szCs w:val="22"/>
        </w:rPr>
        <w:t>:</w:t>
      </w:r>
    </w:p>
    <w:p w14:paraId="0B4A42CD" w14:textId="77777777" w:rsidR="00202EC9" w:rsidRDefault="00202EC9" w:rsidP="00CF75E0">
      <w:pPr>
        <w:pStyle w:val="Prrafodelista"/>
        <w:ind w:left="2121" w:hanging="1695"/>
        <w:jc w:val="left"/>
      </w:pPr>
    </w:p>
    <w:tbl>
      <w:tblPr>
        <w:tblStyle w:val="Tablaconcuadrcula"/>
        <w:tblW w:w="0" w:type="auto"/>
        <w:tblInd w:w="421" w:type="dxa"/>
        <w:tblLayout w:type="fixed"/>
        <w:tblLook w:val="04A0" w:firstRow="1" w:lastRow="0" w:firstColumn="1" w:lastColumn="0" w:noHBand="0" w:noVBand="1"/>
      </w:tblPr>
      <w:tblGrid>
        <w:gridCol w:w="2268"/>
        <w:gridCol w:w="2268"/>
        <w:gridCol w:w="2090"/>
        <w:gridCol w:w="2349"/>
      </w:tblGrid>
      <w:tr w:rsidR="00202EC9" w14:paraId="4856D12C" w14:textId="77777777" w:rsidTr="00070DB2">
        <w:tc>
          <w:tcPr>
            <w:tcW w:w="2268" w:type="dxa"/>
            <w:vAlign w:val="center"/>
          </w:tcPr>
          <w:p w14:paraId="5F5159AA" w14:textId="40D89C8C" w:rsidR="00202EC9" w:rsidRPr="00070DB2" w:rsidRDefault="00E9322B" w:rsidP="00CF75E0">
            <w:pPr>
              <w:pStyle w:val="Prrafodelista"/>
              <w:ind w:left="0"/>
              <w:jc w:val="left"/>
              <w:rPr>
                <w:b/>
                <w:bCs/>
                <w:sz w:val="20"/>
              </w:rPr>
            </w:pPr>
            <w:r w:rsidRPr="00070DB2">
              <w:rPr>
                <w:b/>
                <w:bCs/>
                <w:sz w:val="20"/>
              </w:rPr>
              <w:t>PTDV</w:t>
            </w:r>
          </w:p>
        </w:tc>
        <w:tc>
          <w:tcPr>
            <w:tcW w:w="2268" w:type="dxa"/>
          </w:tcPr>
          <w:p w14:paraId="4EE9C12C" w14:textId="35F2F634" w:rsidR="00202EC9" w:rsidRPr="00070DB2" w:rsidRDefault="00202EC9" w:rsidP="00CF75E0">
            <w:pPr>
              <w:pStyle w:val="Prrafodelista"/>
              <w:ind w:left="0"/>
              <w:jc w:val="left"/>
              <w:rPr>
                <w:b/>
                <w:bCs/>
                <w:sz w:val="20"/>
              </w:rPr>
            </w:pPr>
            <w:r w:rsidRPr="00070DB2">
              <w:rPr>
                <w:b/>
                <w:bCs/>
                <w:sz w:val="20"/>
              </w:rPr>
              <w:t>Diciembre 2023 [MBTUD]</w:t>
            </w:r>
          </w:p>
        </w:tc>
        <w:tc>
          <w:tcPr>
            <w:tcW w:w="2090" w:type="dxa"/>
          </w:tcPr>
          <w:p w14:paraId="78A49CD5" w14:textId="4CCEE1A9" w:rsidR="00202EC9" w:rsidRPr="00070DB2" w:rsidRDefault="00202EC9" w:rsidP="00CF75E0">
            <w:pPr>
              <w:pStyle w:val="Prrafodelista"/>
              <w:ind w:left="0"/>
              <w:jc w:val="left"/>
              <w:rPr>
                <w:b/>
                <w:bCs/>
                <w:sz w:val="20"/>
              </w:rPr>
            </w:pPr>
            <w:r w:rsidRPr="00070DB2">
              <w:rPr>
                <w:b/>
                <w:bCs/>
                <w:sz w:val="20"/>
              </w:rPr>
              <w:t>Enero 2024 [MBTUD]</w:t>
            </w:r>
          </w:p>
        </w:tc>
        <w:tc>
          <w:tcPr>
            <w:tcW w:w="2349" w:type="dxa"/>
          </w:tcPr>
          <w:p w14:paraId="5E218E24" w14:textId="5A0D03C8" w:rsidR="00202EC9" w:rsidRPr="00070DB2" w:rsidRDefault="00202EC9" w:rsidP="00CF75E0">
            <w:pPr>
              <w:pStyle w:val="Prrafodelista"/>
              <w:ind w:left="0"/>
              <w:jc w:val="left"/>
              <w:rPr>
                <w:b/>
                <w:bCs/>
                <w:sz w:val="20"/>
              </w:rPr>
            </w:pPr>
            <w:r w:rsidRPr="00070DB2">
              <w:rPr>
                <w:b/>
                <w:bCs/>
                <w:sz w:val="20"/>
              </w:rPr>
              <w:t>Febrero 2024 [MBTUD]</w:t>
            </w:r>
          </w:p>
        </w:tc>
      </w:tr>
      <w:tr w:rsidR="00202EC9" w14:paraId="58DC9551" w14:textId="77777777" w:rsidTr="00070DB2">
        <w:tc>
          <w:tcPr>
            <w:tcW w:w="2268" w:type="dxa"/>
          </w:tcPr>
          <w:p w14:paraId="45A35382" w14:textId="0144450E" w:rsidR="00202EC9" w:rsidRPr="00070DB2" w:rsidRDefault="00202EC9" w:rsidP="00CF75E0">
            <w:pPr>
              <w:pStyle w:val="Prrafodelista"/>
              <w:ind w:left="0"/>
              <w:jc w:val="left"/>
              <w:rPr>
                <w:b/>
                <w:bCs/>
                <w:sz w:val="20"/>
              </w:rPr>
            </w:pPr>
            <w:r w:rsidRPr="00070DB2">
              <w:rPr>
                <w:b/>
                <w:bCs/>
                <w:sz w:val="20"/>
              </w:rPr>
              <w:t>fs1 v1</w:t>
            </w:r>
          </w:p>
        </w:tc>
        <w:tc>
          <w:tcPr>
            <w:tcW w:w="2268" w:type="dxa"/>
          </w:tcPr>
          <w:p w14:paraId="25C789DB" w14:textId="5CDEC691" w:rsidR="00202EC9" w:rsidRPr="00070DB2" w:rsidRDefault="00202EC9" w:rsidP="00CF75E0">
            <w:pPr>
              <w:pStyle w:val="Prrafodelista"/>
              <w:ind w:left="0"/>
              <w:jc w:val="left"/>
              <w:rPr>
                <w:sz w:val="20"/>
              </w:rPr>
            </w:pPr>
            <w:r w:rsidRPr="00070DB2">
              <w:rPr>
                <w:sz w:val="20"/>
              </w:rPr>
              <w:t>3.500</w:t>
            </w:r>
          </w:p>
        </w:tc>
        <w:tc>
          <w:tcPr>
            <w:tcW w:w="2090" w:type="dxa"/>
          </w:tcPr>
          <w:p w14:paraId="7300520D" w14:textId="1D4CAF90" w:rsidR="00202EC9" w:rsidRPr="00070DB2" w:rsidRDefault="00202EC9" w:rsidP="00CF75E0">
            <w:pPr>
              <w:pStyle w:val="Prrafodelista"/>
              <w:ind w:left="0"/>
              <w:jc w:val="left"/>
              <w:rPr>
                <w:sz w:val="20"/>
              </w:rPr>
            </w:pPr>
            <w:r w:rsidRPr="00070DB2">
              <w:rPr>
                <w:sz w:val="20"/>
              </w:rPr>
              <w:t>3.300</w:t>
            </w:r>
          </w:p>
        </w:tc>
        <w:tc>
          <w:tcPr>
            <w:tcW w:w="2349" w:type="dxa"/>
          </w:tcPr>
          <w:p w14:paraId="6E589F1A" w14:textId="26AD73E3" w:rsidR="00202EC9" w:rsidRPr="00070DB2" w:rsidRDefault="00202EC9" w:rsidP="00CF75E0">
            <w:pPr>
              <w:pStyle w:val="Prrafodelista"/>
              <w:ind w:left="0"/>
              <w:jc w:val="left"/>
              <w:rPr>
                <w:sz w:val="20"/>
              </w:rPr>
            </w:pPr>
            <w:r w:rsidRPr="00070DB2">
              <w:rPr>
                <w:sz w:val="20"/>
              </w:rPr>
              <w:t>4.500</w:t>
            </w:r>
          </w:p>
        </w:tc>
      </w:tr>
    </w:tbl>
    <w:p w14:paraId="29C308B4" w14:textId="77777777" w:rsidR="00202EC9" w:rsidRPr="00070DB2" w:rsidRDefault="00202EC9" w:rsidP="00CF75E0">
      <w:pPr>
        <w:pStyle w:val="Prrafodelista"/>
        <w:ind w:left="2121" w:hanging="1695"/>
        <w:jc w:val="left"/>
        <w:rPr>
          <w:sz w:val="22"/>
          <w:szCs w:val="22"/>
        </w:rPr>
      </w:pPr>
    </w:p>
    <w:p w14:paraId="72CE89B2" w14:textId="77777777" w:rsidR="00DA2AB6" w:rsidRDefault="00DA2AB6" w:rsidP="00CF75E0">
      <w:pPr>
        <w:pStyle w:val="Prrafodelista"/>
        <w:ind w:left="426"/>
        <w:jc w:val="left"/>
        <w:rPr>
          <w:sz w:val="22"/>
          <w:szCs w:val="22"/>
        </w:rPr>
      </w:pPr>
    </w:p>
    <w:p w14:paraId="1A1A645A" w14:textId="38857461" w:rsidR="00081E3F" w:rsidRDefault="00E9322B" w:rsidP="00CF75E0">
      <w:pPr>
        <w:pStyle w:val="Prrafodelista"/>
        <w:ind w:left="426"/>
        <w:jc w:val="left"/>
        <w:rPr>
          <w:sz w:val="22"/>
          <w:szCs w:val="22"/>
        </w:rPr>
      </w:pPr>
      <w:r>
        <w:rPr>
          <w:sz w:val="22"/>
          <w:szCs w:val="22"/>
        </w:rPr>
        <w:lastRenderedPageBreak/>
        <w:t>El Gestor del Mercado verifica las cantidades registradas con posterioridad al 31 de octubre de 2023, por el vendedor v1 en contratos de tipo firme para la fuente fs1. Encuentra lo siguiente:</w:t>
      </w:r>
    </w:p>
    <w:p w14:paraId="3BA8F6E5" w14:textId="77777777" w:rsidR="00E9322B" w:rsidRDefault="00E9322B" w:rsidP="00CF75E0">
      <w:pPr>
        <w:pStyle w:val="Prrafodelista"/>
        <w:ind w:left="426"/>
        <w:jc w:val="left"/>
        <w:rPr>
          <w:sz w:val="22"/>
          <w:szCs w:val="22"/>
        </w:rPr>
      </w:pPr>
    </w:p>
    <w:tbl>
      <w:tblPr>
        <w:tblStyle w:val="Tablaconcuadrcula"/>
        <w:tblW w:w="0" w:type="auto"/>
        <w:tblInd w:w="421" w:type="dxa"/>
        <w:tblLayout w:type="fixed"/>
        <w:tblLook w:val="04A0" w:firstRow="1" w:lastRow="0" w:firstColumn="1" w:lastColumn="0" w:noHBand="0" w:noVBand="1"/>
      </w:tblPr>
      <w:tblGrid>
        <w:gridCol w:w="2268"/>
        <w:gridCol w:w="2268"/>
        <w:gridCol w:w="2090"/>
        <w:gridCol w:w="2349"/>
      </w:tblGrid>
      <w:tr w:rsidR="00E9322B" w:rsidRPr="00C33DE6" w14:paraId="001F4E45" w14:textId="77777777" w:rsidTr="00070DB2">
        <w:tc>
          <w:tcPr>
            <w:tcW w:w="2268" w:type="dxa"/>
            <w:vAlign w:val="center"/>
          </w:tcPr>
          <w:p w14:paraId="753DA180" w14:textId="54CBF205" w:rsidR="00E9322B" w:rsidRPr="00070DB2" w:rsidRDefault="00E9322B" w:rsidP="00CF75E0">
            <w:pPr>
              <w:pStyle w:val="Prrafodelista"/>
              <w:ind w:left="0"/>
              <w:jc w:val="left"/>
              <w:rPr>
                <w:b/>
                <w:bCs/>
                <w:sz w:val="20"/>
              </w:rPr>
            </w:pPr>
            <w:r w:rsidRPr="00070DB2">
              <w:rPr>
                <w:b/>
                <w:bCs/>
                <w:sz w:val="20"/>
              </w:rPr>
              <w:t>Cantidades registradas contratos tipo firme</w:t>
            </w:r>
          </w:p>
        </w:tc>
        <w:tc>
          <w:tcPr>
            <w:tcW w:w="2268" w:type="dxa"/>
          </w:tcPr>
          <w:p w14:paraId="58699E11" w14:textId="77777777" w:rsidR="00E9322B" w:rsidRPr="00C33DE6" w:rsidRDefault="00E9322B" w:rsidP="00CF75E0">
            <w:pPr>
              <w:pStyle w:val="Prrafodelista"/>
              <w:ind w:left="0"/>
              <w:jc w:val="left"/>
              <w:rPr>
                <w:b/>
                <w:bCs/>
                <w:sz w:val="20"/>
              </w:rPr>
            </w:pPr>
            <w:r w:rsidRPr="00C33DE6">
              <w:rPr>
                <w:b/>
                <w:bCs/>
                <w:sz w:val="20"/>
              </w:rPr>
              <w:t>Diciembre 2023 [MBTUD]</w:t>
            </w:r>
          </w:p>
        </w:tc>
        <w:tc>
          <w:tcPr>
            <w:tcW w:w="2090" w:type="dxa"/>
          </w:tcPr>
          <w:p w14:paraId="66E1CD36" w14:textId="77777777" w:rsidR="00E9322B" w:rsidRPr="00C33DE6" w:rsidRDefault="00E9322B" w:rsidP="00CF75E0">
            <w:pPr>
              <w:pStyle w:val="Prrafodelista"/>
              <w:ind w:left="0"/>
              <w:jc w:val="left"/>
              <w:rPr>
                <w:b/>
                <w:bCs/>
                <w:sz w:val="20"/>
              </w:rPr>
            </w:pPr>
            <w:r w:rsidRPr="00C33DE6">
              <w:rPr>
                <w:b/>
                <w:bCs/>
                <w:sz w:val="20"/>
              </w:rPr>
              <w:t>Enero 2024 [MBTUD]</w:t>
            </w:r>
          </w:p>
        </w:tc>
        <w:tc>
          <w:tcPr>
            <w:tcW w:w="2349" w:type="dxa"/>
          </w:tcPr>
          <w:p w14:paraId="7F8A850D" w14:textId="77777777" w:rsidR="00E9322B" w:rsidRPr="00C33DE6" w:rsidRDefault="00E9322B" w:rsidP="00CF75E0">
            <w:pPr>
              <w:pStyle w:val="Prrafodelista"/>
              <w:ind w:left="0"/>
              <w:jc w:val="left"/>
              <w:rPr>
                <w:b/>
                <w:bCs/>
                <w:sz w:val="20"/>
              </w:rPr>
            </w:pPr>
            <w:r w:rsidRPr="00C33DE6">
              <w:rPr>
                <w:b/>
                <w:bCs/>
                <w:sz w:val="20"/>
              </w:rPr>
              <w:t>Febrero 2024 [MBTUD]</w:t>
            </w:r>
          </w:p>
        </w:tc>
      </w:tr>
      <w:tr w:rsidR="00E9322B" w:rsidRPr="00C33DE6" w14:paraId="0AD636E2" w14:textId="77777777" w:rsidTr="00070DB2">
        <w:tc>
          <w:tcPr>
            <w:tcW w:w="2268" w:type="dxa"/>
          </w:tcPr>
          <w:p w14:paraId="4C0A5AFF" w14:textId="76C08B2A" w:rsidR="00E9322B" w:rsidRPr="00C33DE6" w:rsidRDefault="00E9322B" w:rsidP="00CF75E0">
            <w:pPr>
              <w:pStyle w:val="Prrafodelista"/>
              <w:ind w:left="0"/>
              <w:jc w:val="left"/>
              <w:rPr>
                <w:b/>
                <w:bCs/>
                <w:sz w:val="20"/>
              </w:rPr>
            </w:pPr>
            <w:r w:rsidRPr="00C33DE6">
              <w:rPr>
                <w:b/>
                <w:bCs/>
                <w:sz w:val="20"/>
              </w:rPr>
              <w:t>fs1 v1</w:t>
            </w:r>
          </w:p>
        </w:tc>
        <w:tc>
          <w:tcPr>
            <w:tcW w:w="2268" w:type="dxa"/>
            <w:vAlign w:val="center"/>
          </w:tcPr>
          <w:p w14:paraId="4451CFBD" w14:textId="60728917" w:rsidR="00E9322B" w:rsidRPr="00C33DE6" w:rsidRDefault="00E9322B" w:rsidP="00CF75E0">
            <w:pPr>
              <w:pStyle w:val="Prrafodelista"/>
              <w:ind w:left="0"/>
              <w:jc w:val="left"/>
              <w:rPr>
                <w:sz w:val="20"/>
              </w:rPr>
            </w:pPr>
            <w:r w:rsidRPr="00C33DE6">
              <w:rPr>
                <w:sz w:val="20"/>
              </w:rPr>
              <w:t>500</w:t>
            </w:r>
          </w:p>
        </w:tc>
        <w:tc>
          <w:tcPr>
            <w:tcW w:w="2090" w:type="dxa"/>
            <w:vAlign w:val="center"/>
          </w:tcPr>
          <w:p w14:paraId="119B6B7E" w14:textId="5DF7705D" w:rsidR="00E9322B" w:rsidRPr="00C33DE6" w:rsidRDefault="00E9322B" w:rsidP="00CF75E0">
            <w:pPr>
              <w:pStyle w:val="Prrafodelista"/>
              <w:ind w:left="0"/>
              <w:jc w:val="left"/>
              <w:rPr>
                <w:sz w:val="20"/>
              </w:rPr>
            </w:pPr>
            <w:r>
              <w:rPr>
                <w:sz w:val="20"/>
              </w:rPr>
              <w:t>500</w:t>
            </w:r>
          </w:p>
        </w:tc>
        <w:tc>
          <w:tcPr>
            <w:tcW w:w="2349" w:type="dxa"/>
            <w:vAlign w:val="center"/>
          </w:tcPr>
          <w:p w14:paraId="12776E7C" w14:textId="455A43FE" w:rsidR="00E9322B" w:rsidRPr="00C33DE6" w:rsidRDefault="00E9322B" w:rsidP="00CF75E0">
            <w:pPr>
              <w:pStyle w:val="Prrafodelista"/>
              <w:ind w:left="0"/>
              <w:jc w:val="left"/>
              <w:rPr>
                <w:sz w:val="20"/>
              </w:rPr>
            </w:pPr>
            <w:r>
              <w:rPr>
                <w:sz w:val="20"/>
              </w:rPr>
              <w:t>0</w:t>
            </w:r>
          </w:p>
        </w:tc>
      </w:tr>
    </w:tbl>
    <w:p w14:paraId="5B4BECD2" w14:textId="77777777" w:rsidR="00E9322B" w:rsidRDefault="00E9322B" w:rsidP="00CF75E0">
      <w:pPr>
        <w:pStyle w:val="Prrafodelista"/>
        <w:ind w:left="426"/>
        <w:jc w:val="left"/>
        <w:rPr>
          <w:sz w:val="22"/>
          <w:szCs w:val="22"/>
        </w:rPr>
      </w:pPr>
    </w:p>
    <w:p w14:paraId="40CA27DE" w14:textId="4189DB40" w:rsidR="00E9322B" w:rsidRDefault="00AD02AC" w:rsidP="00CF75E0">
      <w:pPr>
        <w:pStyle w:val="Prrafodelista"/>
        <w:ind w:left="426"/>
        <w:jc w:val="left"/>
        <w:rPr>
          <w:sz w:val="22"/>
          <w:szCs w:val="22"/>
        </w:rPr>
      </w:pPr>
      <w:r>
        <w:rPr>
          <w:sz w:val="22"/>
          <w:szCs w:val="22"/>
        </w:rPr>
        <w:t xml:space="preserve">Si a 30 de noviembre </w:t>
      </w:r>
      <w:r w:rsidR="001F20C3">
        <w:rPr>
          <w:sz w:val="22"/>
          <w:szCs w:val="22"/>
        </w:rPr>
        <w:t xml:space="preserve">de 2023 </w:t>
      </w:r>
      <w:r>
        <w:rPr>
          <w:sz w:val="22"/>
          <w:szCs w:val="22"/>
        </w:rPr>
        <w:t xml:space="preserve">no hay una </w:t>
      </w:r>
      <w:r w:rsidR="001F20C3">
        <w:rPr>
          <w:sz w:val="22"/>
          <w:szCs w:val="22"/>
        </w:rPr>
        <w:t xml:space="preserve">actualización de la declaración de producción del vendedor v1 ante el MME, </w:t>
      </w:r>
      <w:r>
        <w:rPr>
          <w:sz w:val="22"/>
          <w:szCs w:val="22"/>
        </w:rPr>
        <w:t xml:space="preserve">el Gestor del Mercado obtiene la PTDV actualizada a 30 de noviembre de 2023, </w:t>
      </w:r>
      <w:r w:rsidR="001F20C3">
        <w:rPr>
          <w:sz w:val="22"/>
          <w:szCs w:val="22"/>
        </w:rPr>
        <w:t xml:space="preserve">a partir de los daos de las tablas anteriores, </w:t>
      </w:r>
      <w:r>
        <w:rPr>
          <w:sz w:val="22"/>
          <w:szCs w:val="22"/>
        </w:rPr>
        <w:t>sí:</w:t>
      </w:r>
    </w:p>
    <w:p w14:paraId="3E1259FA" w14:textId="77777777" w:rsidR="00AD02AC" w:rsidRDefault="00AD02AC" w:rsidP="00CF75E0">
      <w:pPr>
        <w:pStyle w:val="Prrafodelista"/>
        <w:ind w:left="426"/>
        <w:jc w:val="left"/>
        <w:rPr>
          <w:sz w:val="22"/>
          <w:szCs w:val="22"/>
        </w:rPr>
      </w:pPr>
    </w:p>
    <w:tbl>
      <w:tblPr>
        <w:tblStyle w:val="Tablaconcuadrcula"/>
        <w:tblW w:w="0" w:type="auto"/>
        <w:tblInd w:w="421" w:type="dxa"/>
        <w:tblLayout w:type="fixed"/>
        <w:tblLook w:val="04A0" w:firstRow="1" w:lastRow="0" w:firstColumn="1" w:lastColumn="0" w:noHBand="0" w:noVBand="1"/>
      </w:tblPr>
      <w:tblGrid>
        <w:gridCol w:w="2268"/>
        <w:gridCol w:w="2268"/>
        <w:gridCol w:w="2090"/>
        <w:gridCol w:w="2349"/>
      </w:tblGrid>
      <w:tr w:rsidR="00AD02AC" w:rsidRPr="00C33DE6" w14:paraId="14A31E30" w14:textId="77777777">
        <w:tc>
          <w:tcPr>
            <w:tcW w:w="2268" w:type="dxa"/>
            <w:vAlign w:val="center"/>
          </w:tcPr>
          <w:p w14:paraId="577AE834" w14:textId="3A9891EF" w:rsidR="00AD02AC" w:rsidRPr="00C33DE6" w:rsidRDefault="00AD02AC" w:rsidP="00CF75E0">
            <w:pPr>
              <w:pStyle w:val="Prrafodelista"/>
              <w:ind w:left="0"/>
              <w:jc w:val="left"/>
              <w:rPr>
                <w:b/>
                <w:bCs/>
                <w:sz w:val="20"/>
              </w:rPr>
            </w:pPr>
            <w:r>
              <w:rPr>
                <w:b/>
                <w:bCs/>
                <w:sz w:val="20"/>
              </w:rPr>
              <w:t>PTDV actualizada</w:t>
            </w:r>
          </w:p>
        </w:tc>
        <w:tc>
          <w:tcPr>
            <w:tcW w:w="2268" w:type="dxa"/>
          </w:tcPr>
          <w:p w14:paraId="212AEADC" w14:textId="77777777" w:rsidR="00AD02AC" w:rsidRPr="00C33DE6" w:rsidRDefault="00AD02AC" w:rsidP="00CF75E0">
            <w:pPr>
              <w:pStyle w:val="Prrafodelista"/>
              <w:ind w:left="0"/>
              <w:jc w:val="left"/>
              <w:rPr>
                <w:b/>
                <w:bCs/>
                <w:sz w:val="20"/>
              </w:rPr>
            </w:pPr>
            <w:r w:rsidRPr="00C33DE6">
              <w:rPr>
                <w:b/>
                <w:bCs/>
                <w:sz w:val="20"/>
              </w:rPr>
              <w:t>Diciembre 2023 [MBTUD]</w:t>
            </w:r>
          </w:p>
        </w:tc>
        <w:tc>
          <w:tcPr>
            <w:tcW w:w="2090" w:type="dxa"/>
          </w:tcPr>
          <w:p w14:paraId="0680B6D8" w14:textId="77777777" w:rsidR="00AD02AC" w:rsidRPr="00C33DE6" w:rsidRDefault="00AD02AC" w:rsidP="00CF75E0">
            <w:pPr>
              <w:pStyle w:val="Prrafodelista"/>
              <w:ind w:left="0"/>
              <w:jc w:val="left"/>
              <w:rPr>
                <w:b/>
                <w:bCs/>
                <w:sz w:val="20"/>
              </w:rPr>
            </w:pPr>
            <w:r w:rsidRPr="00C33DE6">
              <w:rPr>
                <w:b/>
                <w:bCs/>
                <w:sz w:val="20"/>
              </w:rPr>
              <w:t>Enero 2024 [MBTUD]</w:t>
            </w:r>
          </w:p>
        </w:tc>
        <w:tc>
          <w:tcPr>
            <w:tcW w:w="2349" w:type="dxa"/>
          </w:tcPr>
          <w:p w14:paraId="12F3236F" w14:textId="77777777" w:rsidR="00AD02AC" w:rsidRPr="00C33DE6" w:rsidRDefault="00AD02AC" w:rsidP="00CF75E0">
            <w:pPr>
              <w:pStyle w:val="Prrafodelista"/>
              <w:ind w:left="0"/>
              <w:jc w:val="left"/>
              <w:rPr>
                <w:b/>
                <w:bCs/>
                <w:sz w:val="20"/>
              </w:rPr>
            </w:pPr>
            <w:r w:rsidRPr="00C33DE6">
              <w:rPr>
                <w:b/>
                <w:bCs/>
                <w:sz w:val="20"/>
              </w:rPr>
              <w:t>Febrero 2024 [MBTUD]</w:t>
            </w:r>
          </w:p>
        </w:tc>
      </w:tr>
      <w:tr w:rsidR="00AD02AC" w:rsidRPr="00C33DE6" w14:paraId="12B7FD16" w14:textId="77777777">
        <w:tc>
          <w:tcPr>
            <w:tcW w:w="2268" w:type="dxa"/>
          </w:tcPr>
          <w:p w14:paraId="50C9C824" w14:textId="77777777" w:rsidR="00AD02AC" w:rsidRPr="00C33DE6" w:rsidRDefault="00AD02AC" w:rsidP="00CF75E0">
            <w:pPr>
              <w:pStyle w:val="Prrafodelista"/>
              <w:ind w:left="0"/>
              <w:jc w:val="left"/>
              <w:rPr>
                <w:b/>
                <w:bCs/>
                <w:sz w:val="20"/>
              </w:rPr>
            </w:pPr>
            <w:r w:rsidRPr="00C33DE6">
              <w:rPr>
                <w:b/>
                <w:bCs/>
                <w:sz w:val="20"/>
              </w:rPr>
              <w:t>fs1 v1</w:t>
            </w:r>
          </w:p>
        </w:tc>
        <w:tc>
          <w:tcPr>
            <w:tcW w:w="2268" w:type="dxa"/>
            <w:vAlign w:val="center"/>
          </w:tcPr>
          <w:p w14:paraId="680FE976" w14:textId="1333FFFF" w:rsidR="00AD02AC" w:rsidRPr="00C33DE6" w:rsidRDefault="001F20C3" w:rsidP="00CF75E0">
            <w:pPr>
              <w:pStyle w:val="Prrafodelista"/>
              <w:ind w:left="0"/>
              <w:jc w:val="left"/>
              <w:rPr>
                <w:sz w:val="20"/>
              </w:rPr>
            </w:pPr>
            <w:r>
              <w:rPr>
                <w:sz w:val="20"/>
              </w:rPr>
              <w:t xml:space="preserve">3.500 – </w:t>
            </w:r>
            <w:r w:rsidR="00AD02AC" w:rsidRPr="00C33DE6">
              <w:rPr>
                <w:sz w:val="20"/>
              </w:rPr>
              <w:t>500</w:t>
            </w:r>
            <w:r>
              <w:rPr>
                <w:sz w:val="20"/>
              </w:rPr>
              <w:t xml:space="preserve"> = 3.000</w:t>
            </w:r>
          </w:p>
        </w:tc>
        <w:tc>
          <w:tcPr>
            <w:tcW w:w="2090" w:type="dxa"/>
            <w:vAlign w:val="center"/>
          </w:tcPr>
          <w:p w14:paraId="457C52A5" w14:textId="637C4F04" w:rsidR="00AD02AC" w:rsidRPr="00C33DE6" w:rsidRDefault="001F20C3" w:rsidP="00CF75E0">
            <w:pPr>
              <w:pStyle w:val="Prrafodelista"/>
              <w:ind w:left="0"/>
              <w:jc w:val="left"/>
              <w:rPr>
                <w:sz w:val="20"/>
              </w:rPr>
            </w:pPr>
            <w:r>
              <w:rPr>
                <w:sz w:val="20"/>
              </w:rPr>
              <w:t xml:space="preserve">3.300 – </w:t>
            </w:r>
            <w:r w:rsidR="00AD02AC">
              <w:rPr>
                <w:sz w:val="20"/>
              </w:rPr>
              <w:t>500</w:t>
            </w:r>
            <w:r>
              <w:rPr>
                <w:sz w:val="20"/>
              </w:rPr>
              <w:t xml:space="preserve"> = 2.800</w:t>
            </w:r>
          </w:p>
        </w:tc>
        <w:tc>
          <w:tcPr>
            <w:tcW w:w="2349" w:type="dxa"/>
            <w:vAlign w:val="center"/>
          </w:tcPr>
          <w:p w14:paraId="4D7B6AAB" w14:textId="7A9D4570" w:rsidR="00AD02AC" w:rsidRPr="00C33DE6" w:rsidRDefault="001F20C3" w:rsidP="00CF75E0">
            <w:pPr>
              <w:pStyle w:val="Prrafodelista"/>
              <w:ind w:left="0"/>
              <w:jc w:val="left"/>
              <w:rPr>
                <w:sz w:val="20"/>
              </w:rPr>
            </w:pPr>
            <w:r>
              <w:rPr>
                <w:sz w:val="20"/>
              </w:rPr>
              <w:t xml:space="preserve">4.500 – </w:t>
            </w:r>
            <w:r w:rsidR="00AD02AC">
              <w:rPr>
                <w:sz w:val="20"/>
              </w:rPr>
              <w:t>0</w:t>
            </w:r>
            <w:r>
              <w:rPr>
                <w:sz w:val="20"/>
              </w:rPr>
              <w:t xml:space="preserve"> = 4.500</w:t>
            </w:r>
          </w:p>
        </w:tc>
      </w:tr>
    </w:tbl>
    <w:p w14:paraId="1400820D" w14:textId="77777777" w:rsidR="00AD02AC" w:rsidRDefault="00AD02AC" w:rsidP="00CF75E0">
      <w:pPr>
        <w:pStyle w:val="Prrafodelista"/>
        <w:ind w:left="426"/>
        <w:jc w:val="left"/>
        <w:rPr>
          <w:sz w:val="22"/>
          <w:szCs w:val="22"/>
        </w:rPr>
      </w:pPr>
    </w:p>
    <w:p w14:paraId="52176C8A" w14:textId="4CBA3830" w:rsidR="00AD02AC" w:rsidRDefault="001F20C3" w:rsidP="00CF75E0">
      <w:pPr>
        <w:pStyle w:val="Prrafodelista"/>
        <w:ind w:left="426"/>
        <w:jc w:val="left"/>
        <w:rPr>
          <w:sz w:val="22"/>
          <w:szCs w:val="22"/>
        </w:rPr>
      </w:pPr>
      <w:r>
        <w:rPr>
          <w:sz w:val="22"/>
          <w:szCs w:val="22"/>
        </w:rPr>
        <w:t>Estos serán los valores que tendrá en cuenta el Gestor del Mercado para permitir la declaración de PTDVF del vendedor v1 sobre la fuente fs1.</w:t>
      </w:r>
    </w:p>
    <w:p w14:paraId="3B98C431" w14:textId="77777777" w:rsidR="00AD02AC" w:rsidRDefault="00AD02AC" w:rsidP="00CF75E0">
      <w:pPr>
        <w:pStyle w:val="Prrafodelista"/>
        <w:ind w:left="426"/>
        <w:jc w:val="left"/>
        <w:rPr>
          <w:sz w:val="22"/>
          <w:szCs w:val="22"/>
        </w:rPr>
      </w:pPr>
    </w:p>
    <w:p w14:paraId="5D1DFF5A" w14:textId="2D29B8D5" w:rsidR="00C14D2B" w:rsidRPr="00070DB2" w:rsidRDefault="00202EC9" w:rsidP="00CF75E0">
      <w:pPr>
        <w:pStyle w:val="Prrafodelista"/>
        <w:ind w:left="426"/>
        <w:jc w:val="left"/>
        <w:rPr>
          <w:sz w:val="22"/>
          <w:szCs w:val="22"/>
        </w:rPr>
      </w:pPr>
      <w:r w:rsidRPr="00070DB2">
        <w:rPr>
          <w:sz w:val="22"/>
          <w:szCs w:val="22"/>
        </w:rPr>
        <w:t xml:space="preserve">El vendedor v1 </w:t>
      </w:r>
      <w:r w:rsidR="001F20C3">
        <w:rPr>
          <w:sz w:val="22"/>
          <w:szCs w:val="22"/>
        </w:rPr>
        <w:t xml:space="preserve">pretende </w:t>
      </w:r>
      <w:r w:rsidRPr="00070DB2">
        <w:rPr>
          <w:sz w:val="22"/>
          <w:szCs w:val="22"/>
        </w:rPr>
        <w:t>declara</w:t>
      </w:r>
      <w:r w:rsidR="001F20C3">
        <w:rPr>
          <w:sz w:val="22"/>
          <w:szCs w:val="22"/>
        </w:rPr>
        <w:t>r</w:t>
      </w:r>
      <w:r w:rsidRPr="00070DB2">
        <w:rPr>
          <w:sz w:val="22"/>
          <w:szCs w:val="22"/>
        </w:rPr>
        <w:t xml:space="preserve"> al Gestor del Mercado el 30 de noviembre de 2023, la siguiente PTDVF</w:t>
      </w:r>
      <w:r w:rsidR="00E81E65" w:rsidRPr="00070DB2">
        <w:rPr>
          <w:sz w:val="22"/>
          <w:szCs w:val="22"/>
        </w:rPr>
        <w:t xml:space="preserve">, </w:t>
      </w:r>
      <w:r w:rsidR="00385B81" w:rsidRPr="00070DB2">
        <w:rPr>
          <w:sz w:val="22"/>
          <w:szCs w:val="22"/>
        </w:rPr>
        <w:t xml:space="preserve">para ese mismo trimestre, </w:t>
      </w:r>
      <w:r w:rsidR="00E81E65" w:rsidRPr="00070DB2">
        <w:rPr>
          <w:sz w:val="22"/>
          <w:szCs w:val="22"/>
        </w:rPr>
        <w:t xml:space="preserve">para la fuente fs1, </w:t>
      </w:r>
      <w:r w:rsidR="00E857C1" w:rsidRPr="00070DB2">
        <w:rPr>
          <w:sz w:val="22"/>
          <w:szCs w:val="22"/>
        </w:rPr>
        <w:t>siendo la semana asignada al mes en que ocurre la mayor cantidad de días laborales de esa semana</w:t>
      </w:r>
      <w:r w:rsidR="00E9322B">
        <w:rPr>
          <w:sz w:val="22"/>
          <w:szCs w:val="22"/>
        </w:rPr>
        <w:t>, así</w:t>
      </w:r>
      <w:r w:rsidR="00E81E65" w:rsidRPr="00070DB2">
        <w:rPr>
          <w:sz w:val="22"/>
          <w:szCs w:val="22"/>
        </w:rPr>
        <w:t>:</w:t>
      </w:r>
    </w:p>
    <w:p w14:paraId="01353DB7" w14:textId="77777777" w:rsidR="00C14D2B" w:rsidRDefault="00C14D2B" w:rsidP="00CF75E0">
      <w:pPr>
        <w:pStyle w:val="Prrafodelista"/>
        <w:ind w:left="2121" w:hanging="1695"/>
        <w:jc w:val="left"/>
      </w:pPr>
    </w:p>
    <w:tbl>
      <w:tblPr>
        <w:tblStyle w:val="Tablaconcuadrcula"/>
        <w:tblW w:w="5169" w:type="pct"/>
        <w:tblInd w:w="421" w:type="dxa"/>
        <w:tblLook w:val="04A0" w:firstRow="1" w:lastRow="0" w:firstColumn="1" w:lastColumn="0" w:noHBand="0" w:noVBand="1"/>
      </w:tblPr>
      <w:tblGrid>
        <w:gridCol w:w="954"/>
        <w:gridCol w:w="676"/>
        <w:gridCol w:w="676"/>
        <w:gridCol w:w="676"/>
        <w:gridCol w:w="678"/>
        <w:gridCol w:w="672"/>
        <w:gridCol w:w="672"/>
        <w:gridCol w:w="672"/>
        <w:gridCol w:w="672"/>
        <w:gridCol w:w="680"/>
        <w:gridCol w:w="672"/>
        <w:gridCol w:w="672"/>
        <w:gridCol w:w="672"/>
        <w:gridCol w:w="670"/>
      </w:tblGrid>
      <w:tr w:rsidR="00E857C1" w14:paraId="01C4B0D8" w14:textId="62D84623" w:rsidTr="00070DB2">
        <w:tc>
          <w:tcPr>
            <w:tcW w:w="451" w:type="pct"/>
          </w:tcPr>
          <w:p w14:paraId="32F28EFA" w14:textId="77777777" w:rsidR="00E857C1" w:rsidRPr="00E857C1" w:rsidRDefault="00E857C1" w:rsidP="00CF75E0">
            <w:pPr>
              <w:pStyle w:val="Prrafodelista"/>
              <w:ind w:left="0"/>
              <w:jc w:val="left"/>
              <w:rPr>
                <w:b/>
                <w:bCs/>
                <w:sz w:val="20"/>
              </w:rPr>
            </w:pPr>
          </w:p>
        </w:tc>
        <w:tc>
          <w:tcPr>
            <w:tcW w:w="1405" w:type="pct"/>
            <w:gridSpan w:val="4"/>
            <w:vAlign w:val="center"/>
          </w:tcPr>
          <w:p w14:paraId="6D29CB76" w14:textId="6230FA3A" w:rsidR="00E857C1" w:rsidRPr="00070DB2" w:rsidRDefault="00E857C1" w:rsidP="00CF75E0">
            <w:pPr>
              <w:pStyle w:val="Prrafodelista"/>
              <w:ind w:left="0"/>
              <w:jc w:val="left"/>
              <w:rPr>
                <w:b/>
                <w:bCs/>
                <w:sz w:val="16"/>
                <w:szCs w:val="16"/>
              </w:rPr>
            </w:pPr>
            <w:r w:rsidRPr="00070DB2">
              <w:rPr>
                <w:b/>
                <w:bCs/>
                <w:sz w:val="16"/>
                <w:szCs w:val="16"/>
              </w:rPr>
              <w:t>Diciembre 2023</w:t>
            </w:r>
          </w:p>
        </w:tc>
        <w:tc>
          <w:tcPr>
            <w:tcW w:w="1749" w:type="pct"/>
            <w:gridSpan w:val="5"/>
            <w:vAlign w:val="center"/>
          </w:tcPr>
          <w:p w14:paraId="3F87D30A" w14:textId="3279AD1A" w:rsidR="00E857C1" w:rsidRPr="00070DB2" w:rsidRDefault="00E857C1" w:rsidP="00CF75E0">
            <w:pPr>
              <w:pStyle w:val="Prrafodelista"/>
              <w:ind w:left="0"/>
              <w:jc w:val="left"/>
              <w:rPr>
                <w:b/>
                <w:bCs/>
                <w:sz w:val="16"/>
                <w:szCs w:val="16"/>
              </w:rPr>
            </w:pPr>
            <w:r w:rsidRPr="00070DB2">
              <w:rPr>
                <w:b/>
                <w:bCs/>
                <w:sz w:val="16"/>
                <w:szCs w:val="16"/>
              </w:rPr>
              <w:t>Enero 2024</w:t>
            </w:r>
          </w:p>
        </w:tc>
        <w:tc>
          <w:tcPr>
            <w:tcW w:w="1395" w:type="pct"/>
            <w:gridSpan w:val="4"/>
            <w:vAlign w:val="center"/>
          </w:tcPr>
          <w:p w14:paraId="1E07A5E0" w14:textId="759BEB8D" w:rsidR="00E857C1" w:rsidRPr="00070DB2" w:rsidRDefault="00E857C1" w:rsidP="00CF75E0">
            <w:pPr>
              <w:pStyle w:val="Prrafodelista"/>
              <w:ind w:left="0"/>
              <w:jc w:val="left"/>
              <w:rPr>
                <w:b/>
                <w:bCs/>
                <w:sz w:val="16"/>
                <w:szCs w:val="16"/>
              </w:rPr>
            </w:pPr>
            <w:r w:rsidRPr="00070DB2">
              <w:rPr>
                <w:b/>
                <w:bCs/>
                <w:sz w:val="16"/>
                <w:szCs w:val="16"/>
              </w:rPr>
              <w:t>Febrero</w:t>
            </w:r>
            <w:r w:rsidR="00E83FB6" w:rsidRPr="00070DB2">
              <w:rPr>
                <w:b/>
                <w:bCs/>
                <w:sz w:val="16"/>
                <w:szCs w:val="16"/>
              </w:rPr>
              <w:t xml:space="preserve"> </w:t>
            </w:r>
            <w:r w:rsidRPr="00070DB2">
              <w:rPr>
                <w:b/>
                <w:bCs/>
                <w:sz w:val="16"/>
                <w:szCs w:val="16"/>
              </w:rPr>
              <w:t>2024</w:t>
            </w:r>
          </w:p>
        </w:tc>
      </w:tr>
      <w:tr w:rsidR="00E857C1" w14:paraId="2762E560" w14:textId="26735134" w:rsidTr="00070DB2">
        <w:tc>
          <w:tcPr>
            <w:tcW w:w="451" w:type="pct"/>
          </w:tcPr>
          <w:p w14:paraId="3656A159" w14:textId="54D43D3F" w:rsidR="00E857C1" w:rsidRPr="00070DB2" w:rsidRDefault="00E857C1" w:rsidP="00CF75E0">
            <w:pPr>
              <w:pStyle w:val="Prrafodelista"/>
              <w:ind w:left="0"/>
              <w:jc w:val="left"/>
              <w:rPr>
                <w:b/>
                <w:bCs/>
                <w:sz w:val="20"/>
              </w:rPr>
            </w:pPr>
            <w:r w:rsidRPr="00070DB2">
              <w:rPr>
                <w:b/>
                <w:bCs/>
                <w:sz w:val="20"/>
              </w:rPr>
              <w:t>PTDVF</w:t>
            </w:r>
          </w:p>
        </w:tc>
        <w:tc>
          <w:tcPr>
            <w:tcW w:w="351" w:type="pct"/>
          </w:tcPr>
          <w:p w14:paraId="3478A11C" w14:textId="677D8381" w:rsidR="00E857C1" w:rsidRPr="00070DB2" w:rsidRDefault="00E857C1" w:rsidP="00CF75E0">
            <w:pPr>
              <w:pStyle w:val="Prrafodelista"/>
              <w:ind w:left="0"/>
              <w:jc w:val="left"/>
              <w:rPr>
                <w:b/>
                <w:bCs/>
                <w:sz w:val="10"/>
                <w:szCs w:val="10"/>
              </w:rPr>
            </w:pPr>
            <w:r w:rsidRPr="00070DB2">
              <w:rPr>
                <w:b/>
                <w:bCs/>
                <w:sz w:val="10"/>
                <w:szCs w:val="10"/>
              </w:rPr>
              <w:t>Semana 1</w:t>
            </w:r>
          </w:p>
        </w:tc>
        <w:tc>
          <w:tcPr>
            <w:tcW w:w="351" w:type="pct"/>
          </w:tcPr>
          <w:p w14:paraId="12C9777B" w14:textId="35150239" w:rsidR="00E857C1" w:rsidRPr="00070DB2" w:rsidRDefault="00E857C1" w:rsidP="00CF75E0">
            <w:pPr>
              <w:pStyle w:val="Prrafodelista"/>
              <w:ind w:left="0"/>
              <w:jc w:val="left"/>
              <w:rPr>
                <w:b/>
                <w:bCs/>
                <w:sz w:val="10"/>
                <w:szCs w:val="10"/>
              </w:rPr>
            </w:pPr>
            <w:r w:rsidRPr="00070DB2">
              <w:rPr>
                <w:b/>
                <w:bCs/>
                <w:sz w:val="10"/>
                <w:szCs w:val="10"/>
              </w:rPr>
              <w:t>Semana 2</w:t>
            </w:r>
          </w:p>
        </w:tc>
        <w:tc>
          <w:tcPr>
            <w:tcW w:w="351" w:type="pct"/>
          </w:tcPr>
          <w:p w14:paraId="55F96806" w14:textId="06EAFF39" w:rsidR="00E857C1" w:rsidRPr="00070DB2" w:rsidRDefault="00E857C1" w:rsidP="00CF75E0">
            <w:pPr>
              <w:pStyle w:val="Prrafodelista"/>
              <w:ind w:left="0"/>
              <w:jc w:val="left"/>
              <w:rPr>
                <w:b/>
                <w:bCs/>
                <w:sz w:val="10"/>
                <w:szCs w:val="10"/>
              </w:rPr>
            </w:pPr>
            <w:r w:rsidRPr="00070DB2">
              <w:rPr>
                <w:b/>
                <w:bCs/>
                <w:sz w:val="10"/>
                <w:szCs w:val="10"/>
              </w:rPr>
              <w:t>Semana 3</w:t>
            </w:r>
          </w:p>
        </w:tc>
        <w:tc>
          <w:tcPr>
            <w:tcW w:w="352" w:type="pct"/>
          </w:tcPr>
          <w:p w14:paraId="5C188CD0" w14:textId="2C56030C" w:rsidR="00E857C1" w:rsidRPr="00070DB2" w:rsidRDefault="00E857C1" w:rsidP="00CF75E0">
            <w:pPr>
              <w:pStyle w:val="Prrafodelista"/>
              <w:ind w:left="0"/>
              <w:jc w:val="left"/>
              <w:rPr>
                <w:b/>
                <w:bCs/>
                <w:sz w:val="10"/>
                <w:szCs w:val="10"/>
              </w:rPr>
            </w:pPr>
            <w:r w:rsidRPr="00070DB2">
              <w:rPr>
                <w:b/>
                <w:bCs/>
                <w:sz w:val="10"/>
                <w:szCs w:val="10"/>
              </w:rPr>
              <w:t>Semana 4</w:t>
            </w:r>
          </w:p>
        </w:tc>
        <w:tc>
          <w:tcPr>
            <w:tcW w:w="349" w:type="pct"/>
          </w:tcPr>
          <w:p w14:paraId="34DEF136" w14:textId="63761A93" w:rsidR="00E857C1" w:rsidRPr="00070DB2" w:rsidRDefault="00E857C1" w:rsidP="00CF75E0">
            <w:pPr>
              <w:pStyle w:val="Prrafodelista"/>
              <w:ind w:left="0"/>
              <w:jc w:val="left"/>
              <w:rPr>
                <w:b/>
                <w:bCs/>
                <w:sz w:val="10"/>
                <w:szCs w:val="10"/>
              </w:rPr>
            </w:pPr>
            <w:r w:rsidRPr="00070DB2">
              <w:rPr>
                <w:b/>
                <w:bCs/>
                <w:sz w:val="10"/>
                <w:szCs w:val="10"/>
              </w:rPr>
              <w:t>Semana 5</w:t>
            </w:r>
          </w:p>
        </w:tc>
        <w:tc>
          <w:tcPr>
            <w:tcW w:w="349" w:type="pct"/>
          </w:tcPr>
          <w:p w14:paraId="67D882CD" w14:textId="1D58CD15" w:rsidR="00E857C1" w:rsidRPr="00070DB2" w:rsidRDefault="00E857C1" w:rsidP="00CF75E0">
            <w:pPr>
              <w:pStyle w:val="Prrafodelista"/>
              <w:ind w:left="0"/>
              <w:jc w:val="left"/>
              <w:rPr>
                <w:b/>
                <w:bCs/>
                <w:sz w:val="10"/>
                <w:szCs w:val="10"/>
              </w:rPr>
            </w:pPr>
            <w:r w:rsidRPr="00070DB2">
              <w:rPr>
                <w:b/>
                <w:bCs/>
                <w:sz w:val="10"/>
                <w:szCs w:val="10"/>
              </w:rPr>
              <w:t>Semana 6</w:t>
            </w:r>
          </w:p>
        </w:tc>
        <w:tc>
          <w:tcPr>
            <w:tcW w:w="349" w:type="pct"/>
          </w:tcPr>
          <w:p w14:paraId="781ED8AC" w14:textId="27DFDC89" w:rsidR="00E857C1" w:rsidRPr="00070DB2" w:rsidRDefault="00E857C1" w:rsidP="00CF75E0">
            <w:pPr>
              <w:pStyle w:val="Prrafodelista"/>
              <w:ind w:left="0"/>
              <w:jc w:val="left"/>
              <w:rPr>
                <w:b/>
                <w:bCs/>
                <w:sz w:val="10"/>
                <w:szCs w:val="10"/>
              </w:rPr>
            </w:pPr>
            <w:r w:rsidRPr="00070DB2">
              <w:rPr>
                <w:b/>
                <w:bCs/>
                <w:sz w:val="10"/>
                <w:szCs w:val="10"/>
              </w:rPr>
              <w:t>Semana 7</w:t>
            </w:r>
          </w:p>
        </w:tc>
        <w:tc>
          <w:tcPr>
            <w:tcW w:w="349" w:type="pct"/>
          </w:tcPr>
          <w:p w14:paraId="526B3565" w14:textId="4595FB3C" w:rsidR="00E857C1" w:rsidRPr="00070DB2" w:rsidRDefault="00E857C1" w:rsidP="00CF75E0">
            <w:pPr>
              <w:pStyle w:val="Prrafodelista"/>
              <w:ind w:left="0"/>
              <w:jc w:val="left"/>
              <w:rPr>
                <w:b/>
                <w:bCs/>
                <w:sz w:val="10"/>
                <w:szCs w:val="10"/>
              </w:rPr>
            </w:pPr>
            <w:r w:rsidRPr="00070DB2">
              <w:rPr>
                <w:b/>
                <w:bCs/>
                <w:sz w:val="10"/>
                <w:szCs w:val="10"/>
              </w:rPr>
              <w:t>Semana 8</w:t>
            </w:r>
          </w:p>
        </w:tc>
        <w:tc>
          <w:tcPr>
            <w:tcW w:w="353" w:type="pct"/>
          </w:tcPr>
          <w:p w14:paraId="75EC47B8" w14:textId="449D044D" w:rsidR="00E857C1" w:rsidRPr="00070DB2" w:rsidRDefault="00E857C1" w:rsidP="00CF75E0">
            <w:pPr>
              <w:pStyle w:val="Prrafodelista"/>
              <w:ind w:left="0"/>
              <w:jc w:val="left"/>
              <w:rPr>
                <w:b/>
                <w:bCs/>
                <w:sz w:val="10"/>
                <w:szCs w:val="10"/>
              </w:rPr>
            </w:pPr>
            <w:r w:rsidRPr="00070DB2">
              <w:rPr>
                <w:b/>
                <w:bCs/>
                <w:sz w:val="10"/>
                <w:szCs w:val="10"/>
              </w:rPr>
              <w:t>Semana 9</w:t>
            </w:r>
          </w:p>
        </w:tc>
        <w:tc>
          <w:tcPr>
            <w:tcW w:w="349" w:type="pct"/>
          </w:tcPr>
          <w:p w14:paraId="04884A7E" w14:textId="733ECFEA" w:rsidR="00E857C1" w:rsidRPr="00070DB2" w:rsidRDefault="00E857C1" w:rsidP="00CF75E0">
            <w:pPr>
              <w:pStyle w:val="Prrafodelista"/>
              <w:ind w:left="0"/>
              <w:jc w:val="left"/>
              <w:rPr>
                <w:b/>
                <w:bCs/>
                <w:sz w:val="10"/>
                <w:szCs w:val="10"/>
              </w:rPr>
            </w:pPr>
            <w:r w:rsidRPr="00070DB2">
              <w:rPr>
                <w:b/>
                <w:bCs/>
                <w:sz w:val="10"/>
                <w:szCs w:val="10"/>
              </w:rPr>
              <w:t>Semana 10</w:t>
            </w:r>
          </w:p>
        </w:tc>
        <w:tc>
          <w:tcPr>
            <w:tcW w:w="349" w:type="pct"/>
          </w:tcPr>
          <w:p w14:paraId="7B9E85EF" w14:textId="64C99907" w:rsidR="00E857C1" w:rsidRPr="00070DB2" w:rsidRDefault="00E857C1" w:rsidP="00CF75E0">
            <w:pPr>
              <w:pStyle w:val="Prrafodelista"/>
              <w:ind w:left="0"/>
              <w:jc w:val="left"/>
              <w:rPr>
                <w:b/>
                <w:bCs/>
                <w:sz w:val="10"/>
                <w:szCs w:val="10"/>
              </w:rPr>
            </w:pPr>
            <w:r w:rsidRPr="00070DB2">
              <w:rPr>
                <w:b/>
                <w:bCs/>
                <w:sz w:val="10"/>
                <w:szCs w:val="10"/>
              </w:rPr>
              <w:t>Semana 11</w:t>
            </w:r>
          </w:p>
        </w:tc>
        <w:tc>
          <w:tcPr>
            <w:tcW w:w="349" w:type="pct"/>
          </w:tcPr>
          <w:p w14:paraId="0B850A94" w14:textId="00BB2820" w:rsidR="00E857C1" w:rsidRPr="00070DB2" w:rsidRDefault="00E857C1" w:rsidP="00CF75E0">
            <w:pPr>
              <w:pStyle w:val="Prrafodelista"/>
              <w:ind w:left="0"/>
              <w:jc w:val="left"/>
              <w:rPr>
                <w:b/>
                <w:bCs/>
                <w:sz w:val="10"/>
                <w:szCs w:val="10"/>
              </w:rPr>
            </w:pPr>
            <w:r w:rsidRPr="00070DB2">
              <w:rPr>
                <w:b/>
                <w:bCs/>
                <w:sz w:val="10"/>
                <w:szCs w:val="10"/>
              </w:rPr>
              <w:t>Semana 12</w:t>
            </w:r>
          </w:p>
        </w:tc>
        <w:tc>
          <w:tcPr>
            <w:tcW w:w="348" w:type="pct"/>
          </w:tcPr>
          <w:p w14:paraId="30FEEEAA" w14:textId="63D95130" w:rsidR="00E857C1" w:rsidRPr="00E857C1" w:rsidRDefault="00E857C1" w:rsidP="00CF75E0">
            <w:pPr>
              <w:pStyle w:val="Prrafodelista"/>
              <w:ind w:left="0"/>
              <w:jc w:val="left"/>
              <w:rPr>
                <w:b/>
                <w:bCs/>
                <w:sz w:val="10"/>
                <w:szCs w:val="10"/>
              </w:rPr>
            </w:pPr>
            <w:r>
              <w:rPr>
                <w:b/>
                <w:bCs/>
                <w:sz w:val="10"/>
                <w:szCs w:val="10"/>
              </w:rPr>
              <w:t>Semana 13</w:t>
            </w:r>
          </w:p>
        </w:tc>
      </w:tr>
      <w:tr w:rsidR="00E857C1" w14:paraId="59962ED1" w14:textId="3F16C121" w:rsidTr="00070DB2">
        <w:tc>
          <w:tcPr>
            <w:tcW w:w="451" w:type="pct"/>
          </w:tcPr>
          <w:p w14:paraId="5DA2B755" w14:textId="0300CC75" w:rsidR="00E857C1" w:rsidRPr="00070DB2" w:rsidRDefault="00E857C1" w:rsidP="00CF75E0">
            <w:pPr>
              <w:pStyle w:val="Prrafodelista"/>
              <w:ind w:left="0"/>
              <w:jc w:val="left"/>
              <w:rPr>
                <w:b/>
                <w:bCs/>
                <w:sz w:val="16"/>
                <w:szCs w:val="16"/>
              </w:rPr>
            </w:pPr>
            <w:r w:rsidRPr="00070DB2">
              <w:rPr>
                <w:b/>
                <w:bCs/>
                <w:sz w:val="16"/>
                <w:szCs w:val="16"/>
              </w:rPr>
              <w:t>Fs1 v1</w:t>
            </w:r>
          </w:p>
        </w:tc>
        <w:tc>
          <w:tcPr>
            <w:tcW w:w="351" w:type="pct"/>
            <w:vAlign w:val="center"/>
          </w:tcPr>
          <w:p w14:paraId="4660220D" w14:textId="56F7BF3C" w:rsidR="00E857C1" w:rsidRPr="00070DB2" w:rsidRDefault="00E857C1" w:rsidP="00CF75E0">
            <w:pPr>
              <w:pStyle w:val="Prrafodelista"/>
              <w:ind w:left="0"/>
              <w:jc w:val="left"/>
              <w:rPr>
                <w:sz w:val="12"/>
                <w:szCs w:val="12"/>
              </w:rPr>
            </w:pPr>
            <w:r>
              <w:rPr>
                <w:sz w:val="12"/>
                <w:szCs w:val="12"/>
              </w:rPr>
              <w:t>3.</w:t>
            </w:r>
            <w:r w:rsidR="001F20C3">
              <w:rPr>
                <w:sz w:val="12"/>
                <w:szCs w:val="12"/>
              </w:rPr>
              <w:t>2</w:t>
            </w:r>
            <w:r>
              <w:rPr>
                <w:sz w:val="12"/>
                <w:szCs w:val="12"/>
              </w:rPr>
              <w:t>00</w:t>
            </w:r>
          </w:p>
        </w:tc>
        <w:tc>
          <w:tcPr>
            <w:tcW w:w="351" w:type="pct"/>
            <w:vAlign w:val="center"/>
          </w:tcPr>
          <w:p w14:paraId="71073552" w14:textId="797054DC" w:rsidR="00E857C1" w:rsidRPr="00070DB2" w:rsidRDefault="00E857C1" w:rsidP="00CF75E0">
            <w:pPr>
              <w:pStyle w:val="Prrafodelista"/>
              <w:ind w:left="0"/>
              <w:jc w:val="left"/>
              <w:rPr>
                <w:sz w:val="12"/>
                <w:szCs w:val="12"/>
              </w:rPr>
            </w:pPr>
            <w:r>
              <w:rPr>
                <w:sz w:val="12"/>
                <w:szCs w:val="12"/>
              </w:rPr>
              <w:t>3.</w:t>
            </w:r>
            <w:r w:rsidR="001F20C3">
              <w:rPr>
                <w:sz w:val="12"/>
                <w:szCs w:val="12"/>
              </w:rPr>
              <w:t>2</w:t>
            </w:r>
            <w:r>
              <w:rPr>
                <w:sz w:val="12"/>
                <w:szCs w:val="12"/>
              </w:rPr>
              <w:t>00</w:t>
            </w:r>
          </w:p>
        </w:tc>
        <w:tc>
          <w:tcPr>
            <w:tcW w:w="351" w:type="pct"/>
            <w:vAlign w:val="center"/>
          </w:tcPr>
          <w:p w14:paraId="3C957A82" w14:textId="6574639F" w:rsidR="00E857C1" w:rsidRPr="00070DB2" w:rsidRDefault="001F20C3" w:rsidP="00CF75E0">
            <w:pPr>
              <w:pStyle w:val="Prrafodelista"/>
              <w:ind w:left="0"/>
              <w:jc w:val="left"/>
              <w:rPr>
                <w:sz w:val="12"/>
                <w:szCs w:val="12"/>
              </w:rPr>
            </w:pPr>
            <w:r>
              <w:rPr>
                <w:sz w:val="12"/>
                <w:szCs w:val="12"/>
              </w:rPr>
              <w:t>2.8</w:t>
            </w:r>
            <w:r w:rsidR="00E857C1">
              <w:rPr>
                <w:sz w:val="12"/>
                <w:szCs w:val="12"/>
              </w:rPr>
              <w:t>00</w:t>
            </w:r>
          </w:p>
        </w:tc>
        <w:tc>
          <w:tcPr>
            <w:tcW w:w="352" w:type="pct"/>
            <w:vAlign w:val="center"/>
          </w:tcPr>
          <w:p w14:paraId="4D89A079" w14:textId="3D1EB396" w:rsidR="00E857C1" w:rsidRPr="00070DB2" w:rsidRDefault="001F20C3" w:rsidP="00CF75E0">
            <w:pPr>
              <w:pStyle w:val="Prrafodelista"/>
              <w:ind w:left="0"/>
              <w:jc w:val="left"/>
              <w:rPr>
                <w:sz w:val="12"/>
                <w:szCs w:val="12"/>
              </w:rPr>
            </w:pPr>
            <w:r>
              <w:rPr>
                <w:sz w:val="12"/>
                <w:szCs w:val="12"/>
              </w:rPr>
              <w:t>2.6</w:t>
            </w:r>
            <w:r w:rsidR="00E857C1">
              <w:rPr>
                <w:sz w:val="12"/>
                <w:szCs w:val="12"/>
              </w:rPr>
              <w:t>00</w:t>
            </w:r>
          </w:p>
        </w:tc>
        <w:tc>
          <w:tcPr>
            <w:tcW w:w="349" w:type="pct"/>
            <w:vAlign w:val="center"/>
          </w:tcPr>
          <w:p w14:paraId="33DE143B" w14:textId="2D755AF3" w:rsidR="00E857C1" w:rsidRPr="00070DB2" w:rsidRDefault="00E857C1" w:rsidP="00CF75E0">
            <w:pPr>
              <w:pStyle w:val="Prrafodelista"/>
              <w:ind w:left="0"/>
              <w:jc w:val="left"/>
              <w:rPr>
                <w:sz w:val="12"/>
                <w:szCs w:val="12"/>
              </w:rPr>
            </w:pPr>
            <w:r>
              <w:rPr>
                <w:sz w:val="12"/>
                <w:szCs w:val="12"/>
              </w:rPr>
              <w:t>3.200</w:t>
            </w:r>
          </w:p>
        </w:tc>
        <w:tc>
          <w:tcPr>
            <w:tcW w:w="349" w:type="pct"/>
            <w:vAlign w:val="center"/>
          </w:tcPr>
          <w:p w14:paraId="69BADFD7" w14:textId="3BA451C4" w:rsidR="00E857C1" w:rsidRPr="00070DB2" w:rsidRDefault="00E857C1" w:rsidP="00CF75E0">
            <w:pPr>
              <w:pStyle w:val="Prrafodelista"/>
              <w:ind w:left="0"/>
              <w:jc w:val="left"/>
              <w:rPr>
                <w:sz w:val="12"/>
                <w:szCs w:val="12"/>
              </w:rPr>
            </w:pPr>
            <w:r>
              <w:rPr>
                <w:sz w:val="12"/>
                <w:szCs w:val="12"/>
              </w:rPr>
              <w:t>3.400</w:t>
            </w:r>
          </w:p>
        </w:tc>
        <w:tc>
          <w:tcPr>
            <w:tcW w:w="349" w:type="pct"/>
            <w:vAlign w:val="center"/>
          </w:tcPr>
          <w:p w14:paraId="412A3517" w14:textId="66F7F1E0" w:rsidR="00E857C1" w:rsidRPr="00070DB2" w:rsidRDefault="00E857C1" w:rsidP="00CF75E0">
            <w:pPr>
              <w:pStyle w:val="Prrafodelista"/>
              <w:ind w:left="0"/>
              <w:jc w:val="left"/>
              <w:rPr>
                <w:sz w:val="12"/>
                <w:szCs w:val="12"/>
              </w:rPr>
            </w:pPr>
            <w:r>
              <w:rPr>
                <w:sz w:val="12"/>
                <w:szCs w:val="12"/>
              </w:rPr>
              <w:t>3.</w:t>
            </w:r>
            <w:r w:rsidR="00E9322B">
              <w:rPr>
                <w:sz w:val="12"/>
                <w:szCs w:val="12"/>
              </w:rPr>
              <w:t>3</w:t>
            </w:r>
            <w:r>
              <w:rPr>
                <w:sz w:val="12"/>
                <w:szCs w:val="12"/>
              </w:rPr>
              <w:t>00</w:t>
            </w:r>
          </w:p>
        </w:tc>
        <w:tc>
          <w:tcPr>
            <w:tcW w:w="349" w:type="pct"/>
            <w:vAlign w:val="center"/>
          </w:tcPr>
          <w:p w14:paraId="0B43821C" w14:textId="3906CF76" w:rsidR="00E857C1" w:rsidRPr="00070DB2" w:rsidRDefault="00E857C1" w:rsidP="00CF75E0">
            <w:pPr>
              <w:pStyle w:val="Prrafodelista"/>
              <w:ind w:left="0"/>
              <w:jc w:val="left"/>
              <w:rPr>
                <w:sz w:val="12"/>
                <w:szCs w:val="12"/>
              </w:rPr>
            </w:pPr>
            <w:r>
              <w:rPr>
                <w:sz w:val="12"/>
                <w:szCs w:val="12"/>
              </w:rPr>
              <w:t>3.</w:t>
            </w:r>
            <w:r w:rsidR="00E9322B">
              <w:rPr>
                <w:sz w:val="12"/>
                <w:szCs w:val="12"/>
              </w:rPr>
              <w:t>1</w:t>
            </w:r>
            <w:r>
              <w:rPr>
                <w:sz w:val="12"/>
                <w:szCs w:val="12"/>
              </w:rPr>
              <w:t>00</w:t>
            </w:r>
          </w:p>
        </w:tc>
        <w:tc>
          <w:tcPr>
            <w:tcW w:w="353" w:type="pct"/>
            <w:vAlign w:val="center"/>
          </w:tcPr>
          <w:p w14:paraId="37E31BFA" w14:textId="13CA538F" w:rsidR="00E857C1" w:rsidRPr="00070DB2" w:rsidRDefault="00E9322B" w:rsidP="00CF75E0">
            <w:pPr>
              <w:pStyle w:val="Prrafodelista"/>
              <w:ind w:left="0"/>
              <w:jc w:val="left"/>
              <w:rPr>
                <w:sz w:val="12"/>
                <w:szCs w:val="12"/>
              </w:rPr>
            </w:pPr>
            <w:r>
              <w:rPr>
                <w:sz w:val="12"/>
                <w:szCs w:val="12"/>
              </w:rPr>
              <w:t>2.900</w:t>
            </w:r>
          </w:p>
        </w:tc>
        <w:tc>
          <w:tcPr>
            <w:tcW w:w="349" w:type="pct"/>
            <w:vAlign w:val="center"/>
          </w:tcPr>
          <w:p w14:paraId="1EB51B51" w14:textId="5A2C196E" w:rsidR="00E857C1" w:rsidRPr="00070DB2" w:rsidRDefault="00E9322B" w:rsidP="00CF75E0">
            <w:pPr>
              <w:pStyle w:val="Prrafodelista"/>
              <w:ind w:left="0"/>
              <w:jc w:val="left"/>
              <w:rPr>
                <w:sz w:val="12"/>
                <w:szCs w:val="12"/>
              </w:rPr>
            </w:pPr>
            <w:r>
              <w:rPr>
                <w:sz w:val="12"/>
                <w:szCs w:val="12"/>
              </w:rPr>
              <w:t>4.000</w:t>
            </w:r>
          </w:p>
        </w:tc>
        <w:tc>
          <w:tcPr>
            <w:tcW w:w="349" w:type="pct"/>
            <w:vAlign w:val="center"/>
          </w:tcPr>
          <w:p w14:paraId="24E5AF92" w14:textId="579F91A3" w:rsidR="00E857C1" w:rsidRPr="00070DB2" w:rsidRDefault="00E9322B" w:rsidP="00CF75E0">
            <w:pPr>
              <w:pStyle w:val="Prrafodelista"/>
              <w:ind w:left="0"/>
              <w:jc w:val="left"/>
              <w:rPr>
                <w:sz w:val="12"/>
                <w:szCs w:val="12"/>
              </w:rPr>
            </w:pPr>
            <w:r>
              <w:rPr>
                <w:sz w:val="12"/>
                <w:szCs w:val="12"/>
              </w:rPr>
              <w:t>4.000</w:t>
            </w:r>
          </w:p>
        </w:tc>
        <w:tc>
          <w:tcPr>
            <w:tcW w:w="349" w:type="pct"/>
            <w:vAlign w:val="center"/>
          </w:tcPr>
          <w:p w14:paraId="1A8D2FE9" w14:textId="42476A87" w:rsidR="00E857C1" w:rsidRPr="00070DB2" w:rsidRDefault="00E9322B" w:rsidP="00CF75E0">
            <w:pPr>
              <w:pStyle w:val="Prrafodelista"/>
              <w:ind w:left="0"/>
              <w:jc w:val="left"/>
              <w:rPr>
                <w:sz w:val="12"/>
                <w:szCs w:val="12"/>
              </w:rPr>
            </w:pPr>
            <w:r>
              <w:rPr>
                <w:sz w:val="12"/>
                <w:szCs w:val="12"/>
              </w:rPr>
              <w:t>4.000</w:t>
            </w:r>
          </w:p>
        </w:tc>
        <w:tc>
          <w:tcPr>
            <w:tcW w:w="348" w:type="pct"/>
          </w:tcPr>
          <w:p w14:paraId="66FBF2DE" w14:textId="515B3FFE" w:rsidR="00E857C1" w:rsidRPr="00E857C1" w:rsidRDefault="00E9322B" w:rsidP="00CF75E0">
            <w:pPr>
              <w:pStyle w:val="Prrafodelista"/>
              <w:ind w:left="0"/>
              <w:jc w:val="left"/>
              <w:rPr>
                <w:sz w:val="12"/>
                <w:szCs w:val="12"/>
              </w:rPr>
            </w:pPr>
            <w:r>
              <w:rPr>
                <w:sz w:val="12"/>
                <w:szCs w:val="12"/>
              </w:rPr>
              <w:t>4.000</w:t>
            </w:r>
          </w:p>
        </w:tc>
      </w:tr>
      <w:tr w:rsidR="00E9322B" w14:paraId="55340D1C" w14:textId="77777777" w:rsidTr="00E9322B">
        <w:tc>
          <w:tcPr>
            <w:tcW w:w="451" w:type="pct"/>
          </w:tcPr>
          <w:p w14:paraId="2D2522ED" w14:textId="4A17FF21" w:rsidR="00E9322B" w:rsidRPr="00070DB2" w:rsidRDefault="00E9322B" w:rsidP="00CF75E0">
            <w:pPr>
              <w:pStyle w:val="Prrafodelista"/>
              <w:ind w:left="0"/>
              <w:jc w:val="left"/>
              <w:rPr>
                <w:b/>
                <w:bCs/>
                <w:sz w:val="16"/>
                <w:szCs w:val="16"/>
              </w:rPr>
            </w:pPr>
            <w:r w:rsidRPr="00070DB2">
              <w:rPr>
                <w:b/>
                <w:bCs/>
                <w:sz w:val="16"/>
                <w:szCs w:val="16"/>
              </w:rPr>
              <w:t>Promedio</w:t>
            </w:r>
          </w:p>
        </w:tc>
        <w:tc>
          <w:tcPr>
            <w:tcW w:w="1405" w:type="pct"/>
            <w:gridSpan w:val="4"/>
            <w:vAlign w:val="center"/>
          </w:tcPr>
          <w:p w14:paraId="1E5B0F3C" w14:textId="5DDC5FC0" w:rsidR="00E9322B" w:rsidRDefault="001F20C3" w:rsidP="00CF75E0">
            <w:pPr>
              <w:pStyle w:val="Prrafodelista"/>
              <w:ind w:left="0"/>
              <w:jc w:val="left"/>
              <w:rPr>
                <w:sz w:val="12"/>
                <w:szCs w:val="12"/>
              </w:rPr>
            </w:pPr>
            <w:r>
              <w:rPr>
                <w:sz w:val="12"/>
                <w:szCs w:val="12"/>
              </w:rPr>
              <w:t>2.950</w:t>
            </w:r>
          </w:p>
        </w:tc>
        <w:tc>
          <w:tcPr>
            <w:tcW w:w="1749" w:type="pct"/>
            <w:gridSpan w:val="5"/>
            <w:vAlign w:val="center"/>
          </w:tcPr>
          <w:p w14:paraId="353ADE47" w14:textId="69177CE7" w:rsidR="00E9322B" w:rsidRPr="00E9322B" w:rsidRDefault="00E9322B" w:rsidP="00CF75E0">
            <w:pPr>
              <w:pStyle w:val="Prrafodelista"/>
              <w:ind w:left="0"/>
              <w:jc w:val="left"/>
              <w:rPr>
                <w:sz w:val="12"/>
                <w:szCs w:val="12"/>
              </w:rPr>
            </w:pPr>
            <w:r>
              <w:rPr>
                <w:sz w:val="12"/>
                <w:szCs w:val="12"/>
              </w:rPr>
              <w:t>3,180</w:t>
            </w:r>
          </w:p>
        </w:tc>
        <w:tc>
          <w:tcPr>
            <w:tcW w:w="1395" w:type="pct"/>
            <w:gridSpan w:val="4"/>
            <w:vAlign w:val="center"/>
          </w:tcPr>
          <w:p w14:paraId="477456D5" w14:textId="44802B02" w:rsidR="00E9322B" w:rsidRPr="00E857C1" w:rsidRDefault="00E9322B" w:rsidP="00CF75E0">
            <w:pPr>
              <w:pStyle w:val="Prrafodelista"/>
              <w:ind w:left="0"/>
              <w:jc w:val="left"/>
              <w:rPr>
                <w:sz w:val="12"/>
                <w:szCs w:val="12"/>
              </w:rPr>
            </w:pPr>
            <w:r>
              <w:rPr>
                <w:sz w:val="12"/>
                <w:szCs w:val="12"/>
              </w:rPr>
              <w:t>4.000</w:t>
            </w:r>
          </w:p>
        </w:tc>
      </w:tr>
    </w:tbl>
    <w:p w14:paraId="0AB27F50" w14:textId="77777777" w:rsidR="00202EC9" w:rsidRDefault="00202EC9" w:rsidP="00CF75E0">
      <w:pPr>
        <w:pStyle w:val="Prrafodelista"/>
        <w:ind w:left="2121" w:hanging="1695"/>
        <w:jc w:val="left"/>
      </w:pPr>
    </w:p>
    <w:p w14:paraId="2C858775" w14:textId="52006CD9" w:rsidR="008C518B" w:rsidRDefault="001F20C3" w:rsidP="00CF75E0">
      <w:pPr>
        <w:pStyle w:val="Prrafodelista"/>
        <w:ind w:left="360"/>
        <w:jc w:val="left"/>
      </w:pPr>
      <w:r>
        <w:t>En este ejemplo, el Gestor del Mercado solo podrá permitir la siguiente declaración de PTDVF:</w:t>
      </w:r>
    </w:p>
    <w:p w14:paraId="48ED760B" w14:textId="77777777" w:rsidR="001F20C3" w:rsidRDefault="001F20C3" w:rsidP="00CF75E0">
      <w:pPr>
        <w:pStyle w:val="Prrafodelista"/>
        <w:ind w:left="360"/>
        <w:jc w:val="left"/>
      </w:pPr>
    </w:p>
    <w:tbl>
      <w:tblPr>
        <w:tblStyle w:val="Tablaconcuadrcula"/>
        <w:tblW w:w="5169" w:type="pct"/>
        <w:tblInd w:w="421" w:type="dxa"/>
        <w:tblLook w:val="04A0" w:firstRow="1" w:lastRow="0" w:firstColumn="1" w:lastColumn="0" w:noHBand="0" w:noVBand="1"/>
      </w:tblPr>
      <w:tblGrid>
        <w:gridCol w:w="954"/>
        <w:gridCol w:w="676"/>
        <w:gridCol w:w="676"/>
        <w:gridCol w:w="676"/>
        <w:gridCol w:w="678"/>
        <w:gridCol w:w="672"/>
        <w:gridCol w:w="672"/>
        <w:gridCol w:w="672"/>
        <w:gridCol w:w="672"/>
        <w:gridCol w:w="680"/>
        <w:gridCol w:w="672"/>
        <w:gridCol w:w="672"/>
        <w:gridCol w:w="672"/>
        <w:gridCol w:w="670"/>
      </w:tblGrid>
      <w:tr w:rsidR="001F20C3" w14:paraId="485433B7" w14:textId="77777777">
        <w:tc>
          <w:tcPr>
            <w:tcW w:w="451" w:type="pct"/>
          </w:tcPr>
          <w:p w14:paraId="696BE15F" w14:textId="77777777" w:rsidR="001F20C3" w:rsidRPr="00E857C1" w:rsidRDefault="001F20C3" w:rsidP="00CF75E0">
            <w:pPr>
              <w:pStyle w:val="Prrafodelista"/>
              <w:ind w:left="0"/>
              <w:jc w:val="left"/>
              <w:rPr>
                <w:b/>
                <w:bCs/>
                <w:sz w:val="20"/>
              </w:rPr>
            </w:pPr>
          </w:p>
        </w:tc>
        <w:tc>
          <w:tcPr>
            <w:tcW w:w="1405" w:type="pct"/>
            <w:gridSpan w:val="4"/>
            <w:vAlign w:val="center"/>
          </w:tcPr>
          <w:p w14:paraId="6AB1E7CE" w14:textId="77777777" w:rsidR="001F20C3" w:rsidRPr="00C33DE6" w:rsidRDefault="001F20C3" w:rsidP="00CF75E0">
            <w:pPr>
              <w:pStyle w:val="Prrafodelista"/>
              <w:ind w:left="0"/>
              <w:jc w:val="left"/>
              <w:rPr>
                <w:b/>
                <w:bCs/>
                <w:sz w:val="16"/>
                <w:szCs w:val="16"/>
              </w:rPr>
            </w:pPr>
            <w:r w:rsidRPr="00C33DE6">
              <w:rPr>
                <w:b/>
                <w:bCs/>
                <w:sz w:val="16"/>
                <w:szCs w:val="16"/>
              </w:rPr>
              <w:t>Diciembre 2023</w:t>
            </w:r>
          </w:p>
        </w:tc>
        <w:tc>
          <w:tcPr>
            <w:tcW w:w="1749" w:type="pct"/>
            <w:gridSpan w:val="5"/>
            <w:vAlign w:val="center"/>
          </w:tcPr>
          <w:p w14:paraId="4616B210" w14:textId="77777777" w:rsidR="001F20C3" w:rsidRPr="00C33DE6" w:rsidRDefault="001F20C3" w:rsidP="00CF75E0">
            <w:pPr>
              <w:pStyle w:val="Prrafodelista"/>
              <w:ind w:left="0"/>
              <w:jc w:val="left"/>
              <w:rPr>
                <w:b/>
                <w:bCs/>
                <w:sz w:val="16"/>
                <w:szCs w:val="16"/>
              </w:rPr>
            </w:pPr>
            <w:r w:rsidRPr="00C33DE6">
              <w:rPr>
                <w:b/>
                <w:bCs/>
                <w:sz w:val="16"/>
                <w:szCs w:val="16"/>
              </w:rPr>
              <w:t>Enero 2024</w:t>
            </w:r>
          </w:p>
        </w:tc>
        <w:tc>
          <w:tcPr>
            <w:tcW w:w="1395" w:type="pct"/>
            <w:gridSpan w:val="4"/>
            <w:vAlign w:val="center"/>
          </w:tcPr>
          <w:p w14:paraId="6FB9DCB0" w14:textId="77777777" w:rsidR="001F20C3" w:rsidRPr="00C33DE6" w:rsidRDefault="001F20C3" w:rsidP="00CF75E0">
            <w:pPr>
              <w:pStyle w:val="Prrafodelista"/>
              <w:ind w:left="0"/>
              <w:jc w:val="left"/>
              <w:rPr>
                <w:b/>
                <w:bCs/>
                <w:sz w:val="16"/>
                <w:szCs w:val="16"/>
              </w:rPr>
            </w:pPr>
            <w:r w:rsidRPr="00C33DE6">
              <w:rPr>
                <w:b/>
                <w:bCs/>
                <w:sz w:val="16"/>
                <w:szCs w:val="16"/>
              </w:rPr>
              <w:t>Febrero 2024</w:t>
            </w:r>
          </w:p>
        </w:tc>
      </w:tr>
      <w:tr w:rsidR="001F20C3" w14:paraId="699C49D5" w14:textId="77777777">
        <w:tc>
          <w:tcPr>
            <w:tcW w:w="451" w:type="pct"/>
          </w:tcPr>
          <w:p w14:paraId="6150BCFC" w14:textId="77777777" w:rsidR="001F20C3" w:rsidRPr="00C33DE6" w:rsidRDefault="001F20C3" w:rsidP="00CF75E0">
            <w:pPr>
              <w:pStyle w:val="Prrafodelista"/>
              <w:ind w:left="0"/>
              <w:jc w:val="left"/>
              <w:rPr>
                <w:b/>
                <w:bCs/>
                <w:sz w:val="20"/>
              </w:rPr>
            </w:pPr>
            <w:r w:rsidRPr="00C33DE6">
              <w:rPr>
                <w:b/>
                <w:bCs/>
                <w:sz w:val="20"/>
              </w:rPr>
              <w:t>PTDVF</w:t>
            </w:r>
          </w:p>
        </w:tc>
        <w:tc>
          <w:tcPr>
            <w:tcW w:w="351" w:type="pct"/>
          </w:tcPr>
          <w:p w14:paraId="716EF0A7" w14:textId="77777777" w:rsidR="001F20C3" w:rsidRPr="00C33DE6" w:rsidRDefault="001F20C3" w:rsidP="00CF75E0">
            <w:pPr>
              <w:pStyle w:val="Prrafodelista"/>
              <w:ind w:left="0"/>
              <w:jc w:val="left"/>
              <w:rPr>
                <w:b/>
                <w:bCs/>
                <w:sz w:val="10"/>
                <w:szCs w:val="10"/>
              </w:rPr>
            </w:pPr>
            <w:r w:rsidRPr="00C33DE6">
              <w:rPr>
                <w:b/>
                <w:bCs/>
                <w:sz w:val="10"/>
                <w:szCs w:val="10"/>
              </w:rPr>
              <w:t>Semana 1</w:t>
            </w:r>
          </w:p>
        </w:tc>
        <w:tc>
          <w:tcPr>
            <w:tcW w:w="351" w:type="pct"/>
          </w:tcPr>
          <w:p w14:paraId="48132018" w14:textId="77777777" w:rsidR="001F20C3" w:rsidRPr="00C33DE6" w:rsidRDefault="001F20C3" w:rsidP="00CF75E0">
            <w:pPr>
              <w:pStyle w:val="Prrafodelista"/>
              <w:ind w:left="0"/>
              <w:jc w:val="left"/>
              <w:rPr>
                <w:b/>
                <w:bCs/>
                <w:sz w:val="10"/>
                <w:szCs w:val="10"/>
              </w:rPr>
            </w:pPr>
            <w:r w:rsidRPr="00C33DE6">
              <w:rPr>
                <w:b/>
                <w:bCs/>
                <w:sz w:val="10"/>
                <w:szCs w:val="10"/>
              </w:rPr>
              <w:t>Semana 2</w:t>
            </w:r>
          </w:p>
        </w:tc>
        <w:tc>
          <w:tcPr>
            <w:tcW w:w="351" w:type="pct"/>
          </w:tcPr>
          <w:p w14:paraId="20C30213" w14:textId="77777777" w:rsidR="001F20C3" w:rsidRPr="00C33DE6" w:rsidRDefault="001F20C3" w:rsidP="00CF75E0">
            <w:pPr>
              <w:pStyle w:val="Prrafodelista"/>
              <w:ind w:left="0"/>
              <w:jc w:val="left"/>
              <w:rPr>
                <w:b/>
                <w:bCs/>
                <w:sz w:val="10"/>
                <w:szCs w:val="10"/>
              </w:rPr>
            </w:pPr>
            <w:r w:rsidRPr="00C33DE6">
              <w:rPr>
                <w:b/>
                <w:bCs/>
                <w:sz w:val="10"/>
                <w:szCs w:val="10"/>
              </w:rPr>
              <w:t>Semana 3</w:t>
            </w:r>
          </w:p>
        </w:tc>
        <w:tc>
          <w:tcPr>
            <w:tcW w:w="352" w:type="pct"/>
          </w:tcPr>
          <w:p w14:paraId="74336612" w14:textId="77777777" w:rsidR="001F20C3" w:rsidRPr="00C33DE6" w:rsidRDefault="001F20C3" w:rsidP="00CF75E0">
            <w:pPr>
              <w:pStyle w:val="Prrafodelista"/>
              <w:ind w:left="0"/>
              <w:jc w:val="left"/>
              <w:rPr>
                <w:b/>
                <w:bCs/>
                <w:sz w:val="10"/>
                <w:szCs w:val="10"/>
              </w:rPr>
            </w:pPr>
            <w:r w:rsidRPr="00C33DE6">
              <w:rPr>
                <w:b/>
                <w:bCs/>
                <w:sz w:val="10"/>
                <w:szCs w:val="10"/>
              </w:rPr>
              <w:t>Semana 4</w:t>
            </w:r>
          </w:p>
        </w:tc>
        <w:tc>
          <w:tcPr>
            <w:tcW w:w="349" w:type="pct"/>
          </w:tcPr>
          <w:p w14:paraId="72DFB234" w14:textId="77777777" w:rsidR="001F20C3" w:rsidRPr="00C33DE6" w:rsidRDefault="001F20C3" w:rsidP="00CF75E0">
            <w:pPr>
              <w:pStyle w:val="Prrafodelista"/>
              <w:ind w:left="0"/>
              <w:jc w:val="left"/>
              <w:rPr>
                <w:b/>
                <w:bCs/>
                <w:sz w:val="10"/>
                <w:szCs w:val="10"/>
              </w:rPr>
            </w:pPr>
            <w:r w:rsidRPr="00C33DE6">
              <w:rPr>
                <w:b/>
                <w:bCs/>
                <w:sz w:val="10"/>
                <w:szCs w:val="10"/>
              </w:rPr>
              <w:t>Semana 5</w:t>
            </w:r>
          </w:p>
        </w:tc>
        <w:tc>
          <w:tcPr>
            <w:tcW w:w="349" w:type="pct"/>
          </w:tcPr>
          <w:p w14:paraId="0AC463DD" w14:textId="77777777" w:rsidR="001F20C3" w:rsidRPr="00C33DE6" w:rsidRDefault="001F20C3" w:rsidP="00CF75E0">
            <w:pPr>
              <w:pStyle w:val="Prrafodelista"/>
              <w:ind w:left="0"/>
              <w:jc w:val="left"/>
              <w:rPr>
                <w:b/>
                <w:bCs/>
                <w:sz w:val="10"/>
                <w:szCs w:val="10"/>
              </w:rPr>
            </w:pPr>
            <w:r w:rsidRPr="00C33DE6">
              <w:rPr>
                <w:b/>
                <w:bCs/>
                <w:sz w:val="10"/>
                <w:szCs w:val="10"/>
              </w:rPr>
              <w:t>Semana 6</w:t>
            </w:r>
          </w:p>
        </w:tc>
        <w:tc>
          <w:tcPr>
            <w:tcW w:w="349" w:type="pct"/>
          </w:tcPr>
          <w:p w14:paraId="2B37C936" w14:textId="77777777" w:rsidR="001F20C3" w:rsidRPr="00C33DE6" w:rsidRDefault="001F20C3" w:rsidP="00CF75E0">
            <w:pPr>
              <w:pStyle w:val="Prrafodelista"/>
              <w:ind w:left="0"/>
              <w:jc w:val="left"/>
              <w:rPr>
                <w:b/>
                <w:bCs/>
                <w:sz w:val="10"/>
                <w:szCs w:val="10"/>
              </w:rPr>
            </w:pPr>
            <w:r w:rsidRPr="00C33DE6">
              <w:rPr>
                <w:b/>
                <w:bCs/>
                <w:sz w:val="10"/>
                <w:szCs w:val="10"/>
              </w:rPr>
              <w:t>Semana 7</w:t>
            </w:r>
          </w:p>
        </w:tc>
        <w:tc>
          <w:tcPr>
            <w:tcW w:w="349" w:type="pct"/>
          </w:tcPr>
          <w:p w14:paraId="162EF1BD" w14:textId="77777777" w:rsidR="001F20C3" w:rsidRPr="00C33DE6" w:rsidRDefault="001F20C3" w:rsidP="00CF75E0">
            <w:pPr>
              <w:pStyle w:val="Prrafodelista"/>
              <w:ind w:left="0"/>
              <w:jc w:val="left"/>
              <w:rPr>
                <w:b/>
                <w:bCs/>
                <w:sz w:val="10"/>
                <w:szCs w:val="10"/>
              </w:rPr>
            </w:pPr>
            <w:r w:rsidRPr="00C33DE6">
              <w:rPr>
                <w:b/>
                <w:bCs/>
                <w:sz w:val="10"/>
                <w:szCs w:val="10"/>
              </w:rPr>
              <w:t>Semana 8</w:t>
            </w:r>
          </w:p>
        </w:tc>
        <w:tc>
          <w:tcPr>
            <w:tcW w:w="353" w:type="pct"/>
          </w:tcPr>
          <w:p w14:paraId="21FCA053" w14:textId="77777777" w:rsidR="001F20C3" w:rsidRPr="00C33DE6" w:rsidRDefault="001F20C3" w:rsidP="00CF75E0">
            <w:pPr>
              <w:pStyle w:val="Prrafodelista"/>
              <w:ind w:left="0"/>
              <w:jc w:val="left"/>
              <w:rPr>
                <w:b/>
                <w:bCs/>
                <w:sz w:val="10"/>
                <w:szCs w:val="10"/>
              </w:rPr>
            </w:pPr>
            <w:r w:rsidRPr="00C33DE6">
              <w:rPr>
                <w:b/>
                <w:bCs/>
                <w:sz w:val="10"/>
                <w:szCs w:val="10"/>
              </w:rPr>
              <w:t>Semana 9</w:t>
            </w:r>
          </w:p>
        </w:tc>
        <w:tc>
          <w:tcPr>
            <w:tcW w:w="349" w:type="pct"/>
          </w:tcPr>
          <w:p w14:paraId="739F609F" w14:textId="77777777" w:rsidR="001F20C3" w:rsidRPr="00C33DE6" w:rsidRDefault="001F20C3" w:rsidP="00CF75E0">
            <w:pPr>
              <w:pStyle w:val="Prrafodelista"/>
              <w:ind w:left="0"/>
              <w:jc w:val="left"/>
              <w:rPr>
                <w:b/>
                <w:bCs/>
                <w:sz w:val="10"/>
                <w:szCs w:val="10"/>
              </w:rPr>
            </w:pPr>
            <w:r w:rsidRPr="00C33DE6">
              <w:rPr>
                <w:b/>
                <w:bCs/>
                <w:sz w:val="10"/>
                <w:szCs w:val="10"/>
              </w:rPr>
              <w:t>Semana 10</w:t>
            </w:r>
          </w:p>
        </w:tc>
        <w:tc>
          <w:tcPr>
            <w:tcW w:w="349" w:type="pct"/>
          </w:tcPr>
          <w:p w14:paraId="444AB71C" w14:textId="77777777" w:rsidR="001F20C3" w:rsidRPr="00C33DE6" w:rsidRDefault="001F20C3" w:rsidP="00CF75E0">
            <w:pPr>
              <w:pStyle w:val="Prrafodelista"/>
              <w:ind w:left="0"/>
              <w:jc w:val="left"/>
              <w:rPr>
                <w:b/>
                <w:bCs/>
                <w:sz w:val="10"/>
                <w:szCs w:val="10"/>
              </w:rPr>
            </w:pPr>
            <w:r w:rsidRPr="00C33DE6">
              <w:rPr>
                <w:b/>
                <w:bCs/>
                <w:sz w:val="10"/>
                <w:szCs w:val="10"/>
              </w:rPr>
              <w:t>Semana 11</w:t>
            </w:r>
          </w:p>
        </w:tc>
        <w:tc>
          <w:tcPr>
            <w:tcW w:w="349" w:type="pct"/>
          </w:tcPr>
          <w:p w14:paraId="015F970D" w14:textId="77777777" w:rsidR="001F20C3" w:rsidRPr="00C33DE6" w:rsidRDefault="001F20C3" w:rsidP="00CF75E0">
            <w:pPr>
              <w:pStyle w:val="Prrafodelista"/>
              <w:ind w:left="0"/>
              <w:jc w:val="left"/>
              <w:rPr>
                <w:b/>
                <w:bCs/>
                <w:sz w:val="10"/>
                <w:szCs w:val="10"/>
              </w:rPr>
            </w:pPr>
            <w:r w:rsidRPr="00C33DE6">
              <w:rPr>
                <w:b/>
                <w:bCs/>
                <w:sz w:val="10"/>
                <w:szCs w:val="10"/>
              </w:rPr>
              <w:t>Semana 12</w:t>
            </w:r>
          </w:p>
        </w:tc>
        <w:tc>
          <w:tcPr>
            <w:tcW w:w="348" w:type="pct"/>
          </w:tcPr>
          <w:p w14:paraId="4B327416" w14:textId="77777777" w:rsidR="001F20C3" w:rsidRPr="00E857C1" w:rsidRDefault="001F20C3" w:rsidP="00CF75E0">
            <w:pPr>
              <w:pStyle w:val="Prrafodelista"/>
              <w:ind w:left="0"/>
              <w:jc w:val="left"/>
              <w:rPr>
                <w:b/>
                <w:bCs/>
                <w:sz w:val="10"/>
                <w:szCs w:val="10"/>
              </w:rPr>
            </w:pPr>
            <w:r>
              <w:rPr>
                <w:b/>
                <w:bCs/>
                <w:sz w:val="10"/>
                <w:szCs w:val="10"/>
              </w:rPr>
              <w:t>Semana 13</w:t>
            </w:r>
          </w:p>
        </w:tc>
      </w:tr>
      <w:tr w:rsidR="001F20C3" w14:paraId="2B9B4B95" w14:textId="77777777">
        <w:tc>
          <w:tcPr>
            <w:tcW w:w="451" w:type="pct"/>
          </w:tcPr>
          <w:p w14:paraId="2BC94D84" w14:textId="77777777" w:rsidR="001F20C3" w:rsidRPr="00C33DE6" w:rsidRDefault="001F20C3" w:rsidP="00CF75E0">
            <w:pPr>
              <w:pStyle w:val="Prrafodelista"/>
              <w:ind w:left="0"/>
              <w:jc w:val="left"/>
              <w:rPr>
                <w:b/>
                <w:bCs/>
                <w:sz w:val="16"/>
                <w:szCs w:val="16"/>
              </w:rPr>
            </w:pPr>
            <w:r w:rsidRPr="00C33DE6">
              <w:rPr>
                <w:b/>
                <w:bCs/>
                <w:sz w:val="16"/>
                <w:szCs w:val="16"/>
              </w:rPr>
              <w:t>Fs1 v1</w:t>
            </w:r>
          </w:p>
        </w:tc>
        <w:tc>
          <w:tcPr>
            <w:tcW w:w="351" w:type="pct"/>
            <w:vAlign w:val="center"/>
          </w:tcPr>
          <w:p w14:paraId="64AF9253" w14:textId="20A0021A" w:rsidR="001F20C3" w:rsidRPr="00C33DE6" w:rsidRDefault="001F20C3" w:rsidP="00CF75E0">
            <w:pPr>
              <w:pStyle w:val="Prrafodelista"/>
              <w:ind w:left="0"/>
              <w:jc w:val="left"/>
              <w:rPr>
                <w:sz w:val="12"/>
                <w:szCs w:val="12"/>
              </w:rPr>
            </w:pPr>
            <w:r>
              <w:rPr>
                <w:sz w:val="12"/>
                <w:szCs w:val="12"/>
              </w:rPr>
              <w:t>3.200</w:t>
            </w:r>
          </w:p>
        </w:tc>
        <w:tc>
          <w:tcPr>
            <w:tcW w:w="351" w:type="pct"/>
            <w:vAlign w:val="center"/>
          </w:tcPr>
          <w:p w14:paraId="3E8D5E08" w14:textId="16F664BA" w:rsidR="001F20C3" w:rsidRPr="00C33DE6" w:rsidRDefault="001F20C3" w:rsidP="00CF75E0">
            <w:pPr>
              <w:pStyle w:val="Prrafodelista"/>
              <w:ind w:left="0"/>
              <w:jc w:val="left"/>
              <w:rPr>
                <w:sz w:val="12"/>
                <w:szCs w:val="12"/>
              </w:rPr>
            </w:pPr>
            <w:r>
              <w:rPr>
                <w:sz w:val="12"/>
                <w:szCs w:val="12"/>
              </w:rPr>
              <w:t>3.200</w:t>
            </w:r>
          </w:p>
        </w:tc>
        <w:tc>
          <w:tcPr>
            <w:tcW w:w="351" w:type="pct"/>
            <w:vAlign w:val="center"/>
          </w:tcPr>
          <w:p w14:paraId="505D379D" w14:textId="10F30440" w:rsidR="001F20C3" w:rsidRPr="00C33DE6" w:rsidRDefault="001F20C3" w:rsidP="00CF75E0">
            <w:pPr>
              <w:pStyle w:val="Prrafodelista"/>
              <w:ind w:left="0"/>
              <w:jc w:val="left"/>
              <w:rPr>
                <w:sz w:val="12"/>
                <w:szCs w:val="12"/>
              </w:rPr>
            </w:pPr>
            <w:r>
              <w:rPr>
                <w:sz w:val="12"/>
                <w:szCs w:val="12"/>
              </w:rPr>
              <w:t>2.800</w:t>
            </w:r>
          </w:p>
        </w:tc>
        <w:tc>
          <w:tcPr>
            <w:tcW w:w="352" w:type="pct"/>
            <w:vAlign w:val="center"/>
          </w:tcPr>
          <w:p w14:paraId="232B72A8" w14:textId="4BA2FF87" w:rsidR="001F20C3" w:rsidRPr="00C33DE6" w:rsidRDefault="001F20C3" w:rsidP="00CF75E0">
            <w:pPr>
              <w:pStyle w:val="Prrafodelista"/>
              <w:ind w:left="0"/>
              <w:jc w:val="left"/>
              <w:rPr>
                <w:sz w:val="12"/>
                <w:szCs w:val="12"/>
              </w:rPr>
            </w:pPr>
            <w:r>
              <w:rPr>
                <w:sz w:val="12"/>
                <w:szCs w:val="12"/>
              </w:rPr>
              <w:t>2.600</w:t>
            </w:r>
          </w:p>
        </w:tc>
        <w:tc>
          <w:tcPr>
            <w:tcW w:w="349" w:type="pct"/>
            <w:vAlign w:val="center"/>
          </w:tcPr>
          <w:p w14:paraId="54DA4ABB" w14:textId="1F7C3C25" w:rsidR="001F20C3" w:rsidRPr="00C33DE6" w:rsidRDefault="001F20C3" w:rsidP="00CF75E0">
            <w:pPr>
              <w:pStyle w:val="Prrafodelista"/>
              <w:ind w:left="0"/>
              <w:jc w:val="left"/>
              <w:rPr>
                <w:sz w:val="12"/>
                <w:szCs w:val="12"/>
              </w:rPr>
            </w:pPr>
            <w:r>
              <w:rPr>
                <w:sz w:val="12"/>
                <w:szCs w:val="12"/>
              </w:rPr>
              <w:t>2.800</w:t>
            </w:r>
          </w:p>
        </w:tc>
        <w:tc>
          <w:tcPr>
            <w:tcW w:w="349" w:type="pct"/>
            <w:vAlign w:val="center"/>
          </w:tcPr>
          <w:p w14:paraId="5571CE82" w14:textId="5323DF2F" w:rsidR="001F20C3" w:rsidRPr="00C33DE6" w:rsidRDefault="001F20C3" w:rsidP="00CF75E0">
            <w:pPr>
              <w:pStyle w:val="Prrafodelista"/>
              <w:ind w:left="0"/>
              <w:jc w:val="left"/>
              <w:rPr>
                <w:sz w:val="12"/>
                <w:szCs w:val="12"/>
              </w:rPr>
            </w:pPr>
            <w:r>
              <w:rPr>
                <w:sz w:val="12"/>
                <w:szCs w:val="12"/>
              </w:rPr>
              <w:t>2.800</w:t>
            </w:r>
          </w:p>
        </w:tc>
        <w:tc>
          <w:tcPr>
            <w:tcW w:w="349" w:type="pct"/>
            <w:vAlign w:val="center"/>
          </w:tcPr>
          <w:p w14:paraId="0A0C449F" w14:textId="57383C96" w:rsidR="001F20C3" w:rsidRPr="00C33DE6" w:rsidRDefault="001F20C3" w:rsidP="00CF75E0">
            <w:pPr>
              <w:pStyle w:val="Prrafodelista"/>
              <w:ind w:left="0"/>
              <w:jc w:val="left"/>
              <w:rPr>
                <w:sz w:val="12"/>
                <w:szCs w:val="12"/>
              </w:rPr>
            </w:pPr>
            <w:r>
              <w:rPr>
                <w:sz w:val="12"/>
                <w:szCs w:val="12"/>
              </w:rPr>
              <w:t>2.800</w:t>
            </w:r>
          </w:p>
        </w:tc>
        <w:tc>
          <w:tcPr>
            <w:tcW w:w="349" w:type="pct"/>
            <w:vAlign w:val="center"/>
          </w:tcPr>
          <w:p w14:paraId="13B130C0" w14:textId="32EFC5DA" w:rsidR="001F20C3" w:rsidRPr="00C33DE6" w:rsidRDefault="001F20C3" w:rsidP="00CF75E0">
            <w:pPr>
              <w:pStyle w:val="Prrafodelista"/>
              <w:ind w:left="0"/>
              <w:jc w:val="left"/>
              <w:rPr>
                <w:sz w:val="12"/>
                <w:szCs w:val="12"/>
              </w:rPr>
            </w:pPr>
            <w:r>
              <w:rPr>
                <w:sz w:val="12"/>
                <w:szCs w:val="12"/>
              </w:rPr>
              <w:t>2.800</w:t>
            </w:r>
          </w:p>
        </w:tc>
        <w:tc>
          <w:tcPr>
            <w:tcW w:w="353" w:type="pct"/>
            <w:vAlign w:val="center"/>
          </w:tcPr>
          <w:p w14:paraId="0FA7F6F1" w14:textId="543F5B97" w:rsidR="001F20C3" w:rsidRPr="00C33DE6" w:rsidRDefault="001F20C3" w:rsidP="00CF75E0">
            <w:pPr>
              <w:pStyle w:val="Prrafodelista"/>
              <w:ind w:left="0"/>
              <w:jc w:val="left"/>
              <w:rPr>
                <w:sz w:val="12"/>
                <w:szCs w:val="12"/>
              </w:rPr>
            </w:pPr>
            <w:r>
              <w:rPr>
                <w:sz w:val="12"/>
                <w:szCs w:val="12"/>
              </w:rPr>
              <w:t>2.800</w:t>
            </w:r>
          </w:p>
        </w:tc>
        <w:tc>
          <w:tcPr>
            <w:tcW w:w="349" w:type="pct"/>
            <w:vAlign w:val="center"/>
          </w:tcPr>
          <w:p w14:paraId="39B93014" w14:textId="77777777" w:rsidR="001F20C3" w:rsidRPr="00C33DE6" w:rsidRDefault="001F20C3" w:rsidP="00CF75E0">
            <w:pPr>
              <w:pStyle w:val="Prrafodelista"/>
              <w:ind w:left="0"/>
              <w:jc w:val="left"/>
              <w:rPr>
                <w:sz w:val="12"/>
                <w:szCs w:val="12"/>
              </w:rPr>
            </w:pPr>
            <w:r>
              <w:rPr>
                <w:sz w:val="12"/>
                <w:szCs w:val="12"/>
              </w:rPr>
              <w:t>4.000</w:t>
            </w:r>
          </w:p>
        </w:tc>
        <w:tc>
          <w:tcPr>
            <w:tcW w:w="349" w:type="pct"/>
            <w:vAlign w:val="center"/>
          </w:tcPr>
          <w:p w14:paraId="10762F68" w14:textId="77777777" w:rsidR="001F20C3" w:rsidRPr="00C33DE6" w:rsidRDefault="001F20C3" w:rsidP="00CF75E0">
            <w:pPr>
              <w:pStyle w:val="Prrafodelista"/>
              <w:ind w:left="0"/>
              <w:jc w:val="left"/>
              <w:rPr>
                <w:sz w:val="12"/>
                <w:szCs w:val="12"/>
              </w:rPr>
            </w:pPr>
            <w:r>
              <w:rPr>
                <w:sz w:val="12"/>
                <w:szCs w:val="12"/>
              </w:rPr>
              <w:t>4.000</w:t>
            </w:r>
          </w:p>
        </w:tc>
        <w:tc>
          <w:tcPr>
            <w:tcW w:w="349" w:type="pct"/>
            <w:vAlign w:val="center"/>
          </w:tcPr>
          <w:p w14:paraId="21056ED7" w14:textId="77777777" w:rsidR="001F20C3" w:rsidRPr="00C33DE6" w:rsidRDefault="001F20C3" w:rsidP="00CF75E0">
            <w:pPr>
              <w:pStyle w:val="Prrafodelista"/>
              <w:ind w:left="0"/>
              <w:jc w:val="left"/>
              <w:rPr>
                <w:sz w:val="12"/>
                <w:szCs w:val="12"/>
              </w:rPr>
            </w:pPr>
            <w:r>
              <w:rPr>
                <w:sz w:val="12"/>
                <w:szCs w:val="12"/>
              </w:rPr>
              <w:t>4.000</w:t>
            </w:r>
          </w:p>
        </w:tc>
        <w:tc>
          <w:tcPr>
            <w:tcW w:w="348" w:type="pct"/>
          </w:tcPr>
          <w:p w14:paraId="687A0193" w14:textId="77777777" w:rsidR="001F20C3" w:rsidRPr="00E857C1" w:rsidRDefault="001F20C3" w:rsidP="00CF75E0">
            <w:pPr>
              <w:pStyle w:val="Prrafodelista"/>
              <w:ind w:left="0"/>
              <w:jc w:val="left"/>
              <w:rPr>
                <w:sz w:val="12"/>
                <w:szCs w:val="12"/>
              </w:rPr>
            </w:pPr>
            <w:r>
              <w:rPr>
                <w:sz w:val="12"/>
                <w:szCs w:val="12"/>
              </w:rPr>
              <w:t>4.000</w:t>
            </w:r>
          </w:p>
        </w:tc>
      </w:tr>
      <w:tr w:rsidR="001F20C3" w14:paraId="0F4F22B9" w14:textId="77777777">
        <w:tc>
          <w:tcPr>
            <w:tcW w:w="451" w:type="pct"/>
          </w:tcPr>
          <w:p w14:paraId="7FAF4B2C" w14:textId="77777777" w:rsidR="001F20C3" w:rsidRPr="00C33DE6" w:rsidRDefault="001F20C3" w:rsidP="00CF75E0">
            <w:pPr>
              <w:pStyle w:val="Prrafodelista"/>
              <w:ind w:left="0"/>
              <w:jc w:val="left"/>
              <w:rPr>
                <w:b/>
                <w:bCs/>
                <w:sz w:val="16"/>
                <w:szCs w:val="16"/>
              </w:rPr>
            </w:pPr>
            <w:r w:rsidRPr="00C33DE6">
              <w:rPr>
                <w:b/>
                <w:bCs/>
                <w:sz w:val="16"/>
                <w:szCs w:val="16"/>
              </w:rPr>
              <w:t>Promedio</w:t>
            </w:r>
          </w:p>
        </w:tc>
        <w:tc>
          <w:tcPr>
            <w:tcW w:w="1405" w:type="pct"/>
            <w:gridSpan w:val="4"/>
            <w:vAlign w:val="center"/>
          </w:tcPr>
          <w:p w14:paraId="02E3D218" w14:textId="5EC940FD" w:rsidR="001F20C3" w:rsidRDefault="001F20C3" w:rsidP="00CF75E0">
            <w:pPr>
              <w:pStyle w:val="Prrafodelista"/>
              <w:ind w:left="0"/>
              <w:jc w:val="left"/>
              <w:rPr>
                <w:sz w:val="12"/>
                <w:szCs w:val="12"/>
              </w:rPr>
            </w:pPr>
            <w:r>
              <w:rPr>
                <w:sz w:val="12"/>
                <w:szCs w:val="12"/>
              </w:rPr>
              <w:t>2.950</w:t>
            </w:r>
          </w:p>
        </w:tc>
        <w:tc>
          <w:tcPr>
            <w:tcW w:w="1749" w:type="pct"/>
            <w:gridSpan w:val="5"/>
            <w:vAlign w:val="center"/>
          </w:tcPr>
          <w:p w14:paraId="78FFA6FA" w14:textId="203BAD3D" w:rsidR="001F20C3" w:rsidRPr="00E9322B" w:rsidRDefault="006F6D58" w:rsidP="00CF75E0">
            <w:pPr>
              <w:pStyle w:val="Prrafodelista"/>
              <w:ind w:left="0"/>
              <w:jc w:val="left"/>
              <w:rPr>
                <w:sz w:val="12"/>
                <w:szCs w:val="12"/>
              </w:rPr>
            </w:pPr>
            <w:r>
              <w:rPr>
                <w:sz w:val="12"/>
                <w:szCs w:val="12"/>
              </w:rPr>
              <w:t>2.800</w:t>
            </w:r>
          </w:p>
        </w:tc>
        <w:tc>
          <w:tcPr>
            <w:tcW w:w="1395" w:type="pct"/>
            <w:gridSpan w:val="4"/>
            <w:vAlign w:val="center"/>
          </w:tcPr>
          <w:p w14:paraId="02B5B0E0" w14:textId="77777777" w:rsidR="001F20C3" w:rsidRPr="00E857C1" w:rsidRDefault="001F20C3" w:rsidP="00CF75E0">
            <w:pPr>
              <w:pStyle w:val="Prrafodelista"/>
              <w:ind w:left="0"/>
              <w:jc w:val="left"/>
              <w:rPr>
                <w:sz w:val="12"/>
                <w:szCs w:val="12"/>
              </w:rPr>
            </w:pPr>
            <w:r>
              <w:rPr>
                <w:sz w:val="12"/>
                <w:szCs w:val="12"/>
              </w:rPr>
              <w:t>4.000</w:t>
            </w:r>
          </w:p>
        </w:tc>
      </w:tr>
    </w:tbl>
    <w:p w14:paraId="59B8A1FC" w14:textId="77777777" w:rsidR="001F20C3" w:rsidRDefault="001F20C3" w:rsidP="00CF75E0">
      <w:pPr>
        <w:pStyle w:val="Prrafodelista"/>
        <w:ind w:left="360"/>
        <w:jc w:val="left"/>
      </w:pPr>
    </w:p>
    <w:p w14:paraId="358FBD98" w14:textId="77777777" w:rsidR="008C518B" w:rsidRPr="00070DB2" w:rsidRDefault="008C518B" w:rsidP="00CF75E0">
      <w:pPr>
        <w:pStyle w:val="Prrafodelista"/>
        <w:ind w:left="360"/>
        <w:jc w:val="left"/>
        <w:rPr>
          <w:sz w:val="22"/>
          <w:szCs w:val="22"/>
        </w:rPr>
      </w:pPr>
    </w:p>
    <w:p w14:paraId="26749DAB" w14:textId="2CD148D3" w:rsidR="0010705A" w:rsidRDefault="0010705A" w:rsidP="00CF75E0">
      <w:pPr>
        <w:pStyle w:val="Prrafodelista"/>
        <w:numPr>
          <w:ilvl w:val="0"/>
          <w:numId w:val="23"/>
        </w:numPr>
        <w:jc w:val="left"/>
        <w:rPr>
          <w:sz w:val="22"/>
          <w:szCs w:val="22"/>
        </w:rPr>
      </w:pPr>
      <w:r>
        <w:rPr>
          <w:sz w:val="22"/>
          <w:szCs w:val="22"/>
        </w:rPr>
        <w:t>Indicador IS1. Se calcula mensualmente, de la siguiente manera</w:t>
      </w:r>
      <w:r w:rsidR="00AC66C6">
        <w:rPr>
          <w:sz w:val="22"/>
          <w:szCs w:val="22"/>
        </w:rPr>
        <w:t>:</w:t>
      </w:r>
    </w:p>
    <w:p w14:paraId="332640EC" w14:textId="77777777" w:rsidR="0010705A" w:rsidRPr="00070DB2" w:rsidRDefault="0010705A" w:rsidP="00CF75E0">
      <w:pPr>
        <w:jc w:val="left"/>
        <w:rPr>
          <w:sz w:val="22"/>
          <w:szCs w:val="22"/>
        </w:rPr>
      </w:pPr>
    </w:p>
    <w:p w14:paraId="15F3B9BA" w14:textId="77777777" w:rsidR="0010705A" w:rsidRPr="00070DB2" w:rsidRDefault="0010705A" w:rsidP="00CF75E0">
      <w:pPr>
        <w:jc w:val="left"/>
        <w:rPr>
          <w:sz w:val="22"/>
          <w:szCs w:val="22"/>
        </w:rPr>
      </w:pPr>
    </w:p>
    <w:p w14:paraId="17FF7460" w14:textId="4C84197B" w:rsidR="0010705A" w:rsidRPr="00F06165" w:rsidRDefault="0010705A" w:rsidP="00CF75E0">
      <w:pPr>
        <w:ind w:firstLine="360"/>
        <w:jc w:val="left"/>
        <w:rPr>
          <w:sz w:val="22"/>
          <w:szCs w:val="22"/>
          <w:lang w:val="en-US"/>
        </w:rPr>
      </w:pPr>
      <w:r w:rsidRPr="00F06165">
        <w:rPr>
          <w:sz w:val="22"/>
          <w:szCs w:val="22"/>
          <w:lang w:val="en-US"/>
        </w:rPr>
        <w:t>IS1</w:t>
      </w:r>
      <w:r w:rsidRPr="00F06165">
        <w:rPr>
          <w:sz w:val="22"/>
          <w:szCs w:val="22"/>
          <w:vertAlign w:val="subscript"/>
          <w:lang w:val="en-US"/>
        </w:rPr>
        <w:t>fs</w:t>
      </w:r>
      <w:r w:rsidR="00C94D87" w:rsidRPr="00F06165">
        <w:rPr>
          <w:sz w:val="22"/>
          <w:szCs w:val="22"/>
          <w:vertAlign w:val="subscript"/>
          <w:lang w:val="en-US"/>
        </w:rPr>
        <w:t>,m</w:t>
      </w:r>
      <w:r w:rsidRPr="00F06165">
        <w:rPr>
          <w:sz w:val="22"/>
          <w:szCs w:val="22"/>
          <w:lang w:val="en-US"/>
        </w:rPr>
        <w:t xml:space="preserve"> = PTDVF</w:t>
      </w:r>
      <w:r w:rsidRPr="00F06165">
        <w:rPr>
          <w:sz w:val="22"/>
          <w:szCs w:val="22"/>
          <w:vertAlign w:val="subscript"/>
          <w:lang w:val="en-US"/>
        </w:rPr>
        <w:t>fs</w:t>
      </w:r>
      <w:r w:rsidR="00C94D87" w:rsidRPr="00F06165">
        <w:rPr>
          <w:sz w:val="22"/>
          <w:szCs w:val="22"/>
          <w:vertAlign w:val="subscript"/>
          <w:lang w:val="en-US"/>
        </w:rPr>
        <w:t>,m</w:t>
      </w:r>
      <w:r w:rsidRPr="00F06165">
        <w:rPr>
          <w:sz w:val="22"/>
          <w:szCs w:val="22"/>
          <w:lang w:val="en-US"/>
        </w:rPr>
        <w:t xml:space="preserve"> / PTDV</w:t>
      </w:r>
      <w:r w:rsidRPr="00F06165">
        <w:rPr>
          <w:sz w:val="22"/>
          <w:szCs w:val="22"/>
          <w:vertAlign w:val="subscript"/>
          <w:lang w:val="en-US"/>
        </w:rPr>
        <w:t>fs</w:t>
      </w:r>
      <w:r w:rsidR="00C94D87" w:rsidRPr="00F06165">
        <w:rPr>
          <w:sz w:val="22"/>
          <w:szCs w:val="22"/>
          <w:vertAlign w:val="subscript"/>
          <w:lang w:val="en-US"/>
        </w:rPr>
        <w:t>,m</w:t>
      </w:r>
    </w:p>
    <w:p w14:paraId="3E204631" w14:textId="77777777" w:rsidR="0010705A" w:rsidRPr="00F06165" w:rsidRDefault="0010705A" w:rsidP="00CF75E0">
      <w:pPr>
        <w:pStyle w:val="Prrafodelista"/>
        <w:ind w:left="360"/>
        <w:jc w:val="left"/>
        <w:rPr>
          <w:sz w:val="22"/>
          <w:szCs w:val="22"/>
          <w:lang w:val="en-US"/>
        </w:rPr>
      </w:pPr>
    </w:p>
    <w:p w14:paraId="77318BEE" w14:textId="77777777" w:rsidR="0010705A" w:rsidRDefault="0010705A" w:rsidP="00CF75E0">
      <w:pPr>
        <w:pStyle w:val="Prrafodelista"/>
        <w:ind w:left="360"/>
        <w:jc w:val="left"/>
        <w:rPr>
          <w:sz w:val="22"/>
          <w:szCs w:val="22"/>
        </w:rPr>
      </w:pPr>
      <w:r w:rsidRPr="00C33DE6">
        <w:rPr>
          <w:sz w:val="22"/>
          <w:szCs w:val="22"/>
        </w:rPr>
        <w:t>Donde:</w:t>
      </w:r>
    </w:p>
    <w:p w14:paraId="72B038C8" w14:textId="77777777" w:rsidR="00FA67E2" w:rsidRPr="00C33DE6" w:rsidRDefault="00FA67E2" w:rsidP="00CF75E0">
      <w:pPr>
        <w:pStyle w:val="Prrafodelista"/>
        <w:ind w:left="360"/>
        <w:jc w:val="left"/>
        <w:rPr>
          <w:sz w:val="22"/>
          <w:szCs w:val="22"/>
        </w:rPr>
      </w:pPr>
    </w:p>
    <w:p w14:paraId="42D22A43" w14:textId="323CA253" w:rsidR="0010705A" w:rsidRPr="00C33DE6" w:rsidRDefault="0010705A" w:rsidP="00CF75E0">
      <w:pPr>
        <w:pStyle w:val="Prrafodelista"/>
        <w:ind w:left="2121" w:hanging="1695"/>
        <w:jc w:val="left"/>
        <w:rPr>
          <w:sz w:val="22"/>
          <w:szCs w:val="22"/>
        </w:rPr>
      </w:pPr>
      <w:r w:rsidRPr="00C33DE6">
        <w:rPr>
          <w:sz w:val="22"/>
          <w:szCs w:val="22"/>
        </w:rPr>
        <w:t>IS1</w:t>
      </w:r>
      <w:r w:rsidRPr="00C33DE6">
        <w:rPr>
          <w:sz w:val="22"/>
          <w:szCs w:val="22"/>
          <w:vertAlign w:val="subscript"/>
        </w:rPr>
        <w:t>fs</w:t>
      </w:r>
      <w:r w:rsidR="00C94D87">
        <w:rPr>
          <w:sz w:val="22"/>
          <w:szCs w:val="22"/>
          <w:vertAlign w:val="subscript"/>
        </w:rPr>
        <w:t>,m</w:t>
      </w:r>
      <w:r w:rsidRPr="00C33DE6">
        <w:rPr>
          <w:sz w:val="22"/>
          <w:szCs w:val="22"/>
        </w:rPr>
        <w:t xml:space="preserve">: </w:t>
      </w:r>
      <w:r w:rsidRPr="00C33DE6">
        <w:rPr>
          <w:sz w:val="22"/>
          <w:szCs w:val="22"/>
        </w:rPr>
        <w:tab/>
      </w:r>
      <w:r w:rsidRPr="00C33DE6">
        <w:rPr>
          <w:sz w:val="22"/>
          <w:szCs w:val="22"/>
        </w:rPr>
        <w:tab/>
        <w:t>Indicador de Seguimiento 1</w:t>
      </w:r>
      <w:r>
        <w:rPr>
          <w:sz w:val="22"/>
          <w:szCs w:val="22"/>
        </w:rPr>
        <w:t>,</w:t>
      </w:r>
      <w:r w:rsidRPr="00C33DE6">
        <w:rPr>
          <w:sz w:val="22"/>
          <w:szCs w:val="22"/>
        </w:rPr>
        <w:t xml:space="preserve"> de la fuente de suministro fs para </w:t>
      </w:r>
      <w:r w:rsidR="00C94D87">
        <w:rPr>
          <w:sz w:val="22"/>
          <w:szCs w:val="22"/>
        </w:rPr>
        <w:t>mes</w:t>
      </w:r>
      <w:r w:rsidRPr="00C33DE6">
        <w:rPr>
          <w:sz w:val="22"/>
          <w:szCs w:val="22"/>
        </w:rPr>
        <w:t xml:space="preserve"> 1</w:t>
      </w:r>
      <w:r>
        <w:rPr>
          <w:sz w:val="22"/>
          <w:szCs w:val="22"/>
        </w:rPr>
        <w:t>,</w:t>
      </w:r>
      <w:r w:rsidRPr="00C33DE6">
        <w:rPr>
          <w:sz w:val="22"/>
          <w:szCs w:val="22"/>
        </w:rPr>
        <w:t xml:space="preserve"> de 1 de diciembre 2023 a </w:t>
      </w:r>
      <w:r w:rsidR="00C94D87">
        <w:rPr>
          <w:sz w:val="22"/>
          <w:szCs w:val="22"/>
        </w:rPr>
        <w:t>31 de diciembre de 2023</w:t>
      </w:r>
      <w:r w:rsidRPr="00C33DE6">
        <w:rPr>
          <w:sz w:val="22"/>
          <w:szCs w:val="22"/>
        </w:rPr>
        <w:t xml:space="preserve">, siendo el </w:t>
      </w:r>
      <w:r w:rsidR="00C94D87">
        <w:rPr>
          <w:sz w:val="22"/>
          <w:szCs w:val="22"/>
        </w:rPr>
        <w:t xml:space="preserve">mes </w:t>
      </w:r>
      <w:r w:rsidRPr="00C33DE6">
        <w:rPr>
          <w:sz w:val="22"/>
          <w:szCs w:val="22"/>
        </w:rPr>
        <w:t xml:space="preserve">2 </w:t>
      </w:r>
      <w:r w:rsidR="00C94D87">
        <w:rPr>
          <w:sz w:val="22"/>
          <w:szCs w:val="22"/>
        </w:rPr>
        <w:t>el siguiente y así sucesivamente</w:t>
      </w:r>
      <w:r w:rsidRPr="00C33DE6">
        <w:rPr>
          <w:sz w:val="22"/>
          <w:szCs w:val="22"/>
        </w:rPr>
        <w:t>.</w:t>
      </w:r>
    </w:p>
    <w:p w14:paraId="13AC2F79" w14:textId="2081878D" w:rsidR="0010705A" w:rsidRPr="00C33DE6" w:rsidRDefault="0010705A" w:rsidP="00CF75E0">
      <w:pPr>
        <w:pStyle w:val="Prrafodelista"/>
        <w:ind w:left="2121" w:hanging="1695"/>
        <w:jc w:val="left"/>
        <w:rPr>
          <w:sz w:val="22"/>
          <w:szCs w:val="22"/>
        </w:rPr>
      </w:pPr>
      <w:r w:rsidRPr="00C33DE6">
        <w:rPr>
          <w:sz w:val="22"/>
          <w:szCs w:val="22"/>
        </w:rPr>
        <w:lastRenderedPageBreak/>
        <w:t>PTDVF</w:t>
      </w:r>
      <w:r w:rsidRPr="00C33DE6">
        <w:rPr>
          <w:sz w:val="22"/>
          <w:szCs w:val="22"/>
          <w:vertAlign w:val="subscript"/>
        </w:rPr>
        <w:t>fs</w:t>
      </w:r>
      <w:r w:rsidR="00C94D87">
        <w:rPr>
          <w:sz w:val="22"/>
          <w:szCs w:val="22"/>
          <w:vertAlign w:val="subscript"/>
        </w:rPr>
        <w:t>,m</w:t>
      </w:r>
      <w:r w:rsidRPr="00C33DE6">
        <w:rPr>
          <w:sz w:val="22"/>
          <w:szCs w:val="22"/>
        </w:rPr>
        <w:t xml:space="preserve">: </w:t>
      </w:r>
      <w:r w:rsidRPr="00C33DE6">
        <w:rPr>
          <w:sz w:val="22"/>
          <w:szCs w:val="22"/>
        </w:rPr>
        <w:tab/>
        <w:t xml:space="preserve">Valor declarado para la fuente de suministro fs, por el vendedor del Mercado Primario, </w:t>
      </w:r>
      <w:r w:rsidR="00C94D87">
        <w:rPr>
          <w:sz w:val="22"/>
          <w:szCs w:val="22"/>
        </w:rPr>
        <w:t xml:space="preserve">para el mes m, </w:t>
      </w:r>
      <w:r w:rsidRPr="00C33DE6">
        <w:rPr>
          <w:sz w:val="22"/>
          <w:szCs w:val="22"/>
        </w:rPr>
        <w:t>en la fecha de la última declaración realizada al Gestor del Mercado</w:t>
      </w:r>
    </w:p>
    <w:p w14:paraId="4FA5F459" w14:textId="639D4250" w:rsidR="0010705A" w:rsidRDefault="0010705A" w:rsidP="00CF75E0">
      <w:pPr>
        <w:pStyle w:val="Prrafodelista"/>
        <w:ind w:left="2121" w:hanging="1695"/>
        <w:jc w:val="left"/>
        <w:rPr>
          <w:sz w:val="22"/>
          <w:szCs w:val="22"/>
        </w:rPr>
      </w:pPr>
      <w:r w:rsidRPr="00C33DE6">
        <w:rPr>
          <w:sz w:val="22"/>
          <w:szCs w:val="22"/>
        </w:rPr>
        <w:t>PTDV</w:t>
      </w:r>
      <w:r w:rsidRPr="00C33DE6">
        <w:rPr>
          <w:sz w:val="22"/>
          <w:szCs w:val="22"/>
          <w:vertAlign w:val="subscript"/>
        </w:rPr>
        <w:t>f1s</w:t>
      </w:r>
      <w:r w:rsidR="00C94D87">
        <w:rPr>
          <w:sz w:val="22"/>
          <w:szCs w:val="22"/>
          <w:vertAlign w:val="subscript"/>
        </w:rPr>
        <w:t>,m</w:t>
      </w:r>
      <w:r w:rsidRPr="00C33DE6">
        <w:rPr>
          <w:sz w:val="22"/>
          <w:szCs w:val="22"/>
        </w:rPr>
        <w:t xml:space="preserve">: </w:t>
      </w:r>
      <w:r w:rsidRPr="00C33DE6">
        <w:rPr>
          <w:sz w:val="22"/>
          <w:szCs w:val="22"/>
        </w:rPr>
        <w:tab/>
      </w:r>
      <w:r w:rsidRPr="00C33DE6">
        <w:rPr>
          <w:sz w:val="22"/>
          <w:szCs w:val="22"/>
        </w:rPr>
        <w:tab/>
        <w:t>Valor obtenido por el Gestor del Mercado, que resulta de restar al valor de la PTDV declarada para la fuente de suministro fs en la declaración de producción publicada por el MME previa a la declaración de PTDVF</w:t>
      </w:r>
      <w:r>
        <w:rPr>
          <w:sz w:val="22"/>
          <w:szCs w:val="22"/>
        </w:rPr>
        <w:t>,</w:t>
      </w:r>
      <w:r w:rsidRPr="00C33DE6">
        <w:rPr>
          <w:sz w:val="22"/>
          <w:szCs w:val="22"/>
        </w:rPr>
        <w:t xml:space="preserve"> para la fuente fs, el valor de las cantidades asignadas a esa misma fuente fs en los contratos </w:t>
      </w:r>
      <w:r>
        <w:rPr>
          <w:sz w:val="22"/>
          <w:szCs w:val="22"/>
        </w:rPr>
        <w:t xml:space="preserve">de tipo firme </w:t>
      </w:r>
      <w:r w:rsidRPr="00C33DE6">
        <w:rPr>
          <w:sz w:val="22"/>
          <w:szCs w:val="22"/>
        </w:rPr>
        <w:t>registrados entre la fecha de la declaración de producción al MME y la fecha de la declaración de la PTDVF al Gestor del Mercado.</w:t>
      </w:r>
    </w:p>
    <w:p w14:paraId="4E4C24E0" w14:textId="77777777" w:rsidR="00C94D87" w:rsidRDefault="00C94D87" w:rsidP="00CF75E0">
      <w:pPr>
        <w:pStyle w:val="Prrafodelista"/>
        <w:ind w:left="2121" w:hanging="1695"/>
        <w:jc w:val="left"/>
        <w:rPr>
          <w:sz w:val="22"/>
          <w:szCs w:val="22"/>
        </w:rPr>
      </w:pPr>
    </w:p>
    <w:p w14:paraId="5C044ED4" w14:textId="565731F1" w:rsidR="00C94D87" w:rsidRPr="00070DB2" w:rsidRDefault="00C94D87" w:rsidP="00CF75E0">
      <w:pPr>
        <w:pStyle w:val="Prrafodelista"/>
        <w:ind w:left="2121" w:hanging="1695"/>
        <w:jc w:val="left"/>
        <w:rPr>
          <w:b/>
          <w:bCs/>
          <w:sz w:val="22"/>
          <w:szCs w:val="22"/>
        </w:rPr>
      </w:pPr>
      <w:r w:rsidRPr="00070DB2">
        <w:rPr>
          <w:b/>
          <w:bCs/>
          <w:sz w:val="22"/>
          <w:szCs w:val="22"/>
        </w:rPr>
        <w:t>Ejemplo 2:</w:t>
      </w:r>
    </w:p>
    <w:p w14:paraId="0780982F" w14:textId="77777777" w:rsidR="00C94D87" w:rsidRDefault="00C94D87" w:rsidP="00CF75E0">
      <w:pPr>
        <w:pStyle w:val="Prrafodelista"/>
        <w:ind w:left="2121" w:hanging="1695"/>
        <w:jc w:val="left"/>
        <w:rPr>
          <w:sz w:val="22"/>
          <w:szCs w:val="22"/>
        </w:rPr>
      </w:pPr>
    </w:p>
    <w:p w14:paraId="10CA6006" w14:textId="60E8F840" w:rsidR="00C94D87" w:rsidRDefault="00C94D87" w:rsidP="00CF75E0">
      <w:pPr>
        <w:pStyle w:val="Prrafodelista"/>
        <w:ind w:left="426"/>
        <w:jc w:val="left"/>
        <w:rPr>
          <w:sz w:val="22"/>
          <w:szCs w:val="22"/>
        </w:rPr>
      </w:pPr>
      <w:r>
        <w:rPr>
          <w:sz w:val="22"/>
          <w:szCs w:val="22"/>
        </w:rPr>
        <w:t>Siguiendo con el ejemplo 1 del numeral i.) anterior, el Gestor del Mercado calcula, para cada uno de los meses, el cociente obtenido:</w:t>
      </w:r>
    </w:p>
    <w:p w14:paraId="5368DC2B" w14:textId="77777777" w:rsidR="00C94D87" w:rsidRDefault="00C94D87" w:rsidP="00CF75E0">
      <w:pPr>
        <w:pStyle w:val="Prrafodelista"/>
        <w:ind w:left="426"/>
        <w:jc w:val="left"/>
        <w:rPr>
          <w:sz w:val="22"/>
          <w:szCs w:val="22"/>
        </w:rPr>
      </w:pPr>
    </w:p>
    <w:tbl>
      <w:tblPr>
        <w:tblStyle w:val="Tablaconcuadrcula"/>
        <w:tblW w:w="0" w:type="auto"/>
        <w:tblInd w:w="421" w:type="dxa"/>
        <w:tblLayout w:type="fixed"/>
        <w:tblLook w:val="04A0" w:firstRow="1" w:lastRow="0" w:firstColumn="1" w:lastColumn="0" w:noHBand="0" w:noVBand="1"/>
      </w:tblPr>
      <w:tblGrid>
        <w:gridCol w:w="1842"/>
        <w:gridCol w:w="2410"/>
        <w:gridCol w:w="2374"/>
        <w:gridCol w:w="2349"/>
      </w:tblGrid>
      <w:tr w:rsidR="00C94D87" w:rsidRPr="00C33DE6" w14:paraId="12C119FE" w14:textId="77777777" w:rsidTr="00070DB2">
        <w:tc>
          <w:tcPr>
            <w:tcW w:w="1842" w:type="dxa"/>
            <w:vAlign w:val="center"/>
          </w:tcPr>
          <w:p w14:paraId="2C9889B9" w14:textId="21F62C03" w:rsidR="00C94D87" w:rsidRPr="00C33DE6" w:rsidRDefault="00C94D87" w:rsidP="00CF75E0">
            <w:pPr>
              <w:pStyle w:val="Prrafodelista"/>
              <w:ind w:left="0"/>
              <w:jc w:val="left"/>
              <w:rPr>
                <w:b/>
                <w:bCs/>
                <w:sz w:val="20"/>
              </w:rPr>
            </w:pPr>
            <w:r>
              <w:rPr>
                <w:b/>
                <w:bCs/>
                <w:sz w:val="20"/>
              </w:rPr>
              <w:t>Indicador</w:t>
            </w:r>
          </w:p>
        </w:tc>
        <w:tc>
          <w:tcPr>
            <w:tcW w:w="2410" w:type="dxa"/>
          </w:tcPr>
          <w:p w14:paraId="72E842C3" w14:textId="4143F318" w:rsidR="00C94D87" w:rsidRPr="00C33DE6" w:rsidRDefault="00C94D87" w:rsidP="00CF75E0">
            <w:pPr>
              <w:pStyle w:val="Prrafodelista"/>
              <w:ind w:left="0"/>
              <w:jc w:val="left"/>
              <w:rPr>
                <w:b/>
                <w:bCs/>
                <w:sz w:val="20"/>
              </w:rPr>
            </w:pPr>
            <w:r w:rsidRPr="00C33DE6">
              <w:rPr>
                <w:b/>
                <w:bCs/>
                <w:sz w:val="20"/>
              </w:rPr>
              <w:t xml:space="preserve">Diciembre 2023 </w:t>
            </w:r>
          </w:p>
        </w:tc>
        <w:tc>
          <w:tcPr>
            <w:tcW w:w="2374" w:type="dxa"/>
          </w:tcPr>
          <w:p w14:paraId="53563AC2" w14:textId="5484AD96" w:rsidR="00C94D87" w:rsidRPr="00C33DE6" w:rsidRDefault="00C94D87" w:rsidP="00CF75E0">
            <w:pPr>
              <w:pStyle w:val="Prrafodelista"/>
              <w:ind w:left="0"/>
              <w:jc w:val="left"/>
              <w:rPr>
                <w:b/>
                <w:bCs/>
                <w:sz w:val="20"/>
              </w:rPr>
            </w:pPr>
            <w:r w:rsidRPr="00C33DE6">
              <w:rPr>
                <w:b/>
                <w:bCs/>
                <w:sz w:val="20"/>
              </w:rPr>
              <w:t xml:space="preserve">Enero 2024 </w:t>
            </w:r>
          </w:p>
        </w:tc>
        <w:tc>
          <w:tcPr>
            <w:tcW w:w="2349" w:type="dxa"/>
          </w:tcPr>
          <w:p w14:paraId="2E191180" w14:textId="367DE61A" w:rsidR="00C94D87" w:rsidRPr="00C33DE6" w:rsidRDefault="00C94D87" w:rsidP="00CF75E0">
            <w:pPr>
              <w:pStyle w:val="Prrafodelista"/>
              <w:ind w:left="0"/>
              <w:jc w:val="left"/>
              <w:rPr>
                <w:b/>
                <w:bCs/>
                <w:sz w:val="20"/>
              </w:rPr>
            </w:pPr>
            <w:r w:rsidRPr="00C33DE6">
              <w:rPr>
                <w:b/>
                <w:bCs/>
                <w:sz w:val="20"/>
              </w:rPr>
              <w:t xml:space="preserve">Febrero 2024 </w:t>
            </w:r>
          </w:p>
        </w:tc>
      </w:tr>
      <w:tr w:rsidR="00C94D87" w:rsidRPr="00C33DE6" w14:paraId="3BBDB5A5" w14:textId="77777777" w:rsidTr="00070DB2">
        <w:tc>
          <w:tcPr>
            <w:tcW w:w="1842" w:type="dxa"/>
          </w:tcPr>
          <w:p w14:paraId="150EEB7C" w14:textId="222DF8FC" w:rsidR="00C94D87" w:rsidRPr="00C33DE6" w:rsidRDefault="00C94D87" w:rsidP="00CF75E0">
            <w:pPr>
              <w:pStyle w:val="Prrafodelista"/>
              <w:ind w:left="0"/>
              <w:jc w:val="left"/>
              <w:rPr>
                <w:b/>
                <w:bCs/>
                <w:sz w:val="20"/>
              </w:rPr>
            </w:pPr>
            <w:r>
              <w:rPr>
                <w:b/>
                <w:bCs/>
                <w:sz w:val="20"/>
              </w:rPr>
              <w:t>IS1</w:t>
            </w:r>
          </w:p>
        </w:tc>
        <w:tc>
          <w:tcPr>
            <w:tcW w:w="2410" w:type="dxa"/>
            <w:vAlign w:val="center"/>
          </w:tcPr>
          <w:p w14:paraId="786CAF16" w14:textId="6D249B56" w:rsidR="00C94D87" w:rsidRPr="00C33DE6" w:rsidRDefault="00C94D87" w:rsidP="00CF75E0">
            <w:pPr>
              <w:pStyle w:val="Prrafodelista"/>
              <w:ind w:left="0"/>
              <w:jc w:val="left"/>
              <w:rPr>
                <w:sz w:val="20"/>
              </w:rPr>
            </w:pPr>
            <w:r>
              <w:rPr>
                <w:sz w:val="20"/>
              </w:rPr>
              <w:t>2.950 / 3.000 = 98,3%</w:t>
            </w:r>
          </w:p>
        </w:tc>
        <w:tc>
          <w:tcPr>
            <w:tcW w:w="2374" w:type="dxa"/>
            <w:vAlign w:val="center"/>
          </w:tcPr>
          <w:p w14:paraId="7C85E449" w14:textId="13EF8458" w:rsidR="00C94D87" w:rsidRPr="00C33DE6" w:rsidRDefault="00C94D87" w:rsidP="00CF75E0">
            <w:pPr>
              <w:pStyle w:val="Prrafodelista"/>
              <w:ind w:left="0"/>
              <w:jc w:val="left"/>
              <w:rPr>
                <w:sz w:val="20"/>
              </w:rPr>
            </w:pPr>
            <w:r>
              <w:rPr>
                <w:sz w:val="20"/>
              </w:rPr>
              <w:t>2.800 / 2.800 = 100%</w:t>
            </w:r>
          </w:p>
        </w:tc>
        <w:tc>
          <w:tcPr>
            <w:tcW w:w="2349" w:type="dxa"/>
            <w:vAlign w:val="center"/>
          </w:tcPr>
          <w:p w14:paraId="3793CA1E" w14:textId="672022AA" w:rsidR="00C94D87" w:rsidRPr="00C33DE6" w:rsidRDefault="00C94D87" w:rsidP="00CF75E0">
            <w:pPr>
              <w:pStyle w:val="Prrafodelista"/>
              <w:ind w:left="0"/>
              <w:jc w:val="left"/>
              <w:rPr>
                <w:sz w:val="20"/>
              </w:rPr>
            </w:pPr>
            <w:r>
              <w:rPr>
                <w:sz w:val="20"/>
              </w:rPr>
              <w:t>4.000 / 4.500 = 88,9%</w:t>
            </w:r>
          </w:p>
        </w:tc>
      </w:tr>
    </w:tbl>
    <w:p w14:paraId="0007D2E1" w14:textId="77777777" w:rsidR="00C94D87" w:rsidRDefault="00C94D87" w:rsidP="00CF75E0">
      <w:pPr>
        <w:pStyle w:val="Prrafodelista"/>
        <w:ind w:left="426"/>
        <w:jc w:val="left"/>
        <w:rPr>
          <w:sz w:val="22"/>
          <w:szCs w:val="22"/>
        </w:rPr>
      </w:pPr>
    </w:p>
    <w:p w14:paraId="3E056E8B" w14:textId="77777777" w:rsidR="00C94D87" w:rsidRDefault="00C94D87" w:rsidP="00CF75E0">
      <w:pPr>
        <w:pStyle w:val="Prrafodelista"/>
        <w:ind w:left="2121" w:hanging="1695"/>
        <w:jc w:val="left"/>
        <w:rPr>
          <w:sz w:val="22"/>
          <w:szCs w:val="22"/>
        </w:rPr>
      </w:pPr>
    </w:p>
    <w:p w14:paraId="2AC90F0B" w14:textId="77777777" w:rsidR="00C94D87" w:rsidRPr="00C33DE6" w:rsidRDefault="00C94D87" w:rsidP="00CF75E0">
      <w:pPr>
        <w:pStyle w:val="Prrafodelista"/>
        <w:ind w:left="2121" w:hanging="1695"/>
        <w:jc w:val="left"/>
        <w:rPr>
          <w:sz w:val="22"/>
          <w:szCs w:val="22"/>
        </w:rPr>
      </w:pPr>
    </w:p>
    <w:p w14:paraId="7E26C1D4" w14:textId="706D2903" w:rsidR="00AC66C6" w:rsidRDefault="00AC66C6" w:rsidP="00CF75E0">
      <w:pPr>
        <w:pStyle w:val="Prrafodelista"/>
        <w:numPr>
          <w:ilvl w:val="0"/>
          <w:numId w:val="23"/>
        </w:numPr>
        <w:jc w:val="left"/>
        <w:rPr>
          <w:sz w:val="22"/>
          <w:szCs w:val="22"/>
        </w:rPr>
      </w:pPr>
      <w:r>
        <w:rPr>
          <w:sz w:val="22"/>
          <w:szCs w:val="22"/>
        </w:rPr>
        <w:t>Indicador IS2. Se calcula mensualmente, de la siguiente manera:</w:t>
      </w:r>
    </w:p>
    <w:p w14:paraId="2FE6D628" w14:textId="77777777" w:rsidR="00AC66C6" w:rsidRPr="00C33DE6" w:rsidRDefault="00AC66C6" w:rsidP="00CF75E0">
      <w:pPr>
        <w:jc w:val="left"/>
        <w:rPr>
          <w:sz w:val="22"/>
          <w:szCs w:val="22"/>
        </w:rPr>
      </w:pPr>
    </w:p>
    <w:p w14:paraId="45B284FD" w14:textId="77777777" w:rsidR="00AC66C6" w:rsidRPr="00C33DE6" w:rsidRDefault="00AC66C6" w:rsidP="00CF75E0">
      <w:pPr>
        <w:jc w:val="left"/>
        <w:rPr>
          <w:sz w:val="22"/>
          <w:szCs w:val="22"/>
        </w:rPr>
      </w:pPr>
    </w:p>
    <w:p w14:paraId="6CA4AA2F" w14:textId="78880529" w:rsidR="00AC66C6" w:rsidRPr="00F06165" w:rsidRDefault="00AC66C6" w:rsidP="00CF75E0">
      <w:pPr>
        <w:ind w:firstLine="360"/>
        <w:jc w:val="left"/>
        <w:rPr>
          <w:sz w:val="22"/>
          <w:szCs w:val="22"/>
          <w:lang w:val="en-US"/>
        </w:rPr>
      </w:pPr>
      <w:r w:rsidRPr="00F06165">
        <w:rPr>
          <w:sz w:val="22"/>
          <w:szCs w:val="22"/>
          <w:lang w:val="en-US"/>
        </w:rPr>
        <w:t>IS</w:t>
      </w:r>
      <w:r w:rsidR="00FA67E2" w:rsidRPr="00F06165">
        <w:rPr>
          <w:sz w:val="22"/>
          <w:szCs w:val="22"/>
          <w:lang w:val="en-US"/>
        </w:rPr>
        <w:t>2</w:t>
      </w:r>
      <w:r w:rsidRPr="00F06165">
        <w:rPr>
          <w:sz w:val="22"/>
          <w:szCs w:val="22"/>
          <w:vertAlign w:val="subscript"/>
          <w:lang w:val="en-US"/>
        </w:rPr>
        <w:t>fs,m</w:t>
      </w:r>
      <w:r w:rsidRPr="00F06165">
        <w:rPr>
          <w:sz w:val="22"/>
          <w:szCs w:val="22"/>
          <w:lang w:val="en-US"/>
        </w:rPr>
        <w:t xml:space="preserve"> = </w:t>
      </w:r>
      <w:r w:rsidR="00FA67E2" w:rsidRPr="00F06165">
        <w:rPr>
          <w:sz w:val="22"/>
          <w:szCs w:val="22"/>
          <w:lang w:val="en-US"/>
        </w:rPr>
        <w:t>VR</w:t>
      </w:r>
      <w:r w:rsidRPr="00F06165">
        <w:rPr>
          <w:sz w:val="22"/>
          <w:szCs w:val="22"/>
          <w:vertAlign w:val="subscript"/>
          <w:lang w:val="en-US"/>
        </w:rPr>
        <w:t>fs,m</w:t>
      </w:r>
      <w:r w:rsidRPr="00F06165">
        <w:rPr>
          <w:sz w:val="22"/>
          <w:szCs w:val="22"/>
          <w:lang w:val="en-US"/>
        </w:rPr>
        <w:t xml:space="preserve"> / PTDV</w:t>
      </w:r>
      <w:r w:rsidR="00FA67E2" w:rsidRPr="00F06165">
        <w:rPr>
          <w:sz w:val="22"/>
          <w:szCs w:val="22"/>
          <w:lang w:val="en-US"/>
        </w:rPr>
        <w:t>F</w:t>
      </w:r>
      <w:r w:rsidRPr="00F06165">
        <w:rPr>
          <w:sz w:val="22"/>
          <w:szCs w:val="22"/>
          <w:vertAlign w:val="subscript"/>
          <w:lang w:val="en-US"/>
        </w:rPr>
        <w:t>fs,m</w:t>
      </w:r>
    </w:p>
    <w:p w14:paraId="0421C9D5" w14:textId="77777777" w:rsidR="00AC66C6" w:rsidRPr="00F06165" w:rsidRDefault="00AC66C6" w:rsidP="00CF75E0">
      <w:pPr>
        <w:pStyle w:val="Prrafodelista"/>
        <w:ind w:left="360"/>
        <w:jc w:val="left"/>
        <w:rPr>
          <w:sz w:val="22"/>
          <w:szCs w:val="22"/>
          <w:lang w:val="en-US"/>
        </w:rPr>
      </w:pPr>
    </w:p>
    <w:p w14:paraId="1F48B47E" w14:textId="77777777" w:rsidR="00AC66C6" w:rsidRDefault="00AC66C6" w:rsidP="00CF75E0">
      <w:pPr>
        <w:pStyle w:val="Prrafodelista"/>
        <w:ind w:left="360"/>
        <w:jc w:val="left"/>
        <w:rPr>
          <w:sz w:val="22"/>
          <w:szCs w:val="22"/>
        </w:rPr>
      </w:pPr>
      <w:r w:rsidRPr="00C33DE6">
        <w:rPr>
          <w:sz w:val="22"/>
          <w:szCs w:val="22"/>
        </w:rPr>
        <w:t>Donde:</w:t>
      </w:r>
    </w:p>
    <w:p w14:paraId="49C99CCD" w14:textId="77777777" w:rsidR="00FA67E2" w:rsidRPr="00C33DE6" w:rsidRDefault="00FA67E2" w:rsidP="00CF75E0">
      <w:pPr>
        <w:pStyle w:val="Prrafodelista"/>
        <w:ind w:left="360"/>
        <w:jc w:val="left"/>
        <w:rPr>
          <w:sz w:val="22"/>
          <w:szCs w:val="22"/>
        </w:rPr>
      </w:pPr>
    </w:p>
    <w:p w14:paraId="4340FD85" w14:textId="2A8D2144" w:rsidR="00AC66C6" w:rsidRPr="00C33DE6" w:rsidRDefault="00AC66C6" w:rsidP="00CF75E0">
      <w:pPr>
        <w:pStyle w:val="Prrafodelista"/>
        <w:ind w:left="2121" w:hanging="1695"/>
        <w:jc w:val="left"/>
        <w:rPr>
          <w:sz w:val="22"/>
          <w:szCs w:val="22"/>
        </w:rPr>
      </w:pPr>
      <w:r w:rsidRPr="00C33DE6">
        <w:rPr>
          <w:sz w:val="22"/>
          <w:szCs w:val="22"/>
        </w:rPr>
        <w:t>IS</w:t>
      </w:r>
      <w:r w:rsidR="00FA67E2">
        <w:rPr>
          <w:sz w:val="22"/>
          <w:szCs w:val="22"/>
        </w:rPr>
        <w:t>2</w:t>
      </w:r>
      <w:r w:rsidRPr="00C33DE6">
        <w:rPr>
          <w:sz w:val="22"/>
          <w:szCs w:val="22"/>
          <w:vertAlign w:val="subscript"/>
        </w:rPr>
        <w:t>fs</w:t>
      </w:r>
      <w:r>
        <w:rPr>
          <w:sz w:val="22"/>
          <w:szCs w:val="22"/>
          <w:vertAlign w:val="subscript"/>
        </w:rPr>
        <w:t>,m</w:t>
      </w:r>
      <w:r w:rsidRPr="00C33DE6">
        <w:rPr>
          <w:sz w:val="22"/>
          <w:szCs w:val="22"/>
        </w:rPr>
        <w:t xml:space="preserve">: </w:t>
      </w:r>
      <w:r w:rsidRPr="00C33DE6">
        <w:rPr>
          <w:sz w:val="22"/>
          <w:szCs w:val="22"/>
        </w:rPr>
        <w:tab/>
      </w:r>
      <w:r w:rsidRPr="00C33DE6">
        <w:rPr>
          <w:sz w:val="22"/>
          <w:szCs w:val="22"/>
        </w:rPr>
        <w:tab/>
        <w:t>Indicador de Seguimiento 1</w:t>
      </w:r>
      <w:r>
        <w:rPr>
          <w:sz w:val="22"/>
          <w:szCs w:val="22"/>
        </w:rPr>
        <w:t>,</w:t>
      </w:r>
      <w:r w:rsidRPr="00C33DE6">
        <w:rPr>
          <w:sz w:val="22"/>
          <w:szCs w:val="22"/>
        </w:rPr>
        <w:t xml:space="preserve"> de la fuente de suministro fs para </w:t>
      </w:r>
      <w:r>
        <w:rPr>
          <w:sz w:val="22"/>
          <w:szCs w:val="22"/>
        </w:rPr>
        <w:t>mes</w:t>
      </w:r>
      <w:r w:rsidRPr="00C33DE6">
        <w:rPr>
          <w:sz w:val="22"/>
          <w:szCs w:val="22"/>
        </w:rPr>
        <w:t xml:space="preserve"> 1</w:t>
      </w:r>
      <w:r>
        <w:rPr>
          <w:sz w:val="22"/>
          <w:szCs w:val="22"/>
        </w:rPr>
        <w:t>,</w:t>
      </w:r>
      <w:r w:rsidRPr="00C33DE6">
        <w:rPr>
          <w:sz w:val="22"/>
          <w:szCs w:val="22"/>
        </w:rPr>
        <w:t xml:space="preserve"> de 1 de diciembre 2023 a </w:t>
      </w:r>
      <w:r>
        <w:rPr>
          <w:sz w:val="22"/>
          <w:szCs w:val="22"/>
        </w:rPr>
        <w:t>31 de diciembre de 2023</w:t>
      </w:r>
      <w:r w:rsidRPr="00C33DE6">
        <w:rPr>
          <w:sz w:val="22"/>
          <w:szCs w:val="22"/>
        </w:rPr>
        <w:t xml:space="preserve">, siendo el </w:t>
      </w:r>
      <w:r>
        <w:rPr>
          <w:sz w:val="22"/>
          <w:szCs w:val="22"/>
        </w:rPr>
        <w:t xml:space="preserve">mes </w:t>
      </w:r>
      <w:r w:rsidRPr="00C33DE6">
        <w:rPr>
          <w:sz w:val="22"/>
          <w:szCs w:val="22"/>
        </w:rPr>
        <w:t xml:space="preserve">2 </w:t>
      </w:r>
      <w:r>
        <w:rPr>
          <w:sz w:val="22"/>
          <w:szCs w:val="22"/>
        </w:rPr>
        <w:t>el siguiente y así sucesivamente</w:t>
      </w:r>
      <w:r w:rsidRPr="00C33DE6">
        <w:rPr>
          <w:sz w:val="22"/>
          <w:szCs w:val="22"/>
        </w:rPr>
        <w:t>.</w:t>
      </w:r>
    </w:p>
    <w:p w14:paraId="14C9349C" w14:textId="2FEE640F" w:rsidR="00FA67E2" w:rsidRDefault="00FA67E2" w:rsidP="00CF75E0">
      <w:pPr>
        <w:pStyle w:val="Prrafodelista"/>
        <w:ind w:left="2121" w:hanging="1695"/>
        <w:jc w:val="left"/>
        <w:rPr>
          <w:sz w:val="22"/>
          <w:szCs w:val="22"/>
        </w:rPr>
      </w:pPr>
      <w:r>
        <w:rPr>
          <w:sz w:val="22"/>
          <w:szCs w:val="22"/>
        </w:rPr>
        <w:t>VR</w:t>
      </w:r>
      <w:r w:rsidRPr="00C33DE6">
        <w:rPr>
          <w:sz w:val="22"/>
          <w:szCs w:val="22"/>
          <w:vertAlign w:val="subscript"/>
        </w:rPr>
        <w:t>f1s</w:t>
      </w:r>
      <w:r>
        <w:rPr>
          <w:sz w:val="22"/>
          <w:szCs w:val="22"/>
          <w:vertAlign w:val="subscript"/>
        </w:rPr>
        <w:t>,m</w:t>
      </w:r>
      <w:r w:rsidRPr="00C33DE6">
        <w:rPr>
          <w:sz w:val="22"/>
          <w:szCs w:val="22"/>
        </w:rPr>
        <w:t xml:space="preserve">: </w:t>
      </w:r>
      <w:r w:rsidRPr="00C33DE6">
        <w:rPr>
          <w:sz w:val="22"/>
          <w:szCs w:val="22"/>
        </w:rPr>
        <w:tab/>
      </w:r>
      <w:r w:rsidRPr="00C33DE6">
        <w:rPr>
          <w:sz w:val="22"/>
          <w:szCs w:val="22"/>
        </w:rPr>
        <w:tab/>
      </w:r>
      <w:r>
        <w:rPr>
          <w:sz w:val="22"/>
          <w:szCs w:val="22"/>
        </w:rPr>
        <w:t>Volumen registrado de tipo firme ante</w:t>
      </w:r>
      <w:r w:rsidRPr="00C33DE6">
        <w:rPr>
          <w:sz w:val="22"/>
          <w:szCs w:val="22"/>
        </w:rPr>
        <w:t xml:space="preserve"> el Gestor del Mercado, </w:t>
      </w:r>
      <w:r>
        <w:rPr>
          <w:sz w:val="22"/>
          <w:szCs w:val="22"/>
        </w:rPr>
        <w:t xml:space="preserve">para los contratos </w:t>
      </w:r>
      <w:r w:rsidR="000109C7">
        <w:rPr>
          <w:sz w:val="22"/>
          <w:szCs w:val="22"/>
        </w:rPr>
        <w:t xml:space="preserve">de la fuente de suministro fs, </w:t>
      </w:r>
      <w:r>
        <w:rPr>
          <w:sz w:val="22"/>
          <w:szCs w:val="22"/>
        </w:rPr>
        <w:t xml:space="preserve">cuya ejecución </w:t>
      </w:r>
      <w:r w:rsidR="000109C7">
        <w:rPr>
          <w:sz w:val="22"/>
          <w:szCs w:val="22"/>
        </w:rPr>
        <w:t xml:space="preserve">se realiza </w:t>
      </w:r>
      <w:r w:rsidRPr="00C33DE6">
        <w:rPr>
          <w:sz w:val="22"/>
          <w:szCs w:val="22"/>
        </w:rPr>
        <w:t xml:space="preserve"> </w:t>
      </w:r>
      <w:r w:rsidR="000109C7">
        <w:rPr>
          <w:sz w:val="22"/>
          <w:szCs w:val="22"/>
        </w:rPr>
        <w:t>en el mes</w:t>
      </w:r>
      <w:r w:rsidR="000109C7" w:rsidRPr="00C33DE6">
        <w:rPr>
          <w:sz w:val="22"/>
          <w:szCs w:val="22"/>
        </w:rPr>
        <w:t xml:space="preserve"> </w:t>
      </w:r>
      <w:r w:rsidR="000109C7">
        <w:rPr>
          <w:sz w:val="22"/>
          <w:szCs w:val="22"/>
        </w:rPr>
        <w:t>m</w:t>
      </w:r>
      <w:r w:rsidRPr="00C33DE6">
        <w:rPr>
          <w:sz w:val="22"/>
          <w:szCs w:val="22"/>
        </w:rPr>
        <w:t>.</w:t>
      </w:r>
    </w:p>
    <w:p w14:paraId="2F4AB68D" w14:textId="7E48B2CF" w:rsidR="00AC66C6" w:rsidRPr="00C33DE6" w:rsidRDefault="00AC66C6" w:rsidP="00CF75E0">
      <w:pPr>
        <w:pStyle w:val="Prrafodelista"/>
        <w:ind w:left="2121" w:hanging="1695"/>
        <w:jc w:val="left"/>
        <w:rPr>
          <w:sz w:val="22"/>
          <w:szCs w:val="22"/>
        </w:rPr>
      </w:pPr>
      <w:r w:rsidRPr="00C33DE6">
        <w:rPr>
          <w:sz w:val="22"/>
          <w:szCs w:val="22"/>
        </w:rPr>
        <w:t>PTDVF</w:t>
      </w:r>
      <w:r w:rsidRPr="00C33DE6">
        <w:rPr>
          <w:sz w:val="22"/>
          <w:szCs w:val="22"/>
          <w:vertAlign w:val="subscript"/>
        </w:rPr>
        <w:t>fs</w:t>
      </w:r>
      <w:r>
        <w:rPr>
          <w:sz w:val="22"/>
          <w:szCs w:val="22"/>
          <w:vertAlign w:val="subscript"/>
        </w:rPr>
        <w:t>,m</w:t>
      </w:r>
      <w:r w:rsidRPr="00C33DE6">
        <w:rPr>
          <w:sz w:val="22"/>
          <w:szCs w:val="22"/>
        </w:rPr>
        <w:t xml:space="preserve">: </w:t>
      </w:r>
      <w:r w:rsidRPr="00C33DE6">
        <w:rPr>
          <w:sz w:val="22"/>
          <w:szCs w:val="22"/>
        </w:rPr>
        <w:tab/>
        <w:t xml:space="preserve">Valor declarado para la fuente de suministro fs, por el vendedor del Mercado Primario, </w:t>
      </w:r>
      <w:r>
        <w:rPr>
          <w:sz w:val="22"/>
          <w:szCs w:val="22"/>
        </w:rPr>
        <w:t xml:space="preserve">para el mes m, </w:t>
      </w:r>
      <w:r w:rsidRPr="00C33DE6">
        <w:rPr>
          <w:sz w:val="22"/>
          <w:szCs w:val="22"/>
        </w:rPr>
        <w:t>en la fecha de la última declaración realizada al Gestor del Mercado</w:t>
      </w:r>
      <w:r w:rsidR="00E05A41">
        <w:rPr>
          <w:sz w:val="22"/>
          <w:szCs w:val="22"/>
        </w:rPr>
        <w:t>.</w:t>
      </w:r>
    </w:p>
    <w:p w14:paraId="0A76C4D6" w14:textId="77777777" w:rsidR="008C518B" w:rsidRDefault="008C518B" w:rsidP="00CF75E0">
      <w:pPr>
        <w:jc w:val="left"/>
      </w:pPr>
    </w:p>
    <w:p w14:paraId="082DA10A" w14:textId="238FA715" w:rsidR="00AC66C6" w:rsidRPr="00C33DE6" w:rsidRDefault="00AC66C6" w:rsidP="00CF75E0">
      <w:pPr>
        <w:pStyle w:val="Prrafodelista"/>
        <w:ind w:left="2121" w:hanging="1695"/>
        <w:jc w:val="left"/>
        <w:rPr>
          <w:b/>
          <w:bCs/>
          <w:sz w:val="22"/>
          <w:szCs w:val="22"/>
        </w:rPr>
      </w:pPr>
      <w:r w:rsidRPr="00C33DE6">
        <w:rPr>
          <w:b/>
          <w:bCs/>
          <w:sz w:val="22"/>
          <w:szCs w:val="22"/>
        </w:rPr>
        <w:t xml:space="preserve">Ejemplo </w:t>
      </w:r>
      <w:r>
        <w:rPr>
          <w:b/>
          <w:bCs/>
          <w:sz w:val="22"/>
          <w:szCs w:val="22"/>
        </w:rPr>
        <w:t>3</w:t>
      </w:r>
      <w:r w:rsidRPr="00C33DE6">
        <w:rPr>
          <w:b/>
          <w:bCs/>
          <w:sz w:val="22"/>
          <w:szCs w:val="22"/>
        </w:rPr>
        <w:t>:</w:t>
      </w:r>
    </w:p>
    <w:p w14:paraId="5987B50D" w14:textId="77777777" w:rsidR="00AC66C6" w:rsidRDefault="00AC66C6" w:rsidP="00CF75E0">
      <w:pPr>
        <w:pStyle w:val="Prrafodelista"/>
        <w:ind w:left="2121" w:hanging="1695"/>
        <w:jc w:val="left"/>
        <w:rPr>
          <w:sz w:val="22"/>
          <w:szCs w:val="22"/>
        </w:rPr>
      </w:pPr>
    </w:p>
    <w:p w14:paraId="4639AB4F" w14:textId="6E893991" w:rsidR="00AC66C6" w:rsidRDefault="00AC66C6" w:rsidP="00CF75E0">
      <w:pPr>
        <w:pStyle w:val="Prrafodelista"/>
        <w:ind w:left="426"/>
        <w:jc w:val="left"/>
        <w:rPr>
          <w:sz w:val="22"/>
          <w:szCs w:val="22"/>
        </w:rPr>
      </w:pPr>
      <w:r>
        <w:rPr>
          <w:sz w:val="22"/>
          <w:szCs w:val="22"/>
        </w:rPr>
        <w:t xml:space="preserve">Siguiendo con el ejemplo 2 del numeral ii.) anterior, el Gestor del Mercado calcula, para cada uno de los meses, </w:t>
      </w:r>
      <w:r w:rsidR="000F752C">
        <w:rPr>
          <w:sz w:val="22"/>
          <w:szCs w:val="22"/>
        </w:rPr>
        <w:t xml:space="preserve">el volumen registrado </w:t>
      </w:r>
      <w:r w:rsidR="00B75C7F">
        <w:rPr>
          <w:sz w:val="22"/>
          <w:szCs w:val="22"/>
        </w:rPr>
        <w:t xml:space="preserve">promedio </w:t>
      </w:r>
      <w:r w:rsidR="000F752C">
        <w:rPr>
          <w:sz w:val="22"/>
          <w:szCs w:val="22"/>
        </w:rPr>
        <w:t>de tipo firme</w:t>
      </w:r>
      <w:r w:rsidR="00B75C7F">
        <w:rPr>
          <w:sz w:val="22"/>
          <w:szCs w:val="22"/>
        </w:rPr>
        <w:t>,</w:t>
      </w:r>
      <w:r w:rsidR="000F752C">
        <w:rPr>
          <w:sz w:val="22"/>
          <w:szCs w:val="22"/>
        </w:rPr>
        <w:t xml:space="preserve"> de la fuente de suministro fs1, así</w:t>
      </w:r>
      <w:r>
        <w:rPr>
          <w:sz w:val="22"/>
          <w:szCs w:val="22"/>
        </w:rPr>
        <w:t>:</w:t>
      </w:r>
    </w:p>
    <w:p w14:paraId="2D6DCBA5" w14:textId="77777777" w:rsidR="00AC66C6" w:rsidRDefault="00AC66C6" w:rsidP="00CF75E0">
      <w:pPr>
        <w:pStyle w:val="Prrafodelista"/>
        <w:ind w:left="426"/>
        <w:jc w:val="left"/>
        <w:rPr>
          <w:sz w:val="22"/>
          <w:szCs w:val="22"/>
        </w:rPr>
      </w:pPr>
    </w:p>
    <w:p w14:paraId="4D5BC32B" w14:textId="77777777" w:rsidR="00AC66C6" w:rsidRDefault="00AC66C6" w:rsidP="00CF75E0">
      <w:pPr>
        <w:pStyle w:val="Prrafodelista"/>
        <w:ind w:left="426"/>
        <w:jc w:val="left"/>
        <w:rPr>
          <w:sz w:val="22"/>
          <w:szCs w:val="22"/>
        </w:rPr>
      </w:pPr>
    </w:p>
    <w:tbl>
      <w:tblPr>
        <w:tblStyle w:val="Tablaconcuadrcula"/>
        <w:tblW w:w="5169" w:type="pct"/>
        <w:tblInd w:w="421" w:type="dxa"/>
        <w:tblLook w:val="04A0" w:firstRow="1" w:lastRow="0" w:firstColumn="1" w:lastColumn="0" w:noHBand="0" w:noVBand="1"/>
      </w:tblPr>
      <w:tblGrid>
        <w:gridCol w:w="1195"/>
        <w:gridCol w:w="657"/>
        <w:gridCol w:w="657"/>
        <w:gridCol w:w="657"/>
        <w:gridCol w:w="659"/>
        <w:gridCol w:w="653"/>
        <w:gridCol w:w="653"/>
        <w:gridCol w:w="653"/>
        <w:gridCol w:w="654"/>
        <w:gridCol w:w="662"/>
        <w:gridCol w:w="654"/>
        <w:gridCol w:w="654"/>
        <w:gridCol w:w="654"/>
        <w:gridCol w:w="652"/>
      </w:tblGrid>
      <w:tr w:rsidR="000F752C" w14:paraId="7E5220A6" w14:textId="77777777">
        <w:tc>
          <w:tcPr>
            <w:tcW w:w="451" w:type="pct"/>
          </w:tcPr>
          <w:p w14:paraId="6BF6DE61" w14:textId="77777777" w:rsidR="000F752C" w:rsidRPr="00E857C1" w:rsidRDefault="000F752C" w:rsidP="00CF75E0">
            <w:pPr>
              <w:pStyle w:val="Prrafodelista"/>
              <w:ind w:left="0"/>
              <w:jc w:val="left"/>
              <w:rPr>
                <w:b/>
                <w:bCs/>
                <w:sz w:val="20"/>
              </w:rPr>
            </w:pPr>
          </w:p>
        </w:tc>
        <w:tc>
          <w:tcPr>
            <w:tcW w:w="1405" w:type="pct"/>
            <w:gridSpan w:val="4"/>
            <w:vAlign w:val="center"/>
          </w:tcPr>
          <w:p w14:paraId="78BE31AF" w14:textId="77777777" w:rsidR="000F752C" w:rsidRPr="00C33DE6" w:rsidRDefault="000F752C" w:rsidP="00CF75E0">
            <w:pPr>
              <w:pStyle w:val="Prrafodelista"/>
              <w:ind w:left="0"/>
              <w:jc w:val="left"/>
              <w:rPr>
                <w:b/>
                <w:bCs/>
                <w:sz w:val="16"/>
                <w:szCs w:val="16"/>
              </w:rPr>
            </w:pPr>
            <w:r w:rsidRPr="00C33DE6">
              <w:rPr>
                <w:b/>
                <w:bCs/>
                <w:sz w:val="16"/>
                <w:szCs w:val="16"/>
              </w:rPr>
              <w:t>Diciembre 2023</w:t>
            </w:r>
          </w:p>
        </w:tc>
        <w:tc>
          <w:tcPr>
            <w:tcW w:w="1749" w:type="pct"/>
            <w:gridSpan w:val="5"/>
            <w:vAlign w:val="center"/>
          </w:tcPr>
          <w:p w14:paraId="33850FEB" w14:textId="77777777" w:rsidR="000F752C" w:rsidRPr="00C33DE6" w:rsidRDefault="000F752C" w:rsidP="00CF75E0">
            <w:pPr>
              <w:pStyle w:val="Prrafodelista"/>
              <w:ind w:left="0"/>
              <w:jc w:val="left"/>
              <w:rPr>
                <w:b/>
                <w:bCs/>
                <w:sz w:val="16"/>
                <w:szCs w:val="16"/>
              </w:rPr>
            </w:pPr>
            <w:r w:rsidRPr="00C33DE6">
              <w:rPr>
                <w:b/>
                <w:bCs/>
                <w:sz w:val="16"/>
                <w:szCs w:val="16"/>
              </w:rPr>
              <w:t>Enero 2024</w:t>
            </w:r>
          </w:p>
        </w:tc>
        <w:tc>
          <w:tcPr>
            <w:tcW w:w="1395" w:type="pct"/>
            <w:gridSpan w:val="4"/>
            <w:vAlign w:val="center"/>
          </w:tcPr>
          <w:p w14:paraId="12C08244" w14:textId="77777777" w:rsidR="000F752C" w:rsidRPr="00C33DE6" w:rsidRDefault="000F752C" w:rsidP="00CF75E0">
            <w:pPr>
              <w:pStyle w:val="Prrafodelista"/>
              <w:ind w:left="0"/>
              <w:jc w:val="left"/>
              <w:rPr>
                <w:b/>
                <w:bCs/>
                <w:sz w:val="16"/>
                <w:szCs w:val="16"/>
              </w:rPr>
            </w:pPr>
            <w:r w:rsidRPr="00C33DE6">
              <w:rPr>
                <w:b/>
                <w:bCs/>
                <w:sz w:val="16"/>
                <w:szCs w:val="16"/>
              </w:rPr>
              <w:t>Febrero 2024</w:t>
            </w:r>
          </w:p>
        </w:tc>
      </w:tr>
      <w:tr w:rsidR="000F752C" w14:paraId="62FDDAD5" w14:textId="77777777" w:rsidTr="00070DB2">
        <w:tc>
          <w:tcPr>
            <w:tcW w:w="451" w:type="pct"/>
          </w:tcPr>
          <w:p w14:paraId="2FBB781E" w14:textId="77AF4245" w:rsidR="000F752C" w:rsidRPr="00C33DE6" w:rsidRDefault="000F752C" w:rsidP="00CF75E0">
            <w:pPr>
              <w:pStyle w:val="Prrafodelista"/>
              <w:ind w:left="0"/>
              <w:jc w:val="left"/>
              <w:rPr>
                <w:b/>
                <w:bCs/>
                <w:sz w:val="20"/>
              </w:rPr>
            </w:pPr>
            <w:r>
              <w:rPr>
                <w:b/>
                <w:bCs/>
                <w:sz w:val="20"/>
              </w:rPr>
              <w:t>Volumen registrado</w:t>
            </w:r>
          </w:p>
        </w:tc>
        <w:tc>
          <w:tcPr>
            <w:tcW w:w="351" w:type="pct"/>
            <w:vAlign w:val="center"/>
          </w:tcPr>
          <w:p w14:paraId="45FBDB75" w14:textId="77777777" w:rsidR="000F752C" w:rsidRPr="00C33DE6" w:rsidRDefault="000F752C" w:rsidP="00CF75E0">
            <w:pPr>
              <w:pStyle w:val="Prrafodelista"/>
              <w:ind w:left="0"/>
              <w:jc w:val="left"/>
              <w:rPr>
                <w:b/>
                <w:bCs/>
                <w:sz w:val="10"/>
                <w:szCs w:val="10"/>
              </w:rPr>
            </w:pPr>
            <w:r w:rsidRPr="00C33DE6">
              <w:rPr>
                <w:b/>
                <w:bCs/>
                <w:sz w:val="10"/>
                <w:szCs w:val="10"/>
              </w:rPr>
              <w:t>Semana 1</w:t>
            </w:r>
          </w:p>
        </w:tc>
        <w:tc>
          <w:tcPr>
            <w:tcW w:w="351" w:type="pct"/>
            <w:vAlign w:val="center"/>
          </w:tcPr>
          <w:p w14:paraId="6A1EF90F" w14:textId="77777777" w:rsidR="000F752C" w:rsidRPr="00C33DE6" w:rsidRDefault="000F752C" w:rsidP="00CF75E0">
            <w:pPr>
              <w:pStyle w:val="Prrafodelista"/>
              <w:ind w:left="0"/>
              <w:jc w:val="left"/>
              <w:rPr>
                <w:b/>
                <w:bCs/>
                <w:sz w:val="10"/>
                <w:szCs w:val="10"/>
              </w:rPr>
            </w:pPr>
            <w:r w:rsidRPr="00C33DE6">
              <w:rPr>
                <w:b/>
                <w:bCs/>
                <w:sz w:val="10"/>
                <w:szCs w:val="10"/>
              </w:rPr>
              <w:t>Semana 2</w:t>
            </w:r>
          </w:p>
        </w:tc>
        <w:tc>
          <w:tcPr>
            <w:tcW w:w="351" w:type="pct"/>
            <w:vAlign w:val="center"/>
          </w:tcPr>
          <w:p w14:paraId="4145A152" w14:textId="77777777" w:rsidR="000F752C" w:rsidRPr="00C33DE6" w:rsidRDefault="000F752C" w:rsidP="00CF75E0">
            <w:pPr>
              <w:pStyle w:val="Prrafodelista"/>
              <w:ind w:left="0"/>
              <w:jc w:val="left"/>
              <w:rPr>
                <w:b/>
                <w:bCs/>
                <w:sz w:val="10"/>
                <w:szCs w:val="10"/>
              </w:rPr>
            </w:pPr>
            <w:r w:rsidRPr="00C33DE6">
              <w:rPr>
                <w:b/>
                <w:bCs/>
                <w:sz w:val="10"/>
                <w:szCs w:val="10"/>
              </w:rPr>
              <w:t>Semana 3</w:t>
            </w:r>
          </w:p>
        </w:tc>
        <w:tc>
          <w:tcPr>
            <w:tcW w:w="352" w:type="pct"/>
            <w:vAlign w:val="center"/>
          </w:tcPr>
          <w:p w14:paraId="274A9DB5" w14:textId="77777777" w:rsidR="000F752C" w:rsidRPr="00C33DE6" w:rsidRDefault="000F752C" w:rsidP="00CF75E0">
            <w:pPr>
              <w:pStyle w:val="Prrafodelista"/>
              <w:ind w:left="0"/>
              <w:jc w:val="left"/>
              <w:rPr>
                <w:b/>
                <w:bCs/>
                <w:sz w:val="10"/>
                <w:szCs w:val="10"/>
              </w:rPr>
            </w:pPr>
            <w:r w:rsidRPr="00C33DE6">
              <w:rPr>
                <w:b/>
                <w:bCs/>
                <w:sz w:val="10"/>
                <w:szCs w:val="10"/>
              </w:rPr>
              <w:t>Semana 4</w:t>
            </w:r>
          </w:p>
        </w:tc>
        <w:tc>
          <w:tcPr>
            <w:tcW w:w="349" w:type="pct"/>
            <w:vAlign w:val="center"/>
          </w:tcPr>
          <w:p w14:paraId="7490F733" w14:textId="77777777" w:rsidR="000F752C" w:rsidRPr="00C33DE6" w:rsidRDefault="000F752C" w:rsidP="00CF75E0">
            <w:pPr>
              <w:pStyle w:val="Prrafodelista"/>
              <w:ind w:left="0"/>
              <w:jc w:val="left"/>
              <w:rPr>
                <w:b/>
                <w:bCs/>
                <w:sz w:val="10"/>
                <w:szCs w:val="10"/>
              </w:rPr>
            </w:pPr>
            <w:r w:rsidRPr="00C33DE6">
              <w:rPr>
                <w:b/>
                <w:bCs/>
                <w:sz w:val="10"/>
                <w:szCs w:val="10"/>
              </w:rPr>
              <w:t>Semana 5</w:t>
            </w:r>
          </w:p>
        </w:tc>
        <w:tc>
          <w:tcPr>
            <w:tcW w:w="349" w:type="pct"/>
            <w:vAlign w:val="center"/>
          </w:tcPr>
          <w:p w14:paraId="7868668C" w14:textId="77777777" w:rsidR="000F752C" w:rsidRPr="00C33DE6" w:rsidRDefault="000F752C" w:rsidP="00CF75E0">
            <w:pPr>
              <w:pStyle w:val="Prrafodelista"/>
              <w:ind w:left="0"/>
              <w:jc w:val="left"/>
              <w:rPr>
                <w:b/>
                <w:bCs/>
                <w:sz w:val="10"/>
                <w:szCs w:val="10"/>
              </w:rPr>
            </w:pPr>
            <w:r w:rsidRPr="00C33DE6">
              <w:rPr>
                <w:b/>
                <w:bCs/>
                <w:sz w:val="10"/>
                <w:szCs w:val="10"/>
              </w:rPr>
              <w:t>Semana 6</w:t>
            </w:r>
          </w:p>
        </w:tc>
        <w:tc>
          <w:tcPr>
            <w:tcW w:w="349" w:type="pct"/>
            <w:vAlign w:val="center"/>
          </w:tcPr>
          <w:p w14:paraId="5832EEFC" w14:textId="77777777" w:rsidR="000F752C" w:rsidRPr="00C33DE6" w:rsidRDefault="000F752C" w:rsidP="00CF75E0">
            <w:pPr>
              <w:pStyle w:val="Prrafodelista"/>
              <w:ind w:left="0"/>
              <w:jc w:val="left"/>
              <w:rPr>
                <w:b/>
                <w:bCs/>
                <w:sz w:val="10"/>
                <w:szCs w:val="10"/>
              </w:rPr>
            </w:pPr>
            <w:r w:rsidRPr="00C33DE6">
              <w:rPr>
                <w:b/>
                <w:bCs/>
                <w:sz w:val="10"/>
                <w:szCs w:val="10"/>
              </w:rPr>
              <w:t>Semana 7</w:t>
            </w:r>
          </w:p>
        </w:tc>
        <w:tc>
          <w:tcPr>
            <w:tcW w:w="349" w:type="pct"/>
            <w:vAlign w:val="center"/>
          </w:tcPr>
          <w:p w14:paraId="35072991" w14:textId="77777777" w:rsidR="000F752C" w:rsidRPr="00C33DE6" w:rsidRDefault="000F752C" w:rsidP="00CF75E0">
            <w:pPr>
              <w:pStyle w:val="Prrafodelista"/>
              <w:ind w:left="0"/>
              <w:jc w:val="left"/>
              <w:rPr>
                <w:b/>
                <w:bCs/>
                <w:sz w:val="10"/>
                <w:szCs w:val="10"/>
              </w:rPr>
            </w:pPr>
            <w:r w:rsidRPr="00C33DE6">
              <w:rPr>
                <w:b/>
                <w:bCs/>
                <w:sz w:val="10"/>
                <w:szCs w:val="10"/>
              </w:rPr>
              <w:t>Semana 8</w:t>
            </w:r>
          </w:p>
        </w:tc>
        <w:tc>
          <w:tcPr>
            <w:tcW w:w="353" w:type="pct"/>
            <w:vAlign w:val="center"/>
          </w:tcPr>
          <w:p w14:paraId="6ED2685B" w14:textId="77777777" w:rsidR="000F752C" w:rsidRPr="00C33DE6" w:rsidRDefault="000F752C" w:rsidP="00CF75E0">
            <w:pPr>
              <w:pStyle w:val="Prrafodelista"/>
              <w:ind w:left="0"/>
              <w:jc w:val="left"/>
              <w:rPr>
                <w:b/>
                <w:bCs/>
                <w:sz w:val="10"/>
                <w:szCs w:val="10"/>
              </w:rPr>
            </w:pPr>
            <w:r w:rsidRPr="00C33DE6">
              <w:rPr>
                <w:b/>
                <w:bCs/>
                <w:sz w:val="10"/>
                <w:szCs w:val="10"/>
              </w:rPr>
              <w:t>Semana 9</w:t>
            </w:r>
          </w:p>
        </w:tc>
        <w:tc>
          <w:tcPr>
            <w:tcW w:w="349" w:type="pct"/>
            <w:vAlign w:val="center"/>
          </w:tcPr>
          <w:p w14:paraId="18FA4C3E" w14:textId="77777777" w:rsidR="000F752C" w:rsidRPr="00C33DE6" w:rsidRDefault="000F752C" w:rsidP="00CF75E0">
            <w:pPr>
              <w:pStyle w:val="Prrafodelista"/>
              <w:ind w:left="0"/>
              <w:jc w:val="left"/>
              <w:rPr>
                <w:b/>
                <w:bCs/>
                <w:sz w:val="10"/>
                <w:szCs w:val="10"/>
              </w:rPr>
            </w:pPr>
            <w:r w:rsidRPr="00C33DE6">
              <w:rPr>
                <w:b/>
                <w:bCs/>
                <w:sz w:val="10"/>
                <w:szCs w:val="10"/>
              </w:rPr>
              <w:t>Semana 10</w:t>
            </w:r>
          </w:p>
        </w:tc>
        <w:tc>
          <w:tcPr>
            <w:tcW w:w="349" w:type="pct"/>
            <w:vAlign w:val="center"/>
          </w:tcPr>
          <w:p w14:paraId="554BB0A0" w14:textId="77777777" w:rsidR="000F752C" w:rsidRPr="00C33DE6" w:rsidRDefault="000F752C" w:rsidP="00CF75E0">
            <w:pPr>
              <w:pStyle w:val="Prrafodelista"/>
              <w:ind w:left="0"/>
              <w:jc w:val="left"/>
              <w:rPr>
                <w:b/>
                <w:bCs/>
                <w:sz w:val="10"/>
                <w:szCs w:val="10"/>
              </w:rPr>
            </w:pPr>
            <w:r w:rsidRPr="00C33DE6">
              <w:rPr>
                <w:b/>
                <w:bCs/>
                <w:sz w:val="10"/>
                <w:szCs w:val="10"/>
              </w:rPr>
              <w:t>Semana 11</w:t>
            </w:r>
          </w:p>
        </w:tc>
        <w:tc>
          <w:tcPr>
            <w:tcW w:w="349" w:type="pct"/>
            <w:vAlign w:val="center"/>
          </w:tcPr>
          <w:p w14:paraId="53C3DC9D" w14:textId="77777777" w:rsidR="000F752C" w:rsidRPr="00C33DE6" w:rsidRDefault="000F752C" w:rsidP="00CF75E0">
            <w:pPr>
              <w:pStyle w:val="Prrafodelista"/>
              <w:ind w:left="0"/>
              <w:jc w:val="left"/>
              <w:rPr>
                <w:b/>
                <w:bCs/>
                <w:sz w:val="10"/>
                <w:szCs w:val="10"/>
              </w:rPr>
            </w:pPr>
            <w:r w:rsidRPr="00C33DE6">
              <w:rPr>
                <w:b/>
                <w:bCs/>
                <w:sz w:val="10"/>
                <w:szCs w:val="10"/>
              </w:rPr>
              <w:t>Semana 12</w:t>
            </w:r>
          </w:p>
        </w:tc>
        <w:tc>
          <w:tcPr>
            <w:tcW w:w="348" w:type="pct"/>
            <w:vAlign w:val="center"/>
          </w:tcPr>
          <w:p w14:paraId="1BF361DB" w14:textId="77777777" w:rsidR="000F752C" w:rsidRPr="00E857C1" w:rsidRDefault="000F752C" w:rsidP="00CF75E0">
            <w:pPr>
              <w:pStyle w:val="Prrafodelista"/>
              <w:ind w:left="0"/>
              <w:jc w:val="left"/>
              <w:rPr>
                <w:b/>
                <w:bCs/>
                <w:sz w:val="10"/>
                <w:szCs w:val="10"/>
              </w:rPr>
            </w:pPr>
            <w:r>
              <w:rPr>
                <w:b/>
                <w:bCs/>
                <w:sz w:val="10"/>
                <w:szCs w:val="10"/>
              </w:rPr>
              <w:t>Semana 13</w:t>
            </w:r>
          </w:p>
        </w:tc>
      </w:tr>
      <w:tr w:rsidR="000F752C" w14:paraId="2E36E9AD" w14:textId="77777777">
        <w:tc>
          <w:tcPr>
            <w:tcW w:w="451" w:type="pct"/>
          </w:tcPr>
          <w:p w14:paraId="3FC11A23" w14:textId="77777777" w:rsidR="000F752C" w:rsidRPr="00C33DE6" w:rsidRDefault="000F752C" w:rsidP="00CF75E0">
            <w:pPr>
              <w:pStyle w:val="Prrafodelista"/>
              <w:ind w:left="0"/>
              <w:jc w:val="left"/>
              <w:rPr>
                <w:b/>
                <w:bCs/>
                <w:sz w:val="16"/>
                <w:szCs w:val="16"/>
              </w:rPr>
            </w:pPr>
            <w:r w:rsidRPr="00C33DE6">
              <w:rPr>
                <w:b/>
                <w:bCs/>
                <w:sz w:val="16"/>
                <w:szCs w:val="16"/>
              </w:rPr>
              <w:t>Fs1 v1</w:t>
            </w:r>
          </w:p>
        </w:tc>
        <w:tc>
          <w:tcPr>
            <w:tcW w:w="351" w:type="pct"/>
            <w:vAlign w:val="center"/>
          </w:tcPr>
          <w:p w14:paraId="6E1474BF" w14:textId="2ED63678" w:rsidR="000F752C" w:rsidRPr="00C33DE6" w:rsidRDefault="00216A5A" w:rsidP="00CF75E0">
            <w:pPr>
              <w:pStyle w:val="Prrafodelista"/>
              <w:ind w:left="0"/>
              <w:jc w:val="left"/>
              <w:rPr>
                <w:sz w:val="12"/>
                <w:szCs w:val="12"/>
              </w:rPr>
            </w:pPr>
            <w:r>
              <w:rPr>
                <w:sz w:val="12"/>
                <w:szCs w:val="12"/>
              </w:rPr>
              <w:t>2.800</w:t>
            </w:r>
          </w:p>
        </w:tc>
        <w:tc>
          <w:tcPr>
            <w:tcW w:w="351" w:type="pct"/>
            <w:vAlign w:val="center"/>
          </w:tcPr>
          <w:p w14:paraId="21CFC0E5" w14:textId="34641C74" w:rsidR="000F752C" w:rsidRPr="00C33DE6" w:rsidRDefault="00216A5A" w:rsidP="00CF75E0">
            <w:pPr>
              <w:pStyle w:val="Prrafodelista"/>
              <w:ind w:left="0"/>
              <w:jc w:val="left"/>
              <w:rPr>
                <w:sz w:val="12"/>
                <w:szCs w:val="12"/>
              </w:rPr>
            </w:pPr>
            <w:r>
              <w:rPr>
                <w:sz w:val="12"/>
                <w:szCs w:val="12"/>
              </w:rPr>
              <w:t>2.800</w:t>
            </w:r>
          </w:p>
        </w:tc>
        <w:tc>
          <w:tcPr>
            <w:tcW w:w="351" w:type="pct"/>
            <w:vAlign w:val="center"/>
          </w:tcPr>
          <w:p w14:paraId="3A27CE42" w14:textId="77777777" w:rsidR="000F752C" w:rsidRPr="00C33DE6" w:rsidRDefault="000F752C" w:rsidP="00CF75E0">
            <w:pPr>
              <w:pStyle w:val="Prrafodelista"/>
              <w:ind w:left="0"/>
              <w:jc w:val="left"/>
              <w:rPr>
                <w:sz w:val="12"/>
                <w:szCs w:val="12"/>
              </w:rPr>
            </w:pPr>
            <w:r>
              <w:rPr>
                <w:sz w:val="12"/>
                <w:szCs w:val="12"/>
              </w:rPr>
              <w:t>2.800</w:t>
            </w:r>
          </w:p>
        </w:tc>
        <w:tc>
          <w:tcPr>
            <w:tcW w:w="352" w:type="pct"/>
            <w:vAlign w:val="center"/>
          </w:tcPr>
          <w:p w14:paraId="2420953E" w14:textId="77777777" w:rsidR="000F752C" w:rsidRPr="00C33DE6" w:rsidRDefault="000F752C" w:rsidP="00CF75E0">
            <w:pPr>
              <w:pStyle w:val="Prrafodelista"/>
              <w:ind w:left="0"/>
              <w:jc w:val="left"/>
              <w:rPr>
                <w:sz w:val="12"/>
                <w:szCs w:val="12"/>
              </w:rPr>
            </w:pPr>
            <w:r>
              <w:rPr>
                <w:sz w:val="12"/>
                <w:szCs w:val="12"/>
              </w:rPr>
              <w:t>2.600</w:t>
            </w:r>
          </w:p>
        </w:tc>
        <w:tc>
          <w:tcPr>
            <w:tcW w:w="349" w:type="pct"/>
            <w:vAlign w:val="center"/>
          </w:tcPr>
          <w:p w14:paraId="110A2825" w14:textId="7DB19704" w:rsidR="000F752C" w:rsidRPr="00C33DE6" w:rsidRDefault="00216A5A" w:rsidP="00CF75E0">
            <w:pPr>
              <w:pStyle w:val="Prrafodelista"/>
              <w:ind w:left="0"/>
              <w:jc w:val="left"/>
              <w:rPr>
                <w:sz w:val="12"/>
                <w:szCs w:val="12"/>
              </w:rPr>
            </w:pPr>
            <w:r>
              <w:rPr>
                <w:sz w:val="12"/>
                <w:szCs w:val="12"/>
              </w:rPr>
              <w:t>2.000</w:t>
            </w:r>
          </w:p>
        </w:tc>
        <w:tc>
          <w:tcPr>
            <w:tcW w:w="349" w:type="pct"/>
            <w:vAlign w:val="center"/>
          </w:tcPr>
          <w:p w14:paraId="4DB2C4E5" w14:textId="62E86450" w:rsidR="000F752C" w:rsidRPr="00C33DE6" w:rsidRDefault="00216A5A" w:rsidP="00CF75E0">
            <w:pPr>
              <w:pStyle w:val="Prrafodelista"/>
              <w:ind w:left="0"/>
              <w:jc w:val="left"/>
              <w:rPr>
                <w:sz w:val="12"/>
                <w:szCs w:val="12"/>
              </w:rPr>
            </w:pPr>
            <w:r>
              <w:rPr>
                <w:sz w:val="12"/>
                <w:szCs w:val="12"/>
              </w:rPr>
              <w:t>2.000</w:t>
            </w:r>
          </w:p>
        </w:tc>
        <w:tc>
          <w:tcPr>
            <w:tcW w:w="349" w:type="pct"/>
            <w:vAlign w:val="center"/>
          </w:tcPr>
          <w:p w14:paraId="5E385A89" w14:textId="50245CD5" w:rsidR="000F752C" w:rsidRPr="00C33DE6" w:rsidRDefault="00216A5A" w:rsidP="00CF75E0">
            <w:pPr>
              <w:pStyle w:val="Prrafodelista"/>
              <w:ind w:left="0"/>
              <w:jc w:val="left"/>
              <w:rPr>
                <w:sz w:val="12"/>
                <w:szCs w:val="12"/>
              </w:rPr>
            </w:pPr>
            <w:r>
              <w:rPr>
                <w:sz w:val="12"/>
                <w:szCs w:val="12"/>
              </w:rPr>
              <w:t>2.800</w:t>
            </w:r>
          </w:p>
        </w:tc>
        <w:tc>
          <w:tcPr>
            <w:tcW w:w="349" w:type="pct"/>
            <w:vAlign w:val="center"/>
          </w:tcPr>
          <w:p w14:paraId="32F60F57" w14:textId="5EDE79A6" w:rsidR="000F752C" w:rsidRPr="00C33DE6" w:rsidRDefault="00216A5A" w:rsidP="00CF75E0">
            <w:pPr>
              <w:pStyle w:val="Prrafodelista"/>
              <w:ind w:left="0"/>
              <w:jc w:val="left"/>
              <w:rPr>
                <w:sz w:val="12"/>
                <w:szCs w:val="12"/>
              </w:rPr>
            </w:pPr>
            <w:r>
              <w:rPr>
                <w:sz w:val="12"/>
                <w:szCs w:val="12"/>
              </w:rPr>
              <w:t>2.800</w:t>
            </w:r>
          </w:p>
        </w:tc>
        <w:tc>
          <w:tcPr>
            <w:tcW w:w="353" w:type="pct"/>
            <w:vAlign w:val="center"/>
          </w:tcPr>
          <w:p w14:paraId="24B740B8" w14:textId="77777777" w:rsidR="000F752C" w:rsidRPr="00C33DE6" w:rsidRDefault="000F752C" w:rsidP="00CF75E0">
            <w:pPr>
              <w:pStyle w:val="Prrafodelista"/>
              <w:ind w:left="0"/>
              <w:jc w:val="left"/>
              <w:rPr>
                <w:sz w:val="12"/>
                <w:szCs w:val="12"/>
              </w:rPr>
            </w:pPr>
            <w:r>
              <w:rPr>
                <w:sz w:val="12"/>
                <w:szCs w:val="12"/>
              </w:rPr>
              <w:t>2.900</w:t>
            </w:r>
          </w:p>
        </w:tc>
        <w:tc>
          <w:tcPr>
            <w:tcW w:w="349" w:type="pct"/>
            <w:vAlign w:val="center"/>
          </w:tcPr>
          <w:p w14:paraId="253A8A98" w14:textId="77777777" w:rsidR="000F752C" w:rsidRPr="00C33DE6" w:rsidRDefault="000F752C" w:rsidP="00CF75E0">
            <w:pPr>
              <w:pStyle w:val="Prrafodelista"/>
              <w:ind w:left="0"/>
              <w:jc w:val="left"/>
              <w:rPr>
                <w:sz w:val="12"/>
                <w:szCs w:val="12"/>
              </w:rPr>
            </w:pPr>
            <w:r>
              <w:rPr>
                <w:sz w:val="12"/>
                <w:szCs w:val="12"/>
              </w:rPr>
              <w:t>4.000</w:t>
            </w:r>
          </w:p>
        </w:tc>
        <w:tc>
          <w:tcPr>
            <w:tcW w:w="349" w:type="pct"/>
            <w:vAlign w:val="center"/>
          </w:tcPr>
          <w:p w14:paraId="51E3A217" w14:textId="77777777" w:rsidR="000F752C" w:rsidRPr="00C33DE6" w:rsidRDefault="000F752C" w:rsidP="00CF75E0">
            <w:pPr>
              <w:pStyle w:val="Prrafodelista"/>
              <w:ind w:left="0"/>
              <w:jc w:val="left"/>
              <w:rPr>
                <w:sz w:val="12"/>
                <w:szCs w:val="12"/>
              </w:rPr>
            </w:pPr>
            <w:r>
              <w:rPr>
                <w:sz w:val="12"/>
                <w:szCs w:val="12"/>
              </w:rPr>
              <w:t>4.000</w:t>
            </w:r>
          </w:p>
        </w:tc>
        <w:tc>
          <w:tcPr>
            <w:tcW w:w="349" w:type="pct"/>
            <w:vAlign w:val="center"/>
          </w:tcPr>
          <w:p w14:paraId="24CE2107" w14:textId="77777777" w:rsidR="000F752C" w:rsidRPr="00C33DE6" w:rsidRDefault="000F752C" w:rsidP="00CF75E0">
            <w:pPr>
              <w:pStyle w:val="Prrafodelista"/>
              <w:ind w:left="0"/>
              <w:jc w:val="left"/>
              <w:rPr>
                <w:sz w:val="12"/>
                <w:szCs w:val="12"/>
              </w:rPr>
            </w:pPr>
            <w:r>
              <w:rPr>
                <w:sz w:val="12"/>
                <w:szCs w:val="12"/>
              </w:rPr>
              <w:t>4.000</w:t>
            </w:r>
          </w:p>
        </w:tc>
        <w:tc>
          <w:tcPr>
            <w:tcW w:w="348" w:type="pct"/>
          </w:tcPr>
          <w:p w14:paraId="12D5C6C3" w14:textId="77777777" w:rsidR="000F752C" w:rsidRPr="00E857C1" w:rsidRDefault="000F752C" w:rsidP="00CF75E0">
            <w:pPr>
              <w:pStyle w:val="Prrafodelista"/>
              <w:ind w:left="0"/>
              <w:jc w:val="left"/>
              <w:rPr>
                <w:sz w:val="12"/>
                <w:szCs w:val="12"/>
              </w:rPr>
            </w:pPr>
            <w:r>
              <w:rPr>
                <w:sz w:val="12"/>
                <w:szCs w:val="12"/>
              </w:rPr>
              <w:t>4.000</w:t>
            </w:r>
          </w:p>
        </w:tc>
      </w:tr>
      <w:tr w:rsidR="000F752C" w14:paraId="5C6921D0" w14:textId="77777777">
        <w:tc>
          <w:tcPr>
            <w:tcW w:w="451" w:type="pct"/>
          </w:tcPr>
          <w:p w14:paraId="0BAF6C97" w14:textId="77777777" w:rsidR="000F752C" w:rsidRPr="00C33DE6" w:rsidRDefault="000F752C" w:rsidP="00CF75E0">
            <w:pPr>
              <w:pStyle w:val="Prrafodelista"/>
              <w:ind w:left="0"/>
              <w:jc w:val="left"/>
              <w:rPr>
                <w:b/>
                <w:bCs/>
                <w:sz w:val="16"/>
                <w:szCs w:val="16"/>
              </w:rPr>
            </w:pPr>
            <w:r w:rsidRPr="00C33DE6">
              <w:rPr>
                <w:b/>
                <w:bCs/>
                <w:sz w:val="16"/>
                <w:szCs w:val="16"/>
              </w:rPr>
              <w:t>Promedio</w:t>
            </w:r>
          </w:p>
        </w:tc>
        <w:tc>
          <w:tcPr>
            <w:tcW w:w="1405" w:type="pct"/>
            <w:gridSpan w:val="4"/>
            <w:vAlign w:val="center"/>
          </w:tcPr>
          <w:p w14:paraId="63E58F0E" w14:textId="069528B1" w:rsidR="000F752C" w:rsidRDefault="000F752C" w:rsidP="00CF75E0">
            <w:pPr>
              <w:pStyle w:val="Prrafodelista"/>
              <w:ind w:left="0"/>
              <w:jc w:val="left"/>
              <w:rPr>
                <w:sz w:val="12"/>
                <w:szCs w:val="12"/>
              </w:rPr>
            </w:pPr>
            <w:r>
              <w:rPr>
                <w:sz w:val="12"/>
                <w:szCs w:val="12"/>
              </w:rPr>
              <w:t>2.</w:t>
            </w:r>
            <w:r w:rsidR="00216A5A">
              <w:rPr>
                <w:sz w:val="12"/>
                <w:szCs w:val="12"/>
              </w:rPr>
              <w:t>750</w:t>
            </w:r>
          </w:p>
        </w:tc>
        <w:tc>
          <w:tcPr>
            <w:tcW w:w="1749" w:type="pct"/>
            <w:gridSpan w:val="5"/>
            <w:vAlign w:val="center"/>
          </w:tcPr>
          <w:p w14:paraId="78AE00BF" w14:textId="13AE7355" w:rsidR="000F752C" w:rsidRPr="00E9322B" w:rsidRDefault="00216A5A" w:rsidP="00CF75E0">
            <w:pPr>
              <w:pStyle w:val="Prrafodelista"/>
              <w:ind w:left="0"/>
              <w:jc w:val="left"/>
              <w:rPr>
                <w:sz w:val="12"/>
                <w:szCs w:val="12"/>
              </w:rPr>
            </w:pPr>
            <w:r>
              <w:rPr>
                <w:sz w:val="12"/>
                <w:szCs w:val="12"/>
              </w:rPr>
              <w:t>2.400</w:t>
            </w:r>
          </w:p>
        </w:tc>
        <w:tc>
          <w:tcPr>
            <w:tcW w:w="1395" w:type="pct"/>
            <w:gridSpan w:val="4"/>
            <w:vAlign w:val="center"/>
          </w:tcPr>
          <w:p w14:paraId="465F9879" w14:textId="77777777" w:rsidR="000F752C" w:rsidRPr="00E857C1" w:rsidRDefault="000F752C" w:rsidP="00CF75E0">
            <w:pPr>
              <w:pStyle w:val="Prrafodelista"/>
              <w:ind w:left="0"/>
              <w:jc w:val="left"/>
              <w:rPr>
                <w:sz w:val="12"/>
                <w:szCs w:val="12"/>
              </w:rPr>
            </w:pPr>
            <w:r>
              <w:rPr>
                <w:sz w:val="12"/>
                <w:szCs w:val="12"/>
              </w:rPr>
              <w:t>4.000</w:t>
            </w:r>
          </w:p>
        </w:tc>
      </w:tr>
    </w:tbl>
    <w:p w14:paraId="5C505F33" w14:textId="77777777" w:rsidR="00B75C7F" w:rsidRDefault="00B75C7F" w:rsidP="00CF75E0">
      <w:pPr>
        <w:ind w:firstLine="431"/>
        <w:jc w:val="left"/>
      </w:pPr>
    </w:p>
    <w:p w14:paraId="774E5B9B" w14:textId="28E10A2E" w:rsidR="008C518B" w:rsidRPr="00070DB2" w:rsidRDefault="00B75C7F" w:rsidP="00CF75E0">
      <w:pPr>
        <w:ind w:firstLine="431"/>
        <w:jc w:val="left"/>
        <w:rPr>
          <w:sz w:val="22"/>
          <w:szCs w:val="22"/>
        </w:rPr>
      </w:pPr>
      <w:r w:rsidRPr="00070DB2">
        <w:rPr>
          <w:sz w:val="22"/>
          <w:szCs w:val="22"/>
        </w:rPr>
        <w:t>A partir de lo anterior, obtiene el valor del indicador mensual IS2, así:</w:t>
      </w:r>
    </w:p>
    <w:p w14:paraId="67857C08" w14:textId="77777777" w:rsidR="00B75C7F" w:rsidRDefault="00B75C7F" w:rsidP="00CF75E0">
      <w:pPr>
        <w:jc w:val="left"/>
      </w:pPr>
    </w:p>
    <w:tbl>
      <w:tblPr>
        <w:tblStyle w:val="Tablaconcuadrcula"/>
        <w:tblW w:w="0" w:type="auto"/>
        <w:tblInd w:w="421" w:type="dxa"/>
        <w:tblLayout w:type="fixed"/>
        <w:tblLook w:val="04A0" w:firstRow="1" w:lastRow="0" w:firstColumn="1" w:lastColumn="0" w:noHBand="0" w:noVBand="1"/>
      </w:tblPr>
      <w:tblGrid>
        <w:gridCol w:w="1842"/>
        <w:gridCol w:w="2410"/>
        <w:gridCol w:w="2374"/>
        <w:gridCol w:w="2349"/>
      </w:tblGrid>
      <w:tr w:rsidR="00B75C7F" w:rsidRPr="00C33DE6" w14:paraId="785969C3" w14:textId="77777777">
        <w:tc>
          <w:tcPr>
            <w:tcW w:w="1842" w:type="dxa"/>
            <w:vAlign w:val="center"/>
          </w:tcPr>
          <w:p w14:paraId="36983824" w14:textId="77777777" w:rsidR="00B75C7F" w:rsidRPr="00C33DE6" w:rsidRDefault="00B75C7F" w:rsidP="00CF75E0">
            <w:pPr>
              <w:pStyle w:val="Prrafodelista"/>
              <w:ind w:left="0"/>
              <w:jc w:val="left"/>
              <w:rPr>
                <w:b/>
                <w:bCs/>
                <w:sz w:val="20"/>
              </w:rPr>
            </w:pPr>
            <w:r>
              <w:rPr>
                <w:b/>
                <w:bCs/>
                <w:sz w:val="20"/>
              </w:rPr>
              <w:t>Indicador</w:t>
            </w:r>
          </w:p>
        </w:tc>
        <w:tc>
          <w:tcPr>
            <w:tcW w:w="2410" w:type="dxa"/>
          </w:tcPr>
          <w:p w14:paraId="08AE8098" w14:textId="77777777" w:rsidR="00B75C7F" w:rsidRPr="00C33DE6" w:rsidRDefault="00B75C7F" w:rsidP="00CF75E0">
            <w:pPr>
              <w:pStyle w:val="Prrafodelista"/>
              <w:ind w:left="0"/>
              <w:jc w:val="left"/>
              <w:rPr>
                <w:b/>
                <w:bCs/>
                <w:sz w:val="20"/>
              </w:rPr>
            </w:pPr>
            <w:r w:rsidRPr="00C33DE6">
              <w:rPr>
                <w:b/>
                <w:bCs/>
                <w:sz w:val="20"/>
              </w:rPr>
              <w:t xml:space="preserve">Diciembre 2023 </w:t>
            </w:r>
          </w:p>
        </w:tc>
        <w:tc>
          <w:tcPr>
            <w:tcW w:w="2374" w:type="dxa"/>
          </w:tcPr>
          <w:p w14:paraId="2987ED95" w14:textId="77777777" w:rsidR="00B75C7F" w:rsidRPr="00C33DE6" w:rsidRDefault="00B75C7F" w:rsidP="00CF75E0">
            <w:pPr>
              <w:pStyle w:val="Prrafodelista"/>
              <w:ind w:left="0"/>
              <w:jc w:val="left"/>
              <w:rPr>
                <w:b/>
                <w:bCs/>
                <w:sz w:val="20"/>
              </w:rPr>
            </w:pPr>
            <w:r w:rsidRPr="00C33DE6">
              <w:rPr>
                <w:b/>
                <w:bCs/>
                <w:sz w:val="20"/>
              </w:rPr>
              <w:t xml:space="preserve">Enero 2024 </w:t>
            </w:r>
          </w:p>
        </w:tc>
        <w:tc>
          <w:tcPr>
            <w:tcW w:w="2349" w:type="dxa"/>
          </w:tcPr>
          <w:p w14:paraId="5EB246F7" w14:textId="77777777" w:rsidR="00B75C7F" w:rsidRPr="00C33DE6" w:rsidRDefault="00B75C7F" w:rsidP="00CF75E0">
            <w:pPr>
              <w:pStyle w:val="Prrafodelista"/>
              <w:ind w:left="0"/>
              <w:jc w:val="left"/>
              <w:rPr>
                <w:b/>
                <w:bCs/>
                <w:sz w:val="20"/>
              </w:rPr>
            </w:pPr>
            <w:r w:rsidRPr="00C33DE6">
              <w:rPr>
                <w:b/>
                <w:bCs/>
                <w:sz w:val="20"/>
              </w:rPr>
              <w:t xml:space="preserve">Febrero 2024 </w:t>
            </w:r>
          </w:p>
        </w:tc>
      </w:tr>
      <w:tr w:rsidR="00B75C7F" w:rsidRPr="00C33DE6" w14:paraId="4709C6AB" w14:textId="77777777">
        <w:tc>
          <w:tcPr>
            <w:tcW w:w="1842" w:type="dxa"/>
          </w:tcPr>
          <w:p w14:paraId="193B5D98" w14:textId="5626EE13" w:rsidR="00B75C7F" w:rsidRPr="00C33DE6" w:rsidRDefault="00B75C7F" w:rsidP="00CF75E0">
            <w:pPr>
              <w:pStyle w:val="Prrafodelista"/>
              <w:ind w:left="0"/>
              <w:jc w:val="left"/>
              <w:rPr>
                <w:b/>
                <w:bCs/>
                <w:sz w:val="20"/>
              </w:rPr>
            </w:pPr>
            <w:r>
              <w:rPr>
                <w:b/>
                <w:bCs/>
                <w:sz w:val="20"/>
              </w:rPr>
              <w:t>IS2</w:t>
            </w:r>
          </w:p>
        </w:tc>
        <w:tc>
          <w:tcPr>
            <w:tcW w:w="2410" w:type="dxa"/>
            <w:vAlign w:val="center"/>
          </w:tcPr>
          <w:p w14:paraId="15825E86" w14:textId="4229829E" w:rsidR="00B75C7F" w:rsidRPr="00C33DE6" w:rsidRDefault="00B75C7F" w:rsidP="00CF75E0">
            <w:pPr>
              <w:pStyle w:val="Prrafodelista"/>
              <w:ind w:left="0"/>
              <w:jc w:val="left"/>
              <w:rPr>
                <w:sz w:val="20"/>
              </w:rPr>
            </w:pPr>
            <w:r>
              <w:rPr>
                <w:sz w:val="20"/>
              </w:rPr>
              <w:t>2.750 / 2.950 = 93,2%</w:t>
            </w:r>
          </w:p>
        </w:tc>
        <w:tc>
          <w:tcPr>
            <w:tcW w:w="2374" w:type="dxa"/>
            <w:vAlign w:val="center"/>
          </w:tcPr>
          <w:p w14:paraId="4570E70A" w14:textId="0681FDF5" w:rsidR="00B75C7F" w:rsidRPr="00C33DE6" w:rsidRDefault="00B75C7F" w:rsidP="00CF75E0">
            <w:pPr>
              <w:pStyle w:val="Prrafodelista"/>
              <w:ind w:left="0"/>
              <w:jc w:val="left"/>
              <w:rPr>
                <w:sz w:val="20"/>
              </w:rPr>
            </w:pPr>
            <w:r>
              <w:rPr>
                <w:sz w:val="20"/>
              </w:rPr>
              <w:t>2.400 / 2.800 = 85,7%</w:t>
            </w:r>
          </w:p>
        </w:tc>
        <w:tc>
          <w:tcPr>
            <w:tcW w:w="2349" w:type="dxa"/>
            <w:vAlign w:val="center"/>
          </w:tcPr>
          <w:p w14:paraId="175C327E" w14:textId="63C0E1D5" w:rsidR="00B75C7F" w:rsidRPr="00C33DE6" w:rsidRDefault="00B75C7F" w:rsidP="00CF75E0">
            <w:pPr>
              <w:pStyle w:val="Prrafodelista"/>
              <w:ind w:left="0"/>
              <w:jc w:val="left"/>
              <w:rPr>
                <w:sz w:val="20"/>
              </w:rPr>
            </w:pPr>
            <w:r>
              <w:rPr>
                <w:sz w:val="20"/>
              </w:rPr>
              <w:t>4.000 / 4.000 = 100%</w:t>
            </w:r>
          </w:p>
        </w:tc>
      </w:tr>
    </w:tbl>
    <w:p w14:paraId="1FB8DF6A" w14:textId="77777777" w:rsidR="00B75C7F" w:rsidRDefault="00B75C7F" w:rsidP="00CF75E0">
      <w:pPr>
        <w:jc w:val="left"/>
      </w:pPr>
    </w:p>
    <w:p w14:paraId="05C402B6" w14:textId="77777777" w:rsidR="00605348" w:rsidRPr="008C518B" w:rsidRDefault="00605348" w:rsidP="00CF75E0">
      <w:pPr>
        <w:jc w:val="left"/>
      </w:pPr>
    </w:p>
    <w:p w14:paraId="6A8CB95B" w14:textId="07EE959B" w:rsidR="00D027D6" w:rsidRDefault="00D027D6" w:rsidP="00CF75E0">
      <w:pPr>
        <w:pStyle w:val="Ttulo1"/>
        <w:numPr>
          <w:ilvl w:val="0"/>
          <w:numId w:val="14"/>
        </w:numPr>
        <w:spacing w:after="0"/>
        <w:ind w:left="431" w:hanging="431"/>
        <w:jc w:val="left"/>
        <w:rPr>
          <w:szCs w:val="24"/>
        </w:rPr>
      </w:pPr>
      <w:bookmarkStart w:id="25" w:name="_Toc158211407"/>
      <w:r>
        <w:rPr>
          <w:szCs w:val="24"/>
        </w:rPr>
        <w:t xml:space="preserve">CUESTIONARIO DE LA </w:t>
      </w:r>
      <w:r w:rsidR="00A203A2">
        <w:rPr>
          <w:szCs w:val="24"/>
        </w:rPr>
        <w:t xml:space="preserve">ABOGACÍA DE LA </w:t>
      </w:r>
      <w:r>
        <w:rPr>
          <w:szCs w:val="24"/>
        </w:rPr>
        <w:t>COMPETENCIA</w:t>
      </w:r>
      <w:bookmarkEnd w:id="25"/>
      <w:r>
        <w:rPr>
          <w:szCs w:val="24"/>
        </w:rPr>
        <w:t xml:space="preserve"> </w:t>
      </w:r>
    </w:p>
    <w:p w14:paraId="52BE5341" w14:textId="77777777" w:rsidR="00D027D6" w:rsidRDefault="00D027D6" w:rsidP="00CF75E0">
      <w:pPr>
        <w:jc w:val="left"/>
        <w:rPr>
          <w:sz w:val="22"/>
        </w:rPr>
      </w:pPr>
    </w:p>
    <w:p w14:paraId="3C78850A" w14:textId="77777777" w:rsidR="002B6BFC" w:rsidRDefault="002B6BFC" w:rsidP="00CF75E0">
      <w:pPr>
        <w:jc w:val="left"/>
        <w:rPr>
          <w:sz w:val="22"/>
        </w:rPr>
      </w:pPr>
    </w:p>
    <w:p w14:paraId="7694B27C" w14:textId="77777777" w:rsidR="002B6BFC" w:rsidRDefault="002B6BFC" w:rsidP="00CF75E0">
      <w:pPr>
        <w:jc w:val="left"/>
        <w:rPr>
          <w:sz w:val="22"/>
        </w:rPr>
      </w:pPr>
      <w:r w:rsidRPr="00A203A2">
        <w:rPr>
          <w:sz w:val="22"/>
        </w:rPr>
        <w:t>A continuación, se presentan las re</w:t>
      </w:r>
      <w:r>
        <w:rPr>
          <w:sz w:val="22"/>
        </w:rPr>
        <w:t>s</w:t>
      </w:r>
      <w:r w:rsidRPr="00A203A2">
        <w:rPr>
          <w:sz w:val="22"/>
        </w:rPr>
        <w:t xml:space="preserve">puestas </w:t>
      </w:r>
      <w:r>
        <w:rPr>
          <w:sz w:val="22"/>
        </w:rPr>
        <w:t xml:space="preserve">obtenidas </w:t>
      </w:r>
      <w:r w:rsidRPr="00A203A2">
        <w:rPr>
          <w:sz w:val="22"/>
        </w:rPr>
        <w:t xml:space="preserve">al cuestionario de Abogacía de la Competencia </w:t>
      </w:r>
      <w:r>
        <w:rPr>
          <w:sz w:val="22"/>
        </w:rPr>
        <w:t xml:space="preserve">establecido por </w:t>
      </w:r>
      <w:r w:rsidRPr="00A203A2">
        <w:rPr>
          <w:sz w:val="22"/>
        </w:rPr>
        <w:t>la Superintendencia de Industria y Comercio</w:t>
      </w:r>
      <w:r>
        <w:rPr>
          <w:sz w:val="22"/>
        </w:rPr>
        <w:t>:</w:t>
      </w:r>
    </w:p>
    <w:p w14:paraId="419047CB" w14:textId="77777777" w:rsidR="002B6BFC" w:rsidRDefault="002B6BFC" w:rsidP="00CF75E0">
      <w:pPr>
        <w:jc w:val="left"/>
        <w:rPr>
          <w:sz w:val="22"/>
        </w:rPr>
      </w:pPr>
    </w:p>
    <w:tbl>
      <w:tblPr>
        <w:tblW w:w="5564" w:type="pct"/>
        <w:tblLayout w:type="fixed"/>
        <w:tblCellMar>
          <w:left w:w="70" w:type="dxa"/>
          <w:right w:w="70" w:type="dxa"/>
        </w:tblCellMar>
        <w:tblLook w:val="04A0" w:firstRow="1" w:lastRow="0" w:firstColumn="1" w:lastColumn="0" w:noHBand="0" w:noVBand="1"/>
      </w:tblPr>
      <w:tblGrid>
        <w:gridCol w:w="452"/>
        <w:gridCol w:w="42"/>
        <w:gridCol w:w="1184"/>
        <w:gridCol w:w="2004"/>
        <w:gridCol w:w="571"/>
        <w:gridCol w:w="960"/>
        <w:gridCol w:w="973"/>
        <w:gridCol w:w="4115"/>
        <w:gridCol w:w="160"/>
      </w:tblGrid>
      <w:tr w:rsidR="002B6BFC" w:rsidRPr="00B17B4A" w14:paraId="3A310A03" w14:textId="77777777" w:rsidTr="009968DB">
        <w:trPr>
          <w:gridAfter w:val="1"/>
          <w:wAfter w:w="76" w:type="pct"/>
          <w:trHeight w:val="1770"/>
        </w:trPr>
        <w:tc>
          <w:tcPr>
            <w:tcW w:w="1760" w:type="pct"/>
            <w:gridSpan w:val="4"/>
            <w:tcBorders>
              <w:top w:val="nil"/>
              <w:left w:val="nil"/>
              <w:bottom w:val="nil"/>
              <w:right w:val="nil"/>
            </w:tcBorders>
            <w:shd w:val="clear" w:color="auto" w:fill="auto"/>
            <w:noWrap/>
            <w:vAlign w:val="bottom"/>
            <w:hideMark/>
          </w:tcPr>
          <w:p w14:paraId="571EFD41"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noProof/>
                <w:color w:val="000000"/>
                <w:sz w:val="22"/>
                <w:szCs w:val="22"/>
                <w:lang w:val="es-CO" w:eastAsia="es-CO"/>
              </w:rPr>
              <w:drawing>
                <wp:anchor distT="0" distB="0" distL="114300" distR="114300" simplePos="0" relativeHeight="251658241" behindDoc="0" locked="0" layoutInCell="1" allowOverlap="1" wp14:anchorId="4C2E15C1" wp14:editId="1F057C9C">
                  <wp:simplePos x="0" y="0"/>
                  <wp:positionH relativeFrom="column">
                    <wp:posOffset>871855</wp:posOffset>
                  </wp:positionH>
                  <wp:positionV relativeFrom="paragraph">
                    <wp:posOffset>617220</wp:posOffset>
                  </wp:positionV>
                  <wp:extent cx="1590675" cy="640715"/>
                  <wp:effectExtent l="0" t="0" r="9525" b="6985"/>
                  <wp:wrapNone/>
                  <wp:docPr id="2070070568" name="Imagen 5" descr="\\Abeltran\publico\Logo completo.gif">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1" descr="\\Abeltran\publico\Logo completo.gif">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90675" cy="6407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5740"/>
            </w:tblGrid>
            <w:tr w:rsidR="002B6BFC" w:rsidRPr="00B17B4A" w14:paraId="576A98DB" w14:textId="77777777">
              <w:trPr>
                <w:trHeight w:val="1770"/>
                <w:tblCellSpacing w:w="0" w:type="dxa"/>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67D87" w14:textId="77777777" w:rsidR="002B6BFC" w:rsidRPr="00B17B4A" w:rsidRDefault="002B6BFC" w:rsidP="00CF75E0">
                  <w:pPr>
                    <w:jc w:val="left"/>
                    <w:rPr>
                      <w:rFonts w:ascii="Calibri" w:hAnsi="Calibri" w:cs="Calibri"/>
                      <w:color w:val="000000"/>
                      <w:sz w:val="22"/>
                      <w:szCs w:val="22"/>
                      <w:lang w:val="es-CO" w:eastAsia="es-CO"/>
                    </w:rPr>
                  </w:pPr>
                  <w:bookmarkStart w:id="26" w:name="RANGE!A1:G31"/>
                  <w:r w:rsidRPr="00B17B4A">
                    <w:rPr>
                      <w:rFonts w:ascii="Calibri" w:hAnsi="Calibri" w:cs="Calibri"/>
                      <w:color w:val="000000"/>
                      <w:sz w:val="22"/>
                      <w:szCs w:val="22"/>
                      <w:lang w:val="es-CO" w:eastAsia="es-CO"/>
                    </w:rPr>
                    <w:t> </w:t>
                  </w:r>
                  <w:bookmarkEnd w:id="26"/>
                </w:p>
              </w:tc>
            </w:tr>
          </w:tbl>
          <w:p w14:paraId="2F76EA38" w14:textId="77777777" w:rsidR="002B6BFC" w:rsidRPr="00B17B4A" w:rsidRDefault="002B6BFC" w:rsidP="00CF75E0">
            <w:pPr>
              <w:jc w:val="left"/>
              <w:rPr>
                <w:rFonts w:ascii="Calibri" w:hAnsi="Calibri" w:cs="Calibri"/>
                <w:color w:val="000000"/>
                <w:sz w:val="22"/>
                <w:szCs w:val="22"/>
                <w:lang w:val="es-CO" w:eastAsia="es-CO"/>
              </w:rPr>
            </w:pPr>
          </w:p>
        </w:tc>
        <w:tc>
          <w:tcPr>
            <w:tcW w:w="3164" w:type="pct"/>
            <w:gridSpan w:val="4"/>
            <w:tcBorders>
              <w:top w:val="single" w:sz="4" w:space="0" w:color="auto"/>
              <w:left w:val="nil"/>
              <w:bottom w:val="single" w:sz="4" w:space="0" w:color="auto"/>
              <w:right w:val="single" w:sz="4" w:space="0" w:color="auto"/>
            </w:tcBorders>
            <w:shd w:val="clear" w:color="auto" w:fill="auto"/>
            <w:vAlign w:val="center"/>
            <w:hideMark/>
          </w:tcPr>
          <w:p w14:paraId="000425F6"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CUESTIONARIO DE ABOGACÍA DE LA COMPETENCIA - ACTOS ADMINISTRATIVOS EXPEDIDOS CON FINES REGULATORIOS</w:t>
            </w:r>
          </w:p>
        </w:tc>
      </w:tr>
      <w:tr w:rsidR="002B6BFC" w:rsidRPr="00B17B4A" w14:paraId="4472F109" w14:textId="77777777" w:rsidTr="009968DB">
        <w:trPr>
          <w:gridAfter w:val="1"/>
          <w:wAfter w:w="76" w:type="pct"/>
          <w:trHeight w:val="645"/>
        </w:trPr>
        <w:tc>
          <w:tcPr>
            <w:tcW w:w="176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59DF0D" w14:textId="1463D73F"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xml:space="preserve">OBJETO DEL PROYECTO DE REGULACIÓN: Normas adicionales transitorias </w:t>
            </w:r>
            <w:r>
              <w:rPr>
                <w:rFonts w:ascii="Calibri" w:hAnsi="Calibri" w:cs="Calibri"/>
                <w:b/>
                <w:bCs/>
                <w:color w:val="000000"/>
                <w:sz w:val="22"/>
                <w:szCs w:val="22"/>
                <w:lang w:val="es-CO" w:eastAsia="es-CO"/>
              </w:rPr>
              <w:t xml:space="preserve">de corto plazo </w:t>
            </w:r>
            <w:r w:rsidRPr="00B17B4A">
              <w:rPr>
                <w:rFonts w:ascii="Calibri" w:hAnsi="Calibri" w:cs="Calibri"/>
                <w:b/>
                <w:bCs/>
                <w:color w:val="000000"/>
                <w:sz w:val="22"/>
                <w:szCs w:val="22"/>
                <w:lang w:val="es-CO" w:eastAsia="es-CO"/>
              </w:rPr>
              <w:t>del MMGN</w:t>
            </w:r>
          </w:p>
        </w:tc>
        <w:tc>
          <w:tcPr>
            <w:tcW w:w="1197" w:type="pct"/>
            <w:gridSpan w:val="3"/>
            <w:tcBorders>
              <w:top w:val="single" w:sz="4" w:space="0" w:color="auto"/>
              <w:left w:val="nil"/>
              <w:bottom w:val="single" w:sz="4" w:space="0" w:color="auto"/>
              <w:right w:val="single" w:sz="4" w:space="0" w:color="auto"/>
            </w:tcBorders>
            <w:shd w:val="clear" w:color="auto" w:fill="auto"/>
            <w:noWrap/>
            <w:vAlign w:val="center"/>
            <w:hideMark/>
          </w:tcPr>
          <w:p w14:paraId="40CE9B69"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vAlign w:val="center"/>
            <w:hideMark/>
          </w:tcPr>
          <w:p w14:paraId="512CF2FF"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No. DE RESOLUCIÓN O ACTO:</w:t>
            </w:r>
          </w:p>
        </w:tc>
      </w:tr>
      <w:tr w:rsidR="002B6BFC" w:rsidRPr="00B17B4A" w14:paraId="7E0FE1F4" w14:textId="77777777" w:rsidTr="009968DB">
        <w:trPr>
          <w:gridAfter w:val="1"/>
          <w:wAfter w:w="76" w:type="pct"/>
          <w:trHeight w:val="600"/>
        </w:trPr>
        <w:tc>
          <w:tcPr>
            <w:tcW w:w="176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95BC4A"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ENTIDAD QUE REMITE: CREG</w:t>
            </w:r>
          </w:p>
        </w:tc>
        <w:tc>
          <w:tcPr>
            <w:tcW w:w="1197" w:type="pct"/>
            <w:gridSpan w:val="3"/>
            <w:tcBorders>
              <w:top w:val="single" w:sz="4" w:space="0" w:color="auto"/>
              <w:left w:val="nil"/>
              <w:bottom w:val="single" w:sz="4" w:space="0" w:color="auto"/>
              <w:right w:val="single" w:sz="4" w:space="0" w:color="auto"/>
            </w:tcBorders>
            <w:shd w:val="clear" w:color="auto" w:fill="auto"/>
            <w:noWrap/>
            <w:vAlign w:val="center"/>
            <w:hideMark/>
          </w:tcPr>
          <w:p w14:paraId="73652A70"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0B19F670" w14:textId="0F28492F"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FECHA:</w:t>
            </w:r>
            <w:r>
              <w:rPr>
                <w:rFonts w:ascii="Calibri" w:hAnsi="Calibri" w:cs="Calibri"/>
                <w:b/>
                <w:bCs/>
                <w:color w:val="000000"/>
                <w:sz w:val="22"/>
                <w:szCs w:val="22"/>
                <w:lang w:val="es-CO" w:eastAsia="es-CO"/>
              </w:rPr>
              <w:t xml:space="preserve"> </w:t>
            </w:r>
            <w:r w:rsidR="00496D67">
              <w:rPr>
                <w:rFonts w:ascii="Calibri" w:hAnsi="Calibri" w:cs="Calibri"/>
                <w:b/>
                <w:bCs/>
                <w:color w:val="000000"/>
                <w:sz w:val="22"/>
                <w:szCs w:val="22"/>
                <w:lang w:val="es-CO" w:eastAsia="es-CO"/>
              </w:rPr>
              <w:t>13 de diciembre de 2023</w:t>
            </w:r>
          </w:p>
        </w:tc>
      </w:tr>
      <w:tr w:rsidR="002B6BFC" w:rsidRPr="00B17B4A" w14:paraId="6848DEA1" w14:textId="77777777" w:rsidTr="009968DB">
        <w:trPr>
          <w:gridAfter w:val="1"/>
          <w:wAfter w:w="76" w:type="pct"/>
          <w:trHeight w:val="495"/>
        </w:trPr>
        <w:tc>
          <w:tcPr>
            <w:tcW w:w="4924"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C417B"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CUESTIONARIO</w:t>
            </w:r>
          </w:p>
        </w:tc>
      </w:tr>
      <w:tr w:rsidR="002B6BFC" w:rsidRPr="00B17B4A" w14:paraId="6097441F" w14:textId="77777777" w:rsidTr="009968DB">
        <w:trPr>
          <w:gridAfter w:val="1"/>
          <w:wAfter w:w="78" w:type="pct"/>
          <w:trHeight w:val="525"/>
        </w:trPr>
        <w:tc>
          <w:tcPr>
            <w:tcW w:w="17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1A340" w14:textId="77777777" w:rsidR="002B6BFC" w:rsidRPr="00B17B4A" w:rsidRDefault="002B6BFC" w:rsidP="00CF75E0">
            <w:pPr>
              <w:jc w:val="left"/>
              <w:rPr>
                <w:rFonts w:ascii="Calibri" w:hAnsi="Calibri" w:cs="Calibri"/>
                <w:b/>
                <w:bCs/>
                <w:color w:val="000000"/>
                <w:sz w:val="16"/>
                <w:szCs w:val="16"/>
                <w:lang w:val="es-CO" w:eastAsia="es-CO"/>
              </w:rPr>
            </w:pPr>
            <w:r w:rsidRPr="00B17B4A">
              <w:rPr>
                <w:rFonts w:ascii="Calibri" w:hAnsi="Calibri" w:cs="Calibri"/>
                <w:b/>
                <w:bCs/>
                <w:color w:val="000000"/>
                <w:sz w:val="16"/>
                <w:szCs w:val="16"/>
                <w:lang w:val="es-CO" w:eastAsia="es-CO"/>
              </w:rPr>
              <w:t>PREGUNTA</w:t>
            </w:r>
          </w:p>
        </w:tc>
        <w:tc>
          <w:tcPr>
            <w:tcW w:w="273" w:type="pct"/>
            <w:tcBorders>
              <w:top w:val="nil"/>
              <w:left w:val="nil"/>
              <w:bottom w:val="single" w:sz="4" w:space="0" w:color="auto"/>
              <w:right w:val="single" w:sz="4" w:space="0" w:color="auto"/>
            </w:tcBorders>
            <w:shd w:val="clear" w:color="auto" w:fill="auto"/>
            <w:noWrap/>
            <w:vAlign w:val="center"/>
            <w:hideMark/>
          </w:tcPr>
          <w:p w14:paraId="4430A325" w14:textId="77777777" w:rsidR="002B6BFC" w:rsidRPr="00B17B4A" w:rsidRDefault="002B6BFC" w:rsidP="00CF75E0">
            <w:pPr>
              <w:jc w:val="left"/>
              <w:rPr>
                <w:rFonts w:ascii="Calibri" w:hAnsi="Calibri" w:cs="Calibri"/>
                <w:b/>
                <w:bCs/>
                <w:color w:val="000000"/>
                <w:sz w:val="16"/>
                <w:szCs w:val="16"/>
                <w:lang w:val="es-CO" w:eastAsia="es-CO"/>
              </w:rPr>
            </w:pPr>
            <w:r w:rsidRPr="00B17B4A">
              <w:rPr>
                <w:rFonts w:ascii="Calibri" w:hAnsi="Calibri" w:cs="Calibri"/>
                <w:b/>
                <w:bCs/>
                <w:color w:val="000000"/>
                <w:sz w:val="16"/>
                <w:szCs w:val="16"/>
                <w:lang w:val="es-CO" w:eastAsia="es-CO"/>
              </w:rPr>
              <w:t>SI</w:t>
            </w:r>
          </w:p>
        </w:tc>
        <w:tc>
          <w:tcPr>
            <w:tcW w:w="459" w:type="pct"/>
            <w:tcBorders>
              <w:top w:val="nil"/>
              <w:left w:val="nil"/>
              <w:bottom w:val="single" w:sz="4" w:space="0" w:color="auto"/>
              <w:right w:val="single" w:sz="4" w:space="0" w:color="auto"/>
            </w:tcBorders>
            <w:shd w:val="clear" w:color="auto" w:fill="auto"/>
            <w:noWrap/>
            <w:vAlign w:val="center"/>
            <w:hideMark/>
          </w:tcPr>
          <w:p w14:paraId="18EF9491" w14:textId="77777777" w:rsidR="002B6BFC" w:rsidRPr="00B17B4A" w:rsidRDefault="002B6BFC" w:rsidP="00CF75E0">
            <w:pPr>
              <w:jc w:val="left"/>
              <w:rPr>
                <w:rFonts w:ascii="Calibri" w:hAnsi="Calibri" w:cs="Calibri"/>
                <w:b/>
                <w:bCs/>
                <w:color w:val="000000"/>
                <w:sz w:val="16"/>
                <w:szCs w:val="16"/>
                <w:lang w:val="es-CO" w:eastAsia="es-CO"/>
              </w:rPr>
            </w:pPr>
            <w:r w:rsidRPr="00B17B4A">
              <w:rPr>
                <w:rFonts w:ascii="Calibri" w:hAnsi="Calibri" w:cs="Calibri"/>
                <w:b/>
                <w:bCs/>
                <w:color w:val="000000"/>
                <w:sz w:val="16"/>
                <w:szCs w:val="16"/>
                <w:lang w:val="es-CO" w:eastAsia="es-CO"/>
              </w:rPr>
              <w:t>NO</w:t>
            </w:r>
          </w:p>
        </w:tc>
        <w:tc>
          <w:tcPr>
            <w:tcW w:w="464" w:type="pct"/>
            <w:tcBorders>
              <w:top w:val="nil"/>
              <w:left w:val="nil"/>
              <w:bottom w:val="single" w:sz="4" w:space="0" w:color="auto"/>
              <w:right w:val="single" w:sz="4" w:space="0" w:color="auto"/>
            </w:tcBorders>
            <w:shd w:val="clear" w:color="auto" w:fill="auto"/>
            <w:noWrap/>
            <w:vAlign w:val="center"/>
            <w:hideMark/>
          </w:tcPr>
          <w:p w14:paraId="3A233526" w14:textId="77777777" w:rsidR="002B6BFC" w:rsidRPr="00B17B4A" w:rsidRDefault="002B6BFC" w:rsidP="00CF75E0">
            <w:pPr>
              <w:jc w:val="left"/>
              <w:rPr>
                <w:rFonts w:ascii="Calibri" w:hAnsi="Calibri" w:cs="Calibri"/>
                <w:b/>
                <w:bCs/>
                <w:color w:val="000000"/>
                <w:sz w:val="16"/>
                <w:szCs w:val="16"/>
                <w:lang w:val="es-CO" w:eastAsia="es-CO"/>
              </w:rPr>
            </w:pPr>
            <w:r w:rsidRPr="00B17B4A">
              <w:rPr>
                <w:rFonts w:ascii="Calibri" w:hAnsi="Calibri" w:cs="Calibri"/>
                <w:b/>
                <w:bCs/>
                <w:color w:val="000000"/>
                <w:sz w:val="16"/>
                <w:szCs w:val="16"/>
                <w:lang w:val="es-CO" w:eastAsia="es-CO"/>
              </w:rPr>
              <w:t xml:space="preserve">EXPLICACIÓN </w:t>
            </w:r>
          </w:p>
        </w:tc>
        <w:tc>
          <w:tcPr>
            <w:tcW w:w="1967" w:type="pct"/>
            <w:tcBorders>
              <w:top w:val="nil"/>
              <w:left w:val="nil"/>
              <w:bottom w:val="single" w:sz="4" w:space="0" w:color="auto"/>
              <w:right w:val="single" w:sz="4" w:space="0" w:color="auto"/>
            </w:tcBorders>
            <w:shd w:val="clear" w:color="auto" w:fill="auto"/>
            <w:noWrap/>
            <w:vAlign w:val="center"/>
            <w:hideMark/>
          </w:tcPr>
          <w:p w14:paraId="73BACEAA" w14:textId="77777777" w:rsidR="002B6BFC" w:rsidRPr="00B17B4A" w:rsidRDefault="002B6BFC" w:rsidP="00CF75E0">
            <w:pPr>
              <w:jc w:val="left"/>
              <w:rPr>
                <w:rFonts w:ascii="Calibri" w:hAnsi="Calibri" w:cs="Calibri"/>
                <w:b/>
                <w:bCs/>
                <w:color w:val="000000"/>
                <w:sz w:val="16"/>
                <w:szCs w:val="16"/>
                <w:lang w:val="es-CO" w:eastAsia="es-CO"/>
              </w:rPr>
            </w:pPr>
            <w:r w:rsidRPr="00B17B4A">
              <w:rPr>
                <w:rFonts w:ascii="Calibri" w:hAnsi="Calibri" w:cs="Calibri"/>
                <w:b/>
                <w:bCs/>
                <w:color w:val="000000"/>
                <w:sz w:val="16"/>
                <w:szCs w:val="16"/>
                <w:lang w:val="es-CO" w:eastAsia="es-CO"/>
              </w:rPr>
              <w:t>OBSERVACIONES</w:t>
            </w:r>
          </w:p>
        </w:tc>
      </w:tr>
      <w:tr w:rsidR="002B6BFC" w:rsidRPr="00B17B4A" w14:paraId="4488E542" w14:textId="77777777" w:rsidTr="009968DB">
        <w:trPr>
          <w:gridAfter w:val="1"/>
          <w:wAfter w:w="76" w:type="pct"/>
          <w:trHeight w:val="840"/>
        </w:trPr>
        <w:tc>
          <w:tcPr>
            <w:tcW w:w="23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1D368D"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1.</w:t>
            </w:r>
          </w:p>
        </w:tc>
        <w:tc>
          <w:tcPr>
            <w:tcW w:w="4687" w:type="pct"/>
            <w:gridSpan w:val="6"/>
            <w:tcBorders>
              <w:top w:val="single" w:sz="4" w:space="0" w:color="auto"/>
              <w:left w:val="nil"/>
              <w:bottom w:val="single" w:sz="4" w:space="0" w:color="auto"/>
              <w:right w:val="single" w:sz="4" w:space="0" w:color="auto"/>
            </w:tcBorders>
            <w:shd w:val="clear" w:color="auto" w:fill="auto"/>
            <w:vAlign w:val="center"/>
            <w:hideMark/>
          </w:tcPr>
          <w:p w14:paraId="49C2782B"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¿La regulación limita el número o la variedad de las empresas en uno o varios mercados relevantes relacionados?</w:t>
            </w:r>
            <w:r w:rsidRPr="00B17B4A">
              <w:rPr>
                <w:rFonts w:ascii="Calibri" w:hAnsi="Calibri" w:cs="Calibri"/>
                <w:b/>
                <w:bCs/>
                <w:color w:val="000000"/>
                <w:sz w:val="22"/>
                <w:szCs w:val="22"/>
                <w:lang w:val="es-CO" w:eastAsia="es-CO"/>
              </w:rPr>
              <w:br/>
              <w:t>Es posible que esto suceda, entre otros eventos, cuando el proyecto de acto:</w:t>
            </w:r>
          </w:p>
        </w:tc>
      </w:tr>
      <w:tr w:rsidR="009968DB" w:rsidRPr="00B17B4A" w14:paraId="501AEBA2" w14:textId="77777777" w:rsidTr="009968DB">
        <w:trPr>
          <w:gridAfter w:val="1"/>
          <w:wAfter w:w="78" w:type="pct"/>
          <w:trHeight w:val="705"/>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FF46F"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a)</w:t>
            </w:r>
          </w:p>
        </w:tc>
        <w:tc>
          <w:tcPr>
            <w:tcW w:w="1543" w:type="pct"/>
            <w:gridSpan w:val="3"/>
            <w:tcBorders>
              <w:top w:val="nil"/>
              <w:left w:val="nil"/>
              <w:bottom w:val="single" w:sz="4" w:space="0" w:color="auto"/>
              <w:right w:val="single" w:sz="4" w:space="0" w:color="auto"/>
            </w:tcBorders>
            <w:shd w:val="clear" w:color="auto" w:fill="auto"/>
            <w:vAlign w:val="center"/>
            <w:hideMark/>
          </w:tcPr>
          <w:p w14:paraId="0EE12FE7"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 xml:space="preserve">Otorga derechos exclusivos a una empresa para prestar servicios o para ofrecer bienes.    </w:t>
            </w:r>
          </w:p>
        </w:tc>
        <w:tc>
          <w:tcPr>
            <w:tcW w:w="273" w:type="pct"/>
            <w:tcBorders>
              <w:top w:val="nil"/>
              <w:left w:val="nil"/>
              <w:bottom w:val="single" w:sz="4" w:space="0" w:color="auto"/>
              <w:right w:val="single" w:sz="4" w:space="0" w:color="auto"/>
            </w:tcBorders>
            <w:shd w:val="clear" w:color="auto" w:fill="auto"/>
            <w:noWrap/>
            <w:vAlign w:val="center"/>
            <w:hideMark/>
          </w:tcPr>
          <w:p w14:paraId="6FF761C5"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006EACE5"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xml:space="preserve">X  </w:t>
            </w:r>
          </w:p>
        </w:tc>
        <w:tc>
          <w:tcPr>
            <w:tcW w:w="464" w:type="pct"/>
            <w:tcBorders>
              <w:top w:val="nil"/>
              <w:left w:val="nil"/>
              <w:bottom w:val="single" w:sz="4" w:space="0" w:color="auto"/>
              <w:right w:val="single" w:sz="4" w:space="0" w:color="auto"/>
            </w:tcBorders>
            <w:shd w:val="clear" w:color="auto" w:fill="auto"/>
            <w:noWrap/>
            <w:vAlign w:val="center"/>
            <w:hideMark/>
          </w:tcPr>
          <w:p w14:paraId="30EB7714"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54440259"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11A50319" w14:textId="77777777" w:rsidTr="009968DB">
        <w:trPr>
          <w:gridAfter w:val="1"/>
          <w:wAfter w:w="78" w:type="pct"/>
          <w:trHeight w:val="102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CE792C"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b)</w:t>
            </w:r>
          </w:p>
        </w:tc>
        <w:tc>
          <w:tcPr>
            <w:tcW w:w="1543" w:type="pct"/>
            <w:gridSpan w:val="3"/>
            <w:tcBorders>
              <w:top w:val="nil"/>
              <w:left w:val="nil"/>
              <w:bottom w:val="single" w:sz="4" w:space="0" w:color="auto"/>
              <w:right w:val="single" w:sz="4" w:space="0" w:color="auto"/>
            </w:tcBorders>
            <w:shd w:val="clear" w:color="auto" w:fill="auto"/>
            <w:vAlign w:val="center"/>
            <w:hideMark/>
          </w:tcPr>
          <w:p w14:paraId="130B663A"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Establece licencias, permisos, autorizaciones para operar o cuotas de producción o de venta.</w:t>
            </w:r>
          </w:p>
        </w:tc>
        <w:tc>
          <w:tcPr>
            <w:tcW w:w="273" w:type="pct"/>
            <w:tcBorders>
              <w:top w:val="nil"/>
              <w:left w:val="nil"/>
              <w:bottom w:val="single" w:sz="4" w:space="0" w:color="auto"/>
              <w:right w:val="single" w:sz="4" w:space="0" w:color="auto"/>
            </w:tcBorders>
            <w:shd w:val="clear" w:color="auto" w:fill="auto"/>
            <w:noWrap/>
            <w:vAlign w:val="center"/>
            <w:hideMark/>
          </w:tcPr>
          <w:p w14:paraId="375D7F5C"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18EBC06B"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2741941A"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19DB6B03"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02304517" w14:textId="77777777" w:rsidTr="009968DB">
        <w:trPr>
          <w:gridAfter w:val="1"/>
          <w:wAfter w:w="78" w:type="pct"/>
          <w:trHeight w:val="99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74819F" w14:textId="77777777" w:rsidR="002B6BFC" w:rsidRPr="000A5018" w:rsidRDefault="002B6BFC" w:rsidP="00CF75E0">
            <w:pPr>
              <w:jc w:val="left"/>
              <w:rPr>
                <w:rFonts w:ascii="Calibri" w:hAnsi="Calibri" w:cs="Calibri"/>
                <w:color w:val="000000"/>
                <w:sz w:val="22"/>
                <w:szCs w:val="22"/>
                <w:lang w:val="es-CO" w:eastAsia="es-CO"/>
              </w:rPr>
            </w:pPr>
            <w:r w:rsidRPr="000A5018">
              <w:rPr>
                <w:rFonts w:ascii="Calibri" w:hAnsi="Calibri" w:cs="Calibri"/>
                <w:color w:val="000000"/>
                <w:sz w:val="22"/>
                <w:szCs w:val="22"/>
                <w:lang w:val="es-CO" w:eastAsia="es-CO"/>
              </w:rPr>
              <w:t>c)</w:t>
            </w:r>
          </w:p>
        </w:tc>
        <w:tc>
          <w:tcPr>
            <w:tcW w:w="1543" w:type="pct"/>
            <w:gridSpan w:val="3"/>
            <w:tcBorders>
              <w:top w:val="nil"/>
              <w:left w:val="nil"/>
              <w:bottom w:val="single" w:sz="4" w:space="0" w:color="auto"/>
              <w:right w:val="single" w:sz="4" w:space="0" w:color="auto"/>
            </w:tcBorders>
            <w:shd w:val="clear" w:color="auto" w:fill="auto"/>
            <w:vAlign w:val="center"/>
            <w:hideMark/>
          </w:tcPr>
          <w:p w14:paraId="4A9D5254" w14:textId="77777777" w:rsidR="002B6BFC" w:rsidRPr="000A5018" w:rsidRDefault="002B6BFC" w:rsidP="00CF75E0">
            <w:pPr>
              <w:jc w:val="left"/>
              <w:rPr>
                <w:rFonts w:ascii="Calibri" w:hAnsi="Calibri" w:cs="Calibri"/>
                <w:color w:val="000000"/>
                <w:sz w:val="22"/>
                <w:szCs w:val="22"/>
                <w:lang w:val="es-CO" w:eastAsia="es-CO"/>
              </w:rPr>
            </w:pPr>
            <w:r w:rsidRPr="009071C7">
              <w:rPr>
                <w:rFonts w:ascii="Calibri" w:hAnsi="Calibri" w:cs="Calibri"/>
                <w:color w:val="000000"/>
                <w:sz w:val="22"/>
                <w:szCs w:val="22"/>
                <w:lang w:val="es-CO" w:eastAsia="es-CO"/>
              </w:rPr>
              <w:t>Limita la capacidad de cierto tipo de empresas para ofrecer un bien o prestar un servicio.</w:t>
            </w:r>
          </w:p>
        </w:tc>
        <w:tc>
          <w:tcPr>
            <w:tcW w:w="273" w:type="pct"/>
            <w:tcBorders>
              <w:top w:val="nil"/>
              <w:left w:val="nil"/>
              <w:bottom w:val="single" w:sz="4" w:space="0" w:color="auto"/>
              <w:right w:val="single" w:sz="4" w:space="0" w:color="auto"/>
            </w:tcBorders>
            <w:shd w:val="clear" w:color="auto" w:fill="auto"/>
            <w:noWrap/>
            <w:vAlign w:val="center"/>
            <w:hideMark/>
          </w:tcPr>
          <w:p w14:paraId="106C48BF"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252F84E8" w14:textId="77777777" w:rsidR="002B6BFC" w:rsidRPr="00B17B4A" w:rsidRDefault="002B6BFC" w:rsidP="00CF75E0">
            <w:pPr>
              <w:jc w:val="left"/>
              <w:rPr>
                <w:rFonts w:ascii="Calibri" w:hAnsi="Calibri" w:cs="Calibri"/>
                <w:b/>
                <w:bCs/>
                <w:color w:val="000000"/>
                <w:sz w:val="22"/>
                <w:szCs w:val="22"/>
                <w:lang w:val="es-CO" w:eastAsia="es-CO"/>
              </w:rPr>
            </w:pPr>
            <w:r>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2B0A70A1"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4A8F9ABE" w14:textId="77777777" w:rsidR="002B6BFC" w:rsidRPr="000A5018" w:rsidRDefault="002B6BFC" w:rsidP="00CF75E0">
            <w:pPr>
              <w:jc w:val="left"/>
              <w:rPr>
                <w:rFonts w:ascii="Calibri" w:hAnsi="Calibri" w:cs="Calibri"/>
                <w:b/>
                <w:bCs/>
                <w:color w:val="000000"/>
                <w:sz w:val="14"/>
                <w:szCs w:val="14"/>
                <w:lang w:val="es-CO" w:eastAsia="es-CO"/>
              </w:rPr>
            </w:pPr>
          </w:p>
        </w:tc>
      </w:tr>
      <w:tr w:rsidR="009968DB" w:rsidRPr="00B17B4A" w14:paraId="14B75397" w14:textId="77777777" w:rsidTr="009968DB">
        <w:trPr>
          <w:gridAfter w:val="1"/>
          <w:wAfter w:w="78" w:type="pct"/>
          <w:trHeight w:val="99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D74392"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lastRenderedPageBreak/>
              <w:t>d)</w:t>
            </w:r>
          </w:p>
        </w:tc>
        <w:tc>
          <w:tcPr>
            <w:tcW w:w="1543" w:type="pct"/>
            <w:gridSpan w:val="3"/>
            <w:tcBorders>
              <w:top w:val="nil"/>
              <w:left w:val="nil"/>
              <w:bottom w:val="single" w:sz="4" w:space="0" w:color="auto"/>
              <w:right w:val="single" w:sz="4" w:space="0" w:color="auto"/>
            </w:tcBorders>
            <w:shd w:val="clear" w:color="auto" w:fill="auto"/>
            <w:vAlign w:val="center"/>
            <w:hideMark/>
          </w:tcPr>
          <w:p w14:paraId="2D480512"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Eleva de manera significativa los costos de entrada o salida del mercado para las empresas.</w:t>
            </w:r>
          </w:p>
        </w:tc>
        <w:tc>
          <w:tcPr>
            <w:tcW w:w="273" w:type="pct"/>
            <w:tcBorders>
              <w:top w:val="nil"/>
              <w:left w:val="nil"/>
              <w:bottom w:val="single" w:sz="4" w:space="0" w:color="auto"/>
              <w:right w:val="single" w:sz="4" w:space="0" w:color="auto"/>
            </w:tcBorders>
            <w:shd w:val="clear" w:color="auto" w:fill="auto"/>
            <w:noWrap/>
            <w:vAlign w:val="center"/>
            <w:hideMark/>
          </w:tcPr>
          <w:p w14:paraId="3EF74387"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2EE67087"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5977C6C1"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6310C08A"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48B972B2" w14:textId="77777777" w:rsidTr="009968DB">
        <w:trPr>
          <w:gridAfter w:val="1"/>
          <w:wAfter w:w="78" w:type="pct"/>
          <w:trHeight w:val="99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E7915"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e)</w:t>
            </w:r>
          </w:p>
        </w:tc>
        <w:tc>
          <w:tcPr>
            <w:tcW w:w="1543" w:type="pct"/>
            <w:gridSpan w:val="3"/>
            <w:tcBorders>
              <w:top w:val="nil"/>
              <w:left w:val="nil"/>
              <w:bottom w:val="single" w:sz="4" w:space="0" w:color="auto"/>
              <w:right w:val="single" w:sz="4" w:space="0" w:color="auto"/>
            </w:tcBorders>
            <w:shd w:val="clear" w:color="auto" w:fill="auto"/>
            <w:vAlign w:val="center"/>
            <w:hideMark/>
          </w:tcPr>
          <w:p w14:paraId="3E48016E"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 xml:space="preserve">Crea una barrera geográfica a la libre circulación de bienes o servicios o a la inversión. </w:t>
            </w:r>
          </w:p>
        </w:tc>
        <w:tc>
          <w:tcPr>
            <w:tcW w:w="273" w:type="pct"/>
            <w:tcBorders>
              <w:top w:val="nil"/>
              <w:left w:val="nil"/>
              <w:bottom w:val="single" w:sz="4" w:space="0" w:color="auto"/>
              <w:right w:val="single" w:sz="4" w:space="0" w:color="auto"/>
            </w:tcBorders>
            <w:shd w:val="clear" w:color="auto" w:fill="auto"/>
            <w:noWrap/>
            <w:vAlign w:val="center"/>
            <w:hideMark/>
          </w:tcPr>
          <w:p w14:paraId="6B6BBAE4"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1EEDA62E"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1E0CF52D"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7226773E"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561A7AAD" w14:textId="77777777" w:rsidTr="009968DB">
        <w:trPr>
          <w:gridAfter w:val="1"/>
          <w:wAfter w:w="78" w:type="pct"/>
          <w:trHeight w:val="645"/>
        </w:trPr>
        <w:tc>
          <w:tcPr>
            <w:tcW w:w="2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71E32B"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f)</w:t>
            </w:r>
          </w:p>
        </w:tc>
        <w:tc>
          <w:tcPr>
            <w:tcW w:w="586" w:type="pct"/>
            <w:gridSpan w:val="2"/>
            <w:tcBorders>
              <w:top w:val="nil"/>
              <w:left w:val="nil"/>
              <w:bottom w:val="single" w:sz="4" w:space="0" w:color="auto"/>
              <w:right w:val="nil"/>
            </w:tcBorders>
            <w:shd w:val="clear" w:color="auto" w:fill="auto"/>
            <w:hideMark/>
          </w:tcPr>
          <w:p w14:paraId="6524AD8E"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 </w:t>
            </w:r>
          </w:p>
        </w:tc>
        <w:tc>
          <w:tcPr>
            <w:tcW w:w="957" w:type="pct"/>
            <w:tcBorders>
              <w:top w:val="nil"/>
              <w:left w:val="single" w:sz="4" w:space="0" w:color="auto"/>
              <w:bottom w:val="single" w:sz="4" w:space="0" w:color="auto"/>
              <w:right w:val="nil"/>
            </w:tcBorders>
            <w:shd w:val="clear" w:color="auto" w:fill="auto"/>
            <w:vAlign w:val="center"/>
            <w:hideMark/>
          </w:tcPr>
          <w:p w14:paraId="4B22FE9F"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Incrementa de manera significativa los costos:</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88EF208"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3EE7CF55"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64" w:type="pct"/>
            <w:tcBorders>
              <w:top w:val="nil"/>
              <w:left w:val="nil"/>
              <w:bottom w:val="single" w:sz="4" w:space="0" w:color="auto"/>
              <w:right w:val="single" w:sz="4" w:space="0" w:color="auto"/>
            </w:tcBorders>
            <w:shd w:val="clear" w:color="auto" w:fill="auto"/>
            <w:noWrap/>
            <w:vAlign w:val="center"/>
            <w:hideMark/>
          </w:tcPr>
          <w:p w14:paraId="5E09D315"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39F3B95A"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2A732513" w14:textId="77777777" w:rsidTr="009968DB">
        <w:trPr>
          <w:gridAfter w:val="1"/>
          <w:wAfter w:w="78" w:type="pct"/>
          <w:trHeight w:val="1065"/>
        </w:trPr>
        <w:tc>
          <w:tcPr>
            <w:tcW w:w="216" w:type="pct"/>
            <w:vMerge/>
            <w:tcBorders>
              <w:top w:val="nil"/>
              <w:left w:val="single" w:sz="4" w:space="0" w:color="auto"/>
              <w:bottom w:val="single" w:sz="4" w:space="0" w:color="000000"/>
              <w:right w:val="single" w:sz="4" w:space="0" w:color="auto"/>
            </w:tcBorders>
            <w:vAlign w:val="center"/>
            <w:hideMark/>
          </w:tcPr>
          <w:p w14:paraId="50E1158A" w14:textId="77777777" w:rsidR="002B6BFC" w:rsidRPr="00B17B4A" w:rsidRDefault="002B6BFC" w:rsidP="00CF75E0">
            <w:pPr>
              <w:jc w:val="left"/>
              <w:rPr>
                <w:rFonts w:ascii="Calibri" w:hAnsi="Calibri" w:cs="Calibri"/>
                <w:color w:val="000000"/>
                <w:sz w:val="22"/>
                <w:szCs w:val="22"/>
                <w:lang w:val="es-CO" w:eastAsia="es-CO"/>
              </w:rPr>
            </w:pPr>
          </w:p>
        </w:tc>
        <w:tc>
          <w:tcPr>
            <w:tcW w:w="586" w:type="pct"/>
            <w:gridSpan w:val="2"/>
            <w:tcBorders>
              <w:top w:val="nil"/>
              <w:left w:val="nil"/>
              <w:bottom w:val="single" w:sz="4" w:space="0" w:color="auto"/>
              <w:right w:val="single" w:sz="4" w:space="0" w:color="auto"/>
            </w:tcBorders>
            <w:shd w:val="clear" w:color="auto" w:fill="auto"/>
            <w:noWrap/>
            <w:vAlign w:val="center"/>
            <w:hideMark/>
          </w:tcPr>
          <w:p w14:paraId="66042F0A"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i)</w:t>
            </w:r>
          </w:p>
        </w:tc>
        <w:tc>
          <w:tcPr>
            <w:tcW w:w="957" w:type="pct"/>
            <w:tcBorders>
              <w:top w:val="nil"/>
              <w:left w:val="nil"/>
              <w:bottom w:val="single" w:sz="4" w:space="0" w:color="auto"/>
              <w:right w:val="single" w:sz="4" w:space="0" w:color="auto"/>
            </w:tcBorders>
            <w:shd w:val="clear" w:color="auto" w:fill="auto"/>
            <w:vAlign w:val="center"/>
            <w:hideMark/>
          </w:tcPr>
          <w:p w14:paraId="498D7FA7"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Para nuevas empresas en relación con las empresas que ya operan en un mercado o mercados relevantes relacionados, o</w:t>
            </w:r>
          </w:p>
        </w:tc>
        <w:tc>
          <w:tcPr>
            <w:tcW w:w="273" w:type="pct"/>
            <w:tcBorders>
              <w:top w:val="nil"/>
              <w:left w:val="nil"/>
              <w:bottom w:val="single" w:sz="4" w:space="0" w:color="auto"/>
              <w:right w:val="single" w:sz="4" w:space="0" w:color="auto"/>
            </w:tcBorders>
            <w:shd w:val="clear" w:color="auto" w:fill="auto"/>
            <w:noWrap/>
            <w:vAlign w:val="center"/>
            <w:hideMark/>
          </w:tcPr>
          <w:p w14:paraId="54670E85"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10A4F0E4"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22BA15E0"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57E5EAF2"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6E195072" w14:textId="77777777" w:rsidTr="009968DB">
        <w:trPr>
          <w:gridAfter w:val="1"/>
          <w:wAfter w:w="78" w:type="pct"/>
          <w:trHeight w:val="990"/>
        </w:trPr>
        <w:tc>
          <w:tcPr>
            <w:tcW w:w="216" w:type="pct"/>
            <w:vMerge/>
            <w:tcBorders>
              <w:top w:val="nil"/>
              <w:left w:val="single" w:sz="4" w:space="0" w:color="auto"/>
              <w:bottom w:val="single" w:sz="4" w:space="0" w:color="000000"/>
              <w:right w:val="single" w:sz="4" w:space="0" w:color="auto"/>
            </w:tcBorders>
            <w:vAlign w:val="center"/>
            <w:hideMark/>
          </w:tcPr>
          <w:p w14:paraId="1E62179B" w14:textId="77777777" w:rsidR="002B6BFC" w:rsidRPr="00B17B4A" w:rsidRDefault="002B6BFC" w:rsidP="00CF75E0">
            <w:pPr>
              <w:jc w:val="left"/>
              <w:rPr>
                <w:rFonts w:ascii="Calibri" w:hAnsi="Calibri" w:cs="Calibri"/>
                <w:color w:val="000000"/>
                <w:sz w:val="22"/>
                <w:szCs w:val="22"/>
                <w:lang w:val="es-CO" w:eastAsia="es-CO"/>
              </w:rPr>
            </w:pPr>
          </w:p>
        </w:tc>
        <w:tc>
          <w:tcPr>
            <w:tcW w:w="586" w:type="pct"/>
            <w:gridSpan w:val="2"/>
            <w:tcBorders>
              <w:top w:val="nil"/>
              <w:left w:val="nil"/>
              <w:bottom w:val="single" w:sz="4" w:space="0" w:color="auto"/>
              <w:right w:val="single" w:sz="4" w:space="0" w:color="auto"/>
            </w:tcBorders>
            <w:shd w:val="clear" w:color="auto" w:fill="auto"/>
            <w:noWrap/>
            <w:vAlign w:val="center"/>
            <w:hideMark/>
          </w:tcPr>
          <w:p w14:paraId="343056A6"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ii)</w:t>
            </w:r>
          </w:p>
        </w:tc>
        <w:tc>
          <w:tcPr>
            <w:tcW w:w="957" w:type="pct"/>
            <w:tcBorders>
              <w:top w:val="nil"/>
              <w:left w:val="nil"/>
              <w:bottom w:val="single" w:sz="4" w:space="0" w:color="auto"/>
              <w:right w:val="single" w:sz="4" w:space="0" w:color="auto"/>
            </w:tcBorders>
            <w:shd w:val="clear" w:color="auto" w:fill="auto"/>
            <w:vAlign w:val="center"/>
            <w:hideMark/>
          </w:tcPr>
          <w:p w14:paraId="3D78E0C4" w14:textId="77777777" w:rsidR="002B6BFC" w:rsidRPr="00B17B4A" w:rsidRDefault="002B6BFC" w:rsidP="00CF75E0">
            <w:pPr>
              <w:jc w:val="left"/>
              <w:rPr>
                <w:rFonts w:ascii="Calibri" w:hAnsi="Calibri" w:cs="Calibri"/>
                <w:color w:val="000000"/>
                <w:sz w:val="22"/>
                <w:szCs w:val="22"/>
                <w:lang w:val="es-CO" w:eastAsia="es-CO"/>
              </w:rPr>
            </w:pPr>
            <w:r w:rsidRPr="006D3299">
              <w:rPr>
                <w:rFonts w:ascii="Calibri" w:hAnsi="Calibri" w:cs="Calibri"/>
                <w:color w:val="000000"/>
                <w:sz w:val="22"/>
                <w:szCs w:val="22"/>
                <w:lang w:val="es-CO" w:eastAsia="es-CO"/>
              </w:rPr>
              <w:t>Para unas empresas en relación con otras cuando el conjunto ya opera en uno o varios mercados relevantes relacionados.</w:t>
            </w:r>
            <w:r w:rsidRPr="00B17B4A">
              <w:rPr>
                <w:rFonts w:ascii="Calibri" w:hAnsi="Calibri" w:cs="Calibri"/>
                <w:color w:val="000000"/>
                <w:sz w:val="22"/>
                <w:szCs w:val="22"/>
                <w:lang w:val="es-CO" w:eastAsia="es-CO"/>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1539D76"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5FCCA509"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48E43D0F"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77074CC6"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2B6BFC" w:rsidRPr="00B17B4A" w14:paraId="13B2AE6D" w14:textId="77777777" w:rsidTr="009968DB">
        <w:trPr>
          <w:gridAfter w:val="1"/>
          <w:wAfter w:w="76" w:type="pct"/>
          <w:trHeight w:val="705"/>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023D1"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2.</w:t>
            </w:r>
          </w:p>
        </w:tc>
        <w:tc>
          <w:tcPr>
            <w:tcW w:w="4707" w:type="pct"/>
            <w:gridSpan w:val="7"/>
            <w:tcBorders>
              <w:top w:val="single" w:sz="4" w:space="0" w:color="auto"/>
              <w:left w:val="nil"/>
              <w:bottom w:val="single" w:sz="4" w:space="0" w:color="auto"/>
              <w:right w:val="single" w:sz="4" w:space="0" w:color="000000"/>
            </w:tcBorders>
            <w:shd w:val="clear" w:color="auto" w:fill="auto"/>
            <w:hideMark/>
          </w:tcPr>
          <w:p w14:paraId="3DDAF340"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¿La regulación limita la capacidad de las empresas para competir en uno o varios mercados relevantes relacionados?</w:t>
            </w:r>
            <w:r w:rsidRPr="00B17B4A">
              <w:rPr>
                <w:rFonts w:ascii="Calibri" w:hAnsi="Calibri" w:cs="Calibri"/>
                <w:b/>
                <w:bCs/>
                <w:color w:val="000000"/>
                <w:sz w:val="22"/>
                <w:szCs w:val="22"/>
                <w:lang w:val="es-CO" w:eastAsia="es-CO"/>
              </w:rPr>
              <w:br/>
              <w:t>Es posible que esto suceda, entre otros eventos, cuando el proyecto de acto:</w:t>
            </w:r>
          </w:p>
        </w:tc>
      </w:tr>
      <w:tr w:rsidR="009968DB" w:rsidRPr="00B17B4A" w14:paraId="7797D72C" w14:textId="77777777" w:rsidTr="009968DB">
        <w:trPr>
          <w:gridAfter w:val="1"/>
          <w:wAfter w:w="78" w:type="pct"/>
          <w:trHeight w:val="99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A4CB6"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a)</w:t>
            </w:r>
          </w:p>
        </w:tc>
        <w:tc>
          <w:tcPr>
            <w:tcW w:w="1543" w:type="pct"/>
            <w:gridSpan w:val="3"/>
            <w:tcBorders>
              <w:top w:val="nil"/>
              <w:left w:val="nil"/>
              <w:bottom w:val="single" w:sz="4" w:space="0" w:color="auto"/>
              <w:right w:val="single" w:sz="4" w:space="0" w:color="auto"/>
            </w:tcBorders>
            <w:shd w:val="clear" w:color="auto" w:fill="auto"/>
            <w:vAlign w:val="center"/>
            <w:hideMark/>
          </w:tcPr>
          <w:p w14:paraId="79BDB609"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Controla o influye sustancialmente sobre los precios de los bienes o servicios o el nivel de producción.</w:t>
            </w:r>
          </w:p>
        </w:tc>
        <w:tc>
          <w:tcPr>
            <w:tcW w:w="273" w:type="pct"/>
            <w:tcBorders>
              <w:top w:val="nil"/>
              <w:left w:val="nil"/>
              <w:bottom w:val="single" w:sz="4" w:space="0" w:color="auto"/>
              <w:right w:val="single" w:sz="4" w:space="0" w:color="auto"/>
            </w:tcBorders>
            <w:shd w:val="clear" w:color="auto" w:fill="auto"/>
            <w:noWrap/>
            <w:vAlign w:val="center"/>
            <w:hideMark/>
          </w:tcPr>
          <w:p w14:paraId="7DFD61E4"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7CA153F2"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541E6F50"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2EA12868"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283455A7" w14:textId="77777777" w:rsidTr="009968DB">
        <w:trPr>
          <w:gridAfter w:val="1"/>
          <w:wAfter w:w="78" w:type="pct"/>
          <w:trHeight w:val="75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26B86F"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b)</w:t>
            </w:r>
          </w:p>
        </w:tc>
        <w:tc>
          <w:tcPr>
            <w:tcW w:w="1543" w:type="pct"/>
            <w:gridSpan w:val="3"/>
            <w:tcBorders>
              <w:top w:val="nil"/>
              <w:left w:val="nil"/>
              <w:bottom w:val="single" w:sz="4" w:space="0" w:color="auto"/>
              <w:right w:val="single" w:sz="4" w:space="0" w:color="auto"/>
            </w:tcBorders>
            <w:shd w:val="clear" w:color="auto" w:fill="auto"/>
            <w:vAlign w:val="center"/>
            <w:hideMark/>
          </w:tcPr>
          <w:p w14:paraId="437E4122"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 xml:space="preserve">Limita a las empresas la posibilidad de distribuir o comercializar sus productos.  </w:t>
            </w:r>
          </w:p>
        </w:tc>
        <w:tc>
          <w:tcPr>
            <w:tcW w:w="273" w:type="pct"/>
            <w:tcBorders>
              <w:top w:val="nil"/>
              <w:left w:val="nil"/>
              <w:bottom w:val="single" w:sz="4" w:space="0" w:color="auto"/>
              <w:right w:val="single" w:sz="4" w:space="0" w:color="auto"/>
            </w:tcBorders>
            <w:shd w:val="clear" w:color="auto" w:fill="auto"/>
            <w:noWrap/>
            <w:vAlign w:val="center"/>
            <w:hideMark/>
          </w:tcPr>
          <w:p w14:paraId="5D9581C7" w14:textId="164A9F22"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r w:rsidR="009968DB">
              <w:rPr>
                <w:rFonts w:ascii="Calibri" w:hAnsi="Calibri" w:cs="Calibri"/>
                <w:b/>
                <w:bCs/>
                <w:color w:val="000000"/>
                <w:sz w:val="22"/>
                <w:szCs w:val="22"/>
                <w:lang w:val="es-CO" w:eastAsia="es-CO"/>
              </w:rPr>
              <w:t>X</w:t>
            </w:r>
          </w:p>
        </w:tc>
        <w:tc>
          <w:tcPr>
            <w:tcW w:w="459" w:type="pct"/>
            <w:tcBorders>
              <w:top w:val="nil"/>
              <w:left w:val="nil"/>
              <w:bottom w:val="single" w:sz="4" w:space="0" w:color="auto"/>
              <w:right w:val="single" w:sz="4" w:space="0" w:color="auto"/>
            </w:tcBorders>
            <w:shd w:val="clear" w:color="auto" w:fill="auto"/>
            <w:noWrap/>
            <w:vAlign w:val="center"/>
            <w:hideMark/>
          </w:tcPr>
          <w:p w14:paraId="4BA0939F" w14:textId="40D34025" w:rsidR="002B6BFC" w:rsidRPr="00B17B4A" w:rsidRDefault="002B6BFC" w:rsidP="00CF75E0">
            <w:pPr>
              <w:jc w:val="left"/>
              <w:rPr>
                <w:rFonts w:ascii="Calibri" w:hAnsi="Calibri" w:cs="Calibri"/>
                <w:b/>
                <w:bCs/>
                <w:color w:val="000000"/>
                <w:sz w:val="22"/>
                <w:szCs w:val="22"/>
                <w:lang w:val="es-CO" w:eastAsia="es-CO"/>
              </w:rPr>
            </w:pPr>
          </w:p>
        </w:tc>
        <w:tc>
          <w:tcPr>
            <w:tcW w:w="464" w:type="pct"/>
            <w:tcBorders>
              <w:top w:val="nil"/>
              <w:left w:val="nil"/>
              <w:bottom w:val="single" w:sz="4" w:space="0" w:color="auto"/>
              <w:right w:val="single" w:sz="4" w:space="0" w:color="auto"/>
            </w:tcBorders>
            <w:shd w:val="clear" w:color="auto" w:fill="auto"/>
            <w:noWrap/>
            <w:vAlign w:val="center"/>
            <w:hideMark/>
          </w:tcPr>
          <w:p w14:paraId="6A4C1CEA"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3024BDB9" w14:textId="77777777" w:rsidR="009968DB" w:rsidRPr="009968DB" w:rsidRDefault="009968DB" w:rsidP="00CF75E0">
            <w:pPr>
              <w:jc w:val="left"/>
              <w:rPr>
                <w:rFonts w:ascii="Calibri" w:hAnsi="Calibri" w:cs="Calibri"/>
                <w:b/>
                <w:bCs/>
                <w:color w:val="000000"/>
                <w:sz w:val="22"/>
                <w:szCs w:val="22"/>
                <w:lang w:val="es-CO" w:eastAsia="es-CO"/>
              </w:rPr>
            </w:pPr>
            <w:r w:rsidRPr="009968DB">
              <w:rPr>
                <w:rFonts w:ascii="Calibri" w:hAnsi="Calibri" w:cs="Calibri"/>
                <w:b/>
                <w:bCs/>
                <w:color w:val="000000"/>
                <w:sz w:val="22"/>
                <w:szCs w:val="22"/>
                <w:lang w:val="es-CO" w:eastAsia="es-CO"/>
              </w:rPr>
              <w:t>Desde el punto de vista del vendedor del mercado primario:</w:t>
            </w:r>
          </w:p>
          <w:p w14:paraId="0C8F2F76" w14:textId="77777777" w:rsidR="009968DB" w:rsidRPr="009968DB" w:rsidRDefault="009968DB" w:rsidP="00CF75E0">
            <w:pPr>
              <w:jc w:val="left"/>
              <w:rPr>
                <w:rFonts w:ascii="Calibri" w:hAnsi="Calibri" w:cs="Calibri"/>
                <w:b/>
                <w:bCs/>
                <w:color w:val="000000"/>
                <w:sz w:val="22"/>
                <w:szCs w:val="22"/>
                <w:lang w:val="es-CO" w:eastAsia="es-CO"/>
              </w:rPr>
            </w:pPr>
          </w:p>
          <w:p w14:paraId="6C1C7FC1" w14:textId="77777777" w:rsidR="009968DB" w:rsidRPr="009968DB" w:rsidRDefault="009968DB" w:rsidP="00CF75E0">
            <w:pPr>
              <w:jc w:val="left"/>
              <w:rPr>
                <w:rFonts w:ascii="Calibri" w:hAnsi="Calibri" w:cs="Calibri"/>
                <w:b/>
                <w:bCs/>
                <w:color w:val="000000"/>
                <w:sz w:val="22"/>
                <w:szCs w:val="22"/>
                <w:lang w:val="es-CO" w:eastAsia="es-CO"/>
              </w:rPr>
            </w:pPr>
            <w:r w:rsidRPr="009968DB">
              <w:rPr>
                <w:rFonts w:ascii="Calibri" w:hAnsi="Calibri" w:cs="Calibri"/>
                <w:b/>
                <w:bCs/>
                <w:color w:val="000000"/>
                <w:sz w:val="22"/>
                <w:szCs w:val="22"/>
                <w:lang w:val="es-CO" w:eastAsia="es-CO"/>
              </w:rPr>
              <w:t>- Establece una priorización para la Demanda Esencial en la asignación de las cantidades ofrecidas en venta por parte de los vendedores del mercado primario, en cumplimiento de lo establecido en el Parágrafo 2 del Artículo 2.2.2.2.16 del decreto DUR 1073 de 2015.</w:t>
            </w:r>
          </w:p>
          <w:p w14:paraId="1C5E10AB" w14:textId="77777777" w:rsidR="009968DB" w:rsidRPr="009968DB" w:rsidRDefault="009968DB" w:rsidP="00CF75E0">
            <w:pPr>
              <w:jc w:val="left"/>
              <w:rPr>
                <w:rFonts w:ascii="Calibri" w:hAnsi="Calibri" w:cs="Calibri"/>
                <w:b/>
                <w:bCs/>
                <w:color w:val="000000"/>
                <w:sz w:val="22"/>
                <w:szCs w:val="22"/>
                <w:lang w:val="es-CO" w:eastAsia="es-CO"/>
              </w:rPr>
            </w:pPr>
          </w:p>
          <w:p w14:paraId="04FE3B44" w14:textId="5FB225D8" w:rsidR="002B6BFC" w:rsidRPr="00B17B4A" w:rsidRDefault="009968DB" w:rsidP="00CF75E0">
            <w:pPr>
              <w:jc w:val="left"/>
              <w:rPr>
                <w:rFonts w:ascii="Calibri" w:hAnsi="Calibri" w:cs="Calibri"/>
                <w:b/>
                <w:bCs/>
                <w:color w:val="000000"/>
                <w:sz w:val="22"/>
                <w:szCs w:val="22"/>
                <w:lang w:val="es-CO" w:eastAsia="es-CO"/>
              </w:rPr>
            </w:pPr>
            <w:r w:rsidRPr="009968DB">
              <w:rPr>
                <w:rFonts w:ascii="Calibri" w:hAnsi="Calibri" w:cs="Calibri"/>
                <w:b/>
                <w:bCs/>
                <w:color w:val="000000"/>
                <w:sz w:val="22"/>
                <w:szCs w:val="22"/>
                <w:lang w:val="es-CO" w:eastAsia="es-CO"/>
              </w:rPr>
              <w:t xml:space="preserve">- Establece la referencia del precio a contratar ("precio de reserva"), cuando se </w:t>
            </w:r>
            <w:r w:rsidRPr="009968DB">
              <w:rPr>
                <w:rFonts w:ascii="Calibri" w:hAnsi="Calibri" w:cs="Calibri"/>
                <w:b/>
                <w:bCs/>
                <w:color w:val="000000"/>
                <w:sz w:val="22"/>
                <w:szCs w:val="22"/>
                <w:lang w:val="es-CO" w:eastAsia="es-CO"/>
              </w:rPr>
              <w:lastRenderedPageBreak/>
              <w:t>trata de compradores que atienden demanda priorizada (Demanda Esencial) en el caso de realizarse subastas de venta. Dicho precio es fijado libremente por cada vendedor.</w:t>
            </w:r>
            <w:r w:rsidR="002B6BFC" w:rsidRPr="00B17B4A">
              <w:rPr>
                <w:rFonts w:ascii="Calibri" w:hAnsi="Calibri" w:cs="Calibri"/>
                <w:b/>
                <w:bCs/>
                <w:color w:val="000000"/>
                <w:sz w:val="22"/>
                <w:szCs w:val="22"/>
                <w:lang w:val="es-CO" w:eastAsia="es-CO"/>
              </w:rPr>
              <w:t> </w:t>
            </w:r>
          </w:p>
        </w:tc>
      </w:tr>
      <w:tr w:rsidR="009968DB" w:rsidRPr="00B17B4A" w14:paraId="7B2D2B60" w14:textId="77777777" w:rsidTr="009968DB">
        <w:trPr>
          <w:gridAfter w:val="1"/>
          <w:wAfter w:w="78" w:type="pct"/>
          <w:trHeight w:val="735"/>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C6B91D"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lastRenderedPageBreak/>
              <w:t>c)</w:t>
            </w:r>
          </w:p>
        </w:tc>
        <w:tc>
          <w:tcPr>
            <w:tcW w:w="1543" w:type="pct"/>
            <w:gridSpan w:val="3"/>
            <w:tcBorders>
              <w:top w:val="nil"/>
              <w:left w:val="nil"/>
              <w:bottom w:val="single" w:sz="4" w:space="0" w:color="auto"/>
              <w:right w:val="single" w:sz="4" w:space="0" w:color="auto"/>
            </w:tcBorders>
            <w:shd w:val="clear" w:color="auto" w:fill="auto"/>
            <w:vAlign w:val="center"/>
            <w:hideMark/>
          </w:tcPr>
          <w:p w14:paraId="34B87862"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Limita la libertad de las empresas para promocionar sus productos.</w:t>
            </w:r>
          </w:p>
        </w:tc>
        <w:tc>
          <w:tcPr>
            <w:tcW w:w="273" w:type="pct"/>
            <w:tcBorders>
              <w:top w:val="nil"/>
              <w:left w:val="nil"/>
              <w:bottom w:val="single" w:sz="4" w:space="0" w:color="auto"/>
              <w:right w:val="single" w:sz="4" w:space="0" w:color="auto"/>
            </w:tcBorders>
            <w:shd w:val="clear" w:color="auto" w:fill="auto"/>
            <w:noWrap/>
            <w:vAlign w:val="center"/>
            <w:hideMark/>
          </w:tcPr>
          <w:p w14:paraId="23EF2257"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28053C2C"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6BE23248"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5FAFED3D"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1E76BB32" w14:textId="77777777" w:rsidTr="009968DB">
        <w:trPr>
          <w:gridAfter w:val="1"/>
          <w:wAfter w:w="78" w:type="pct"/>
          <w:trHeight w:val="93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60980"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d)</w:t>
            </w:r>
          </w:p>
        </w:tc>
        <w:tc>
          <w:tcPr>
            <w:tcW w:w="1543" w:type="pct"/>
            <w:gridSpan w:val="3"/>
            <w:tcBorders>
              <w:top w:val="nil"/>
              <w:left w:val="nil"/>
              <w:bottom w:val="single" w:sz="4" w:space="0" w:color="auto"/>
              <w:right w:val="single" w:sz="4" w:space="0" w:color="auto"/>
            </w:tcBorders>
            <w:shd w:val="clear" w:color="auto" w:fill="auto"/>
            <w:vAlign w:val="center"/>
            <w:hideMark/>
          </w:tcPr>
          <w:p w14:paraId="2A071E49"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Otorga a los operadores actuales en el mercado un trato diferenciado con respecto a las empresas entrantes.</w:t>
            </w:r>
          </w:p>
        </w:tc>
        <w:tc>
          <w:tcPr>
            <w:tcW w:w="273" w:type="pct"/>
            <w:tcBorders>
              <w:top w:val="nil"/>
              <w:left w:val="nil"/>
              <w:bottom w:val="single" w:sz="4" w:space="0" w:color="auto"/>
              <w:right w:val="single" w:sz="4" w:space="0" w:color="auto"/>
            </w:tcBorders>
            <w:shd w:val="clear" w:color="auto" w:fill="auto"/>
            <w:noWrap/>
            <w:vAlign w:val="center"/>
            <w:hideMark/>
          </w:tcPr>
          <w:p w14:paraId="6E21A57E"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1BD6BDD9"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183DF70A"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1C3AFFDE" w14:textId="77777777" w:rsidR="002B6BFC" w:rsidRPr="006D3299" w:rsidRDefault="002B6BFC" w:rsidP="00CF75E0">
            <w:pPr>
              <w:jc w:val="left"/>
              <w:rPr>
                <w:rFonts w:ascii="Calibri" w:hAnsi="Calibri" w:cs="Calibri"/>
                <w:b/>
                <w:bCs/>
                <w:color w:val="000000"/>
                <w:sz w:val="16"/>
                <w:szCs w:val="16"/>
                <w:lang w:val="es-CO" w:eastAsia="es-CO"/>
              </w:rPr>
            </w:pPr>
            <w:r w:rsidRPr="006D3299">
              <w:rPr>
                <w:rFonts w:ascii="Calibri" w:hAnsi="Calibri" w:cs="Calibri"/>
                <w:b/>
                <w:bCs/>
                <w:color w:val="000000"/>
                <w:sz w:val="16"/>
                <w:szCs w:val="16"/>
                <w:lang w:val="es-CO" w:eastAsia="es-CO"/>
              </w:rPr>
              <w:t> </w:t>
            </w:r>
          </w:p>
        </w:tc>
      </w:tr>
      <w:tr w:rsidR="009968DB" w:rsidRPr="00B17B4A" w14:paraId="065DF8F6" w14:textId="77777777" w:rsidTr="009968DB">
        <w:trPr>
          <w:gridAfter w:val="1"/>
          <w:wAfter w:w="78" w:type="pct"/>
          <w:trHeight w:val="675"/>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F834F2"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e)</w:t>
            </w:r>
          </w:p>
        </w:tc>
        <w:tc>
          <w:tcPr>
            <w:tcW w:w="1543" w:type="pct"/>
            <w:gridSpan w:val="3"/>
            <w:tcBorders>
              <w:top w:val="nil"/>
              <w:left w:val="nil"/>
              <w:bottom w:val="single" w:sz="4" w:space="0" w:color="auto"/>
              <w:right w:val="single" w:sz="4" w:space="0" w:color="auto"/>
            </w:tcBorders>
            <w:shd w:val="clear" w:color="auto" w:fill="auto"/>
            <w:vAlign w:val="center"/>
            <w:hideMark/>
          </w:tcPr>
          <w:p w14:paraId="0C140235" w14:textId="77777777" w:rsidR="002B6BFC" w:rsidRPr="00B17B4A" w:rsidRDefault="002B6BFC" w:rsidP="00CF75E0">
            <w:pPr>
              <w:jc w:val="left"/>
              <w:rPr>
                <w:rFonts w:ascii="Calibri" w:hAnsi="Calibri" w:cs="Calibri"/>
                <w:color w:val="000000"/>
                <w:sz w:val="22"/>
                <w:szCs w:val="22"/>
                <w:lang w:val="es-CO" w:eastAsia="es-CO"/>
              </w:rPr>
            </w:pPr>
            <w:r w:rsidRPr="009071C7">
              <w:rPr>
                <w:rFonts w:ascii="Calibri" w:hAnsi="Calibri" w:cs="Calibri"/>
                <w:color w:val="000000"/>
                <w:sz w:val="22"/>
                <w:szCs w:val="22"/>
                <w:lang w:val="es-CO" w:eastAsia="es-CO"/>
              </w:rPr>
              <w:t>Otorga trato diferenciado a unas empresas con respecto a otras.</w:t>
            </w:r>
            <w:r w:rsidRPr="00B17B4A">
              <w:rPr>
                <w:rFonts w:ascii="Calibri" w:hAnsi="Calibri" w:cs="Calibri"/>
                <w:color w:val="000000"/>
                <w:sz w:val="22"/>
                <w:szCs w:val="22"/>
                <w:lang w:val="es-CO" w:eastAsia="es-CO"/>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6A55A02"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r>
              <w:rPr>
                <w:rFonts w:ascii="Calibri" w:hAnsi="Calibri" w:cs="Calibri"/>
                <w:b/>
                <w:bCs/>
                <w:color w:val="000000"/>
                <w:sz w:val="22"/>
                <w:szCs w:val="22"/>
                <w:lang w:val="es-CO" w:eastAsia="es-CO"/>
              </w:rPr>
              <w:t>X</w:t>
            </w:r>
          </w:p>
        </w:tc>
        <w:tc>
          <w:tcPr>
            <w:tcW w:w="459" w:type="pct"/>
            <w:tcBorders>
              <w:top w:val="nil"/>
              <w:left w:val="nil"/>
              <w:bottom w:val="single" w:sz="4" w:space="0" w:color="auto"/>
              <w:right w:val="single" w:sz="4" w:space="0" w:color="auto"/>
            </w:tcBorders>
            <w:shd w:val="clear" w:color="auto" w:fill="auto"/>
            <w:noWrap/>
            <w:vAlign w:val="center"/>
            <w:hideMark/>
          </w:tcPr>
          <w:p w14:paraId="407AE5C1" w14:textId="77777777" w:rsidR="002B6BFC" w:rsidRPr="00B17B4A" w:rsidRDefault="002B6BFC" w:rsidP="00CF75E0">
            <w:pPr>
              <w:jc w:val="left"/>
              <w:rPr>
                <w:rFonts w:ascii="Calibri" w:hAnsi="Calibri" w:cs="Calibri"/>
                <w:b/>
                <w:bCs/>
                <w:color w:val="000000"/>
                <w:sz w:val="22"/>
                <w:szCs w:val="22"/>
                <w:lang w:val="es-CO" w:eastAsia="es-CO"/>
              </w:rPr>
            </w:pPr>
          </w:p>
        </w:tc>
        <w:tc>
          <w:tcPr>
            <w:tcW w:w="464" w:type="pct"/>
            <w:tcBorders>
              <w:top w:val="nil"/>
              <w:left w:val="nil"/>
              <w:bottom w:val="single" w:sz="4" w:space="0" w:color="auto"/>
              <w:right w:val="single" w:sz="4" w:space="0" w:color="auto"/>
            </w:tcBorders>
            <w:shd w:val="clear" w:color="auto" w:fill="auto"/>
            <w:noWrap/>
            <w:vAlign w:val="center"/>
            <w:hideMark/>
          </w:tcPr>
          <w:p w14:paraId="45CCEDA9" w14:textId="77777777" w:rsidR="002B6BFC" w:rsidRPr="00B17B4A" w:rsidRDefault="002B6BFC" w:rsidP="00CF75E0">
            <w:pPr>
              <w:jc w:val="left"/>
              <w:rPr>
                <w:rFonts w:ascii="Calibri" w:hAnsi="Calibri" w:cs="Calibri"/>
                <w:b/>
                <w:bCs/>
                <w:color w:val="000000"/>
                <w:sz w:val="22"/>
                <w:szCs w:val="22"/>
                <w:lang w:val="es-CO" w:eastAsia="es-CO"/>
              </w:rPr>
            </w:pPr>
          </w:p>
        </w:tc>
        <w:tc>
          <w:tcPr>
            <w:tcW w:w="1967" w:type="pct"/>
            <w:tcBorders>
              <w:top w:val="nil"/>
              <w:left w:val="nil"/>
              <w:bottom w:val="single" w:sz="4" w:space="0" w:color="auto"/>
              <w:right w:val="single" w:sz="4" w:space="0" w:color="auto"/>
            </w:tcBorders>
            <w:shd w:val="clear" w:color="auto" w:fill="auto"/>
            <w:noWrap/>
            <w:vAlign w:val="center"/>
            <w:hideMark/>
          </w:tcPr>
          <w:p w14:paraId="646A9192" w14:textId="77777777" w:rsidR="009968DB" w:rsidRPr="009968DB" w:rsidRDefault="009968DB" w:rsidP="00CF75E0">
            <w:pPr>
              <w:jc w:val="left"/>
              <w:rPr>
                <w:rFonts w:ascii="Calibri" w:hAnsi="Calibri" w:cs="Calibri"/>
                <w:b/>
                <w:bCs/>
                <w:color w:val="000000"/>
                <w:sz w:val="22"/>
                <w:szCs w:val="22"/>
                <w:lang w:val="es-CO" w:eastAsia="es-CO"/>
              </w:rPr>
            </w:pPr>
            <w:r w:rsidRPr="009968DB">
              <w:rPr>
                <w:rFonts w:ascii="Calibri" w:hAnsi="Calibri" w:cs="Calibri"/>
                <w:b/>
                <w:bCs/>
                <w:color w:val="000000"/>
                <w:sz w:val="22"/>
                <w:szCs w:val="22"/>
                <w:lang w:val="es-CO" w:eastAsia="es-CO"/>
              </w:rPr>
              <w:t>Desde el punto de vista del comprador del mercado primario que compra el gas para prestar el servicio (atiende o vende) solamente a cierto tipo de usuarios que no corresponden a Demanda Esencial:</w:t>
            </w:r>
          </w:p>
          <w:p w14:paraId="675F7F54" w14:textId="77777777" w:rsidR="009968DB" w:rsidRPr="009968DB" w:rsidRDefault="009968DB" w:rsidP="00CF75E0">
            <w:pPr>
              <w:jc w:val="left"/>
              <w:rPr>
                <w:rFonts w:ascii="Calibri" w:hAnsi="Calibri" w:cs="Calibri"/>
                <w:b/>
                <w:bCs/>
                <w:color w:val="000000"/>
                <w:sz w:val="22"/>
                <w:szCs w:val="22"/>
                <w:lang w:val="es-CO" w:eastAsia="es-CO"/>
              </w:rPr>
            </w:pPr>
          </w:p>
          <w:p w14:paraId="55A4ABEE" w14:textId="77777777" w:rsidR="009968DB" w:rsidRPr="009968DB" w:rsidRDefault="009968DB" w:rsidP="00CF75E0">
            <w:pPr>
              <w:jc w:val="left"/>
              <w:rPr>
                <w:rFonts w:ascii="Calibri" w:hAnsi="Calibri" w:cs="Calibri"/>
                <w:b/>
                <w:bCs/>
                <w:color w:val="000000"/>
                <w:sz w:val="22"/>
                <w:szCs w:val="22"/>
                <w:lang w:val="es-CO" w:eastAsia="es-CO"/>
              </w:rPr>
            </w:pPr>
            <w:r w:rsidRPr="009968DB">
              <w:rPr>
                <w:rFonts w:ascii="Calibri" w:hAnsi="Calibri" w:cs="Calibri"/>
                <w:b/>
                <w:bCs/>
                <w:color w:val="000000"/>
                <w:sz w:val="22"/>
                <w:szCs w:val="22"/>
                <w:lang w:val="es-CO" w:eastAsia="es-CO"/>
              </w:rPr>
              <w:t>- Establece una priorización para la Demanda Esencial en la asignación de las cantidades ofrecidas en venta por parte de los vendedores del mercado primario, en cumplimiento de lo establecido en el Parágrafo 2 del Artículo 2.2.2.2.16 del decreto DUR 1073 de 2015.</w:t>
            </w:r>
          </w:p>
          <w:p w14:paraId="2964B150" w14:textId="77777777" w:rsidR="009968DB" w:rsidRPr="009968DB" w:rsidRDefault="009968DB" w:rsidP="00CF75E0">
            <w:pPr>
              <w:jc w:val="left"/>
              <w:rPr>
                <w:rFonts w:ascii="Calibri" w:hAnsi="Calibri" w:cs="Calibri"/>
                <w:b/>
                <w:bCs/>
                <w:color w:val="000000"/>
                <w:sz w:val="22"/>
                <w:szCs w:val="22"/>
                <w:lang w:val="es-CO" w:eastAsia="es-CO"/>
              </w:rPr>
            </w:pPr>
          </w:p>
          <w:p w14:paraId="243452EC" w14:textId="16F31A77" w:rsidR="002B6BFC" w:rsidRPr="009968DB" w:rsidRDefault="009968DB" w:rsidP="00CF75E0">
            <w:pPr>
              <w:jc w:val="left"/>
              <w:rPr>
                <w:rFonts w:ascii="Calibri" w:hAnsi="Calibri" w:cs="Calibri"/>
                <w:b/>
                <w:bCs/>
                <w:color w:val="000000"/>
                <w:sz w:val="22"/>
                <w:szCs w:val="22"/>
                <w:lang w:val="es-CO" w:eastAsia="es-CO"/>
              </w:rPr>
            </w:pPr>
            <w:r w:rsidRPr="009968DB">
              <w:rPr>
                <w:rFonts w:ascii="Calibri" w:hAnsi="Calibri" w:cs="Calibri"/>
                <w:b/>
                <w:bCs/>
                <w:color w:val="000000"/>
                <w:sz w:val="22"/>
                <w:szCs w:val="22"/>
                <w:lang w:val="es-CO" w:eastAsia="es-CO"/>
              </w:rPr>
              <w:t>- Establece la referencia del precio a contratar ("precio de reserva"), cuando se trata de compradores que atienden demanda priorizada (Demanda Esencial) en el caso de realizarse subastas de venta. Dicho precio es fijado libremente por cada vendedor.</w:t>
            </w:r>
          </w:p>
        </w:tc>
      </w:tr>
      <w:tr w:rsidR="009968DB" w:rsidRPr="00B17B4A" w14:paraId="7E9ADD2D" w14:textId="77777777" w:rsidTr="009968DB">
        <w:trPr>
          <w:gridAfter w:val="1"/>
          <w:wAfter w:w="78" w:type="pct"/>
          <w:trHeight w:val="99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4A4F2"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f)</w:t>
            </w:r>
          </w:p>
        </w:tc>
        <w:tc>
          <w:tcPr>
            <w:tcW w:w="1543" w:type="pct"/>
            <w:gridSpan w:val="3"/>
            <w:tcBorders>
              <w:top w:val="nil"/>
              <w:left w:val="nil"/>
              <w:bottom w:val="single" w:sz="4" w:space="0" w:color="auto"/>
              <w:right w:val="single" w:sz="4" w:space="0" w:color="auto"/>
            </w:tcBorders>
            <w:shd w:val="clear" w:color="auto" w:fill="auto"/>
            <w:vAlign w:val="center"/>
            <w:hideMark/>
          </w:tcPr>
          <w:p w14:paraId="3ED8BEDE" w14:textId="77777777" w:rsidR="002B6BFC" w:rsidRPr="000A5018" w:rsidRDefault="002B6BFC" w:rsidP="00CF75E0">
            <w:pPr>
              <w:jc w:val="left"/>
              <w:rPr>
                <w:rFonts w:ascii="Calibri" w:hAnsi="Calibri" w:cs="Calibri"/>
                <w:color w:val="000000"/>
                <w:sz w:val="22"/>
                <w:szCs w:val="22"/>
                <w:lang w:val="es-CO" w:eastAsia="es-CO"/>
              </w:rPr>
            </w:pPr>
            <w:r w:rsidRPr="000A5018">
              <w:rPr>
                <w:rFonts w:ascii="Calibri" w:hAnsi="Calibri" w:cs="Calibri"/>
                <w:color w:val="000000"/>
                <w:sz w:val="22"/>
                <w:szCs w:val="22"/>
                <w:lang w:val="es-CO" w:eastAsia="es-CO"/>
              </w:rPr>
              <w:t>Limita la libertad de las empresas para elegir sus procesos de producción o  su forma de organización industrial.</w:t>
            </w:r>
          </w:p>
        </w:tc>
        <w:tc>
          <w:tcPr>
            <w:tcW w:w="273" w:type="pct"/>
            <w:tcBorders>
              <w:top w:val="nil"/>
              <w:left w:val="nil"/>
              <w:bottom w:val="single" w:sz="4" w:space="0" w:color="auto"/>
              <w:right w:val="single" w:sz="4" w:space="0" w:color="auto"/>
            </w:tcBorders>
            <w:shd w:val="clear" w:color="auto" w:fill="auto"/>
            <w:noWrap/>
            <w:vAlign w:val="center"/>
            <w:hideMark/>
          </w:tcPr>
          <w:p w14:paraId="1C1F1428"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6F54FD46"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2A854FDB"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57554DEA" w14:textId="77777777" w:rsidR="002B6BFC" w:rsidRPr="006D3299" w:rsidRDefault="002B6BFC" w:rsidP="00CF75E0">
            <w:pPr>
              <w:jc w:val="left"/>
              <w:rPr>
                <w:rFonts w:ascii="Calibri" w:hAnsi="Calibri" w:cs="Calibri"/>
                <w:b/>
                <w:bCs/>
                <w:color w:val="000000"/>
                <w:sz w:val="16"/>
                <w:szCs w:val="16"/>
                <w:lang w:val="es-CO" w:eastAsia="es-CO"/>
              </w:rPr>
            </w:pPr>
          </w:p>
        </w:tc>
      </w:tr>
      <w:tr w:rsidR="009968DB" w:rsidRPr="00B17B4A" w14:paraId="6667F9F4" w14:textId="77777777" w:rsidTr="009968DB">
        <w:trPr>
          <w:gridAfter w:val="1"/>
          <w:wAfter w:w="78" w:type="pct"/>
          <w:trHeight w:val="66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23F904"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g)</w:t>
            </w:r>
          </w:p>
        </w:tc>
        <w:tc>
          <w:tcPr>
            <w:tcW w:w="1543" w:type="pct"/>
            <w:gridSpan w:val="3"/>
            <w:tcBorders>
              <w:top w:val="nil"/>
              <w:left w:val="nil"/>
              <w:bottom w:val="single" w:sz="4" w:space="0" w:color="auto"/>
              <w:right w:val="single" w:sz="4" w:space="0" w:color="auto"/>
            </w:tcBorders>
            <w:shd w:val="clear" w:color="auto" w:fill="auto"/>
            <w:vAlign w:val="center"/>
            <w:hideMark/>
          </w:tcPr>
          <w:p w14:paraId="7D14D70E"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 xml:space="preserve">Limita la innovación para ofrecer nuevos productos o productos existentes pero bajo nuevas formas.   </w:t>
            </w:r>
          </w:p>
        </w:tc>
        <w:tc>
          <w:tcPr>
            <w:tcW w:w="273" w:type="pct"/>
            <w:tcBorders>
              <w:top w:val="nil"/>
              <w:left w:val="nil"/>
              <w:bottom w:val="single" w:sz="4" w:space="0" w:color="auto"/>
              <w:right w:val="single" w:sz="4" w:space="0" w:color="auto"/>
            </w:tcBorders>
            <w:shd w:val="clear" w:color="auto" w:fill="auto"/>
            <w:noWrap/>
            <w:vAlign w:val="center"/>
            <w:hideMark/>
          </w:tcPr>
          <w:p w14:paraId="238B34AA"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center"/>
            <w:hideMark/>
          </w:tcPr>
          <w:p w14:paraId="2E702BE9"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20514E6E"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6A3AA20F"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2B6BFC" w:rsidRPr="00B17B4A" w14:paraId="2FCCAE18" w14:textId="77777777" w:rsidTr="009968DB">
        <w:trPr>
          <w:gridAfter w:val="1"/>
          <w:wAfter w:w="76" w:type="pct"/>
          <w:trHeight w:val="735"/>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D040C"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3.</w:t>
            </w:r>
          </w:p>
        </w:tc>
        <w:tc>
          <w:tcPr>
            <w:tcW w:w="4707" w:type="pct"/>
            <w:gridSpan w:val="7"/>
            <w:tcBorders>
              <w:top w:val="single" w:sz="4" w:space="0" w:color="auto"/>
              <w:left w:val="nil"/>
              <w:bottom w:val="single" w:sz="4" w:space="0" w:color="auto"/>
              <w:right w:val="single" w:sz="4" w:space="0" w:color="000000"/>
            </w:tcBorders>
            <w:shd w:val="clear" w:color="auto" w:fill="auto"/>
            <w:hideMark/>
          </w:tcPr>
          <w:p w14:paraId="48C1043F"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xml:space="preserve">¿La regulación implica reducir los incentivos de las empresas para competir en uno o varios mercados relevantes relacionados? </w:t>
            </w:r>
            <w:r w:rsidRPr="00B17B4A">
              <w:rPr>
                <w:rFonts w:ascii="Calibri" w:hAnsi="Calibri" w:cs="Calibri"/>
                <w:b/>
                <w:bCs/>
                <w:color w:val="000000"/>
                <w:sz w:val="22"/>
                <w:szCs w:val="22"/>
                <w:lang w:val="es-CO" w:eastAsia="es-CO"/>
              </w:rPr>
              <w:br/>
              <w:t>Es posible que esto suceda, entre otros eventos, cuando el proyecto de acto:</w:t>
            </w:r>
          </w:p>
        </w:tc>
      </w:tr>
      <w:tr w:rsidR="009968DB" w:rsidRPr="00B17B4A" w14:paraId="03FF43BD" w14:textId="77777777" w:rsidTr="009968DB">
        <w:trPr>
          <w:gridAfter w:val="1"/>
          <w:wAfter w:w="78" w:type="pct"/>
          <w:trHeight w:val="645"/>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3F93F4"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a)</w:t>
            </w:r>
          </w:p>
        </w:tc>
        <w:tc>
          <w:tcPr>
            <w:tcW w:w="1543" w:type="pct"/>
            <w:gridSpan w:val="3"/>
            <w:tcBorders>
              <w:top w:val="nil"/>
              <w:left w:val="nil"/>
              <w:bottom w:val="single" w:sz="4" w:space="0" w:color="auto"/>
              <w:right w:val="single" w:sz="4" w:space="0" w:color="auto"/>
            </w:tcBorders>
            <w:shd w:val="clear" w:color="auto" w:fill="auto"/>
            <w:vAlign w:val="center"/>
            <w:hideMark/>
          </w:tcPr>
          <w:p w14:paraId="541BCB2F"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Genera un régimen de autorregulación o corregulación.</w:t>
            </w:r>
          </w:p>
        </w:tc>
        <w:tc>
          <w:tcPr>
            <w:tcW w:w="273" w:type="pct"/>
            <w:tcBorders>
              <w:top w:val="nil"/>
              <w:left w:val="nil"/>
              <w:bottom w:val="single" w:sz="4" w:space="0" w:color="auto"/>
              <w:right w:val="single" w:sz="4" w:space="0" w:color="auto"/>
            </w:tcBorders>
            <w:shd w:val="clear" w:color="auto" w:fill="auto"/>
            <w:noWrap/>
            <w:vAlign w:val="center"/>
            <w:hideMark/>
          </w:tcPr>
          <w:p w14:paraId="494EB838" w14:textId="77777777" w:rsidR="002B6BFC" w:rsidRPr="00B17B4A" w:rsidRDefault="002B6BFC" w:rsidP="00CF75E0">
            <w:pPr>
              <w:jc w:val="left"/>
              <w:rPr>
                <w:rFonts w:ascii="Calibri" w:hAnsi="Calibri" w:cs="Calibri"/>
                <w:b/>
                <w:bCs/>
                <w:color w:val="000000"/>
                <w:sz w:val="22"/>
                <w:szCs w:val="22"/>
                <w:lang w:val="es-CO" w:eastAsia="es-CO"/>
              </w:rPr>
            </w:pPr>
          </w:p>
        </w:tc>
        <w:tc>
          <w:tcPr>
            <w:tcW w:w="459" w:type="pct"/>
            <w:tcBorders>
              <w:top w:val="nil"/>
              <w:left w:val="nil"/>
              <w:bottom w:val="single" w:sz="4" w:space="0" w:color="auto"/>
              <w:right w:val="single" w:sz="4" w:space="0" w:color="auto"/>
            </w:tcBorders>
            <w:shd w:val="clear" w:color="auto" w:fill="auto"/>
            <w:noWrap/>
            <w:vAlign w:val="center"/>
            <w:hideMark/>
          </w:tcPr>
          <w:p w14:paraId="6BFE16A1"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0DB719F9"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446C261F"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9968DB" w:rsidRPr="00B17B4A" w14:paraId="0707F706" w14:textId="77777777" w:rsidTr="009968DB">
        <w:trPr>
          <w:gridAfter w:val="1"/>
          <w:wAfter w:w="78" w:type="pct"/>
          <w:trHeight w:val="1500"/>
        </w:trPr>
        <w:tc>
          <w:tcPr>
            <w:tcW w:w="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D66048"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lastRenderedPageBreak/>
              <w:t>b)</w:t>
            </w:r>
          </w:p>
        </w:tc>
        <w:tc>
          <w:tcPr>
            <w:tcW w:w="1543" w:type="pct"/>
            <w:gridSpan w:val="3"/>
            <w:tcBorders>
              <w:top w:val="nil"/>
              <w:left w:val="nil"/>
              <w:bottom w:val="single" w:sz="4" w:space="0" w:color="auto"/>
              <w:right w:val="single" w:sz="4" w:space="0" w:color="auto"/>
            </w:tcBorders>
            <w:shd w:val="clear" w:color="auto" w:fill="auto"/>
            <w:vAlign w:val="center"/>
            <w:hideMark/>
          </w:tcPr>
          <w:p w14:paraId="253893F5" w14:textId="77777777" w:rsidR="002B6BFC" w:rsidRPr="00B17B4A" w:rsidRDefault="002B6BFC" w:rsidP="00CF75E0">
            <w:pPr>
              <w:jc w:val="left"/>
              <w:rPr>
                <w:rFonts w:ascii="Calibri" w:hAnsi="Calibri" w:cs="Calibri"/>
                <w:color w:val="000000"/>
                <w:sz w:val="22"/>
                <w:szCs w:val="22"/>
                <w:lang w:val="es-CO" w:eastAsia="es-CO"/>
              </w:rPr>
            </w:pPr>
            <w:r w:rsidRPr="00B17B4A">
              <w:rPr>
                <w:rFonts w:ascii="Calibri" w:hAnsi="Calibri" w:cs="Calibri"/>
                <w:color w:val="000000"/>
                <w:sz w:val="22"/>
                <w:szCs w:val="22"/>
                <w:lang w:val="es-CO" w:eastAsia="es-CO"/>
              </w:rPr>
              <w:t>Impone la obligación de dar publicidad sobre información sensible para una empresa que podría ser conocida por sus competidores (por ejemplo precios, nivel de ventas, costos, etc.)</w:t>
            </w:r>
          </w:p>
        </w:tc>
        <w:tc>
          <w:tcPr>
            <w:tcW w:w="273" w:type="pct"/>
            <w:tcBorders>
              <w:top w:val="nil"/>
              <w:left w:val="nil"/>
              <w:bottom w:val="single" w:sz="4" w:space="0" w:color="auto"/>
              <w:right w:val="single" w:sz="4" w:space="0" w:color="auto"/>
            </w:tcBorders>
            <w:shd w:val="clear" w:color="auto" w:fill="auto"/>
            <w:noWrap/>
            <w:vAlign w:val="center"/>
            <w:hideMark/>
          </w:tcPr>
          <w:p w14:paraId="0690E3C4" w14:textId="77777777" w:rsidR="002B6BFC" w:rsidRPr="00B17B4A" w:rsidRDefault="002B6BFC" w:rsidP="00CF75E0">
            <w:pPr>
              <w:jc w:val="left"/>
              <w:rPr>
                <w:rFonts w:ascii="Calibri" w:hAnsi="Calibri" w:cs="Calibri"/>
                <w:b/>
                <w:bCs/>
                <w:color w:val="000000"/>
                <w:sz w:val="22"/>
                <w:szCs w:val="22"/>
                <w:lang w:val="es-CO" w:eastAsia="es-CO"/>
              </w:rPr>
            </w:pPr>
          </w:p>
        </w:tc>
        <w:tc>
          <w:tcPr>
            <w:tcW w:w="459" w:type="pct"/>
            <w:tcBorders>
              <w:top w:val="nil"/>
              <w:left w:val="nil"/>
              <w:bottom w:val="single" w:sz="4" w:space="0" w:color="auto"/>
              <w:right w:val="single" w:sz="4" w:space="0" w:color="auto"/>
            </w:tcBorders>
            <w:shd w:val="clear" w:color="auto" w:fill="auto"/>
            <w:noWrap/>
            <w:vAlign w:val="center"/>
            <w:hideMark/>
          </w:tcPr>
          <w:p w14:paraId="7F7E8DCC"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X</w:t>
            </w:r>
          </w:p>
        </w:tc>
        <w:tc>
          <w:tcPr>
            <w:tcW w:w="464" w:type="pct"/>
            <w:tcBorders>
              <w:top w:val="nil"/>
              <w:left w:val="nil"/>
              <w:bottom w:val="single" w:sz="4" w:space="0" w:color="auto"/>
              <w:right w:val="single" w:sz="4" w:space="0" w:color="auto"/>
            </w:tcBorders>
            <w:shd w:val="clear" w:color="auto" w:fill="auto"/>
            <w:noWrap/>
            <w:vAlign w:val="center"/>
            <w:hideMark/>
          </w:tcPr>
          <w:p w14:paraId="3512C2C5"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c>
          <w:tcPr>
            <w:tcW w:w="1967" w:type="pct"/>
            <w:tcBorders>
              <w:top w:val="nil"/>
              <w:left w:val="nil"/>
              <w:bottom w:val="single" w:sz="4" w:space="0" w:color="auto"/>
              <w:right w:val="single" w:sz="4" w:space="0" w:color="auto"/>
            </w:tcBorders>
            <w:shd w:val="clear" w:color="auto" w:fill="auto"/>
            <w:noWrap/>
            <w:vAlign w:val="center"/>
            <w:hideMark/>
          </w:tcPr>
          <w:p w14:paraId="2BC6DC8E" w14:textId="77777777" w:rsidR="002B6BFC" w:rsidRPr="00B17B4A" w:rsidRDefault="002B6BFC" w:rsidP="00CF75E0">
            <w:pPr>
              <w:jc w:val="left"/>
              <w:rPr>
                <w:rFonts w:ascii="Calibri" w:hAnsi="Calibri" w:cs="Calibri"/>
                <w:b/>
                <w:bCs/>
                <w:color w:val="000000"/>
                <w:sz w:val="22"/>
                <w:szCs w:val="22"/>
                <w:lang w:val="es-CO" w:eastAsia="es-CO"/>
              </w:rPr>
            </w:pPr>
            <w:r w:rsidRPr="00B17B4A">
              <w:rPr>
                <w:rFonts w:ascii="Calibri" w:hAnsi="Calibri" w:cs="Calibri"/>
                <w:b/>
                <w:bCs/>
                <w:color w:val="000000"/>
                <w:sz w:val="22"/>
                <w:szCs w:val="22"/>
                <w:lang w:val="es-CO" w:eastAsia="es-CO"/>
              </w:rPr>
              <w:t> </w:t>
            </w:r>
          </w:p>
        </w:tc>
      </w:tr>
      <w:tr w:rsidR="002B6BFC" w:rsidRPr="00F275A6" w14:paraId="2625E326" w14:textId="77777777" w:rsidTr="009968DB">
        <w:trPr>
          <w:gridAfter w:val="1"/>
          <w:wAfter w:w="76" w:type="pct"/>
          <w:trHeight w:val="570"/>
        </w:trPr>
        <w:tc>
          <w:tcPr>
            <w:tcW w:w="4924"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C66F0" w14:textId="77777777" w:rsidR="002B6BFC" w:rsidRPr="00F275A6" w:rsidRDefault="002B6BFC" w:rsidP="00CF75E0">
            <w:pPr>
              <w:jc w:val="left"/>
              <w:rPr>
                <w:rFonts w:ascii="Calibri" w:hAnsi="Calibri" w:cs="Calibri"/>
                <w:b/>
                <w:bCs/>
                <w:color w:val="000000"/>
                <w:sz w:val="18"/>
                <w:szCs w:val="18"/>
                <w:lang w:val="es-CO" w:eastAsia="es-CO"/>
              </w:rPr>
            </w:pPr>
            <w:r w:rsidRPr="00F275A6">
              <w:rPr>
                <w:rFonts w:ascii="Calibri" w:hAnsi="Calibri" w:cs="Calibri"/>
                <w:b/>
                <w:bCs/>
                <w:color w:val="000000"/>
                <w:sz w:val="18"/>
                <w:szCs w:val="18"/>
                <w:lang w:val="es-CO" w:eastAsia="es-CO"/>
              </w:rPr>
              <w:t>CONCLUSIONES</w:t>
            </w:r>
          </w:p>
        </w:tc>
      </w:tr>
      <w:tr w:rsidR="002B6BFC" w:rsidRPr="00F275A6" w14:paraId="7992945A" w14:textId="77777777" w:rsidTr="009968DB">
        <w:trPr>
          <w:gridAfter w:val="1"/>
          <w:wAfter w:w="76" w:type="pct"/>
          <w:trHeight w:val="300"/>
        </w:trPr>
        <w:tc>
          <w:tcPr>
            <w:tcW w:w="4924"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7FA1B" w14:textId="47CE9500" w:rsidR="002B6BFC" w:rsidRPr="00F275A6" w:rsidRDefault="002B6BFC" w:rsidP="00CF75E0">
            <w:pPr>
              <w:jc w:val="left"/>
              <w:rPr>
                <w:rFonts w:ascii="Calibri" w:hAnsi="Calibri" w:cs="Calibri"/>
                <w:color w:val="000000"/>
                <w:sz w:val="18"/>
                <w:szCs w:val="18"/>
                <w:lang w:val="es-CO" w:eastAsia="es-CO"/>
              </w:rPr>
            </w:pPr>
            <w:r w:rsidRPr="00F275A6">
              <w:rPr>
                <w:rFonts w:ascii="Calibri" w:hAnsi="Calibri" w:cs="Calibri"/>
                <w:color w:val="000000"/>
                <w:sz w:val="18"/>
                <w:szCs w:val="18"/>
                <w:lang w:val="es-CO" w:eastAsia="es-CO"/>
              </w:rPr>
              <w:t xml:space="preserve">La propuesta tiene por objetivo aumentar las opciones de negociación entre vendedores y compradores del Mercado Primario y permitir el acceso a mayor cantidad de información relevante para estimular la competencia y la eficiencia en procesos de negociación de compradores y vendedores de dicho Mercado. De acuerdo con las respuestas dadas al cuestionario, se considera necesario enviar el proyecto del acto aprobado en sesión CREG </w:t>
            </w:r>
            <w:r w:rsidR="00DD4D9A">
              <w:rPr>
                <w:rFonts w:ascii="Calibri" w:hAnsi="Calibri" w:cs="Calibri"/>
                <w:color w:val="000000"/>
                <w:sz w:val="18"/>
                <w:szCs w:val="18"/>
                <w:lang w:val="es-CO" w:eastAsia="es-CO"/>
              </w:rPr>
              <w:t>1298</w:t>
            </w:r>
            <w:r w:rsidR="007A525A" w:rsidRPr="00F275A6">
              <w:rPr>
                <w:rFonts w:ascii="Calibri" w:hAnsi="Calibri" w:cs="Calibri"/>
                <w:color w:val="000000"/>
                <w:sz w:val="18"/>
                <w:szCs w:val="18"/>
                <w:lang w:val="es-CO" w:eastAsia="es-CO"/>
              </w:rPr>
              <w:t xml:space="preserve"> </w:t>
            </w:r>
            <w:r w:rsidRPr="00F275A6">
              <w:rPr>
                <w:rFonts w:ascii="Calibri" w:hAnsi="Calibri" w:cs="Calibri"/>
                <w:color w:val="000000"/>
                <w:sz w:val="18"/>
                <w:szCs w:val="18"/>
                <w:lang w:val="es-CO" w:eastAsia="es-CO"/>
              </w:rPr>
              <w:t>del</w:t>
            </w:r>
            <w:r w:rsidR="00DD4D9A">
              <w:rPr>
                <w:rFonts w:ascii="Calibri" w:hAnsi="Calibri" w:cs="Calibri"/>
                <w:color w:val="000000"/>
                <w:sz w:val="18"/>
                <w:szCs w:val="18"/>
                <w:lang w:val="es-CO" w:eastAsia="es-CO"/>
              </w:rPr>
              <w:t xml:space="preserve"> 13 de diciembre de 2023</w:t>
            </w:r>
            <w:r w:rsidRPr="00F275A6">
              <w:rPr>
                <w:rFonts w:ascii="Calibri" w:hAnsi="Calibri" w:cs="Calibri"/>
                <w:color w:val="000000"/>
                <w:sz w:val="18"/>
                <w:szCs w:val="18"/>
                <w:lang w:val="es-CO" w:eastAsia="es-CO"/>
              </w:rPr>
              <w:t xml:space="preserve"> a la Superintendencia de Industria y Comercio para el desarrollo de la abogacía de la competencia.</w:t>
            </w:r>
          </w:p>
        </w:tc>
      </w:tr>
      <w:tr w:rsidR="002B6BFC" w:rsidRPr="00F275A6" w14:paraId="69F1D235" w14:textId="77777777" w:rsidTr="009968DB">
        <w:trPr>
          <w:trHeight w:val="300"/>
        </w:trPr>
        <w:tc>
          <w:tcPr>
            <w:tcW w:w="4924" w:type="pct"/>
            <w:gridSpan w:val="8"/>
            <w:vMerge/>
            <w:tcBorders>
              <w:top w:val="single" w:sz="4" w:space="0" w:color="auto"/>
              <w:left w:val="single" w:sz="4" w:space="0" w:color="auto"/>
              <w:bottom w:val="single" w:sz="4" w:space="0" w:color="auto"/>
              <w:right w:val="single" w:sz="4" w:space="0" w:color="auto"/>
            </w:tcBorders>
            <w:vAlign w:val="center"/>
            <w:hideMark/>
          </w:tcPr>
          <w:p w14:paraId="075249E5" w14:textId="77777777" w:rsidR="002B6BFC" w:rsidRPr="00F275A6" w:rsidRDefault="002B6BFC" w:rsidP="00CF75E0">
            <w:pPr>
              <w:jc w:val="left"/>
              <w:rPr>
                <w:rFonts w:ascii="Calibri" w:hAnsi="Calibri" w:cs="Calibri"/>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AE979C7" w14:textId="77777777" w:rsidR="002B6BFC" w:rsidRPr="00F275A6" w:rsidRDefault="002B6BFC" w:rsidP="00CF75E0">
            <w:pPr>
              <w:jc w:val="left"/>
              <w:rPr>
                <w:rFonts w:ascii="Calibri" w:hAnsi="Calibri" w:cs="Calibri"/>
                <w:color w:val="000000"/>
                <w:sz w:val="18"/>
                <w:szCs w:val="18"/>
                <w:lang w:val="es-CO" w:eastAsia="es-CO"/>
              </w:rPr>
            </w:pPr>
          </w:p>
        </w:tc>
      </w:tr>
      <w:tr w:rsidR="002B6BFC" w:rsidRPr="00F275A6" w14:paraId="619BFA01" w14:textId="77777777" w:rsidTr="009968DB">
        <w:trPr>
          <w:trHeight w:val="300"/>
        </w:trPr>
        <w:tc>
          <w:tcPr>
            <w:tcW w:w="4924" w:type="pct"/>
            <w:gridSpan w:val="8"/>
            <w:vMerge/>
            <w:tcBorders>
              <w:top w:val="single" w:sz="4" w:space="0" w:color="auto"/>
              <w:left w:val="single" w:sz="4" w:space="0" w:color="auto"/>
              <w:bottom w:val="single" w:sz="4" w:space="0" w:color="auto"/>
              <w:right w:val="single" w:sz="4" w:space="0" w:color="auto"/>
            </w:tcBorders>
            <w:vAlign w:val="center"/>
            <w:hideMark/>
          </w:tcPr>
          <w:p w14:paraId="7D1A3276" w14:textId="77777777" w:rsidR="002B6BFC" w:rsidRPr="00F275A6" w:rsidRDefault="002B6BFC" w:rsidP="00CF75E0">
            <w:pPr>
              <w:jc w:val="left"/>
              <w:rPr>
                <w:rFonts w:ascii="Calibri" w:hAnsi="Calibri" w:cs="Calibri"/>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710ED8B1" w14:textId="77777777" w:rsidR="002B6BFC" w:rsidRPr="00F275A6" w:rsidRDefault="002B6BFC" w:rsidP="00CF75E0">
            <w:pPr>
              <w:jc w:val="left"/>
              <w:rPr>
                <w:rFonts w:ascii="Times New Roman" w:hAnsi="Times New Roman"/>
                <w:sz w:val="18"/>
                <w:szCs w:val="18"/>
                <w:lang w:val="es-CO" w:eastAsia="es-CO"/>
              </w:rPr>
            </w:pPr>
          </w:p>
        </w:tc>
      </w:tr>
      <w:tr w:rsidR="002B6BFC" w:rsidRPr="00F275A6" w14:paraId="15C499D9" w14:textId="77777777" w:rsidTr="009968DB">
        <w:trPr>
          <w:trHeight w:val="300"/>
        </w:trPr>
        <w:tc>
          <w:tcPr>
            <w:tcW w:w="4924" w:type="pct"/>
            <w:gridSpan w:val="8"/>
            <w:vMerge/>
            <w:tcBorders>
              <w:top w:val="single" w:sz="4" w:space="0" w:color="auto"/>
              <w:left w:val="single" w:sz="4" w:space="0" w:color="auto"/>
              <w:bottom w:val="single" w:sz="4" w:space="0" w:color="auto"/>
              <w:right w:val="single" w:sz="4" w:space="0" w:color="auto"/>
            </w:tcBorders>
            <w:vAlign w:val="center"/>
            <w:hideMark/>
          </w:tcPr>
          <w:p w14:paraId="37D2F45F" w14:textId="77777777" w:rsidR="002B6BFC" w:rsidRPr="00F275A6" w:rsidRDefault="002B6BFC" w:rsidP="00CF75E0">
            <w:pPr>
              <w:jc w:val="left"/>
              <w:rPr>
                <w:rFonts w:ascii="Calibri" w:hAnsi="Calibri" w:cs="Calibri"/>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32F5AB97" w14:textId="77777777" w:rsidR="002B6BFC" w:rsidRPr="00F275A6" w:rsidRDefault="002B6BFC" w:rsidP="00CF75E0">
            <w:pPr>
              <w:jc w:val="left"/>
              <w:rPr>
                <w:rFonts w:ascii="Times New Roman" w:hAnsi="Times New Roman"/>
                <w:sz w:val="18"/>
                <w:szCs w:val="18"/>
                <w:lang w:val="es-CO" w:eastAsia="es-CO"/>
              </w:rPr>
            </w:pPr>
          </w:p>
        </w:tc>
      </w:tr>
      <w:tr w:rsidR="002B6BFC" w:rsidRPr="00F275A6" w14:paraId="6765EC7B" w14:textId="77777777" w:rsidTr="009968DB">
        <w:trPr>
          <w:trHeight w:val="300"/>
        </w:trPr>
        <w:tc>
          <w:tcPr>
            <w:tcW w:w="4924" w:type="pct"/>
            <w:gridSpan w:val="8"/>
            <w:vMerge/>
            <w:tcBorders>
              <w:top w:val="single" w:sz="4" w:space="0" w:color="auto"/>
              <w:left w:val="single" w:sz="4" w:space="0" w:color="auto"/>
              <w:bottom w:val="single" w:sz="4" w:space="0" w:color="auto"/>
              <w:right w:val="single" w:sz="4" w:space="0" w:color="auto"/>
            </w:tcBorders>
            <w:vAlign w:val="center"/>
            <w:hideMark/>
          </w:tcPr>
          <w:p w14:paraId="324ED314" w14:textId="77777777" w:rsidR="002B6BFC" w:rsidRPr="00F275A6" w:rsidRDefault="002B6BFC" w:rsidP="00CF75E0">
            <w:pPr>
              <w:jc w:val="left"/>
              <w:rPr>
                <w:rFonts w:ascii="Calibri" w:hAnsi="Calibri" w:cs="Calibri"/>
                <w:color w:val="000000"/>
                <w:sz w:val="18"/>
                <w:szCs w:val="18"/>
                <w:lang w:val="es-CO" w:eastAsia="es-CO"/>
              </w:rPr>
            </w:pPr>
          </w:p>
        </w:tc>
        <w:tc>
          <w:tcPr>
            <w:tcW w:w="76" w:type="pct"/>
            <w:tcBorders>
              <w:top w:val="nil"/>
              <w:left w:val="nil"/>
              <w:bottom w:val="nil"/>
              <w:right w:val="nil"/>
            </w:tcBorders>
            <w:shd w:val="clear" w:color="auto" w:fill="auto"/>
            <w:noWrap/>
            <w:vAlign w:val="bottom"/>
            <w:hideMark/>
          </w:tcPr>
          <w:p w14:paraId="1504776A" w14:textId="77777777" w:rsidR="002B6BFC" w:rsidRPr="00F275A6" w:rsidRDefault="002B6BFC" w:rsidP="00CF75E0">
            <w:pPr>
              <w:jc w:val="left"/>
              <w:rPr>
                <w:rFonts w:ascii="Times New Roman" w:hAnsi="Times New Roman"/>
                <w:sz w:val="18"/>
                <w:szCs w:val="18"/>
                <w:lang w:val="es-CO" w:eastAsia="es-CO"/>
              </w:rPr>
            </w:pPr>
          </w:p>
        </w:tc>
      </w:tr>
    </w:tbl>
    <w:p w14:paraId="0A0D91F1" w14:textId="77777777" w:rsidR="00496D67" w:rsidRDefault="00496D67" w:rsidP="00496D67">
      <w:pPr>
        <w:pStyle w:val="Ttulo1"/>
        <w:numPr>
          <w:ilvl w:val="0"/>
          <w:numId w:val="14"/>
        </w:numPr>
        <w:spacing w:after="0"/>
        <w:ind w:left="431" w:hanging="431"/>
        <w:jc w:val="left"/>
        <w:rPr>
          <w:szCs w:val="24"/>
        </w:rPr>
        <w:sectPr w:rsidR="00496D67" w:rsidSect="00813D90">
          <w:pgSz w:w="12242" w:h="15842" w:code="1"/>
          <w:pgMar w:top="1418" w:right="1418" w:bottom="1418" w:left="1418" w:header="851" w:footer="567" w:gutter="0"/>
          <w:cols w:space="720"/>
          <w:titlePg/>
          <w:docGrid w:linePitch="326"/>
        </w:sectPr>
      </w:pPr>
    </w:p>
    <w:p w14:paraId="33166C0E" w14:textId="6CB0714C" w:rsidR="00496D67" w:rsidRDefault="00496D67" w:rsidP="00496D67">
      <w:pPr>
        <w:pStyle w:val="Ttulo1"/>
        <w:numPr>
          <w:ilvl w:val="0"/>
          <w:numId w:val="14"/>
        </w:numPr>
        <w:spacing w:after="0"/>
        <w:ind w:left="431" w:hanging="431"/>
        <w:jc w:val="left"/>
        <w:rPr>
          <w:szCs w:val="24"/>
        </w:rPr>
      </w:pPr>
      <w:bookmarkStart w:id="27" w:name="_Toc158211408"/>
      <w:r>
        <w:rPr>
          <w:szCs w:val="24"/>
        </w:rPr>
        <w:lastRenderedPageBreak/>
        <w:t>CONCEPTO SIC DE LA ABOGACÍA DE LA COMPETENCIA</w:t>
      </w:r>
      <w:bookmarkEnd w:id="27"/>
      <w:r>
        <w:rPr>
          <w:szCs w:val="24"/>
        </w:rPr>
        <w:t xml:space="preserve"> </w:t>
      </w:r>
    </w:p>
    <w:p w14:paraId="777C723D" w14:textId="77777777" w:rsidR="00C27C7C" w:rsidRDefault="00C27C7C" w:rsidP="00CF75E0">
      <w:pPr>
        <w:jc w:val="left"/>
        <w:rPr>
          <w:sz w:val="22"/>
        </w:rPr>
      </w:pPr>
    </w:p>
    <w:p w14:paraId="7A2C79CD" w14:textId="77777777" w:rsidR="00496D67" w:rsidRDefault="00496D67" w:rsidP="00CF75E0">
      <w:pPr>
        <w:jc w:val="left"/>
        <w:rPr>
          <w:sz w:val="22"/>
        </w:rPr>
      </w:pPr>
    </w:p>
    <w:p w14:paraId="01A10BB3" w14:textId="668BA854" w:rsidR="00496D67" w:rsidRDefault="00496D67" w:rsidP="00496D67">
      <w:pPr>
        <w:jc w:val="center"/>
        <w:rPr>
          <w:sz w:val="22"/>
        </w:rPr>
      </w:pPr>
      <w:r w:rsidRPr="00496D67">
        <w:rPr>
          <w:noProof/>
        </w:rPr>
        <w:drawing>
          <wp:inline distT="0" distB="0" distL="0" distR="0" wp14:anchorId="16C5864B" wp14:editId="322CE0E3">
            <wp:extent cx="5143228" cy="7555950"/>
            <wp:effectExtent l="0" t="0" r="635" b="6985"/>
            <wp:docPr id="55395058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50587" name="Imagen 1" descr="Texto, Carta&#10;&#10;Descripción generada automáticamente"/>
                    <pic:cNvPicPr/>
                  </pic:nvPicPr>
                  <pic:blipFill>
                    <a:blip r:embed="rId22"/>
                    <a:stretch>
                      <a:fillRect/>
                    </a:stretch>
                  </pic:blipFill>
                  <pic:spPr>
                    <a:xfrm>
                      <a:off x="0" y="0"/>
                      <a:ext cx="5149053" cy="7564508"/>
                    </a:xfrm>
                    <a:prstGeom prst="rect">
                      <a:avLst/>
                    </a:prstGeom>
                  </pic:spPr>
                </pic:pic>
              </a:graphicData>
            </a:graphic>
          </wp:inline>
        </w:drawing>
      </w:r>
    </w:p>
    <w:p w14:paraId="13BDE9E5" w14:textId="77777777" w:rsidR="00496D67" w:rsidRDefault="00496D67" w:rsidP="00496D67">
      <w:pPr>
        <w:jc w:val="center"/>
        <w:rPr>
          <w:sz w:val="22"/>
        </w:rPr>
      </w:pPr>
    </w:p>
    <w:p w14:paraId="02B74E01" w14:textId="34813F91" w:rsidR="00496D67" w:rsidRDefault="00F275A6" w:rsidP="00496D67">
      <w:pPr>
        <w:jc w:val="center"/>
        <w:rPr>
          <w:sz w:val="22"/>
        </w:rPr>
      </w:pPr>
      <w:r w:rsidRPr="00F275A6">
        <w:rPr>
          <w:noProof/>
        </w:rPr>
        <w:lastRenderedPageBreak/>
        <w:drawing>
          <wp:inline distT="0" distB="0" distL="0" distR="0" wp14:anchorId="5D705A71" wp14:editId="50D655B8">
            <wp:extent cx="5206301" cy="7772400"/>
            <wp:effectExtent l="0" t="0" r="0" b="0"/>
            <wp:docPr id="84829177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91773" name="Imagen 1" descr="Texto, Carta&#10;&#10;Descripción generada automáticamente"/>
                    <pic:cNvPicPr/>
                  </pic:nvPicPr>
                  <pic:blipFill>
                    <a:blip r:embed="rId23"/>
                    <a:stretch>
                      <a:fillRect/>
                    </a:stretch>
                  </pic:blipFill>
                  <pic:spPr>
                    <a:xfrm>
                      <a:off x="0" y="0"/>
                      <a:ext cx="5209012" cy="7776448"/>
                    </a:xfrm>
                    <a:prstGeom prst="rect">
                      <a:avLst/>
                    </a:prstGeom>
                  </pic:spPr>
                </pic:pic>
              </a:graphicData>
            </a:graphic>
          </wp:inline>
        </w:drawing>
      </w:r>
    </w:p>
    <w:p w14:paraId="39970487" w14:textId="5A39C06E" w:rsidR="00496D67" w:rsidRDefault="00F275A6" w:rsidP="00F275A6">
      <w:pPr>
        <w:jc w:val="center"/>
        <w:rPr>
          <w:sz w:val="22"/>
        </w:rPr>
      </w:pPr>
      <w:r w:rsidRPr="00F275A6">
        <w:rPr>
          <w:noProof/>
        </w:rPr>
        <w:lastRenderedPageBreak/>
        <w:drawing>
          <wp:inline distT="0" distB="0" distL="0" distR="0" wp14:anchorId="7498259B" wp14:editId="54CF1E4C">
            <wp:extent cx="5050928" cy="7690514"/>
            <wp:effectExtent l="0" t="0" r="0" b="5715"/>
            <wp:docPr id="143000906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09062" name="Imagen 1" descr="Texto, Carta&#10;&#10;Descripción generada automáticamente"/>
                    <pic:cNvPicPr/>
                  </pic:nvPicPr>
                  <pic:blipFill>
                    <a:blip r:embed="rId24"/>
                    <a:stretch>
                      <a:fillRect/>
                    </a:stretch>
                  </pic:blipFill>
                  <pic:spPr>
                    <a:xfrm>
                      <a:off x="0" y="0"/>
                      <a:ext cx="5055717" cy="7697806"/>
                    </a:xfrm>
                    <a:prstGeom prst="rect">
                      <a:avLst/>
                    </a:prstGeom>
                  </pic:spPr>
                </pic:pic>
              </a:graphicData>
            </a:graphic>
          </wp:inline>
        </w:drawing>
      </w:r>
    </w:p>
    <w:p w14:paraId="7EC510D8" w14:textId="45AD5715" w:rsidR="00F275A6" w:rsidRDefault="00F275A6" w:rsidP="00F275A6">
      <w:pPr>
        <w:jc w:val="center"/>
        <w:rPr>
          <w:sz w:val="22"/>
        </w:rPr>
      </w:pPr>
      <w:r w:rsidRPr="00F275A6">
        <w:rPr>
          <w:noProof/>
        </w:rPr>
        <w:lastRenderedPageBreak/>
        <w:drawing>
          <wp:inline distT="0" distB="0" distL="0" distR="0" wp14:anchorId="25F29407" wp14:editId="1C912785">
            <wp:extent cx="5246573" cy="7786048"/>
            <wp:effectExtent l="0" t="0" r="0" b="5715"/>
            <wp:docPr id="199870074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00740" name="Imagen 1" descr="Texto, Carta&#10;&#10;Descripción generada automáticamente"/>
                    <pic:cNvPicPr/>
                  </pic:nvPicPr>
                  <pic:blipFill>
                    <a:blip r:embed="rId25"/>
                    <a:stretch>
                      <a:fillRect/>
                    </a:stretch>
                  </pic:blipFill>
                  <pic:spPr>
                    <a:xfrm>
                      <a:off x="0" y="0"/>
                      <a:ext cx="5249161" cy="7789888"/>
                    </a:xfrm>
                    <a:prstGeom prst="rect">
                      <a:avLst/>
                    </a:prstGeom>
                  </pic:spPr>
                </pic:pic>
              </a:graphicData>
            </a:graphic>
          </wp:inline>
        </w:drawing>
      </w:r>
    </w:p>
    <w:p w14:paraId="70C85DA1" w14:textId="77777777" w:rsidR="00F275A6" w:rsidRDefault="00F275A6" w:rsidP="00CF75E0">
      <w:pPr>
        <w:jc w:val="left"/>
        <w:rPr>
          <w:sz w:val="22"/>
        </w:rPr>
      </w:pPr>
    </w:p>
    <w:p w14:paraId="075C662F" w14:textId="77777777" w:rsidR="00496D67" w:rsidRDefault="00F275A6" w:rsidP="00F275A6">
      <w:pPr>
        <w:jc w:val="center"/>
        <w:rPr>
          <w:sz w:val="22"/>
        </w:rPr>
      </w:pPr>
      <w:r w:rsidRPr="00F275A6">
        <w:rPr>
          <w:noProof/>
        </w:rPr>
        <w:lastRenderedPageBreak/>
        <w:drawing>
          <wp:inline distT="0" distB="0" distL="0" distR="0" wp14:anchorId="5C18D0FA" wp14:editId="01DA0651">
            <wp:extent cx="5135485" cy="7690514"/>
            <wp:effectExtent l="0" t="0" r="8255" b="5715"/>
            <wp:docPr id="109263354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33544" name="Imagen 1" descr="Texto&#10;&#10;Descripción generada automáticamente"/>
                    <pic:cNvPicPr/>
                  </pic:nvPicPr>
                  <pic:blipFill>
                    <a:blip r:embed="rId26"/>
                    <a:stretch>
                      <a:fillRect/>
                    </a:stretch>
                  </pic:blipFill>
                  <pic:spPr>
                    <a:xfrm>
                      <a:off x="0" y="0"/>
                      <a:ext cx="5138488" cy="7695011"/>
                    </a:xfrm>
                    <a:prstGeom prst="rect">
                      <a:avLst/>
                    </a:prstGeom>
                  </pic:spPr>
                </pic:pic>
              </a:graphicData>
            </a:graphic>
          </wp:inline>
        </w:drawing>
      </w:r>
    </w:p>
    <w:p w14:paraId="4BF45143" w14:textId="77777777" w:rsidR="00F275A6" w:rsidRDefault="00F275A6" w:rsidP="00F275A6">
      <w:pPr>
        <w:jc w:val="center"/>
        <w:rPr>
          <w:sz w:val="22"/>
        </w:rPr>
      </w:pPr>
    </w:p>
    <w:p w14:paraId="4CCE4180" w14:textId="77777777" w:rsidR="00F275A6" w:rsidRDefault="00F275A6" w:rsidP="00F275A6">
      <w:pPr>
        <w:jc w:val="center"/>
        <w:rPr>
          <w:sz w:val="22"/>
        </w:rPr>
      </w:pPr>
    </w:p>
    <w:p w14:paraId="0C3A823C" w14:textId="77777777" w:rsidR="00F275A6" w:rsidRDefault="00F275A6" w:rsidP="00F275A6">
      <w:pPr>
        <w:jc w:val="center"/>
        <w:rPr>
          <w:sz w:val="22"/>
        </w:rPr>
      </w:pPr>
      <w:r w:rsidRPr="00F275A6">
        <w:rPr>
          <w:noProof/>
        </w:rPr>
        <w:drawing>
          <wp:inline distT="0" distB="0" distL="0" distR="0" wp14:anchorId="55256692" wp14:editId="04485E24">
            <wp:extent cx="5170682" cy="7765576"/>
            <wp:effectExtent l="0" t="0" r="0" b="6985"/>
            <wp:docPr id="57636245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2450" name="Imagen 1" descr="Texto&#10;&#10;Descripción generada automáticamente"/>
                    <pic:cNvPicPr/>
                  </pic:nvPicPr>
                  <pic:blipFill>
                    <a:blip r:embed="rId27"/>
                    <a:stretch>
                      <a:fillRect/>
                    </a:stretch>
                  </pic:blipFill>
                  <pic:spPr>
                    <a:xfrm>
                      <a:off x="0" y="0"/>
                      <a:ext cx="5177019" cy="7775093"/>
                    </a:xfrm>
                    <a:prstGeom prst="rect">
                      <a:avLst/>
                    </a:prstGeom>
                  </pic:spPr>
                </pic:pic>
              </a:graphicData>
            </a:graphic>
          </wp:inline>
        </w:drawing>
      </w:r>
    </w:p>
    <w:p w14:paraId="76CC2FB5" w14:textId="49B70854" w:rsidR="00F275A6" w:rsidRDefault="00F275A6" w:rsidP="00F275A6">
      <w:pPr>
        <w:jc w:val="center"/>
        <w:rPr>
          <w:sz w:val="22"/>
        </w:rPr>
      </w:pPr>
      <w:r w:rsidRPr="00F275A6">
        <w:rPr>
          <w:noProof/>
        </w:rPr>
        <w:lastRenderedPageBreak/>
        <w:drawing>
          <wp:inline distT="0" distB="0" distL="0" distR="0" wp14:anchorId="0DC74C72" wp14:editId="2F8D9097">
            <wp:extent cx="5158854" cy="7772944"/>
            <wp:effectExtent l="0" t="0" r="3810" b="0"/>
            <wp:docPr id="77953980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39807" name="Imagen 1" descr="Texto, Carta&#10;&#10;Descripción generada automáticamente"/>
                    <pic:cNvPicPr/>
                  </pic:nvPicPr>
                  <pic:blipFill>
                    <a:blip r:embed="rId28"/>
                    <a:stretch>
                      <a:fillRect/>
                    </a:stretch>
                  </pic:blipFill>
                  <pic:spPr>
                    <a:xfrm>
                      <a:off x="0" y="0"/>
                      <a:ext cx="5162665" cy="7778685"/>
                    </a:xfrm>
                    <a:prstGeom prst="rect">
                      <a:avLst/>
                    </a:prstGeom>
                  </pic:spPr>
                </pic:pic>
              </a:graphicData>
            </a:graphic>
          </wp:inline>
        </w:drawing>
      </w:r>
    </w:p>
    <w:p w14:paraId="00AED91B" w14:textId="77777777" w:rsidR="00F275A6" w:rsidRDefault="00F275A6" w:rsidP="00F275A6">
      <w:pPr>
        <w:jc w:val="center"/>
        <w:rPr>
          <w:sz w:val="22"/>
        </w:rPr>
      </w:pPr>
    </w:p>
    <w:p w14:paraId="72D3A863" w14:textId="53F76563" w:rsidR="00F275A6" w:rsidRDefault="00F275A6" w:rsidP="00F275A6">
      <w:pPr>
        <w:jc w:val="center"/>
        <w:rPr>
          <w:sz w:val="22"/>
        </w:rPr>
      </w:pPr>
      <w:r w:rsidRPr="00F275A6">
        <w:rPr>
          <w:noProof/>
        </w:rPr>
        <w:lastRenderedPageBreak/>
        <w:drawing>
          <wp:inline distT="0" distB="0" distL="0" distR="0" wp14:anchorId="54F95E41" wp14:editId="1D61BF1A">
            <wp:extent cx="5156352" cy="7765576"/>
            <wp:effectExtent l="0" t="0" r="6350" b="6985"/>
            <wp:docPr id="187057976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79769" name="Imagen 1" descr="Texto, Carta&#10;&#10;Descripción generada automáticamente"/>
                    <pic:cNvPicPr/>
                  </pic:nvPicPr>
                  <pic:blipFill>
                    <a:blip r:embed="rId29"/>
                    <a:stretch>
                      <a:fillRect/>
                    </a:stretch>
                  </pic:blipFill>
                  <pic:spPr>
                    <a:xfrm>
                      <a:off x="0" y="0"/>
                      <a:ext cx="5158733" cy="7769162"/>
                    </a:xfrm>
                    <a:prstGeom prst="rect">
                      <a:avLst/>
                    </a:prstGeom>
                  </pic:spPr>
                </pic:pic>
              </a:graphicData>
            </a:graphic>
          </wp:inline>
        </w:drawing>
      </w:r>
    </w:p>
    <w:p w14:paraId="23FF391B" w14:textId="77777777" w:rsidR="00F275A6" w:rsidRDefault="00F275A6" w:rsidP="00F275A6">
      <w:pPr>
        <w:jc w:val="center"/>
        <w:rPr>
          <w:sz w:val="22"/>
        </w:rPr>
      </w:pPr>
    </w:p>
    <w:p w14:paraId="189628B4" w14:textId="2BDF2C03" w:rsidR="00F275A6" w:rsidRDefault="00F275A6" w:rsidP="00F275A6">
      <w:pPr>
        <w:jc w:val="center"/>
        <w:rPr>
          <w:sz w:val="22"/>
        </w:rPr>
      </w:pPr>
      <w:r w:rsidRPr="00F275A6">
        <w:rPr>
          <w:noProof/>
        </w:rPr>
        <w:lastRenderedPageBreak/>
        <w:drawing>
          <wp:inline distT="0" distB="0" distL="0" distR="0" wp14:anchorId="2BA845C9" wp14:editId="3636A4EA">
            <wp:extent cx="5217664" cy="7867935"/>
            <wp:effectExtent l="0" t="0" r="2540" b="0"/>
            <wp:docPr id="23936789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67895" name="Imagen 1" descr="Texto, Carta&#10;&#10;Descripción generada automáticamente"/>
                    <pic:cNvPicPr/>
                  </pic:nvPicPr>
                  <pic:blipFill>
                    <a:blip r:embed="rId30"/>
                    <a:stretch>
                      <a:fillRect/>
                    </a:stretch>
                  </pic:blipFill>
                  <pic:spPr>
                    <a:xfrm>
                      <a:off x="0" y="0"/>
                      <a:ext cx="5221544" cy="7873786"/>
                    </a:xfrm>
                    <a:prstGeom prst="rect">
                      <a:avLst/>
                    </a:prstGeom>
                  </pic:spPr>
                </pic:pic>
              </a:graphicData>
            </a:graphic>
          </wp:inline>
        </w:drawing>
      </w:r>
    </w:p>
    <w:p w14:paraId="59D1A1DE" w14:textId="7BC28074" w:rsidR="00F275A6" w:rsidRDefault="00F275A6" w:rsidP="00F275A6">
      <w:pPr>
        <w:jc w:val="center"/>
        <w:rPr>
          <w:sz w:val="22"/>
        </w:rPr>
      </w:pPr>
      <w:r w:rsidRPr="00F275A6">
        <w:rPr>
          <w:noProof/>
        </w:rPr>
        <w:lastRenderedPageBreak/>
        <w:drawing>
          <wp:inline distT="0" distB="0" distL="0" distR="0" wp14:anchorId="6FC6DD8C" wp14:editId="6BCCA299">
            <wp:extent cx="5267795" cy="7854287"/>
            <wp:effectExtent l="0" t="0" r="9525" b="0"/>
            <wp:docPr id="63112798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27983" name="Imagen 1" descr="Texto&#10;&#10;Descripción generada automáticamente"/>
                    <pic:cNvPicPr/>
                  </pic:nvPicPr>
                  <pic:blipFill>
                    <a:blip r:embed="rId31"/>
                    <a:stretch>
                      <a:fillRect/>
                    </a:stretch>
                  </pic:blipFill>
                  <pic:spPr>
                    <a:xfrm>
                      <a:off x="0" y="0"/>
                      <a:ext cx="5269614" cy="7856999"/>
                    </a:xfrm>
                    <a:prstGeom prst="rect">
                      <a:avLst/>
                    </a:prstGeom>
                  </pic:spPr>
                </pic:pic>
              </a:graphicData>
            </a:graphic>
          </wp:inline>
        </w:drawing>
      </w:r>
    </w:p>
    <w:p w14:paraId="60B126F1" w14:textId="20F95AAE" w:rsidR="00F275A6" w:rsidRDefault="00F275A6" w:rsidP="00F275A6">
      <w:pPr>
        <w:jc w:val="center"/>
        <w:rPr>
          <w:sz w:val="22"/>
        </w:rPr>
      </w:pPr>
      <w:r w:rsidRPr="00F275A6">
        <w:rPr>
          <w:noProof/>
        </w:rPr>
        <w:lastRenderedPageBreak/>
        <w:drawing>
          <wp:inline distT="0" distB="0" distL="0" distR="0" wp14:anchorId="19189C0E" wp14:editId="2C9C1EC7">
            <wp:extent cx="5377218" cy="7804497"/>
            <wp:effectExtent l="0" t="0" r="0" b="6350"/>
            <wp:docPr id="1882498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980" name="Imagen 1" descr="Texto, Carta&#10;&#10;Descripción generada automáticamente"/>
                    <pic:cNvPicPr/>
                  </pic:nvPicPr>
                  <pic:blipFill>
                    <a:blip r:embed="rId32"/>
                    <a:stretch>
                      <a:fillRect/>
                    </a:stretch>
                  </pic:blipFill>
                  <pic:spPr>
                    <a:xfrm>
                      <a:off x="0" y="0"/>
                      <a:ext cx="5379336" cy="7807571"/>
                    </a:xfrm>
                    <a:prstGeom prst="rect">
                      <a:avLst/>
                    </a:prstGeom>
                  </pic:spPr>
                </pic:pic>
              </a:graphicData>
            </a:graphic>
          </wp:inline>
        </w:drawing>
      </w:r>
    </w:p>
    <w:p w14:paraId="797AD808" w14:textId="77FD186F" w:rsidR="00F275A6" w:rsidRDefault="00F275A6" w:rsidP="00F275A6">
      <w:pPr>
        <w:jc w:val="center"/>
        <w:rPr>
          <w:sz w:val="22"/>
        </w:rPr>
      </w:pPr>
      <w:r w:rsidRPr="00F275A6">
        <w:rPr>
          <w:noProof/>
        </w:rPr>
        <w:lastRenderedPageBreak/>
        <w:drawing>
          <wp:inline distT="0" distB="0" distL="0" distR="0" wp14:anchorId="439F48EB" wp14:editId="09337253">
            <wp:extent cx="5262183" cy="7758752"/>
            <wp:effectExtent l="0" t="0" r="0" b="0"/>
            <wp:docPr id="205335595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55957" name="Imagen 1" descr="Texto&#10;&#10;Descripción generada automáticamente"/>
                    <pic:cNvPicPr/>
                  </pic:nvPicPr>
                  <pic:blipFill>
                    <a:blip r:embed="rId33"/>
                    <a:stretch>
                      <a:fillRect/>
                    </a:stretch>
                  </pic:blipFill>
                  <pic:spPr>
                    <a:xfrm>
                      <a:off x="0" y="0"/>
                      <a:ext cx="5266855" cy="7765640"/>
                    </a:xfrm>
                    <a:prstGeom prst="rect">
                      <a:avLst/>
                    </a:prstGeom>
                  </pic:spPr>
                </pic:pic>
              </a:graphicData>
            </a:graphic>
          </wp:inline>
        </w:drawing>
      </w:r>
    </w:p>
    <w:p w14:paraId="3B6FC017" w14:textId="77777777" w:rsidR="00F275A6" w:rsidRDefault="00F275A6" w:rsidP="00F275A6">
      <w:pPr>
        <w:jc w:val="center"/>
        <w:rPr>
          <w:sz w:val="22"/>
        </w:rPr>
      </w:pPr>
    </w:p>
    <w:p w14:paraId="6EF08336" w14:textId="6A487C5B" w:rsidR="00F275A6" w:rsidRDefault="00F275A6" w:rsidP="00F275A6">
      <w:pPr>
        <w:jc w:val="center"/>
        <w:rPr>
          <w:sz w:val="22"/>
        </w:rPr>
      </w:pPr>
      <w:r w:rsidRPr="00F275A6">
        <w:rPr>
          <w:noProof/>
        </w:rPr>
        <w:lastRenderedPageBreak/>
        <w:drawing>
          <wp:inline distT="0" distB="0" distL="0" distR="0" wp14:anchorId="79D78EE4" wp14:editId="02CA7FB2">
            <wp:extent cx="5228425" cy="7826991"/>
            <wp:effectExtent l="0" t="0" r="0" b="3175"/>
            <wp:docPr id="143812581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5818" name="Imagen 1" descr="Texto, Carta&#10;&#10;Descripción generada automáticamente"/>
                    <pic:cNvPicPr/>
                  </pic:nvPicPr>
                  <pic:blipFill>
                    <a:blip r:embed="rId34"/>
                    <a:stretch>
                      <a:fillRect/>
                    </a:stretch>
                  </pic:blipFill>
                  <pic:spPr>
                    <a:xfrm>
                      <a:off x="0" y="0"/>
                      <a:ext cx="5233655" cy="7834821"/>
                    </a:xfrm>
                    <a:prstGeom prst="rect">
                      <a:avLst/>
                    </a:prstGeom>
                  </pic:spPr>
                </pic:pic>
              </a:graphicData>
            </a:graphic>
          </wp:inline>
        </w:drawing>
      </w:r>
    </w:p>
    <w:p w14:paraId="42526E66" w14:textId="0B33CC8F" w:rsidR="00F275A6" w:rsidRDefault="00F275A6" w:rsidP="00F275A6">
      <w:pPr>
        <w:jc w:val="center"/>
        <w:rPr>
          <w:sz w:val="22"/>
        </w:rPr>
      </w:pPr>
      <w:r w:rsidRPr="00F275A6">
        <w:rPr>
          <w:noProof/>
        </w:rPr>
        <w:lastRenderedPageBreak/>
        <w:drawing>
          <wp:inline distT="0" distB="0" distL="0" distR="0" wp14:anchorId="5D3B4584" wp14:editId="793953A5">
            <wp:extent cx="5376765" cy="7867935"/>
            <wp:effectExtent l="0" t="0" r="0" b="0"/>
            <wp:docPr id="157669374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93740" name="Imagen 1" descr="Texto, Carta&#10;&#10;Descripción generada automáticamente"/>
                    <pic:cNvPicPr/>
                  </pic:nvPicPr>
                  <pic:blipFill>
                    <a:blip r:embed="rId35"/>
                    <a:stretch>
                      <a:fillRect/>
                    </a:stretch>
                  </pic:blipFill>
                  <pic:spPr>
                    <a:xfrm>
                      <a:off x="0" y="0"/>
                      <a:ext cx="5382595" cy="7876467"/>
                    </a:xfrm>
                    <a:prstGeom prst="rect">
                      <a:avLst/>
                    </a:prstGeom>
                  </pic:spPr>
                </pic:pic>
              </a:graphicData>
            </a:graphic>
          </wp:inline>
        </w:drawing>
      </w:r>
    </w:p>
    <w:p w14:paraId="7E8F5B7A" w14:textId="4D993851" w:rsidR="00F275A6" w:rsidRDefault="00F275A6" w:rsidP="00F275A6">
      <w:pPr>
        <w:jc w:val="center"/>
        <w:rPr>
          <w:sz w:val="22"/>
        </w:rPr>
      </w:pPr>
      <w:r w:rsidRPr="00F275A6">
        <w:rPr>
          <w:noProof/>
        </w:rPr>
        <w:lastRenderedPageBreak/>
        <w:drawing>
          <wp:inline distT="0" distB="0" distL="0" distR="0" wp14:anchorId="0A125A10" wp14:editId="68014ADF">
            <wp:extent cx="5275308" cy="7786048"/>
            <wp:effectExtent l="0" t="0" r="1905" b="5715"/>
            <wp:docPr id="189550587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05870" name="Imagen 1" descr="Texto, Carta&#10;&#10;Descripción generada automáticamente"/>
                    <pic:cNvPicPr/>
                  </pic:nvPicPr>
                  <pic:blipFill>
                    <a:blip r:embed="rId36"/>
                    <a:stretch>
                      <a:fillRect/>
                    </a:stretch>
                  </pic:blipFill>
                  <pic:spPr>
                    <a:xfrm>
                      <a:off x="0" y="0"/>
                      <a:ext cx="5276747" cy="7788172"/>
                    </a:xfrm>
                    <a:prstGeom prst="rect">
                      <a:avLst/>
                    </a:prstGeom>
                  </pic:spPr>
                </pic:pic>
              </a:graphicData>
            </a:graphic>
          </wp:inline>
        </w:drawing>
      </w:r>
    </w:p>
    <w:p w14:paraId="489A36C1" w14:textId="77777777" w:rsidR="00F275A6" w:rsidRDefault="00F275A6" w:rsidP="00F275A6">
      <w:pPr>
        <w:jc w:val="center"/>
        <w:rPr>
          <w:sz w:val="22"/>
        </w:rPr>
      </w:pPr>
    </w:p>
    <w:p w14:paraId="2F5F80D6" w14:textId="6B35F571" w:rsidR="00F275A6" w:rsidRDefault="00F275A6" w:rsidP="00F275A6">
      <w:pPr>
        <w:jc w:val="center"/>
        <w:rPr>
          <w:sz w:val="22"/>
        </w:rPr>
      </w:pPr>
      <w:r w:rsidRPr="00F275A6">
        <w:rPr>
          <w:noProof/>
        </w:rPr>
        <w:lastRenderedPageBreak/>
        <w:drawing>
          <wp:inline distT="0" distB="0" distL="0" distR="0" wp14:anchorId="1015EB63" wp14:editId="202DFFEA">
            <wp:extent cx="5272570" cy="7820167"/>
            <wp:effectExtent l="0" t="0" r="4445" b="0"/>
            <wp:docPr id="98213141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1410" name="Imagen 1" descr="Texto, Carta&#10;&#10;Descripción generada automáticamente"/>
                    <pic:cNvPicPr/>
                  </pic:nvPicPr>
                  <pic:blipFill>
                    <a:blip r:embed="rId37"/>
                    <a:stretch>
                      <a:fillRect/>
                    </a:stretch>
                  </pic:blipFill>
                  <pic:spPr>
                    <a:xfrm>
                      <a:off x="0" y="0"/>
                      <a:ext cx="5275952" cy="7825183"/>
                    </a:xfrm>
                    <a:prstGeom prst="rect">
                      <a:avLst/>
                    </a:prstGeom>
                  </pic:spPr>
                </pic:pic>
              </a:graphicData>
            </a:graphic>
          </wp:inline>
        </w:drawing>
      </w:r>
    </w:p>
    <w:p w14:paraId="115E5EC4" w14:textId="43A6F1A5" w:rsidR="00F275A6" w:rsidRDefault="00F275A6" w:rsidP="00F275A6">
      <w:pPr>
        <w:jc w:val="center"/>
        <w:rPr>
          <w:sz w:val="22"/>
        </w:rPr>
      </w:pPr>
      <w:r w:rsidRPr="00F275A6">
        <w:rPr>
          <w:noProof/>
        </w:rPr>
        <w:lastRenderedPageBreak/>
        <w:drawing>
          <wp:inline distT="0" distB="0" distL="0" distR="0" wp14:anchorId="769111DE" wp14:editId="42D44AEB">
            <wp:extent cx="5408260" cy="7833815"/>
            <wp:effectExtent l="0" t="0" r="2540" b="0"/>
            <wp:docPr id="186375533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55339" name="Imagen 1" descr="Texto, Carta&#10;&#10;Descripción generada automáticamente"/>
                    <pic:cNvPicPr/>
                  </pic:nvPicPr>
                  <pic:blipFill>
                    <a:blip r:embed="rId38"/>
                    <a:stretch>
                      <a:fillRect/>
                    </a:stretch>
                  </pic:blipFill>
                  <pic:spPr>
                    <a:xfrm>
                      <a:off x="0" y="0"/>
                      <a:ext cx="5411944" cy="7839152"/>
                    </a:xfrm>
                    <a:prstGeom prst="rect">
                      <a:avLst/>
                    </a:prstGeom>
                  </pic:spPr>
                </pic:pic>
              </a:graphicData>
            </a:graphic>
          </wp:inline>
        </w:drawing>
      </w:r>
    </w:p>
    <w:p w14:paraId="09389B15" w14:textId="6D0EF1AF" w:rsidR="00F275A6" w:rsidRDefault="00F275A6" w:rsidP="00F275A6">
      <w:pPr>
        <w:jc w:val="center"/>
        <w:rPr>
          <w:sz w:val="22"/>
        </w:rPr>
      </w:pPr>
      <w:r w:rsidRPr="00F275A6">
        <w:rPr>
          <w:noProof/>
        </w:rPr>
        <w:lastRenderedPageBreak/>
        <w:drawing>
          <wp:inline distT="0" distB="0" distL="0" distR="0" wp14:anchorId="715AB205" wp14:editId="755BD4E0">
            <wp:extent cx="5348601" cy="7806520"/>
            <wp:effectExtent l="0" t="0" r="5080" b="4445"/>
            <wp:docPr id="99673017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30179" name="Imagen 1" descr="Texto, Carta&#10;&#10;Descripción generada automáticamente"/>
                    <pic:cNvPicPr/>
                  </pic:nvPicPr>
                  <pic:blipFill>
                    <a:blip r:embed="rId39"/>
                    <a:stretch>
                      <a:fillRect/>
                    </a:stretch>
                  </pic:blipFill>
                  <pic:spPr>
                    <a:xfrm>
                      <a:off x="0" y="0"/>
                      <a:ext cx="5350597" cy="7809434"/>
                    </a:xfrm>
                    <a:prstGeom prst="rect">
                      <a:avLst/>
                    </a:prstGeom>
                  </pic:spPr>
                </pic:pic>
              </a:graphicData>
            </a:graphic>
          </wp:inline>
        </w:drawing>
      </w:r>
    </w:p>
    <w:p w14:paraId="01340050" w14:textId="07A5AA8B" w:rsidR="00F275A6" w:rsidRDefault="00F275A6" w:rsidP="00F275A6">
      <w:pPr>
        <w:jc w:val="center"/>
        <w:rPr>
          <w:sz w:val="22"/>
        </w:rPr>
      </w:pPr>
      <w:r w:rsidRPr="00F275A6">
        <w:rPr>
          <w:noProof/>
        </w:rPr>
        <w:lastRenderedPageBreak/>
        <w:drawing>
          <wp:inline distT="0" distB="0" distL="0" distR="0" wp14:anchorId="798C4F10" wp14:editId="2BF225B8">
            <wp:extent cx="5308464" cy="7826991"/>
            <wp:effectExtent l="0" t="0" r="6985" b="3175"/>
            <wp:docPr id="162008529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85292" name="Imagen 1" descr="Texto&#10;&#10;Descripción generada automáticamente"/>
                    <pic:cNvPicPr/>
                  </pic:nvPicPr>
                  <pic:blipFill>
                    <a:blip r:embed="rId40"/>
                    <a:stretch>
                      <a:fillRect/>
                    </a:stretch>
                  </pic:blipFill>
                  <pic:spPr>
                    <a:xfrm>
                      <a:off x="0" y="0"/>
                      <a:ext cx="5311484" cy="7831444"/>
                    </a:xfrm>
                    <a:prstGeom prst="rect">
                      <a:avLst/>
                    </a:prstGeom>
                  </pic:spPr>
                </pic:pic>
              </a:graphicData>
            </a:graphic>
          </wp:inline>
        </w:drawing>
      </w:r>
    </w:p>
    <w:p w14:paraId="56BC3D5F" w14:textId="394BFC94" w:rsidR="00F275A6" w:rsidRDefault="00F275A6" w:rsidP="00F275A6">
      <w:pPr>
        <w:jc w:val="center"/>
        <w:rPr>
          <w:sz w:val="22"/>
        </w:rPr>
      </w:pPr>
      <w:r w:rsidRPr="00F275A6">
        <w:rPr>
          <w:noProof/>
        </w:rPr>
        <w:lastRenderedPageBreak/>
        <w:drawing>
          <wp:inline distT="0" distB="0" distL="0" distR="0" wp14:anchorId="33257DBA" wp14:editId="5C6A6C6C">
            <wp:extent cx="5290002" cy="7874758"/>
            <wp:effectExtent l="0" t="0" r="6350" b="0"/>
            <wp:docPr id="103064546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45460" name="Imagen 1" descr="Texto, Carta&#10;&#10;Descripción generada automáticamente"/>
                    <pic:cNvPicPr/>
                  </pic:nvPicPr>
                  <pic:blipFill>
                    <a:blip r:embed="rId41"/>
                    <a:stretch>
                      <a:fillRect/>
                    </a:stretch>
                  </pic:blipFill>
                  <pic:spPr>
                    <a:xfrm>
                      <a:off x="0" y="0"/>
                      <a:ext cx="5295511" cy="7882959"/>
                    </a:xfrm>
                    <a:prstGeom prst="rect">
                      <a:avLst/>
                    </a:prstGeom>
                  </pic:spPr>
                </pic:pic>
              </a:graphicData>
            </a:graphic>
          </wp:inline>
        </w:drawing>
      </w:r>
    </w:p>
    <w:p w14:paraId="7CC352F6" w14:textId="49C895CE" w:rsidR="00F275A6" w:rsidRDefault="00F275A6" w:rsidP="00F275A6">
      <w:pPr>
        <w:jc w:val="center"/>
        <w:rPr>
          <w:sz w:val="22"/>
        </w:rPr>
      </w:pPr>
      <w:r w:rsidRPr="00F275A6">
        <w:rPr>
          <w:noProof/>
        </w:rPr>
        <w:lastRenderedPageBreak/>
        <w:drawing>
          <wp:inline distT="0" distB="0" distL="0" distR="0" wp14:anchorId="2F27DE9F" wp14:editId="6095850E">
            <wp:extent cx="5332367" cy="7833815"/>
            <wp:effectExtent l="0" t="0" r="1905" b="0"/>
            <wp:docPr id="2334779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7929" name="Imagen 1" descr="Texto&#10;&#10;Descripción generada automáticamente"/>
                    <pic:cNvPicPr/>
                  </pic:nvPicPr>
                  <pic:blipFill>
                    <a:blip r:embed="rId42"/>
                    <a:stretch>
                      <a:fillRect/>
                    </a:stretch>
                  </pic:blipFill>
                  <pic:spPr>
                    <a:xfrm>
                      <a:off x="0" y="0"/>
                      <a:ext cx="5336660" cy="7840122"/>
                    </a:xfrm>
                    <a:prstGeom prst="rect">
                      <a:avLst/>
                    </a:prstGeom>
                  </pic:spPr>
                </pic:pic>
              </a:graphicData>
            </a:graphic>
          </wp:inline>
        </w:drawing>
      </w:r>
    </w:p>
    <w:p w14:paraId="544E99A0" w14:textId="77777777" w:rsidR="00F275A6" w:rsidRDefault="00F275A6" w:rsidP="00F275A6">
      <w:pPr>
        <w:jc w:val="center"/>
        <w:rPr>
          <w:sz w:val="22"/>
        </w:rPr>
      </w:pPr>
    </w:p>
    <w:p w14:paraId="5269910B" w14:textId="77777777" w:rsidR="00F275A6" w:rsidRDefault="00F275A6" w:rsidP="00F275A6">
      <w:pPr>
        <w:jc w:val="center"/>
        <w:rPr>
          <w:sz w:val="22"/>
        </w:rPr>
      </w:pPr>
    </w:p>
    <w:p w14:paraId="0CEFEB4C" w14:textId="58062C80" w:rsidR="00F275A6" w:rsidRDefault="00B8476D" w:rsidP="00B8476D">
      <w:pPr>
        <w:rPr>
          <w:sz w:val="22"/>
        </w:rPr>
      </w:pPr>
      <w:r>
        <w:rPr>
          <w:sz w:val="22"/>
        </w:rPr>
        <w:t>Sobre el concepto remitido por la SIC, se resaltan los siguientes apartes:</w:t>
      </w:r>
    </w:p>
    <w:p w14:paraId="354FDA24" w14:textId="77777777" w:rsidR="00B8476D" w:rsidRDefault="00B8476D" w:rsidP="00B8476D">
      <w:pPr>
        <w:rPr>
          <w:sz w:val="22"/>
        </w:rPr>
      </w:pPr>
    </w:p>
    <w:p w14:paraId="1DE367F1" w14:textId="77777777" w:rsidR="00412F55" w:rsidRPr="00412F55" w:rsidRDefault="00412F55" w:rsidP="00412F55">
      <w:pPr>
        <w:rPr>
          <w:sz w:val="22"/>
        </w:rPr>
      </w:pPr>
      <w:r w:rsidRPr="00412F55">
        <w:rPr>
          <w:sz w:val="22"/>
        </w:rPr>
        <w:t>En el numeral 4.1 “</w:t>
      </w:r>
      <w:r w:rsidRPr="00412F55">
        <w:rPr>
          <w:i/>
          <w:iCs/>
          <w:sz w:val="22"/>
        </w:rPr>
        <w:t>Sobre la priorización que se le otorga al suministro relacionado con la Demanda esencial y regulada</w:t>
      </w:r>
      <w:r w:rsidRPr="00412F55">
        <w:rPr>
          <w:sz w:val="22"/>
        </w:rPr>
        <w:t>” del concepto recibido de la SIC, se establece que:</w:t>
      </w:r>
    </w:p>
    <w:p w14:paraId="38174DA3" w14:textId="77777777" w:rsidR="00412F55" w:rsidRPr="00412F55" w:rsidRDefault="00412F55" w:rsidP="00412F55">
      <w:pPr>
        <w:rPr>
          <w:sz w:val="22"/>
        </w:rPr>
      </w:pPr>
    </w:p>
    <w:p w14:paraId="710A2BD2" w14:textId="77777777" w:rsidR="00412F55" w:rsidRPr="00412F55" w:rsidRDefault="00412F55" w:rsidP="00412F55">
      <w:pPr>
        <w:ind w:left="708"/>
        <w:rPr>
          <w:i/>
          <w:iCs/>
          <w:sz w:val="22"/>
        </w:rPr>
      </w:pPr>
      <w:r w:rsidRPr="00412F55">
        <w:rPr>
          <w:sz w:val="22"/>
        </w:rPr>
        <w:t>“</w:t>
      </w:r>
      <w:r w:rsidRPr="00412F55">
        <w:rPr>
          <w:i/>
          <w:iCs/>
          <w:sz w:val="22"/>
        </w:rPr>
        <w:t>En consecuencia, los mecanismos de priorización del proyecto se encuentran justificados de manera razonable tanto por el ordenamiento jurídico sectorial vigente, como por las necesidades particulares para afrontar la contingencia. Además, la diferenciación entre agentes a la que se refiere el proyecto no surge con él, ni es una condición derivada del establecimiento de estas reglas transitorias.</w:t>
      </w:r>
    </w:p>
    <w:p w14:paraId="2E400DAD" w14:textId="77777777" w:rsidR="00412F55" w:rsidRPr="00412F55" w:rsidRDefault="00412F55" w:rsidP="00412F55">
      <w:pPr>
        <w:ind w:left="708"/>
        <w:rPr>
          <w:i/>
          <w:iCs/>
          <w:sz w:val="22"/>
        </w:rPr>
      </w:pPr>
    </w:p>
    <w:p w14:paraId="6A597F62" w14:textId="77777777" w:rsidR="00412F55" w:rsidRPr="00412F55" w:rsidRDefault="00412F55" w:rsidP="00412F55">
      <w:pPr>
        <w:ind w:left="708"/>
        <w:rPr>
          <w:sz w:val="22"/>
        </w:rPr>
      </w:pPr>
      <w:r w:rsidRPr="00412F55">
        <w:rPr>
          <w:i/>
          <w:iCs/>
          <w:sz w:val="22"/>
        </w:rPr>
        <w:t>Así las cosas, esta Superintendencia concluye que el trato diferenciado respecto de la aplicación del proyecto está justificado y es proporcionado desde la libre competencia económica, toda vez que el mecanismo de priorización tanto en el Mercado Primario como en el Secundario garantiza legítimamente la disponibilidad del gas natural en favor de la Demanda Esencial y la demanda regulada, sectores con especial protección y prelación legal. En consecuencia, no se formularán recomendaciones al respecto</w:t>
      </w:r>
      <w:r w:rsidRPr="00412F55">
        <w:rPr>
          <w:sz w:val="22"/>
        </w:rPr>
        <w:t>.”</w:t>
      </w:r>
    </w:p>
    <w:p w14:paraId="0678D521" w14:textId="77777777" w:rsidR="00412F55" w:rsidRPr="00412F55" w:rsidRDefault="00412F55" w:rsidP="00412F55">
      <w:pPr>
        <w:rPr>
          <w:sz w:val="22"/>
        </w:rPr>
      </w:pPr>
    </w:p>
    <w:p w14:paraId="6495167F" w14:textId="77777777" w:rsidR="00412F55" w:rsidRPr="00412F55" w:rsidRDefault="00412F55" w:rsidP="00412F55">
      <w:pPr>
        <w:rPr>
          <w:sz w:val="22"/>
        </w:rPr>
      </w:pPr>
      <w:r w:rsidRPr="00412F55">
        <w:rPr>
          <w:sz w:val="22"/>
        </w:rPr>
        <w:t>En el numeral 4.2.2.1 “</w:t>
      </w:r>
      <w:r w:rsidRPr="00412F55">
        <w:rPr>
          <w:i/>
          <w:iCs/>
          <w:sz w:val="22"/>
        </w:rPr>
        <w:t>Sobre la aplicación del precio según la fuente de suministro y el destino”</w:t>
      </w:r>
      <w:r w:rsidRPr="00412F55">
        <w:rPr>
          <w:sz w:val="22"/>
        </w:rPr>
        <w:t xml:space="preserve"> del concepto recibido de la SIC, se establece que:</w:t>
      </w:r>
    </w:p>
    <w:p w14:paraId="468CF93A" w14:textId="77777777" w:rsidR="00412F55" w:rsidRPr="00412F55" w:rsidRDefault="00412F55" w:rsidP="00412F55">
      <w:pPr>
        <w:rPr>
          <w:sz w:val="22"/>
        </w:rPr>
      </w:pPr>
    </w:p>
    <w:p w14:paraId="1BBFB803" w14:textId="2941FFE9" w:rsidR="00B8476D" w:rsidRDefault="00412F55" w:rsidP="00412F55">
      <w:pPr>
        <w:ind w:left="708"/>
        <w:rPr>
          <w:i/>
          <w:iCs/>
          <w:sz w:val="22"/>
        </w:rPr>
      </w:pPr>
      <w:r w:rsidRPr="00412F55">
        <w:rPr>
          <w:sz w:val="22"/>
        </w:rPr>
        <w:t>“</w:t>
      </w:r>
      <w:r w:rsidRPr="00412F55">
        <w:rPr>
          <w:i/>
          <w:iCs/>
          <w:sz w:val="22"/>
        </w:rPr>
        <w:t>En conclusión, los aspectos anteriormente desarrollados equilibran los propósitos que se pretende alcanzar con los intereses de los comercializadores frente a la volatilidad inherente del mercado internacional de gas natural. En consecuencia, esta Superintendencia considera que la intervención estatal en cuestión es legítima y se encuentra debidamente justificada, ya que, además de estar fundamentada constitucionalmente y ser necesaria en el contexto de la contingencia actual, los beneficios derivados de su finalidad superan las restricciones impuestas sobre los bienes intervenidos, que en este caso específico, se relacionan con el riesgo de la volatilidad de precios en el mercado internacional de gas natural.”</w:t>
      </w:r>
    </w:p>
    <w:p w14:paraId="3286BF0F" w14:textId="77777777" w:rsidR="00412F55" w:rsidRDefault="00412F55" w:rsidP="00412F55">
      <w:pPr>
        <w:ind w:left="708"/>
        <w:rPr>
          <w:i/>
          <w:iCs/>
          <w:sz w:val="22"/>
        </w:rPr>
      </w:pPr>
    </w:p>
    <w:p w14:paraId="43C5C332" w14:textId="77777777" w:rsidR="00412F55" w:rsidRPr="00412F55" w:rsidRDefault="00412F55" w:rsidP="00412F55">
      <w:pPr>
        <w:rPr>
          <w:sz w:val="22"/>
        </w:rPr>
      </w:pPr>
      <w:r w:rsidRPr="00412F55">
        <w:rPr>
          <w:sz w:val="22"/>
        </w:rPr>
        <w:t>En el numeral 4.2.2.2 “</w:t>
      </w:r>
      <w:r w:rsidRPr="00412F55">
        <w:rPr>
          <w:i/>
          <w:iCs/>
          <w:sz w:val="22"/>
        </w:rPr>
        <w:t>Sobre la aplicación del Precio de Reserva</w:t>
      </w:r>
      <w:r w:rsidRPr="00412F55">
        <w:rPr>
          <w:sz w:val="22"/>
        </w:rPr>
        <w:t>” del concepto recibido de la SIC, se establece que:</w:t>
      </w:r>
    </w:p>
    <w:p w14:paraId="14DE2005" w14:textId="77777777" w:rsidR="00412F55" w:rsidRPr="00412F55" w:rsidRDefault="00412F55" w:rsidP="00412F55">
      <w:pPr>
        <w:rPr>
          <w:sz w:val="22"/>
        </w:rPr>
      </w:pPr>
    </w:p>
    <w:p w14:paraId="287F24E7" w14:textId="77777777" w:rsidR="00412F55" w:rsidRPr="00412F55" w:rsidRDefault="00412F55" w:rsidP="00412F55">
      <w:pPr>
        <w:ind w:left="708"/>
        <w:rPr>
          <w:sz w:val="22"/>
        </w:rPr>
      </w:pPr>
      <w:r w:rsidRPr="00412F55">
        <w:rPr>
          <w:sz w:val="22"/>
        </w:rPr>
        <w:t>“</w:t>
      </w:r>
      <w:r w:rsidRPr="00412F55">
        <w:rPr>
          <w:i/>
          <w:iCs/>
          <w:sz w:val="22"/>
        </w:rPr>
        <w:t>Por tanto, esta Autoridad advierte al regulador que la dinámica previamente explicada podría desembocar en un escenario donde, paradójicamente, la Demanda Esencial, a pesar de su naturaleza prioritaria y su indiscutible necesidad crítica, se vea impedida de acceder al suministro necesario a causa de sus restricciones económicas. Así las cosas, resulta necesario que la CREG evalué si la posible ocurrencia de la hipótesis presentada, derivada de la aplicación de la regla propuesta en el proyecto, podría ir en contraposición del objetivo perseguido por el regulador</w:t>
      </w:r>
      <w:r w:rsidRPr="00412F55">
        <w:rPr>
          <w:sz w:val="22"/>
        </w:rPr>
        <w:t>.”</w:t>
      </w:r>
    </w:p>
    <w:p w14:paraId="30B77787" w14:textId="77777777" w:rsidR="00412F55" w:rsidRPr="00412F55" w:rsidRDefault="00412F55" w:rsidP="00412F55">
      <w:pPr>
        <w:ind w:left="708"/>
        <w:rPr>
          <w:sz w:val="22"/>
        </w:rPr>
      </w:pPr>
    </w:p>
    <w:p w14:paraId="09714612" w14:textId="77777777" w:rsidR="00412F55" w:rsidRPr="00412F55" w:rsidRDefault="00412F55" w:rsidP="00412F55">
      <w:pPr>
        <w:rPr>
          <w:sz w:val="22"/>
        </w:rPr>
      </w:pPr>
      <w:r w:rsidRPr="00412F55">
        <w:rPr>
          <w:sz w:val="22"/>
        </w:rPr>
        <w:t>En el numeral 4.3 “</w:t>
      </w:r>
      <w:r w:rsidRPr="00412F55">
        <w:rPr>
          <w:i/>
          <w:iCs/>
          <w:sz w:val="22"/>
        </w:rPr>
        <w:t>Sobre la flexibilización de las reglas de mercado y la eficiencia asignativa</w:t>
      </w:r>
      <w:r w:rsidRPr="00412F55">
        <w:rPr>
          <w:sz w:val="22"/>
        </w:rPr>
        <w:t>” del concepto recibido de la SIC, se establece que:</w:t>
      </w:r>
    </w:p>
    <w:p w14:paraId="5999D3B7" w14:textId="77777777" w:rsidR="00412F55" w:rsidRPr="00412F55" w:rsidRDefault="00412F55" w:rsidP="00412F55">
      <w:pPr>
        <w:ind w:left="708"/>
        <w:rPr>
          <w:sz w:val="22"/>
        </w:rPr>
      </w:pPr>
    </w:p>
    <w:p w14:paraId="554CB23A" w14:textId="7D5BEFA4" w:rsidR="00412F55" w:rsidRDefault="00412F55" w:rsidP="00412F55">
      <w:pPr>
        <w:ind w:left="708"/>
        <w:rPr>
          <w:sz w:val="22"/>
        </w:rPr>
      </w:pPr>
      <w:r w:rsidRPr="00412F55">
        <w:rPr>
          <w:sz w:val="22"/>
        </w:rPr>
        <w:t>“</w:t>
      </w:r>
      <w:r w:rsidRPr="00412F55">
        <w:rPr>
          <w:i/>
          <w:iCs/>
          <w:sz w:val="22"/>
        </w:rPr>
        <w:t xml:space="preserve">En suma, esta Superintendencia encuentra que la implementación de medidas orientadas a diversificar las estructuras de los contratos puede contribuir a una mayor adaptación a </w:t>
      </w:r>
      <w:r w:rsidRPr="00412F55">
        <w:rPr>
          <w:i/>
          <w:iCs/>
          <w:sz w:val="22"/>
        </w:rPr>
        <w:lastRenderedPageBreak/>
        <w:t>las condiciones del mercado y a asignar la mayor cantidad posible de volúmenes de gas natural disponibles entre los distintos agentes. Así mismo, se destaca que la medida tenga como propósito introducir mecanismos para enfrentar las contingencias del mercado en el corto plazo. Sobre esa base, la medida propende por: (i) aumentar la frecuencia en las transacciones del mercado para estimular a los agentes a cumplir con los fines de la política pública y (ii) eliminar restricciones o barreras (relacionadas con la sostenibilidad de largo plazo de los proyectos de inversión) que existen en la negociación de los contratos de suministro de gas natural. Por tanto, la flexibilización contractual tiene la potencialidad de mejorar la asignación de los recursos reduciendo el riesgo de que se genere un desbalance crítico entre la oferta y la demanda en el corto plazo.</w:t>
      </w:r>
      <w:r w:rsidRPr="00412F55">
        <w:rPr>
          <w:sz w:val="22"/>
        </w:rPr>
        <w:t>”</w:t>
      </w:r>
    </w:p>
    <w:p w14:paraId="5D868BBC" w14:textId="77777777" w:rsidR="00B8476D" w:rsidRDefault="00B8476D" w:rsidP="00B8476D">
      <w:pPr>
        <w:rPr>
          <w:sz w:val="22"/>
        </w:rPr>
      </w:pPr>
    </w:p>
    <w:p w14:paraId="20C89899" w14:textId="77777777" w:rsidR="00782216" w:rsidRPr="00782216" w:rsidRDefault="00782216" w:rsidP="00782216">
      <w:pPr>
        <w:rPr>
          <w:sz w:val="22"/>
        </w:rPr>
      </w:pPr>
      <w:r w:rsidRPr="00782216">
        <w:rPr>
          <w:sz w:val="22"/>
        </w:rPr>
        <w:t>En el Numeral 5. “RECOMENDACIONES” se señala lo siguiente:</w:t>
      </w:r>
    </w:p>
    <w:p w14:paraId="4A92F382" w14:textId="77777777" w:rsidR="00782216" w:rsidRPr="00782216" w:rsidRDefault="00782216" w:rsidP="00782216">
      <w:pPr>
        <w:rPr>
          <w:sz w:val="22"/>
        </w:rPr>
      </w:pPr>
    </w:p>
    <w:p w14:paraId="02949879" w14:textId="77777777" w:rsidR="00782216" w:rsidRPr="00782216" w:rsidRDefault="00782216" w:rsidP="00782216">
      <w:pPr>
        <w:ind w:left="708"/>
        <w:rPr>
          <w:i/>
          <w:iCs/>
          <w:sz w:val="22"/>
        </w:rPr>
      </w:pPr>
      <w:r w:rsidRPr="00782216">
        <w:rPr>
          <w:sz w:val="22"/>
        </w:rPr>
        <w:t>“</w:t>
      </w:r>
      <w:r w:rsidRPr="00782216">
        <w:rPr>
          <w:i/>
          <w:iCs/>
          <w:sz w:val="22"/>
        </w:rPr>
        <w:t>Por las razones que se expusieron, esta Superintendencia recomienda a la CREG:</w:t>
      </w:r>
    </w:p>
    <w:p w14:paraId="19AA100F" w14:textId="77777777" w:rsidR="00782216" w:rsidRPr="00782216" w:rsidRDefault="00782216" w:rsidP="00782216">
      <w:pPr>
        <w:ind w:left="708"/>
        <w:rPr>
          <w:i/>
          <w:iCs/>
          <w:sz w:val="22"/>
        </w:rPr>
      </w:pPr>
    </w:p>
    <w:p w14:paraId="2C36C879" w14:textId="575A063F" w:rsidR="00782216" w:rsidRPr="00782216" w:rsidRDefault="00782216" w:rsidP="00782216">
      <w:pPr>
        <w:ind w:left="708"/>
        <w:rPr>
          <w:i/>
          <w:iCs/>
          <w:sz w:val="22"/>
        </w:rPr>
      </w:pPr>
      <w:r w:rsidRPr="00782216">
        <w:rPr>
          <w:i/>
          <w:iCs/>
          <w:sz w:val="22"/>
        </w:rPr>
        <w:t xml:space="preserve">En relación con el artículo 3 del proyecto: Aunque las reglas contenidas en dicho artículo tienen una finalidad constitucional legítima y, además, resultan ser razonables y proporcionales, analizar si la aplicación de estas disposiciones podría promover el incremento de precios del gas natural en contraposición de uno de los objetivos perseguidos por el regulador.” </w:t>
      </w:r>
    </w:p>
    <w:p w14:paraId="418A0601" w14:textId="77777777" w:rsidR="00782216" w:rsidRDefault="00782216" w:rsidP="00782216">
      <w:pPr>
        <w:rPr>
          <w:sz w:val="22"/>
        </w:rPr>
      </w:pPr>
    </w:p>
    <w:p w14:paraId="230BE15C" w14:textId="03BE94CF" w:rsidR="00782216" w:rsidRDefault="00782216" w:rsidP="00BC2DDD">
      <w:pPr>
        <w:rPr>
          <w:sz w:val="22"/>
          <w:szCs w:val="22"/>
        </w:rPr>
      </w:pPr>
      <w:bookmarkStart w:id="28" w:name="_Toc121145590"/>
      <w:bookmarkStart w:id="29" w:name="_Toc140506238"/>
      <w:r w:rsidRPr="00BC2DDD">
        <w:rPr>
          <w:sz w:val="22"/>
          <w:szCs w:val="22"/>
        </w:rPr>
        <w:t>Respecto de la recomendación señalada en el concepto de la SIC, la CREG encuentra que, en particular el análisis de la SIC se concentra en la utilización del “Precio de Reserva” como valor referente para la contratación del suministro de aquellos agentes que atienden directamente la Demanda Esencial, que se establece en el artículo 8 de la propuesta regulatoria enviada a la SIC. Así se desprende del siguiente análisis que hace la SIC</w:t>
      </w:r>
      <w:r w:rsidRPr="00BC2DDD">
        <w:rPr>
          <w:b/>
          <w:sz w:val="22"/>
          <w:szCs w:val="22"/>
        </w:rPr>
        <w:t xml:space="preserve"> en el numeral 4.2.2.2</w:t>
      </w:r>
      <w:r w:rsidRPr="00BC2DDD">
        <w:rPr>
          <w:sz w:val="22"/>
          <w:szCs w:val="22"/>
        </w:rPr>
        <w:t>:</w:t>
      </w:r>
    </w:p>
    <w:p w14:paraId="04AFC905" w14:textId="77777777" w:rsidR="00B1667C" w:rsidRPr="00BC2DDD" w:rsidRDefault="00B1667C" w:rsidP="00BC2DDD">
      <w:pPr>
        <w:rPr>
          <w:sz w:val="22"/>
          <w:szCs w:val="22"/>
        </w:rPr>
      </w:pPr>
    </w:p>
    <w:p w14:paraId="0E33555D" w14:textId="77777777" w:rsidR="00782216" w:rsidRPr="00BC2DDD" w:rsidRDefault="00782216" w:rsidP="00B1667C">
      <w:pPr>
        <w:ind w:left="708"/>
        <w:rPr>
          <w:sz w:val="22"/>
          <w:szCs w:val="22"/>
        </w:rPr>
      </w:pPr>
      <w:r w:rsidRPr="00BC2DDD">
        <w:rPr>
          <w:sz w:val="22"/>
          <w:szCs w:val="22"/>
        </w:rPr>
        <w:t>“</w:t>
      </w:r>
      <w:r w:rsidRPr="00BC2DDD">
        <w:rPr>
          <w:i/>
          <w:iCs/>
          <w:sz w:val="22"/>
          <w:szCs w:val="22"/>
        </w:rPr>
        <w:t>Sin perjuicio de lo anterior, esta Autoridad considera que la regla del Precio de Reserva podría incentivar a los oferentes de gas a establecer precios iniciales de subasta más elevados por dos razones fundamentales. Primero, por la expectativa de que el precio fijado regirá para todas las transacciones –en el marco de la subasta– que se celebren con cualquier comprador que atienda la Demanda Esencial. Segundo, en caso de ser para suplir demanda regulada, el Precio de Reserva establecido será fijo durante todo el período del contrato.  Obsérvese lo siguiente: por un lado, los oferentes, al enfrentarse a la incertidumbre del mercado y la variabilidad en costos (especialmente en el caso del gas importado), podrían optar por establecer precios más altos como mecanismo de cobertura de riesgos. Este precio más alto compensaría las fluctuaciones potenciales y los costos variables asociados con la importación y el transporte de gas. Por otro lado, teniendo en cuenta que la demanda actual de gas natural en Colombia supera a la oferta, los oferentes, como agentes económicos racionales, podrían estar motivados a establecer precios de reserva más altos para maximizar sus beneficios. Dicha situación se ve exacerbada por el conocimiento de que existen otros compradores en el mercado, como empresas industriales o térmicas, que poseen una mayor capacidad de pago comparada con los compradores que atienden a la Demanda Esencial y que están dispuestos a pagar precios más altos. Bajo este escenario, los oferentes podrían fijar un Precio de Reserva en las subastas que, aunque resulte inaccesible para la Demanda Esencial debido a su elevado valor, sería accesible para estos agentes con mayor poder adquisitivo</w:t>
      </w:r>
      <w:r w:rsidRPr="00BC2DDD">
        <w:rPr>
          <w:sz w:val="22"/>
          <w:szCs w:val="22"/>
        </w:rPr>
        <w:t xml:space="preserve">.” </w:t>
      </w:r>
    </w:p>
    <w:p w14:paraId="5F440D2A" w14:textId="77777777" w:rsidR="00782216" w:rsidRPr="00BC2DDD" w:rsidRDefault="00782216" w:rsidP="00BC2DDD">
      <w:pPr>
        <w:rPr>
          <w:sz w:val="22"/>
          <w:szCs w:val="22"/>
        </w:rPr>
      </w:pPr>
      <w:r w:rsidRPr="00BC2DDD">
        <w:rPr>
          <w:sz w:val="22"/>
          <w:szCs w:val="22"/>
        </w:rPr>
        <w:lastRenderedPageBreak/>
        <w:t>En este sentido, la propuesta regulatoria enviada a la SIC tiene las siguientes previsiones que buscan evitar el potencial incremento de los “precios de reserva” de los vendedores del Mercado Primario” en la aplicación de la regulación propuesta:</w:t>
      </w:r>
    </w:p>
    <w:p w14:paraId="5BC9D7A8" w14:textId="77777777" w:rsidR="00B1667C" w:rsidRDefault="00B1667C" w:rsidP="00BC2DDD">
      <w:pPr>
        <w:rPr>
          <w:bCs/>
          <w:sz w:val="22"/>
          <w:szCs w:val="22"/>
        </w:rPr>
      </w:pPr>
    </w:p>
    <w:p w14:paraId="09220D60" w14:textId="46123D66" w:rsidR="00782216" w:rsidRDefault="00D06B43" w:rsidP="00B1667C">
      <w:pPr>
        <w:pStyle w:val="Prrafodelista"/>
        <w:numPr>
          <w:ilvl w:val="0"/>
          <w:numId w:val="35"/>
        </w:numPr>
        <w:rPr>
          <w:sz w:val="22"/>
          <w:szCs w:val="22"/>
        </w:rPr>
      </w:pPr>
      <w:r w:rsidRPr="00B1667C">
        <w:rPr>
          <w:b/>
          <w:sz w:val="22"/>
          <w:szCs w:val="22"/>
        </w:rPr>
        <w:t>C</w:t>
      </w:r>
      <w:r w:rsidR="00782216" w:rsidRPr="00B1667C">
        <w:rPr>
          <w:b/>
          <w:sz w:val="22"/>
          <w:szCs w:val="22"/>
        </w:rPr>
        <w:t>ompetencia entre los diferentes mercados:</w:t>
      </w:r>
      <w:r w:rsidR="00782216" w:rsidRPr="00B1667C">
        <w:rPr>
          <w:sz w:val="22"/>
          <w:szCs w:val="22"/>
        </w:rPr>
        <w:t xml:space="preserve"> en el documento de soporte se muestra que hay cantidades compradas del mercado primario, registradas para atender la demanda regulada, que son excedentarias para atender la demanda del mercado del agente comprador. Dichas cantidades son superiores a la estimación de necesidades no cubiertas de la Demanda Esencial, sin considerar el consumo de las refinerías que son sujetas de descuento por autoconsumo de los productores. Por ello, en el artículo 14 de la resolución se establece que: </w:t>
      </w:r>
    </w:p>
    <w:p w14:paraId="517D824B" w14:textId="77777777" w:rsidR="00B1667C" w:rsidRPr="00B1667C" w:rsidRDefault="00B1667C" w:rsidP="00B1667C">
      <w:pPr>
        <w:pStyle w:val="Prrafodelista"/>
        <w:ind w:left="360"/>
        <w:rPr>
          <w:sz w:val="22"/>
          <w:szCs w:val="22"/>
        </w:rPr>
      </w:pPr>
    </w:p>
    <w:p w14:paraId="79515AF8" w14:textId="77777777" w:rsidR="00782216" w:rsidRPr="00BC2DDD" w:rsidRDefault="00782216" w:rsidP="00B1667C">
      <w:pPr>
        <w:ind w:left="708"/>
        <w:rPr>
          <w:sz w:val="22"/>
          <w:szCs w:val="22"/>
        </w:rPr>
      </w:pPr>
      <w:r w:rsidRPr="00BC2DDD">
        <w:rPr>
          <w:sz w:val="22"/>
          <w:szCs w:val="22"/>
        </w:rPr>
        <w:t>“</w:t>
      </w:r>
      <w:r w:rsidRPr="00BC2DDD">
        <w:rPr>
          <w:i/>
          <w:iCs/>
          <w:sz w:val="22"/>
          <w:szCs w:val="22"/>
        </w:rPr>
        <w:t>Las cantidades de suministro excedentarias contratadas por un comercializador en el Mercado Primario o en el Mercado Secundario registradas para atender a la demanda regulada, deberán ser ofrecidas en primera instancia a los compradores del Mercado Secundario que solicitan el suministro para atender directamente la demanda regulada de sus propios mercados de comercialización</w:t>
      </w:r>
      <w:r w:rsidRPr="00BC2DDD">
        <w:rPr>
          <w:sz w:val="22"/>
          <w:szCs w:val="22"/>
        </w:rPr>
        <w:t xml:space="preserve"> (…)”</w:t>
      </w:r>
    </w:p>
    <w:p w14:paraId="28B12B50" w14:textId="77777777" w:rsidR="00B1667C" w:rsidRDefault="00B1667C" w:rsidP="00BC2DDD">
      <w:pPr>
        <w:rPr>
          <w:sz w:val="22"/>
          <w:szCs w:val="22"/>
        </w:rPr>
      </w:pPr>
    </w:p>
    <w:p w14:paraId="665A9048" w14:textId="56FC50B6" w:rsidR="00782216" w:rsidRPr="00BC2DDD" w:rsidRDefault="00782216" w:rsidP="00B1667C">
      <w:pPr>
        <w:ind w:left="426"/>
        <w:rPr>
          <w:sz w:val="22"/>
          <w:szCs w:val="22"/>
        </w:rPr>
      </w:pPr>
      <w:r w:rsidRPr="00BC2DDD">
        <w:rPr>
          <w:sz w:val="22"/>
          <w:szCs w:val="22"/>
        </w:rPr>
        <w:t>Con ello se procura que si un vendedor del Mercado Primario coloca un precio de reserva elevado, asume el riesgo de no vender la totalidad de las cantidades ofrecidas, que serían vendidas por el vendedor del mercado secundario, que además tiene mayor flexibilidad para la negociación directa.</w:t>
      </w:r>
    </w:p>
    <w:p w14:paraId="0B402C73" w14:textId="77777777" w:rsidR="00B1667C" w:rsidRDefault="00B1667C" w:rsidP="00BC2DDD">
      <w:pPr>
        <w:rPr>
          <w:bCs/>
          <w:sz w:val="22"/>
          <w:szCs w:val="22"/>
        </w:rPr>
      </w:pPr>
    </w:p>
    <w:p w14:paraId="2417ADBE" w14:textId="4A27F039" w:rsidR="00782216" w:rsidRPr="00B1667C" w:rsidRDefault="00782216" w:rsidP="00B1667C">
      <w:pPr>
        <w:pStyle w:val="Prrafodelista"/>
        <w:numPr>
          <w:ilvl w:val="0"/>
          <w:numId w:val="35"/>
        </w:numPr>
        <w:rPr>
          <w:sz w:val="22"/>
          <w:szCs w:val="22"/>
        </w:rPr>
      </w:pPr>
      <w:r w:rsidRPr="00B1667C">
        <w:rPr>
          <w:b/>
          <w:sz w:val="22"/>
          <w:szCs w:val="22"/>
        </w:rPr>
        <w:t>Momento de la determinación del precio de reserva</w:t>
      </w:r>
      <w:r w:rsidRPr="00B1667C">
        <w:rPr>
          <w:bCs/>
          <w:sz w:val="22"/>
          <w:szCs w:val="22"/>
        </w:rPr>
        <w:t>:</w:t>
      </w:r>
      <w:r w:rsidRPr="00B1667C">
        <w:rPr>
          <w:sz w:val="22"/>
          <w:szCs w:val="22"/>
        </w:rPr>
        <w:t xml:space="preserve"> el precio de reserva debe ser determinado por el vendedor del Mercado Primario, previo a la apertura de un proceso de venta que piense realizar y debe ser informado al Gestor del Mercado, que no lo publicará. Así, el vendedor no conoce las cantidades que se procurarán comprar por parte de los compradores, sin saber si las mismas son solo para la Demanda Esencial, asumiendo un riesgo de no vender el total de las cantidades ofertadas, en el caso de colocar un precio de reserva alto. </w:t>
      </w:r>
    </w:p>
    <w:p w14:paraId="3785FE1E" w14:textId="77777777" w:rsidR="00B1667C" w:rsidRDefault="00B1667C" w:rsidP="00BC2DDD">
      <w:pPr>
        <w:rPr>
          <w:bCs/>
          <w:sz w:val="22"/>
          <w:szCs w:val="22"/>
        </w:rPr>
      </w:pPr>
    </w:p>
    <w:p w14:paraId="7CF20E61" w14:textId="15EC60E3" w:rsidR="00782216" w:rsidRPr="00B1667C" w:rsidRDefault="00D06B43" w:rsidP="00B1667C">
      <w:pPr>
        <w:pStyle w:val="Prrafodelista"/>
        <w:numPr>
          <w:ilvl w:val="0"/>
          <w:numId w:val="35"/>
        </w:numPr>
        <w:rPr>
          <w:sz w:val="22"/>
          <w:szCs w:val="22"/>
        </w:rPr>
      </w:pPr>
      <w:r w:rsidRPr="00B1667C">
        <w:rPr>
          <w:b/>
          <w:sz w:val="22"/>
          <w:szCs w:val="22"/>
        </w:rPr>
        <w:t>Competencia entre los diferentes vendedores</w:t>
      </w:r>
      <w:r w:rsidR="00782216" w:rsidRPr="00B1667C">
        <w:rPr>
          <w:b/>
          <w:sz w:val="22"/>
          <w:szCs w:val="22"/>
        </w:rPr>
        <w:t>:</w:t>
      </w:r>
      <w:r w:rsidR="00782216" w:rsidRPr="00B1667C">
        <w:rPr>
          <w:sz w:val="22"/>
          <w:szCs w:val="22"/>
        </w:rPr>
        <w:t xml:space="preserve"> es posible que haya fuentes de suministro en las que haya más de un vendedor, gracias a la flexibilización dada, o que haya vendedores con oferta en otras partes del SNT. Si un vendedor coloca un precio de reserva alto, puede perder parte de la venta ante la competencia de otros vendedores con precios de reserva inferiores y/o con costos de transporte diferencial, que los hace más competitivos que el vendedor que coloca precio de reserva alto.</w:t>
      </w:r>
    </w:p>
    <w:p w14:paraId="44667300" w14:textId="77777777" w:rsidR="00B1667C" w:rsidRDefault="00B1667C" w:rsidP="00BC2DDD">
      <w:pPr>
        <w:rPr>
          <w:bCs/>
          <w:sz w:val="22"/>
          <w:szCs w:val="22"/>
        </w:rPr>
      </w:pPr>
    </w:p>
    <w:p w14:paraId="7AC9F0C2" w14:textId="77777777" w:rsidR="00B1667C" w:rsidRDefault="00B1667C" w:rsidP="00BC2DDD">
      <w:pPr>
        <w:rPr>
          <w:bCs/>
          <w:sz w:val="22"/>
          <w:szCs w:val="22"/>
        </w:rPr>
      </w:pPr>
    </w:p>
    <w:p w14:paraId="4B5E9DCB" w14:textId="52830CFD" w:rsidR="00782216" w:rsidRPr="00B1667C" w:rsidRDefault="00782216" w:rsidP="00B1667C">
      <w:pPr>
        <w:pStyle w:val="Prrafodelista"/>
        <w:numPr>
          <w:ilvl w:val="0"/>
          <w:numId w:val="35"/>
        </w:numPr>
        <w:rPr>
          <w:sz w:val="22"/>
          <w:szCs w:val="22"/>
        </w:rPr>
      </w:pPr>
      <w:r w:rsidRPr="00B1667C">
        <w:rPr>
          <w:b/>
          <w:sz w:val="22"/>
          <w:szCs w:val="22"/>
        </w:rPr>
        <w:t>Formación del precio de reserva</w:t>
      </w:r>
      <w:r w:rsidRPr="00B1667C">
        <w:rPr>
          <w:bCs/>
          <w:sz w:val="22"/>
          <w:szCs w:val="22"/>
        </w:rPr>
        <w:t>:</w:t>
      </w:r>
      <w:r w:rsidRPr="00B1667C">
        <w:rPr>
          <w:sz w:val="22"/>
          <w:szCs w:val="22"/>
        </w:rPr>
        <w:t xml:space="preserve"> se parte del criterio de que el vendedor del Mercado Primario busca monetizar en el menor plazo posible, las reservas producibles, para amortizar inversiones realizadas o aumentos de factor de recobro u optimizar capacidades existentes de producción y tratamiento del gas. Con precios de reserva altos, que obedezcan a un criterio de ganancias extraordinarias, se corre el riesgo de no vender cantidades de gas oportunamente.</w:t>
      </w:r>
    </w:p>
    <w:p w14:paraId="24662D91" w14:textId="77777777" w:rsidR="00B1667C" w:rsidRDefault="00B1667C" w:rsidP="00BC2DDD">
      <w:pPr>
        <w:rPr>
          <w:sz w:val="22"/>
          <w:szCs w:val="22"/>
        </w:rPr>
      </w:pPr>
    </w:p>
    <w:p w14:paraId="4D7C49B7" w14:textId="3322E7E9" w:rsidR="00782216" w:rsidRPr="00B1667C" w:rsidRDefault="00782216" w:rsidP="00B1667C">
      <w:pPr>
        <w:pStyle w:val="Prrafodelista"/>
        <w:numPr>
          <w:ilvl w:val="0"/>
          <w:numId w:val="35"/>
        </w:numPr>
        <w:rPr>
          <w:b/>
          <w:sz w:val="22"/>
          <w:szCs w:val="22"/>
        </w:rPr>
      </w:pPr>
      <w:r w:rsidRPr="00B1667C">
        <w:rPr>
          <w:sz w:val="22"/>
          <w:szCs w:val="22"/>
        </w:rPr>
        <w:t xml:space="preserve">Podría ser sujeto de control la ocurrencia de que el precio mínimo de venta del vendedor del mercado primario, en el caso de una subasta, que sería el precio de reserva para una fuente de suministro, sea superior al precio de negociaciones anteriores de esa misma fuente de </w:t>
      </w:r>
      <w:r w:rsidRPr="00B1667C">
        <w:rPr>
          <w:sz w:val="22"/>
          <w:szCs w:val="22"/>
        </w:rPr>
        <w:lastRenderedPageBreak/>
        <w:t>suministro, para el mismo período de ejecución contractual. Cosa diferente es que el precio sea el que se obtiene al cierre de la subasta, en donde se entiende que la elevación del precio surge de la interacción de la demanda con la restricción de la oferta durante la subasta.</w:t>
      </w:r>
    </w:p>
    <w:p w14:paraId="02485E16" w14:textId="77777777" w:rsidR="00782216" w:rsidRDefault="00782216" w:rsidP="00BC2DDD">
      <w:pPr>
        <w:rPr>
          <w:b/>
        </w:rPr>
      </w:pPr>
    </w:p>
    <w:p w14:paraId="2D4E2552" w14:textId="77777777" w:rsidR="00782216" w:rsidRDefault="00782216" w:rsidP="00782216">
      <w:pPr>
        <w:pStyle w:val="Ttulo1"/>
        <w:numPr>
          <w:ilvl w:val="0"/>
          <w:numId w:val="0"/>
        </w:numPr>
        <w:spacing w:after="0"/>
        <w:jc w:val="left"/>
        <w:rPr>
          <w:rFonts w:cs="Arial"/>
        </w:rPr>
        <w:sectPr w:rsidR="00782216" w:rsidSect="00813D90">
          <w:pgSz w:w="12242" w:h="15842" w:code="1"/>
          <w:pgMar w:top="1418" w:right="1418" w:bottom="1418" w:left="1418" w:header="851" w:footer="567" w:gutter="0"/>
          <w:cols w:space="720"/>
          <w:titlePg/>
          <w:docGrid w:linePitch="326"/>
        </w:sectPr>
      </w:pPr>
    </w:p>
    <w:p w14:paraId="610FFC2A" w14:textId="3424C939" w:rsidR="00C27C7C" w:rsidRPr="00045A4C" w:rsidRDefault="00C27C7C" w:rsidP="00782216">
      <w:pPr>
        <w:pStyle w:val="Ttulo1"/>
        <w:numPr>
          <w:ilvl w:val="0"/>
          <w:numId w:val="0"/>
        </w:numPr>
        <w:spacing w:after="0"/>
        <w:jc w:val="left"/>
      </w:pPr>
      <w:bookmarkStart w:id="30" w:name="_Toc158211409"/>
      <w:r>
        <w:rPr>
          <w:rFonts w:cs="Arial"/>
        </w:rPr>
        <w:lastRenderedPageBreak/>
        <w:t xml:space="preserve">ANEXO 1. </w:t>
      </w:r>
      <w:r>
        <w:t>ANÁLISIS DE COMENTARIOS RECIBIDOS</w:t>
      </w:r>
      <w:bookmarkEnd w:id="28"/>
      <w:bookmarkEnd w:id="29"/>
      <w:bookmarkEnd w:id="30"/>
    </w:p>
    <w:p w14:paraId="3D49BF8F" w14:textId="77777777" w:rsidR="00C27C7C" w:rsidRPr="00045A4C" w:rsidRDefault="00C27C7C" w:rsidP="00CF75E0">
      <w:pPr>
        <w:jc w:val="left"/>
      </w:pPr>
    </w:p>
    <w:p w14:paraId="5146A4CB" w14:textId="77777777" w:rsidR="00C27C7C" w:rsidRDefault="00C27C7C" w:rsidP="00CF75E0">
      <w:pPr>
        <w:pStyle w:val="Prrafodelista"/>
        <w:ind w:left="0"/>
        <w:jc w:val="left"/>
        <w:rPr>
          <w:rFonts w:cs="Arial"/>
          <w:sz w:val="22"/>
          <w:szCs w:val="22"/>
        </w:rPr>
      </w:pPr>
      <w:r>
        <w:rPr>
          <w:rFonts w:cs="Arial"/>
          <w:sz w:val="22"/>
          <w:szCs w:val="22"/>
        </w:rPr>
        <w:t>La estadística de los comentarios recibidos se muestra a continuación:</w:t>
      </w:r>
    </w:p>
    <w:p w14:paraId="1E2CE367" w14:textId="77777777" w:rsidR="00C27C7C" w:rsidRDefault="00C27C7C" w:rsidP="00CF75E0">
      <w:pPr>
        <w:pStyle w:val="Prrafodelista"/>
        <w:ind w:left="0"/>
        <w:jc w:val="left"/>
        <w:rPr>
          <w:rFonts w:cs="Arial"/>
          <w:sz w:val="22"/>
          <w:szCs w:val="22"/>
        </w:rPr>
      </w:pPr>
    </w:p>
    <w:p w14:paraId="3B1CB039" w14:textId="34D1D9BE" w:rsidR="00C27C7C" w:rsidRPr="00057E29" w:rsidRDefault="00C27C7C" w:rsidP="00E22BB1">
      <w:pPr>
        <w:pStyle w:val="Descripcin"/>
        <w:keepNext/>
        <w:jc w:val="center"/>
        <w:rPr>
          <w:i w:val="0"/>
          <w:iCs w:val="0"/>
          <w:sz w:val="22"/>
          <w:szCs w:val="22"/>
        </w:rPr>
      </w:pPr>
      <w:bookmarkStart w:id="31" w:name="_Toc140506628"/>
      <w:r w:rsidRPr="00057E29">
        <w:rPr>
          <w:i w:val="0"/>
          <w:iCs w:val="0"/>
          <w:sz w:val="22"/>
          <w:szCs w:val="22"/>
        </w:rPr>
        <w:t xml:space="preserve">Figura </w:t>
      </w:r>
      <w:r>
        <w:rPr>
          <w:i w:val="0"/>
          <w:iCs w:val="0"/>
          <w:sz w:val="22"/>
          <w:szCs w:val="22"/>
        </w:rPr>
        <w:fldChar w:fldCharType="begin"/>
      </w:r>
      <w:r>
        <w:rPr>
          <w:i w:val="0"/>
          <w:iCs w:val="0"/>
          <w:sz w:val="22"/>
          <w:szCs w:val="22"/>
        </w:rPr>
        <w:instrText xml:space="preserve"> SEQ Figura \* ARABIC </w:instrText>
      </w:r>
      <w:r>
        <w:rPr>
          <w:i w:val="0"/>
          <w:iCs w:val="0"/>
          <w:sz w:val="22"/>
          <w:szCs w:val="22"/>
        </w:rPr>
        <w:fldChar w:fldCharType="separate"/>
      </w:r>
      <w:r w:rsidR="0027336D">
        <w:rPr>
          <w:i w:val="0"/>
          <w:iCs w:val="0"/>
          <w:noProof/>
          <w:sz w:val="22"/>
          <w:szCs w:val="22"/>
        </w:rPr>
        <w:t>1</w:t>
      </w:r>
      <w:r>
        <w:rPr>
          <w:i w:val="0"/>
          <w:iCs w:val="0"/>
          <w:sz w:val="22"/>
          <w:szCs w:val="22"/>
        </w:rPr>
        <w:fldChar w:fldCharType="end"/>
      </w:r>
      <w:r w:rsidRPr="00057E29">
        <w:rPr>
          <w:i w:val="0"/>
          <w:iCs w:val="0"/>
          <w:sz w:val="22"/>
          <w:szCs w:val="22"/>
        </w:rPr>
        <w:t xml:space="preserve"> Cantidad de comentarios recibidos por artículo propuesto</w:t>
      </w:r>
      <w:bookmarkEnd w:id="31"/>
    </w:p>
    <w:p w14:paraId="56A15153" w14:textId="081995D7" w:rsidR="00C27C7C" w:rsidRDefault="0042599E" w:rsidP="00CF75E0">
      <w:pPr>
        <w:pStyle w:val="Prrafodelista"/>
        <w:ind w:left="0"/>
        <w:jc w:val="left"/>
        <w:rPr>
          <w:rFonts w:cs="Arial"/>
          <w:sz w:val="22"/>
          <w:szCs w:val="22"/>
        </w:rPr>
      </w:pPr>
      <w:r w:rsidRPr="0042599E">
        <w:rPr>
          <w:noProof/>
        </w:rPr>
        <w:drawing>
          <wp:inline distT="0" distB="0" distL="0" distR="0" wp14:anchorId="5895FB6C" wp14:editId="76644197">
            <wp:extent cx="5972810" cy="3121025"/>
            <wp:effectExtent l="0" t="0" r="8890" b="3175"/>
            <wp:docPr id="1914779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79786" name=""/>
                    <pic:cNvPicPr/>
                  </pic:nvPicPr>
                  <pic:blipFill>
                    <a:blip r:embed="rId43"/>
                    <a:stretch>
                      <a:fillRect/>
                    </a:stretch>
                  </pic:blipFill>
                  <pic:spPr>
                    <a:xfrm>
                      <a:off x="0" y="0"/>
                      <a:ext cx="5972810" cy="3121025"/>
                    </a:xfrm>
                    <a:prstGeom prst="rect">
                      <a:avLst/>
                    </a:prstGeom>
                  </pic:spPr>
                </pic:pic>
              </a:graphicData>
            </a:graphic>
          </wp:inline>
        </w:drawing>
      </w:r>
    </w:p>
    <w:p w14:paraId="05B9B619" w14:textId="77777777" w:rsidR="00C27C7C" w:rsidRDefault="00C27C7C" w:rsidP="00CF75E0">
      <w:pPr>
        <w:pStyle w:val="Prrafodelista"/>
        <w:ind w:left="0"/>
        <w:jc w:val="left"/>
        <w:rPr>
          <w:rFonts w:cs="Arial"/>
          <w:sz w:val="22"/>
          <w:szCs w:val="22"/>
        </w:rPr>
      </w:pPr>
    </w:p>
    <w:p w14:paraId="1D8A7C21" w14:textId="1C8F99E9" w:rsidR="00C27C7C" w:rsidRDefault="00C27C7C" w:rsidP="00CF75E0">
      <w:pPr>
        <w:pStyle w:val="Prrafodelista"/>
        <w:ind w:left="0"/>
        <w:jc w:val="left"/>
        <w:rPr>
          <w:rFonts w:cs="Arial"/>
          <w:sz w:val="22"/>
          <w:szCs w:val="22"/>
        </w:rPr>
      </w:pPr>
    </w:p>
    <w:p w14:paraId="64C8CDA3" w14:textId="4C7EDB78" w:rsidR="00C27C7C" w:rsidRPr="00611EC2" w:rsidRDefault="00C27C7C" w:rsidP="00CF75E0">
      <w:pPr>
        <w:pStyle w:val="Prrafodelista"/>
        <w:numPr>
          <w:ilvl w:val="0"/>
          <w:numId w:val="26"/>
        </w:numPr>
        <w:jc w:val="left"/>
        <w:rPr>
          <w:rFonts w:cs="Arial"/>
          <w:sz w:val="22"/>
          <w:szCs w:val="22"/>
        </w:rPr>
      </w:pPr>
      <w:r>
        <w:rPr>
          <w:rFonts w:cs="Arial"/>
          <w:sz w:val="22"/>
          <w:szCs w:val="22"/>
        </w:rPr>
        <w:t xml:space="preserve">Se publicó para comentarios </w:t>
      </w:r>
      <w:r w:rsidR="00C25159">
        <w:rPr>
          <w:rFonts w:cs="Arial"/>
          <w:sz w:val="22"/>
          <w:szCs w:val="22"/>
        </w:rPr>
        <w:t xml:space="preserve">el Proyecto de </w:t>
      </w:r>
      <w:r w:rsidRPr="00611EC2">
        <w:rPr>
          <w:rFonts w:cs="Arial"/>
          <w:sz w:val="22"/>
          <w:szCs w:val="22"/>
        </w:rPr>
        <w:t xml:space="preserve">Resolución CREG </w:t>
      </w:r>
      <w:r w:rsidR="00C25159">
        <w:rPr>
          <w:rFonts w:cs="Arial"/>
          <w:sz w:val="22"/>
          <w:szCs w:val="22"/>
        </w:rPr>
        <w:t xml:space="preserve">702 005 </w:t>
      </w:r>
      <w:r w:rsidRPr="00611EC2">
        <w:rPr>
          <w:rFonts w:cs="Arial"/>
          <w:sz w:val="22"/>
          <w:szCs w:val="22"/>
        </w:rPr>
        <w:t xml:space="preserve">el </w:t>
      </w:r>
      <w:r w:rsidR="00C25159">
        <w:rPr>
          <w:rFonts w:cs="Arial"/>
          <w:sz w:val="22"/>
          <w:szCs w:val="22"/>
        </w:rPr>
        <w:t>0</w:t>
      </w:r>
      <w:r w:rsidR="00C659A9">
        <w:rPr>
          <w:rFonts w:cs="Arial"/>
          <w:sz w:val="22"/>
          <w:szCs w:val="22"/>
        </w:rPr>
        <w:t>2</w:t>
      </w:r>
      <w:r w:rsidR="00C25159">
        <w:rPr>
          <w:rFonts w:cs="Arial"/>
          <w:sz w:val="22"/>
          <w:szCs w:val="22"/>
        </w:rPr>
        <w:t xml:space="preserve"> de octubre de 2023</w:t>
      </w:r>
      <w:r w:rsidRPr="00611EC2">
        <w:rPr>
          <w:rFonts w:cs="Arial"/>
          <w:sz w:val="22"/>
          <w:szCs w:val="22"/>
        </w:rPr>
        <w:t>.</w:t>
      </w:r>
    </w:p>
    <w:p w14:paraId="0685C348" w14:textId="77777777" w:rsidR="00C27C7C" w:rsidRPr="00611EC2" w:rsidRDefault="00C27C7C" w:rsidP="00CF75E0">
      <w:pPr>
        <w:pStyle w:val="Prrafodelista"/>
        <w:ind w:left="0"/>
        <w:jc w:val="left"/>
        <w:rPr>
          <w:rFonts w:cs="Arial"/>
          <w:sz w:val="22"/>
          <w:szCs w:val="22"/>
        </w:rPr>
      </w:pPr>
    </w:p>
    <w:p w14:paraId="54A14532" w14:textId="15031148" w:rsidR="00C27C7C" w:rsidRPr="00611EC2" w:rsidRDefault="00C27C7C" w:rsidP="00CF75E0">
      <w:pPr>
        <w:pStyle w:val="Prrafodelista"/>
        <w:numPr>
          <w:ilvl w:val="0"/>
          <w:numId w:val="26"/>
        </w:numPr>
        <w:jc w:val="left"/>
        <w:rPr>
          <w:rFonts w:cs="Arial"/>
          <w:sz w:val="22"/>
          <w:szCs w:val="22"/>
        </w:rPr>
      </w:pPr>
      <w:r>
        <w:rPr>
          <w:rFonts w:cs="Arial"/>
          <w:sz w:val="22"/>
          <w:szCs w:val="22"/>
        </w:rPr>
        <w:t>Se recibieron co</w:t>
      </w:r>
      <w:r w:rsidRPr="00611EC2">
        <w:rPr>
          <w:rFonts w:cs="Arial"/>
          <w:sz w:val="22"/>
          <w:szCs w:val="22"/>
        </w:rPr>
        <w:t xml:space="preserve">mentarios </w:t>
      </w:r>
      <w:r>
        <w:rPr>
          <w:rFonts w:cs="Arial"/>
          <w:sz w:val="22"/>
          <w:szCs w:val="22"/>
        </w:rPr>
        <w:t xml:space="preserve">de </w:t>
      </w:r>
      <w:r w:rsidR="00C25159">
        <w:rPr>
          <w:rFonts w:cs="Arial"/>
          <w:sz w:val="22"/>
          <w:szCs w:val="22"/>
        </w:rPr>
        <w:t>veinti</w:t>
      </w:r>
      <w:r w:rsidR="002562FF">
        <w:rPr>
          <w:rFonts w:cs="Arial"/>
          <w:sz w:val="22"/>
          <w:szCs w:val="22"/>
        </w:rPr>
        <w:t xml:space="preserve">nueve </w:t>
      </w:r>
      <w:r w:rsidR="00C25159">
        <w:rPr>
          <w:rFonts w:cs="Arial"/>
          <w:sz w:val="22"/>
          <w:szCs w:val="22"/>
        </w:rPr>
        <w:t xml:space="preserve">agentes </w:t>
      </w:r>
      <w:r>
        <w:rPr>
          <w:rFonts w:cs="Arial"/>
          <w:sz w:val="22"/>
          <w:szCs w:val="22"/>
        </w:rPr>
        <w:t>(</w:t>
      </w:r>
      <w:r w:rsidR="00C25159">
        <w:rPr>
          <w:rFonts w:cs="Arial"/>
          <w:sz w:val="22"/>
          <w:szCs w:val="22"/>
        </w:rPr>
        <w:t>2</w:t>
      </w:r>
      <w:r w:rsidR="002562FF">
        <w:rPr>
          <w:rFonts w:cs="Arial"/>
          <w:sz w:val="22"/>
          <w:szCs w:val="22"/>
        </w:rPr>
        <w:t>9</w:t>
      </w:r>
      <w:r>
        <w:rPr>
          <w:rFonts w:cs="Arial"/>
          <w:sz w:val="22"/>
          <w:szCs w:val="22"/>
        </w:rPr>
        <w:t>)</w:t>
      </w:r>
      <w:r w:rsidRPr="00611EC2">
        <w:rPr>
          <w:rFonts w:cs="Arial"/>
          <w:sz w:val="22"/>
          <w:szCs w:val="22"/>
        </w:rPr>
        <w:t xml:space="preserve"> agentes</w:t>
      </w:r>
      <w:r w:rsidR="009B5C14">
        <w:rPr>
          <w:rFonts w:cs="Arial"/>
          <w:sz w:val="22"/>
          <w:szCs w:val="22"/>
        </w:rPr>
        <w:t xml:space="preserve"> y de la Superintendencia de Servicios Públicos Domiciliarios</w:t>
      </w:r>
      <w:r w:rsidRPr="00611EC2">
        <w:rPr>
          <w:rFonts w:cs="Arial"/>
          <w:sz w:val="22"/>
          <w:szCs w:val="22"/>
        </w:rPr>
        <w:t>.</w:t>
      </w:r>
    </w:p>
    <w:p w14:paraId="49E8772A" w14:textId="77777777" w:rsidR="00C27C7C" w:rsidRPr="00611EC2" w:rsidRDefault="00C27C7C" w:rsidP="00CF75E0">
      <w:pPr>
        <w:pStyle w:val="Prrafodelista"/>
        <w:ind w:left="0"/>
        <w:jc w:val="left"/>
        <w:rPr>
          <w:rFonts w:cs="Arial"/>
          <w:sz w:val="22"/>
          <w:szCs w:val="22"/>
        </w:rPr>
      </w:pPr>
    </w:p>
    <w:p w14:paraId="76306497" w14:textId="68AB2BC9" w:rsidR="00C27C7C" w:rsidRDefault="00C27C7C" w:rsidP="00CF75E0">
      <w:pPr>
        <w:pStyle w:val="Prrafodelista"/>
        <w:numPr>
          <w:ilvl w:val="0"/>
          <w:numId w:val="26"/>
        </w:numPr>
        <w:jc w:val="left"/>
        <w:rPr>
          <w:rFonts w:cs="Arial"/>
          <w:sz w:val="22"/>
          <w:szCs w:val="22"/>
        </w:rPr>
      </w:pPr>
      <w:r w:rsidRPr="00611EC2">
        <w:rPr>
          <w:rFonts w:cs="Arial"/>
          <w:sz w:val="22"/>
          <w:szCs w:val="22"/>
        </w:rPr>
        <w:t xml:space="preserve">Se recibieron </w:t>
      </w:r>
      <w:r w:rsidR="00C25159">
        <w:rPr>
          <w:rFonts w:cs="Arial"/>
          <w:sz w:val="22"/>
          <w:szCs w:val="22"/>
        </w:rPr>
        <w:t xml:space="preserve">ciento </w:t>
      </w:r>
      <w:r w:rsidR="001D3B0C">
        <w:rPr>
          <w:rFonts w:cs="Arial"/>
          <w:sz w:val="22"/>
          <w:szCs w:val="22"/>
        </w:rPr>
        <w:t>ochenta y dos</w:t>
      </w:r>
      <w:r w:rsidR="003B3C55">
        <w:rPr>
          <w:rFonts w:cs="Arial"/>
          <w:sz w:val="22"/>
          <w:szCs w:val="22"/>
        </w:rPr>
        <w:t xml:space="preserve"> </w:t>
      </w:r>
      <w:r w:rsidR="00C25159">
        <w:rPr>
          <w:rFonts w:cs="Arial"/>
          <w:sz w:val="22"/>
          <w:szCs w:val="22"/>
        </w:rPr>
        <w:t>(1</w:t>
      </w:r>
      <w:r w:rsidR="001D3B0C">
        <w:rPr>
          <w:rFonts w:cs="Arial"/>
          <w:sz w:val="22"/>
          <w:szCs w:val="22"/>
        </w:rPr>
        <w:t>82</w:t>
      </w:r>
      <w:r w:rsidR="00C25159">
        <w:rPr>
          <w:rFonts w:cs="Arial"/>
          <w:sz w:val="22"/>
          <w:szCs w:val="22"/>
        </w:rPr>
        <w:t xml:space="preserve">) </w:t>
      </w:r>
      <w:r w:rsidRPr="00611EC2">
        <w:rPr>
          <w:rFonts w:cs="Arial"/>
          <w:sz w:val="22"/>
          <w:szCs w:val="22"/>
        </w:rPr>
        <w:t>comentarios.</w:t>
      </w:r>
    </w:p>
    <w:p w14:paraId="14DE2305" w14:textId="77777777" w:rsidR="00C25159" w:rsidRPr="00C25159" w:rsidRDefault="00C25159" w:rsidP="00CF75E0">
      <w:pPr>
        <w:pStyle w:val="Prrafodelista"/>
        <w:jc w:val="left"/>
        <w:rPr>
          <w:rFonts w:cs="Arial"/>
          <w:sz w:val="22"/>
          <w:szCs w:val="22"/>
        </w:rPr>
      </w:pPr>
    </w:p>
    <w:p w14:paraId="6AD1FCDA" w14:textId="1894B926" w:rsidR="00C25159" w:rsidRDefault="00C25159" w:rsidP="00CF75E0">
      <w:pPr>
        <w:pStyle w:val="Prrafodelista"/>
        <w:numPr>
          <w:ilvl w:val="0"/>
          <w:numId w:val="26"/>
        </w:numPr>
        <w:jc w:val="left"/>
        <w:rPr>
          <w:rFonts w:cs="Arial"/>
          <w:sz w:val="22"/>
          <w:szCs w:val="22"/>
        </w:rPr>
      </w:pPr>
      <w:r>
        <w:rPr>
          <w:rFonts w:cs="Arial"/>
          <w:sz w:val="22"/>
          <w:szCs w:val="22"/>
        </w:rPr>
        <w:t xml:space="preserve">Se recibieron comentarios de gremios del sector (productores-comercializadores, distribuidores, comercializadores, grandes usuarios), de productores-comercializadores y de comercializadores. </w:t>
      </w:r>
    </w:p>
    <w:p w14:paraId="398FE8FF" w14:textId="77777777" w:rsidR="00C27C7C" w:rsidRDefault="00C27C7C" w:rsidP="00CF75E0">
      <w:pPr>
        <w:pStyle w:val="Prrafodelista"/>
        <w:ind w:left="0"/>
        <w:jc w:val="left"/>
        <w:rPr>
          <w:rFonts w:cs="Arial"/>
          <w:sz w:val="22"/>
          <w:szCs w:val="22"/>
        </w:rPr>
      </w:pPr>
    </w:p>
    <w:p w14:paraId="60EA4717" w14:textId="77777777" w:rsidR="00C27C7C" w:rsidRDefault="00C27C7C" w:rsidP="00CF75E0">
      <w:pPr>
        <w:pStyle w:val="Prrafodelista"/>
        <w:numPr>
          <w:ilvl w:val="0"/>
          <w:numId w:val="26"/>
        </w:numPr>
        <w:jc w:val="left"/>
        <w:rPr>
          <w:rFonts w:cs="Arial"/>
          <w:sz w:val="22"/>
          <w:szCs w:val="22"/>
        </w:rPr>
      </w:pPr>
      <w:r w:rsidRPr="000C285C">
        <w:rPr>
          <w:rFonts w:cs="Arial"/>
          <w:sz w:val="22"/>
          <w:szCs w:val="22"/>
        </w:rPr>
        <w:t>Se recibieron comentarios de varias e</w:t>
      </w:r>
      <w:r>
        <w:rPr>
          <w:rFonts w:cs="Arial"/>
          <w:sz w:val="22"/>
          <w:szCs w:val="22"/>
        </w:rPr>
        <w:t>ntidades</w:t>
      </w:r>
      <w:r w:rsidRPr="000C285C">
        <w:rPr>
          <w:rFonts w:cs="Arial"/>
          <w:sz w:val="22"/>
          <w:szCs w:val="22"/>
        </w:rPr>
        <w:t xml:space="preserve">, tal como se solicitó, en formato </w:t>
      </w:r>
      <w:r>
        <w:rPr>
          <w:rFonts w:cs="Arial"/>
          <w:sz w:val="22"/>
          <w:szCs w:val="22"/>
        </w:rPr>
        <w:t>de archivo en e</w:t>
      </w:r>
      <w:r w:rsidRPr="000C285C">
        <w:rPr>
          <w:rFonts w:cs="Arial"/>
          <w:sz w:val="22"/>
          <w:szCs w:val="22"/>
        </w:rPr>
        <w:t>xcel. En este caso, los comentarios son transcritos tal cual se recibieron.</w:t>
      </w:r>
      <w:r>
        <w:rPr>
          <w:rFonts w:cs="Arial"/>
          <w:sz w:val="22"/>
          <w:szCs w:val="22"/>
        </w:rPr>
        <w:t xml:space="preserve"> En el caso de los comentarios recibidos en archivos pdf sin versión en Excel, se extrajeron los apartes de la comunicación recibida que se considera que reflejan un comentario específico, pudiendo ser que haya empresas que agruparon varios textos sobre un mismo artículo de la propuesta, pero que en realidad tiene comentarios separables</w:t>
      </w:r>
      <w:r w:rsidRPr="000C285C">
        <w:rPr>
          <w:rFonts w:cs="Arial"/>
          <w:sz w:val="22"/>
          <w:szCs w:val="22"/>
        </w:rPr>
        <w:t xml:space="preserve"> </w:t>
      </w:r>
      <w:r>
        <w:rPr>
          <w:rFonts w:cs="Arial"/>
          <w:sz w:val="22"/>
          <w:szCs w:val="22"/>
        </w:rPr>
        <w:t>por lo que así se hizo.</w:t>
      </w:r>
    </w:p>
    <w:p w14:paraId="16B63000" w14:textId="77777777" w:rsidR="00C27C7C" w:rsidRDefault="00C27C7C" w:rsidP="00CF75E0">
      <w:pPr>
        <w:pStyle w:val="Prrafodelista"/>
        <w:ind w:left="0"/>
        <w:jc w:val="left"/>
        <w:rPr>
          <w:rFonts w:cs="Arial"/>
          <w:sz w:val="22"/>
          <w:szCs w:val="22"/>
        </w:rPr>
      </w:pPr>
    </w:p>
    <w:p w14:paraId="665C2007" w14:textId="77777777" w:rsidR="00C27C7C" w:rsidRDefault="00C27C7C" w:rsidP="00CF75E0">
      <w:pPr>
        <w:pStyle w:val="Prrafodelista"/>
        <w:numPr>
          <w:ilvl w:val="0"/>
          <w:numId w:val="26"/>
        </w:numPr>
        <w:jc w:val="left"/>
        <w:rPr>
          <w:rFonts w:cs="Arial"/>
          <w:sz w:val="22"/>
          <w:szCs w:val="22"/>
        </w:rPr>
      </w:pPr>
      <w:r w:rsidRPr="006D44FF">
        <w:rPr>
          <w:rFonts w:cs="Arial"/>
          <w:sz w:val="22"/>
          <w:szCs w:val="22"/>
        </w:rPr>
        <w:t>Por lo anterior, es posible que un comentario asignado por la entidad que lo presenta a un artículo en específico haya sido reasignado en el listado de abajo en un artículo diferente.</w:t>
      </w:r>
    </w:p>
    <w:p w14:paraId="774596F0" w14:textId="77777777" w:rsidR="00C27C7C" w:rsidRPr="006D44FF" w:rsidRDefault="00C27C7C" w:rsidP="00CF75E0">
      <w:pPr>
        <w:pStyle w:val="Prrafodelista"/>
        <w:jc w:val="left"/>
        <w:rPr>
          <w:rFonts w:cs="Arial"/>
          <w:sz w:val="22"/>
          <w:szCs w:val="22"/>
        </w:rPr>
      </w:pPr>
    </w:p>
    <w:p w14:paraId="43BC72B1" w14:textId="77777777" w:rsidR="00C27C7C" w:rsidRDefault="00C27C7C" w:rsidP="00CF75E0">
      <w:pPr>
        <w:pStyle w:val="Prrafodelista"/>
        <w:numPr>
          <w:ilvl w:val="0"/>
          <w:numId w:val="26"/>
        </w:numPr>
        <w:jc w:val="left"/>
        <w:rPr>
          <w:rFonts w:cs="Arial"/>
          <w:sz w:val="22"/>
          <w:szCs w:val="22"/>
        </w:rPr>
      </w:pPr>
      <w:r>
        <w:rPr>
          <w:rFonts w:cs="Arial"/>
          <w:sz w:val="22"/>
          <w:szCs w:val="22"/>
        </w:rPr>
        <w:lastRenderedPageBreak/>
        <w:t>Para facilitar la lectura de respuestas a comentarios que se acogen a respuestas de un comentario anterior o posterior, se facilita que se presione en el número de la respuesta de referencia, o numeral de referencia (cuando se trata de un contenido en sección diferente de la correspondiente al Anexo de Comentarios) para redirigirse a la respuesta invocada de referencia.</w:t>
      </w:r>
    </w:p>
    <w:p w14:paraId="61239869" w14:textId="77777777" w:rsidR="00B602F6" w:rsidRPr="00B602F6" w:rsidRDefault="00B602F6" w:rsidP="00B602F6">
      <w:pPr>
        <w:pStyle w:val="Prrafodelista"/>
        <w:rPr>
          <w:rFonts w:cs="Arial"/>
          <w:sz w:val="22"/>
          <w:szCs w:val="22"/>
        </w:rPr>
      </w:pPr>
    </w:p>
    <w:p w14:paraId="0B969D09" w14:textId="06714080" w:rsidR="00B602F6" w:rsidRPr="006D44FF" w:rsidRDefault="00B602F6" w:rsidP="00CF75E0">
      <w:pPr>
        <w:pStyle w:val="Prrafodelista"/>
        <w:numPr>
          <w:ilvl w:val="0"/>
          <w:numId w:val="26"/>
        </w:numPr>
        <w:jc w:val="left"/>
        <w:rPr>
          <w:rFonts w:cs="Arial"/>
          <w:sz w:val="22"/>
          <w:szCs w:val="22"/>
        </w:rPr>
      </w:pPr>
      <w:r>
        <w:rPr>
          <w:rFonts w:cs="Arial"/>
          <w:sz w:val="22"/>
          <w:szCs w:val="22"/>
        </w:rPr>
        <w:t>El uso de nombres de empresas en letras mayúsculas o letras minúsculas corresponde con el nombre que las mismas colocaron en el formato Excel recibido de ellas.</w:t>
      </w:r>
    </w:p>
    <w:p w14:paraId="2F88D3BB" w14:textId="77777777" w:rsidR="00C27C7C" w:rsidRDefault="00C27C7C" w:rsidP="00CF75E0">
      <w:pPr>
        <w:pStyle w:val="Prrafodelista"/>
        <w:ind w:left="360"/>
        <w:jc w:val="left"/>
        <w:rPr>
          <w:rFonts w:cs="Arial"/>
          <w:sz w:val="22"/>
          <w:szCs w:val="22"/>
        </w:rPr>
      </w:pPr>
    </w:p>
    <w:p w14:paraId="2F2F8833" w14:textId="77777777" w:rsidR="00C27C7C" w:rsidRPr="00EC20DB" w:rsidRDefault="00C27C7C" w:rsidP="00CF75E0">
      <w:pPr>
        <w:pStyle w:val="Prrafodelista"/>
        <w:jc w:val="left"/>
        <w:rPr>
          <w:rFonts w:cs="Arial"/>
          <w:sz w:val="22"/>
          <w:szCs w:val="22"/>
        </w:rPr>
      </w:pPr>
    </w:p>
    <w:p w14:paraId="4D88C925" w14:textId="5694AE27" w:rsidR="00C27C7C" w:rsidRDefault="00A25B16" w:rsidP="00CF75E0">
      <w:pPr>
        <w:pStyle w:val="Ttulo1"/>
        <w:jc w:val="left"/>
      </w:pPr>
      <w:bookmarkStart w:id="32" w:name="_Toc158211410"/>
      <w:r>
        <w:t>ARTÍCULO 1</w:t>
      </w:r>
      <w:bookmarkEnd w:id="32"/>
    </w:p>
    <w:p w14:paraId="13996843" w14:textId="76FD9252" w:rsidR="00C27C7C" w:rsidRPr="00FF0180" w:rsidRDefault="00A25B16" w:rsidP="00CF75E0">
      <w:pPr>
        <w:pStyle w:val="Ttulo2"/>
        <w:jc w:val="left"/>
      </w:pPr>
      <w:bookmarkStart w:id="33" w:name="_Toc158211411"/>
      <w:r>
        <w:t>CANACOL</w:t>
      </w:r>
      <w:bookmarkEnd w:id="33"/>
    </w:p>
    <w:p w14:paraId="0B33FA2C" w14:textId="0FB6B146" w:rsidR="001A43D3" w:rsidRPr="001A43D3" w:rsidRDefault="001A43D3" w:rsidP="00CF75E0">
      <w:pPr>
        <w:jc w:val="left"/>
        <w:rPr>
          <w:rFonts w:cs="Arial"/>
          <w:i/>
          <w:iCs/>
          <w:sz w:val="22"/>
          <w:szCs w:val="22"/>
        </w:rPr>
      </w:pPr>
      <w:r w:rsidRPr="001A43D3">
        <w:rPr>
          <w:rFonts w:cs="Arial"/>
          <w:i/>
          <w:iCs/>
          <w:sz w:val="22"/>
          <w:szCs w:val="22"/>
        </w:rPr>
        <w:t>"Se sugiere eliminar la definición de ""pre</w:t>
      </w:r>
      <w:r w:rsidR="00EA18F8">
        <w:rPr>
          <w:rFonts w:cs="Arial"/>
          <w:i/>
          <w:iCs/>
          <w:sz w:val="22"/>
          <w:szCs w:val="22"/>
        </w:rPr>
        <w:t>c</w:t>
      </w:r>
      <w:r w:rsidRPr="001A43D3">
        <w:rPr>
          <w:rFonts w:cs="Arial"/>
          <w:i/>
          <w:iCs/>
          <w:sz w:val="22"/>
          <w:szCs w:val="22"/>
        </w:rPr>
        <w:t>io de reserva"" toda vez que no se usa en toda la resolución en ninguno de los artículos y no es clara la necesidad de inclusión de la misma.</w:t>
      </w:r>
      <w:r w:rsidR="00A25B16">
        <w:rPr>
          <w:rFonts w:cs="Arial"/>
          <w:i/>
          <w:iCs/>
          <w:sz w:val="22"/>
          <w:szCs w:val="22"/>
        </w:rPr>
        <w:t>”</w:t>
      </w:r>
      <w:r w:rsidRPr="001A43D3">
        <w:rPr>
          <w:rFonts w:cs="Arial"/>
          <w:i/>
          <w:iCs/>
          <w:sz w:val="22"/>
          <w:szCs w:val="22"/>
        </w:rPr>
        <w:t xml:space="preserve"> </w:t>
      </w:r>
    </w:p>
    <w:p w14:paraId="64110FF9" w14:textId="77777777" w:rsidR="001A43D3" w:rsidRDefault="001A43D3" w:rsidP="00CF75E0">
      <w:pPr>
        <w:jc w:val="left"/>
        <w:rPr>
          <w:rFonts w:cs="Arial"/>
          <w:i/>
          <w:iCs/>
          <w:sz w:val="22"/>
          <w:szCs w:val="22"/>
        </w:rPr>
      </w:pPr>
    </w:p>
    <w:p w14:paraId="098F52A9" w14:textId="70309243" w:rsidR="00A25B16" w:rsidRPr="002B1FF0" w:rsidRDefault="002B1FF0" w:rsidP="00CF75E0">
      <w:pPr>
        <w:jc w:val="left"/>
        <w:rPr>
          <w:rFonts w:cs="Arial"/>
          <w:b/>
          <w:bCs/>
          <w:sz w:val="22"/>
          <w:szCs w:val="22"/>
        </w:rPr>
      </w:pPr>
      <w:r w:rsidRPr="002B1FF0">
        <w:rPr>
          <w:rFonts w:cs="Arial"/>
          <w:b/>
          <w:bCs/>
          <w:sz w:val="22"/>
          <w:szCs w:val="22"/>
        </w:rPr>
        <w:t>RESPUESTA:</w:t>
      </w:r>
    </w:p>
    <w:p w14:paraId="3956FECE" w14:textId="77777777" w:rsidR="002B1FF0" w:rsidRDefault="002B1FF0" w:rsidP="00CF75E0">
      <w:pPr>
        <w:jc w:val="left"/>
        <w:rPr>
          <w:rFonts w:cs="Arial"/>
          <w:sz w:val="22"/>
          <w:szCs w:val="22"/>
        </w:rPr>
      </w:pPr>
    </w:p>
    <w:p w14:paraId="4132F6C5" w14:textId="190F4A91" w:rsidR="006F5BB9" w:rsidRPr="002B1FF0" w:rsidRDefault="006F5BB9" w:rsidP="00CF75E0">
      <w:pPr>
        <w:jc w:val="left"/>
        <w:rPr>
          <w:rFonts w:cs="Arial"/>
          <w:sz w:val="22"/>
          <w:szCs w:val="22"/>
        </w:rPr>
      </w:pPr>
      <w:r>
        <w:rPr>
          <w:rFonts w:cs="Arial"/>
          <w:sz w:val="22"/>
          <w:szCs w:val="22"/>
        </w:rPr>
        <w:t xml:space="preserve">La </w:t>
      </w:r>
      <w:r w:rsidR="00EA18F8">
        <w:rPr>
          <w:rFonts w:cs="Arial"/>
          <w:sz w:val="22"/>
          <w:szCs w:val="22"/>
        </w:rPr>
        <w:t>expresión</w:t>
      </w:r>
      <w:r>
        <w:rPr>
          <w:rFonts w:cs="Arial"/>
          <w:sz w:val="22"/>
          <w:szCs w:val="22"/>
        </w:rPr>
        <w:t xml:space="preserve"> ¨</w:t>
      </w:r>
      <w:r w:rsidRPr="00152056">
        <w:rPr>
          <w:rFonts w:cs="Arial"/>
          <w:i/>
          <w:iCs/>
          <w:sz w:val="22"/>
          <w:szCs w:val="22"/>
        </w:rPr>
        <w:t>Precio de Reserva</w:t>
      </w:r>
      <w:r>
        <w:rPr>
          <w:rFonts w:cs="Arial"/>
          <w:sz w:val="22"/>
          <w:szCs w:val="22"/>
        </w:rPr>
        <w:t xml:space="preserve">” </w:t>
      </w:r>
      <w:r w:rsidR="00152056">
        <w:rPr>
          <w:rFonts w:cs="Arial"/>
          <w:sz w:val="22"/>
          <w:szCs w:val="22"/>
        </w:rPr>
        <w:t xml:space="preserve">será necesaria para la aplicación de </w:t>
      </w:r>
      <w:r w:rsidR="00EA18F8">
        <w:rPr>
          <w:rFonts w:cs="Arial"/>
          <w:sz w:val="22"/>
          <w:szCs w:val="22"/>
        </w:rPr>
        <w:t xml:space="preserve">algunas de </w:t>
      </w:r>
      <w:r w:rsidR="00152056">
        <w:rPr>
          <w:rFonts w:cs="Arial"/>
          <w:sz w:val="22"/>
          <w:szCs w:val="22"/>
        </w:rPr>
        <w:t>las normas establecidas en la resolución definitiva.</w:t>
      </w:r>
    </w:p>
    <w:p w14:paraId="367FB7CA" w14:textId="77777777" w:rsidR="002B1FF0" w:rsidRPr="002B1FF0" w:rsidRDefault="002B1FF0" w:rsidP="00CF75E0">
      <w:pPr>
        <w:jc w:val="left"/>
        <w:rPr>
          <w:rFonts w:cs="Arial"/>
          <w:sz w:val="22"/>
          <w:szCs w:val="22"/>
        </w:rPr>
      </w:pPr>
    </w:p>
    <w:p w14:paraId="1C63E7A4" w14:textId="77777777" w:rsidR="00A25B16" w:rsidRPr="001A43D3" w:rsidRDefault="00A25B16" w:rsidP="00CF75E0">
      <w:pPr>
        <w:jc w:val="left"/>
        <w:rPr>
          <w:rFonts w:cs="Arial"/>
          <w:i/>
          <w:iCs/>
          <w:sz w:val="22"/>
          <w:szCs w:val="22"/>
        </w:rPr>
      </w:pPr>
    </w:p>
    <w:p w14:paraId="54892081" w14:textId="2B5D0F22" w:rsidR="00A25B16" w:rsidRPr="00FF0180" w:rsidRDefault="00A25B16" w:rsidP="00CF75E0">
      <w:pPr>
        <w:pStyle w:val="Ttulo2"/>
        <w:jc w:val="left"/>
      </w:pPr>
      <w:bookmarkStart w:id="34" w:name="_Ref149198027"/>
      <w:bookmarkStart w:id="35" w:name="_Toc158211412"/>
      <w:r>
        <w:t>PROGASUR</w:t>
      </w:r>
      <w:bookmarkEnd w:id="34"/>
      <w:bookmarkEnd w:id="35"/>
    </w:p>
    <w:p w14:paraId="4B459450" w14:textId="3322FF9D" w:rsidR="001A43D3" w:rsidRPr="001A43D3" w:rsidRDefault="001A43D3" w:rsidP="00CF75E0">
      <w:pPr>
        <w:jc w:val="left"/>
        <w:rPr>
          <w:rFonts w:cs="Arial"/>
          <w:i/>
          <w:iCs/>
          <w:sz w:val="22"/>
          <w:szCs w:val="22"/>
        </w:rPr>
      </w:pPr>
      <w:r w:rsidRPr="001A43D3">
        <w:rPr>
          <w:rFonts w:cs="Arial"/>
          <w:i/>
          <w:iCs/>
          <w:sz w:val="22"/>
          <w:szCs w:val="22"/>
        </w:rPr>
        <w:t>"Es importante mencionar bajo qu</w:t>
      </w:r>
      <w:r w:rsidR="00152056">
        <w:rPr>
          <w:rFonts w:cs="Arial"/>
          <w:i/>
          <w:iCs/>
          <w:sz w:val="22"/>
          <w:szCs w:val="22"/>
        </w:rPr>
        <w:t>é</w:t>
      </w:r>
      <w:r w:rsidRPr="001A43D3">
        <w:rPr>
          <w:rFonts w:cs="Arial"/>
          <w:i/>
          <w:iCs/>
          <w:sz w:val="22"/>
          <w:szCs w:val="22"/>
        </w:rPr>
        <w:t xml:space="preserve"> condiciones y mecanismos se realizar</w:t>
      </w:r>
      <w:r w:rsidR="00152056">
        <w:rPr>
          <w:rFonts w:cs="Arial"/>
          <w:i/>
          <w:iCs/>
          <w:sz w:val="22"/>
          <w:szCs w:val="22"/>
        </w:rPr>
        <w:t>í</w:t>
      </w:r>
      <w:r w:rsidRPr="001A43D3">
        <w:rPr>
          <w:rFonts w:cs="Arial"/>
          <w:i/>
          <w:iCs/>
          <w:sz w:val="22"/>
          <w:szCs w:val="22"/>
        </w:rPr>
        <w:t>a dicha priorizaci</w:t>
      </w:r>
      <w:r w:rsidR="00152056">
        <w:rPr>
          <w:rFonts w:cs="Arial"/>
          <w:i/>
          <w:iCs/>
          <w:sz w:val="22"/>
          <w:szCs w:val="22"/>
        </w:rPr>
        <w:t>ó</w:t>
      </w:r>
      <w:r w:rsidRPr="001A43D3">
        <w:rPr>
          <w:rFonts w:cs="Arial"/>
          <w:i/>
          <w:iCs/>
          <w:sz w:val="22"/>
          <w:szCs w:val="22"/>
        </w:rPr>
        <w:t>n de parte de los agentes de transporte, dado que al igual que con la comercializaci</w:t>
      </w:r>
      <w:r w:rsidR="00152056">
        <w:rPr>
          <w:rFonts w:cs="Arial"/>
          <w:i/>
          <w:iCs/>
          <w:sz w:val="22"/>
          <w:szCs w:val="22"/>
        </w:rPr>
        <w:t>ó</w:t>
      </w:r>
      <w:r w:rsidRPr="001A43D3">
        <w:rPr>
          <w:rFonts w:cs="Arial"/>
          <w:i/>
          <w:iCs/>
          <w:sz w:val="22"/>
          <w:szCs w:val="22"/>
        </w:rPr>
        <w:t>n se deber</w:t>
      </w:r>
      <w:r w:rsidR="00152056">
        <w:rPr>
          <w:rFonts w:cs="Arial"/>
          <w:i/>
          <w:iCs/>
          <w:sz w:val="22"/>
          <w:szCs w:val="22"/>
        </w:rPr>
        <w:t>á</w:t>
      </w:r>
      <w:r w:rsidRPr="001A43D3">
        <w:rPr>
          <w:rFonts w:cs="Arial"/>
          <w:i/>
          <w:iCs/>
          <w:sz w:val="22"/>
          <w:szCs w:val="22"/>
        </w:rPr>
        <w:t xml:space="preserve"> considerar que en alg</w:t>
      </w:r>
      <w:r w:rsidR="00152056">
        <w:rPr>
          <w:rFonts w:cs="Arial"/>
          <w:i/>
          <w:iCs/>
          <w:sz w:val="22"/>
          <w:szCs w:val="22"/>
        </w:rPr>
        <w:t>ú</w:t>
      </w:r>
      <w:r w:rsidRPr="001A43D3">
        <w:rPr>
          <w:rFonts w:cs="Arial"/>
          <w:i/>
          <w:iCs/>
          <w:sz w:val="22"/>
          <w:szCs w:val="22"/>
        </w:rPr>
        <w:t>n mo</w:t>
      </w:r>
      <w:r w:rsidR="00152056">
        <w:rPr>
          <w:rFonts w:cs="Arial"/>
          <w:i/>
          <w:iCs/>
          <w:sz w:val="22"/>
          <w:szCs w:val="22"/>
        </w:rPr>
        <w:t>men</w:t>
      </w:r>
      <w:r w:rsidRPr="001A43D3">
        <w:rPr>
          <w:rFonts w:cs="Arial"/>
          <w:i/>
          <w:iCs/>
          <w:sz w:val="22"/>
          <w:szCs w:val="22"/>
        </w:rPr>
        <w:t>to los transportadores tambi</w:t>
      </w:r>
      <w:r w:rsidR="00152056">
        <w:rPr>
          <w:rFonts w:cs="Arial"/>
          <w:i/>
          <w:iCs/>
          <w:sz w:val="22"/>
          <w:szCs w:val="22"/>
        </w:rPr>
        <w:t>é</w:t>
      </w:r>
      <w:r w:rsidRPr="001A43D3">
        <w:rPr>
          <w:rFonts w:cs="Arial"/>
          <w:i/>
          <w:iCs/>
          <w:sz w:val="22"/>
          <w:szCs w:val="22"/>
        </w:rPr>
        <w:t>n deber</w:t>
      </w:r>
      <w:r w:rsidR="00152056">
        <w:rPr>
          <w:rFonts w:cs="Arial"/>
          <w:i/>
          <w:iCs/>
          <w:sz w:val="22"/>
          <w:szCs w:val="22"/>
        </w:rPr>
        <w:t>á</w:t>
      </w:r>
      <w:r w:rsidRPr="001A43D3">
        <w:rPr>
          <w:rFonts w:cs="Arial"/>
          <w:i/>
          <w:iCs/>
          <w:sz w:val="22"/>
          <w:szCs w:val="22"/>
        </w:rPr>
        <w:t>n clasificar a los remitentes priorizados.</w:t>
      </w:r>
    </w:p>
    <w:p w14:paraId="4757A8B0" w14:textId="77777777" w:rsidR="001A43D3" w:rsidRPr="001A43D3" w:rsidRDefault="001A43D3" w:rsidP="00CF75E0">
      <w:pPr>
        <w:jc w:val="left"/>
        <w:rPr>
          <w:rFonts w:cs="Arial"/>
          <w:i/>
          <w:iCs/>
          <w:sz w:val="22"/>
          <w:szCs w:val="22"/>
        </w:rPr>
      </w:pPr>
    </w:p>
    <w:p w14:paraId="5E300E91" w14:textId="7783A9AA" w:rsidR="001A43D3" w:rsidRDefault="001A43D3" w:rsidP="00CF75E0">
      <w:pPr>
        <w:jc w:val="left"/>
        <w:rPr>
          <w:rFonts w:cs="Arial"/>
          <w:b/>
          <w:bCs/>
          <w:i/>
          <w:iCs/>
          <w:sz w:val="22"/>
          <w:szCs w:val="22"/>
        </w:rPr>
      </w:pPr>
      <w:r w:rsidRPr="001A43D3">
        <w:rPr>
          <w:rFonts w:cs="Arial"/>
          <w:i/>
          <w:iCs/>
          <w:sz w:val="22"/>
          <w:szCs w:val="22"/>
        </w:rPr>
        <w:t>Por favor incluir expl</w:t>
      </w:r>
      <w:r w:rsidR="00152056">
        <w:rPr>
          <w:rFonts w:cs="Arial"/>
          <w:i/>
          <w:iCs/>
          <w:sz w:val="22"/>
          <w:szCs w:val="22"/>
        </w:rPr>
        <w:t>í</w:t>
      </w:r>
      <w:r w:rsidRPr="001A43D3">
        <w:rPr>
          <w:rFonts w:cs="Arial"/>
          <w:i/>
          <w:iCs/>
          <w:sz w:val="22"/>
          <w:szCs w:val="22"/>
        </w:rPr>
        <w:t>citamente en los tipos de negociaci</w:t>
      </w:r>
      <w:r w:rsidR="00152056">
        <w:rPr>
          <w:rFonts w:cs="Arial"/>
          <w:i/>
          <w:iCs/>
          <w:sz w:val="22"/>
          <w:szCs w:val="22"/>
        </w:rPr>
        <w:t>ó</w:t>
      </w:r>
      <w:r w:rsidRPr="001A43D3">
        <w:rPr>
          <w:rFonts w:cs="Arial"/>
          <w:i/>
          <w:iCs/>
          <w:sz w:val="22"/>
          <w:szCs w:val="22"/>
        </w:rPr>
        <w:t>n de semanas a los transportadores o de manera general a todos los agentes del sistema primario y secundario"</w:t>
      </w:r>
      <w:r w:rsidRPr="001A43D3">
        <w:rPr>
          <w:rFonts w:cs="Arial"/>
          <w:b/>
          <w:bCs/>
          <w:i/>
          <w:iCs/>
          <w:sz w:val="22"/>
          <w:szCs w:val="22"/>
        </w:rPr>
        <w:t xml:space="preserve"> </w:t>
      </w:r>
    </w:p>
    <w:p w14:paraId="7D178950" w14:textId="77777777" w:rsidR="001A43D3" w:rsidRDefault="001A43D3" w:rsidP="00CF75E0">
      <w:pPr>
        <w:jc w:val="left"/>
        <w:rPr>
          <w:rFonts w:cs="Arial"/>
          <w:b/>
          <w:bCs/>
          <w:i/>
          <w:iCs/>
          <w:sz w:val="22"/>
          <w:szCs w:val="22"/>
        </w:rPr>
      </w:pPr>
    </w:p>
    <w:p w14:paraId="2D64D642"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107C5FDF" w14:textId="77777777" w:rsidR="002B1FF0" w:rsidRPr="002B1FF0" w:rsidRDefault="002B1FF0" w:rsidP="00CF75E0">
      <w:pPr>
        <w:jc w:val="left"/>
        <w:rPr>
          <w:rFonts w:cs="Arial"/>
          <w:sz w:val="22"/>
          <w:szCs w:val="22"/>
        </w:rPr>
      </w:pPr>
    </w:p>
    <w:p w14:paraId="0E76A2D7" w14:textId="5908B8F0" w:rsidR="002B1FF0" w:rsidRDefault="008D1413" w:rsidP="00CF75E0">
      <w:pPr>
        <w:jc w:val="left"/>
        <w:rPr>
          <w:rFonts w:cs="Arial"/>
          <w:sz w:val="22"/>
          <w:szCs w:val="22"/>
        </w:rPr>
      </w:pPr>
      <w:r>
        <w:rPr>
          <w:rFonts w:cs="Arial"/>
          <w:sz w:val="22"/>
          <w:szCs w:val="22"/>
        </w:rPr>
        <w:t>No se acoge el comentario.</w:t>
      </w:r>
    </w:p>
    <w:p w14:paraId="2529BA9F" w14:textId="77777777" w:rsidR="008D1413" w:rsidRDefault="008D1413" w:rsidP="00CF75E0">
      <w:pPr>
        <w:jc w:val="left"/>
        <w:rPr>
          <w:rFonts w:cs="Arial"/>
          <w:sz w:val="22"/>
          <w:szCs w:val="22"/>
        </w:rPr>
      </w:pPr>
    </w:p>
    <w:p w14:paraId="5914D3F2" w14:textId="65D17125" w:rsidR="008D1413" w:rsidRDefault="008D1413" w:rsidP="00CF75E0">
      <w:pPr>
        <w:jc w:val="left"/>
        <w:rPr>
          <w:rFonts w:cs="Arial"/>
          <w:sz w:val="22"/>
          <w:szCs w:val="22"/>
        </w:rPr>
      </w:pPr>
      <w:r>
        <w:rPr>
          <w:rFonts w:cs="Arial"/>
          <w:sz w:val="22"/>
          <w:szCs w:val="22"/>
        </w:rPr>
        <w:t>El Proyecto de Resolución CREG 702 005 de 2023 no pretende modificar, adicionar o sustituir las disposiciones previstas para la comercialización de la capacidad de transporte establecidas en la Resolución CREG 185 de 2020 y aquellas que la modifiquen, sustituyan, adicionen o complementen. La motivación del Proyecto se supedita al suministro de gas natural.</w:t>
      </w:r>
    </w:p>
    <w:p w14:paraId="2B2E4923" w14:textId="77777777" w:rsidR="008D1413" w:rsidRPr="002B1FF0" w:rsidRDefault="008D1413" w:rsidP="00CF75E0">
      <w:pPr>
        <w:jc w:val="left"/>
        <w:rPr>
          <w:rFonts w:cs="Arial"/>
          <w:sz w:val="22"/>
          <w:szCs w:val="22"/>
        </w:rPr>
      </w:pPr>
    </w:p>
    <w:p w14:paraId="4B47E5F0" w14:textId="77777777" w:rsidR="00A25B16" w:rsidRDefault="00A25B16" w:rsidP="00CF75E0">
      <w:pPr>
        <w:jc w:val="left"/>
        <w:rPr>
          <w:rFonts w:cs="Arial"/>
          <w:i/>
          <w:iCs/>
          <w:sz w:val="22"/>
          <w:szCs w:val="22"/>
        </w:rPr>
      </w:pPr>
    </w:p>
    <w:p w14:paraId="0B6DF1E0" w14:textId="5ECCD029" w:rsidR="00A25B16" w:rsidRDefault="00A25B16" w:rsidP="00CF75E0">
      <w:pPr>
        <w:pStyle w:val="Ttulo1"/>
        <w:jc w:val="left"/>
      </w:pPr>
      <w:bookmarkStart w:id="36" w:name="_Toc158211413"/>
      <w:r>
        <w:t>ARTÍCULO 2</w:t>
      </w:r>
      <w:bookmarkEnd w:id="36"/>
    </w:p>
    <w:p w14:paraId="6B9B7B7E" w14:textId="3D223EEF" w:rsidR="00A25B16" w:rsidRPr="00FF0180" w:rsidRDefault="00A25B16" w:rsidP="00CF75E0">
      <w:pPr>
        <w:pStyle w:val="Ttulo2"/>
        <w:jc w:val="left"/>
      </w:pPr>
      <w:bookmarkStart w:id="37" w:name="_Toc158211414"/>
      <w:r>
        <w:t>ANDEG</w:t>
      </w:r>
      <w:bookmarkEnd w:id="37"/>
    </w:p>
    <w:p w14:paraId="156FD0E5" w14:textId="65D51B62" w:rsidR="001A43D3" w:rsidRPr="001A43D3" w:rsidRDefault="001A43D3" w:rsidP="00CF75E0">
      <w:pPr>
        <w:jc w:val="left"/>
        <w:rPr>
          <w:rFonts w:cs="Arial"/>
          <w:i/>
          <w:iCs/>
          <w:sz w:val="22"/>
          <w:szCs w:val="22"/>
        </w:rPr>
      </w:pPr>
      <w:r w:rsidRPr="001A43D3">
        <w:rPr>
          <w:rFonts w:cs="Arial"/>
          <w:i/>
          <w:iCs/>
          <w:sz w:val="22"/>
          <w:szCs w:val="22"/>
        </w:rPr>
        <w:t xml:space="preserve">"Insistimos en que es adecuado que la CREG precise el alcance de la definición planteada en la Resolución sobre “respaldo físico” a luz de las definiciones establecidas en el marco de política </w:t>
      </w:r>
      <w:r w:rsidRPr="001A43D3">
        <w:rPr>
          <w:rFonts w:cs="Arial"/>
          <w:i/>
          <w:iCs/>
          <w:sz w:val="22"/>
          <w:szCs w:val="22"/>
        </w:rPr>
        <w:lastRenderedPageBreak/>
        <w:t>de gas natural contenida en el Decreto 2100 de 2011, toda vez que los contratos firmes o que garantizan firmeza, por su naturaleza, requieren respaldo físico; tal como la misma CREG ha conceptuado con anterioridad: “…el vendedor debe contar físicamente con las cantidades de gas que respalden sus obligaciones asociadas a un contrato firme o que garantiza firmeza….”. Concepto CREG 4031 de 2020.</w:t>
      </w:r>
    </w:p>
    <w:p w14:paraId="7DADA7FF" w14:textId="77777777" w:rsidR="001A43D3" w:rsidRPr="001A43D3" w:rsidRDefault="001A43D3" w:rsidP="00CF75E0">
      <w:pPr>
        <w:jc w:val="left"/>
        <w:rPr>
          <w:rFonts w:cs="Arial"/>
          <w:i/>
          <w:iCs/>
          <w:sz w:val="22"/>
          <w:szCs w:val="22"/>
        </w:rPr>
      </w:pPr>
    </w:p>
    <w:p w14:paraId="0A12D46E" w14:textId="77777777" w:rsidR="001A43D3" w:rsidRPr="001A43D3" w:rsidRDefault="001A43D3" w:rsidP="00CF75E0">
      <w:pPr>
        <w:jc w:val="left"/>
        <w:rPr>
          <w:rFonts w:cs="Arial"/>
          <w:i/>
          <w:iCs/>
          <w:sz w:val="22"/>
          <w:szCs w:val="22"/>
        </w:rPr>
      </w:pPr>
      <w:r w:rsidRPr="001A43D3">
        <w:rPr>
          <w:rFonts w:cs="Arial"/>
          <w:i/>
          <w:iCs/>
          <w:sz w:val="22"/>
          <w:szCs w:val="22"/>
        </w:rPr>
        <w:t>En todo caso, sobre el tema de “respaldo físico”, sugerimos al Regulador que las definiciones que se incorporen al marco normativo vigente, tengan en cuenta los impactos sobre: 1) el desarrollo de los contratos vigentes en la cadena de gas natural, 2) eventuales nuevos requerimientos de infraestructura a los agentes del gas natural que puedan afectar la competitividad del energético, y por ende, los objetivos de la transición energética."</w:t>
      </w:r>
    </w:p>
    <w:p w14:paraId="79DDCB66" w14:textId="77777777" w:rsidR="00A25B16" w:rsidRDefault="00A25B16" w:rsidP="00CF75E0">
      <w:pPr>
        <w:jc w:val="left"/>
        <w:rPr>
          <w:rFonts w:cs="Arial"/>
          <w:i/>
          <w:iCs/>
          <w:sz w:val="22"/>
          <w:szCs w:val="22"/>
        </w:rPr>
      </w:pPr>
    </w:p>
    <w:p w14:paraId="07492EF7"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1D9B77D9" w14:textId="77777777" w:rsidR="002B1FF0" w:rsidRDefault="002B1FF0" w:rsidP="00CF75E0">
      <w:pPr>
        <w:jc w:val="left"/>
        <w:rPr>
          <w:rFonts w:cs="Arial"/>
          <w:sz w:val="22"/>
          <w:szCs w:val="22"/>
        </w:rPr>
      </w:pPr>
    </w:p>
    <w:p w14:paraId="0CF941F4" w14:textId="299C54E3" w:rsidR="008D1413" w:rsidRDefault="006D5DE4" w:rsidP="00CF75E0">
      <w:pPr>
        <w:jc w:val="left"/>
        <w:rPr>
          <w:rFonts w:cs="Arial"/>
          <w:sz w:val="22"/>
          <w:szCs w:val="22"/>
        </w:rPr>
      </w:pPr>
      <w:r>
        <w:rPr>
          <w:rFonts w:cs="Arial"/>
          <w:sz w:val="22"/>
          <w:szCs w:val="22"/>
        </w:rPr>
        <w:t>Se</w:t>
      </w:r>
      <w:r w:rsidR="00886E66">
        <w:rPr>
          <w:rFonts w:cs="Arial"/>
          <w:sz w:val="22"/>
          <w:szCs w:val="22"/>
        </w:rPr>
        <w:t xml:space="preserve"> acoge el comentario</w:t>
      </w:r>
      <w:r>
        <w:rPr>
          <w:rFonts w:cs="Arial"/>
          <w:sz w:val="22"/>
          <w:szCs w:val="22"/>
        </w:rPr>
        <w:t xml:space="preserve"> parcialmente</w:t>
      </w:r>
      <w:r w:rsidR="00886E66">
        <w:rPr>
          <w:rFonts w:cs="Arial"/>
          <w:sz w:val="22"/>
          <w:szCs w:val="22"/>
        </w:rPr>
        <w:t>.</w:t>
      </w:r>
    </w:p>
    <w:p w14:paraId="57AF7DAF" w14:textId="77777777" w:rsidR="00886E66" w:rsidRDefault="00886E66" w:rsidP="00CF75E0">
      <w:pPr>
        <w:jc w:val="left"/>
        <w:rPr>
          <w:rFonts w:cs="Arial"/>
          <w:sz w:val="22"/>
          <w:szCs w:val="22"/>
        </w:rPr>
      </w:pPr>
    </w:p>
    <w:p w14:paraId="7E671D16" w14:textId="20F4AEA6" w:rsidR="008D1413" w:rsidRDefault="008D1413" w:rsidP="00CF75E0">
      <w:pPr>
        <w:jc w:val="left"/>
        <w:rPr>
          <w:rFonts w:cs="Arial"/>
          <w:sz w:val="22"/>
          <w:szCs w:val="22"/>
        </w:rPr>
      </w:pPr>
      <w:r>
        <w:rPr>
          <w:rFonts w:cs="Arial"/>
          <w:sz w:val="22"/>
          <w:szCs w:val="22"/>
        </w:rPr>
        <w:t>No se entiende la propuesta del comentario</w:t>
      </w:r>
      <w:r w:rsidR="007B4522">
        <w:rPr>
          <w:rFonts w:cs="Arial"/>
          <w:sz w:val="22"/>
          <w:szCs w:val="22"/>
        </w:rPr>
        <w:t>, particularmente los numerales 1) y 2)</w:t>
      </w:r>
      <w:r>
        <w:rPr>
          <w:rFonts w:cs="Arial"/>
          <w:sz w:val="22"/>
          <w:szCs w:val="22"/>
        </w:rPr>
        <w:t xml:space="preserve">, en cuanto a si lo que se sugiere es aumentar </w:t>
      </w:r>
      <w:r w:rsidR="006D5DE4">
        <w:rPr>
          <w:rFonts w:cs="Arial"/>
          <w:sz w:val="22"/>
          <w:szCs w:val="22"/>
        </w:rPr>
        <w:t xml:space="preserve">el detalle de </w:t>
      </w:r>
      <w:r>
        <w:rPr>
          <w:rFonts w:cs="Arial"/>
          <w:sz w:val="22"/>
          <w:szCs w:val="22"/>
        </w:rPr>
        <w:t xml:space="preserve">la definición de la CREG del “Respaldo Físico” para efectos de la nueva contratación de suministro, ni el fondo de lo que se tratan o de lo que consisten los impactos que se mencionan en el comentario. </w:t>
      </w:r>
    </w:p>
    <w:p w14:paraId="1165AF25" w14:textId="77777777" w:rsidR="006D5DE4" w:rsidRDefault="006D5DE4" w:rsidP="00CF75E0">
      <w:pPr>
        <w:jc w:val="left"/>
        <w:rPr>
          <w:rFonts w:cs="Arial"/>
          <w:sz w:val="22"/>
          <w:szCs w:val="22"/>
        </w:rPr>
      </w:pPr>
    </w:p>
    <w:p w14:paraId="72B4AE8A" w14:textId="756E478D" w:rsidR="006D5DE4" w:rsidRPr="002B1FF0" w:rsidRDefault="006D5DE4" w:rsidP="00CF75E0">
      <w:pPr>
        <w:jc w:val="left"/>
        <w:rPr>
          <w:rFonts w:cs="Arial"/>
          <w:sz w:val="22"/>
          <w:szCs w:val="22"/>
        </w:rPr>
      </w:pPr>
      <w:r>
        <w:rPr>
          <w:rFonts w:cs="Arial"/>
          <w:sz w:val="22"/>
          <w:szCs w:val="22"/>
        </w:rPr>
        <w:t xml:space="preserve">En la resolución definitiva se </w:t>
      </w:r>
      <w:r w:rsidR="007B4522">
        <w:rPr>
          <w:rFonts w:cs="Arial"/>
          <w:sz w:val="22"/>
          <w:szCs w:val="22"/>
        </w:rPr>
        <w:t>hace ajustes de texto de la definición de Respaldo Físico de gas obtenido en el exterior.</w:t>
      </w:r>
    </w:p>
    <w:p w14:paraId="7051898F" w14:textId="77777777" w:rsidR="002B1FF0" w:rsidRPr="002B1FF0" w:rsidRDefault="002B1FF0" w:rsidP="00CF75E0">
      <w:pPr>
        <w:jc w:val="left"/>
        <w:rPr>
          <w:rFonts w:cs="Arial"/>
          <w:sz w:val="22"/>
          <w:szCs w:val="22"/>
        </w:rPr>
      </w:pPr>
    </w:p>
    <w:p w14:paraId="0A7BBCFC" w14:textId="77777777" w:rsidR="00A25B16" w:rsidRDefault="00A25B16" w:rsidP="00CF75E0">
      <w:pPr>
        <w:jc w:val="left"/>
        <w:rPr>
          <w:rFonts w:cs="Arial"/>
          <w:i/>
          <w:iCs/>
          <w:sz w:val="22"/>
          <w:szCs w:val="22"/>
        </w:rPr>
      </w:pPr>
    </w:p>
    <w:p w14:paraId="51EF6AD4" w14:textId="110A2149" w:rsidR="00F74587" w:rsidRDefault="00F74587" w:rsidP="00CF75E0">
      <w:pPr>
        <w:pStyle w:val="Ttulo2"/>
        <w:jc w:val="left"/>
      </w:pPr>
      <w:bookmarkStart w:id="38" w:name="_Toc158211415"/>
      <w:bookmarkStart w:id="39" w:name="_Ref148706897"/>
      <w:r>
        <w:t>Calamarí LNG</w:t>
      </w:r>
      <w:bookmarkEnd w:id="38"/>
    </w:p>
    <w:p w14:paraId="2D8FAC3F" w14:textId="544775A9" w:rsidR="00F74587" w:rsidRPr="00F74587" w:rsidRDefault="00F74587" w:rsidP="00CF75E0">
      <w:pPr>
        <w:jc w:val="left"/>
        <w:rPr>
          <w:i/>
          <w:iCs/>
          <w:sz w:val="22"/>
          <w:szCs w:val="22"/>
        </w:rPr>
      </w:pPr>
      <w:r>
        <w:t>"</w:t>
      </w:r>
      <w:r w:rsidRPr="00F74587">
        <w:rPr>
          <w:i/>
          <w:iCs/>
          <w:sz w:val="22"/>
          <w:szCs w:val="22"/>
        </w:rPr>
        <w:t>En el mercado global de Gas Natural Licuado (GNL) se manejan contratos marco que rigen todas las relaciones comerciales entre los vendedores y compradores. Por cada operación de compra y venta que se ejecute se firman unas notas de confirmación por operación. La din</w:t>
      </w:r>
      <w:r>
        <w:rPr>
          <w:i/>
          <w:iCs/>
          <w:sz w:val="22"/>
          <w:szCs w:val="22"/>
        </w:rPr>
        <w:t>á</w:t>
      </w:r>
      <w:r w:rsidRPr="00F74587">
        <w:rPr>
          <w:i/>
          <w:iCs/>
          <w:sz w:val="22"/>
          <w:szCs w:val="22"/>
        </w:rPr>
        <w:t>mica del mercado es que por cada volumen a negociar se solicita una cotización al proveedor, por lo tanto el respaldo fisico del comercializador de gas importado se convierte en los  portafolios que tienen sus proveedores. Cabe resaltar que el mercado mundial de GNL es un mercado muy liquido de 500 millones de toneladas aprox.</w:t>
      </w:r>
    </w:p>
    <w:p w14:paraId="7BCFBBB5" w14:textId="77777777" w:rsidR="00F74587" w:rsidRPr="00F74587" w:rsidRDefault="00F74587" w:rsidP="00CF75E0">
      <w:pPr>
        <w:jc w:val="left"/>
        <w:rPr>
          <w:i/>
          <w:iCs/>
          <w:sz w:val="22"/>
          <w:szCs w:val="22"/>
        </w:rPr>
      </w:pPr>
    </w:p>
    <w:p w14:paraId="70407D50" w14:textId="4DAA27F8" w:rsidR="00F74587" w:rsidRDefault="00F74587" w:rsidP="00CF75E0">
      <w:pPr>
        <w:jc w:val="left"/>
      </w:pPr>
      <w:r w:rsidRPr="00F74587">
        <w:rPr>
          <w:i/>
          <w:iCs/>
          <w:sz w:val="22"/>
          <w:szCs w:val="22"/>
        </w:rPr>
        <w:t>Confirmar que los contratos marco se utilizaran como respaldo fisico del comercializador de gas importado en el mercado primario</w:t>
      </w:r>
      <w:r>
        <w:t>."</w:t>
      </w:r>
    </w:p>
    <w:p w14:paraId="1B25D904" w14:textId="77777777" w:rsidR="00F74587" w:rsidRDefault="00F74587" w:rsidP="00CF75E0">
      <w:pPr>
        <w:jc w:val="left"/>
      </w:pPr>
    </w:p>
    <w:p w14:paraId="13A09D76" w14:textId="2B4975AB" w:rsidR="00F74587" w:rsidRPr="00F74587" w:rsidRDefault="00F74587" w:rsidP="00CF75E0">
      <w:pPr>
        <w:jc w:val="left"/>
        <w:rPr>
          <w:b/>
          <w:bCs/>
        </w:rPr>
      </w:pPr>
      <w:r w:rsidRPr="00F74587">
        <w:rPr>
          <w:b/>
          <w:bCs/>
        </w:rPr>
        <w:t>RESPUESTA:</w:t>
      </w:r>
    </w:p>
    <w:p w14:paraId="2BF6DD2D" w14:textId="77777777" w:rsidR="00F74587" w:rsidRDefault="00F74587" w:rsidP="00CF75E0">
      <w:pPr>
        <w:jc w:val="left"/>
      </w:pPr>
    </w:p>
    <w:p w14:paraId="0265A41F" w14:textId="3976BC3F" w:rsidR="00F74587" w:rsidRDefault="00246413" w:rsidP="00CF75E0">
      <w:pPr>
        <w:jc w:val="left"/>
        <w:rPr>
          <w:sz w:val="22"/>
          <w:szCs w:val="22"/>
        </w:rPr>
      </w:pPr>
      <w:r>
        <w:rPr>
          <w:sz w:val="22"/>
          <w:szCs w:val="22"/>
        </w:rPr>
        <w:t>No s</w:t>
      </w:r>
      <w:r w:rsidR="00F74587">
        <w:rPr>
          <w:sz w:val="22"/>
          <w:szCs w:val="22"/>
        </w:rPr>
        <w:t>e</w:t>
      </w:r>
      <w:r w:rsidR="00F74587" w:rsidRPr="00F74587">
        <w:rPr>
          <w:sz w:val="22"/>
          <w:szCs w:val="22"/>
        </w:rPr>
        <w:t xml:space="preserve"> acoge el comentario.</w:t>
      </w:r>
    </w:p>
    <w:p w14:paraId="0A83F5CD" w14:textId="77777777" w:rsidR="00F74587" w:rsidRDefault="00F74587" w:rsidP="00CF75E0">
      <w:pPr>
        <w:jc w:val="left"/>
        <w:rPr>
          <w:sz w:val="22"/>
          <w:szCs w:val="22"/>
        </w:rPr>
      </w:pPr>
    </w:p>
    <w:p w14:paraId="4CBEC9AE" w14:textId="415BA286" w:rsidR="00246413" w:rsidRDefault="00246413" w:rsidP="00CF75E0">
      <w:pPr>
        <w:jc w:val="left"/>
        <w:rPr>
          <w:sz w:val="22"/>
          <w:szCs w:val="22"/>
        </w:rPr>
      </w:pPr>
      <w:r>
        <w:rPr>
          <w:sz w:val="22"/>
          <w:szCs w:val="22"/>
        </w:rPr>
        <w:t>Una cosa es el Respaldo con que cuenta el vendedor del contrato de suministro para obtener gas natural en el exterior, que no es sujeto de la regulación CREG, y otra cosa es el Respaldo Físico que se requiere para la venta de gas mediante el contrato de suministro del Mercado Primario, regulado por la CREG.</w:t>
      </w:r>
    </w:p>
    <w:p w14:paraId="54B0F5F3" w14:textId="77777777" w:rsidR="00246413" w:rsidRDefault="00246413" w:rsidP="00CF75E0">
      <w:pPr>
        <w:jc w:val="left"/>
        <w:rPr>
          <w:sz w:val="22"/>
          <w:szCs w:val="22"/>
        </w:rPr>
      </w:pPr>
    </w:p>
    <w:p w14:paraId="29D239F8" w14:textId="506CF14F" w:rsidR="00F74587" w:rsidRDefault="00F74587" w:rsidP="00CF75E0">
      <w:pPr>
        <w:jc w:val="left"/>
        <w:rPr>
          <w:sz w:val="22"/>
          <w:szCs w:val="22"/>
        </w:rPr>
      </w:pPr>
      <w:r>
        <w:rPr>
          <w:sz w:val="22"/>
          <w:szCs w:val="22"/>
        </w:rPr>
        <w:t>En el texto definitivo se establecerá la posibilidad de contar con documentos semejantes a un contrato, para poder contar con al Respaldo Físico exigido con el fin de declarar</w:t>
      </w:r>
      <w:r w:rsidR="00233A5E">
        <w:rPr>
          <w:sz w:val="22"/>
          <w:szCs w:val="22"/>
        </w:rPr>
        <w:t xml:space="preserve"> la</w:t>
      </w:r>
      <w:r>
        <w:rPr>
          <w:sz w:val="22"/>
          <w:szCs w:val="22"/>
        </w:rPr>
        <w:t xml:space="preserve"> CIDVF. En </w:t>
      </w:r>
      <w:r>
        <w:rPr>
          <w:sz w:val="22"/>
          <w:szCs w:val="22"/>
        </w:rPr>
        <w:lastRenderedPageBreak/>
        <w:t>este caso del comentario sería</w:t>
      </w:r>
      <w:r w:rsidR="00233A5E">
        <w:rPr>
          <w:sz w:val="22"/>
          <w:szCs w:val="22"/>
        </w:rPr>
        <w:t xml:space="preserve"> </w:t>
      </w:r>
      <w:r>
        <w:rPr>
          <w:sz w:val="22"/>
          <w:szCs w:val="22"/>
        </w:rPr>
        <w:t>la nota de confirmación</w:t>
      </w:r>
      <w:r w:rsidR="00233A5E">
        <w:rPr>
          <w:sz w:val="22"/>
          <w:szCs w:val="22"/>
        </w:rPr>
        <w:t xml:space="preserve"> del contrato marco que se menciona en el comentario</w:t>
      </w:r>
      <w:r>
        <w:rPr>
          <w:sz w:val="22"/>
          <w:szCs w:val="22"/>
        </w:rPr>
        <w:t>.</w:t>
      </w:r>
    </w:p>
    <w:p w14:paraId="12CD42A0" w14:textId="77777777" w:rsidR="00C17854" w:rsidRDefault="00C17854" w:rsidP="00CF75E0">
      <w:pPr>
        <w:jc w:val="left"/>
        <w:rPr>
          <w:sz w:val="22"/>
          <w:szCs w:val="22"/>
        </w:rPr>
      </w:pPr>
    </w:p>
    <w:p w14:paraId="2E3F54E4" w14:textId="77777777" w:rsidR="00C17854" w:rsidRPr="00F74587" w:rsidRDefault="00C17854" w:rsidP="00CF75E0">
      <w:pPr>
        <w:jc w:val="left"/>
      </w:pPr>
    </w:p>
    <w:p w14:paraId="760E971C" w14:textId="2118DD53" w:rsidR="00A25B16" w:rsidRDefault="001A43D3" w:rsidP="00CF75E0">
      <w:pPr>
        <w:pStyle w:val="Ttulo2"/>
        <w:jc w:val="left"/>
      </w:pPr>
      <w:bookmarkStart w:id="40" w:name="_Ref149024381"/>
      <w:bookmarkStart w:id="41" w:name="_Toc158211416"/>
      <w:r w:rsidRPr="001A43D3">
        <w:t>Ecopetrol S.A.</w:t>
      </w:r>
      <w:bookmarkEnd w:id="39"/>
      <w:bookmarkEnd w:id="40"/>
      <w:bookmarkEnd w:id="41"/>
      <w:r w:rsidRPr="001A43D3">
        <w:tab/>
      </w:r>
    </w:p>
    <w:p w14:paraId="0F6C3DEE" w14:textId="4434DB1D" w:rsidR="001A43D3" w:rsidRPr="001A43D3" w:rsidRDefault="001A43D3" w:rsidP="00CF75E0">
      <w:pPr>
        <w:jc w:val="left"/>
        <w:rPr>
          <w:rFonts w:cs="Arial"/>
          <w:i/>
          <w:iCs/>
          <w:sz w:val="22"/>
          <w:szCs w:val="22"/>
        </w:rPr>
      </w:pPr>
      <w:r w:rsidRPr="001A43D3">
        <w:rPr>
          <w:rFonts w:cs="Arial"/>
          <w:i/>
          <w:iCs/>
          <w:sz w:val="22"/>
          <w:szCs w:val="22"/>
        </w:rPr>
        <w:t>"Entendemos que la propuesta regulatoria permitiría que un productor comercializador de gas natural respalde sus compromisos por medio de, entre otras, las compras de gas natural (ver artículo 6 de la resolución en comento). Así, y para efectos de mayor claridad, sugerimos complementar esta disposición permitiendo que en el mercado primario se negocie una modalidad contractual que así lo permita.</w:t>
      </w:r>
    </w:p>
    <w:p w14:paraId="46908F41" w14:textId="77777777" w:rsidR="001A43D3" w:rsidRPr="001A43D3" w:rsidRDefault="001A43D3" w:rsidP="00CF75E0">
      <w:pPr>
        <w:jc w:val="left"/>
        <w:rPr>
          <w:rFonts w:cs="Arial"/>
          <w:i/>
          <w:iCs/>
          <w:sz w:val="22"/>
          <w:szCs w:val="22"/>
        </w:rPr>
      </w:pPr>
    </w:p>
    <w:p w14:paraId="32D48881" w14:textId="77777777" w:rsidR="001A43D3" w:rsidRDefault="001A43D3" w:rsidP="00CF75E0">
      <w:pPr>
        <w:jc w:val="left"/>
        <w:rPr>
          <w:rFonts w:cs="Arial"/>
          <w:i/>
          <w:iCs/>
          <w:sz w:val="22"/>
          <w:szCs w:val="22"/>
        </w:rPr>
      </w:pPr>
      <w:r w:rsidRPr="001A43D3">
        <w:rPr>
          <w:rFonts w:cs="Arial"/>
          <w:i/>
          <w:iCs/>
          <w:sz w:val="22"/>
          <w:szCs w:val="22"/>
        </w:rPr>
        <w:t>Por tanto, sugerimos la creación de una nueva modalidad contractual ‘contratos de respaldo’ y habilitar esta transacción en el mercado primario.</w:t>
      </w:r>
    </w:p>
    <w:p w14:paraId="189B366C" w14:textId="77777777" w:rsidR="00224015" w:rsidRDefault="00224015" w:rsidP="00CF75E0">
      <w:pPr>
        <w:jc w:val="left"/>
        <w:rPr>
          <w:rFonts w:cs="Arial"/>
          <w:i/>
          <w:iCs/>
          <w:sz w:val="22"/>
          <w:szCs w:val="22"/>
        </w:rPr>
      </w:pPr>
    </w:p>
    <w:p w14:paraId="6F5361A9" w14:textId="77777777" w:rsidR="00224015" w:rsidRDefault="00224015" w:rsidP="00CF75E0">
      <w:pPr>
        <w:jc w:val="left"/>
        <w:rPr>
          <w:rFonts w:cs="Arial"/>
          <w:i/>
          <w:iCs/>
          <w:sz w:val="22"/>
          <w:szCs w:val="22"/>
        </w:rPr>
      </w:pPr>
      <w:r w:rsidRPr="00224015">
        <w:rPr>
          <w:rFonts w:cs="Arial"/>
          <w:i/>
          <w:iCs/>
          <w:sz w:val="22"/>
          <w:szCs w:val="22"/>
        </w:rPr>
        <w:t>Sugerimos incluir una nueva definición en los siguientes términos:</w:t>
      </w:r>
    </w:p>
    <w:p w14:paraId="2656B86C" w14:textId="77777777" w:rsidR="00224015" w:rsidRPr="00224015" w:rsidRDefault="00224015" w:rsidP="00CF75E0">
      <w:pPr>
        <w:jc w:val="left"/>
        <w:rPr>
          <w:rFonts w:cs="Arial"/>
          <w:i/>
          <w:iCs/>
          <w:sz w:val="22"/>
          <w:szCs w:val="22"/>
        </w:rPr>
      </w:pPr>
    </w:p>
    <w:p w14:paraId="7235490B" w14:textId="6CD67FBC" w:rsidR="00224015" w:rsidRPr="001A43D3" w:rsidRDefault="00224015" w:rsidP="00CF75E0">
      <w:pPr>
        <w:ind w:left="708"/>
        <w:jc w:val="left"/>
        <w:rPr>
          <w:rFonts w:cs="Arial"/>
          <w:i/>
          <w:iCs/>
          <w:sz w:val="22"/>
          <w:szCs w:val="22"/>
        </w:rPr>
      </w:pPr>
      <w:r w:rsidRPr="00224015">
        <w:rPr>
          <w:rFonts w:cs="Arial"/>
          <w:i/>
          <w:iCs/>
          <w:sz w:val="22"/>
          <w:szCs w:val="22"/>
        </w:rPr>
        <w:t>“Contrato de suministro de respaldo (CSR): contrato escrito en el que un productor comercializador o comercializador de gas importado garantiza el suministro de una cantidad máxima de gas natural desde una fuente de suministro sin interrupciones a un productor comercializador que lo requiere como fuente de respaldo. El comprador se compromete a pagar en la liquidación mensual mínimo el 95% de la cantidad contratada correspondiente al mes, independientemente de que sea consumida o no, excepto en los días establecidos para mantenimiento y labores programadas.”</w:t>
      </w:r>
    </w:p>
    <w:p w14:paraId="4086CEEA" w14:textId="77777777" w:rsidR="00886E66" w:rsidRDefault="00886E66" w:rsidP="00CF75E0">
      <w:pPr>
        <w:jc w:val="left"/>
        <w:rPr>
          <w:rFonts w:cs="Arial"/>
          <w:b/>
          <w:bCs/>
          <w:sz w:val="22"/>
          <w:szCs w:val="22"/>
        </w:rPr>
      </w:pPr>
    </w:p>
    <w:p w14:paraId="43494C54" w14:textId="1E79C4FD" w:rsidR="00886E66" w:rsidRPr="002B1FF0" w:rsidRDefault="00886E66" w:rsidP="00CF75E0">
      <w:pPr>
        <w:jc w:val="left"/>
        <w:rPr>
          <w:rFonts w:cs="Arial"/>
          <w:b/>
          <w:bCs/>
          <w:sz w:val="22"/>
          <w:szCs w:val="22"/>
        </w:rPr>
      </w:pPr>
      <w:r w:rsidRPr="002B1FF0">
        <w:rPr>
          <w:rFonts w:cs="Arial"/>
          <w:b/>
          <w:bCs/>
          <w:sz w:val="22"/>
          <w:szCs w:val="22"/>
        </w:rPr>
        <w:t>RESPUESTA:</w:t>
      </w:r>
    </w:p>
    <w:p w14:paraId="1E85992D" w14:textId="77777777" w:rsidR="001A43D3" w:rsidRDefault="001A43D3" w:rsidP="00CF75E0">
      <w:pPr>
        <w:jc w:val="left"/>
        <w:rPr>
          <w:rFonts w:cs="Arial"/>
          <w:i/>
          <w:iCs/>
          <w:sz w:val="22"/>
          <w:szCs w:val="22"/>
        </w:rPr>
      </w:pPr>
    </w:p>
    <w:p w14:paraId="6A16E11D" w14:textId="44DF6C02" w:rsidR="00886E66" w:rsidRPr="00886E66" w:rsidRDefault="00886E66" w:rsidP="00CF75E0">
      <w:pPr>
        <w:jc w:val="left"/>
        <w:rPr>
          <w:rFonts w:cs="Arial"/>
          <w:sz w:val="22"/>
          <w:szCs w:val="22"/>
        </w:rPr>
      </w:pPr>
      <w:r w:rsidRPr="00886E66">
        <w:rPr>
          <w:rFonts w:cs="Arial"/>
          <w:sz w:val="22"/>
          <w:szCs w:val="22"/>
        </w:rPr>
        <w:t>No se acoge el comentario.</w:t>
      </w:r>
    </w:p>
    <w:p w14:paraId="7E55F398" w14:textId="77777777" w:rsidR="00886E66" w:rsidRDefault="00886E66" w:rsidP="00CF75E0">
      <w:pPr>
        <w:jc w:val="left"/>
        <w:rPr>
          <w:rFonts w:cs="Arial"/>
          <w:sz w:val="22"/>
          <w:szCs w:val="22"/>
        </w:rPr>
      </w:pPr>
    </w:p>
    <w:p w14:paraId="7A8F24D9" w14:textId="6EFA15F5" w:rsidR="004D489E" w:rsidRDefault="004D489E" w:rsidP="00CF75E0">
      <w:pPr>
        <w:jc w:val="left"/>
        <w:rPr>
          <w:rFonts w:cs="Arial"/>
          <w:sz w:val="22"/>
          <w:szCs w:val="22"/>
        </w:rPr>
      </w:pPr>
      <w:r>
        <w:rPr>
          <w:rFonts w:cs="Arial"/>
          <w:sz w:val="22"/>
          <w:szCs w:val="22"/>
        </w:rPr>
        <w:t xml:space="preserve">El objetivo de la propuesta publicada por la CREG es lograr una mayor utilización del gas natural que es posible de producir (extraer del subsuelo y tratarlo para ponerlo en condiciones de venta) en el muy corto plazo, pero que tiene alta incertidumbre de producción o de venta en mayores plazos de duración, ya sea, entre otros motivos, por la declinación de las fuentes de suministro, por trabajos de mantenimiento requeridos o por situaciones en que el consumo propio del productor-comercializador presenta variaciones que permiten colocar parte del gas comprometido para ese consumo propio, en el Mercado Primario o simplemente, porque se viabiliza un aumento del potencial de producción por inversiones en aumento de capacidad de corto plazo ante una señal de precios observada en el Mercado. Ello tiene implícito que en esos períodos de corto plazo de contratación se tenga más seguridad del cumplimiento de un contrato de suministro del Mercado Primario, que es la espina dorsal del Mercado Secundario y del Mercado Minorista. </w:t>
      </w:r>
    </w:p>
    <w:p w14:paraId="6A172221" w14:textId="77777777" w:rsidR="004D489E" w:rsidRDefault="004D489E" w:rsidP="00CF75E0">
      <w:pPr>
        <w:jc w:val="left"/>
        <w:rPr>
          <w:rFonts w:cs="Arial"/>
          <w:sz w:val="22"/>
          <w:szCs w:val="22"/>
        </w:rPr>
      </w:pPr>
    </w:p>
    <w:p w14:paraId="294EAD42" w14:textId="4FC1B589" w:rsidR="004D489E" w:rsidRDefault="004D489E" w:rsidP="00CF75E0">
      <w:pPr>
        <w:jc w:val="left"/>
        <w:rPr>
          <w:rFonts w:cs="Arial"/>
          <w:sz w:val="22"/>
          <w:szCs w:val="22"/>
        </w:rPr>
      </w:pPr>
      <w:r>
        <w:rPr>
          <w:rFonts w:cs="Arial"/>
          <w:sz w:val="22"/>
          <w:szCs w:val="22"/>
        </w:rPr>
        <w:t>En este sentido, no se explica por qué la regla vigente de participación de un productor-comercializador o de un comercializador de gas importado como comprador en el Mercado Secundario, no le permite gestionar las compras de gas natural que requieran eventualmente para cumplir sus contratos de suministro del Mercado Primario, en eventos en que no le sea posible cumplir las obligaciones asumidas, ante limitaciones de las fuentes de suministro pactadas específicamente en tales contratos, cuando en primera instancia el cumplimiento no pudiese ser resuelto con otras fuentes de suministro propias.</w:t>
      </w:r>
    </w:p>
    <w:p w14:paraId="17BE8835" w14:textId="77777777" w:rsidR="004D489E" w:rsidRDefault="004D489E" w:rsidP="00CF75E0">
      <w:pPr>
        <w:jc w:val="left"/>
        <w:rPr>
          <w:rFonts w:cs="Arial"/>
          <w:sz w:val="22"/>
          <w:szCs w:val="22"/>
        </w:rPr>
      </w:pPr>
    </w:p>
    <w:p w14:paraId="7350C1D7" w14:textId="7D5ACF13" w:rsidR="00602606" w:rsidRDefault="004D489E" w:rsidP="00CF75E0">
      <w:pPr>
        <w:jc w:val="left"/>
        <w:rPr>
          <w:rFonts w:cs="Arial"/>
          <w:sz w:val="22"/>
          <w:szCs w:val="22"/>
        </w:rPr>
      </w:pPr>
      <w:r>
        <w:rPr>
          <w:rFonts w:cs="Arial"/>
          <w:sz w:val="22"/>
          <w:szCs w:val="22"/>
        </w:rPr>
        <w:t xml:space="preserve">Por otro lado, no queda claro el beneficio de la propuesta para que el contrato sea cumplido con este “Contrato de Respaldo” </w:t>
      </w:r>
      <w:r w:rsidR="00602606">
        <w:rPr>
          <w:rFonts w:cs="Arial"/>
          <w:sz w:val="22"/>
          <w:szCs w:val="22"/>
        </w:rPr>
        <w:t xml:space="preserve">propuesto, </w:t>
      </w:r>
      <w:r>
        <w:rPr>
          <w:rFonts w:cs="Arial"/>
          <w:sz w:val="22"/>
          <w:szCs w:val="22"/>
        </w:rPr>
        <w:t xml:space="preserve">pues podría poner en </w:t>
      </w:r>
      <w:r w:rsidR="00602606">
        <w:rPr>
          <w:rFonts w:cs="Arial"/>
          <w:sz w:val="22"/>
          <w:szCs w:val="22"/>
        </w:rPr>
        <w:t xml:space="preserve">mayores </w:t>
      </w:r>
      <w:r>
        <w:rPr>
          <w:rFonts w:cs="Arial"/>
          <w:sz w:val="22"/>
          <w:szCs w:val="22"/>
        </w:rPr>
        <w:t>dificultades al comprador, quien es el que debe contratar la capacidad de transporte del suministro dado. Podría ocurrir que el vendedor del Mercado Primario</w:t>
      </w:r>
      <w:r w:rsidR="00602606">
        <w:rPr>
          <w:rFonts w:cs="Arial"/>
          <w:sz w:val="22"/>
          <w:szCs w:val="22"/>
        </w:rPr>
        <w:t xml:space="preserve"> que se enfrenta al evento que le impide la prestación del servicio desde la fuente de suministro pactada,</w:t>
      </w:r>
      <w:r>
        <w:rPr>
          <w:rFonts w:cs="Arial"/>
          <w:sz w:val="22"/>
          <w:szCs w:val="22"/>
        </w:rPr>
        <w:t xml:space="preserve"> acuda a cumplir </w:t>
      </w:r>
      <w:r w:rsidR="00602606">
        <w:rPr>
          <w:rFonts w:cs="Arial"/>
          <w:sz w:val="22"/>
          <w:szCs w:val="22"/>
        </w:rPr>
        <w:t>el</w:t>
      </w:r>
      <w:r>
        <w:rPr>
          <w:rFonts w:cs="Arial"/>
          <w:sz w:val="22"/>
          <w:szCs w:val="22"/>
        </w:rPr>
        <w:t xml:space="preserve"> contrato de suministro con la fuente de suministro de respaldo (que en la práctica debería ser una diferente a la fuente de suministro inicialmente pactada que no puede entregar el gas) y así cumpla el contrato de suministro con el comprador</w:t>
      </w:r>
      <w:r w:rsidR="00602606">
        <w:rPr>
          <w:rFonts w:cs="Arial"/>
          <w:sz w:val="22"/>
          <w:szCs w:val="22"/>
        </w:rPr>
        <w:t>. P</w:t>
      </w:r>
      <w:r>
        <w:rPr>
          <w:rFonts w:cs="Arial"/>
          <w:sz w:val="22"/>
          <w:szCs w:val="22"/>
        </w:rPr>
        <w:t>ero queda el comprador sometido a tener que lograr contratar la capacidad de transporte del tramo necesario para llevar el gas natural del punto de entrega de la fuente de respaldo del vendedor al punto de entrega inicialmente contratado y, además de ello, asumir el costo adicional de ese transporte</w:t>
      </w:r>
      <w:r w:rsidR="00602606">
        <w:rPr>
          <w:rFonts w:cs="Arial"/>
          <w:sz w:val="22"/>
          <w:szCs w:val="22"/>
        </w:rPr>
        <w:t>. L</w:t>
      </w:r>
      <w:r>
        <w:rPr>
          <w:rFonts w:cs="Arial"/>
          <w:sz w:val="22"/>
          <w:szCs w:val="22"/>
        </w:rPr>
        <w:t xml:space="preserve">o anterior por cuanto el vendedor del Mercado Primario no puede contratar dicha capacidad de transporte. </w:t>
      </w:r>
    </w:p>
    <w:p w14:paraId="58E5A794" w14:textId="77777777" w:rsidR="00602606" w:rsidRDefault="00602606" w:rsidP="00CF75E0">
      <w:pPr>
        <w:jc w:val="left"/>
        <w:rPr>
          <w:rFonts w:cs="Arial"/>
          <w:sz w:val="22"/>
          <w:szCs w:val="22"/>
        </w:rPr>
      </w:pPr>
    </w:p>
    <w:p w14:paraId="4C2BCF23" w14:textId="701B60FF" w:rsidR="004D489E" w:rsidRDefault="004D489E" w:rsidP="00CF75E0">
      <w:pPr>
        <w:jc w:val="left"/>
        <w:rPr>
          <w:rFonts w:cs="Arial"/>
          <w:sz w:val="22"/>
          <w:szCs w:val="22"/>
        </w:rPr>
      </w:pPr>
      <w:r>
        <w:rPr>
          <w:rFonts w:cs="Arial"/>
          <w:sz w:val="22"/>
          <w:szCs w:val="22"/>
        </w:rPr>
        <w:t xml:space="preserve">En ese sentido parece más razonable el esquema actual </w:t>
      </w:r>
      <w:r w:rsidR="00602606">
        <w:rPr>
          <w:rFonts w:cs="Arial"/>
          <w:sz w:val="22"/>
          <w:szCs w:val="22"/>
        </w:rPr>
        <w:t xml:space="preserve">vigente </w:t>
      </w:r>
      <w:r>
        <w:rPr>
          <w:rFonts w:cs="Arial"/>
          <w:sz w:val="22"/>
          <w:szCs w:val="22"/>
        </w:rPr>
        <w:t>en que es el comprador el que puede comprar el gas de</w:t>
      </w:r>
      <w:r w:rsidR="00602606">
        <w:rPr>
          <w:rFonts w:cs="Arial"/>
          <w:sz w:val="22"/>
          <w:szCs w:val="22"/>
        </w:rPr>
        <w:t>sde una fuente alterna de suministro</w:t>
      </w:r>
      <w:r>
        <w:rPr>
          <w:rFonts w:cs="Arial"/>
          <w:sz w:val="22"/>
          <w:szCs w:val="22"/>
        </w:rPr>
        <w:t xml:space="preserve"> en el Mercado Primario a otro productor-comercializador (el mismo gas que adquiriría el vendedor del contrato de suministro que tiene la fuente inhabilitada con el </w:t>
      </w:r>
      <w:r w:rsidR="00602606">
        <w:rPr>
          <w:rFonts w:cs="Arial"/>
          <w:sz w:val="22"/>
          <w:szCs w:val="22"/>
        </w:rPr>
        <w:t>“</w:t>
      </w:r>
      <w:r>
        <w:rPr>
          <w:rFonts w:cs="Arial"/>
          <w:sz w:val="22"/>
          <w:szCs w:val="22"/>
        </w:rPr>
        <w:t>contrato de respaldo</w:t>
      </w:r>
      <w:r w:rsidR="00602606">
        <w:rPr>
          <w:rFonts w:cs="Arial"/>
          <w:sz w:val="22"/>
          <w:szCs w:val="22"/>
        </w:rPr>
        <w:t>”</w:t>
      </w:r>
      <w:r>
        <w:rPr>
          <w:rFonts w:cs="Arial"/>
          <w:sz w:val="22"/>
          <w:szCs w:val="22"/>
        </w:rPr>
        <w:t xml:space="preserve"> propuesto) mediante un contrato de contingencia de suministro y, a partir de ese contrato, contratar la capacidad de transporte para ese suministro de contingencia, mediante un contrato de transporte de contingencia.</w:t>
      </w:r>
      <w:r w:rsidR="00602606">
        <w:rPr>
          <w:rFonts w:cs="Arial"/>
          <w:sz w:val="22"/>
          <w:szCs w:val="22"/>
        </w:rPr>
        <w:t xml:space="preserve"> Para ello en el contrato de suministro que se incumple se encuentra pactado como condición mínima la compensación del incumplimiento.</w:t>
      </w:r>
    </w:p>
    <w:p w14:paraId="3FCCA7D0" w14:textId="77777777" w:rsidR="004D489E" w:rsidRDefault="004D489E" w:rsidP="00CF75E0">
      <w:pPr>
        <w:jc w:val="left"/>
        <w:rPr>
          <w:rFonts w:cs="Arial"/>
          <w:sz w:val="22"/>
          <w:szCs w:val="22"/>
        </w:rPr>
      </w:pPr>
    </w:p>
    <w:p w14:paraId="1E5673F4" w14:textId="3814887F" w:rsidR="00224015" w:rsidRDefault="00E74579" w:rsidP="00CF75E0">
      <w:pPr>
        <w:jc w:val="left"/>
        <w:rPr>
          <w:rFonts w:cs="Arial"/>
          <w:sz w:val="22"/>
          <w:szCs w:val="22"/>
        </w:rPr>
      </w:pPr>
      <w:r>
        <w:rPr>
          <w:rFonts w:cs="Arial"/>
          <w:sz w:val="22"/>
          <w:szCs w:val="22"/>
        </w:rPr>
        <w:t xml:space="preserve">Por </w:t>
      </w:r>
      <w:r w:rsidR="005C3919">
        <w:rPr>
          <w:rFonts w:cs="Arial"/>
          <w:sz w:val="22"/>
          <w:szCs w:val="22"/>
        </w:rPr>
        <w:t xml:space="preserve">otra parte, </w:t>
      </w:r>
      <w:r>
        <w:rPr>
          <w:rFonts w:cs="Arial"/>
          <w:sz w:val="22"/>
          <w:szCs w:val="22"/>
        </w:rPr>
        <w:t>y para efectos de considerar la propuesta en los ajustes de la Resolución CREG 186 de 2020 propuestos en el Proyecto de resolución CREG 702 003 de 2023, e</w:t>
      </w:r>
      <w:r w:rsidR="00224015">
        <w:rPr>
          <w:rFonts w:cs="Arial"/>
          <w:sz w:val="22"/>
          <w:szCs w:val="22"/>
        </w:rPr>
        <w:t>n la propuesta no se hace mención, no parece tenerse en cuenta o no es claro lo siguiente:</w:t>
      </w:r>
    </w:p>
    <w:p w14:paraId="402954CD" w14:textId="77777777" w:rsidR="00224015" w:rsidRDefault="00224015" w:rsidP="00CF75E0">
      <w:pPr>
        <w:jc w:val="left"/>
        <w:rPr>
          <w:rFonts w:cs="Arial"/>
          <w:sz w:val="22"/>
          <w:szCs w:val="22"/>
        </w:rPr>
      </w:pPr>
    </w:p>
    <w:p w14:paraId="6A803AD5" w14:textId="4F707D7E" w:rsidR="00224015" w:rsidRDefault="00E74579" w:rsidP="00CF75E0">
      <w:pPr>
        <w:pStyle w:val="Prrafodelista"/>
        <w:numPr>
          <w:ilvl w:val="0"/>
          <w:numId w:val="26"/>
        </w:numPr>
        <w:jc w:val="left"/>
        <w:rPr>
          <w:rFonts w:cs="Arial"/>
          <w:sz w:val="22"/>
          <w:szCs w:val="22"/>
        </w:rPr>
      </w:pPr>
      <w:r>
        <w:rPr>
          <w:rFonts w:cs="Arial"/>
          <w:sz w:val="22"/>
          <w:szCs w:val="22"/>
        </w:rPr>
        <w:t>¿Cómo se aplica el cobro del suministro, en caso de que el origen de la indisponibilidad de la fuente de suministro inicialmente pactada es un evento eximente? ¿Se cobraría como si no hubiese ninguna alteración a las condiciones del contrato inicialmente acordado?</w:t>
      </w:r>
    </w:p>
    <w:p w14:paraId="6EEB25AC" w14:textId="537A6743" w:rsidR="00224015" w:rsidRPr="00224015" w:rsidRDefault="00E74579" w:rsidP="00CF75E0">
      <w:pPr>
        <w:pStyle w:val="Prrafodelista"/>
        <w:numPr>
          <w:ilvl w:val="0"/>
          <w:numId w:val="26"/>
        </w:numPr>
        <w:jc w:val="left"/>
        <w:rPr>
          <w:rFonts w:cs="Arial"/>
          <w:sz w:val="22"/>
          <w:szCs w:val="22"/>
        </w:rPr>
      </w:pPr>
      <w:r>
        <w:rPr>
          <w:rFonts w:cs="Arial"/>
          <w:sz w:val="22"/>
          <w:szCs w:val="22"/>
        </w:rPr>
        <w:t>¿Quién asume los costos adicionales que se pudiesen presentar por la capacidad del transporte necesaria para llevar el gas desde el punto de entrega de la fuente de suministro de respaldo al punto de entrega inicialmente pactado por el comprador?</w:t>
      </w:r>
      <w:r w:rsidR="00224015" w:rsidRPr="00224015">
        <w:rPr>
          <w:rFonts w:cs="Arial"/>
          <w:sz w:val="22"/>
          <w:szCs w:val="22"/>
        </w:rPr>
        <w:t xml:space="preserve">. </w:t>
      </w:r>
    </w:p>
    <w:p w14:paraId="76C0FADF" w14:textId="77777777" w:rsidR="00224015" w:rsidRDefault="00224015" w:rsidP="00CF75E0">
      <w:pPr>
        <w:jc w:val="left"/>
        <w:rPr>
          <w:rFonts w:cs="Arial"/>
          <w:sz w:val="22"/>
          <w:szCs w:val="22"/>
        </w:rPr>
      </w:pPr>
    </w:p>
    <w:p w14:paraId="0CA508F0" w14:textId="78E49003" w:rsidR="00886E66" w:rsidRPr="00886E66" w:rsidRDefault="005C3919" w:rsidP="00CF75E0">
      <w:pPr>
        <w:jc w:val="left"/>
        <w:rPr>
          <w:rFonts w:cs="Arial"/>
          <w:sz w:val="22"/>
          <w:szCs w:val="22"/>
        </w:rPr>
      </w:pPr>
      <w:r>
        <w:rPr>
          <w:rFonts w:cs="Arial"/>
          <w:sz w:val="22"/>
          <w:szCs w:val="22"/>
        </w:rPr>
        <w:t xml:space="preserve">Es de considerar por último que </w:t>
      </w:r>
      <w:r w:rsidR="00886E66">
        <w:rPr>
          <w:rFonts w:cs="Arial"/>
          <w:sz w:val="22"/>
          <w:szCs w:val="22"/>
        </w:rPr>
        <w:t>ha habido casos de productores-comercializadores que</w:t>
      </w:r>
      <w:r>
        <w:rPr>
          <w:rFonts w:cs="Arial"/>
          <w:sz w:val="22"/>
          <w:szCs w:val="22"/>
        </w:rPr>
        <w:t>,</w:t>
      </w:r>
      <w:r w:rsidR="00886E66">
        <w:rPr>
          <w:rFonts w:cs="Arial"/>
          <w:sz w:val="22"/>
          <w:szCs w:val="22"/>
        </w:rPr>
        <w:t xml:space="preserve"> con las reglas vigentes, acudieron al Mercado Secundario para la obtención de cantidades que les permitiese cumplir con obligaciones de suministro asumidas por ellos en el Mercado Primario</w:t>
      </w:r>
      <w:r>
        <w:rPr>
          <w:rFonts w:cs="Arial"/>
          <w:sz w:val="22"/>
          <w:szCs w:val="22"/>
        </w:rPr>
        <w:t xml:space="preserve"> ante inhabilitación de las fuentes propias inicialmente pactadas en los contratos del Mercado Primario</w:t>
      </w:r>
      <w:r w:rsidR="00886E66">
        <w:rPr>
          <w:rFonts w:cs="Arial"/>
          <w:sz w:val="22"/>
          <w:szCs w:val="22"/>
        </w:rPr>
        <w:t>.</w:t>
      </w:r>
    </w:p>
    <w:p w14:paraId="3627DDFC" w14:textId="77777777" w:rsidR="00886E66" w:rsidRDefault="00886E66" w:rsidP="00CF75E0">
      <w:pPr>
        <w:jc w:val="left"/>
        <w:rPr>
          <w:rFonts w:cs="Arial"/>
          <w:sz w:val="22"/>
          <w:szCs w:val="22"/>
        </w:rPr>
      </w:pPr>
    </w:p>
    <w:p w14:paraId="040C1173" w14:textId="77777777" w:rsidR="005C3919" w:rsidRDefault="005C3919" w:rsidP="00CF75E0">
      <w:pPr>
        <w:jc w:val="left"/>
        <w:rPr>
          <w:rFonts w:cs="Arial"/>
          <w:sz w:val="22"/>
          <w:szCs w:val="22"/>
        </w:rPr>
      </w:pPr>
    </w:p>
    <w:p w14:paraId="69A34989" w14:textId="77777777" w:rsidR="00886E66" w:rsidRDefault="00886E66" w:rsidP="00CF75E0">
      <w:pPr>
        <w:pStyle w:val="Ttulo2"/>
        <w:jc w:val="left"/>
      </w:pPr>
      <w:bookmarkStart w:id="42" w:name="_Toc158211417"/>
      <w:r w:rsidRPr="001A43D3">
        <w:t>Ecopetrol S.A.</w:t>
      </w:r>
      <w:bookmarkEnd w:id="42"/>
      <w:r w:rsidRPr="001A43D3">
        <w:tab/>
      </w:r>
    </w:p>
    <w:p w14:paraId="3A28216C" w14:textId="77777777" w:rsidR="00886E66" w:rsidRDefault="00886E66" w:rsidP="00CF75E0">
      <w:pPr>
        <w:jc w:val="left"/>
        <w:rPr>
          <w:rFonts w:cs="Arial"/>
          <w:i/>
          <w:iCs/>
          <w:sz w:val="22"/>
          <w:szCs w:val="22"/>
        </w:rPr>
      </w:pPr>
    </w:p>
    <w:p w14:paraId="065224CC" w14:textId="37F7D80C" w:rsidR="001A43D3" w:rsidRPr="001A43D3" w:rsidRDefault="001A43D3" w:rsidP="00CF75E0">
      <w:pPr>
        <w:jc w:val="left"/>
        <w:rPr>
          <w:rFonts w:cs="Arial"/>
          <w:i/>
          <w:iCs/>
          <w:sz w:val="22"/>
          <w:szCs w:val="22"/>
        </w:rPr>
      </w:pPr>
      <w:r w:rsidRPr="001A43D3">
        <w:rPr>
          <w:rFonts w:cs="Arial"/>
          <w:i/>
          <w:iCs/>
          <w:sz w:val="22"/>
          <w:szCs w:val="22"/>
        </w:rPr>
        <w:t>Adicionalmente, entendemos que el gas natural de compras puede provenir de fuentes nacionales o de importación, siempre que se registren ante el Gestor de Mercado. Sobre este último punto, agradecemos a la Comisión hacer esta precisión.</w:t>
      </w:r>
    </w:p>
    <w:p w14:paraId="185A6A99" w14:textId="77777777" w:rsidR="001A43D3" w:rsidRDefault="001A43D3" w:rsidP="00CF75E0">
      <w:pPr>
        <w:jc w:val="left"/>
        <w:rPr>
          <w:rFonts w:cs="Arial"/>
          <w:i/>
          <w:iCs/>
          <w:sz w:val="22"/>
          <w:szCs w:val="22"/>
        </w:rPr>
      </w:pPr>
    </w:p>
    <w:p w14:paraId="382753D8" w14:textId="77777777" w:rsidR="00886E66" w:rsidRPr="002B1FF0" w:rsidRDefault="00886E66" w:rsidP="00CF75E0">
      <w:pPr>
        <w:jc w:val="left"/>
        <w:rPr>
          <w:rFonts w:cs="Arial"/>
          <w:b/>
          <w:bCs/>
          <w:sz w:val="22"/>
          <w:szCs w:val="22"/>
        </w:rPr>
      </w:pPr>
      <w:r w:rsidRPr="002B1FF0">
        <w:rPr>
          <w:rFonts w:cs="Arial"/>
          <w:b/>
          <w:bCs/>
          <w:sz w:val="22"/>
          <w:szCs w:val="22"/>
        </w:rPr>
        <w:t>RESPUESTA:</w:t>
      </w:r>
    </w:p>
    <w:p w14:paraId="790E6436" w14:textId="77777777" w:rsidR="00886E66" w:rsidRDefault="00886E66" w:rsidP="00CF75E0">
      <w:pPr>
        <w:jc w:val="left"/>
        <w:rPr>
          <w:rFonts w:cs="Arial"/>
          <w:i/>
          <w:iCs/>
          <w:sz w:val="22"/>
          <w:szCs w:val="22"/>
        </w:rPr>
      </w:pPr>
    </w:p>
    <w:p w14:paraId="58F12C4B" w14:textId="1E96B77C" w:rsidR="00886E66" w:rsidRDefault="00C669CF" w:rsidP="00CF75E0">
      <w:pPr>
        <w:jc w:val="left"/>
        <w:rPr>
          <w:rFonts w:cs="Arial"/>
          <w:sz w:val="22"/>
          <w:szCs w:val="22"/>
        </w:rPr>
      </w:pPr>
      <w:r w:rsidRPr="00831272">
        <w:rPr>
          <w:rFonts w:cs="Arial"/>
          <w:sz w:val="22"/>
          <w:szCs w:val="22"/>
        </w:rPr>
        <w:t>Se acoge el comentario.</w:t>
      </w:r>
    </w:p>
    <w:p w14:paraId="0DF93209" w14:textId="77777777" w:rsidR="00C470E3" w:rsidRDefault="00C470E3" w:rsidP="00CF75E0">
      <w:pPr>
        <w:jc w:val="left"/>
        <w:rPr>
          <w:rFonts w:cs="Arial"/>
          <w:sz w:val="22"/>
          <w:szCs w:val="22"/>
        </w:rPr>
      </w:pPr>
    </w:p>
    <w:p w14:paraId="449E3A92" w14:textId="5519FD7D" w:rsidR="00C470E3" w:rsidRDefault="00C470E3" w:rsidP="00CF75E0">
      <w:pPr>
        <w:jc w:val="left"/>
        <w:rPr>
          <w:rFonts w:cs="Arial"/>
          <w:sz w:val="22"/>
          <w:szCs w:val="22"/>
        </w:rPr>
      </w:pPr>
      <w:r>
        <w:rPr>
          <w:rFonts w:cs="Arial"/>
          <w:sz w:val="22"/>
          <w:szCs w:val="22"/>
        </w:rPr>
        <w:t xml:space="preserve">En la resolución definitiva se establece la obligación de entrega de información </w:t>
      </w:r>
      <w:r w:rsidR="005E5760">
        <w:rPr>
          <w:rFonts w:cs="Arial"/>
          <w:sz w:val="22"/>
          <w:szCs w:val="22"/>
        </w:rPr>
        <w:t xml:space="preserve">que se establece </w:t>
      </w:r>
      <w:r>
        <w:rPr>
          <w:rFonts w:cs="Arial"/>
          <w:sz w:val="22"/>
          <w:szCs w:val="22"/>
        </w:rPr>
        <w:t>a los comercializadores de gas importado que declaren cantidades de CIDVF al Gestor del Mercado.</w:t>
      </w:r>
    </w:p>
    <w:p w14:paraId="7B00DE7C" w14:textId="77777777" w:rsidR="00C669CF" w:rsidRDefault="00C669CF" w:rsidP="00CF75E0">
      <w:pPr>
        <w:jc w:val="left"/>
        <w:rPr>
          <w:rFonts w:cs="Arial"/>
          <w:sz w:val="22"/>
          <w:szCs w:val="22"/>
        </w:rPr>
      </w:pPr>
    </w:p>
    <w:p w14:paraId="73EF6348" w14:textId="77777777" w:rsidR="00831272" w:rsidRDefault="00831272" w:rsidP="00CF75E0">
      <w:pPr>
        <w:jc w:val="left"/>
        <w:rPr>
          <w:rFonts w:cs="Arial"/>
          <w:sz w:val="22"/>
          <w:szCs w:val="22"/>
        </w:rPr>
      </w:pPr>
    </w:p>
    <w:p w14:paraId="01D93A00" w14:textId="77777777" w:rsidR="00886E66" w:rsidRDefault="00886E66" w:rsidP="00CF75E0">
      <w:pPr>
        <w:pStyle w:val="Ttulo2"/>
        <w:jc w:val="left"/>
      </w:pPr>
      <w:bookmarkStart w:id="43" w:name="_Toc158211418"/>
      <w:r w:rsidRPr="001A43D3">
        <w:t>Ecopetrol S.A.</w:t>
      </w:r>
      <w:bookmarkEnd w:id="43"/>
      <w:r w:rsidRPr="001A43D3">
        <w:tab/>
      </w:r>
    </w:p>
    <w:p w14:paraId="5FB823CE" w14:textId="169BFEF3" w:rsidR="001A43D3" w:rsidRPr="001A43D3" w:rsidRDefault="00C470E3" w:rsidP="00CF75E0">
      <w:pPr>
        <w:jc w:val="left"/>
        <w:rPr>
          <w:rFonts w:cs="Arial"/>
          <w:i/>
          <w:iCs/>
          <w:sz w:val="22"/>
          <w:szCs w:val="22"/>
        </w:rPr>
      </w:pPr>
      <w:r>
        <w:rPr>
          <w:rFonts w:cs="Arial"/>
          <w:i/>
          <w:iCs/>
          <w:sz w:val="22"/>
          <w:szCs w:val="22"/>
        </w:rPr>
        <w:t>“</w:t>
      </w:r>
      <w:r w:rsidR="001A43D3" w:rsidRPr="001A43D3">
        <w:rPr>
          <w:rFonts w:cs="Arial"/>
          <w:i/>
          <w:iCs/>
          <w:sz w:val="22"/>
          <w:szCs w:val="22"/>
        </w:rPr>
        <w:t>Finalmente, sugerimos a la Comisión evaluar la inclusión de una referencia en el mismo sentido en la revisión de los cambios estructurales que se harían a la Resolución CREG 186 de 2020, los cuales se pusieron en consulta a través de la Resolución CREG 702 003 de 2023.</w:t>
      </w:r>
    </w:p>
    <w:p w14:paraId="364286D4" w14:textId="77777777" w:rsidR="001A43D3" w:rsidRPr="001A43D3" w:rsidRDefault="001A43D3" w:rsidP="00CF75E0">
      <w:pPr>
        <w:jc w:val="left"/>
        <w:rPr>
          <w:rFonts w:cs="Arial"/>
          <w:i/>
          <w:iCs/>
          <w:sz w:val="22"/>
          <w:szCs w:val="22"/>
        </w:rPr>
      </w:pPr>
    </w:p>
    <w:p w14:paraId="313B498F" w14:textId="77777777" w:rsidR="001A43D3" w:rsidRPr="001A43D3" w:rsidRDefault="001A43D3" w:rsidP="00CF75E0">
      <w:pPr>
        <w:jc w:val="left"/>
        <w:rPr>
          <w:rFonts w:cs="Arial"/>
          <w:i/>
          <w:iCs/>
          <w:sz w:val="22"/>
          <w:szCs w:val="22"/>
        </w:rPr>
      </w:pPr>
      <w:r w:rsidRPr="001A43D3">
        <w:rPr>
          <w:rFonts w:cs="Arial"/>
          <w:i/>
          <w:iCs/>
          <w:sz w:val="22"/>
          <w:szCs w:val="22"/>
        </w:rPr>
        <w:t>Sugerimos incluir una nueva definición en los siguientes términos:</w:t>
      </w:r>
    </w:p>
    <w:p w14:paraId="4A81C4EC" w14:textId="77777777" w:rsidR="001A43D3" w:rsidRPr="001A43D3" w:rsidRDefault="001A43D3" w:rsidP="00CF75E0">
      <w:pPr>
        <w:jc w:val="left"/>
        <w:rPr>
          <w:rFonts w:cs="Arial"/>
          <w:i/>
          <w:iCs/>
          <w:sz w:val="22"/>
          <w:szCs w:val="22"/>
        </w:rPr>
      </w:pPr>
    </w:p>
    <w:p w14:paraId="6F6C60A2" w14:textId="77777777" w:rsidR="001A43D3" w:rsidRPr="001A43D3" w:rsidRDefault="001A43D3" w:rsidP="00CF75E0">
      <w:pPr>
        <w:jc w:val="left"/>
        <w:rPr>
          <w:rFonts w:cs="Arial"/>
          <w:i/>
          <w:iCs/>
          <w:sz w:val="22"/>
          <w:szCs w:val="22"/>
        </w:rPr>
      </w:pPr>
      <w:r w:rsidRPr="001A43D3">
        <w:rPr>
          <w:rFonts w:cs="Arial"/>
          <w:i/>
          <w:iCs/>
          <w:sz w:val="22"/>
          <w:szCs w:val="22"/>
        </w:rPr>
        <w:t>""Contrato de suministro de respaldo (CSR): contrato escrito en el que un productor comercializador o comercializador de gas importado garantiza el suministro de una cantidad máxima de gas natural desde una fuente de suministro sin interrupciones a un productor comercializador que lo requiere como fuente de respaldo. El comprador se compromete a pagar en la liquidación mensual mínimo el 95% de la cantidad contratada correspondiente al mes, independientemente de que sea consumida o no, excepto en los días establecidos para mantenimiento y labores programadas.”</w:t>
      </w:r>
    </w:p>
    <w:p w14:paraId="2BC40AF5" w14:textId="77777777" w:rsidR="001A43D3" w:rsidRPr="001A43D3" w:rsidRDefault="001A43D3" w:rsidP="00CF75E0">
      <w:pPr>
        <w:jc w:val="left"/>
        <w:rPr>
          <w:rFonts w:cs="Arial"/>
          <w:i/>
          <w:iCs/>
          <w:sz w:val="22"/>
          <w:szCs w:val="22"/>
        </w:rPr>
      </w:pPr>
    </w:p>
    <w:p w14:paraId="1AE52642" w14:textId="77777777" w:rsidR="001A43D3" w:rsidRPr="001A43D3" w:rsidRDefault="001A43D3" w:rsidP="00CF75E0">
      <w:pPr>
        <w:jc w:val="left"/>
        <w:rPr>
          <w:rFonts w:cs="Arial"/>
          <w:i/>
          <w:iCs/>
          <w:sz w:val="22"/>
          <w:szCs w:val="22"/>
        </w:rPr>
      </w:pPr>
      <w:r w:rsidRPr="001A43D3">
        <w:rPr>
          <w:rFonts w:cs="Arial"/>
          <w:i/>
          <w:iCs/>
          <w:sz w:val="22"/>
          <w:szCs w:val="22"/>
        </w:rPr>
        <w:t>De manera complementaria, sugerimos incluir un parágrafo en el artículo 17 de la Resolución CREG 186 de 2020, en los siguientes términos:</w:t>
      </w:r>
    </w:p>
    <w:p w14:paraId="63F96FDE" w14:textId="77777777" w:rsidR="001A43D3" w:rsidRPr="001A43D3" w:rsidRDefault="001A43D3" w:rsidP="00CF75E0">
      <w:pPr>
        <w:jc w:val="left"/>
        <w:rPr>
          <w:rFonts w:cs="Arial"/>
          <w:i/>
          <w:iCs/>
          <w:sz w:val="22"/>
          <w:szCs w:val="22"/>
        </w:rPr>
      </w:pPr>
    </w:p>
    <w:p w14:paraId="734572D5" w14:textId="77777777" w:rsidR="001A43D3" w:rsidRPr="001A43D3" w:rsidRDefault="001A43D3" w:rsidP="00CF75E0">
      <w:pPr>
        <w:jc w:val="left"/>
        <w:rPr>
          <w:rFonts w:cs="Arial"/>
          <w:i/>
          <w:iCs/>
          <w:sz w:val="22"/>
          <w:szCs w:val="22"/>
        </w:rPr>
      </w:pPr>
      <w:r w:rsidRPr="001A43D3">
        <w:rPr>
          <w:rFonts w:cs="Arial"/>
          <w:i/>
          <w:iCs/>
          <w:sz w:val="22"/>
          <w:szCs w:val="22"/>
        </w:rPr>
        <w:t>“PARÁGRAFO. Esta medida no aplicará cuando un productor comercializador requiere suministro de gas natural a través de un contrato en modalidad de Contrato de Suministro de Respaldo (CSR).”"</w:t>
      </w:r>
    </w:p>
    <w:p w14:paraId="5438E0C1" w14:textId="77777777" w:rsidR="00A25B16" w:rsidRDefault="00A25B16" w:rsidP="00CF75E0">
      <w:pPr>
        <w:jc w:val="left"/>
        <w:rPr>
          <w:rFonts w:cs="Arial"/>
          <w:i/>
          <w:iCs/>
          <w:sz w:val="22"/>
          <w:szCs w:val="22"/>
        </w:rPr>
      </w:pPr>
    </w:p>
    <w:p w14:paraId="2AB9B6C1"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1A4DABD" w14:textId="77777777" w:rsidR="002B1FF0" w:rsidRPr="002B1FF0" w:rsidRDefault="002B1FF0" w:rsidP="00CF75E0">
      <w:pPr>
        <w:jc w:val="left"/>
        <w:rPr>
          <w:rFonts w:cs="Arial"/>
          <w:sz w:val="22"/>
          <w:szCs w:val="22"/>
        </w:rPr>
      </w:pPr>
    </w:p>
    <w:p w14:paraId="1C684939" w14:textId="00CCABCF" w:rsidR="002B1FF0" w:rsidRPr="002B1FF0" w:rsidRDefault="00C470E3"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_Ref148706897 \n \h </w:instrText>
      </w:r>
      <w:r w:rsidR="00CF75E0">
        <w:rPr>
          <w:rFonts w:cs="Arial"/>
          <w:sz w:val="22"/>
          <w:szCs w:val="22"/>
        </w:rPr>
        <w:instrText xml:space="preserve"> \* MERGEFORMAT </w:instrText>
      </w:r>
      <w:r>
        <w:rPr>
          <w:rFonts w:cs="Arial"/>
          <w:sz w:val="22"/>
          <w:szCs w:val="22"/>
        </w:rPr>
      </w:r>
      <w:r>
        <w:rPr>
          <w:rFonts w:cs="Arial"/>
          <w:sz w:val="22"/>
          <w:szCs w:val="22"/>
        </w:rPr>
        <w:fldChar w:fldCharType="separate"/>
      </w:r>
      <w:r w:rsidR="0027336D">
        <w:rPr>
          <w:rFonts w:cs="Arial"/>
          <w:sz w:val="22"/>
          <w:szCs w:val="22"/>
        </w:rPr>
        <w:t>2.2</w:t>
      </w:r>
      <w:r>
        <w:rPr>
          <w:rFonts w:cs="Arial"/>
          <w:sz w:val="22"/>
          <w:szCs w:val="22"/>
        </w:rPr>
        <w:fldChar w:fldCharType="end"/>
      </w:r>
      <w:r w:rsidR="005E5760">
        <w:rPr>
          <w:rFonts w:cs="Arial"/>
          <w:sz w:val="22"/>
          <w:szCs w:val="22"/>
        </w:rPr>
        <w:t xml:space="preserve"> y al comentario </w:t>
      </w:r>
      <w:r w:rsidR="004C205B">
        <w:rPr>
          <w:rFonts w:cs="Arial"/>
          <w:sz w:val="22"/>
          <w:szCs w:val="22"/>
        </w:rPr>
        <w:fldChar w:fldCharType="begin"/>
      </w:r>
      <w:r w:rsidR="004C205B">
        <w:rPr>
          <w:rFonts w:cs="Arial"/>
          <w:sz w:val="22"/>
          <w:szCs w:val="22"/>
        </w:rPr>
        <w:instrText xml:space="preserve"> REF _Ref149298576 \w \h </w:instrText>
      </w:r>
      <w:r w:rsidR="004C205B">
        <w:rPr>
          <w:rFonts w:cs="Arial"/>
          <w:sz w:val="22"/>
          <w:szCs w:val="22"/>
        </w:rPr>
      </w:r>
      <w:r w:rsidR="004C205B">
        <w:rPr>
          <w:rFonts w:cs="Arial"/>
          <w:sz w:val="22"/>
          <w:szCs w:val="22"/>
        </w:rPr>
        <w:fldChar w:fldCharType="separate"/>
      </w:r>
      <w:r w:rsidR="0027336D">
        <w:rPr>
          <w:rFonts w:cs="Arial"/>
          <w:sz w:val="22"/>
          <w:szCs w:val="22"/>
        </w:rPr>
        <w:t>18.6</w:t>
      </w:r>
      <w:r w:rsidR="004C205B">
        <w:rPr>
          <w:rFonts w:cs="Arial"/>
          <w:sz w:val="22"/>
          <w:szCs w:val="22"/>
        </w:rPr>
        <w:fldChar w:fldCharType="end"/>
      </w:r>
      <w:r>
        <w:rPr>
          <w:rFonts w:cs="Arial"/>
          <w:sz w:val="22"/>
          <w:szCs w:val="22"/>
        </w:rPr>
        <w:t>.</w:t>
      </w:r>
    </w:p>
    <w:p w14:paraId="6C3EE0D1" w14:textId="77777777" w:rsidR="00A25B16" w:rsidRDefault="00A25B16" w:rsidP="00CF75E0">
      <w:pPr>
        <w:jc w:val="left"/>
        <w:rPr>
          <w:rFonts w:cs="Arial"/>
          <w:i/>
          <w:iCs/>
          <w:sz w:val="22"/>
          <w:szCs w:val="22"/>
        </w:rPr>
      </w:pPr>
    </w:p>
    <w:p w14:paraId="14F0665D" w14:textId="77777777" w:rsidR="00A25B16" w:rsidRDefault="00A25B16" w:rsidP="00CF75E0">
      <w:pPr>
        <w:jc w:val="left"/>
        <w:rPr>
          <w:rFonts w:cs="Arial"/>
          <w:i/>
          <w:iCs/>
          <w:sz w:val="22"/>
          <w:szCs w:val="22"/>
        </w:rPr>
      </w:pPr>
    </w:p>
    <w:p w14:paraId="280497F4" w14:textId="6A3A5BA8" w:rsidR="00A25B16" w:rsidRDefault="001A43D3" w:rsidP="00CF75E0">
      <w:pPr>
        <w:pStyle w:val="Ttulo2"/>
        <w:jc w:val="left"/>
      </w:pPr>
      <w:bookmarkStart w:id="44" w:name="_Toc158211419"/>
      <w:r w:rsidRPr="001A43D3">
        <w:t>Ecopetrol S.A.</w:t>
      </w:r>
      <w:bookmarkEnd w:id="44"/>
      <w:r w:rsidRPr="001A43D3">
        <w:tab/>
      </w:r>
    </w:p>
    <w:p w14:paraId="4A5357C1" w14:textId="659948F6" w:rsidR="001A43D3" w:rsidRPr="001A43D3" w:rsidRDefault="001A43D3" w:rsidP="00CF75E0">
      <w:pPr>
        <w:jc w:val="left"/>
        <w:rPr>
          <w:rFonts w:cs="Arial"/>
          <w:i/>
          <w:iCs/>
          <w:sz w:val="22"/>
          <w:szCs w:val="22"/>
        </w:rPr>
      </w:pPr>
      <w:r w:rsidRPr="001A43D3">
        <w:rPr>
          <w:rFonts w:cs="Arial"/>
          <w:i/>
          <w:iCs/>
          <w:sz w:val="22"/>
          <w:szCs w:val="22"/>
        </w:rPr>
        <w:t>"En relación con el respaldo físico para el gas natural obtenido en el exterior, es importante tener en cuenta que en el mercado internacional es posible encontrar contratos spot que, en la práctica, sean interrumpibles y contratos a término que habitualmente contienen cláusulas de suspensión de entregas con compensaciones que se negocian entre compradores y vendedores.</w:t>
      </w:r>
    </w:p>
    <w:p w14:paraId="7A5A630C" w14:textId="77777777" w:rsidR="001A43D3" w:rsidRPr="001A43D3" w:rsidRDefault="001A43D3" w:rsidP="00CF75E0">
      <w:pPr>
        <w:jc w:val="left"/>
        <w:rPr>
          <w:rFonts w:cs="Arial"/>
          <w:i/>
          <w:iCs/>
          <w:sz w:val="22"/>
          <w:szCs w:val="22"/>
        </w:rPr>
      </w:pPr>
    </w:p>
    <w:p w14:paraId="7896BEB0" w14:textId="77777777" w:rsidR="001A43D3" w:rsidRPr="001A43D3" w:rsidRDefault="001A43D3" w:rsidP="00CF75E0">
      <w:pPr>
        <w:jc w:val="left"/>
        <w:rPr>
          <w:rFonts w:cs="Arial"/>
          <w:i/>
          <w:iCs/>
          <w:sz w:val="22"/>
          <w:szCs w:val="22"/>
        </w:rPr>
      </w:pPr>
      <w:r w:rsidRPr="001A43D3">
        <w:rPr>
          <w:rFonts w:cs="Arial"/>
          <w:i/>
          <w:iCs/>
          <w:sz w:val="22"/>
          <w:szCs w:val="22"/>
        </w:rPr>
        <w:t xml:space="preserve">Así las cosas, consideramos que contar con un contrato en el mercado internacional que supere o iguale en cantidad los compromisos que adquiera el comercializador de gas importado en el mercado nacional o una duración que cubra la vigencia de dichos compromisos, como lo propone tanto la Resolución CREG 702 003 de 2023 como la que aquí se comenta, no es suficiente para asegurar el respaldo físico. En nuestra consideración, se requiere un esquema </w:t>
      </w:r>
      <w:r w:rsidRPr="001A43D3">
        <w:rPr>
          <w:rFonts w:cs="Arial"/>
          <w:i/>
          <w:iCs/>
          <w:sz w:val="22"/>
          <w:szCs w:val="22"/>
        </w:rPr>
        <w:lastRenderedPageBreak/>
        <w:t>de contratación en el mercado internacional que permita mitigar la incertidumbre del mercado en términos de suministro.</w:t>
      </w:r>
    </w:p>
    <w:p w14:paraId="4A1E658A" w14:textId="77777777" w:rsidR="001A43D3" w:rsidRPr="001A43D3" w:rsidRDefault="001A43D3" w:rsidP="00CF75E0">
      <w:pPr>
        <w:jc w:val="left"/>
        <w:rPr>
          <w:rFonts w:cs="Arial"/>
          <w:i/>
          <w:iCs/>
          <w:sz w:val="22"/>
          <w:szCs w:val="22"/>
        </w:rPr>
      </w:pPr>
    </w:p>
    <w:p w14:paraId="0B2A45DD" w14:textId="77777777" w:rsidR="001A43D3" w:rsidRPr="001A43D3" w:rsidRDefault="001A43D3" w:rsidP="00CF75E0">
      <w:pPr>
        <w:jc w:val="left"/>
        <w:rPr>
          <w:rFonts w:cs="Arial"/>
          <w:i/>
          <w:iCs/>
          <w:sz w:val="22"/>
          <w:szCs w:val="22"/>
        </w:rPr>
      </w:pPr>
      <w:r w:rsidRPr="001A43D3">
        <w:rPr>
          <w:rFonts w:cs="Arial"/>
          <w:i/>
          <w:iCs/>
          <w:sz w:val="22"/>
          <w:szCs w:val="22"/>
        </w:rPr>
        <w:t>Sugerimos incluir una nueva definición en los siguientes términos:</w:t>
      </w:r>
    </w:p>
    <w:p w14:paraId="6FC6E3E2" w14:textId="77777777" w:rsidR="001A43D3" w:rsidRPr="001A43D3" w:rsidRDefault="001A43D3" w:rsidP="00CF75E0">
      <w:pPr>
        <w:jc w:val="left"/>
        <w:rPr>
          <w:rFonts w:cs="Arial"/>
          <w:i/>
          <w:iCs/>
          <w:sz w:val="22"/>
          <w:szCs w:val="22"/>
        </w:rPr>
      </w:pPr>
    </w:p>
    <w:p w14:paraId="3C214293" w14:textId="77777777" w:rsidR="001A43D3" w:rsidRPr="001A43D3" w:rsidRDefault="001A43D3" w:rsidP="00CF75E0">
      <w:pPr>
        <w:jc w:val="left"/>
        <w:rPr>
          <w:rFonts w:cs="Arial"/>
          <w:i/>
          <w:iCs/>
          <w:sz w:val="22"/>
          <w:szCs w:val="22"/>
        </w:rPr>
      </w:pPr>
      <w:r w:rsidRPr="001A43D3">
        <w:rPr>
          <w:rFonts w:cs="Arial"/>
          <w:i/>
          <w:iCs/>
          <w:sz w:val="22"/>
          <w:szCs w:val="22"/>
        </w:rPr>
        <w:t>“Respaldo Físico del gas natural obtenido en el exterior: es la garantía de que un comercializador de gas importado ha adquirido el gas natural que se comercializará en el Mercado Primario, en un mercado internacional o centro de comercialización, mediante un portafolio de contratos que mitiguen el riesgo de interrumpibilidad de los contratos spot y de la suspensión del servicio con pago de compensaciones en los contratos a término cumpliendo que los plazos de ejecución y cantidades de suministro del gas natural compradas en el exterior, son por lo menos iguales a la mayor duración e iguales o mayor a la cantidad que se declare al Gestor del Mercado, medidas en unidades de energía, MBTUD.”"</w:t>
      </w:r>
    </w:p>
    <w:p w14:paraId="70ECA783" w14:textId="77777777" w:rsidR="00A25B16" w:rsidRDefault="00A25B16" w:rsidP="00CF75E0">
      <w:pPr>
        <w:jc w:val="left"/>
        <w:rPr>
          <w:rFonts w:cs="Arial"/>
          <w:i/>
          <w:iCs/>
          <w:sz w:val="22"/>
          <w:szCs w:val="22"/>
        </w:rPr>
      </w:pPr>
    </w:p>
    <w:p w14:paraId="74FC145D"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05A62D3F" w14:textId="77777777" w:rsidR="002B1FF0" w:rsidRPr="002B1FF0" w:rsidRDefault="002B1FF0" w:rsidP="00CF75E0">
      <w:pPr>
        <w:jc w:val="left"/>
        <w:rPr>
          <w:rFonts w:cs="Arial"/>
          <w:sz w:val="22"/>
          <w:szCs w:val="22"/>
        </w:rPr>
      </w:pPr>
    </w:p>
    <w:p w14:paraId="53228E4C" w14:textId="7D2281C0" w:rsidR="002B1FF0" w:rsidRDefault="00C470E3" w:rsidP="00CF75E0">
      <w:pPr>
        <w:jc w:val="left"/>
        <w:rPr>
          <w:rFonts w:cs="Arial"/>
          <w:sz w:val="22"/>
          <w:szCs w:val="22"/>
        </w:rPr>
      </w:pPr>
      <w:r>
        <w:rPr>
          <w:rFonts w:cs="Arial"/>
          <w:sz w:val="22"/>
          <w:szCs w:val="22"/>
        </w:rPr>
        <w:t>No se acoge el comentario.</w:t>
      </w:r>
    </w:p>
    <w:p w14:paraId="46639162" w14:textId="77777777" w:rsidR="00024674" w:rsidRDefault="00024674" w:rsidP="00CF75E0">
      <w:pPr>
        <w:jc w:val="left"/>
        <w:rPr>
          <w:rFonts w:cs="Arial"/>
          <w:sz w:val="22"/>
          <w:szCs w:val="22"/>
        </w:rPr>
      </w:pPr>
    </w:p>
    <w:p w14:paraId="7ED9A84A" w14:textId="4B19880A" w:rsidR="00024674" w:rsidRDefault="00024674" w:rsidP="00CF75E0">
      <w:pPr>
        <w:jc w:val="left"/>
        <w:rPr>
          <w:rFonts w:cs="Arial"/>
          <w:sz w:val="22"/>
          <w:szCs w:val="22"/>
        </w:rPr>
      </w:pPr>
      <w:r>
        <w:rPr>
          <w:rFonts w:cs="Arial"/>
          <w:sz w:val="22"/>
          <w:szCs w:val="22"/>
        </w:rPr>
        <w:t>Si el comercializador de gas importado adquiere el gas natural bajo esquemas de contratación o de compra que en los mercados internacionales no son de tipo firme, dicho agente no puede declarar cantidades de CIDVF bajo esos contratos. Sin embargo, el comercializador de gas importado sí puede ofrecer dichas cantidades bajo la modalidad de Contrato con Interrupciones a los compradores del Mercado Primario.</w:t>
      </w:r>
      <w:r w:rsidR="00671F09">
        <w:rPr>
          <w:rFonts w:cs="Arial"/>
          <w:sz w:val="22"/>
          <w:szCs w:val="22"/>
        </w:rPr>
        <w:t xml:space="preserve"> Si el volumen de gas (cantidad de energía) ya se encuentra almacenado en la infraestructura de regasificación, el comercializador puede declarar la CIDVF sobre esos volúmenes. </w:t>
      </w:r>
    </w:p>
    <w:p w14:paraId="222D1C34" w14:textId="77777777" w:rsidR="00C470E3" w:rsidRDefault="00C470E3" w:rsidP="00CF75E0">
      <w:pPr>
        <w:jc w:val="left"/>
        <w:rPr>
          <w:rFonts w:cs="Arial"/>
          <w:sz w:val="22"/>
          <w:szCs w:val="22"/>
        </w:rPr>
      </w:pPr>
    </w:p>
    <w:p w14:paraId="06C46261" w14:textId="77777777" w:rsidR="00C470E3" w:rsidRPr="002B1FF0" w:rsidRDefault="00C470E3" w:rsidP="00CF75E0">
      <w:pPr>
        <w:jc w:val="left"/>
        <w:rPr>
          <w:rFonts w:cs="Arial"/>
          <w:sz w:val="22"/>
          <w:szCs w:val="22"/>
        </w:rPr>
      </w:pPr>
    </w:p>
    <w:p w14:paraId="445814A0" w14:textId="541C733C" w:rsidR="00A25B16" w:rsidRDefault="001A43D3" w:rsidP="00CF75E0">
      <w:pPr>
        <w:pStyle w:val="Ttulo2"/>
        <w:jc w:val="left"/>
      </w:pPr>
      <w:bookmarkStart w:id="45" w:name="_Toc158211420"/>
      <w:r w:rsidRPr="001A43D3">
        <w:t>Ecopetrol S.A.</w:t>
      </w:r>
      <w:bookmarkEnd w:id="45"/>
      <w:r w:rsidRPr="001A43D3">
        <w:tab/>
      </w:r>
    </w:p>
    <w:p w14:paraId="6303C36A" w14:textId="021C180B" w:rsidR="001A43D3" w:rsidRPr="001A43D3" w:rsidRDefault="001A43D3" w:rsidP="00CF75E0">
      <w:pPr>
        <w:jc w:val="left"/>
        <w:rPr>
          <w:rFonts w:cs="Arial"/>
          <w:i/>
          <w:iCs/>
          <w:sz w:val="22"/>
          <w:szCs w:val="22"/>
        </w:rPr>
      </w:pPr>
      <w:r w:rsidRPr="001A43D3">
        <w:rPr>
          <w:rFonts w:cs="Arial"/>
          <w:i/>
          <w:iCs/>
          <w:sz w:val="22"/>
          <w:szCs w:val="22"/>
        </w:rPr>
        <w:t>"Resaltamos la flexibilidad que propone la Comisión para la suscripción, en el mercado primario, de contratos que garanticen firmeza con duraciones semanales.</w:t>
      </w:r>
    </w:p>
    <w:p w14:paraId="226C9453" w14:textId="77777777" w:rsidR="001A43D3" w:rsidRPr="001A43D3" w:rsidRDefault="001A43D3" w:rsidP="00CF75E0">
      <w:pPr>
        <w:jc w:val="left"/>
        <w:rPr>
          <w:rFonts w:cs="Arial"/>
          <w:i/>
          <w:iCs/>
          <w:sz w:val="22"/>
          <w:szCs w:val="22"/>
        </w:rPr>
      </w:pPr>
    </w:p>
    <w:p w14:paraId="3A82ED53" w14:textId="77777777" w:rsidR="001A43D3" w:rsidRPr="001A43D3" w:rsidRDefault="001A43D3" w:rsidP="00CF75E0">
      <w:pPr>
        <w:jc w:val="left"/>
        <w:rPr>
          <w:rFonts w:cs="Arial"/>
          <w:i/>
          <w:iCs/>
          <w:sz w:val="22"/>
          <w:szCs w:val="22"/>
        </w:rPr>
      </w:pPr>
      <w:r w:rsidRPr="001A43D3">
        <w:rPr>
          <w:rFonts w:cs="Arial"/>
          <w:i/>
          <w:iCs/>
          <w:sz w:val="22"/>
          <w:szCs w:val="22"/>
        </w:rPr>
        <w:t>Sin embargo, respetuosamente sugerimos a la Comisión que la definición de ‘semana calendario’ corresponda a 7 días calendario continuos. Lo anterior considerando que los excedentes pueden presentarse en cualquier momento de la semana.</w:t>
      </w:r>
    </w:p>
    <w:p w14:paraId="4BD75355" w14:textId="77777777" w:rsidR="001A43D3" w:rsidRPr="001A43D3" w:rsidRDefault="001A43D3" w:rsidP="00CF75E0">
      <w:pPr>
        <w:jc w:val="left"/>
        <w:rPr>
          <w:rFonts w:cs="Arial"/>
          <w:i/>
          <w:iCs/>
          <w:sz w:val="22"/>
          <w:szCs w:val="22"/>
        </w:rPr>
      </w:pPr>
    </w:p>
    <w:p w14:paraId="1EA4B6FA" w14:textId="77777777" w:rsidR="001A43D3" w:rsidRPr="001A43D3" w:rsidRDefault="001A43D3" w:rsidP="00CF75E0">
      <w:pPr>
        <w:jc w:val="left"/>
        <w:rPr>
          <w:rFonts w:cs="Arial"/>
          <w:i/>
          <w:iCs/>
          <w:sz w:val="22"/>
          <w:szCs w:val="22"/>
        </w:rPr>
      </w:pPr>
      <w:r w:rsidRPr="001A43D3">
        <w:rPr>
          <w:rFonts w:cs="Arial"/>
          <w:i/>
          <w:iCs/>
          <w:sz w:val="22"/>
          <w:szCs w:val="22"/>
        </w:rPr>
        <w:t>Así las cosas, habilitar el inicio de los contratos en cualquier día de la semana puede contribuir a facilitar el abastecimiento de la demanda en momentos de baja hidrología.</w:t>
      </w:r>
    </w:p>
    <w:p w14:paraId="300C5928" w14:textId="77777777" w:rsidR="001A43D3" w:rsidRPr="001A43D3" w:rsidRDefault="001A43D3" w:rsidP="00CF75E0">
      <w:pPr>
        <w:jc w:val="left"/>
        <w:rPr>
          <w:rFonts w:cs="Arial"/>
          <w:i/>
          <w:iCs/>
          <w:sz w:val="22"/>
          <w:szCs w:val="22"/>
        </w:rPr>
      </w:pPr>
    </w:p>
    <w:p w14:paraId="64C5202E" w14:textId="77777777" w:rsidR="001A43D3" w:rsidRPr="001A43D3" w:rsidRDefault="001A43D3" w:rsidP="00CF75E0">
      <w:pPr>
        <w:jc w:val="left"/>
        <w:rPr>
          <w:rFonts w:cs="Arial"/>
          <w:i/>
          <w:iCs/>
          <w:sz w:val="22"/>
          <w:szCs w:val="22"/>
        </w:rPr>
      </w:pPr>
      <w:r w:rsidRPr="001A43D3">
        <w:rPr>
          <w:rFonts w:cs="Arial"/>
          <w:i/>
          <w:iCs/>
          <w:sz w:val="22"/>
          <w:szCs w:val="22"/>
        </w:rPr>
        <w:t>Sugerimos ajustar la definición de ‘semana calendario’ en los siguientes términos:</w:t>
      </w:r>
    </w:p>
    <w:p w14:paraId="79707DF1" w14:textId="77777777" w:rsidR="001A43D3" w:rsidRPr="001A43D3" w:rsidRDefault="001A43D3" w:rsidP="00CF75E0">
      <w:pPr>
        <w:jc w:val="left"/>
        <w:rPr>
          <w:rFonts w:cs="Arial"/>
          <w:i/>
          <w:iCs/>
          <w:sz w:val="22"/>
          <w:szCs w:val="22"/>
        </w:rPr>
      </w:pPr>
    </w:p>
    <w:p w14:paraId="6B9C82B4" w14:textId="77777777" w:rsidR="001A43D3" w:rsidRPr="001A43D3" w:rsidRDefault="001A43D3" w:rsidP="00CF75E0">
      <w:pPr>
        <w:jc w:val="left"/>
        <w:rPr>
          <w:rFonts w:cs="Arial"/>
          <w:i/>
          <w:iCs/>
          <w:sz w:val="22"/>
          <w:szCs w:val="22"/>
        </w:rPr>
      </w:pPr>
      <w:r w:rsidRPr="001A43D3">
        <w:rPr>
          <w:rFonts w:cs="Arial"/>
          <w:i/>
          <w:iCs/>
          <w:sz w:val="22"/>
          <w:szCs w:val="22"/>
        </w:rPr>
        <w:t>“Semana calendario: período de tiempo que va desde las 00:00 del lunes hasta las 24:00 horas del domingo 00:00 del día de inicio del contrato hasta las 24:00 horas séptimo día continuo calendario.”"</w:t>
      </w:r>
    </w:p>
    <w:p w14:paraId="101D57FD" w14:textId="77777777" w:rsidR="00A25B16" w:rsidRDefault="00A25B16" w:rsidP="00CF75E0">
      <w:pPr>
        <w:jc w:val="left"/>
        <w:rPr>
          <w:rFonts w:cs="Arial"/>
          <w:i/>
          <w:iCs/>
          <w:sz w:val="22"/>
          <w:szCs w:val="22"/>
        </w:rPr>
      </w:pPr>
    </w:p>
    <w:p w14:paraId="72858078"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069E7EB9" w14:textId="77777777" w:rsidR="002B1FF0" w:rsidRPr="002B1FF0" w:rsidRDefault="002B1FF0" w:rsidP="00CF75E0">
      <w:pPr>
        <w:jc w:val="left"/>
        <w:rPr>
          <w:rFonts w:cs="Arial"/>
          <w:sz w:val="22"/>
          <w:szCs w:val="22"/>
        </w:rPr>
      </w:pPr>
    </w:p>
    <w:p w14:paraId="09702DE4" w14:textId="567A52E3" w:rsidR="002B1FF0" w:rsidRDefault="00B745A5" w:rsidP="00CF75E0">
      <w:pPr>
        <w:jc w:val="left"/>
        <w:rPr>
          <w:rFonts w:cs="Arial"/>
          <w:sz w:val="22"/>
          <w:szCs w:val="22"/>
        </w:rPr>
      </w:pPr>
      <w:r>
        <w:rPr>
          <w:rFonts w:cs="Arial"/>
          <w:sz w:val="22"/>
          <w:szCs w:val="22"/>
        </w:rPr>
        <w:t xml:space="preserve">No se acoge el comentario. </w:t>
      </w:r>
    </w:p>
    <w:p w14:paraId="5276AC35" w14:textId="77777777" w:rsidR="00B745A5" w:rsidRDefault="00B745A5" w:rsidP="00CF75E0">
      <w:pPr>
        <w:jc w:val="left"/>
        <w:rPr>
          <w:rFonts w:cs="Arial"/>
          <w:sz w:val="22"/>
          <w:szCs w:val="22"/>
        </w:rPr>
      </w:pPr>
    </w:p>
    <w:p w14:paraId="36D821AD" w14:textId="6B2854AC" w:rsidR="00B745A5" w:rsidRDefault="00B745A5" w:rsidP="00CF75E0">
      <w:pPr>
        <w:jc w:val="left"/>
        <w:rPr>
          <w:rFonts w:cs="Arial"/>
          <w:sz w:val="22"/>
          <w:szCs w:val="22"/>
        </w:rPr>
      </w:pPr>
      <w:r>
        <w:rPr>
          <w:rFonts w:cs="Arial"/>
          <w:sz w:val="22"/>
          <w:szCs w:val="22"/>
        </w:rPr>
        <w:lastRenderedPageBreak/>
        <w:t>El objeto de la propuesta es que haya la posibilidad para el comprador de constituir para el corto plazo un portafolio de contratos de suministro que permita contratar un suministro base mínimo continuo para la semana calendario y un suministro de mayor cantidad para atender la elevación de consumos que se presentan en los días laborales de la semana.</w:t>
      </w:r>
      <w:r w:rsidR="00317CF5">
        <w:rPr>
          <w:rFonts w:cs="Arial"/>
          <w:sz w:val="22"/>
          <w:szCs w:val="22"/>
        </w:rPr>
        <w:t xml:space="preserve"> Para ello se propone un menú de opciones de duraciones mínimas de los contratos, que no obliga a que se tengan que suscribir con esas duraciones, son los participantes del mercado los que deciden y se ponen de acuerdo en qué condiciones contractuales los suscriben. </w:t>
      </w:r>
    </w:p>
    <w:p w14:paraId="399F96E9" w14:textId="77777777" w:rsidR="00B745A5" w:rsidRDefault="00B745A5" w:rsidP="00CF75E0">
      <w:pPr>
        <w:jc w:val="left"/>
        <w:rPr>
          <w:rFonts w:cs="Arial"/>
          <w:sz w:val="22"/>
          <w:szCs w:val="22"/>
        </w:rPr>
      </w:pPr>
    </w:p>
    <w:p w14:paraId="0C79E246" w14:textId="030D4779" w:rsidR="00B745A5" w:rsidRPr="002B1FF0" w:rsidRDefault="00B745A5" w:rsidP="00CF75E0">
      <w:pPr>
        <w:jc w:val="left"/>
        <w:rPr>
          <w:rFonts w:cs="Arial"/>
          <w:sz w:val="22"/>
          <w:szCs w:val="22"/>
        </w:rPr>
      </w:pPr>
      <w:r>
        <w:rPr>
          <w:rFonts w:cs="Arial"/>
          <w:sz w:val="22"/>
          <w:szCs w:val="22"/>
        </w:rPr>
        <w:t>De otra parte</w:t>
      </w:r>
      <w:r w:rsidR="00D4165A">
        <w:rPr>
          <w:rFonts w:cs="Arial"/>
          <w:sz w:val="22"/>
          <w:szCs w:val="22"/>
        </w:rPr>
        <w:t>,</w:t>
      </w:r>
      <w:r>
        <w:rPr>
          <w:rFonts w:cs="Arial"/>
          <w:sz w:val="22"/>
          <w:szCs w:val="22"/>
        </w:rPr>
        <w:t xml:space="preserve"> el vendedor del Mercado Primario podrá negociar directamente los contratos con interrupciones, que aunque su duración es de un mes calendario, permiten que aquellas cantidades que no tienen un alto nivel de certidumbre de producción o de entrega</w:t>
      </w:r>
      <w:r w:rsidR="00D4165A">
        <w:rPr>
          <w:rFonts w:cs="Arial"/>
          <w:sz w:val="22"/>
          <w:szCs w:val="22"/>
        </w:rPr>
        <w:t>, se puedan comprometer y ejecutar en este tipo de contratos.</w:t>
      </w:r>
    </w:p>
    <w:p w14:paraId="3AFC8986" w14:textId="77777777" w:rsidR="00A25B16" w:rsidRDefault="00A25B16" w:rsidP="00CF75E0">
      <w:pPr>
        <w:jc w:val="left"/>
        <w:rPr>
          <w:rFonts w:cs="Arial"/>
          <w:i/>
          <w:iCs/>
          <w:sz w:val="22"/>
          <w:szCs w:val="22"/>
        </w:rPr>
      </w:pPr>
    </w:p>
    <w:p w14:paraId="4FA74035" w14:textId="77777777" w:rsidR="00A25B16" w:rsidRDefault="00A25B16" w:rsidP="00CF75E0">
      <w:pPr>
        <w:jc w:val="left"/>
        <w:rPr>
          <w:rFonts w:cs="Arial"/>
          <w:i/>
          <w:iCs/>
          <w:sz w:val="22"/>
          <w:szCs w:val="22"/>
        </w:rPr>
      </w:pPr>
    </w:p>
    <w:p w14:paraId="2B54129F" w14:textId="0E8A9EED" w:rsidR="00A25B16" w:rsidRDefault="001A43D3" w:rsidP="00CF75E0">
      <w:pPr>
        <w:pStyle w:val="Ttulo2"/>
        <w:jc w:val="left"/>
      </w:pPr>
      <w:bookmarkStart w:id="46" w:name="_Toc158211421"/>
      <w:r w:rsidRPr="001A43D3">
        <w:t>Naturgas</w:t>
      </w:r>
      <w:bookmarkEnd w:id="46"/>
      <w:r w:rsidRPr="001A43D3">
        <w:tab/>
      </w:r>
    </w:p>
    <w:p w14:paraId="6E4F32D7" w14:textId="535B3401" w:rsidR="001A43D3" w:rsidRPr="001A43D3" w:rsidRDefault="001A43D3" w:rsidP="00CF75E0">
      <w:pPr>
        <w:jc w:val="left"/>
        <w:rPr>
          <w:rFonts w:cs="Arial"/>
          <w:i/>
          <w:iCs/>
          <w:sz w:val="22"/>
          <w:szCs w:val="22"/>
        </w:rPr>
      </w:pPr>
      <w:r w:rsidRPr="001A43D3">
        <w:rPr>
          <w:rFonts w:cs="Arial"/>
          <w:i/>
          <w:iCs/>
          <w:sz w:val="22"/>
          <w:szCs w:val="22"/>
        </w:rPr>
        <w:t>"Se incluyen definiciones que ya están en otras normas. Por ejemplo: ""Demanda Esencial"" y ""Reservas de Gas Natural"" están en el Decreto 1073 de 2015, y ""Precio de Reserva"" está en los anexos de la Resolución CREG 186 de 2020.</w:t>
      </w:r>
    </w:p>
    <w:p w14:paraId="6F5E6142" w14:textId="77777777" w:rsidR="001A43D3" w:rsidRPr="001A43D3" w:rsidRDefault="001A43D3" w:rsidP="00CF75E0">
      <w:pPr>
        <w:jc w:val="left"/>
        <w:rPr>
          <w:rFonts w:cs="Arial"/>
          <w:i/>
          <w:iCs/>
          <w:sz w:val="22"/>
          <w:szCs w:val="22"/>
        </w:rPr>
      </w:pPr>
    </w:p>
    <w:p w14:paraId="12C60442" w14:textId="77777777" w:rsidR="001A43D3" w:rsidRPr="001A43D3" w:rsidRDefault="001A43D3" w:rsidP="00CF75E0">
      <w:pPr>
        <w:jc w:val="left"/>
        <w:rPr>
          <w:rFonts w:cs="Arial"/>
          <w:i/>
          <w:iCs/>
          <w:sz w:val="22"/>
          <w:szCs w:val="22"/>
        </w:rPr>
      </w:pPr>
      <w:r w:rsidRPr="001A43D3">
        <w:rPr>
          <w:rFonts w:cs="Arial"/>
          <w:i/>
          <w:iCs/>
          <w:sz w:val="22"/>
          <w:szCs w:val="22"/>
        </w:rPr>
        <w:t xml:space="preserve">Así mismo, se incluyen definiciones nuevas que no observamos que se utilicen en el cuerpo de la Resolución como ""Respaldo Físico de fuente nacional"" y ""Respaldo Físico de gas obtenido en el exterior"". </w:t>
      </w:r>
    </w:p>
    <w:p w14:paraId="519E2560" w14:textId="77777777" w:rsidR="001A43D3" w:rsidRPr="001A43D3" w:rsidRDefault="001A43D3" w:rsidP="00CF75E0">
      <w:pPr>
        <w:jc w:val="left"/>
        <w:rPr>
          <w:rFonts w:cs="Arial"/>
          <w:i/>
          <w:iCs/>
          <w:sz w:val="22"/>
          <w:szCs w:val="22"/>
        </w:rPr>
      </w:pPr>
    </w:p>
    <w:p w14:paraId="3CF67B06" w14:textId="791AE0AC" w:rsidR="001A43D3" w:rsidRPr="001A43D3" w:rsidRDefault="001A43D3" w:rsidP="00CF75E0">
      <w:pPr>
        <w:jc w:val="left"/>
        <w:rPr>
          <w:rFonts w:cs="Arial"/>
          <w:i/>
          <w:iCs/>
          <w:sz w:val="22"/>
          <w:szCs w:val="22"/>
        </w:rPr>
      </w:pPr>
      <w:r w:rsidRPr="001A43D3">
        <w:rPr>
          <w:rFonts w:cs="Arial"/>
          <w:i/>
          <w:iCs/>
          <w:sz w:val="22"/>
          <w:szCs w:val="22"/>
        </w:rPr>
        <w:t>Respetuosamente sugerimos revisar la pertinencia de traer a la Resolución definiciones que ya están en otras normas, e incorporar definiciones que no se utilizan dentro del cuerpo de la Resolución. "</w:t>
      </w:r>
    </w:p>
    <w:p w14:paraId="4BF28DA8" w14:textId="77777777" w:rsidR="00A25B16" w:rsidRDefault="00A25B16" w:rsidP="00CF75E0">
      <w:pPr>
        <w:jc w:val="left"/>
        <w:rPr>
          <w:rFonts w:cs="Arial"/>
          <w:i/>
          <w:iCs/>
          <w:sz w:val="22"/>
          <w:szCs w:val="22"/>
        </w:rPr>
      </w:pPr>
    </w:p>
    <w:p w14:paraId="6C0E461A"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7AA4548B" w14:textId="77777777" w:rsidR="002B1FF0" w:rsidRPr="002B1FF0" w:rsidRDefault="002B1FF0" w:rsidP="00CF75E0">
      <w:pPr>
        <w:jc w:val="left"/>
        <w:rPr>
          <w:rFonts w:cs="Arial"/>
          <w:sz w:val="22"/>
          <w:szCs w:val="22"/>
        </w:rPr>
      </w:pPr>
    </w:p>
    <w:p w14:paraId="0D4C5781" w14:textId="5E4637E2" w:rsidR="002B1FF0" w:rsidRDefault="00D4165A" w:rsidP="00CF75E0">
      <w:pPr>
        <w:jc w:val="left"/>
        <w:rPr>
          <w:rFonts w:cs="Arial"/>
          <w:sz w:val="22"/>
          <w:szCs w:val="22"/>
        </w:rPr>
      </w:pPr>
      <w:r>
        <w:rPr>
          <w:rFonts w:cs="Arial"/>
          <w:sz w:val="22"/>
          <w:szCs w:val="22"/>
        </w:rPr>
        <w:t>Se acoge el comentario parcialmente.</w:t>
      </w:r>
    </w:p>
    <w:p w14:paraId="0FACC53E" w14:textId="77777777" w:rsidR="00D4165A" w:rsidRDefault="00D4165A" w:rsidP="00CF75E0">
      <w:pPr>
        <w:jc w:val="left"/>
        <w:rPr>
          <w:rFonts w:cs="Arial"/>
          <w:sz w:val="22"/>
          <w:szCs w:val="22"/>
        </w:rPr>
      </w:pPr>
    </w:p>
    <w:p w14:paraId="10791AC6" w14:textId="7903A27C" w:rsidR="00D4165A" w:rsidRPr="002B1FF0" w:rsidRDefault="00D4165A" w:rsidP="00CF75E0">
      <w:pPr>
        <w:jc w:val="left"/>
        <w:rPr>
          <w:rFonts w:cs="Arial"/>
          <w:sz w:val="22"/>
          <w:szCs w:val="22"/>
        </w:rPr>
      </w:pPr>
      <w:r>
        <w:rPr>
          <w:rFonts w:cs="Arial"/>
          <w:sz w:val="22"/>
          <w:szCs w:val="22"/>
        </w:rPr>
        <w:t>Se harán los ajustes necesarios para que los agentes encuentren aquellas definiciones necesarias para la aplicación de la resolución definitiva.</w:t>
      </w:r>
    </w:p>
    <w:p w14:paraId="067CDC62" w14:textId="77777777" w:rsidR="00A25B16" w:rsidRDefault="00A25B16" w:rsidP="00CF75E0">
      <w:pPr>
        <w:jc w:val="left"/>
        <w:rPr>
          <w:rFonts w:cs="Arial"/>
          <w:i/>
          <w:iCs/>
          <w:sz w:val="22"/>
          <w:szCs w:val="22"/>
        </w:rPr>
      </w:pPr>
    </w:p>
    <w:p w14:paraId="6D383A4F" w14:textId="77777777" w:rsidR="00A25B16" w:rsidRDefault="00A25B16" w:rsidP="00CF75E0">
      <w:pPr>
        <w:jc w:val="left"/>
        <w:rPr>
          <w:rFonts w:cs="Arial"/>
          <w:i/>
          <w:iCs/>
          <w:sz w:val="22"/>
          <w:szCs w:val="22"/>
        </w:rPr>
      </w:pPr>
    </w:p>
    <w:p w14:paraId="2A7E13DC" w14:textId="014F4A44" w:rsidR="00A25B16" w:rsidRDefault="001A43D3" w:rsidP="00CF75E0">
      <w:pPr>
        <w:pStyle w:val="Ttulo2"/>
        <w:jc w:val="left"/>
      </w:pPr>
      <w:bookmarkStart w:id="47" w:name="_Toc158211422"/>
      <w:r w:rsidRPr="001A43D3">
        <w:t>OGE LEGAL SERVICES</w:t>
      </w:r>
      <w:bookmarkEnd w:id="47"/>
      <w:r w:rsidRPr="001A43D3">
        <w:tab/>
      </w:r>
    </w:p>
    <w:p w14:paraId="56DA6A39" w14:textId="41CCA8F4" w:rsidR="001A43D3" w:rsidRPr="001A43D3" w:rsidRDefault="001A43D3" w:rsidP="00CF75E0">
      <w:pPr>
        <w:jc w:val="left"/>
        <w:rPr>
          <w:rFonts w:cs="Arial"/>
          <w:i/>
          <w:iCs/>
          <w:sz w:val="22"/>
          <w:szCs w:val="22"/>
        </w:rPr>
      </w:pPr>
      <w:r w:rsidRPr="001A43D3">
        <w:rPr>
          <w:rFonts w:cs="Arial"/>
          <w:i/>
          <w:iCs/>
          <w:sz w:val="22"/>
          <w:szCs w:val="22"/>
        </w:rPr>
        <w:t>"Se sugiere el siguiente texto:</w:t>
      </w:r>
    </w:p>
    <w:p w14:paraId="1429ECC5" w14:textId="77777777" w:rsidR="001A43D3" w:rsidRPr="001A43D3" w:rsidRDefault="001A43D3" w:rsidP="00CF75E0">
      <w:pPr>
        <w:jc w:val="left"/>
        <w:rPr>
          <w:rFonts w:cs="Arial"/>
          <w:i/>
          <w:iCs/>
          <w:sz w:val="22"/>
          <w:szCs w:val="22"/>
        </w:rPr>
      </w:pPr>
    </w:p>
    <w:p w14:paraId="276CEFCD" w14:textId="77777777" w:rsidR="001A43D3" w:rsidRDefault="001A43D3" w:rsidP="00CF75E0">
      <w:pPr>
        <w:jc w:val="left"/>
        <w:rPr>
          <w:rFonts w:cs="Arial"/>
          <w:i/>
          <w:iCs/>
          <w:sz w:val="22"/>
          <w:szCs w:val="22"/>
        </w:rPr>
      </w:pPr>
      <w:r w:rsidRPr="001A43D3">
        <w:rPr>
          <w:rFonts w:cs="Arial"/>
          <w:i/>
          <w:iCs/>
          <w:sz w:val="22"/>
          <w:szCs w:val="22"/>
        </w:rPr>
        <w:t xml:space="preserve">Respaldo Físico de gas obtenido en el exterior: Es la garantía de que un comercializador de gas importado ha adquirido el gas natural que se comercializará en el Mercado Primario, en un mercado internacional o centro de comercialización, mediante uno o varios contratos de suministro </w:t>
      </w:r>
      <w:r w:rsidRPr="00D4165A">
        <w:rPr>
          <w:rFonts w:cs="Arial"/>
          <w:b/>
          <w:bCs/>
          <w:i/>
          <w:iCs/>
          <w:sz w:val="22"/>
          <w:szCs w:val="22"/>
          <w:highlight w:val="yellow"/>
          <w:u w:val="single"/>
        </w:rPr>
        <w:t>debidamente firmados</w:t>
      </w:r>
      <w:r w:rsidRPr="001A43D3">
        <w:rPr>
          <w:rFonts w:cs="Arial"/>
          <w:i/>
          <w:iCs/>
          <w:sz w:val="22"/>
          <w:szCs w:val="22"/>
        </w:rPr>
        <w:t xml:space="preserve">, ya sea que con ellos se cumpla con alguna de las siguientes dos condiciones: i.) Unos plazos de ejecución y cantidades de suministro del gas natural compradas en el exterior, por lo menos iguales a la mayor duración y mayor cantidad que se declare al Gestor del Mercado; o ii.) Unas cantidades totales de gas natural comprado en el exterior, medidas en unidades de energía, MBTU, que sean iguales o superiores a las </w:t>
      </w:r>
      <w:r w:rsidRPr="001A43D3">
        <w:rPr>
          <w:rFonts w:cs="Arial"/>
          <w:i/>
          <w:iCs/>
          <w:sz w:val="22"/>
          <w:szCs w:val="22"/>
        </w:rPr>
        <w:lastRenderedPageBreak/>
        <w:t>cantidades de gas natural, medidas en las mismas unidades de energía, que se declaran al Gestor del Mercado para el período declarado."</w:t>
      </w:r>
    </w:p>
    <w:p w14:paraId="53223A39" w14:textId="77777777" w:rsidR="00A25B16" w:rsidRDefault="00A25B16" w:rsidP="00CF75E0">
      <w:pPr>
        <w:jc w:val="left"/>
        <w:rPr>
          <w:rFonts w:cs="Arial"/>
          <w:i/>
          <w:iCs/>
          <w:sz w:val="22"/>
          <w:szCs w:val="22"/>
        </w:rPr>
      </w:pPr>
    </w:p>
    <w:p w14:paraId="632FA02A"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5206132" w14:textId="77777777" w:rsidR="002B1FF0" w:rsidRPr="002B1FF0" w:rsidRDefault="002B1FF0" w:rsidP="00CF75E0">
      <w:pPr>
        <w:jc w:val="left"/>
        <w:rPr>
          <w:rFonts w:cs="Arial"/>
          <w:sz w:val="22"/>
          <w:szCs w:val="22"/>
        </w:rPr>
      </w:pPr>
    </w:p>
    <w:p w14:paraId="363D9142" w14:textId="73B183EA" w:rsidR="002B1FF0" w:rsidRDefault="009B4369" w:rsidP="00CF75E0">
      <w:pPr>
        <w:jc w:val="left"/>
        <w:rPr>
          <w:rFonts w:cs="Arial"/>
          <w:sz w:val="22"/>
          <w:szCs w:val="22"/>
        </w:rPr>
      </w:pPr>
      <w:r>
        <w:rPr>
          <w:rFonts w:cs="Arial"/>
          <w:sz w:val="22"/>
          <w:szCs w:val="22"/>
        </w:rPr>
        <w:t>No se acoge el comentario.</w:t>
      </w:r>
    </w:p>
    <w:p w14:paraId="3E464B8E" w14:textId="77777777" w:rsidR="009B4369" w:rsidRDefault="009B4369" w:rsidP="00CF75E0">
      <w:pPr>
        <w:jc w:val="left"/>
        <w:rPr>
          <w:rFonts w:cs="Arial"/>
          <w:sz w:val="22"/>
          <w:szCs w:val="22"/>
        </w:rPr>
      </w:pPr>
    </w:p>
    <w:p w14:paraId="45389B72" w14:textId="4754E5D5" w:rsidR="009B4369" w:rsidRPr="009B4369" w:rsidRDefault="009B4369" w:rsidP="00CF75E0">
      <w:pPr>
        <w:jc w:val="left"/>
        <w:rPr>
          <w:rFonts w:cs="Arial"/>
          <w:sz w:val="22"/>
          <w:szCs w:val="22"/>
        </w:rPr>
      </w:pPr>
      <w:r>
        <w:rPr>
          <w:rFonts w:cs="Arial"/>
          <w:sz w:val="22"/>
          <w:szCs w:val="22"/>
        </w:rPr>
        <w:t>Cuando en el texto aludido del Proyecto de Resolución se establece la expresión “</w:t>
      </w:r>
      <w:r w:rsidRPr="001A43D3">
        <w:rPr>
          <w:rFonts w:cs="Arial"/>
          <w:i/>
          <w:iCs/>
          <w:sz w:val="22"/>
          <w:szCs w:val="22"/>
        </w:rPr>
        <w:t>ha adquirido el gas natural</w:t>
      </w:r>
      <w:r>
        <w:rPr>
          <w:rFonts w:cs="Arial"/>
          <w:i/>
          <w:iCs/>
          <w:sz w:val="22"/>
          <w:szCs w:val="22"/>
        </w:rPr>
        <w:t xml:space="preserve">” </w:t>
      </w:r>
      <w:r w:rsidRPr="009B4369">
        <w:rPr>
          <w:rFonts w:cs="Arial"/>
          <w:sz w:val="22"/>
          <w:szCs w:val="22"/>
        </w:rPr>
        <w:t>se entiende que ya ocurrió la adquisición de gas natural</w:t>
      </w:r>
      <w:r>
        <w:rPr>
          <w:rFonts w:cs="Arial"/>
          <w:sz w:val="22"/>
          <w:szCs w:val="22"/>
        </w:rPr>
        <w:t xml:space="preserve">, es decir, que ya es propietario de los derechos de suministro del gas natural </w:t>
      </w:r>
      <w:r w:rsidRPr="009B4369">
        <w:rPr>
          <w:rFonts w:cs="Arial"/>
          <w:sz w:val="22"/>
          <w:szCs w:val="22"/>
        </w:rPr>
        <w:t>antes de que sobre ello se hagan declaraciones de CIDVF o negociaciones de contratos de tipo firme</w:t>
      </w:r>
      <w:r>
        <w:rPr>
          <w:rFonts w:cs="Arial"/>
          <w:sz w:val="22"/>
          <w:szCs w:val="22"/>
        </w:rPr>
        <w:t>. Para ello necesariamente deba haber ocurrido previamente la firma del contrato den debida manera.</w:t>
      </w:r>
    </w:p>
    <w:p w14:paraId="71BB1025" w14:textId="77777777" w:rsidR="00A25B16" w:rsidRDefault="00A25B16" w:rsidP="00CF75E0">
      <w:pPr>
        <w:jc w:val="left"/>
        <w:rPr>
          <w:rFonts w:cs="Arial"/>
          <w:i/>
          <w:iCs/>
          <w:sz w:val="22"/>
          <w:szCs w:val="22"/>
        </w:rPr>
      </w:pPr>
    </w:p>
    <w:p w14:paraId="08A0D5C7" w14:textId="77777777" w:rsidR="00A25B16" w:rsidRPr="001A43D3" w:rsidRDefault="00A25B16" w:rsidP="00CF75E0">
      <w:pPr>
        <w:jc w:val="left"/>
        <w:rPr>
          <w:rFonts w:cs="Arial"/>
          <w:i/>
          <w:iCs/>
          <w:sz w:val="22"/>
          <w:szCs w:val="22"/>
        </w:rPr>
      </w:pPr>
    </w:p>
    <w:p w14:paraId="38643F6B" w14:textId="70FA1D4A" w:rsidR="00A25B16" w:rsidRDefault="001A43D3" w:rsidP="00CF75E0">
      <w:pPr>
        <w:pStyle w:val="Ttulo2"/>
        <w:jc w:val="left"/>
      </w:pPr>
      <w:bookmarkStart w:id="48" w:name="_Toc158211423"/>
      <w:r w:rsidRPr="001A43D3">
        <w:t>Prime Energía</w:t>
      </w:r>
      <w:bookmarkEnd w:id="48"/>
      <w:r w:rsidRPr="001A43D3">
        <w:t xml:space="preserve"> </w:t>
      </w:r>
      <w:r w:rsidRPr="001A43D3">
        <w:tab/>
      </w:r>
    </w:p>
    <w:p w14:paraId="1E3E1D2B" w14:textId="06209C50" w:rsidR="001A43D3" w:rsidRDefault="001A43D3" w:rsidP="00CF75E0">
      <w:pPr>
        <w:jc w:val="left"/>
        <w:rPr>
          <w:rFonts w:cs="Arial"/>
          <w:i/>
          <w:iCs/>
          <w:sz w:val="22"/>
          <w:szCs w:val="22"/>
        </w:rPr>
      </w:pPr>
      <w:r w:rsidRPr="001A43D3">
        <w:rPr>
          <w:rFonts w:cs="Arial"/>
          <w:i/>
          <w:iCs/>
          <w:sz w:val="22"/>
          <w:szCs w:val="22"/>
        </w:rPr>
        <w:t>"Eliminar la posibilidad de que un generador térmico pueda contratar gas natural flexible en estos momentos a partir de la aplicación de un mecanismo de priorización para la Demanda Esencial, que por definición no contempla al generador térmico, es agravar la coyuntura de liquidez de los comercializadores y distribuidores y continuar con la ola alcista del precio de energía en bolsa. De igual forma, la propuesta debe establecer limites de contratación para cada segmento definido bajo el concepto de Demanda Esencial con el fin de evitar situación de poder de mercado y acaparamiento."</w:t>
      </w:r>
    </w:p>
    <w:p w14:paraId="63B52F2A" w14:textId="77777777" w:rsidR="00A25B16" w:rsidRDefault="00A25B16" w:rsidP="00CF75E0">
      <w:pPr>
        <w:jc w:val="left"/>
        <w:rPr>
          <w:rFonts w:cs="Arial"/>
          <w:i/>
          <w:iCs/>
          <w:sz w:val="22"/>
          <w:szCs w:val="22"/>
        </w:rPr>
      </w:pPr>
    </w:p>
    <w:p w14:paraId="43912307"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1F990CC" w14:textId="77777777" w:rsidR="002B1FF0" w:rsidRPr="002B1FF0" w:rsidRDefault="002B1FF0" w:rsidP="00CF75E0">
      <w:pPr>
        <w:jc w:val="left"/>
        <w:rPr>
          <w:rFonts w:cs="Arial"/>
          <w:sz w:val="22"/>
          <w:szCs w:val="22"/>
        </w:rPr>
      </w:pPr>
    </w:p>
    <w:p w14:paraId="4E34A000" w14:textId="753FD1EE" w:rsidR="002B1FF0" w:rsidRPr="002B1FF0" w:rsidRDefault="00D67B28" w:rsidP="00CF75E0">
      <w:pPr>
        <w:jc w:val="left"/>
        <w:rPr>
          <w:rFonts w:cs="Arial"/>
          <w:sz w:val="22"/>
          <w:szCs w:val="22"/>
        </w:rPr>
      </w:pPr>
      <w:r>
        <w:rPr>
          <w:rFonts w:cs="Arial"/>
          <w:sz w:val="22"/>
          <w:szCs w:val="22"/>
        </w:rPr>
        <w:t>Ver respuesta a</w:t>
      </w:r>
      <w:r w:rsidR="00FB069B">
        <w:rPr>
          <w:rFonts w:cs="Arial"/>
          <w:sz w:val="22"/>
          <w:szCs w:val="22"/>
        </w:rPr>
        <w:t>l comentario</w:t>
      </w:r>
      <w:r w:rsidR="008F2313">
        <w:rPr>
          <w:rFonts w:cs="Arial"/>
          <w:sz w:val="22"/>
          <w:szCs w:val="22"/>
        </w:rPr>
        <w:t xml:space="preserve"> </w:t>
      </w:r>
      <w:r w:rsidR="008F2313">
        <w:rPr>
          <w:rFonts w:cs="Arial"/>
          <w:sz w:val="22"/>
          <w:szCs w:val="22"/>
        </w:rPr>
        <w:fldChar w:fldCharType="begin"/>
      </w:r>
      <w:r w:rsidR="008F2313">
        <w:rPr>
          <w:rFonts w:cs="Arial"/>
          <w:sz w:val="22"/>
          <w:szCs w:val="22"/>
        </w:rPr>
        <w:instrText xml:space="preserve"> REF _Ref149111969 \w \h </w:instrText>
      </w:r>
      <w:r w:rsidR="008F2313">
        <w:rPr>
          <w:rFonts w:cs="Arial"/>
          <w:sz w:val="22"/>
          <w:szCs w:val="22"/>
        </w:rPr>
      </w:r>
      <w:r w:rsidR="008F2313">
        <w:rPr>
          <w:rFonts w:cs="Arial"/>
          <w:sz w:val="22"/>
          <w:szCs w:val="22"/>
        </w:rPr>
        <w:fldChar w:fldCharType="separate"/>
      </w:r>
      <w:r w:rsidR="0027336D">
        <w:rPr>
          <w:rFonts w:cs="Arial"/>
          <w:sz w:val="22"/>
          <w:szCs w:val="22"/>
        </w:rPr>
        <w:t>8.1</w:t>
      </w:r>
      <w:r w:rsidR="008F2313">
        <w:rPr>
          <w:rFonts w:cs="Arial"/>
          <w:sz w:val="22"/>
          <w:szCs w:val="22"/>
        </w:rPr>
        <w:fldChar w:fldCharType="end"/>
      </w:r>
      <w:r w:rsidR="00FB069B">
        <w:rPr>
          <w:rFonts w:cs="Arial"/>
          <w:sz w:val="22"/>
          <w:szCs w:val="22"/>
        </w:rPr>
        <w:t xml:space="preserve"> y al comentario</w:t>
      </w:r>
      <w:r w:rsidR="008F2313">
        <w:rPr>
          <w:rFonts w:cs="Arial"/>
          <w:sz w:val="22"/>
          <w:szCs w:val="22"/>
        </w:rPr>
        <w:t xml:space="preserve"> </w:t>
      </w:r>
      <w:r w:rsidR="008F2313">
        <w:rPr>
          <w:rFonts w:cs="Arial"/>
          <w:sz w:val="22"/>
          <w:szCs w:val="22"/>
        </w:rPr>
        <w:fldChar w:fldCharType="begin"/>
      </w:r>
      <w:r w:rsidR="008F2313">
        <w:rPr>
          <w:rFonts w:cs="Arial"/>
          <w:sz w:val="22"/>
          <w:szCs w:val="22"/>
        </w:rPr>
        <w:instrText xml:space="preserve"> REF _Ref149303414 \w \h </w:instrText>
      </w:r>
      <w:r w:rsidR="008F2313">
        <w:rPr>
          <w:rFonts w:cs="Arial"/>
          <w:sz w:val="22"/>
          <w:szCs w:val="22"/>
        </w:rPr>
      </w:r>
      <w:r w:rsidR="008F2313">
        <w:rPr>
          <w:rFonts w:cs="Arial"/>
          <w:sz w:val="22"/>
          <w:szCs w:val="22"/>
        </w:rPr>
        <w:fldChar w:fldCharType="separate"/>
      </w:r>
      <w:r w:rsidR="0027336D">
        <w:rPr>
          <w:rFonts w:cs="Arial"/>
          <w:sz w:val="22"/>
          <w:szCs w:val="22"/>
        </w:rPr>
        <w:t>18.3</w:t>
      </w:r>
      <w:r w:rsidR="008F2313">
        <w:rPr>
          <w:rFonts w:cs="Arial"/>
          <w:sz w:val="22"/>
          <w:szCs w:val="22"/>
        </w:rPr>
        <w:fldChar w:fldCharType="end"/>
      </w:r>
      <w:r w:rsidR="008F2313">
        <w:rPr>
          <w:rFonts w:cs="Arial"/>
          <w:sz w:val="22"/>
          <w:szCs w:val="22"/>
        </w:rPr>
        <w:t>.</w:t>
      </w:r>
      <w:r w:rsidR="00FB069B">
        <w:rPr>
          <w:rFonts w:cs="Arial"/>
          <w:sz w:val="22"/>
          <w:szCs w:val="22"/>
        </w:rPr>
        <w:t xml:space="preserve"> </w:t>
      </w:r>
      <w:r>
        <w:rPr>
          <w:rFonts w:cs="Arial"/>
          <w:sz w:val="22"/>
          <w:szCs w:val="22"/>
        </w:rPr>
        <w:t xml:space="preserve"> </w:t>
      </w:r>
    </w:p>
    <w:p w14:paraId="6AF5B505" w14:textId="77777777" w:rsidR="00A25B16" w:rsidRDefault="00A25B16" w:rsidP="00CF75E0">
      <w:pPr>
        <w:jc w:val="left"/>
        <w:rPr>
          <w:rFonts w:cs="Arial"/>
          <w:i/>
          <w:iCs/>
          <w:sz w:val="22"/>
          <w:szCs w:val="22"/>
        </w:rPr>
      </w:pPr>
    </w:p>
    <w:p w14:paraId="66352D45" w14:textId="77777777" w:rsidR="00A25B16" w:rsidRPr="001A43D3" w:rsidRDefault="00A25B16" w:rsidP="00CF75E0">
      <w:pPr>
        <w:jc w:val="left"/>
        <w:rPr>
          <w:rFonts w:cs="Arial"/>
          <w:i/>
          <w:iCs/>
          <w:sz w:val="22"/>
          <w:szCs w:val="22"/>
        </w:rPr>
      </w:pPr>
    </w:p>
    <w:p w14:paraId="7945147C" w14:textId="341661CE" w:rsidR="00A25B16" w:rsidRDefault="001A43D3" w:rsidP="00CF75E0">
      <w:pPr>
        <w:pStyle w:val="Ttulo2"/>
        <w:jc w:val="left"/>
      </w:pPr>
      <w:bookmarkStart w:id="49" w:name="_Toc158211424"/>
      <w:r w:rsidRPr="001A43D3">
        <w:t>SANTAFÉ ENERGY</w:t>
      </w:r>
      <w:bookmarkEnd w:id="49"/>
      <w:r w:rsidRPr="001A43D3">
        <w:tab/>
      </w:r>
    </w:p>
    <w:p w14:paraId="4FF1AE9F" w14:textId="145F092F" w:rsidR="001A43D3" w:rsidRPr="001A43D3" w:rsidRDefault="001A43D3" w:rsidP="00CF75E0">
      <w:pPr>
        <w:jc w:val="left"/>
        <w:rPr>
          <w:rFonts w:cs="Arial"/>
          <w:i/>
          <w:iCs/>
          <w:sz w:val="22"/>
          <w:szCs w:val="22"/>
        </w:rPr>
      </w:pPr>
      <w:r w:rsidRPr="001A43D3">
        <w:rPr>
          <w:rFonts w:cs="Arial"/>
          <w:i/>
          <w:iCs/>
          <w:sz w:val="22"/>
          <w:szCs w:val="22"/>
        </w:rPr>
        <w:t>Consideramos inconveniente desplazar la demanda t</w:t>
      </w:r>
      <w:r w:rsidR="00CB0983">
        <w:rPr>
          <w:rFonts w:cs="Arial"/>
          <w:i/>
          <w:iCs/>
          <w:sz w:val="22"/>
          <w:szCs w:val="22"/>
        </w:rPr>
        <w:t>é</w:t>
      </w:r>
      <w:r w:rsidRPr="001A43D3">
        <w:rPr>
          <w:rFonts w:cs="Arial"/>
          <w:i/>
          <w:iCs/>
          <w:sz w:val="22"/>
          <w:szCs w:val="22"/>
        </w:rPr>
        <w:t>rmica en la clasificación de la demanda esencial, toda vez que el periodo coyuntural de flexibilización es en el que más se requiere la participación de ésta tecnología, dados los bajos niveles de aportes hídricos y la aplicación del Estatuto de Racionamiento. Adicionalmente, no guarda coherencia con las medidas de flexibilización en energía, en la que se pretende la participación obligatoria de todas las plantas y se dificulta la capacidad de las térmicas para la atención de la demanda regulada de energía.</w:t>
      </w:r>
      <w:r w:rsidR="00A25B16">
        <w:rPr>
          <w:rFonts w:cs="Arial"/>
          <w:i/>
          <w:iCs/>
          <w:sz w:val="22"/>
          <w:szCs w:val="22"/>
        </w:rPr>
        <w:t>”</w:t>
      </w:r>
      <w:r w:rsidRPr="001A43D3">
        <w:rPr>
          <w:rFonts w:cs="Arial"/>
          <w:i/>
          <w:iCs/>
          <w:sz w:val="22"/>
          <w:szCs w:val="22"/>
        </w:rPr>
        <w:t xml:space="preserve"> </w:t>
      </w:r>
    </w:p>
    <w:p w14:paraId="0740F999" w14:textId="77777777" w:rsidR="00A25B16" w:rsidRDefault="00A25B16" w:rsidP="00CF75E0">
      <w:pPr>
        <w:jc w:val="left"/>
        <w:rPr>
          <w:rFonts w:cs="Arial"/>
          <w:i/>
          <w:iCs/>
          <w:sz w:val="22"/>
          <w:szCs w:val="22"/>
        </w:rPr>
      </w:pPr>
    </w:p>
    <w:p w14:paraId="1415F713"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29B441D6" w14:textId="77777777" w:rsidR="002B1FF0" w:rsidRDefault="002B1FF0" w:rsidP="00CF75E0">
      <w:pPr>
        <w:jc w:val="left"/>
        <w:rPr>
          <w:rFonts w:cs="Arial"/>
          <w:sz w:val="22"/>
          <w:szCs w:val="22"/>
        </w:rPr>
      </w:pPr>
    </w:p>
    <w:p w14:paraId="034E6F7C" w14:textId="51301E3A" w:rsidR="002B1FF0" w:rsidRPr="002B1FF0" w:rsidRDefault="00CB0983" w:rsidP="00CF75E0">
      <w:pPr>
        <w:jc w:val="left"/>
        <w:rPr>
          <w:rFonts w:cs="Arial"/>
          <w:sz w:val="22"/>
          <w:szCs w:val="22"/>
        </w:rPr>
      </w:pPr>
      <w:r>
        <w:rPr>
          <w:rFonts w:cs="Arial"/>
          <w:sz w:val="22"/>
          <w:szCs w:val="22"/>
        </w:rPr>
        <w:t xml:space="preserve">Ver respuesta al comentario </w:t>
      </w:r>
      <w:r w:rsidR="003C2B44">
        <w:rPr>
          <w:rFonts w:cs="Arial"/>
          <w:sz w:val="22"/>
          <w:szCs w:val="22"/>
        </w:rPr>
        <w:fldChar w:fldCharType="begin"/>
      </w:r>
      <w:r w:rsidR="003C2B44">
        <w:rPr>
          <w:rFonts w:cs="Arial"/>
          <w:sz w:val="22"/>
          <w:szCs w:val="22"/>
        </w:rPr>
        <w:instrText xml:space="preserve"> REF _Ref149297567 \w \h </w:instrText>
      </w:r>
      <w:r w:rsidR="003C2B44">
        <w:rPr>
          <w:rFonts w:cs="Arial"/>
          <w:sz w:val="22"/>
          <w:szCs w:val="22"/>
        </w:rPr>
      </w:r>
      <w:r w:rsidR="003C2B44">
        <w:rPr>
          <w:rFonts w:cs="Arial"/>
          <w:sz w:val="22"/>
          <w:szCs w:val="22"/>
        </w:rPr>
        <w:fldChar w:fldCharType="separate"/>
      </w:r>
      <w:r w:rsidR="0027336D">
        <w:rPr>
          <w:rFonts w:cs="Arial"/>
          <w:sz w:val="22"/>
          <w:szCs w:val="22"/>
        </w:rPr>
        <w:t>18.2</w:t>
      </w:r>
      <w:r w:rsidR="003C2B44">
        <w:rPr>
          <w:rFonts w:cs="Arial"/>
          <w:sz w:val="22"/>
          <w:szCs w:val="22"/>
        </w:rPr>
        <w:fldChar w:fldCharType="end"/>
      </w:r>
      <w:r w:rsidR="003C2B44">
        <w:rPr>
          <w:rFonts w:cs="Arial"/>
          <w:sz w:val="22"/>
          <w:szCs w:val="22"/>
        </w:rPr>
        <w:t>.</w:t>
      </w:r>
    </w:p>
    <w:p w14:paraId="2F1B8D84" w14:textId="77777777" w:rsidR="00A25B16" w:rsidRDefault="00A25B16" w:rsidP="00CF75E0">
      <w:pPr>
        <w:jc w:val="left"/>
        <w:rPr>
          <w:rFonts w:cs="Arial"/>
          <w:i/>
          <w:iCs/>
          <w:sz w:val="22"/>
          <w:szCs w:val="22"/>
        </w:rPr>
      </w:pPr>
    </w:p>
    <w:p w14:paraId="503CC23E" w14:textId="77777777" w:rsidR="00A25B16" w:rsidRDefault="00A25B16" w:rsidP="00CF75E0">
      <w:pPr>
        <w:jc w:val="left"/>
        <w:rPr>
          <w:rFonts w:cs="Arial"/>
          <w:i/>
          <w:iCs/>
          <w:sz w:val="22"/>
          <w:szCs w:val="22"/>
        </w:rPr>
      </w:pPr>
    </w:p>
    <w:p w14:paraId="5599F9E0" w14:textId="7F5E2CDE" w:rsidR="00A25B16" w:rsidRDefault="001A43D3" w:rsidP="00CF75E0">
      <w:pPr>
        <w:pStyle w:val="Ttulo2"/>
        <w:jc w:val="left"/>
      </w:pPr>
      <w:bookmarkStart w:id="50" w:name="_Toc158211425"/>
      <w:r w:rsidRPr="001A43D3">
        <w:t>TEBSA</w:t>
      </w:r>
      <w:bookmarkEnd w:id="50"/>
      <w:r w:rsidRPr="001A43D3">
        <w:tab/>
      </w:r>
    </w:p>
    <w:p w14:paraId="1C517FCA" w14:textId="12D9595F" w:rsidR="00C27C7C" w:rsidRPr="001A43D3" w:rsidRDefault="001A43D3" w:rsidP="00CF75E0">
      <w:pPr>
        <w:jc w:val="left"/>
        <w:rPr>
          <w:rFonts w:cs="Arial"/>
          <w:i/>
          <w:iCs/>
          <w:sz w:val="22"/>
          <w:szCs w:val="22"/>
        </w:rPr>
      </w:pPr>
      <w:r w:rsidRPr="001A43D3">
        <w:rPr>
          <w:rFonts w:cs="Arial"/>
          <w:i/>
          <w:iCs/>
          <w:sz w:val="22"/>
          <w:szCs w:val="22"/>
        </w:rPr>
        <w:t xml:space="preserve">La demanda esencial tal como está definida asocia en cuatro grupos los diferentes tipos de demanda, entre los que se encuentran: las estaciones de compresión, los usuarios residenciales y los pequeños usuarios comerciales, el GNCV y las refinerías; y aunque existe un orden de prioridad para atenderlos, no se tiene en cuenta dentro de la demanda esencial, que </w:t>
      </w:r>
      <w:r w:rsidRPr="001A43D3">
        <w:rPr>
          <w:rFonts w:cs="Arial"/>
          <w:i/>
          <w:iCs/>
          <w:sz w:val="22"/>
          <w:szCs w:val="22"/>
        </w:rPr>
        <w:lastRenderedPageBreak/>
        <w:t>los comportamientos y necesidades de consumo de los usuarios puede llegar a ser distintos. Lo anterior, debido a que se están mezclando usuarios regulados y no regulados.</w:t>
      </w:r>
    </w:p>
    <w:p w14:paraId="4407AA4F" w14:textId="65462CC3" w:rsidR="004B7CE3" w:rsidRDefault="004B7CE3" w:rsidP="00CF75E0">
      <w:pPr>
        <w:jc w:val="left"/>
        <w:rPr>
          <w:sz w:val="22"/>
        </w:rPr>
      </w:pPr>
    </w:p>
    <w:p w14:paraId="7FEDAF11"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7834026C" w14:textId="77777777" w:rsidR="00D9126C" w:rsidRDefault="00D9126C" w:rsidP="00CF75E0">
      <w:pPr>
        <w:jc w:val="left"/>
        <w:rPr>
          <w:rFonts w:cs="Arial"/>
          <w:sz w:val="22"/>
          <w:szCs w:val="22"/>
        </w:rPr>
      </w:pPr>
    </w:p>
    <w:p w14:paraId="5C6215A3" w14:textId="183C8CE1" w:rsidR="002B1FF0" w:rsidRPr="002B1FF0" w:rsidRDefault="00D9126C" w:rsidP="00CF75E0">
      <w:pPr>
        <w:jc w:val="left"/>
        <w:rPr>
          <w:rFonts w:cs="Arial"/>
          <w:sz w:val="22"/>
          <w:szCs w:val="22"/>
        </w:rPr>
      </w:pPr>
      <w:r>
        <w:rPr>
          <w:rFonts w:cs="Arial"/>
          <w:sz w:val="22"/>
          <w:szCs w:val="22"/>
        </w:rPr>
        <w:t xml:space="preserve">Es </w:t>
      </w:r>
      <w:r w:rsidR="0054035B">
        <w:rPr>
          <w:rFonts w:cs="Arial"/>
          <w:sz w:val="22"/>
          <w:szCs w:val="22"/>
        </w:rPr>
        <w:t>competencia del Ministerio de Minas y Energía la definición de la Demanda Esencial.</w:t>
      </w:r>
    </w:p>
    <w:p w14:paraId="39E4EECC" w14:textId="77777777" w:rsidR="002B1FF0" w:rsidRPr="002B1FF0" w:rsidRDefault="002B1FF0" w:rsidP="00CF75E0">
      <w:pPr>
        <w:jc w:val="left"/>
        <w:rPr>
          <w:rFonts w:cs="Arial"/>
          <w:sz w:val="22"/>
          <w:szCs w:val="22"/>
        </w:rPr>
      </w:pPr>
    </w:p>
    <w:p w14:paraId="779A5B81" w14:textId="77777777" w:rsidR="001A43D3" w:rsidRDefault="001A43D3" w:rsidP="00CF75E0">
      <w:pPr>
        <w:jc w:val="left"/>
        <w:rPr>
          <w:sz w:val="22"/>
        </w:rPr>
      </w:pPr>
    </w:p>
    <w:p w14:paraId="04C13272" w14:textId="744EC0F7" w:rsidR="001A43D3" w:rsidRDefault="00A61C11" w:rsidP="00CF75E0">
      <w:pPr>
        <w:pStyle w:val="Ttulo1"/>
        <w:jc w:val="left"/>
      </w:pPr>
      <w:bookmarkStart w:id="51" w:name="_Toc158211426"/>
      <w:r>
        <w:t>ARTÍCULO 3</w:t>
      </w:r>
      <w:bookmarkEnd w:id="51"/>
    </w:p>
    <w:p w14:paraId="70CDCAF5" w14:textId="72010628" w:rsidR="00A25B16" w:rsidRPr="00A25B16" w:rsidRDefault="001A43D3" w:rsidP="00CF75E0">
      <w:pPr>
        <w:pStyle w:val="Ttulo2"/>
        <w:jc w:val="left"/>
      </w:pPr>
      <w:bookmarkStart w:id="52" w:name="_Ref149547509"/>
      <w:bookmarkStart w:id="53" w:name="_Ref149547583"/>
      <w:bookmarkStart w:id="54" w:name="_Ref149547609"/>
      <w:bookmarkStart w:id="55" w:name="_Ref149547740"/>
      <w:bookmarkStart w:id="56" w:name="_Ref149547819"/>
      <w:bookmarkStart w:id="57" w:name="_Toc158211427"/>
      <w:r w:rsidRPr="00A25B16">
        <w:t>ACOLGÉN</w:t>
      </w:r>
      <w:bookmarkEnd w:id="52"/>
      <w:bookmarkEnd w:id="53"/>
      <w:bookmarkEnd w:id="54"/>
      <w:bookmarkEnd w:id="55"/>
      <w:bookmarkEnd w:id="56"/>
      <w:bookmarkEnd w:id="57"/>
      <w:r w:rsidRPr="00A25B16">
        <w:tab/>
      </w:r>
    </w:p>
    <w:p w14:paraId="1605D1B1" w14:textId="5B5E68FA" w:rsidR="001A43D3" w:rsidRDefault="001A43D3" w:rsidP="00CF75E0">
      <w:pPr>
        <w:jc w:val="left"/>
        <w:rPr>
          <w:i/>
          <w:iCs/>
          <w:sz w:val="22"/>
        </w:rPr>
      </w:pPr>
      <w:r w:rsidRPr="00A25B16">
        <w:rPr>
          <w:i/>
          <w:iCs/>
          <w:sz w:val="22"/>
        </w:rPr>
        <w:t>Deseamos resaltar nuestra postura respecto al Artículo 3, apoyando firmemente la</w:t>
      </w:r>
      <w:r w:rsidR="0026677A">
        <w:rPr>
          <w:i/>
          <w:iCs/>
          <w:sz w:val="22"/>
        </w:rPr>
        <w:t xml:space="preserve"> </w:t>
      </w:r>
      <w:r w:rsidRPr="00A25B16">
        <w:rPr>
          <w:i/>
          <w:iCs/>
          <w:sz w:val="22"/>
        </w:rPr>
        <w:t>consideración de eventos en el Transporte como eximentes de responsabilidad y recomendando su adopción permanente.</w:t>
      </w:r>
    </w:p>
    <w:p w14:paraId="6765EE77" w14:textId="77777777" w:rsidR="00A25B16" w:rsidRDefault="00A25B16" w:rsidP="00CF75E0">
      <w:pPr>
        <w:jc w:val="left"/>
        <w:rPr>
          <w:i/>
          <w:iCs/>
          <w:sz w:val="22"/>
        </w:rPr>
      </w:pPr>
    </w:p>
    <w:p w14:paraId="12F5831A"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6FB34B1E" w14:textId="77777777" w:rsidR="002B1FF0" w:rsidRPr="002B1FF0" w:rsidRDefault="002B1FF0" w:rsidP="00CF75E0">
      <w:pPr>
        <w:jc w:val="left"/>
        <w:rPr>
          <w:rFonts w:cs="Arial"/>
          <w:sz w:val="22"/>
          <w:szCs w:val="22"/>
        </w:rPr>
      </w:pPr>
    </w:p>
    <w:p w14:paraId="4C55B376" w14:textId="7287C6C4" w:rsidR="002B1FF0" w:rsidRPr="002B1FF0" w:rsidRDefault="00C07C46" w:rsidP="00CF75E0">
      <w:pPr>
        <w:jc w:val="left"/>
        <w:rPr>
          <w:rFonts w:cs="Arial"/>
          <w:sz w:val="22"/>
          <w:szCs w:val="22"/>
        </w:rPr>
      </w:pPr>
      <w:r>
        <w:rPr>
          <w:rFonts w:cs="Arial"/>
          <w:sz w:val="22"/>
          <w:szCs w:val="22"/>
        </w:rPr>
        <w:t xml:space="preserve">Ver respuesta </w:t>
      </w:r>
      <w:r w:rsidR="00E94F99">
        <w:rPr>
          <w:rFonts w:cs="Arial"/>
          <w:sz w:val="22"/>
          <w:szCs w:val="22"/>
        </w:rPr>
        <w:t xml:space="preserve">a, comentario </w:t>
      </w:r>
      <w:r w:rsidR="00133A93">
        <w:rPr>
          <w:rFonts w:cs="Arial"/>
          <w:sz w:val="22"/>
          <w:szCs w:val="22"/>
        </w:rPr>
        <w:fldChar w:fldCharType="begin"/>
      </w:r>
      <w:r w:rsidR="00133A93">
        <w:rPr>
          <w:rFonts w:cs="Arial"/>
          <w:sz w:val="22"/>
          <w:szCs w:val="22"/>
        </w:rPr>
        <w:instrText xml:space="preserve"> REF _Ref149547489 \w \h </w:instrText>
      </w:r>
      <w:r w:rsidR="00133A93">
        <w:rPr>
          <w:rFonts w:cs="Arial"/>
          <w:sz w:val="22"/>
          <w:szCs w:val="22"/>
        </w:rPr>
      </w:r>
      <w:r w:rsidR="00133A93">
        <w:rPr>
          <w:rFonts w:cs="Arial"/>
          <w:sz w:val="22"/>
          <w:szCs w:val="22"/>
        </w:rPr>
        <w:fldChar w:fldCharType="separate"/>
      </w:r>
      <w:r w:rsidR="0027336D">
        <w:rPr>
          <w:rFonts w:cs="Arial"/>
          <w:sz w:val="22"/>
          <w:szCs w:val="22"/>
        </w:rPr>
        <w:t>3.6</w:t>
      </w:r>
      <w:r w:rsidR="00133A93">
        <w:rPr>
          <w:rFonts w:cs="Arial"/>
          <w:sz w:val="22"/>
          <w:szCs w:val="22"/>
        </w:rPr>
        <w:fldChar w:fldCharType="end"/>
      </w:r>
      <w:r w:rsidR="00133A93">
        <w:rPr>
          <w:rFonts w:cs="Arial"/>
          <w:sz w:val="22"/>
          <w:szCs w:val="22"/>
        </w:rPr>
        <w:t xml:space="preserve"> y </w:t>
      </w:r>
      <w:r>
        <w:rPr>
          <w:rFonts w:cs="Arial"/>
          <w:sz w:val="22"/>
          <w:szCs w:val="22"/>
        </w:rPr>
        <w:t xml:space="preserve">al comentario </w:t>
      </w:r>
      <w:r w:rsidR="00644352">
        <w:rPr>
          <w:rFonts w:cs="Arial"/>
          <w:sz w:val="22"/>
          <w:szCs w:val="22"/>
        </w:rPr>
        <w:fldChar w:fldCharType="begin"/>
      </w:r>
      <w:r w:rsidR="00644352">
        <w:rPr>
          <w:rFonts w:cs="Arial"/>
          <w:sz w:val="22"/>
          <w:szCs w:val="22"/>
        </w:rPr>
        <w:instrText xml:space="preserve"> REF _Ref149298576 \w \h </w:instrText>
      </w:r>
      <w:r w:rsidR="00644352">
        <w:rPr>
          <w:rFonts w:cs="Arial"/>
          <w:sz w:val="22"/>
          <w:szCs w:val="22"/>
        </w:rPr>
      </w:r>
      <w:r w:rsidR="00644352">
        <w:rPr>
          <w:rFonts w:cs="Arial"/>
          <w:sz w:val="22"/>
          <w:szCs w:val="22"/>
        </w:rPr>
        <w:fldChar w:fldCharType="separate"/>
      </w:r>
      <w:r w:rsidR="0027336D">
        <w:rPr>
          <w:rFonts w:cs="Arial"/>
          <w:sz w:val="22"/>
          <w:szCs w:val="22"/>
        </w:rPr>
        <w:t>18.6</w:t>
      </w:r>
      <w:r w:rsidR="00644352">
        <w:rPr>
          <w:rFonts w:cs="Arial"/>
          <w:sz w:val="22"/>
          <w:szCs w:val="22"/>
        </w:rPr>
        <w:fldChar w:fldCharType="end"/>
      </w:r>
      <w:r w:rsidR="00644352">
        <w:rPr>
          <w:rFonts w:cs="Arial"/>
          <w:sz w:val="22"/>
          <w:szCs w:val="22"/>
        </w:rPr>
        <w:t>.</w:t>
      </w:r>
    </w:p>
    <w:p w14:paraId="0A0BBA3E" w14:textId="77777777" w:rsidR="00A25B16" w:rsidRDefault="00A25B16" w:rsidP="00CF75E0">
      <w:pPr>
        <w:jc w:val="left"/>
        <w:rPr>
          <w:i/>
          <w:iCs/>
          <w:sz w:val="22"/>
        </w:rPr>
      </w:pPr>
    </w:p>
    <w:p w14:paraId="074AE16B" w14:textId="77777777" w:rsidR="00A25B16" w:rsidRPr="00A25B16" w:rsidRDefault="00A25B16" w:rsidP="00CF75E0">
      <w:pPr>
        <w:jc w:val="left"/>
        <w:rPr>
          <w:i/>
          <w:iCs/>
          <w:sz w:val="22"/>
        </w:rPr>
      </w:pPr>
    </w:p>
    <w:p w14:paraId="180CAC02" w14:textId="5522261F" w:rsidR="00A25B16" w:rsidRDefault="001A43D3" w:rsidP="00CF75E0">
      <w:pPr>
        <w:pStyle w:val="Ttulo2"/>
        <w:jc w:val="left"/>
      </w:pPr>
      <w:bookmarkStart w:id="58" w:name="_Toc158211428"/>
      <w:r w:rsidRPr="00A25B16">
        <w:t>ACP</w:t>
      </w:r>
      <w:bookmarkEnd w:id="58"/>
      <w:r w:rsidRPr="00A25B16">
        <w:tab/>
      </w:r>
    </w:p>
    <w:p w14:paraId="784A2786" w14:textId="52143C80" w:rsidR="001A43D3" w:rsidRDefault="00A25B16" w:rsidP="00CF75E0">
      <w:pPr>
        <w:jc w:val="left"/>
        <w:rPr>
          <w:i/>
          <w:iCs/>
          <w:sz w:val="22"/>
        </w:rPr>
      </w:pPr>
      <w:r>
        <w:rPr>
          <w:i/>
          <w:iCs/>
          <w:sz w:val="22"/>
        </w:rPr>
        <w:t>“</w:t>
      </w:r>
      <w:r w:rsidR="001A43D3" w:rsidRPr="00A25B16">
        <w:rPr>
          <w:i/>
          <w:iCs/>
          <w:sz w:val="22"/>
        </w:rPr>
        <w:t>Agradecemos a la comisión incluir esta situación de mercado como evento eximente de responsabilidad comercial, esta adición resulta beneficiosa desde el punto de vista del traslado de impactos en la cadena de valor al permitir incluir eventos fuera del alcance y control del productor-comercializador, pero que si afectan directamente el cumplimiento de sus responsabilidades de suministro. Lo definido en el artículo 3 de la propuesta normativa, además de ser positivo para la nivelación de cargas en el mercado, consideramos que debería ser una condición permanente de los aspectos comerciales del suministro</w:t>
      </w:r>
      <w:r>
        <w:rPr>
          <w:i/>
          <w:iCs/>
          <w:sz w:val="22"/>
        </w:rPr>
        <w:t>”</w:t>
      </w:r>
      <w:r w:rsidR="001A43D3" w:rsidRPr="00A25B16">
        <w:rPr>
          <w:i/>
          <w:iCs/>
          <w:sz w:val="22"/>
        </w:rPr>
        <w:t>.</w:t>
      </w:r>
    </w:p>
    <w:p w14:paraId="5D9A5996" w14:textId="77777777" w:rsidR="00A25B16" w:rsidRDefault="00A25B16" w:rsidP="00CF75E0">
      <w:pPr>
        <w:jc w:val="left"/>
        <w:rPr>
          <w:i/>
          <w:iCs/>
          <w:sz w:val="22"/>
        </w:rPr>
      </w:pPr>
    </w:p>
    <w:p w14:paraId="0213365C"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6191E6C" w14:textId="77777777" w:rsidR="002B1FF0" w:rsidRPr="002B1FF0" w:rsidRDefault="002B1FF0" w:rsidP="00CF75E0">
      <w:pPr>
        <w:jc w:val="left"/>
        <w:rPr>
          <w:rFonts w:cs="Arial"/>
          <w:sz w:val="22"/>
          <w:szCs w:val="22"/>
        </w:rPr>
      </w:pPr>
    </w:p>
    <w:p w14:paraId="1A182E09" w14:textId="26130FBC" w:rsidR="00284087" w:rsidRPr="002B1FF0" w:rsidRDefault="00284087" w:rsidP="00284087">
      <w:pPr>
        <w:jc w:val="left"/>
        <w:rPr>
          <w:rFonts w:cs="Arial"/>
          <w:sz w:val="22"/>
          <w:szCs w:val="22"/>
        </w:rPr>
      </w:pPr>
      <w:r>
        <w:rPr>
          <w:rFonts w:cs="Arial"/>
          <w:sz w:val="22"/>
          <w:szCs w:val="22"/>
        </w:rPr>
        <w:t xml:space="preserve">Ver respuesta al comentario </w:t>
      </w:r>
      <w:r w:rsidR="00C10A17">
        <w:rPr>
          <w:rFonts w:cs="Arial"/>
          <w:sz w:val="22"/>
          <w:szCs w:val="22"/>
        </w:rPr>
        <w:fldChar w:fldCharType="begin"/>
      </w:r>
      <w:r w:rsidR="00C10A17">
        <w:rPr>
          <w:rFonts w:cs="Arial"/>
          <w:sz w:val="22"/>
          <w:szCs w:val="22"/>
        </w:rPr>
        <w:instrText xml:space="preserve"> REF _Ref149547509 \w \h </w:instrText>
      </w:r>
      <w:r w:rsidR="00C10A17">
        <w:rPr>
          <w:rFonts w:cs="Arial"/>
          <w:sz w:val="22"/>
          <w:szCs w:val="22"/>
        </w:rPr>
      </w:r>
      <w:r w:rsidR="00C10A17">
        <w:rPr>
          <w:rFonts w:cs="Arial"/>
          <w:sz w:val="22"/>
          <w:szCs w:val="22"/>
        </w:rPr>
        <w:fldChar w:fldCharType="separate"/>
      </w:r>
      <w:r w:rsidR="0027336D">
        <w:rPr>
          <w:rFonts w:cs="Arial"/>
          <w:sz w:val="22"/>
          <w:szCs w:val="22"/>
        </w:rPr>
        <w:t>3.1</w:t>
      </w:r>
      <w:r w:rsidR="00C10A17">
        <w:rPr>
          <w:rFonts w:cs="Arial"/>
          <w:sz w:val="22"/>
          <w:szCs w:val="22"/>
        </w:rPr>
        <w:fldChar w:fldCharType="end"/>
      </w:r>
      <w:r w:rsidR="00C10A17">
        <w:rPr>
          <w:rFonts w:cs="Arial"/>
          <w:sz w:val="22"/>
          <w:szCs w:val="22"/>
        </w:rPr>
        <w:t>.</w:t>
      </w:r>
    </w:p>
    <w:p w14:paraId="0FD2E1F7" w14:textId="77777777" w:rsidR="00A25B16" w:rsidRDefault="00A25B16" w:rsidP="00CF75E0">
      <w:pPr>
        <w:jc w:val="left"/>
        <w:rPr>
          <w:i/>
          <w:iCs/>
          <w:sz w:val="22"/>
        </w:rPr>
      </w:pPr>
    </w:p>
    <w:p w14:paraId="5B2B8DD6" w14:textId="77777777" w:rsidR="00A25B16" w:rsidRPr="00A25B16" w:rsidRDefault="00A25B16" w:rsidP="00CF75E0">
      <w:pPr>
        <w:jc w:val="left"/>
        <w:rPr>
          <w:i/>
          <w:iCs/>
          <w:sz w:val="22"/>
        </w:rPr>
      </w:pPr>
    </w:p>
    <w:p w14:paraId="157BAFFA" w14:textId="5891B5ED" w:rsidR="00A25B16" w:rsidRDefault="001A43D3" w:rsidP="00CF75E0">
      <w:pPr>
        <w:pStyle w:val="Ttulo2"/>
        <w:jc w:val="left"/>
      </w:pPr>
      <w:bookmarkStart w:id="59" w:name="_Toc158211429"/>
      <w:r w:rsidRPr="00A25B16">
        <w:t>Alcanos de Colombia S.A. E.S.P.</w:t>
      </w:r>
      <w:bookmarkEnd w:id="59"/>
      <w:r w:rsidRPr="00A25B16">
        <w:tab/>
      </w:r>
    </w:p>
    <w:p w14:paraId="4FDB30AC" w14:textId="67FEE72A" w:rsidR="001A43D3" w:rsidRPr="00A25B16" w:rsidRDefault="001A43D3" w:rsidP="00CF75E0">
      <w:pPr>
        <w:jc w:val="left"/>
        <w:rPr>
          <w:i/>
          <w:iCs/>
          <w:sz w:val="22"/>
        </w:rPr>
      </w:pPr>
      <w:r w:rsidRPr="00A25B16">
        <w:rPr>
          <w:i/>
          <w:iCs/>
          <w:sz w:val="22"/>
        </w:rPr>
        <w:t>"Falta claridad en la aplicación de la declaración de eventos eximentes por parte del productor o del transportador, dado que si existen eventos declarados por el prod</w:t>
      </w:r>
      <w:r w:rsidR="00D9126C">
        <w:rPr>
          <w:i/>
          <w:iCs/>
          <w:sz w:val="22"/>
        </w:rPr>
        <w:t>u</w:t>
      </w:r>
      <w:r w:rsidRPr="00A25B16">
        <w:rPr>
          <w:i/>
          <w:iCs/>
          <w:sz w:val="22"/>
        </w:rPr>
        <w:t>ctor, estos no son aceptados por el transportador, considerando que su infraestructura no tiene ningún tipo de afectación.</w:t>
      </w:r>
    </w:p>
    <w:p w14:paraId="26E70D07" w14:textId="77777777" w:rsidR="001A43D3" w:rsidRPr="00A25B16" w:rsidRDefault="001A43D3" w:rsidP="00CF75E0">
      <w:pPr>
        <w:jc w:val="left"/>
        <w:rPr>
          <w:i/>
          <w:iCs/>
          <w:sz w:val="22"/>
        </w:rPr>
      </w:pPr>
    </w:p>
    <w:p w14:paraId="08EB9785" w14:textId="77777777" w:rsidR="001A43D3" w:rsidRPr="00A25B16" w:rsidRDefault="001A43D3" w:rsidP="00CF75E0">
      <w:pPr>
        <w:jc w:val="left"/>
        <w:rPr>
          <w:i/>
          <w:iCs/>
          <w:sz w:val="22"/>
        </w:rPr>
      </w:pPr>
      <w:r w:rsidRPr="00A25B16">
        <w:rPr>
          <w:i/>
          <w:iCs/>
          <w:sz w:val="22"/>
        </w:rPr>
        <w:t>Debe existir coordinación entre el productor y el transportador para la declaración de los eventos eximentes en cualquier punto, para que sean aceptados y no afectar a la demanda."</w:t>
      </w:r>
    </w:p>
    <w:p w14:paraId="7BD57EC8" w14:textId="77777777" w:rsidR="00A25B16" w:rsidRDefault="00A25B16" w:rsidP="00CF75E0">
      <w:pPr>
        <w:jc w:val="left"/>
        <w:rPr>
          <w:i/>
          <w:iCs/>
          <w:sz w:val="22"/>
        </w:rPr>
      </w:pPr>
    </w:p>
    <w:p w14:paraId="1726E6F3"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4A76C501" w14:textId="77777777" w:rsidR="002B1FF0" w:rsidRPr="002B1FF0" w:rsidRDefault="002B1FF0" w:rsidP="00CF75E0">
      <w:pPr>
        <w:jc w:val="left"/>
        <w:rPr>
          <w:rFonts w:cs="Arial"/>
          <w:sz w:val="22"/>
          <w:szCs w:val="22"/>
        </w:rPr>
      </w:pPr>
    </w:p>
    <w:p w14:paraId="664F12BC" w14:textId="37712AB1" w:rsidR="008708B4" w:rsidRDefault="008708B4" w:rsidP="008708B4">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Pr>
          <w:rFonts w:cs="Arial"/>
          <w:sz w:val="22"/>
          <w:szCs w:val="22"/>
        </w:rPr>
        <w:t>.</w:t>
      </w:r>
    </w:p>
    <w:p w14:paraId="36A7B7A7" w14:textId="77777777" w:rsidR="008708B4" w:rsidRDefault="008708B4" w:rsidP="008708B4">
      <w:pPr>
        <w:jc w:val="left"/>
        <w:rPr>
          <w:rFonts w:cs="Arial"/>
          <w:sz w:val="22"/>
          <w:szCs w:val="22"/>
        </w:rPr>
      </w:pPr>
    </w:p>
    <w:p w14:paraId="3DDA5103" w14:textId="77777777" w:rsidR="008708B4" w:rsidRPr="002B1FF0" w:rsidRDefault="008708B4" w:rsidP="008708B4">
      <w:pPr>
        <w:jc w:val="left"/>
        <w:rPr>
          <w:rFonts w:cs="Arial"/>
          <w:sz w:val="22"/>
          <w:szCs w:val="22"/>
        </w:rPr>
      </w:pPr>
    </w:p>
    <w:p w14:paraId="60D6022F" w14:textId="3A581A38" w:rsidR="00A25B16" w:rsidRDefault="001A43D3" w:rsidP="00CF75E0">
      <w:pPr>
        <w:pStyle w:val="Ttulo2"/>
        <w:jc w:val="left"/>
      </w:pPr>
      <w:bookmarkStart w:id="60" w:name="_Toc158211430"/>
      <w:r w:rsidRPr="00A25B16">
        <w:t>ANDEG</w:t>
      </w:r>
      <w:bookmarkEnd w:id="60"/>
      <w:r w:rsidRPr="00A25B16">
        <w:tab/>
      </w:r>
    </w:p>
    <w:p w14:paraId="512071DA" w14:textId="5F92F905" w:rsidR="001A43D3" w:rsidRPr="00A25B16" w:rsidRDefault="001A43D3" w:rsidP="00CF75E0">
      <w:pPr>
        <w:jc w:val="left"/>
        <w:rPr>
          <w:i/>
          <w:iCs/>
          <w:sz w:val="22"/>
        </w:rPr>
      </w:pPr>
      <w:r w:rsidRPr="00A25B16">
        <w:rPr>
          <w:i/>
          <w:iCs/>
          <w:sz w:val="22"/>
        </w:rPr>
        <w:t>"Insistimos en que es necesario que la Comisión evalúe, en el marco de la coordinación Gas - Electricidad, la posibilidad de incluir, en el contexto de los eventos eximentes de responsabilidad, todos aquellos eventos, externos a la operación y control de las plantas térmicas, como lo son especialmente, los eventos críticos u ocasionales del STN o STR, los cuales limitan el consumo de gas por parte de estos agentes, los cuales, bajo la regulación vigente deben asumir obligaciones de pago frente a situaciones atribuibles a terceros.</w:t>
      </w:r>
    </w:p>
    <w:p w14:paraId="64BC9C4C" w14:textId="77777777" w:rsidR="001A43D3" w:rsidRPr="00A25B16" w:rsidRDefault="001A43D3" w:rsidP="00CF75E0">
      <w:pPr>
        <w:jc w:val="left"/>
        <w:rPr>
          <w:i/>
          <w:iCs/>
          <w:sz w:val="22"/>
        </w:rPr>
      </w:pPr>
    </w:p>
    <w:p w14:paraId="32C5033A" w14:textId="77777777" w:rsidR="001A43D3" w:rsidRDefault="001A43D3" w:rsidP="00CF75E0">
      <w:pPr>
        <w:jc w:val="left"/>
        <w:rPr>
          <w:i/>
          <w:iCs/>
          <w:sz w:val="22"/>
        </w:rPr>
      </w:pPr>
      <w:r w:rsidRPr="00A25B16">
        <w:rPr>
          <w:i/>
          <w:iCs/>
          <w:sz w:val="22"/>
        </w:rPr>
        <w:t>En segundo lugar, ante la ocurrencia de eventos críticos y/o fenómenos climáticos cíclicos como lo es el Fenómeno de “El Niño” ya presente en Colombia, en donde se impone un estrés en la gestión de la infraestructura de gas natural y del sistema eléctrico, al aumentar la participación térmica en el despacho económico, lo que se traduce en requerimientos contractuales y físicos adicionales de gas para abastecer de forma confiable y económica a la demanda eléctrica, observamos que se puede llegar a comprometer la suficiencia energética, o bien, gas natural, o electricidad, con lo cual, es adecuado que se prevean mecanismos de coordinación en la prestación del servicio al usuario final, en todo caso, preservando el marco de las relaciones contractuales entre los agentes de la cadena de gas natural."</w:t>
      </w:r>
    </w:p>
    <w:p w14:paraId="5F753463" w14:textId="77777777" w:rsidR="00086C1B" w:rsidRDefault="00086C1B" w:rsidP="00CF75E0">
      <w:pPr>
        <w:jc w:val="left"/>
        <w:rPr>
          <w:i/>
          <w:iCs/>
          <w:sz w:val="22"/>
        </w:rPr>
      </w:pPr>
    </w:p>
    <w:p w14:paraId="2E03CB32"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62971760" w14:textId="77777777" w:rsidR="002B1FF0" w:rsidRPr="002B1FF0" w:rsidRDefault="002B1FF0" w:rsidP="00CF75E0">
      <w:pPr>
        <w:jc w:val="left"/>
        <w:rPr>
          <w:rFonts w:cs="Arial"/>
          <w:sz w:val="22"/>
          <w:szCs w:val="22"/>
        </w:rPr>
      </w:pPr>
    </w:p>
    <w:p w14:paraId="5968B263" w14:textId="6474461E" w:rsidR="002B1FF0" w:rsidRPr="002B1FF0" w:rsidRDefault="00B66706" w:rsidP="00CF75E0">
      <w:pPr>
        <w:jc w:val="left"/>
        <w:rPr>
          <w:rFonts w:cs="Arial"/>
          <w:sz w:val="22"/>
          <w:szCs w:val="22"/>
        </w:rPr>
      </w:pPr>
      <w:r>
        <w:rPr>
          <w:rFonts w:cs="Arial"/>
          <w:sz w:val="22"/>
          <w:szCs w:val="22"/>
        </w:rPr>
        <w:t xml:space="preserve">Los eventos eximentes establecidos son recíprocos e incluyen por su naturaleza, eventos de fuerza mayor. En cualquier sector de la demanda industrial puede ocurrir lo que se propone en el comentario, que lleva a asumir obligaciones de pago frente a situaciones atribuibles a terceros. </w:t>
      </w:r>
    </w:p>
    <w:p w14:paraId="57BAAAB4" w14:textId="77777777" w:rsidR="00086C1B" w:rsidRDefault="00086C1B" w:rsidP="00CF75E0">
      <w:pPr>
        <w:jc w:val="left"/>
        <w:rPr>
          <w:i/>
          <w:iCs/>
          <w:sz w:val="22"/>
        </w:rPr>
      </w:pPr>
    </w:p>
    <w:p w14:paraId="6AF912B2" w14:textId="77777777" w:rsidR="00086C1B" w:rsidRPr="00A25B16" w:rsidRDefault="00086C1B" w:rsidP="00CF75E0">
      <w:pPr>
        <w:jc w:val="left"/>
        <w:rPr>
          <w:i/>
          <w:iCs/>
          <w:sz w:val="22"/>
        </w:rPr>
      </w:pPr>
    </w:p>
    <w:p w14:paraId="275AF29B" w14:textId="4A15467A" w:rsidR="00086C1B" w:rsidRDefault="001A43D3" w:rsidP="00CF75E0">
      <w:pPr>
        <w:pStyle w:val="Ttulo2"/>
        <w:jc w:val="left"/>
      </w:pPr>
      <w:bookmarkStart w:id="61" w:name="_Toc158211431"/>
      <w:r w:rsidRPr="00A25B16">
        <w:t>ANDEG</w:t>
      </w:r>
      <w:bookmarkEnd w:id="61"/>
      <w:r w:rsidRPr="00A25B16">
        <w:tab/>
      </w:r>
    </w:p>
    <w:p w14:paraId="4B1985F6" w14:textId="374E7143" w:rsidR="001A43D3" w:rsidRPr="00A25B16" w:rsidRDefault="001A43D3" w:rsidP="00CF75E0">
      <w:pPr>
        <w:jc w:val="left"/>
        <w:rPr>
          <w:i/>
          <w:iCs/>
          <w:sz w:val="22"/>
        </w:rPr>
      </w:pPr>
      <w:r w:rsidRPr="00A25B16">
        <w:rPr>
          <w:i/>
          <w:iCs/>
          <w:sz w:val="22"/>
        </w:rPr>
        <w:t>"Al respecto, desde ANDEG vemos adecuado que la propuesta regulatoria se articule con protocolos de coordinación de los sectores de energía eléctrica y de gas natural orientados a optimizar el despacho y redespacho de las plantas termoeléctricas a gas natural, en el contexto de las propuestas de modernización del mercado de energía mayorista en lo relacionado con mercado de corto plazo y de servicios complementarios (Resolución CREG 143 de 2021). El rol del CNO-gas y eléctrico es fundamental para la coordinación y operación de la infraestructura de gas y eléctrica para la efectiva generación de energía eléctrica.</w:t>
      </w:r>
    </w:p>
    <w:p w14:paraId="2D35098E" w14:textId="77777777" w:rsidR="001A43D3" w:rsidRPr="00A25B16" w:rsidRDefault="001A43D3" w:rsidP="00CF75E0">
      <w:pPr>
        <w:jc w:val="left"/>
        <w:rPr>
          <w:i/>
          <w:iCs/>
          <w:sz w:val="22"/>
        </w:rPr>
      </w:pPr>
    </w:p>
    <w:p w14:paraId="66BC6899" w14:textId="77777777" w:rsidR="001A43D3" w:rsidRDefault="001A43D3" w:rsidP="00CF75E0">
      <w:pPr>
        <w:jc w:val="left"/>
        <w:rPr>
          <w:i/>
          <w:iCs/>
          <w:sz w:val="22"/>
        </w:rPr>
      </w:pPr>
      <w:r w:rsidRPr="00A25B16">
        <w:rPr>
          <w:i/>
          <w:iCs/>
          <w:sz w:val="22"/>
        </w:rPr>
        <w:t>Adicionalmente, el desarrollo regulatorio del mercado mayorista de gas natural deberá considerar la flexibilidad que requiere el Sistema Nacional de Transporte (SNT), para asegurar el acceso por parte de la demanda a las diferentes fuentes de suministro en condiciones de competitividad y eficiencia económica."</w:t>
      </w:r>
    </w:p>
    <w:p w14:paraId="6CA98FBF" w14:textId="77777777" w:rsidR="00086C1B" w:rsidRDefault="00086C1B" w:rsidP="00CF75E0">
      <w:pPr>
        <w:jc w:val="left"/>
        <w:rPr>
          <w:i/>
          <w:iCs/>
          <w:sz w:val="22"/>
        </w:rPr>
      </w:pPr>
    </w:p>
    <w:p w14:paraId="6FCE765E"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5E9FDDF2" w14:textId="77777777" w:rsidR="002B1FF0" w:rsidRPr="002B1FF0" w:rsidRDefault="002B1FF0" w:rsidP="00CF75E0">
      <w:pPr>
        <w:jc w:val="left"/>
        <w:rPr>
          <w:rFonts w:cs="Arial"/>
          <w:sz w:val="22"/>
          <w:szCs w:val="22"/>
        </w:rPr>
      </w:pPr>
    </w:p>
    <w:p w14:paraId="58DB8AE7" w14:textId="77777777" w:rsidR="00C10A17" w:rsidRDefault="00C15490" w:rsidP="00CF75E0">
      <w:pPr>
        <w:jc w:val="left"/>
        <w:rPr>
          <w:rFonts w:cs="Arial"/>
          <w:sz w:val="22"/>
          <w:szCs w:val="22"/>
        </w:rPr>
      </w:pPr>
      <w:r>
        <w:rPr>
          <w:rFonts w:cs="Arial"/>
          <w:sz w:val="22"/>
          <w:szCs w:val="22"/>
        </w:rPr>
        <w:t xml:space="preserve">Se tendrá en cuenta el comentario. </w:t>
      </w:r>
    </w:p>
    <w:p w14:paraId="5714107C" w14:textId="77777777" w:rsidR="00C10A17" w:rsidRDefault="00C10A17" w:rsidP="00CF75E0">
      <w:pPr>
        <w:jc w:val="left"/>
        <w:rPr>
          <w:rFonts w:cs="Arial"/>
          <w:sz w:val="22"/>
          <w:szCs w:val="22"/>
        </w:rPr>
      </w:pPr>
    </w:p>
    <w:p w14:paraId="2466A14D" w14:textId="796C9EC6" w:rsidR="00086C1B" w:rsidRDefault="00C15490" w:rsidP="00CF75E0">
      <w:pPr>
        <w:jc w:val="left"/>
        <w:rPr>
          <w:rFonts w:cs="Arial"/>
          <w:sz w:val="22"/>
          <w:szCs w:val="22"/>
        </w:rPr>
      </w:pPr>
      <w:r>
        <w:rPr>
          <w:rFonts w:cs="Arial"/>
          <w:sz w:val="22"/>
          <w:szCs w:val="22"/>
        </w:rPr>
        <w:lastRenderedPageBreak/>
        <w:t xml:space="preserve">Hay herramientas comerciales que hoy en día se pueden utilizar para efectos del mejor acople entre los sectores de energía eléctrica y gas natural, como es la utilización del servicio de parqueo que ofrecen los transportadores de gas.  </w:t>
      </w:r>
    </w:p>
    <w:p w14:paraId="55C15D5F" w14:textId="77777777" w:rsidR="00391C52" w:rsidRDefault="00391C52" w:rsidP="00CF75E0">
      <w:pPr>
        <w:jc w:val="left"/>
        <w:rPr>
          <w:rFonts w:cs="Arial"/>
          <w:sz w:val="22"/>
          <w:szCs w:val="22"/>
        </w:rPr>
      </w:pPr>
    </w:p>
    <w:p w14:paraId="751A558F" w14:textId="77777777" w:rsidR="00391C52" w:rsidRPr="00A25B16" w:rsidRDefault="00391C52" w:rsidP="00CF75E0">
      <w:pPr>
        <w:jc w:val="left"/>
        <w:rPr>
          <w:i/>
          <w:iCs/>
          <w:sz w:val="22"/>
        </w:rPr>
      </w:pPr>
    </w:p>
    <w:p w14:paraId="0493DDA4" w14:textId="2BDC1D12" w:rsidR="00086C1B" w:rsidRDefault="001A43D3" w:rsidP="00CF75E0">
      <w:pPr>
        <w:pStyle w:val="Ttulo2"/>
        <w:jc w:val="left"/>
      </w:pPr>
      <w:bookmarkStart w:id="62" w:name="_Ref149547489"/>
      <w:bookmarkStart w:id="63" w:name="_Toc158211432"/>
      <w:r w:rsidRPr="00A25B16">
        <w:t>ANDEG</w:t>
      </w:r>
      <w:bookmarkEnd w:id="62"/>
      <w:bookmarkEnd w:id="63"/>
      <w:r w:rsidRPr="00A25B16">
        <w:tab/>
      </w:r>
    </w:p>
    <w:p w14:paraId="65059184" w14:textId="3E957190" w:rsidR="001A43D3" w:rsidRDefault="00086C1B" w:rsidP="00CF75E0">
      <w:pPr>
        <w:jc w:val="left"/>
        <w:rPr>
          <w:i/>
          <w:iCs/>
          <w:sz w:val="22"/>
        </w:rPr>
      </w:pPr>
      <w:r>
        <w:rPr>
          <w:i/>
          <w:iCs/>
          <w:sz w:val="22"/>
        </w:rPr>
        <w:t>“</w:t>
      </w:r>
      <w:r w:rsidR="001A43D3" w:rsidRPr="00A25B16">
        <w:rPr>
          <w:i/>
          <w:iCs/>
          <w:sz w:val="22"/>
        </w:rPr>
        <w:t>En la propuesta regulatoria se contempla incluir dentro de los eventos eximentes de responsabilidad cuando se hayan programado reparaciones técnicas o mantenimientos periódicos de la infraestructura de transporte. ¿Cómo quedarían definidas las cláusulas de los mantenimientos actuales frente a las restricciones de las cantidades por dichos mantenimientos en los contratos vigentes de gas natural que tengan las empresas que aplican la regulación existente?</w:t>
      </w:r>
      <w:r>
        <w:rPr>
          <w:i/>
          <w:iCs/>
          <w:sz w:val="22"/>
        </w:rPr>
        <w:t>”</w:t>
      </w:r>
    </w:p>
    <w:p w14:paraId="5697BC46" w14:textId="77777777" w:rsidR="00086C1B" w:rsidRDefault="00086C1B" w:rsidP="00CF75E0">
      <w:pPr>
        <w:jc w:val="left"/>
        <w:rPr>
          <w:i/>
          <w:iCs/>
          <w:sz w:val="22"/>
        </w:rPr>
      </w:pPr>
    </w:p>
    <w:p w14:paraId="2E5D837F"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548A7262" w14:textId="77777777" w:rsidR="002B1FF0" w:rsidRDefault="002B1FF0" w:rsidP="00CF75E0">
      <w:pPr>
        <w:jc w:val="left"/>
        <w:rPr>
          <w:rFonts w:cs="Arial"/>
          <w:sz w:val="22"/>
          <w:szCs w:val="22"/>
        </w:rPr>
      </w:pPr>
    </w:p>
    <w:p w14:paraId="27B30DB9" w14:textId="19C96566" w:rsidR="006C028F" w:rsidRDefault="006C028F" w:rsidP="00CF75E0">
      <w:pPr>
        <w:jc w:val="left"/>
        <w:rPr>
          <w:rFonts w:cs="Arial"/>
          <w:sz w:val="22"/>
          <w:szCs w:val="22"/>
        </w:rPr>
      </w:pPr>
      <w:r>
        <w:rPr>
          <w:rFonts w:cs="Arial"/>
          <w:sz w:val="22"/>
          <w:szCs w:val="22"/>
        </w:rPr>
        <w:t>Se acoge el comentario.</w:t>
      </w:r>
    </w:p>
    <w:p w14:paraId="31AB19C8" w14:textId="77777777" w:rsidR="006C028F" w:rsidRDefault="006C028F" w:rsidP="00CF75E0">
      <w:pPr>
        <w:jc w:val="left"/>
        <w:rPr>
          <w:rFonts w:cs="Arial"/>
          <w:sz w:val="22"/>
          <w:szCs w:val="22"/>
        </w:rPr>
      </w:pPr>
    </w:p>
    <w:p w14:paraId="49D16566" w14:textId="77AF3E11" w:rsidR="006C028F" w:rsidRDefault="006C028F" w:rsidP="00CF75E0">
      <w:pPr>
        <w:jc w:val="left"/>
        <w:rPr>
          <w:rFonts w:cs="Arial"/>
          <w:sz w:val="22"/>
          <w:szCs w:val="22"/>
        </w:rPr>
      </w:pPr>
      <w:r>
        <w:rPr>
          <w:rFonts w:cs="Arial"/>
          <w:sz w:val="22"/>
          <w:szCs w:val="22"/>
        </w:rPr>
        <w:t>La propuesta del Proyecto de Resolución se debe aplicar solamente a los contratos nuevos de suministro que se registren con base en las reglas establecidas en la Resolución</w:t>
      </w:r>
      <w:r w:rsidR="00E6240B">
        <w:rPr>
          <w:rFonts w:cs="Arial"/>
          <w:sz w:val="22"/>
          <w:szCs w:val="22"/>
        </w:rPr>
        <w:t xml:space="preserve"> definitiva</w:t>
      </w:r>
      <w:r>
        <w:rPr>
          <w:rFonts w:cs="Arial"/>
          <w:sz w:val="22"/>
          <w:szCs w:val="22"/>
        </w:rPr>
        <w:t xml:space="preserve">. </w:t>
      </w:r>
    </w:p>
    <w:p w14:paraId="099DFCBF" w14:textId="77777777" w:rsidR="0033359A" w:rsidRDefault="0033359A" w:rsidP="00CF75E0">
      <w:pPr>
        <w:jc w:val="left"/>
        <w:rPr>
          <w:rFonts w:cs="Arial"/>
          <w:sz w:val="22"/>
          <w:szCs w:val="22"/>
        </w:rPr>
      </w:pPr>
    </w:p>
    <w:p w14:paraId="4F9BD425" w14:textId="36FE18F9" w:rsidR="0033359A" w:rsidRDefault="0033359A"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Pr>
          <w:rFonts w:cs="Arial"/>
          <w:sz w:val="22"/>
          <w:szCs w:val="22"/>
        </w:rPr>
        <w:t>.</w:t>
      </w:r>
    </w:p>
    <w:p w14:paraId="6DD0CA3D" w14:textId="77777777" w:rsidR="006C028F" w:rsidRPr="002B1FF0" w:rsidRDefault="006C028F" w:rsidP="00CF75E0">
      <w:pPr>
        <w:jc w:val="left"/>
        <w:rPr>
          <w:rFonts w:cs="Arial"/>
          <w:sz w:val="22"/>
          <w:szCs w:val="22"/>
        </w:rPr>
      </w:pPr>
    </w:p>
    <w:p w14:paraId="0A9D4865" w14:textId="77777777" w:rsidR="00C567FC" w:rsidRPr="00A25B16" w:rsidRDefault="00C567FC" w:rsidP="00CF75E0">
      <w:pPr>
        <w:jc w:val="left"/>
        <w:rPr>
          <w:i/>
          <w:iCs/>
          <w:sz w:val="22"/>
        </w:rPr>
      </w:pPr>
    </w:p>
    <w:p w14:paraId="6BCE3BAC" w14:textId="761DE0E3" w:rsidR="00086C1B" w:rsidRDefault="001A43D3" w:rsidP="00CF75E0">
      <w:pPr>
        <w:pStyle w:val="Ttulo2"/>
        <w:jc w:val="left"/>
      </w:pPr>
      <w:bookmarkStart w:id="64" w:name="_Toc158211433"/>
      <w:r w:rsidRPr="00A25B16">
        <w:t>ASOENERGIA</w:t>
      </w:r>
      <w:bookmarkEnd w:id="64"/>
      <w:r w:rsidRPr="00A25B16">
        <w:tab/>
      </w:r>
    </w:p>
    <w:p w14:paraId="21AC704A" w14:textId="5D736F05" w:rsidR="001A43D3" w:rsidRPr="00A25B16" w:rsidRDefault="001A43D3" w:rsidP="00CF75E0">
      <w:pPr>
        <w:jc w:val="left"/>
        <w:rPr>
          <w:i/>
          <w:iCs/>
          <w:sz w:val="22"/>
        </w:rPr>
      </w:pPr>
      <w:r w:rsidRPr="00A25B16">
        <w:rPr>
          <w:i/>
          <w:iCs/>
          <w:sz w:val="22"/>
        </w:rPr>
        <w:t>"Celebramos el cambio en el sentido de considerar que la actividad de suministro y la de transporte son complementarias, y que lo establecido en el numeral de la referencia es aplicable no solo para efectos de mantenimientos por parte del transportador sino para cualquier evento de fuerza mayor, caso fortuito o causa extraña y labores programadas para reparaciones técnicas o mantenimientos periódicos de la infraestructura de transporte. Sin embargo, es importante que la regulación permita también trasladar los eventos que le ocurren al usuario no regulado.</w:t>
      </w:r>
    </w:p>
    <w:p w14:paraId="6F5C799B" w14:textId="77777777" w:rsidR="001A43D3" w:rsidRPr="00A25B16" w:rsidRDefault="001A43D3" w:rsidP="00CF75E0">
      <w:pPr>
        <w:jc w:val="left"/>
        <w:rPr>
          <w:i/>
          <w:iCs/>
          <w:sz w:val="22"/>
        </w:rPr>
      </w:pPr>
    </w:p>
    <w:p w14:paraId="49B22E63" w14:textId="13E8174D" w:rsidR="001A43D3" w:rsidRDefault="001A43D3" w:rsidP="00CF75E0">
      <w:pPr>
        <w:jc w:val="left"/>
        <w:rPr>
          <w:i/>
          <w:iCs/>
          <w:sz w:val="22"/>
        </w:rPr>
      </w:pPr>
      <w:r w:rsidRPr="00A25B16">
        <w:rPr>
          <w:i/>
          <w:iCs/>
          <w:sz w:val="22"/>
        </w:rPr>
        <w:t>Cuando se establecen los eventos de Fuerza Mayor y los Eventos Eximentes (incluyendo eventos de mantenimiento), en los casos en los que un Comercializador Minorista intermedia en el Mercado Mayorista de Suministro y/o transporte para la atención de un usuario no regulado, dichos eventos se establecen para el Comercializador y no para el usuario final. Esto hace en la práctica que el traslado de los eventos mencionados que se le presenten al usuario no regulado no resulten trasladables hacia el productor o transportador y no sean aceptados por estos agentes. Por lo anterior, resulta necesario permitir que el traslado sea un “pass through a los productores o transportadores por parte del comercializador cuando los eventos le ocurran al usuario no regulado. "</w:t>
      </w:r>
    </w:p>
    <w:p w14:paraId="735FAF38" w14:textId="77777777" w:rsidR="00086C1B" w:rsidRDefault="00086C1B" w:rsidP="00CF75E0">
      <w:pPr>
        <w:jc w:val="left"/>
        <w:rPr>
          <w:i/>
          <w:iCs/>
          <w:sz w:val="22"/>
        </w:rPr>
      </w:pPr>
    </w:p>
    <w:p w14:paraId="07571BA2"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3CBBEB0" w14:textId="77777777" w:rsidR="002B1FF0" w:rsidRPr="002B1FF0" w:rsidRDefault="002B1FF0" w:rsidP="00CF75E0">
      <w:pPr>
        <w:jc w:val="left"/>
        <w:rPr>
          <w:rFonts w:cs="Arial"/>
          <w:sz w:val="22"/>
          <w:szCs w:val="22"/>
        </w:rPr>
      </w:pPr>
    </w:p>
    <w:p w14:paraId="698B6D9B" w14:textId="21D4386F" w:rsidR="00086C1B" w:rsidRDefault="00E44502" w:rsidP="00CF75E0">
      <w:pPr>
        <w:jc w:val="left"/>
        <w:rPr>
          <w:rFonts w:cs="Arial"/>
          <w:sz w:val="22"/>
          <w:szCs w:val="22"/>
        </w:rPr>
      </w:pPr>
      <w:r>
        <w:rPr>
          <w:rFonts w:cs="Arial"/>
          <w:sz w:val="22"/>
          <w:szCs w:val="22"/>
        </w:rPr>
        <w:t xml:space="preserve">Ver respuesta </w:t>
      </w:r>
      <w:r w:rsidR="00C10A17">
        <w:rPr>
          <w:rFonts w:cs="Arial"/>
          <w:sz w:val="22"/>
          <w:szCs w:val="22"/>
        </w:rPr>
        <w:t xml:space="preserve">al comentario </w:t>
      </w:r>
      <w:r w:rsidR="00C10A17">
        <w:rPr>
          <w:rFonts w:cs="Arial"/>
          <w:sz w:val="22"/>
          <w:szCs w:val="22"/>
        </w:rPr>
        <w:fldChar w:fldCharType="begin"/>
      </w:r>
      <w:r w:rsidR="00C10A17">
        <w:rPr>
          <w:rFonts w:cs="Arial"/>
          <w:sz w:val="22"/>
          <w:szCs w:val="22"/>
        </w:rPr>
        <w:instrText xml:space="preserve"> REF _Ref149547583 \w \h </w:instrText>
      </w:r>
      <w:r w:rsidR="00C10A17">
        <w:rPr>
          <w:rFonts w:cs="Arial"/>
          <w:sz w:val="22"/>
          <w:szCs w:val="22"/>
        </w:rPr>
      </w:r>
      <w:r w:rsidR="00C10A17">
        <w:rPr>
          <w:rFonts w:cs="Arial"/>
          <w:sz w:val="22"/>
          <w:szCs w:val="22"/>
        </w:rPr>
        <w:fldChar w:fldCharType="separate"/>
      </w:r>
      <w:r w:rsidR="0027336D">
        <w:rPr>
          <w:rFonts w:cs="Arial"/>
          <w:sz w:val="22"/>
          <w:szCs w:val="22"/>
        </w:rPr>
        <w:t>3.1</w:t>
      </w:r>
      <w:r w:rsidR="00C10A17">
        <w:rPr>
          <w:rFonts w:cs="Arial"/>
          <w:sz w:val="22"/>
          <w:szCs w:val="22"/>
        </w:rPr>
        <w:fldChar w:fldCharType="end"/>
      </w:r>
      <w:r w:rsidR="00C10A17">
        <w:rPr>
          <w:rFonts w:cs="Arial"/>
          <w:sz w:val="22"/>
          <w:szCs w:val="22"/>
        </w:rPr>
        <w:t xml:space="preserve">y </w:t>
      </w:r>
      <w:r>
        <w:rPr>
          <w:rFonts w:cs="Arial"/>
          <w:sz w:val="22"/>
          <w:szCs w:val="22"/>
        </w:rPr>
        <w:t>al comentario</w:t>
      </w:r>
      <w:r w:rsidR="00435138">
        <w:rPr>
          <w:rFonts w:cs="Arial"/>
          <w:sz w:val="22"/>
          <w:szCs w:val="22"/>
        </w:rPr>
        <w:t xml:space="preserve"> </w:t>
      </w:r>
      <w:r w:rsidR="00435138">
        <w:rPr>
          <w:rFonts w:cs="Arial"/>
          <w:sz w:val="22"/>
          <w:szCs w:val="22"/>
        </w:rPr>
        <w:fldChar w:fldCharType="begin"/>
      </w:r>
      <w:r w:rsidR="00435138">
        <w:rPr>
          <w:rFonts w:cs="Arial"/>
          <w:sz w:val="22"/>
          <w:szCs w:val="22"/>
        </w:rPr>
        <w:instrText xml:space="preserve"> REF _Ref149312387 \w \h </w:instrText>
      </w:r>
      <w:r w:rsidR="00435138">
        <w:rPr>
          <w:rFonts w:cs="Arial"/>
          <w:sz w:val="22"/>
          <w:szCs w:val="22"/>
        </w:rPr>
      </w:r>
      <w:r w:rsidR="00435138">
        <w:rPr>
          <w:rFonts w:cs="Arial"/>
          <w:sz w:val="22"/>
          <w:szCs w:val="22"/>
        </w:rPr>
        <w:fldChar w:fldCharType="separate"/>
      </w:r>
      <w:r w:rsidR="0027336D">
        <w:rPr>
          <w:rFonts w:cs="Arial"/>
          <w:sz w:val="22"/>
          <w:szCs w:val="22"/>
        </w:rPr>
        <w:t>4.1</w:t>
      </w:r>
      <w:r w:rsidR="00435138">
        <w:rPr>
          <w:rFonts w:cs="Arial"/>
          <w:sz w:val="22"/>
          <w:szCs w:val="22"/>
        </w:rPr>
        <w:fldChar w:fldCharType="end"/>
      </w:r>
      <w:r w:rsidR="00435138">
        <w:rPr>
          <w:rFonts w:cs="Arial"/>
          <w:sz w:val="22"/>
          <w:szCs w:val="22"/>
        </w:rPr>
        <w:t>.</w:t>
      </w:r>
    </w:p>
    <w:p w14:paraId="2A4F2BEE" w14:textId="77777777" w:rsidR="00F424AD" w:rsidRDefault="00F424AD" w:rsidP="00CF75E0">
      <w:pPr>
        <w:jc w:val="left"/>
        <w:rPr>
          <w:rFonts w:cs="Arial"/>
          <w:sz w:val="22"/>
          <w:szCs w:val="22"/>
        </w:rPr>
      </w:pPr>
    </w:p>
    <w:p w14:paraId="790DB7CD" w14:textId="77777777" w:rsidR="00086C1B" w:rsidRPr="00A25B16" w:rsidRDefault="00086C1B" w:rsidP="00CF75E0">
      <w:pPr>
        <w:jc w:val="left"/>
        <w:rPr>
          <w:i/>
          <w:iCs/>
          <w:sz w:val="22"/>
        </w:rPr>
      </w:pPr>
    </w:p>
    <w:p w14:paraId="2BEAA903" w14:textId="03201FCC" w:rsidR="00086C1B" w:rsidRDefault="001A43D3" w:rsidP="00CF75E0">
      <w:pPr>
        <w:pStyle w:val="Ttulo2"/>
        <w:jc w:val="left"/>
      </w:pPr>
      <w:bookmarkStart w:id="65" w:name="_Toc158211434"/>
      <w:r w:rsidRPr="00A25B16">
        <w:lastRenderedPageBreak/>
        <w:t>CANACOL</w:t>
      </w:r>
      <w:bookmarkEnd w:id="65"/>
      <w:r w:rsidRPr="00A25B16">
        <w:tab/>
      </w:r>
    </w:p>
    <w:p w14:paraId="53AA6833" w14:textId="5D9362F9" w:rsidR="001A43D3" w:rsidRPr="00A25B16" w:rsidRDefault="001A43D3" w:rsidP="00CF75E0">
      <w:pPr>
        <w:jc w:val="left"/>
        <w:rPr>
          <w:i/>
          <w:iCs/>
          <w:sz w:val="22"/>
        </w:rPr>
      </w:pPr>
      <w:r w:rsidRPr="00A25B16">
        <w:rPr>
          <w:i/>
          <w:iCs/>
          <w:sz w:val="22"/>
        </w:rPr>
        <w:t xml:space="preserve">"La inclusión de un nuevo evento eximente de responsabilidad contraviene el objetivo de atender las situaciones surgidas recientemente ya que la misma no presenta una solución, sino que lo que hace es trasladar de nuevo al productor el riesgo y la responsabilidad de otros agentes de la cadena.  </w:t>
      </w:r>
    </w:p>
    <w:p w14:paraId="4B6C5D5E" w14:textId="77777777" w:rsidR="001A43D3" w:rsidRPr="00A25B16" w:rsidRDefault="001A43D3" w:rsidP="00CF75E0">
      <w:pPr>
        <w:jc w:val="left"/>
        <w:rPr>
          <w:i/>
          <w:iCs/>
          <w:sz w:val="22"/>
        </w:rPr>
      </w:pPr>
    </w:p>
    <w:p w14:paraId="7649E88E" w14:textId="77777777" w:rsidR="005F6A74" w:rsidRPr="002B1FF0" w:rsidRDefault="005F6A74" w:rsidP="005F6A74">
      <w:pPr>
        <w:jc w:val="left"/>
        <w:rPr>
          <w:rFonts w:cs="Arial"/>
          <w:b/>
          <w:bCs/>
          <w:sz w:val="22"/>
          <w:szCs w:val="22"/>
        </w:rPr>
      </w:pPr>
      <w:r w:rsidRPr="002B1FF0">
        <w:rPr>
          <w:rFonts w:cs="Arial"/>
          <w:b/>
          <w:bCs/>
          <w:sz w:val="22"/>
          <w:szCs w:val="22"/>
        </w:rPr>
        <w:t>RESPUESTA:</w:t>
      </w:r>
    </w:p>
    <w:p w14:paraId="0C6B854D" w14:textId="77777777" w:rsidR="005F6A74" w:rsidRPr="002B1FF0" w:rsidRDefault="005F6A74" w:rsidP="005F6A74">
      <w:pPr>
        <w:jc w:val="left"/>
        <w:rPr>
          <w:rFonts w:cs="Arial"/>
          <w:sz w:val="22"/>
          <w:szCs w:val="22"/>
        </w:rPr>
      </w:pPr>
    </w:p>
    <w:p w14:paraId="13E59C3D" w14:textId="77777777" w:rsidR="005F6A74" w:rsidRDefault="005F6A74" w:rsidP="005F6A74">
      <w:pPr>
        <w:jc w:val="left"/>
        <w:rPr>
          <w:rFonts w:cs="Arial"/>
          <w:sz w:val="22"/>
          <w:szCs w:val="22"/>
        </w:rPr>
      </w:pPr>
      <w:r>
        <w:rPr>
          <w:rFonts w:cs="Arial"/>
          <w:sz w:val="22"/>
          <w:szCs w:val="22"/>
        </w:rPr>
        <w:t>No se acoge el comentario.</w:t>
      </w:r>
    </w:p>
    <w:p w14:paraId="7CD8F017" w14:textId="77777777" w:rsidR="005F6A74" w:rsidRDefault="005F6A74" w:rsidP="005F6A74">
      <w:pPr>
        <w:jc w:val="left"/>
        <w:rPr>
          <w:rFonts w:cs="Arial"/>
          <w:sz w:val="22"/>
          <w:szCs w:val="22"/>
        </w:rPr>
      </w:pPr>
    </w:p>
    <w:p w14:paraId="2904CE9E" w14:textId="1A3C7867" w:rsidR="00FF76CC" w:rsidRDefault="008B3E59" w:rsidP="005F6A74">
      <w:pPr>
        <w:jc w:val="left"/>
        <w:rPr>
          <w:rFonts w:cs="Arial"/>
          <w:sz w:val="22"/>
          <w:szCs w:val="22"/>
        </w:rPr>
      </w:pPr>
      <w:r>
        <w:rPr>
          <w:rFonts w:cs="Arial"/>
          <w:sz w:val="22"/>
          <w:szCs w:val="22"/>
        </w:rPr>
        <w:t xml:space="preserve">Ver </w:t>
      </w:r>
      <w:r w:rsidR="00640C44">
        <w:rPr>
          <w:rFonts w:cs="Arial"/>
          <w:sz w:val="22"/>
          <w:szCs w:val="22"/>
        </w:rPr>
        <w:t xml:space="preserve">respuesta al </w:t>
      </w:r>
      <w:r>
        <w:rPr>
          <w:rFonts w:cs="Arial"/>
          <w:sz w:val="22"/>
          <w:szCs w:val="22"/>
        </w:rPr>
        <w:t xml:space="preserve">comentario </w:t>
      </w:r>
      <w:r>
        <w:rPr>
          <w:rFonts w:cs="Arial"/>
          <w:sz w:val="22"/>
          <w:szCs w:val="22"/>
        </w:rPr>
        <w:fldChar w:fldCharType="begin"/>
      </w:r>
      <w:r>
        <w:rPr>
          <w:rFonts w:cs="Arial"/>
          <w:sz w:val="22"/>
          <w:szCs w:val="22"/>
        </w:rPr>
        <w:instrText xml:space="preserve"> REF _Ref149315035 \w \h </w:instrText>
      </w:r>
      <w:r>
        <w:rPr>
          <w:rFonts w:cs="Arial"/>
          <w:sz w:val="22"/>
          <w:szCs w:val="22"/>
        </w:rPr>
      </w:r>
      <w:r>
        <w:rPr>
          <w:rFonts w:cs="Arial"/>
          <w:sz w:val="22"/>
          <w:szCs w:val="22"/>
        </w:rPr>
        <w:fldChar w:fldCharType="separate"/>
      </w:r>
      <w:r w:rsidR="0027336D">
        <w:rPr>
          <w:rFonts w:cs="Arial"/>
          <w:sz w:val="22"/>
          <w:szCs w:val="22"/>
        </w:rPr>
        <w:t>3.15</w:t>
      </w:r>
      <w:r>
        <w:rPr>
          <w:rFonts w:cs="Arial"/>
          <w:sz w:val="22"/>
          <w:szCs w:val="22"/>
        </w:rPr>
        <w:fldChar w:fldCharType="end"/>
      </w:r>
      <w:r w:rsidR="00640C44">
        <w:rPr>
          <w:rFonts w:cs="Arial"/>
          <w:sz w:val="22"/>
          <w:szCs w:val="22"/>
        </w:rPr>
        <w:t xml:space="preserve"> y al </w:t>
      </w:r>
      <w:r w:rsidR="00FF76CC">
        <w:rPr>
          <w:rFonts w:cs="Arial"/>
          <w:sz w:val="22"/>
          <w:szCs w:val="22"/>
        </w:rPr>
        <w:t xml:space="preserve">comentario </w:t>
      </w:r>
      <w:r w:rsidR="00FF76CC">
        <w:rPr>
          <w:rFonts w:cs="Arial"/>
          <w:sz w:val="22"/>
          <w:szCs w:val="22"/>
        </w:rPr>
        <w:fldChar w:fldCharType="begin"/>
      </w:r>
      <w:r w:rsidR="00FF76CC">
        <w:rPr>
          <w:rFonts w:cs="Arial"/>
          <w:sz w:val="22"/>
          <w:szCs w:val="22"/>
        </w:rPr>
        <w:instrText xml:space="preserve"> REF _Ref149313537 \w \h </w:instrText>
      </w:r>
      <w:r w:rsidR="00FF76CC">
        <w:rPr>
          <w:rFonts w:cs="Arial"/>
          <w:sz w:val="22"/>
          <w:szCs w:val="22"/>
        </w:rPr>
      </w:r>
      <w:r w:rsidR="00FF76CC">
        <w:rPr>
          <w:rFonts w:cs="Arial"/>
          <w:sz w:val="22"/>
          <w:szCs w:val="22"/>
        </w:rPr>
        <w:fldChar w:fldCharType="separate"/>
      </w:r>
      <w:r w:rsidR="0027336D">
        <w:rPr>
          <w:rFonts w:cs="Arial"/>
          <w:sz w:val="22"/>
          <w:szCs w:val="22"/>
        </w:rPr>
        <w:t>4.1</w:t>
      </w:r>
      <w:r w:rsidR="00FF76CC">
        <w:rPr>
          <w:rFonts w:cs="Arial"/>
          <w:sz w:val="22"/>
          <w:szCs w:val="22"/>
        </w:rPr>
        <w:fldChar w:fldCharType="end"/>
      </w:r>
      <w:r w:rsidR="00FF76CC">
        <w:rPr>
          <w:rFonts w:cs="Arial"/>
          <w:sz w:val="22"/>
          <w:szCs w:val="22"/>
        </w:rPr>
        <w:t>.</w:t>
      </w:r>
    </w:p>
    <w:p w14:paraId="7E532C61" w14:textId="77777777" w:rsidR="005F6A74" w:rsidRDefault="005F6A74" w:rsidP="005F6A74">
      <w:pPr>
        <w:jc w:val="left"/>
        <w:rPr>
          <w:rFonts w:cs="Arial"/>
          <w:sz w:val="22"/>
          <w:szCs w:val="22"/>
        </w:rPr>
      </w:pPr>
    </w:p>
    <w:p w14:paraId="69AFECA2" w14:textId="77777777" w:rsidR="005F6A74" w:rsidRDefault="005F6A74" w:rsidP="00CF75E0">
      <w:pPr>
        <w:jc w:val="left"/>
        <w:rPr>
          <w:i/>
          <w:iCs/>
          <w:sz w:val="22"/>
        </w:rPr>
      </w:pPr>
    </w:p>
    <w:p w14:paraId="023C5CEE" w14:textId="77777777" w:rsidR="005F6A74" w:rsidRDefault="005F6A74" w:rsidP="005F6A74">
      <w:pPr>
        <w:pStyle w:val="Ttulo2"/>
        <w:jc w:val="left"/>
      </w:pPr>
      <w:bookmarkStart w:id="66" w:name="_Toc158211435"/>
      <w:r w:rsidRPr="00A25B16">
        <w:t>CANACOL</w:t>
      </w:r>
      <w:bookmarkEnd w:id="66"/>
      <w:r w:rsidRPr="00A25B16">
        <w:tab/>
      </w:r>
    </w:p>
    <w:p w14:paraId="1746CE1F" w14:textId="315C892A" w:rsidR="001A43D3" w:rsidRDefault="001A43D3" w:rsidP="00CF75E0">
      <w:pPr>
        <w:jc w:val="left"/>
        <w:rPr>
          <w:i/>
          <w:iCs/>
          <w:sz w:val="22"/>
        </w:rPr>
      </w:pPr>
      <w:r w:rsidRPr="00A25B16">
        <w:rPr>
          <w:i/>
          <w:iCs/>
          <w:sz w:val="22"/>
        </w:rPr>
        <w:t>Dicho de otra forma, agregar est</w:t>
      </w:r>
      <w:r w:rsidR="007D4122">
        <w:rPr>
          <w:i/>
          <w:iCs/>
          <w:sz w:val="22"/>
        </w:rPr>
        <w:t>e</w:t>
      </w:r>
      <w:r w:rsidRPr="00A25B16">
        <w:rPr>
          <w:i/>
          <w:iCs/>
          <w:sz w:val="22"/>
        </w:rPr>
        <w:t xml:space="preserve"> tipo de disposición a una resolución cuyo objeto es aumentar la oferta en el mercado, es contraproducente e incluso contrario a lo que pretende lograr la CREG. Esta disposición genera que la responsabilidad y los efectos de una parada del transportador vayan en cabeza del productor quien de nuevo deberá asumir todos los riesgos desconociendo todo principio de neutralidad y balance de riesgos entre los agentes participantes del mercado. Ahora bien, de acuerdo con las disposiciones vigentes, no existe ningún evento eximente de responsabilidad que realmente cubra los riesgos propios de la actividad del productor. </w:t>
      </w:r>
    </w:p>
    <w:p w14:paraId="1393A0D4" w14:textId="77777777" w:rsidR="005F6A74" w:rsidRPr="00A25B16" w:rsidRDefault="005F6A74" w:rsidP="00CF75E0">
      <w:pPr>
        <w:jc w:val="left"/>
        <w:rPr>
          <w:i/>
          <w:iCs/>
          <w:sz w:val="22"/>
        </w:rPr>
      </w:pPr>
    </w:p>
    <w:p w14:paraId="74419B0B" w14:textId="77777777" w:rsidR="005F6A74" w:rsidRPr="002B1FF0" w:rsidRDefault="005F6A74" w:rsidP="005F6A74">
      <w:pPr>
        <w:jc w:val="left"/>
        <w:rPr>
          <w:rFonts w:cs="Arial"/>
          <w:b/>
          <w:bCs/>
          <w:sz w:val="22"/>
          <w:szCs w:val="22"/>
        </w:rPr>
      </w:pPr>
      <w:r w:rsidRPr="002B1FF0">
        <w:rPr>
          <w:rFonts w:cs="Arial"/>
          <w:b/>
          <w:bCs/>
          <w:sz w:val="22"/>
          <w:szCs w:val="22"/>
        </w:rPr>
        <w:t>RESPUESTA:</w:t>
      </w:r>
    </w:p>
    <w:p w14:paraId="13E5F234" w14:textId="77777777" w:rsidR="005F6A74" w:rsidRPr="002B1FF0" w:rsidRDefault="005F6A74" w:rsidP="005F6A74">
      <w:pPr>
        <w:jc w:val="left"/>
        <w:rPr>
          <w:rFonts w:cs="Arial"/>
          <w:sz w:val="22"/>
          <w:szCs w:val="22"/>
        </w:rPr>
      </w:pPr>
    </w:p>
    <w:p w14:paraId="77897C72" w14:textId="77777777" w:rsidR="005F6A74" w:rsidRDefault="005F6A74" w:rsidP="005F6A74">
      <w:pPr>
        <w:jc w:val="left"/>
        <w:rPr>
          <w:rFonts w:cs="Arial"/>
          <w:sz w:val="22"/>
          <w:szCs w:val="22"/>
        </w:rPr>
      </w:pPr>
      <w:r>
        <w:rPr>
          <w:rFonts w:cs="Arial"/>
          <w:sz w:val="22"/>
          <w:szCs w:val="22"/>
        </w:rPr>
        <w:t>No se acoge el comentario.</w:t>
      </w:r>
    </w:p>
    <w:p w14:paraId="1055A985" w14:textId="77777777" w:rsidR="007D4122" w:rsidRDefault="007D4122" w:rsidP="005F6A74">
      <w:pPr>
        <w:jc w:val="left"/>
        <w:rPr>
          <w:rFonts w:cs="Arial"/>
          <w:sz w:val="22"/>
          <w:szCs w:val="22"/>
        </w:rPr>
      </w:pPr>
    </w:p>
    <w:p w14:paraId="75573266" w14:textId="78A15996" w:rsidR="007D4122" w:rsidRDefault="007D4122" w:rsidP="005F6A74">
      <w:pPr>
        <w:jc w:val="left"/>
        <w:rPr>
          <w:rFonts w:cs="Arial"/>
          <w:sz w:val="22"/>
          <w:szCs w:val="22"/>
        </w:rPr>
      </w:pPr>
      <w:r>
        <w:rPr>
          <w:rFonts w:cs="Arial"/>
          <w:sz w:val="22"/>
          <w:szCs w:val="22"/>
        </w:rPr>
        <w:t>El riesgo del productor-comercializador es parcial, en cuanto a que, al no ejecutarse la entrega del gas natural por efecto de no poder entregarlo al sistema de transporte que presenta una afectación que impide su transporte al punto de salida, no se causan costos de producción y tratamiento, ni extracción de gas natural del subsuelo ni reducción de sus reservas.</w:t>
      </w:r>
    </w:p>
    <w:p w14:paraId="086C32C9" w14:textId="77777777" w:rsidR="00A2644A" w:rsidRDefault="00A2644A" w:rsidP="005F6A74">
      <w:pPr>
        <w:jc w:val="left"/>
        <w:rPr>
          <w:rFonts w:cs="Arial"/>
          <w:sz w:val="22"/>
          <w:szCs w:val="22"/>
        </w:rPr>
      </w:pPr>
    </w:p>
    <w:p w14:paraId="2218F5E7" w14:textId="2E9A3CE3" w:rsidR="00A2644A" w:rsidRDefault="00A2644A" w:rsidP="005F6A74">
      <w:pPr>
        <w:jc w:val="left"/>
        <w:rPr>
          <w:sz w:val="22"/>
        </w:rPr>
      </w:pPr>
      <w:r>
        <w:rPr>
          <w:rFonts w:cs="Arial"/>
          <w:sz w:val="22"/>
          <w:szCs w:val="22"/>
        </w:rPr>
        <w:t xml:space="preserve">En cuanto a la afirmación de que no existe </w:t>
      </w:r>
      <w:r w:rsidRPr="00A2644A">
        <w:rPr>
          <w:sz w:val="22"/>
        </w:rPr>
        <w:t>ningún evento eximente de responsabilidad que realmente cubra los riesgos propios de la actividad del productor</w:t>
      </w:r>
      <w:r>
        <w:rPr>
          <w:sz w:val="22"/>
        </w:rPr>
        <w:t>, no se entiende tal afirmación, menos en el contexto actual que lleva precisamente a motivar en parte el Proyecto de Resolución, en el que se ha declarado desde agosto de 2023 un evento eximente de responsabilidad por ocurrencia de un evento de fuerza mayor, originado en las actividades propias de un productor-comercializador. Además de ello el Artículo 11 vigente de la resolución CREG 186 de 2020 establece otros eventos eximentes como son:</w:t>
      </w:r>
    </w:p>
    <w:p w14:paraId="729BB6E7" w14:textId="77777777" w:rsidR="00A2644A" w:rsidRDefault="00A2644A" w:rsidP="005F6A74">
      <w:pPr>
        <w:jc w:val="left"/>
        <w:rPr>
          <w:sz w:val="22"/>
        </w:rPr>
      </w:pPr>
    </w:p>
    <w:p w14:paraId="2EF47173" w14:textId="1CA8DBDD" w:rsidR="00A2644A" w:rsidRPr="00A2644A" w:rsidRDefault="00A2644A" w:rsidP="00A2644A">
      <w:pPr>
        <w:ind w:left="708"/>
        <w:jc w:val="left"/>
        <w:rPr>
          <w:rFonts w:cs="Arial"/>
          <w:i/>
          <w:iCs/>
          <w:sz w:val="22"/>
          <w:szCs w:val="22"/>
        </w:rPr>
      </w:pPr>
      <w:r>
        <w:rPr>
          <w:rFonts w:cs="Arial"/>
          <w:sz w:val="22"/>
          <w:szCs w:val="22"/>
        </w:rPr>
        <w:t>“</w:t>
      </w:r>
      <w:r w:rsidRPr="00A2644A">
        <w:rPr>
          <w:rFonts w:cs="Arial"/>
          <w:i/>
          <w:iCs/>
          <w:sz w:val="22"/>
          <w:szCs w:val="22"/>
        </w:rPr>
        <w:t>1.</w:t>
      </w:r>
      <w:r w:rsidRPr="00A2644A">
        <w:rPr>
          <w:rFonts w:cs="Arial"/>
          <w:i/>
          <w:iCs/>
          <w:sz w:val="22"/>
          <w:szCs w:val="22"/>
        </w:rPr>
        <w:tab/>
        <w:t>La imposibilidad parcial o total para la operación y funcionamiento de las instalaciones o infraestructura para la producción, manejo, entrega o recibo del gas, así como de las conexiones o las instalaciones de cualquiera de las partes, por actos malintencionados de terceros ajenos al control y manejo directo de cualquiera de las partes y sin su culpa, tales como los ataques o sabotajes terroristas o guerrilleros o las alteraciones graves del orden público, que directa o indirectamente contribuyan o resulten en la imposibilidad de alguna de las partes para cumplir con sus obligaciones.</w:t>
      </w:r>
    </w:p>
    <w:p w14:paraId="72B110DB" w14:textId="77777777" w:rsidR="00A2644A" w:rsidRPr="00A2644A" w:rsidRDefault="00A2644A" w:rsidP="00A2644A">
      <w:pPr>
        <w:ind w:left="708"/>
        <w:jc w:val="left"/>
        <w:rPr>
          <w:rFonts w:cs="Arial"/>
          <w:i/>
          <w:iCs/>
          <w:sz w:val="22"/>
          <w:szCs w:val="22"/>
        </w:rPr>
      </w:pPr>
    </w:p>
    <w:p w14:paraId="0DE097B9" w14:textId="77777777" w:rsidR="00A2644A" w:rsidRPr="00A2644A" w:rsidRDefault="00A2644A" w:rsidP="00A2644A">
      <w:pPr>
        <w:ind w:left="708"/>
        <w:jc w:val="left"/>
        <w:rPr>
          <w:rFonts w:cs="Arial"/>
          <w:i/>
          <w:iCs/>
          <w:sz w:val="22"/>
          <w:szCs w:val="22"/>
        </w:rPr>
      </w:pPr>
      <w:r w:rsidRPr="00A2644A">
        <w:rPr>
          <w:rFonts w:cs="Arial"/>
          <w:i/>
          <w:iCs/>
          <w:sz w:val="22"/>
          <w:szCs w:val="22"/>
        </w:rPr>
        <w:t>2.</w:t>
      </w:r>
      <w:r w:rsidRPr="00A2644A">
        <w:rPr>
          <w:rFonts w:cs="Arial"/>
          <w:i/>
          <w:iCs/>
          <w:sz w:val="22"/>
          <w:szCs w:val="22"/>
        </w:rPr>
        <w:tab/>
        <w:t>Cesación ilegal de actividades, cuando esos actos contribuyan o resulten en la imposibilidad de cualquiera de las partes para cumplir con sus obligaciones.</w:t>
      </w:r>
    </w:p>
    <w:p w14:paraId="7C2958EA" w14:textId="77777777" w:rsidR="00A2644A" w:rsidRPr="00A2644A" w:rsidRDefault="00A2644A" w:rsidP="00A2644A">
      <w:pPr>
        <w:ind w:left="708"/>
        <w:jc w:val="left"/>
        <w:rPr>
          <w:rFonts w:cs="Arial"/>
          <w:i/>
          <w:iCs/>
          <w:sz w:val="22"/>
          <w:szCs w:val="22"/>
        </w:rPr>
      </w:pPr>
    </w:p>
    <w:p w14:paraId="5944F880" w14:textId="77777777" w:rsidR="00A2644A" w:rsidRPr="00A2644A" w:rsidRDefault="00A2644A" w:rsidP="00A2644A">
      <w:pPr>
        <w:ind w:left="708"/>
        <w:jc w:val="left"/>
        <w:rPr>
          <w:rFonts w:cs="Arial"/>
          <w:i/>
          <w:iCs/>
          <w:sz w:val="22"/>
          <w:szCs w:val="22"/>
        </w:rPr>
      </w:pPr>
      <w:r w:rsidRPr="00A2644A">
        <w:rPr>
          <w:rFonts w:cs="Arial"/>
          <w:i/>
          <w:iCs/>
          <w:sz w:val="22"/>
          <w:szCs w:val="22"/>
        </w:rPr>
        <w:t>3.</w:t>
      </w:r>
      <w:r w:rsidRPr="00A2644A">
        <w:rPr>
          <w:rFonts w:cs="Arial"/>
          <w:i/>
          <w:iCs/>
          <w:sz w:val="22"/>
          <w:szCs w:val="22"/>
        </w:rPr>
        <w:tab/>
        <w:t>Las suspensiones por labores programadas para reparaciones técnicas o mantenimientos periódicos, siempre que de ello se dé aviso amplio y oportuno conforme al protocolo al que se hace referencia en el parágrafo 3 de este artículo. Las suspensiones por este concepto estarán sujetas a lo establecido en el Artículo 12 de la presente Resolución.</w:t>
      </w:r>
    </w:p>
    <w:p w14:paraId="45FE2B21" w14:textId="77777777" w:rsidR="00A2644A" w:rsidRPr="00A2644A" w:rsidRDefault="00A2644A" w:rsidP="00A2644A">
      <w:pPr>
        <w:ind w:left="708"/>
        <w:jc w:val="left"/>
        <w:rPr>
          <w:rFonts w:cs="Arial"/>
          <w:i/>
          <w:iCs/>
          <w:sz w:val="22"/>
          <w:szCs w:val="22"/>
        </w:rPr>
      </w:pPr>
    </w:p>
    <w:p w14:paraId="489FC0F0" w14:textId="5714F278" w:rsidR="00A2644A" w:rsidRPr="00A2644A" w:rsidRDefault="00A2644A" w:rsidP="00A2644A">
      <w:pPr>
        <w:ind w:left="708"/>
        <w:jc w:val="left"/>
        <w:rPr>
          <w:rFonts w:cs="Arial"/>
          <w:i/>
          <w:iCs/>
          <w:sz w:val="22"/>
          <w:szCs w:val="22"/>
        </w:rPr>
      </w:pPr>
      <w:r w:rsidRPr="00A2644A">
        <w:rPr>
          <w:rFonts w:cs="Arial"/>
          <w:i/>
          <w:iCs/>
          <w:sz w:val="22"/>
          <w:szCs w:val="22"/>
        </w:rPr>
        <w:t>4.</w:t>
      </w:r>
      <w:r w:rsidRPr="00A2644A">
        <w:rPr>
          <w:rFonts w:cs="Arial"/>
          <w:i/>
          <w:iCs/>
          <w:sz w:val="22"/>
          <w:szCs w:val="22"/>
        </w:rPr>
        <w:tab/>
        <w:t>Cuando por causas imputables a una de las partes del contrato no se haya realizado el registro de que trata el literal b) del numeral 1.2 del Anexo 1. En este caso la no entrega del gas natural debido a la inexistencia del registro serán consideradas como eventos eximentes de responsabilidad para la otra parte.”</w:t>
      </w:r>
    </w:p>
    <w:p w14:paraId="125E2F1D" w14:textId="77777777" w:rsidR="001A43D3" w:rsidRPr="00A25B16" w:rsidRDefault="001A43D3" w:rsidP="00CF75E0">
      <w:pPr>
        <w:jc w:val="left"/>
        <w:rPr>
          <w:i/>
          <w:iCs/>
          <w:sz w:val="22"/>
        </w:rPr>
      </w:pPr>
    </w:p>
    <w:p w14:paraId="7800A744" w14:textId="77777777" w:rsidR="005F6A74" w:rsidRDefault="005F6A74" w:rsidP="00CF75E0">
      <w:pPr>
        <w:jc w:val="left"/>
        <w:rPr>
          <w:i/>
          <w:iCs/>
          <w:sz w:val="22"/>
        </w:rPr>
      </w:pPr>
    </w:p>
    <w:p w14:paraId="586DDB96" w14:textId="77777777" w:rsidR="005F6A74" w:rsidRDefault="005F6A74" w:rsidP="005F6A74">
      <w:pPr>
        <w:pStyle w:val="Ttulo2"/>
        <w:jc w:val="left"/>
      </w:pPr>
      <w:bookmarkStart w:id="67" w:name="_Toc158211436"/>
      <w:r w:rsidRPr="00A25B16">
        <w:t>CANACOL</w:t>
      </w:r>
      <w:bookmarkEnd w:id="67"/>
      <w:r w:rsidRPr="00A25B16">
        <w:tab/>
      </w:r>
    </w:p>
    <w:p w14:paraId="01ABD9BA" w14:textId="4C1DD802" w:rsidR="001A43D3" w:rsidRDefault="001A43D3" w:rsidP="00CF75E0">
      <w:pPr>
        <w:jc w:val="left"/>
        <w:rPr>
          <w:i/>
          <w:iCs/>
          <w:sz w:val="22"/>
        </w:rPr>
      </w:pPr>
      <w:r w:rsidRPr="00A25B16">
        <w:rPr>
          <w:i/>
          <w:iCs/>
          <w:sz w:val="22"/>
        </w:rPr>
        <w:t>Por lo anterior, solicitamos se elimine esta cláusula dado que (i) no tiene relación con el objeto de flexibilizar la oferta y demanda de gas (ii) desincentiva la suscripción de los contratos propuestos en esta resolución por parte del productor (iii) implican mayor carga al productor dado que debe asumir riesgos propios del transportador (iv) en todo caso, y en gracia de una discusión futura, sigue sin tener en cuenta que ninguno de los eventos eximentes regulados definidos por la CREG cubren los riesgos propios del productor."</w:t>
      </w:r>
    </w:p>
    <w:p w14:paraId="5B14BF6C" w14:textId="77777777" w:rsidR="00086C1B" w:rsidRDefault="00086C1B" w:rsidP="00CF75E0">
      <w:pPr>
        <w:jc w:val="left"/>
        <w:rPr>
          <w:i/>
          <w:iCs/>
          <w:sz w:val="22"/>
        </w:rPr>
      </w:pPr>
    </w:p>
    <w:p w14:paraId="46461E5C"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0B078D16" w14:textId="77777777" w:rsidR="002B1FF0" w:rsidRPr="002B1FF0" w:rsidRDefault="002B1FF0" w:rsidP="00CF75E0">
      <w:pPr>
        <w:jc w:val="left"/>
        <w:rPr>
          <w:rFonts w:cs="Arial"/>
          <w:sz w:val="22"/>
          <w:szCs w:val="22"/>
        </w:rPr>
      </w:pPr>
    </w:p>
    <w:p w14:paraId="55B0E3EA" w14:textId="5B8ABF42" w:rsidR="00086C1B" w:rsidRDefault="005F6A74" w:rsidP="00CF75E0">
      <w:pPr>
        <w:jc w:val="left"/>
        <w:rPr>
          <w:rFonts w:cs="Arial"/>
          <w:sz w:val="22"/>
          <w:szCs w:val="22"/>
        </w:rPr>
      </w:pPr>
      <w:r>
        <w:rPr>
          <w:rFonts w:cs="Arial"/>
          <w:sz w:val="22"/>
          <w:szCs w:val="22"/>
        </w:rPr>
        <w:t>No se acoge el comentario.</w:t>
      </w:r>
    </w:p>
    <w:p w14:paraId="2D3B8AB6" w14:textId="77777777" w:rsidR="00FA3707" w:rsidRDefault="00FA3707" w:rsidP="00CF75E0">
      <w:pPr>
        <w:jc w:val="left"/>
        <w:rPr>
          <w:rFonts w:cs="Arial"/>
          <w:sz w:val="22"/>
          <w:szCs w:val="22"/>
        </w:rPr>
      </w:pPr>
    </w:p>
    <w:p w14:paraId="0697CFA1" w14:textId="77777777" w:rsidR="00417945" w:rsidRDefault="00FA3707" w:rsidP="00CF75E0">
      <w:pPr>
        <w:jc w:val="left"/>
        <w:rPr>
          <w:rFonts w:cs="Arial"/>
          <w:sz w:val="22"/>
          <w:szCs w:val="22"/>
        </w:rPr>
      </w:pPr>
      <w:r>
        <w:rPr>
          <w:rFonts w:cs="Arial"/>
          <w:sz w:val="22"/>
          <w:szCs w:val="22"/>
        </w:rPr>
        <w:t>Aunque uno de los objetos del Proyecto de Resolución es maximizar la contratación de la oferta de gas de tipo firme en el Mercado Primario en el corto plazo, ello no significa que no se establezcan medidas para que los vendedores de los contratos de suministro en las condiciones tan extraordinarias que se presentan actualmente, logren mayor coordinación</w:t>
      </w:r>
      <w:r w:rsidR="00417945">
        <w:rPr>
          <w:rFonts w:cs="Arial"/>
          <w:sz w:val="22"/>
          <w:szCs w:val="22"/>
        </w:rPr>
        <w:t xml:space="preserve"> con los transportadores</w:t>
      </w:r>
      <w:r>
        <w:rPr>
          <w:rFonts w:cs="Arial"/>
          <w:sz w:val="22"/>
          <w:szCs w:val="22"/>
        </w:rPr>
        <w:t xml:space="preserve"> y provecho de las indisponibilidades que se pueden presentar</w:t>
      </w:r>
      <w:r w:rsidR="00417945">
        <w:rPr>
          <w:rFonts w:cs="Arial"/>
          <w:sz w:val="22"/>
          <w:szCs w:val="22"/>
        </w:rPr>
        <w:t xml:space="preserve"> en los sistemas que estos últimos operan</w:t>
      </w:r>
      <w:r>
        <w:rPr>
          <w:rFonts w:cs="Arial"/>
          <w:sz w:val="22"/>
          <w:szCs w:val="22"/>
        </w:rPr>
        <w:t xml:space="preserve"> </w:t>
      </w:r>
      <w:r w:rsidR="00417945">
        <w:rPr>
          <w:rFonts w:cs="Arial"/>
          <w:sz w:val="22"/>
          <w:szCs w:val="22"/>
        </w:rPr>
        <w:t>para realizar sus propios mantenimientos e las fuentes de suministro.</w:t>
      </w:r>
    </w:p>
    <w:p w14:paraId="23056B17" w14:textId="77777777" w:rsidR="00417945" w:rsidRDefault="00417945" w:rsidP="00CF75E0">
      <w:pPr>
        <w:jc w:val="left"/>
        <w:rPr>
          <w:rFonts w:cs="Arial"/>
          <w:sz w:val="22"/>
          <w:szCs w:val="22"/>
        </w:rPr>
      </w:pPr>
    </w:p>
    <w:p w14:paraId="57D2D5C9" w14:textId="0A6EF8A4" w:rsidR="00FA3707" w:rsidRDefault="00417945" w:rsidP="00CF75E0">
      <w:pPr>
        <w:jc w:val="left"/>
        <w:rPr>
          <w:rFonts w:cs="Arial"/>
          <w:sz w:val="22"/>
          <w:szCs w:val="22"/>
        </w:rPr>
      </w:pPr>
      <w:r>
        <w:rPr>
          <w:rFonts w:cs="Arial"/>
          <w:sz w:val="22"/>
          <w:szCs w:val="22"/>
        </w:rPr>
        <w:t>Se considera que la medida propuesta no desincentiva la suscripción de los contratos propuestos en el Proyecto de Resolución, todo lo contrario, los incentiva pues de lo que se trata es de maximizar la contratación del suministro de la oferta en firme del Mercado Primario, con el mecanismo de negociación directa, con períodos de contratación mucho menores a los actualmente establecidos, con la posibilidad de actualizar las declaraciones de PTDVF/CIDVF con mucha mayor frecuencia que incluso permita adaptarse a las circunstancias que surjan eventualmente en la disponibilidad de los sistemas de transporte</w:t>
      </w:r>
      <w:r w:rsidR="00BE71E1">
        <w:rPr>
          <w:rFonts w:cs="Arial"/>
          <w:sz w:val="22"/>
          <w:szCs w:val="22"/>
        </w:rPr>
        <w:t>.</w:t>
      </w:r>
      <w:r>
        <w:rPr>
          <w:rFonts w:cs="Arial"/>
          <w:sz w:val="22"/>
          <w:szCs w:val="22"/>
        </w:rPr>
        <w:t xml:space="preserve">  </w:t>
      </w:r>
    </w:p>
    <w:p w14:paraId="2549E2C0" w14:textId="77777777" w:rsidR="005F6A74" w:rsidRDefault="005F6A74" w:rsidP="00CF75E0">
      <w:pPr>
        <w:jc w:val="left"/>
        <w:rPr>
          <w:rFonts w:cs="Arial"/>
          <w:sz w:val="22"/>
          <w:szCs w:val="22"/>
        </w:rPr>
      </w:pPr>
    </w:p>
    <w:p w14:paraId="4035B6FA" w14:textId="6BB304C0" w:rsidR="008B3E59" w:rsidRDefault="008B3E59" w:rsidP="008B3E59">
      <w:pPr>
        <w:jc w:val="left"/>
        <w:rPr>
          <w:rFonts w:cs="Arial"/>
          <w:sz w:val="22"/>
          <w:szCs w:val="22"/>
        </w:rPr>
      </w:pPr>
      <w:r>
        <w:rPr>
          <w:rFonts w:cs="Arial"/>
          <w:sz w:val="22"/>
          <w:szCs w:val="22"/>
        </w:rPr>
        <w:t xml:space="preserve">Ver comentario </w:t>
      </w:r>
      <w:r>
        <w:rPr>
          <w:rFonts w:cs="Arial"/>
          <w:sz w:val="22"/>
          <w:szCs w:val="22"/>
        </w:rPr>
        <w:fldChar w:fldCharType="begin"/>
      </w:r>
      <w:r>
        <w:rPr>
          <w:rFonts w:cs="Arial"/>
          <w:sz w:val="22"/>
          <w:szCs w:val="22"/>
        </w:rPr>
        <w:instrText xml:space="preserve"> REF _Ref149315035 \w \h </w:instrText>
      </w:r>
      <w:r>
        <w:rPr>
          <w:rFonts w:cs="Arial"/>
          <w:sz w:val="22"/>
          <w:szCs w:val="22"/>
        </w:rPr>
      </w:r>
      <w:r>
        <w:rPr>
          <w:rFonts w:cs="Arial"/>
          <w:sz w:val="22"/>
          <w:szCs w:val="22"/>
        </w:rPr>
        <w:fldChar w:fldCharType="separate"/>
      </w:r>
      <w:r w:rsidR="0027336D">
        <w:rPr>
          <w:rFonts w:cs="Arial"/>
          <w:sz w:val="22"/>
          <w:szCs w:val="22"/>
        </w:rPr>
        <w:t>3.15</w:t>
      </w:r>
      <w:r>
        <w:rPr>
          <w:rFonts w:cs="Arial"/>
          <w:sz w:val="22"/>
          <w:szCs w:val="22"/>
        </w:rPr>
        <w:fldChar w:fldCharType="end"/>
      </w:r>
      <w:r>
        <w:rPr>
          <w:rFonts w:cs="Arial"/>
          <w:sz w:val="22"/>
          <w:szCs w:val="22"/>
        </w:rPr>
        <w:t>.</w:t>
      </w:r>
    </w:p>
    <w:p w14:paraId="4C991194" w14:textId="77777777" w:rsidR="008B3E59" w:rsidRDefault="008B3E59" w:rsidP="00CF75E0">
      <w:pPr>
        <w:jc w:val="left"/>
        <w:rPr>
          <w:rFonts w:cs="Arial"/>
          <w:sz w:val="22"/>
          <w:szCs w:val="22"/>
        </w:rPr>
      </w:pPr>
    </w:p>
    <w:p w14:paraId="1603BB30" w14:textId="77777777" w:rsidR="005F6A74" w:rsidRPr="00A25B16" w:rsidRDefault="005F6A74" w:rsidP="00CF75E0">
      <w:pPr>
        <w:jc w:val="left"/>
        <w:rPr>
          <w:i/>
          <w:iCs/>
          <w:sz w:val="22"/>
        </w:rPr>
      </w:pPr>
    </w:p>
    <w:p w14:paraId="7761B54E" w14:textId="6682CEF8" w:rsidR="00D751B8" w:rsidRDefault="00D751B8" w:rsidP="00CF75E0">
      <w:pPr>
        <w:pStyle w:val="Ttulo2"/>
        <w:jc w:val="left"/>
      </w:pPr>
      <w:bookmarkStart w:id="68" w:name="_Toc158211437"/>
      <w:r>
        <w:lastRenderedPageBreak/>
        <w:t>EPM</w:t>
      </w:r>
      <w:bookmarkEnd w:id="68"/>
    </w:p>
    <w:p w14:paraId="58CF350E" w14:textId="2FCF5F50" w:rsidR="00D751B8" w:rsidRDefault="00D751B8" w:rsidP="00CF75E0">
      <w:pPr>
        <w:jc w:val="left"/>
      </w:pPr>
      <w:r>
        <w:t>“</w:t>
      </w:r>
      <w:r w:rsidRPr="00D751B8">
        <w:rPr>
          <w:i/>
          <w:iCs/>
          <w:sz w:val="22"/>
          <w:szCs w:val="22"/>
        </w:rPr>
        <w:t>Nos parece prudente que se contemplen como eventos eximentes de responsabilidad, los ocurridos en el Transporte. Lo contrario también se requiere, y así lo hemos expresado en nuestros comentarios a la propuesta CREG 702 003, por lo que solicitamos que este cambio se consolide de manera permanente y no sólo durante la vigencia de la presente resolución.</w:t>
      </w:r>
      <w:r w:rsidRPr="00D751B8">
        <w:t xml:space="preserve"> </w:t>
      </w:r>
      <w:r>
        <w:t>“</w:t>
      </w:r>
    </w:p>
    <w:p w14:paraId="698F436B" w14:textId="77777777" w:rsidR="00D751B8" w:rsidRDefault="00D751B8" w:rsidP="00CF75E0">
      <w:pPr>
        <w:jc w:val="left"/>
      </w:pPr>
    </w:p>
    <w:p w14:paraId="3EF31C2F"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0F8CFC89" w14:textId="77777777" w:rsidR="002B1FF0" w:rsidRDefault="002B1FF0" w:rsidP="00CF75E0">
      <w:pPr>
        <w:jc w:val="left"/>
        <w:rPr>
          <w:rFonts w:cs="Arial"/>
          <w:sz w:val="22"/>
          <w:szCs w:val="22"/>
        </w:rPr>
      </w:pPr>
    </w:p>
    <w:p w14:paraId="2EC0D5DC" w14:textId="28F5CA19" w:rsidR="002B1FF0" w:rsidRPr="002B1FF0" w:rsidRDefault="00D65255" w:rsidP="00CF75E0">
      <w:pPr>
        <w:jc w:val="left"/>
        <w:rPr>
          <w:rFonts w:cs="Arial"/>
          <w:sz w:val="22"/>
          <w:szCs w:val="22"/>
        </w:rPr>
      </w:pPr>
      <w:r>
        <w:rPr>
          <w:rFonts w:cs="Arial"/>
          <w:sz w:val="22"/>
          <w:szCs w:val="22"/>
        </w:rPr>
        <w:t xml:space="preserve">Ver respuesta </w:t>
      </w:r>
      <w:r w:rsidR="00C10A17">
        <w:rPr>
          <w:rFonts w:cs="Arial"/>
          <w:sz w:val="22"/>
          <w:szCs w:val="22"/>
        </w:rPr>
        <w:t xml:space="preserve">al comentario </w:t>
      </w:r>
      <w:r w:rsidR="00C10A17">
        <w:rPr>
          <w:rFonts w:cs="Arial"/>
          <w:sz w:val="22"/>
          <w:szCs w:val="22"/>
        </w:rPr>
        <w:fldChar w:fldCharType="begin"/>
      </w:r>
      <w:r w:rsidR="00C10A17">
        <w:rPr>
          <w:rFonts w:cs="Arial"/>
          <w:sz w:val="22"/>
          <w:szCs w:val="22"/>
        </w:rPr>
        <w:instrText xml:space="preserve"> REF _Ref149547609 \w \h </w:instrText>
      </w:r>
      <w:r w:rsidR="00C10A17">
        <w:rPr>
          <w:rFonts w:cs="Arial"/>
          <w:sz w:val="22"/>
          <w:szCs w:val="22"/>
        </w:rPr>
      </w:r>
      <w:r w:rsidR="00C10A17">
        <w:rPr>
          <w:rFonts w:cs="Arial"/>
          <w:sz w:val="22"/>
          <w:szCs w:val="22"/>
        </w:rPr>
        <w:fldChar w:fldCharType="separate"/>
      </w:r>
      <w:r w:rsidR="0027336D">
        <w:rPr>
          <w:rFonts w:cs="Arial"/>
          <w:sz w:val="22"/>
          <w:szCs w:val="22"/>
        </w:rPr>
        <w:t>3.1</w:t>
      </w:r>
      <w:r w:rsidR="00C10A17">
        <w:rPr>
          <w:rFonts w:cs="Arial"/>
          <w:sz w:val="22"/>
          <w:szCs w:val="22"/>
        </w:rPr>
        <w:fldChar w:fldCharType="end"/>
      </w:r>
      <w:r w:rsidR="00C10A17">
        <w:rPr>
          <w:rFonts w:cs="Arial"/>
          <w:sz w:val="22"/>
          <w:szCs w:val="22"/>
        </w:rPr>
        <w:t xml:space="preserve"> y </w:t>
      </w:r>
      <w:r>
        <w:rPr>
          <w:rFonts w:cs="Arial"/>
          <w:sz w:val="22"/>
          <w:szCs w:val="22"/>
        </w:rPr>
        <w:t xml:space="preserve">al comentario </w:t>
      </w:r>
      <w:r w:rsidR="008B3E59">
        <w:rPr>
          <w:rFonts w:cs="Arial"/>
          <w:sz w:val="22"/>
          <w:szCs w:val="22"/>
        </w:rPr>
        <w:fldChar w:fldCharType="begin"/>
      </w:r>
      <w:r w:rsidR="008B3E59">
        <w:rPr>
          <w:rFonts w:cs="Arial"/>
          <w:sz w:val="22"/>
          <w:szCs w:val="22"/>
        </w:rPr>
        <w:instrText xml:space="preserve"> REF _Ref149298576 \w \h </w:instrText>
      </w:r>
      <w:r w:rsidR="008B3E59">
        <w:rPr>
          <w:rFonts w:cs="Arial"/>
          <w:sz w:val="22"/>
          <w:szCs w:val="22"/>
        </w:rPr>
      </w:r>
      <w:r w:rsidR="008B3E59">
        <w:rPr>
          <w:rFonts w:cs="Arial"/>
          <w:sz w:val="22"/>
          <w:szCs w:val="22"/>
        </w:rPr>
        <w:fldChar w:fldCharType="separate"/>
      </w:r>
      <w:r w:rsidR="0027336D">
        <w:rPr>
          <w:rFonts w:cs="Arial"/>
          <w:sz w:val="22"/>
          <w:szCs w:val="22"/>
        </w:rPr>
        <w:t>18.6</w:t>
      </w:r>
      <w:r w:rsidR="008B3E59">
        <w:rPr>
          <w:rFonts w:cs="Arial"/>
          <w:sz w:val="22"/>
          <w:szCs w:val="22"/>
        </w:rPr>
        <w:fldChar w:fldCharType="end"/>
      </w:r>
      <w:r w:rsidR="008B3E59">
        <w:rPr>
          <w:rFonts w:cs="Arial"/>
          <w:sz w:val="22"/>
          <w:szCs w:val="22"/>
        </w:rPr>
        <w:t>.</w:t>
      </w:r>
    </w:p>
    <w:p w14:paraId="6C040362" w14:textId="77777777" w:rsidR="00D751B8" w:rsidRDefault="00D751B8" w:rsidP="00CF75E0">
      <w:pPr>
        <w:jc w:val="left"/>
      </w:pPr>
    </w:p>
    <w:p w14:paraId="118EEA3A" w14:textId="77777777" w:rsidR="00D751B8" w:rsidRPr="00D751B8" w:rsidRDefault="00D751B8" w:rsidP="00CF75E0">
      <w:pPr>
        <w:jc w:val="left"/>
      </w:pPr>
    </w:p>
    <w:p w14:paraId="586DE99A" w14:textId="235E6552" w:rsidR="00086C1B" w:rsidRDefault="001A43D3" w:rsidP="00CF75E0">
      <w:pPr>
        <w:pStyle w:val="Ttulo2"/>
        <w:jc w:val="left"/>
      </w:pPr>
      <w:bookmarkStart w:id="69" w:name="_Toc158211438"/>
      <w:r w:rsidRPr="00A25B16">
        <w:t>Gases del Oriente S.A E.S.P</w:t>
      </w:r>
      <w:bookmarkEnd w:id="69"/>
      <w:r w:rsidRPr="00A25B16">
        <w:tab/>
      </w:r>
    </w:p>
    <w:p w14:paraId="38CC5E4E" w14:textId="7F23E731" w:rsidR="001A43D3" w:rsidRPr="00A25B16" w:rsidRDefault="001A43D3" w:rsidP="00CF75E0">
      <w:pPr>
        <w:jc w:val="left"/>
        <w:rPr>
          <w:i/>
          <w:iCs/>
          <w:sz w:val="22"/>
        </w:rPr>
      </w:pPr>
      <w:r w:rsidRPr="00A25B16">
        <w:rPr>
          <w:i/>
          <w:iCs/>
          <w:sz w:val="22"/>
        </w:rPr>
        <w:t>"Los eventos en la capacidad de transporte que impliquen las suspensiones por ocasión de la ocurrencia de eventos de fuerza mayor, caso fortuito o causa extraña, eventos eximentes y labores programadas para reparaciones técnicas o mantenimientos periódicos de la infraestructura de transporte, incluida la infraestructura de importación y la infraestructura de regasificación, que contiene punto de entrada que sirve como punto de entrega del respectivo contrato de suministro, siempre que de ello se dé aviso amplio y oportuno conforme al protocolo al que se hace referencia en el parágrafo 3 de este artículo, y el parágrafo 3 del artículo 11 de la Resolución CREG 185 de 2020, o aquellas que la modifiquen o sustituyan.</w:t>
      </w:r>
    </w:p>
    <w:p w14:paraId="134AB6D9" w14:textId="77777777" w:rsidR="001A43D3" w:rsidRPr="00A25B16" w:rsidRDefault="001A43D3" w:rsidP="00CF75E0">
      <w:pPr>
        <w:jc w:val="left"/>
        <w:rPr>
          <w:i/>
          <w:iCs/>
          <w:sz w:val="22"/>
        </w:rPr>
      </w:pPr>
    </w:p>
    <w:p w14:paraId="34556B83" w14:textId="66B83809" w:rsidR="001A43D3" w:rsidRDefault="001A43D3" w:rsidP="00CF75E0">
      <w:pPr>
        <w:jc w:val="left"/>
        <w:rPr>
          <w:i/>
          <w:iCs/>
          <w:sz w:val="22"/>
        </w:rPr>
      </w:pPr>
      <w:r w:rsidRPr="00A25B16">
        <w:rPr>
          <w:i/>
          <w:iCs/>
          <w:sz w:val="22"/>
        </w:rPr>
        <w:t>Teniendo en cuenta que la resolución es transitoria, agradecemos evaluar que esta condición de evento sea tenia en cuenta en los contratos de transporte, toda vez</w:t>
      </w:r>
      <w:r w:rsidR="001C106A">
        <w:rPr>
          <w:i/>
          <w:iCs/>
          <w:sz w:val="22"/>
        </w:rPr>
        <w:t xml:space="preserve"> </w:t>
      </w:r>
      <w:r w:rsidRPr="00A25B16">
        <w:rPr>
          <w:i/>
          <w:iCs/>
          <w:sz w:val="22"/>
        </w:rPr>
        <w:t>que cuando ocurra un evento eximente o fuerza mayor desde la fuente, sea transferido al transportador"</w:t>
      </w:r>
    </w:p>
    <w:p w14:paraId="2B418C1B" w14:textId="77777777" w:rsidR="00086C1B" w:rsidRDefault="00086C1B" w:rsidP="00CF75E0">
      <w:pPr>
        <w:jc w:val="left"/>
        <w:rPr>
          <w:i/>
          <w:iCs/>
          <w:sz w:val="22"/>
        </w:rPr>
      </w:pPr>
    </w:p>
    <w:p w14:paraId="475638A5"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51C7FD3D" w14:textId="77777777" w:rsidR="002B1FF0" w:rsidRPr="002B1FF0" w:rsidRDefault="002B1FF0" w:rsidP="00CF75E0">
      <w:pPr>
        <w:jc w:val="left"/>
        <w:rPr>
          <w:rFonts w:cs="Arial"/>
          <w:sz w:val="22"/>
          <w:szCs w:val="22"/>
        </w:rPr>
      </w:pPr>
    </w:p>
    <w:p w14:paraId="0268746B" w14:textId="38334BF5" w:rsidR="002028C3" w:rsidRPr="002B1FF0" w:rsidRDefault="002028C3" w:rsidP="002028C3">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Pr>
          <w:rFonts w:cs="Arial"/>
          <w:sz w:val="22"/>
          <w:szCs w:val="22"/>
        </w:rPr>
        <w:t>.</w:t>
      </w:r>
    </w:p>
    <w:p w14:paraId="405C1783" w14:textId="77777777" w:rsidR="00086C1B" w:rsidRDefault="00086C1B" w:rsidP="00CF75E0">
      <w:pPr>
        <w:jc w:val="left"/>
        <w:rPr>
          <w:i/>
          <w:iCs/>
          <w:sz w:val="22"/>
        </w:rPr>
      </w:pPr>
    </w:p>
    <w:p w14:paraId="76E80675" w14:textId="77777777" w:rsidR="00086C1B" w:rsidRPr="00A25B16" w:rsidRDefault="00086C1B" w:rsidP="00CF75E0">
      <w:pPr>
        <w:jc w:val="left"/>
        <w:rPr>
          <w:i/>
          <w:iCs/>
          <w:sz w:val="22"/>
        </w:rPr>
      </w:pPr>
    </w:p>
    <w:p w14:paraId="1E43E3F0" w14:textId="15788D1C" w:rsidR="00086C1B" w:rsidRDefault="001A43D3" w:rsidP="00CF75E0">
      <w:pPr>
        <w:pStyle w:val="Ttulo2"/>
        <w:jc w:val="left"/>
      </w:pPr>
      <w:bookmarkStart w:id="70" w:name="_Toc158211439"/>
      <w:r w:rsidRPr="00A25B16">
        <w:t>GECELCA SA ESP</w:t>
      </w:r>
      <w:bookmarkEnd w:id="70"/>
      <w:r w:rsidRPr="00A25B16">
        <w:tab/>
      </w:r>
    </w:p>
    <w:p w14:paraId="4C0A61C5" w14:textId="6F9FAF5E" w:rsidR="001A43D3" w:rsidRPr="00A25B16" w:rsidRDefault="001A43D3" w:rsidP="00CF75E0">
      <w:pPr>
        <w:jc w:val="left"/>
        <w:rPr>
          <w:i/>
          <w:iCs/>
          <w:sz w:val="22"/>
        </w:rPr>
      </w:pPr>
      <w:r w:rsidRPr="00A25B16">
        <w:rPr>
          <w:i/>
          <w:iCs/>
          <w:sz w:val="22"/>
        </w:rPr>
        <w:t xml:space="preserve">"De acuerdo con lo definido en este artículo, los eventos en la capacidad de transporte están acotados solo a la infraestructura que contiene el punto de entrada del contrato de suministro. En ese sentido, ¿qué pasa cuando se tienen contratados varios tramos y uno de los tramos (que no es aquel que contiene el punto de entrada) se encuentra en mantenimiento? Esto imposibilita también el transporte y consumo del gas hasta el punto final por parte del comprador. </w:t>
      </w:r>
    </w:p>
    <w:p w14:paraId="4555B2F5" w14:textId="77777777" w:rsidR="001A43D3" w:rsidRPr="00A25B16" w:rsidRDefault="001A43D3" w:rsidP="00CF75E0">
      <w:pPr>
        <w:jc w:val="left"/>
        <w:rPr>
          <w:i/>
          <w:iCs/>
          <w:sz w:val="22"/>
        </w:rPr>
      </w:pPr>
    </w:p>
    <w:p w14:paraId="3D7CD6AA" w14:textId="6867D712" w:rsidR="001A43D3" w:rsidRDefault="001A43D3" w:rsidP="00CF75E0">
      <w:pPr>
        <w:jc w:val="left"/>
        <w:rPr>
          <w:i/>
          <w:iCs/>
          <w:sz w:val="22"/>
        </w:rPr>
      </w:pPr>
      <w:r w:rsidRPr="00A25B16">
        <w:rPr>
          <w:i/>
          <w:iCs/>
          <w:sz w:val="22"/>
        </w:rPr>
        <w:t>Por lo anterior, sugerimos se revise estos casos y no acotarlos solo a la indisponibilidad en la infraestructura que contiene el punto de entrada del contrato, sino a todos los tramos contratados que se requieren para llevar el combustible al destino final.</w:t>
      </w:r>
      <w:r w:rsidR="00086C1B">
        <w:rPr>
          <w:i/>
          <w:iCs/>
          <w:sz w:val="22"/>
        </w:rPr>
        <w:t>”</w:t>
      </w:r>
    </w:p>
    <w:p w14:paraId="4C27D643" w14:textId="77777777" w:rsidR="00086C1B" w:rsidRDefault="00086C1B" w:rsidP="00CF75E0">
      <w:pPr>
        <w:jc w:val="left"/>
        <w:rPr>
          <w:i/>
          <w:iCs/>
          <w:sz w:val="22"/>
        </w:rPr>
      </w:pPr>
    </w:p>
    <w:p w14:paraId="0B785CE2"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23900479" w14:textId="77777777" w:rsidR="002B1FF0" w:rsidRPr="002B1FF0" w:rsidRDefault="002B1FF0" w:rsidP="00CF75E0">
      <w:pPr>
        <w:jc w:val="left"/>
        <w:rPr>
          <w:rFonts w:cs="Arial"/>
          <w:sz w:val="22"/>
          <w:szCs w:val="22"/>
        </w:rPr>
      </w:pPr>
    </w:p>
    <w:p w14:paraId="67085C8A" w14:textId="0512001F" w:rsidR="002B1FF0" w:rsidRDefault="003C3BEE" w:rsidP="00CF75E0">
      <w:pPr>
        <w:jc w:val="left"/>
        <w:rPr>
          <w:rFonts w:cs="Arial"/>
          <w:sz w:val="22"/>
          <w:szCs w:val="22"/>
        </w:rPr>
      </w:pPr>
      <w:r>
        <w:rPr>
          <w:rFonts w:cs="Arial"/>
          <w:sz w:val="22"/>
          <w:szCs w:val="22"/>
        </w:rPr>
        <w:t>No se acoge el comentario.</w:t>
      </w:r>
    </w:p>
    <w:p w14:paraId="46CDD1AC" w14:textId="77777777" w:rsidR="003C3BEE" w:rsidRDefault="003C3BEE" w:rsidP="00CF75E0">
      <w:pPr>
        <w:jc w:val="left"/>
        <w:rPr>
          <w:rFonts w:cs="Arial"/>
          <w:sz w:val="22"/>
          <w:szCs w:val="22"/>
        </w:rPr>
      </w:pPr>
    </w:p>
    <w:p w14:paraId="2C20EDD6" w14:textId="6F1EA59C" w:rsidR="003C3BEE" w:rsidRPr="002B1FF0" w:rsidRDefault="00550AC1" w:rsidP="00CF75E0">
      <w:pPr>
        <w:jc w:val="left"/>
        <w:rPr>
          <w:rFonts w:cs="Arial"/>
          <w:sz w:val="22"/>
          <w:szCs w:val="22"/>
        </w:rPr>
      </w:pPr>
      <w:r>
        <w:rPr>
          <w:rFonts w:cs="Arial"/>
          <w:sz w:val="22"/>
          <w:szCs w:val="22"/>
        </w:rPr>
        <w:t>Es posible que, a pesar de que haya en la ruta de transporte alguna indisponibilidad que impida que el gas natural entregado por una fuente de suministro llegue al punto de consumo del comprador o al punto de entrega de un contrato de suministro del Mercado Secundario del comprador del Mercado Primario</w:t>
      </w:r>
      <w:r w:rsidR="00123579">
        <w:rPr>
          <w:rFonts w:cs="Arial"/>
          <w:sz w:val="22"/>
          <w:szCs w:val="22"/>
        </w:rPr>
        <w:t>, ello no implique que el gas natural pueda ser entregado por la misma fuente de suministro, para que mediante la habilitación de rutas alternativas por parte del comprador, el gas pueda ser consumido por el comprador o por terceros que compran el gas al comprador del Mercado Primario.</w:t>
      </w:r>
    </w:p>
    <w:p w14:paraId="367610E7" w14:textId="77777777" w:rsidR="00086C1B" w:rsidRDefault="00086C1B" w:rsidP="00CF75E0">
      <w:pPr>
        <w:jc w:val="left"/>
        <w:rPr>
          <w:i/>
          <w:iCs/>
          <w:sz w:val="22"/>
        </w:rPr>
      </w:pPr>
    </w:p>
    <w:p w14:paraId="603C15B0" w14:textId="77777777" w:rsidR="00086C1B" w:rsidRPr="00A25B16" w:rsidRDefault="00086C1B" w:rsidP="00CF75E0">
      <w:pPr>
        <w:jc w:val="left"/>
        <w:rPr>
          <w:i/>
          <w:iCs/>
          <w:sz w:val="22"/>
        </w:rPr>
      </w:pPr>
    </w:p>
    <w:p w14:paraId="608DD5F7" w14:textId="3CB77BD8" w:rsidR="00086C1B" w:rsidRDefault="001A43D3" w:rsidP="00CF75E0">
      <w:pPr>
        <w:pStyle w:val="Ttulo2"/>
        <w:jc w:val="left"/>
      </w:pPr>
      <w:bookmarkStart w:id="71" w:name="_Toc158211440"/>
      <w:r w:rsidRPr="00A25B16">
        <w:t>Grupo Energético de las Américas S.A.S. E.S.P.</w:t>
      </w:r>
      <w:bookmarkEnd w:id="71"/>
      <w:r w:rsidRPr="00A25B16">
        <w:tab/>
      </w:r>
    </w:p>
    <w:p w14:paraId="794411AB" w14:textId="3191CFF2" w:rsidR="001A43D3" w:rsidRPr="00A25B16" w:rsidRDefault="001A43D3" w:rsidP="00CF75E0">
      <w:pPr>
        <w:jc w:val="left"/>
        <w:rPr>
          <w:i/>
          <w:iCs/>
          <w:sz w:val="22"/>
        </w:rPr>
      </w:pPr>
      <w:r w:rsidRPr="00A25B16">
        <w:rPr>
          <w:i/>
          <w:iCs/>
          <w:sz w:val="22"/>
        </w:rPr>
        <w:t>"Se propone incluir redacción artículo 3, con la finalidad de que, las eventuales situaciones de restricción en la infraestructura de transporte de gas natural no sean mal utilizadas por los productores-comercializadores para su beneficio:</w:t>
      </w:r>
    </w:p>
    <w:p w14:paraId="4366CC20" w14:textId="77777777" w:rsidR="001A43D3" w:rsidRPr="00A25B16" w:rsidRDefault="001A43D3" w:rsidP="00CF75E0">
      <w:pPr>
        <w:jc w:val="left"/>
        <w:rPr>
          <w:i/>
          <w:iCs/>
          <w:sz w:val="22"/>
        </w:rPr>
      </w:pPr>
    </w:p>
    <w:p w14:paraId="59B1BCF8" w14:textId="74BB4F2E" w:rsidR="001A43D3" w:rsidRPr="00A25B16" w:rsidRDefault="001A43D3" w:rsidP="00CF75E0">
      <w:pPr>
        <w:jc w:val="left"/>
        <w:rPr>
          <w:i/>
          <w:iCs/>
          <w:sz w:val="22"/>
        </w:rPr>
      </w:pPr>
      <w:r w:rsidRPr="00A25B16">
        <w:rPr>
          <w:i/>
          <w:iCs/>
          <w:sz w:val="22"/>
        </w:rPr>
        <w:t xml:space="preserve">Los eventos en la capacidad de transporte que impliquen las suspensiones por ocasión de la ocurrencia de eventos de fuerza mayor, caso fortuito o causa extraña, eventos eximentes y labores programadas para reparaciones técnicas o mantenimientos periódicos de la infraestructura de transporte, incluida la infraestructura de importación y la infraestructura de regasificación, que contiene el punto de entrada que sirve como punto de entrega del respectivo contrato de suministro, siempre que de ello se dé aviso amplio y oportuno conforme al protocolo al que se hace referencia en el parágrafo 3 de este artículo, y el parágrafo 3 del artículo 11 de la Resolución CREG 185 de 2020, o aquellas que la modifiquen o sustituyan. </w:t>
      </w:r>
      <w:r w:rsidRPr="00243B9B">
        <w:rPr>
          <w:b/>
          <w:bCs/>
          <w:i/>
          <w:iCs/>
          <w:sz w:val="22"/>
          <w:u w:val="single"/>
        </w:rPr>
        <w:t>Ante estos eventos, el Transportador tendrá la obligación de subsanar su obligación de capacidad de transporte utilizando otros tramos o rutas para llegar al Remitente y siempre que para este último sea indiferente económicamente o acepte expresamente las nuevas condiciones</w:t>
      </w:r>
      <w:r w:rsidRPr="00A25B16">
        <w:rPr>
          <w:i/>
          <w:iCs/>
          <w:sz w:val="22"/>
        </w:rPr>
        <w:t>."</w:t>
      </w:r>
    </w:p>
    <w:p w14:paraId="06CA0E8C" w14:textId="77777777" w:rsidR="00086C1B" w:rsidRDefault="00086C1B" w:rsidP="00CF75E0">
      <w:pPr>
        <w:jc w:val="left"/>
        <w:rPr>
          <w:i/>
          <w:iCs/>
          <w:sz w:val="22"/>
        </w:rPr>
      </w:pPr>
    </w:p>
    <w:p w14:paraId="4F35C57A"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5CE5C032" w14:textId="77777777" w:rsidR="002B1FF0" w:rsidRDefault="002B1FF0" w:rsidP="00CF75E0">
      <w:pPr>
        <w:jc w:val="left"/>
        <w:rPr>
          <w:rFonts w:cs="Arial"/>
          <w:sz w:val="22"/>
          <w:szCs w:val="22"/>
        </w:rPr>
      </w:pPr>
    </w:p>
    <w:p w14:paraId="622D585E" w14:textId="058AC338" w:rsidR="00003E85" w:rsidRDefault="00003E85" w:rsidP="00CF75E0">
      <w:pPr>
        <w:jc w:val="left"/>
        <w:rPr>
          <w:rFonts w:cs="Arial"/>
          <w:sz w:val="22"/>
          <w:szCs w:val="22"/>
        </w:rPr>
      </w:pPr>
      <w:r>
        <w:rPr>
          <w:rFonts w:cs="Arial"/>
          <w:sz w:val="22"/>
          <w:szCs w:val="22"/>
        </w:rPr>
        <w:t>No se acoge el comentario.</w:t>
      </w:r>
    </w:p>
    <w:p w14:paraId="5A7D733B" w14:textId="77777777" w:rsidR="00003E85" w:rsidRDefault="00003E85" w:rsidP="00CF75E0">
      <w:pPr>
        <w:jc w:val="left"/>
        <w:rPr>
          <w:rFonts w:cs="Arial"/>
          <w:sz w:val="22"/>
          <w:szCs w:val="22"/>
        </w:rPr>
      </w:pPr>
    </w:p>
    <w:p w14:paraId="219C477E" w14:textId="37522D7A" w:rsidR="00003E85" w:rsidRDefault="00003E85" w:rsidP="00CF75E0">
      <w:pPr>
        <w:jc w:val="left"/>
        <w:rPr>
          <w:rFonts w:cs="Arial"/>
          <w:sz w:val="22"/>
          <w:szCs w:val="22"/>
        </w:rPr>
      </w:pPr>
      <w:r>
        <w:rPr>
          <w:rFonts w:cs="Arial"/>
          <w:sz w:val="22"/>
          <w:szCs w:val="22"/>
        </w:rPr>
        <w:t>En el contrato de suministro del Mercado Primario que se firma entre un productor-comercializador o un comercializador de gas importado con un comercializador o un usuario no regulado, no se incluyen obligaciones a los transportadores puesto que éstos no son parte de tales contratos.</w:t>
      </w:r>
    </w:p>
    <w:p w14:paraId="2CC252AB" w14:textId="77777777" w:rsidR="00003E85" w:rsidRDefault="00003E85" w:rsidP="00CF75E0">
      <w:pPr>
        <w:jc w:val="left"/>
        <w:rPr>
          <w:rFonts w:cs="Arial"/>
          <w:sz w:val="22"/>
          <w:szCs w:val="22"/>
        </w:rPr>
      </w:pPr>
    </w:p>
    <w:p w14:paraId="69B86010" w14:textId="77777777" w:rsidR="00086C1B" w:rsidRDefault="00086C1B" w:rsidP="00CF75E0">
      <w:pPr>
        <w:jc w:val="left"/>
        <w:rPr>
          <w:i/>
          <w:iCs/>
          <w:sz w:val="22"/>
        </w:rPr>
      </w:pPr>
    </w:p>
    <w:p w14:paraId="4604C4FF" w14:textId="31A342E6" w:rsidR="00086C1B" w:rsidRDefault="001A43D3" w:rsidP="00CF75E0">
      <w:pPr>
        <w:pStyle w:val="Ttulo2"/>
        <w:jc w:val="left"/>
      </w:pPr>
      <w:bookmarkStart w:id="72" w:name="_Ref149315035"/>
      <w:bookmarkStart w:id="73" w:name="_Toc158211441"/>
      <w:r w:rsidRPr="00A25B16">
        <w:t>Hocol S.A.</w:t>
      </w:r>
      <w:bookmarkEnd w:id="72"/>
      <w:bookmarkEnd w:id="73"/>
      <w:r w:rsidRPr="00A25B16">
        <w:tab/>
      </w:r>
    </w:p>
    <w:p w14:paraId="12AB4BAA" w14:textId="2075AE47" w:rsidR="001A43D3" w:rsidRPr="00A25B16" w:rsidRDefault="001A43D3" w:rsidP="00CF75E0">
      <w:pPr>
        <w:jc w:val="left"/>
        <w:rPr>
          <w:i/>
          <w:iCs/>
          <w:sz w:val="22"/>
        </w:rPr>
      </w:pPr>
      <w:r w:rsidRPr="00A25B16">
        <w:rPr>
          <w:i/>
          <w:iCs/>
          <w:sz w:val="22"/>
        </w:rPr>
        <w:t>"Con respecto a incluir los eventos en la capacidad de transporte que impliquen suspensiones del servicio, como eventos eximentes de responsabilidad para los contratos de suministro, observamos como positiva esta medida y para asegurar su eficacia, amablemente sugerimos establecer lo siguiente:</w:t>
      </w:r>
    </w:p>
    <w:p w14:paraId="50827CDE" w14:textId="77777777" w:rsidR="001A43D3" w:rsidRPr="00A25B16" w:rsidRDefault="001A43D3" w:rsidP="00CF75E0">
      <w:pPr>
        <w:jc w:val="left"/>
        <w:rPr>
          <w:i/>
          <w:iCs/>
          <w:sz w:val="22"/>
        </w:rPr>
      </w:pPr>
      <w:r w:rsidRPr="00A25B16">
        <w:rPr>
          <w:i/>
          <w:iCs/>
          <w:sz w:val="22"/>
        </w:rPr>
        <w:t>•</w:t>
      </w:r>
      <w:r w:rsidRPr="00A25B16">
        <w:rPr>
          <w:i/>
          <w:iCs/>
          <w:sz w:val="22"/>
        </w:rPr>
        <w:tab/>
        <w:t>Que las horas de estos eventos de suministro y transporte no pueden ser acumulativas, llevando a que se incremente la indisponibilidad de gas al mercado</w:t>
      </w:r>
    </w:p>
    <w:p w14:paraId="38FD2EC2" w14:textId="77777777" w:rsidR="001A43D3" w:rsidRPr="00A25B16" w:rsidRDefault="001A43D3" w:rsidP="00CF75E0">
      <w:pPr>
        <w:jc w:val="left"/>
        <w:rPr>
          <w:i/>
          <w:iCs/>
          <w:sz w:val="22"/>
        </w:rPr>
      </w:pPr>
      <w:r w:rsidRPr="00A25B16">
        <w:rPr>
          <w:i/>
          <w:iCs/>
          <w:sz w:val="22"/>
        </w:rPr>
        <w:t>•</w:t>
      </w:r>
      <w:r w:rsidRPr="00A25B16">
        <w:rPr>
          <w:i/>
          <w:iCs/>
          <w:sz w:val="22"/>
        </w:rPr>
        <w:tab/>
        <w:t>Que se deben aumentar los esfuerzos de coordinación en el CNOGas para asegurar que estos eventos sean simultáneos en la medida de lo posible.</w:t>
      </w:r>
    </w:p>
    <w:p w14:paraId="63F7A7B5" w14:textId="77777777" w:rsidR="001A43D3" w:rsidRPr="00A25B16" w:rsidRDefault="001A43D3" w:rsidP="00CF75E0">
      <w:pPr>
        <w:jc w:val="left"/>
        <w:rPr>
          <w:i/>
          <w:iCs/>
          <w:sz w:val="22"/>
        </w:rPr>
      </w:pPr>
      <w:r w:rsidRPr="00A25B16">
        <w:rPr>
          <w:i/>
          <w:iCs/>
          <w:sz w:val="22"/>
        </w:rPr>
        <w:lastRenderedPageBreak/>
        <w:t>•</w:t>
      </w:r>
      <w:r w:rsidRPr="00A25B16">
        <w:rPr>
          <w:i/>
          <w:iCs/>
          <w:sz w:val="22"/>
        </w:rPr>
        <w:tab/>
        <w:t>Que se debe asegurar que los eventos por los que se suspenda el servicio en efecto obedezcan a temas de índole técnica u operativa y no de mercado"</w:t>
      </w:r>
    </w:p>
    <w:p w14:paraId="051B2D55" w14:textId="77777777" w:rsidR="005110D2" w:rsidRDefault="005110D2" w:rsidP="00CF75E0">
      <w:pPr>
        <w:jc w:val="left"/>
        <w:rPr>
          <w:i/>
          <w:iCs/>
          <w:sz w:val="22"/>
        </w:rPr>
      </w:pPr>
    </w:p>
    <w:p w14:paraId="1A2276F0"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7399CF8" w14:textId="77777777" w:rsidR="002B1FF0" w:rsidRPr="002B1FF0" w:rsidRDefault="002B1FF0" w:rsidP="00CF75E0">
      <w:pPr>
        <w:jc w:val="left"/>
        <w:rPr>
          <w:rFonts w:cs="Arial"/>
          <w:sz w:val="22"/>
          <w:szCs w:val="22"/>
        </w:rPr>
      </w:pPr>
    </w:p>
    <w:p w14:paraId="17377980" w14:textId="76ADC7BC" w:rsidR="00242364" w:rsidRDefault="00242364" w:rsidP="00CF75E0">
      <w:pPr>
        <w:jc w:val="left"/>
        <w:rPr>
          <w:rFonts w:cs="Arial"/>
          <w:sz w:val="22"/>
          <w:szCs w:val="22"/>
        </w:rPr>
      </w:pPr>
      <w:r>
        <w:rPr>
          <w:rFonts w:cs="Arial"/>
          <w:sz w:val="22"/>
          <w:szCs w:val="22"/>
        </w:rPr>
        <w:t xml:space="preserve">Efectivamente, los eventos eximentes son recíprocos en el contrato de suministro de gas natural: si el vendedor de un contrato de suministro tiene disponibles las cantidades de gas para cumplir las nominaciones del comprador y el comprador </w:t>
      </w:r>
      <w:r w:rsidR="00E842F9">
        <w:rPr>
          <w:rFonts w:cs="Arial"/>
          <w:sz w:val="22"/>
          <w:szCs w:val="22"/>
        </w:rPr>
        <w:t xml:space="preserve">del contrato de suministro de gas </w:t>
      </w:r>
      <w:r>
        <w:rPr>
          <w:rFonts w:cs="Arial"/>
          <w:sz w:val="22"/>
          <w:szCs w:val="22"/>
        </w:rPr>
        <w:t xml:space="preserve">fue informado por el transportador del tramo contratado para transportar el gas natural desde el punto de entrega del contrato de suministro de gas hasta el punto de salida, de la existencia de un evento eximente que imposibilita el transporte de dicho gas, </w:t>
      </w:r>
      <w:r w:rsidR="00E842F9">
        <w:rPr>
          <w:rFonts w:cs="Arial"/>
          <w:sz w:val="22"/>
          <w:szCs w:val="22"/>
        </w:rPr>
        <w:t>el comprador del contrato de suministro queda eximido del pago del suministro de gas natural y el vendedor del contrato de suministro queda eximido del suministro del gas, sin que ello implique incumplimiento.</w:t>
      </w:r>
    </w:p>
    <w:p w14:paraId="3D4C9145" w14:textId="77777777" w:rsidR="00C86F34" w:rsidRDefault="00C86F34" w:rsidP="00CF75E0">
      <w:pPr>
        <w:jc w:val="left"/>
        <w:rPr>
          <w:rFonts w:cs="Arial"/>
          <w:sz w:val="22"/>
          <w:szCs w:val="22"/>
        </w:rPr>
      </w:pPr>
    </w:p>
    <w:p w14:paraId="37D06285" w14:textId="22C6CBE4" w:rsidR="00C86F34" w:rsidRDefault="00C86F34" w:rsidP="00CF75E0">
      <w:pPr>
        <w:jc w:val="left"/>
        <w:rPr>
          <w:rFonts w:cs="Arial"/>
          <w:sz w:val="22"/>
          <w:szCs w:val="22"/>
        </w:rPr>
      </w:pPr>
      <w:r>
        <w:rPr>
          <w:rFonts w:cs="Arial"/>
          <w:sz w:val="22"/>
          <w:szCs w:val="22"/>
        </w:rPr>
        <w:t xml:space="preserve">Derivado de esta norma se espera que haya una mayor coordinación de los mantenimientos entre los vendedores del Mercado Primario de suministro y los vendedores del Mercado Primario de capacidad de transporte, de modo que el comprador de dichos contratos se vea afectado con menores duraciones de los eventos eximentes de suministro de gas </w:t>
      </w:r>
      <w:r w:rsidR="00204E9C">
        <w:rPr>
          <w:rFonts w:cs="Arial"/>
          <w:sz w:val="22"/>
          <w:szCs w:val="22"/>
        </w:rPr>
        <w:t>n</w:t>
      </w:r>
      <w:r>
        <w:rPr>
          <w:rFonts w:cs="Arial"/>
          <w:sz w:val="22"/>
          <w:szCs w:val="22"/>
        </w:rPr>
        <w:t>atural.</w:t>
      </w:r>
    </w:p>
    <w:p w14:paraId="76FC0B86" w14:textId="77777777" w:rsidR="00204E9C" w:rsidRDefault="00204E9C" w:rsidP="00CF75E0">
      <w:pPr>
        <w:jc w:val="left"/>
        <w:rPr>
          <w:rFonts w:cs="Arial"/>
          <w:sz w:val="22"/>
          <w:szCs w:val="22"/>
        </w:rPr>
      </w:pPr>
    </w:p>
    <w:p w14:paraId="10D5FD64" w14:textId="0F0B0AC0" w:rsidR="00204E9C" w:rsidRDefault="00204E9C" w:rsidP="00CF75E0">
      <w:pPr>
        <w:jc w:val="left"/>
        <w:rPr>
          <w:rFonts w:cs="Arial"/>
          <w:sz w:val="22"/>
          <w:szCs w:val="22"/>
        </w:rPr>
      </w:pPr>
      <w:r>
        <w:rPr>
          <w:rFonts w:cs="Arial"/>
          <w:sz w:val="22"/>
          <w:szCs w:val="22"/>
        </w:rPr>
        <w:t>Es necesario un análisis similar en las condiciones mínimas de los contratos de capacidad de transporte para que haya reciprocidad entre la contratación de suministro y la capacidad de transporte para que el usuario final tenga mayor continuidad de la prestación del servicio público. Es necesario para ello ser consciente que el aumento del riesgo del ingreso de parte de los agentes vendedores puede implicar un mayor precio del servicio que se presta, a menos que se logre una configuración particularmente equilibrada en el caso de la manera de calcular el ingreso regulado de los transportadores del SNT</w:t>
      </w:r>
      <w:r w:rsidR="001E1F4C">
        <w:rPr>
          <w:rFonts w:cs="Arial"/>
          <w:sz w:val="22"/>
          <w:szCs w:val="22"/>
        </w:rPr>
        <w:t>, para que los precios de la contratación no se vean afectados negativamente por este tipo de medidas</w:t>
      </w:r>
      <w:r>
        <w:rPr>
          <w:rFonts w:cs="Arial"/>
          <w:sz w:val="22"/>
          <w:szCs w:val="22"/>
        </w:rPr>
        <w:t>.</w:t>
      </w:r>
    </w:p>
    <w:p w14:paraId="2561594F" w14:textId="77777777" w:rsidR="00E842F9" w:rsidRDefault="00E842F9" w:rsidP="00CF75E0">
      <w:pPr>
        <w:jc w:val="left"/>
        <w:rPr>
          <w:rFonts w:cs="Arial"/>
          <w:sz w:val="22"/>
          <w:szCs w:val="22"/>
        </w:rPr>
      </w:pPr>
    </w:p>
    <w:p w14:paraId="5EE680F9" w14:textId="77777777" w:rsidR="005110D2" w:rsidRDefault="005110D2" w:rsidP="00CF75E0">
      <w:pPr>
        <w:jc w:val="left"/>
        <w:rPr>
          <w:i/>
          <w:iCs/>
          <w:sz w:val="22"/>
        </w:rPr>
      </w:pPr>
    </w:p>
    <w:p w14:paraId="1E1376C4" w14:textId="778F1B87" w:rsidR="005110D2" w:rsidRDefault="001A43D3" w:rsidP="00CF75E0">
      <w:pPr>
        <w:pStyle w:val="Ttulo2"/>
        <w:jc w:val="left"/>
      </w:pPr>
      <w:bookmarkStart w:id="74" w:name="_Toc158211442"/>
      <w:r w:rsidRPr="00A25B16">
        <w:t>Metrogas de Colombia SA ESP</w:t>
      </w:r>
      <w:bookmarkEnd w:id="74"/>
      <w:r w:rsidRPr="00A25B16">
        <w:tab/>
      </w:r>
    </w:p>
    <w:p w14:paraId="2EE9C5CA" w14:textId="4BEEAA98" w:rsidR="001A43D3" w:rsidRDefault="001A43D3" w:rsidP="00CF75E0">
      <w:pPr>
        <w:jc w:val="left"/>
        <w:rPr>
          <w:i/>
          <w:iCs/>
          <w:sz w:val="22"/>
        </w:rPr>
      </w:pPr>
      <w:r w:rsidRPr="00A25B16">
        <w:rPr>
          <w:i/>
          <w:iCs/>
          <w:sz w:val="22"/>
        </w:rPr>
        <w:t>Consideramos importante que esta condición aplique a su vez en los eventos eximentes de responsabilidad de la Resolución CREG 185 de 2020, indicando que hacen parte de los eventos eximentes de responsabilidad, los eventos en el suministro que implique la suspensión por ocasión de la ocurrencia de evento de fuerza mayor.</w:t>
      </w:r>
      <w:r w:rsidR="00086C1B">
        <w:rPr>
          <w:i/>
          <w:iCs/>
          <w:sz w:val="22"/>
        </w:rPr>
        <w:t>”</w:t>
      </w:r>
    </w:p>
    <w:p w14:paraId="6AF9A059" w14:textId="77777777" w:rsidR="00086C1B" w:rsidRDefault="00086C1B" w:rsidP="00CF75E0">
      <w:pPr>
        <w:jc w:val="left"/>
        <w:rPr>
          <w:i/>
          <w:iCs/>
          <w:sz w:val="22"/>
        </w:rPr>
      </w:pPr>
    </w:p>
    <w:p w14:paraId="35D87B1E"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4CF7FED2" w14:textId="77777777" w:rsidR="002B1FF0" w:rsidRPr="002B1FF0" w:rsidRDefault="002B1FF0" w:rsidP="00CF75E0">
      <w:pPr>
        <w:jc w:val="left"/>
        <w:rPr>
          <w:rFonts w:cs="Arial"/>
          <w:sz w:val="22"/>
          <w:szCs w:val="22"/>
        </w:rPr>
      </w:pPr>
    </w:p>
    <w:p w14:paraId="59101B9F" w14:textId="475C4F5F" w:rsidR="00032023" w:rsidRPr="002B1FF0" w:rsidRDefault="00032023" w:rsidP="00032023">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Pr>
          <w:rFonts w:cs="Arial"/>
          <w:sz w:val="22"/>
          <w:szCs w:val="22"/>
        </w:rPr>
        <w:t>.</w:t>
      </w:r>
    </w:p>
    <w:p w14:paraId="45852D19" w14:textId="77777777" w:rsidR="00086C1B" w:rsidRPr="00A25B16" w:rsidRDefault="00086C1B" w:rsidP="00CF75E0">
      <w:pPr>
        <w:jc w:val="left"/>
        <w:rPr>
          <w:i/>
          <w:iCs/>
          <w:sz w:val="22"/>
        </w:rPr>
      </w:pPr>
    </w:p>
    <w:p w14:paraId="64310221" w14:textId="0DAC41DD" w:rsidR="00086C1B" w:rsidRDefault="001A43D3" w:rsidP="00CF75E0">
      <w:pPr>
        <w:pStyle w:val="Ttulo2"/>
        <w:jc w:val="left"/>
      </w:pPr>
      <w:bookmarkStart w:id="75" w:name="_Toc158211443"/>
      <w:r w:rsidRPr="00A25B16">
        <w:t>OGE LEGAL SERVICES</w:t>
      </w:r>
      <w:bookmarkEnd w:id="75"/>
      <w:r w:rsidRPr="00A25B16">
        <w:tab/>
      </w:r>
    </w:p>
    <w:p w14:paraId="59559399" w14:textId="1632E7B8" w:rsidR="001A43D3" w:rsidRPr="00A25B16" w:rsidRDefault="001A43D3" w:rsidP="00CF75E0">
      <w:pPr>
        <w:jc w:val="left"/>
        <w:rPr>
          <w:i/>
          <w:iCs/>
          <w:sz w:val="22"/>
        </w:rPr>
      </w:pPr>
      <w:r w:rsidRPr="00A25B16">
        <w:rPr>
          <w:i/>
          <w:iCs/>
          <w:sz w:val="22"/>
        </w:rPr>
        <w:t>"Se sugiere el siguiente texto:</w:t>
      </w:r>
    </w:p>
    <w:p w14:paraId="430C3DC8" w14:textId="77777777" w:rsidR="001A43D3" w:rsidRPr="00A25B16" w:rsidRDefault="001A43D3" w:rsidP="00CF75E0">
      <w:pPr>
        <w:jc w:val="left"/>
        <w:rPr>
          <w:i/>
          <w:iCs/>
          <w:sz w:val="22"/>
        </w:rPr>
      </w:pPr>
    </w:p>
    <w:p w14:paraId="47AAFC65" w14:textId="77777777" w:rsidR="001A43D3" w:rsidRDefault="001A43D3" w:rsidP="00CF75E0">
      <w:pPr>
        <w:jc w:val="left"/>
        <w:rPr>
          <w:i/>
          <w:iCs/>
          <w:sz w:val="22"/>
        </w:rPr>
      </w:pPr>
      <w:r w:rsidRPr="00A25B16">
        <w:rPr>
          <w:i/>
          <w:iCs/>
          <w:sz w:val="22"/>
        </w:rPr>
        <w:t>5. Los eventos en la capacidad de transporte que impliquen las suspensiones por ocasión de la ocurrencia de eventos de fuerza mayor, caso fortuito o causa extraña, eventos eximentes y labores programadas para reparaciones técnicas o mantenimientos periódicos de la infraestructura de transporte, incluida la infraestructura de importación</w:t>
      </w:r>
      <w:r w:rsidRPr="00D4165A">
        <w:rPr>
          <w:b/>
          <w:bCs/>
          <w:i/>
          <w:iCs/>
          <w:sz w:val="22"/>
          <w:highlight w:val="yellow"/>
          <w:u w:val="single"/>
        </w:rPr>
        <w:t xml:space="preserve">, buques metaneros, Unidades de Almacenamiento y Regasificación de Gas Natural Licuado y puertos </w:t>
      </w:r>
      <w:r w:rsidRPr="00D4165A">
        <w:rPr>
          <w:b/>
          <w:bCs/>
          <w:i/>
          <w:iCs/>
          <w:sz w:val="22"/>
          <w:highlight w:val="yellow"/>
          <w:u w:val="single"/>
        </w:rPr>
        <w:lastRenderedPageBreak/>
        <w:t>internacionales</w:t>
      </w:r>
      <w:r w:rsidRPr="00A25B16">
        <w:rPr>
          <w:i/>
          <w:iCs/>
          <w:sz w:val="22"/>
        </w:rPr>
        <w:t xml:space="preserve"> y la infraestructura de regasificación, que contiene el punto de entrada que sirve como punto de entrega del respectivo contrato de suministro, siempre que de ello se dé aviso amplio y oportuno conforme al protocolo al que se hace referencia en el parágrafo 3 de este artículo, y el parágrafo 3 del artículo 11 de la Resolución CREG 185 de 2020, o aquellas que la modifiquen o sustituyan."</w:t>
      </w:r>
    </w:p>
    <w:p w14:paraId="524795FD" w14:textId="77777777" w:rsidR="00086C1B" w:rsidRDefault="00086C1B" w:rsidP="00CF75E0">
      <w:pPr>
        <w:jc w:val="left"/>
        <w:rPr>
          <w:i/>
          <w:iCs/>
          <w:sz w:val="22"/>
        </w:rPr>
      </w:pPr>
    </w:p>
    <w:p w14:paraId="4D5A3173"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1827F068" w14:textId="77777777" w:rsidR="002B1FF0" w:rsidRPr="002B1FF0" w:rsidRDefault="002B1FF0" w:rsidP="00CF75E0">
      <w:pPr>
        <w:jc w:val="left"/>
        <w:rPr>
          <w:rFonts w:cs="Arial"/>
          <w:sz w:val="22"/>
          <w:szCs w:val="22"/>
        </w:rPr>
      </w:pPr>
    </w:p>
    <w:p w14:paraId="4F3E8146" w14:textId="581943DB" w:rsidR="002B1FF0" w:rsidRDefault="00032023" w:rsidP="00CF75E0">
      <w:pPr>
        <w:jc w:val="left"/>
        <w:rPr>
          <w:rFonts w:cs="Arial"/>
          <w:sz w:val="22"/>
          <w:szCs w:val="22"/>
        </w:rPr>
      </w:pPr>
      <w:r>
        <w:rPr>
          <w:rFonts w:cs="Arial"/>
          <w:sz w:val="22"/>
          <w:szCs w:val="22"/>
        </w:rPr>
        <w:t>No se acoge el comentario.</w:t>
      </w:r>
    </w:p>
    <w:p w14:paraId="10D4FB11" w14:textId="77777777" w:rsidR="00032023" w:rsidRDefault="00032023" w:rsidP="00CF75E0">
      <w:pPr>
        <w:jc w:val="left"/>
        <w:rPr>
          <w:rFonts w:cs="Arial"/>
          <w:sz w:val="22"/>
          <w:szCs w:val="22"/>
        </w:rPr>
      </w:pPr>
    </w:p>
    <w:p w14:paraId="6E049DA7" w14:textId="7B183691" w:rsidR="00032023" w:rsidRDefault="00032023" w:rsidP="00CF75E0">
      <w:pPr>
        <w:jc w:val="left"/>
        <w:rPr>
          <w:rFonts w:cs="Arial"/>
          <w:sz w:val="22"/>
          <w:szCs w:val="22"/>
        </w:rPr>
      </w:pPr>
      <w:r>
        <w:rPr>
          <w:rFonts w:cs="Arial"/>
          <w:sz w:val="22"/>
          <w:szCs w:val="22"/>
        </w:rPr>
        <w:t xml:space="preserve">Los eventos propuestos en el comentario pueden ser mitigados con otras fuentes de suministro y de transporte internacionales. Precisamente esta es una de las ventajas particulares que se insisten presenta el gas que es obtenido en el exterior, y es la liquidez de </w:t>
      </w:r>
      <w:r w:rsidR="00DC06A6">
        <w:rPr>
          <w:rFonts w:cs="Arial"/>
          <w:sz w:val="22"/>
          <w:szCs w:val="22"/>
        </w:rPr>
        <w:t>lo</w:t>
      </w:r>
      <w:r>
        <w:rPr>
          <w:rFonts w:cs="Arial"/>
          <w:sz w:val="22"/>
          <w:szCs w:val="22"/>
        </w:rPr>
        <w:t>s mercados internacionales</w:t>
      </w:r>
      <w:r w:rsidR="00DC06A6">
        <w:rPr>
          <w:rFonts w:cs="Arial"/>
          <w:sz w:val="22"/>
          <w:szCs w:val="22"/>
        </w:rPr>
        <w:t xml:space="preserve"> para sustituir rápidamente el gas que no se puede recibir o transportar por el medio inicialmente contratado</w:t>
      </w:r>
      <w:r>
        <w:rPr>
          <w:rFonts w:cs="Arial"/>
          <w:sz w:val="22"/>
          <w:szCs w:val="22"/>
        </w:rPr>
        <w:t>.</w:t>
      </w:r>
    </w:p>
    <w:p w14:paraId="3419BEF0" w14:textId="77777777" w:rsidR="000F1625" w:rsidRDefault="000F1625" w:rsidP="00CF75E0">
      <w:pPr>
        <w:jc w:val="left"/>
        <w:rPr>
          <w:rFonts w:cs="Arial"/>
          <w:sz w:val="22"/>
          <w:szCs w:val="22"/>
        </w:rPr>
      </w:pPr>
    </w:p>
    <w:p w14:paraId="65B3A011" w14:textId="0E10E075" w:rsidR="000F1625" w:rsidRPr="002B1FF0" w:rsidRDefault="000F1625" w:rsidP="00CF75E0">
      <w:pPr>
        <w:jc w:val="left"/>
        <w:rPr>
          <w:rFonts w:cs="Arial"/>
          <w:sz w:val="22"/>
          <w:szCs w:val="22"/>
        </w:rPr>
      </w:pPr>
      <w:r>
        <w:rPr>
          <w:rFonts w:cs="Arial"/>
          <w:sz w:val="22"/>
          <w:szCs w:val="22"/>
        </w:rPr>
        <w:t>Lo anterior no impide que se presenten eventos que pueden considerarse como eximentes, como es el caso de eventos de fuerza mayor.</w:t>
      </w:r>
    </w:p>
    <w:p w14:paraId="246B03CB" w14:textId="77777777" w:rsidR="00086C1B" w:rsidRDefault="00086C1B" w:rsidP="00CF75E0">
      <w:pPr>
        <w:jc w:val="left"/>
        <w:rPr>
          <w:i/>
          <w:iCs/>
          <w:sz w:val="22"/>
        </w:rPr>
      </w:pPr>
    </w:p>
    <w:p w14:paraId="3A532F50" w14:textId="77777777" w:rsidR="00086C1B" w:rsidRPr="00A25B16" w:rsidRDefault="00086C1B" w:rsidP="00CF75E0">
      <w:pPr>
        <w:jc w:val="left"/>
        <w:rPr>
          <w:i/>
          <w:iCs/>
          <w:sz w:val="22"/>
        </w:rPr>
      </w:pPr>
    </w:p>
    <w:p w14:paraId="6A3B263B" w14:textId="43F5667B" w:rsidR="00086C1B" w:rsidRDefault="001A43D3" w:rsidP="00CF75E0">
      <w:pPr>
        <w:pStyle w:val="Ttulo2"/>
        <w:jc w:val="left"/>
      </w:pPr>
      <w:bookmarkStart w:id="76" w:name="_Toc158211444"/>
      <w:r w:rsidRPr="00A25B16">
        <w:t>SANTAFÉ ENERGY</w:t>
      </w:r>
      <w:bookmarkEnd w:id="76"/>
      <w:r w:rsidRPr="00A25B16">
        <w:tab/>
      </w:r>
    </w:p>
    <w:p w14:paraId="05A18743" w14:textId="601831B8" w:rsidR="001A43D3" w:rsidRDefault="00086C1B" w:rsidP="00CF75E0">
      <w:pPr>
        <w:jc w:val="left"/>
        <w:rPr>
          <w:i/>
          <w:iCs/>
          <w:sz w:val="22"/>
        </w:rPr>
      </w:pPr>
      <w:r>
        <w:rPr>
          <w:i/>
          <w:iCs/>
          <w:sz w:val="22"/>
        </w:rPr>
        <w:t>“</w:t>
      </w:r>
      <w:r w:rsidR="001A43D3" w:rsidRPr="00A25B16">
        <w:rPr>
          <w:i/>
          <w:iCs/>
          <w:sz w:val="22"/>
        </w:rPr>
        <w:t>Estimamos conveniente que se mantengan las causales de fuerza mayor durante la transición.</w:t>
      </w:r>
      <w:r>
        <w:rPr>
          <w:i/>
          <w:iCs/>
          <w:sz w:val="22"/>
        </w:rPr>
        <w:t>”</w:t>
      </w:r>
    </w:p>
    <w:p w14:paraId="59C160F3" w14:textId="77777777" w:rsidR="00086C1B" w:rsidRDefault="00086C1B" w:rsidP="00CF75E0">
      <w:pPr>
        <w:jc w:val="left"/>
        <w:rPr>
          <w:i/>
          <w:iCs/>
          <w:sz w:val="22"/>
        </w:rPr>
      </w:pPr>
    </w:p>
    <w:p w14:paraId="691EEA8E"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62193063" w14:textId="77777777" w:rsidR="002B1FF0" w:rsidRPr="002B1FF0" w:rsidRDefault="002B1FF0" w:rsidP="00CF75E0">
      <w:pPr>
        <w:jc w:val="left"/>
        <w:rPr>
          <w:rFonts w:cs="Arial"/>
          <w:sz w:val="22"/>
          <w:szCs w:val="22"/>
        </w:rPr>
      </w:pPr>
    </w:p>
    <w:p w14:paraId="7B6227E5" w14:textId="3D2EA679" w:rsidR="002B1FF0" w:rsidRPr="002B1FF0" w:rsidRDefault="0051418C" w:rsidP="00CF75E0">
      <w:pPr>
        <w:jc w:val="left"/>
        <w:rPr>
          <w:rFonts w:cs="Arial"/>
          <w:sz w:val="22"/>
          <w:szCs w:val="22"/>
        </w:rPr>
      </w:pPr>
      <w:r>
        <w:rPr>
          <w:rFonts w:cs="Arial"/>
          <w:sz w:val="22"/>
          <w:szCs w:val="22"/>
        </w:rPr>
        <w:t>Las causales de fuerza mayor no se están proponiendo modificar en el Proyecto de Resolución.</w:t>
      </w:r>
    </w:p>
    <w:p w14:paraId="28B7E517" w14:textId="77777777" w:rsidR="00086C1B" w:rsidRDefault="00086C1B" w:rsidP="00CF75E0">
      <w:pPr>
        <w:jc w:val="left"/>
        <w:rPr>
          <w:i/>
          <w:iCs/>
          <w:sz w:val="22"/>
        </w:rPr>
      </w:pPr>
    </w:p>
    <w:p w14:paraId="6F631F5F" w14:textId="77777777" w:rsidR="00086C1B" w:rsidRPr="00A25B16" w:rsidRDefault="00086C1B" w:rsidP="00CF75E0">
      <w:pPr>
        <w:jc w:val="left"/>
        <w:rPr>
          <w:i/>
          <w:iCs/>
          <w:sz w:val="22"/>
        </w:rPr>
      </w:pPr>
    </w:p>
    <w:p w14:paraId="42AB613A" w14:textId="110FE859" w:rsidR="00086C1B" w:rsidRDefault="001A43D3" w:rsidP="00CF75E0">
      <w:pPr>
        <w:pStyle w:val="Ttulo2"/>
        <w:jc w:val="left"/>
      </w:pPr>
      <w:bookmarkStart w:id="77" w:name="_Toc158211445"/>
      <w:r w:rsidRPr="00A25B16">
        <w:t>TEBSA</w:t>
      </w:r>
      <w:bookmarkEnd w:id="77"/>
      <w:r w:rsidRPr="00A25B16">
        <w:tab/>
      </w:r>
    </w:p>
    <w:p w14:paraId="20CEBD47" w14:textId="06F0C6CF" w:rsidR="001A43D3" w:rsidRDefault="00086C1B" w:rsidP="00CF75E0">
      <w:pPr>
        <w:jc w:val="left"/>
        <w:rPr>
          <w:i/>
          <w:iCs/>
          <w:sz w:val="22"/>
        </w:rPr>
      </w:pPr>
      <w:r>
        <w:rPr>
          <w:i/>
          <w:iCs/>
          <w:sz w:val="22"/>
        </w:rPr>
        <w:t>“</w:t>
      </w:r>
      <w:r w:rsidR="001A43D3" w:rsidRPr="00A25B16">
        <w:rPr>
          <w:i/>
          <w:iCs/>
          <w:sz w:val="22"/>
        </w:rPr>
        <w:t>Destacamos la inclusión de los eventos en la capacidad de transporte dentro de los eventos eximentes de responsabilidad para los contratos de suministro. Sin embargo, es importante que la medida se extienda para que, dentro de los contratos de transporte se puedan incluir los eventos en el suministro como eventos eximentes de responsabilidad. Lo anterior, teniendo en cuenta que son actividades complementarias.</w:t>
      </w:r>
      <w:r>
        <w:rPr>
          <w:i/>
          <w:iCs/>
          <w:sz w:val="22"/>
        </w:rPr>
        <w:t>”</w:t>
      </w:r>
    </w:p>
    <w:p w14:paraId="688ED5A0" w14:textId="77777777" w:rsidR="00086C1B" w:rsidRDefault="00086C1B" w:rsidP="00CF75E0">
      <w:pPr>
        <w:jc w:val="left"/>
        <w:rPr>
          <w:i/>
          <w:iCs/>
          <w:sz w:val="22"/>
        </w:rPr>
      </w:pPr>
    </w:p>
    <w:p w14:paraId="30C95E04"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8289C4A" w14:textId="77777777" w:rsidR="002B1FF0" w:rsidRDefault="002B1FF0" w:rsidP="00CF75E0">
      <w:pPr>
        <w:jc w:val="left"/>
        <w:rPr>
          <w:rFonts w:cs="Arial"/>
          <w:sz w:val="22"/>
          <w:szCs w:val="22"/>
        </w:rPr>
      </w:pPr>
    </w:p>
    <w:p w14:paraId="65BF3D06" w14:textId="23C29DF9" w:rsidR="004C2F9D" w:rsidRPr="002B1FF0" w:rsidRDefault="004C2F9D" w:rsidP="004C2F9D">
      <w:pPr>
        <w:jc w:val="left"/>
        <w:rPr>
          <w:rFonts w:cs="Arial"/>
          <w:sz w:val="22"/>
          <w:szCs w:val="22"/>
        </w:rPr>
      </w:pPr>
      <w:r>
        <w:rPr>
          <w:rFonts w:cs="Arial"/>
          <w:sz w:val="22"/>
          <w:szCs w:val="22"/>
        </w:rPr>
        <w:t>Ver respuesta al comentario</w:t>
      </w:r>
      <w:r w:rsidR="001C106A">
        <w:rPr>
          <w:rFonts w:cs="Arial"/>
          <w:sz w:val="22"/>
          <w:szCs w:val="22"/>
        </w:rPr>
        <w:t xml:space="preserve"> </w:t>
      </w:r>
      <w:r w:rsidR="001C106A">
        <w:rPr>
          <w:rFonts w:cs="Arial"/>
          <w:sz w:val="22"/>
          <w:szCs w:val="22"/>
        </w:rPr>
        <w:fldChar w:fldCharType="begin"/>
      </w:r>
      <w:r w:rsidR="001C106A">
        <w:rPr>
          <w:rFonts w:cs="Arial"/>
          <w:sz w:val="22"/>
          <w:szCs w:val="22"/>
        </w:rPr>
        <w:instrText xml:space="preserve"> REF _Ref149547740 \w \h </w:instrText>
      </w:r>
      <w:r w:rsidR="001C106A">
        <w:rPr>
          <w:rFonts w:cs="Arial"/>
          <w:sz w:val="22"/>
          <w:szCs w:val="22"/>
        </w:rPr>
      </w:r>
      <w:r w:rsidR="001C106A">
        <w:rPr>
          <w:rFonts w:cs="Arial"/>
          <w:sz w:val="22"/>
          <w:szCs w:val="22"/>
        </w:rPr>
        <w:fldChar w:fldCharType="separate"/>
      </w:r>
      <w:r w:rsidR="0027336D">
        <w:rPr>
          <w:rFonts w:cs="Arial"/>
          <w:sz w:val="22"/>
          <w:szCs w:val="22"/>
        </w:rPr>
        <w:t>3.1</w:t>
      </w:r>
      <w:r w:rsidR="001C106A">
        <w:rPr>
          <w:rFonts w:cs="Arial"/>
          <w:sz w:val="22"/>
          <w:szCs w:val="22"/>
        </w:rPr>
        <w:fldChar w:fldCharType="end"/>
      </w:r>
      <w:r w:rsidR="001C106A">
        <w:rPr>
          <w:rFonts w:cs="Arial"/>
          <w:sz w:val="22"/>
          <w:szCs w:val="22"/>
        </w:rPr>
        <w:t xml:space="preserve"> y al comentario</w:t>
      </w:r>
      <w:r>
        <w:rPr>
          <w:rFonts w:cs="Arial"/>
          <w:sz w:val="22"/>
          <w:szCs w:val="22"/>
        </w:rPr>
        <w:t xml:space="preserve">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Pr>
          <w:rFonts w:cs="Arial"/>
          <w:sz w:val="22"/>
          <w:szCs w:val="22"/>
        </w:rPr>
        <w:t>.</w:t>
      </w:r>
    </w:p>
    <w:p w14:paraId="6AE518DE" w14:textId="77777777" w:rsidR="00086C1B" w:rsidRDefault="00086C1B" w:rsidP="00CF75E0">
      <w:pPr>
        <w:jc w:val="left"/>
        <w:rPr>
          <w:i/>
          <w:iCs/>
          <w:sz w:val="22"/>
        </w:rPr>
      </w:pPr>
    </w:p>
    <w:p w14:paraId="4E22919B" w14:textId="77777777" w:rsidR="00086C1B" w:rsidRPr="00A25B16" w:rsidRDefault="00086C1B" w:rsidP="00CF75E0">
      <w:pPr>
        <w:jc w:val="left"/>
        <w:rPr>
          <w:i/>
          <w:iCs/>
          <w:sz w:val="22"/>
        </w:rPr>
      </w:pPr>
    </w:p>
    <w:p w14:paraId="5E59ABDB" w14:textId="1059DA3B" w:rsidR="00086C1B" w:rsidRDefault="001A43D3" w:rsidP="00CF75E0">
      <w:pPr>
        <w:pStyle w:val="Ttulo2"/>
        <w:jc w:val="left"/>
      </w:pPr>
      <w:bookmarkStart w:id="78" w:name="_Toc158211446"/>
      <w:r w:rsidRPr="00A25B16">
        <w:t>VANTI</w:t>
      </w:r>
      <w:bookmarkEnd w:id="78"/>
      <w:r w:rsidRPr="00A25B16">
        <w:tab/>
      </w:r>
    </w:p>
    <w:p w14:paraId="36401F84" w14:textId="73D6403F" w:rsidR="001A43D3" w:rsidRPr="00A25B16" w:rsidRDefault="001A43D3" w:rsidP="00CF75E0">
      <w:pPr>
        <w:jc w:val="left"/>
        <w:rPr>
          <w:i/>
          <w:iCs/>
          <w:sz w:val="22"/>
        </w:rPr>
      </w:pPr>
      <w:r w:rsidRPr="00A25B16">
        <w:rPr>
          <w:i/>
          <w:iCs/>
          <w:sz w:val="22"/>
        </w:rPr>
        <w:t>"Es positiva la propuesta regulatoria contenida en el artículo 3 que busca que eventos de transporte declarados como fuerza mayor sean eximentes también para el remitente y el productor.</w:t>
      </w:r>
    </w:p>
    <w:p w14:paraId="5505D2CF" w14:textId="77777777" w:rsidR="001A43D3" w:rsidRPr="00A25B16" w:rsidRDefault="001A43D3" w:rsidP="00CF75E0">
      <w:pPr>
        <w:jc w:val="left"/>
        <w:rPr>
          <w:i/>
          <w:iCs/>
          <w:sz w:val="22"/>
        </w:rPr>
      </w:pPr>
    </w:p>
    <w:p w14:paraId="5B753074" w14:textId="77777777" w:rsidR="001A43D3" w:rsidRPr="00A25B16" w:rsidRDefault="001A43D3" w:rsidP="00CF75E0">
      <w:pPr>
        <w:jc w:val="left"/>
        <w:rPr>
          <w:i/>
          <w:iCs/>
          <w:sz w:val="22"/>
        </w:rPr>
      </w:pPr>
      <w:r w:rsidRPr="00A25B16">
        <w:rPr>
          <w:i/>
          <w:iCs/>
          <w:sz w:val="22"/>
        </w:rPr>
        <w:lastRenderedPageBreak/>
        <w:t>Aun sabiendo que no es del alcance de esta consulta, el Grupo Vanti insiste en que esta propuesta regulatoria también sea acogida en la Resolución CREG 185 de 2020, incluyéndola como un nuevo numeral dentro del artículo 11. La propuesta sugerida de redacción es la siguiente:</w:t>
      </w:r>
    </w:p>
    <w:p w14:paraId="39D0C981" w14:textId="77777777" w:rsidR="001A43D3" w:rsidRPr="00A25B16" w:rsidRDefault="001A43D3" w:rsidP="00CF75E0">
      <w:pPr>
        <w:jc w:val="left"/>
        <w:rPr>
          <w:i/>
          <w:iCs/>
          <w:sz w:val="22"/>
        </w:rPr>
      </w:pPr>
    </w:p>
    <w:p w14:paraId="19CF1AE7" w14:textId="77777777" w:rsidR="001A43D3" w:rsidRPr="00A25B16" w:rsidRDefault="001A43D3" w:rsidP="00CF75E0">
      <w:pPr>
        <w:jc w:val="left"/>
        <w:rPr>
          <w:i/>
          <w:iCs/>
          <w:sz w:val="22"/>
        </w:rPr>
      </w:pPr>
      <w:r w:rsidRPr="00A25B16">
        <w:rPr>
          <w:i/>
          <w:iCs/>
          <w:sz w:val="22"/>
        </w:rPr>
        <w:t>“5. Los eventos en la infraestructura de suministro que impliquen las suspensiones totales y/o parciales por ocasión de la ocurrencia de eventos de fuerza mayor, caso fortuito o causa extraña, eventos eximentes y labores programadas para reparaciones técnicas o mantenimientos periódicos de la infraestructura de suministro”.</w:t>
      </w:r>
    </w:p>
    <w:p w14:paraId="3947DCDF" w14:textId="77777777" w:rsidR="001A43D3" w:rsidRPr="00A25B16" w:rsidRDefault="001A43D3" w:rsidP="00CF75E0">
      <w:pPr>
        <w:jc w:val="left"/>
        <w:rPr>
          <w:i/>
          <w:iCs/>
          <w:sz w:val="22"/>
        </w:rPr>
      </w:pPr>
    </w:p>
    <w:p w14:paraId="0A0080E3" w14:textId="14F11F65" w:rsidR="001A43D3" w:rsidRPr="00A25B16" w:rsidRDefault="001A43D3" w:rsidP="00CF75E0">
      <w:pPr>
        <w:jc w:val="left"/>
        <w:rPr>
          <w:i/>
          <w:iCs/>
          <w:sz w:val="22"/>
        </w:rPr>
      </w:pPr>
      <w:r w:rsidRPr="00A25B16">
        <w:rPr>
          <w:i/>
          <w:iCs/>
          <w:sz w:val="22"/>
        </w:rPr>
        <w:t>Vale la pena recordar que la Resolución CREG 102 011 de 2022 incluyó ―de manera transitoria― un parágrafo que considera que las suspensiones por labores programadas para reparaciones técnicas se consideran eventos eximentes. Por lo tanto, se solicita que así mismo se consideren todos los eventos en suministro."</w:t>
      </w:r>
    </w:p>
    <w:p w14:paraId="2ED47984" w14:textId="77777777" w:rsidR="001A43D3" w:rsidRPr="00A25B16" w:rsidRDefault="001A43D3" w:rsidP="00CF75E0">
      <w:pPr>
        <w:jc w:val="left"/>
        <w:rPr>
          <w:i/>
          <w:iCs/>
          <w:sz w:val="22"/>
        </w:rPr>
      </w:pPr>
    </w:p>
    <w:p w14:paraId="79B2FCF6"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629F7123" w14:textId="77777777" w:rsidR="002B1FF0" w:rsidRPr="002B1FF0" w:rsidRDefault="002B1FF0" w:rsidP="00CF75E0">
      <w:pPr>
        <w:jc w:val="left"/>
        <w:rPr>
          <w:rFonts w:cs="Arial"/>
          <w:sz w:val="22"/>
          <w:szCs w:val="22"/>
        </w:rPr>
      </w:pPr>
    </w:p>
    <w:p w14:paraId="02205568" w14:textId="3437A64C" w:rsidR="001C106A" w:rsidRPr="002B1FF0" w:rsidRDefault="001C106A" w:rsidP="001C106A">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_Ref149547740 \w \h </w:instrText>
      </w:r>
      <w:r>
        <w:rPr>
          <w:rFonts w:cs="Arial"/>
          <w:sz w:val="22"/>
          <w:szCs w:val="22"/>
        </w:rPr>
      </w:r>
      <w:r>
        <w:rPr>
          <w:rFonts w:cs="Arial"/>
          <w:sz w:val="22"/>
          <w:szCs w:val="22"/>
        </w:rPr>
        <w:fldChar w:fldCharType="separate"/>
      </w:r>
      <w:r w:rsidR="0027336D">
        <w:rPr>
          <w:rFonts w:cs="Arial"/>
          <w:sz w:val="22"/>
          <w:szCs w:val="22"/>
        </w:rPr>
        <w:t>3.1</w:t>
      </w:r>
      <w:r>
        <w:rPr>
          <w:rFonts w:cs="Arial"/>
          <w:sz w:val="22"/>
          <w:szCs w:val="22"/>
        </w:rPr>
        <w:fldChar w:fldCharType="end"/>
      </w:r>
      <w:r>
        <w:rPr>
          <w:rFonts w:cs="Arial"/>
          <w:sz w:val="22"/>
          <w:szCs w:val="22"/>
        </w:rPr>
        <w:t xml:space="preserve"> y al comentario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Pr>
          <w:rFonts w:cs="Arial"/>
          <w:sz w:val="22"/>
          <w:szCs w:val="22"/>
        </w:rPr>
        <w:t>.</w:t>
      </w:r>
    </w:p>
    <w:p w14:paraId="19C42AA7" w14:textId="77777777" w:rsidR="002B1FF0" w:rsidRPr="002B1FF0" w:rsidRDefault="002B1FF0" w:rsidP="00CF75E0">
      <w:pPr>
        <w:jc w:val="left"/>
        <w:rPr>
          <w:rFonts w:cs="Arial"/>
          <w:sz w:val="22"/>
          <w:szCs w:val="22"/>
        </w:rPr>
      </w:pPr>
    </w:p>
    <w:p w14:paraId="33C0ED33" w14:textId="77777777" w:rsidR="001A43D3" w:rsidRPr="00A25B16" w:rsidRDefault="001A43D3" w:rsidP="00CF75E0">
      <w:pPr>
        <w:jc w:val="left"/>
        <w:rPr>
          <w:i/>
          <w:iCs/>
          <w:sz w:val="22"/>
        </w:rPr>
      </w:pPr>
    </w:p>
    <w:p w14:paraId="48D50E1B" w14:textId="0DCC22A1" w:rsidR="00086C1B" w:rsidRDefault="00230D94" w:rsidP="00CF75E0">
      <w:pPr>
        <w:pStyle w:val="Ttulo1"/>
        <w:jc w:val="left"/>
      </w:pPr>
      <w:bookmarkStart w:id="79" w:name="_Toc158211447"/>
      <w:r>
        <w:t>ARTÍCULO 4</w:t>
      </w:r>
      <w:bookmarkEnd w:id="79"/>
    </w:p>
    <w:p w14:paraId="6D9E89AA" w14:textId="77777777" w:rsidR="00086C1B" w:rsidRDefault="001A43D3" w:rsidP="00CF75E0">
      <w:pPr>
        <w:pStyle w:val="Ttulo2"/>
        <w:jc w:val="left"/>
      </w:pPr>
      <w:bookmarkStart w:id="80" w:name="_Ref149312387"/>
      <w:bookmarkStart w:id="81" w:name="_Ref149313537"/>
      <w:bookmarkStart w:id="82" w:name="_Toc158211448"/>
      <w:r w:rsidRPr="00A25B16">
        <w:t>ENEL Colombia S.A. E.S.P</w:t>
      </w:r>
      <w:bookmarkEnd w:id="80"/>
      <w:bookmarkEnd w:id="81"/>
      <w:bookmarkEnd w:id="82"/>
      <w:r w:rsidRPr="00A25B16">
        <w:tab/>
      </w:r>
    </w:p>
    <w:p w14:paraId="100A83EE" w14:textId="25FD22D7" w:rsidR="001A43D3" w:rsidRPr="00A25B16" w:rsidRDefault="001A43D3" w:rsidP="00CF75E0">
      <w:pPr>
        <w:jc w:val="left"/>
        <w:rPr>
          <w:i/>
          <w:iCs/>
          <w:sz w:val="22"/>
        </w:rPr>
      </w:pPr>
      <w:r w:rsidRPr="00A25B16">
        <w:rPr>
          <w:i/>
          <w:iCs/>
          <w:sz w:val="22"/>
        </w:rPr>
        <w:t xml:space="preserve">"Sobre el Articulo 4 “Duración permisible para suspensiones del servicio”, nuestra observación seria que se entiende  la razón de por ser un periodo tan corto (1 semana laboral) no tendría sentido colocar un periodo de suspensión admisible para un contrato con tal duración, sin embargo la Comisión debe notar que sobre estos mismos contratos podría potencialmente darse una compra de este mismo contrato por parte de un Comercializador en representación de un Usuario, por lo que al no poder declarar la indisponibilidad dentro de la duración permisible le traería como consecuencia a ese Comercializador no poder trasladarle a ese Usuario final la misma, causándole un sobrecosto sin ninguna posibilidad de gestión ni traslado (A diferencia de un Productor-Comercializador o un Comercializador de Gas Importado donde el gas que no se pudo entregar, todavía hace parte del inventario). </w:t>
      </w:r>
    </w:p>
    <w:p w14:paraId="7E7405DE" w14:textId="77777777" w:rsidR="001A43D3" w:rsidRPr="00A25B16" w:rsidRDefault="001A43D3" w:rsidP="00CF75E0">
      <w:pPr>
        <w:jc w:val="left"/>
        <w:rPr>
          <w:i/>
          <w:iCs/>
          <w:sz w:val="22"/>
        </w:rPr>
      </w:pPr>
    </w:p>
    <w:p w14:paraId="44120FA2" w14:textId="77777777" w:rsidR="001A43D3" w:rsidRDefault="001A43D3" w:rsidP="00CF75E0">
      <w:pPr>
        <w:jc w:val="left"/>
        <w:rPr>
          <w:i/>
          <w:iCs/>
          <w:sz w:val="22"/>
        </w:rPr>
      </w:pPr>
      <w:r w:rsidRPr="00A25B16">
        <w:rPr>
          <w:i/>
          <w:iCs/>
          <w:sz w:val="22"/>
        </w:rPr>
        <w:t>Sugeriríamos en este caso que se reconsidere la medida para este tipo de situaciones (definiendo un tiempo o una fracción del tiempo de la duración permisible) y por otra parte si no se considera viable, se debería complementar la medida desde el punto de vista de transparencia y acceso a la información de mantenimientos, de tal forma que anticipadamente los agentes en general del mercado sepan que las disponibilidades adicionales de suministro podrían estar sujetas de una restricción por estas causas y por lo tanto a un riesgo. "</w:t>
      </w:r>
    </w:p>
    <w:p w14:paraId="1C33908B" w14:textId="77777777" w:rsidR="00086C1B" w:rsidRDefault="00086C1B" w:rsidP="00CF75E0">
      <w:pPr>
        <w:jc w:val="left"/>
        <w:rPr>
          <w:i/>
          <w:iCs/>
          <w:sz w:val="22"/>
        </w:rPr>
      </w:pPr>
    </w:p>
    <w:p w14:paraId="0D5AE170"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728748E5" w14:textId="77777777" w:rsidR="002B1FF0" w:rsidRPr="002B1FF0" w:rsidRDefault="002B1FF0" w:rsidP="00CF75E0">
      <w:pPr>
        <w:jc w:val="left"/>
        <w:rPr>
          <w:rFonts w:cs="Arial"/>
          <w:sz w:val="22"/>
          <w:szCs w:val="22"/>
        </w:rPr>
      </w:pPr>
    </w:p>
    <w:p w14:paraId="4B0476C5" w14:textId="6058A1B6" w:rsidR="002B1FF0" w:rsidRDefault="00C777CB" w:rsidP="00CF75E0">
      <w:pPr>
        <w:jc w:val="left"/>
        <w:rPr>
          <w:rFonts w:cs="Arial"/>
          <w:sz w:val="22"/>
          <w:szCs w:val="22"/>
        </w:rPr>
      </w:pPr>
      <w:r>
        <w:rPr>
          <w:rFonts w:cs="Arial"/>
          <w:sz w:val="22"/>
          <w:szCs w:val="22"/>
        </w:rPr>
        <w:t>Se</w:t>
      </w:r>
      <w:r w:rsidR="003E4C9B">
        <w:rPr>
          <w:rFonts w:cs="Arial"/>
          <w:sz w:val="22"/>
          <w:szCs w:val="22"/>
        </w:rPr>
        <w:t xml:space="preserve"> acoge el comentario</w:t>
      </w:r>
      <w:r>
        <w:rPr>
          <w:rFonts w:cs="Arial"/>
          <w:sz w:val="22"/>
          <w:szCs w:val="22"/>
        </w:rPr>
        <w:t xml:space="preserve"> parcialmente</w:t>
      </w:r>
      <w:r w:rsidR="003E4C9B">
        <w:rPr>
          <w:rFonts w:cs="Arial"/>
          <w:sz w:val="22"/>
          <w:szCs w:val="22"/>
        </w:rPr>
        <w:t>.</w:t>
      </w:r>
    </w:p>
    <w:p w14:paraId="3F3F65BB" w14:textId="77777777" w:rsidR="003E4C9B" w:rsidRDefault="003E4C9B" w:rsidP="00CF75E0">
      <w:pPr>
        <w:jc w:val="left"/>
        <w:rPr>
          <w:rFonts w:cs="Arial"/>
          <w:sz w:val="22"/>
          <w:szCs w:val="22"/>
        </w:rPr>
      </w:pPr>
    </w:p>
    <w:p w14:paraId="71157D22" w14:textId="76650907" w:rsidR="00F24C8E" w:rsidRDefault="003E4C9B" w:rsidP="00CF75E0">
      <w:pPr>
        <w:jc w:val="left"/>
        <w:rPr>
          <w:rFonts w:cs="Arial"/>
          <w:sz w:val="22"/>
          <w:szCs w:val="22"/>
        </w:rPr>
      </w:pPr>
      <w:r>
        <w:rPr>
          <w:rFonts w:cs="Arial"/>
          <w:sz w:val="22"/>
          <w:szCs w:val="22"/>
        </w:rPr>
        <w:t>Los eventos eximentes son recíprocos</w:t>
      </w:r>
      <w:r w:rsidR="00EC5D76">
        <w:rPr>
          <w:rFonts w:cs="Arial"/>
          <w:sz w:val="22"/>
          <w:szCs w:val="22"/>
        </w:rPr>
        <w:t xml:space="preserve"> entre las partes del contrato de suministro</w:t>
      </w:r>
      <w:r>
        <w:rPr>
          <w:rFonts w:cs="Arial"/>
          <w:sz w:val="22"/>
          <w:szCs w:val="22"/>
        </w:rPr>
        <w:t>. Es de tener en cuenta que el beneficiario del evento eximente</w:t>
      </w:r>
      <w:r w:rsidR="00EC5D76">
        <w:rPr>
          <w:rFonts w:cs="Arial"/>
          <w:sz w:val="22"/>
          <w:szCs w:val="22"/>
        </w:rPr>
        <w:t xml:space="preserve"> puede ser cualquiera de las dos partes </w:t>
      </w:r>
      <w:r>
        <w:rPr>
          <w:rFonts w:cs="Arial"/>
          <w:sz w:val="22"/>
          <w:szCs w:val="22"/>
        </w:rPr>
        <w:t xml:space="preserve">del </w:t>
      </w:r>
      <w:r w:rsidR="00EC5D76">
        <w:rPr>
          <w:rFonts w:cs="Arial"/>
          <w:sz w:val="22"/>
          <w:szCs w:val="22"/>
        </w:rPr>
        <w:t xml:space="preserve">contrato de suministro, cuyas condiciones están establecidas por la CREG </w:t>
      </w:r>
      <w:r w:rsidR="00F24C8E">
        <w:rPr>
          <w:rFonts w:cs="Arial"/>
          <w:sz w:val="22"/>
          <w:szCs w:val="22"/>
        </w:rPr>
        <w:t xml:space="preserve">de modo idéntico </w:t>
      </w:r>
      <w:r w:rsidR="00F24C8E">
        <w:rPr>
          <w:rFonts w:cs="Arial"/>
          <w:sz w:val="22"/>
          <w:szCs w:val="22"/>
        </w:rPr>
        <w:lastRenderedPageBreak/>
        <w:t xml:space="preserve">tanto para el Mercado Primario como para el Mercado Secundario. </w:t>
      </w:r>
      <w:r w:rsidR="00C808FE">
        <w:rPr>
          <w:rFonts w:cs="Arial"/>
          <w:sz w:val="22"/>
          <w:szCs w:val="22"/>
        </w:rPr>
        <w:t xml:space="preserve">Ello no implica que, en consideración a que una parte o la totalidad de la cantidad contratada por el comprador del Mercado Primario la destinará a atender una venta en el Mercado Secundario o a la prestación del servicio público domiciliario de un usuarios o grupo de usuarios en el Mercado Minorista, se considere evento eximente de la parte compradora del Mercado Primario cuando la parte compradora de éste en el Mercado Secundario o el usuario final del servicio del Mercado Minorista, desarrollen </w:t>
      </w:r>
      <w:r w:rsidR="00C808FE" w:rsidRPr="00B30EB3">
        <w:rPr>
          <w:rFonts w:cs="Arial"/>
          <w:sz w:val="22"/>
          <w:szCs w:val="22"/>
        </w:rPr>
        <w:t>labores programadas para reparaciones técnicas o mantenimientos</w:t>
      </w:r>
      <w:r w:rsidR="00C808FE">
        <w:rPr>
          <w:rFonts w:cs="Arial"/>
          <w:sz w:val="22"/>
          <w:szCs w:val="22"/>
        </w:rPr>
        <w:t xml:space="preserve"> </w:t>
      </w:r>
      <w:r w:rsidR="00C808FE" w:rsidRPr="00B30EB3">
        <w:rPr>
          <w:rFonts w:cs="Arial"/>
          <w:sz w:val="22"/>
          <w:szCs w:val="22"/>
        </w:rPr>
        <w:t>periódicos</w:t>
      </w:r>
      <w:r w:rsidR="00C808FE">
        <w:rPr>
          <w:rFonts w:cs="Arial"/>
          <w:sz w:val="22"/>
          <w:szCs w:val="22"/>
        </w:rPr>
        <w:t xml:space="preserve"> y por ello no consuma el gas contratado.</w:t>
      </w:r>
    </w:p>
    <w:p w14:paraId="090B662B" w14:textId="77777777" w:rsidR="00F24C8E" w:rsidRDefault="00F24C8E" w:rsidP="00CF75E0">
      <w:pPr>
        <w:jc w:val="left"/>
        <w:rPr>
          <w:rFonts w:cs="Arial"/>
          <w:sz w:val="22"/>
          <w:szCs w:val="22"/>
        </w:rPr>
      </w:pPr>
    </w:p>
    <w:p w14:paraId="71A5C383" w14:textId="4C57AD2C" w:rsidR="003E4C9B" w:rsidRDefault="00102B1C" w:rsidP="00CF75E0">
      <w:pPr>
        <w:jc w:val="left"/>
        <w:rPr>
          <w:rFonts w:cs="Arial"/>
          <w:sz w:val="22"/>
          <w:szCs w:val="22"/>
        </w:rPr>
      </w:pPr>
      <w:r>
        <w:rPr>
          <w:rFonts w:cs="Arial"/>
          <w:sz w:val="22"/>
          <w:szCs w:val="22"/>
        </w:rPr>
        <w:t>Por otro lado, l</w:t>
      </w:r>
      <w:r w:rsidR="003E4C9B">
        <w:rPr>
          <w:rFonts w:cs="Arial"/>
          <w:sz w:val="22"/>
          <w:szCs w:val="22"/>
        </w:rPr>
        <w:t>os usuarios no regulados pueden acudir a contratar el suministro de gas natural en el Mercado Primario y ser beneficiarios del evento eximente como parte compradora</w:t>
      </w:r>
      <w:r>
        <w:rPr>
          <w:rFonts w:cs="Arial"/>
          <w:sz w:val="22"/>
          <w:szCs w:val="22"/>
        </w:rPr>
        <w:t xml:space="preserve"> de ese contrato</w:t>
      </w:r>
      <w:r w:rsidR="003E4C9B">
        <w:rPr>
          <w:rFonts w:cs="Arial"/>
          <w:sz w:val="22"/>
          <w:szCs w:val="22"/>
        </w:rPr>
        <w:t xml:space="preserve">. Cuando el usuario no regulado acude a la compra en el Mercado Minorista, la negociación entre las partes corresponde a un contrato de prestación del servicio público domiciliario en el que </w:t>
      </w:r>
      <w:r>
        <w:rPr>
          <w:rFonts w:cs="Arial"/>
          <w:sz w:val="22"/>
          <w:szCs w:val="22"/>
        </w:rPr>
        <w:t xml:space="preserve">se </w:t>
      </w:r>
      <w:r w:rsidR="003E4C9B">
        <w:rPr>
          <w:rFonts w:cs="Arial"/>
          <w:sz w:val="22"/>
          <w:szCs w:val="22"/>
        </w:rPr>
        <w:t xml:space="preserve">pueden negociar condiciones especiales en tal prestación. </w:t>
      </w:r>
    </w:p>
    <w:p w14:paraId="7CACDA8B" w14:textId="77777777" w:rsidR="00C30DEA" w:rsidRDefault="00C30DEA" w:rsidP="00CF75E0">
      <w:pPr>
        <w:jc w:val="left"/>
        <w:rPr>
          <w:rFonts w:cs="Arial"/>
          <w:sz w:val="22"/>
          <w:szCs w:val="22"/>
        </w:rPr>
      </w:pPr>
    </w:p>
    <w:p w14:paraId="4259754C" w14:textId="77777777" w:rsidR="00F24C8E" w:rsidRDefault="00C30DEA" w:rsidP="00CF75E0">
      <w:pPr>
        <w:jc w:val="left"/>
        <w:rPr>
          <w:rFonts w:cs="Arial"/>
          <w:sz w:val="22"/>
          <w:szCs w:val="22"/>
        </w:rPr>
      </w:pPr>
      <w:r>
        <w:rPr>
          <w:rFonts w:cs="Arial"/>
          <w:sz w:val="22"/>
          <w:szCs w:val="22"/>
        </w:rPr>
        <w:t>En los contratos de duración semanal propuestos</w:t>
      </w:r>
      <w:r w:rsidR="00F24C8E">
        <w:rPr>
          <w:rFonts w:cs="Arial"/>
          <w:sz w:val="22"/>
          <w:szCs w:val="22"/>
        </w:rPr>
        <w:t>,</w:t>
      </w:r>
      <w:r>
        <w:rPr>
          <w:rFonts w:cs="Arial"/>
          <w:sz w:val="22"/>
          <w:szCs w:val="22"/>
        </w:rPr>
        <w:t xml:space="preserve"> </w:t>
      </w:r>
      <w:r w:rsidR="00B30EB3">
        <w:rPr>
          <w:rFonts w:cs="Arial"/>
          <w:sz w:val="22"/>
          <w:szCs w:val="22"/>
        </w:rPr>
        <w:t>el Proyecto de Resolución</w:t>
      </w:r>
      <w:r>
        <w:rPr>
          <w:rFonts w:cs="Arial"/>
          <w:sz w:val="22"/>
          <w:szCs w:val="22"/>
        </w:rPr>
        <w:t xml:space="preserve"> establece que </w:t>
      </w:r>
      <w:r w:rsidR="00B30EB3">
        <w:rPr>
          <w:rFonts w:cs="Arial"/>
          <w:sz w:val="22"/>
          <w:szCs w:val="22"/>
        </w:rPr>
        <w:t>l</w:t>
      </w:r>
      <w:r w:rsidR="00B30EB3" w:rsidRPr="00B30EB3">
        <w:rPr>
          <w:rFonts w:cs="Arial"/>
          <w:sz w:val="22"/>
          <w:szCs w:val="22"/>
        </w:rPr>
        <w:t>a duración de las suspensiones del servicio por</w:t>
      </w:r>
      <w:r w:rsidR="00B30EB3">
        <w:rPr>
          <w:rFonts w:cs="Arial"/>
          <w:sz w:val="22"/>
          <w:szCs w:val="22"/>
        </w:rPr>
        <w:t xml:space="preserve"> </w:t>
      </w:r>
      <w:r w:rsidR="00B30EB3" w:rsidRPr="00B30EB3">
        <w:rPr>
          <w:rFonts w:cs="Arial"/>
          <w:sz w:val="22"/>
          <w:szCs w:val="22"/>
        </w:rPr>
        <w:t>labores programadas para reparaciones técnicas o mantenimientos</w:t>
      </w:r>
      <w:r w:rsidR="00B30EB3">
        <w:rPr>
          <w:rFonts w:cs="Arial"/>
          <w:sz w:val="22"/>
          <w:szCs w:val="22"/>
        </w:rPr>
        <w:t xml:space="preserve"> </w:t>
      </w:r>
      <w:r w:rsidR="00B30EB3" w:rsidRPr="00B30EB3">
        <w:rPr>
          <w:rFonts w:cs="Arial"/>
          <w:sz w:val="22"/>
          <w:szCs w:val="22"/>
        </w:rPr>
        <w:t>periódicos que se podrá pactar en que se pacte la ejecución en semanas laborales,</w:t>
      </w:r>
      <w:r w:rsidR="00B30EB3">
        <w:rPr>
          <w:rFonts w:cs="Arial"/>
          <w:sz w:val="22"/>
          <w:szCs w:val="22"/>
        </w:rPr>
        <w:t xml:space="preserve"> </w:t>
      </w:r>
      <w:r w:rsidR="00B30EB3" w:rsidRPr="00B30EB3">
        <w:rPr>
          <w:rFonts w:cs="Arial"/>
          <w:sz w:val="22"/>
          <w:szCs w:val="22"/>
        </w:rPr>
        <w:t>será de cero (0) horas.</w:t>
      </w:r>
      <w:r w:rsidR="00B30EB3">
        <w:rPr>
          <w:rFonts w:cs="Arial"/>
          <w:sz w:val="22"/>
          <w:szCs w:val="22"/>
        </w:rPr>
        <w:t xml:space="preserve"> Se le adicionará la medida para que también se aplique en el caso de contratos de duración pactada en semanas calendario</w:t>
      </w:r>
      <w:r w:rsidR="00F01B9F">
        <w:rPr>
          <w:rFonts w:cs="Arial"/>
          <w:sz w:val="22"/>
          <w:szCs w:val="22"/>
        </w:rPr>
        <w:t xml:space="preserve"> pues el objetivo de esta medida es precisamente que haya una programación de mantenimientos de parte de los vendedores del Mercado Primario que les permita declarar la PTDVF debidamente</w:t>
      </w:r>
      <w:r w:rsidR="006A1118">
        <w:rPr>
          <w:rFonts w:cs="Arial"/>
          <w:sz w:val="22"/>
          <w:szCs w:val="22"/>
        </w:rPr>
        <w:t xml:space="preserve"> y que el comprador sepa que no se le harán interrupciones </w:t>
      </w:r>
      <w:r w:rsidR="00157D7D">
        <w:rPr>
          <w:rFonts w:cs="Arial"/>
          <w:sz w:val="22"/>
          <w:szCs w:val="22"/>
        </w:rPr>
        <w:t xml:space="preserve">del suministro </w:t>
      </w:r>
      <w:r w:rsidR="006A1118">
        <w:rPr>
          <w:rFonts w:cs="Arial"/>
          <w:sz w:val="22"/>
          <w:szCs w:val="22"/>
        </w:rPr>
        <w:t>por dicho motivo</w:t>
      </w:r>
      <w:r w:rsidR="00B30EB3">
        <w:rPr>
          <w:rFonts w:cs="Arial"/>
          <w:sz w:val="22"/>
          <w:szCs w:val="22"/>
        </w:rPr>
        <w:t>.</w:t>
      </w:r>
      <w:r w:rsidR="00F24C8E">
        <w:rPr>
          <w:rFonts w:cs="Arial"/>
          <w:sz w:val="22"/>
          <w:szCs w:val="22"/>
        </w:rPr>
        <w:t xml:space="preserve"> </w:t>
      </w:r>
    </w:p>
    <w:p w14:paraId="7B082E67" w14:textId="77777777" w:rsidR="00F24C8E" w:rsidRDefault="00F24C8E" w:rsidP="00CF75E0">
      <w:pPr>
        <w:jc w:val="left"/>
        <w:rPr>
          <w:rFonts w:cs="Arial"/>
          <w:sz w:val="22"/>
          <w:szCs w:val="22"/>
        </w:rPr>
      </w:pPr>
    </w:p>
    <w:p w14:paraId="237308B0" w14:textId="68FA540A" w:rsidR="00C30DEA" w:rsidRDefault="00F24C8E" w:rsidP="00CF75E0">
      <w:pPr>
        <w:jc w:val="left"/>
        <w:rPr>
          <w:rFonts w:cs="Arial"/>
          <w:sz w:val="22"/>
          <w:szCs w:val="22"/>
        </w:rPr>
      </w:pPr>
      <w:r>
        <w:rPr>
          <w:rFonts w:cs="Arial"/>
          <w:sz w:val="22"/>
          <w:szCs w:val="22"/>
        </w:rPr>
        <w:t>Corresponde al productor-comercializador planear en qué períodos desarrollarán las</w:t>
      </w:r>
      <w:r w:rsidRPr="00F24C8E">
        <w:rPr>
          <w:rFonts w:cs="Arial"/>
          <w:sz w:val="22"/>
          <w:szCs w:val="22"/>
        </w:rPr>
        <w:t xml:space="preserve"> </w:t>
      </w:r>
      <w:r w:rsidRPr="00B30EB3">
        <w:rPr>
          <w:rFonts w:cs="Arial"/>
          <w:sz w:val="22"/>
          <w:szCs w:val="22"/>
        </w:rPr>
        <w:t>labores programadas para reparaciones técnicas o mantenimientos</w:t>
      </w:r>
      <w:r>
        <w:rPr>
          <w:rFonts w:cs="Arial"/>
          <w:sz w:val="22"/>
          <w:szCs w:val="22"/>
        </w:rPr>
        <w:t xml:space="preserve"> </w:t>
      </w:r>
      <w:r w:rsidRPr="00B30EB3">
        <w:rPr>
          <w:rFonts w:cs="Arial"/>
          <w:sz w:val="22"/>
          <w:szCs w:val="22"/>
        </w:rPr>
        <w:t>periódicos</w:t>
      </w:r>
      <w:r>
        <w:rPr>
          <w:rFonts w:cs="Arial"/>
          <w:sz w:val="22"/>
          <w:szCs w:val="22"/>
        </w:rPr>
        <w:t xml:space="preserve">, para que de modo consistente, sean incorporadas en el cálculo de sus declaraciones de CIDVF y en los contratos que suscriba. Por ello, no hay lugar a la firma de contratos de suministro, bajo el esquema propuesto en el Proyecto de Resolución, en el que se incorporen como eventos eximentes duraciones de reparaciones técnicas o mantenimientos periódicos, ni siquiera de manera fraccionada en proporción a la duración del contrato. </w:t>
      </w:r>
    </w:p>
    <w:p w14:paraId="5B54E49B" w14:textId="77777777" w:rsidR="003E4C9B" w:rsidRPr="002B1FF0" w:rsidRDefault="003E4C9B" w:rsidP="00CF75E0">
      <w:pPr>
        <w:jc w:val="left"/>
        <w:rPr>
          <w:rFonts w:cs="Arial"/>
          <w:sz w:val="22"/>
          <w:szCs w:val="22"/>
        </w:rPr>
      </w:pPr>
    </w:p>
    <w:p w14:paraId="6D74B397" w14:textId="77777777" w:rsidR="00086C1B" w:rsidRPr="00A25B16" w:rsidRDefault="00086C1B" w:rsidP="00CF75E0">
      <w:pPr>
        <w:jc w:val="left"/>
        <w:rPr>
          <w:i/>
          <w:iCs/>
          <w:sz w:val="22"/>
        </w:rPr>
      </w:pPr>
    </w:p>
    <w:p w14:paraId="14F6D940" w14:textId="43F95E36" w:rsidR="00086C1B" w:rsidRDefault="001A43D3" w:rsidP="00CF75E0">
      <w:pPr>
        <w:pStyle w:val="Ttulo2"/>
        <w:jc w:val="left"/>
      </w:pPr>
      <w:bookmarkStart w:id="83" w:name="_Toc158211449"/>
      <w:r w:rsidRPr="00A25B16">
        <w:t>SANTAFÉ ENERGY</w:t>
      </w:r>
      <w:bookmarkEnd w:id="83"/>
      <w:r w:rsidRPr="00A25B16">
        <w:tab/>
      </w:r>
    </w:p>
    <w:p w14:paraId="61A987C3" w14:textId="1531F061" w:rsidR="001A43D3" w:rsidRPr="00A25B16" w:rsidRDefault="00086C1B" w:rsidP="00CF75E0">
      <w:pPr>
        <w:jc w:val="left"/>
        <w:rPr>
          <w:i/>
          <w:iCs/>
          <w:sz w:val="22"/>
        </w:rPr>
      </w:pPr>
      <w:r>
        <w:rPr>
          <w:i/>
          <w:iCs/>
          <w:sz w:val="22"/>
        </w:rPr>
        <w:t>“</w:t>
      </w:r>
      <w:r w:rsidR="001A43D3" w:rsidRPr="00A25B16">
        <w:rPr>
          <w:i/>
          <w:iCs/>
          <w:sz w:val="22"/>
        </w:rPr>
        <w:t>Es adecuado que durante la transición no haya suspensi</w:t>
      </w:r>
      <w:r w:rsidR="00C245F9">
        <w:rPr>
          <w:i/>
          <w:iCs/>
          <w:sz w:val="22"/>
        </w:rPr>
        <w:t>ó</w:t>
      </w:r>
      <w:r w:rsidR="001A43D3" w:rsidRPr="00A25B16">
        <w:rPr>
          <w:i/>
          <w:iCs/>
          <w:sz w:val="22"/>
        </w:rPr>
        <w:t>n del servicio por labores</w:t>
      </w:r>
      <w:r w:rsidR="00AD28B1">
        <w:rPr>
          <w:i/>
          <w:iCs/>
          <w:sz w:val="22"/>
        </w:rPr>
        <w:t xml:space="preserve"> </w:t>
      </w:r>
      <w:r w:rsidR="001A43D3" w:rsidRPr="00A25B16">
        <w:rPr>
          <w:i/>
          <w:iCs/>
          <w:sz w:val="22"/>
        </w:rPr>
        <w:t>programadas  o que si se pactan sean iguales a cero (0)</w:t>
      </w:r>
      <w:r>
        <w:rPr>
          <w:i/>
          <w:iCs/>
          <w:sz w:val="22"/>
        </w:rPr>
        <w:t>”</w:t>
      </w:r>
    </w:p>
    <w:p w14:paraId="7489F807" w14:textId="77777777" w:rsidR="001A43D3" w:rsidRPr="00A25B16" w:rsidRDefault="001A43D3" w:rsidP="00CF75E0">
      <w:pPr>
        <w:jc w:val="left"/>
        <w:rPr>
          <w:i/>
          <w:iCs/>
          <w:sz w:val="22"/>
        </w:rPr>
      </w:pPr>
    </w:p>
    <w:p w14:paraId="7192D422"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28E100AF" w14:textId="77777777" w:rsidR="002B1FF0" w:rsidRDefault="002B1FF0" w:rsidP="00CF75E0">
      <w:pPr>
        <w:jc w:val="left"/>
        <w:rPr>
          <w:rFonts w:cs="Arial"/>
          <w:sz w:val="22"/>
          <w:szCs w:val="22"/>
        </w:rPr>
      </w:pPr>
    </w:p>
    <w:p w14:paraId="783DD3B2" w14:textId="7939E377" w:rsidR="00BB0D33" w:rsidRPr="002B1FF0" w:rsidRDefault="0006691B"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_Ref149312387 \w \h </w:instrText>
      </w:r>
      <w:r>
        <w:rPr>
          <w:rFonts w:cs="Arial"/>
          <w:sz w:val="22"/>
          <w:szCs w:val="22"/>
        </w:rPr>
      </w:r>
      <w:r>
        <w:rPr>
          <w:rFonts w:cs="Arial"/>
          <w:sz w:val="22"/>
          <w:szCs w:val="22"/>
        </w:rPr>
        <w:fldChar w:fldCharType="separate"/>
      </w:r>
      <w:r w:rsidR="0027336D">
        <w:rPr>
          <w:rFonts w:cs="Arial"/>
          <w:sz w:val="22"/>
          <w:szCs w:val="22"/>
        </w:rPr>
        <w:t>4.1</w:t>
      </w:r>
      <w:r>
        <w:rPr>
          <w:rFonts w:cs="Arial"/>
          <w:sz w:val="22"/>
          <w:szCs w:val="22"/>
        </w:rPr>
        <w:fldChar w:fldCharType="end"/>
      </w:r>
      <w:r>
        <w:rPr>
          <w:rFonts w:cs="Arial"/>
          <w:sz w:val="22"/>
          <w:szCs w:val="22"/>
        </w:rPr>
        <w:t>.</w:t>
      </w:r>
    </w:p>
    <w:p w14:paraId="5AE3F571" w14:textId="77777777" w:rsidR="002B1FF0" w:rsidRPr="002B1FF0" w:rsidRDefault="002B1FF0" w:rsidP="00CF75E0">
      <w:pPr>
        <w:jc w:val="left"/>
        <w:rPr>
          <w:rFonts w:cs="Arial"/>
          <w:sz w:val="22"/>
          <w:szCs w:val="22"/>
        </w:rPr>
      </w:pPr>
    </w:p>
    <w:p w14:paraId="652D7689" w14:textId="77777777" w:rsidR="001A43D3" w:rsidRDefault="001A43D3" w:rsidP="00CF75E0">
      <w:pPr>
        <w:jc w:val="left"/>
        <w:rPr>
          <w:i/>
          <w:iCs/>
          <w:sz w:val="22"/>
        </w:rPr>
      </w:pPr>
    </w:p>
    <w:p w14:paraId="5E4C3160" w14:textId="598CE46A" w:rsidR="00230D94" w:rsidRPr="00A25B16" w:rsidRDefault="00230D94" w:rsidP="00CF75E0">
      <w:pPr>
        <w:pStyle w:val="Ttulo1"/>
        <w:jc w:val="left"/>
      </w:pPr>
      <w:bookmarkStart w:id="84" w:name="_Toc158211450"/>
      <w:r>
        <w:t>ARTÍCULO 5</w:t>
      </w:r>
      <w:bookmarkEnd w:id="84"/>
    </w:p>
    <w:p w14:paraId="21518B65" w14:textId="5FE56FF1" w:rsidR="00086C1B" w:rsidRDefault="001A43D3" w:rsidP="00CF75E0">
      <w:pPr>
        <w:pStyle w:val="Ttulo2"/>
        <w:jc w:val="left"/>
      </w:pPr>
      <w:bookmarkStart w:id="85" w:name="_Ref148951312"/>
      <w:bookmarkStart w:id="86" w:name="_Ref148951883"/>
      <w:bookmarkStart w:id="87" w:name="_Ref148954112"/>
      <w:bookmarkStart w:id="88" w:name="_Ref148954167"/>
      <w:bookmarkStart w:id="89" w:name="_Ref148955242"/>
      <w:bookmarkStart w:id="90" w:name="_Ref148955959"/>
      <w:bookmarkStart w:id="91" w:name="_Toc158211451"/>
      <w:r w:rsidRPr="00A25B16">
        <w:t>ACP</w:t>
      </w:r>
      <w:bookmarkEnd w:id="85"/>
      <w:bookmarkEnd w:id="86"/>
      <w:bookmarkEnd w:id="87"/>
      <w:bookmarkEnd w:id="88"/>
      <w:bookmarkEnd w:id="89"/>
      <w:bookmarkEnd w:id="90"/>
      <w:bookmarkEnd w:id="91"/>
      <w:r w:rsidRPr="00A25B16">
        <w:tab/>
      </w:r>
    </w:p>
    <w:p w14:paraId="39CCAF40" w14:textId="542F17F5" w:rsidR="001A43D3" w:rsidRPr="00A25B16" w:rsidRDefault="001A43D3" w:rsidP="00CF75E0">
      <w:pPr>
        <w:jc w:val="left"/>
        <w:rPr>
          <w:i/>
          <w:iCs/>
          <w:sz w:val="22"/>
        </w:rPr>
      </w:pPr>
      <w:r w:rsidRPr="00A25B16">
        <w:rPr>
          <w:i/>
          <w:iCs/>
          <w:sz w:val="22"/>
        </w:rPr>
        <w:t xml:space="preserve">"Si bien, entendemos que la condición definida en el literal ii del Parágrafo 2 transitorio incluido en el artículo 5 de la propuesta normativa, busca incentivar el uso de la modalidad contractual </w:t>
      </w:r>
      <w:r w:rsidRPr="00A25B16">
        <w:rPr>
          <w:i/>
          <w:iCs/>
          <w:sz w:val="22"/>
        </w:rPr>
        <w:lastRenderedPageBreak/>
        <w:t>de opción de compra de gas (OCG) en condiciones críticas de corto plazo. Sin embargo, vemos con preocupación que la medida no honra la definición y la dinámica tacita de un contrato de opción de compra, donde un vendedor se compromete a asegurar un suministro firme de gas ante una condición dada, en este caso una condición de precio del mercado mayorista de energía eléctrica, condición que hoy en día cuenta con una muy alta volatilidad y por ende una muy alta incertidumbre sobre la activación de la condición de probable escasez. La resolución CREG 186 de 2020 y todas sus modificadas han sido claras en el reconocimiento del valor que genera el derecho de uso, el cual, acarrea para su disponibilidad unos costos de reserva, logística, administración y gestión del activo subyacente (gas) que deben ser cubiertos dentro de una tarifa diferencial concebida como “prima”. Este concepto es ampliamente aceptado y desarrollado en mercados regulados y no regulados por la CREG como el mercado de valores y/o de derivados, los cuales consideran y honran las condiciones anteriormente descritas.</w:t>
      </w:r>
    </w:p>
    <w:p w14:paraId="7C6BF89F" w14:textId="77777777" w:rsidR="001A43D3" w:rsidRPr="00A25B16" w:rsidRDefault="001A43D3" w:rsidP="00CF75E0">
      <w:pPr>
        <w:jc w:val="left"/>
        <w:rPr>
          <w:i/>
          <w:iCs/>
          <w:sz w:val="22"/>
        </w:rPr>
      </w:pPr>
    </w:p>
    <w:p w14:paraId="552DEBD0" w14:textId="77777777" w:rsidR="001A43D3" w:rsidRDefault="001A43D3" w:rsidP="00CF75E0">
      <w:pPr>
        <w:jc w:val="left"/>
        <w:rPr>
          <w:i/>
          <w:iCs/>
          <w:sz w:val="22"/>
        </w:rPr>
      </w:pPr>
      <w:r w:rsidRPr="00A25B16">
        <w:rPr>
          <w:i/>
          <w:iCs/>
          <w:sz w:val="22"/>
        </w:rPr>
        <w:t>En línea con lo anterior, solicitamos que lo dispuesto en el mencionado literal sea eliminado en gracia de mantener el balance de riesgos, perdidas y responsabilidades que asume el productor-comercializador al ofrecer este tipo de contratos, de forma que la prima sea remunerada y pactada de forma libre ante cualquier temporalidad."</w:t>
      </w:r>
    </w:p>
    <w:p w14:paraId="1E0126FD" w14:textId="77777777" w:rsidR="00086C1B" w:rsidRDefault="00086C1B" w:rsidP="00CF75E0">
      <w:pPr>
        <w:jc w:val="left"/>
        <w:rPr>
          <w:i/>
          <w:iCs/>
          <w:sz w:val="22"/>
        </w:rPr>
      </w:pPr>
    </w:p>
    <w:p w14:paraId="725AD174"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212240CF" w14:textId="77777777" w:rsidR="002B1FF0" w:rsidRPr="002B1FF0" w:rsidRDefault="002B1FF0" w:rsidP="00CF75E0">
      <w:pPr>
        <w:jc w:val="left"/>
        <w:rPr>
          <w:rFonts w:cs="Arial"/>
          <w:sz w:val="22"/>
          <w:szCs w:val="22"/>
        </w:rPr>
      </w:pPr>
    </w:p>
    <w:p w14:paraId="1A9E806A" w14:textId="77777777" w:rsidR="00141DC6" w:rsidRDefault="00141DC6" w:rsidP="00CF75E0">
      <w:pPr>
        <w:jc w:val="left"/>
        <w:rPr>
          <w:rFonts w:cs="Arial"/>
          <w:sz w:val="22"/>
          <w:szCs w:val="22"/>
        </w:rPr>
      </w:pPr>
      <w:r>
        <w:rPr>
          <w:rFonts w:cs="Arial"/>
          <w:sz w:val="22"/>
          <w:szCs w:val="22"/>
        </w:rPr>
        <w:t>Se acoge el comentario parcialmente.</w:t>
      </w:r>
    </w:p>
    <w:p w14:paraId="1FC75DA6" w14:textId="77777777" w:rsidR="00141DC6" w:rsidRDefault="00141DC6" w:rsidP="00CF75E0">
      <w:pPr>
        <w:jc w:val="left"/>
        <w:rPr>
          <w:rFonts w:cs="Arial"/>
          <w:sz w:val="22"/>
          <w:szCs w:val="22"/>
        </w:rPr>
      </w:pPr>
    </w:p>
    <w:p w14:paraId="0FDE659C" w14:textId="519A08D4" w:rsidR="00036A9A" w:rsidRDefault="0017619C" w:rsidP="00CF75E0">
      <w:pPr>
        <w:jc w:val="left"/>
        <w:rPr>
          <w:rFonts w:cs="Arial"/>
          <w:sz w:val="22"/>
          <w:szCs w:val="22"/>
        </w:rPr>
      </w:pPr>
      <w:r>
        <w:rPr>
          <w:rFonts w:cs="Arial"/>
          <w:sz w:val="22"/>
          <w:szCs w:val="22"/>
        </w:rPr>
        <w:t xml:space="preserve">Precisamente en las actuales circunstancias de corto plazo, mencionadas en el </w:t>
      </w:r>
      <w:r w:rsidR="00036A9A">
        <w:rPr>
          <w:rFonts w:cs="Arial"/>
          <w:sz w:val="22"/>
          <w:szCs w:val="22"/>
        </w:rPr>
        <w:t xml:space="preserve">numeral </w:t>
      </w:r>
      <w:r w:rsidR="00036A9A">
        <w:rPr>
          <w:rFonts w:cs="Arial"/>
          <w:sz w:val="22"/>
          <w:szCs w:val="22"/>
        </w:rPr>
        <w:fldChar w:fldCharType="begin"/>
      </w:r>
      <w:r w:rsidR="00036A9A">
        <w:rPr>
          <w:rFonts w:cs="Arial"/>
          <w:sz w:val="22"/>
          <w:szCs w:val="22"/>
        </w:rPr>
        <w:instrText xml:space="preserve"> REF _Ref148943086 \n \h </w:instrText>
      </w:r>
      <w:r w:rsidR="00036A9A">
        <w:rPr>
          <w:rFonts w:cs="Arial"/>
          <w:sz w:val="22"/>
          <w:szCs w:val="22"/>
        </w:rPr>
      </w:r>
      <w:r w:rsidR="00036A9A">
        <w:rPr>
          <w:rFonts w:cs="Arial"/>
          <w:sz w:val="22"/>
          <w:szCs w:val="22"/>
        </w:rPr>
        <w:fldChar w:fldCharType="separate"/>
      </w:r>
      <w:r w:rsidR="0027336D">
        <w:rPr>
          <w:rFonts w:cs="Arial"/>
          <w:sz w:val="22"/>
          <w:szCs w:val="22"/>
        </w:rPr>
        <w:t>2</w:t>
      </w:r>
      <w:r w:rsidR="00036A9A">
        <w:rPr>
          <w:rFonts w:cs="Arial"/>
          <w:sz w:val="22"/>
          <w:szCs w:val="22"/>
        </w:rPr>
        <w:fldChar w:fldCharType="end"/>
      </w:r>
      <w:r w:rsidR="00036A9A">
        <w:rPr>
          <w:rFonts w:cs="Arial"/>
          <w:sz w:val="22"/>
          <w:szCs w:val="22"/>
        </w:rPr>
        <w:t xml:space="preserve"> </w:t>
      </w:r>
      <w:r>
        <w:rPr>
          <w:rFonts w:cs="Arial"/>
          <w:sz w:val="22"/>
          <w:szCs w:val="22"/>
        </w:rPr>
        <w:t xml:space="preserve">de este documento </w:t>
      </w:r>
      <w:r w:rsidR="00036A9A">
        <w:rPr>
          <w:rFonts w:cs="Arial"/>
          <w:sz w:val="22"/>
          <w:szCs w:val="22"/>
        </w:rPr>
        <w:t>la posibilidad de la ejecución de un contrato de opción de compra de gas es mayor que en condiciones normales. Sin embargo, ciertamente la esencia de un contrato de la modalidad opción de compra de gas es semejante a un contrato pague lo demandado, que requiere la disponibilidad de la cantidad del gas contratado en cualquier momento en que el comprador lo nomine. El riesgo de ingreso para el vendedor de ese contrato pague lo demandado llevó a la CREG a establecer la modalidad mencionada en el año 2006, de modo que ese riesgo de ingreso se compensase debidamente al vendedor en forma de prima de pago fijo para que los compradores interesados en ese tipo de entrega, tuviesen ofertas de parte de los vendedores</w:t>
      </w:r>
      <w:r w:rsidR="00133F1B">
        <w:rPr>
          <w:rFonts w:cs="Arial"/>
          <w:sz w:val="22"/>
          <w:szCs w:val="22"/>
        </w:rPr>
        <w:t xml:space="preserve">, que son hoy en día </w:t>
      </w:r>
      <w:r w:rsidR="00036A9A">
        <w:rPr>
          <w:rFonts w:cs="Arial"/>
          <w:sz w:val="22"/>
          <w:szCs w:val="22"/>
        </w:rPr>
        <w:t>para contratos de</w:t>
      </w:r>
      <w:r w:rsidR="00866F17">
        <w:rPr>
          <w:rFonts w:cs="Arial"/>
          <w:sz w:val="22"/>
          <w:szCs w:val="22"/>
        </w:rPr>
        <w:t xml:space="preserve"> 3 o más años de ejecución, lo q</w:t>
      </w:r>
      <w:r w:rsidR="00674779">
        <w:rPr>
          <w:rFonts w:cs="Arial"/>
          <w:sz w:val="22"/>
          <w:szCs w:val="22"/>
        </w:rPr>
        <w:t>ue implica demasiada incertidumbre de ejecución contractual</w:t>
      </w:r>
      <w:r w:rsidR="00866F17">
        <w:rPr>
          <w:rFonts w:cs="Arial"/>
          <w:sz w:val="22"/>
          <w:szCs w:val="22"/>
        </w:rPr>
        <w:t xml:space="preserve"> para</w:t>
      </w:r>
      <w:r w:rsidR="00133F1B">
        <w:rPr>
          <w:rFonts w:cs="Arial"/>
          <w:sz w:val="22"/>
          <w:szCs w:val="22"/>
        </w:rPr>
        <w:t xml:space="preserve"> el</w:t>
      </w:r>
      <w:r w:rsidR="00866F17">
        <w:rPr>
          <w:rFonts w:cs="Arial"/>
          <w:sz w:val="22"/>
          <w:szCs w:val="22"/>
        </w:rPr>
        <w:t xml:space="preserve"> vendedor</w:t>
      </w:r>
      <w:r w:rsidR="00133F1B">
        <w:rPr>
          <w:rFonts w:cs="Arial"/>
          <w:sz w:val="22"/>
          <w:szCs w:val="22"/>
        </w:rPr>
        <w:t>. En el caso de fuentes de suministro con excepciones a los mecanismos de comercialización esos plazos pueden ser menores</w:t>
      </w:r>
      <w:r w:rsidR="00036A9A">
        <w:rPr>
          <w:rFonts w:cs="Arial"/>
          <w:sz w:val="22"/>
          <w:szCs w:val="22"/>
        </w:rPr>
        <w:t xml:space="preserve">. </w:t>
      </w:r>
      <w:r w:rsidR="00E41054">
        <w:rPr>
          <w:rFonts w:cs="Arial"/>
          <w:sz w:val="22"/>
          <w:szCs w:val="22"/>
        </w:rPr>
        <w:t>Actualmente a partir de lo establecido en la Resolución CREG 102 00</w:t>
      </w:r>
      <w:r w:rsidR="00EC44DA">
        <w:rPr>
          <w:rFonts w:cs="Arial"/>
          <w:sz w:val="22"/>
          <w:szCs w:val="22"/>
        </w:rPr>
        <w:t>4</w:t>
      </w:r>
      <w:r w:rsidR="00E41054">
        <w:rPr>
          <w:rFonts w:cs="Arial"/>
          <w:sz w:val="22"/>
          <w:szCs w:val="22"/>
        </w:rPr>
        <w:t xml:space="preserve"> de 2023 ese plazo es de mínimo 1 año.</w:t>
      </w:r>
    </w:p>
    <w:p w14:paraId="53EC6D9F" w14:textId="77777777" w:rsidR="00036A9A" w:rsidRDefault="00036A9A" w:rsidP="00CF75E0">
      <w:pPr>
        <w:jc w:val="left"/>
        <w:rPr>
          <w:rFonts w:cs="Arial"/>
          <w:sz w:val="22"/>
          <w:szCs w:val="22"/>
        </w:rPr>
      </w:pPr>
    </w:p>
    <w:p w14:paraId="5B420462" w14:textId="77777777" w:rsidR="00141DC6" w:rsidRDefault="00EC44DA" w:rsidP="00CF75E0">
      <w:pPr>
        <w:jc w:val="left"/>
        <w:rPr>
          <w:rFonts w:cs="Arial"/>
          <w:sz w:val="22"/>
          <w:szCs w:val="22"/>
        </w:rPr>
      </w:pPr>
      <w:r>
        <w:rPr>
          <w:rFonts w:cs="Arial"/>
          <w:sz w:val="22"/>
          <w:szCs w:val="22"/>
        </w:rPr>
        <w:t xml:space="preserve">La duración </w:t>
      </w:r>
      <w:r w:rsidR="00036A9A">
        <w:rPr>
          <w:rFonts w:cs="Arial"/>
          <w:sz w:val="22"/>
          <w:szCs w:val="22"/>
        </w:rPr>
        <w:t xml:space="preserve">de </w:t>
      </w:r>
      <w:r>
        <w:rPr>
          <w:rFonts w:cs="Arial"/>
          <w:sz w:val="22"/>
          <w:szCs w:val="22"/>
        </w:rPr>
        <w:t xml:space="preserve">la </w:t>
      </w:r>
      <w:r w:rsidR="00036A9A">
        <w:rPr>
          <w:rFonts w:cs="Arial"/>
          <w:sz w:val="22"/>
          <w:szCs w:val="22"/>
        </w:rPr>
        <w:t>ejecución de un contrato</w:t>
      </w:r>
      <w:r>
        <w:rPr>
          <w:rFonts w:cs="Arial"/>
          <w:sz w:val="22"/>
          <w:szCs w:val="22"/>
        </w:rPr>
        <w:t xml:space="preserve"> puede determinar</w:t>
      </w:r>
      <w:r w:rsidR="00BA133F">
        <w:rPr>
          <w:rFonts w:cs="Arial"/>
          <w:sz w:val="22"/>
          <w:szCs w:val="22"/>
        </w:rPr>
        <w:t xml:space="preserve"> parte de</w:t>
      </w:r>
      <w:r>
        <w:rPr>
          <w:rFonts w:cs="Arial"/>
          <w:sz w:val="22"/>
          <w:szCs w:val="22"/>
        </w:rPr>
        <w:t xml:space="preserve"> su valor por los riesgos que implica asumir compromisos de tipo firme en el largo plazo</w:t>
      </w:r>
      <w:r w:rsidR="00BA133F">
        <w:rPr>
          <w:rFonts w:cs="Arial"/>
          <w:sz w:val="22"/>
          <w:szCs w:val="22"/>
        </w:rPr>
        <w:t>,</w:t>
      </w:r>
      <w:r>
        <w:rPr>
          <w:rFonts w:cs="Arial"/>
          <w:sz w:val="22"/>
          <w:szCs w:val="22"/>
        </w:rPr>
        <w:t xml:space="preserve"> para los vendedores del Mercado Primario.</w:t>
      </w:r>
      <w:r w:rsidR="00036A9A">
        <w:rPr>
          <w:rFonts w:cs="Arial"/>
          <w:sz w:val="22"/>
          <w:szCs w:val="22"/>
        </w:rPr>
        <w:t xml:space="preserve"> </w:t>
      </w:r>
      <w:r>
        <w:rPr>
          <w:rFonts w:cs="Arial"/>
          <w:sz w:val="22"/>
          <w:szCs w:val="22"/>
        </w:rPr>
        <w:t>A menor duración los riesgos son menores siempre y cuando la infraestructura que posibilita la venta exista y no dependa de alguna inversión necesaria para la capacidad de producción que se declara como PTDVF. Por otro lado, el contrato de la modalidad Opción de Compra de Gas tiene dos componentes: el componente de prima de valor fijo y el componente de ejecución de la cantidad contratada, que también es fija, pero cuyo ingreso total varía en función de las cantidades finalmente confirmadas por el comprador</w:t>
      </w:r>
      <w:r w:rsidR="00BA133F">
        <w:rPr>
          <w:rFonts w:cs="Arial"/>
          <w:sz w:val="22"/>
          <w:szCs w:val="22"/>
        </w:rPr>
        <w:t>. A</w:t>
      </w:r>
      <w:r>
        <w:rPr>
          <w:rFonts w:cs="Arial"/>
          <w:sz w:val="22"/>
          <w:szCs w:val="22"/>
        </w:rPr>
        <w:t xml:space="preserve">sí, dependiendo del riesgo de la </w:t>
      </w:r>
      <w:r w:rsidR="00BA133F">
        <w:rPr>
          <w:rFonts w:cs="Arial"/>
          <w:sz w:val="22"/>
          <w:szCs w:val="22"/>
        </w:rPr>
        <w:t>nominación d las cantidades contratadas en el</w:t>
      </w:r>
      <w:r>
        <w:rPr>
          <w:rFonts w:cs="Arial"/>
          <w:sz w:val="22"/>
          <w:szCs w:val="22"/>
        </w:rPr>
        <w:t xml:space="preserve"> muy corto plazo (1 semana) se espera un balance en que un</w:t>
      </w:r>
      <w:r w:rsidR="00BA133F">
        <w:rPr>
          <w:rFonts w:cs="Arial"/>
          <w:sz w:val="22"/>
          <w:szCs w:val="22"/>
        </w:rPr>
        <w:t xml:space="preserve">a mayor posibilidad de entrega de cantidades </w:t>
      </w:r>
      <w:r>
        <w:rPr>
          <w:rFonts w:cs="Arial"/>
          <w:sz w:val="22"/>
          <w:szCs w:val="22"/>
        </w:rPr>
        <w:t xml:space="preserve">del contrato lleve a considerar </w:t>
      </w:r>
      <w:r w:rsidR="00BA133F">
        <w:rPr>
          <w:rFonts w:cs="Arial"/>
          <w:sz w:val="22"/>
          <w:szCs w:val="22"/>
        </w:rPr>
        <w:t xml:space="preserve">ineficiente el pago de </w:t>
      </w:r>
      <w:r>
        <w:rPr>
          <w:rFonts w:cs="Arial"/>
          <w:sz w:val="22"/>
          <w:szCs w:val="22"/>
        </w:rPr>
        <w:t xml:space="preserve">una prima de valor fijo. Sin embargo, ello </w:t>
      </w:r>
      <w:r>
        <w:rPr>
          <w:rFonts w:cs="Arial"/>
          <w:sz w:val="22"/>
          <w:szCs w:val="22"/>
        </w:rPr>
        <w:lastRenderedPageBreak/>
        <w:t xml:space="preserve">podría ir de la mano de una negociación que parte de precios de ejecución </w:t>
      </w:r>
      <w:r w:rsidR="00BA133F">
        <w:rPr>
          <w:rFonts w:cs="Arial"/>
          <w:sz w:val="22"/>
          <w:szCs w:val="22"/>
        </w:rPr>
        <w:t xml:space="preserve">de las cantidades contratadas </w:t>
      </w:r>
      <w:r>
        <w:rPr>
          <w:rFonts w:cs="Arial"/>
          <w:sz w:val="22"/>
          <w:szCs w:val="22"/>
        </w:rPr>
        <w:t xml:space="preserve">superiores a los que se tendrían con un reconocimiento de la primar de valor fijo. </w:t>
      </w:r>
    </w:p>
    <w:p w14:paraId="6E179D5D" w14:textId="77777777" w:rsidR="00141DC6" w:rsidRDefault="00141DC6" w:rsidP="00CF75E0">
      <w:pPr>
        <w:jc w:val="left"/>
        <w:rPr>
          <w:rFonts w:cs="Arial"/>
          <w:sz w:val="22"/>
          <w:szCs w:val="22"/>
        </w:rPr>
      </w:pPr>
    </w:p>
    <w:p w14:paraId="3766E8A4" w14:textId="4A72E4E7" w:rsidR="0017619C" w:rsidRPr="002B1FF0" w:rsidRDefault="00EC44DA" w:rsidP="00CF75E0">
      <w:pPr>
        <w:jc w:val="left"/>
        <w:rPr>
          <w:rFonts w:cs="Arial"/>
          <w:sz w:val="22"/>
          <w:szCs w:val="22"/>
        </w:rPr>
      </w:pPr>
      <w:r>
        <w:rPr>
          <w:rFonts w:cs="Arial"/>
          <w:sz w:val="22"/>
          <w:szCs w:val="22"/>
        </w:rPr>
        <w:t xml:space="preserve">Por </w:t>
      </w:r>
      <w:r w:rsidR="00141DC6">
        <w:rPr>
          <w:rFonts w:cs="Arial"/>
          <w:sz w:val="22"/>
          <w:szCs w:val="22"/>
        </w:rPr>
        <w:t>lo anterior</w:t>
      </w:r>
      <w:r>
        <w:rPr>
          <w:rFonts w:cs="Arial"/>
          <w:sz w:val="22"/>
          <w:szCs w:val="22"/>
        </w:rPr>
        <w:t xml:space="preserve">, en la resolución definitiva no se afectará </w:t>
      </w:r>
      <w:r w:rsidR="00BA133F">
        <w:rPr>
          <w:rFonts w:cs="Arial"/>
          <w:sz w:val="22"/>
          <w:szCs w:val="22"/>
        </w:rPr>
        <w:t>la prima actualmente establecida como parte esencial del contrato de la modalidad Opción de Compra de Gas permitiendo que los agentes sean los que negocien directamente el valor de dichos pagos.</w:t>
      </w:r>
    </w:p>
    <w:p w14:paraId="4251402C" w14:textId="77777777" w:rsidR="00086C1B" w:rsidRDefault="00086C1B" w:rsidP="00CF75E0">
      <w:pPr>
        <w:jc w:val="left"/>
        <w:rPr>
          <w:i/>
          <w:iCs/>
          <w:sz w:val="22"/>
        </w:rPr>
      </w:pPr>
    </w:p>
    <w:p w14:paraId="1FDA56AD" w14:textId="77777777" w:rsidR="00086C1B" w:rsidRPr="00A25B16" w:rsidRDefault="00086C1B" w:rsidP="00CF75E0">
      <w:pPr>
        <w:jc w:val="left"/>
        <w:rPr>
          <w:i/>
          <w:iCs/>
          <w:sz w:val="22"/>
        </w:rPr>
      </w:pPr>
    </w:p>
    <w:p w14:paraId="120C24FB" w14:textId="0C076471" w:rsidR="00086C1B" w:rsidRDefault="001A43D3" w:rsidP="00CF75E0">
      <w:pPr>
        <w:pStyle w:val="Ttulo2"/>
        <w:jc w:val="left"/>
      </w:pPr>
      <w:bookmarkStart w:id="92" w:name="_Ref149316742"/>
      <w:bookmarkStart w:id="93" w:name="_Toc158211452"/>
      <w:r w:rsidRPr="00A25B16">
        <w:t>Andesco</w:t>
      </w:r>
      <w:bookmarkEnd w:id="92"/>
      <w:bookmarkEnd w:id="93"/>
      <w:r w:rsidRPr="00A25B16">
        <w:tab/>
      </w:r>
    </w:p>
    <w:p w14:paraId="5DBC74BC" w14:textId="2B5AB7BB" w:rsidR="001A43D3" w:rsidRPr="00A25B16" w:rsidRDefault="001A43D3" w:rsidP="00CF75E0">
      <w:pPr>
        <w:jc w:val="left"/>
        <w:rPr>
          <w:i/>
          <w:iCs/>
          <w:sz w:val="22"/>
        </w:rPr>
      </w:pPr>
      <w:r w:rsidRPr="00A25B16">
        <w:rPr>
          <w:i/>
          <w:iCs/>
          <w:sz w:val="22"/>
        </w:rPr>
        <w:t>"En el artículo 5 se incluye el “Parágrafo 2 transitorio” al artículo 9 de la Resolución CREG 186 de 2021, allí se establecen los lineamientos sobre los “requisitos mínimos de los contratos de suministro”, y también se acota la duración de estos, entre una semana y tres meses. Respecto a lo anterior, consideramos importante extender su duración hasta la vigencia de esta Resolución, es decir, hasta mayo de 2024, extendiendo así el impacto positivo que se busca durante el fenómeno de El Niño.</w:t>
      </w:r>
    </w:p>
    <w:p w14:paraId="21D738E6" w14:textId="77777777" w:rsidR="001A43D3" w:rsidRPr="00A25B16" w:rsidRDefault="001A43D3" w:rsidP="00CF75E0">
      <w:pPr>
        <w:jc w:val="left"/>
        <w:rPr>
          <w:i/>
          <w:iCs/>
          <w:sz w:val="22"/>
        </w:rPr>
      </w:pPr>
    </w:p>
    <w:p w14:paraId="58AE98E9" w14:textId="77777777" w:rsidR="001A43D3" w:rsidRPr="00A25B16" w:rsidRDefault="001A43D3" w:rsidP="00CF75E0">
      <w:pPr>
        <w:jc w:val="left"/>
        <w:rPr>
          <w:i/>
          <w:iCs/>
          <w:sz w:val="22"/>
        </w:rPr>
      </w:pPr>
      <w:r w:rsidRPr="00A25B16">
        <w:rPr>
          <w:i/>
          <w:iCs/>
          <w:sz w:val="22"/>
        </w:rPr>
        <w:t>Por otra parte, el literal e) de este mismo artículo establece un precio fijo durante toda la duración del contrato, entendemos que con esto se busca una estabilidad de precio durante la coyuntura. Sin embargo, consideramos necesario que para el caso del gas importado el precio esté referenciado a un indicador internacional que refleje el comportamiento del mercado internacional, dada las características propias de este mercado."</w:t>
      </w:r>
    </w:p>
    <w:p w14:paraId="032CEDD3" w14:textId="77777777" w:rsidR="00086C1B" w:rsidRDefault="00086C1B" w:rsidP="00CF75E0">
      <w:pPr>
        <w:jc w:val="left"/>
        <w:rPr>
          <w:i/>
          <w:iCs/>
          <w:sz w:val="22"/>
        </w:rPr>
      </w:pPr>
    </w:p>
    <w:p w14:paraId="513F9A60"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10122E6B" w14:textId="77777777" w:rsidR="002B1FF0" w:rsidRPr="002B1FF0" w:rsidRDefault="002B1FF0" w:rsidP="00CF75E0">
      <w:pPr>
        <w:jc w:val="left"/>
        <w:rPr>
          <w:rFonts w:cs="Arial"/>
          <w:sz w:val="22"/>
          <w:szCs w:val="22"/>
        </w:rPr>
      </w:pPr>
    </w:p>
    <w:p w14:paraId="248B74AC" w14:textId="5C926703" w:rsidR="002B1FF0" w:rsidRDefault="00060E5D" w:rsidP="00CF75E0">
      <w:pPr>
        <w:jc w:val="left"/>
        <w:rPr>
          <w:rFonts w:cs="Arial"/>
          <w:sz w:val="22"/>
          <w:szCs w:val="22"/>
        </w:rPr>
      </w:pPr>
      <w:r>
        <w:rPr>
          <w:rFonts w:cs="Arial"/>
          <w:sz w:val="22"/>
          <w:szCs w:val="22"/>
        </w:rPr>
        <w:t>La vigencia de la Resolución est</w:t>
      </w:r>
      <w:r w:rsidR="000209DD">
        <w:rPr>
          <w:rFonts w:cs="Arial"/>
          <w:sz w:val="22"/>
          <w:szCs w:val="22"/>
        </w:rPr>
        <w:t>aba</w:t>
      </w:r>
      <w:r>
        <w:rPr>
          <w:rFonts w:cs="Arial"/>
          <w:sz w:val="22"/>
          <w:szCs w:val="22"/>
        </w:rPr>
        <w:t xml:space="preserve"> </w:t>
      </w:r>
      <w:r w:rsidR="00335B97">
        <w:rPr>
          <w:rFonts w:cs="Arial"/>
          <w:sz w:val="22"/>
          <w:szCs w:val="22"/>
        </w:rPr>
        <w:t xml:space="preserve">prevista </w:t>
      </w:r>
      <w:r w:rsidR="000209DD">
        <w:rPr>
          <w:rFonts w:cs="Arial"/>
          <w:sz w:val="22"/>
          <w:szCs w:val="22"/>
        </w:rPr>
        <w:t xml:space="preserve">inicialmente </w:t>
      </w:r>
      <w:r>
        <w:rPr>
          <w:rFonts w:cs="Arial"/>
          <w:sz w:val="22"/>
          <w:szCs w:val="22"/>
        </w:rPr>
        <w:t xml:space="preserve">hasta el 31 de mayo de 2024, </w:t>
      </w:r>
      <w:r w:rsidR="000209DD">
        <w:rPr>
          <w:rFonts w:cs="Arial"/>
          <w:sz w:val="22"/>
          <w:szCs w:val="22"/>
        </w:rPr>
        <w:t xml:space="preserve">en la propuesta definitiva se extiende su vigencia de aplicación hasta el 31 de agosto de 2024 </w:t>
      </w:r>
      <w:r>
        <w:rPr>
          <w:rFonts w:cs="Arial"/>
          <w:sz w:val="22"/>
          <w:szCs w:val="22"/>
        </w:rPr>
        <w:t xml:space="preserve">por varias razones no solo en función de las situaciones que actualmente se presentan en forma simultánea y extraordinaria, como las mencionadas en el numeral </w:t>
      </w:r>
      <w:r w:rsidR="00A15E18">
        <w:rPr>
          <w:rFonts w:cs="Arial"/>
          <w:sz w:val="22"/>
          <w:szCs w:val="22"/>
        </w:rPr>
        <w:fldChar w:fldCharType="begin"/>
      </w:r>
      <w:r w:rsidR="00A15E18">
        <w:rPr>
          <w:rFonts w:cs="Arial"/>
          <w:sz w:val="22"/>
          <w:szCs w:val="22"/>
        </w:rPr>
        <w:instrText xml:space="preserve"> REF _Ref148943086 \r \h </w:instrText>
      </w:r>
      <w:r w:rsidR="00A15E18">
        <w:rPr>
          <w:rFonts w:cs="Arial"/>
          <w:sz w:val="22"/>
          <w:szCs w:val="22"/>
        </w:rPr>
      </w:r>
      <w:r w:rsidR="00A15E18">
        <w:rPr>
          <w:rFonts w:cs="Arial"/>
          <w:sz w:val="22"/>
          <w:szCs w:val="22"/>
        </w:rPr>
        <w:fldChar w:fldCharType="separate"/>
      </w:r>
      <w:r w:rsidR="0027336D">
        <w:rPr>
          <w:rFonts w:cs="Arial"/>
          <w:sz w:val="22"/>
          <w:szCs w:val="22"/>
        </w:rPr>
        <w:t>2</w:t>
      </w:r>
      <w:r w:rsidR="00A15E18">
        <w:rPr>
          <w:rFonts w:cs="Arial"/>
          <w:sz w:val="22"/>
          <w:szCs w:val="22"/>
        </w:rPr>
        <w:fldChar w:fldCharType="end"/>
      </w:r>
      <w:r w:rsidR="00234889">
        <w:rPr>
          <w:rFonts w:cs="Arial"/>
          <w:sz w:val="22"/>
          <w:szCs w:val="22"/>
        </w:rPr>
        <w:t xml:space="preserve"> </w:t>
      </w:r>
      <w:r>
        <w:rPr>
          <w:rFonts w:cs="Arial"/>
          <w:sz w:val="22"/>
          <w:szCs w:val="22"/>
        </w:rPr>
        <w:t>del presente documento, sino porque se espera que para el siguiente día de la fecha de término de vigencia, ya haya</w:t>
      </w:r>
      <w:r w:rsidR="00234889">
        <w:rPr>
          <w:rFonts w:cs="Arial"/>
          <w:sz w:val="22"/>
          <w:szCs w:val="22"/>
        </w:rPr>
        <w:t>n</w:t>
      </w:r>
      <w:r>
        <w:rPr>
          <w:rFonts w:cs="Arial"/>
          <w:sz w:val="22"/>
          <w:szCs w:val="22"/>
        </w:rPr>
        <w:t xml:space="preserve"> entrado en vigencia los ajustes de mecanismos de comercialización establecidos en el Proyecto de Resolución CREG 702 003 de 2023.</w:t>
      </w:r>
    </w:p>
    <w:p w14:paraId="4A721486" w14:textId="77777777" w:rsidR="00060E5D" w:rsidRDefault="00060E5D" w:rsidP="00CF75E0">
      <w:pPr>
        <w:jc w:val="left"/>
        <w:rPr>
          <w:rFonts w:cs="Arial"/>
          <w:sz w:val="22"/>
          <w:szCs w:val="22"/>
        </w:rPr>
      </w:pPr>
    </w:p>
    <w:p w14:paraId="719B8BAB" w14:textId="033EA3BC" w:rsidR="00060E5D" w:rsidRDefault="00060E5D" w:rsidP="00CF75E0">
      <w:pPr>
        <w:jc w:val="left"/>
        <w:rPr>
          <w:rFonts w:cs="Arial"/>
          <w:sz w:val="22"/>
          <w:szCs w:val="22"/>
        </w:rPr>
      </w:pPr>
      <w:r>
        <w:rPr>
          <w:rFonts w:cs="Arial"/>
          <w:sz w:val="22"/>
          <w:szCs w:val="22"/>
        </w:rPr>
        <w:t xml:space="preserve">Por otro lado, la </w:t>
      </w:r>
      <w:r w:rsidR="00516247">
        <w:rPr>
          <w:rFonts w:cs="Arial"/>
          <w:sz w:val="22"/>
          <w:szCs w:val="22"/>
        </w:rPr>
        <w:t xml:space="preserve">nueva </w:t>
      </w:r>
      <w:r>
        <w:rPr>
          <w:rFonts w:cs="Arial"/>
          <w:sz w:val="22"/>
          <w:szCs w:val="22"/>
        </w:rPr>
        <w:t xml:space="preserve">vigencia implica que el 31 de </w:t>
      </w:r>
      <w:r w:rsidR="00516247">
        <w:rPr>
          <w:rFonts w:cs="Arial"/>
          <w:sz w:val="22"/>
          <w:szCs w:val="22"/>
        </w:rPr>
        <w:t>agosto</w:t>
      </w:r>
      <w:r>
        <w:rPr>
          <w:rFonts w:cs="Arial"/>
          <w:sz w:val="22"/>
          <w:szCs w:val="22"/>
        </w:rPr>
        <w:t xml:space="preserve"> de 2024 se podrían registrar</w:t>
      </w:r>
      <w:r w:rsidR="00E713BA">
        <w:rPr>
          <w:rFonts w:cs="Arial"/>
          <w:sz w:val="22"/>
          <w:szCs w:val="22"/>
        </w:rPr>
        <w:t>,</w:t>
      </w:r>
      <w:r w:rsidR="00234889">
        <w:rPr>
          <w:rFonts w:cs="Arial"/>
          <w:sz w:val="22"/>
          <w:szCs w:val="22"/>
        </w:rPr>
        <w:t xml:space="preserve"> por ejemplo,</w:t>
      </w:r>
      <w:r>
        <w:rPr>
          <w:rFonts w:cs="Arial"/>
          <w:sz w:val="22"/>
          <w:szCs w:val="22"/>
        </w:rPr>
        <w:t xml:space="preserve"> contrato de duración de como máximo </w:t>
      </w:r>
      <w:r w:rsidR="00516247">
        <w:rPr>
          <w:rFonts w:cs="Arial"/>
          <w:sz w:val="22"/>
          <w:szCs w:val="22"/>
        </w:rPr>
        <w:t>tres (</w:t>
      </w:r>
      <w:r>
        <w:rPr>
          <w:rFonts w:cs="Arial"/>
          <w:sz w:val="22"/>
          <w:szCs w:val="22"/>
        </w:rPr>
        <w:t>3</w:t>
      </w:r>
      <w:r w:rsidR="00516247">
        <w:rPr>
          <w:rFonts w:cs="Arial"/>
          <w:sz w:val="22"/>
          <w:szCs w:val="22"/>
        </w:rPr>
        <w:t>)</w:t>
      </w:r>
      <w:r>
        <w:rPr>
          <w:rFonts w:cs="Arial"/>
          <w:sz w:val="22"/>
          <w:szCs w:val="22"/>
        </w:rPr>
        <w:t xml:space="preserve"> meses calendario, de acuerdo con lo propuesto respecto de los contratos de duración semanal que, por tanto, estarían terminando como máximo el </w:t>
      </w:r>
      <w:r w:rsidR="00B24464">
        <w:rPr>
          <w:rFonts w:cs="Arial"/>
          <w:sz w:val="22"/>
          <w:szCs w:val="22"/>
        </w:rPr>
        <w:t>1</w:t>
      </w:r>
      <w:r>
        <w:rPr>
          <w:rFonts w:cs="Arial"/>
          <w:sz w:val="22"/>
          <w:szCs w:val="22"/>
        </w:rPr>
        <w:t xml:space="preserve"> de </w:t>
      </w:r>
      <w:r w:rsidR="00B24464">
        <w:rPr>
          <w:rFonts w:cs="Arial"/>
          <w:sz w:val="22"/>
          <w:szCs w:val="22"/>
        </w:rPr>
        <w:t>dic</w:t>
      </w:r>
      <w:r w:rsidR="00516247">
        <w:rPr>
          <w:rFonts w:cs="Arial"/>
          <w:sz w:val="22"/>
          <w:szCs w:val="22"/>
        </w:rPr>
        <w:t>iembre</w:t>
      </w:r>
      <w:r>
        <w:rPr>
          <w:rFonts w:cs="Arial"/>
          <w:sz w:val="22"/>
          <w:szCs w:val="22"/>
        </w:rPr>
        <w:t xml:space="preserve"> de 2024</w:t>
      </w:r>
      <w:r w:rsidR="00F0260A">
        <w:rPr>
          <w:rFonts w:cs="Arial"/>
          <w:sz w:val="22"/>
          <w:szCs w:val="22"/>
        </w:rPr>
        <w:t xml:space="preserve"> (si inicia su ejecución el 1 de septiembre de 2024)</w:t>
      </w:r>
      <w:r w:rsidR="00B24464">
        <w:rPr>
          <w:rFonts w:cs="Arial"/>
          <w:sz w:val="22"/>
          <w:szCs w:val="22"/>
        </w:rPr>
        <w:t>, que es un domingo</w:t>
      </w:r>
      <w:r w:rsidR="00522EDD">
        <w:rPr>
          <w:rFonts w:cs="Arial"/>
          <w:sz w:val="22"/>
          <w:szCs w:val="22"/>
        </w:rPr>
        <w:t xml:space="preserve">, que es </w:t>
      </w:r>
      <w:r w:rsidR="00B24464">
        <w:rPr>
          <w:rFonts w:cs="Arial"/>
          <w:sz w:val="22"/>
          <w:szCs w:val="22"/>
        </w:rPr>
        <w:t>parte de la semana que termina en esa fecha</w:t>
      </w:r>
      <w:r>
        <w:rPr>
          <w:rFonts w:cs="Arial"/>
          <w:sz w:val="22"/>
          <w:szCs w:val="22"/>
        </w:rPr>
        <w:t xml:space="preserve">. </w:t>
      </w:r>
      <w:r w:rsidR="00127FEE">
        <w:rPr>
          <w:rFonts w:cs="Arial"/>
          <w:sz w:val="22"/>
          <w:szCs w:val="22"/>
        </w:rPr>
        <w:t>Si el inicio de ejecución</w:t>
      </w:r>
      <w:r w:rsidR="00195F4F">
        <w:rPr>
          <w:rFonts w:cs="Arial"/>
          <w:sz w:val="22"/>
          <w:szCs w:val="22"/>
        </w:rPr>
        <w:t xml:space="preserve"> del contrato del ejemplo</w:t>
      </w:r>
      <w:r w:rsidR="00127FEE">
        <w:rPr>
          <w:rFonts w:cs="Arial"/>
          <w:sz w:val="22"/>
          <w:szCs w:val="22"/>
        </w:rPr>
        <w:t xml:space="preserve"> es posterior al 1 de septiembre de 2024, la duración del contrato que se suscribe por tanto ya no podrá ser d</w:t>
      </w:r>
      <w:r w:rsidR="00195F4F">
        <w:rPr>
          <w:rFonts w:cs="Arial"/>
          <w:sz w:val="22"/>
          <w:szCs w:val="22"/>
        </w:rPr>
        <w:t>e</w:t>
      </w:r>
      <w:r w:rsidR="00127FEE">
        <w:rPr>
          <w:rFonts w:cs="Arial"/>
          <w:sz w:val="22"/>
          <w:szCs w:val="22"/>
        </w:rPr>
        <w:t xml:space="preserve"> tres (3) meses sino </w:t>
      </w:r>
      <w:r w:rsidR="00195F4F">
        <w:rPr>
          <w:rFonts w:cs="Arial"/>
          <w:sz w:val="22"/>
          <w:szCs w:val="22"/>
        </w:rPr>
        <w:t xml:space="preserve">de lo que queda hasta el 1 de diciembre de 2024. </w:t>
      </w:r>
      <w:r>
        <w:rPr>
          <w:rFonts w:cs="Arial"/>
          <w:sz w:val="22"/>
          <w:szCs w:val="22"/>
        </w:rPr>
        <w:t xml:space="preserve">Se considera que de esa manera no haya lugar a duda sobre los plazos de los contratos en virtud del proyecto de resolución transitoria. </w:t>
      </w:r>
      <w:r w:rsidR="00516247">
        <w:rPr>
          <w:rFonts w:cs="Arial"/>
          <w:sz w:val="22"/>
          <w:szCs w:val="22"/>
        </w:rPr>
        <w:t xml:space="preserve">En este sentido, también es posible </w:t>
      </w:r>
      <w:r w:rsidR="00522EDD">
        <w:rPr>
          <w:rFonts w:cs="Arial"/>
          <w:sz w:val="22"/>
          <w:szCs w:val="22"/>
        </w:rPr>
        <w:t xml:space="preserve">en </w:t>
      </w:r>
      <w:r w:rsidR="00516247">
        <w:rPr>
          <w:rFonts w:cs="Arial"/>
          <w:sz w:val="22"/>
          <w:szCs w:val="22"/>
        </w:rPr>
        <w:t>dicho d</w:t>
      </w:r>
      <w:r w:rsidR="00E90F01">
        <w:rPr>
          <w:rFonts w:cs="Arial"/>
          <w:sz w:val="22"/>
          <w:szCs w:val="22"/>
        </w:rPr>
        <w:t>í</w:t>
      </w:r>
      <w:r w:rsidR="00516247">
        <w:rPr>
          <w:rFonts w:cs="Arial"/>
          <w:sz w:val="22"/>
          <w:szCs w:val="22"/>
        </w:rPr>
        <w:t>a r</w:t>
      </w:r>
      <w:r w:rsidR="00E90F01">
        <w:rPr>
          <w:rFonts w:cs="Arial"/>
          <w:sz w:val="22"/>
          <w:szCs w:val="22"/>
        </w:rPr>
        <w:t>e</w:t>
      </w:r>
      <w:r w:rsidR="00516247">
        <w:rPr>
          <w:rFonts w:cs="Arial"/>
          <w:sz w:val="22"/>
          <w:szCs w:val="22"/>
        </w:rPr>
        <w:t>gistrar contratos d</w:t>
      </w:r>
      <w:r w:rsidR="00E90F01">
        <w:rPr>
          <w:rFonts w:cs="Arial"/>
          <w:sz w:val="22"/>
          <w:szCs w:val="22"/>
        </w:rPr>
        <w:t>e</w:t>
      </w:r>
      <w:r w:rsidR="00516247">
        <w:rPr>
          <w:rFonts w:cs="Arial"/>
          <w:sz w:val="22"/>
          <w:szCs w:val="22"/>
        </w:rPr>
        <w:t xml:space="preserve"> duración semanal, </w:t>
      </w:r>
      <w:r w:rsidR="00E90F01">
        <w:rPr>
          <w:rFonts w:cs="Arial"/>
          <w:sz w:val="22"/>
          <w:szCs w:val="22"/>
        </w:rPr>
        <w:t>cuy</w:t>
      </w:r>
      <w:r w:rsidR="00C34FA7">
        <w:rPr>
          <w:rFonts w:cs="Arial"/>
          <w:sz w:val="22"/>
          <w:szCs w:val="22"/>
        </w:rPr>
        <w:t xml:space="preserve">o inicio de ejecución puede ser después de 31 de agosto de 2024, y cuya </w:t>
      </w:r>
      <w:r w:rsidR="00E90F01">
        <w:rPr>
          <w:rFonts w:cs="Arial"/>
          <w:sz w:val="22"/>
          <w:szCs w:val="22"/>
        </w:rPr>
        <w:t xml:space="preserve">duración de ejecución </w:t>
      </w:r>
      <w:r w:rsidR="00516247">
        <w:rPr>
          <w:rFonts w:cs="Arial"/>
          <w:sz w:val="22"/>
          <w:szCs w:val="22"/>
        </w:rPr>
        <w:t>en todo caso</w:t>
      </w:r>
      <w:r w:rsidR="00E90F01">
        <w:rPr>
          <w:rFonts w:cs="Arial"/>
          <w:sz w:val="22"/>
          <w:szCs w:val="22"/>
        </w:rPr>
        <w:t>, no puede superar el 1 de diciembre de 2024.</w:t>
      </w:r>
      <w:r w:rsidR="00516247">
        <w:rPr>
          <w:rFonts w:cs="Arial"/>
          <w:sz w:val="22"/>
          <w:szCs w:val="22"/>
        </w:rPr>
        <w:t xml:space="preserve"> </w:t>
      </w:r>
    </w:p>
    <w:p w14:paraId="0708A9B4" w14:textId="77777777" w:rsidR="00D1325A" w:rsidRDefault="00D1325A" w:rsidP="00CF75E0">
      <w:pPr>
        <w:jc w:val="left"/>
        <w:rPr>
          <w:rFonts w:cs="Arial"/>
          <w:sz w:val="22"/>
          <w:szCs w:val="22"/>
        </w:rPr>
      </w:pPr>
    </w:p>
    <w:p w14:paraId="5BD418C9" w14:textId="092DB5E6" w:rsidR="00D1325A" w:rsidRPr="002B1FF0" w:rsidRDefault="00D1325A" w:rsidP="00CF75E0">
      <w:pPr>
        <w:jc w:val="left"/>
        <w:rPr>
          <w:rFonts w:cs="Arial"/>
          <w:sz w:val="22"/>
          <w:szCs w:val="22"/>
        </w:rPr>
      </w:pPr>
      <w:r>
        <w:rPr>
          <w:rFonts w:cs="Arial"/>
          <w:sz w:val="22"/>
          <w:szCs w:val="22"/>
        </w:rPr>
        <w:t xml:space="preserve">Ver respuesta al comentario </w:t>
      </w:r>
      <w:r w:rsidR="00F56997">
        <w:rPr>
          <w:rFonts w:cs="Arial"/>
          <w:sz w:val="22"/>
          <w:szCs w:val="22"/>
        </w:rPr>
        <w:fldChar w:fldCharType="begin"/>
      </w:r>
      <w:r w:rsidR="00F56997">
        <w:rPr>
          <w:rFonts w:cs="Arial"/>
          <w:sz w:val="22"/>
          <w:szCs w:val="22"/>
        </w:rPr>
        <w:instrText xml:space="preserve"> REF _Ref148955025 \w \h </w:instrText>
      </w:r>
      <w:r w:rsidR="00F56997">
        <w:rPr>
          <w:rFonts w:cs="Arial"/>
          <w:sz w:val="22"/>
          <w:szCs w:val="22"/>
        </w:rPr>
      </w:r>
      <w:r w:rsidR="00F56997">
        <w:rPr>
          <w:rFonts w:cs="Arial"/>
          <w:sz w:val="22"/>
          <w:szCs w:val="22"/>
        </w:rPr>
        <w:fldChar w:fldCharType="separate"/>
      </w:r>
      <w:r w:rsidR="0027336D">
        <w:rPr>
          <w:rFonts w:cs="Arial"/>
          <w:sz w:val="22"/>
          <w:szCs w:val="22"/>
        </w:rPr>
        <w:t>5.3</w:t>
      </w:r>
      <w:r w:rsidR="00F56997">
        <w:rPr>
          <w:rFonts w:cs="Arial"/>
          <w:sz w:val="22"/>
          <w:szCs w:val="22"/>
        </w:rPr>
        <w:fldChar w:fldCharType="end"/>
      </w:r>
      <w:r w:rsidR="00F56997">
        <w:rPr>
          <w:rFonts w:cs="Arial"/>
          <w:sz w:val="22"/>
          <w:szCs w:val="22"/>
        </w:rPr>
        <w:t>.</w:t>
      </w:r>
    </w:p>
    <w:p w14:paraId="087D1ADA" w14:textId="77777777" w:rsidR="00086C1B" w:rsidRDefault="00086C1B" w:rsidP="00CF75E0">
      <w:pPr>
        <w:jc w:val="left"/>
        <w:rPr>
          <w:i/>
          <w:iCs/>
          <w:sz w:val="22"/>
        </w:rPr>
      </w:pPr>
    </w:p>
    <w:p w14:paraId="726864E0" w14:textId="77777777" w:rsidR="009E1F4C" w:rsidRDefault="009E1F4C" w:rsidP="009E1F4C">
      <w:pPr>
        <w:jc w:val="left"/>
        <w:rPr>
          <w:i/>
          <w:iCs/>
          <w:sz w:val="22"/>
        </w:rPr>
      </w:pPr>
    </w:p>
    <w:p w14:paraId="29F2CD14" w14:textId="77777777" w:rsidR="009E1F4C" w:rsidRDefault="009E1F4C" w:rsidP="009E1F4C">
      <w:pPr>
        <w:pStyle w:val="Ttulo2"/>
        <w:jc w:val="left"/>
      </w:pPr>
      <w:bookmarkStart w:id="94" w:name="_Ref148955025"/>
      <w:bookmarkStart w:id="95" w:name="_Ref148955773"/>
      <w:bookmarkStart w:id="96" w:name="_Toc158211453"/>
      <w:r>
        <w:lastRenderedPageBreak/>
        <w:t>Calamarí LNG</w:t>
      </w:r>
      <w:bookmarkEnd w:id="94"/>
      <w:bookmarkEnd w:id="95"/>
      <w:bookmarkEnd w:id="96"/>
    </w:p>
    <w:p w14:paraId="62B23ABA" w14:textId="77777777" w:rsidR="009E1F4C" w:rsidRPr="001925FB" w:rsidRDefault="009E1F4C" w:rsidP="009E1F4C">
      <w:pPr>
        <w:jc w:val="left"/>
        <w:rPr>
          <w:i/>
          <w:iCs/>
          <w:sz w:val="22"/>
          <w:szCs w:val="22"/>
        </w:rPr>
      </w:pPr>
      <w:r w:rsidRPr="001925FB">
        <w:rPr>
          <w:sz w:val="22"/>
          <w:szCs w:val="22"/>
        </w:rPr>
        <w:t>"</w:t>
      </w:r>
      <w:r w:rsidRPr="001925FB">
        <w:rPr>
          <w:i/>
          <w:iCs/>
          <w:sz w:val="22"/>
          <w:szCs w:val="22"/>
        </w:rPr>
        <w:t>En la din</w:t>
      </w:r>
      <w:r>
        <w:rPr>
          <w:i/>
          <w:iCs/>
          <w:sz w:val="22"/>
          <w:szCs w:val="22"/>
        </w:rPr>
        <w:t>á</w:t>
      </w:r>
      <w:r w:rsidRPr="001925FB">
        <w:rPr>
          <w:i/>
          <w:iCs/>
          <w:sz w:val="22"/>
          <w:szCs w:val="22"/>
        </w:rPr>
        <w:t>mica comercialización de gas importado es usual que el precio ofrecido por los proveedores este atado a un indexador (HH - JKM - TTF).</w:t>
      </w:r>
    </w:p>
    <w:p w14:paraId="6A83CFD4" w14:textId="77777777" w:rsidR="009E1F4C" w:rsidRPr="001925FB" w:rsidRDefault="009E1F4C" w:rsidP="009E1F4C">
      <w:pPr>
        <w:jc w:val="left"/>
        <w:rPr>
          <w:i/>
          <w:iCs/>
          <w:sz w:val="22"/>
          <w:szCs w:val="22"/>
        </w:rPr>
      </w:pPr>
    </w:p>
    <w:p w14:paraId="5DC8E52F" w14:textId="77777777" w:rsidR="009E1F4C" w:rsidRPr="001925FB" w:rsidRDefault="009E1F4C" w:rsidP="009E1F4C">
      <w:pPr>
        <w:jc w:val="left"/>
        <w:rPr>
          <w:sz w:val="22"/>
          <w:szCs w:val="22"/>
        </w:rPr>
      </w:pPr>
      <w:r w:rsidRPr="001925FB">
        <w:rPr>
          <w:i/>
          <w:iCs/>
          <w:sz w:val="22"/>
          <w:szCs w:val="22"/>
        </w:rPr>
        <w:t xml:space="preserve">Permitir que en las negociaciones se puedan manejar tanto precios fijos como precios indexados para ir de </w:t>
      </w:r>
      <w:r>
        <w:rPr>
          <w:i/>
          <w:iCs/>
          <w:sz w:val="22"/>
          <w:szCs w:val="22"/>
        </w:rPr>
        <w:t>a</w:t>
      </w:r>
      <w:r w:rsidRPr="001925FB">
        <w:rPr>
          <w:i/>
          <w:iCs/>
          <w:sz w:val="22"/>
          <w:szCs w:val="22"/>
        </w:rPr>
        <w:t>cuerdo con la din</w:t>
      </w:r>
      <w:r>
        <w:rPr>
          <w:i/>
          <w:iCs/>
          <w:sz w:val="22"/>
          <w:szCs w:val="22"/>
        </w:rPr>
        <w:t>á</w:t>
      </w:r>
      <w:r w:rsidRPr="001925FB">
        <w:rPr>
          <w:i/>
          <w:iCs/>
          <w:sz w:val="22"/>
          <w:szCs w:val="22"/>
        </w:rPr>
        <w:t>mica del mercado de GNL</w:t>
      </w:r>
      <w:r w:rsidRPr="001925FB">
        <w:rPr>
          <w:sz w:val="22"/>
          <w:szCs w:val="22"/>
        </w:rPr>
        <w:t>."</w:t>
      </w:r>
    </w:p>
    <w:p w14:paraId="7F0D2EDC" w14:textId="77777777" w:rsidR="009E1F4C" w:rsidRPr="001925FB" w:rsidRDefault="009E1F4C" w:rsidP="009E1F4C">
      <w:pPr>
        <w:jc w:val="left"/>
        <w:rPr>
          <w:sz w:val="22"/>
          <w:szCs w:val="22"/>
        </w:rPr>
      </w:pPr>
    </w:p>
    <w:p w14:paraId="37CBB89D" w14:textId="77777777" w:rsidR="009E1F4C" w:rsidRPr="001925FB" w:rsidRDefault="009E1F4C" w:rsidP="009E1F4C">
      <w:pPr>
        <w:jc w:val="left"/>
        <w:rPr>
          <w:b/>
          <w:bCs/>
          <w:sz w:val="22"/>
          <w:szCs w:val="22"/>
        </w:rPr>
      </w:pPr>
      <w:r w:rsidRPr="001925FB">
        <w:rPr>
          <w:b/>
          <w:bCs/>
          <w:sz w:val="22"/>
          <w:szCs w:val="22"/>
        </w:rPr>
        <w:t>RESPUESTA:</w:t>
      </w:r>
    </w:p>
    <w:p w14:paraId="1D764145" w14:textId="77777777" w:rsidR="009E1F4C" w:rsidRPr="001925FB" w:rsidRDefault="009E1F4C" w:rsidP="009E1F4C">
      <w:pPr>
        <w:jc w:val="left"/>
        <w:rPr>
          <w:sz w:val="22"/>
          <w:szCs w:val="22"/>
        </w:rPr>
      </w:pPr>
    </w:p>
    <w:p w14:paraId="5CB2AC90" w14:textId="77777777" w:rsidR="009E1F4C" w:rsidRDefault="009E1F4C" w:rsidP="009E1F4C">
      <w:pPr>
        <w:jc w:val="left"/>
        <w:rPr>
          <w:sz w:val="22"/>
          <w:szCs w:val="22"/>
        </w:rPr>
      </w:pPr>
      <w:r>
        <w:rPr>
          <w:sz w:val="22"/>
          <w:szCs w:val="22"/>
        </w:rPr>
        <w:t>Se acoge el comentario parcialmente.</w:t>
      </w:r>
    </w:p>
    <w:p w14:paraId="4D92E881" w14:textId="77777777" w:rsidR="009E1F4C" w:rsidRDefault="009E1F4C" w:rsidP="009E1F4C">
      <w:pPr>
        <w:jc w:val="left"/>
        <w:rPr>
          <w:sz w:val="22"/>
          <w:szCs w:val="22"/>
        </w:rPr>
      </w:pPr>
    </w:p>
    <w:p w14:paraId="17EE6EB0" w14:textId="77777777" w:rsidR="009E1F4C" w:rsidRDefault="009E1F4C" w:rsidP="009E1F4C">
      <w:pPr>
        <w:jc w:val="left"/>
        <w:rPr>
          <w:sz w:val="22"/>
          <w:szCs w:val="22"/>
        </w:rPr>
      </w:pPr>
      <w:r>
        <w:rPr>
          <w:sz w:val="22"/>
          <w:szCs w:val="22"/>
        </w:rPr>
        <w:t xml:space="preserve">Se entiende que cuando se pacta el contrato de suministro para obtener gas natural en el exterior, se establecen los precios al momento de confirmar el pedido para el día de entrega. Lo anterior por tanto, debe ocurrir antes de declarar las cantidades de CIDVF al Gestor del Mercado si es que no han sido recibidas y almacenadas, porque de estar ya almacenadas al momento de la declaración de CIDVF en las infraestructuras de regasificación, se entiende que el precio ya fue causado. </w:t>
      </w:r>
    </w:p>
    <w:p w14:paraId="311916E7" w14:textId="77777777" w:rsidR="009E1F4C" w:rsidRDefault="009E1F4C" w:rsidP="009E1F4C">
      <w:pPr>
        <w:jc w:val="left"/>
        <w:rPr>
          <w:sz w:val="22"/>
          <w:szCs w:val="22"/>
        </w:rPr>
      </w:pPr>
    </w:p>
    <w:p w14:paraId="2A9061E7" w14:textId="77777777" w:rsidR="009E1F4C" w:rsidRDefault="009E1F4C" w:rsidP="009E1F4C">
      <w:pPr>
        <w:jc w:val="left"/>
        <w:rPr>
          <w:sz w:val="22"/>
          <w:szCs w:val="22"/>
        </w:rPr>
      </w:pPr>
      <w:r>
        <w:rPr>
          <w:sz w:val="22"/>
          <w:szCs w:val="22"/>
        </w:rPr>
        <w:t>En el caso de los usuarios regulados, la señal de precios debe ser fija para que el comercializador de gas pueda negociar la compra del suministro de gas en forma transparente y eficiente comparando con las señales de precios del gas producido nacionalmente de acuerdo con la priorización que se da a las compras que tiene por objeto atender los usuarios que hacen parte de la Demanda Esencial.</w:t>
      </w:r>
    </w:p>
    <w:p w14:paraId="0008A76D" w14:textId="77777777" w:rsidR="009E1F4C" w:rsidRDefault="009E1F4C" w:rsidP="009E1F4C">
      <w:pPr>
        <w:jc w:val="left"/>
        <w:rPr>
          <w:sz w:val="22"/>
          <w:szCs w:val="22"/>
        </w:rPr>
      </w:pPr>
    </w:p>
    <w:p w14:paraId="670B9F2B" w14:textId="1DA6C11A" w:rsidR="009E1F4C" w:rsidRDefault="009E1F4C" w:rsidP="009E1F4C">
      <w:pPr>
        <w:jc w:val="left"/>
        <w:rPr>
          <w:sz w:val="22"/>
          <w:szCs w:val="22"/>
        </w:rPr>
      </w:pPr>
      <w:r>
        <w:rPr>
          <w:sz w:val="22"/>
          <w:szCs w:val="22"/>
        </w:rPr>
        <w:t>En el caso de los usuarios no regulados se establece en la resolución definitiva que e</w:t>
      </w:r>
      <w:r w:rsidRPr="009E1F4C">
        <w:rPr>
          <w:sz w:val="22"/>
          <w:szCs w:val="22"/>
        </w:rPr>
        <w:t>n el caso de la negociación en el Mercado Primario entre los comercializadores de gas importado y los compradores que destinan el volumen contratado para la atención de la demanda no regulada, el precio podrá ser variable en función de índices de precios acordados por las partes en el contrato de suministro del Mercado Primario y deberá incluir todos aquellos costos necesarios para entregar el gas en un punto de entrada al SNT.</w:t>
      </w:r>
    </w:p>
    <w:p w14:paraId="2123FDA0" w14:textId="77777777" w:rsidR="00086C1B" w:rsidRDefault="00086C1B" w:rsidP="00CF75E0">
      <w:pPr>
        <w:jc w:val="left"/>
        <w:rPr>
          <w:i/>
          <w:iCs/>
          <w:sz w:val="22"/>
        </w:rPr>
      </w:pPr>
    </w:p>
    <w:p w14:paraId="44042E6E" w14:textId="77777777" w:rsidR="009E1F4C" w:rsidRDefault="009E1F4C" w:rsidP="00CF75E0">
      <w:pPr>
        <w:jc w:val="left"/>
        <w:rPr>
          <w:i/>
          <w:iCs/>
          <w:sz w:val="22"/>
        </w:rPr>
      </w:pPr>
    </w:p>
    <w:p w14:paraId="47E6AD4D" w14:textId="1A5872FD" w:rsidR="00086C1B" w:rsidRDefault="001A43D3" w:rsidP="00CF75E0">
      <w:pPr>
        <w:pStyle w:val="Ttulo2"/>
        <w:jc w:val="left"/>
      </w:pPr>
      <w:bookmarkStart w:id="97" w:name="_Toc158211454"/>
      <w:r w:rsidRPr="00A25B16">
        <w:t>CANACOL</w:t>
      </w:r>
      <w:bookmarkEnd w:id="97"/>
      <w:r w:rsidRPr="00A25B16">
        <w:tab/>
      </w:r>
    </w:p>
    <w:p w14:paraId="3D2CF5D1" w14:textId="49EA6355" w:rsidR="001A43D3" w:rsidRPr="00A25B16" w:rsidRDefault="001A43D3" w:rsidP="00CF75E0">
      <w:pPr>
        <w:jc w:val="left"/>
        <w:rPr>
          <w:i/>
          <w:iCs/>
          <w:sz w:val="22"/>
        </w:rPr>
      </w:pPr>
      <w:r w:rsidRPr="00A25B16">
        <w:rPr>
          <w:i/>
          <w:iCs/>
          <w:sz w:val="22"/>
        </w:rPr>
        <w:t xml:space="preserve">"Consideramos que la eliminación de la prima por derecho a tomar hasta la cantidad máxima de gas significa una modificación a la definición de este tipo de contratos. Es importante tener en cuenta que el productor ya tiene que tener la cantidad de gas disponible y lista para entrega en el momento en que se presente una situación de probable escasez, y que esta condición es ajena a los riesgos que el productor puede controlar, eliminar la prima hace que el productor deba asumir un riesgo que no puede controlar y sin recibir una remuneración asociada a esto. </w:t>
      </w:r>
    </w:p>
    <w:p w14:paraId="00DF1E3C" w14:textId="77777777" w:rsidR="001A43D3" w:rsidRPr="00A25B16" w:rsidRDefault="001A43D3" w:rsidP="00CF75E0">
      <w:pPr>
        <w:jc w:val="left"/>
        <w:rPr>
          <w:i/>
          <w:iCs/>
          <w:sz w:val="22"/>
        </w:rPr>
      </w:pPr>
    </w:p>
    <w:p w14:paraId="792D5E4E" w14:textId="77777777" w:rsidR="006E2D5C" w:rsidRDefault="001A43D3" w:rsidP="00CF75E0">
      <w:pPr>
        <w:jc w:val="left"/>
        <w:rPr>
          <w:i/>
          <w:iCs/>
          <w:sz w:val="22"/>
        </w:rPr>
      </w:pPr>
      <w:r w:rsidRPr="00A25B16">
        <w:rPr>
          <w:i/>
          <w:iCs/>
          <w:sz w:val="22"/>
        </w:rPr>
        <w:t>No incluir que los contratos de OCG menores de un mes no tendrá pago de la prima.</w:t>
      </w:r>
      <w:r w:rsidR="006E2D5C">
        <w:rPr>
          <w:i/>
          <w:iCs/>
          <w:sz w:val="22"/>
        </w:rPr>
        <w:t xml:space="preserve"> </w:t>
      </w:r>
    </w:p>
    <w:p w14:paraId="606F72C6" w14:textId="77777777" w:rsidR="006E2D5C" w:rsidRDefault="006E2D5C" w:rsidP="00CF75E0">
      <w:pPr>
        <w:jc w:val="left"/>
        <w:rPr>
          <w:i/>
          <w:iCs/>
          <w:sz w:val="22"/>
        </w:rPr>
      </w:pPr>
    </w:p>
    <w:p w14:paraId="0A9785F8" w14:textId="5C87CA79" w:rsidR="001A43D3" w:rsidRPr="00A25B16" w:rsidRDefault="001A43D3" w:rsidP="00CF75E0">
      <w:pPr>
        <w:jc w:val="left"/>
        <w:rPr>
          <w:i/>
          <w:iCs/>
          <w:sz w:val="22"/>
        </w:rPr>
      </w:pPr>
      <w:r w:rsidRPr="00A25B16">
        <w:rPr>
          <w:i/>
          <w:iCs/>
          <w:sz w:val="22"/>
        </w:rPr>
        <w:t xml:space="preserve">Esta disposición va en total contravía de la naturaleza del contrato de la OCG. Cabe resaltar que una OCG en su naturaleza requiere que el vendedor tenga disponible un gas natural sin poderlo vender a otros agentes y, ante ese costo de oportunidad, el comprador paga una prima por tener el derecho a tener el gas disponible, tómelo o no lo tome. </w:t>
      </w:r>
    </w:p>
    <w:p w14:paraId="71FB27F9" w14:textId="77777777" w:rsidR="001A43D3" w:rsidRPr="00A25B16" w:rsidRDefault="001A43D3" w:rsidP="00CF75E0">
      <w:pPr>
        <w:jc w:val="left"/>
        <w:rPr>
          <w:i/>
          <w:iCs/>
          <w:sz w:val="22"/>
        </w:rPr>
      </w:pPr>
    </w:p>
    <w:p w14:paraId="4B397F98" w14:textId="77777777" w:rsidR="001A43D3" w:rsidRPr="00A25B16" w:rsidRDefault="001A43D3" w:rsidP="00CF75E0">
      <w:pPr>
        <w:jc w:val="left"/>
        <w:rPr>
          <w:i/>
          <w:iCs/>
          <w:sz w:val="22"/>
        </w:rPr>
      </w:pPr>
      <w:r w:rsidRPr="00A25B16">
        <w:rPr>
          <w:i/>
          <w:iCs/>
          <w:sz w:val="22"/>
        </w:rPr>
        <w:lastRenderedPageBreak/>
        <w:t>Con esta disposición, la OCG quedará en la práctica inoperativa, pues ningún vendedor suscribirá una OCG, con la cual deba tener el gas disponible sin posibilidad de venta, sin una contraprestación por esa pérdida de oportunidad. Más teniendo la situación actual del mercado."</w:t>
      </w:r>
    </w:p>
    <w:p w14:paraId="43BBE7F6" w14:textId="77777777" w:rsidR="00086C1B" w:rsidRDefault="00086C1B" w:rsidP="00CF75E0">
      <w:pPr>
        <w:jc w:val="left"/>
        <w:rPr>
          <w:i/>
          <w:iCs/>
          <w:sz w:val="22"/>
        </w:rPr>
      </w:pPr>
    </w:p>
    <w:p w14:paraId="43B701DA"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5ECEDE96" w14:textId="77777777" w:rsidR="002B1FF0" w:rsidRPr="002B1FF0" w:rsidRDefault="002B1FF0" w:rsidP="00CF75E0">
      <w:pPr>
        <w:jc w:val="left"/>
        <w:rPr>
          <w:rFonts w:cs="Arial"/>
          <w:sz w:val="22"/>
          <w:szCs w:val="22"/>
        </w:rPr>
      </w:pPr>
    </w:p>
    <w:p w14:paraId="413E0AE4" w14:textId="7C4A273A" w:rsidR="002B1FF0" w:rsidRPr="002B1FF0" w:rsidRDefault="00E37BB8"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_Ref148951312 \w \h </w:instrText>
      </w:r>
      <w:r>
        <w:rPr>
          <w:rFonts w:cs="Arial"/>
          <w:sz w:val="22"/>
          <w:szCs w:val="22"/>
        </w:rPr>
      </w:r>
      <w:r>
        <w:rPr>
          <w:rFonts w:cs="Arial"/>
          <w:sz w:val="22"/>
          <w:szCs w:val="22"/>
        </w:rPr>
        <w:fldChar w:fldCharType="separate"/>
      </w:r>
      <w:r w:rsidR="0027336D">
        <w:rPr>
          <w:rFonts w:cs="Arial"/>
          <w:sz w:val="22"/>
          <w:szCs w:val="22"/>
        </w:rPr>
        <w:t>5.1</w:t>
      </w:r>
      <w:r>
        <w:rPr>
          <w:rFonts w:cs="Arial"/>
          <w:sz w:val="22"/>
          <w:szCs w:val="22"/>
        </w:rPr>
        <w:fldChar w:fldCharType="end"/>
      </w:r>
      <w:r>
        <w:rPr>
          <w:rFonts w:cs="Arial"/>
          <w:sz w:val="22"/>
          <w:szCs w:val="22"/>
        </w:rPr>
        <w:t>.</w:t>
      </w:r>
    </w:p>
    <w:p w14:paraId="1DA9A534" w14:textId="77777777" w:rsidR="00086C1B" w:rsidRDefault="00086C1B" w:rsidP="00CF75E0">
      <w:pPr>
        <w:jc w:val="left"/>
        <w:rPr>
          <w:i/>
          <w:iCs/>
          <w:sz w:val="22"/>
        </w:rPr>
      </w:pPr>
    </w:p>
    <w:p w14:paraId="1D89AB56" w14:textId="77777777" w:rsidR="004148F2" w:rsidRPr="001925FB" w:rsidRDefault="004148F2" w:rsidP="00CF75E0">
      <w:pPr>
        <w:jc w:val="left"/>
        <w:rPr>
          <w:sz w:val="22"/>
          <w:szCs w:val="22"/>
        </w:rPr>
      </w:pPr>
    </w:p>
    <w:p w14:paraId="3A6C520F" w14:textId="436B34A5" w:rsidR="00086C1B" w:rsidRDefault="001A43D3" w:rsidP="00CF75E0">
      <w:pPr>
        <w:pStyle w:val="Ttulo2"/>
        <w:jc w:val="left"/>
      </w:pPr>
      <w:bookmarkStart w:id="98" w:name="_Ref148952429"/>
      <w:bookmarkStart w:id="99" w:name="_Toc158211455"/>
      <w:r w:rsidRPr="00A25B16">
        <w:t>Ecopetrol S.A.</w:t>
      </w:r>
      <w:bookmarkEnd w:id="98"/>
      <w:bookmarkEnd w:id="99"/>
      <w:r w:rsidRPr="00A25B16">
        <w:tab/>
      </w:r>
    </w:p>
    <w:p w14:paraId="77E0BD50" w14:textId="1B97B97A" w:rsidR="001A43D3" w:rsidRPr="00A25B16" w:rsidRDefault="001A43D3" w:rsidP="00CF75E0">
      <w:pPr>
        <w:jc w:val="left"/>
        <w:rPr>
          <w:i/>
          <w:iCs/>
          <w:sz w:val="22"/>
        </w:rPr>
      </w:pPr>
      <w:r w:rsidRPr="00A25B16">
        <w:rPr>
          <w:i/>
          <w:iCs/>
          <w:sz w:val="22"/>
        </w:rPr>
        <w:t>"En primer lugar, sugerimos evaluar la posibilidad de permitir la negociación bilateral de contratos que garanticen firmeza con duración hasta de seis meses, tanto para los contratos de duración en semanas laborales como calendario continuas. En tal sentido, sugerimos ajustar lo propuesto en el literal b del numeral i).</w:t>
      </w:r>
      <w:r w:rsidR="001D4109">
        <w:rPr>
          <w:i/>
          <w:iCs/>
          <w:sz w:val="22"/>
        </w:rPr>
        <w:t>”</w:t>
      </w:r>
    </w:p>
    <w:p w14:paraId="5EC0A148" w14:textId="77777777" w:rsidR="005E5578" w:rsidRDefault="005E5578" w:rsidP="00CF75E0">
      <w:pPr>
        <w:jc w:val="left"/>
        <w:rPr>
          <w:i/>
          <w:iCs/>
          <w:sz w:val="22"/>
        </w:rPr>
      </w:pPr>
    </w:p>
    <w:p w14:paraId="278A0FE8" w14:textId="77777777" w:rsidR="005E5578" w:rsidRPr="005E5578" w:rsidRDefault="005E5578" w:rsidP="00CF75E0">
      <w:pPr>
        <w:jc w:val="left"/>
        <w:rPr>
          <w:b/>
          <w:bCs/>
          <w:sz w:val="22"/>
        </w:rPr>
      </w:pPr>
      <w:r w:rsidRPr="005E5578">
        <w:rPr>
          <w:b/>
          <w:bCs/>
          <w:sz w:val="22"/>
        </w:rPr>
        <w:t>RESPUESTA</w:t>
      </w:r>
    </w:p>
    <w:p w14:paraId="320C14D2" w14:textId="77777777" w:rsidR="005E5578" w:rsidRDefault="005E5578" w:rsidP="00CF75E0">
      <w:pPr>
        <w:jc w:val="left"/>
        <w:rPr>
          <w:i/>
          <w:iCs/>
          <w:sz w:val="22"/>
        </w:rPr>
      </w:pPr>
    </w:p>
    <w:p w14:paraId="1487868C" w14:textId="73311554" w:rsidR="005E5578" w:rsidRDefault="00890A29" w:rsidP="005E5578">
      <w:pPr>
        <w:jc w:val="left"/>
        <w:rPr>
          <w:rFonts w:cs="Arial"/>
          <w:sz w:val="22"/>
          <w:szCs w:val="22"/>
        </w:rPr>
      </w:pPr>
      <w:r>
        <w:rPr>
          <w:rFonts w:cs="Arial"/>
          <w:sz w:val="22"/>
          <w:szCs w:val="22"/>
        </w:rPr>
        <w:t>No se acoge el comentario.</w:t>
      </w:r>
    </w:p>
    <w:p w14:paraId="623DBB25" w14:textId="77777777" w:rsidR="00890A29" w:rsidRDefault="00890A29" w:rsidP="005E5578">
      <w:pPr>
        <w:jc w:val="left"/>
        <w:rPr>
          <w:rFonts w:cs="Arial"/>
          <w:sz w:val="22"/>
          <w:szCs w:val="22"/>
        </w:rPr>
      </w:pPr>
    </w:p>
    <w:p w14:paraId="6B39070D" w14:textId="17E07F94" w:rsidR="00890A29" w:rsidRDefault="00890A29" w:rsidP="005E5578">
      <w:pPr>
        <w:jc w:val="left"/>
        <w:rPr>
          <w:rFonts w:cs="Arial"/>
          <w:sz w:val="22"/>
          <w:szCs w:val="22"/>
        </w:rPr>
      </w:pPr>
      <w:r>
        <w:rPr>
          <w:rFonts w:cs="Arial"/>
          <w:sz w:val="22"/>
          <w:szCs w:val="22"/>
        </w:rPr>
        <w:t>Ver respuesta al comentario</w:t>
      </w:r>
      <w:r w:rsidR="0031479E">
        <w:rPr>
          <w:rFonts w:cs="Arial"/>
          <w:sz w:val="22"/>
          <w:szCs w:val="22"/>
        </w:rPr>
        <w:t xml:space="preserve"> </w:t>
      </w:r>
      <w:r w:rsidR="0031479E">
        <w:rPr>
          <w:rFonts w:cs="Arial"/>
          <w:sz w:val="22"/>
          <w:szCs w:val="22"/>
        </w:rPr>
        <w:fldChar w:fldCharType="begin"/>
      </w:r>
      <w:r w:rsidR="0031479E">
        <w:rPr>
          <w:rFonts w:cs="Arial"/>
          <w:sz w:val="22"/>
          <w:szCs w:val="22"/>
        </w:rPr>
        <w:instrText xml:space="preserve"> REF _Ref149316742 \w \h </w:instrText>
      </w:r>
      <w:r w:rsidR="0031479E">
        <w:rPr>
          <w:rFonts w:cs="Arial"/>
          <w:sz w:val="22"/>
          <w:szCs w:val="22"/>
        </w:rPr>
      </w:r>
      <w:r w:rsidR="0031479E">
        <w:rPr>
          <w:rFonts w:cs="Arial"/>
          <w:sz w:val="22"/>
          <w:szCs w:val="22"/>
        </w:rPr>
        <w:fldChar w:fldCharType="separate"/>
      </w:r>
      <w:r w:rsidR="0027336D">
        <w:rPr>
          <w:rFonts w:cs="Arial"/>
          <w:sz w:val="22"/>
          <w:szCs w:val="22"/>
        </w:rPr>
        <w:t>5.2</w:t>
      </w:r>
      <w:r w:rsidR="0031479E">
        <w:rPr>
          <w:rFonts w:cs="Arial"/>
          <w:sz w:val="22"/>
          <w:szCs w:val="22"/>
        </w:rPr>
        <w:fldChar w:fldCharType="end"/>
      </w:r>
      <w:r w:rsidR="0031479E">
        <w:rPr>
          <w:rFonts w:cs="Arial"/>
          <w:sz w:val="22"/>
          <w:szCs w:val="22"/>
        </w:rPr>
        <w:t>.</w:t>
      </w:r>
      <w:r>
        <w:rPr>
          <w:rFonts w:cs="Arial"/>
          <w:sz w:val="22"/>
          <w:szCs w:val="22"/>
        </w:rPr>
        <w:t xml:space="preserve"> </w:t>
      </w:r>
    </w:p>
    <w:p w14:paraId="186663BB" w14:textId="77777777" w:rsidR="00890A29" w:rsidRDefault="00890A29" w:rsidP="005E5578">
      <w:pPr>
        <w:jc w:val="left"/>
        <w:rPr>
          <w:rFonts w:cs="Arial"/>
          <w:sz w:val="22"/>
          <w:szCs w:val="22"/>
        </w:rPr>
      </w:pPr>
    </w:p>
    <w:p w14:paraId="0F890FE6" w14:textId="77777777" w:rsidR="005E5578" w:rsidRDefault="005E5578" w:rsidP="00CF75E0">
      <w:pPr>
        <w:jc w:val="left"/>
        <w:rPr>
          <w:i/>
          <w:iCs/>
          <w:sz w:val="22"/>
        </w:rPr>
      </w:pPr>
    </w:p>
    <w:p w14:paraId="510D000D" w14:textId="77777777" w:rsidR="005E5578" w:rsidRDefault="005E5578" w:rsidP="005E5578">
      <w:pPr>
        <w:pStyle w:val="Ttulo2"/>
        <w:jc w:val="left"/>
      </w:pPr>
      <w:bookmarkStart w:id="100" w:name="_Ref148954073"/>
      <w:bookmarkStart w:id="101" w:name="_Toc158211456"/>
      <w:r w:rsidRPr="00A25B16">
        <w:t>Ecopetrol S.A.</w:t>
      </w:r>
      <w:bookmarkEnd w:id="100"/>
      <w:bookmarkEnd w:id="101"/>
      <w:r w:rsidRPr="00A25B16">
        <w:tab/>
      </w:r>
    </w:p>
    <w:p w14:paraId="337D557E" w14:textId="7B1384B6" w:rsidR="001A43D3" w:rsidRPr="00A25B16" w:rsidRDefault="001D4109" w:rsidP="00CF75E0">
      <w:pPr>
        <w:jc w:val="left"/>
        <w:rPr>
          <w:i/>
          <w:iCs/>
          <w:sz w:val="22"/>
        </w:rPr>
      </w:pPr>
      <w:r>
        <w:rPr>
          <w:i/>
          <w:iCs/>
          <w:sz w:val="22"/>
        </w:rPr>
        <w:t>“</w:t>
      </w:r>
      <w:r w:rsidR="001A43D3" w:rsidRPr="00A25B16">
        <w:rPr>
          <w:i/>
          <w:iCs/>
          <w:sz w:val="22"/>
        </w:rPr>
        <w:t>En segundo lugar, y con el fin de maximizar los volúmenes contratados a corto plazo, sugerimos a la Comisión permitir cantidades variables tanto en contratos con duración en semanas laborales como en contratos con duración en semanas calendario. En tal sentido, sugerimos ajustar lo propuesto en el literal d del numeral i).</w:t>
      </w:r>
      <w:r>
        <w:rPr>
          <w:i/>
          <w:iCs/>
          <w:sz w:val="22"/>
        </w:rPr>
        <w:t>”</w:t>
      </w:r>
    </w:p>
    <w:p w14:paraId="6A4595A4" w14:textId="77777777" w:rsidR="001A43D3" w:rsidRPr="00A25B16" w:rsidRDefault="001A43D3" w:rsidP="00CF75E0">
      <w:pPr>
        <w:jc w:val="left"/>
        <w:rPr>
          <w:i/>
          <w:iCs/>
          <w:sz w:val="22"/>
        </w:rPr>
      </w:pPr>
    </w:p>
    <w:p w14:paraId="1206E3B3" w14:textId="30511B83" w:rsidR="005E5578" w:rsidRDefault="005E5578" w:rsidP="00CF75E0">
      <w:pPr>
        <w:jc w:val="left"/>
        <w:rPr>
          <w:b/>
          <w:bCs/>
          <w:sz w:val="22"/>
        </w:rPr>
      </w:pPr>
      <w:r w:rsidRPr="005E5578">
        <w:rPr>
          <w:b/>
          <w:bCs/>
          <w:sz w:val="22"/>
        </w:rPr>
        <w:t>RESPUESTA:</w:t>
      </w:r>
    </w:p>
    <w:p w14:paraId="67918145" w14:textId="77777777" w:rsidR="005E5578" w:rsidRDefault="005E5578" w:rsidP="00CF75E0">
      <w:pPr>
        <w:jc w:val="left"/>
        <w:rPr>
          <w:b/>
          <w:bCs/>
          <w:sz w:val="22"/>
        </w:rPr>
      </w:pPr>
    </w:p>
    <w:p w14:paraId="02DA959B" w14:textId="4B6B7B3D" w:rsidR="00512CEF" w:rsidRDefault="00512CEF" w:rsidP="005E5578">
      <w:pPr>
        <w:jc w:val="left"/>
        <w:rPr>
          <w:rFonts w:cs="Arial"/>
          <w:sz w:val="22"/>
          <w:szCs w:val="22"/>
        </w:rPr>
      </w:pPr>
      <w:r>
        <w:rPr>
          <w:rFonts w:cs="Arial"/>
          <w:sz w:val="22"/>
          <w:szCs w:val="22"/>
        </w:rPr>
        <w:t>Se acoge el comentario.</w:t>
      </w:r>
    </w:p>
    <w:p w14:paraId="149BAB7B" w14:textId="77777777" w:rsidR="00512CEF" w:rsidRDefault="00512CEF" w:rsidP="005E5578">
      <w:pPr>
        <w:jc w:val="left"/>
        <w:rPr>
          <w:rFonts w:cs="Arial"/>
          <w:sz w:val="22"/>
          <w:szCs w:val="22"/>
        </w:rPr>
      </w:pPr>
    </w:p>
    <w:p w14:paraId="6B939468" w14:textId="6AAA9CFD" w:rsidR="005E5578" w:rsidRDefault="00512CEF" w:rsidP="005E5578">
      <w:pPr>
        <w:jc w:val="left"/>
        <w:rPr>
          <w:rFonts w:cs="Arial"/>
          <w:sz w:val="22"/>
          <w:szCs w:val="22"/>
        </w:rPr>
      </w:pPr>
      <w:r>
        <w:rPr>
          <w:rFonts w:cs="Arial"/>
          <w:sz w:val="22"/>
          <w:szCs w:val="22"/>
        </w:rPr>
        <w:t>Por un lado, l</w:t>
      </w:r>
      <w:r w:rsidR="005E5578">
        <w:rPr>
          <w:rFonts w:cs="Arial"/>
          <w:sz w:val="22"/>
          <w:szCs w:val="22"/>
        </w:rPr>
        <w:t>as cantidades variables de contratos de semanas</w:t>
      </w:r>
      <w:r>
        <w:rPr>
          <w:rFonts w:cs="Arial"/>
          <w:sz w:val="22"/>
          <w:szCs w:val="22"/>
        </w:rPr>
        <w:t xml:space="preserve"> laborales, que tiene días con mayor consumo y más estable,</w:t>
      </w:r>
      <w:r w:rsidR="005E5578">
        <w:rPr>
          <w:rFonts w:cs="Arial"/>
          <w:sz w:val="22"/>
          <w:szCs w:val="22"/>
        </w:rPr>
        <w:t xml:space="preserve"> </w:t>
      </w:r>
      <w:r>
        <w:rPr>
          <w:rFonts w:cs="Arial"/>
          <w:sz w:val="22"/>
          <w:szCs w:val="22"/>
        </w:rPr>
        <w:t xml:space="preserve">buscan </w:t>
      </w:r>
      <w:r w:rsidR="005E5578">
        <w:rPr>
          <w:rFonts w:cs="Arial"/>
          <w:sz w:val="22"/>
          <w:szCs w:val="22"/>
        </w:rPr>
        <w:t>complementa</w:t>
      </w:r>
      <w:r>
        <w:rPr>
          <w:rFonts w:cs="Arial"/>
          <w:sz w:val="22"/>
          <w:szCs w:val="22"/>
        </w:rPr>
        <w:t>r</w:t>
      </w:r>
      <w:r w:rsidR="005E5578">
        <w:rPr>
          <w:rFonts w:cs="Arial"/>
          <w:sz w:val="22"/>
          <w:szCs w:val="22"/>
        </w:rPr>
        <w:t xml:space="preserve"> la</w:t>
      </w:r>
      <w:r>
        <w:rPr>
          <w:rFonts w:cs="Arial"/>
          <w:sz w:val="22"/>
          <w:szCs w:val="22"/>
        </w:rPr>
        <w:t>s</w:t>
      </w:r>
      <w:r w:rsidR="005E5578">
        <w:rPr>
          <w:rFonts w:cs="Arial"/>
          <w:sz w:val="22"/>
          <w:szCs w:val="22"/>
        </w:rPr>
        <w:t xml:space="preserve"> cantidad</w:t>
      </w:r>
      <w:r>
        <w:rPr>
          <w:rFonts w:cs="Arial"/>
          <w:sz w:val="22"/>
          <w:szCs w:val="22"/>
        </w:rPr>
        <w:t>es</w:t>
      </w:r>
      <w:r w:rsidR="005E5578">
        <w:rPr>
          <w:rFonts w:cs="Arial"/>
          <w:sz w:val="22"/>
          <w:szCs w:val="22"/>
        </w:rPr>
        <w:t xml:space="preserve"> fija</w:t>
      </w:r>
      <w:r>
        <w:rPr>
          <w:rFonts w:cs="Arial"/>
          <w:sz w:val="22"/>
          <w:szCs w:val="22"/>
        </w:rPr>
        <w:t xml:space="preserve">s </w:t>
      </w:r>
      <w:r w:rsidR="005E5578">
        <w:rPr>
          <w:rFonts w:cs="Arial"/>
          <w:sz w:val="22"/>
          <w:szCs w:val="22"/>
        </w:rPr>
        <w:t xml:space="preserve">de </w:t>
      </w:r>
      <w:r>
        <w:rPr>
          <w:rFonts w:cs="Arial"/>
          <w:sz w:val="22"/>
          <w:szCs w:val="22"/>
        </w:rPr>
        <w:t xml:space="preserve">los contratos de </w:t>
      </w:r>
      <w:r w:rsidR="005E5578">
        <w:rPr>
          <w:rFonts w:cs="Arial"/>
          <w:sz w:val="22"/>
          <w:szCs w:val="22"/>
        </w:rPr>
        <w:t>semanas calendario</w:t>
      </w:r>
      <w:r>
        <w:rPr>
          <w:rFonts w:cs="Arial"/>
          <w:sz w:val="22"/>
          <w:szCs w:val="22"/>
        </w:rPr>
        <w:t xml:space="preserve"> que se esperaría que fuesen basadas en el consumo promedio del día de menor consumo</w:t>
      </w:r>
      <w:r w:rsidR="005E5578">
        <w:rPr>
          <w:rFonts w:cs="Arial"/>
          <w:sz w:val="22"/>
          <w:szCs w:val="22"/>
        </w:rPr>
        <w:t xml:space="preserve">. </w:t>
      </w:r>
      <w:r>
        <w:rPr>
          <w:rFonts w:cs="Arial"/>
          <w:sz w:val="22"/>
          <w:szCs w:val="22"/>
        </w:rPr>
        <w:t>Lo anterior v</w:t>
      </w:r>
      <w:r w:rsidR="005E5578">
        <w:rPr>
          <w:rFonts w:cs="Arial"/>
          <w:sz w:val="22"/>
          <w:szCs w:val="22"/>
        </w:rPr>
        <w:t>a de la mano con que no se permiten interrupciones de mantenimiento como evento eximente</w:t>
      </w:r>
      <w:r>
        <w:rPr>
          <w:rFonts w:cs="Arial"/>
          <w:sz w:val="22"/>
          <w:szCs w:val="22"/>
        </w:rPr>
        <w:t xml:space="preserve"> en contratos de semana laboral</w:t>
      </w:r>
      <w:r w:rsidR="005E5578">
        <w:rPr>
          <w:rFonts w:cs="Arial"/>
          <w:sz w:val="22"/>
          <w:szCs w:val="22"/>
        </w:rPr>
        <w:t>.</w:t>
      </w:r>
    </w:p>
    <w:p w14:paraId="5E403407" w14:textId="77777777" w:rsidR="00512CEF" w:rsidRDefault="00512CEF" w:rsidP="005E5578">
      <w:pPr>
        <w:jc w:val="left"/>
        <w:rPr>
          <w:rFonts w:cs="Arial"/>
          <w:sz w:val="22"/>
          <w:szCs w:val="22"/>
        </w:rPr>
      </w:pPr>
    </w:p>
    <w:p w14:paraId="114F29B8" w14:textId="217B0339" w:rsidR="00512CEF" w:rsidRDefault="00512CEF" w:rsidP="00512CEF">
      <w:pPr>
        <w:rPr>
          <w:rFonts w:cs="Arial"/>
          <w:sz w:val="22"/>
          <w:szCs w:val="22"/>
        </w:rPr>
      </w:pPr>
      <w:r>
        <w:rPr>
          <w:rFonts w:cs="Arial"/>
          <w:sz w:val="22"/>
          <w:szCs w:val="22"/>
        </w:rPr>
        <w:t xml:space="preserve">La configuración de cantidades de semana laboral y/o de semana calendario es voluntaria y no es obligatoria, pero busca también lograr que la variación en la producción diaria de un campo sea menor entre uno y otro día, en función de una demanda menos variable. Se espera que aquellos volúmenes que no se comprometen en contratos de semana laboral, es decir, que no se comprometen para los días sábado y domingo, puedan comprometerse en contratos de tipo firme de sábado o de domingo mediante negociación directa, con compradores que tendrían interés en consumir grandes cantidades de gas natural en dichos días, particularmente para los usuarios no </w:t>
      </w:r>
      <w:r>
        <w:rPr>
          <w:rFonts w:cs="Arial"/>
          <w:sz w:val="22"/>
          <w:szCs w:val="22"/>
        </w:rPr>
        <w:lastRenderedPageBreak/>
        <w:t>regulados de generación termoeléctrica. Se hará por tanto, la inclusión de negociación directa de contratos de tipo firme de fin de semana en el Mercado Primario.</w:t>
      </w:r>
    </w:p>
    <w:p w14:paraId="7842B87A" w14:textId="77777777" w:rsidR="00512CEF" w:rsidRDefault="00512CEF" w:rsidP="00512CEF">
      <w:pPr>
        <w:rPr>
          <w:rFonts w:cs="Arial"/>
          <w:sz w:val="22"/>
          <w:szCs w:val="22"/>
        </w:rPr>
      </w:pPr>
    </w:p>
    <w:p w14:paraId="338BB297" w14:textId="7B47405E" w:rsidR="00512CEF" w:rsidRDefault="00512CEF" w:rsidP="005F52D2">
      <w:pPr>
        <w:rPr>
          <w:rFonts w:cs="Arial"/>
          <w:sz w:val="22"/>
          <w:szCs w:val="22"/>
        </w:rPr>
      </w:pPr>
      <w:r>
        <w:rPr>
          <w:rFonts w:cs="Arial"/>
          <w:sz w:val="22"/>
          <w:szCs w:val="22"/>
        </w:rPr>
        <w:t>Siendo que la propuesta busca dar mayor flexibilidad a la contratación de tipo firme durante la vigencia de la Resolución se permitirá el registro de contratos que tiene duración pactada en semanas calendario, que podrán incluir cantidades variables entre cada semana calendario. en conjunto con lo anterior, no se permitirán incluir como evento eximente</w:t>
      </w:r>
      <w:r w:rsidR="005F52D2">
        <w:rPr>
          <w:rFonts w:cs="Arial"/>
          <w:sz w:val="22"/>
          <w:szCs w:val="22"/>
        </w:rPr>
        <w:t>,</w:t>
      </w:r>
      <w:r>
        <w:rPr>
          <w:rFonts w:cs="Arial"/>
          <w:sz w:val="22"/>
          <w:szCs w:val="22"/>
        </w:rPr>
        <w:t xml:space="preserve"> </w:t>
      </w:r>
      <w:r w:rsidR="005F52D2">
        <w:rPr>
          <w:rFonts w:cs="Arial"/>
          <w:sz w:val="22"/>
          <w:szCs w:val="22"/>
        </w:rPr>
        <w:t>l</w:t>
      </w:r>
      <w:r w:rsidR="005F52D2" w:rsidRPr="005F52D2">
        <w:rPr>
          <w:rFonts w:cs="Arial"/>
          <w:sz w:val="22"/>
          <w:szCs w:val="22"/>
        </w:rPr>
        <w:t>as suspensiones por labores programadas para reparaciones técnicas o mantenimientos periódicos</w:t>
      </w:r>
      <w:r w:rsidR="005F52D2">
        <w:rPr>
          <w:rFonts w:cs="Arial"/>
          <w:sz w:val="22"/>
          <w:szCs w:val="22"/>
        </w:rPr>
        <w:t>. El vendedor deberá tener en cuenta la planeación de dichas labores para efectos de suscribir un contrato y el período de la duración continua de ejecución del mismo.</w:t>
      </w:r>
      <w:r w:rsidR="006A284B">
        <w:rPr>
          <w:rFonts w:cs="Arial"/>
          <w:sz w:val="22"/>
          <w:szCs w:val="22"/>
        </w:rPr>
        <w:t xml:space="preserve"> </w:t>
      </w:r>
    </w:p>
    <w:p w14:paraId="4CC1663E" w14:textId="77777777" w:rsidR="005F52D2" w:rsidRDefault="005F52D2" w:rsidP="005F52D2">
      <w:pPr>
        <w:rPr>
          <w:rFonts w:cs="Arial"/>
          <w:sz w:val="22"/>
          <w:szCs w:val="22"/>
        </w:rPr>
      </w:pPr>
    </w:p>
    <w:p w14:paraId="61C48A08" w14:textId="0A11DAD4" w:rsidR="005F52D2" w:rsidRDefault="005F52D2" w:rsidP="005F52D2">
      <w:pPr>
        <w:rPr>
          <w:rFonts w:cs="Arial"/>
          <w:sz w:val="22"/>
          <w:szCs w:val="22"/>
        </w:rPr>
      </w:pPr>
      <w:r>
        <w:rPr>
          <w:rFonts w:cs="Arial"/>
          <w:sz w:val="22"/>
          <w:szCs w:val="22"/>
        </w:rPr>
        <w:t>En todos los casos, el precio será fijo, sea en contratos de duración pactada en semanas calendario o en semanas laborales.</w:t>
      </w:r>
    </w:p>
    <w:p w14:paraId="02394EE0" w14:textId="77777777" w:rsidR="005E5578" w:rsidRDefault="005E5578" w:rsidP="00CF75E0">
      <w:pPr>
        <w:jc w:val="left"/>
        <w:rPr>
          <w:b/>
          <w:bCs/>
          <w:sz w:val="22"/>
        </w:rPr>
      </w:pPr>
    </w:p>
    <w:p w14:paraId="451D1CB5" w14:textId="77777777" w:rsidR="005E5578" w:rsidRDefault="005E5578" w:rsidP="00CF75E0">
      <w:pPr>
        <w:jc w:val="left"/>
        <w:rPr>
          <w:b/>
          <w:bCs/>
          <w:sz w:val="22"/>
        </w:rPr>
      </w:pPr>
    </w:p>
    <w:p w14:paraId="1BA35C72" w14:textId="77777777" w:rsidR="005E5578" w:rsidRDefault="005E5578" w:rsidP="005E5578">
      <w:pPr>
        <w:pStyle w:val="Ttulo2"/>
        <w:jc w:val="left"/>
      </w:pPr>
      <w:bookmarkStart w:id="102" w:name="_Ref149545678"/>
      <w:bookmarkStart w:id="103" w:name="_Toc158211457"/>
      <w:r w:rsidRPr="00A25B16">
        <w:t>Ecopetrol S.A.</w:t>
      </w:r>
      <w:bookmarkEnd w:id="102"/>
      <w:bookmarkEnd w:id="103"/>
      <w:r w:rsidRPr="00A25B16">
        <w:tab/>
      </w:r>
    </w:p>
    <w:p w14:paraId="0A8AB0BD" w14:textId="3978A43B" w:rsidR="001A43D3" w:rsidRPr="00A25B16" w:rsidRDefault="001D4109" w:rsidP="00CF75E0">
      <w:pPr>
        <w:jc w:val="left"/>
        <w:rPr>
          <w:i/>
          <w:iCs/>
          <w:sz w:val="22"/>
        </w:rPr>
      </w:pPr>
      <w:r>
        <w:rPr>
          <w:i/>
          <w:iCs/>
          <w:sz w:val="22"/>
        </w:rPr>
        <w:t>“</w:t>
      </w:r>
      <w:r w:rsidR="001A43D3" w:rsidRPr="00A25B16">
        <w:rPr>
          <w:i/>
          <w:iCs/>
          <w:sz w:val="22"/>
        </w:rPr>
        <w:t>En tercer lugar, sugerimos incluir en este artículo una disposición complementaria a aquellas disposiciones propuestas en los artículos 9 y 10 del proyecto de resolución, con el fin de evitar confusiones en la interpretación de la resolución según el tipo de fuente. En tal sentido, sugerimos incluir un nuevo literal en el numeral i.) (propuesta de nuevo literal h.).</w:t>
      </w:r>
      <w:r>
        <w:rPr>
          <w:i/>
          <w:iCs/>
          <w:sz w:val="22"/>
        </w:rPr>
        <w:t>”</w:t>
      </w:r>
    </w:p>
    <w:p w14:paraId="05AAF551" w14:textId="77777777" w:rsidR="001A43D3" w:rsidRPr="00A25B16" w:rsidRDefault="001A43D3" w:rsidP="00CF75E0">
      <w:pPr>
        <w:jc w:val="left"/>
        <w:rPr>
          <w:i/>
          <w:iCs/>
          <w:sz w:val="22"/>
        </w:rPr>
      </w:pPr>
    </w:p>
    <w:p w14:paraId="49ED69DF" w14:textId="77777777" w:rsidR="005E5578" w:rsidRPr="005E5578" w:rsidRDefault="005E5578" w:rsidP="00CF75E0">
      <w:pPr>
        <w:jc w:val="left"/>
        <w:rPr>
          <w:b/>
          <w:bCs/>
          <w:sz w:val="22"/>
        </w:rPr>
      </w:pPr>
      <w:r w:rsidRPr="005E5578">
        <w:rPr>
          <w:b/>
          <w:bCs/>
          <w:sz w:val="22"/>
        </w:rPr>
        <w:t>RESPUESTA:</w:t>
      </w:r>
    </w:p>
    <w:p w14:paraId="03149575" w14:textId="77777777" w:rsidR="005E5578" w:rsidRDefault="005E5578" w:rsidP="00CF75E0">
      <w:pPr>
        <w:jc w:val="left"/>
        <w:rPr>
          <w:b/>
          <w:bCs/>
          <w:sz w:val="22"/>
        </w:rPr>
      </w:pPr>
    </w:p>
    <w:p w14:paraId="1D815084" w14:textId="7EFE7D57" w:rsidR="00733189" w:rsidRDefault="00733189" w:rsidP="00CF75E0">
      <w:pPr>
        <w:jc w:val="left"/>
        <w:rPr>
          <w:sz w:val="22"/>
        </w:rPr>
      </w:pPr>
      <w:r>
        <w:rPr>
          <w:sz w:val="22"/>
        </w:rPr>
        <w:t>Se acoge el comentario.</w:t>
      </w:r>
    </w:p>
    <w:p w14:paraId="1F4A3884" w14:textId="77777777" w:rsidR="00733189" w:rsidRDefault="00733189" w:rsidP="00CF75E0">
      <w:pPr>
        <w:jc w:val="left"/>
        <w:rPr>
          <w:sz w:val="22"/>
        </w:rPr>
      </w:pPr>
    </w:p>
    <w:p w14:paraId="1826566A" w14:textId="04FAA9A1" w:rsidR="00A3135B" w:rsidRPr="001D4109" w:rsidRDefault="00733189" w:rsidP="00CF75E0">
      <w:pPr>
        <w:jc w:val="left"/>
        <w:rPr>
          <w:sz w:val="22"/>
        </w:rPr>
      </w:pPr>
      <w:r>
        <w:rPr>
          <w:sz w:val="22"/>
        </w:rPr>
        <w:t>La Resolución definitiva no contendrá la adición de parágrafos transitorios o de numerales transitorios a la Resolución CREG 186 de 2020, como se propuso en el Proyecto de Resolución, sino reglas adicionales a la mencionada Resolución, que son transitorias con una vigencia especificada. Cualquier regla de la Resolución CREG 186 de 2020 que sea contraria a alguna o varias de las medidas establecidas en la resolución definitiva del Proyecto de Resolución CREG 702 005 de 2023, se deroga transitoriamente durante su vigencia. Lo anterior con el fin de conformar un texto más simplificado y claro</w:t>
      </w:r>
    </w:p>
    <w:p w14:paraId="383CB054" w14:textId="77777777" w:rsidR="005E5578" w:rsidRDefault="005E5578" w:rsidP="00CF75E0">
      <w:pPr>
        <w:jc w:val="left"/>
        <w:rPr>
          <w:i/>
          <w:iCs/>
          <w:sz w:val="22"/>
        </w:rPr>
      </w:pPr>
    </w:p>
    <w:p w14:paraId="2CF6369A" w14:textId="77777777" w:rsidR="00733189" w:rsidRDefault="00733189" w:rsidP="00CF75E0">
      <w:pPr>
        <w:jc w:val="left"/>
        <w:rPr>
          <w:i/>
          <w:iCs/>
          <w:sz w:val="22"/>
        </w:rPr>
      </w:pPr>
    </w:p>
    <w:p w14:paraId="08E334A8" w14:textId="77777777" w:rsidR="005E5578" w:rsidRDefault="005E5578" w:rsidP="005E5578">
      <w:pPr>
        <w:pStyle w:val="Ttulo2"/>
        <w:jc w:val="left"/>
      </w:pPr>
      <w:bookmarkStart w:id="104" w:name="_Toc158211458"/>
      <w:r w:rsidRPr="00A25B16">
        <w:t>Ecopetrol S.A.</w:t>
      </w:r>
      <w:bookmarkEnd w:id="104"/>
      <w:r w:rsidRPr="00A25B16">
        <w:tab/>
      </w:r>
    </w:p>
    <w:p w14:paraId="0A91CFD0" w14:textId="761E5448" w:rsidR="001A43D3" w:rsidRPr="00A25B16" w:rsidRDefault="001D4109" w:rsidP="00CF75E0">
      <w:pPr>
        <w:jc w:val="left"/>
        <w:rPr>
          <w:i/>
          <w:iCs/>
          <w:sz w:val="22"/>
        </w:rPr>
      </w:pPr>
      <w:r>
        <w:rPr>
          <w:i/>
          <w:iCs/>
          <w:sz w:val="22"/>
        </w:rPr>
        <w:t>“</w:t>
      </w:r>
      <w:r w:rsidR="001A43D3" w:rsidRPr="00A25B16">
        <w:rPr>
          <w:i/>
          <w:iCs/>
          <w:sz w:val="22"/>
        </w:rPr>
        <w:t>Así mismo, sugerimos eliminar el numeral ii). Este propone ajustes de fondo a la definición de la modalidad de ‘contrato de opción de compra de gas’, eliminando así el pago de la prima asociada al contrato y los 5 días anuales que tiene como potestad el comprador para ejecutar la opción en contratos con duración menor o igual a 1 mes. Consideramos que esta propuesta no es adecuada, teniendo en cuenta que se trata de un contrato que garantiza firmeza y que, en caso de que no se presente la condición de escasez, el gas natural asociado no sería despachado. De igual manera, sugerimos mantener la definición y las condiciones para la ejecución de los ‘contratos de suministro de firmeza condicionada’</w:t>
      </w:r>
      <w:r w:rsidR="005E5578">
        <w:rPr>
          <w:i/>
          <w:iCs/>
          <w:sz w:val="22"/>
        </w:rPr>
        <w:t xml:space="preserve"> </w:t>
      </w:r>
      <w:r w:rsidR="001A43D3" w:rsidRPr="00A25B16">
        <w:rPr>
          <w:i/>
          <w:iCs/>
          <w:sz w:val="22"/>
        </w:rPr>
        <w:t>establecidas en la regulación vigente.</w:t>
      </w:r>
      <w:r>
        <w:rPr>
          <w:i/>
          <w:iCs/>
          <w:sz w:val="22"/>
        </w:rPr>
        <w:t>”</w:t>
      </w:r>
    </w:p>
    <w:p w14:paraId="16DE188F" w14:textId="77777777" w:rsidR="001A43D3" w:rsidRPr="00A25B16" w:rsidRDefault="001A43D3" w:rsidP="00CF75E0">
      <w:pPr>
        <w:jc w:val="left"/>
        <w:rPr>
          <w:i/>
          <w:iCs/>
          <w:sz w:val="22"/>
        </w:rPr>
      </w:pPr>
    </w:p>
    <w:p w14:paraId="7C389B23" w14:textId="77777777" w:rsidR="005E5578" w:rsidRPr="005E5578" w:rsidRDefault="005E5578" w:rsidP="005E5578">
      <w:pPr>
        <w:jc w:val="left"/>
        <w:rPr>
          <w:b/>
          <w:bCs/>
          <w:sz w:val="22"/>
        </w:rPr>
      </w:pPr>
      <w:r w:rsidRPr="005E5578">
        <w:rPr>
          <w:b/>
          <w:bCs/>
          <w:sz w:val="22"/>
        </w:rPr>
        <w:t>RESPUESTA:</w:t>
      </w:r>
    </w:p>
    <w:p w14:paraId="4EBE74A8" w14:textId="77777777" w:rsidR="005E5578" w:rsidRDefault="005E5578" w:rsidP="00CF75E0">
      <w:pPr>
        <w:jc w:val="left"/>
        <w:rPr>
          <w:sz w:val="22"/>
        </w:rPr>
      </w:pPr>
    </w:p>
    <w:p w14:paraId="3EB282A6" w14:textId="6128FBF6" w:rsidR="001D4109" w:rsidRDefault="001D4109" w:rsidP="00CF75E0">
      <w:pPr>
        <w:jc w:val="left"/>
        <w:rPr>
          <w:sz w:val="22"/>
        </w:rPr>
      </w:pPr>
      <w:r>
        <w:rPr>
          <w:sz w:val="22"/>
        </w:rPr>
        <w:lastRenderedPageBreak/>
        <w:t xml:space="preserve">Ver respuesta a comentario </w:t>
      </w:r>
      <w:r>
        <w:rPr>
          <w:sz w:val="22"/>
        </w:rPr>
        <w:fldChar w:fldCharType="begin"/>
      </w:r>
      <w:r>
        <w:rPr>
          <w:sz w:val="22"/>
        </w:rPr>
        <w:instrText xml:space="preserve"> REF _Ref148951312 \n \h </w:instrText>
      </w:r>
      <w:r>
        <w:rPr>
          <w:sz w:val="22"/>
        </w:rPr>
      </w:r>
      <w:r>
        <w:rPr>
          <w:sz w:val="22"/>
        </w:rPr>
        <w:fldChar w:fldCharType="separate"/>
      </w:r>
      <w:r w:rsidR="0027336D">
        <w:rPr>
          <w:sz w:val="22"/>
        </w:rPr>
        <w:t>5.1</w:t>
      </w:r>
      <w:r>
        <w:rPr>
          <w:sz w:val="22"/>
        </w:rPr>
        <w:fldChar w:fldCharType="end"/>
      </w:r>
      <w:r>
        <w:rPr>
          <w:sz w:val="22"/>
        </w:rPr>
        <w:t>.</w:t>
      </w:r>
    </w:p>
    <w:p w14:paraId="6ECD5C06" w14:textId="77777777" w:rsidR="001D4109" w:rsidRPr="001D4109" w:rsidRDefault="001D4109" w:rsidP="00CF75E0">
      <w:pPr>
        <w:jc w:val="left"/>
        <w:rPr>
          <w:sz w:val="22"/>
        </w:rPr>
      </w:pPr>
    </w:p>
    <w:p w14:paraId="1B11DC07" w14:textId="77777777" w:rsidR="005E5578" w:rsidRPr="001D4109" w:rsidRDefault="005E5578" w:rsidP="00CF75E0">
      <w:pPr>
        <w:jc w:val="left"/>
        <w:rPr>
          <w:sz w:val="22"/>
        </w:rPr>
      </w:pPr>
    </w:p>
    <w:p w14:paraId="2608F1D1" w14:textId="77777777" w:rsidR="005E5578" w:rsidRDefault="005E5578" w:rsidP="005E5578">
      <w:pPr>
        <w:pStyle w:val="Ttulo2"/>
        <w:jc w:val="left"/>
      </w:pPr>
      <w:bookmarkStart w:id="105" w:name="_Toc158211459"/>
      <w:r w:rsidRPr="00A25B16">
        <w:t>Ecopetrol S.A.</w:t>
      </w:r>
      <w:bookmarkEnd w:id="105"/>
      <w:r w:rsidRPr="00A25B16">
        <w:tab/>
      </w:r>
    </w:p>
    <w:p w14:paraId="6160F00D" w14:textId="29939111" w:rsidR="001A43D3" w:rsidRPr="00A25B16" w:rsidRDefault="001D4109" w:rsidP="00CF75E0">
      <w:pPr>
        <w:jc w:val="left"/>
        <w:rPr>
          <w:i/>
          <w:iCs/>
          <w:sz w:val="22"/>
        </w:rPr>
      </w:pPr>
      <w:r>
        <w:rPr>
          <w:i/>
          <w:iCs/>
          <w:sz w:val="22"/>
        </w:rPr>
        <w:t>“</w:t>
      </w:r>
      <w:r w:rsidR="001A43D3" w:rsidRPr="00A25B16">
        <w:rPr>
          <w:i/>
          <w:iCs/>
          <w:sz w:val="22"/>
        </w:rPr>
        <w:t>Por último, sugerimos eliminar el numeral iv) propuesto. Lo anterior en la medida en que este numeral no es claro, pues la definición actual de los ‘contrato de suministro de contingencia’ no plantea restricción alguna en su definición o en los agentes que pueden suscribir estos contratos.</w:t>
      </w:r>
      <w:r w:rsidR="00086C1B">
        <w:rPr>
          <w:i/>
          <w:iCs/>
          <w:sz w:val="22"/>
        </w:rPr>
        <w:t>”</w:t>
      </w:r>
    </w:p>
    <w:p w14:paraId="5EE61536" w14:textId="77777777" w:rsidR="001A43D3" w:rsidRPr="00A25B16" w:rsidRDefault="001A43D3" w:rsidP="00CF75E0">
      <w:pPr>
        <w:jc w:val="left"/>
        <w:rPr>
          <w:i/>
          <w:iCs/>
          <w:sz w:val="22"/>
        </w:rPr>
      </w:pPr>
    </w:p>
    <w:p w14:paraId="3A609172"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25B89D74" w14:textId="77777777" w:rsidR="002B1FF0" w:rsidRPr="002B1FF0" w:rsidRDefault="002B1FF0" w:rsidP="00CF75E0">
      <w:pPr>
        <w:jc w:val="left"/>
        <w:rPr>
          <w:rFonts w:cs="Arial"/>
          <w:sz w:val="22"/>
          <w:szCs w:val="22"/>
        </w:rPr>
      </w:pPr>
    </w:p>
    <w:p w14:paraId="32F3526E" w14:textId="0871822C" w:rsidR="005E5578" w:rsidRDefault="001D4109" w:rsidP="00CF75E0">
      <w:pPr>
        <w:jc w:val="left"/>
        <w:rPr>
          <w:rFonts w:cs="Arial"/>
          <w:sz w:val="22"/>
          <w:szCs w:val="22"/>
        </w:rPr>
      </w:pPr>
      <w:r>
        <w:rPr>
          <w:rFonts w:cs="Arial"/>
          <w:sz w:val="22"/>
          <w:szCs w:val="22"/>
        </w:rPr>
        <w:t>La actual definición de la Resolución CREG 186 de 2020 es la siguiente:</w:t>
      </w:r>
    </w:p>
    <w:p w14:paraId="2F9942C6" w14:textId="77777777" w:rsidR="001D4109" w:rsidRDefault="001D4109" w:rsidP="00CF75E0">
      <w:pPr>
        <w:jc w:val="left"/>
        <w:rPr>
          <w:rFonts w:cs="Arial"/>
          <w:sz w:val="22"/>
          <w:szCs w:val="22"/>
        </w:rPr>
      </w:pPr>
    </w:p>
    <w:p w14:paraId="0AA34EAD" w14:textId="79571710" w:rsidR="001D4109" w:rsidRDefault="001D4109" w:rsidP="001D4109">
      <w:pPr>
        <w:ind w:left="576"/>
        <w:jc w:val="left"/>
        <w:rPr>
          <w:rFonts w:cs="Arial"/>
          <w:i/>
          <w:iCs/>
          <w:sz w:val="22"/>
          <w:szCs w:val="22"/>
        </w:rPr>
      </w:pPr>
      <w:r>
        <w:rPr>
          <w:rFonts w:cs="Arial"/>
          <w:i/>
          <w:iCs/>
          <w:sz w:val="22"/>
          <w:szCs w:val="22"/>
        </w:rPr>
        <w:t>“</w:t>
      </w:r>
      <w:r w:rsidRPr="001D4109">
        <w:rPr>
          <w:rFonts w:cs="Arial"/>
          <w:i/>
          <w:iCs/>
          <w:sz w:val="22"/>
          <w:szCs w:val="22"/>
        </w:rPr>
        <w:t xml:space="preserve">Contrato de suministro de contingencia, CSC: contrato escrito en el que </w:t>
      </w:r>
      <w:r w:rsidRPr="001D4109">
        <w:rPr>
          <w:rFonts w:cs="Arial"/>
          <w:b/>
          <w:bCs/>
          <w:i/>
          <w:iCs/>
          <w:sz w:val="22"/>
          <w:szCs w:val="22"/>
          <w:u w:val="single"/>
        </w:rPr>
        <w:t>un participante del mercado garantiza</w:t>
      </w:r>
      <w:r w:rsidRPr="001D4109">
        <w:rPr>
          <w:rFonts w:cs="Arial"/>
          <w:i/>
          <w:iCs/>
          <w:sz w:val="22"/>
          <w:szCs w:val="22"/>
        </w:rPr>
        <w:t xml:space="preserve"> el suministro de una cantidad máxima de gas natural desde una fuente alterna de suministro, sin interrupciones, </w:t>
      </w:r>
      <w:r w:rsidRPr="001D4109">
        <w:rPr>
          <w:rFonts w:cs="Arial"/>
          <w:b/>
          <w:bCs/>
          <w:i/>
          <w:iCs/>
          <w:sz w:val="22"/>
          <w:szCs w:val="22"/>
          <w:u w:val="single"/>
        </w:rPr>
        <w:t xml:space="preserve">cuando </w:t>
      </w:r>
      <w:r w:rsidRPr="001D4109">
        <w:rPr>
          <w:rFonts w:cs="Arial"/>
          <w:b/>
          <w:bCs/>
          <w:i/>
          <w:iCs/>
          <w:sz w:val="22"/>
          <w:szCs w:val="22"/>
          <w:highlight w:val="yellow"/>
          <w:u w:val="single"/>
        </w:rPr>
        <w:t>otro participante</w:t>
      </w:r>
      <w:r w:rsidRPr="001D4109">
        <w:rPr>
          <w:rFonts w:cs="Arial"/>
          <w:b/>
          <w:bCs/>
          <w:i/>
          <w:iCs/>
          <w:sz w:val="22"/>
          <w:szCs w:val="22"/>
          <w:u w:val="single"/>
        </w:rPr>
        <w:t xml:space="preserve"> del mercado</w:t>
      </w:r>
      <w:r w:rsidRPr="001D4109">
        <w:rPr>
          <w:rFonts w:cs="Arial"/>
          <w:i/>
          <w:iCs/>
          <w:sz w:val="22"/>
          <w:szCs w:val="22"/>
        </w:rPr>
        <w:t xml:space="preserve"> que suministra o transporta gas natural se enfrenta a un evento que le impide la prestación del servicio. El suministro de gas natural desde la fuente alterna y mediante esta modalidad contractual sólo se realizará durante el período en que se presente el mencionado impedimento para la prestación del servicio.”</w:t>
      </w:r>
      <w:r>
        <w:rPr>
          <w:rFonts w:cs="Arial"/>
          <w:i/>
          <w:iCs/>
          <w:sz w:val="22"/>
          <w:szCs w:val="22"/>
        </w:rPr>
        <w:t xml:space="preserve"> </w:t>
      </w:r>
      <w:r w:rsidRPr="001D4109">
        <w:rPr>
          <w:rFonts w:cs="Arial"/>
          <w:sz w:val="22"/>
          <w:szCs w:val="22"/>
        </w:rPr>
        <w:t>(subrayado con resaltado fuera de texto)</w:t>
      </w:r>
    </w:p>
    <w:p w14:paraId="49A2BF29" w14:textId="77777777" w:rsidR="001D4109" w:rsidRDefault="001D4109" w:rsidP="001D4109">
      <w:pPr>
        <w:ind w:left="576"/>
        <w:jc w:val="left"/>
        <w:rPr>
          <w:rFonts w:cs="Arial"/>
          <w:i/>
          <w:iCs/>
          <w:sz w:val="22"/>
          <w:szCs w:val="22"/>
        </w:rPr>
      </w:pPr>
    </w:p>
    <w:p w14:paraId="3A5AA8CF" w14:textId="416E7D53" w:rsidR="001D4109" w:rsidRPr="001D4109" w:rsidRDefault="001D4109" w:rsidP="001D4109">
      <w:pPr>
        <w:jc w:val="left"/>
        <w:rPr>
          <w:rFonts w:cs="Arial"/>
          <w:sz w:val="22"/>
          <w:szCs w:val="22"/>
        </w:rPr>
      </w:pPr>
      <w:r w:rsidRPr="001D4109">
        <w:rPr>
          <w:rFonts w:cs="Arial"/>
          <w:sz w:val="22"/>
          <w:szCs w:val="22"/>
        </w:rPr>
        <w:t xml:space="preserve">Observar que la definición da a entender que el participante del Mercado que se enfrenta al evento que le impide la prestación del servicio es otro </w:t>
      </w:r>
      <w:r w:rsidR="00340203">
        <w:rPr>
          <w:rFonts w:cs="Arial"/>
          <w:sz w:val="22"/>
          <w:szCs w:val="22"/>
        </w:rPr>
        <w:t xml:space="preserve">(diferente) </w:t>
      </w:r>
      <w:r w:rsidRPr="001D4109">
        <w:rPr>
          <w:rFonts w:cs="Arial"/>
          <w:sz w:val="22"/>
          <w:szCs w:val="22"/>
        </w:rPr>
        <w:t xml:space="preserve">al que suscribe el contrato de suministro de contingencia. </w:t>
      </w:r>
      <w:r>
        <w:rPr>
          <w:rFonts w:cs="Arial"/>
          <w:sz w:val="22"/>
          <w:szCs w:val="22"/>
        </w:rPr>
        <w:t>Es decir, no posibilita a que sea el mismo participante del Mercado el que tiene el evento que impide la prestación del servicio y a la vez, suscribe el contrato de suministro de contingencia</w:t>
      </w:r>
      <w:r w:rsidR="00B20A30">
        <w:rPr>
          <w:rFonts w:cs="Arial"/>
          <w:sz w:val="22"/>
          <w:szCs w:val="22"/>
        </w:rPr>
        <w:t xml:space="preserve"> que es lo que pretende viabilizar el Proyecto de Resolución</w:t>
      </w:r>
      <w:r>
        <w:rPr>
          <w:rFonts w:cs="Arial"/>
          <w:sz w:val="22"/>
          <w:szCs w:val="22"/>
        </w:rPr>
        <w:t>.</w:t>
      </w:r>
    </w:p>
    <w:p w14:paraId="2226DD97" w14:textId="77777777" w:rsidR="005E5578" w:rsidRPr="002B1FF0" w:rsidRDefault="005E5578" w:rsidP="00CF75E0">
      <w:pPr>
        <w:jc w:val="left"/>
        <w:rPr>
          <w:rFonts w:cs="Arial"/>
          <w:sz w:val="22"/>
          <w:szCs w:val="22"/>
        </w:rPr>
      </w:pPr>
    </w:p>
    <w:p w14:paraId="291113E6" w14:textId="77777777" w:rsidR="00086C1B" w:rsidRDefault="00086C1B" w:rsidP="00CF75E0">
      <w:pPr>
        <w:jc w:val="left"/>
        <w:rPr>
          <w:i/>
          <w:iCs/>
          <w:sz w:val="22"/>
        </w:rPr>
      </w:pPr>
    </w:p>
    <w:p w14:paraId="0747874A" w14:textId="12F39B9C" w:rsidR="00086C1B" w:rsidRDefault="001A43D3" w:rsidP="00CF75E0">
      <w:pPr>
        <w:pStyle w:val="Ttulo2"/>
        <w:jc w:val="left"/>
      </w:pPr>
      <w:bookmarkStart w:id="106" w:name="_Toc158211460"/>
      <w:r w:rsidRPr="00A25B16">
        <w:t>ENEL Colombia S.A. E.S.P</w:t>
      </w:r>
      <w:bookmarkEnd w:id="106"/>
      <w:r w:rsidRPr="00A25B16">
        <w:tab/>
      </w:r>
    </w:p>
    <w:p w14:paraId="016A38AA" w14:textId="40F7BD99" w:rsidR="001A43D3" w:rsidRPr="00A25B16" w:rsidRDefault="001A43D3" w:rsidP="00CF75E0">
      <w:pPr>
        <w:jc w:val="left"/>
        <w:rPr>
          <w:i/>
          <w:iCs/>
          <w:sz w:val="22"/>
        </w:rPr>
      </w:pPr>
      <w:r w:rsidRPr="00A25B16">
        <w:rPr>
          <w:i/>
          <w:iCs/>
          <w:sz w:val="22"/>
        </w:rPr>
        <w:t>"Sobre el Articulo 5 “Adiciónese el Parágrafo 2 transitorio, al Artículo 9 “Requisitos mínimos de los contratos de suministro” de la Res 186 de 2020, quisiéramos que:</w:t>
      </w:r>
    </w:p>
    <w:p w14:paraId="630C8289" w14:textId="77777777" w:rsidR="001A43D3" w:rsidRPr="00A25B16" w:rsidRDefault="001A43D3" w:rsidP="00CF75E0">
      <w:pPr>
        <w:jc w:val="left"/>
        <w:rPr>
          <w:i/>
          <w:iCs/>
          <w:sz w:val="22"/>
        </w:rPr>
      </w:pPr>
    </w:p>
    <w:p w14:paraId="71F8A51F" w14:textId="71F32192" w:rsidR="001A43D3" w:rsidRPr="00B74FF2" w:rsidRDefault="001A43D3" w:rsidP="00B74FF2">
      <w:pPr>
        <w:pStyle w:val="Prrafodelista"/>
        <w:numPr>
          <w:ilvl w:val="0"/>
          <w:numId w:val="30"/>
        </w:numPr>
        <w:jc w:val="left"/>
        <w:rPr>
          <w:i/>
          <w:iCs/>
          <w:sz w:val="22"/>
        </w:rPr>
      </w:pPr>
      <w:r w:rsidRPr="00B74FF2">
        <w:rPr>
          <w:i/>
          <w:iCs/>
          <w:sz w:val="22"/>
        </w:rPr>
        <w:t>En nuestra interpretación del numeral ii.) Contratos de la modalidad Opción de Compra de Gas, entenderíamos que efectivamente cuando se ejerza la opción de compra de gas en un contrato con una duración menor o igual a un mes, no se pagaría la prima. ¿Es esta interpretación cierta?</w:t>
      </w:r>
      <w:r w:rsidR="00B74FF2">
        <w:rPr>
          <w:i/>
          <w:iCs/>
          <w:sz w:val="22"/>
        </w:rPr>
        <w:t>”</w:t>
      </w:r>
    </w:p>
    <w:p w14:paraId="308AC9BD" w14:textId="77777777" w:rsidR="00B74FF2" w:rsidRDefault="00B74FF2" w:rsidP="00B74FF2">
      <w:pPr>
        <w:jc w:val="left"/>
        <w:rPr>
          <w:i/>
          <w:iCs/>
          <w:sz w:val="22"/>
        </w:rPr>
      </w:pPr>
    </w:p>
    <w:p w14:paraId="2A3D2C38" w14:textId="07D61AA4" w:rsidR="00B74FF2" w:rsidRDefault="00B74FF2" w:rsidP="00B74FF2">
      <w:pPr>
        <w:jc w:val="left"/>
        <w:rPr>
          <w:rFonts w:cs="Arial"/>
          <w:b/>
          <w:bCs/>
          <w:sz w:val="22"/>
          <w:szCs w:val="22"/>
        </w:rPr>
      </w:pPr>
      <w:r w:rsidRPr="002B1FF0">
        <w:rPr>
          <w:rFonts w:cs="Arial"/>
          <w:b/>
          <w:bCs/>
          <w:sz w:val="22"/>
          <w:szCs w:val="22"/>
        </w:rPr>
        <w:t>RESPUESTA:</w:t>
      </w:r>
    </w:p>
    <w:p w14:paraId="520CFC99" w14:textId="77777777" w:rsidR="00B74FF2" w:rsidRDefault="00B74FF2" w:rsidP="00B74FF2">
      <w:pPr>
        <w:jc w:val="left"/>
        <w:rPr>
          <w:rFonts w:cs="Arial"/>
          <w:b/>
          <w:bCs/>
          <w:sz w:val="22"/>
          <w:szCs w:val="22"/>
        </w:rPr>
      </w:pPr>
    </w:p>
    <w:p w14:paraId="4BF2B2C5" w14:textId="312E3E5C" w:rsidR="00B74FF2" w:rsidRDefault="007A4F40" w:rsidP="00B74FF2">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_Ref148951312 \w \h </w:instrText>
      </w:r>
      <w:r>
        <w:rPr>
          <w:rFonts w:cs="Arial"/>
          <w:sz w:val="22"/>
          <w:szCs w:val="22"/>
        </w:rPr>
      </w:r>
      <w:r>
        <w:rPr>
          <w:rFonts w:cs="Arial"/>
          <w:sz w:val="22"/>
          <w:szCs w:val="22"/>
        </w:rPr>
        <w:fldChar w:fldCharType="separate"/>
      </w:r>
      <w:r w:rsidR="0027336D">
        <w:rPr>
          <w:rFonts w:cs="Arial"/>
          <w:sz w:val="22"/>
          <w:szCs w:val="22"/>
        </w:rPr>
        <w:t>5.1</w:t>
      </w:r>
      <w:r>
        <w:rPr>
          <w:rFonts w:cs="Arial"/>
          <w:sz w:val="22"/>
          <w:szCs w:val="22"/>
        </w:rPr>
        <w:fldChar w:fldCharType="end"/>
      </w:r>
      <w:r>
        <w:rPr>
          <w:rFonts w:cs="Arial"/>
          <w:sz w:val="22"/>
          <w:szCs w:val="22"/>
        </w:rPr>
        <w:t>.</w:t>
      </w:r>
    </w:p>
    <w:p w14:paraId="4E64D63B" w14:textId="77777777" w:rsidR="009D44AC" w:rsidRPr="00B74FF2" w:rsidRDefault="009D44AC" w:rsidP="00B74FF2">
      <w:pPr>
        <w:jc w:val="left"/>
        <w:rPr>
          <w:i/>
          <w:iCs/>
          <w:sz w:val="22"/>
        </w:rPr>
      </w:pPr>
    </w:p>
    <w:p w14:paraId="6AE39C62" w14:textId="77777777" w:rsidR="001A43D3" w:rsidRPr="00A25B16" w:rsidRDefault="001A43D3" w:rsidP="00CF75E0">
      <w:pPr>
        <w:jc w:val="left"/>
        <w:rPr>
          <w:i/>
          <w:iCs/>
          <w:sz w:val="22"/>
        </w:rPr>
      </w:pPr>
    </w:p>
    <w:p w14:paraId="5E7B92FD" w14:textId="77777777" w:rsidR="00B74FF2" w:rsidRDefault="00B74FF2" w:rsidP="00B74FF2">
      <w:pPr>
        <w:pStyle w:val="Ttulo2"/>
        <w:jc w:val="left"/>
      </w:pPr>
      <w:bookmarkStart w:id="107" w:name="_Toc158211461"/>
      <w:r w:rsidRPr="00A25B16">
        <w:t>ENEL Colombia S.A. E.S.P</w:t>
      </w:r>
      <w:bookmarkEnd w:id="107"/>
      <w:r w:rsidRPr="00A25B16">
        <w:tab/>
      </w:r>
    </w:p>
    <w:p w14:paraId="38F33AD6" w14:textId="28BC242F" w:rsidR="001A43D3" w:rsidRPr="00A25B16" w:rsidRDefault="00B74FF2" w:rsidP="00B74FF2">
      <w:pPr>
        <w:ind w:left="576"/>
        <w:jc w:val="left"/>
        <w:rPr>
          <w:i/>
          <w:iCs/>
          <w:sz w:val="22"/>
        </w:rPr>
      </w:pPr>
      <w:r>
        <w:rPr>
          <w:i/>
          <w:iCs/>
          <w:sz w:val="22"/>
        </w:rPr>
        <w:t>“</w:t>
      </w:r>
      <w:r w:rsidR="001A43D3" w:rsidRPr="00A25B16">
        <w:rPr>
          <w:i/>
          <w:iCs/>
          <w:sz w:val="22"/>
        </w:rPr>
        <w:t>2.</w:t>
      </w:r>
      <w:r w:rsidR="001A43D3" w:rsidRPr="00A25B16">
        <w:rPr>
          <w:i/>
          <w:iCs/>
          <w:sz w:val="22"/>
        </w:rPr>
        <w:tab/>
        <w:t xml:space="preserve">En segundo lugar, sobre el mismo numeral ii), según lo planteado si no se cumple el requisito de que se presente la condición de probable escasez, ¿Efectivamente </w:t>
      </w:r>
      <w:r w:rsidR="001A43D3" w:rsidRPr="00A25B16">
        <w:rPr>
          <w:i/>
          <w:iCs/>
          <w:sz w:val="22"/>
        </w:rPr>
        <w:lastRenderedPageBreak/>
        <w:t>el contrato OCG bajo estos términos no tendría garantía de un suministro sin interrupciones? "</w:t>
      </w:r>
    </w:p>
    <w:p w14:paraId="12101342" w14:textId="77777777" w:rsidR="00086C1B" w:rsidRDefault="00086C1B" w:rsidP="00CF75E0">
      <w:pPr>
        <w:jc w:val="left"/>
        <w:rPr>
          <w:i/>
          <w:iCs/>
          <w:sz w:val="22"/>
        </w:rPr>
      </w:pPr>
    </w:p>
    <w:p w14:paraId="073A901E" w14:textId="77777777" w:rsidR="00086C1B" w:rsidRDefault="00086C1B" w:rsidP="00CF75E0">
      <w:pPr>
        <w:jc w:val="left"/>
        <w:rPr>
          <w:i/>
          <w:iCs/>
          <w:sz w:val="22"/>
        </w:rPr>
      </w:pPr>
    </w:p>
    <w:p w14:paraId="509E05C1"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594FA82F" w14:textId="77777777" w:rsidR="002B1FF0" w:rsidRDefault="002B1FF0" w:rsidP="00CF75E0">
      <w:pPr>
        <w:jc w:val="left"/>
        <w:rPr>
          <w:rFonts w:cs="Arial"/>
          <w:sz w:val="22"/>
          <w:szCs w:val="22"/>
        </w:rPr>
      </w:pPr>
    </w:p>
    <w:p w14:paraId="4AE2EC84" w14:textId="077F7E5B" w:rsidR="007A4F40" w:rsidRDefault="00B74FF2" w:rsidP="00CF75E0">
      <w:pPr>
        <w:jc w:val="left"/>
        <w:rPr>
          <w:rFonts w:cs="Arial"/>
          <w:sz w:val="22"/>
          <w:szCs w:val="22"/>
        </w:rPr>
      </w:pPr>
      <w:r>
        <w:rPr>
          <w:rFonts w:cs="Arial"/>
          <w:sz w:val="22"/>
          <w:szCs w:val="22"/>
        </w:rPr>
        <w:t>Efectivamente, si no se presenta la Condición de Probable Escasez</w:t>
      </w:r>
      <w:r w:rsidR="00ED3A26">
        <w:rPr>
          <w:rFonts w:cs="Arial"/>
          <w:sz w:val="22"/>
          <w:szCs w:val="22"/>
        </w:rPr>
        <w:t>,</w:t>
      </w:r>
      <w:r>
        <w:rPr>
          <w:rFonts w:cs="Arial"/>
          <w:sz w:val="22"/>
          <w:szCs w:val="22"/>
        </w:rPr>
        <w:t xml:space="preserve"> el contrato OCG no ofrece la garantía de suministro en forma ininterrumpible</w:t>
      </w:r>
      <w:r w:rsidR="00C42A2B">
        <w:rPr>
          <w:rFonts w:cs="Arial"/>
          <w:sz w:val="22"/>
          <w:szCs w:val="22"/>
        </w:rPr>
        <w:t xml:space="preserve"> en el período de </w:t>
      </w:r>
      <w:r w:rsidR="00ED3A26">
        <w:rPr>
          <w:rFonts w:cs="Arial"/>
          <w:sz w:val="22"/>
          <w:szCs w:val="22"/>
        </w:rPr>
        <w:t>su dura</w:t>
      </w:r>
      <w:r w:rsidR="00C42A2B">
        <w:rPr>
          <w:rFonts w:cs="Arial"/>
          <w:sz w:val="22"/>
          <w:szCs w:val="22"/>
        </w:rPr>
        <w:t>ción</w:t>
      </w:r>
      <w:r>
        <w:rPr>
          <w:rFonts w:cs="Arial"/>
          <w:sz w:val="22"/>
          <w:szCs w:val="22"/>
        </w:rPr>
        <w:t xml:space="preserve">, lo que no puede confundirse con que </w:t>
      </w:r>
      <w:r w:rsidR="00C42A2B">
        <w:rPr>
          <w:rFonts w:cs="Arial"/>
          <w:sz w:val="22"/>
          <w:szCs w:val="22"/>
        </w:rPr>
        <w:t>la nominación</w:t>
      </w:r>
      <w:r w:rsidR="003043F9">
        <w:rPr>
          <w:rFonts w:cs="Arial"/>
          <w:sz w:val="22"/>
          <w:szCs w:val="22"/>
        </w:rPr>
        <w:t xml:space="preserve"> </w:t>
      </w:r>
      <w:r w:rsidR="007A4F40">
        <w:rPr>
          <w:rFonts w:cs="Arial"/>
          <w:sz w:val="22"/>
          <w:szCs w:val="22"/>
        </w:rPr>
        <w:t xml:space="preserve">del gas natural </w:t>
      </w:r>
      <w:r>
        <w:rPr>
          <w:rFonts w:cs="Arial"/>
          <w:sz w:val="22"/>
          <w:szCs w:val="22"/>
        </w:rPr>
        <w:t xml:space="preserve">no se pueda realizar </w:t>
      </w:r>
      <w:r w:rsidR="00ED3A26">
        <w:rPr>
          <w:rFonts w:cs="Arial"/>
          <w:sz w:val="22"/>
          <w:szCs w:val="22"/>
        </w:rPr>
        <w:t>por el comprador</w:t>
      </w:r>
      <w:r w:rsidR="007A4F40">
        <w:rPr>
          <w:rFonts w:cs="Arial"/>
          <w:sz w:val="22"/>
          <w:szCs w:val="22"/>
        </w:rPr>
        <w:t>,</w:t>
      </w:r>
      <w:r w:rsidR="00ED3A26">
        <w:rPr>
          <w:rFonts w:cs="Arial"/>
          <w:sz w:val="22"/>
          <w:szCs w:val="22"/>
        </w:rPr>
        <w:t xml:space="preserve"> </w:t>
      </w:r>
      <w:r>
        <w:rPr>
          <w:rFonts w:cs="Arial"/>
          <w:sz w:val="22"/>
          <w:szCs w:val="22"/>
        </w:rPr>
        <w:t>aún a pesar de que haya días en que no se presente la Condición mencionada</w:t>
      </w:r>
      <w:r w:rsidR="003043F9">
        <w:rPr>
          <w:rFonts w:cs="Arial"/>
          <w:sz w:val="22"/>
          <w:szCs w:val="22"/>
        </w:rPr>
        <w:t>, solo que depende del vendedor si autoriza la nominación</w:t>
      </w:r>
      <w:r w:rsidR="00D90903">
        <w:rPr>
          <w:rFonts w:cs="Arial"/>
          <w:sz w:val="22"/>
          <w:szCs w:val="22"/>
        </w:rPr>
        <w:t xml:space="preserve"> y del comprador si la confirma</w:t>
      </w:r>
      <w:r>
        <w:rPr>
          <w:rFonts w:cs="Arial"/>
          <w:sz w:val="22"/>
          <w:szCs w:val="22"/>
        </w:rPr>
        <w:t xml:space="preserve">. </w:t>
      </w:r>
      <w:r w:rsidR="007A4F40">
        <w:rPr>
          <w:rFonts w:cs="Arial"/>
          <w:sz w:val="22"/>
          <w:szCs w:val="22"/>
        </w:rPr>
        <w:t>Si el vendedor no autoriza la nominación recibida del comprador y no se está presentando la Condición de Probable Escasez, no habrá incumplimiento de parte del vendedor.</w:t>
      </w:r>
    </w:p>
    <w:p w14:paraId="364A66CF" w14:textId="77777777" w:rsidR="007A4F40" w:rsidRDefault="007A4F40" w:rsidP="00CF75E0">
      <w:pPr>
        <w:jc w:val="left"/>
        <w:rPr>
          <w:rFonts w:cs="Arial"/>
          <w:sz w:val="22"/>
          <w:szCs w:val="22"/>
        </w:rPr>
      </w:pPr>
    </w:p>
    <w:p w14:paraId="3B0ABB07" w14:textId="6AF981C9" w:rsidR="00B74FF2" w:rsidRPr="002B1FF0" w:rsidRDefault="00B74FF2"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_Ref148951883 \n \h </w:instrText>
      </w:r>
      <w:r>
        <w:rPr>
          <w:rFonts w:cs="Arial"/>
          <w:sz w:val="22"/>
          <w:szCs w:val="22"/>
        </w:rPr>
      </w:r>
      <w:r>
        <w:rPr>
          <w:rFonts w:cs="Arial"/>
          <w:sz w:val="22"/>
          <w:szCs w:val="22"/>
        </w:rPr>
        <w:fldChar w:fldCharType="separate"/>
      </w:r>
      <w:r w:rsidR="0027336D">
        <w:rPr>
          <w:rFonts w:cs="Arial"/>
          <w:sz w:val="22"/>
          <w:szCs w:val="22"/>
        </w:rPr>
        <w:t>5.1</w:t>
      </w:r>
      <w:r>
        <w:rPr>
          <w:rFonts w:cs="Arial"/>
          <w:sz w:val="22"/>
          <w:szCs w:val="22"/>
        </w:rPr>
        <w:fldChar w:fldCharType="end"/>
      </w:r>
      <w:r>
        <w:rPr>
          <w:rFonts w:cs="Arial"/>
          <w:sz w:val="22"/>
          <w:szCs w:val="22"/>
        </w:rPr>
        <w:t>.</w:t>
      </w:r>
    </w:p>
    <w:p w14:paraId="5FF40291" w14:textId="77777777" w:rsidR="002B1FF0" w:rsidRPr="002B1FF0" w:rsidRDefault="002B1FF0" w:rsidP="00CF75E0">
      <w:pPr>
        <w:jc w:val="left"/>
        <w:rPr>
          <w:rFonts w:cs="Arial"/>
          <w:sz w:val="22"/>
          <w:szCs w:val="22"/>
        </w:rPr>
      </w:pPr>
    </w:p>
    <w:p w14:paraId="56ACD312" w14:textId="77777777" w:rsidR="00086C1B" w:rsidRDefault="00086C1B" w:rsidP="00CF75E0">
      <w:pPr>
        <w:jc w:val="left"/>
        <w:rPr>
          <w:i/>
          <w:iCs/>
          <w:sz w:val="22"/>
        </w:rPr>
      </w:pPr>
    </w:p>
    <w:p w14:paraId="7FCB2522" w14:textId="71643E9B" w:rsidR="00D751B8" w:rsidRDefault="00D751B8" w:rsidP="00CF75E0">
      <w:pPr>
        <w:pStyle w:val="Ttulo2"/>
        <w:jc w:val="left"/>
      </w:pPr>
      <w:bookmarkStart w:id="108" w:name="_Toc158211462"/>
      <w:r>
        <w:t>EPM</w:t>
      </w:r>
      <w:bookmarkEnd w:id="108"/>
    </w:p>
    <w:p w14:paraId="50A473D8" w14:textId="7E1FA446" w:rsidR="00D751B8" w:rsidRDefault="00D751B8" w:rsidP="00CF75E0">
      <w:pPr>
        <w:jc w:val="left"/>
      </w:pPr>
      <w:r>
        <w:t>“</w:t>
      </w:r>
      <w:r w:rsidRPr="00D751B8">
        <w:rPr>
          <w:i/>
          <w:iCs/>
          <w:sz w:val="22"/>
          <w:szCs w:val="22"/>
        </w:rPr>
        <w:t>Si bien para paliar la emergencia actual y el fenómeno de El Niño, los contratos semanales propuestos otorgan flexibilidad, sugerimos evaluar dentro de las reglas definitivas que se estudian para mejoras del mercado, un tipo de contrato que siga de mejor forma la demanda.  De acuerdo con los análisis de la CREG (Pág. 11 documento soporte CREG- 902 009) para el gas nacional podría ser más conveniente un contrato mensual CF95 con cantidades diferenciadas entre día hábil, 90% firme para los días sábado, y al 70% para los días festivos</w:t>
      </w:r>
      <w:r w:rsidRPr="00D751B8">
        <w:t>.</w:t>
      </w:r>
      <w:r>
        <w:t>”</w:t>
      </w:r>
    </w:p>
    <w:p w14:paraId="50AEFCA7" w14:textId="77777777" w:rsidR="00D751B8" w:rsidRDefault="00D751B8" w:rsidP="00CF75E0">
      <w:pPr>
        <w:jc w:val="left"/>
      </w:pPr>
    </w:p>
    <w:p w14:paraId="338730FD"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646F32B3" w14:textId="77777777" w:rsidR="002B1FF0" w:rsidRDefault="002B1FF0" w:rsidP="00CF75E0">
      <w:pPr>
        <w:jc w:val="left"/>
        <w:rPr>
          <w:rFonts w:cs="Arial"/>
          <w:sz w:val="22"/>
          <w:szCs w:val="22"/>
        </w:rPr>
      </w:pPr>
    </w:p>
    <w:p w14:paraId="18F8EBBD" w14:textId="4F6080C4" w:rsidR="002B1FF0" w:rsidRPr="002B1FF0" w:rsidRDefault="007A4F40"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Pr>
          <w:rFonts w:cs="Arial"/>
          <w:sz w:val="22"/>
          <w:szCs w:val="22"/>
        </w:rPr>
        <w:t>.</w:t>
      </w:r>
    </w:p>
    <w:p w14:paraId="23FA2FC1" w14:textId="77777777" w:rsidR="00D751B8" w:rsidRDefault="00D751B8" w:rsidP="00CF75E0">
      <w:pPr>
        <w:jc w:val="left"/>
      </w:pPr>
    </w:p>
    <w:p w14:paraId="2B69E528" w14:textId="77777777" w:rsidR="00D751B8" w:rsidRPr="00D751B8" w:rsidRDefault="00D751B8" w:rsidP="00CF75E0">
      <w:pPr>
        <w:jc w:val="left"/>
      </w:pPr>
    </w:p>
    <w:p w14:paraId="5551B03F" w14:textId="32BC6067" w:rsidR="00086C1B" w:rsidRDefault="001A43D3" w:rsidP="00CF75E0">
      <w:pPr>
        <w:pStyle w:val="Ttulo2"/>
        <w:jc w:val="left"/>
      </w:pPr>
      <w:bookmarkStart w:id="109" w:name="_Toc158211463"/>
      <w:r w:rsidRPr="00A25B16">
        <w:t>Gases del Caribe</w:t>
      </w:r>
      <w:bookmarkEnd w:id="109"/>
      <w:r w:rsidRPr="00A25B16">
        <w:tab/>
      </w:r>
    </w:p>
    <w:p w14:paraId="6624F87C" w14:textId="7D1A48B1" w:rsidR="001A43D3" w:rsidRPr="00A25B16" w:rsidRDefault="001A43D3" w:rsidP="00CF75E0">
      <w:pPr>
        <w:jc w:val="left"/>
        <w:rPr>
          <w:i/>
          <w:iCs/>
          <w:sz w:val="22"/>
        </w:rPr>
      </w:pPr>
      <w:r w:rsidRPr="00A25B16">
        <w:rPr>
          <w:i/>
          <w:iCs/>
          <w:sz w:val="22"/>
        </w:rPr>
        <w:t xml:space="preserve">"Sugerimos permitir que la duración máxima de los contratos no se limite a tres semanas laborales, sugerimos permitir que estos cuenten con una vigencia hasta agosto de 2024, fecha en la que finalizan las medidas transitorias. </w:t>
      </w:r>
    </w:p>
    <w:p w14:paraId="335D9799" w14:textId="77777777" w:rsidR="001A43D3" w:rsidRPr="00A25B16" w:rsidRDefault="001A43D3" w:rsidP="00CF75E0">
      <w:pPr>
        <w:jc w:val="left"/>
        <w:rPr>
          <w:i/>
          <w:iCs/>
          <w:sz w:val="22"/>
        </w:rPr>
      </w:pPr>
    </w:p>
    <w:p w14:paraId="288D874C" w14:textId="77777777" w:rsidR="001A43D3" w:rsidRPr="00A25B16" w:rsidRDefault="001A43D3" w:rsidP="00CF75E0">
      <w:pPr>
        <w:jc w:val="left"/>
        <w:rPr>
          <w:i/>
          <w:iCs/>
          <w:sz w:val="22"/>
        </w:rPr>
      </w:pPr>
      <w:r w:rsidRPr="00A25B16">
        <w:rPr>
          <w:i/>
          <w:iCs/>
          <w:sz w:val="22"/>
        </w:rPr>
        <w:t>Se solicita en lo posible, eliminar la duración máxima de los contratos semanales y que su vigencia máxima sea hasta agosto de 2024."</w:t>
      </w:r>
    </w:p>
    <w:p w14:paraId="5F44B5E8" w14:textId="77777777" w:rsidR="00086C1B" w:rsidRDefault="00086C1B" w:rsidP="00CF75E0">
      <w:pPr>
        <w:jc w:val="left"/>
        <w:rPr>
          <w:i/>
          <w:iCs/>
          <w:sz w:val="22"/>
        </w:rPr>
      </w:pPr>
    </w:p>
    <w:p w14:paraId="4D629E41"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5B5DF55C" w14:textId="77777777" w:rsidR="002B1FF0" w:rsidRPr="002B1FF0" w:rsidRDefault="002B1FF0" w:rsidP="00CF75E0">
      <w:pPr>
        <w:jc w:val="left"/>
        <w:rPr>
          <w:rFonts w:cs="Arial"/>
          <w:sz w:val="22"/>
          <w:szCs w:val="22"/>
        </w:rPr>
      </w:pPr>
    </w:p>
    <w:p w14:paraId="3E9AAAC8" w14:textId="4E8E9E12" w:rsidR="002B1FF0" w:rsidRDefault="00F95442" w:rsidP="00CF75E0">
      <w:pPr>
        <w:jc w:val="left"/>
        <w:rPr>
          <w:rFonts w:cs="Arial"/>
          <w:sz w:val="22"/>
          <w:szCs w:val="22"/>
        </w:rPr>
      </w:pPr>
      <w:r>
        <w:rPr>
          <w:rFonts w:cs="Arial"/>
          <w:sz w:val="22"/>
          <w:szCs w:val="22"/>
        </w:rPr>
        <w:t>Se aclara que l</w:t>
      </w:r>
      <w:r w:rsidR="009D44AC">
        <w:rPr>
          <w:rFonts w:cs="Arial"/>
          <w:sz w:val="22"/>
          <w:szCs w:val="22"/>
        </w:rPr>
        <w:t xml:space="preserve">a duración máxima </w:t>
      </w:r>
      <w:r>
        <w:rPr>
          <w:rFonts w:cs="Arial"/>
          <w:sz w:val="22"/>
          <w:szCs w:val="22"/>
        </w:rPr>
        <w:t xml:space="preserve">establecida en el Proyecto de Resolución </w:t>
      </w:r>
      <w:r w:rsidR="009D44AC">
        <w:rPr>
          <w:rFonts w:cs="Arial"/>
          <w:sz w:val="22"/>
          <w:szCs w:val="22"/>
        </w:rPr>
        <w:t xml:space="preserve">no se limita a </w:t>
      </w:r>
      <w:r>
        <w:rPr>
          <w:rFonts w:cs="Arial"/>
          <w:sz w:val="22"/>
          <w:szCs w:val="22"/>
        </w:rPr>
        <w:t>tres (</w:t>
      </w:r>
      <w:r w:rsidR="009D44AC">
        <w:rPr>
          <w:rFonts w:cs="Arial"/>
          <w:sz w:val="22"/>
          <w:szCs w:val="22"/>
        </w:rPr>
        <w:t>3</w:t>
      </w:r>
      <w:r>
        <w:rPr>
          <w:rFonts w:cs="Arial"/>
          <w:sz w:val="22"/>
          <w:szCs w:val="22"/>
        </w:rPr>
        <w:t>)</w:t>
      </w:r>
      <w:r w:rsidR="009D44AC">
        <w:rPr>
          <w:rFonts w:cs="Arial"/>
          <w:sz w:val="22"/>
          <w:szCs w:val="22"/>
        </w:rPr>
        <w:t xml:space="preserve"> semanas laborales sino a </w:t>
      </w:r>
      <w:r>
        <w:rPr>
          <w:rFonts w:cs="Arial"/>
          <w:sz w:val="22"/>
          <w:szCs w:val="22"/>
        </w:rPr>
        <w:t>doce (</w:t>
      </w:r>
      <w:r w:rsidR="009D44AC">
        <w:rPr>
          <w:rFonts w:cs="Arial"/>
          <w:sz w:val="22"/>
          <w:szCs w:val="22"/>
        </w:rPr>
        <w:t>12</w:t>
      </w:r>
      <w:r>
        <w:rPr>
          <w:rFonts w:cs="Arial"/>
          <w:sz w:val="22"/>
          <w:szCs w:val="22"/>
        </w:rPr>
        <w:t>)</w:t>
      </w:r>
      <w:r w:rsidR="009D44AC">
        <w:rPr>
          <w:rFonts w:cs="Arial"/>
          <w:sz w:val="22"/>
          <w:szCs w:val="22"/>
        </w:rPr>
        <w:t xml:space="preserve"> semanas laborales o </w:t>
      </w:r>
      <w:r>
        <w:rPr>
          <w:rFonts w:cs="Arial"/>
          <w:sz w:val="22"/>
          <w:szCs w:val="22"/>
        </w:rPr>
        <w:t>tres (</w:t>
      </w:r>
      <w:r w:rsidR="009D44AC">
        <w:rPr>
          <w:rFonts w:cs="Arial"/>
          <w:sz w:val="22"/>
          <w:szCs w:val="22"/>
        </w:rPr>
        <w:t>3</w:t>
      </w:r>
      <w:r>
        <w:rPr>
          <w:rFonts w:cs="Arial"/>
          <w:sz w:val="22"/>
          <w:szCs w:val="22"/>
        </w:rPr>
        <w:t>)</w:t>
      </w:r>
      <w:r w:rsidR="009D44AC">
        <w:rPr>
          <w:rFonts w:cs="Arial"/>
          <w:sz w:val="22"/>
          <w:szCs w:val="22"/>
        </w:rPr>
        <w:t xml:space="preserve"> meses continuos en el caso de contratos de duración en semanas calendario.</w:t>
      </w:r>
    </w:p>
    <w:p w14:paraId="6DC4CBC5" w14:textId="77777777" w:rsidR="00B24B2D" w:rsidRDefault="00B24B2D" w:rsidP="00CF75E0">
      <w:pPr>
        <w:jc w:val="left"/>
        <w:rPr>
          <w:rFonts w:cs="Arial"/>
          <w:sz w:val="22"/>
          <w:szCs w:val="22"/>
        </w:rPr>
      </w:pPr>
    </w:p>
    <w:p w14:paraId="331700DB" w14:textId="662E2A8D" w:rsidR="00B24B2D" w:rsidRDefault="00B24B2D" w:rsidP="00CF75E0">
      <w:pPr>
        <w:jc w:val="left"/>
        <w:rPr>
          <w:rFonts w:cs="Arial"/>
          <w:sz w:val="22"/>
          <w:szCs w:val="22"/>
        </w:rPr>
      </w:pPr>
      <w:r>
        <w:rPr>
          <w:rFonts w:cs="Arial"/>
          <w:sz w:val="22"/>
          <w:szCs w:val="22"/>
        </w:rPr>
        <w:t>En la resolución definitiva se hacen ajustes al respecto.</w:t>
      </w:r>
    </w:p>
    <w:p w14:paraId="02B239BC" w14:textId="77777777" w:rsidR="009D44AC" w:rsidRDefault="009D44AC" w:rsidP="00CF75E0">
      <w:pPr>
        <w:jc w:val="left"/>
        <w:rPr>
          <w:rFonts w:cs="Arial"/>
          <w:sz w:val="22"/>
          <w:szCs w:val="22"/>
        </w:rPr>
      </w:pPr>
    </w:p>
    <w:p w14:paraId="018E62D3" w14:textId="54BE5001" w:rsidR="00932FFA" w:rsidRPr="00932FFA" w:rsidRDefault="009D44AC" w:rsidP="00CF75E0">
      <w:pPr>
        <w:jc w:val="left"/>
        <w:rPr>
          <w:sz w:val="22"/>
        </w:rPr>
      </w:pPr>
      <w:r w:rsidRPr="00932FFA">
        <w:rPr>
          <w:rFonts w:cs="Arial"/>
          <w:sz w:val="22"/>
          <w:szCs w:val="22"/>
        </w:rPr>
        <w:lastRenderedPageBreak/>
        <w:t xml:space="preserve">Ver respuesta al comentario </w:t>
      </w:r>
      <w:r w:rsidRPr="00932FFA">
        <w:rPr>
          <w:rFonts w:cs="Arial"/>
          <w:sz w:val="22"/>
          <w:szCs w:val="22"/>
        </w:rPr>
        <w:fldChar w:fldCharType="begin"/>
      </w:r>
      <w:r w:rsidRPr="00932FFA">
        <w:rPr>
          <w:rFonts w:cs="Arial"/>
          <w:sz w:val="22"/>
          <w:szCs w:val="22"/>
        </w:rPr>
        <w:instrText xml:space="preserve"> REF _Ref148952429 \n \h </w:instrText>
      </w:r>
      <w:r w:rsidR="00932FFA" w:rsidRPr="00932FFA">
        <w:rPr>
          <w:rFonts w:cs="Arial"/>
          <w:sz w:val="22"/>
          <w:szCs w:val="22"/>
        </w:rPr>
        <w:instrText xml:space="preserve"> \* MERGEFORMAT </w:instrText>
      </w:r>
      <w:r w:rsidRPr="00932FFA">
        <w:rPr>
          <w:rFonts w:cs="Arial"/>
          <w:sz w:val="22"/>
          <w:szCs w:val="22"/>
        </w:rPr>
      </w:r>
      <w:r w:rsidRPr="00932FFA">
        <w:rPr>
          <w:rFonts w:cs="Arial"/>
          <w:sz w:val="22"/>
          <w:szCs w:val="22"/>
        </w:rPr>
        <w:fldChar w:fldCharType="separate"/>
      </w:r>
      <w:r w:rsidR="0027336D">
        <w:rPr>
          <w:rFonts w:cs="Arial"/>
          <w:sz w:val="22"/>
          <w:szCs w:val="22"/>
        </w:rPr>
        <w:t>5.5</w:t>
      </w:r>
      <w:r w:rsidRPr="00932FFA">
        <w:rPr>
          <w:rFonts w:cs="Arial"/>
          <w:sz w:val="22"/>
          <w:szCs w:val="22"/>
        </w:rPr>
        <w:fldChar w:fldCharType="end"/>
      </w:r>
      <w:r w:rsidR="00932FFA" w:rsidRPr="00932FFA">
        <w:rPr>
          <w:rFonts w:cs="Arial"/>
          <w:sz w:val="22"/>
          <w:szCs w:val="22"/>
        </w:rPr>
        <w:t xml:space="preserve"> y al </w:t>
      </w:r>
      <w:r w:rsidR="00932FFA" w:rsidRPr="00932FFA">
        <w:rPr>
          <w:sz w:val="22"/>
        </w:rPr>
        <w:t xml:space="preserve">comentario </w:t>
      </w:r>
      <w:r w:rsidR="00A4155B">
        <w:rPr>
          <w:sz w:val="22"/>
        </w:rPr>
        <w:fldChar w:fldCharType="begin"/>
      </w:r>
      <w:r w:rsidR="00A4155B">
        <w:rPr>
          <w:sz w:val="22"/>
        </w:rPr>
        <w:instrText xml:space="preserve"> REF _Ref149212293 \w \h </w:instrText>
      </w:r>
      <w:r w:rsidR="00A4155B">
        <w:rPr>
          <w:sz w:val="22"/>
        </w:rPr>
      </w:r>
      <w:r w:rsidR="00A4155B">
        <w:rPr>
          <w:sz w:val="22"/>
        </w:rPr>
        <w:fldChar w:fldCharType="separate"/>
      </w:r>
      <w:r w:rsidR="0027336D">
        <w:rPr>
          <w:sz w:val="22"/>
        </w:rPr>
        <w:t>9.1</w:t>
      </w:r>
      <w:r w:rsidR="00A4155B">
        <w:rPr>
          <w:sz w:val="22"/>
        </w:rPr>
        <w:fldChar w:fldCharType="end"/>
      </w:r>
      <w:r w:rsidR="00A4155B">
        <w:rPr>
          <w:sz w:val="22"/>
        </w:rPr>
        <w:t>.</w:t>
      </w:r>
    </w:p>
    <w:p w14:paraId="478F0081" w14:textId="77777777" w:rsidR="00932FFA" w:rsidRDefault="00932FFA" w:rsidP="00CF75E0">
      <w:pPr>
        <w:jc w:val="left"/>
        <w:rPr>
          <w:i/>
          <w:iCs/>
          <w:sz w:val="22"/>
        </w:rPr>
      </w:pPr>
    </w:p>
    <w:p w14:paraId="519B3492" w14:textId="77777777" w:rsidR="00086C1B" w:rsidRDefault="00086C1B" w:rsidP="00CF75E0">
      <w:pPr>
        <w:jc w:val="left"/>
        <w:rPr>
          <w:i/>
          <w:iCs/>
          <w:sz w:val="22"/>
        </w:rPr>
      </w:pPr>
    </w:p>
    <w:p w14:paraId="1296B030" w14:textId="3127427F" w:rsidR="00086C1B" w:rsidRDefault="001A43D3" w:rsidP="00CF75E0">
      <w:pPr>
        <w:pStyle w:val="Ttulo2"/>
        <w:jc w:val="left"/>
      </w:pPr>
      <w:bookmarkStart w:id="110" w:name="_Toc158211464"/>
      <w:r w:rsidRPr="00A25B16">
        <w:t>Gases del Oriente S.A E.S.P</w:t>
      </w:r>
      <w:bookmarkEnd w:id="110"/>
      <w:r w:rsidRPr="00A25B16">
        <w:tab/>
      </w:r>
    </w:p>
    <w:p w14:paraId="588C49B9" w14:textId="5C997F2D" w:rsidR="001A43D3" w:rsidRPr="00A25B16" w:rsidRDefault="001A43D3" w:rsidP="00CF75E0">
      <w:pPr>
        <w:jc w:val="left"/>
        <w:rPr>
          <w:i/>
          <w:iCs/>
          <w:sz w:val="22"/>
        </w:rPr>
      </w:pPr>
      <w:r w:rsidRPr="00A25B16">
        <w:rPr>
          <w:i/>
          <w:iCs/>
          <w:sz w:val="22"/>
        </w:rPr>
        <w:t>"El precio será fijo, aplicable a toda la duración de ejecución del contrato independientemente de si el contrato se pacta con duración en semanas laborales o en semanas calendario.</w:t>
      </w:r>
    </w:p>
    <w:p w14:paraId="18F51341" w14:textId="77777777" w:rsidR="001A43D3" w:rsidRPr="00A25B16" w:rsidRDefault="001A43D3" w:rsidP="00CF75E0">
      <w:pPr>
        <w:jc w:val="left"/>
        <w:rPr>
          <w:i/>
          <w:iCs/>
          <w:sz w:val="22"/>
        </w:rPr>
      </w:pPr>
    </w:p>
    <w:p w14:paraId="0CF05E50" w14:textId="5B9C75F7" w:rsidR="001A43D3" w:rsidRPr="00A25B16" w:rsidRDefault="001A43D3" w:rsidP="00CF75E0">
      <w:pPr>
        <w:jc w:val="left"/>
        <w:rPr>
          <w:i/>
          <w:iCs/>
          <w:sz w:val="22"/>
        </w:rPr>
      </w:pPr>
      <w:r w:rsidRPr="00A25B16">
        <w:rPr>
          <w:i/>
          <w:iCs/>
          <w:sz w:val="22"/>
        </w:rPr>
        <w:t>Se solicita aclaración de c</w:t>
      </w:r>
      <w:r w:rsidR="00A4155B">
        <w:rPr>
          <w:i/>
          <w:iCs/>
          <w:sz w:val="22"/>
        </w:rPr>
        <w:t>ó</w:t>
      </w:r>
      <w:r w:rsidRPr="00A25B16">
        <w:rPr>
          <w:i/>
          <w:iCs/>
          <w:sz w:val="22"/>
        </w:rPr>
        <w:t>mo se establecería el precio, teniendo en cuenta de que se puede presentar diferentes compradores en una misma fuente de un productor/comercializador"</w:t>
      </w:r>
    </w:p>
    <w:p w14:paraId="5D129753" w14:textId="77777777" w:rsidR="00086C1B" w:rsidRDefault="00086C1B" w:rsidP="00CF75E0">
      <w:pPr>
        <w:jc w:val="left"/>
        <w:rPr>
          <w:i/>
          <w:iCs/>
          <w:sz w:val="22"/>
        </w:rPr>
      </w:pPr>
    </w:p>
    <w:p w14:paraId="5A96FC38"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6D56E53B" w14:textId="77777777" w:rsidR="002B1FF0" w:rsidRDefault="002B1FF0" w:rsidP="00CF75E0">
      <w:pPr>
        <w:jc w:val="left"/>
        <w:rPr>
          <w:rFonts w:cs="Arial"/>
          <w:sz w:val="22"/>
          <w:szCs w:val="22"/>
        </w:rPr>
      </w:pPr>
    </w:p>
    <w:p w14:paraId="503A331A" w14:textId="35D40C29" w:rsidR="009D44AC" w:rsidRPr="002B1FF0" w:rsidRDefault="009D44AC" w:rsidP="00CF75E0">
      <w:pPr>
        <w:jc w:val="left"/>
        <w:rPr>
          <w:rFonts w:cs="Arial"/>
          <w:sz w:val="22"/>
          <w:szCs w:val="22"/>
        </w:rPr>
      </w:pPr>
      <w:r>
        <w:rPr>
          <w:rFonts w:cs="Arial"/>
          <w:sz w:val="22"/>
          <w:szCs w:val="22"/>
        </w:rPr>
        <w:t>El precio es de negociación directa, corresponde al vendedor establecer la manera en que definirá con quiénes contrata el suministro del gas natural</w:t>
      </w:r>
      <w:r w:rsidR="00A4155B">
        <w:rPr>
          <w:rFonts w:cs="Arial"/>
          <w:sz w:val="22"/>
          <w:szCs w:val="22"/>
        </w:rPr>
        <w:t xml:space="preserve"> y de qué manera asigna las cantidades ofertadas</w:t>
      </w:r>
      <w:r>
        <w:rPr>
          <w:rFonts w:cs="Arial"/>
          <w:sz w:val="22"/>
          <w:szCs w:val="22"/>
        </w:rPr>
        <w:t xml:space="preserve">. En la resolución definitiva se establece en todo caso normas generales para la determinación del precio de los contratos, particularmente para el caso de la </w:t>
      </w:r>
      <w:r w:rsidR="00C924E3">
        <w:rPr>
          <w:rFonts w:cs="Arial"/>
          <w:sz w:val="22"/>
          <w:szCs w:val="22"/>
        </w:rPr>
        <w:t xml:space="preserve">atención a los usuarios que hacen parte de la </w:t>
      </w:r>
      <w:r>
        <w:rPr>
          <w:rFonts w:cs="Arial"/>
          <w:sz w:val="22"/>
          <w:szCs w:val="22"/>
        </w:rPr>
        <w:t xml:space="preserve">Demanda Esencial. </w:t>
      </w:r>
    </w:p>
    <w:p w14:paraId="39A4F00F" w14:textId="77777777" w:rsidR="002B1FF0" w:rsidRPr="002B1FF0" w:rsidRDefault="002B1FF0" w:rsidP="00CF75E0">
      <w:pPr>
        <w:jc w:val="left"/>
        <w:rPr>
          <w:rFonts w:cs="Arial"/>
          <w:sz w:val="22"/>
          <w:szCs w:val="22"/>
        </w:rPr>
      </w:pPr>
    </w:p>
    <w:p w14:paraId="615B04F7" w14:textId="77777777" w:rsidR="00086C1B" w:rsidRDefault="00086C1B" w:rsidP="00CF75E0">
      <w:pPr>
        <w:jc w:val="left"/>
        <w:rPr>
          <w:i/>
          <w:iCs/>
          <w:sz w:val="22"/>
        </w:rPr>
      </w:pPr>
    </w:p>
    <w:p w14:paraId="040D41F8" w14:textId="512A2AE1" w:rsidR="00086C1B" w:rsidRDefault="001A43D3" w:rsidP="00CF75E0">
      <w:pPr>
        <w:pStyle w:val="Ttulo2"/>
        <w:jc w:val="left"/>
      </w:pPr>
      <w:bookmarkStart w:id="111" w:name="_Toc158211465"/>
      <w:r w:rsidRPr="00A25B16">
        <w:t>Gases del Oriente S.A E.S.P</w:t>
      </w:r>
      <w:bookmarkEnd w:id="111"/>
      <w:r w:rsidRPr="00A25B16">
        <w:tab/>
      </w:r>
    </w:p>
    <w:p w14:paraId="7C5ED14A" w14:textId="342423C3" w:rsidR="001A43D3" w:rsidRPr="00A25B16" w:rsidRDefault="001A43D3" w:rsidP="00CF75E0">
      <w:pPr>
        <w:jc w:val="left"/>
        <w:rPr>
          <w:i/>
          <w:iCs/>
          <w:sz w:val="22"/>
        </w:rPr>
      </w:pPr>
      <w:r w:rsidRPr="00A25B16">
        <w:rPr>
          <w:i/>
          <w:iCs/>
          <w:sz w:val="22"/>
        </w:rPr>
        <w:t>"En el caso de los contratos de la modalidad Contrato de Suministro de Contingencia, el agente que garantiza el suministro desde una fuente alterna de suministro, podrá ser el mismo agente que suministra el gas natural desde la(s) fuente(s) que enfrenta al evento que le impide la prestación del servicio.</w:t>
      </w:r>
    </w:p>
    <w:p w14:paraId="5C9006DB" w14:textId="77777777" w:rsidR="001A43D3" w:rsidRPr="00A25B16" w:rsidRDefault="001A43D3" w:rsidP="00CF75E0">
      <w:pPr>
        <w:jc w:val="left"/>
        <w:rPr>
          <w:i/>
          <w:iCs/>
          <w:sz w:val="22"/>
        </w:rPr>
      </w:pPr>
    </w:p>
    <w:p w14:paraId="1C63ECE2" w14:textId="315CB56B" w:rsidR="001A43D3" w:rsidRPr="00A25B16" w:rsidRDefault="001A43D3" w:rsidP="00CF75E0">
      <w:pPr>
        <w:jc w:val="left"/>
        <w:rPr>
          <w:i/>
          <w:iCs/>
          <w:sz w:val="22"/>
        </w:rPr>
      </w:pPr>
      <w:r w:rsidRPr="00A25B16">
        <w:rPr>
          <w:i/>
          <w:iCs/>
          <w:sz w:val="22"/>
        </w:rPr>
        <w:t>¿es necesario estipular las fuentes alternas de suministro ante un posible incumplimiento del vend</w:t>
      </w:r>
      <w:r w:rsidR="001C3599">
        <w:rPr>
          <w:i/>
          <w:iCs/>
          <w:sz w:val="22"/>
        </w:rPr>
        <w:t>ed</w:t>
      </w:r>
      <w:r w:rsidRPr="00A25B16">
        <w:rPr>
          <w:i/>
          <w:iCs/>
          <w:sz w:val="22"/>
        </w:rPr>
        <w:t>or, desde el momento en que se pacte el contrato?"</w:t>
      </w:r>
    </w:p>
    <w:p w14:paraId="306C4E20" w14:textId="77777777" w:rsidR="00086C1B" w:rsidRDefault="00086C1B" w:rsidP="00CF75E0">
      <w:pPr>
        <w:jc w:val="left"/>
        <w:rPr>
          <w:i/>
          <w:iCs/>
          <w:sz w:val="22"/>
        </w:rPr>
      </w:pPr>
    </w:p>
    <w:p w14:paraId="56FCFC3D"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4265A44D" w14:textId="77777777" w:rsidR="002B1FF0" w:rsidRPr="002B1FF0" w:rsidRDefault="002B1FF0" w:rsidP="00CF75E0">
      <w:pPr>
        <w:jc w:val="left"/>
        <w:rPr>
          <w:rFonts w:cs="Arial"/>
          <w:sz w:val="22"/>
          <w:szCs w:val="22"/>
        </w:rPr>
      </w:pPr>
    </w:p>
    <w:p w14:paraId="06F751A7" w14:textId="646317DA" w:rsidR="00A4155B" w:rsidRDefault="00F25641" w:rsidP="00CF75E0">
      <w:pPr>
        <w:jc w:val="left"/>
        <w:rPr>
          <w:rFonts w:cs="Arial"/>
          <w:sz w:val="22"/>
          <w:szCs w:val="22"/>
        </w:rPr>
      </w:pPr>
      <w:r>
        <w:rPr>
          <w:rFonts w:cs="Arial"/>
          <w:sz w:val="22"/>
          <w:szCs w:val="22"/>
        </w:rPr>
        <w:t>No es necesario</w:t>
      </w:r>
      <w:r w:rsidR="00A4155B">
        <w:rPr>
          <w:rFonts w:cs="Arial"/>
          <w:sz w:val="22"/>
          <w:szCs w:val="22"/>
        </w:rPr>
        <w:t xml:space="preserve"> </w:t>
      </w:r>
      <w:r w:rsidR="00A4155B" w:rsidRPr="00A4155B">
        <w:rPr>
          <w:rFonts w:cs="Arial"/>
          <w:sz w:val="22"/>
          <w:szCs w:val="22"/>
        </w:rPr>
        <w:t>estipular las fuentes alternas de suministro ante un posible incumplimiento del vendedor, desde el momento en que se pacte el contrato</w:t>
      </w:r>
      <w:r>
        <w:rPr>
          <w:rFonts w:cs="Arial"/>
          <w:sz w:val="22"/>
          <w:szCs w:val="22"/>
        </w:rPr>
        <w:t xml:space="preserve">. </w:t>
      </w:r>
    </w:p>
    <w:p w14:paraId="1194CEA4" w14:textId="77777777" w:rsidR="00A4155B" w:rsidRDefault="00A4155B" w:rsidP="00CF75E0">
      <w:pPr>
        <w:jc w:val="left"/>
        <w:rPr>
          <w:rFonts w:cs="Arial"/>
          <w:sz w:val="22"/>
          <w:szCs w:val="22"/>
        </w:rPr>
      </w:pPr>
    </w:p>
    <w:p w14:paraId="505CE647" w14:textId="0DBA6AB6" w:rsidR="002B1FF0" w:rsidRPr="002B1FF0" w:rsidRDefault="00F25641" w:rsidP="00CF75E0">
      <w:pPr>
        <w:jc w:val="left"/>
        <w:rPr>
          <w:rFonts w:cs="Arial"/>
          <w:sz w:val="22"/>
          <w:szCs w:val="22"/>
        </w:rPr>
      </w:pPr>
      <w:r>
        <w:rPr>
          <w:rFonts w:cs="Arial"/>
          <w:sz w:val="22"/>
          <w:szCs w:val="22"/>
        </w:rPr>
        <w:t xml:space="preserve">Se considera necesario la mayor flexibilidad al respecto. Eso sí, </w:t>
      </w:r>
      <w:r w:rsidR="00A4155B">
        <w:rPr>
          <w:rFonts w:cs="Arial"/>
          <w:sz w:val="22"/>
          <w:szCs w:val="22"/>
        </w:rPr>
        <w:t>el vendedor que</w:t>
      </w:r>
      <w:r>
        <w:rPr>
          <w:rFonts w:cs="Arial"/>
          <w:sz w:val="22"/>
          <w:szCs w:val="22"/>
        </w:rPr>
        <w:t xml:space="preserve"> se contrate el suministro debe contar con </w:t>
      </w:r>
      <w:r w:rsidR="00A4155B">
        <w:rPr>
          <w:rFonts w:cs="Arial"/>
          <w:sz w:val="22"/>
          <w:szCs w:val="22"/>
        </w:rPr>
        <w:t xml:space="preserve">la </w:t>
      </w:r>
      <w:r>
        <w:rPr>
          <w:rFonts w:cs="Arial"/>
          <w:sz w:val="22"/>
          <w:szCs w:val="22"/>
        </w:rPr>
        <w:t xml:space="preserve">PTDVF/CIDVF para ello. La especificación de las fuentes de suministro que respaldan </w:t>
      </w:r>
      <w:r w:rsidR="00A4155B">
        <w:rPr>
          <w:rFonts w:cs="Arial"/>
          <w:sz w:val="22"/>
          <w:szCs w:val="22"/>
        </w:rPr>
        <w:t xml:space="preserve">el cumplimiento de </w:t>
      </w:r>
      <w:r>
        <w:rPr>
          <w:rFonts w:cs="Arial"/>
          <w:sz w:val="22"/>
          <w:szCs w:val="22"/>
        </w:rPr>
        <w:t>un contrato de tipo firme es necesaria para evidenciar que se cuenta con el Respaldo Físico y con el potencial de producción para cada una de esas fuentes, de acuerdo con las declaraciones más recientes realizadas al Ministerio de Minas y Energía y los compromisos ya adquiridos de tipo firme</w:t>
      </w:r>
      <w:r w:rsidR="00A4155B">
        <w:rPr>
          <w:rFonts w:cs="Arial"/>
          <w:sz w:val="22"/>
          <w:szCs w:val="22"/>
        </w:rPr>
        <w:t>,</w:t>
      </w:r>
      <w:r>
        <w:rPr>
          <w:rFonts w:cs="Arial"/>
          <w:sz w:val="22"/>
          <w:szCs w:val="22"/>
        </w:rPr>
        <w:t xml:space="preserve"> con posterioridad a dicha declaración mediante los contratos registrados ante el Gestor del Mercado a la fecha en que se solicita el registro del nuevo contrato de tipo firme.</w:t>
      </w:r>
    </w:p>
    <w:p w14:paraId="3C73CC97" w14:textId="77777777" w:rsidR="00086C1B" w:rsidRDefault="00086C1B" w:rsidP="00CF75E0">
      <w:pPr>
        <w:jc w:val="left"/>
        <w:rPr>
          <w:i/>
          <w:iCs/>
          <w:sz w:val="22"/>
        </w:rPr>
      </w:pPr>
    </w:p>
    <w:p w14:paraId="6523AB86" w14:textId="77777777" w:rsidR="00086C1B" w:rsidRDefault="00086C1B" w:rsidP="00CF75E0">
      <w:pPr>
        <w:jc w:val="left"/>
        <w:rPr>
          <w:i/>
          <w:iCs/>
          <w:sz w:val="22"/>
        </w:rPr>
      </w:pPr>
    </w:p>
    <w:p w14:paraId="2CCDF770" w14:textId="3F80C5E2" w:rsidR="00086C1B" w:rsidRDefault="001A43D3" w:rsidP="00CF75E0">
      <w:pPr>
        <w:pStyle w:val="Ttulo2"/>
        <w:jc w:val="left"/>
      </w:pPr>
      <w:bookmarkStart w:id="112" w:name="_Toc158211466"/>
      <w:r w:rsidRPr="00A25B16">
        <w:t>Gestor del Mercado de Gas Natural en Colombia</w:t>
      </w:r>
      <w:bookmarkEnd w:id="112"/>
      <w:r w:rsidRPr="00A25B16">
        <w:tab/>
      </w:r>
    </w:p>
    <w:p w14:paraId="40834E1A" w14:textId="6E71F3B5" w:rsidR="001A43D3" w:rsidRPr="00A25B16" w:rsidRDefault="001A43D3" w:rsidP="00CF75E0">
      <w:pPr>
        <w:jc w:val="left"/>
        <w:rPr>
          <w:i/>
          <w:iCs/>
          <w:sz w:val="22"/>
        </w:rPr>
      </w:pPr>
      <w:r w:rsidRPr="00A25B16">
        <w:rPr>
          <w:i/>
          <w:iCs/>
          <w:sz w:val="22"/>
        </w:rPr>
        <w:t xml:space="preserve">"En el Artículo 5 del proyecto de Resolución se establecen una serie de condiciones al momento de negociar y registrar los contratos; sin embargo, no se especifican las modalidades contractuales a las que se hace referencia. </w:t>
      </w:r>
    </w:p>
    <w:p w14:paraId="08581789" w14:textId="77777777" w:rsidR="001A43D3" w:rsidRPr="00A25B16" w:rsidRDefault="001A43D3" w:rsidP="00CF75E0">
      <w:pPr>
        <w:jc w:val="left"/>
        <w:rPr>
          <w:i/>
          <w:iCs/>
          <w:sz w:val="22"/>
        </w:rPr>
      </w:pPr>
    </w:p>
    <w:p w14:paraId="368B9F50" w14:textId="77777777" w:rsidR="001A43D3" w:rsidRPr="00A25B16" w:rsidRDefault="001A43D3" w:rsidP="00CF75E0">
      <w:pPr>
        <w:jc w:val="left"/>
        <w:rPr>
          <w:i/>
          <w:iCs/>
          <w:sz w:val="22"/>
        </w:rPr>
      </w:pPr>
      <w:r w:rsidRPr="00A25B16">
        <w:rPr>
          <w:i/>
          <w:iCs/>
          <w:sz w:val="22"/>
        </w:rPr>
        <w:t>""En general para cualquier modalidad contractual de tipo firme:"" (Subrayado fuera de texto).</w:t>
      </w:r>
    </w:p>
    <w:p w14:paraId="256B90E9" w14:textId="77777777" w:rsidR="001A43D3" w:rsidRPr="00A25B16" w:rsidRDefault="001A43D3" w:rsidP="00CF75E0">
      <w:pPr>
        <w:jc w:val="left"/>
        <w:rPr>
          <w:i/>
          <w:iCs/>
          <w:sz w:val="22"/>
        </w:rPr>
      </w:pPr>
    </w:p>
    <w:p w14:paraId="2AA3141C" w14:textId="77777777" w:rsidR="001A43D3" w:rsidRPr="00A25B16" w:rsidRDefault="001A43D3" w:rsidP="00CF75E0">
      <w:pPr>
        <w:jc w:val="left"/>
        <w:rPr>
          <w:i/>
          <w:iCs/>
          <w:sz w:val="22"/>
        </w:rPr>
      </w:pPr>
      <w:r w:rsidRPr="00A25B16">
        <w:rPr>
          <w:i/>
          <w:iCs/>
          <w:sz w:val="22"/>
        </w:rPr>
        <w:t>Desde el Gestor del Mercado se sugiere que se especifiquen las modalidades contractuales tipo firme a las que les aplican dichas condiciones."</w:t>
      </w:r>
    </w:p>
    <w:p w14:paraId="79C8EF60" w14:textId="77777777" w:rsidR="001C3599" w:rsidRDefault="001C3599" w:rsidP="00CF75E0">
      <w:pPr>
        <w:jc w:val="left"/>
        <w:rPr>
          <w:i/>
          <w:iCs/>
          <w:sz w:val="22"/>
        </w:rPr>
      </w:pPr>
    </w:p>
    <w:p w14:paraId="0A7770F5"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23351E9A" w14:textId="77777777" w:rsidR="002B1FF0" w:rsidRPr="002B1FF0" w:rsidRDefault="002B1FF0" w:rsidP="00CF75E0">
      <w:pPr>
        <w:jc w:val="left"/>
        <w:rPr>
          <w:rFonts w:cs="Arial"/>
          <w:sz w:val="22"/>
          <w:szCs w:val="22"/>
        </w:rPr>
      </w:pPr>
    </w:p>
    <w:p w14:paraId="5B8CB828" w14:textId="015316AC" w:rsidR="004E0133" w:rsidRDefault="004E0133" w:rsidP="00CF75E0">
      <w:pPr>
        <w:jc w:val="left"/>
        <w:rPr>
          <w:rFonts w:cs="Arial"/>
          <w:sz w:val="22"/>
          <w:szCs w:val="22"/>
        </w:rPr>
      </w:pPr>
      <w:r>
        <w:rPr>
          <w:rFonts w:cs="Arial"/>
          <w:sz w:val="22"/>
          <w:szCs w:val="22"/>
        </w:rPr>
        <w:t>Se acoge el comentario.</w:t>
      </w:r>
    </w:p>
    <w:p w14:paraId="7AD81BD0" w14:textId="77777777" w:rsidR="004E0133" w:rsidRDefault="004E0133" w:rsidP="00CF75E0">
      <w:pPr>
        <w:jc w:val="left"/>
        <w:rPr>
          <w:rFonts w:cs="Arial"/>
          <w:sz w:val="22"/>
          <w:szCs w:val="22"/>
        </w:rPr>
      </w:pPr>
    </w:p>
    <w:p w14:paraId="2A2BE5DF" w14:textId="75468684" w:rsidR="004E0133" w:rsidRPr="002B1FF0" w:rsidRDefault="004E0133" w:rsidP="00CF75E0">
      <w:pPr>
        <w:jc w:val="left"/>
        <w:rPr>
          <w:rFonts w:cs="Arial"/>
          <w:sz w:val="22"/>
          <w:szCs w:val="22"/>
        </w:rPr>
      </w:pPr>
      <w:r>
        <w:rPr>
          <w:rFonts w:cs="Arial"/>
          <w:sz w:val="22"/>
          <w:szCs w:val="22"/>
        </w:rPr>
        <w:t>Se hará la inclusión en el texto de la resolución definitiva dando claridad al respecto.</w:t>
      </w:r>
    </w:p>
    <w:p w14:paraId="4D41AB22" w14:textId="77777777" w:rsidR="001C3599" w:rsidRDefault="001C3599" w:rsidP="00CF75E0">
      <w:pPr>
        <w:jc w:val="left"/>
        <w:rPr>
          <w:i/>
          <w:iCs/>
          <w:sz w:val="22"/>
        </w:rPr>
      </w:pPr>
    </w:p>
    <w:p w14:paraId="5305B9F7" w14:textId="77777777" w:rsidR="001C3599" w:rsidRDefault="001C3599" w:rsidP="00CF75E0">
      <w:pPr>
        <w:jc w:val="left"/>
        <w:rPr>
          <w:i/>
          <w:iCs/>
          <w:sz w:val="22"/>
        </w:rPr>
      </w:pPr>
    </w:p>
    <w:p w14:paraId="528043F4" w14:textId="1782517D" w:rsidR="001C3599" w:rsidRDefault="001A43D3" w:rsidP="00CF75E0">
      <w:pPr>
        <w:pStyle w:val="Ttulo2"/>
        <w:jc w:val="left"/>
      </w:pPr>
      <w:bookmarkStart w:id="113" w:name="_Toc158211467"/>
      <w:r w:rsidRPr="00A25B16">
        <w:t>Gestor del Mercado de Gas Natural en Colombia</w:t>
      </w:r>
      <w:bookmarkEnd w:id="113"/>
      <w:r w:rsidRPr="00A25B16">
        <w:tab/>
      </w:r>
    </w:p>
    <w:p w14:paraId="4D474B5D" w14:textId="6A69193A" w:rsidR="001A43D3" w:rsidRPr="00A25B16" w:rsidRDefault="001A43D3" w:rsidP="00CF75E0">
      <w:pPr>
        <w:jc w:val="left"/>
        <w:rPr>
          <w:i/>
          <w:iCs/>
          <w:sz w:val="22"/>
        </w:rPr>
      </w:pPr>
      <w:r w:rsidRPr="00A25B16">
        <w:rPr>
          <w:i/>
          <w:iCs/>
          <w:sz w:val="22"/>
        </w:rPr>
        <w:t>"En los numerales b y c del Artículo 5 se establecen las excepciones a las duraciones mínimas y máximas de contratación:</w:t>
      </w:r>
    </w:p>
    <w:p w14:paraId="43231CC8" w14:textId="77777777" w:rsidR="001A43D3" w:rsidRPr="00A25B16" w:rsidRDefault="001A43D3" w:rsidP="00CF75E0">
      <w:pPr>
        <w:jc w:val="left"/>
        <w:rPr>
          <w:i/>
          <w:iCs/>
          <w:sz w:val="22"/>
        </w:rPr>
      </w:pPr>
    </w:p>
    <w:p w14:paraId="3513F102" w14:textId="77777777" w:rsidR="001A43D3" w:rsidRPr="00A25B16" w:rsidRDefault="001A43D3" w:rsidP="00CF75E0">
      <w:pPr>
        <w:jc w:val="left"/>
        <w:rPr>
          <w:i/>
          <w:iCs/>
          <w:sz w:val="22"/>
        </w:rPr>
      </w:pPr>
      <w:r w:rsidRPr="00A25B16">
        <w:rPr>
          <w:i/>
          <w:iCs/>
          <w:sz w:val="22"/>
        </w:rPr>
        <w:t xml:space="preserve">""b. Podrán tener una duración de como mínimo una (1) semana laboral y de como máximo doce (12) semanas laborales, excepto en los casos contemplados en el Artículo 20 de la Resolución CREG 186 de 2020. </w:t>
      </w:r>
    </w:p>
    <w:p w14:paraId="5911B716" w14:textId="77777777" w:rsidR="001A43D3" w:rsidRPr="00A25B16" w:rsidRDefault="001A43D3" w:rsidP="00CF75E0">
      <w:pPr>
        <w:jc w:val="left"/>
        <w:rPr>
          <w:i/>
          <w:iCs/>
          <w:sz w:val="22"/>
        </w:rPr>
      </w:pPr>
    </w:p>
    <w:p w14:paraId="17A9AD46" w14:textId="77777777" w:rsidR="001A43D3" w:rsidRPr="00A25B16" w:rsidRDefault="001A43D3" w:rsidP="00CF75E0">
      <w:pPr>
        <w:jc w:val="left"/>
        <w:rPr>
          <w:i/>
          <w:iCs/>
          <w:sz w:val="22"/>
        </w:rPr>
      </w:pPr>
      <w:r w:rsidRPr="00A25B16">
        <w:rPr>
          <w:i/>
          <w:iCs/>
          <w:sz w:val="22"/>
        </w:rPr>
        <w:t>c. En caso de que no se pacte la duración en semanas laborales, podrán tener una duración de como mínimo una semana calendario y de como máximo tres (3) meses, excepto en los casos contemplados en el Artículo 20 de la Resolución CREG 186 de 2020.""</w:t>
      </w:r>
    </w:p>
    <w:p w14:paraId="63690795" w14:textId="77777777" w:rsidR="001A43D3" w:rsidRPr="00A25B16" w:rsidRDefault="001A43D3" w:rsidP="00CF75E0">
      <w:pPr>
        <w:jc w:val="left"/>
        <w:rPr>
          <w:i/>
          <w:iCs/>
          <w:sz w:val="22"/>
        </w:rPr>
      </w:pPr>
    </w:p>
    <w:p w14:paraId="4F54BEF6" w14:textId="77777777" w:rsidR="001A43D3" w:rsidRPr="00A25B16" w:rsidRDefault="001A43D3" w:rsidP="00CF75E0">
      <w:pPr>
        <w:jc w:val="left"/>
        <w:rPr>
          <w:i/>
          <w:iCs/>
          <w:sz w:val="22"/>
        </w:rPr>
      </w:pPr>
      <w:r w:rsidRPr="00A25B16">
        <w:rPr>
          <w:i/>
          <w:iCs/>
          <w:sz w:val="22"/>
        </w:rPr>
        <w:t>Se considera pertinente que se hagan explícitos los casos a los que se hace referencia, según la condición de las fuentes de suministro."</w:t>
      </w:r>
    </w:p>
    <w:p w14:paraId="13AAEDB1" w14:textId="77777777" w:rsidR="001C3599" w:rsidRDefault="001C3599" w:rsidP="00CF75E0">
      <w:pPr>
        <w:jc w:val="left"/>
        <w:rPr>
          <w:i/>
          <w:iCs/>
          <w:sz w:val="22"/>
        </w:rPr>
      </w:pPr>
    </w:p>
    <w:p w14:paraId="4679730A"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3C3F1ADA" w14:textId="77777777" w:rsidR="002B1FF0" w:rsidRPr="002B1FF0" w:rsidRDefault="002B1FF0" w:rsidP="00CF75E0">
      <w:pPr>
        <w:jc w:val="left"/>
        <w:rPr>
          <w:rFonts w:cs="Arial"/>
          <w:sz w:val="22"/>
          <w:szCs w:val="22"/>
        </w:rPr>
      </w:pPr>
    </w:p>
    <w:p w14:paraId="5BF5FD54" w14:textId="3DE5E3BA" w:rsidR="002B1FF0" w:rsidRDefault="00DE7AC6" w:rsidP="00CF75E0">
      <w:pPr>
        <w:jc w:val="left"/>
        <w:rPr>
          <w:rFonts w:cs="Arial"/>
          <w:sz w:val="22"/>
          <w:szCs w:val="22"/>
        </w:rPr>
      </w:pPr>
      <w:r>
        <w:rPr>
          <w:rFonts w:cs="Arial"/>
          <w:sz w:val="22"/>
          <w:szCs w:val="22"/>
        </w:rPr>
        <w:t>Se acoge el comentario.</w:t>
      </w:r>
    </w:p>
    <w:p w14:paraId="3251AAE1" w14:textId="77777777" w:rsidR="00DE7AC6" w:rsidRDefault="00DE7AC6" w:rsidP="00CF75E0">
      <w:pPr>
        <w:jc w:val="left"/>
        <w:rPr>
          <w:rFonts w:cs="Arial"/>
          <w:sz w:val="22"/>
          <w:szCs w:val="22"/>
        </w:rPr>
      </w:pPr>
    </w:p>
    <w:p w14:paraId="0645912D" w14:textId="3546602C" w:rsidR="00DE7AC6" w:rsidRPr="002B1FF0" w:rsidRDefault="00DE7AC6" w:rsidP="00DE7AC6">
      <w:pPr>
        <w:jc w:val="left"/>
        <w:rPr>
          <w:rFonts w:cs="Arial"/>
          <w:sz w:val="22"/>
          <w:szCs w:val="22"/>
        </w:rPr>
      </w:pPr>
      <w:r>
        <w:rPr>
          <w:rFonts w:cs="Arial"/>
          <w:sz w:val="22"/>
          <w:szCs w:val="22"/>
        </w:rPr>
        <w:t xml:space="preserve">En general los contratos de tipo firme requieren contar con Respaldo Físico, </w:t>
      </w:r>
      <w:r w:rsidRPr="00DE7AC6">
        <w:rPr>
          <w:rFonts w:cs="Arial"/>
          <w:sz w:val="22"/>
          <w:szCs w:val="22"/>
        </w:rPr>
        <w:t xml:space="preserve">para asumir y cumplir compromisos contractuales </w:t>
      </w:r>
      <w:r>
        <w:rPr>
          <w:rFonts w:cs="Arial"/>
          <w:sz w:val="22"/>
          <w:szCs w:val="22"/>
        </w:rPr>
        <w:t>F</w:t>
      </w:r>
      <w:r w:rsidRPr="00DE7AC6">
        <w:rPr>
          <w:rFonts w:cs="Arial"/>
          <w:sz w:val="22"/>
          <w:szCs w:val="22"/>
        </w:rPr>
        <w:t>irmes</w:t>
      </w:r>
      <w:r>
        <w:rPr>
          <w:rFonts w:cs="Arial"/>
          <w:sz w:val="22"/>
          <w:szCs w:val="22"/>
        </w:rPr>
        <w:t xml:space="preserve"> </w:t>
      </w:r>
      <w:r w:rsidRPr="00DE7AC6">
        <w:rPr>
          <w:rFonts w:cs="Arial"/>
          <w:sz w:val="22"/>
          <w:szCs w:val="22"/>
        </w:rPr>
        <w:t>o que Garantizan Firmeza desde el momento en que se inicien las entregas hasta el cese de las mismas.</w:t>
      </w:r>
      <w:r w:rsidR="009233BC">
        <w:rPr>
          <w:rFonts w:cs="Arial"/>
          <w:sz w:val="22"/>
          <w:szCs w:val="22"/>
        </w:rPr>
        <w:t xml:space="preserve"> Las modalidades establecidas por la CREG para dicho tipo de contratos en el Mercado Primario, se encuentran en el Artículo 8 de la Resolución CREG 186 de 2020: </w:t>
      </w:r>
      <w:r w:rsidR="009233BC" w:rsidRPr="009233BC">
        <w:rPr>
          <w:rFonts w:cs="Arial"/>
          <w:sz w:val="22"/>
          <w:szCs w:val="22"/>
        </w:rPr>
        <w:t xml:space="preserve">el Contrato de suministro Firme al 95%, CF95, el </w:t>
      </w:r>
      <w:r w:rsidR="00736E00">
        <w:rPr>
          <w:rFonts w:cs="Arial"/>
          <w:sz w:val="22"/>
          <w:szCs w:val="22"/>
        </w:rPr>
        <w:t>c</w:t>
      </w:r>
      <w:r w:rsidR="009233BC" w:rsidRPr="009233BC">
        <w:rPr>
          <w:rFonts w:cs="Arial"/>
          <w:sz w:val="22"/>
          <w:szCs w:val="22"/>
        </w:rPr>
        <w:t xml:space="preserve">ontrato de suministro C1, el </w:t>
      </w:r>
      <w:r w:rsidR="00736E00">
        <w:rPr>
          <w:rFonts w:cs="Arial"/>
          <w:sz w:val="22"/>
          <w:szCs w:val="22"/>
        </w:rPr>
        <w:t>c</w:t>
      </w:r>
      <w:r w:rsidR="009233BC" w:rsidRPr="009233BC">
        <w:rPr>
          <w:rFonts w:cs="Arial"/>
          <w:sz w:val="22"/>
          <w:szCs w:val="22"/>
        </w:rPr>
        <w:t xml:space="preserve">ontrato de suministro C2, el </w:t>
      </w:r>
      <w:r w:rsidR="00736E00">
        <w:rPr>
          <w:rFonts w:cs="Arial"/>
          <w:sz w:val="22"/>
          <w:szCs w:val="22"/>
        </w:rPr>
        <w:t>c</w:t>
      </w:r>
      <w:r w:rsidR="009233BC" w:rsidRPr="009233BC">
        <w:rPr>
          <w:rFonts w:cs="Arial"/>
          <w:sz w:val="22"/>
          <w:szCs w:val="22"/>
        </w:rPr>
        <w:t xml:space="preserve">ontrato de opción de compra de gas contra exportaciones, el </w:t>
      </w:r>
      <w:r w:rsidR="00736E00">
        <w:rPr>
          <w:rFonts w:cs="Arial"/>
          <w:sz w:val="22"/>
          <w:szCs w:val="22"/>
        </w:rPr>
        <w:t>c</w:t>
      </w:r>
      <w:r w:rsidR="009233BC" w:rsidRPr="009233BC">
        <w:rPr>
          <w:rFonts w:cs="Arial"/>
          <w:sz w:val="22"/>
          <w:szCs w:val="22"/>
        </w:rPr>
        <w:t xml:space="preserve">ontrato de suministro de contingencia, el </w:t>
      </w:r>
      <w:r w:rsidR="00736E00">
        <w:rPr>
          <w:rFonts w:cs="Arial"/>
          <w:sz w:val="22"/>
          <w:szCs w:val="22"/>
        </w:rPr>
        <w:t>c</w:t>
      </w:r>
      <w:r w:rsidR="009233BC" w:rsidRPr="009233BC">
        <w:rPr>
          <w:rFonts w:cs="Arial"/>
          <w:sz w:val="22"/>
          <w:szCs w:val="22"/>
        </w:rPr>
        <w:t xml:space="preserve">ontrato de suministro con firmeza condicionada y el </w:t>
      </w:r>
      <w:r w:rsidR="00736E00">
        <w:rPr>
          <w:rFonts w:cs="Arial"/>
          <w:sz w:val="22"/>
          <w:szCs w:val="22"/>
        </w:rPr>
        <w:t>c</w:t>
      </w:r>
      <w:r w:rsidR="009233BC" w:rsidRPr="009233BC">
        <w:rPr>
          <w:rFonts w:cs="Arial"/>
          <w:sz w:val="22"/>
          <w:szCs w:val="22"/>
        </w:rPr>
        <w:t>ontrato de opción de compra de gas</w:t>
      </w:r>
    </w:p>
    <w:p w14:paraId="41AB5B58" w14:textId="77777777" w:rsidR="001C3599" w:rsidRDefault="001C3599" w:rsidP="00CF75E0">
      <w:pPr>
        <w:jc w:val="left"/>
        <w:rPr>
          <w:i/>
          <w:iCs/>
          <w:sz w:val="22"/>
        </w:rPr>
      </w:pPr>
    </w:p>
    <w:p w14:paraId="44ED6EAF" w14:textId="77777777" w:rsidR="001C3599" w:rsidRDefault="001C3599" w:rsidP="00CF75E0">
      <w:pPr>
        <w:jc w:val="left"/>
        <w:rPr>
          <w:i/>
          <w:iCs/>
          <w:sz w:val="22"/>
        </w:rPr>
      </w:pPr>
    </w:p>
    <w:p w14:paraId="42235DC3" w14:textId="799C02FF" w:rsidR="001C3599" w:rsidRDefault="001A43D3" w:rsidP="00CF75E0">
      <w:pPr>
        <w:pStyle w:val="Ttulo2"/>
        <w:jc w:val="left"/>
      </w:pPr>
      <w:bookmarkStart w:id="114" w:name="_Toc158211468"/>
      <w:r w:rsidRPr="00A25B16">
        <w:t>Gestor del Mercado de Gas Natural en Colombia</w:t>
      </w:r>
      <w:bookmarkEnd w:id="114"/>
      <w:r w:rsidRPr="00A25B16">
        <w:tab/>
      </w:r>
    </w:p>
    <w:p w14:paraId="012EC96C" w14:textId="0413FE78" w:rsidR="001A43D3" w:rsidRPr="00A25B16" w:rsidRDefault="001A43D3" w:rsidP="00CF75E0">
      <w:pPr>
        <w:jc w:val="left"/>
        <w:rPr>
          <w:i/>
          <w:iCs/>
          <w:sz w:val="22"/>
        </w:rPr>
      </w:pPr>
      <w:r w:rsidRPr="00A25B16">
        <w:rPr>
          <w:i/>
          <w:iCs/>
          <w:sz w:val="22"/>
        </w:rPr>
        <w:t>"Dentro del documento soporte se establece que el objetivo que persigue el proyecto de regulación es:</w:t>
      </w:r>
    </w:p>
    <w:p w14:paraId="7AF1F6D8" w14:textId="77777777" w:rsidR="001A43D3" w:rsidRPr="00A25B16" w:rsidRDefault="001A43D3" w:rsidP="00CF75E0">
      <w:pPr>
        <w:jc w:val="left"/>
        <w:rPr>
          <w:i/>
          <w:iCs/>
          <w:sz w:val="22"/>
        </w:rPr>
      </w:pPr>
    </w:p>
    <w:p w14:paraId="2F97A8AB" w14:textId="77777777" w:rsidR="001A43D3" w:rsidRPr="00A25B16" w:rsidRDefault="001A43D3" w:rsidP="00CF75E0">
      <w:pPr>
        <w:jc w:val="left"/>
        <w:rPr>
          <w:i/>
          <w:iCs/>
          <w:sz w:val="22"/>
        </w:rPr>
      </w:pPr>
      <w:r w:rsidRPr="00A25B16">
        <w:rPr>
          <w:i/>
          <w:iCs/>
          <w:sz w:val="22"/>
        </w:rPr>
        <w:t>""[...] dar mayor flexibilidad en el desarrollo de las negociaciones de suministro a realizarse en el período 2023-2024 en el Mercado Primario de suministro y mayor transparencia en la información oportuna de oferta y demanda en el Mercado Secundario, de modo que se logren maximizar las cantidades que se contraten de la oferta disponible en firme."" (Subrayado fuera de texto).</w:t>
      </w:r>
    </w:p>
    <w:p w14:paraId="682E7239" w14:textId="77777777" w:rsidR="001A43D3" w:rsidRPr="00A25B16" w:rsidRDefault="001A43D3" w:rsidP="00CF75E0">
      <w:pPr>
        <w:jc w:val="left"/>
        <w:rPr>
          <w:i/>
          <w:iCs/>
          <w:sz w:val="22"/>
        </w:rPr>
      </w:pPr>
    </w:p>
    <w:p w14:paraId="58E0E732" w14:textId="77777777" w:rsidR="001A43D3" w:rsidRPr="00A25B16" w:rsidRDefault="001A43D3" w:rsidP="00CF75E0">
      <w:pPr>
        <w:jc w:val="left"/>
        <w:rPr>
          <w:i/>
          <w:iCs/>
          <w:sz w:val="22"/>
        </w:rPr>
      </w:pPr>
      <w:r w:rsidRPr="00A25B16">
        <w:rPr>
          <w:i/>
          <w:iCs/>
          <w:sz w:val="22"/>
        </w:rPr>
        <w:t>En línea con esto, en el numeral d del artículo 5 del proyecto de Resolución se establece que:</w:t>
      </w:r>
    </w:p>
    <w:p w14:paraId="471257FC" w14:textId="77777777" w:rsidR="001A43D3" w:rsidRPr="00A25B16" w:rsidRDefault="001A43D3" w:rsidP="00CF75E0">
      <w:pPr>
        <w:jc w:val="left"/>
        <w:rPr>
          <w:i/>
          <w:iCs/>
          <w:sz w:val="22"/>
        </w:rPr>
      </w:pPr>
    </w:p>
    <w:p w14:paraId="25C62AD3" w14:textId="77777777" w:rsidR="001A43D3" w:rsidRPr="00A25B16" w:rsidRDefault="001A43D3" w:rsidP="00CF75E0">
      <w:pPr>
        <w:jc w:val="left"/>
        <w:rPr>
          <w:i/>
          <w:iCs/>
          <w:sz w:val="22"/>
        </w:rPr>
      </w:pPr>
      <w:r w:rsidRPr="00A25B16">
        <w:rPr>
          <w:i/>
          <w:iCs/>
          <w:sz w:val="22"/>
        </w:rPr>
        <w:t>""d. Los volúmenes garantizados podrán ser diferentes para cada semana laboral, en caso de que se pacte la ejecución en semanas laborales continuas y los mismos deberán quedar registrados en el contrato. De no pactarse con duración en semanas laborales, la cantidad a garantizar será la misma para toda la ejecución contractual."" (Subrayado fuera de texto).</w:t>
      </w:r>
    </w:p>
    <w:p w14:paraId="3E65B70C" w14:textId="77777777" w:rsidR="001A43D3" w:rsidRPr="00A25B16" w:rsidRDefault="001A43D3" w:rsidP="00CF75E0">
      <w:pPr>
        <w:jc w:val="left"/>
        <w:rPr>
          <w:i/>
          <w:iCs/>
          <w:sz w:val="22"/>
        </w:rPr>
      </w:pPr>
    </w:p>
    <w:p w14:paraId="5F2C0B65" w14:textId="77777777" w:rsidR="001A43D3" w:rsidRPr="00A25B16" w:rsidRDefault="001A43D3" w:rsidP="00CF75E0">
      <w:pPr>
        <w:jc w:val="left"/>
        <w:rPr>
          <w:i/>
          <w:iCs/>
          <w:sz w:val="22"/>
        </w:rPr>
      </w:pPr>
      <w:r w:rsidRPr="00A25B16">
        <w:rPr>
          <w:i/>
          <w:iCs/>
          <w:sz w:val="22"/>
        </w:rPr>
        <w:t>En vista de que el objetivo principal es general flexibilidad en el desarrollo de las negociaciones de suministro, se considera que brindar la libertad de definir distintos volúmenes contratados, para negociaciones que no se pacten en semanas laborales, permitirá que los compradores ajusten las compras a sus necesidades especificas, sin que presente la problemática de sobrecontratación."</w:t>
      </w:r>
    </w:p>
    <w:p w14:paraId="673FDCCC" w14:textId="77777777" w:rsidR="001C3599" w:rsidRDefault="001C3599" w:rsidP="00CF75E0">
      <w:pPr>
        <w:jc w:val="left"/>
        <w:rPr>
          <w:i/>
          <w:iCs/>
          <w:sz w:val="22"/>
        </w:rPr>
      </w:pPr>
    </w:p>
    <w:p w14:paraId="2C7D722E"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63922720" w14:textId="77777777" w:rsidR="002B1FF0" w:rsidRPr="002B1FF0" w:rsidRDefault="002B1FF0" w:rsidP="00CF75E0">
      <w:pPr>
        <w:jc w:val="left"/>
        <w:rPr>
          <w:rFonts w:cs="Arial"/>
          <w:sz w:val="22"/>
          <w:szCs w:val="22"/>
        </w:rPr>
      </w:pPr>
    </w:p>
    <w:p w14:paraId="78F3DD59" w14:textId="1710EF27" w:rsidR="002B1FF0" w:rsidRPr="002B1FF0" w:rsidRDefault="009A3833"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_Ref148954073 \n \h </w:instrText>
      </w:r>
      <w:r>
        <w:rPr>
          <w:rFonts w:cs="Arial"/>
          <w:sz w:val="22"/>
          <w:szCs w:val="22"/>
        </w:rPr>
      </w:r>
      <w:r>
        <w:rPr>
          <w:rFonts w:cs="Arial"/>
          <w:sz w:val="22"/>
          <w:szCs w:val="22"/>
        </w:rPr>
        <w:fldChar w:fldCharType="separate"/>
      </w:r>
      <w:r w:rsidR="0027336D">
        <w:rPr>
          <w:rFonts w:cs="Arial"/>
          <w:sz w:val="22"/>
          <w:szCs w:val="22"/>
        </w:rPr>
        <w:t>5.6</w:t>
      </w:r>
      <w:r>
        <w:rPr>
          <w:rFonts w:cs="Arial"/>
          <w:sz w:val="22"/>
          <w:szCs w:val="22"/>
        </w:rPr>
        <w:fldChar w:fldCharType="end"/>
      </w:r>
      <w:r>
        <w:rPr>
          <w:rFonts w:cs="Arial"/>
          <w:sz w:val="22"/>
          <w:szCs w:val="22"/>
        </w:rPr>
        <w:t xml:space="preserve">. </w:t>
      </w:r>
    </w:p>
    <w:p w14:paraId="49993238" w14:textId="77777777" w:rsidR="001C3599" w:rsidRDefault="001C3599" w:rsidP="00CF75E0">
      <w:pPr>
        <w:jc w:val="left"/>
        <w:rPr>
          <w:i/>
          <w:iCs/>
          <w:sz w:val="22"/>
        </w:rPr>
      </w:pPr>
    </w:p>
    <w:p w14:paraId="4CF4C4EE" w14:textId="77777777" w:rsidR="001C3599" w:rsidRDefault="001C3599" w:rsidP="00CF75E0">
      <w:pPr>
        <w:jc w:val="left"/>
        <w:rPr>
          <w:i/>
          <w:iCs/>
          <w:sz w:val="22"/>
        </w:rPr>
      </w:pPr>
    </w:p>
    <w:p w14:paraId="0F6E0E67" w14:textId="31F9A24D" w:rsidR="001C3599" w:rsidRDefault="001A43D3" w:rsidP="00CF75E0">
      <w:pPr>
        <w:pStyle w:val="Ttulo2"/>
        <w:jc w:val="left"/>
      </w:pPr>
      <w:bookmarkStart w:id="115" w:name="_Toc158211469"/>
      <w:r w:rsidRPr="00A25B16">
        <w:t>Hocol S.A.</w:t>
      </w:r>
      <w:bookmarkEnd w:id="115"/>
      <w:r w:rsidRPr="00A25B16">
        <w:tab/>
      </w:r>
    </w:p>
    <w:p w14:paraId="37BDF8D5" w14:textId="318397C6" w:rsidR="001A43D3" w:rsidRPr="00A25B16" w:rsidRDefault="001C3599" w:rsidP="00CF75E0">
      <w:pPr>
        <w:jc w:val="left"/>
        <w:rPr>
          <w:i/>
          <w:iCs/>
          <w:sz w:val="22"/>
        </w:rPr>
      </w:pPr>
      <w:r>
        <w:rPr>
          <w:i/>
          <w:iCs/>
          <w:sz w:val="22"/>
        </w:rPr>
        <w:t>“</w:t>
      </w:r>
      <w:r w:rsidR="001A43D3" w:rsidRPr="00A25B16">
        <w:rPr>
          <w:i/>
          <w:iCs/>
          <w:sz w:val="22"/>
        </w:rPr>
        <w:t>Consideramos que permitir a los agentes del mercado acordar las condiciones de este tipo de contratos OCG de duración menor de un año, definiendo precios, días de ejecución, entre otros, puede dar mayor efectividad en el propósito de poner a disposición del mercado la mayor parte posible de gas natural, sin que esto signifique que se desvirtúe la caracterización del contrato en la resolución CREG 186 de 2020 o que se creen incentivos para suscribir contratos de suministro con interrupciones</w:t>
      </w:r>
      <w:r>
        <w:rPr>
          <w:i/>
          <w:iCs/>
          <w:sz w:val="22"/>
        </w:rPr>
        <w:t>.”</w:t>
      </w:r>
    </w:p>
    <w:p w14:paraId="7879E256" w14:textId="77777777" w:rsidR="001C3599" w:rsidRDefault="001C3599" w:rsidP="00CF75E0">
      <w:pPr>
        <w:jc w:val="left"/>
        <w:rPr>
          <w:i/>
          <w:iCs/>
          <w:sz w:val="22"/>
        </w:rPr>
      </w:pPr>
    </w:p>
    <w:p w14:paraId="52755106" w14:textId="77777777" w:rsidR="002B1FF0" w:rsidRPr="002B1FF0" w:rsidRDefault="002B1FF0" w:rsidP="00CF75E0">
      <w:pPr>
        <w:jc w:val="left"/>
        <w:rPr>
          <w:rFonts w:cs="Arial"/>
          <w:b/>
          <w:bCs/>
          <w:sz w:val="22"/>
          <w:szCs w:val="22"/>
        </w:rPr>
      </w:pPr>
      <w:r w:rsidRPr="002B1FF0">
        <w:rPr>
          <w:rFonts w:cs="Arial"/>
          <w:b/>
          <w:bCs/>
          <w:sz w:val="22"/>
          <w:szCs w:val="22"/>
        </w:rPr>
        <w:t>RESPUESTA:</w:t>
      </w:r>
    </w:p>
    <w:p w14:paraId="79B23854" w14:textId="77777777" w:rsidR="002B1FF0" w:rsidRDefault="002B1FF0" w:rsidP="00CF75E0">
      <w:pPr>
        <w:jc w:val="left"/>
        <w:rPr>
          <w:rFonts w:cs="Arial"/>
          <w:sz w:val="22"/>
          <w:szCs w:val="22"/>
        </w:rPr>
      </w:pPr>
    </w:p>
    <w:p w14:paraId="35F0CBF2" w14:textId="200BE890" w:rsidR="003F1A60" w:rsidRPr="002B1FF0" w:rsidRDefault="003F1A60" w:rsidP="00CF75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_Ref148954112 \n \h </w:instrText>
      </w:r>
      <w:r>
        <w:rPr>
          <w:rFonts w:cs="Arial"/>
          <w:sz w:val="22"/>
          <w:szCs w:val="22"/>
        </w:rPr>
      </w:r>
      <w:r>
        <w:rPr>
          <w:rFonts w:cs="Arial"/>
          <w:sz w:val="22"/>
          <w:szCs w:val="22"/>
        </w:rPr>
        <w:fldChar w:fldCharType="separate"/>
      </w:r>
      <w:r w:rsidR="0027336D">
        <w:rPr>
          <w:rFonts w:cs="Arial"/>
          <w:sz w:val="22"/>
          <w:szCs w:val="22"/>
        </w:rPr>
        <w:t>5.1</w:t>
      </w:r>
      <w:r>
        <w:rPr>
          <w:rFonts w:cs="Arial"/>
          <w:sz w:val="22"/>
          <w:szCs w:val="22"/>
        </w:rPr>
        <w:fldChar w:fldCharType="end"/>
      </w:r>
      <w:r>
        <w:rPr>
          <w:rFonts w:cs="Arial"/>
          <w:sz w:val="22"/>
          <w:szCs w:val="22"/>
        </w:rPr>
        <w:t>.</w:t>
      </w:r>
    </w:p>
    <w:p w14:paraId="4527F6F6" w14:textId="77777777" w:rsidR="002B1FF0" w:rsidRPr="002B1FF0" w:rsidRDefault="002B1FF0" w:rsidP="00CF75E0">
      <w:pPr>
        <w:jc w:val="left"/>
        <w:rPr>
          <w:rFonts w:cs="Arial"/>
          <w:sz w:val="22"/>
          <w:szCs w:val="22"/>
        </w:rPr>
      </w:pPr>
    </w:p>
    <w:p w14:paraId="790F3AD6" w14:textId="77777777" w:rsidR="001C3599" w:rsidRDefault="001C3599" w:rsidP="00CF75E0">
      <w:pPr>
        <w:jc w:val="left"/>
        <w:rPr>
          <w:i/>
          <w:iCs/>
          <w:sz w:val="22"/>
        </w:rPr>
      </w:pPr>
    </w:p>
    <w:p w14:paraId="5ABFA1E1" w14:textId="4B5913A7" w:rsidR="001C3599" w:rsidRDefault="001A43D3" w:rsidP="00CF75E0">
      <w:pPr>
        <w:pStyle w:val="Ttulo2"/>
        <w:jc w:val="left"/>
      </w:pPr>
      <w:bookmarkStart w:id="116" w:name="_Toc158211470"/>
      <w:r w:rsidRPr="00A25B16">
        <w:t>Hocol S.A.</w:t>
      </w:r>
      <w:bookmarkEnd w:id="116"/>
      <w:r w:rsidRPr="00A25B16">
        <w:tab/>
      </w:r>
    </w:p>
    <w:p w14:paraId="0DFFE6BD" w14:textId="268932FC" w:rsidR="001A43D3" w:rsidRDefault="001C3599" w:rsidP="00CF75E0">
      <w:pPr>
        <w:jc w:val="left"/>
        <w:rPr>
          <w:i/>
          <w:iCs/>
          <w:sz w:val="22"/>
        </w:rPr>
      </w:pPr>
      <w:r>
        <w:rPr>
          <w:i/>
          <w:iCs/>
          <w:sz w:val="22"/>
        </w:rPr>
        <w:t>“</w:t>
      </w:r>
      <w:r w:rsidR="001A43D3" w:rsidRPr="00A25B16">
        <w:rPr>
          <w:i/>
          <w:iCs/>
          <w:sz w:val="22"/>
        </w:rPr>
        <w:t>Entendiendo que la Comisión busca ajustar las cantidades objeto de los contratos a los perfiles de demanda que pueden ser inferiores durante el fin de semana, también quisiéramos mencionar que la variación permanente de las tasas de producción diaria en los campos de producción, puede tener como consecuencia la acelerada producción de agua del yacimiento y afectar de manera adversa la disponibilidad de gas natural; y por el otro lado, la variación entre semanas calendario puede permitir optimizar la capacidad de producción de campos en declinación. Por lo anterior nos gustaría sugerir que los contratos de semana calendario también puedan establecer cantidades variables para cada semana. Esto permitiría reducir la volatilidad en la producción y minimizar la carga operativa de suscribir, registrar y liquidar contratos.</w:t>
      </w:r>
      <w:r>
        <w:rPr>
          <w:i/>
          <w:iCs/>
          <w:sz w:val="22"/>
        </w:rPr>
        <w:t>”</w:t>
      </w:r>
    </w:p>
    <w:p w14:paraId="787C8FED" w14:textId="77777777" w:rsidR="001C3599" w:rsidRDefault="001C3599" w:rsidP="001A43D3">
      <w:pPr>
        <w:jc w:val="left"/>
        <w:rPr>
          <w:i/>
          <w:iCs/>
          <w:sz w:val="22"/>
        </w:rPr>
      </w:pPr>
    </w:p>
    <w:p w14:paraId="0C6E628F" w14:textId="77777777" w:rsidR="002B1FF0" w:rsidRPr="002B1FF0" w:rsidRDefault="002B1FF0" w:rsidP="002B1FF0">
      <w:pPr>
        <w:rPr>
          <w:rFonts w:cs="Arial"/>
          <w:b/>
          <w:bCs/>
          <w:sz w:val="22"/>
          <w:szCs w:val="22"/>
        </w:rPr>
      </w:pPr>
      <w:r w:rsidRPr="002B1FF0">
        <w:rPr>
          <w:rFonts w:cs="Arial"/>
          <w:b/>
          <w:bCs/>
          <w:sz w:val="22"/>
          <w:szCs w:val="22"/>
        </w:rPr>
        <w:t>RESPUESTA:</w:t>
      </w:r>
    </w:p>
    <w:p w14:paraId="01C7D0EF" w14:textId="77777777" w:rsidR="002B1FF0" w:rsidRPr="002B1FF0" w:rsidRDefault="002B1FF0" w:rsidP="002B1FF0">
      <w:pPr>
        <w:rPr>
          <w:rFonts w:cs="Arial"/>
          <w:sz w:val="22"/>
          <w:szCs w:val="22"/>
        </w:rPr>
      </w:pPr>
    </w:p>
    <w:p w14:paraId="6C59DD34" w14:textId="1B7BEB05" w:rsidR="001C3599" w:rsidRDefault="002B6FB8" w:rsidP="006A284B">
      <w:pPr>
        <w:rPr>
          <w:rFonts w:cs="Arial"/>
          <w:sz w:val="22"/>
          <w:szCs w:val="22"/>
        </w:rPr>
      </w:pPr>
      <w:r>
        <w:rPr>
          <w:rFonts w:cs="Arial"/>
          <w:sz w:val="22"/>
          <w:szCs w:val="22"/>
        </w:rPr>
        <w:t xml:space="preserve">Ver respuesta al comentario </w:t>
      </w:r>
      <w:r w:rsidR="006A284B">
        <w:rPr>
          <w:rFonts w:cs="Arial"/>
          <w:sz w:val="22"/>
          <w:szCs w:val="22"/>
        </w:rPr>
        <w:fldChar w:fldCharType="begin"/>
      </w:r>
      <w:r w:rsidR="006A284B">
        <w:rPr>
          <w:rFonts w:cs="Arial"/>
          <w:sz w:val="22"/>
          <w:szCs w:val="22"/>
        </w:rPr>
        <w:instrText xml:space="preserve"> REF _Ref148954073 \w \h </w:instrText>
      </w:r>
      <w:r w:rsidR="006A284B">
        <w:rPr>
          <w:rFonts w:cs="Arial"/>
          <w:sz w:val="22"/>
          <w:szCs w:val="22"/>
        </w:rPr>
      </w:r>
      <w:r w:rsidR="006A284B">
        <w:rPr>
          <w:rFonts w:cs="Arial"/>
          <w:sz w:val="22"/>
          <w:szCs w:val="22"/>
        </w:rPr>
        <w:fldChar w:fldCharType="separate"/>
      </w:r>
      <w:r w:rsidR="0027336D">
        <w:rPr>
          <w:rFonts w:cs="Arial"/>
          <w:sz w:val="22"/>
          <w:szCs w:val="22"/>
        </w:rPr>
        <w:t>5.6</w:t>
      </w:r>
      <w:r w:rsidR="006A284B">
        <w:rPr>
          <w:rFonts w:cs="Arial"/>
          <w:sz w:val="22"/>
          <w:szCs w:val="22"/>
        </w:rPr>
        <w:fldChar w:fldCharType="end"/>
      </w:r>
      <w:r w:rsidR="006A284B">
        <w:rPr>
          <w:rFonts w:cs="Arial"/>
          <w:sz w:val="22"/>
          <w:szCs w:val="22"/>
        </w:rPr>
        <w:t>.</w:t>
      </w:r>
    </w:p>
    <w:p w14:paraId="0FD6948A" w14:textId="77777777" w:rsidR="006A284B" w:rsidRDefault="006A284B" w:rsidP="006A284B">
      <w:pPr>
        <w:rPr>
          <w:i/>
          <w:iCs/>
          <w:sz w:val="22"/>
        </w:rPr>
      </w:pPr>
    </w:p>
    <w:p w14:paraId="51307FD0" w14:textId="77777777" w:rsidR="001C3599" w:rsidRPr="00A25B16" w:rsidRDefault="001C3599" w:rsidP="001A43D3">
      <w:pPr>
        <w:jc w:val="left"/>
        <w:rPr>
          <w:i/>
          <w:iCs/>
          <w:sz w:val="22"/>
        </w:rPr>
      </w:pPr>
    </w:p>
    <w:p w14:paraId="5249D698" w14:textId="465116C7" w:rsidR="001C3599" w:rsidRDefault="001A43D3" w:rsidP="00230D94">
      <w:pPr>
        <w:pStyle w:val="Ttulo2"/>
      </w:pPr>
      <w:bookmarkStart w:id="117" w:name="_Toc158211471"/>
      <w:r w:rsidRPr="00A25B16">
        <w:t>Naturgas</w:t>
      </w:r>
      <w:bookmarkEnd w:id="117"/>
      <w:r w:rsidRPr="00A25B16">
        <w:tab/>
      </w:r>
    </w:p>
    <w:p w14:paraId="2D438E98" w14:textId="5AD309A1" w:rsidR="001A43D3" w:rsidRPr="00A25B16" w:rsidRDefault="001A43D3" w:rsidP="001A43D3">
      <w:pPr>
        <w:jc w:val="left"/>
        <w:rPr>
          <w:i/>
          <w:iCs/>
          <w:sz w:val="22"/>
        </w:rPr>
      </w:pPr>
      <w:r w:rsidRPr="00A25B16">
        <w:rPr>
          <w:i/>
          <w:iCs/>
          <w:sz w:val="22"/>
        </w:rPr>
        <w:t xml:space="preserve">"En el literal e. del parágrafo 2 adicional se plantea que ""El precio será fijo, aplicable a toda la duración de ejecución del contrato independientemente de si el contrato se pacta con duración en semanas laborales o en semanas calendario"". </w:t>
      </w:r>
    </w:p>
    <w:p w14:paraId="13C21DF6" w14:textId="77777777" w:rsidR="001A43D3" w:rsidRPr="00A25B16" w:rsidRDefault="001A43D3" w:rsidP="001A43D3">
      <w:pPr>
        <w:jc w:val="left"/>
        <w:rPr>
          <w:i/>
          <w:iCs/>
          <w:sz w:val="22"/>
        </w:rPr>
      </w:pPr>
    </w:p>
    <w:p w14:paraId="19041773" w14:textId="77777777" w:rsidR="001A43D3" w:rsidRPr="00A25B16" w:rsidRDefault="001A43D3" w:rsidP="001A43D3">
      <w:pPr>
        <w:jc w:val="left"/>
        <w:rPr>
          <w:i/>
          <w:iCs/>
          <w:sz w:val="22"/>
        </w:rPr>
      </w:pPr>
      <w:r w:rsidRPr="00A25B16">
        <w:rPr>
          <w:i/>
          <w:iCs/>
          <w:sz w:val="22"/>
        </w:rPr>
        <w:t>Esta medida de precio fijo se convierte en una inflexibilidad para el caso del gas importado que generalmente está indexado a referentes internacionales. Es decir, sostener precio fijo a un comprador en Colombia, durante un período, es de alto riesgo para el comercializador de gas importado que asumiría todos los cambios de precio por referencia internacional como el Henry Hub (HH) u otros. En ese sentido es necesario evaluar alternativas que flexibilicen la fijación de precio al gas importado.  "</w:t>
      </w:r>
    </w:p>
    <w:p w14:paraId="6F6D2F22" w14:textId="77777777" w:rsidR="001C3599" w:rsidRDefault="001C3599" w:rsidP="001A43D3">
      <w:pPr>
        <w:jc w:val="left"/>
        <w:rPr>
          <w:i/>
          <w:iCs/>
          <w:sz w:val="22"/>
        </w:rPr>
      </w:pPr>
    </w:p>
    <w:p w14:paraId="41DAEA08" w14:textId="77777777" w:rsidR="002B1FF0" w:rsidRPr="002B1FF0" w:rsidRDefault="002B1FF0" w:rsidP="002B1FF0">
      <w:pPr>
        <w:rPr>
          <w:rFonts w:cs="Arial"/>
          <w:b/>
          <w:bCs/>
          <w:sz w:val="22"/>
          <w:szCs w:val="22"/>
        </w:rPr>
      </w:pPr>
      <w:r w:rsidRPr="002B1FF0">
        <w:rPr>
          <w:rFonts w:cs="Arial"/>
          <w:b/>
          <w:bCs/>
          <w:sz w:val="22"/>
          <w:szCs w:val="22"/>
        </w:rPr>
        <w:t>RESPUESTA:</w:t>
      </w:r>
    </w:p>
    <w:p w14:paraId="06511EEF" w14:textId="77777777" w:rsidR="002B1FF0" w:rsidRPr="002B1FF0" w:rsidRDefault="002B1FF0" w:rsidP="002B1FF0">
      <w:pPr>
        <w:rPr>
          <w:rFonts w:cs="Arial"/>
          <w:sz w:val="22"/>
          <w:szCs w:val="22"/>
        </w:rPr>
      </w:pPr>
    </w:p>
    <w:p w14:paraId="711C6B1F" w14:textId="55080B35" w:rsidR="002B1FF0" w:rsidRPr="002B1FF0" w:rsidRDefault="00347386"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_Ref148955025 \n \h </w:instrText>
      </w:r>
      <w:r>
        <w:rPr>
          <w:rFonts w:cs="Arial"/>
          <w:sz w:val="22"/>
          <w:szCs w:val="22"/>
        </w:rPr>
      </w:r>
      <w:r>
        <w:rPr>
          <w:rFonts w:cs="Arial"/>
          <w:sz w:val="22"/>
          <w:szCs w:val="22"/>
        </w:rPr>
        <w:fldChar w:fldCharType="separate"/>
      </w:r>
      <w:r w:rsidR="0027336D">
        <w:rPr>
          <w:rFonts w:cs="Arial"/>
          <w:sz w:val="22"/>
          <w:szCs w:val="22"/>
        </w:rPr>
        <w:t>5.3</w:t>
      </w:r>
      <w:r>
        <w:rPr>
          <w:rFonts w:cs="Arial"/>
          <w:sz w:val="22"/>
          <w:szCs w:val="22"/>
        </w:rPr>
        <w:fldChar w:fldCharType="end"/>
      </w:r>
      <w:r>
        <w:rPr>
          <w:rFonts w:cs="Arial"/>
          <w:sz w:val="22"/>
          <w:szCs w:val="22"/>
        </w:rPr>
        <w:t>.</w:t>
      </w:r>
    </w:p>
    <w:p w14:paraId="49641BC0" w14:textId="77777777" w:rsidR="001C3599" w:rsidRDefault="001C3599" w:rsidP="001A43D3">
      <w:pPr>
        <w:jc w:val="left"/>
        <w:rPr>
          <w:i/>
          <w:iCs/>
          <w:sz w:val="22"/>
        </w:rPr>
      </w:pPr>
    </w:p>
    <w:p w14:paraId="52C08FE6" w14:textId="77777777" w:rsidR="001C3599" w:rsidRDefault="001C3599" w:rsidP="001A43D3">
      <w:pPr>
        <w:jc w:val="left"/>
        <w:rPr>
          <w:i/>
          <w:iCs/>
          <w:sz w:val="22"/>
        </w:rPr>
      </w:pPr>
    </w:p>
    <w:p w14:paraId="55B980FE" w14:textId="31C92E86" w:rsidR="001C3599" w:rsidRDefault="001A43D3" w:rsidP="00230D94">
      <w:pPr>
        <w:pStyle w:val="Ttulo2"/>
      </w:pPr>
      <w:bookmarkStart w:id="118" w:name="_Toc158211472"/>
      <w:r w:rsidRPr="00A25B16">
        <w:t>Naturgas</w:t>
      </w:r>
      <w:bookmarkEnd w:id="118"/>
      <w:r w:rsidRPr="00A25B16">
        <w:tab/>
      </w:r>
    </w:p>
    <w:p w14:paraId="4D044947" w14:textId="63EDBC30" w:rsidR="001A43D3" w:rsidRPr="00A25B16" w:rsidRDefault="001A43D3" w:rsidP="001A43D3">
      <w:pPr>
        <w:jc w:val="left"/>
        <w:rPr>
          <w:i/>
          <w:iCs/>
          <w:sz w:val="22"/>
        </w:rPr>
      </w:pPr>
      <w:r w:rsidRPr="00A25B16">
        <w:rPr>
          <w:i/>
          <w:iCs/>
          <w:sz w:val="22"/>
        </w:rPr>
        <w:t xml:space="preserve">"En el literal a. del parágrafo 2 adicional se plantea que ""a. Su duración se podrá pactar en semanas laborales continuas o en semanas calendario continuas"". </w:t>
      </w:r>
    </w:p>
    <w:p w14:paraId="387C12F8" w14:textId="77777777" w:rsidR="001A43D3" w:rsidRPr="00A25B16" w:rsidRDefault="001A43D3" w:rsidP="001A43D3">
      <w:pPr>
        <w:jc w:val="left"/>
        <w:rPr>
          <w:i/>
          <w:iCs/>
          <w:sz w:val="22"/>
        </w:rPr>
      </w:pPr>
    </w:p>
    <w:p w14:paraId="0AF07655" w14:textId="77777777" w:rsidR="001A43D3" w:rsidRPr="00A25B16" w:rsidRDefault="001A43D3" w:rsidP="001A43D3">
      <w:pPr>
        <w:jc w:val="left"/>
        <w:rPr>
          <w:i/>
          <w:iCs/>
          <w:sz w:val="22"/>
        </w:rPr>
      </w:pPr>
      <w:r w:rsidRPr="00A25B16">
        <w:rPr>
          <w:i/>
          <w:iCs/>
          <w:sz w:val="22"/>
        </w:rPr>
        <w:t xml:space="preserve">Se entiende que los contratos de semanas laborales y los de semanas calendario buscan facilitar la gestión de la variación de cantidades entre días laborales y días no laborales de la semana. Sin embargo, no es claro el beneficio de tener dos contratos para cubrir las variaciones que se presentan en la semana; un único contrato que permita fijar cantidades para días laborales y días no laborales podría cubrir esta necesidad.  </w:t>
      </w:r>
    </w:p>
    <w:p w14:paraId="45F8643C" w14:textId="77777777" w:rsidR="001A43D3" w:rsidRPr="00A25B16" w:rsidRDefault="001A43D3" w:rsidP="001A43D3">
      <w:pPr>
        <w:jc w:val="left"/>
        <w:rPr>
          <w:i/>
          <w:iCs/>
          <w:sz w:val="22"/>
        </w:rPr>
      </w:pPr>
    </w:p>
    <w:p w14:paraId="652A24F7" w14:textId="77777777" w:rsidR="001A43D3" w:rsidRPr="00A25B16" w:rsidRDefault="001A43D3" w:rsidP="001A43D3">
      <w:pPr>
        <w:jc w:val="left"/>
        <w:rPr>
          <w:i/>
          <w:iCs/>
          <w:sz w:val="22"/>
        </w:rPr>
      </w:pPr>
      <w:r w:rsidRPr="00A25B16">
        <w:rPr>
          <w:i/>
          <w:iCs/>
          <w:sz w:val="22"/>
        </w:rPr>
        <w:t>Establecer un único contrato que permita fijar cantidades para días laborales y días no laborales de tal manera que refleje la variabilidad de la demanda durante la semana. "</w:t>
      </w:r>
    </w:p>
    <w:p w14:paraId="7FAF754E" w14:textId="77777777" w:rsidR="001C3599" w:rsidRDefault="001C3599" w:rsidP="001A43D3">
      <w:pPr>
        <w:jc w:val="left"/>
        <w:rPr>
          <w:i/>
          <w:iCs/>
          <w:sz w:val="22"/>
        </w:rPr>
      </w:pPr>
    </w:p>
    <w:p w14:paraId="5148ED44" w14:textId="77777777" w:rsidR="002B1FF0" w:rsidRPr="002B1FF0" w:rsidRDefault="002B1FF0" w:rsidP="002B1FF0">
      <w:pPr>
        <w:rPr>
          <w:rFonts w:cs="Arial"/>
          <w:b/>
          <w:bCs/>
          <w:sz w:val="22"/>
          <w:szCs w:val="22"/>
        </w:rPr>
      </w:pPr>
      <w:r w:rsidRPr="002B1FF0">
        <w:rPr>
          <w:rFonts w:cs="Arial"/>
          <w:b/>
          <w:bCs/>
          <w:sz w:val="22"/>
          <w:szCs w:val="22"/>
        </w:rPr>
        <w:t>RESPUESTA:</w:t>
      </w:r>
    </w:p>
    <w:p w14:paraId="75C32F3A" w14:textId="77777777" w:rsidR="002B1FF0" w:rsidRPr="002B1FF0" w:rsidRDefault="002B1FF0" w:rsidP="002B1FF0">
      <w:pPr>
        <w:rPr>
          <w:rFonts w:cs="Arial"/>
          <w:sz w:val="22"/>
          <w:szCs w:val="22"/>
        </w:rPr>
      </w:pPr>
    </w:p>
    <w:p w14:paraId="5BF7C8FE" w14:textId="406668CE" w:rsidR="002B1FF0" w:rsidRPr="002B1FF0" w:rsidRDefault="001E2F23" w:rsidP="002B1FF0">
      <w:pPr>
        <w:rPr>
          <w:rFonts w:cs="Arial"/>
          <w:sz w:val="22"/>
          <w:szCs w:val="22"/>
        </w:rPr>
      </w:pPr>
      <w:r>
        <w:rPr>
          <w:rFonts w:cs="Arial"/>
          <w:sz w:val="22"/>
          <w:szCs w:val="22"/>
        </w:rPr>
        <w:t xml:space="preserve">Para efectos de trazabilidad y de flexibilidad de los mismos vendedores y compradores se establecen las duraciones diferentes de las modalidades contractuales de tipo firme. </w:t>
      </w:r>
      <w:r w:rsidR="000B640E">
        <w:rPr>
          <w:rFonts w:cs="Arial"/>
          <w:sz w:val="22"/>
          <w:szCs w:val="22"/>
        </w:rPr>
        <w:t>Los valores de las garantías de cumplimiento y otras situaciones complementarias, como es el caso del cumplimiento con otras fuentes de suministro diferentes a las contratadas inicialmente, se facilitan con dicho esquema.</w:t>
      </w:r>
    </w:p>
    <w:p w14:paraId="314C3918" w14:textId="77777777" w:rsidR="001C3599" w:rsidRDefault="001C3599" w:rsidP="001A43D3">
      <w:pPr>
        <w:jc w:val="left"/>
        <w:rPr>
          <w:i/>
          <w:iCs/>
          <w:sz w:val="22"/>
        </w:rPr>
      </w:pPr>
    </w:p>
    <w:p w14:paraId="5E524008" w14:textId="77777777" w:rsidR="001C3599" w:rsidRDefault="001C3599" w:rsidP="001A43D3">
      <w:pPr>
        <w:jc w:val="left"/>
        <w:rPr>
          <w:i/>
          <w:iCs/>
          <w:sz w:val="22"/>
        </w:rPr>
      </w:pPr>
    </w:p>
    <w:p w14:paraId="0EE855A7" w14:textId="142C70D0" w:rsidR="001C3599" w:rsidRDefault="001A43D3" w:rsidP="00230D94">
      <w:pPr>
        <w:pStyle w:val="Ttulo2"/>
      </w:pPr>
      <w:bookmarkStart w:id="119" w:name="_Toc158211473"/>
      <w:r w:rsidRPr="00A25B16">
        <w:t>Naturgas</w:t>
      </w:r>
      <w:bookmarkEnd w:id="119"/>
      <w:r w:rsidRPr="00A25B16">
        <w:tab/>
      </w:r>
    </w:p>
    <w:p w14:paraId="1CD90966" w14:textId="262B156D" w:rsidR="001A43D3" w:rsidRPr="00A25B16" w:rsidRDefault="001A43D3" w:rsidP="001A43D3">
      <w:pPr>
        <w:jc w:val="left"/>
        <w:rPr>
          <w:i/>
          <w:iCs/>
          <w:sz w:val="22"/>
        </w:rPr>
      </w:pPr>
      <w:r w:rsidRPr="00A25B16">
        <w:rPr>
          <w:i/>
          <w:iCs/>
          <w:sz w:val="22"/>
        </w:rPr>
        <w:t>"En el numeral ii.) se establece, entre otros aspectos, que en los contratos OCG ""... no se pagará la prima por el derecho a tomar hasta la cantidad máxima de gas, en el caso que el contrato tenga una duración menor o igual a un mes calendario"".</w:t>
      </w:r>
    </w:p>
    <w:p w14:paraId="4D4A5696" w14:textId="77777777" w:rsidR="001A43D3" w:rsidRPr="00A25B16" w:rsidRDefault="001A43D3" w:rsidP="001A43D3">
      <w:pPr>
        <w:jc w:val="left"/>
        <w:rPr>
          <w:i/>
          <w:iCs/>
          <w:sz w:val="22"/>
        </w:rPr>
      </w:pPr>
    </w:p>
    <w:p w14:paraId="37E88BBD" w14:textId="77777777" w:rsidR="001A43D3" w:rsidRPr="00A25B16" w:rsidRDefault="001A43D3" w:rsidP="001A43D3">
      <w:pPr>
        <w:jc w:val="left"/>
        <w:rPr>
          <w:i/>
          <w:iCs/>
          <w:sz w:val="22"/>
        </w:rPr>
      </w:pPr>
      <w:r w:rsidRPr="00A25B16">
        <w:rPr>
          <w:i/>
          <w:iCs/>
          <w:sz w:val="22"/>
        </w:rPr>
        <w:t xml:space="preserve">Al respecto manifestamos que la esencia de los contratos OCG es la prima, incluso en contratos de muy corto plazo, de tal manera que al no pagar prima se desvirtúa el producto del contrato OCG. Adicionalmente, desde el punto de vista comercial es poco probable que haya cierre de contratos OCG sin prima. Por tanto, sugerimos revisar alternativas para fijar prima en los contratos OCG planteados en el proyecto de Resolución, por ejemplo, podría considerarse una prima proporcional a la duración de los contratos teniendo como base contratos de un año. </w:t>
      </w:r>
    </w:p>
    <w:p w14:paraId="6F45A3EE" w14:textId="77777777" w:rsidR="001A43D3" w:rsidRPr="00A25B16" w:rsidRDefault="001A43D3" w:rsidP="001A43D3">
      <w:pPr>
        <w:jc w:val="left"/>
        <w:rPr>
          <w:i/>
          <w:iCs/>
          <w:sz w:val="22"/>
        </w:rPr>
      </w:pPr>
    </w:p>
    <w:p w14:paraId="7DECD07D" w14:textId="7ACF55DF" w:rsidR="001A43D3" w:rsidRDefault="001A43D3" w:rsidP="001A43D3">
      <w:pPr>
        <w:jc w:val="left"/>
        <w:rPr>
          <w:i/>
          <w:iCs/>
          <w:sz w:val="22"/>
        </w:rPr>
      </w:pPr>
      <w:r w:rsidRPr="00A25B16">
        <w:rPr>
          <w:i/>
          <w:iCs/>
          <w:sz w:val="22"/>
        </w:rPr>
        <w:t>Revisar alternativas para fijar prima en los contratos OCG planteados en el proyecto de Resolución, por ejemplo, podría considerarse una prima proporcional a la duración de los contratos.</w:t>
      </w:r>
      <w:r w:rsidR="001C3599">
        <w:rPr>
          <w:i/>
          <w:iCs/>
          <w:sz w:val="22"/>
        </w:rPr>
        <w:t>”</w:t>
      </w:r>
    </w:p>
    <w:p w14:paraId="48560C0A" w14:textId="77777777" w:rsidR="001C3599" w:rsidRDefault="001C3599" w:rsidP="001A43D3">
      <w:pPr>
        <w:jc w:val="left"/>
        <w:rPr>
          <w:i/>
          <w:iCs/>
          <w:sz w:val="22"/>
        </w:rPr>
      </w:pPr>
    </w:p>
    <w:p w14:paraId="27672C06" w14:textId="77777777" w:rsidR="002B1FF0" w:rsidRPr="002B1FF0" w:rsidRDefault="002B1FF0" w:rsidP="002B1FF0">
      <w:pPr>
        <w:rPr>
          <w:rFonts w:cs="Arial"/>
          <w:b/>
          <w:bCs/>
          <w:sz w:val="22"/>
          <w:szCs w:val="22"/>
        </w:rPr>
      </w:pPr>
      <w:r w:rsidRPr="002B1FF0">
        <w:rPr>
          <w:rFonts w:cs="Arial"/>
          <w:b/>
          <w:bCs/>
          <w:sz w:val="22"/>
          <w:szCs w:val="22"/>
        </w:rPr>
        <w:t>RESPUESTA:</w:t>
      </w:r>
    </w:p>
    <w:p w14:paraId="3C10AF5B" w14:textId="77777777" w:rsidR="002B1FF0" w:rsidRPr="002B1FF0" w:rsidRDefault="002B1FF0" w:rsidP="002B1FF0">
      <w:pPr>
        <w:rPr>
          <w:rFonts w:cs="Arial"/>
          <w:sz w:val="22"/>
          <w:szCs w:val="22"/>
        </w:rPr>
      </w:pPr>
    </w:p>
    <w:p w14:paraId="67241358" w14:textId="73A5248E" w:rsidR="002B1FF0" w:rsidRPr="002B1FF0" w:rsidRDefault="006464AE"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_Ref148955242 \n \h </w:instrText>
      </w:r>
      <w:r>
        <w:rPr>
          <w:rFonts w:cs="Arial"/>
          <w:sz w:val="22"/>
          <w:szCs w:val="22"/>
        </w:rPr>
      </w:r>
      <w:r>
        <w:rPr>
          <w:rFonts w:cs="Arial"/>
          <w:sz w:val="22"/>
          <w:szCs w:val="22"/>
        </w:rPr>
        <w:fldChar w:fldCharType="separate"/>
      </w:r>
      <w:r w:rsidR="0027336D">
        <w:rPr>
          <w:rFonts w:cs="Arial"/>
          <w:sz w:val="22"/>
          <w:szCs w:val="22"/>
        </w:rPr>
        <w:t>5.1</w:t>
      </w:r>
      <w:r>
        <w:rPr>
          <w:rFonts w:cs="Arial"/>
          <w:sz w:val="22"/>
          <w:szCs w:val="22"/>
        </w:rPr>
        <w:fldChar w:fldCharType="end"/>
      </w:r>
      <w:r>
        <w:rPr>
          <w:rFonts w:cs="Arial"/>
          <w:sz w:val="22"/>
          <w:szCs w:val="22"/>
        </w:rPr>
        <w:t>.</w:t>
      </w:r>
    </w:p>
    <w:p w14:paraId="58C29FEF" w14:textId="77777777" w:rsidR="001C3599" w:rsidRDefault="001C3599" w:rsidP="001A43D3">
      <w:pPr>
        <w:jc w:val="left"/>
        <w:rPr>
          <w:i/>
          <w:iCs/>
          <w:sz w:val="22"/>
        </w:rPr>
      </w:pPr>
    </w:p>
    <w:p w14:paraId="3ADC6F68" w14:textId="77777777" w:rsidR="001C3599" w:rsidRPr="00A25B16" w:rsidRDefault="001C3599" w:rsidP="001A43D3">
      <w:pPr>
        <w:jc w:val="left"/>
        <w:rPr>
          <w:i/>
          <w:iCs/>
          <w:sz w:val="22"/>
        </w:rPr>
      </w:pPr>
    </w:p>
    <w:p w14:paraId="72A8A30D" w14:textId="2A7F0F11" w:rsidR="001C3599" w:rsidRDefault="001A43D3" w:rsidP="00230D94">
      <w:pPr>
        <w:pStyle w:val="Ttulo2"/>
      </w:pPr>
      <w:bookmarkStart w:id="120" w:name="_Ref148960089"/>
      <w:bookmarkStart w:id="121" w:name="_Toc158211474"/>
      <w:r w:rsidRPr="00A25B16">
        <w:t>Naturgas</w:t>
      </w:r>
      <w:bookmarkEnd w:id="120"/>
      <w:bookmarkEnd w:id="121"/>
      <w:r w:rsidRPr="00A25B16">
        <w:tab/>
      </w:r>
    </w:p>
    <w:p w14:paraId="010743D3" w14:textId="76D67D0B" w:rsidR="001A43D3" w:rsidRPr="00A25B16" w:rsidRDefault="001A43D3" w:rsidP="001A43D3">
      <w:pPr>
        <w:jc w:val="left"/>
        <w:rPr>
          <w:i/>
          <w:iCs/>
          <w:sz w:val="22"/>
        </w:rPr>
      </w:pPr>
      <w:r w:rsidRPr="00A25B16">
        <w:rPr>
          <w:i/>
          <w:iCs/>
          <w:sz w:val="22"/>
        </w:rPr>
        <w:t>"En el numeral iv.) se establece que ""En el caso de los contratos de la modalidad Contrato de Suministro de Contingencia, el agente que garantiza el suministro desde una fuente alterna de suministro, podrá ser el mismo agente que suministra el gas natural desde la(s) fuente(s) que enfrenta al evento que le impide la prestación del servicio"".</w:t>
      </w:r>
    </w:p>
    <w:p w14:paraId="0EC1A53C" w14:textId="77777777" w:rsidR="001A43D3" w:rsidRPr="00A25B16" w:rsidRDefault="001A43D3" w:rsidP="001A43D3">
      <w:pPr>
        <w:jc w:val="left"/>
        <w:rPr>
          <w:i/>
          <w:iCs/>
          <w:sz w:val="22"/>
        </w:rPr>
      </w:pPr>
    </w:p>
    <w:p w14:paraId="348342E3" w14:textId="67E436D9" w:rsidR="001A43D3" w:rsidRDefault="001A43D3" w:rsidP="001A43D3">
      <w:pPr>
        <w:jc w:val="left"/>
        <w:rPr>
          <w:i/>
          <w:iCs/>
          <w:sz w:val="22"/>
        </w:rPr>
      </w:pPr>
      <w:r w:rsidRPr="00A25B16">
        <w:rPr>
          <w:i/>
          <w:iCs/>
          <w:sz w:val="22"/>
        </w:rPr>
        <w:t>Al respecto consideramos importante dejar explícito que el contrato de contingencia ofrecido por el agente que enfrenta el evento que le impide la prestación del servicio será una de las alternativas para el comprador. Es decir, que siempre prime el mutuo acuerdo entre el vendedor y el comprador para transar el contrato de contingencia."</w:t>
      </w:r>
    </w:p>
    <w:p w14:paraId="396FDCE1" w14:textId="77777777" w:rsidR="001C3599" w:rsidRDefault="001C3599" w:rsidP="001A43D3">
      <w:pPr>
        <w:jc w:val="left"/>
        <w:rPr>
          <w:i/>
          <w:iCs/>
          <w:sz w:val="22"/>
        </w:rPr>
      </w:pPr>
    </w:p>
    <w:p w14:paraId="63BF1BBC" w14:textId="77777777" w:rsidR="002B1FF0" w:rsidRPr="002B1FF0" w:rsidRDefault="002B1FF0" w:rsidP="002B1FF0">
      <w:pPr>
        <w:rPr>
          <w:rFonts w:cs="Arial"/>
          <w:b/>
          <w:bCs/>
          <w:sz w:val="22"/>
          <w:szCs w:val="22"/>
        </w:rPr>
      </w:pPr>
      <w:r w:rsidRPr="002B1FF0">
        <w:rPr>
          <w:rFonts w:cs="Arial"/>
          <w:b/>
          <w:bCs/>
          <w:sz w:val="22"/>
          <w:szCs w:val="22"/>
        </w:rPr>
        <w:t>RESPUESTA:</w:t>
      </w:r>
    </w:p>
    <w:p w14:paraId="3597DAAE" w14:textId="77777777" w:rsidR="002B1FF0" w:rsidRPr="002B1FF0" w:rsidRDefault="002B1FF0" w:rsidP="002B1FF0">
      <w:pPr>
        <w:rPr>
          <w:rFonts w:cs="Arial"/>
          <w:sz w:val="22"/>
          <w:szCs w:val="22"/>
        </w:rPr>
      </w:pPr>
    </w:p>
    <w:p w14:paraId="1DAD27D2" w14:textId="01CBADB9" w:rsidR="002B1FF0" w:rsidRPr="002B1FF0" w:rsidRDefault="00A26AEE" w:rsidP="002B1FF0">
      <w:pPr>
        <w:rPr>
          <w:rFonts w:cs="Arial"/>
          <w:sz w:val="22"/>
          <w:szCs w:val="22"/>
        </w:rPr>
      </w:pPr>
      <w:r>
        <w:rPr>
          <w:rFonts w:cs="Arial"/>
          <w:sz w:val="22"/>
          <w:szCs w:val="22"/>
        </w:rPr>
        <w:t>Los contratos de negociación directa surgen por el mutuo acuerdo entre las partes. El contrato de suministro de contingencia garantiza el suministro cuando la fuente de suministro inicialmente pactada no puede prestar el servicio. La propuesta posibilita, pero no obliga al comprador, a que la negociación del contrato de suministro de contingencia también peda desarrollarla con el mismo vendedor del contrato con la fuente de suministro que no puede prestar el servicio.</w:t>
      </w:r>
    </w:p>
    <w:p w14:paraId="35E4D32C" w14:textId="77777777" w:rsidR="001C3599" w:rsidRDefault="001C3599" w:rsidP="001A43D3">
      <w:pPr>
        <w:jc w:val="left"/>
        <w:rPr>
          <w:i/>
          <w:iCs/>
          <w:sz w:val="22"/>
        </w:rPr>
      </w:pPr>
    </w:p>
    <w:p w14:paraId="00E64EAA" w14:textId="77777777" w:rsidR="001C3599" w:rsidRPr="00A25B16" w:rsidRDefault="001C3599" w:rsidP="001A43D3">
      <w:pPr>
        <w:jc w:val="left"/>
        <w:rPr>
          <w:i/>
          <w:iCs/>
          <w:sz w:val="22"/>
        </w:rPr>
      </w:pPr>
    </w:p>
    <w:p w14:paraId="127E35CA" w14:textId="7EB3132A" w:rsidR="001C3599" w:rsidRDefault="001A43D3" w:rsidP="00230D94">
      <w:pPr>
        <w:pStyle w:val="Ttulo2"/>
      </w:pPr>
      <w:bookmarkStart w:id="122" w:name="_Toc158211475"/>
      <w:r w:rsidRPr="00A25B16">
        <w:t>OGE LEGAL SERVICES</w:t>
      </w:r>
      <w:bookmarkEnd w:id="122"/>
      <w:r w:rsidRPr="00A25B16">
        <w:tab/>
      </w:r>
    </w:p>
    <w:p w14:paraId="2AA9D89B" w14:textId="3871EF87" w:rsidR="001A43D3" w:rsidRPr="00A25B16" w:rsidRDefault="001C3599" w:rsidP="001A43D3">
      <w:pPr>
        <w:jc w:val="left"/>
        <w:rPr>
          <w:i/>
          <w:iCs/>
          <w:sz w:val="22"/>
        </w:rPr>
      </w:pPr>
      <w:r>
        <w:rPr>
          <w:i/>
          <w:iCs/>
          <w:sz w:val="22"/>
        </w:rPr>
        <w:t>“</w:t>
      </w:r>
      <w:r w:rsidR="001A43D3" w:rsidRPr="00A25B16">
        <w:rPr>
          <w:i/>
          <w:iCs/>
          <w:sz w:val="22"/>
        </w:rPr>
        <w:t>La compra de gas natural importado se sujeta a las condiciones establecidas por el proveedor internacional, por ello, el plazo máximo no es decisión del comprador. Maxime cuando los costos de compra se optimizan cuando hay compra a largo plazo. En tal sentido lo que se propone es que la duración máxima sea la acordada entre el importador y el proveedor internacional.</w:t>
      </w:r>
      <w:r>
        <w:rPr>
          <w:i/>
          <w:iCs/>
          <w:sz w:val="22"/>
        </w:rPr>
        <w:t>”</w:t>
      </w:r>
    </w:p>
    <w:p w14:paraId="1BA8C217" w14:textId="77777777" w:rsidR="001C3599" w:rsidRDefault="001C3599" w:rsidP="001A43D3">
      <w:pPr>
        <w:jc w:val="left"/>
        <w:rPr>
          <w:i/>
          <w:iCs/>
          <w:sz w:val="22"/>
        </w:rPr>
      </w:pPr>
    </w:p>
    <w:p w14:paraId="4E95E68F" w14:textId="77777777" w:rsidR="002B1FF0" w:rsidRPr="002B1FF0" w:rsidRDefault="002B1FF0" w:rsidP="002B1FF0">
      <w:pPr>
        <w:rPr>
          <w:rFonts w:cs="Arial"/>
          <w:b/>
          <w:bCs/>
          <w:sz w:val="22"/>
          <w:szCs w:val="22"/>
        </w:rPr>
      </w:pPr>
      <w:r w:rsidRPr="002B1FF0">
        <w:rPr>
          <w:rFonts w:cs="Arial"/>
          <w:b/>
          <w:bCs/>
          <w:sz w:val="22"/>
          <w:szCs w:val="22"/>
        </w:rPr>
        <w:t>RESPUESTA:</w:t>
      </w:r>
    </w:p>
    <w:p w14:paraId="67BACF58" w14:textId="77777777" w:rsidR="002B1FF0" w:rsidRDefault="002B1FF0" w:rsidP="002B1FF0">
      <w:pPr>
        <w:rPr>
          <w:rFonts w:cs="Arial"/>
          <w:sz w:val="22"/>
          <w:szCs w:val="22"/>
        </w:rPr>
      </w:pPr>
    </w:p>
    <w:p w14:paraId="77FFDA53" w14:textId="77777777" w:rsidR="00736E00" w:rsidRDefault="00736E00" w:rsidP="002B1FF0">
      <w:pPr>
        <w:rPr>
          <w:rFonts w:cs="Arial"/>
          <w:sz w:val="22"/>
          <w:szCs w:val="22"/>
        </w:rPr>
      </w:pPr>
      <w:r>
        <w:rPr>
          <w:rFonts w:cs="Arial"/>
          <w:sz w:val="22"/>
          <w:szCs w:val="22"/>
        </w:rPr>
        <w:t>No se acoge el comentario.</w:t>
      </w:r>
    </w:p>
    <w:p w14:paraId="7B9B7113" w14:textId="77777777" w:rsidR="00736E00" w:rsidRDefault="00736E00" w:rsidP="002B1FF0">
      <w:pPr>
        <w:rPr>
          <w:rFonts w:cs="Arial"/>
          <w:sz w:val="22"/>
          <w:szCs w:val="22"/>
        </w:rPr>
      </w:pPr>
    </w:p>
    <w:p w14:paraId="4CAFFB5F" w14:textId="172736CD" w:rsidR="00FD6D7A" w:rsidRPr="002B1FF0" w:rsidRDefault="00FD6D7A" w:rsidP="002B1FF0">
      <w:pPr>
        <w:rPr>
          <w:rFonts w:cs="Arial"/>
          <w:sz w:val="22"/>
          <w:szCs w:val="22"/>
        </w:rPr>
      </w:pPr>
      <w:r>
        <w:rPr>
          <w:rFonts w:cs="Arial"/>
          <w:sz w:val="22"/>
          <w:szCs w:val="22"/>
        </w:rPr>
        <w:t xml:space="preserve">El contrato de suministro del gas obtenido en el exterior no es sujeto de las normas que se establecen para los contratos de suministro del Mercado Mayorista. Dichos contratos </w:t>
      </w:r>
      <w:r w:rsidR="00736E00">
        <w:rPr>
          <w:rFonts w:cs="Arial"/>
          <w:sz w:val="22"/>
          <w:szCs w:val="22"/>
        </w:rPr>
        <w:t xml:space="preserve">solo </w:t>
      </w:r>
      <w:r>
        <w:rPr>
          <w:rFonts w:cs="Arial"/>
          <w:sz w:val="22"/>
          <w:szCs w:val="22"/>
        </w:rPr>
        <w:t>sirven de referencia para garantizar que se cuenta con el Respaldo Físico del gas natural obtenido en el exterior con el que se basa la declaración de CIDVF.</w:t>
      </w:r>
    </w:p>
    <w:p w14:paraId="04B1432E" w14:textId="77777777" w:rsidR="002B1FF0" w:rsidRPr="002B1FF0" w:rsidRDefault="002B1FF0" w:rsidP="002B1FF0">
      <w:pPr>
        <w:rPr>
          <w:rFonts w:cs="Arial"/>
          <w:sz w:val="22"/>
          <w:szCs w:val="22"/>
        </w:rPr>
      </w:pPr>
    </w:p>
    <w:p w14:paraId="65F7155F" w14:textId="77777777" w:rsidR="001C3599" w:rsidRDefault="001C3599" w:rsidP="001A43D3">
      <w:pPr>
        <w:jc w:val="left"/>
        <w:rPr>
          <w:i/>
          <w:iCs/>
          <w:sz w:val="22"/>
        </w:rPr>
      </w:pPr>
    </w:p>
    <w:p w14:paraId="778251AA" w14:textId="29BFE1A7" w:rsidR="001C3599" w:rsidRDefault="001A43D3" w:rsidP="00230D94">
      <w:pPr>
        <w:pStyle w:val="Ttulo2"/>
      </w:pPr>
      <w:bookmarkStart w:id="123" w:name="_Toc158211476"/>
      <w:r w:rsidRPr="00A25B16">
        <w:t>PETROMIL GAS S.A.S. E.S.P.</w:t>
      </w:r>
      <w:bookmarkEnd w:id="123"/>
      <w:r w:rsidRPr="00A25B16">
        <w:tab/>
      </w:r>
    </w:p>
    <w:p w14:paraId="50E7797D" w14:textId="514BB4DA" w:rsidR="001A43D3" w:rsidRDefault="001C3599" w:rsidP="001A43D3">
      <w:pPr>
        <w:jc w:val="left"/>
        <w:rPr>
          <w:i/>
          <w:iCs/>
          <w:sz w:val="22"/>
        </w:rPr>
      </w:pPr>
      <w:r>
        <w:rPr>
          <w:i/>
          <w:iCs/>
          <w:sz w:val="22"/>
        </w:rPr>
        <w:t>“</w:t>
      </w:r>
      <w:r w:rsidR="001A43D3" w:rsidRPr="00A25B16">
        <w:rPr>
          <w:i/>
          <w:iCs/>
          <w:sz w:val="22"/>
        </w:rPr>
        <w:t>En los subnumerales b y c del numeral i del artículo 5 del Proyecto de Resolución, son exceptuados de la comercialización semanal los casos descritos en el artículo 20 de la Resolución CREG 186 de 2020, con esto, ¿Es correcto afirmar que no se podrán celebrar contratos de corto plazo, es decir, contratos semanales o de hasta 3 meses con fecha de terminación antes del 30 de noviembre del año en que se acuerde de las fuentes descritas en el artículo 19 de la Resolución CREG 186 de 2020: pruebas extensas, campos menores, yacimientos no convencionales, campo aislado, nuevos campos y gas importado?</w:t>
      </w:r>
      <w:r>
        <w:rPr>
          <w:i/>
          <w:iCs/>
          <w:sz w:val="22"/>
        </w:rPr>
        <w:t>”</w:t>
      </w:r>
    </w:p>
    <w:p w14:paraId="3F4B1FB8" w14:textId="77777777" w:rsidR="001C3599" w:rsidRDefault="001C3599" w:rsidP="001A43D3">
      <w:pPr>
        <w:jc w:val="left"/>
        <w:rPr>
          <w:i/>
          <w:iCs/>
          <w:sz w:val="22"/>
        </w:rPr>
      </w:pPr>
    </w:p>
    <w:p w14:paraId="0C2A25E9" w14:textId="77777777" w:rsidR="002B1FF0" w:rsidRPr="002B1FF0" w:rsidRDefault="002B1FF0" w:rsidP="002B1FF0">
      <w:pPr>
        <w:rPr>
          <w:rFonts w:cs="Arial"/>
          <w:b/>
          <w:bCs/>
          <w:sz w:val="22"/>
          <w:szCs w:val="22"/>
        </w:rPr>
      </w:pPr>
      <w:r w:rsidRPr="002B1FF0">
        <w:rPr>
          <w:rFonts w:cs="Arial"/>
          <w:b/>
          <w:bCs/>
          <w:sz w:val="22"/>
          <w:szCs w:val="22"/>
        </w:rPr>
        <w:t>RESPUESTA:</w:t>
      </w:r>
    </w:p>
    <w:p w14:paraId="47FD1890" w14:textId="77777777" w:rsidR="002B1FF0" w:rsidRPr="002B1FF0" w:rsidRDefault="002B1FF0" w:rsidP="002B1FF0">
      <w:pPr>
        <w:rPr>
          <w:rFonts w:cs="Arial"/>
          <w:sz w:val="22"/>
          <w:szCs w:val="22"/>
        </w:rPr>
      </w:pPr>
    </w:p>
    <w:p w14:paraId="38763C09" w14:textId="5D829D90" w:rsidR="005F007A" w:rsidRDefault="005F007A" w:rsidP="002B1FF0">
      <w:pPr>
        <w:rPr>
          <w:rFonts w:cs="Arial"/>
          <w:sz w:val="22"/>
          <w:szCs w:val="22"/>
        </w:rPr>
      </w:pPr>
      <w:r>
        <w:rPr>
          <w:rFonts w:cs="Arial"/>
          <w:sz w:val="22"/>
          <w:szCs w:val="22"/>
        </w:rPr>
        <w:t>En el Proyecto de Resolución se establecieron condiciones de flexibilidad para que, mediante negociaciones directas, se puedan pactar contratos de suministro de tipo firme de duraciones de ejecución menores o iguales a 3 meses, sin ningún tipo de excepción para ello en cuanto al tipo de fuente de suministro.</w:t>
      </w:r>
    </w:p>
    <w:p w14:paraId="6E2BE3FF" w14:textId="77777777" w:rsidR="005F007A" w:rsidRDefault="005F007A" w:rsidP="002B1FF0">
      <w:pPr>
        <w:rPr>
          <w:rFonts w:cs="Arial"/>
          <w:sz w:val="22"/>
          <w:szCs w:val="22"/>
        </w:rPr>
      </w:pPr>
    </w:p>
    <w:p w14:paraId="0B7AD4BA" w14:textId="6E19964C" w:rsidR="00630117" w:rsidRDefault="00655515" w:rsidP="002B1FF0">
      <w:pPr>
        <w:rPr>
          <w:rFonts w:cs="Arial"/>
          <w:sz w:val="22"/>
          <w:szCs w:val="22"/>
        </w:rPr>
      </w:pPr>
      <w:r>
        <w:rPr>
          <w:rFonts w:cs="Arial"/>
          <w:sz w:val="22"/>
          <w:szCs w:val="22"/>
        </w:rPr>
        <w:t xml:space="preserve">Ver </w:t>
      </w:r>
      <w:r w:rsidR="005F007A">
        <w:rPr>
          <w:rFonts w:cs="Arial"/>
          <w:sz w:val="22"/>
          <w:szCs w:val="22"/>
        </w:rPr>
        <w:t xml:space="preserve">la respuesta al comentario </w:t>
      </w:r>
      <w:r w:rsidR="005F007A">
        <w:rPr>
          <w:rFonts w:cs="Arial"/>
          <w:sz w:val="22"/>
          <w:szCs w:val="22"/>
        </w:rPr>
        <w:fldChar w:fldCharType="begin"/>
      </w:r>
      <w:r w:rsidR="005F007A">
        <w:rPr>
          <w:rFonts w:cs="Arial"/>
          <w:sz w:val="22"/>
          <w:szCs w:val="22"/>
        </w:rPr>
        <w:instrText xml:space="preserve"> REF _Ref149545678 \w \h </w:instrText>
      </w:r>
      <w:r w:rsidR="005F007A">
        <w:rPr>
          <w:rFonts w:cs="Arial"/>
          <w:sz w:val="22"/>
          <w:szCs w:val="22"/>
        </w:rPr>
      </w:r>
      <w:r w:rsidR="005F007A">
        <w:rPr>
          <w:rFonts w:cs="Arial"/>
          <w:sz w:val="22"/>
          <w:szCs w:val="22"/>
        </w:rPr>
        <w:fldChar w:fldCharType="separate"/>
      </w:r>
      <w:r w:rsidR="0027336D">
        <w:rPr>
          <w:rFonts w:cs="Arial"/>
          <w:sz w:val="22"/>
          <w:szCs w:val="22"/>
        </w:rPr>
        <w:t>5.7</w:t>
      </w:r>
      <w:r w:rsidR="005F007A">
        <w:rPr>
          <w:rFonts w:cs="Arial"/>
          <w:sz w:val="22"/>
          <w:szCs w:val="22"/>
        </w:rPr>
        <w:fldChar w:fldCharType="end"/>
      </w:r>
      <w:r w:rsidR="005F007A">
        <w:rPr>
          <w:rFonts w:cs="Arial"/>
          <w:sz w:val="22"/>
          <w:szCs w:val="22"/>
        </w:rPr>
        <w:t xml:space="preserve"> y al </w:t>
      </w:r>
      <w:r>
        <w:rPr>
          <w:rFonts w:cs="Arial"/>
          <w:sz w:val="22"/>
          <w:szCs w:val="22"/>
        </w:rPr>
        <w:t xml:space="preserve">comentario </w:t>
      </w:r>
      <w:r w:rsidR="005F007A">
        <w:rPr>
          <w:rFonts w:cs="Arial"/>
          <w:sz w:val="22"/>
          <w:szCs w:val="22"/>
        </w:rPr>
        <w:fldChar w:fldCharType="begin"/>
      </w:r>
      <w:r w:rsidR="005F007A">
        <w:rPr>
          <w:rFonts w:cs="Arial"/>
          <w:sz w:val="22"/>
          <w:szCs w:val="22"/>
        </w:rPr>
        <w:instrText xml:space="preserve"> REF _Ref149212293 \w \h </w:instrText>
      </w:r>
      <w:r w:rsidR="005F007A">
        <w:rPr>
          <w:rFonts w:cs="Arial"/>
          <w:sz w:val="22"/>
          <w:szCs w:val="22"/>
        </w:rPr>
      </w:r>
      <w:r w:rsidR="005F007A">
        <w:rPr>
          <w:rFonts w:cs="Arial"/>
          <w:sz w:val="22"/>
          <w:szCs w:val="22"/>
        </w:rPr>
        <w:fldChar w:fldCharType="separate"/>
      </w:r>
      <w:r w:rsidR="0027336D">
        <w:rPr>
          <w:rFonts w:cs="Arial"/>
          <w:sz w:val="22"/>
          <w:szCs w:val="22"/>
        </w:rPr>
        <w:t>9.1</w:t>
      </w:r>
      <w:r w:rsidR="005F007A">
        <w:rPr>
          <w:rFonts w:cs="Arial"/>
          <w:sz w:val="22"/>
          <w:szCs w:val="22"/>
        </w:rPr>
        <w:fldChar w:fldCharType="end"/>
      </w:r>
      <w:r w:rsidR="005F007A">
        <w:rPr>
          <w:rFonts w:cs="Arial"/>
          <w:sz w:val="22"/>
          <w:szCs w:val="22"/>
        </w:rPr>
        <w:t>.</w:t>
      </w:r>
    </w:p>
    <w:p w14:paraId="5ABB0E3D" w14:textId="77777777" w:rsidR="00630117" w:rsidRDefault="00630117" w:rsidP="002B1FF0">
      <w:pPr>
        <w:rPr>
          <w:rFonts w:cs="Arial"/>
          <w:sz w:val="22"/>
          <w:szCs w:val="22"/>
        </w:rPr>
      </w:pPr>
    </w:p>
    <w:p w14:paraId="1F396BC1" w14:textId="77777777" w:rsidR="001C3599" w:rsidRPr="00A25B16" w:rsidRDefault="001C3599" w:rsidP="001A43D3">
      <w:pPr>
        <w:jc w:val="left"/>
        <w:rPr>
          <w:i/>
          <w:iCs/>
          <w:sz w:val="22"/>
        </w:rPr>
      </w:pPr>
    </w:p>
    <w:p w14:paraId="653DA986" w14:textId="70FCD8A8" w:rsidR="001C3599" w:rsidRDefault="001A43D3" w:rsidP="00230D94">
      <w:pPr>
        <w:pStyle w:val="Ttulo2"/>
      </w:pPr>
      <w:bookmarkStart w:id="124" w:name="_Toc158211477"/>
      <w:r w:rsidRPr="00A25B16">
        <w:t>Prime Energía</w:t>
      </w:r>
      <w:bookmarkEnd w:id="124"/>
      <w:r w:rsidRPr="00A25B16">
        <w:t xml:space="preserve"> </w:t>
      </w:r>
      <w:r w:rsidRPr="00A25B16">
        <w:tab/>
      </w:r>
    </w:p>
    <w:p w14:paraId="5B2C9FAD" w14:textId="1D0FD390" w:rsidR="001A43D3" w:rsidRPr="00A25B16" w:rsidRDefault="001A43D3" w:rsidP="001A43D3">
      <w:pPr>
        <w:jc w:val="left"/>
        <w:rPr>
          <w:i/>
          <w:iCs/>
          <w:sz w:val="22"/>
        </w:rPr>
      </w:pPr>
      <w:r w:rsidRPr="00A25B16">
        <w:rPr>
          <w:i/>
          <w:iCs/>
          <w:sz w:val="22"/>
        </w:rPr>
        <w:t xml:space="preserve">"El precio será fijo: Obligar la contratación de gas natural importado a un precio fijo durante toda la duración del contrato, complejiza la oferta de este producto dado el riesgo de indexación, el costo operativo de regasificación, el precio de cierre de compra de cada cargo, los niveles de inventario, etc.  </w:t>
      </w:r>
    </w:p>
    <w:p w14:paraId="59F6A5EF" w14:textId="77777777" w:rsidR="001A43D3" w:rsidRPr="00A25B16" w:rsidRDefault="001A43D3" w:rsidP="001A43D3">
      <w:pPr>
        <w:jc w:val="left"/>
        <w:rPr>
          <w:i/>
          <w:iCs/>
          <w:sz w:val="22"/>
        </w:rPr>
      </w:pPr>
    </w:p>
    <w:p w14:paraId="6648A5DA" w14:textId="77777777" w:rsidR="001A43D3" w:rsidRPr="00A25B16" w:rsidRDefault="001A43D3" w:rsidP="001A43D3">
      <w:pPr>
        <w:jc w:val="left"/>
        <w:rPr>
          <w:i/>
          <w:iCs/>
          <w:sz w:val="22"/>
        </w:rPr>
      </w:pPr>
      <w:r w:rsidRPr="00A25B16">
        <w:rPr>
          <w:i/>
          <w:iCs/>
          <w:sz w:val="22"/>
        </w:rPr>
        <w:t>El precio y las condiciones de contratación de este energético debe estar armonizado con las prácticas comerciales del mercado de gas natural licuado – GNL con el fin de no trasladar todos los riesgos de contratación a la oferta y de esta manera desincentivar su comercialización. "</w:t>
      </w:r>
    </w:p>
    <w:p w14:paraId="31AB7394" w14:textId="77777777" w:rsidR="001C3599" w:rsidRDefault="001C3599" w:rsidP="001A43D3">
      <w:pPr>
        <w:jc w:val="left"/>
        <w:rPr>
          <w:i/>
          <w:iCs/>
          <w:sz w:val="22"/>
        </w:rPr>
      </w:pPr>
    </w:p>
    <w:p w14:paraId="1A0E424C" w14:textId="77777777" w:rsidR="002B1FF0" w:rsidRPr="002B1FF0" w:rsidRDefault="002B1FF0" w:rsidP="002B1FF0">
      <w:pPr>
        <w:rPr>
          <w:rFonts w:cs="Arial"/>
          <w:b/>
          <w:bCs/>
          <w:sz w:val="22"/>
          <w:szCs w:val="22"/>
        </w:rPr>
      </w:pPr>
      <w:r w:rsidRPr="002B1FF0">
        <w:rPr>
          <w:rFonts w:cs="Arial"/>
          <w:b/>
          <w:bCs/>
          <w:sz w:val="22"/>
          <w:szCs w:val="22"/>
        </w:rPr>
        <w:t>RESPUESTA:</w:t>
      </w:r>
    </w:p>
    <w:p w14:paraId="30122132" w14:textId="77777777" w:rsidR="002B1FF0" w:rsidRPr="002B1FF0" w:rsidRDefault="002B1FF0" w:rsidP="002B1FF0">
      <w:pPr>
        <w:rPr>
          <w:rFonts w:cs="Arial"/>
          <w:sz w:val="22"/>
          <w:szCs w:val="22"/>
        </w:rPr>
      </w:pPr>
    </w:p>
    <w:p w14:paraId="42904EDC" w14:textId="4D250D35" w:rsidR="002B1FF0" w:rsidRPr="002B1FF0" w:rsidRDefault="006D46D5"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_Ref148955773 \n \h </w:instrText>
      </w:r>
      <w:r>
        <w:rPr>
          <w:rFonts w:cs="Arial"/>
          <w:sz w:val="22"/>
          <w:szCs w:val="22"/>
        </w:rPr>
      </w:r>
      <w:r>
        <w:rPr>
          <w:rFonts w:cs="Arial"/>
          <w:sz w:val="22"/>
          <w:szCs w:val="22"/>
        </w:rPr>
        <w:fldChar w:fldCharType="separate"/>
      </w:r>
      <w:r w:rsidR="0027336D">
        <w:rPr>
          <w:rFonts w:cs="Arial"/>
          <w:sz w:val="22"/>
          <w:szCs w:val="22"/>
        </w:rPr>
        <w:t>5.3</w:t>
      </w:r>
      <w:r>
        <w:rPr>
          <w:rFonts w:cs="Arial"/>
          <w:sz w:val="22"/>
          <w:szCs w:val="22"/>
        </w:rPr>
        <w:fldChar w:fldCharType="end"/>
      </w:r>
      <w:r>
        <w:rPr>
          <w:rFonts w:cs="Arial"/>
          <w:sz w:val="22"/>
          <w:szCs w:val="22"/>
        </w:rPr>
        <w:t>.</w:t>
      </w:r>
    </w:p>
    <w:p w14:paraId="0AD91D12" w14:textId="77777777" w:rsidR="001C3599" w:rsidRDefault="001C3599" w:rsidP="001A43D3">
      <w:pPr>
        <w:jc w:val="left"/>
        <w:rPr>
          <w:i/>
          <w:iCs/>
          <w:sz w:val="22"/>
        </w:rPr>
      </w:pPr>
    </w:p>
    <w:p w14:paraId="2A204456" w14:textId="77777777" w:rsidR="001C3599" w:rsidRDefault="001C3599" w:rsidP="001A43D3">
      <w:pPr>
        <w:jc w:val="left"/>
        <w:rPr>
          <w:i/>
          <w:iCs/>
          <w:sz w:val="22"/>
        </w:rPr>
      </w:pPr>
    </w:p>
    <w:p w14:paraId="6215FCF2" w14:textId="5442ECDF" w:rsidR="001C3599" w:rsidRDefault="001A43D3" w:rsidP="00230D94">
      <w:pPr>
        <w:pStyle w:val="Ttulo2"/>
      </w:pPr>
      <w:bookmarkStart w:id="125" w:name="_Toc158211478"/>
      <w:r w:rsidRPr="00A25B16">
        <w:t>Progasur</w:t>
      </w:r>
      <w:bookmarkEnd w:id="125"/>
      <w:r w:rsidRPr="00A25B16">
        <w:tab/>
      </w:r>
    </w:p>
    <w:p w14:paraId="0C0F88D8" w14:textId="53299839" w:rsidR="001A43D3" w:rsidRPr="00A25B16" w:rsidRDefault="001A43D3" w:rsidP="001A43D3">
      <w:pPr>
        <w:jc w:val="left"/>
        <w:rPr>
          <w:i/>
          <w:iCs/>
          <w:sz w:val="22"/>
        </w:rPr>
      </w:pPr>
      <w:r w:rsidRPr="00A25B16">
        <w:rPr>
          <w:i/>
          <w:iCs/>
          <w:sz w:val="22"/>
        </w:rPr>
        <w:t>"Por favor indicar si dentro de los agentes que hacen mencion en la resolucion se encuentran los transportadores, esto dado que en partes del documento se refieren con los ajustes transitorios unicamente a agentes comercializadores o de suministro, tales como los periodos de contratacion de suministro(semanas laborales o calendario).</w:t>
      </w:r>
    </w:p>
    <w:p w14:paraId="4B01887B" w14:textId="77777777" w:rsidR="001A43D3" w:rsidRPr="00A25B16" w:rsidRDefault="001A43D3" w:rsidP="001A43D3">
      <w:pPr>
        <w:jc w:val="left"/>
        <w:rPr>
          <w:i/>
          <w:iCs/>
          <w:sz w:val="22"/>
        </w:rPr>
      </w:pPr>
    </w:p>
    <w:p w14:paraId="14DDB180" w14:textId="77777777" w:rsidR="001A43D3" w:rsidRPr="00A25B16" w:rsidRDefault="001A43D3" w:rsidP="001A43D3">
      <w:pPr>
        <w:jc w:val="left"/>
        <w:rPr>
          <w:i/>
          <w:iCs/>
          <w:sz w:val="22"/>
        </w:rPr>
      </w:pPr>
      <w:r w:rsidRPr="00A25B16">
        <w:rPr>
          <w:i/>
          <w:iCs/>
          <w:sz w:val="22"/>
        </w:rPr>
        <w:t>Por favor incluir explicitamente en los tipos de negociacion de semanas a los transportadores o de manera general a todos los agentes del sistema primario y secundario"</w:t>
      </w:r>
    </w:p>
    <w:p w14:paraId="79F6213D" w14:textId="77777777" w:rsidR="001C3599" w:rsidRDefault="001C3599" w:rsidP="001A43D3">
      <w:pPr>
        <w:jc w:val="left"/>
        <w:rPr>
          <w:i/>
          <w:iCs/>
          <w:sz w:val="22"/>
        </w:rPr>
      </w:pPr>
    </w:p>
    <w:p w14:paraId="18E8970C" w14:textId="77777777" w:rsidR="002B1FF0" w:rsidRPr="002B1FF0" w:rsidRDefault="002B1FF0" w:rsidP="002B1FF0">
      <w:pPr>
        <w:rPr>
          <w:rFonts w:cs="Arial"/>
          <w:b/>
          <w:bCs/>
          <w:sz w:val="22"/>
          <w:szCs w:val="22"/>
        </w:rPr>
      </w:pPr>
      <w:r w:rsidRPr="002B1FF0">
        <w:rPr>
          <w:rFonts w:cs="Arial"/>
          <w:b/>
          <w:bCs/>
          <w:sz w:val="22"/>
          <w:szCs w:val="22"/>
        </w:rPr>
        <w:t>RESPUESTA:</w:t>
      </w:r>
    </w:p>
    <w:p w14:paraId="2DF7561E" w14:textId="77777777" w:rsidR="002B1FF0" w:rsidRPr="002B1FF0" w:rsidRDefault="002B1FF0" w:rsidP="002B1FF0">
      <w:pPr>
        <w:rPr>
          <w:rFonts w:cs="Arial"/>
          <w:sz w:val="22"/>
          <w:szCs w:val="22"/>
        </w:rPr>
      </w:pPr>
    </w:p>
    <w:p w14:paraId="659E4A09" w14:textId="342ED400" w:rsidR="0046010A" w:rsidRDefault="0046010A" w:rsidP="002B1FF0">
      <w:pPr>
        <w:rPr>
          <w:rFonts w:cs="Arial"/>
          <w:sz w:val="22"/>
          <w:szCs w:val="22"/>
        </w:rPr>
      </w:pPr>
      <w:r>
        <w:rPr>
          <w:rFonts w:cs="Arial"/>
          <w:sz w:val="22"/>
          <w:szCs w:val="22"/>
        </w:rPr>
        <w:t>No se acoge el comentario.</w:t>
      </w:r>
    </w:p>
    <w:p w14:paraId="66E682A5" w14:textId="77777777" w:rsidR="0046010A" w:rsidRDefault="0046010A" w:rsidP="002B1FF0">
      <w:pPr>
        <w:rPr>
          <w:rFonts w:cs="Arial"/>
          <w:sz w:val="22"/>
          <w:szCs w:val="22"/>
        </w:rPr>
      </w:pPr>
    </w:p>
    <w:p w14:paraId="04AF7D91" w14:textId="2AB4D8C2" w:rsidR="002B1FF0" w:rsidRPr="002B1FF0" w:rsidRDefault="006D46D5" w:rsidP="002B1FF0">
      <w:pPr>
        <w:rPr>
          <w:rFonts w:cs="Arial"/>
          <w:sz w:val="22"/>
          <w:szCs w:val="22"/>
        </w:rPr>
      </w:pPr>
      <w:r>
        <w:rPr>
          <w:rFonts w:cs="Arial"/>
          <w:sz w:val="22"/>
          <w:szCs w:val="22"/>
        </w:rPr>
        <w:t xml:space="preserve">El Proyecto de Resolución CREG 702 005 de 2023 no tiene propuestas de modificación o adición a la Resolución CREG 185 de 2020 o aquellas que la modifiquen, adicionen o sustituyan. Las situaciones descritas en el numeral </w:t>
      </w:r>
      <w:r>
        <w:rPr>
          <w:rFonts w:cs="Arial"/>
          <w:sz w:val="22"/>
          <w:szCs w:val="22"/>
        </w:rPr>
        <w:fldChar w:fldCharType="begin"/>
      </w:r>
      <w:r>
        <w:rPr>
          <w:rFonts w:cs="Arial"/>
          <w:sz w:val="22"/>
          <w:szCs w:val="22"/>
        </w:rPr>
        <w:instrText xml:space="preserve"> REF _Ref148955855 \n \h </w:instrText>
      </w:r>
      <w:r>
        <w:rPr>
          <w:rFonts w:cs="Arial"/>
          <w:sz w:val="22"/>
          <w:szCs w:val="22"/>
        </w:rPr>
      </w:r>
      <w:r>
        <w:rPr>
          <w:rFonts w:cs="Arial"/>
          <w:sz w:val="22"/>
          <w:szCs w:val="22"/>
        </w:rPr>
        <w:fldChar w:fldCharType="separate"/>
      </w:r>
      <w:r w:rsidR="0027336D">
        <w:rPr>
          <w:rFonts w:cs="Arial"/>
          <w:sz w:val="22"/>
          <w:szCs w:val="22"/>
        </w:rPr>
        <w:t>2</w:t>
      </w:r>
      <w:r>
        <w:rPr>
          <w:rFonts w:cs="Arial"/>
          <w:sz w:val="22"/>
          <w:szCs w:val="22"/>
        </w:rPr>
        <w:fldChar w:fldCharType="end"/>
      </w:r>
      <w:r>
        <w:rPr>
          <w:rFonts w:cs="Arial"/>
          <w:sz w:val="22"/>
          <w:szCs w:val="22"/>
        </w:rPr>
        <w:t xml:space="preserve"> del presente documento afectan el suministro de gas natural de una manera diferente a la posible afectación a la capacidad de transporte de gas natural.</w:t>
      </w:r>
    </w:p>
    <w:p w14:paraId="50AAFAAB" w14:textId="77777777" w:rsidR="001C3599" w:rsidRDefault="001C3599" w:rsidP="001A43D3">
      <w:pPr>
        <w:jc w:val="left"/>
        <w:rPr>
          <w:i/>
          <w:iCs/>
          <w:sz w:val="22"/>
        </w:rPr>
      </w:pPr>
    </w:p>
    <w:p w14:paraId="48C34211" w14:textId="77777777" w:rsidR="001C3599" w:rsidRDefault="001C3599" w:rsidP="001A43D3">
      <w:pPr>
        <w:jc w:val="left"/>
        <w:rPr>
          <w:i/>
          <w:iCs/>
          <w:sz w:val="22"/>
        </w:rPr>
      </w:pPr>
    </w:p>
    <w:p w14:paraId="427E6C58" w14:textId="6A1F22CF" w:rsidR="001C3599" w:rsidRDefault="001A43D3" w:rsidP="00230D94">
      <w:pPr>
        <w:pStyle w:val="Ttulo2"/>
      </w:pPr>
      <w:bookmarkStart w:id="126" w:name="_Toc158211479"/>
      <w:r w:rsidRPr="00A25B16">
        <w:t>SANTAFÉ ENERGY</w:t>
      </w:r>
      <w:bookmarkEnd w:id="126"/>
      <w:r w:rsidRPr="00A25B16">
        <w:tab/>
      </w:r>
    </w:p>
    <w:p w14:paraId="17EF34AC" w14:textId="0B753011" w:rsidR="001A43D3" w:rsidRDefault="001C3599" w:rsidP="001A43D3">
      <w:pPr>
        <w:jc w:val="left"/>
        <w:rPr>
          <w:i/>
          <w:iCs/>
          <w:sz w:val="22"/>
        </w:rPr>
      </w:pPr>
      <w:r>
        <w:rPr>
          <w:i/>
          <w:iCs/>
          <w:sz w:val="22"/>
        </w:rPr>
        <w:t>“</w:t>
      </w:r>
      <w:r w:rsidR="001A43D3" w:rsidRPr="00A25B16">
        <w:rPr>
          <w:i/>
          <w:iCs/>
          <w:sz w:val="22"/>
        </w:rPr>
        <w:t>Consideramos conveniente que se flexibilicen los periodos de duración de los contratos en firme y que se puedan pactar por semanas , con diferencia de volumenes a precio fijo y facturacion mensual.</w:t>
      </w:r>
      <w:r>
        <w:rPr>
          <w:i/>
          <w:iCs/>
          <w:sz w:val="22"/>
        </w:rPr>
        <w:t>”</w:t>
      </w:r>
    </w:p>
    <w:p w14:paraId="07F4FA67" w14:textId="77777777" w:rsidR="001C3599" w:rsidRDefault="001C3599" w:rsidP="001A43D3">
      <w:pPr>
        <w:jc w:val="left"/>
        <w:rPr>
          <w:i/>
          <w:iCs/>
          <w:sz w:val="22"/>
        </w:rPr>
      </w:pPr>
    </w:p>
    <w:p w14:paraId="05A3CF2E" w14:textId="31E9AB36" w:rsidR="002B1FF0" w:rsidRDefault="002B1FF0" w:rsidP="002B1FF0">
      <w:pPr>
        <w:rPr>
          <w:rFonts w:cs="Arial"/>
          <w:b/>
          <w:bCs/>
          <w:sz w:val="22"/>
          <w:szCs w:val="22"/>
        </w:rPr>
      </w:pPr>
      <w:r w:rsidRPr="002B1FF0">
        <w:rPr>
          <w:rFonts w:cs="Arial"/>
          <w:b/>
          <w:bCs/>
          <w:sz w:val="22"/>
          <w:szCs w:val="22"/>
        </w:rPr>
        <w:t>RESPUESTA:</w:t>
      </w:r>
    </w:p>
    <w:p w14:paraId="56476966" w14:textId="77777777" w:rsidR="0046010A" w:rsidRDefault="0046010A" w:rsidP="002B1FF0">
      <w:pPr>
        <w:rPr>
          <w:rFonts w:cs="Arial"/>
          <w:b/>
          <w:bCs/>
          <w:sz w:val="22"/>
          <w:szCs w:val="22"/>
        </w:rPr>
      </w:pPr>
    </w:p>
    <w:p w14:paraId="7103D719" w14:textId="6441BB12" w:rsidR="0046010A" w:rsidRPr="0046010A" w:rsidRDefault="00BB2F69" w:rsidP="002B1FF0">
      <w:pPr>
        <w:rPr>
          <w:rFonts w:cs="Arial"/>
          <w:sz w:val="22"/>
          <w:szCs w:val="22"/>
        </w:rPr>
      </w:pPr>
      <w:r>
        <w:rPr>
          <w:rFonts w:cs="Arial"/>
          <w:sz w:val="22"/>
          <w:szCs w:val="22"/>
        </w:rPr>
        <w:t xml:space="preserve">Ver respuesta al comentario </w:t>
      </w:r>
      <w:r w:rsidR="00B52862">
        <w:rPr>
          <w:rFonts w:cs="Arial"/>
          <w:sz w:val="22"/>
          <w:szCs w:val="22"/>
        </w:rPr>
        <w:fldChar w:fldCharType="begin"/>
      </w:r>
      <w:r w:rsidR="00B52862">
        <w:rPr>
          <w:rFonts w:cs="Arial"/>
          <w:sz w:val="22"/>
          <w:szCs w:val="22"/>
        </w:rPr>
        <w:instrText xml:space="preserve"> REF _Ref148954073 \w \h </w:instrText>
      </w:r>
      <w:r w:rsidR="00B52862">
        <w:rPr>
          <w:rFonts w:cs="Arial"/>
          <w:sz w:val="22"/>
          <w:szCs w:val="22"/>
        </w:rPr>
      </w:r>
      <w:r w:rsidR="00B52862">
        <w:rPr>
          <w:rFonts w:cs="Arial"/>
          <w:sz w:val="22"/>
          <w:szCs w:val="22"/>
        </w:rPr>
        <w:fldChar w:fldCharType="separate"/>
      </w:r>
      <w:r w:rsidR="0027336D">
        <w:rPr>
          <w:rFonts w:cs="Arial"/>
          <w:sz w:val="22"/>
          <w:szCs w:val="22"/>
        </w:rPr>
        <w:t>5.6</w:t>
      </w:r>
      <w:r w:rsidR="00B52862">
        <w:rPr>
          <w:rFonts w:cs="Arial"/>
          <w:sz w:val="22"/>
          <w:szCs w:val="22"/>
        </w:rPr>
        <w:fldChar w:fldCharType="end"/>
      </w:r>
      <w:r w:rsidR="00B52862">
        <w:rPr>
          <w:rFonts w:cs="Arial"/>
          <w:sz w:val="22"/>
          <w:szCs w:val="22"/>
        </w:rPr>
        <w:t>.</w:t>
      </w:r>
    </w:p>
    <w:p w14:paraId="784FC26B" w14:textId="77777777" w:rsidR="002B1FF0" w:rsidRPr="002B1FF0" w:rsidRDefault="002B1FF0" w:rsidP="002B1FF0">
      <w:pPr>
        <w:rPr>
          <w:rFonts w:cs="Arial"/>
          <w:sz w:val="22"/>
          <w:szCs w:val="22"/>
        </w:rPr>
      </w:pPr>
    </w:p>
    <w:p w14:paraId="1980735B" w14:textId="77777777" w:rsidR="001C3599" w:rsidRPr="00A25B16" w:rsidRDefault="001C3599" w:rsidP="001A43D3">
      <w:pPr>
        <w:jc w:val="left"/>
        <w:rPr>
          <w:i/>
          <w:iCs/>
          <w:sz w:val="22"/>
        </w:rPr>
      </w:pPr>
    </w:p>
    <w:p w14:paraId="07907BE8" w14:textId="1F20B757" w:rsidR="001C3599" w:rsidRDefault="001A43D3" w:rsidP="00230D94">
      <w:pPr>
        <w:pStyle w:val="Ttulo2"/>
      </w:pPr>
      <w:bookmarkStart w:id="127" w:name="_Toc158211480"/>
      <w:r w:rsidRPr="00A25B16">
        <w:t>VANTI</w:t>
      </w:r>
      <w:bookmarkEnd w:id="127"/>
      <w:r w:rsidRPr="00A25B16">
        <w:tab/>
      </w:r>
    </w:p>
    <w:p w14:paraId="76AAC7A2" w14:textId="64F2DBB2" w:rsidR="001A43D3" w:rsidRDefault="001C3599" w:rsidP="001A43D3">
      <w:pPr>
        <w:jc w:val="left"/>
        <w:rPr>
          <w:i/>
          <w:iCs/>
          <w:sz w:val="22"/>
        </w:rPr>
      </w:pPr>
      <w:r>
        <w:rPr>
          <w:i/>
          <w:iCs/>
          <w:sz w:val="22"/>
        </w:rPr>
        <w:t>“</w:t>
      </w:r>
      <w:r w:rsidR="001A43D3" w:rsidRPr="00A25B16">
        <w:rPr>
          <w:i/>
          <w:iCs/>
          <w:sz w:val="22"/>
        </w:rPr>
        <w:t>Se sugiere eliminar el inciso ii.) “Contratos de la modalidad Opción de Compra de Gas” toda vez que se desvirtuaría el concepto del Contrato de Opción de Compra de Gas, puesto que, los agentes cuentan con el derecho a tomar la cantidad máxima de gas y retribuirla pagando dicha prima.</w:t>
      </w:r>
      <w:r>
        <w:rPr>
          <w:i/>
          <w:iCs/>
          <w:sz w:val="22"/>
        </w:rPr>
        <w:t>”</w:t>
      </w:r>
    </w:p>
    <w:p w14:paraId="750614FE" w14:textId="77777777" w:rsidR="00230D94" w:rsidRDefault="00230D94" w:rsidP="001A43D3">
      <w:pPr>
        <w:jc w:val="left"/>
        <w:rPr>
          <w:i/>
          <w:iCs/>
          <w:sz w:val="22"/>
        </w:rPr>
      </w:pPr>
    </w:p>
    <w:p w14:paraId="1E633C51" w14:textId="77777777" w:rsidR="002B1FF0" w:rsidRPr="002B1FF0" w:rsidRDefault="002B1FF0" w:rsidP="002B1FF0">
      <w:pPr>
        <w:rPr>
          <w:rFonts w:cs="Arial"/>
          <w:b/>
          <w:bCs/>
          <w:sz w:val="22"/>
          <w:szCs w:val="22"/>
        </w:rPr>
      </w:pPr>
      <w:r w:rsidRPr="002B1FF0">
        <w:rPr>
          <w:rFonts w:cs="Arial"/>
          <w:b/>
          <w:bCs/>
          <w:sz w:val="22"/>
          <w:szCs w:val="22"/>
        </w:rPr>
        <w:t>RESPUESTA:</w:t>
      </w:r>
    </w:p>
    <w:p w14:paraId="600DB555" w14:textId="77777777" w:rsidR="002B1FF0" w:rsidRPr="002B1FF0" w:rsidRDefault="002B1FF0" w:rsidP="002B1FF0">
      <w:pPr>
        <w:rPr>
          <w:rFonts w:cs="Arial"/>
          <w:sz w:val="22"/>
          <w:szCs w:val="22"/>
        </w:rPr>
      </w:pPr>
    </w:p>
    <w:p w14:paraId="08F269C8" w14:textId="0780CCDF" w:rsidR="002B1FF0" w:rsidRPr="002B1FF0" w:rsidRDefault="00F03E9E"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_Ref148955959 \n \h </w:instrText>
      </w:r>
      <w:r>
        <w:rPr>
          <w:rFonts w:cs="Arial"/>
          <w:sz w:val="22"/>
          <w:szCs w:val="22"/>
        </w:rPr>
      </w:r>
      <w:r>
        <w:rPr>
          <w:rFonts w:cs="Arial"/>
          <w:sz w:val="22"/>
          <w:szCs w:val="22"/>
        </w:rPr>
        <w:fldChar w:fldCharType="separate"/>
      </w:r>
      <w:r w:rsidR="0027336D">
        <w:rPr>
          <w:rFonts w:cs="Arial"/>
          <w:sz w:val="22"/>
          <w:szCs w:val="22"/>
        </w:rPr>
        <w:t>5.1</w:t>
      </w:r>
      <w:r>
        <w:rPr>
          <w:rFonts w:cs="Arial"/>
          <w:sz w:val="22"/>
          <w:szCs w:val="22"/>
        </w:rPr>
        <w:fldChar w:fldCharType="end"/>
      </w:r>
      <w:r>
        <w:rPr>
          <w:rFonts w:cs="Arial"/>
          <w:sz w:val="22"/>
          <w:szCs w:val="22"/>
        </w:rPr>
        <w:t>.</w:t>
      </w:r>
    </w:p>
    <w:p w14:paraId="57CA09C7" w14:textId="77777777" w:rsidR="00230D94" w:rsidRPr="00A25B16" w:rsidRDefault="00230D94" w:rsidP="001A43D3">
      <w:pPr>
        <w:jc w:val="left"/>
        <w:rPr>
          <w:i/>
          <w:iCs/>
          <w:sz w:val="22"/>
        </w:rPr>
      </w:pPr>
    </w:p>
    <w:p w14:paraId="154245E5" w14:textId="77777777" w:rsidR="001A43D3" w:rsidRPr="00A25B16" w:rsidRDefault="001A43D3" w:rsidP="001A43D3">
      <w:pPr>
        <w:jc w:val="left"/>
        <w:rPr>
          <w:i/>
          <w:iCs/>
          <w:sz w:val="22"/>
        </w:rPr>
      </w:pPr>
    </w:p>
    <w:p w14:paraId="1291E758" w14:textId="04A46D17" w:rsidR="001A43D3" w:rsidRPr="00A25B16" w:rsidRDefault="00230D94" w:rsidP="00230D94">
      <w:pPr>
        <w:pStyle w:val="Ttulo1"/>
      </w:pPr>
      <w:bookmarkStart w:id="128" w:name="_Toc158211481"/>
      <w:r>
        <w:t>ARTÍCULO 6</w:t>
      </w:r>
      <w:bookmarkEnd w:id="128"/>
    </w:p>
    <w:p w14:paraId="4CDBE395" w14:textId="3A192D8B" w:rsidR="001C3599" w:rsidRDefault="001A43D3" w:rsidP="00230D94">
      <w:pPr>
        <w:pStyle w:val="Ttulo2"/>
      </w:pPr>
      <w:bookmarkStart w:id="129" w:name="_Toc158211482"/>
      <w:r w:rsidRPr="00A25B16">
        <w:t>ACOLGÉN</w:t>
      </w:r>
      <w:bookmarkEnd w:id="129"/>
      <w:r w:rsidRPr="00A25B16">
        <w:tab/>
      </w:r>
    </w:p>
    <w:p w14:paraId="17FCB302" w14:textId="7875BA32" w:rsidR="001A43D3" w:rsidRPr="00A25B16" w:rsidRDefault="001A43D3" w:rsidP="001A43D3">
      <w:pPr>
        <w:jc w:val="left"/>
        <w:rPr>
          <w:i/>
          <w:iCs/>
          <w:sz w:val="22"/>
        </w:rPr>
      </w:pPr>
      <w:r w:rsidRPr="00A25B16">
        <w:rPr>
          <w:i/>
          <w:iCs/>
          <w:sz w:val="22"/>
        </w:rPr>
        <w:t>"Si bien es razonable que se permita no determinar incumplimiento cuando el vendedor atienda el contrato con suministro de gas natural proveniente de otra fuente de suministro propia o de un tercero diferente a la que se previó en el contrato de suministro, debe ser claro que dicha excepción no puede cambiar las condiciones originales pactadas en el contrato para efectos de declaración de eventos eximentes de responsabilidad; es decir, que la posibilidad de cumplir el contrato con otra fuente de suministro no le debe habilitar al vendedor la posibilidad de declarar como eventos eximentes problemas de las fuentes alternas bajo la excusa de que la fuente alterna presenta un evento considerado eximente de responsabilidad. En ese sentido, sugerimos adicionar el siguiente texto:</w:t>
      </w:r>
    </w:p>
    <w:p w14:paraId="546C11B1" w14:textId="77777777" w:rsidR="001A43D3" w:rsidRPr="00A25B16" w:rsidRDefault="001A43D3" w:rsidP="001A43D3">
      <w:pPr>
        <w:jc w:val="left"/>
        <w:rPr>
          <w:i/>
          <w:iCs/>
          <w:sz w:val="22"/>
        </w:rPr>
      </w:pPr>
    </w:p>
    <w:p w14:paraId="50EF9575" w14:textId="77777777" w:rsidR="001A43D3" w:rsidRPr="00A25B16" w:rsidRDefault="001A43D3" w:rsidP="001A43D3">
      <w:pPr>
        <w:jc w:val="left"/>
        <w:rPr>
          <w:i/>
          <w:iCs/>
          <w:sz w:val="22"/>
        </w:rPr>
      </w:pPr>
      <w:r w:rsidRPr="00A25B16">
        <w:rPr>
          <w:i/>
          <w:iCs/>
          <w:sz w:val="22"/>
        </w:rPr>
        <w:t xml:space="preserve">“Parágrafo 6 transitorio. No habrá incumplimiento cuando el vendedor atienda el contrato con el suministro de gas natural proveniente de otra fuente de suministro, propia o de un tercero, diferente a la que se previó en el contrato de suministro, siempre y cuando esto no le implique al comprador asumir mayores costos en las demás actividades de la cadena de prestación del servicio. </w:t>
      </w:r>
      <w:r w:rsidRPr="00885678">
        <w:rPr>
          <w:b/>
          <w:bCs/>
          <w:i/>
          <w:iCs/>
          <w:sz w:val="22"/>
        </w:rPr>
        <w:t>No obstante, el uso de otra fuente no le permite al vendedor declarar como evento eximente de responsabilidad de su contrato original, eventos sobre fuentes alternas con las cuales intenta cumplir sus contratos</w:t>
      </w:r>
      <w:r w:rsidRPr="00A25B16">
        <w:rPr>
          <w:i/>
          <w:iCs/>
          <w:sz w:val="22"/>
        </w:rPr>
        <w:t>.”"</w:t>
      </w:r>
    </w:p>
    <w:p w14:paraId="3BB9889C" w14:textId="77777777" w:rsidR="001C3599" w:rsidRDefault="001C3599" w:rsidP="001A43D3">
      <w:pPr>
        <w:jc w:val="left"/>
        <w:rPr>
          <w:i/>
          <w:iCs/>
          <w:sz w:val="22"/>
        </w:rPr>
      </w:pPr>
    </w:p>
    <w:p w14:paraId="6466AFE6" w14:textId="77777777" w:rsidR="002B1FF0" w:rsidRPr="002B1FF0" w:rsidRDefault="002B1FF0" w:rsidP="002B1FF0">
      <w:pPr>
        <w:rPr>
          <w:rFonts w:cs="Arial"/>
          <w:b/>
          <w:bCs/>
          <w:sz w:val="22"/>
          <w:szCs w:val="22"/>
        </w:rPr>
      </w:pPr>
      <w:r w:rsidRPr="002B1FF0">
        <w:rPr>
          <w:rFonts w:cs="Arial"/>
          <w:b/>
          <w:bCs/>
          <w:sz w:val="22"/>
          <w:szCs w:val="22"/>
        </w:rPr>
        <w:t>RESPUESTA:</w:t>
      </w:r>
    </w:p>
    <w:p w14:paraId="52770643" w14:textId="77777777" w:rsidR="002B1FF0" w:rsidRPr="002B1FF0" w:rsidRDefault="002B1FF0" w:rsidP="002B1FF0">
      <w:pPr>
        <w:rPr>
          <w:rFonts w:cs="Arial"/>
          <w:sz w:val="22"/>
          <w:szCs w:val="22"/>
        </w:rPr>
      </w:pPr>
    </w:p>
    <w:p w14:paraId="3B380DE9" w14:textId="2D4A1576" w:rsidR="002B1FF0" w:rsidRDefault="00885678" w:rsidP="002B1FF0">
      <w:pPr>
        <w:rPr>
          <w:rFonts w:cs="Arial"/>
          <w:sz w:val="22"/>
          <w:szCs w:val="22"/>
        </w:rPr>
      </w:pPr>
      <w:r>
        <w:rPr>
          <w:rFonts w:cs="Arial"/>
          <w:sz w:val="22"/>
          <w:szCs w:val="22"/>
        </w:rPr>
        <w:t>No se acoge el comentario.</w:t>
      </w:r>
    </w:p>
    <w:p w14:paraId="64524D84" w14:textId="77777777" w:rsidR="00885678" w:rsidRDefault="00885678" w:rsidP="002B1FF0">
      <w:pPr>
        <w:rPr>
          <w:rFonts w:cs="Arial"/>
          <w:sz w:val="22"/>
          <w:szCs w:val="22"/>
        </w:rPr>
      </w:pPr>
    </w:p>
    <w:p w14:paraId="4CB2FDC2" w14:textId="23BB55B8" w:rsidR="00885678" w:rsidRPr="002B1FF0" w:rsidRDefault="00885678" w:rsidP="00885678">
      <w:pPr>
        <w:rPr>
          <w:rFonts w:cs="Arial"/>
          <w:sz w:val="22"/>
          <w:szCs w:val="22"/>
        </w:rPr>
      </w:pPr>
      <w:r>
        <w:rPr>
          <w:rFonts w:cs="Arial"/>
          <w:sz w:val="22"/>
          <w:szCs w:val="22"/>
        </w:rPr>
        <w:t xml:space="preserve">La posibilidad de cumplir el suministro de gas en un contrato del Mercado Primario, ya sea con la fuente de suministro incluida en el contrato de suministro o con otra fuente de suministro siempre y cuando </w:t>
      </w:r>
      <w:r w:rsidRPr="00885678">
        <w:rPr>
          <w:rFonts w:cs="Arial"/>
          <w:sz w:val="22"/>
          <w:szCs w:val="22"/>
        </w:rPr>
        <w:t>esto no le implique al comprador</w:t>
      </w:r>
      <w:r>
        <w:rPr>
          <w:rFonts w:cs="Arial"/>
          <w:sz w:val="22"/>
          <w:szCs w:val="22"/>
        </w:rPr>
        <w:t xml:space="preserve"> </w:t>
      </w:r>
      <w:r w:rsidRPr="00885678">
        <w:rPr>
          <w:rFonts w:cs="Arial"/>
          <w:sz w:val="22"/>
          <w:szCs w:val="22"/>
        </w:rPr>
        <w:t>asumir mayores costos en las demás actividades de la cadena de prestación</w:t>
      </w:r>
      <w:r>
        <w:rPr>
          <w:rFonts w:cs="Arial"/>
          <w:sz w:val="22"/>
          <w:szCs w:val="22"/>
        </w:rPr>
        <w:t xml:space="preserve"> </w:t>
      </w:r>
      <w:r w:rsidRPr="00885678">
        <w:rPr>
          <w:rFonts w:cs="Arial"/>
          <w:sz w:val="22"/>
          <w:szCs w:val="22"/>
        </w:rPr>
        <w:t>del servicio</w:t>
      </w:r>
      <w:r>
        <w:rPr>
          <w:rFonts w:cs="Arial"/>
          <w:sz w:val="22"/>
          <w:szCs w:val="22"/>
        </w:rPr>
        <w:t>, se establece con el fin de que el objeto principal del contrato, que es la entrega de gas cuando el comprador lo nomina, al precio contratado y en el punto de entrega contratado, se pueda cumplir</w:t>
      </w:r>
      <w:r w:rsidRPr="00885678">
        <w:rPr>
          <w:rFonts w:cs="Arial"/>
          <w:sz w:val="22"/>
          <w:szCs w:val="22"/>
        </w:rPr>
        <w:t>.</w:t>
      </w:r>
      <w:r>
        <w:rPr>
          <w:rFonts w:cs="Arial"/>
          <w:sz w:val="22"/>
          <w:szCs w:val="22"/>
        </w:rPr>
        <w:t xml:space="preserve"> Situaciones que lleven a configurar lo contrario, es decir, que el gas no se entregue, no se observan como una posibilidad de aplicación del texto propuesto. </w:t>
      </w:r>
    </w:p>
    <w:p w14:paraId="2FC53892" w14:textId="77777777" w:rsidR="001C3599" w:rsidRDefault="001C3599" w:rsidP="001A43D3">
      <w:pPr>
        <w:jc w:val="left"/>
        <w:rPr>
          <w:i/>
          <w:iCs/>
          <w:sz w:val="22"/>
        </w:rPr>
      </w:pPr>
    </w:p>
    <w:p w14:paraId="0173E09B" w14:textId="77777777" w:rsidR="001C3599" w:rsidRDefault="001C3599" w:rsidP="001A43D3">
      <w:pPr>
        <w:jc w:val="left"/>
        <w:rPr>
          <w:i/>
          <w:iCs/>
          <w:sz w:val="22"/>
        </w:rPr>
      </w:pPr>
    </w:p>
    <w:p w14:paraId="1C706D51" w14:textId="102502C5" w:rsidR="001C3599" w:rsidRDefault="001A43D3" w:rsidP="0049586D">
      <w:pPr>
        <w:pStyle w:val="Ttulo2"/>
      </w:pPr>
      <w:bookmarkStart w:id="130" w:name="_Toc158211483"/>
      <w:r w:rsidRPr="00A25B16">
        <w:t>ACP</w:t>
      </w:r>
      <w:bookmarkEnd w:id="130"/>
      <w:r w:rsidRPr="00A25B16">
        <w:tab/>
      </w:r>
    </w:p>
    <w:p w14:paraId="12458166" w14:textId="413EBC42" w:rsidR="001A43D3" w:rsidRDefault="001C3599" w:rsidP="001A43D3">
      <w:pPr>
        <w:jc w:val="left"/>
        <w:rPr>
          <w:i/>
          <w:iCs/>
          <w:sz w:val="22"/>
        </w:rPr>
      </w:pPr>
      <w:r>
        <w:rPr>
          <w:i/>
          <w:iCs/>
          <w:sz w:val="22"/>
        </w:rPr>
        <w:t>“</w:t>
      </w:r>
      <w:r w:rsidR="001A43D3" w:rsidRPr="00A25B16">
        <w:rPr>
          <w:i/>
          <w:iCs/>
          <w:sz w:val="22"/>
        </w:rPr>
        <w:t>La medida contenida en el artículo 6 de la propuesta regulatoria brinda flexibilidades necesarias para la cobertura de riesgos por parte del productor-comercializador, sin embargo consideramos oportuno que se amplie la condición definida en el artículo 3 de la R.CREG 186 de 2020, de forma que estos agentes no solamente puedan participar en el mercado secundario, sino que puedan tener una participación activa en el mercado primario para poder cubrir cualquier faltante frente a sus obligaciones comerciales, esto, manteniendo los lineamientos definidos en la R.CREG 080 de 2019 y la condición de no traslado o implicación de costos adicionales a la cadena de valor.</w:t>
      </w:r>
      <w:r>
        <w:rPr>
          <w:i/>
          <w:iCs/>
          <w:sz w:val="22"/>
        </w:rPr>
        <w:t>”</w:t>
      </w:r>
    </w:p>
    <w:p w14:paraId="1E7F6BA6" w14:textId="77777777" w:rsidR="001C3599" w:rsidRDefault="001C3599" w:rsidP="001A43D3">
      <w:pPr>
        <w:jc w:val="left"/>
        <w:rPr>
          <w:i/>
          <w:iCs/>
          <w:sz w:val="22"/>
        </w:rPr>
      </w:pPr>
    </w:p>
    <w:p w14:paraId="1B6A4831" w14:textId="77777777" w:rsidR="002B1FF0" w:rsidRPr="002B1FF0" w:rsidRDefault="002B1FF0" w:rsidP="002B1FF0">
      <w:pPr>
        <w:rPr>
          <w:rFonts w:cs="Arial"/>
          <w:b/>
          <w:bCs/>
          <w:sz w:val="22"/>
          <w:szCs w:val="22"/>
        </w:rPr>
      </w:pPr>
      <w:r w:rsidRPr="002B1FF0">
        <w:rPr>
          <w:rFonts w:cs="Arial"/>
          <w:b/>
          <w:bCs/>
          <w:sz w:val="22"/>
          <w:szCs w:val="22"/>
        </w:rPr>
        <w:t>RESPUESTA:</w:t>
      </w:r>
    </w:p>
    <w:p w14:paraId="57605152" w14:textId="77777777" w:rsidR="002B1FF0" w:rsidRPr="002B1FF0" w:rsidRDefault="002B1FF0" w:rsidP="002B1FF0">
      <w:pPr>
        <w:rPr>
          <w:rFonts w:cs="Arial"/>
          <w:sz w:val="22"/>
          <w:szCs w:val="22"/>
        </w:rPr>
      </w:pPr>
    </w:p>
    <w:p w14:paraId="251CA89B" w14:textId="03B44C34" w:rsidR="002B1FF0" w:rsidRPr="002B1FF0" w:rsidRDefault="004E433C" w:rsidP="002B1FF0">
      <w:pPr>
        <w:rPr>
          <w:rFonts w:cs="Arial"/>
          <w:sz w:val="22"/>
          <w:szCs w:val="22"/>
        </w:rPr>
      </w:pPr>
      <w:r>
        <w:rPr>
          <w:rFonts w:cs="Arial"/>
          <w:sz w:val="22"/>
          <w:szCs w:val="22"/>
        </w:rPr>
        <w:t xml:space="preserve">Ver respuesta al comentario </w:t>
      </w:r>
      <w:r w:rsidR="006C165F">
        <w:rPr>
          <w:rFonts w:cs="Arial"/>
          <w:sz w:val="22"/>
          <w:szCs w:val="22"/>
        </w:rPr>
        <w:fldChar w:fldCharType="begin"/>
      </w:r>
      <w:r w:rsidR="006C165F">
        <w:rPr>
          <w:rFonts w:cs="Arial"/>
          <w:sz w:val="22"/>
          <w:szCs w:val="22"/>
        </w:rPr>
        <w:instrText xml:space="preserve"> REF _Ref149024381 \n \h </w:instrText>
      </w:r>
      <w:r w:rsidR="006C165F">
        <w:rPr>
          <w:rFonts w:cs="Arial"/>
          <w:sz w:val="22"/>
          <w:szCs w:val="22"/>
        </w:rPr>
      </w:r>
      <w:r w:rsidR="006C165F">
        <w:rPr>
          <w:rFonts w:cs="Arial"/>
          <w:sz w:val="22"/>
          <w:szCs w:val="22"/>
        </w:rPr>
        <w:fldChar w:fldCharType="separate"/>
      </w:r>
      <w:r w:rsidR="0027336D">
        <w:rPr>
          <w:rFonts w:cs="Arial"/>
          <w:sz w:val="22"/>
          <w:szCs w:val="22"/>
        </w:rPr>
        <w:t>2.3</w:t>
      </w:r>
      <w:r w:rsidR="006C165F">
        <w:rPr>
          <w:rFonts w:cs="Arial"/>
          <w:sz w:val="22"/>
          <w:szCs w:val="22"/>
        </w:rPr>
        <w:fldChar w:fldCharType="end"/>
      </w:r>
      <w:r w:rsidR="006C165F">
        <w:rPr>
          <w:rFonts w:cs="Arial"/>
          <w:sz w:val="22"/>
          <w:szCs w:val="22"/>
        </w:rPr>
        <w:t>.</w:t>
      </w:r>
    </w:p>
    <w:p w14:paraId="653FCDBB" w14:textId="77777777" w:rsidR="001C3599" w:rsidRDefault="001C3599" w:rsidP="001A43D3">
      <w:pPr>
        <w:jc w:val="left"/>
        <w:rPr>
          <w:i/>
          <w:iCs/>
          <w:sz w:val="22"/>
        </w:rPr>
      </w:pPr>
    </w:p>
    <w:p w14:paraId="197CB3DA" w14:textId="77777777" w:rsidR="001C3599" w:rsidRPr="00A25B16" w:rsidRDefault="001C3599" w:rsidP="001A43D3">
      <w:pPr>
        <w:jc w:val="left"/>
        <w:rPr>
          <w:i/>
          <w:iCs/>
          <w:sz w:val="22"/>
        </w:rPr>
      </w:pPr>
    </w:p>
    <w:p w14:paraId="565D6C63" w14:textId="02095E74" w:rsidR="001C3599" w:rsidRDefault="001A43D3" w:rsidP="0049586D">
      <w:pPr>
        <w:pStyle w:val="Ttulo2"/>
      </w:pPr>
      <w:bookmarkStart w:id="131" w:name="_Toc158211484"/>
      <w:r w:rsidRPr="00A25B16">
        <w:t>CANACOL</w:t>
      </w:r>
      <w:bookmarkEnd w:id="131"/>
      <w:r w:rsidRPr="00A25B16">
        <w:tab/>
      </w:r>
    </w:p>
    <w:p w14:paraId="5B248E33" w14:textId="77777777" w:rsidR="009C4D5F" w:rsidRDefault="001C3599" w:rsidP="001A43D3">
      <w:pPr>
        <w:jc w:val="left"/>
        <w:rPr>
          <w:i/>
          <w:iCs/>
          <w:sz w:val="22"/>
        </w:rPr>
      </w:pPr>
      <w:r>
        <w:rPr>
          <w:i/>
          <w:iCs/>
          <w:sz w:val="22"/>
        </w:rPr>
        <w:t>“</w:t>
      </w:r>
      <w:r w:rsidR="001A43D3" w:rsidRPr="00A25B16">
        <w:rPr>
          <w:i/>
          <w:iCs/>
          <w:sz w:val="22"/>
        </w:rPr>
        <w:t>Sugerimos incluir que no existirá un incumplimiento, cuando el vendedor atienda el suministro a través de otras fuentes o cualquier otro mecanismo de comercialización habilitado por la regulación, en el sentido de ampliar las posibilidades que tenga el vendedor de</w:t>
      </w:r>
      <w:r w:rsidR="007734A4">
        <w:rPr>
          <w:i/>
          <w:iCs/>
          <w:sz w:val="22"/>
        </w:rPr>
        <w:t xml:space="preserve"> </w:t>
      </w:r>
    </w:p>
    <w:p w14:paraId="7C179CD1" w14:textId="77777777" w:rsidR="009C4D5F" w:rsidRDefault="009C4D5F" w:rsidP="001A43D3">
      <w:pPr>
        <w:jc w:val="left"/>
        <w:rPr>
          <w:i/>
          <w:iCs/>
          <w:sz w:val="22"/>
        </w:rPr>
      </w:pPr>
    </w:p>
    <w:p w14:paraId="0F81DC02" w14:textId="0A14E108" w:rsidR="001A43D3" w:rsidRPr="00A25B16" w:rsidRDefault="007734A4" w:rsidP="001A43D3">
      <w:pPr>
        <w:jc w:val="left"/>
        <w:rPr>
          <w:i/>
          <w:iCs/>
          <w:sz w:val="22"/>
        </w:rPr>
      </w:pPr>
      <w:r>
        <w:rPr>
          <w:i/>
          <w:iCs/>
          <w:sz w:val="22"/>
        </w:rPr>
        <w:t>“</w:t>
      </w:r>
      <w:r w:rsidR="009C4D5F" w:rsidRPr="009C4D5F">
        <w:rPr>
          <w:i/>
          <w:iCs/>
          <w:sz w:val="22"/>
        </w:rPr>
        <w:t>Incluir el siguiente aparte en el artículo 6: "no habrá incumplimiento cuando el vendedor atienda el contrato con el suministro de gas natural proveniente de otra fuente de suministro o cualquier otro mecanismo de comercialización habilitado por la regulación, propia o de un tercero, diferente a la que se previó en el contrato de suministro, siempre y cuando esto no le implique al comprador asumir mayores costos en las demás actividades de la cadena de prestación del servicio".</w:t>
      </w:r>
    </w:p>
    <w:p w14:paraId="036D60CF" w14:textId="77777777" w:rsidR="001C3599" w:rsidRDefault="001C3599" w:rsidP="001A43D3">
      <w:pPr>
        <w:jc w:val="left"/>
        <w:rPr>
          <w:i/>
          <w:iCs/>
          <w:sz w:val="22"/>
        </w:rPr>
      </w:pPr>
    </w:p>
    <w:p w14:paraId="508C590B" w14:textId="77777777" w:rsidR="002B1FF0" w:rsidRPr="002B1FF0" w:rsidRDefault="002B1FF0" w:rsidP="002B1FF0">
      <w:pPr>
        <w:rPr>
          <w:rFonts w:cs="Arial"/>
          <w:b/>
          <w:bCs/>
          <w:sz w:val="22"/>
          <w:szCs w:val="22"/>
        </w:rPr>
      </w:pPr>
      <w:r w:rsidRPr="002B1FF0">
        <w:rPr>
          <w:rFonts w:cs="Arial"/>
          <w:b/>
          <w:bCs/>
          <w:sz w:val="22"/>
          <w:szCs w:val="22"/>
        </w:rPr>
        <w:t>RESPUESTA:</w:t>
      </w:r>
    </w:p>
    <w:p w14:paraId="3340C939" w14:textId="77777777" w:rsidR="002B1FF0" w:rsidRPr="002B1FF0" w:rsidRDefault="002B1FF0" w:rsidP="002B1FF0">
      <w:pPr>
        <w:rPr>
          <w:rFonts w:cs="Arial"/>
          <w:sz w:val="22"/>
          <w:szCs w:val="22"/>
        </w:rPr>
      </w:pPr>
    </w:p>
    <w:p w14:paraId="073300DF" w14:textId="1E7750AC" w:rsidR="001C3599" w:rsidRPr="009C4D5F" w:rsidRDefault="009C4D5F" w:rsidP="009C4D5F">
      <w:pPr>
        <w:rPr>
          <w:rFonts w:cs="Arial"/>
          <w:sz w:val="22"/>
          <w:szCs w:val="22"/>
        </w:rPr>
      </w:pPr>
      <w:r>
        <w:rPr>
          <w:rFonts w:cs="Arial"/>
          <w:sz w:val="22"/>
          <w:szCs w:val="22"/>
        </w:rPr>
        <w:t>En el comentario se proponen fuentes de suministro y mecanismos de comercialización como conceptos equivalentes. El vendedor de un contrato de suministro adquiere el suministro de una fuente alterna como parte compradora, de acuerdo con los mecanismos de comercialización de la CREG.</w:t>
      </w:r>
    </w:p>
    <w:p w14:paraId="1EF84EC3" w14:textId="77777777" w:rsidR="001C3599" w:rsidRDefault="001C3599" w:rsidP="001A43D3">
      <w:pPr>
        <w:jc w:val="left"/>
        <w:rPr>
          <w:i/>
          <w:iCs/>
          <w:sz w:val="22"/>
        </w:rPr>
      </w:pPr>
    </w:p>
    <w:p w14:paraId="06C470A7" w14:textId="2A26CF2C" w:rsidR="001C3599" w:rsidRDefault="001A43D3" w:rsidP="0049586D">
      <w:pPr>
        <w:pStyle w:val="Ttulo2"/>
      </w:pPr>
      <w:bookmarkStart w:id="132" w:name="_Toc158211485"/>
      <w:r w:rsidRPr="00A25B16">
        <w:t>CANACOL</w:t>
      </w:r>
      <w:bookmarkEnd w:id="132"/>
      <w:r w:rsidRPr="00A25B16">
        <w:tab/>
      </w:r>
    </w:p>
    <w:p w14:paraId="03E1E3D0" w14:textId="2FE0F166" w:rsidR="001A43D3" w:rsidRPr="00A25B16" w:rsidRDefault="001A43D3" w:rsidP="001A43D3">
      <w:pPr>
        <w:jc w:val="left"/>
        <w:rPr>
          <w:i/>
          <w:iCs/>
          <w:sz w:val="22"/>
        </w:rPr>
      </w:pPr>
      <w:r w:rsidRPr="00A25B16">
        <w:rPr>
          <w:i/>
          <w:iCs/>
          <w:sz w:val="22"/>
        </w:rPr>
        <w:t>"Se solicita adicionar numeral 1 del artículo 14 de la Resolución CREG 186 de 2020, en donde se establezca que cuando el comprador atienda su demanda con suministro de gas de otra fuente o lo consiga a través de cualquier otro mecanismo de comercalización habilitado por la regulación, esto no representará que adicionalmente el vendedor deba pagar las compensaciones correspondientes, dado que la demanda finalmente si fue atendida, y por ello no hay lugar a una penalidad, la cual su naturaleza es compensar por una efectiva interrupción en el suministro, caso que no aplicaría si el comprador consigue el gas a través de otro mecanismo o fuente alterna.</w:t>
      </w:r>
    </w:p>
    <w:p w14:paraId="0BED670D" w14:textId="77777777" w:rsidR="001A43D3" w:rsidRPr="00A25B16" w:rsidRDefault="001A43D3" w:rsidP="001A43D3">
      <w:pPr>
        <w:jc w:val="left"/>
        <w:rPr>
          <w:i/>
          <w:iCs/>
          <w:sz w:val="22"/>
        </w:rPr>
      </w:pPr>
    </w:p>
    <w:p w14:paraId="2D9711F3" w14:textId="77777777" w:rsidR="001A43D3" w:rsidRPr="00A25B16" w:rsidRDefault="001A43D3" w:rsidP="001A43D3">
      <w:pPr>
        <w:jc w:val="left"/>
        <w:rPr>
          <w:i/>
          <w:iCs/>
          <w:sz w:val="22"/>
        </w:rPr>
      </w:pPr>
      <w:r w:rsidRPr="00A25B16">
        <w:rPr>
          <w:i/>
          <w:iCs/>
          <w:sz w:val="22"/>
        </w:rPr>
        <w:t xml:space="preserve">Claro está que la responsabilidad del vendedor en el caso anterior se limitará a pagar el sobrecosto del gas sustituto que el comprador adquirió hasta las cantidades de gas comprometidas en el respectivo contrato. </w:t>
      </w:r>
    </w:p>
    <w:p w14:paraId="179861E9" w14:textId="77777777" w:rsidR="001A43D3" w:rsidRPr="00A25B16" w:rsidRDefault="001A43D3" w:rsidP="001A43D3">
      <w:pPr>
        <w:jc w:val="left"/>
        <w:rPr>
          <w:i/>
          <w:iCs/>
          <w:sz w:val="22"/>
        </w:rPr>
      </w:pPr>
    </w:p>
    <w:p w14:paraId="71948B9F" w14:textId="2DB070A4" w:rsidR="001A43D3" w:rsidRDefault="001A43D3" w:rsidP="001A43D3">
      <w:pPr>
        <w:jc w:val="left"/>
        <w:rPr>
          <w:i/>
          <w:iCs/>
          <w:sz w:val="22"/>
        </w:rPr>
      </w:pPr>
      <w:r w:rsidRPr="00A25B16">
        <w:rPr>
          <w:i/>
          <w:iCs/>
          <w:sz w:val="22"/>
        </w:rPr>
        <w:t>Lo anterior, debido a que, en concordancia con las propuestas de la CREG en esta resolución, se debe aclarar que el incumplimiento (y en consecuencia las compensaciones) se causan solo si el comprador no se le suministra el gas a través de cualquier fuente alterna y/o mecanismo de comercialización habilitado por la regulación. "</w:t>
      </w:r>
    </w:p>
    <w:p w14:paraId="352A456D" w14:textId="77777777" w:rsidR="007734A4" w:rsidRDefault="007734A4" w:rsidP="001A43D3">
      <w:pPr>
        <w:jc w:val="left"/>
        <w:rPr>
          <w:i/>
          <w:iCs/>
          <w:sz w:val="22"/>
        </w:rPr>
      </w:pPr>
    </w:p>
    <w:p w14:paraId="0EB729FC" w14:textId="77777777" w:rsidR="002B1FF0" w:rsidRPr="002B1FF0" w:rsidRDefault="002B1FF0" w:rsidP="002B1FF0">
      <w:pPr>
        <w:rPr>
          <w:rFonts w:cs="Arial"/>
          <w:b/>
          <w:bCs/>
          <w:sz w:val="22"/>
          <w:szCs w:val="22"/>
        </w:rPr>
      </w:pPr>
      <w:r w:rsidRPr="002B1FF0">
        <w:rPr>
          <w:rFonts w:cs="Arial"/>
          <w:b/>
          <w:bCs/>
          <w:sz w:val="22"/>
          <w:szCs w:val="22"/>
        </w:rPr>
        <w:t>RESPUESTA:</w:t>
      </w:r>
    </w:p>
    <w:p w14:paraId="23D26BE9" w14:textId="77777777" w:rsidR="002B1FF0" w:rsidRPr="002B1FF0" w:rsidRDefault="002B1FF0" w:rsidP="002B1FF0">
      <w:pPr>
        <w:rPr>
          <w:rFonts w:cs="Arial"/>
          <w:sz w:val="22"/>
          <w:szCs w:val="22"/>
        </w:rPr>
      </w:pPr>
    </w:p>
    <w:p w14:paraId="5A82886F" w14:textId="61BFCF09" w:rsidR="002B1FF0" w:rsidRPr="002B1FF0" w:rsidRDefault="004C669C" w:rsidP="002B1FF0">
      <w:pPr>
        <w:rPr>
          <w:rFonts w:cs="Arial"/>
          <w:sz w:val="22"/>
          <w:szCs w:val="22"/>
        </w:rPr>
      </w:pPr>
      <w:r>
        <w:rPr>
          <w:rFonts w:cs="Arial"/>
          <w:sz w:val="22"/>
          <w:szCs w:val="22"/>
        </w:rPr>
        <w:t>La compensación e debe reconocer por el vendedor cuando este in cumple la obligación del suministro. Su obligación principal es entregar el gas nominado, no que el gas natural tenga que provenir exclusivamente de las fuentes pactadas en el contrato del Mercado Primario.</w:t>
      </w:r>
    </w:p>
    <w:p w14:paraId="38965191" w14:textId="77777777" w:rsidR="007734A4" w:rsidRDefault="007734A4" w:rsidP="001A43D3">
      <w:pPr>
        <w:jc w:val="left"/>
        <w:rPr>
          <w:i/>
          <w:iCs/>
          <w:sz w:val="22"/>
        </w:rPr>
      </w:pPr>
    </w:p>
    <w:p w14:paraId="6DA94B93" w14:textId="77777777" w:rsidR="007734A4" w:rsidRPr="00A25B16" w:rsidRDefault="007734A4" w:rsidP="001A43D3">
      <w:pPr>
        <w:jc w:val="left"/>
        <w:rPr>
          <w:i/>
          <w:iCs/>
          <w:sz w:val="22"/>
        </w:rPr>
      </w:pPr>
    </w:p>
    <w:p w14:paraId="31B1A268" w14:textId="05706D38" w:rsidR="007734A4" w:rsidRDefault="001A43D3" w:rsidP="0049586D">
      <w:pPr>
        <w:pStyle w:val="Ttulo2"/>
      </w:pPr>
      <w:bookmarkStart w:id="133" w:name="_Toc158211486"/>
      <w:r w:rsidRPr="00A25B16">
        <w:t>ENEL Colombia S.A. E.S.P</w:t>
      </w:r>
      <w:bookmarkEnd w:id="133"/>
      <w:r w:rsidRPr="00A25B16">
        <w:tab/>
      </w:r>
    </w:p>
    <w:p w14:paraId="6ABD4806" w14:textId="1812E3E5" w:rsidR="001A43D3" w:rsidRPr="00A25B16" w:rsidRDefault="001A43D3" w:rsidP="001A43D3">
      <w:pPr>
        <w:jc w:val="left"/>
        <w:rPr>
          <w:i/>
          <w:iCs/>
          <w:sz w:val="22"/>
        </w:rPr>
      </w:pPr>
      <w:r w:rsidRPr="00A25B16">
        <w:rPr>
          <w:i/>
          <w:iCs/>
          <w:sz w:val="22"/>
        </w:rPr>
        <w:t xml:space="preserve">"Sobre el Articulo 6 “Adiciónese el Parágrafo 6 transitorio, al Artículo 13 “Incumplimiento”, consideramos que la medida favorece a los Productores-Comercializadores en el sentido que les permite cumplir con sus obligaciones con una mayor versatilidad dependiendo si tienen múltiples fuentes de suministro, sin embargo vemos que se debe profundizar la forma en la cual el mercado puede asegurar esa neutralidad desde el punto de vista económico por un cambio en el punto de entrega, puesto que en principio se estará sujeto a una estructura de tarifas por distancia en Transporte, la cual es diferente en todo el país y en segundo lugar habría una exposición a la disponibilidad de transporte. Por lo anterior no entendemos como se asegura que para el comprador tal medida le permita asumir el cambio de fuente sin incurrir en mayores costos, es así como la Comisión podría definir explícitamente que el Productor-Comercializador absorba tales costos dentro del precio en caso de cambio de suministro. </w:t>
      </w:r>
    </w:p>
    <w:p w14:paraId="7A80F25B" w14:textId="77777777" w:rsidR="001A43D3" w:rsidRPr="00A25B16" w:rsidRDefault="001A43D3" w:rsidP="001A43D3">
      <w:pPr>
        <w:jc w:val="left"/>
        <w:rPr>
          <w:i/>
          <w:iCs/>
          <w:sz w:val="22"/>
        </w:rPr>
      </w:pPr>
    </w:p>
    <w:p w14:paraId="3FDE87A4" w14:textId="77777777" w:rsidR="001A43D3" w:rsidRDefault="001A43D3" w:rsidP="001A43D3">
      <w:pPr>
        <w:jc w:val="left"/>
        <w:rPr>
          <w:i/>
          <w:iCs/>
          <w:sz w:val="22"/>
        </w:rPr>
      </w:pPr>
      <w:r w:rsidRPr="00A25B16">
        <w:rPr>
          <w:i/>
          <w:iCs/>
          <w:sz w:val="22"/>
        </w:rPr>
        <w:t>Profundizar en si se puede mantener la neutralidad desde el punto de vista economico o establecer un mecanismo o formula para tal fin"</w:t>
      </w:r>
    </w:p>
    <w:p w14:paraId="620ED808" w14:textId="77777777" w:rsidR="007734A4" w:rsidRDefault="007734A4" w:rsidP="001A43D3">
      <w:pPr>
        <w:jc w:val="left"/>
        <w:rPr>
          <w:i/>
          <w:iCs/>
          <w:sz w:val="22"/>
        </w:rPr>
      </w:pPr>
    </w:p>
    <w:p w14:paraId="7A930924" w14:textId="77777777" w:rsidR="002B1FF0" w:rsidRPr="002B1FF0" w:rsidRDefault="002B1FF0" w:rsidP="002B1FF0">
      <w:pPr>
        <w:rPr>
          <w:rFonts w:cs="Arial"/>
          <w:b/>
          <w:bCs/>
          <w:sz w:val="22"/>
          <w:szCs w:val="22"/>
        </w:rPr>
      </w:pPr>
      <w:r w:rsidRPr="002B1FF0">
        <w:rPr>
          <w:rFonts w:cs="Arial"/>
          <w:b/>
          <w:bCs/>
          <w:sz w:val="22"/>
          <w:szCs w:val="22"/>
        </w:rPr>
        <w:t>RESPUESTA:</w:t>
      </w:r>
    </w:p>
    <w:p w14:paraId="75D2ADA6" w14:textId="77777777" w:rsidR="002B1FF0" w:rsidRPr="002B1FF0" w:rsidRDefault="002B1FF0" w:rsidP="002B1FF0">
      <w:pPr>
        <w:rPr>
          <w:rFonts w:cs="Arial"/>
          <w:sz w:val="22"/>
          <w:szCs w:val="22"/>
        </w:rPr>
      </w:pPr>
    </w:p>
    <w:p w14:paraId="2E5CB803" w14:textId="6D50667C" w:rsidR="002B1FF0" w:rsidRPr="002B1FF0" w:rsidRDefault="0046166B" w:rsidP="002B1FF0">
      <w:pPr>
        <w:rPr>
          <w:rFonts w:cs="Arial"/>
          <w:sz w:val="22"/>
          <w:szCs w:val="22"/>
        </w:rPr>
      </w:pPr>
      <w:r>
        <w:rPr>
          <w:rFonts w:cs="Arial"/>
          <w:sz w:val="22"/>
          <w:szCs w:val="22"/>
        </w:rPr>
        <w:t>Para eso existe la cláusula de compensación, el vendedor evaluará qué le conviene más, si incumplir el contrato con toso lo que ello implica (pago de compensaciones y demás) o asumir los costos de las demás actividades de la cadena que se ven incrementados al comprador por no contar con dicho gas.</w:t>
      </w:r>
    </w:p>
    <w:p w14:paraId="212859AE" w14:textId="77777777" w:rsidR="007734A4" w:rsidRDefault="007734A4" w:rsidP="001A43D3">
      <w:pPr>
        <w:jc w:val="left"/>
        <w:rPr>
          <w:i/>
          <w:iCs/>
          <w:sz w:val="22"/>
        </w:rPr>
      </w:pPr>
    </w:p>
    <w:p w14:paraId="761D5CEA" w14:textId="77777777" w:rsidR="007734A4" w:rsidRPr="00A25B16" w:rsidRDefault="007734A4" w:rsidP="001A43D3">
      <w:pPr>
        <w:jc w:val="left"/>
        <w:rPr>
          <w:i/>
          <w:iCs/>
          <w:sz w:val="22"/>
        </w:rPr>
      </w:pPr>
    </w:p>
    <w:p w14:paraId="283EBE14" w14:textId="02709F2D" w:rsidR="007734A4" w:rsidRDefault="001A43D3" w:rsidP="0049586D">
      <w:pPr>
        <w:pStyle w:val="Ttulo2"/>
      </w:pPr>
      <w:bookmarkStart w:id="134" w:name="_Toc158211487"/>
      <w:r w:rsidRPr="00A25B16">
        <w:t>Gases del Caribe</w:t>
      </w:r>
      <w:bookmarkEnd w:id="134"/>
      <w:r w:rsidRPr="00A25B16">
        <w:tab/>
      </w:r>
    </w:p>
    <w:p w14:paraId="57067EB6" w14:textId="2EED3744" w:rsidR="001A43D3" w:rsidRPr="00A25B16" w:rsidRDefault="001A43D3" w:rsidP="001A43D3">
      <w:pPr>
        <w:jc w:val="left"/>
        <w:rPr>
          <w:i/>
          <w:iCs/>
          <w:sz w:val="22"/>
        </w:rPr>
      </w:pPr>
      <w:r w:rsidRPr="00A25B16">
        <w:rPr>
          <w:i/>
          <w:iCs/>
          <w:sz w:val="22"/>
        </w:rPr>
        <w:t xml:space="preserve">"Consideramos que la decisión sobre el cambio de fuente del gas no debe ser unilateral a cargo del Productor. Lo anterior, por cuanto, si bien es cierto que el proyecto de resolución establece que el Comercializador no se verá afectado en costos adicionales de transporte, sugerimos que esta decisión sea acordada entre las partes con el fin de que el Comercializador cuente con mayor eficiencia en la planeacion y operatividad en la atención de su demanda. </w:t>
      </w:r>
    </w:p>
    <w:p w14:paraId="2F37E7AE" w14:textId="77777777" w:rsidR="001A43D3" w:rsidRPr="00A25B16" w:rsidRDefault="001A43D3" w:rsidP="001A43D3">
      <w:pPr>
        <w:jc w:val="left"/>
        <w:rPr>
          <w:i/>
          <w:iCs/>
          <w:sz w:val="22"/>
        </w:rPr>
      </w:pPr>
    </w:p>
    <w:p w14:paraId="0EBFD6B4" w14:textId="77777777" w:rsidR="001A43D3" w:rsidRDefault="001A43D3" w:rsidP="001A43D3">
      <w:pPr>
        <w:jc w:val="left"/>
        <w:rPr>
          <w:i/>
          <w:iCs/>
          <w:sz w:val="22"/>
        </w:rPr>
      </w:pPr>
      <w:r w:rsidRPr="00A25B16">
        <w:rPr>
          <w:i/>
          <w:iCs/>
          <w:sz w:val="22"/>
        </w:rPr>
        <w:t>Se recomienda definir que sea acordado entre las partes."</w:t>
      </w:r>
    </w:p>
    <w:p w14:paraId="723760C2" w14:textId="77777777" w:rsidR="007734A4" w:rsidRDefault="007734A4" w:rsidP="001A43D3">
      <w:pPr>
        <w:jc w:val="left"/>
        <w:rPr>
          <w:i/>
          <w:iCs/>
          <w:sz w:val="22"/>
        </w:rPr>
      </w:pPr>
    </w:p>
    <w:p w14:paraId="6E247F3C" w14:textId="77777777" w:rsidR="002B1FF0" w:rsidRPr="002B1FF0" w:rsidRDefault="002B1FF0" w:rsidP="002B1FF0">
      <w:pPr>
        <w:rPr>
          <w:rFonts w:cs="Arial"/>
          <w:b/>
          <w:bCs/>
          <w:sz w:val="22"/>
          <w:szCs w:val="22"/>
        </w:rPr>
      </w:pPr>
      <w:r w:rsidRPr="002B1FF0">
        <w:rPr>
          <w:rFonts w:cs="Arial"/>
          <w:b/>
          <w:bCs/>
          <w:sz w:val="22"/>
          <w:szCs w:val="22"/>
        </w:rPr>
        <w:t>RESPUESTA:</w:t>
      </w:r>
    </w:p>
    <w:p w14:paraId="09321850" w14:textId="77777777" w:rsidR="002B1FF0" w:rsidRPr="002B1FF0" w:rsidRDefault="002B1FF0" w:rsidP="002B1FF0">
      <w:pPr>
        <w:rPr>
          <w:rFonts w:cs="Arial"/>
          <w:sz w:val="22"/>
          <w:szCs w:val="22"/>
        </w:rPr>
      </w:pPr>
    </w:p>
    <w:p w14:paraId="61DB5DBF" w14:textId="36ACC5A5" w:rsidR="002B1FF0" w:rsidRPr="002B1FF0" w:rsidRDefault="002D0003"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_Ref148960089 \n \h </w:instrText>
      </w:r>
      <w:r>
        <w:rPr>
          <w:rFonts w:cs="Arial"/>
          <w:sz w:val="22"/>
          <w:szCs w:val="22"/>
        </w:rPr>
      </w:r>
      <w:r>
        <w:rPr>
          <w:rFonts w:cs="Arial"/>
          <w:sz w:val="22"/>
          <w:szCs w:val="22"/>
        </w:rPr>
        <w:fldChar w:fldCharType="separate"/>
      </w:r>
      <w:r w:rsidR="0027336D">
        <w:rPr>
          <w:rFonts w:cs="Arial"/>
          <w:sz w:val="22"/>
          <w:szCs w:val="22"/>
        </w:rPr>
        <w:t>5.24</w:t>
      </w:r>
      <w:r>
        <w:rPr>
          <w:rFonts w:cs="Arial"/>
          <w:sz w:val="22"/>
          <w:szCs w:val="22"/>
        </w:rPr>
        <w:fldChar w:fldCharType="end"/>
      </w:r>
      <w:r>
        <w:rPr>
          <w:rFonts w:cs="Arial"/>
          <w:sz w:val="22"/>
          <w:szCs w:val="22"/>
        </w:rPr>
        <w:t>.</w:t>
      </w:r>
    </w:p>
    <w:p w14:paraId="686A23E3" w14:textId="77777777" w:rsidR="007734A4" w:rsidRDefault="007734A4" w:rsidP="001A43D3">
      <w:pPr>
        <w:jc w:val="left"/>
        <w:rPr>
          <w:i/>
          <w:iCs/>
          <w:sz w:val="22"/>
        </w:rPr>
      </w:pPr>
    </w:p>
    <w:p w14:paraId="692D8A3B" w14:textId="77777777" w:rsidR="007734A4" w:rsidRPr="00A25B16" w:rsidRDefault="007734A4" w:rsidP="001A43D3">
      <w:pPr>
        <w:jc w:val="left"/>
        <w:rPr>
          <w:i/>
          <w:iCs/>
          <w:sz w:val="22"/>
        </w:rPr>
      </w:pPr>
    </w:p>
    <w:p w14:paraId="58A79F23" w14:textId="6804C0E9" w:rsidR="007734A4" w:rsidRDefault="001A43D3" w:rsidP="0049586D">
      <w:pPr>
        <w:pStyle w:val="Ttulo2"/>
      </w:pPr>
      <w:bookmarkStart w:id="135" w:name="_Toc158211488"/>
      <w:r w:rsidRPr="00A25B16">
        <w:t>SANTAFÉ ENERGY</w:t>
      </w:r>
      <w:bookmarkEnd w:id="135"/>
      <w:r w:rsidRPr="00A25B16">
        <w:tab/>
      </w:r>
    </w:p>
    <w:p w14:paraId="6FB58411" w14:textId="5807B136" w:rsidR="001A43D3" w:rsidRPr="00A25B16" w:rsidRDefault="007734A4" w:rsidP="001A43D3">
      <w:pPr>
        <w:jc w:val="left"/>
        <w:rPr>
          <w:i/>
          <w:iCs/>
          <w:sz w:val="22"/>
        </w:rPr>
      </w:pPr>
      <w:r>
        <w:rPr>
          <w:i/>
          <w:iCs/>
          <w:sz w:val="22"/>
        </w:rPr>
        <w:t>“</w:t>
      </w:r>
      <w:r w:rsidR="001A43D3" w:rsidRPr="00A25B16">
        <w:rPr>
          <w:i/>
          <w:iCs/>
          <w:sz w:val="22"/>
        </w:rPr>
        <w:t>Es pertinente que se elimine temporalmente, como causal de incumplimiento contractual que se atienda el contrato con una fuente de suministro diferente a la contratada.</w:t>
      </w:r>
      <w:r>
        <w:rPr>
          <w:i/>
          <w:iCs/>
          <w:sz w:val="22"/>
        </w:rPr>
        <w:t>”</w:t>
      </w:r>
    </w:p>
    <w:p w14:paraId="740FF847" w14:textId="77777777" w:rsidR="001A43D3" w:rsidRPr="00A25B16" w:rsidRDefault="001A43D3" w:rsidP="001A43D3">
      <w:pPr>
        <w:jc w:val="left"/>
        <w:rPr>
          <w:i/>
          <w:iCs/>
          <w:sz w:val="22"/>
        </w:rPr>
      </w:pPr>
    </w:p>
    <w:p w14:paraId="387FAB9E" w14:textId="77777777" w:rsidR="002B1FF0" w:rsidRPr="002B1FF0" w:rsidRDefault="002B1FF0" w:rsidP="002B1FF0">
      <w:pPr>
        <w:rPr>
          <w:rFonts w:cs="Arial"/>
          <w:b/>
          <w:bCs/>
          <w:sz w:val="22"/>
          <w:szCs w:val="22"/>
        </w:rPr>
      </w:pPr>
      <w:r w:rsidRPr="002B1FF0">
        <w:rPr>
          <w:rFonts w:cs="Arial"/>
          <w:b/>
          <w:bCs/>
          <w:sz w:val="22"/>
          <w:szCs w:val="22"/>
        </w:rPr>
        <w:t>RESPUESTA:</w:t>
      </w:r>
    </w:p>
    <w:p w14:paraId="14E7A916" w14:textId="77777777" w:rsidR="002B1FF0" w:rsidRPr="002B1FF0" w:rsidRDefault="002B1FF0" w:rsidP="002B1FF0">
      <w:pPr>
        <w:rPr>
          <w:rFonts w:cs="Arial"/>
          <w:sz w:val="22"/>
          <w:szCs w:val="22"/>
        </w:rPr>
      </w:pPr>
    </w:p>
    <w:p w14:paraId="164E7EEC" w14:textId="4C946019" w:rsidR="002B1FF0" w:rsidRDefault="00285B96" w:rsidP="002B1FF0">
      <w:pPr>
        <w:rPr>
          <w:rFonts w:cs="Arial"/>
          <w:sz w:val="22"/>
          <w:szCs w:val="22"/>
        </w:rPr>
      </w:pPr>
      <w:r>
        <w:rPr>
          <w:rFonts w:cs="Arial"/>
          <w:sz w:val="22"/>
          <w:szCs w:val="22"/>
        </w:rPr>
        <w:t>Ok.</w:t>
      </w:r>
    </w:p>
    <w:p w14:paraId="31327266" w14:textId="77777777" w:rsidR="00285B96" w:rsidRPr="002B1FF0" w:rsidRDefault="00285B96" w:rsidP="002B1FF0">
      <w:pPr>
        <w:rPr>
          <w:rFonts w:cs="Arial"/>
          <w:sz w:val="22"/>
          <w:szCs w:val="22"/>
        </w:rPr>
      </w:pPr>
    </w:p>
    <w:p w14:paraId="648C3AC3" w14:textId="77777777" w:rsidR="001A43D3" w:rsidRDefault="001A43D3" w:rsidP="001A43D3">
      <w:pPr>
        <w:jc w:val="left"/>
        <w:rPr>
          <w:i/>
          <w:iCs/>
          <w:sz w:val="22"/>
        </w:rPr>
      </w:pPr>
    </w:p>
    <w:p w14:paraId="17DD6AA4" w14:textId="04B551B9" w:rsidR="0049586D" w:rsidRPr="00A25B16" w:rsidRDefault="0049586D" w:rsidP="0049586D">
      <w:pPr>
        <w:pStyle w:val="Ttulo1"/>
      </w:pPr>
      <w:bookmarkStart w:id="136" w:name="_Toc158211489"/>
      <w:r>
        <w:t>ARTÍCULO 7</w:t>
      </w:r>
      <w:bookmarkEnd w:id="136"/>
    </w:p>
    <w:p w14:paraId="7AEC6C01" w14:textId="77777777" w:rsidR="001A43D3" w:rsidRPr="00A25B16" w:rsidRDefault="001A43D3" w:rsidP="001A43D3">
      <w:pPr>
        <w:jc w:val="left"/>
        <w:rPr>
          <w:i/>
          <w:iCs/>
          <w:sz w:val="22"/>
        </w:rPr>
      </w:pPr>
    </w:p>
    <w:p w14:paraId="6BC8F70C" w14:textId="5FC63E37" w:rsidR="007734A4" w:rsidRDefault="001A43D3" w:rsidP="0049586D">
      <w:pPr>
        <w:pStyle w:val="Ttulo2"/>
      </w:pPr>
      <w:bookmarkStart w:id="137" w:name="_Ref149025605"/>
      <w:bookmarkStart w:id="138" w:name="_Ref149026748"/>
      <w:bookmarkStart w:id="139" w:name="_Ref149026780"/>
      <w:bookmarkStart w:id="140" w:name="_Toc158211490"/>
      <w:r w:rsidRPr="00A25B16">
        <w:t>ACP</w:t>
      </w:r>
      <w:bookmarkEnd w:id="137"/>
      <w:bookmarkEnd w:id="138"/>
      <w:bookmarkEnd w:id="139"/>
      <w:bookmarkEnd w:id="140"/>
      <w:r w:rsidRPr="00A25B16">
        <w:tab/>
      </w:r>
    </w:p>
    <w:p w14:paraId="730CB73F" w14:textId="399CC66E" w:rsidR="001A43D3" w:rsidRPr="00A25B16" w:rsidRDefault="001A43D3" w:rsidP="001A43D3">
      <w:pPr>
        <w:jc w:val="left"/>
        <w:rPr>
          <w:i/>
          <w:iCs/>
          <w:sz w:val="22"/>
        </w:rPr>
      </w:pPr>
      <w:r w:rsidRPr="00A25B16">
        <w:rPr>
          <w:i/>
          <w:iCs/>
          <w:sz w:val="22"/>
        </w:rPr>
        <w:t>"Las flexibilidades otorgadas para aumentar la disponibilidad de nueva producción disponible para la venta en firme – PTDVF en el mercado, debe estar alineada con la actualización de la declaración de producción dada por el Ministerio de Minas y Energía, de forma que el gestor del mercado pueda verificar la disponibilidad y generar los balances necesarios para hacer efectiva la oferta en el mercado.</w:t>
      </w:r>
    </w:p>
    <w:p w14:paraId="49DEE917" w14:textId="77777777" w:rsidR="001A43D3" w:rsidRPr="00A25B16" w:rsidRDefault="001A43D3" w:rsidP="001A43D3">
      <w:pPr>
        <w:jc w:val="left"/>
        <w:rPr>
          <w:i/>
          <w:iCs/>
          <w:sz w:val="22"/>
        </w:rPr>
      </w:pPr>
    </w:p>
    <w:p w14:paraId="07A10547" w14:textId="77777777" w:rsidR="001A43D3" w:rsidRPr="00A25B16" w:rsidRDefault="001A43D3" w:rsidP="001A43D3">
      <w:pPr>
        <w:jc w:val="left"/>
        <w:rPr>
          <w:i/>
          <w:iCs/>
          <w:sz w:val="22"/>
        </w:rPr>
      </w:pPr>
      <w:r w:rsidRPr="00A25B16">
        <w:rPr>
          <w:i/>
          <w:iCs/>
          <w:sz w:val="22"/>
        </w:rPr>
        <w:t>Sugerimos que desde la CREG se den señales oportunas y se articule con el MME los tiempos de reporte y publicación de este documento, de forma que el nuevo gas disponible se pueda poner en el mercado de forma coordinada y oportuna."</w:t>
      </w:r>
    </w:p>
    <w:p w14:paraId="27F30CEC" w14:textId="77777777" w:rsidR="007734A4" w:rsidRDefault="007734A4" w:rsidP="001A43D3">
      <w:pPr>
        <w:jc w:val="left"/>
        <w:rPr>
          <w:i/>
          <w:iCs/>
          <w:sz w:val="22"/>
        </w:rPr>
      </w:pPr>
    </w:p>
    <w:p w14:paraId="6625C149" w14:textId="77777777" w:rsidR="002B1FF0" w:rsidRPr="002B1FF0" w:rsidRDefault="002B1FF0" w:rsidP="002B1FF0">
      <w:pPr>
        <w:rPr>
          <w:rFonts w:cs="Arial"/>
          <w:b/>
          <w:bCs/>
          <w:sz w:val="22"/>
          <w:szCs w:val="22"/>
        </w:rPr>
      </w:pPr>
      <w:r w:rsidRPr="002B1FF0">
        <w:rPr>
          <w:rFonts w:cs="Arial"/>
          <w:b/>
          <w:bCs/>
          <w:sz w:val="22"/>
          <w:szCs w:val="22"/>
        </w:rPr>
        <w:t>RESPUESTA:</w:t>
      </w:r>
    </w:p>
    <w:p w14:paraId="51750A33" w14:textId="77777777" w:rsidR="002B1FF0" w:rsidRDefault="002B1FF0" w:rsidP="002B1FF0">
      <w:pPr>
        <w:rPr>
          <w:rFonts w:cs="Arial"/>
          <w:sz w:val="22"/>
          <w:szCs w:val="22"/>
        </w:rPr>
      </w:pPr>
    </w:p>
    <w:p w14:paraId="16C47F97" w14:textId="239B4424" w:rsidR="006C165F" w:rsidRDefault="00777F1C" w:rsidP="002B1FF0">
      <w:pPr>
        <w:rPr>
          <w:rFonts w:cs="Arial"/>
          <w:sz w:val="22"/>
          <w:szCs w:val="22"/>
        </w:rPr>
      </w:pPr>
      <w:r>
        <w:rPr>
          <w:rFonts w:cs="Arial"/>
          <w:sz w:val="22"/>
          <w:szCs w:val="22"/>
        </w:rPr>
        <w:t>Se acoge el comentario parcialmente.</w:t>
      </w:r>
    </w:p>
    <w:p w14:paraId="766C06B3" w14:textId="77777777" w:rsidR="00777F1C" w:rsidRDefault="00777F1C" w:rsidP="002B1FF0">
      <w:pPr>
        <w:rPr>
          <w:rFonts w:cs="Arial"/>
          <w:sz w:val="22"/>
          <w:szCs w:val="22"/>
        </w:rPr>
      </w:pPr>
    </w:p>
    <w:p w14:paraId="132FF373" w14:textId="63C00C98" w:rsidR="00777F1C" w:rsidRPr="002B1FF0" w:rsidRDefault="00777F1C" w:rsidP="002B1FF0">
      <w:pPr>
        <w:rPr>
          <w:rFonts w:cs="Arial"/>
          <w:sz w:val="22"/>
          <w:szCs w:val="22"/>
        </w:rPr>
      </w:pPr>
      <w:r>
        <w:rPr>
          <w:rFonts w:cs="Arial"/>
          <w:sz w:val="22"/>
          <w:szCs w:val="22"/>
        </w:rPr>
        <w:t>En la resolución definitiva se establece un procedimiento de actualización diaria de la PTDV/CIDV y de la PTDVF/CIDVF que deberá utilizar el Gestor del Mercado para verificar la existencia de cantidades suficientes al momento del registro de un contrato de tipo firme para la fuente de suministro que se establece en el contrato.</w:t>
      </w:r>
    </w:p>
    <w:p w14:paraId="121529F6" w14:textId="77777777" w:rsidR="002B1FF0" w:rsidRPr="002B1FF0" w:rsidRDefault="002B1FF0" w:rsidP="002B1FF0">
      <w:pPr>
        <w:rPr>
          <w:rFonts w:cs="Arial"/>
          <w:sz w:val="22"/>
          <w:szCs w:val="22"/>
        </w:rPr>
      </w:pPr>
    </w:p>
    <w:p w14:paraId="171F9E63" w14:textId="77777777" w:rsidR="007734A4" w:rsidRDefault="007734A4" w:rsidP="001A43D3">
      <w:pPr>
        <w:jc w:val="left"/>
        <w:rPr>
          <w:i/>
          <w:iCs/>
          <w:sz w:val="22"/>
        </w:rPr>
      </w:pPr>
    </w:p>
    <w:p w14:paraId="6D12C687" w14:textId="7EEFA5C0" w:rsidR="007734A4" w:rsidRDefault="001A43D3" w:rsidP="0049586D">
      <w:pPr>
        <w:pStyle w:val="Ttulo2"/>
      </w:pPr>
      <w:bookmarkStart w:id="141" w:name="_Toc158211491"/>
      <w:r w:rsidRPr="00A25B16">
        <w:t>ENEL Colombia S.A. E.S.P</w:t>
      </w:r>
      <w:bookmarkEnd w:id="141"/>
      <w:r w:rsidRPr="00A25B16">
        <w:tab/>
      </w:r>
    </w:p>
    <w:p w14:paraId="47543A2D" w14:textId="47286972" w:rsidR="001A43D3" w:rsidRPr="00A25B16" w:rsidRDefault="001A43D3" w:rsidP="001A43D3">
      <w:pPr>
        <w:jc w:val="left"/>
        <w:rPr>
          <w:i/>
          <w:iCs/>
          <w:sz w:val="22"/>
        </w:rPr>
      </w:pPr>
      <w:r w:rsidRPr="00A25B16">
        <w:rPr>
          <w:i/>
          <w:iCs/>
          <w:sz w:val="22"/>
        </w:rPr>
        <w:t>"Sobre el Artículo 7. Adiciónese el Parágrafo 2 transitorio al Artículo 18 “Mecanismos de comercialización” de la Resolución CREG 186 de 2020, celebramos el hecho de que con esta alternativa se pueda maximizar la cantidad de oferta disponible en el mercado y mas aun durante esta coyuntura. Lo que si resaltamos es que una vez el Gestor del Mercado reciba esta información de las cantidades disponibles adicionales, debería ponerlo en conocimiento del mercado, algo que no fue especificado en este artículo y por la posible frecuencia y velocidad con la cual pueden darse estas declaraciones de marginales así mismo deberían estar disponibles de forma oportuna para que todos los agentes interesados y habilitados puedan participar o estar informados previo al proceso con los Productores-Comercializadores o los Comercializadores de Gas Natural Importado.   "</w:t>
      </w:r>
    </w:p>
    <w:p w14:paraId="00ACDFC8" w14:textId="77777777" w:rsidR="007734A4" w:rsidRDefault="007734A4" w:rsidP="001A43D3">
      <w:pPr>
        <w:jc w:val="left"/>
        <w:rPr>
          <w:i/>
          <w:iCs/>
          <w:sz w:val="22"/>
        </w:rPr>
      </w:pPr>
    </w:p>
    <w:p w14:paraId="0E58AAFE" w14:textId="77777777" w:rsidR="002B1FF0" w:rsidRPr="002B1FF0" w:rsidRDefault="002B1FF0" w:rsidP="002B1FF0">
      <w:pPr>
        <w:rPr>
          <w:rFonts w:cs="Arial"/>
          <w:b/>
          <w:bCs/>
          <w:sz w:val="22"/>
          <w:szCs w:val="22"/>
        </w:rPr>
      </w:pPr>
      <w:r w:rsidRPr="002B1FF0">
        <w:rPr>
          <w:rFonts w:cs="Arial"/>
          <w:b/>
          <w:bCs/>
          <w:sz w:val="22"/>
          <w:szCs w:val="22"/>
        </w:rPr>
        <w:t>RESPUESTA:</w:t>
      </w:r>
    </w:p>
    <w:p w14:paraId="7AA48E96" w14:textId="77777777" w:rsidR="002B1FF0" w:rsidRDefault="002B1FF0" w:rsidP="002B1FF0">
      <w:pPr>
        <w:rPr>
          <w:rFonts w:cs="Arial"/>
          <w:sz w:val="22"/>
          <w:szCs w:val="22"/>
        </w:rPr>
      </w:pPr>
    </w:p>
    <w:p w14:paraId="7BF6341D" w14:textId="53A7EFEE" w:rsidR="00F911DD" w:rsidRDefault="00F911DD" w:rsidP="002B1FF0">
      <w:pPr>
        <w:rPr>
          <w:rFonts w:cs="Arial"/>
          <w:sz w:val="22"/>
          <w:szCs w:val="22"/>
        </w:rPr>
      </w:pPr>
      <w:r>
        <w:rPr>
          <w:rFonts w:cs="Arial"/>
          <w:sz w:val="22"/>
          <w:szCs w:val="22"/>
        </w:rPr>
        <w:t>Se acoge el comentario.</w:t>
      </w:r>
    </w:p>
    <w:p w14:paraId="2B72AD13" w14:textId="77777777" w:rsidR="00F911DD" w:rsidRDefault="00F911DD" w:rsidP="002B1FF0">
      <w:pPr>
        <w:rPr>
          <w:rFonts w:cs="Arial"/>
          <w:sz w:val="22"/>
          <w:szCs w:val="22"/>
        </w:rPr>
      </w:pPr>
    </w:p>
    <w:p w14:paraId="1E45471C" w14:textId="030E0F12" w:rsidR="00F911DD" w:rsidRPr="002B1FF0" w:rsidRDefault="00F911DD"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_Ref149025605 \n \h </w:instrText>
      </w:r>
      <w:r>
        <w:rPr>
          <w:rFonts w:cs="Arial"/>
          <w:sz w:val="22"/>
          <w:szCs w:val="22"/>
        </w:rPr>
      </w:r>
      <w:r>
        <w:rPr>
          <w:rFonts w:cs="Arial"/>
          <w:sz w:val="22"/>
          <w:szCs w:val="22"/>
        </w:rPr>
        <w:fldChar w:fldCharType="separate"/>
      </w:r>
      <w:r w:rsidR="0027336D">
        <w:rPr>
          <w:rFonts w:cs="Arial"/>
          <w:sz w:val="22"/>
          <w:szCs w:val="22"/>
        </w:rPr>
        <w:t>7.1</w:t>
      </w:r>
      <w:r>
        <w:rPr>
          <w:rFonts w:cs="Arial"/>
          <w:sz w:val="22"/>
          <w:szCs w:val="22"/>
        </w:rPr>
        <w:fldChar w:fldCharType="end"/>
      </w:r>
      <w:r>
        <w:rPr>
          <w:rFonts w:cs="Arial"/>
          <w:sz w:val="22"/>
          <w:szCs w:val="22"/>
        </w:rPr>
        <w:t>.</w:t>
      </w:r>
    </w:p>
    <w:p w14:paraId="15FF192A" w14:textId="77777777" w:rsidR="002B1FF0" w:rsidRPr="002B1FF0" w:rsidRDefault="002B1FF0" w:rsidP="002B1FF0">
      <w:pPr>
        <w:rPr>
          <w:rFonts w:cs="Arial"/>
          <w:sz w:val="22"/>
          <w:szCs w:val="22"/>
        </w:rPr>
      </w:pPr>
    </w:p>
    <w:p w14:paraId="391FEE38" w14:textId="77777777" w:rsidR="007734A4" w:rsidRDefault="007734A4" w:rsidP="001A43D3">
      <w:pPr>
        <w:jc w:val="left"/>
        <w:rPr>
          <w:i/>
          <w:iCs/>
          <w:sz w:val="22"/>
        </w:rPr>
      </w:pPr>
    </w:p>
    <w:p w14:paraId="1454C874" w14:textId="341767E5" w:rsidR="007734A4" w:rsidRDefault="001A43D3" w:rsidP="0049586D">
      <w:pPr>
        <w:pStyle w:val="Ttulo2"/>
      </w:pPr>
      <w:bookmarkStart w:id="142" w:name="_Toc158211492"/>
      <w:r w:rsidRPr="00A25B16">
        <w:t>Gestor del Mercado de Gas Natural en Colombia</w:t>
      </w:r>
      <w:bookmarkEnd w:id="142"/>
      <w:r w:rsidRPr="00A25B16">
        <w:tab/>
      </w:r>
    </w:p>
    <w:p w14:paraId="0548B1D5" w14:textId="34860BCA" w:rsidR="001A43D3" w:rsidRPr="00A25B16" w:rsidRDefault="001A43D3" w:rsidP="001A43D3">
      <w:pPr>
        <w:jc w:val="left"/>
        <w:rPr>
          <w:i/>
          <w:iCs/>
          <w:sz w:val="22"/>
        </w:rPr>
      </w:pPr>
      <w:r w:rsidRPr="00A25B16">
        <w:rPr>
          <w:i/>
          <w:iCs/>
          <w:sz w:val="22"/>
        </w:rPr>
        <w:t>"El Artículo 7 del proyecto de Resolución establece que:</w:t>
      </w:r>
    </w:p>
    <w:p w14:paraId="50DAF7EB" w14:textId="77777777" w:rsidR="001A43D3" w:rsidRPr="00A25B16" w:rsidRDefault="001A43D3" w:rsidP="001A43D3">
      <w:pPr>
        <w:jc w:val="left"/>
        <w:rPr>
          <w:i/>
          <w:iCs/>
          <w:sz w:val="22"/>
        </w:rPr>
      </w:pPr>
    </w:p>
    <w:p w14:paraId="7B65CD68" w14:textId="53C3D4B1" w:rsidR="001A43D3" w:rsidRPr="00A25B16" w:rsidRDefault="001A43D3" w:rsidP="001A43D3">
      <w:pPr>
        <w:jc w:val="left"/>
        <w:rPr>
          <w:i/>
          <w:iCs/>
          <w:sz w:val="22"/>
        </w:rPr>
      </w:pPr>
      <w:r w:rsidRPr="00A25B16">
        <w:rPr>
          <w:i/>
          <w:iCs/>
          <w:sz w:val="22"/>
        </w:rPr>
        <w:t xml:space="preserve">""El Gestor del Mercado deberá </w:t>
      </w:r>
      <w:r w:rsidRPr="00BC6629">
        <w:rPr>
          <w:i/>
          <w:iCs/>
          <w:sz w:val="22"/>
          <w:u w:val="single"/>
        </w:rPr>
        <w:t>establecer un mecanismo</w:t>
      </w:r>
      <w:r w:rsidRPr="00A25B16">
        <w:rPr>
          <w:i/>
          <w:iCs/>
          <w:sz w:val="22"/>
        </w:rPr>
        <w:t xml:space="preserve"> para que los valores de PTDVF y/o CIDVF que se declaran por un vendedor para una fuente de suministro, sean iguales o menores a los valores de PTDV y/o CIDV vigentes para esa misma fuente de suministro, para ese mismo vendedor y para ese mismo período declarado."" (Subrayado fuera de texto).</w:t>
      </w:r>
    </w:p>
    <w:p w14:paraId="0B860339" w14:textId="77777777" w:rsidR="001A43D3" w:rsidRPr="00A25B16" w:rsidRDefault="001A43D3" w:rsidP="001A43D3">
      <w:pPr>
        <w:jc w:val="left"/>
        <w:rPr>
          <w:i/>
          <w:iCs/>
          <w:sz w:val="22"/>
        </w:rPr>
      </w:pPr>
    </w:p>
    <w:p w14:paraId="6C4279E7" w14:textId="0EB52A0E" w:rsidR="001A43D3" w:rsidRPr="00A25B16" w:rsidRDefault="001A43D3" w:rsidP="001A43D3">
      <w:pPr>
        <w:jc w:val="left"/>
        <w:rPr>
          <w:i/>
          <w:iCs/>
          <w:sz w:val="22"/>
        </w:rPr>
      </w:pPr>
      <w:r w:rsidRPr="00A25B16">
        <w:rPr>
          <w:i/>
          <w:iCs/>
          <w:sz w:val="22"/>
        </w:rPr>
        <w:t>Con el fin de tener mayor claridad en el Artículo, resulta necesario aclarar que el Gestor del mercado, para este propósito en particular, no implementa un mecanismo, si no un control por medio de la plataforma SEGAS para que las declaraciones de PTDVF y CIDVF sean iguales o menores a la declaración de PTDV y CIDV."</w:t>
      </w:r>
    </w:p>
    <w:p w14:paraId="421C123B" w14:textId="77777777" w:rsidR="007734A4" w:rsidRDefault="007734A4" w:rsidP="001A43D3">
      <w:pPr>
        <w:jc w:val="left"/>
        <w:rPr>
          <w:i/>
          <w:iCs/>
          <w:sz w:val="22"/>
        </w:rPr>
      </w:pPr>
    </w:p>
    <w:p w14:paraId="692B7DFF" w14:textId="77777777" w:rsidR="002B1FF0" w:rsidRPr="002B1FF0" w:rsidRDefault="002B1FF0" w:rsidP="002B1FF0">
      <w:pPr>
        <w:rPr>
          <w:rFonts w:cs="Arial"/>
          <w:b/>
          <w:bCs/>
          <w:sz w:val="22"/>
          <w:szCs w:val="22"/>
        </w:rPr>
      </w:pPr>
      <w:r w:rsidRPr="002B1FF0">
        <w:rPr>
          <w:rFonts w:cs="Arial"/>
          <w:b/>
          <w:bCs/>
          <w:sz w:val="22"/>
          <w:szCs w:val="22"/>
        </w:rPr>
        <w:t>RESPUESTA:</w:t>
      </w:r>
    </w:p>
    <w:p w14:paraId="448D8683" w14:textId="77777777" w:rsidR="002B1FF0" w:rsidRPr="002B1FF0" w:rsidRDefault="002B1FF0" w:rsidP="002B1FF0">
      <w:pPr>
        <w:rPr>
          <w:rFonts w:cs="Arial"/>
          <w:sz w:val="22"/>
          <w:szCs w:val="22"/>
        </w:rPr>
      </w:pPr>
    </w:p>
    <w:p w14:paraId="046E387E" w14:textId="04A3DADD" w:rsidR="002B1FF0" w:rsidRDefault="00BC6629" w:rsidP="002B1FF0">
      <w:pPr>
        <w:rPr>
          <w:rFonts w:cs="Arial"/>
          <w:sz w:val="22"/>
          <w:szCs w:val="22"/>
        </w:rPr>
      </w:pPr>
      <w:r>
        <w:rPr>
          <w:rFonts w:cs="Arial"/>
          <w:sz w:val="22"/>
          <w:szCs w:val="22"/>
        </w:rPr>
        <w:t>Se acoge el comentario.</w:t>
      </w:r>
    </w:p>
    <w:p w14:paraId="2A96B138" w14:textId="77777777" w:rsidR="00FB0A50" w:rsidRDefault="00FB0A50" w:rsidP="002B1FF0">
      <w:pPr>
        <w:rPr>
          <w:rFonts w:cs="Arial"/>
          <w:sz w:val="22"/>
          <w:szCs w:val="22"/>
        </w:rPr>
      </w:pPr>
    </w:p>
    <w:p w14:paraId="57F207C6" w14:textId="278287A6" w:rsidR="00FB0A50" w:rsidRPr="002B1FF0" w:rsidRDefault="00FB0A50" w:rsidP="002B1FF0">
      <w:pPr>
        <w:rPr>
          <w:rFonts w:cs="Arial"/>
          <w:sz w:val="22"/>
          <w:szCs w:val="22"/>
        </w:rPr>
      </w:pPr>
      <w:r>
        <w:rPr>
          <w:rFonts w:cs="Arial"/>
          <w:sz w:val="22"/>
          <w:szCs w:val="22"/>
        </w:rPr>
        <w:t>En la resolución definitiva se ajusta el término utilizado.</w:t>
      </w:r>
    </w:p>
    <w:p w14:paraId="367F218A" w14:textId="77777777" w:rsidR="007734A4" w:rsidRDefault="007734A4" w:rsidP="001A43D3">
      <w:pPr>
        <w:jc w:val="left"/>
        <w:rPr>
          <w:i/>
          <w:iCs/>
          <w:sz w:val="22"/>
        </w:rPr>
      </w:pPr>
    </w:p>
    <w:p w14:paraId="31453C69" w14:textId="77777777" w:rsidR="007734A4" w:rsidRDefault="007734A4" w:rsidP="001A43D3">
      <w:pPr>
        <w:jc w:val="left"/>
        <w:rPr>
          <w:i/>
          <w:iCs/>
          <w:sz w:val="22"/>
        </w:rPr>
      </w:pPr>
    </w:p>
    <w:p w14:paraId="2341D68B" w14:textId="2B847A54" w:rsidR="007734A4" w:rsidRDefault="001A43D3" w:rsidP="0049586D">
      <w:pPr>
        <w:pStyle w:val="Ttulo2"/>
      </w:pPr>
      <w:bookmarkStart w:id="143" w:name="_Toc158211493"/>
      <w:r w:rsidRPr="00A25B16">
        <w:t>Gestor del Mercado de Gas Natural en Colombia</w:t>
      </w:r>
      <w:bookmarkEnd w:id="143"/>
      <w:r w:rsidRPr="00A25B16">
        <w:tab/>
      </w:r>
    </w:p>
    <w:p w14:paraId="4D4B8ABA" w14:textId="5EB4F093" w:rsidR="001A43D3" w:rsidRPr="00A25B16" w:rsidRDefault="001A43D3" w:rsidP="001A43D3">
      <w:pPr>
        <w:jc w:val="left"/>
        <w:rPr>
          <w:i/>
          <w:iCs/>
          <w:sz w:val="22"/>
        </w:rPr>
      </w:pPr>
      <w:r w:rsidRPr="00A25B16">
        <w:rPr>
          <w:i/>
          <w:iCs/>
          <w:sz w:val="22"/>
        </w:rPr>
        <w:t>"El Artículo 7 del proyecto de Resolución establece que:</w:t>
      </w:r>
    </w:p>
    <w:p w14:paraId="6615EC7E" w14:textId="77777777" w:rsidR="001A43D3" w:rsidRPr="00A25B16" w:rsidRDefault="001A43D3" w:rsidP="001A43D3">
      <w:pPr>
        <w:jc w:val="left"/>
        <w:rPr>
          <w:i/>
          <w:iCs/>
          <w:sz w:val="22"/>
        </w:rPr>
      </w:pPr>
    </w:p>
    <w:p w14:paraId="721E7F54" w14:textId="1BF22156" w:rsidR="001A43D3" w:rsidRPr="00A25B16" w:rsidRDefault="001A43D3" w:rsidP="001A43D3">
      <w:pPr>
        <w:jc w:val="left"/>
        <w:rPr>
          <w:i/>
          <w:iCs/>
          <w:sz w:val="22"/>
        </w:rPr>
      </w:pPr>
      <w:r w:rsidRPr="00A25B16">
        <w:rPr>
          <w:i/>
          <w:iCs/>
          <w:sz w:val="22"/>
        </w:rPr>
        <w:t>""El Gestor del Mercado deberá establecer un mecanismo para que los valores de PTDVF y/o CIDVF que se declaran por un vendedor para una fuente de suministro, sean iguales o menores a los valores de PTDV y/o CIDV vigentes para esa misma fuente de suministro, para ese mismo vendedor y para ese mismo período declarado.""</w:t>
      </w:r>
    </w:p>
    <w:p w14:paraId="1707A664" w14:textId="77777777" w:rsidR="001A43D3" w:rsidRPr="00A25B16" w:rsidRDefault="001A43D3" w:rsidP="001A43D3">
      <w:pPr>
        <w:jc w:val="left"/>
        <w:rPr>
          <w:i/>
          <w:iCs/>
          <w:sz w:val="22"/>
        </w:rPr>
      </w:pPr>
    </w:p>
    <w:p w14:paraId="5E876DDB" w14:textId="4B7C8F38" w:rsidR="001A43D3" w:rsidRDefault="001A43D3" w:rsidP="001A43D3">
      <w:pPr>
        <w:jc w:val="left"/>
        <w:rPr>
          <w:i/>
          <w:iCs/>
          <w:sz w:val="22"/>
        </w:rPr>
      </w:pPr>
      <w:r w:rsidRPr="00A25B16">
        <w:rPr>
          <w:i/>
          <w:iCs/>
          <w:sz w:val="22"/>
        </w:rPr>
        <w:t>Se sugiere incluir en el clausulado que la oferta de PTDVF/CIDVF deberá ser igual o inferior al valor vigente de la PTDV o CIDV, según corresponda con la fuente de suministro publicada por el Ministerio de Minas y Energía en cumplimiento del Artículo 2.2.2.21 del Decreto 1073 de 2015."</w:t>
      </w:r>
    </w:p>
    <w:p w14:paraId="02D1FB99" w14:textId="77777777" w:rsidR="007734A4" w:rsidRDefault="007734A4" w:rsidP="001A43D3">
      <w:pPr>
        <w:jc w:val="left"/>
        <w:rPr>
          <w:i/>
          <w:iCs/>
          <w:sz w:val="22"/>
        </w:rPr>
      </w:pPr>
    </w:p>
    <w:p w14:paraId="50C35021" w14:textId="77777777" w:rsidR="002B1FF0" w:rsidRPr="002B1FF0" w:rsidRDefault="002B1FF0" w:rsidP="002B1FF0">
      <w:pPr>
        <w:rPr>
          <w:rFonts w:cs="Arial"/>
          <w:b/>
          <w:bCs/>
          <w:sz w:val="22"/>
          <w:szCs w:val="22"/>
        </w:rPr>
      </w:pPr>
      <w:r w:rsidRPr="002B1FF0">
        <w:rPr>
          <w:rFonts w:cs="Arial"/>
          <w:b/>
          <w:bCs/>
          <w:sz w:val="22"/>
          <w:szCs w:val="22"/>
        </w:rPr>
        <w:t>RESPUESTA:</w:t>
      </w:r>
    </w:p>
    <w:p w14:paraId="6FE5E9C3" w14:textId="77777777" w:rsidR="002B1FF0" w:rsidRPr="002B1FF0" w:rsidRDefault="002B1FF0" w:rsidP="002B1FF0">
      <w:pPr>
        <w:rPr>
          <w:rFonts w:cs="Arial"/>
          <w:sz w:val="22"/>
          <w:szCs w:val="22"/>
        </w:rPr>
      </w:pPr>
    </w:p>
    <w:p w14:paraId="6245CDA2" w14:textId="64F71A1D" w:rsidR="002B1FF0" w:rsidRDefault="00545AE0" w:rsidP="002E0EE0">
      <w:pPr>
        <w:jc w:val="left"/>
        <w:rPr>
          <w:rFonts w:cs="Arial"/>
          <w:sz w:val="22"/>
          <w:szCs w:val="22"/>
        </w:rPr>
      </w:pPr>
      <w:r>
        <w:rPr>
          <w:rFonts w:cs="Arial"/>
          <w:sz w:val="22"/>
          <w:szCs w:val="22"/>
        </w:rPr>
        <w:t>No se acoge el comentario.</w:t>
      </w:r>
    </w:p>
    <w:p w14:paraId="79660309" w14:textId="77777777" w:rsidR="00545AE0" w:rsidRDefault="00545AE0" w:rsidP="002E0EE0">
      <w:pPr>
        <w:jc w:val="left"/>
        <w:rPr>
          <w:rFonts w:cs="Arial"/>
          <w:sz w:val="22"/>
          <w:szCs w:val="22"/>
        </w:rPr>
      </w:pPr>
    </w:p>
    <w:p w14:paraId="1524B323" w14:textId="77777777" w:rsidR="00C177BE" w:rsidRDefault="00545AE0" w:rsidP="002E0EE0">
      <w:pPr>
        <w:jc w:val="left"/>
        <w:rPr>
          <w:rFonts w:cs="Arial"/>
          <w:sz w:val="22"/>
          <w:szCs w:val="22"/>
        </w:rPr>
      </w:pPr>
      <w:r>
        <w:rPr>
          <w:rFonts w:cs="Arial"/>
          <w:sz w:val="22"/>
          <w:szCs w:val="22"/>
        </w:rPr>
        <w:t xml:space="preserve">El Artículo 2.2.2.2.21 del Decreto 1073 de 2015 no establece que la PTDVF/CIDVF deba ser igual o inferior a la PTDV/CIDV vigente para esa misma fuente de suministro. Tal estipulación se encuentra en </w:t>
      </w:r>
      <w:r w:rsidR="00CE66D9">
        <w:rPr>
          <w:rFonts w:cs="Arial"/>
          <w:sz w:val="22"/>
          <w:szCs w:val="22"/>
        </w:rPr>
        <w:t>el cuarto inciso del Artículo2 2 de la resolución CREG 186 de 2020, que es la que se propone adicionar en forma transitoria.</w:t>
      </w:r>
    </w:p>
    <w:p w14:paraId="5820CE1F" w14:textId="77777777" w:rsidR="00C177BE" w:rsidRDefault="00C177BE" w:rsidP="002E0EE0">
      <w:pPr>
        <w:jc w:val="left"/>
        <w:rPr>
          <w:rFonts w:cs="Arial"/>
          <w:sz w:val="22"/>
          <w:szCs w:val="22"/>
        </w:rPr>
      </w:pPr>
    </w:p>
    <w:p w14:paraId="6C3FC1B4" w14:textId="51F27EAE" w:rsidR="00545AE0" w:rsidRPr="002B1FF0" w:rsidRDefault="00C177BE" w:rsidP="002E0EE0">
      <w:pPr>
        <w:jc w:val="left"/>
        <w:rPr>
          <w:rFonts w:cs="Arial"/>
          <w:sz w:val="22"/>
          <w:szCs w:val="22"/>
        </w:rPr>
      </w:pPr>
      <w:r>
        <w:rPr>
          <w:rFonts w:cs="Arial"/>
          <w:sz w:val="22"/>
          <w:szCs w:val="22"/>
        </w:rPr>
        <w:t>Al establecerse un control previo para que la PTDVF/CIDVF que se declara de una fuente de suministro sea igual o inferior a la PTD/CIDV correspondiente y al actualizarse y publicarse diariamente dichas cantidades, los compradores podrán tener mejor información previa al registro del contrato, de modo que las cantidades que se desean registrar como parte del contrato de suministro no sean inconsistentes con las potenciales de venta declarados.</w:t>
      </w:r>
    </w:p>
    <w:p w14:paraId="41FFAD8A" w14:textId="77777777" w:rsidR="007734A4" w:rsidRDefault="007734A4" w:rsidP="002E0EE0">
      <w:pPr>
        <w:jc w:val="left"/>
        <w:rPr>
          <w:i/>
          <w:iCs/>
          <w:sz w:val="22"/>
        </w:rPr>
      </w:pPr>
    </w:p>
    <w:p w14:paraId="174F68BA" w14:textId="77777777" w:rsidR="007734A4" w:rsidRPr="00A25B16" w:rsidRDefault="007734A4" w:rsidP="002E0EE0">
      <w:pPr>
        <w:jc w:val="left"/>
        <w:rPr>
          <w:i/>
          <w:iCs/>
          <w:sz w:val="22"/>
        </w:rPr>
      </w:pPr>
    </w:p>
    <w:p w14:paraId="066DAE20" w14:textId="213A9447" w:rsidR="007734A4" w:rsidRDefault="001A43D3" w:rsidP="002E0EE0">
      <w:pPr>
        <w:pStyle w:val="Ttulo2"/>
        <w:jc w:val="left"/>
      </w:pPr>
      <w:bookmarkStart w:id="144" w:name="_Toc158211494"/>
      <w:r w:rsidRPr="00A25B16">
        <w:t>Hocol S.A.</w:t>
      </w:r>
      <w:bookmarkEnd w:id="144"/>
      <w:r w:rsidRPr="00A25B16">
        <w:tab/>
      </w:r>
    </w:p>
    <w:p w14:paraId="0C8E4646" w14:textId="1B912BB0" w:rsidR="001A43D3" w:rsidRDefault="007734A4" w:rsidP="002E0EE0">
      <w:pPr>
        <w:jc w:val="left"/>
        <w:rPr>
          <w:i/>
          <w:iCs/>
          <w:sz w:val="22"/>
        </w:rPr>
      </w:pPr>
      <w:r>
        <w:rPr>
          <w:i/>
          <w:iCs/>
          <w:sz w:val="22"/>
        </w:rPr>
        <w:t>“</w:t>
      </w:r>
      <w:r w:rsidR="001A43D3" w:rsidRPr="00A25B16">
        <w:rPr>
          <w:i/>
          <w:iCs/>
          <w:sz w:val="22"/>
        </w:rPr>
        <w:t>Para efectos de hacer uso del total del gas disponible y teniendo en cuenta el tiempo entre la actualización de la Declaración realizada por los agentes y la publicación realizada por el MME, agradecemos considerar que durante la vigencia de esta resolución 702 005 los productores puedan actualizar la PTDVF con la actualización remitida al MME para modificar la Declaración de Producción y que no sea necesario esperar la publicación de la resolución correspondiente por parte del MME</w:t>
      </w:r>
      <w:r>
        <w:rPr>
          <w:i/>
          <w:iCs/>
          <w:sz w:val="22"/>
        </w:rPr>
        <w:t>.”</w:t>
      </w:r>
    </w:p>
    <w:p w14:paraId="2C6FD775" w14:textId="77777777" w:rsidR="007734A4" w:rsidRDefault="007734A4" w:rsidP="002E0EE0">
      <w:pPr>
        <w:jc w:val="left"/>
        <w:rPr>
          <w:i/>
          <w:iCs/>
          <w:sz w:val="22"/>
        </w:rPr>
      </w:pPr>
    </w:p>
    <w:p w14:paraId="5EAEBC55" w14:textId="77777777" w:rsidR="002B1FF0" w:rsidRPr="002B1FF0" w:rsidRDefault="002B1FF0" w:rsidP="002E0EE0">
      <w:pPr>
        <w:jc w:val="left"/>
        <w:rPr>
          <w:rFonts w:cs="Arial"/>
          <w:b/>
          <w:bCs/>
          <w:sz w:val="22"/>
          <w:szCs w:val="22"/>
        </w:rPr>
      </w:pPr>
      <w:r w:rsidRPr="002B1FF0">
        <w:rPr>
          <w:rFonts w:cs="Arial"/>
          <w:b/>
          <w:bCs/>
          <w:sz w:val="22"/>
          <w:szCs w:val="22"/>
        </w:rPr>
        <w:t>RESPUESTA:</w:t>
      </w:r>
    </w:p>
    <w:p w14:paraId="707BE4D0" w14:textId="77777777" w:rsidR="002B1FF0" w:rsidRPr="002B1FF0" w:rsidRDefault="002B1FF0" w:rsidP="002E0EE0">
      <w:pPr>
        <w:jc w:val="left"/>
        <w:rPr>
          <w:rFonts w:cs="Arial"/>
          <w:sz w:val="22"/>
          <w:szCs w:val="22"/>
        </w:rPr>
      </w:pPr>
    </w:p>
    <w:p w14:paraId="5C05FAE5" w14:textId="67C40F32" w:rsidR="002B1FF0" w:rsidRDefault="0077747F" w:rsidP="002E0EE0">
      <w:pPr>
        <w:jc w:val="left"/>
        <w:rPr>
          <w:rFonts w:cs="Arial"/>
          <w:sz w:val="22"/>
          <w:szCs w:val="22"/>
        </w:rPr>
      </w:pPr>
      <w:r>
        <w:rPr>
          <w:rFonts w:cs="Arial"/>
          <w:sz w:val="22"/>
          <w:szCs w:val="22"/>
        </w:rPr>
        <w:t>No se acoge el comentario</w:t>
      </w:r>
      <w:r w:rsidR="001C6EEF">
        <w:rPr>
          <w:rFonts w:cs="Arial"/>
          <w:sz w:val="22"/>
          <w:szCs w:val="22"/>
        </w:rPr>
        <w:t>.</w:t>
      </w:r>
    </w:p>
    <w:p w14:paraId="5FDFB2E5" w14:textId="77777777" w:rsidR="0077747F" w:rsidRDefault="0077747F" w:rsidP="002E0EE0">
      <w:pPr>
        <w:jc w:val="left"/>
        <w:rPr>
          <w:rFonts w:cs="Arial"/>
          <w:sz w:val="22"/>
          <w:szCs w:val="22"/>
        </w:rPr>
      </w:pPr>
    </w:p>
    <w:p w14:paraId="39CA011C" w14:textId="32B22B70" w:rsidR="0077747F" w:rsidRPr="002B1FF0" w:rsidRDefault="0077747F" w:rsidP="002E0EE0">
      <w:pPr>
        <w:jc w:val="left"/>
        <w:rPr>
          <w:rFonts w:cs="Arial"/>
          <w:sz w:val="22"/>
          <w:szCs w:val="22"/>
        </w:rPr>
      </w:pPr>
      <w:r>
        <w:rPr>
          <w:rFonts w:cs="Arial"/>
          <w:sz w:val="22"/>
          <w:szCs w:val="22"/>
        </w:rPr>
        <w:t xml:space="preserve">En virtud de lo establecido en el PARÁGRAFO 1 del Artículo 2.2.2.2.21 no se considera pertinente la actualización de la PTDVF/CIDVF sin que previo a ello, se haya publicado por parte del MME una actualización de la declaración de producción de la fuente de suministro respectiva. Ello no significa que la PTDVF solo se pueda actualizar por el vendedor al Gestor del mercado una vez publicada una actualización de la PTDV por parte del Ministerio de Minas y Energía, y es por ello que en la resolución definitiva se establece un procedimiento que debe seguir el Gestor del Mercado para la actualización diaria de la PTDV y de la PTDVF a partir de las más recientes declaraciones realizadas por el vendedor al Ministerio de Minas y Energía y al mismo </w:t>
      </w:r>
      <w:r w:rsidR="002E0EE0">
        <w:rPr>
          <w:rFonts w:cs="Arial"/>
          <w:sz w:val="22"/>
          <w:szCs w:val="22"/>
        </w:rPr>
        <w:t>G</w:t>
      </w:r>
      <w:r>
        <w:rPr>
          <w:rFonts w:cs="Arial"/>
          <w:sz w:val="22"/>
          <w:szCs w:val="22"/>
        </w:rPr>
        <w:t xml:space="preserve">estor del </w:t>
      </w:r>
      <w:r w:rsidR="002E0EE0">
        <w:rPr>
          <w:rFonts w:cs="Arial"/>
          <w:sz w:val="22"/>
          <w:szCs w:val="22"/>
        </w:rPr>
        <w:t>M</w:t>
      </w:r>
      <w:r>
        <w:rPr>
          <w:rFonts w:cs="Arial"/>
          <w:sz w:val="22"/>
          <w:szCs w:val="22"/>
        </w:rPr>
        <w:t xml:space="preserve">ercado. Ver respuesta al comentario </w:t>
      </w:r>
      <w:r>
        <w:rPr>
          <w:rFonts w:cs="Arial"/>
          <w:sz w:val="22"/>
          <w:szCs w:val="22"/>
        </w:rPr>
        <w:fldChar w:fldCharType="begin"/>
      </w:r>
      <w:r>
        <w:rPr>
          <w:rFonts w:cs="Arial"/>
          <w:sz w:val="22"/>
          <w:szCs w:val="22"/>
        </w:rPr>
        <w:instrText xml:space="preserve"> REF _Ref149026748 \n \h </w:instrText>
      </w:r>
      <w:r w:rsidR="002E0EE0">
        <w:rPr>
          <w:rFonts w:cs="Arial"/>
          <w:sz w:val="22"/>
          <w:szCs w:val="22"/>
        </w:rPr>
        <w:instrText xml:space="preserve"> \* MERGEFORMAT </w:instrText>
      </w:r>
      <w:r>
        <w:rPr>
          <w:rFonts w:cs="Arial"/>
          <w:sz w:val="22"/>
          <w:szCs w:val="22"/>
        </w:rPr>
      </w:r>
      <w:r>
        <w:rPr>
          <w:rFonts w:cs="Arial"/>
          <w:sz w:val="22"/>
          <w:szCs w:val="22"/>
        </w:rPr>
        <w:fldChar w:fldCharType="separate"/>
      </w:r>
      <w:r w:rsidR="0027336D">
        <w:rPr>
          <w:rFonts w:cs="Arial"/>
          <w:sz w:val="22"/>
          <w:szCs w:val="22"/>
        </w:rPr>
        <w:t>7.1</w:t>
      </w:r>
      <w:r>
        <w:rPr>
          <w:rFonts w:cs="Arial"/>
          <w:sz w:val="22"/>
          <w:szCs w:val="22"/>
        </w:rPr>
        <w:fldChar w:fldCharType="end"/>
      </w:r>
      <w:r>
        <w:rPr>
          <w:rFonts w:cs="Arial"/>
          <w:sz w:val="22"/>
          <w:szCs w:val="22"/>
        </w:rPr>
        <w:t xml:space="preserve">. </w:t>
      </w:r>
    </w:p>
    <w:p w14:paraId="52CAD237" w14:textId="77777777" w:rsidR="007734A4" w:rsidRDefault="007734A4" w:rsidP="002E0EE0">
      <w:pPr>
        <w:jc w:val="left"/>
        <w:rPr>
          <w:i/>
          <w:iCs/>
          <w:sz w:val="22"/>
        </w:rPr>
      </w:pPr>
    </w:p>
    <w:p w14:paraId="7EB99045" w14:textId="77777777" w:rsidR="007734A4" w:rsidRPr="00A25B16" w:rsidRDefault="007734A4" w:rsidP="002E0EE0">
      <w:pPr>
        <w:jc w:val="left"/>
        <w:rPr>
          <w:i/>
          <w:iCs/>
          <w:sz w:val="22"/>
        </w:rPr>
      </w:pPr>
    </w:p>
    <w:p w14:paraId="56E5A62D" w14:textId="18E72090" w:rsidR="007734A4" w:rsidRDefault="001A43D3" w:rsidP="002E0EE0">
      <w:pPr>
        <w:pStyle w:val="Ttulo2"/>
        <w:jc w:val="left"/>
      </w:pPr>
      <w:bookmarkStart w:id="145" w:name="_Toc158211495"/>
      <w:r w:rsidRPr="00A25B16">
        <w:t>MADIGAS INGENIEROS SA ESP</w:t>
      </w:r>
      <w:bookmarkEnd w:id="145"/>
      <w:r w:rsidRPr="00A25B16">
        <w:tab/>
      </w:r>
    </w:p>
    <w:p w14:paraId="492AAB7E" w14:textId="2A05BA63" w:rsidR="001A43D3" w:rsidRDefault="007734A4" w:rsidP="002E0EE0">
      <w:pPr>
        <w:jc w:val="left"/>
        <w:rPr>
          <w:i/>
          <w:iCs/>
          <w:sz w:val="22"/>
        </w:rPr>
      </w:pPr>
      <w:r>
        <w:rPr>
          <w:i/>
          <w:iCs/>
          <w:sz w:val="22"/>
        </w:rPr>
        <w:t>“</w:t>
      </w:r>
      <w:r w:rsidR="001A43D3" w:rsidRPr="00A25B16">
        <w:rPr>
          <w:i/>
          <w:iCs/>
          <w:sz w:val="22"/>
        </w:rPr>
        <w:t>Teniendo en cuenta la incertidumbre que existe para la obtención de las cantidades de Gas Natural para atender la demanda esencial , creemos pertinente que en este articulado, la CREG proponga una fecha cierta para publicación de la PTDVF y CIDVF, lo anterior debido a que los contratos vigentes tiene como fecha de vencimiento el 30 de noviembre de 2023, lo que significa que esta demanda quedará en riesgo de no ser atendida toda vez del corto plazo entre la negociación, la firma de contratos y legalización de garantías.</w:t>
      </w:r>
      <w:r>
        <w:rPr>
          <w:i/>
          <w:iCs/>
          <w:sz w:val="22"/>
        </w:rPr>
        <w:t>”</w:t>
      </w:r>
    </w:p>
    <w:p w14:paraId="0A1D2607" w14:textId="77777777" w:rsidR="007734A4" w:rsidRDefault="007734A4" w:rsidP="002E0EE0">
      <w:pPr>
        <w:jc w:val="left"/>
        <w:rPr>
          <w:i/>
          <w:iCs/>
          <w:sz w:val="22"/>
        </w:rPr>
      </w:pPr>
    </w:p>
    <w:p w14:paraId="3DB12646" w14:textId="77777777" w:rsidR="002B1FF0" w:rsidRPr="002B1FF0" w:rsidRDefault="002B1FF0" w:rsidP="002E0EE0">
      <w:pPr>
        <w:jc w:val="left"/>
        <w:rPr>
          <w:rFonts w:cs="Arial"/>
          <w:b/>
          <w:bCs/>
          <w:sz w:val="22"/>
          <w:szCs w:val="22"/>
        </w:rPr>
      </w:pPr>
      <w:r w:rsidRPr="002B1FF0">
        <w:rPr>
          <w:rFonts w:cs="Arial"/>
          <w:b/>
          <w:bCs/>
          <w:sz w:val="22"/>
          <w:szCs w:val="22"/>
        </w:rPr>
        <w:t>RESPUESTA:</w:t>
      </w:r>
    </w:p>
    <w:p w14:paraId="50162737" w14:textId="77777777" w:rsidR="002B1FF0" w:rsidRDefault="002B1FF0" w:rsidP="002E0EE0">
      <w:pPr>
        <w:jc w:val="left"/>
        <w:rPr>
          <w:rFonts w:cs="Arial"/>
          <w:sz w:val="22"/>
          <w:szCs w:val="22"/>
        </w:rPr>
      </w:pPr>
    </w:p>
    <w:p w14:paraId="3B84891F" w14:textId="4421316B" w:rsidR="001C6EEF" w:rsidRPr="002B1FF0" w:rsidRDefault="00107CED" w:rsidP="002E0EE0">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_Ref149026780 \n \h </w:instrText>
      </w:r>
      <w:r w:rsidR="002E0EE0">
        <w:rPr>
          <w:rFonts w:cs="Arial"/>
          <w:sz w:val="22"/>
          <w:szCs w:val="22"/>
        </w:rPr>
        <w:instrText xml:space="preserve"> \* MERGEFORMAT </w:instrText>
      </w:r>
      <w:r>
        <w:rPr>
          <w:rFonts w:cs="Arial"/>
          <w:sz w:val="22"/>
          <w:szCs w:val="22"/>
        </w:rPr>
      </w:r>
      <w:r>
        <w:rPr>
          <w:rFonts w:cs="Arial"/>
          <w:sz w:val="22"/>
          <w:szCs w:val="22"/>
        </w:rPr>
        <w:fldChar w:fldCharType="separate"/>
      </w:r>
      <w:r w:rsidR="0027336D">
        <w:rPr>
          <w:rFonts w:cs="Arial"/>
          <w:sz w:val="22"/>
          <w:szCs w:val="22"/>
        </w:rPr>
        <w:t>7.1</w:t>
      </w:r>
      <w:r>
        <w:rPr>
          <w:rFonts w:cs="Arial"/>
          <w:sz w:val="22"/>
          <w:szCs w:val="22"/>
        </w:rPr>
        <w:fldChar w:fldCharType="end"/>
      </w:r>
      <w:r>
        <w:rPr>
          <w:rFonts w:cs="Arial"/>
          <w:sz w:val="22"/>
          <w:szCs w:val="22"/>
        </w:rPr>
        <w:t>.</w:t>
      </w:r>
    </w:p>
    <w:p w14:paraId="7CEB565F" w14:textId="77777777" w:rsidR="002B1FF0" w:rsidRPr="002B1FF0" w:rsidRDefault="002B1FF0" w:rsidP="002E0EE0">
      <w:pPr>
        <w:jc w:val="left"/>
        <w:rPr>
          <w:rFonts w:cs="Arial"/>
          <w:sz w:val="22"/>
          <w:szCs w:val="22"/>
        </w:rPr>
      </w:pPr>
    </w:p>
    <w:p w14:paraId="49188C04" w14:textId="77777777" w:rsidR="007734A4" w:rsidRDefault="007734A4" w:rsidP="002E0EE0">
      <w:pPr>
        <w:jc w:val="left"/>
        <w:rPr>
          <w:i/>
          <w:iCs/>
          <w:sz w:val="22"/>
        </w:rPr>
      </w:pPr>
    </w:p>
    <w:p w14:paraId="4E3DF5E8" w14:textId="02DD338D" w:rsidR="007734A4" w:rsidRDefault="001A43D3" w:rsidP="002E0EE0">
      <w:pPr>
        <w:pStyle w:val="Ttulo2"/>
        <w:jc w:val="left"/>
      </w:pPr>
      <w:bookmarkStart w:id="146" w:name="_Toc158211496"/>
      <w:r w:rsidRPr="00A25B16">
        <w:t>SANTAFÉ ENERGY</w:t>
      </w:r>
      <w:bookmarkEnd w:id="146"/>
      <w:r w:rsidRPr="00A25B16">
        <w:tab/>
      </w:r>
    </w:p>
    <w:p w14:paraId="0446794F" w14:textId="1A3A7A76" w:rsidR="001A43D3" w:rsidRPr="00A25B16" w:rsidRDefault="007734A4" w:rsidP="002E0EE0">
      <w:pPr>
        <w:jc w:val="left"/>
        <w:rPr>
          <w:i/>
          <w:iCs/>
          <w:sz w:val="22"/>
        </w:rPr>
      </w:pPr>
      <w:r>
        <w:rPr>
          <w:i/>
          <w:iCs/>
          <w:sz w:val="22"/>
        </w:rPr>
        <w:t>“</w:t>
      </w:r>
      <w:r w:rsidR="001A43D3" w:rsidRPr="00A25B16">
        <w:rPr>
          <w:i/>
          <w:iCs/>
          <w:sz w:val="22"/>
        </w:rPr>
        <w:t>Resulta conveniente que los vendedores declaren ante el gestor las cantidades adicionales de oferta de PTDVF y CIDVF, pero puede ser exagerado la explicación de las razones que expliquen la adición, este puede ser un desincentivo al surgimiento de nuevas cantidades de oferta.</w:t>
      </w:r>
      <w:r>
        <w:rPr>
          <w:i/>
          <w:iCs/>
          <w:sz w:val="22"/>
        </w:rPr>
        <w:t>”</w:t>
      </w:r>
    </w:p>
    <w:p w14:paraId="13743833" w14:textId="77777777" w:rsidR="001A43D3" w:rsidRPr="00A25B16" w:rsidRDefault="001A43D3" w:rsidP="001A43D3">
      <w:pPr>
        <w:jc w:val="left"/>
        <w:rPr>
          <w:i/>
          <w:iCs/>
          <w:sz w:val="22"/>
        </w:rPr>
      </w:pPr>
    </w:p>
    <w:p w14:paraId="6B4B16E1" w14:textId="77777777" w:rsidR="002B1FF0" w:rsidRPr="002B1FF0" w:rsidRDefault="002B1FF0" w:rsidP="002B1FF0">
      <w:pPr>
        <w:rPr>
          <w:rFonts w:cs="Arial"/>
          <w:b/>
          <w:bCs/>
          <w:sz w:val="22"/>
          <w:szCs w:val="22"/>
        </w:rPr>
      </w:pPr>
      <w:r w:rsidRPr="002B1FF0">
        <w:rPr>
          <w:rFonts w:cs="Arial"/>
          <w:b/>
          <w:bCs/>
          <w:sz w:val="22"/>
          <w:szCs w:val="22"/>
        </w:rPr>
        <w:t>RESPUESTA:</w:t>
      </w:r>
    </w:p>
    <w:p w14:paraId="3AB9AE73" w14:textId="77777777" w:rsidR="002B1FF0" w:rsidRPr="002B1FF0" w:rsidRDefault="002B1FF0" w:rsidP="00F249DA">
      <w:pPr>
        <w:jc w:val="left"/>
        <w:rPr>
          <w:rFonts w:cs="Arial"/>
          <w:sz w:val="22"/>
          <w:szCs w:val="22"/>
        </w:rPr>
      </w:pPr>
    </w:p>
    <w:p w14:paraId="00663D3C" w14:textId="299D1715" w:rsidR="002B1FF0" w:rsidRDefault="00833EED" w:rsidP="00F249DA">
      <w:pPr>
        <w:jc w:val="left"/>
        <w:rPr>
          <w:rFonts w:cs="Arial"/>
          <w:sz w:val="22"/>
          <w:szCs w:val="22"/>
        </w:rPr>
      </w:pPr>
      <w:r>
        <w:rPr>
          <w:rFonts w:cs="Arial"/>
          <w:sz w:val="22"/>
          <w:szCs w:val="22"/>
        </w:rPr>
        <w:t>No se acoge el comentario.</w:t>
      </w:r>
    </w:p>
    <w:p w14:paraId="1C79DD88" w14:textId="77777777" w:rsidR="00833EED" w:rsidRDefault="00833EED" w:rsidP="00F249DA">
      <w:pPr>
        <w:jc w:val="left"/>
        <w:rPr>
          <w:rFonts w:cs="Arial"/>
          <w:sz w:val="22"/>
          <w:szCs w:val="22"/>
        </w:rPr>
      </w:pPr>
    </w:p>
    <w:p w14:paraId="7D07E54B" w14:textId="77777777" w:rsidR="00833EED" w:rsidRDefault="00833EED" w:rsidP="00F249DA">
      <w:pPr>
        <w:jc w:val="left"/>
        <w:rPr>
          <w:rFonts w:cs="Arial"/>
          <w:sz w:val="22"/>
          <w:szCs w:val="22"/>
        </w:rPr>
      </w:pPr>
      <w:r>
        <w:rPr>
          <w:rFonts w:cs="Arial"/>
          <w:sz w:val="22"/>
          <w:szCs w:val="22"/>
        </w:rPr>
        <w:t xml:space="preserve">Los cambios den las cantidades declaradas para la venta en firme, que no surgen como resultado del registro de contratos de tipo firme para una fuente de suministro, pueden afectar la formación de precio de dicha fuente, particularmente cuando el precio de una fuente de suministro para un período de ejecución futuro se forma ante una insuficiencia de la oferta del gas natural respecto de las cantidades solicitadas por los compradores en un momento dado. </w:t>
      </w:r>
    </w:p>
    <w:p w14:paraId="637DC348" w14:textId="77777777" w:rsidR="00833EED" w:rsidRDefault="00833EED" w:rsidP="00F249DA">
      <w:pPr>
        <w:jc w:val="left"/>
        <w:rPr>
          <w:rFonts w:cs="Arial"/>
          <w:sz w:val="22"/>
          <w:szCs w:val="22"/>
        </w:rPr>
      </w:pPr>
    </w:p>
    <w:p w14:paraId="66BE13F3" w14:textId="77777777" w:rsidR="00833EED" w:rsidRDefault="00833EED" w:rsidP="00F249DA">
      <w:pPr>
        <w:jc w:val="left"/>
        <w:rPr>
          <w:rFonts w:cs="Arial"/>
          <w:sz w:val="22"/>
          <w:szCs w:val="22"/>
        </w:rPr>
      </w:pPr>
      <w:r>
        <w:rPr>
          <w:rFonts w:cs="Arial"/>
          <w:sz w:val="22"/>
          <w:szCs w:val="22"/>
        </w:rPr>
        <w:t>El precio tiende a elevarse ante la mayor insuficiencia de la oferta, por lo que no se entendería que, luego de cerrado un proceso de comercialización que obtuvo precios altos por insuficiencia de oferta, se declaren por el vendedor en un período posterior nuevas cantidades que no aparecieron en el primer proceso que obtuvo precios superiores a los que hubiesen resultado de una oferta excedentaria.</w:t>
      </w:r>
    </w:p>
    <w:p w14:paraId="7CE7BACD" w14:textId="77777777" w:rsidR="00833EED" w:rsidRDefault="00833EED" w:rsidP="00F249DA">
      <w:pPr>
        <w:jc w:val="left"/>
        <w:rPr>
          <w:rFonts w:cs="Arial"/>
          <w:sz w:val="22"/>
          <w:szCs w:val="22"/>
        </w:rPr>
      </w:pPr>
    </w:p>
    <w:p w14:paraId="16BA7080" w14:textId="4AC9C501" w:rsidR="00833EED" w:rsidRPr="002B1FF0" w:rsidRDefault="00833EED" w:rsidP="00F249DA">
      <w:pPr>
        <w:jc w:val="left"/>
        <w:rPr>
          <w:rFonts w:cs="Arial"/>
          <w:sz w:val="22"/>
          <w:szCs w:val="22"/>
        </w:rPr>
      </w:pPr>
      <w:r>
        <w:rPr>
          <w:rFonts w:cs="Arial"/>
          <w:sz w:val="22"/>
          <w:szCs w:val="22"/>
        </w:rPr>
        <w:t xml:space="preserve">Por otra parte, el </w:t>
      </w:r>
      <w:r w:rsidR="00F249DA">
        <w:rPr>
          <w:rFonts w:cs="Arial"/>
          <w:sz w:val="22"/>
          <w:szCs w:val="22"/>
        </w:rPr>
        <w:t>Artículo 2.2.2.2.22 “</w:t>
      </w:r>
      <w:r w:rsidR="00F249DA" w:rsidRPr="00F249DA">
        <w:rPr>
          <w:rFonts w:cs="Arial"/>
          <w:i/>
          <w:iCs/>
          <w:sz w:val="22"/>
          <w:szCs w:val="22"/>
        </w:rPr>
        <w:t>Actualización de la declaración de producción</w:t>
      </w:r>
      <w:r w:rsidR="00F249DA">
        <w:rPr>
          <w:rFonts w:cs="Arial"/>
          <w:sz w:val="22"/>
          <w:szCs w:val="22"/>
        </w:rPr>
        <w:t xml:space="preserve">” del Decreto 1073 de 2015 establece que “(…) </w:t>
      </w:r>
      <w:r w:rsidR="00F249DA" w:rsidRPr="00F249DA">
        <w:rPr>
          <w:rFonts w:cs="Arial"/>
          <w:i/>
          <w:iCs/>
          <w:sz w:val="22"/>
          <w:szCs w:val="22"/>
        </w:rPr>
        <w:t xml:space="preserve">deberán actualizar su declaración exponiendo y documentando las razones que la justifican, </w:t>
      </w:r>
      <w:r w:rsidR="00F249DA" w:rsidRPr="00F249DA">
        <w:rPr>
          <w:rFonts w:cs="Arial"/>
          <w:b/>
          <w:bCs/>
          <w:i/>
          <w:iCs/>
          <w:sz w:val="22"/>
          <w:szCs w:val="22"/>
          <w:u w:val="single"/>
        </w:rPr>
        <w:t>por variación en la información disponible al momento de la declaración</w:t>
      </w:r>
      <w:r w:rsidR="00F249DA" w:rsidRPr="00F249DA">
        <w:rPr>
          <w:rFonts w:cs="Arial"/>
          <w:i/>
          <w:iCs/>
          <w:sz w:val="22"/>
          <w:szCs w:val="22"/>
        </w:rPr>
        <w:t xml:space="preserve"> y/o inmediatamente se surta un procedimiento de comercialización, conforme a lo previsto en este Decreto</w:t>
      </w:r>
      <w:r w:rsidR="00F249DA">
        <w:rPr>
          <w:rFonts w:cs="Arial"/>
          <w:sz w:val="22"/>
          <w:szCs w:val="22"/>
        </w:rPr>
        <w:t>.”</w:t>
      </w:r>
      <w:r>
        <w:rPr>
          <w:rFonts w:cs="Arial"/>
          <w:sz w:val="22"/>
          <w:szCs w:val="22"/>
        </w:rPr>
        <w:t xml:space="preserve"> </w:t>
      </w:r>
      <w:r w:rsidR="00F249DA">
        <w:rPr>
          <w:rFonts w:cs="Arial"/>
          <w:sz w:val="22"/>
          <w:szCs w:val="22"/>
        </w:rPr>
        <w:t>(subrayado con resaltado fuera de texto). Con mayor razón se requieren conocer razones cuando lo que se actualiza es la PTDVF, que no necesariamente proviene de una modificación de la PTDV, que por lo tanto, no cuenta con un razonamiento de modificación al MME.</w:t>
      </w:r>
    </w:p>
    <w:p w14:paraId="534F5A11" w14:textId="77777777" w:rsidR="001A43D3" w:rsidRDefault="001A43D3" w:rsidP="00F249DA">
      <w:pPr>
        <w:jc w:val="left"/>
        <w:rPr>
          <w:i/>
          <w:iCs/>
          <w:sz w:val="22"/>
        </w:rPr>
      </w:pPr>
    </w:p>
    <w:p w14:paraId="5BCF10DB" w14:textId="77777777" w:rsidR="00930B8A" w:rsidRPr="00A25B16" w:rsidRDefault="00930B8A" w:rsidP="001A43D3">
      <w:pPr>
        <w:jc w:val="left"/>
        <w:rPr>
          <w:i/>
          <w:iCs/>
          <w:sz w:val="22"/>
        </w:rPr>
      </w:pPr>
    </w:p>
    <w:p w14:paraId="5FC80942" w14:textId="096A46FD" w:rsidR="001A43D3" w:rsidRDefault="0049586D" w:rsidP="0049586D">
      <w:pPr>
        <w:pStyle w:val="Ttulo1"/>
      </w:pPr>
      <w:bookmarkStart w:id="147" w:name="_Toc158211497"/>
      <w:r>
        <w:t>ARTÍCULO 8</w:t>
      </w:r>
      <w:bookmarkEnd w:id="147"/>
    </w:p>
    <w:p w14:paraId="15A7B0CA" w14:textId="72E0BFCA" w:rsidR="00E64F39" w:rsidRDefault="001A43D3" w:rsidP="0049586D">
      <w:pPr>
        <w:pStyle w:val="Ttulo2"/>
      </w:pPr>
      <w:bookmarkStart w:id="148" w:name="_Ref149111969"/>
      <w:bookmarkStart w:id="149" w:name="_Ref149196633"/>
      <w:bookmarkStart w:id="150" w:name="_Ref149197779"/>
      <w:bookmarkStart w:id="151" w:name="_Toc158211498"/>
      <w:r w:rsidRPr="00A25B16">
        <w:t>Alcanos de Colombia S.A. E.S.P.</w:t>
      </w:r>
      <w:bookmarkEnd w:id="148"/>
      <w:bookmarkEnd w:id="149"/>
      <w:bookmarkEnd w:id="150"/>
      <w:bookmarkEnd w:id="151"/>
      <w:r w:rsidRPr="00A25B16">
        <w:tab/>
      </w:r>
    </w:p>
    <w:p w14:paraId="779FFA02" w14:textId="47E1A5F7" w:rsidR="001A43D3" w:rsidRPr="00A25B16" w:rsidRDefault="001A43D3" w:rsidP="001A43D3">
      <w:pPr>
        <w:jc w:val="left"/>
        <w:rPr>
          <w:i/>
          <w:iCs/>
          <w:sz w:val="22"/>
        </w:rPr>
      </w:pPr>
      <w:r w:rsidRPr="00A25B16">
        <w:rPr>
          <w:i/>
          <w:iCs/>
          <w:sz w:val="22"/>
        </w:rPr>
        <w:t>"El mecanismo de asignación debe ser de acuerdo al orden que se tiene establecido en la demanda esencial, después de estas asignaciones se debe hacer a prorrata.</w:t>
      </w:r>
    </w:p>
    <w:p w14:paraId="4F471F87" w14:textId="77777777" w:rsidR="001A43D3" w:rsidRPr="00A25B16" w:rsidRDefault="001A43D3" w:rsidP="001A43D3">
      <w:pPr>
        <w:jc w:val="left"/>
        <w:rPr>
          <w:i/>
          <w:iCs/>
          <w:sz w:val="22"/>
        </w:rPr>
      </w:pPr>
    </w:p>
    <w:p w14:paraId="7691612C" w14:textId="77777777" w:rsidR="001A43D3" w:rsidRPr="00A25B16" w:rsidRDefault="001A43D3" w:rsidP="001A43D3">
      <w:pPr>
        <w:jc w:val="left"/>
        <w:rPr>
          <w:i/>
          <w:iCs/>
          <w:sz w:val="22"/>
        </w:rPr>
      </w:pPr>
      <w:r w:rsidRPr="00A25B16">
        <w:rPr>
          <w:i/>
          <w:iCs/>
          <w:sz w:val="22"/>
        </w:rPr>
        <w:t>Priorizar la demanda esencial en las asignaciones."</w:t>
      </w:r>
    </w:p>
    <w:p w14:paraId="014DB612" w14:textId="77777777" w:rsidR="00E64F39" w:rsidRDefault="00E64F39" w:rsidP="001A43D3">
      <w:pPr>
        <w:jc w:val="left"/>
        <w:rPr>
          <w:i/>
          <w:iCs/>
          <w:sz w:val="22"/>
        </w:rPr>
      </w:pPr>
    </w:p>
    <w:p w14:paraId="4EC2676B" w14:textId="77777777" w:rsidR="002B1FF0" w:rsidRPr="002B1FF0" w:rsidRDefault="002B1FF0" w:rsidP="002B1FF0">
      <w:pPr>
        <w:rPr>
          <w:rFonts w:cs="Arial"/>
          <w:b/>
          <w:bCs/>
          <w:sz w:val="22"/>
          <w:szCs w:val="22"/>
        </w:rPr>
      </w:pPr>
      <w:r w:rsidRPr="002B1FF0">
        <w:rPr>
          <w:rFonts w:cs="Arial"/>
          <w:b/>
          <w:bCs/>
          <w:sz w:val="22"/>
          <w:szCs w:val="22"/>
        </w:rPr>
        <w:t>RESPUESTA:</w:t>
      </w:r>
    </w:p>
    <w:p w14:paraId="1306555B" w14:textId="77777777" w:rsidR="002B1FF0" w:rsidRPr="002B1FF0" w:rsidRDefault="002B1FF0" w:rsidP="002B1FF0">
      <w:pPr>
        <w:rPr>
          <w:rFonts w:cs="Arial"/>
          <w:sz w:val="22"/>
          <w:szCs w:val="22"/>
        </w:rPr>
      </w:pPr>
    </w:p>
    <w:p w14:paraId="68CF37C1" w14:textId="547F7E49" w:rsidR="00E64F39" w:rsidRDefault="007C37DD" w:rsidP="001A43D3">
      <w:pPr>
        <w:jc w:val="left"/>
        <w:rPr>
          <w:sz w:val="22"/>
        </w:rPr>
      </w:pPr>
      <w:r w:rsidRPr="007C37DD">
        <w:rPr>
          <w:sz w:val="22"/>
        </w:rPr>
        <w:t>S</w:t>
      </w:r>
      <w:r>
        <w:rPr>
          <w:sz w:val="22"/>
        </w:rPr>
        <w:t>e</w:t>
      </w:r>
      <w:r w:rsidRPr="007C37DD">
        <w:rPr>
          <w:sz w:val="22"/>
        </w:rPr>
        <w:t xml:space="preserve"> acoge el comentario.</w:t>
      </w:r>
    </w:p>
    <w:p w14:paraId="75596567" w14:textId="77777777" w:rsidR="007C37DD" w:rsidRDefault="007C37DD" w:rsidP="001A43D3">
      <w:pPr>
        <w:jc w:val="left"/>
        <w:rPr>
          <w:sz w:val="22"/>
        </w:rPr>
      </w:pPr>
    </w:p>
    <w:p w14:paraId="2675B665" w14:textId="788D4DBE" w:rsidR="007C37DD" w:rsidRDefault="007C37DD" w:rsidP="001A43D3">
      <w:pPr>
        <w:jc w:val="left"/>
        <w:rPr>
          <w:sz w:val="22"/>
        </w:rPr>
      </w:pPr>
      <w:r>
        <w:rPr>
          <w:sz w:val="22"/>
        </w:rPr>
        <w:t xml:space="preserve">En la resolución definitiva se incluirá una mayor especificación </w:t>
      </w:r>
      <w:r w:rsidR="0011562D">
        <w:rPr>
          <w:sz w:val="22"/>
        </w:rPr>
        <w:t xml:space="preserve">y detalle para que no haya duda </w:t>
      </w:r>
      <w:r>
        <w:rPr>
          <w:sz w:val="22"/>
        </w:rPr>
        <w:t xml:space="preserve">respecto del manejo que se debe dar para la priorización de cantidades </w:t>
      </w:r>
      <w:r w:rsidR="003629EA">
        <w:rPr>
          <w:sz w:val="22"/>
        </w:rPr>
        <w:t xml:space="preserve">que se oferten </w:t>
      </w:r>
      <w:r w:rsidR="0011562D">
        <w:rPr>
          <w:sz w:val="22"/>
        </w:rPr>
        <w:t>en el Mercado Primario</w:t>
      </w:r>
      <w:r w:rsidR="003629EA">
        <w:rPr>
          <w:sz w:val="22"/>
        </w:rPr>
        <w:t xml:space="preserve"> para las duraciones contractuales propuestas,</w:t>
      </w:r>
      <w:r w:rsidR="0011562D">
        <w:rPr>
          <w:sz w:val="22"/>
        </w:rPr>
        <w:t xml:space="preserve"> </w:t>
      </w:r>
      <w:r>
        <w:rPr>
          <w:sz w:val="22"/>
        </w:rPr>
        <w:t xml:space="preserve">con el fin de atender </w:t>
      </w:r>
      <w:r w:rsidR="00B1192D">
        <w:rPr>
          <w:sz w:val="22"/>
        </w:rPr>
        <w:t xml:space="preserve">e, consumo de </w:t>
      </w:r>
      <w:r>
        <w:rPr>
          <w:sz w:val="22"/>
        </w:rPr>
        <w:t>los usuarios que son parte de la Demanda Esencial, en cumplimiento de la definición establecida en el Artículo 2.2.2.1.4 del Decreto 1073 de 2015</w:t>
      </w:r>
      <w:r w:rsidR="003629EA">
        <w:rPr>
          <w:sz w:val="22"/>
        </w:rPr>
        <w:t xml:space="preserve"> y el orden que se determina para cada uno de los tipos de usuarios que componen la Demanda Esencial</w:t>
      </w:r>
      <w:r>
        <w:rPr>
          <w:sz w:val="22"/>
        </w:rPr>
        <w:t>.</w:t>
      </w:r>
    </w:p>
    <w:p w14:paraId="0C3794C9" w14:textId="77777777" w:rsidR="00B1192D" w:rsidRDefault="00B1192D" w:rsidP="001A43D3">
      <w:pPr>
        <w:jc w:val="left"/>
        <w:rPr>
          <w:sz w:val="22"/>
        </w:rPr>
      </w:pPr>
    </w:p>
    <w:p w14:paraId="60347E25" w14:textId="59FF25EB" w:rsidR="00B1192D" w:rsidRDefault="00B1192D" w:rsidP="001A43D3">
      <w:pPr>
        <w:jc w:val="left"/>
        <w:rPr>
          <w:sz w:val="22"/>
        </w:rPr>
      </w:pPr>
      <w:r>
        <w:rPr>
          <w:sz w:val="22"/>
        </w:rPr>
        <w:t>Se debe tener en cuenta que en el caso de una asignación a prorrata para la Demanda Esencial, que se</w:t>
      </w:r>
      <w:r w:rsidR="004C1E3B">
        <w:rPr>
          <w:sz w:val="22"/>
        </w:rPr>
        <w:t xml:space="preserve"> ha</w:t>
      </w:r>
      <w:r>
        <w:rPr>
          <w:sz w:val="22"/>
        </w:rPr>
        <w:t>ría cuando las cantidades totales ofertadas por un vendedor de una fuente de suministro son inferiores a las cantidades solicitadas por los compradores que atienden la Demanda Esencial</w:t>
      </w:r>
      <w:r w:rsidR="004C1E3B">
        <w:rPr>
          <w:sz w:val="22"/>
        </w:rPr>
        <w:t>, se tiene en cuenta la cantidad nominal solicitada por los compradores, sin que se tenga en cuenta el porcentaje de contratación que ya tiene dicho comprador para atender la Demanda Esencial, tanto en compras del Mercado Primario como del Mercado Secundario. Lo anterior</w:t>
      </w:r>
      <w:r w:rsidR="00064E62">
        <w:rPr>
          <w:sz w:val="22"/>
        </w:rPr>
        <w:t xml:space="preserve">, </w:t>
      </w:r>
      <w:r w:rsidR="004C1E3B">
        <w:rPr>
          <w:sz w:val="22"/>
        </w:rPr>
        <w:t xml:space="preserve">porque no se considera adecuado establecer un mecanismo en el que quien tiene menor porcentaje de contratación de la Demanda Esencial tenga privilegio de contratar proporcionalmente mayores cantidades que otros compradores que han tenido la previsión de contratarse en mayor porcentaje anteriormente. </w:t>
      </w:r>
    </w:p>
    <w:p w14:paraId="727BEE59" w14:textId="227268F5" w:rsidR="00331B96" w:rsidRDefault="00331B96" w:rsidP="001A43D3">
      <w:pPr>
        <w:jc w:val="left"/>
        <w:rPr>
          <w:sz w:val="22"/>
        </w:rPr>
      </w:pPr>
    </w:p>
    <w:p w14:paraId="715571B5" w14:textId="745FE38F" w:rsidR="00331B96" w:rsidRPr="007C37DD" w:rsidRDefault="00331B96" w:rsidP="001A43D3">
      <w:pPr>
        <w:jc w:val="left"/>
        <w:rPr>
          <w:sz w:val="22"/>
        </w:rPr>
      </w:pPr>
      <w:r>
        <w:rPr>
          <w:sz w:val="22"/>
        </w:rPr>
        <w:t>Por otra parte, corresponde a los compradores</w:t>
      </w:r>
      <w:r w:rsidR="001258FE">
        <w:rPr>
          <w:sz w:val="22"/>
        </w:rPr>
        <w:t xml:space="preserve"> que atienden la Demanda Esencial distribuir las cantidades contratadas en el Mercado Mayorista para la atención de los diferentes tipos de usuarios que conforman la Demanda Esencial, cuando </w:t>
      </w:r>
      <w:r w:rsidR="001258FE">
        <w:rPr>
          <w:rFonts w:cs="Arial"/>
          <w:sz w:val="22"/>
          <w:szCs w:val="22"/>
        </w:rPr>
        <w:t>se presentan limitaciones en el suministro o transporte de gas para atender la totalidad de la demanda.</w:t>
      </w:r>
    </w:p>
    <w:p w14:paraId="152A2F50" w14:textId="77777777" w:rsidR="007C37DD" w:rsidRDefault="007C37DD" w:rsidP="001A43D3">
      <w:pPr>
        <w:jc w:val="left"/>
        <w:rPr>
          <w:i/>
          <w:iCs/>
          <w:sz w:val="22"/>
        </w:rPr>
      </w:pPr>
    </w:p>
    <w:p w14:paraId="74F0C9ED" w14:textId="77777777" w:rsidR="007C37DD" w:rsidRDefault="007C37DD" w:rsidP="001A43D3">
      <w:pPr>
        <w:jc w:val="left"/>
        <w:rPr>
          <w:i/>
          <w:iCs/>
          <w:sz w:val="22"/>
        </w:rPr>
      </w:pPr>
    </w:p>
    <w:p w14:paraId="089AE4A2" w14:textId="02A72174" w:rsidR="00E64F39" w:rsidRDefault="001A43D3" w:rsidP="0049586D">
      <w:pPr>
        <w:pStyle w:val="Ttulo2"/>
      </w:pPr>
      <w:bookmarkStart w:id="152" w:name="_Ref149196838"/>
      <w:bookmarkStart w:id="153" w:name="_Toc158211499"/>
      <w:r w:rsidRPr="00A25B16">
        <w:t>ASOENERGIA</w:t>
      </w:r>
      <w:bookmarkEnd w:id="152"/>
      <w:bookmarkEnd w:id="153"/>
      <w:r w:rsidRPr="00A25B16">
        <w:tab/>
      </w:r>
    </w:p>
    <w:p w14:paraId="4249BABD" w14:textId="15ECBBE1" w:rsidR="001A43D3" w:rsidRPr="00A25B16" w:rsidRDefault="001A43D3" w:rsidP="001A43D3">
      <w:pPr>
        <w:jc w:val="left"/>
        <w:rPr>
          <w:i/>
          <w:iCs/>
          <w:sz w:val="22"/>
        </w:rPr>
      </w:pPr>
      <w:r w:rsidRPr="00A25B16">
        <w:rPr>
          <w:i/>
          <w:iCs/>
          <w:sz w:val="22"/>
        </w:rPr>
        <w:t>"Actualmente, existe un mecanismo de aseguramiento del gas natural para la Demanda Esencial el cual está definido en el Decreto Único Reglamentario. Dicho aseguramiento es lo asociado al estatuto de racionamiento, que define una prioridad de asignación de gas a la Demanda Esencial, en situaciones de déficit en el corto y largo plazo. Es decir, en el caso de presentarse esa situación y aun teniendo contratos en firme, los usuarios de la Demanda No Esencial deben entregar el gas para cubrir la Demanda Esencial. En consideración a lo anterior, ASOENERGIA no considera procedente que además de esa prerrogativa que ya tiene la Demanda Esencial, se le dé la preferencia en la contratación, como lo indica la presente Propuesta.</w:t>
      </w:r>
    </w:p>
    <w:p w14:paraId="218DB1EA" w14:textId="77777777" w:rsidR="001A43D3" w:rsidRPr="00A25B16" w:rsidRDefault="001A43D3" w:rsidP="001A43D3">
      <w:pPr>
        <w:jc w:val="left"/>
        <w:rPr>
          <w:i/>
          <w:iCs/>
          <w:sz w:val="22"/>
        </w:rPr>
      </w:pPr>
    </w:p>
    <w:p w14:paraId="53EF1BE6" w14:textId="77777777" w:rsidR="001A43D3" w:rsidRPr="00A25B16" w:rsidRDefault="001A43D3" w:rsidP="001A43D3">
      <w:pPr>
        <w:jc w:val="left"/>
        <w:rPr>
          <w:i/>
          <w:iCs/>
          <w:sz w:val="22"/>
        </w:rPr>
      </w:pPr>
      <w:r w:rsidRPr="00A25B16">
        <w:rPr>
          <w:i/>
          <w:iCs/>
          <w:sz w:val="22"/>
        </w:rPr>
        <w:t>En este sentido, se solicita que se suprima toda consideración de preferencia en términos de contratación a la Demanda Esencial sobre la Demanda No Esencial."</w:t>
      </w:r>
    </w:p>
    <w:p w14:paraId="66AEB73E" w14:textId="77777777" w:rsidR="00E64F39" w:rsidRDefault="00E64F39" w:rsidP="001A43D3">
      <w:pPr>
        <w:jc w:val="left"/>
        <w:rPr>
          <w:i/>
          <w:iCs/>
          <w:sz w:val="22"/>
        </w:rPr>
      </w:pPr>
    </w:p>
    <w:p w14:paraId="4C347AAA" w14:textId="77777777" w:rsidR="002B1FF0" w:rsidRPr="002B1FF0" w:rsidRDefault="002B1FF0" w:rsidP="002B1FF0">
      <w:pPr>
        <w:rPr>
          <w:rFonts w:cs="Arial"/>
          <w:b/>
          <w:bCs/>
          <w:sz w:val="22"/>
          <w:szCs w:val="22"/>
        </w:rPr>
      </w:pPr>
      <w:r w:rsidRPr="002B1FF0">
        <w:rPr>
          <w:rFonts w:cs="Arial"/>
          <w:b/>
          <w:bCs/>
          <w:sz w:val="22"/>
          <w:szCs w:val="22"/>
        </w:rPr>
        <w:t>RESPUESTA:</w:t>
      </w:r>
    </w:p>
    <w:p w14:paraId="1452A5F9" w14:textId="77777777" w:rsidR="002B1FF0" w:rsidRPr="002B1FF0" w:rsidRDefault="002B1FF0" w:rsidP="002B1FF0">
      <w:pPr>
        <w:rPr>
          <w:rFonts w:cs="Arial"/>
          <w:sz w:val="22"/>
          <w:szCs w:val="22"/>
        </w:rPr>
      </w:pPr>
    </w:p>
    <w:p w14:paraId="41B60F9C" w14:textId="32426C96" w:rsidR="002B1FF0" w:rsidRDefault="00FC0C06" w:rsidP="003629EA">
      <w:pPr>
        <w:jc w:val="left"/>
        <w:rPr>
          <w:rFonts w:cs="Arial"/>
          <w:sz w:val="22"/>
          <w:szCs w:val="22"/>
        </w:rPr>
      </w:pPr>
      <w:r>
        <w:rPr>
          <w:rFonts w:cs="Arial"/>
          <w:sz w:val="22"/>
          <w:szCs w:val="22"/>
        </w:rPr>
        <w:t>No se acoge el comentario.</w:t>
      </w:r>
    </w:p>
    <w:p w14:paraId="4869A8A3" w14:textId="77777777" w:rsidR="00FC0C06" w:rsidRDefault="00FC0C06" w:rsidP="003629EA">
      <w:pPr>
        <w:jc w:val="left"/>
        <w:rPr>
          <w:rFonts w:cs="Arial"/>
          <w:sz w:val="22"/>
          <w:szCs w:val="22"/>
        </w:rPr>
      </w:pPr>
    </w:p>
    <w:p w14:paraId="363D0572" w14:textId="27F31646" w:rsidR="00FC0C06" w:rsidRDefault="00FC0C06" w:rsidP="003629EA">
      <w:pPr>
        <w:jc w:val="left"/>
        <w:rPr>
          <w:rFonts w:cs="Arial"/>
          <w:sz w:val="22"/>
          <w:szCs w:val="22"/>
        </w:rPr>
      </w:pPr>
      <w:r>
        <w:rPr>
          <w:rFonts w:cs="Arial"/>
          <w:sz w:val="22"/>
          <w:szCs w:val="22"/>
        </w:rPr>
        <w:t>El Parágrafo 2 del Artículo 2.2.2.2.21 del decreto 1073 de 2015 especifica:</w:t>
      </w:r>
    </w:p>
    <w:p w14:paraId="262645CE" w14:textId="77777777" w:rsidR="00FC0C06" w:rsidRDefault="00FC0C06" w:rsidP="003629EA">
      <w:pPr>
        <w:jc w:val="left"/>
        <w:rPr>
          <w:rFonts w:cs="Arial"/>
          <w:sz w:val="22"/>
          <w:szCs w:val="22"/>
        </w:rPr>
      </w:pPr>
    </w:p>
    <w:p w14:paraId="234DD1F3" w14:textId="0EF6517D" w:rsidR="00FC0C06" w:rsidRDefault="00FC0C06" w:rsidP="003629EA">
      <w:pPr>
        <w:ind w:left="576"/>
        <w:jc w:val="left"/>
        <w:rPr>
          <w:rFonts w:cs="Arial"/>
          <w:sz w:val="22"/>
          <w:szCs w:val="22"/>
        </w:rPr>
      </w:pPr>
      <w:r>
        <w:rPr>
          <w:rFonts w:cs="Arial"/>
          <w:sz w:val="22"/>
          <w:szCs w:val="22"/>
        </w:rPr>
        <w:t>“</w:t>
      </w:r>
      <w:r w:rsidRPr="00FC0C06">
        <w:rPr>
          <w:rFonts w:cs="Arial"/>
          <w:i/>
          <w:iCs/>
          <w:sz w:val="22"/>
          <w:szCs w:val="22"/>
        </w:rPr>
        <w:t xml:space="preserve">PARÁGRAFO 2. La CREG, siguiendo los lineamientos establecidos en el artículo 2.2.2.2.26. de este Decreto, </w:t>
      </w:r>
      <w:r w:rsidRPr="00FC0C06">
        <w:rPr>
          <w:rFonts w:cs="Arial"/>
          <w:b/>
          <w:bCs/>
          <w:i/>
          <w:iCs/>
          <w:sz w:val="22"/>
          <w:szCs w:val="22"/>
          <w:u w:val="single"/>
        </w:rPr>
        <w:t>definirá los mecanismos</w:t>
      </w:r>
      <w:r w:rsidRPr="00FC0C06">
        <w:rPr>
          <w:rFonts w:cs="Arial"/>
          <w:i/>
          <w:iCs/>
          <w:sz w:val="22"/>
          <w:szCs w:val="22"/>
        </w:rPr>
        <w:t xml:space="preserve"> que permitan a los Agentes que atiendan a la Demanda Esencial </w:t>
      </w:r>
      <w:r w:rsidRPr="00FC0C06">
        <w:rPr>
          <w:rFonts w:cs="Arial"/>
          <w:b/>
          <w:bCs/>
          <w:i/>
          <w:iCs/>
          <w:sz w:val="22"/>
          <w:szCs w:val="22"/>
          <w:u w:val="single"/>
        </w:rPr>
        <w:t>tener acceso a los contratos de suministro</w:t>
      </w:r>
      <w:r w:rsidRPr="00FC0C06">
        <w:rPr>
          <w:rFonts w:cs="Arial"/>
          <w:i/>
          <w:iCs/>
          <w:sz w:val="22"/>
          <w:szCs w:val="22"/>
        </w:rPr>
        <w:t xml:space="preserve"> y/o transporte de gas natural a que se refiere este artículo</w:t>
      </w:r>
      <w:r w:rsidRPr="00FC0C06">
        <w:rPr>
          <w:rFonts w:cs="Arial"/>
          <w:sz w:val="22"/>
          <w:szCs w:val="22"/>
        </w:rPr>
        <w:t>.</w:t>
      </w:r>
      <w:r>
        <w:rPr>
          <w:rFonts w:cs="Arial"/>
          <w:sz w:val="22"/>
          <w:szCs w:val="22"/>
        </w:rPr>
        <w:t>” (subrayado con resaltado fuera de texto).</w:t>
      </w:r>
    </w:p>
    <w:p w14:paraId="0B50189B" w14:textId="77777777" w:rsidR="00FC0C06" w:rsidRDefault="00FC0C06" w:rsidP="003629EA">
      <w:pPr>
        <w:jc w:val="left"/>
        <w:rPr>
          <w:rFonts w:cs="Arial"/>
          <w:sz w:val="22"/>
          <w:szCs w:val="22"/>
        </w:rPr>
      </w:pPr>
    </w:p>
    <w:p w14:paraId="1A3C956D" w14:textId="7F7FF3B9" w:rsidR="003629EA" w:rsidRDefault="00FC0C06" w:rsidP="003629EA">
      <w:pPr>
        <w:jc w:val="left"/>
        <w:rPr>
          <w:rFonts w:cs="Arial"/>
          <w:sz w:val="22"/>
          <w:szCs w:val="22"/>
        </w:rPr>
      </w:pPr>
      <w:r>
        <w:rPr>
          <w:rFonts w:cs="Arial"/>
          <w:sz w:val="22"/>
          <w:szCs w:val="22"/>
        </w:rPr>
        <w:t xml:space="preserve">Se entiende la necesidad de que los agentes que atienden Demanda Esencial cuenten con contratos de tipo firme (con Respaldo Físico) precisamente para que la priorización que se da a la atención del consumo de los usuarios que hacen parte de la Demanda Esencial cuando se presentan limitaciones en el suministro o transporte de gas para atender la totalidad de la demanda, parta de un contrato del mismo tipo firme que tienen los demás usuarios que no son parte de la Demanda Esencial. </w:t>
      </w:r>
      <w:r w:rsidR="003629EA">
        <w:rPr>
          <w:rFonts w:cs="Arial"/>
          <w:sz w:val="22"/>
          <w:szCs w:val="22"/>
        </w:rPr>
        <w:t xml:space="preserve">Ciertamente se hace evidente que entre los mismos contratos de tipo firme los contratos que se destinan a atender la Demanda Esencial, tienen mayor firmeza (mayor probabilidad de la entrega del gas garantizado que se nomina) que los contratos que atienden la demás demanda.  </w:t>
      </w:r>
    </w:p>
    <w:p w14:paraId="45A028C0" w14:textId="77777777" w:rsidR="003629EA" w:rsidRDefault="003629EA" w:rsidP="003629EA">
      <w:pPr>
        <w:jc w:val="left"/>
        <w:rPr>
          <w:rFonts w:cs="Arial"/>
          <w:sz w:val="22"/>
          <w:szCs w:val="22"/>
        </w:rPr>
      </w:pPr>
    </w:p>
    <w:p w14:paraId="2BA48275" w14:textId="213D3ED5" w:rsidR="00FC0C06" w:rsidRDefault="00FC0C06" w:rsidP="003629EA">
      <w:pPr>
        <w:jc w:val="left"/>
        <w:rPr>
          <w:rFonts w:cs="Arial"/>
          <w:sz w:val="22"/>
          <w:szCs w:val="22"/>
        </w:rPr>
      </w:pPr>
      <w:r>
        <w:rPr>
          <w:rFonts w:cs="Arial"/>
          <w:sz w:val="22"/>
          <w:szCs w:val="22"/>
        </w:rPr>
        <w:t>Es por ello que se entiende el contenido del Parágrafo 1 del mismo Artículo mencionado, cuando dice:</w:t>
      </w:r>
    </w:p>
    <w:p w14:paraId="2D69526D" w14:textId="77777777" w:rsidR="00FC0C06" w:rsidRDefault="00FC0C06" w:rsidP="003629EA">
      <w:pPr>
        <w:jc w:val="left"/>
        <w:rPr>
          <w:rFonts w:cs="Arial"/>
          <w:sz w:val="22"/>
          <w:szCs w:val="22"/>
        </w:rPr>
      </w:pPr>
    </w:p>
    <w:p w14:paraId="63A94338" w14:textId="4D18AC7B" w:rsidR="00E64F39" w:rsidRDefault="00FC0C06" w:rsidP="003629EA">
      <w:pPr>
        <w:ind w:left="576"/>
        <w:jc w:val="left"/>
        <w:rPr>
          <w:rFonts w:cs="Arial"/>
          <w:sz w:val="22"/>
          <w:szCs w:val="22"/>
        </w:rPr>
      </w:pPr>
      <w:r>
        <w:rPr>
          <w:rFonts w:cs="Arial"/>
          <w:sz w:val="22"/>
          <w:szCs w:val="22"/>
        </w:rPr>
        <w:t>“</w:t>
      </w:r>
      <w:r w:rsidRPr="00FC0C06">
        <w:rPr>
          <w:rFonts w:cs="Arial"/>
          <w:i/>
          <w:iCs/>
          <w:sz w:val="22"/>
          <w:szCs w:val="22"/>
        </w:rPr>
        <w:t xml:space="preserve">PARÁGRAFO 1. Cuando se presenten Insalvables Restricciones en la Oferta de Gas Natural o Situaciones de Grave Emergencia Transitorias y No Transitorias o Racionamiento Programado de gas natural de que tratan los artículos 2.2.2.2.1. a 2.2.2.2.15. del presente Decreto y </w:t>
      </w:r>
      <w:r w:rsidRPr="00FC0C06">
        <w:rPr>
          <w:rFonts w:cs="Arial"/>
          <w:b/>
          <w:bCs/>
          <w:i/>
          <w:iCs/>
          <w:sz w:val="22"/>
          <w:szCs w:val="22"/>
          <w:u w:val="single"/>
        </w:rPr>
        <w:t>los Agentes que atiendan la Demanda Esencial no cuenten con los contratos Firmes o que Garanticen Firmeza asumirán directamente tos costos en que incurran los Agentes que por ello resulten afectados. Lo anterior, sin perjuicio de las acciones administrativas y sanciones que puedan derivarse de este incumplimiento</w:t>
      </w:r>
      <w:r w:rsidRPr="00FC0C06">
        <w:rPr>
          <w:rFonts w:cs="Arial"/>
          <w:i/>
          <w:iCs/>
          <w:sz w:val="22"/>
          <w:szCs w:val="22"/>
        </w:rPr>
        <w:t>.”</w:t>
      </w:r>
    </w:p>
    <w:p w14:paraId="48070720" w14:textId="77777777" w:rsidR="00FC0C06" w:rsidRDefault="00FC0C06" w:rsidP="001D2928">
      <w:pPr>
        <w:jc w:val="left"/>
        <w:rPr>
          <w:rFonts w:cs="Arial"/>
          <w:sz w:val="22"/>
          <w:szCs w:val="22"/>
        </w:rPr>
      </w:pPr>
    </w:p>
    <w:p w14:paraId="04012244" w14:textId="07D5ADD6" w:rsidR="00761BC8" w:rsidRDefault="00761BC8" w:rsidP="001D2928">
      <w:pPr>
        <w:jc w:val="left"/>
        <w:rPr>
          <w:sz w:val="22"/>
        </w:rPr>
      </w:pPr>
      <w:r>
        <w:rPr>
          <w:sz w:val="22"/>
        </w:rPr>
        <w:t>También puede ocurrir que</w:t>
      </w:r>
      <w:r w:rsidR="002F5CC6">
        <w:rPr>
          <w:sz w:val="22"/>
        </w:rPr>
        <w:t>,</w:t>
      </w:r>
      <w:r>
        <w:rPr>
          <w:sz w:val="22"/>
        </w:rPr>
        <w:t xml:space="preserve"> en cumplimiento del Artículo 2.2.2.2.</w:t>
      </w:r>
      <w:r w:rsidR="002F5CC6">
        <w:rPr>
          <w:sz w:val="22"/>
        </w:rPr>
        <w:t>1</w:t>
      </w:r>
      <w:r>
        <w:rPr>
          <w:sz w:val="22"/>
        </w:rPr>
        <w:t xml:space="preserve"> del Decreto 1073 de 2015, los</w:t>
      </w:r>
      <w:r w:rsidR="002F5CC6">
        <w:rPr>
          <w:sz w:val="22"/>
        </w:rPr>
        <w:t xml:space="preserve"> vendedores del Mercado Primario deban entregar el gas a compradores con los que no tienen suscrito contrato de suministro con el fin de atender la Demanda Esencial de dichos compradores, por lo que resulta necesario que dichos compradores sí tengan al menos suscrito un contrato de tipo firme con las fuentes de suministro que no pueden prestar el servicio por limitaciones técnicas o de insuficiencia de gas</w:t>
      </w:r>
      <w:r w:rsidR="007058B6">
        <w:rPr>
          <w:sz w:val="22"/>
        </w:rPr>
        <w:t xml:space="preserve"> natural</w:t>
      </w:r>
      <w:r w:rsidR="002F5CC6">
        <w:rPr>
          <w:sz w:val="22"/>
        </w:rPr>
        <w:t xml:space="preserve">. </w:t>
      </w:r>
      <w:r>
        <w:rPr>
          <w:sz w:val="22"/>
        </w:rPr>
        <w:t xml:space="preserve"> </w:t>
      </w:r>
    </w:p>
    <w:p w14:paraId="31F7F3D9" w14:textId="77777777" w:rsidR="00761BC8" w:rsidRDefault="00761BC8" w:rsidP="001D2928">
      <w:pPr>
        <w:jc w:val="left"/>
        <w:rPr>
          <w:sz w:val="22"/>
        </w:rPr>
      </w:pPr>
    </w:p>
    <w:p w14:paraId="04CF2141" w14:textId="3A8C4320" w:rsidR="00FC0C06" w:rsidRPr="00FC0C06" w:rsidRDefault="00FC0C06" w:rsidP="001D2928">
      <w:pPr>
        <w:jc w:val="left"/>
        <w:rPr>
          <w:sz w:val="22"/>
        </w:rPr>
      </w:pPr>
      <w:r w:rsidRPr="00FC0C06">
        <w:rPr>
          <w:sz w:val="22"/>
        </w:rPr>
        <w:t xml:space="preserve">Actualmente </w:t>
      </w:r>
      <w:r>
        <w:rPr>
          <w:sz w:val="22"/>
        </w:rPr>
        <w:t>los</w:t>
      </w:r>
      <w:r w:rsidRPr="00FC0C06">
        <w:rPr>
          <w:sz w:val="22"/>
        </w:rPr>
        <w:t xml:space="preserve"> mecanismo</w:t>
      </w:r>
      <w:r>
        <w:rPr>
          <w:sz w:val="22"/>
        </w:rPr>
        <w:t>s</w:t>
      </w:r>
      <w:r w:rsidRPr="00FC0C06">
        <w:rPr>
          <w:sz w:val="22"/>
        </w:rPr>
        <w:t xml:space="preserve"> establecido</w:t>
      </w:r>
      <w:r>
        <w:rPr>
          <w:sz w:val="22"/>
        </w:rPr>
        <w:t>s</w:t>
      </w:r>
      <w:r w:rsidRPr="00FC0C06">
        <w:rPr>
          <w:sz w:val="22"/>
        </w:rPr>
        <w:t xml:space="preserve"> por la CREG </w:t>
      </w:r>
      <w:r>
        <w:rPr>
          <w:sz w:val="22"/>
        </w:rPr>
        <w:t xml:space="preserve">para lo anterior son, en primera instancia, las negociaciones directas y la reserva de gas para la demanda regulada. Asimismo, los demás mecanismos subsiguientes, como son las subastas de contratos C1 y C2 y las subastas bimestrales de contratos firmes. Por la evolución del Mercado se considera necesario incorporar otros mecanismos que permitan a los agentes que atiendan a la Demanda Esencial tener acceso a los contratos de suministro en forma más efectiva y eficiente. </w:t>
      </w:r>
    </w:p>
    <w:p w14:paraId="4E8C8487" w14:textId="77777777" w:rsidR="00E64F39" w:rsidRDefault="00E64F39" w:rsidP="001D2928">
      <w:pPr>
        <w:jc w:val="left"/>
        <w:rPr>
          <w:i/>
          <w:iCs/>
          <w:sz w:val="22"/>
        </w:rPr>
      </w:pPr>
    </w:p>
    <w:p w14:paraId="6C594D8B" w14:textId="77777777" w:rsidR="00FC0C06" w:rsidRDefault="00FC0C06" w:rsidP="001D2928">
      <w:pPr>
        <w:jc w:val="left"/>
        <w:rPr>
          <w:i/>
          <w:iCs/>
          <w:sz w:val="22"/>
        </w:rPr>
      </w:pPr>
    </w:p>
    <w:p w14:paraId="4531D4EE" w14:textId="57218179" w:rsidR="00E64F39" w:rsidRDefault="001A43D3" w:rsidP="001D2928">
      <w:pPr>
        <w:pStyle w:val="Ttulo2"/>
        <w:jc w:val="left"/>
      </w:pPr>
      <w:bookmarkStart w:id="154" w:name="_Ref149196952"/>
      <w:bookmarkStart w:id="155" w:name="_Toc158211500"/>
      <w:r w:rsidRPr="00A25B16">
        <w:t>CANACOL</w:t>
      </w:r>
      <w:bookmarkEnd w:id="154"/>
      <w:bookmarkEnd w:id="155"/>
      <w:r w:rsidRPr="00A25B16">
        <w:tab/>
      </w:r>
    </w:p>
    <w:p w14:paraId="170E21BF" w14:textId="05D5FF54" w:rsidR="001A43D3" w:rsidRPr="00A25B16" w:rsidRDefault="001A43D3" w:rsidP="001D2928">
      <w:pPr>
        <w:jc w:val="left"/>
        <w:rPr>
          <w:i/>
          <w:iCs/>
          <w:sz w:val="22"/>
        </w:rPr>
      </w:pPr>
      <w:r w:rsidRPr="00A25B16">
        <w:rPr>
          <w:i/>
          <w:iCs/>
          <w:sz w:val="22"/>
        </w:rPr>
        <w:t xml:space="preserve">"Considerando que cada productor no tiene la posibilidad de determinar si la demanda esencial presenta un déficit en su contratación y que la posibilidad de que el mecanismo establecido por el vendedor no sea considerado lo suficientemente abierto por la demanda esencial, proponemos a la comisión, que se realice un balance de contratación por parte del Gestor del Mercado de Gas con el fin de evidenciar claramente cuando será posible hacer negociaciones con demanda no esencial. </w:t>
      </w:r>
    </w:p>
    <w:p w14:paraId="1431520A" w14:textId="77777777" w:rsidR="001A43D3" w:rsidRPr="00A25B16" w:rsidRDefault="001A43D3" w:rsidP="001D2928">
      <w:pPr>
        <w:jc w:val="left"/>
        <w:rPr>
          <w:i/>
          <w:iCs/>
          <w:sz w:val="22"/>
        </w:rPr>
      </w:pPr>
    </w:p>
    <w:p w14:paraId="4324FF35" w14:textId="446DC94A" w:rsidR="001A43D3" w:rsidRPr="00415E67" w:rsidRDefault="001A43D3" w:rsidP="001D2928">
      <w:pPr>
        <w:jc w:val="left"/>
        <w:rPr>
          <w:i/>
          <w:iCs/>
          <w:sz w:val="22"/>
        </w:rPr>
      </w:pPr>
      <w:r w:rsidRPr="00A25B16">
        <w:rPr>
          <w:i/>
          <w:iCs/>
          <w:sz w:val="22"/>
        </w:rPr>
        <w:t>Se propone entonces que las autoridades del mercado de gas (Gestor del Mercado de Gas), quienes son las que tienen acceso a la totalidad de los vol</w:t>
      </w:r>
      <w:r w:rsidR="001D2928">
        <w:rPr>
          <w:i/>
          <w:iCs/>
          <w:sz w:val="22"/>
        </w:rPr>
        <w:t>ú</w:t>
      </w:r>
      <w:r w:rsidRPr="00A25B16">
        <w:rPr>
          <w:i/>
          <w:iCs/>
          <w:sz w:val="22"/>
        </w:rPr>
        <w:t xml:space="preserve">menes y contratos que se encuentran actualmente en el mercado, establezcan el mecanismo de priorización establecido en este artículo. Lo anterior, debido a que los vendedores no cuentan ni con la información detallada ni con las facultades de ley para determinar de manera precisa a cuál de sus clientes </w:t>
      </w:r>
      <w:r w:rsidRPr="00415E67">
        <w:rPr>
          <w:i/>
          <w:iCs/>
          <w:sz w:val="22"/>
        </w:rPr>
        <w:t xml:space="preserve">debería priorizar en virtud de esta resolución. </w:t>
      </w:r>
    </w:p>
    <w:p w14:paraId="7D5F6938" w14:textId="77777777" w:rsidR="001A43D3" w:rsidRPr="00415E67" w:rsidRDefault="001A43D3" w:rsidP="001D2928">
      <w:pPr>
        <w:jc w:val="left"/>
        <w:rPr>
          <w:i/>
          <w:iCs/>
          <w:sz w:val="22"/>
        </w:rPr>
      </w:pPr>
    </w:p>
    <w:p w14:paraId="505488CC" w14:textId="4CA6C5C5" w:rsidR="001A43D3" w:rsidRPr="00A25B16" w:rsidRDefault="001A43D3" w:rsidP="001D2928">
      <w:pPr>
        <w:jc w:val="left"/>
        <w:rPr>
          <w:i/>
          <w:iCs/>
          <w:sz w:val="22"/>
        </w:rPr>
      </w:pPr>
      <w:r w:rsidRPr="00415E67">
        <w:rPr>
          <w:i/>
          <w:iCs/>
          <w:sz w:val="22"/>
        </w:rPr>
        <w:t>Se propone establecer lineamientos mínimos para garantizar el abastecimiento de la demanda esencial, soli</w:t>
      </w:r>
      <w:r w:rsidR="00763474" w:rsidRPr="00415E67">
        <w:rPr>
          <w:i/>
          <w:iCs/>
          <w:sz w:val="22"/>
        </w:rPr>
        <w:t>ci</w:t>
      </w:r>
      <w:r w:rsidRPr="00415E67">
        <w:rPr>
          <w:i/>
          <w:iCs/>
          <w:sz w:val="22"/>
        </w:rPr>
        <w:t>tando al Gestor del Mercado de Gas (BEC) que realice y publique el balance de oferta y demanda de la necesidad de contratación por parte de la demanda esencial. "</w:t>
      </w:r>
    </w:p>
    <w:p w14:paraId="2776EC25" w14:textId="77777777" w:rsidR="00E64F39" w:rsidRDefault="00E64F39" w:rsidP="001D2928">
      <w:pPr>
        <w:jc w:val="left"/>
        <w:rPr>
          <w:i/>
          <w:iCs/>
          <w:sz w:val="22"/>
        </w:rPr>
      </w:pPr>
    </w:p>
    <w:p w14:paraId="7011F7F3" w14:textId="77777777" w:rsidR="002B1FF0" w:rsidRPr="002B1FF0" w:rsidRDefault="002B1FF0" w:rsidP="001D2928">
      <w:pPr>
        <w:jc w:val="left"/>
        <w:rPr>
          <w:rFonts w:cs="Arial"/>
          <w:b/>
          <w:bCs/>
          <w:sz w:val="22"/>
          <w:szCs w:val="22"/>
        </w:rPr>
      </w:pPr>
      <w:r w:rsidRPr="002B1FF0">
        <w:rPr>
          <w:rFonts w:cs="Arial"/>
          <w:b/>
          <w:bCs/>
          <w:sz w:val="22"/>
          <w:szCs w:val="22"/>
        </w:rPr>
        <w:t>RESPUESTA:</w:t>
      </w:r>
    </w:p>
    <w:p w14:paraId="7C621E48" w14:textId="77777777" w:rsidR="002B1FF0" w:rsidRPr="002B1FF0" w:rsidRDefault="002B1FF0" w:rsidP="001D2928">
      <w:pPr>
        <w:jc w:val="left"/>
        <w:rPr>
          <w:rFonts w:cs="Arial"/>
          <w:sz w:val="22"/>
          <w:szCs w:val="22"/>
        </w:rPr>
      </w:pPr>
    </w:p>
    <w:p w14:paraId="6D68A677" w14:textId="633396C2" w:rsidR="003E70DB" w:rsidRDefault="003E70DB" w:rsidP="001D2928">
      <w:pPr>
        <w:jc w:val="left"/>
        <w:rPr>
          <w:rFonts w:cs="Arial"/>
          <w:sz w:val="22"/>
          <w:szCs w:val="22"/>
        </w:rPr>
      </w:pPr>
      <w:r>
        <w:rPr>
          <w:rFonts w:cs="Arial"/>
          <w:sz w:val="22"/>
          <w:szCs w:val="22"/>
        </w:rPr>
        <w:t>No se acoge el comentario.</w:t>
      </w:r>
    </w:p>
    <w:p w14:paraId="196BCB21" w14:textId="77777777" w:rsidR="003E70DB" w:rsidRDefault="003E70DB" w:rsidP="001D2928">
      <w:pPr>
        <w:jc w:val="left"/>
        <w:rPr>
          <w:rFonts w:cs="Arial"/>
          <w:sz w:val="22"/>
          <w:szCs w:val="22"/>
        </w:rPr>
      </w:pPr>
    </w:p>
    <w:p w14:paraId="6B493BDD" w14:textId="77777777" w:rsidR="003E70DB" w:rsidRDefault="003E70DB" w:rsidP="001D2928">
      <w:pPr>
        <w:jc w:val="left"/>
        <w:rPr>
          <w:rFonts w:cs="Arial"/>
          <w:sz w:val="22"/>
          <w:szCs w:val="22"/>
        </w:rPr>
      </w:pPr>
      <w:r>
        <w:rPr>
          <w:rFonts w:cs="Arial"/>
          <w:sz w:val="22"/>
          <w:szCs w:val="22"/>
        </w:rPr>
        <w:t xml:space="preserve">Considerando los objetivos que se buscan alcanzar con la resolución definitiva, en particular su alcance en contratos de muy corto plazo de ejecución, no se considera eficiente hacer un balance de oferta y demanda de la necesidad de contratación por parte del Gestor del Mercado. Es responsabilidad de los compradores y muy particularmente de quienes buscan contratar el suministro para atender directamente la Demanda Esencial, aplicar el Anexo que se incluye en la resolución definitiva para solicitar cantidades en las negociaciones directas con los vendedores del Mercado Primario. </w:t>
      </w:r>
    </w:p>
    <w:p w14:paraId="217D52F6" w14:textId="77777777" w:rsidR="003E70DB" w:rsidRDefault="003E70DB" w:rsidP="001D2928">
      <w:pPr>
        <w:jc w:val="left"/>
        <w:rPr>
          <w:rFonts w:cs="Arial"/>
          <w:sz w:val="22"/>
          <w:szCs w:val="22"/>
        </w:rPr>
      </w:pPr>
    </w:p>
    <w:p w14:paraId="770D8470" w14:textId="77777777" w:rsidR="00073DEE" w:rsidRDefault="003E70DB" w:rsidP="001D2928">
      <w:pPr>
        <w:jc w:val="left"/>
        <w:rPr>
          <w:rFonts w:cs="Arial"/>
          <w:sz w:val="22"/>
          <w:szCs w:val="22"/>
        </w:rPr>
      </w:pPr>
      <w:r>
        <w:rPr>
          <w:rFonts w:cs="Arial"/>
          <w:sz w:val="22"/>
          <w:szCs w:val="22"/>
        </w:rPr>
        <w:t xml:space="preserve">Adicionalmente se está aumentando el nivel de información que debe publicar el Gestor del Mercado, estableciendo una frecuencia diaria, así como las actualizaciones de PTDVF/CIDVF que pueden realizar los vendedores aumentando a una frecuencia semanal. </w:t>
      </w:r>
    </w:p>
    <w:p w14:paraId="4E266694" w14:textId="77777777" w:rsidR="00073DEE" w:rsidRDefault="00073DEE" w:rsidP="001D2928">
      <w:pPr>
        <w:jc w:val="left"/>
        <w:rPr>
          <w:rFonts w:cs="Arial"/>
          <w:sz w:val="22"/>
          <w:szCs w:val="22"/>
        </w:rPr>
      </w:pPr>
    </w:p>
    <w:p w14:paraId="11331C20" w14:textId="3973FDD3" w:rsidR="003E70DB" w:rsidRDefault="00073DEE" w:rsidP="001D2928">
      <w:pPr>
        <w:jc w:val="left"/>
        <w:rPr>
          <w:rFonts w:cs="Arial"/>
          <w:sz w:val="22"/>
          <w:szCs w:val="22"/>
        </w:rPr>
      </w:pPr>
      <w:r>
        <w:rPr>
          <w:rFonts w:cs="Arial"/>
          <w:sz w:val="22"/>
          <w:szCs w:val="22"/>
        </w:rPr>
        <w:t>Por otra parte, s</w:t>
      </w:r>
      <w:r w:rsidR="000A4B1A">
        <w:rPr>
          <w:rFonts w:cs="Arial"/>
          <w:sz w:val="22"/>
          <w:szCs w:val="22"/>
        </w:rPr>
        <w:t>i hay compras en exceso de lo que resulta de los cálculos</w:t>
      </w:r>
      <w:r>
        <w:rPr>
          <w:rFonts w:cs="Arial"/>
          <w:sz w:val="22"/>
          <w:szCs w:val="22"/>
        </w:rPr>
        <w:t xml:space="preserve"> para atender los sectores que hacen parte de la Demanda Esencial</w:t>
      </w:r>
      <w:r w:rsidR="000A4B1A">
        <w:rPr>
          <w:rFonts w:cs="Arial"/>
          <w:sz w:val="22"/>
          <w:szCs w:val="22"/>
        </w:rPr>
        <w:t>, en todo caso se incluye una medida para que dichas compras excedentarias se negocien prioritariamente en el Mercado Secundario, para los compradores de dicho mercado que buscan atender ese mismo tipo de demanda.</w:t>
      </w:r>
    </w:p>
    <w:p w14:paraId="12656DCE" w14:textId="77777777" w:rsidR="00001AA5" w:rsidRDefault="00001AA5" w:rsidP="001D2928">
      <w:pPr>
        <w:jc w:val="left"/>
        <w:rPr>
          <w:rFonts w:cs="Arial"/>
          <w:sz w:val="22"/>
          <w:szCs w:val="22"/>
        </w:rPr>
      </w:pPr>
    </w:p>
    <w:p w14:paraId="19D97509" w14:textId="70AD6E05" w:rsidR="00001AA5" w:rsidRDefault="00001AA5" w:rsidP="001D2928">
      <w:pPr>
        <w:jc w:val="left"/>
        <w:rPr>
          <w:rFonts w:cs="Arial"/>
          <w:sz w:val="22"/>
          <w:szCs w:val="22"/>
        </w:rPr>
      </w:pPr>
      <w:r>
        <w:rPr>
          <w:rFonts w:cs="Arial"/>
          <w:sz w:val="22"/>
          <w:szCs w:val="22"/>
        </w:rPr>
        <w:t>Debe tenerse en cuenta por otra parte, que el comprador del Mercado Primario debe buscar el acople del contrato de suministro con un contrato de capacidad de transporte. Lo anterior implica que no necesariamente el precio de oferta de un vendedor del Mercado Primario se negocia sin tener en cuenta la capacidad de transporte con la que cuenta el comprador sino su costo.</w:t>
      </w:r>
      <w:r w:rsidR="00991798">
        <w:rPr>
          <w:rFonts w:cs="Arial"/>
          <w:sz w:val="22"/>
          <w:szCs w:val="22"/>
        </w:rPr>
        <w:t xml:space="preserve"> Este tipo de condiciones de estrategia comercial hace que un balance centralizado de cantidades no ayude a aumentar la eficiencia del mercado mayorista, al menos en las condiciones de muy corto plazo que ya se han mencionado como objetivo del Proyecto de Resolución.</w:t>
      </w:r>
    </w:p>
    <w:p w14:paraId="0D2A385C" w14:textId="77777777" w:rsidR="00991798" w:rsidRDefault="00991798" w:rsidP="001D2928">
      <w:pPr>
        <w:jc w:val="left"/>
        <w:rPr>
          <w:rFonts w:cs="Arial"/>
          <w:sz w:val="22"/>
          <w:szCs w:val="22"/>
        </w:rPr>
      </w:pPr>
    </w:p>
    <w:p w14:paraId="2E6ECDCD" w14:textId="051FF072" w:rsidR="00991798" w:rsidRDefault="00991798" w:rsidP="001D2928">
      <w:pPr>
        <w:jc w:val="left"/>
        <w:rPr>
          <w:rFonts w:cs="Arial"/>
          <w:sz w:val="22"/>
          <w:szCs w:val="22"/>
        </w:rPr>
      </w:pPr>
      <w:r>
        <w:rPr>
          <w:rFonts w:cs="Arial"/>
          <w:sz w:val="22"/>
          <w:szCs w:val="22"/>
        </w:rPr>
        <w:t xml:space="preserve">De otro lado, los tiempos en que los vendedores desarrollan las negociaciones directas son libres, puede haber un vendedor de una fuente de suministro que abra una convocatoria de venta de gas en firme antes que otro vendedor de esa misma fuente de suministro, y esto hace que las reglas de balance no funcionen adecuadamente, pues cuando se hace el balance ya puede haber procesos de comercialización que están siendo adelantados por algunos vendedores y que no han sido asignados, lo que lleva a que no es posible tener un  balance adecuado cuando se presentan dichas circunstancias, sobre todo en negociaciones de corto plazo. Por ejemplo, las cantidades que están siendo negociadas (aunque no asignadas todavía) ¿se consideran para el balance como asignadas? Con qué frecuencia se hace el balance? Solo se hace el balance sobre cantidades registradas ante el Gestor del Mercado? </w:t>
      </w:r>
    </w:p>
    <w:p w14:paraId="4065AD7E" w14:textId="77777777" w:rsidR="003E70DB" w:rsidRDefault="003E70DB" w:rsidP="001D2928">
      <w:pPr>
        <w:jc w:val="left"/>
        <w:rPr>
          <w:rFonts w:cs="Arial"/>
          <w:sz w:val="22"/>
          <w:szCs w:val="22"/>
        </w:rPr>
      </w:pPr>
    </w:p>
    <w:p w14:paraId="08FE153C" w14:textId="5A4B3B15" w:rsidR="003E70DB" w:rsidRDefault="00991798" w:rsidP="001D2928">
      <w:pPr>
        <w:jc w:val="left"/>
        <w:rPr>
          <w:rFonts w:cs="Arial"/>
          <w:sz w:val="22"/>
          <w:szCs w:val="22"/>
        </w:rPr>
      </w:pPr>
      <w:r>
        <w:rPr>
          <w:rFonts w:cs="Arial"/>
          <w:sz w:val="22"/>
          <w:szCs w:val="22"/>
        </w:rPr>
        <w:t>Por último, no se considera conveniente para la eficiencia de las negociaciones, que los vendedores conozcan previamente a la negociación que las cantidades que o</w:t>
      </w:r>
      <w:r w:rsidR="00A516B9">
        <w:rPr>
          <w:rFonts w:cs="Arial"/>
          <w:sz w:val="22"/>
          <w:szCs w:val="22"/>
        </w:rPr>
        <w:t>f</w:t>
      </w:r>
      <w:r>
        <w:rPr>
          <w:rFonts w:cs="Arial"/>
          <w:sz w:val="22"/>
          <w:szCs w:val="22"/>
        </w:rPr>
        <w:t xml:space="preserve">rezcan </w:t>
      </w:r>
      <w:r w:rsidR="00A516B9">
        <w:rPr>
          <w:rFonts w:cs="Arial"/>
          <w:sz w:val="22"/>
          <w:szCs w:val="22"/>
        </w:rPr>
        <w:t>necesariamente serán vendidas, lo que podría saberlo en el caso de publicación de balances, se insiste, en este tipo de negociaciones de contratos de muy corto plazo.</w:t>
      </w:r>
    </w:p>
    <w:p w14:paraId="4C6CE942" w14:textId="77777777" w:rsidR="00D22D23" w:rsidRDefault="00D22D23" w:rsidP="001D2928">
      <w:pPr>
        <w:jc w:val="left"/>
        <w:rPr>
          <w:i/>
          <w:iCs/>
          <w:sz w:val="22"/>
        </w:rPr>
      </w:pPr>
    </w:p>
    <w:p w14:paraId="7552FF25" w14:textId="77777777" w:rsidR="00E64F39" w:rsidRDefault="00E64F39" w:rsidP="001D2928">
      <w:pPr>
        <w:jc w:val="left"/>
        <w:rPr>
          <w:i/>
          <w:iCs/>
          <w:sz w:val="22"/>
        </w:rPr>
      </w:pPr>
    </w:p>
    <w:p w14:paraId="750EBAA7" w14:textId="426D53FE" w:rsidR="001925FB" w:rsidRDefault="001925FB" w:rsidP="001D2928">
      <w:pPr>
        <w:pStyle w:val="Ttulo2"/>
        <w:jc w:val="left"/>
      </w:pPr>
      <w:bookmarkStart w:id="156" w:name="_Ref149215194"/>
      <w:bookmarkStart w:id="157" w:name="_Toc158211501"/>
      <w:r>
        <w:t>Calamarí LNG</w:t>
      </w:r>
      <w:bookmarkEnd w:id="156"/>
      <w:bookmarkEnd w:id="157"/>
    </w:p>
    <w:p w14:paraId="607B5AEE" w14:textId="09FF3645" w:rsidR="001925FB" w:rsidRPr="006D1B8C" w:rsidRDefault="001925FB" w:rsidP="001D2928">
      <w:pPr>
        <w:jc w:val="left"/>
        <w:rPr>
          <w:i/>
          <w:iCs/>
          <w:sz w:val="22"/>
          <w:szCs w:val="22"/>
        </w:rPr>
      </w:pPr>
      <w:r w:rsidRPr="006D1B8C">
        <w:rPr>
          <w:sz w:val="22"/>
          <w:szCs w:val="22"/>
        </w:rPr>
        <w:t>"</w:t>
      </w:r>
      <w:r w:rsidRPr="006D1B8C">
        <w:rPr>
          <w:i/>
          <w:iCs/>
          <w:sz w:val="22"/>
          <w:szCs w:val="22"/>
        </w:rPr>
        <w:t xml:space="preserve">Por las condiciones de operación de la planta de regasificación, los cambios en las asignaciones podrían ser causantes de incumplimientos de otros contratos pactados con anterioridad. </w:t>
      </w:r>
    </w:p>
    <w:p w14:paraId="775C4F06" w14:textId="77777777" w:rsidR="001925FB" w:rsidRPr="006D1B8C" w:rsidRDefault="001925FB" w:rsidP="001D2928">
      <w:pPr>
        <w:jc w:val="left"/>
        <w:rPr>
          <w:i/>
          <w:iCs/>
          <w:sz w:val="22"/>
          <w:szCs w:val="22"/>
        </w:rPr>
      </w:pPr>
    </w:p>
    <w:p w14:paraId="55E51D28" w14:textId="1ED19D75" w:rsidR="001925FB" w:rsidRPr="006D1B8C" w:rsidRDefault="001925FB" w:rsidP="001D2928">
      <w:pPr>
        <w:jc w:val="left"/>
        <w:rPr>
          <w:i/>
          <w:iCs/>
          <w:sz w:val="22"/>
          <w:szCs w:val="22"/>
        </w:rPr>
      </w:pPr>
      <w:r w:rsidRPr="006D1B8C">
        <w:rPr>
          <w:i/>
          <w:iCs/>
          <w:sz w:val="22"/>
          <w:szCs w:val="22"/>
        </w:rPr>
        <w:t>Que las condiciones operación de la planta tengan preferencias sobre la priorización de la demanda."</w:t>
      </w:r>
    </w:p>
    <w:p w14:paraId="533CD604" w14:textId="77777777" w:rsidR="001925FB" w:rsidRPr="001925FB" w:rsidRDefault="001925FB" w:rsidP="001D2928">
      <w:pPr>
        <w:jc w:val="left"/>
        <w:rPr>
          <w:sz w:val="22"/>
          <w:szCs w:val="22"/>
        </w:rPr>
      </w:pPr>
    </w:p>
    <w:p w14:paraId="5EC3056A" w14:textId="7D127E65" w:rsidR="001925FB" w:rsidRPr="001925FB" w:rsidRDefault="001925FB" w:rsidP="001D2928">
      <w:pPr>
        <w:jc w:val="left"/>
        <w:rPr>
          <w:b/>
          <w:bCs/>
          <w:sz w:val="22"/>
          <w:szCs w:val="22"/>
        </w:rPr>
      </w:pPr>
      <w:r w:rsidRPr="001925FB">
        <w:rPr>
          <w:b/>
          <w:bCs/>
          <w:sz w:val="22"/>
          <w:szCs w:val="22"/>
        </w:rPr>
        <w:t>RESPUESTA:</w:t>
      </w:r>
    </w:p>
    <w:p w14:paraId="7EB662A8" w14:textId="77777777" w:rsidR="001925FB" w:rsidRPr="001925FB" w:rsidRDefault="001925FB" w:rsidP="001D2928">
      <w:pPr>
        <w:jc w:val="left"/>
        <w:rPr>
          <w:sz w:val="22"/>
          <w:szCs w:val="22"/>
        </w:rPr>
      </w:pPr>
    </w:p>
    <w:p w14:paraId="65E12717" w14:textId="141741E4" w:rsidR="001925FB" w:rsidRDefault="00BF1753" w:rsidP="001D2928">
      <w:pPr>
        <w:jc w:val="left"/>
        <w:rPr>
          <w:sz w:val="22"/>
          <w:szCs w:val="22"/>
        </w:rPr>
      </w:pPr>
      <w:r>
        <w:rPr>
          <w:sz w:val="22"/>
          <w:szCs w:val="22"/>
        </w:rPr>
        <w:t>Se acoge parcialmente el comentario.</w:t>
      </w:r>
    </w:p>
    <w:p w14:paraId="610468FD" w14:textId="77777777" w:rsidR="00BF1753" w:rsidRDefault="00BF1753" w:rsidP="001D2928">
      <w:pPr>
        <w:jc w:val="left"/>
        <w:rPr>
          <w:sz w:val="22"/>
          <w:szCs w:val="22"/>
        </w:rPr>
      </w:pPr>
    </w:p>
    <w:p w14:paraId="0CAD00B3" w14:textId="2BA4CFA0" w:rsidR="00BF1753" w:rsidRDefault="000441FC" w:rsidP="001D2928">
      <w:pPr>
        <w:jc w:val="left"/>
        <w:rPr>
          <w:sz w:val="22"/>
          <w:szCs w:val="22"/>
        </w:rPr>
      </w:pPr>
      <w:r>
        <w:rPr>
          <w:sz w:val="22"/>
          <w:szCs w:val="22"/>
        </w:rPr>
        <w:t>En la resolución definitiva se especifica que, en</w:t>
      </w:r>
      <w:r w:rsidRPr="000441FC">
        <w:rPr>
          <w:sz w:val="22"/>
          <w:szCs w:val="22"/>
        </w:rPr>
        <w:t xml:space="preserve"> el caso de los contratos de tipo firme que se suscriban por parte de los comercializadores de gas importado con compradores que no atienden la Demanda Esencial, se podrá pactar como un evento eximente </w:t>
      </w:r>
      <w:r>
        <w:rPr>
          <w:sz w:val="22"/>
          <w:szCs w:val="22"/>
        </w:rPr>
        <w:t xml:space="preserve">la situación que se presenta </w:t>
      </w:r>
      <w:r w:rsidRPr="000441FC">
        <w:rPr>
          <w:sz w:val="22"/>
          <w:szCs w:val="22"/>
        </w:rPr>
        <w:t>cuando la nominación total recibida para un mismo día de gas no sea igual o superior al valor del mínimo operativo técnico requerido para la regasificación del gas natural l</w:t>
      </w:r>
      <w:r>
        <w:rPr>
          <w:sz w:val="22"/>
          <w:szCs w:val="22"/>
        </w:rPr>
        <w:t>i</w:t>
      </w:r>
      <w:r w:rsidRPr="000441FC">
        <w:rPr>
          <w:sz w:val="22"/>
          <w:szCs w:val="22"/>
        </w:rPr>
        <w:t>cuado. En los contratos de tipo firme para atender la Demanda Esencial se considerará un incumplimiento la no entrega del gas nominado.</w:t>
      </w:r>
    </w:p>
    <w:p w14:paraId="6EB4592E" w14:textId="77777777" w:rsidR="00CD74FB" w:rsidRPr="001925FB" w:rsidRDefault="00CD74FB" w:rsidP="001D2928">
      <w:pPr>
        <w:jc w:val="left"/>
        <w:rPr>
          <w:sz w:val="22"/>
          <w:szCs w:val="22"/>
        </w:rPr>
      </w:pPr>
    </w:p>
    <w:p w14:paraId="76E8CFD6" w14:textId="77777777" w:rsidR="001925FB" w:rsidRDefault="001925FB" w:rsidP="001D2928">
      <w:pPr>
        <w:jc w:val="left"/>
      </w:pPr>
    </w:p>
    <w:p w14:paraId="57EB5683" w14:textId="2200000D" w:rsidR="00E64F39" w:rsidRDefault="001A43D3" w:rsidP="001D2928">
      <w:pPr>
        <w:pStyle w:val="Ttulo2"/>
        <w:jc w:val="left"/>
      </w:pPr>
      <w:bookmarkStart w:id="158" w:name="_Toc158211502"/>
      <w:r w:rsidRPr="00A25B16">
        <w:t>Ecopetrol S.A.</w:t>
      </w:r>
      <w:bookmarkEnd w:id="158"/>
      <w:r w:rsidRPr="00A25B16">
        <w:tab/>
      </w:r>
    </w:p>
    <w:p w14:paraId="5610D2E6" w14:textId="17CE2B88" w:rsidR="001A43D3" w:rsidRDefault="001A43D3" w:rsidP="001D2928">
      <w:pPr>
        <w:jc w:val="left"/>
        <w:rPr>
          <w:i/>
          <w:iCs/>
          <w:sz w:val="22"/>
        </w:rPr>
      </w:pPr>
      <w:r w:rsidRPr="00A25B16">
        <w:rPr>
          <w:i/>
          <w:iCs/>
          <w:sz w:val="22"/>
        </w:rPr>
        <w:t>"Dado que las disposiciones contenidas en este proyecto de resolución tienen como objetivo facilitar el acceso a excedentes de oferta de todos los agentes de la demanda, sugerimos derogar el parágrafo 2 del artículo 1 de la Resolución CREG 102 004 de 2023 con el fin de permitir participación de la demanda térmica en la</w:t>
      </w:r>
      <w:r w:rsidR="00CD74FB">
        <w:rPr>
          <w:i/>
          <w:iCs/>
          <w:sz w:val="22"/>
        </w:rPr>
        <w:t xml:space="preserve"> </w:t>
      </w:r>
      <w:r w:rsidRPr="00A25B16">
        <w:rPr>
          <w:i/>
          <w:iCs/>
          <w:sz w:val="22"/>
        </w:rPr>
        <w:t>suscripción de contratos de duración de un año.</w:t>
      </w:r>
    </w:p>
    <w:p w14:paraId="27B4DD8C" w14:textId="77777777" w:rsidR="0039109C" w:rsidRPr="00A25B16" w:rsidRDefault="0039109C" w:rsidP="001D2928">
      <w:pPr>
        <w:jc w:val="left"/>
        <w:rPr>
          <w:i/>
          <w:iCs/>
          <w:sz w:val="22"/>
        </w:rPr>
      </w:pPr>
    </w:p>
    <w:p w14:paraId="7FF7233A" w14:textId="77777777" w:rsidR="0039109C" w:rsidRPr="002B1FF0" w:rsidRDefault="0039109C" w:rsidP="001D2928">
      <w:pPr>
        <w:jc w:val="left"/>
        <w:rPr>
          <w:rFonts w:cs="Arial"/>
          <w:b/>
          <w:bCs/>
          <w:sz w:val="22"/>
          <w:szCs w:val="22"/>
        </w:rPr>
      </w:pPr>
      <w:r w:rsidRPr="002B1FF0">
        <w:rPr>
          <w:rFonts w:cs="Arial"/>
          <w:b/>
          <w:bCs/>
          <w:sz w:val="22"/>
          <w:szCs w:val="22"/>
        </w:rPr>
        <w:t>RESPUESTA:</w:t>
      </w:r>
    </w:p>
    <w:p w14:paraId="470F61FB" w14:textId="77777777" w:rsidR="0039109C" w:rsidRDefault="0039109C" w:rsidP="001D2928">
      <w:pPr>
        <w:jc w:val="left"/>
        <w:rPr>
          <w:rFonts w:cs="Arial"/>
          <w:sz w:val="22"/>
          <w:szCs w:val="22"/>
        </w:rPr>
      </w:pPr>
    </w:p>
    <w:p w14:paraId="5A0BA5E9" w14:textId="77777777" w:rsidR="001D2928" w:rsidRDefault="0039109C" w:rsidP="001D2928">
      <w:pPr>
        <w:jc w:val="left"/>
        <w:rPr>
          <w:rFonts w:cs="Arial"/>
          <w:sz w:val="22"/>
          <w:szCs w:val="22"/>
        </w:rPr>
      </w:pPr>
      <w:r>
        <w:rPr>
          <w:rFonts w:cs="Arial"/>
          <w:sz w:val="22"/>
          <w:szCs w:val="22"/>
        </w:rPr>
        <w:t>No</w:t>
      </w:r>
      <w:r w:rsidR="001D2928">
        <w:rPr>
          <w:rFonts w:cs="Arial"/>
          <w:sz w:val="22"/>
          <w:szCs w:val="22"/>
        </w:rPr>
        <w:t xml:space="preserve"> se acoge el comentario.</w:t>
      </w:r>
    </w:p>
    <w:p w14:paraId="4BDA32CE" w14:textId="77777777" w:rsidR="001D2928" w:rsidRDefault="001D2928" w:rsidP="001D2928">
      <w:pPr>
        <w:jc w:val="left"/>
        <w:rPr>
          <w:rFonts w:cs="Arial"/>
          <w:sz w:val="22"/>
          <w:szCs w:val="22"/>
        </w:rPr>
      </w:pPr>
    </w:p>
    <w:p w14:paraId="5D37FC5E" w14:textId="6BA10C94" w:rsidR="001D2928" w:rsidRDefault="001D2928" w:rsidP="001D2928">
      <w:pPr>
        <w:jc w:val="left"/>
        <w:rPr>
          <w:rFonts w:cs="Arial"/>
          <w:sz w:val="22"/>
          <w:szCs w:val="22"/>
        </w:rPr>
      </w:pPr>
      <w:r>
        <w:rPr>
          <w:rFonts w:cs="Arial"/>
          <w:sz w:val="22"/>
          <w:szCs w:val="22"/>
        </w:rPr>
        <w:t>El Artículo 1 de la Resolución CREG 102 004 de 2023 establece que se podrá</w:t>
      </w:r>
      <w:r w:rsidRPr="001D2928">
        <w:rPr>
          <w:rFonts w:cs="Arial"/>
          <w:sz w:val="22"/>
          <w:szCs w:val="22"/>
        </w:rPr>
        <w:t xml:space="preserve"> pactar</w:t>
      </w:r>
      <w:r>
        <w:rPr>
          <w:rFonts w:cs="Arial"/>
          <w:sz w:val="22"/>
          <w:szCs w:val="22"/>
        </w:rPr>
        <w:t xml:space="preserve"> </w:t>
      </w:r>
      <w:r w:rsidRPr="001D2928">
        <w:rPr>
          <w:rFonts w:cs="Arial"/>
          <w:sz w:val="22"/>
          <w:szCs w:val="22"/>
        </w:rPr>
        <w:t>el suministro de gas natural durante las negociaciones directas del período</w:t>
      </w:r>
      <w:r>
        <w:rPr>
          <w:rFonts w:cs="Arial"/>
          <w:sz w:val="22"/>
          <w:szCs w:val="22"/>
        </w:rPr>
        <w:t xml:space="preserve"> </w:t>
      </w:r>
      <w:r w:rsidRPr="001D2928">
        <w:rPr>
          <w:rFonts w:cs="Arial"/>
          <w:sz w:val="22"/>
          <w:szCs w:val="22"/>
        </w:rPr>
        <w:t xml:space="preserve">2023-2024, </w:t>
      </w:r>
      <w:r>
        <w:rPr>
          <w:rFonts w:cs="Arial"/>
          <w:sz w:val="22"/>
          <w:szCs w:val="22"/>
        </w:rPr>
        <w:t xml:space="preserve">en diferentes modalidades contractuales de tipo firme, con duración de un año o de uno o más años. Este no es el caso </w:t>
      </w:r>
      <w:r w:rsidR="00FC086D">
        <w:rPr>
          <w:rFonts w:cs="Arial"/>
          <w:sz w:val="22"/>
          <w:szCs w:val="22"/>
        </w:rPr>
        <w:t xml:space="preserve">de aplicación porque </w:t>
      </w:r>
      <w:r>
        <w:rPr>
          <w:rFonts w:cs="Arial"/>
          <w:sz w:val="22"/>
          <w:szCs w:val="22"/>
        </w:rPr>
        <w:t>las duraciones propuestas en el Proyecto de Resolución no pueden ser superiores a 12 semanas laborales o tres meses calendario</w:t>
      </w:r>
      <w:r w:rsidR="00FC086D">
        <w:rPr>
          <w:rFonts w:cs="Arial"/>
          <w:sz w:val="22"/>
          <w:szCs w:val="22"/>
        </w:rPr>
        <w:t xml:space="preserve"> sin que superen el 31 de agosto de 2024</w:t>
      </w:r>
      <w:r>
        <w:rPr>
          <w:rFonts w:cs="Arial"/>
          <w:sz w:val="22"/>
          <w:szCs w:val="22"/>
        </w:rPr>
        <w:t>.</w:t>
      </w:r>
    </w:p>
    <w:p w14:paraId="5E77A4C2" w14:textId="77777777" w:rsidR="001A43D3" w:rsidRDefault="001A43D3" w:rsidP="001D2928">
      <w:pPr>
        <w:jc w:val="left"/>
        <w:rPr>
          <w:i/>
          <w:iCs/>
          <w:sz w:val="22"/>
        </w:rPr>
      </w:pPr>
    </w:p>
    <w:p w14:paraId="1013AB02" w14:textId="77777777" w:rsidR="0039109C" w:rsidRPr="00A25B16" w:rsidRDefault="0039109C" w:rsidP="001D2928">
      <w:pPr>
        <w:jc w:val="left"/>
        <w:rPr>
          <w:i/>
          <w:iCs/>
          <w:sz w:val="22"/>
        </w:rPr>
      </w:pPr>
    </w:p>
    <w:p w14:paraId="296CD5B6" w14:textId="77777777" w:rsidR="0039109C" w:rsidRDefault="0039109C" w:rsidP="001D2928">
      <w:pPr>
        <w:pStyle w:val="Ttulo2"/>
        <w:jc w:val="left"/>
      </w:pPr>
      <w:bookmarkStart w:id="159" w:name="_Toc158211503"/>
      <w:r w:rsidRPr="00A25B16">
        <w:t>Ecopetrol S.A.</w:t>
      </w:r>
      <w:bookmarkEnd w:id="159"/>
      <w:r w:rsidRPr="00A25B16">
        <w:tab/>
      </w:r>
    </w:p>
    <w:p w14:paraId="2EF89333" w14:textId="77777777" w:rsidR="001A43D3" w:rsidRPr="00A25B16" w:rsidRDefault="001A43D3" w:rsidP="001A43D3">
      <w:pPr>
        <w:jc w:val="left"/>
        <w:rPr>
          <w:i/>
          <w:iCs/>
          <w:sz w:val="22"/>
        </w:rPr>
      </w:pPr>
      <w:r w:rsidRPr="00A25B16">
        <w:rPr>
          <w:i/>
          <w:iCs/>
          <w:sz w:val="22"/>
        </w:rPr>
        <w:t>Adicionalmente, sugerimos incluir explícitamente en la resolución mecanismos de control para que los compradores que atienden demanda esencial efectivamente destinen el gas natural que adquieran en aquellos mecanismos diseñados de manera exclusiva para la atención de demanda esencial."</w:t>
      </w:r>
    </w:p>
    <w:p w14:paraId="7E3180C2" w14:textId="77777777" w:rsidR="00E64F39" w:rsidRDefault="00E64F39" w:rsidP="001A43D3">
      <w:pPr>
        <w:jc w:val="left"/>
        <w:rPr>
          <w:i/>
          <w:iCs/>
          <w:sz w:val="22"/>
        </w:rPr>
      </w:pPr>
    </w:p>
    <w:p w14:paraId="40C85E03" w14:textId="77777777" w:rsidR="002B1FF0" w:rsidRPr="002B1FF0" w:rsidRDefault="002B1FF0" w:rsidP="002B1FF0">
      <w:pPr>
        <w:rPr>
          <w:rFonts w:cs="Arial"/>
          <w:b/>
          <w:bCs/>
          <w:sz w:val="22"/>
          <w:szCs w:val="22"/>
        </w:rPr>
      </w:pPr>
      <w:r w:rsidRPr="002B1FF0">
        <w:rPr>
          <w:rFonts w:cs="Arial"/>
          <w:b/>
          <w:bCs/>
          <w:sz w:val="22"/>
          <w:szCs w:val="22"/>
        </w:rPr>
        <w:t>RESPUESTA:</w:t>
      </w:r>
    </w:p>
    <w:p w14:paraId="61CB6C7C" w14:textId="77777777" w:rsidR="002B1FF0" w:rsidRDefault="002B1FF0" w:rsidP="002B1FF0">
      <w:pPr>
        <w:rPr>
          <w:rFonts w:cs="Arial"/>
          <w:sz w:val="22"/>
          <w:szCs w:val="22"/>
        </w:rPr>
      </w:pPr>
    </w:p>
    <w:p w14:paraId="5AA31477" w14:textId="2344CCA0" w:rsidR="00CD74FB" w:rsidRDefault="008D322A" w:rsidP="00CD74FB">
      <w:pPr>
        <w:rPr>
          <w:rFonts w:cs="Arial"/>
          <w:sz w:val="22"/>
          <w:szCs w:val="22"/>
        </w:rPr>
      </w:pPr>
      <w:r>
        <w:rPr>
          <w:rFonts w:cs="Arial"/>
          <w:sz w:val="22"/>
          <w:szCs w:val="22"/>
        </w:rPr>
        <w:t>Se acoge el comentario parcialmente.</w:t>
      </w:r>
    </w:p>
    <w:p w14:paraId="4F2B0E81" w14:textId="77777777" w:rsidR="00B20A04" w:rsidRDefault="00B20A04" w:rsidP="00CD74FB">
      <w:pPr>
        <w:rPr>
          <w:rFonts w:cs="Arial"/>
          <w:sz w:val="22"/>
          <w:szCs w:val="22"/>
        </w:rPr>
      </w:pPr>
    </w:p>
    <w:p w14:paraId="2035460C" w14:textId="1AF19118" w:rsidR="00B20A04" w:rsidRDefault="00B20A04" w:rsidP="00CD74FB">
      <w:pPr>
        <w:rPr>
          <w:rFonts w:cs="Arial"/>
          <w:sz w:val="22"/>
          <w:szCs w:val="22"/>
        </w:rPr>
      </w:pPr>
      <w:r>
        <w:rPr>
          <w:rFonts w:cs="Arial"/>
          <w:sz w:val="22"/>
          <w:szCs w:val="22"/>
        </w:rPr>
        <w:t>En la Resolución definitiva se establece un criterio de cálculo de las cantidades máximas a solicitar en los procesos de negociación directa que desarrollen los vendedores del Mercado Primario, que deben aplicar los comercializadores que atienden Demanda Esencial o usuarios no regulados que son parte de dicha Demanda. Con lo anterior se busca limitar la posibilidad de que haya agentes que solicitan cantidades de suministro superiores a las que se puede percibir como razonables, en virtud del comportamiento del consumo de la Demanda Esencial de sus mercados y del incremento del consumo esperable.</w:t>
      </w:r>
    </w:p>
    <w:p w14:paraId="561FBA0F" w14:textId="77777777" w:rsidR="00B1192D" w:rsidRDefault="00B1192D" w:rsidP="00CD74FB">
      <w:pPr>
        <w:rPr>
          <w:rFonts w:cs="Arial"/>
          <w:sz w:val="22"/>
          <w:szCs w:val="22"/>
        </w:rPr>
      </w:pPr>
    </w:p>
    <w:p w14:paraId="1AE2573E" w14:textId="37E8D6E9" w:rsidR="008D322A" w:rsidRPr="002B1FF0" w:rsidRDefault="00B1192D" w:rsidP="00CD74FB">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_Ref149111969 \n \h </w:instrText>
      </w:r>
      <w:r>
        <w:rPr>
          <w:rFonts w:cs="Arial"/>
          <w:sz w:val="22"/>
          <w:szCs w:val="22"/>
        </w:rPr>
      </w:r>
      <w:r>
        <w:rPr>
          <w:rFonts w:cs="Arial"/>
          <w:sz w:val="22"/>
          <w:szCs w:val="22"/>
        </w:rPr>
        <w:fldChar w:fldCharType="separate"/>
      </w:r>
      <w:r w:rsidR="0027336D">
        <w:rPr>
          <w:rFonts w:cs="Arial"/>
          <w:sz w:val="22"/>
          <w:szCs w:val="22"/>
        </w:rPr>
        <w:t>8.1</w:t>
      </w:r>
      <w:r>
        <w:rPr>
          <w:rFonts w:cs="Arial"/>
          <w:sz w:val="22"/>
          <w:szCs w:val="22"/>
        </w:rPr>
        <w:fldChar w:fldCharType="end"/>
      </w:r>
      <w:r w:rsidR="00883010">
        <w:rPr>
          <w:rFonts w:cs="Arial"/>
          <w:sz w:val="22"/>
          <w:szCs w:val="22"/>
        </w:rPr>
        <w:t xml:space="preserve"> y al comentario </w:t>
      </w:r>
      <w:r w:rsidR="00883010">
        <w:rPr>
          <w:rFonts w:cs="Arial"/>
          <w:sz w:val="22"/>
          <w:szCs w:val="22"/>
        </w:rPr>
        <w:fldChar w:fldCharType="begin"/>
      </w:r>
      <w:r w:rsidR="00883010">
        <w:rPr>
          <w:rFonts w:cs="Arial"/>
          <w:sz w:val="22"/>
          <w:szCs w:val="22"/>
        </w:rPr>
        <w:instrText xml:space="preserve"> REF _Ref149196952 \w \h </w:instrText>
      </w:r>
      <w:r w:rsidR="00883010">
        <w:rPr>
          <w:rFonts w:cs="Arial"/>
          <w:sz w:val="22"/>
          <w:szCs w:val="22"/>
        </w:rPr>
      </w:r>
      <w:r w:rsidR="00883010">
        <w:rPr>
          <w:rFonts w:cs="Arial"/>
          <w:sz w:val="22"/>
          <w:szCs w:val="22"/>
        </w:rPr>
        <w:fldChar w:fldCharType="separate"/>
      </w:r>
      <w:r w:rsidR="0027336D">
        <w:rPr>
          <w:rFonts w:cs="Arial"/>
          <w:sz w:val="22"/>
          <w:szCs w:val="22"/>
        </w:rPr>
        <w:t>8.3</w:t>
      </w:r>
      <w:r w:rsidR="00883010">
        <w:rPr>
          <w:rFonts w:cs="Arial"/>
          <w:sz w:val="22"/>
          <w:szCs w:val="22"/>
        </w:rPr>
        <w:fldChar w:fldCharType="end"/>
      </w:r>
      <w:r w:rsidR="008D45A7">
        <w:rPr>
          <w:rFonts w:cs="Arial"/>
          <w:sz w:val="22"/>
          <w:szCs w:val="22"/>
        </w:rPr>
        <w:t>.</w:t>
      </w:r>
    </w:p>
    <w:p w14:paraId="59DD5EEC" w14:textId="77777777" w:rsidR="00E64F39" w:rsidRDefault="00E64F39" w:rsidP="001A43D3">
      <w:pPr>
        <w:jc w:val="left"/>
        <w:rPr>
          <w:i/>
          <w:iCs/>
          <w:sz w:val="22"/>
        </w:rPr>
      </w:pPr>
    </w:p>
    <w:p w14:paraId="42284C08" w14:textId="77777777" w:rsidR="00E64F39" w:rsidRDefault="00E64F39" w:rsidP="001A43D3">
      <w:pPr>
        <w:jc w:val="left"/>
        <w:rPr>
          <w:i/>
          <w:iCs/>
          <w:sz w:val="22"/>
        </w:rPr>
      </w:pPr>
    </w:p>
    <w:p w14:paraId="6C49C7DB" w14:textId="6ACD6C62" w:rsidR="00E64F39" w:rsidRDefault="001A43D3" w:rsidP="0049586D">
      <w:pPr>
        <w:pStyle w:val="Ttulo2"/>
      </w:pPr>
      <w:bookmarkStart w:id="160" w:name="_Ref149212254"/>
      <w:bookmarkStart w:id="161" w:name="_Toc158211504"/>
      <w:r w:rsidRPr="00A25B16">
        <w:t>Ecopetrol S.A.</w:t>
      </w:r>
      <w:bookmarkEnd w:id="160"/>
      <w:bookmarkEnd w:id="161"/>
      <w:r w:rsidRPr="00A25B16">
        <w:tab/>
      </w:r>
    </w:p>
    <w:p w14:paraId="1133D483" w14:textId="21BB92AF" w:rsidR="001A43D3" w:rsidRDefault="00E64F39" w:rsidP="001A43D3">
      <w:pPr>
        <w:jc w:val="left"/>
        <w:rPr>
          <w:i/>
          <w:iCs/>
          <w:sz w:val="22"/>
        </w:rPr>
      </w:pPr>
      <w:r>
        <w:rPr>
          <w:i/>
          <w:iCs/>
          <w:sz w:val="22"/>
        </w:rPr>
        <w:t>“</w:t>
      </w:r>
      <w:r w:rsidR="001A43D3" w:rsidRPr="00A25B16">
        <w:rPr>
          <w:i/>
          <w:iCs/>
          <w:sz w:val="22"/>
        </w:rPr>
        <w:t>Para efectos de mayor claridad en la lectura e interpretación de la resolución, sugerimos: i) revisar aquellos elementos del artículo 8 que se repiten en el artículo 10; ii) incluir las disposiciones establecidas en los artículos 9 y 10 en el artículo 5; y iii) de manera alternativa al numeral ii), ajustar la redacción para dar mayor claridad, en todo caso manteniendo la flexibilidad para aquellos campos señalados en el parágrafo del artículo 20.</w:t>
      </w:r>
      <w:r>
        <w:rPr>
          <w:i/>
          <w:iCs/>
          <w:sz w:val="22"/>
        </w:rPr>
        <w:t>”</w:t>
      </w:r>
    </w:p>
    <w:p w14:paraId="246D9F87" w14:textId="77777777" w:rsidR="00E64F39" w:rsidRDefault="00E64F39" w:rsidP="001A43D3">
      <w:pPr>
        <w:jc w:val="left"/>
        <w:rPr>
          <w:i/>
          <w:iCs/>
          <w:sz w:val="22"/>
        </w:rPr>
      </w:pPr>
    </w:p>
    <w:p w14:paraId="577B2117" w14:textId="77777777" w:rsidR="002B1FF0" w:rsidRPr="002B1FF0" w:rsidRDefault="002B1FF0" w:rsidP="002B1FF0">
      <w:pPr>
        <w:rPr>
          <w:rFonts w:cs="Arial"/>
          <w:b/>
          <w:bCs/>
          <w:sz w:val="22"/>
          <w:szCs w:val="22"/>
        </w:rPr>
      </w:pPr>
      <w:r w:rsidRPr="002B1FF0">
        <w:rPr>
          <w:rFonts w:cs="Arial"/>
          <w:b/>
          <w:bCs/>
          <w:sz w:val="22"/>
          <w:szCs w:val="22"/>
        </w:rPr>
        <w:t>RESPUESTA:</w:t>
      </w:r>
    </w:p>
    <w:p w14:paraId="29B14D64" w14:textId="77777777" w:rsidR="002B1FF0" w:rsidRPr="002B1FF0" w:rsidRDefault="002B1FF0" w:rsidP="002B1FF0">
      <w:pPr>
        <w:rPr>
          <w:rFonts w:cs="Arial"/>
          <w:sz w:val="22"/>
          <w:szCs w:val="22"/>
        </w:rPr>
      </w:pPr>
    </w:p>
    <w:p w14:paraId="036CE6A8" w14:textId="779BA723" w:rsidR="00E64F39" w:rsidRDefault="00ED6495" w:rsidP="001A43D3">
      <w:pPr>
        <w:jc w:val="left"/>
        <w:rPr>
          <w:sz w:val="22"/>
        </w:rPr>
      </w:pPr>
      <w:r>
        <w:rPr>
          <w:sz w:val="22"/>
        </w:rPr>
        <w:t>Se acoge el comentario parcialmente.</w:t>
      </w:r>
    </w:p>
    <w:p w14:paraId="740F9FA3" w14:textId="77777777" w:rsidR="008D45A7" w:rsidRDefault="008D45A7" w:rsidP="001A43D3">
      <w:pPr>
        <w:jc w:val="left"/>
        <w:rPr>
          <w:sz w:val="22"/>
        </w:rPr>
      </w:pPr>
    </w:p>
    <w:p w14:paraId="5CBEF4FB" w14:textId="110D0C45" w:rsidR="00ED6495" w:rsidRDefault="00377650" w:rsidP="001A43D3">
      <w:pPr>
        <w:jc w:val="left"/>
        <w:rPr>
          <w:sz w:val="22"/>
        </w:rPr>
      </w:pPr>
      <w:r>
        <w:rPr>
          <w:sz w:val="22"/>
        </w:rPr>
        <w:t>La Resolución definitiva no contendrá la adición de parágrafos transitorios o de numerales transitorios a la Resolución CREG 186 de 2020, como se propuso en el Proyecto de Resolución, sino reglas adicionales a la mencionada Resolución, que son transitorias con una vigencia especificada. Cualquier regla de la Resolución CREG 186 de 2020 que sea contraria a alguna o varias de las medidas establecidas en la resolución definitiva del Proyecto de Resolución</w:t>
      </w:r>
      <w:r w:rsidR="00D462D5">
        <w:rPr>
          <w:sz w:val="22"/>
        </w:rPr>
        <w:t xml:space="preserve"> CREG 702 005 de 2023,</w:t>
      </w:r>
      <w:r>
        <w:rPr>
          <w:sz w:val="22"/>
        </w:rPr>
        <w:t xml:space="preserve"> se deroga transitoriamente durante su vigencia.</w:t>
      </w:r>
      <w:r w:rsidR="009B577B">
        <w:rPr>
          <w:sz w:val="22"/>
        </w:rPr>
        <w:t xml:space="preserve"> Lo anterior con el fin de conformar un texto más simplificado </w:t>
      </w:r>
      <w:r w:rsidR="00733189">
        <w:rPr>
          <w:sz w:val="22"/>
        </w:rPr>
        <w:t>y claro</w:t>
      </w:r>
      <w:r w:rsidR="009B577B">
        <w:rPr>
          <w:sz w:val="22"/>
        </w:rPr>
        <w:t xml:space="preserve">. </w:t>
      </w:r>
    </w:p>
    <w:p w14:paraId="55B65D77" w14:textId="77777777" w:rsidR="00ED6495" w:rsidRDefault="00ED6495" w:rsidP="001A43D3">
      <w:pPr>
        <w:jc w:val="left"/>
        <w:rPr>
          <w:sz w:val="22"/>
        </w:rPr>
      </w:pPr>
    </w:p>
    <w:p w14:paraId="26BFCE89" w14:textId="69C2C5B9" w:rsidR="00904382" w:rsidRDefault="00ED6495" w:rsidP="001A43D3">
      <w:pPr>
        <w:jc w:val="left"/>
        <w:rPr>
          <w:sz w:val="22"/>
        </w:rPr>
      </w:pPr>
      <w:r>
        <w:rPr>
          <w:sz w:val="22"/>
        </w:rPr>
        <w:t>Por otro lado, s</w:t>
      </w:r>
      <w:r w:rsidR="008D45A7">
        <w:rPr>
          <w:sz w:val="22"/>
        </w:rPr>
        <w:t>e debe tener en cuenta que</w:t>
      </w:r>
      <w:r w:rsidR="00904382">
        <w:rPr>
          <w:sz w:val="22"/>
        </w:rPr>
        <w:t xml:space="preserve"> </w:t>
      </w:r>
      <w:r w:rsidR="008D45A7">
        <w:rPr>
          <w:sz w:val="22"/>
        </w:rPr>
        <w:t xml:space="preserve">los campos que se encuentran en pruebas extensas o sobre los cuales no se haya declarado su comercialidad, mencionados en el numeral i. del literal a) del numeral 1 del Artículo 19 de la Resolución CREG 186 de 2020, no cuentan con Respaldo Físico puesto que no cuentan con Reservas de </w:t>
      </w:r>
      <w:r w:rsidR="00733189">
        <w:rPr>
          <w:sz w:val="22"/>
        </w:rPr>
        <w:t>G</w:t>
      </w:r>
      <w:r w:rsidR="008D45A7">
        <w:rPr>
          <w:sz w:val="22"/>
        </w:rPr>
        <w:t>as Natural</w:t>
      </w:r>
      <w:r w:rsidR="00733189">
        <w:rPr>
          <w:sz w:val="22"/>
        </w:rPr>
        <w:t>, que es lo que se exige en el Decreto 1073 de 2015 para la negociación de contratos firmes o que garantizan firmeza</w:t>
      </w:r>
      <w:r w:rsidR="008D45A7">
        <w:rPr>
          <w:sz w:val="22"/>
        </w:rPr>
        <w:t xml:space="preserve">. En las condiciones de los contratos que se celebren sobre estas fuentes de suministro en particular, de acuerdo con lo contemplado en el Parágrafo del Artículo 20 de la misma Resolución, se debe </w:t>
      </w:r>
      <w:r w:rsidR="00904382">
        <w:rPr>
          <w:sz w:val="22"/>
        </w:rPr>
        <w:t xml:space="preserve">recordar </w:t>
      </w:r>
      <w:r w:rsidR="008D45A7">
        <w:rPr>
          <w:sz w:val="22"/>
        </w:rPr>
        <w:t xml:space="preserve">que estas fuentes no cumplen con el requisito exigido de </w:t>
      </w:r>
      <w:r w:rsidR="00904382">
        <w:rPr>
          <w:sz w:val="22"/>
        </w:rPr>
        <w:t xml:space="preserve">contar con </w:t>
      </w:r>
      <w:r w:rsidR="008D45A7">
        <w:rPr>
          <w:sz w:val="22"/>
        </w:rPr>
        <w:t>Respaldo Físico para poder suscribir contrato de tipo firme</w:t>
      </w:r>
      <w:r w:rsidR="00904382">
        <w:rPr>
          <w:sz w:val="22"/>
        </w:rPr>
        <w:t xml:space="preserve"> de cualquier modalidad o nominación que se proponga</w:t>
      </w:r>
      <w:r w:rsidR="008D45A7">
        <w:rPr>
          <w:sz w:val="22"/>
        </w:rPr>
        <w:t>.</w:t>
      </w:r>
      <w:r w:rsidR="00904382">
        <w:rPr>
          <w:sz w:val="22"/>
        </w:rPr>
        <w:t xml:space="preserve"> </w:t>
      </w:r>
    </w:p>
    <w:p w14:paraId="20655ADE" w14:textId="77777777" w:rsidR="00904382" w:rsidRDefault="00904382" w:rsidP="001A43D3">
      <w:pPr>
        <w:jc w:val="left"/>
        <w:rPr>
          <w:sz w:val="22"/>
        </w:rPr>
      </w:pPr>
    </w:p>
    <w:p w14:paraId="4C753E28" w14:textId="4679A3CD" w:rsidR="008D45A7" w:rsidRPr="0039109C" w:rsidRDefault="00904382" w:rsidP="001A43D3">
      <w:pPr>
        <w:jc w:val="left"/>
        <w:rPr>
          <w:sz w:val="22"/>
        </w:rPr>
      </w:pPr>
      <w:r>
        <w:rPr>
          <w:sz w:val="22"/>
        </w:rPr>
        <w:t xml:space="preserve">En el caso de las fuentes de suministro que corresponde a campos aislados mencionadas en dicho Parágrafo, se entiende que pueden suscribir contratos de tipo firme o de cualquier nominación, siempre que cuenten con Respaldo Físico. En el caso del suministro de gas obtenido en el exterior, se entiende que debe contar con Respaldo Físico de gas obtenido en el exterior, esos contratos deben acogerse a alguna de las modalidades contractuales de tipo firme establecidas por la CREG para el Mercado Primario y deben </w:t>
      </w:r>
      <w:r w:rsidR="00EC598C">
        <w:rPr>
          <w:sz w:val="22"/>
        </w:rPr>
        <w:t>incluir</w:t>
      </w:r>
      <w:r>
        <w:rPr>
          <w:sz w:val="22"/>
        </w:rPr>
        <w:t xml:space="preserve"> los requisitos mínimos establecidos en el Capítulo II del Título III de la Resolución CREG 186 de 2020.</w:t>
      </w:r>
      <w:r w:rsidR="008D45A7">
        <w:rPr>
          <w:sz w:val="22"/>
        </w:rPr>
        <w:t xml:space="preserve"> </w:t>
      </w:r>
    </w:p>
    <w:p w14:paraId="45DBF522" w14:textId="77777777" w:rsidR="00E64F39" w:rsidRDefault="00E64F39" w:rsidP="001A43D3">
      <w:pPr>
        <w:jc w:val="left"/>
        <w:rPr>
          <w:i/>
          <w:iCs/>
          <w:sz w:val="22"/>
        </w:rPr>
      </w:pPr>
    </w:p>
    <w:p w14:paraId="6BF35A06" w14:textId="77777777" w:rsidR="0039109C" w:rsidRPr="00A25B16" w:rsidRDefault="0039109C" w:rsidP="001A43D3">
      <w:pPr>
        <w:jc w:val="left"/>
        <w:rPr>
          <w:i/>
          <w:iCs/>
          <w:sz w:val="22"/>
        </w:rPr>
      </w:pPr>
    </w:p>
    <w:p w14:paraId="23DFC78D" w14:textId="310B90BC" w:rsidR="00E64F39" w:rsidRDefault="001A43D3" w:rsidP="0049586D">
      <w:pPr>
        <w:pStyle w:val="Ttulo2"/>
      </w:pPr>
      <w:bookmarkStart w:id="162" w:name="_Toc158211505"/>
      <w:r w:rsidRPr="00A25B16">
        <w:t>ENEL Colombia S.A. E.S.P</w:t>
      </w:r>
      <w:bookmarkEnd w:id="162"/>
      <w:r w:rsidRPr="00A25B16">
        <w:tab/>
      </w:r>
    </w:p>
    <w:p w14:paraId="0C6C55EC" w14:textId="6DF24431" w:rsidR="001A43D3" w:rsidRPr="00A25B16" w:rsidRDefault="001A43D3" w:rsidP="001A43D3">
      <w:pPr>
        <w:jc w:val="left"/>
        <w:rPr>
          <w:i/>
          <w:iCs/>
          <w:sz w:val="22"/>
        </w:rPr>
      </w:pPr>
      <w:r w:rsidRPr="00A25B16">
        <w:rPr>
          <w:i/>
          <w:iCs/>
          <w:sz w:val="22"/>
        </w:rPr>
        <w:t xml:space="preserve">"Del Articulo 8: Adiciónese el Parágrafo 4 transitorio, al Artículo 19 “Negociación directa en cualquier momento del año” de la Resolución CREG 186 de 2020“, seria importante que se deje de forma explícita e incorporada en este articulo que las cantidades que se habiliten para negociación directa con duraciones de ejecución inferiores a un quedaran igualmente disponibles para su asignación a la Demanda Esencial No – Esencial de acuerdo con el mecanismo de priorización dispuesto en esto artículo. Se resalta esto dado que la observación igualmente la realiza la Comisión en el Documento de Soporte 902 009 de 2023, sin embargo, el Documento no es vinculante, mientras que la resolución si lo es. </w:t>
      </w:r>
    </w:p>
    <w:p w14:paraId="3328F848" w14:textId="77777777" w:rsidR="001A43D3" w:rsidRPr="00A25B16" w:rsidRDefault="001A43D3" w:rsidP="001A43D3">
      <w:pPr>
        <w:jc w:val="left"/>
        <w:rPr>
          <w:i/>
          <w:iCs/>
          <w:sz w:val="22"/>
        </w:rPr>
      </w:pPr>
    </w:p>
    <w:p w14:paraId="45C9A8D0" w14:textId="3F969715" w:rsidR="001A43D3" w:rsidRPr="00A25B16" w:rsidRDefault="001A43D3" w:rsidP="001A43D3">
      <w:pPr>
        <w:jc w:val="left"/>
        <w:rPr>
          <w:i/>
          <w:iCs/>
          <w:sz w:val="22"/>
        </w:rPr>
      </w:pPr>
      <w:r w:rsidRPr="00A25B16">
        <w:rPr>
          <w:i/>
          <w:iCs/>
          <w:sz w:val="22"/>
        </w:rPr>
        <w:t>Definir un par</w:t>
      </w:r>
      <w:r w:rsidR="000E2B43">
        <w:rPr>
          <w:i/>
          <w:iCs/>
          <w:sz w:val="22"/>
        </w:rPr>
        <w:t>á</w:t>
      </w:r>
      <w:r w:rsidRPr="00A25B16">
        <w:rPr>
          <w:i/>
          <w:iCs/>
          <w:sz w:val="22"/>
        </w:rPr>
        <w:t>grafo en donde se haga explicito que las cantidades habilitadas quedaran igualmente disponibles para su asignaci</w:t>
      </w:r>
      <w:r w:rsidR="000E2B43">
        <w:rPr>
          <w:i/>
          <w:iCs/>
          <w:sz w:val="22"/>
        </w:rPr>
        <w:t>ó</w:t>
      </w:r>
      <w:r w:rsidRPr="00A25B16">
        <w:rPr>
          <w:i/>
          <w:iCs/>
          <w:sz w:val="22"/>
        </w:rPr>
        <w:t>n a la Demanda No Esencial"</w:t>
      </w:r>
    </w:p>
    <w:p w14:paraId="082102A7" w14:textId="77777777" w:rsidR="00E64F39" w:rsidRDefault="00E64F39" w:rsidP="001A43D3">
      <w:pPr>
        <w:jc w:val="left"/>
        <w:rPr>
          <w:i/>
          <w:iCs/>
          <w:sz w:val="22"/>
        </w:rPr>
      </w:pPr>
    </w:p>
    <w:p w14:paraId="19B94668" w14:textId="77777777" w:rsidR="002B1FF0" w:rsidRPr="002B1FF0" w:rsidRDefault="002B1FF0" w:rsidP="002B1FF0">
      <w:pPr>
        <w:rPr>
          <w:rFonts w:cs="Arial"/>
          <w:b/>
          <w:bCs/>
          <w:sz w:val="22"/>
          <w:szCs w:val="22"/>
        </w:rPr>
      </w:pPr>
      <w:r w:rsidRPr="002B1FF0">
        <w:rPr>
          <w:rFonts w:cs="Arial"/>
          <w:b/>
          <w:bCs/>
          <w:sz w:val="22"/>
          <w:szCs w:val="22"/>
        </w:rPr>
        <w:t>RESPUESTA:</w:t>
      </w:r>
    </w:p>
    <w:p w14:paraId="73CECDBC" w14:textId="77777777" w:rsidR="002B1FF0" w:rsidRPr="002B1FF0" w:rsidRDefault="002B1FF0" w:rsidP="002B1FF0">
      <w:pPr>
        <w:rPr>
          <w:rFonts w:cs="Arial"/>
          <w:sz w:val="22"/>
          <w:szCs w:val="22"/>
        </w:rPr>
      </w:pPr>
    </w:p>
    <w:p w14:paraId="5FB789D9" w14:textId="762B3373" w:rsidR="002B1FF0" w:rsidRDefault="00AC4663" w:rsidP="002B1FF0">
      <w:pPr>
        <w:rPr>
          <w:rFonts w:cs="Arial"/>
          <w:sz w:val="22"/>
          <w:szCs w:val="22"/>
        </w:rPr>
      </w:pPr>
      <w:r>
        <w:rPr>
          <w:rFonts w:cs="Arial"/>
          <w:sz w:val="22"/>
          <w:szCs w:val="22"/>
        </w:rPr>
        <w:t>Se acoge el comentario.</w:t>
      </w:r>
    </w:p>
    <w:p w14:paraId="2931C393" w14:textId="77777777" w:rsidR="00AC4663" w:rsidRDefault="00AC4663" w:rsidP="002B1FF0">
      <w:pPr>
        <w:rPr>
          <w:rFonts w:cs="Arial"/>
          <w:sz w:val="22"/>
          <w:szCs w:val="22"/>
        </w:rPr>
      </w:pPr>
    </w:p>
    <w:p w14:paraId="322BE27F" w14:textId="3D771C8E" w:rsidR="00AC4663" w:rsidRPr="002B1FF0" w:rsidRDefault="00AC4663" w:rsidP="002B1FF0">
      <w:pPr>
        <w:rPr>
          <w:rFonts w:cs="Arial"/>
          <w:sz w:val="22"/>
          <w:szCs w:val="22"/>
        </w:rPr>
      </w:pPr>
      <w:r>
        <w:rPr>
          <w:rFonts w:cs="Arial"/>
          <w:sz w:val="22"/>
          <w:szCs w:val="22"/>
        </w:rPr>
        <w:t xml:space="preserve">En la resolución definitiva se adiciona un texto para que </w:t>
      </w:r>
      <w:r w:rsidR="00883010">
        <w:rPr>
          <w:rFonts w:cs="Arial"/>
          <w:sz w:val="22"/>
          <w:szCs w:val="22"/>
        </w:rPr>
        <w:t xml:space="preserve">no </w:t>
      </w:r>
      <w:r>
        <w:rPr>
          <w:rFonts w:cs="Arial"/>
          <w:sz w:val="22"/>
          <w:szCs w:val="22"/>
        </w:rPr>
        <w:t>quede lugar a dudas que, en caso de que haya cantidades de gas de oferta excedentarias o remanentes después de la asignación prioritaria para atender la Demanda Esencial, podrán negociarse con los compradores que atienden a la demás demanda.</w:t>
      </w:r>
    </w:p>
    <w:p w14:paraId="4F68A561" w14:textId="77777777" w:rsidR="00E64F39" w:rsidRDefault="00E64F39" w:rsidP="001A43D3">
      <w:pPr>
        <w:jc w:val="left"/>
        <w:rPr>
          <w:i/>
          <w:iCs/>
          <w:sz w:val="22"/>
        </w:rPr>
      </w:pPr>
    </w:p>
    <w:p w14:paraId="3DC2F181" w14:textId="77777777" w:rsidR="00E64F39" w:rsidRDefault="00E64F39" w:rsidP="001A43D3">
      <w:pPr>
        <w:jc w:val="left"/>
        <w:rPr>
          <w:i/>
          <w:iCs/>
          <w:sz w:val="22"/>
        </w:rPr>
      </w:pPr>
    </w:p>
    <w:p w14:paraId="7319578C" w14:textId="7BA11D4B" w:rsidR="00E64F39" w:rsidRDefault="001A43D3" w:rsidP="0049586D">
      <w:pPr>
        <w:pStyle w:val="Ttulo2"/>
      </w:pPr>
      <w:bookmarkStart w:id="163" w:name="_Ref149194587"/>
      <w:bookmarkStart w:id="164" w:name="_Ref149196849"/>
      <w:bookmarkStart w:id="165" w:name="_Toc158211506"/>
      <w:r w:rsidRPr="00A25B16">
        <w:t>Gases del Caribe</w:t>
      </w:r>
      <w:bookmarkEnd w:id="163"/>
      <w:bookmarkEnd w:id="164"/>
      <w:bookmarkEnd w:id="165"/>
      <w:r w:rsidRPr="00A25B16">
        <w:tab/>
      </w:r>
    </w:p>
    <w:p w14:paraId="645E186A" w14:textId="64DF3872" w:rsidR="001A43D3" w:rsidRPr="00A25B16" w:rsidRDefault="001A43D3" w:rsidP="001A43D3">
      <w:pPr>
        <w:jc w:val="left"/>
        <w:rPr>
          <w:i/>
          <w:iCs/>
          <w:sz w:val="22"/>
        </w:rPr>
      </w:pPr>
      <w:r w:rsidRPr="00A25B16">
        <w:rPr>
          <w:i/>
          <w:iCs/>
          <w:sz w:val="22"/>
        </w:rPr>
        <w:t xml:space="preserve">"Frente a una restricción a la Industria, los usuarios no regulados que no tienen sustituto se verían altamente afectados, por lo cual, si bien es cierto se debe priorizar a la Demanda Esencial, se deben buscar mecanismos para la protección de este tipo de usuarios no regulados, los cuales ante este escenario no tendrían como operar. </w:t>
      </w:r>
    </w:p>
    <w:p w14:paraId="08DB8715" w14:textId="77777777" w:rsidR="001A43D3" w:rsidRPr="00A25B16" w:rsidRDefault="001A43D3" w:rsidP="001A43D3">
      <w:pPr>
        <w:jc w:val="left"/>
        <w:rPr>
          <w:i/>
          <w:iCs/>
          <w:sz w:val="22"/>
        </w:rPr>
      </w:pPr>
    </w:p>
    <w:p w14:paraId="68D9EBAC" w14:textId="77777777" w:rsidR="001A43D3" w:rsidRPr="00A25B16" w:rsidRDefault="001A43D3" w:rsidP="001A43D3">
      <w:pPr>
        <w:jc w:val="left"/>
        <w:rPr>
          <w:i/>
          <w:iCs/>
          <w:sz w:val="22"/>
        </w:rPr>
      </w:pPr>
      <w:r w:rsidRPr="00A25B16">
        <w:rPr>
          <w:i/>
          <w:iCs/>
          <w:sz w:val="22"/>
        </w:rPr>
        <w:t>Se sugiere implementar mecanismos de protección que garanticen el suministro de gas a los usuarios no regulados que no se encuentran en la Demanda Esencial y/o no cuenten con un sustituto."</w:t>
      </w:r>
    </w:p>
    <w:p w14:paraId="65F34DAA" w14:textId="77777777" w:rsidR="00E64F39" w:rsidRDefault="00E64F39" w:rsidP="001A43D3">
      <w:pPr>
        <w:jc w:val="left"/>
        <w:rPr>
          <w:i/>
          <w:iCs/>
          <w:sz w:val="22"/>
        </w:rPr>
      </w:pPr>
    </w:p>
    <w:p w14:paraId="6A0F76F8" w14:textId="77777777" w:rsidR="002B1FF0" w:rsidRPr="002B1FF0" w:rsidRDefault="002B1FF0" w:rsidP="002B1FF0">
      <w:pPr>
        <w:rPr>
          <w:rFonts w:cs="Arial"/>
          <w:b/>
          <w:bCs/>
          <w:sz w:val="22"/>
          <w:szCs w:val="22"/>
        </w:rPr>
      </w:pPr>
      <w:r w:rsidRPr="002B1FF0">
        <w:rPr>
          <w:rFonts w:cs="Arial"/>
          <w:b/>
          <w:bCs/>
          <w:sz w:val="22"/>
          <w:szCs w:val="22"/>
        </w:rPr>
        <w:t>RESPUESTA:</w:t>
      </w:r>
    </w:p>
    <w:p w14:paraId="6E53ED2B" w14:textId="77777777" w:rsidR="002B1FF0" w:rsidRPr="002B1FF0" w:rsidRDefault="002B1FF0" w:rsidP="002B1FF0">
      <w:pPr>
        <w:rPr>
          <w:rFonts w:cs="Arial"/>
          <w:sz w:val="22"/>
          <w:szCs w:val="22"/>
        </w:rPr>
      </w:pPr>
    </w:p>
    <w:p w14:paraId="7AB4B600" w14:textId="77777777" w:rsidR="0068752A" w:rsidRDefault="0068752A" w:rsidP="0068752A">
      <w:pPr>
        <w:rPr>
          <w:rFonts w:cs="Arial"/>
          <w:sz w:val="22"/>
          <w:szCs w:val="22"/>
        </w:rPr>
      </w:pPr>
      <w:r>
        <w:rPr>
          <w:rFonts w:cs="Arial"/>
          <w:sz w:val="22"/>
          <w:szCs w:val="22"/>
        </w:rPr>
        <w:t>No se acoge el comentario.</w:t>
      </w:r>
    </w:p>
    <w:p w14:paraId="68EEE3FC" w14:textId="77777777" w:rsidR="0068752A" w:rsidRDefault="0068752A" w:rsidP="0068752A">
      <w:pPr>
        <w:rPr>
          <w:rFonts w:cs="Arial"/>
          <w:sz w:val="22"/>
          <w:szCs w:val="22"/>
        </w:rPr>
      </w:pPr>
    </w:p>
    <w:p w14:paraId="22D4A39C" w14:textId="0C81D6B2" w:rsidR="0068752A" w:rsidRDefault="0068752A" w:rsidP="002B1FF0">
      <w:pPr>
        <w:rPr>
          <w:rFonts w:cs="Arial"/>
          <w:sz w:val="22"/>
          <w:szCs w:val="22"/>
        </w:rPr>
      </w:pPr>
      <w:r>
        <w:rPr>
          <w:rFonts w:cs="Arial"/>
          <w:sz w:val="22"/>
          <w:szCs w:val="22"/>
        </w:rPr>
        <w:t>La priorización de la atención de la demanda ante circunstancias de tipo operativo que limitan el suministro de gas natural proveniente de las fuentes de suministro, no corresponde a la regulación del Mercado Mayorista que establece la CREG. La política energética vigente en el Decreto 1073 de 2015 y particularmente, con el fin de cumplir lo contemplado en el Artículo 16 de la Ley 401 de 1997, ha especificado una priorización en el abastecimiento de gas natural c</w:t>
      </w:r>
      <w:r w:rsidRPr="0068752A">
        <w:rPr>
          <w:rFonts w:cs="Arial"/>
          <w:sz w:val="22"/>
          <w:szCs w:val="22"/>
        </w:rPr>
        <w:t>uando se presenten insalvables restricciones en la oferta de gas</w:t>
      </w:r>
      <w:r>
        <w:rPr>
          <w:rFonts w:cs="Arial"/>
          <w:sz w:val="22"/>
          <w:szCs w:val="22"/>
        </w:rPr>
        <w:t xml:space="preserve"> </w:t>
      </w:r>
      <w:r w:rsidRPr="0068752A">
        <w:rPr>
          <w:rFonts w:cs="Arial"/>
          <w:sz w:val="22"/>
          <w:szCs w:val="22"/>
        </w:rPr>
        <w:t>natural o situaciones de grave emergencia, no transitorias, originadas en la infraestructura de suministro o de transporte, que impidan la</w:t>
      </w:r>
      <w:r>
        <w:rPr>
          <w:rFonts w:cs="Arial"/>
          <w:sz w:val="22"/>
          <w:szCs w:val="22"/>
        </w:rPr>
        <w:t xml:space="preserve"> </w:t>
      </w:r>
      <w:r w:rsidRPr="0068752A">
        <w:rPr>
          <w:rFonts w:cs="Arial"/>
          <w:sz w:val="22"/>
          <w:szCs w:val="22"/>
        </w:rPr>
        <w:t>prestación continúa del servicio,</w:t>
      </w:r>
      <w:r>
        <w:rPr>
          <w:rFonts w:cs="Arial"/>
          <w:sz w:val="22"/>
          <w:szCs w:val="22"/>
        </w:rPr>
        <w:t xml:space="preserve"> y cuando se presenta una s</w:t>
      </w:r>
      <w:r w:rsidRPr="0068752A">
        <w:rPr>
          <w:rFonts w:cs="Arial"/>
          <w:sz w:val="22"/>
          <w:szCs w:val="22"/>
        </w:rPr>
        <w:t>ituación de déficit cuya duración sea indeterminable, originada en una limitación técnica</w:t>
      </w:r>
      <w:r>
        <w:rPr>
          <w:rFonts w:cs="Arial"/>
          <w:sz w:val="22"/>
          <w:szCs w:val="22"/>
        </w:rPr>
        <w:t xml:space="preserve"> </w:t>
      </w:r>
      <w:r w:rsidRPr="0068752A">
        <w:rPr>
          <w:rFonts w:cs="Arial"/>
          <w:sz w:val="22"/>
          <w:szCs w:val="22"/>
        </w:rPr>
        <w:t>identificada, incluyendo la falta de recursos energéticos o una catástrofe natural, que implica que el suministro o transporte de gas natural</w:t>
      </w:r>
      <w:r>
        <w:rPr>
          <w:rFonts w:cs="Arial"/>
          <w:sz w:val="22"/>
          <w:szCs w:val="22"/>
        </w:rPr>
        <w:t xml:space="preserve"> </w:t>
      </w:r>
      <w:r w:rsidRPr="0068752A">
        <w:rPr>
          <w:rFonts w:cs="Arial"/>
          <w:sz w:val="22"/>
          <w:szCs w:val="22"/>
        </w:rPr>
        <w:t>es insuficiente para atender la demanda.</w:t>
      </w:r>
      <w:r>
        <w:rPr>
          <w:rFonts w:cs="Arial"/>
          <w:sz w:val="22"/>
          <w:szCs w:val="22"/>
        </w:rPr>
        <w:t xml:space="preserve"> </w:t>
      </w:r>
    </w:p>
    <w:p w14:paraId="4BB787E9" w14:textId="77777777" w:rsidR="00E64F39" w:rsidRDefault="00E64F39" w:rsidP="001A43D3">
      <w:pPr>
        <w:jc w:val="left"/>
        <w:rPr>
          <w:i/>
          <w:iCs/>
          <w:sz w:val="22"/>
        </w:rPr>
      </w:pPr>
    </w:p>
    <w:p w14:paraId="3F4CA316" w14:textId="77777777" w:rsidR="00E64F39" w:rsidRDefault="00E64F39" w:rsidP="001A43D3">
      <w:pPr>
        <w:jc w:val="left"/>
        <w:rPr>
          <w:i/>
          <w:iCs/>
          <w:sz w:val="22"/>
        </w:rPr>
      </w:pPr>
    </w:p>
    <w:p w14:paraId="3B21FC82" w14:textId="364BD9E4" w:rsidR="00E64F39" w:rsidRDefault="001A43D3" w:rsidP="0049586D">
      <w:pPr>
        <w:pStyle w:val="Ttulo2"/>
      </w:pPr>
      <w:bookmarkStart w:id="166" w:name="_Ref148960983"/>
      <w:bookmarkStart w:id="167" w:name="_Toc158211507"/>
      <w:r w:rsidRPr="00A25B16">
        <w:t>GECELCA SA ESP</w:t>
      </w:r>
      <w:bookmarkEnd w:id="166"/>
      <w:bookmarkEnd w:id="167"/>
      <w:r w:rsidRPr="00A25B16">
        <w:tab/>
      </w:r>
    </w:p>
    <w:p w14:paraId="0B33046C" w14:textId="71BAD046" w:rsidR="001A43D3" w:rsidRPr="00A25B16" w:rsidRDefault="001A43D3" w:rsidP="001A43D3">
      <w:pPr>
        <w:jc w:val="left"/>
        <w:rPr>
          <w:i/>
          <w:iCs/>
          <w:sz w:val="22"/>
        </w:rPr>
      </w:pPr>
      <w:r w:rsidRPr="00A25B16">
        <w:rPr>
          <w:i/>
          <w:iCs/>
          <w:sz w:val="22"/>
        </w:rPr>
        <w:t xml:space="preserve">"Teniendo en cuenta la estrechez de oferta de Gas Natural dada la coyuntura actual y que sumado a la situación energética producto de El Fenómeno de El Niño pudiese representar un mayor riesgo para la atención del servicio público de energía eléctrica en el país, el cual es un servicio esencial, proponemos que se analice por parte de la CREG en conjunto con el MME la modificación de la definición de la demanda esencial de modo que se incluya a la demanda de Gas Natural que se requiere para garantizar la operación de la generación de energía de las termoeléctricas. </w:t>
      </w:r>
    </w:p>
    <w:p w14:paraId="3F3D5C08" w14:textId="77777777" w:rsidR="001A43D3" w:rsidRPr="00A25B16" w:rsidRDefault="001A43D3" w:rsidP="001A43D3">
      <w:pPr>
        <w:jc w:val="left"/>
        <w:rPr>
          <w:i/>
          <w:iCs/>
          <w:sz w:val="22"/>
        </w:rPr>
      </w:pPr>
    </w:p>
    <w:p w14:paraId="30006C9C" w14:textId="77777777" w:rsidR="001A43D3" w:rsidRPr="00A25B16" w:rsidRDefault="001A43D3" w:rsidP="001A43D3">
      <w:pPr>
        <w:jc w:val="left"/>
        <w:rPr>
          <w:i/>
          <w:iCs/>
          <w:sz w:val="22"/>
        </w:rPr>
      </w:pPr>
      <w:r w:rsidRPr="00A25B16">
        <w:rPr>
          <w:i/>
          <w:iCs/>
          <w:sz w:val="22"/>
        </w:rPr>
        <w:t>Proponemos que se modifique la definición de la demanda esencial de modo que se incluya a la demanda de Gas Natural que se requiere para garantizar la operación de la generación de energía de las termoeléctricas. "</w:t>
      </w:r>
    </w:p>
    <w:p w14:paraId="72814E53" w14:textId="77777777" w:rsidR="00E64F39" w:rsidRDefault="00E64F39" w:rsidP="001A43D3">
      <w:pPr>
        <w:jc w:val="left"/>
        <w:rPr>
          <w:i/>
          <w:iCs/>
          <w:sz w:val="22"/>
        </w:rPr>
      </w:pPr>
    </w:p>
    <w:p w14:paraId="2499F381" w14:textId="77777777" w:rsidR="002B1FF0" w:rsidRPr="002B1FF0" w:rsidRDefault="002B1FF0" w:rsidP="002B1FF0">
      <w:pPr>
        <w:rPr>
          <w:rFonts w:cs="Arial"/>
          <w:b/>
          <w:bCs/>
          <w:sz w:val="22"/>
          <w:szCs w:val="22"/>
        </w:rPr>
      </w:pPr>
      <w:r w:rsidRPr="002B1FF0">
        <w:rPr>
          <w:rFonts w:cs="Arial"/>
          <w:b/>
          <w:bCs/>
          <w:sz w:val="22"/>
          <w:szCs w:val="22"/>
        </w:rPr>
        <w:t>RESPUESTA:</w:t>
      </w:r>
    </w:p>
    <w:p w14:paraId="411F61C6" w14:textId="77777777" w:rsidR="002B1FF0" w:rsidRPr="002B1FF0" w:rsidRDefault="002B1FF0" w:rsidP="002B1FF0">
      <w:pPr>
        <w:rPr>
          <w:rFonts w:cs="Arial"/>
          <w:sz w:val="22"/>
          <w:szCs w:val="22"/>
        </w:rPr>
      </w:pPr>
    </w:p>
    <w:p w14:paraId="28CB4E87" w14:textId="5378A1A8" w:rsidR="0068752A" w:rsidRDefault="0068752A" w:rsidP="002B1FF0">
      <w:pPr>
        <w:rPr>
          <w:rFonts w:cs="Arial"/>
          <w:sz w:val="22"/>
          <w:szCs w:val="22"/>
        </w:rPr>
      </w:pPr>
      <w:r>
        <w:rPr>
          <w:rFonts w:cs="Arial"/>
          <w:sz w:val="22"/>
          <w:szCs w:val="22"/>
        </w:rPr>
        <w:t>No se acoge el comentario.</w:t>
      </w:r>
    </w:p>
    <w:p w14:paraId="558F8702" w14:textId="77777777" w:rsidR="0068752A" w:rsidRDefault="0068752A" w:rsidP="002B1FF0">
      <w:pPr>
        <w:rPr>
          <w:rFonts w:cs="Arial"/>
          <w:sz w:val="22"/>
          <w:szCs w:val="22"/>
        </w:rPr>
      </w:pPr>
    </w:p>
    <w:p w14:paraId="6BF6AE76" w14:textId="08F519FF" w:rsidR="002B1FF0" w:rsidRPr="002B1FF0" w:rsidRDefault="0068752A" w:rsidP="002B1FF0">
      <w:pPr>
        <w:rPr>
          <w:rFonts w:cs="Arial"/>
          <w:sz w:val="22"/>
          <w:szCs w:val="22"/>
        </w:rPr>
      </w:pPr>
      <w:r>
        <w:rPr>
          <w:rFonts w:cs="Arial"/>
          <w:sz w:val="22"/>
          <w:szCs w:val="22"/>
        </w:rPr>
        <w:t xml:space="preserve">Corresponde al Ministerio de Minas y Energía determinar la definición de la Demanda Esencial. </w:t>
      </w:r>
      <w:r w:rsidR="003F21A1">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_Ref149194587 \w \h </w:instrText>
      </w:r>
      <w:r>
        <w:rPr>
          <w:rFonts w:cs="Arial"/>
          <w:sz w:val="22"/>
          <w:szCs w:val="22"/>
        </w:rPr>
      </w:r>
      <w:r>
        <w:rPr>
          <w:rFonts w:cs="Arial"/>
          <w:sz w:val="22"/>
          <w:szCs w:val="22"/>
        </w:rPr>
        <w:fldChar w:fldCharType="separate"/>
      </w:r>
      <w:r w:rsidR="0027336D">
        <w:rPr>
          <w:rFonts w:cs="Arial"/>
          <w:sz w:val="22"/>
          <w:szCs w:val="22"/>
        </w:rPr>
        <w:t>8.9</w:t>
      </w:r>
      <w:r>
        <w:rPr>
          <w:rFonts w:cs="Arial"/>
          <w:sz w:val="22"/>
          <w:szCs w:val="22"/>
        </w:rPr>
        <w:fldChar w:fldCharType="end"/>
      </w:r>
      <w:r w:rsidR="003F21A1">
        <w:rPr>
          <w:rFonts w:cs="Arial"/>
          <w:sz w:val="22"/>
          <w:szCs w:val="22"/>
        </w:rPr>
        <w:t xml:space="preserve">. </w:t>
      </w:r>
    </w:p>
    <w:p w14:paraId="46DE47CB" w14:textId="77777777" w:rsidR="00E64F39" w:rsidRDefault="00E64F39" w:rsidP="001A43D3">
      <w:pPr>
        <w:jc w:val="left"/>
        <w:rPr>
          <w:i/>
          <w:iCs/>
          <w:sz w:val="22"/>
        </w:rPr>
      </w:pPr>
    </w:p>
    <w:p w14:paraId="1D6C0348" w14:textId="77777777" w:rsidR="00E64F39" w:rsidRDefault="00E64F39" w:rsidP="001A43D3">
      <w:pPr>
        <w:jc w:val="left"/>
        <w:rPr>
          <w:i/>
          <w:iCs/>
          <w:sz w:val="22"/>
        </w:rPr>
      </w:pPr>
    </w:p>
    <w:p w14:paraId="03A88362" w14:textId="3267971E" w:rsidR="00E64F39" w:rsidRDefault="001A43D3" w:rsidP="0049586D">
      <w:pPr>
        <w:pStyle w:val="Ttulo2"/>
      </w:pPr>
      <w:bookmarkStart w:id="168" w:name="_Ref149198030"/>
      <w:bookmarkStart w:id="169" w:name="_Ref149198414"/>
      <w:bookmarkStart w:id="170" w:name="_Toc158211508"/>
      <w:r w:rsidRPr="00A25B16">
        <w:t>Hocol S.A.</w:t>
      </w:r>
      <w:bookmarkEnd w:id="168"/>
      <w:bookmarkEnd w:id="169"/>
      <w:bookmarkEnd w:id="170"/>
      <w:r w:rsidRPr="00A25B16">
        <w:tab/>
      </w:r>
    </w:p>
    <w:p w14:paraId="1B535E03" w14:textId="21343E7A" w:rsidR="001A43D3" w:rsidRPr="00A25B16" w:rsidRDefault="001A43D3" w:rsidP="001A43D3">
      <w:pPr>
        <w:jc w:val="left"/>
        <w:rPr>
          <w:i/>
          <w:iCs/>
          <w:sz w:val="22"/>
        </w:rPr>
      </w:pPr>
      <w:r w:rsidRPr="00A25B16">
        <w:rPr>
          <w:i/>
          <w:iCs/>
          <w:sz w:val="22"/>
        </w:rPr>
        <w:t>"Compartimos el interés de la Comisión en asegurar el abastecimiento de la Demanda Esencial, en línea con lo establecido en el Decreto 1073 de 2023; sin embargo, nos gustaría plantear las dos siguientes inquietudes y sugerencias.</w:t>
      </w:r>
    </w:p>
    <w:p w14:paraId="684A5B8D" w14:textId="77777777" w:rsidR="001A43D3" w:rsidRPr="00A25B16" w:rsidRDefault="001A43D3" w:rsidP="001A43D3">
      <w:pPr>
        <w:jc w:val="left"/>
        <w:rPr>
          <w:i/>
          <w:iCs/>
          <w:sz w:val="22"/>
        </w:rPr>
      </w:pPr>
    </w:p>
    <w:p w14:paraId="07A70E7C" w14:textId="77777777" w:rsidR="001A43D3" w:rsidRPr="00A25B16" w:rsidRDefault="001A43D3" w:rsidP="001A43D3">
      <w:pPr>
        <w:jc w:val="left"/>
        <w:rPr>
          <w:i/>
          <w:iCs/>
          <w:sz w:val="22"/>
        </w:rPr>
      </w:pPr>
      <w:r w:rsidRPr="00A25B16">
        <w:rPr>
          <w:i/>
          <w:iCs/>
          <w:sz w:val="22"/>
        </w:rPr>
        <w:t>•</w:t>
      </w:r>
      <w:r w:rsidRPr="00A25B16">
        <w:rPr>
          <w:i/>
          <w:iCs/>
          <w:sz w:val="22"/>
        </w:rPr>
        <w:tab/>
        <w:t xml:space="preserve">Agradecemos a la Comisión definir el alcance, y los mecanismos de verificación, de la priorización de la asignación de cantidades en favor de los agentes que atienden directamente a usuarios que hacen parte de la Demanda Esencial o de los usuarios no regulados que hacen parte de dicha Demanda. El mecanismo debe asegurar la priorización deseada que, a nuestro entender, debe asegurar que en el caso de que existan dos ofertas con las mismas condiciones comerciales (tiempo, precio y cantidad) deberá asignarse a según la priorización incluida en la regulación. Consideramos valioso que la Comisión precise el alcance de esta obligación y el responsable de su verificación (p.ej. el Gestor del Mercado), para efectos de evitar interpretaciones y desacuerdos de los agentes alrededor de este asunto y garantizar su efectividad. </w:t>
      </w:r>
    </w:p>
    <w:p w14:paraId="2EE371DB" w14:textId="77777777" w:rsidR="001A43D3" w:rsidRPr="00A25B16" w:rsidRDefault="001A43D3" w:rsidP="001A43D3">
      <w:pPr>
        <w:jc w:val="left"/>
        <w:rPr>
          <w:i/>
          <w:iCs/>
          <w:sz w:val="22"/>
        </w:rPr>
      </w:pPr>
    </w:p>
    <w:p w14:paraId="6693AAFC" w14:textId="77777777" w:rsidR="001A43D3" w:rsidRPr="00A25B16" w:rsidRDefault="001A43D3" w:rsidP="001A43D3">
      <w:pPr>
        <w:jc w:val="left"/>
        <w:rPr>
          <w:i/>
          <w:iCs/>
          <w:sz w:val="22"/>
        </w:rPr>
      </w:pPr>
      <w:r w:rsidRPr="00A25B16">
        <w:rPr>
          <w:i/>
          <w:iCs/>
          <w:sz w:val="22"/>
        </w:rPr>
        <w:t>•</w:t>
      </w:r>
      <w:r w:rsidRPr="00A25B16">
        <w:rPr>
          <w:i/>
          <w:iCs/>
          <w:sz w:val="22"/>
        </w:rPr>
        <w:tab/>
      </w:r>
      <w:r w:rsidRPr="0068752A">
        <w:rPr>
          <w:i/>
          <w:iCs/>
          <w:sz w:val="22"/>
        </w:rPr>
        <w:t>Ponemos en consideración de la Comisión, la creación de un registro de agentes que atienden directamente a usuarios que hacen parte de la Demanda Esencial o de los usuarios no regulados que hacen parte de dicha Demanda, que permita corroborar verificar de forma pública y transparente dicha situación, así como la priorización aplicable a determinada negociación."</w:t>
      </w:r>
    </w:p>
    <w:p w14:paraId="3D25E00C" w14:textId="77777777" w:rsidR="00E64F39" w:rsidRDefault="00E64F39" w:rsidP="001A43D3">
      <w:pPr>
        <w:jc w:val="left"/>
        <w:rPr>
          <w:i/>
          <w:iCs/>
          <w:sz w:val="22"/>
        </w:rPr>
      </w:pPr>
    </w:p>
    <w:p w14:paraId="0F9B4CEE" w14:textId="77777777" w:rsidR="002B1FF0" w:rsidRPr="002B1FF0" w:rsidRDefault="002B1FF0" w:rsidP="002B1FF0">
      <w:pPr>
        <w:rPr>
          <w:rFonts w:cs="Arial"/>
          <w:b/>
          <w:bCs/>
          <w:sz w:val="22"/>
          <w:szCs w:val="22"/>
        </w:rPr>
      </w:pPr>
      <w:r w:rsidRPr="002B1FF0">
        <w:rPr>
          <w:rFonts w:cs="Arial"/>
          <w:b/>
          <w:bCs/>
          <w:sz w:val="22"/>
          <w:szCs w:val="22"/>
        </w:rPr>
        <w:t>RESPUESTA:</w:t>
      </w:r>
    </w:p>
    <w:p w14:paraId="53E31057" w14:textId="77777777" w:rsidR="002B1FF0" w:rsidRPr="002B1FF0" w:rsidRDefault="002B1FF0" w:rsidP="002B1FF0">
      <w:pPr>
        <w:rPr>
          <w:rFonts w:cs="Arial"/>
          <w:sz w:val="22"/>
          <w:szCs w:val="22"/>
        </w:rPr>
      </w:pPr>
    </w:p>
    <w:p w14:paraId="48F6B731" w14:textId="67869746" w:rsidR="002B1FF0" w:rsidRDefault="001022BC" w:rsidP="002B1FF0">
      <w:pPr>
        <w:rPr>
          <w:rFonts w:cs="Arial"/>
          <w:sz w:val="22"/>
          <w:szCs w:val="22"/>
        </w:rPr>
      </w:pPr>
      <w:r>
        <w:rPr>
          <w:rFonts w:cs="Arial"/>
          <w:sz w:val="22"/>
          <w:szCs w:val="22"/>
        </w:rPr>
        <w:t>Se</w:t>
      </w:r>
      <w:r w:rsidR="0068752A">
        <w:rPr>
          <w:rFonts w:cs="Arial"/>
          <w:sz w:val="22"/>
          <w:szCs w:val="22"/>
        </w:rPr>
        <w:t xml:space="preserve"> acoge el comentario</w:t>
      </w:r>
      <w:r>
        <w:rPr>
          <w:rFonts w:cs="Arial"/>
          <w:sz w:val="22"/>
          <w:szCs w:val="22"/>
        </w:rPr>
        <w:t xml:space="preserve"> parcialmente</w:t>
      </w:r>
      <w:r w:rsidR="0068752A">
        <w:rPr>
          <w:rFonts w:cs="Arial"/>
          <w:sz w:val="22"/>
          <w:szCs w:val="22"/>
        </w:rPr>
        <w:t>.</w:t>
      </w:r>
    </w:p>
    <w:p w14:paraId="6E94E926" w14:textId="77777777" w:rsidR="0068752A" w:rsidRDefault="0068752A" w:rsidP="002B1FF0">
      <w:pPr>
        <w:rPr>
          <w:rFonts w:cs="Arial"/>
          <w:sz w:val="22"/>
          <w:szCs w:val="22"/>
        </w:rPr>
      </w:pPr>
    </w:p>
    <w:p w14:paraId="3ABFBA6D" w14:textId="3087B24F" w:rsidR="001022BC" w:rsidRDefault="009E2E8B"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_Ref149196633 \w \h </w:instrText>
      </w:r>
      <w:r>
        <w:rPr>
          <w:rFonts w:cs="Arial"/>
          <w:sz w:val="22"/>
          <w:szCs w:val="22"/>
        </w:rPr>
      </w:r>
      <w:r>
        <w:rPr>
          <w:rFonts w:cs="Arial"/>
          <w:sz w:val="22"/>
          <w:szCs w:val="22"/>
        </w:rPr>
        <w:fldChar w:fldCharType="separate"/>
      </w:r>
      <w:r w:rsidR="0027336D">
        <w:rPr>
          <w:rFonts w:cs="Arial"/>
          <w:sz w:val="22"/>
          <w:szCs w:val="22"/>
        </w:rPr>
        <w:t>8.1</w:t>
      </w:r>
      <w:r>
        <w:rPr>
          <w:rFonts w:cs="Arial"/>
          <w:sz w:val="22"/>
          <w:szCs w:val="22"/>
        </w:rPr>
        <w:fldChar w:fldCharType="end"/>
      </w:r>
      <w:r>
        <w:rPr>
          <w:rFonts w:cs="Arial"/>
          <w:sz w:val="22"/>
          <w:szCs w:val="22"/>
        </w:rPr>
        <w:t>.</w:t>
      </w:r>
    </w:p>
    <w:p w14:paraId="3B5C0512" w14:textId="77777777" w:rsidR="001022BC" w:rsidRDefault="001022BC" w:rsidP="002B1FF0">
      <w:pPr>
        <w:rPr>
          <w:rFonts w:cs="Arial"/>
          <w:sz w:val="22"/>
          <w:szCs w:val="22"/>
        </w:rPr>
      </w:pPr>
    </w:p>
    <w:p w14:paraId="412D76C2" w14:textId="370A11CD" w:rsidR="009806BB" w:rsidRDefault="009806BB" w:rsidP="002B1FF0">
      <w:pPr>
        <w:rPr>
          <w:rFonts w:cs="Arial"/>
          <w:sz w:val="22"/>
          <w:szCs w:val="22"/>
        </w:rPr>
      </w:pPr>
      <w:r w:rsidRPr="009806BB">
        <w:rPr>
          <w:rFonts w:cs="Arial"/>
          <w:sz w:val="22"/>
          <w:szCs w:val="22"/>
        </w:rPr>
        <w:t xml:space="preserve">Es responsabilidad de los compradores del Mercado Primario que las solicitudes de compra que se presenten a los vendedores </w:t>
      </w:r>
      <w:r>
        <w:rPr>
          <w:rFonts w:cs="Arial"/>
          <w:sz w:val="22"/>
          <w:szCs w:val="22"/>
        </w:rPr>
        <w:t xml:space="preserve">de dicho Mercado </w:t>
      </w:r>
      <w:r w:rsidRPr="009806BB">
        <w:rPr>
          <w:rFonts w:cs="Arial"/>
          <w:sz w:val="22"/>
          <w:szCs w:val="22"/>
        </w:rPr>
        <w:t>y que tengan como destino atender directamente el consumo de los usuarios que hacen parte de la Demanda Esencial</w:t>
      </w:r>
      <w:r>
        <w:rPr>
          <w:rFonts w:cs="Arial"/>
          <w:sz w:val="22"/>
          <w:szCs w:val="22"/>
        </w:rPr>
        <w:t>,</w:t>
      </w:r>
      <w:r w:rsidRPr="009806BB">
        <w:rPr>
          <w:rFonts w:cs="Arial"/>
          <w:sz w:val="22"/>
          <w:szCs w:val="22"/>
        </w:rPr>
        <w:t xml:space="preserve"> sea veraz, dando cumplimiento a lo establecido en el Anexo de la </w:t>
      </w:r>
      <w:r w:rsidR="00AC4D80">
        <w:rPr>
          <w:rFonts w:cs="Arial"/>
          <w:sz w:val="22"/>
          <w:szCs w:val="22"/>
        </w:rPr>
        <w:t>r</w:t>
      </w:r>
      <w:r w:rsidRPr="009806BB">
        <w:rPr>
          <w:rFonts w:cs="Arial"/>
          <w:sz w:val="22"/>
          <w:szCs w:val="22"/>
        </w:rPr>
        <w:t>esolución</w:t>
      </w:r>
      <w:r w:rsidR="00AC4D80">
        <w:rPr>
          <w:rFonts w:cs="Arial"/>
          <w:sz w:val="22"/>
          <w:szCs w:val="22"/>
        </w:rPr>
        <w:t xml:space="preserve"> definitiva</w:t>
      </w:r>
      <w:r w:rsidRPr="009806BB">
        <w:rPr>
          <w:rFonts w:cs="Arial"/>
          <w:sz w:val="22"/>
          <w:szCs w:val="22"/>
        </w:rPr>
        <w:t xml:space="preserve"> y en el marco de los comportamientos establecidos en la Resolución CREG 080 de 2019, en especial lo contemplado en el Capítulo II “</w:t>
      </w:r>
      <w:r w:rsidRPr="009806BB">
        <w:rPr>
          <w:rFonts w:cs="Arial"/>
          <w:i/>
          <w:iCs/>
          <w:sz w:val="22"/>
          <w:szCs w:val="22"/>
        </w:rPr>
        <w:t>Comportamientos que propenden por el cumplimiento de los fines de la regulación</w:t>
      </w:r>
      <w:r w:rsidRPr="009806BB">
        <w:rPr>
          <w:rFonts w:cs="Arial"/>
          <w:sz w:val="22"/>
          <w:szCs w:val="22"/>
        </w:rPr>
        <w:t>”</w:t>
      </w:r>
      <w:r w:rsidR="00F7544D">
        <w:rPr>
          <w:rFonts w:cs="Arial"/>
          <w:sz w:val="22"/>
          <w:szCs w:val="22"/>
        </w:rPr>
        <w:t xml:space="preserve"> y demás correspondientes con el funcionamiento eficiente del Mercado. La anterior mención no puede entenderse bajo ningún concepto, que las demás reglas de comportamiento no se deben cumplir</w:t>
      </w:r>
    </w:p>
    <w:p w14:paraId="7828A2BC" w14:textId="77777777" w:rsidR="009806BB" w:rsidRDefault="009806BB" w:rsidP="002B1FF0">
      <w:pPr>
        <w:rPr>
          <w:rFonts w:cs="Arial"/>
          <w:sz w:val="22"/>
          <w:szCs w:val="22"/>
        </w:rPr>
      </w:pPr>
    </w:p>
    <w:p w14:paraId="2BDF6DB9" w14:textId="41DF20A9" w:rsidR="00C46991" w:rsidRDefault="009806BB" w:rsidP="002B1FF0">
      <w:pPr>
        <w:rPr>
          <w:rFonts w:cs="Arial"/>
          <w:sz w:val="22"/>
          <w:szCs w:val="22"/>
        </w:rPr>
      </w:pPr>
      <w:r>
        <w:rPr>
          <w:rFonts w:cs="Arial"/>
          <w:sz w:val="22"/>
          <w:szCs w:val="22"/>
        </w:rPr>
        <w:t>Por otro lado, corresponde</w:t>
      </w:r>
      <w:r w:rsidR="00FC58A6">
        <w:rPr>
          <w:rFonts w:cs="Arial"/>
          <w:sz w:val="22"/>
          <w:szCs w:val="22"/>
        </w:rPr>
        <w:t xml:space="preserve"> a la</w:t>
      </w:r>
      <w:r>
        <w:rPr>
          <w:rFonts w:cs="Arial"/>
          <w:sz w:val="22"/>
          <w:szCs w:val="22"/>
        </w:rPr>
        <w:t xml:space="preserve">s </w:t>
      </w:r>
      <w:r w:rsidR="00D61EA8">
        <w:rPr>
          <w:rFonts w:cs="Arial"/>
          <w:sz w:val="22"/>
          <w:szCs w:val="22"/>
        </w:rPr>
        <w:t>Organismos de Vigilancia y Control</w:t>
      </w:r>
      <w:r w:rsidR="00D666DF">
        <w:rPr>
          <w:rFonts w:cs="Arial"/>
          <w:sz w:val="22"/>
          <w:szCs w:val="22"/>
        </w:rPr>
        <w:t>, tales como</w:t>
      </w:r>
      <w:r w:rsidR="00D61EA8">
        <w:rPr>
          <w:rFonts w:cs="Arial"/>
          <w:sz w:val="22"/>
          <w:szCs w:val="22"/>
        </w:rPr>
        <w:t xml:space="preserve"> </w:t>
      </w:r>
      <w:r w:rsidR="00D666DF">
        <w:rPr>
          <w:rFonts w:cs="Arial"/>
          <w:sz w:val="22"/>
          <w:szCs w:val="22"/>
        </w:rPr>
        <w:t xml:space="preserve">la Superintendencia de Industria y Comercio y la Superintendencia de Servicios Públicos Domiciliarios, </w:t>
      </w:r>
      <w:r>
        <w:rPr>
          <w:rFonts w:cs="Arial"/>
          <w:sz w:val="22"/>
          <w:szCs w:val="22"/>
        </w:rPr>
        <w:t>el seguimiento del comportamiento de los agentes que participan en el Mercado Mayorista</w:t>
      </w:r>
      <w:r w:rsidR="00D666DF">
        <w:rPr>
          <w:rFonts w:cs="Arial"/>
          <w:sz w:val="22"/>
          <w:szCs w:val="22"/>
        </w:rPr>
        <w:t xml:space="preserve"> de modo que se cumplan las normas del mismo y la debida atención a los usuarios finales del servicio público domiciliario</w:t>
      </w:r>
      <w:r w:rsidR="00D61EA8">
        <w:rPr>
          <w:rFonts w:cs="Arial"/>
          <w:sz w:val="22"/>
          <w:szCs w:val="22"/>
        </w:rPr>
        <w:t xml:space="preserve"> de gas combustible</w:t>
      </w:r>
      <w:r>
        <w:rPr>
          <w:rFonts w:cs="Arial"/>
          <w:sz w:val="22"/>
          <w:szCs w:val="22"/>
        </w:rPr>
        <w:t>.</w:t>
      </w:r>
      <w:r w:rsidR="00D666DF">
        <w:rPr>
          <w:rFonts w:cs="Arial"/>
          <w:sz w:val="22"/>
          <w:szCs w:val="22"/>
        </w:rPr>
        <w:t xml:space="preserve"> </w:t>
      </w:r>
    </w:p>
    <w:p w14:paraId="65327C3B" w14:textId="77777777" w:rsidR="00D666DF" w:rsidRDefault="00D666DF" w:rsidP="002B1FF0">
      <w:pPr>
        <w:rPr>
          <w:rFonts w:cs="Arial"/>
          <w:sz w:val="22"/>
          <w:szCs w:val="22"/>
        </w:rPr>
      </w:pPr>
    </w:p>
    <w:p w14:paraId="6DE8B8FD" w14:textId="1A3983E4" w:rsidR="00D666DF" w:rsidRPr="002B1FF0" w:rsidRDefault="00EF1FA9" w:rsidP="002B1FF0">
      <w:pPr>
        <w:rPr>
          <w:rFonts w:cs="Arial"/>
          <w:sz w:val="22"/>
          <w:szCs w:val="22"/>
        </w:rPr>
      </w:pPr>
      <w:r>
        <w:rPr>
          <w:rFonts w:cs="Arial"/>
          <w:sz w:val="22"/>
          <w:szCs w:val="22"/>
        </w:rPr>
        <w:t xml:space="preserve">Finalmente, de </w:t>
      </w:r>
      <w:r w:rsidR="00D666DF">
        <w:rPr>
          <w:rFonts w:cs="Arial"/>
          <w:sz w:val="22"/>
          <w:szCs w:val="22"/>
        </w:rPr>
        <w:t xml:space="preserve">acuerdo con lo contemplado </w:t>
      </w:r>
      <w:r>
        <w:rPr>
          <w:rFonts w:cs="Arial"/>
          <w:sz w:val="22"/>
          <w:szCs w:val="22"/>
        </w:rPr>
        <w:t>en el numeral 36 del Artículo 79 d la Ley 142 de 1994, c</w:t>
      </w:r>
      <w:r w:rsidR="00D666DF" w:rsidRPr="00D666DF">
        <w:rPr>
          <w:rFonts w:cs="Arial"/>
          <w:sz w:val="22"/>
          <w:szCs w:val="22"/>
        </w:rPr>
        <w:t>orresponde a la Superintendencia de Servicios Públicos Domiciliarios, en desarrollo de sus funciones de inspección y vigilancia, establecer, administrar, mantener y operar el Sistema Único de Información (SUI) de los Servicios Públicos Domiciliarios que se nutra con la información de los prestadores, auditores externos, entidades públicas, particulares, interventores y/o supervisores relacionados con la prestación de los servicios públicos domiciliarios.</w:t>
      </w:r>
    </w:p>
    <w:p w14:paraId="36F94F40" w14:textId="77777777" w:rsidR="00E64F39" w:rsidRDefault="00E64F39" w:rsidP="001A43D3">
      <w:pPr>
        <w:jc w:val="left"/>
        <w:rPr>
          <w:i/>
          <w:iCs/>
          <w:sz w:val="22"/>
        </w:rPr>
      </w:pPr>
    </w:p>
    <w:p w14:paraId="6EADF371" w14:textId="77777777" w:rsidR="00E64F39" w:rsidRDefault="00E64F39" w:rsidP="001A43D3">
      <w:pPr>
        <w:jc w:val="left"/>
        <w:rPr>
          <w:i/>
          <w:iCs/>
          <w:sz w:val="22"/>
        </w:rPr>
      </w:pPr>
    </w:p>
    <w:p w14:paraId="050C7D24" w14:textId="6B212A29" w:rsidR="00E64F39" w:rsidRDefault="001A43D3" w:rsidP="0049586D">
      <w:pPr>
        <w:pStyle w:val="Ttulo2"/>
      </w:pPr>
      <w:bookmarkStart w:id="171" w:name="_Toc158211509"/>
      <w:r w:rsidRPr="00A25B16">
        <w:t>Metrogas de Colombia SA ESP</w:t>
      </w:r>
      <w:bookmarkEnd w:id="171"/>
      <w:r w:rsidRPr="00A25B16">
        <w:tab/>
      </w:r>
    </w:p>
    <w:p w14:paraId="4A1369E0" w14:textId="21070941" w:rsidR="001A43D3" w:rsidRPr="00A25B16" w:rsidRDefault="001A43D3" w:rsidP="001A43D3">
      <w:pPr>
        <w:jc w:val="left"/>
        <w:rPr>
          <w:i/>
          <w:iCs/>
          <w:sz w:val="22"/>
        </w:rPr>
      </w:pPr>
      <w:r w:rsidRPr="00A25B16">
        <w:rPr>
          <w:i/>
          <w:iCs/>
          <w:sz w:val="22"/>
        </w:rPr>
        <w:t>"Es fundamental conocer cu</w:t>
      </w:r>
      <w:r w:rsidR="00C55707">
        <w:rPr>
          <w:i/>
          <w:iCs/>
          <w:sz w:val="22"/>
        </w:rPr>
        <w:t>ál</w:t>
      </w:r>
      <w:r w:rsidRPr="00A25B16">
        <w:rPr>
          <w:i/>
          <w:iCs/>
          <w:sz w:val="22"/>
        </w:rPr>
        <w:t xml:space="preserve">es serían los mecanismos propuestos para priorizar la asignación de las cantidades solicitadas que hacen parte de la demanda esencial, con el fin de asegurar el cumplimiento del mismo. </w:t>
      </w:r>
    </w:p>
    <w:p w14:paraId="65D19887" w14:textId="77777777" w:rsidR="001A43D3" w:rsidRPr="00A25B16" w:rsidRDefault="001A43D3" w:rsidP="001A43D3">
      <w:pPr>
        <w:jc w:val="left"/>
        <w:rPr>
          <w:i/>
          <w:iCs/>
          <w:sz w:val="22"/>
        </w:rPr>
      </w:pPr>
    </w:p>
    <w:p w14:paraId="34D5714C" w14:textId="1D8F59DE" w:rsidR="001A43D3" w:rsidRPr="00A25B16" w:rsidRDefault="001A43D3" w:rsidP="001A43D3">
      <w:pPr>
        <w:jc w:val="left"/>
        <w:rPr>
          <w:i/>
          <w:iCs/>
          <w:sz w:val="22"/>
        </w:rPr>
      </w:pPr>
      <w:r w:rsidRPr="00A25B16">
        <w:rPr>
          <w:i/>
          <w:iCs/>
          <w:sz w:val="22"/>
        </w:rPr>
        <w:t>Teniendo en cuenta la definición de Demanda Esencial establecida en Artículo 2 de la presente resolución. Se sugiere que, llegado al caso que las solicitudes de suministro de demanda esencial superen la disponibilidad de gas, se asigne a prorrata dicha disponibilidad entre las cantidades de demanda esencial solicitadas."</w:t>
      </w:r>
    </w:p>
    <w:p w14:paraId="6AC40745" w14:textId="77777777" w:rsidR="00E64F39" w:rsidRDefault="00E64F39" w:rsidP="001A43D3">
      <w:pPr>
        <w:jc w:val="left"/>
        <w:rPr>
          <w:i/>
          <w:iCs/>
          <w:sz w:val="22"/>
        </w:rPr>
      </w:pPr>
    </w:p>
    <w:p w14:paraId="2111D09D" w14:textId="77777777" w:rsidR="002B1FF0" w:rsidRPr="002B1FF0" w:rsidRDefault="002B1FF0" w:rsidP="002B1FF0">
      <w:pPr>
        <w:rPr>
          <w:rFonts w:cs="Arial"/>
          <w:b/>
          <w:bCs/>
          <w:sz w:val="22"/>
          <w:szCs w:val="22"/>
        </w:rPr>
      </w:pPr>
      <w:r w:rsidRPr="002B1FF0">
        <w:rPr>
          <w:rFonts w:cs="Arial"/>
          <w:b/>
          <w:bCs/>
          <w:sz w:val="22"/>
          <w:szCs w:val="22"/>
        </w:rPr>
        <w:t>RESPUESTA:</w:t>
      </w:r>
    </w:p>
    <w:p w14:paraId="437CE76F" w14:textId="77777777" w:rsidR="002B1FF0" w:rsidRPr="002B1FF0" w:rsidRDefault="002B1FF0" w:rsidP="002B1FF0">
      <w:pPr>
        <w:rPr>
          <w:rFonts w:cs="Arial"/>
          <w:sz w:val="22"/>
          <w:szCs w:val="22"/>
        </w:rPr>
      </w:pPr>
    </w:p>
    <w:p w14:paraId="1FFB65EB" w14:textId="32230958" w:rsidR="00E64F39" w:rsidRDefault="009E2E8B" w:rsidP="001A43D3">
      <w:pPr>
        <w:jc w:val="left"/>
        <w:rPr>
          <w:i/>
          <w:iCs/>
          <w:sz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_Ref149196633 \w \h </w:instrText>
      </w:r>
      <w:r>
        <w:rPr>
          <w:rFonts w:cs="Arial"/>
          <w:sz w:val="22"/>
          <w:szCs w:val="22"/>
        </w:rPr>
      </w:r>
      <w:r>
        <w:rPr>
          <w:rFonts w:cs="Arial"/>
          <w:sz w:val="22"/>
          <w:szCs w:val="22"/>
        </w:rPr>
        <w:fldChar w:fldCharType="separate"/>
      </w:r>
      <w:r w:rsidR="0027336D">
        <w:rPr>
          <w:rFonts w:cs="Arial"/>
          <w:sz w:val="22"/>
          <w:szCs w:val="22"/>
        </w:rPr>
        <w:t>8.1</w:t>
      </w:r>
      <w:r>
        <w:rPr>
          <w:rFonts w:cs="Arial"/>
          <w:sz w:val="22"/>
          <w:szCs w:val="22"/>
        </w:rPr>
        <w:fldChar w:fldCharType="end"/>
      </w:r>
      <w:r>
        <w:rPr>
          <w:rFonts w:cs="Arial"/>
          <w:sz w:val="22"/>
          <w:szCs w:val="22"/>
        </w:rPr>
        <w:t>.</w:t>
      </w:r>
      <w:r w:rsidR="00F727E0">
        <w:rPr>
          <w:rFonts w:cs="Arial"/>
          <w:sz w:val="22"/>
          <w:szCs w:val="22"/>
        </w:rPr>
        <w:t xml:space="preserve"> </w:t>
      </w:r>
    </w:p>
    <w:p w14:paraId="794D4F5C" w14:textId="77777777" w:rsidR="00F727E0" w:rsidRDefault="00F727E0" w:rsidP="001A43D3">
      <w:pPr>
        <w:jc w:val="left"/>
        <w:rPr>
          <w:i/>
          <w:iCs/>
          <w:sz w:val="22"/>
        </w:rPr>
      </w:pPr>
    </w:p>
    <w:p w14:paraId="315F84FE" w14:textId="77777777" w:rsidR="00F727E0" w:rsidRDefault="00F727E0" w:rsidP="001A43D3">
      <w:pPr>
        <w:jc w:val="left"/>
        <w:rPr>
          <w:i/>
          <w:iCs/>
          <w:sz w:val="22"/>
        </w:rPr>
      </w:pPr>
    </w:p>
    <w:p w14:paraId="2B1090D0" w14:textId="3B829392" w:rsidR="00E64F39" w:rsidRDefault="001A43D3" w:rsidP="0049586D">
      <w:pPr>
        <w:pStyle w:val="Ttulo2"/>
      </w:pPr>
      <w:bookmarkStart w:id="172" w:name="_Ref149197720"/>
      <w:bookmarkStart w:id="173" w:name="_Toc158211510"/>
      <w:r w:rsidRPr="00A25B16">
        <w:t>Naturgas</w:t>
      </w:r>
      <w:bookmarkEnd w:id="172"/>
      <w:bookmarkEnd w:id="173"/>
      <w:r w:rsidRPr="00A25B16">
        <w:tab/>
      </w:r>
    </w:p>
    <w:p w14:paraId="7B684CEB" w14:textId="3DFF74E6" w:rsidR="001A43D3" w:rsidRPr="00A25B16" w:rsidRDefault="001A43D3" w:rsidP="001A43D3">
      <w:pPr>
        <w:jc w:val="left"/>
        <w:rPr>
          <w:i/>
          <w:iCs/>
          <w:sz w:val="22"/>
        </w:rPr>
      </w:pPr>
      <w:r w:rsidRPr="00A25B16">
        <w:rPr>
          <w:i/>
          <w:iCs/>
          <w:sz w:val="22"/>
        </w:rPr>
        <w:t xml:space="preserve">"En este parágrafo 2 adicional se plantea que ""Los vendedores a los que se hace referencia en el Artículo 16 de esta Resolución deberán, para las cantidades ofertadas con duraciones de ejecución menores a un (1) año en aplicación de la presente Resolución, establecer un mecanismo de priorización de la asignación de las cantidades solicitadas por parte de los agentes que atienden directamente a usuarios que hacen parte de la Demanda Esencial o de los usuarios no regulados que hacen parte de dicha Demanda"". </w:t>
      </w:r>
    </w:p>
    <w:p w14:paraId="6B5BCB2E" w14:textId="77777777" w:rsidR="001A43D3" w:rsidRPr="00A25B16" w:rsidRDefault="001A43D3" w:rsidP="001A43D3">
      <w:pPr>
        <w:jc w:val="left"/>
        <w:rPr>
          <w:i/>
          <w:iCs/>
          <w:sz w:val="22"/>
        </w:rPr>
      </w:pPr>
    </w:p>
    <w:p w14:paraId="3B8E8EA2" w14:textId="77777777" w:rsidR="001A43D3" w:rsidRPr="00A25B16" w:rsidRDefault="001A43D3" w:rsidP="001A43D3">
      <w:pPr>
        <w:jc w:val="left"/>
        <w:rPr>
          <w:i/>
          <w:iCs/>
          <w:sz w:val="22"/>
        </w:rPr>
      </w:pPr>
      <w:r w:rsidRPr="00A25B16">
        <w:rPr>
          <w:i/>
          <w:iCs/>
          <w:sz w:val="22"/>
        </w:rPr>
        <w:t xml:space="preserve">Consideramos acertadas las medidas tendientes a dar prioridad de asignación de cantidades para atender demanda esencial o demanda de usuarios no regulados que hacen parte de la demanda esencial. Sin embargo, es necesario establecer lineamientos o criterios mínimos que debe observar el vendedor del mercado primario al </w:t>
      </w:r>
      <w:r w:rsidRPr="00284541">
        <w:rPr>
          <w:i/>
          <w:iCs/>
          <w:sz w:val="22"/>
        </w:rPr>
        <w:t>momento de aplicar la priorización para la asignación. Una preocupación que surge en esta priorización es cómo evitar que se presente duplicidad de demanda esencial, lo cual se convierte en un riesgo para el vendedor. Estos lineamientos deben ser expeditos y de fácil aplicación pues se trata de medidas transitorias para realizar transacciones de gas en muy corto plazo. Por ejemplo, se podría considerar un balance de cantidades que realice el Gestor del Mercado. Estos lineamientos facilitarían la</w:t>
      </w:r>
      <w:r w:rsidRPr="00A25B16">
        <w:rPr>
          <w:i/>
          <w:iCs/>
          <w:sz w:val="22"/>
        </w:rPr>
        <w:t xml:space="preserve"> gestión por parte del vendedor pues mitigan el riesgo al que se enfrenta el vendedor al priorizar la asignación de cantidades.  </w:t>
      </w:r>
    </w:p>
    <w:p w14:paraId="6702BE7B" w14:textId="77777777" w:rsidR="001A43D3" w:rsidRDefault="001A43D3" w:rsidP="001A43D3">
      <w:pPr>
        <w:jc w:val="left"/>
        <w:rPr>
          <w:i/>
          <w:iCs/>
          <w:sz w:val="22"/>
        </w:rPr>
      </w:pPr>
    </w:p>
    <w:p w14:paraId="5D8F2C8B" w14:textId="77777777" w:rsidR="005C5EAE" w:rsidRPr="002B1FF0" w:rsidRDefault="005C5EAE" w:rsidP="005C5EAE">
      <w:pPr>
        <w:rPr>
          <w:rFonts w:cs="Arial"/>
          <w:b/>
          <w:bCs/>
          <w:sz w:val="22"/>
          <w:szCs w:val="22"/>
        </w:rPr>
      </w:pPr>
      <w:r w:rsidRPr="002B1FF0">
        <w:rPr>
          <w:rFonts w:cs="Arial"/>
          <w:b/>
          <w:bCs/>
          <w:sz w:val="22"/>
          <w:szCs w:val="22"/>
        </w:rPr>
        <w:t>RESPUESTA:</w:t>
      </w:r>
    </w:p>
    <w:p w14:paraId="58ACB054" w14:textId="77777777" w:rsidR="005C5EAE" w:rsidRPr="002B1FF0" w:rsidRDefault="005C5EAE" w:rsidP="005C5EAE">
      <w:pPr>
        <w:rPr>
          <w:rFonts w:cs="Arial"/>
          <w:sz w:val="22"/>
          <w:szCs w:val="22"/>
        </w:rPr>
      </w:pPr>
    </w:p>
    <w:p w14:paraId="73F56C91" w14:textId="1BD58DCB" w:rsidR="005C5EAE" w:rsidRDefault="005C5EAE" w:rsidP="005C5EAE">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_Ref149196633 \w \h </w:instrText>
      </w:r>
      <w:r>
        <w:rPr>
          <w:rFonts w:cs="Arial"/>
          <w:sz w:val="22"/>
          <w:szCs w:val="22"/>
        </w:rPr>
      </w:r>
      <w:r>
        <w:rPr>
          <w:rFonts w:cs="Arial"/>
          <w:sz w:val="22"/>
          <w:szCs w:val="22"/>
        </w:rPr>
        <w:fldChar w:fldCharType="separate"/>
      </w:r>
      <w:r w:rsidR="0027336D">
        <w:rPr>
          <w:rFonts w:cs="Arial"/>
          <w:sz w:val="22"/>
          <w:szCs w:val="22"/>
        </w:rPr>
        <w:t>8.1</w:t>
      </w:r>
      <w:r>
        <w:rPr>
          <w:rFonts w:cs="Arial"/>
          <w:sz w:val="22"/>
          <w:szCs w:val="22"/>
        </w:rPr>
        <w:fldChar w:fldCharType="end"/>
      </w:r>
      <w:r w:rsidR="001A55FF">
        <w:rPr>
          <w:rFonts w:cs="Arial"/>
          <w:sz w:val="22"/>
          <w:szCs w:val="22"/>
        </w:rPr>
        <w:t xml:space="preserve"> y al comentario </w:t>
      </w:r>
      <w:r w:rsidR="001A55FF">
        <w:rPr>
          <w:rFonts w:cs="Arial"/>
          <w:sz w:val="22"/>
          <w:szCs w:val="22"/>
        </w:rPr>
        <w:fldChar w:fldCharType="begin"/>
      </w:r>
      <w:r w:rsidR="001A55FF">
        <w:rPr>
          <w:rFonts w:cs="Arial"/>
          <w:sz w:val="22"/>
          <w:szCs w:val="22"/>
        </w:rPr>
        <w:instrText xml:space="preserve"> REF _Ref149196952 \w \h </w:instrText>
      </w:r>
      <w:r w:rsidR="001A55FF">
        <w:rPr>
          <w:rFonts w:cs="Arial"/>
          <w:sz w:val="22"/>
          <w:szCs w:val="22"/>
        </w:rPr>
      </w:r>
      <w:r w:rsidR="001A55FF">
        <w:rPr>
          <w:rFonts w:cs="Arial"/>
          <w:sz w:val="22"/>
          <w:szCs w:val="22"/>
        </w:rPr>
        <w:fldChar w:fldCharType="separate"/>
      </w:r>
      <w:r w:rsidR="0027336D">
        <w:rPr>
          <w:rFonts w:cs="Arial"/>
          <w:sz w:val="22"/>
          <w:szCs w:val="22"/>
        </w:rPr>
        <w:t>8.3</w:t>
      </w:r>
      <w:r w:rsidR="001A55FF">
        <w:rPr>
          <w:rFonts w:cs="Arial"/>
          <w:sz w:val="22"/>
          <w:szCs w:val="22"/>
        </w:rPr>
        <w:fldChar w:fldCharType="end"/>
      </w:r>
      <w:r>
        <w:rPr>
          <w:rFonts w:cs="Arial"/>
          <w:sz w:val="22"/>
          <w:szCs w:val="22"/>
        </w:rPr>
        <w:t xml:space="preserve">. </w:t>
      </w:r>
    </w:p>
    <w:p w14:paraId="0485E252" w14:textId="77777777" w:rsidR="001A55FF" w:rsidRDefault="001A55FF" w:rsidP="005C5EAE">
      <w:pPr>
        <w:jc w:val="left"/>
        <w:rPr>
          <w:rFonts w:cs="Arial"/>
          <w:sz w:val="22"/>
          <w:szCs w:val="22"/>
        </w:rPr>
      </w:pPr>
    </w:p>
    <w:p w14:paraId="328B5875" w14:textId="77777777" w:rsidR="005C5EAE" w:rsidRDefault="005C5EAE" w:rsidP="001A43D3">
      <w:pPr>
        <w:jc w:val="left"/>
        <w:rPr>
          <w:i/>
          <w:iCs/>
          <w:sz w:val="22"/>
        </w:rPr>
      </w:pPr>
    </w:p>
    <w:p w14:paraId="5EC81501" w14:textId="77777777" w:rsidR="005C5EAE" w:rsidRDefault="005C5EAE" w:rsidP="005C5EAE">
      <w:pPr>
        <w:pStyle w:val="Ttulo2"/>
      </w:pPr>
      <w:bookmarkStart w:id="174" w:name="_Ref149198028"/>
      <w:bookmarkStart w:id="175" w:name="_Toc158211511"/>
      <w:r w:rsidRPr="00A25B16">
        <w:t>Naturgas</w:t>
      </w:r>
      <w:bookmarkEnd w:id="174"/>
      <w:bookmarkEnd w:id="175"/>
      <w:r w:rsidRPr="00A25B16">
        <w:tab/>
      </w:r>
    </w:p>
    <w:p w14:paraId="6F526885" w14:textId="77777777" w:rsidR="001A43D3" w:rsidRPr="00A25B16" w:rsidRDefault="001A43D3" w:rsidP="001A43D3">
      <w:pPr>
        <w:jc w:val="left"/>
        <w:rPr>
          <w:i/>
          <w:iCs/>
          <w:sz w:val="22"/>
        </w:rPr>
      </w:pPr>
      <w:r w:rsidRPr="00A25B16">
        <w:rPr>
          <w:i/>
          <w:iCs/>
          <w:sz w:val="22"/>
        </w:rPr>
        <w:t xml:space="preserve">Así mismo, adicional a priorizar cantidades para la demanda </w:t>
      </w:r>
      <w:r w:rsidRPr="001A55FF">
        <w:rPr>
          <w:i/>
          <w:iCs/>
          <w:sz w:val="22"/>
        </w:rPr>
        <w:t>esencial, también consideramos necesario priorizar la demanda para usuarios no regulados que no tengan sustitutos."</w:t>
      </w:r>
    </w:p>
    <w:p w14:paraId="3B3C6ACB" w14:textId="77777777" w:rsidR="00E64F39" w:rsidRDefault="00E64F39" w:rsidP="001A43D3">
      <w:pPr>
        <w:jc w:val="left"/>
        <w:rPr>
          <w:i/>
          <w:iCs/>
          <w:sz w:val="22"/>
        </w:rPr>
      </w:pPr>
    </w:p>
    <w:p w14:paraId="5EC2FC58" w14:textId="77777777" w:rsidR="005C5EAE" w:rsidRDefault="005C5EAE" w:rsidP="001A43D3">
      <w:pPr>
        <w:jc w:val="left"/>
        <w:rPr>
          <w:i/>
          <w:iCs/>
          <w:sz w:val="22"/>
        </w:rPr>
      </w:pPr>
    </w:p>
    <w:p w14:paraId="677ABD58" w14:textId="77777777" w:rsidR="005C5EAE" w:rsidRPr="002B1FF0" w:rsidRDefault="005C5EAE" w:rsidP="005C5EAE">
      <w:pPr>
        <w:rPr>
          <w:rFonts w:cs="Arial"/>
          <w:b/>
          <w:bCs/>
          <w:sz w:val="22"/>
          <w:szCs w:val="22"/>
        </w:rPr>
      </w:pPr>
      <w:r w:rsidRPr="002B1FF0">
        <w:rPr>
          <w:rFonts w:cs="Arial"/>
          <w:b/>
          <w:bCs/>
          <w:sz w:val="22"/>
          <w:szCs w:val="22"/>
        </w:rPr>
        <w:t>RESPUESTA:</w:t>
      </w:r>
    </w:p>
    <w:p w14:paraId="1B1183DA" w14:textId="77777777" w:rsidR="005C5EAE" w:rsidRDefault="005C5EAE" w:rsidP="001A43D3">
      <w:pPr>
        <w:jc w:val="left"/>
        <w:rPr>
          <w:i/>
          <w:iCs/>
          <w:sz w:val="22"/>
        </w:rPr>
      </w:pPr>
    </w:p>
    <w:p w14:paraId="15210B47" w14:textId="30C71B89" w:rsidR="005C5EAE" w:rsidRPr="005C5EAE" w:rsidRDefault="005C5EAE" w:rsidP="001A43D3">
      <w:pPr>
        <w:jc w:val="left"/>
        <w:rPr>
          <w:sz w:val="22"/>
        </w:rPr>
      </w:pPr>
      <w:r w:rsidRPr="005C5EAE">
        <w:rPr>
          <w:sz w:val="22"/>
        </w:rPr>
        <w:t xml:space="preserve">Ver respuesta al </w:t>
      </w:r>
      <w:r>
        <w:rPr>
          <w:sz w:val="22"/>
        </w:rPr>
        <w:t xml:space="preserve">comentario </w:t>
      </w:r>
      <w:r w:rsidR="00D1109B">
        <w:rPr>
          <w:sz w:val="22"/>
        </w:rPr>
        <w:fldChar w:fldCharType="begin"/>
      </w:r>
      <w:r w:rsidR="00D1109B">
        <w:rPr>
          <w:sz w:val="22"/>
        </w:rPr>
        <w:instrText xml:space="preserve"> REF _Ref149196838 \w \h </w:instrText>
      </w:r>
      <w:r w:rsidR="00D1109B">
        <w:rPr>
          <w:sz w:val="22"/>
        </w:rPr>
      </w:r>
      <w:r w:rsidR="00D1109B">
        <w:rPr>
          <w:sz w:val="22"/>
        </w:rPr>
        <w:fldChar w:fldCharType="separate"/>
      </w:r>
      <w:r w:rsidR="0027336D">
        <w:rPr>
          <w:sz w:val="22"/>
        </w:rPr>
        <w:t>8.2</w:t>
      </w:r>
      <w:r w:rsidR="00D1109B">
        <w:rPr>
          <w:sz w:val="22"/>
        </w:rPr>
        <w:fldChar w:fldCharType="end"/>
      </w:r>
      <w:r w:rsidR="00D1109B">
        <w:rPr>
          <w:sz w:val="22"/>
        </w:rPr>
        <w:t xml:space="preserve"> y al comentario </w:t>
      </w:r>
      <w:r w:rsidR="00D1109B">
        <w:rPr>
          <w:sz w:val="22"/>
        </w:rPr>
        <w:fldChar w:fldCharType="begin"/>
      </w:r>
      <w:r w:rsidR="00D1109B">
        <w:rPr>
          <w:sz w:val="22"/>
        </w:rPr>
        <w:instrText xml:space="preserve"> REF _Ref149196849 \w \h </w:instrText>
      </w:r>
      <w:r w:rsidR="00D1109B">
        <w:rPr>
          <w:sz w:val="22"/>
        </w:rPr>
      </w:r>
      <w:r w:rsidR="00D1109B">
        <w:rPr>
          <w:sz w:val="22"/>
        </w:rPr>
        <w:fldChar w:fldCharType="separate"/>
      </w:r>
      <w:r w:rsidR="0027336D">
        <w:rPr>
          <w:sz w:val="22"/>
        </w:rPr>
        <w:t>8.9</w:t>
      </w:r>
      <w:r w:rsidR="00D1109B">
        <w:rPr>
          <w:sz w:val="22"/>
        </w:rPr>
        <w:fldChar w:fldCharType="end"/>
      </w:r>
      <w:r w:rsidR="00D1109B">
        <w:rPr>
          <w:sz w:val="22"/>
        </w:rPr>
        <w:t>.</w:t>
      </w:r>
    </w:p>
    <w:p w14:paraId="617B77A1" w14:textId="77777777" w:rsidR="00E64F39" w:rsidRDefault="00E64F39" w:rsidP="001A43D3">
      <w:pPr>
        <w:jc w:val="left"/>
        <w:rPr>
          <w:i/>
          <w:iCs/>
          <w:sz w:val="22"/>
        </w:rPr>
      </w:pPr>
    </w:p>
    <w:p w14:paraId="4AAAF151" w14:textId="77777777" w:rsidR="005C5EAE" w:rsidRDefault="005C5EAE" w:rsidP="001A43D3">
      <w:pPr>
        <w:jc w:val="left"/>
        <w:rPr>
          <w:i/>
          <w:iCs/>
          <w:sz w:val="22"/>
        </w:rPr>
      </w:pPr>
    </w:p>
    <w:p w14:paraId="720A5FAC" w14:textId="0A80E254" w:rsidR="00E64F39" w:rsidRDefault="001A43D3" w:rsidP="0049586D">
      <w:pPr>
        <w:pStyle w:val="Ttulo2"/>
      </w:pPr>
      <w:bookmarkStart w:id="176" w:name="_Ref149198029"/>
      <w:bookmarkStart w:id="177" w:name="_Toc158211512"/>
      <w:r w:rsidRPr="00A25B16">
        <w:t>PETROMIL GAS S.A.S. E.S.P.</w:t>
      </w:r>
      <w:bookmarkEnd w:id="176"/>
      <w:bookmarkEnd w:id="177"/>
      <w:r w:rsidRPr="00A25B16">
        <w:tab/>
      </w:r>
    </w:p>
    <w:p w14:paraId="4780AF7A" w14:textId="1B217178" w:rsidR="001A43D3" w:rsidRPr="00A25B16" w:rsidRDefault="001A43D3" w:rsidP="001A43D3">
      <w:pPr>
        <w:jc w:val="left"/>
        <w:rPr>
          <w:i/>
          <w:iCs/>
          <w:sz w:val="22"/>
        </w:rPr>
      </w:pPr>
      <w:r w:rsidRPr="00A25B16">
        <w:rPr>
          <w:i/>
          <w:iCs/>
          <w:sz w:val="22"/>
        </w:rPr>
        <w:t xml:space="preserve">"El artículo 8 del Proyecto de Resolución agrega un parágrafo 4 transitorio al artículo 19 de la Resolución CREG 186 de 2020 ""Negociación directa en cualquier momento del año"", en el cual se impone que la comercialización a corto plazo que habilita este Proyecto de Resolución deberá priorizar la asignación de suministro a la Demanda Esencial, sin embargo, de acuerdo con lo descrito en el documento soporte del mismo documento considera a corto plazo la necesidad de que el consumo térmico disponga de mecanismos y/o modalidades de comercialización para periodos mucho más cortos.  </w:t>
      </w:r>
    </w:p>
    <w:p w14:paraId="2ED8AA39" w14:textId="77777777" w:rsidR="001A43D3" w:rsidRPr="00A25B16" w:rsidRDefault="001A43D3" w:rsidP="001A43D3">
      <w:pPr>
        <w:jc w:val="left"/>
        <w:rPr>
          <w:i/>
          <w:iCs/>
          <w:sz w:val="22"/>
        </w:rPr>
      </w:pPr>
    </w:p>
    <w:p w14:paraId="49070A73" w14:textId="77777777" w:rsidR="001A43D3" w:rsidRPr="009B36A0" w:rsidRDefault="001A43D3" w:rsidP="001A43D3">
      <w:pPr>
        <w:jc w:val="left"/>
        <w:rPr>
          <w:i/>
          <w:iCs/>
          <w:sz w:val="22"/>
        </w:rPr>
      </w:pPr>
      <w:r w:rsidRPr="009B36A0">
        <w:rPr>
          <w:i/>
          <w:iCs/>
          <w:sz w:val="22"/>
        </w:rPr>
        <w:t>Se sugiere a la Comisión distinguir que el gas que se comercialice a corto plazo y cuyo uso sea para antes del 30 de noviembre de 2023 sea para el uso térmico o uso libre, y de diciembre hasta la vigencia del Proyecto de Resolución sea para atención de la Demanda Esencial. Adicional, para este último se espera que la Unidad de Planeación Minero Energética - UPME actualice la proyección balance de oferta y demanda que soporte esta gestión del déficit que no permite el desarrollo de un mercado en competencia. "</w:t>
      </w:r>
    </w:p>
    <w:p w14:paraId="212FFC5A" w14:textId="77777777" w:rsidR="00E64F39" w:rsidRPr="009B36A0" w:rsidRDefault="00E64F39" w:rsidP="001A43D3">
      <w:pPr>
        <w:jc w:val="left"/>
        <w:rPr>
          <w:i/>
          <w:iCs/>
          <w:sz w:val="22"/>
        </w:rPr>
      </w:pPr>
    </w:p>
    <w:p w14:paraId="7CB7F05E" w14:textId="77777777" w:rsidR="002B1FF0" w:rsidRPr="002B1FF0" w:rsidRDefault="002B1FF0" w:rsidP="002B1FF0">
      <w:pPr>
        <w:rPr>
          <w:rFonts w:cs="Arial"/>
          <w:b/>
          <w:bCs/>
          <w:sz w:val="22"/>
          <w:szCs w:val="22"/>
        </w:rPr>
      </w:pPr>
      <w:r w:rsidRPr="009B36A0">
        <w:rPr>
          <w:rFonts w:cs="Arial"/>
          <w:b/>
          <w:bCs/>
          <w:sz w:val="22"/>
          <w:szCs w:val="22"/>
        </w:rPr>
        <w:t>RESPUESTA:</w:t>
      </w:r>
    </w:p>
    <w:p w14:paraId="378D3D6F" w14:textId="77777777" w:rsidR="002B1FF0" w:rsidRPr="002B1FF0" w:rsidRDefault="002B1FF0" w:rsidP="002B1FF0">
      <w:pPr>
        <w:rPr>
          <w:rFonts w:cs="Arial"/>
          <w:sz w:val="22"/>
          <w:szCs w:val="22"/>
        </w:rPr>
      </w:pPr>
    </w:p>
    <w:p w14:paraId="407AABC2" w14:textId="69812F3B" w:rsidR="002B1FF0" w:rsidRDefault="009A5319" w:rsidP="002B1FF0">
      <w:pPr>
        <w:rPr>
          <w:rFonts w:cs="Arial"/>
          <w:sz w:val="22"/>
          <w:szCs w:val="22"/>
        </w:rPr>
      </w:pPr>
      <w:r>
        <w:rPr>
          <w:rFonts w:cs="Arial"/>
          <w:sz w:val="22"/>
          <w:szCs w:val="22"/>
        </w:rPr>
        <w:t>No se acoge el comentario.</w:t>
      </w:r>
    </w:p>
    <w:p w14:paraId="7256B7FA" w14:textId="77777777" w:rsidR="009A5319" w:rsidRDefault="009A5319" w:rsidP="002B1FF0">
      <w:pPr>
        <w:rPr>
          <w:rFonts w:cs="Arial"/>
          <w:sz w:val="22"/>
          <w:szCs w:val="22"/>
        </w:rPr>
      </w:pPr>
    </w:p>
    <w:p w14:paraId="4CCDB27B" w14:textId="6DE3774A" w:rsidR="009A5319" w:rsidRDefault="009B4E5A" w:rsidP="009B4E5A">
      <w:pPr>
        <w:rPr>
          <w:rFonts w:cs="Arial"/>
          <w:sz w:val="22"/>
          <w:szCs w:val="22"/>
        </w:rPr>
      </w:pPr>
      <w:r>
        <w:rPr>
          <w:rFonts w:cs="Arial"/>
          <w:sz w:val="22"/>
          <w:szCs w:val="22"/>
        </w:rPr>
        <w:t>El objeto propuesto en el Proyecto de Resolución es del de a</w:t>
      </w:r>
      <w:r w:rsidRPr="009B4E5A">
        <w:rPr>
          <w:rFonts w:cs="Arial"/>
          <w:sz w:val="22"/>
          <w:szCs w:val="22"/>
        </w:rPr>
        <w:t>doptar medidas de manera</w:t>
      </w:r>
      <w:r>
        <w:rPr>
          <w:rFonts w:cs="Arial"/>
          <w:sz w:val="22"/>
          <w:szCs w:val="22"/>
        </w:rPr>
        <w:t xml:space="preserve"> </w:t>
      </w:r>
      <w:r w:rsidRPr="009B4E5A">
        <w:rPr>
          <w:rFonts w:cs="Arial"/>
          <w:sz w:val="22"/>
          <w:szCs w:val="22"/>
        </w:rPr>
        <w:t>transitoria y de corto plazo, con el fin de facilitar a los vendedores y a los</w:t>
      </w:r>
      <w:r>
        <w:rPr>
          <w:rFonts w:cs="Arial"/>
          <w:sz w:val="22"/>
          <w:szCs w:val="22"/>
        </w:rPr>
        <w:t xml:space="preserve"> </w:t>
      </w:r>
      <w:r w:rsidRPr="009B4E5A">
        <w:rPr>
          <w:rFonts w:cs="Arial"/>
          <w:sz w:val="22"/>
          <w:szCs w:val="22"/>
        </w:rPr>
        <w:t>compradores del Mercado Mayorista de Gas Natural en general, desarrollar</w:t>
      </w:r>
      <w:r>
        <w:rPr>
          <w:rFonts w:cs="Arial"/>
          <w:sz w:val="22"/>
          <w:szCs w:val="22"/>
        </w:rPr>
        <w:t xml:space="preserve"> </w:t>
      </w:r>
      <w:r w:rsidRPr="009B4E5A">
        <w:rPr>
          <w:rFonts w:cs="Arial"/>
          <w:sz w:val="22"/>
          <w:szCs w:val="22"/>
        </w:rPr>
        <w:t>las negociaciones de manera directa que permitan hacer uso de la totalidad</w:t>
      </w:r>
      <w:r>
        <w:rPr>
          <w:rFonts w:cs="Arial"/>
          <w:sz w:val="22"/>
          <w:szCs w:val="22"/>
        </w:rPr>
        <w:t xml:space="preserve"> </w:t>
      </w:r>
      <w:r w:rsidRPr="009B4E5A">
        <w:rPr>
          <w:rFonts w:cs="Arial"/>
          <w:sz w:val="22"/>
          <w:szCs w:val="22"/>
        </w:rPr>
        <w:t>de los volúmenes de gas natural disponible de todas las fuentes de</w:t>
      </w:r>
      <w:r>
        <w:rPr>
          <w:rFonts w:cs="Arial"/>
          <w:sz w:val="22"/>
          <w:szCs w:val="22"/>
        </w:rPr>
        <w:t xml:space="preserve"> </w:t>
      </w:r>
      <w:r w:rsidRPr="009B4E5A">
        <w:rPr>
          <w:rFonts w:cs="Arial"/>
          <w:sz w:val="22"/>
          <w:szCs w:val="22"/>
        </w:rPr>
        <w:t>suministro, con gas natural producido en territorio nacional o con gas natural</w:t>
      </w:r>
      <w:r>
        <w:rPr>
          <w:rFonts w:cs="Arial"/>
          <w:sz w:val="22"/>
          <w:szCs w:val="22"/>
        </w:rPr>
        <w:t xml:space="preserve"> </w:t>
      </w:r>
      <w:r w:rsidRPr="009B4E5A">
        <w:rPr>
          <w:rFonts w:cs="Arial"/>
          <w:sz w:val="22"/>
          <w:szCs w:val="22"/>
        </w:rPr>
        <w:t>importado, atendiendo de manera eficaz las necesidades de la demanda, ya</w:t>
      </w:r>
      <w:r>
        <w:rPr>
          <w:rFonts w:cs="Arial"/>
          <w:sz w:val="22"/>
          <w:szCs w:val="22"/>
        </w:rPr>
        <w:t xml:space="preserve"> </w:t>
      </w:r>
      <w:r w:rsidRPr="009B4E5A">
        <w:rPr>
          <w:rFonts w:cs="Arial"/>
          <w:sz w:val="22"/>
          <w:szCs w:val="22"/>
        </w:rPr>
        <w:t>sea a través del Mercado Primario, a través del Mercado Secundario y/o a</w:t>
      </w:r>
      <w:r>
        <w:rPr>
          <w:rFonts w:cs="Arial"/>
          <w:sz w:val="22"/>
          <w:szCs w:val="22"/>
        </w:rPr>
        <w:t xml:space="preserve"> </w:t>
      </w:r>
      <w:r w:rsidRPr="009B4E5A">
        <w:rPr>
          <w:rFonts w:cs="Arial"/>
          <w:sz w:val="22"/>
          <w:szCs w:val="22"/>
        </w:rPr>
        <w:t>través del Mercado Minorista.</w:t>
      </w:r>
      <w:r>
        <w:rPr>
          <w:rFonts w:cs="Arial"/>
          <w:sz w:val="22"/>
          <w:szCs w:val="22"/>
        </w:rPr>
        <w:t xml:space="preserve"> A pesar </w:t>
      </w:r>
      <w:r w:rsidR="000A4911">
        <w:rPr>
          <w:rFonts w:cs="Arial"/>
          <w:sz w:val="22"/>
          <w:szCs w:val="22"/>
        </w:rPr>
        <w:t xml:space="preserve">de </w:t>
      </w:r>
      <w:r>
        <w:rPr>
          <w:rFonts w:cs="Arial"/>
          <w:sz w:val="22"/>
          <w:szCs w:val="22"/>
        </w:rPr>
        <w:t>que se establece una priorización de la contratación del Mercado Primario, ello no implica necesariamente que las medidas propuestas no lleven a que los vendedores del Mercado Primario ofrezcan mayores cantidades de suministro de tipo firme que puedan ser negociadas por la demanda no priorizada, tal como la demanda del sector de generación térmica</w:t>
      </w:r>
      <w:r w:rsidR="000A4911">
        <w:rPr>
          <w:rFonts w:cs="Arial"/>
          <w:sz w:val="22"/>
          <w:szCs w:val="22"/>
        </w:rPr>
        <w:t>, que a falta de la resolución propuesta, no se podrían contratar</w:t>
      </w:r>
      <w:r>
        <w:rPr>
          <w:rFonts w:cs="Arial"/>
          <w:sz w:val="22"/>
          <w:szCs w:val="22"/>
        </w:rPr>
        <w:t>.</w:t>
      </w:r>
    </w:p>
    <w:p w14:paraId="1CB696D0" w14:textId="77777777" w:rsidR="009B4E5A" w:rsidRDefault="009B4E5A" w:rsidP="009B4E5A">
      <w:pPr>
        <w:rPr>
          <w:rFonts w:cs="Arial"/>
          <w:sz w:val="22"/>
          <w:szCs w:val="22"/>
        </w:rPr>
      </w:pPr>
    </w:p>
    <w:p w14:paraId="400110FE" w14:textId="7A3CE262" w:rsidR="009B4E5A" w:rsidRDefault="009B4E5A" w:rsidP="009B4E5A">
      <w:pPr>
        <w:rPr>
          <w:rFonts w:cs="Arial"/>
          <w:sz w:val="22"/>
          <w:szCs w:val="22"/>
        </w:rPr>
      </w:pPr>
      <w:r>
        <w:rPr>
          <w:rFonts w:cs="Arial"/>
          <w:sz w:val="22"/>
          <w:szCs w:val="22"/>
        </w:rPr>
        <w:t>Adicionalmente en la resolución definitiva se establecen medidas para que</w:t>
      </w:r>
      <w:r w:rsidR="009B36A0">
        <w:rPr>
          <w:rFonts w:cs="Arial"/>
          <w:sz w:val="22"/>
          <w:szCs w:val="22"/>
        </w:rPr>
        <w:t xml:space="preserve"> l</w:t>
      </w:r>
      <w:r w:rsidR="009B36A0" w:rsidRPr="009B36A0">
        <w:rPr>
          <w:rFonts w:cs="Arial"/>
          <w:sz w:val="22"/>
          <w:szCs w:val="22"/>
        </w:rPr>
        <w:t xml:space="preserve">as cantidades de suministro excedentarias contratadas por un comercializador en el Mercado Primario o en el Mercado Secundario registradas para atender a la demanda regulada, </w:t>
      </w:r>
      <w:r w:rsidR="009B36A0">
        <w:rPr>
          <w:rFonts w:cs="Arial"/>
          <w:sz w:val="22"/>
          <w:szCs w:val="22"/>
        </w:rPr>
        <w:t>sean</w:t>
      </w:r>
      <w:r w:rsidR="009B36A0" w:rsidRPr="009B36A0">
        <w:rPr>
          <w:rFonts w:cs="Arial"/>
          <w:sz w:val="22"/>
          <w:szCs w:val="22"/>
        </w:rPr>
        <w:t xml:space="preserve"> ofrecidas en primera instancia a los compradores del Mercado Secundario que solicitan el suministro para atender directamente la demanda regulada de sus propios mercados de comercialización. En el caso de empresas comercializadoras en que exista vinculación económica, se podrán negociar prioritariamente dichas cantidades entre ellas, aplicando en el precio del contrato de suministro, como máximo, el margen de intermediación establecido en el Artículo 4 de la Resolución CREG 112 de 2007</w:t>
      </w:r>
      <w:r w:rsidR="009B36A0">
        <w:rPr>
          <w:rFonts w:cs="Arial"/>
          <w:sz w:val="22"/>
          <w:szCs w:val="22"/>
        </w:rPr>
        <w:t>.</w:t>
      </w:r>
      <w:r w:rsidR="00505B0E">
        <w:rPr>
          <w:rFonts w:cs="Arial"/>
          <w:sz w:val="22"/>
          <w:szCs w:val="22"/>
        </w:rPr>
        <w:t xml:space="preserve"> Con ellos se busca</w:t>
      </w:r>
      <w:r w:rsidR="009B36A0">
        <w:rPr>
          <w:rFonts w:cs="Arial"/>
          <w:sz w:val="22"/>
          <w:szCs w:val="22"/>
        </w:rPr>
        <w:t xml:space="preserve"> que en el Mercado Primario haya menor necesidad de suministro para atender parte de la Demanda Esencial y se pueda presentar mayor oferta de gas natural de corto plazo, para aquellos usuarios que no son parte de la Demanda Esencial.</w:t>
      </w:r>
    </w:p>
    <w:p w14:paraId="02806C44" w14:textId="77777777" w:rsidR="000A4911" w:rsidRDefault="000A4911" w:rsidP="009B4E5A">
      <w:pPr>
        <w:rPr>
          <w:rFonts w:cs="Arial"/>
          <w:sz w:val="22"/>
          <w:szCs w:val="22"/>
        </w:rPr>
      </w:pPr>
    </w:p>
    <w:p w14:paraId="35095CA6" w14:textId="635A2731" w:rsidR="000A4911" w:rsidRPr="002B1FF0" w:rsidRDefault="000A4911" w:rsidP="009B4E5A">
      <w:pPr>
        <w:rPr>
          <w:rFonts w:cs="Arial"/>
          <w:sz w:val="22"/>
          <w:szCs w:val="22"/>
        </w:rPr>
      </w:pPr>
      <w:r>
        <w:rPr>
          <w:rFonts w:cs="Arial"/>
          <w:sz w:val="22"/>
          <w:szCs w:val="22"/>
        </w:rPr>
        <w:t>Por último, es de tener en cuenta que parte de las motivaciones de la propuesta son las actuales circunstancias de limitaciones operativas de unas fuentes de suministro contratado previamente por algunos de los compradores del Mercado Primario, que también afectan el cumplimiento del suministro a quienes atienden Demanda Esencial. Es por ello que no se considera adecuado que la oferta de gas del Mercado Primario que surja en virtud de la resolución, no sea priorizada desde un principio.</w:t>
      </w:r>
    </w:p>
    <w:p w14:paraId="5AC8239B" w14:textId="77777777" w:rsidR="00E64F39" w:rsidRDefault="00E64F39" w:rsidP="001A43D3">
      <w:pPr>
        <w:jc w:val="left"/>
        <w:rPr>
          <w:i/>
          <w:iCs/>
          <w:sz w:val="22"/>
        </w:rPr>
      </w:pPr>
    </w:p>
    <w:p w14:paraId="7A8486ED" w14:textId="77777777" w:rsidR="00E64F39" w:rsidRDefault="00E64F39" w:rsidP="001A43D3">
      <w:pPr>
        <w:jc w:val="left"/>
        <w:rPr>
          <w:i/>
          <w:iCs/>
          <w:sz w:val="22"/>
        </w:rPr>
      </w:pPr>
    </w:p>
    <w:p w14:paraId="4A9CD2EF" w14:textId="2391C06C" w:rsidR="00E64F39" w:rsidRDefault="001A43D3" w:rsidP="0049586D">
      <w:pPr>
        <w:pStyle w:val="Ttulo2"/>
      </w:pPr>
      <w:bookmarkStart w:id="178" w:name="_Toc158211513"/>
      <w:r w:rsidRPr="00A25B16">
        <w:t>Prime Energía</w:t>
      </w:r>
      <w:bookmarkEnd w:id="178"/>
      <w:r w:rsidRPr="00A25B16">
        <w:t xml:space="preserve"> </w:t>
      </w:r>
      <w:r w:rsidRPr="00A25B16">
        <w:tab/>
      </w:r>
    </w:p>
    <w:p w14:paraId="2E28AB08" w14:textId="2368F542" w:rsidR="001A43D3" w:rsidRPr="00A25B16" w:rsidRDefault="001A43D3" w:rsidP="001A43D3">
      <w:pPr>
        <w:jc w:val="left"/>
        <w:rPr>
          <w:i/>
          <w:iCs/>
          <w:sz w:val="22"/>
        </w:rPr>
      </w:pPr>
      <w:r w:rsidRPr="00A25B16">
        <w:rPr>
          <w:i/>
          <w:iCs/>
          <w:sz w:val="22"/>
        </w:rPr>
        <w:t>"Sobre el mecanismo de priorización para la demanda esencial: Bajo los escenarios actuales de mercado, las plantas térmicas deben tener la libertad de contratar suministro y capacidad de transporte de gas natural con el fin de lograr eficiencias en su operación y poder trasladar estas eficiencias a la demanda vía menores costos de generación que inciden positivamente en la formación del precio de bolsa. Priorizar los excedentes en un parámetro de demanda que no incluye la generación térmica, además de limitar la disponibilidad de capacidad de transporte y suministro de gas natural para contratar, incrementaría los precios de este energético dada la señal de escasez para uso térmico y consecuentemente incrementaría la señal del precio de la energía eléctrica al mercado, acelerando la activación de la condición crítica (Precio de Bolsa &gt; Precio de Activación).</w:t>
      </w:r>
    </w:p>
    <w:p w14:paraId="69360FCB" w14:textId="77777777" w:rsidR="001A43D3" w:rsidRPr="00A25B16" w:rsidRDefault="001A43D3" w:rsidP="001A43D3">
      <w:pPr>
        <w:jc w:val="left"/>
        <w:rPr>
          <w:i/>
          <w:iCs/>
          <w:sz w:val="22"/>
        </w:rPr>
      </w:pPr>
    </w:p>
    <w:p w14:paraId="5A08E04C" w14:textId="77777777" w:rsidR="001A43D3" w:rsidRPr="00A25B16" w:rsidRDefault="001A43D3" w:rsidP="001A43D3">
      <w:pPr>
        <w:jc w:val="left"/>
        <w:rPr>
          <w:i/>
          <w:iCs/>
          <w:sz w:val="22"/>
        </w:rPr>
      </w:pPr>
      <w:r w:rsidRPr="00A25B16">
        <w:rPr>
          <w:i/>
          <w:iCs/>
          <w:sz w:val="22"/>
        </w:rPr>
        <w:t>Permitir a las plantas térmicas contratación de suministro y capacidad de transporte bilateral teniendo en cuenta lo anteriormente expuesto."</w:t>
      </w:r>
    </w:p>
    <w:p w14:paraId="32E99EAF" w14:textId="77777777" w:rsidR="00E64F39" w:rsidRDefault="00E64F39" w:rsidP="001A43D3">
      <w:pPr>
        <w:jc w:val="left"/>
        <w:rPr>
          <w:i/>
          <w:iCs/>
          <w:sz w:val="22"/>
        </w:rPr>
      </w:pPr>
    </w:p>
    <w:p w14:paraId="76E3D153" w14:textId="77777777" w:rsidR="002B1FF0" w:rsidRPr="002B1FF0" w:rsidRDefault="002B1FF0" w:rsidP="002B1FF0">
      <w:pPr>
        <w:rPr>
          <w:rFonts w:cs="Arial"/>
          <w:b/>
          <w:bCs/>
          <w:sz w:val="22"/>
          <w:szCs w:val="22"/>
        </w:rPr>
      </w:pPr>
      <w:r w:rsidRPr="002B1FF0">
        <w:rPr>
          <w:rFonts w:cs="Arial"/>
          <w:b/>
          <w:bCs/>
          <w:sz w:val="22"/>
          <w:szCs w:val="22"/>
        </w:rPr>
        <w:t>RESPUESTA:</w:t>
      </w:r>
    </w:p>
    <w:p w14:paraId="1CE25CC2" w14:textId="77777777" w:rsidR="002B1FF0" w:rsidRDefault="002B1FF0" w:rsidP="002B1FF0">
      <w:pPr>
        <w:rPr>
          <w:rFonts w:cs="Arial"/>
          <w:sz w:val="22"/>
          <w:szCs w:val="22"/>
        </w:rPr>
      </w:pPr>
    </w:p>
    <w:p w14:paraId="330D3ED7" w14:textId="5916378D" w:rsidR="002B1FF0" w:rsidRPr="002B1FF0" w:rsidRDefault="000E32BB" w:rsidP="002B1FF0">
      <w:pPr>
        <w:rPr>
          <w:rFonts w:cs="Arial"/>
          <w:sz w:val="22"/>
          <w:szCs w:val="22"/>
        </w:rPr>
      </w:pPr>
      <w:r>
        <w:rPr>
          <w:rFonts w:cs="Arial"/>
          <w:sz w:val="22"/>
          <w:szCs w:val="22"/>
        </w:rPr>
        <w:t xml:space="preserve">Ver respuestas al comentario </w:t>
      </w:r>
      <w:r>
        <w:rPr>
          <w:rFonts w:cs="Arial"/>
          <w:sz w:val="22"/>
          <w:szCs w:val="22"/>
        </w:rPr>
        <w:fldChar w:fldCharType="begin"/>
      </w:r>
      <w:r>
        <w:rPr>
          <w:rFonts w:cs="Arial"/>
          <w:sz w:val="22"/>
          <w:szCs w:val="22"/>
        </w:rPr>
        <w:instrText xml:space="preserve"> REF _Ref149197720 \w \h </w:instrText>
      </w:r>
      <w:r>
        <w:rPr>
          <w:rFonts w:cs="Arial"/>
          <w:sz w:val="22"/>
          <w:szCs w:val="22"/>
        </w:rPr>
      </w:r>
      <w:r>
        <w:rPr>
          <w:rFonts w:cs="Arial"/>
          <w:sz w:val="22"/>
          <w:szCs w:val="22"/>
        </w:rPr>
        <w:fldChar w:fldCharType="separate"/>
      </w:r>
      <w:r w:rsidR="0027336D">
        <w:rPr>
          <w:rFonts w:cs="Arial"/>
          <w:sz w:val="22"/>
          <w:szCs w:val="22"/>
        </w:rPr>
        <w:t>8.13</w:t>
      </w:r>
      <w:r>
        <w:rPr>
          <w:rFonts w:cs="Arial"/>
          <w:sz w:val="22"/>
          <w:szCs w:val="22"/>
        </w:rPr>
        <w:fldChar w:fldCharType="end"/>
      </w:r>
      <w:r>
        <w:rPr>
          <w:rFonts w:cs="Arial"/>
          <w:sz w:val="22"/>
          <w:szCs w:val="22"/>
        </w:rPr>
        <w:t>.</w:t>
      </w:r>
    </w:p>
    <w:p w14:paraId="17006E0A" w14:textId="77777777" w:rsidR="00E64F39" w:rsidRDefault="00E64F39" w:rsidP="001A43D3">
      <w:pPr>
        <w:jc w:val="left"/>
        <w:rPr>
          <w:i/>
          <w:iCs/>
          <w:sz w:val="22"/>
        </w:rPr>
      </w:pPr>
    </w:p>
    <w:p w14:paraId="00D020E3" w14:textId="77777777" w:rsidR="00E64F39" w:rsidRDefault="00E64F39" w:rsidP="001A43D3">
      <w:pPr>
        <w:jc w:val="left"/>
        <w:rPr>
          <w:i/>
          <w:iCs/>
          <w:sz w:val="22"/>
        </w:rPr>
      </w:pPr>
    </w:p>
    <w:p w14:paraId="142EB7CE" w14:textId="2E0DF3CB" w:rsidR="00E64F39" w:rsidRDefault="001A43D3" w:rsidP="0049586D">
      <w:pPr>
        <w:pStyle w:val="Ttulo2"/>
      </w:pPr>
      <w:bookmarkStart w:id="179" w:name="_Toc158211514"/>
      <w:r w:rsidRPr="00A25B16">
        <w:t>Progasur</w:t>
      </w:r>
      <w:bookmarkEnd w:id="179"/>
      <w:r w:rsidRPr="00A25B16">
        <w:tab/>
      </w:r>
    </w:p>
    <w:p w14:paraId="21919FA0" w14:textId="346504FB" w:rsidR="001A43D3" w:rsidRPr="00A25B16" w:rsidRDefault="001A43D3" w:rsidP="001A43D3">
      <w:pPr>
        <w:jc w:val="left"/>
        <w:rPr>
          <w:i/>
          <w:iCs/>
          <w:sz w:val="22"/>
        </w:rPr>
      </w:pPr>
      <w:r w:rsidRPr="00A25B16">
        <w:rPr>
          <w:i/>
          <w:iCs/>
          <w:sz w:val="22"/>
        </w:rPr>
        <w:t>"Es importante mencionar bajo que condiciones y mecanismos se realizaria dicha priorizacion de parte de los agentes de transporte, dado que al igual que con la comercializacion se debera considerar que en algun moemnto los transportadores tambien deberan clasificar a los remitentes priorizados.</w:t>
      </w:r>
    </w:p>
    <w:p w14:paraId="6AA572B2" w14:textId="77777777" w:rsidR="001A43D3" w:rsidRPr="00A25B16" w:rsidRDefault="001A43D3" w:rsidP="001A43D3">
      <w:pPr>
        <w:jc w:val="left"/>
        <w:rPr>
          <w:i/>
          <w:iCs/>
          <w:sz w:val="22"/>
        </w:rPr>
      </w:pPr>
    </w:p>
    <w:p w14:paraId="682E11FE" w14:textId="77777777" w:rsidR="001A43D3" w:rsidRPr="00A25B16" w:rsidRDefault="001A43D3" w:rsidP="001A43D3">
      <w:pPr>
        <w:jc w:val="left"/>
        <w:rPr>
          <w:i/>
          <w:iCs/>
          <w:sz w:val="22"/>
        </w:rPr>
      </w:pPr>
      <w:r w:rsidRPr="00A25B16">
        <w:rPr>
          <w:i/>
          <w:iCs/>
          <w:sz w:val="22"/>
        </w:rPr>
        <w:t>Por favor hacer claridad de como seran los mecanismos de priorizacion dentro de los actores de la demanda esencial "</w:t>
      </w:r>
    </w:p>
    <w:p w14:paraId="0B21EE55" w14:textId="77777777" w:rsidR="00E64F39" w:rsidRDefault="00E64F39" w:rsidP="001A43D3">
      <w:pPr>
        <w:jc w:val="left"/>
        <w:rPr>
          <w:i/>
          <w:iCs/>
          <w:sz w:val="22"/>
        </w:rPr>
      </w:pPr>
    </w:p>
    <w:p w14:paraId="652592D3" w14:textId="77777777" w:rsidR="002B1FF0" w:rsidRPr="002B1FF0" w:rsidRDefault="002B1FF0" w:rsidP="002B1FF0">
      <w:pPr>
        <w:rPr>
          <w:rFonts w:cs="Arial"/>
          <w:b/>
          <w:bCs/>
          <w:sz w:val="22"/>
          <w:szCs w:val="22"/>
        </w:rPr>
      </w:pPr>
      <w:r w:rsidRPr="002B1FF0">
        <w:rPr>
          <w:rFonts w:cs="Arial"/>
          <w:b/>
          <w:bCs/>
          <w:sz w:val="22"/>
          <w:szCs w:val="22"/>
        </w:rPr>
        <w:t>RESPUESTA:</w:t>
      </w:r>
    </w:p>
    <w:p w14:paraId="6D7EA242" w14:textId="77777777" w:rsidR="002B1FF0" w:rsidRPr="002B1FF0" w:rsidRDefault="002B1FF0" w:rsidP="002B1FF0">
      <w:pPr>
        <w:rPr>
          <w:rFonts w:cs="Arial"/>
          <w:sz w:val="22"/>
          <w:szCs w:val="22"/>
        </w:rPr>
      </w:pPr>
    </w:p>
    <w:p w14:paraId="2E23B69D" w14:textId="5B920857" w:rsidR="002B1FF0" w:rsidRDefault="003E0ABD" w:rsidP="002B1FF0">
      <w:pPr>
        <w:rPr>
          <w:rFonts w:cs="Arial"/>
          <w:sz w:val="22"/>
          <w:szCs w:val="22"/>
        </w:rPr>
      </w:pPr>
      <w:r>
        <w:rPr>
          <w:rFonts w:cs="Arial"/>
          <w:sz w:val="22"/>
          <w:szCs w:val="22"/>
        </w:rPr>
        <w:t>Se acoge el comentario parcialmente.</w:t>
      </w:r>
    </w:p>
    <w:p w14:paraId="7BD582E8" w14:textId="77777777" w:rsidR="003E0ABD" w:rsidRDefault="003E0ABD" w:rsidP="002B1FF0">
      <w:pPr>
        <w:rPr>
          <w:rFonts w:cs="Arial"/>
          <w:sz w:val="22"/>
          <w:szCs w:val="22"/>
        </w:rPr>
      </w:pPr>
    </w:p>
    <w:p w14:paraId="6ADB7C0D" w14:textId="6730AD64" w:rsidR="003E0ABD" w:rsidRDefault="003E0ABD"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_Ref149197779 \w \h </w:instrText>
      </w:r>
      <w:r>
        <w:rPr>
          <w:rFonts w:cs="Arial"/>
          <w:sz w:val="22"/>
          <w:szCs w:val="22"/>
        </w:rPr>
      </w:r>
      <w:r>
        <w:rPr>
          <w:rFonts w:cs="Arial"/>
          <w:sz w:val="22"/>
          <w:szCs w:val="22"/>
        </w:rPr>
        <w:fldChar w:fldCharType="separate"/>
      </w:r>
      <w:r w:rsidR="0027336D">
        <w:rPr>
          <w:rFonts w:cs="Arial"/>
          <w:sz w:val="22"/>
          <w:szCs w:val="22"/>
        </w:rPr>
        <w:t>8.1</w:t>
      </w:r>
      <w:r>
        <w:rPr>
          <w:rFonts w:cs="Arial"/>
          <w:sz w:val="22"/>
          <w:szCs w:val="22"/>
        </w:rPr>
        <w:fldChar w:fldCharType="end"/>
      </w:r>
      <w:r>
        <w:rPr>
          <w:rFonts w:cs="Arial"/>
          <w:sz w:val="22"/>
          <w:szCs w:val="22"/>
        </w:rPr>
        <w:t>.</w:t>
      </w:r>
    </w:p>
    <w:p w14:paraId="034EA153" w14:textId="77777777" w:rsidR="003E0ABD" w:rsidRDefault="003E0ABD" w:rsidP="002B1FF0">
      <w:pPr>
        <w:rPr>
          <w:rFonts w:cs="Arial"/>
          <w:sz w:val="22"/>
          <w:szCs w:val="22"/>
        </w:rPr>
      </w:pPr>
    </w:p>
    <w:p w14:paraId="750BFB66" w14:textId="21D8A8C6" w:rsidR="003E0ABD" w:rsidRDefault="003E0ABD" w:rsidP="002B1FF0">
      <w:pPr>
        <w:rPr>
          <w:rFonts w:cs="Arial"/>
          <w:sz w:val="22"/>
          <w:szCs w:val="22"/>
        </w:rPr>
      </w:pPr>
      <w:r>
        <w:rPr>
          <w:rFonts w:cs="Arial"/>
          <w:sz w:val="22"/>
          <w:szCs w:val="22"/>
        </w:rPr>
        <w:t xml:space="preserve">Sobre la contratación de capacidad de transporte, ver respuesta al comentario </w:t>
      </w:r>
      <w:r w:rsidR="00755CDD">
        <w:rPr>
          <w:rFonts w:cs="Arial"/>
          <w:sz w:val="22"/>
          <w:szCs w:val="22"/>
        </w:rPr>
        <w:fldChar w:fldCharType="begin"/>
      </w:r>
      <w:r w:rsidR="00755CDD">
        <w:rPr>
          <w:rFonts w:cs="Arial"/>
          <w:sz w:val="22"/>
          <w:szCs w:val="22"/>
        </w:rPr>
        <w:instrText xml:space="preserve"> REF _Ref149198027 \w \h </w:instrText>
      </w:r>
      <w:r w:rsidR="00755CDD">
        <w:rPr>
          <w:rFonts w:cs="Arial"/>
          <w:sz w:val="22"/>
          <w:szCs w:val="22"/>
        </w:rPr>
      </w:r>
      <w:r w:rsidR="00755CDD">
        <w:rPr>
          <w:rFonts w:cs="Arial"/>
          <w:sz w:val="22"/>
          <w:szCs w:val="22"/>
        </w:rPr>
        <w:fldChar w:fldCharType="separate"/>
      </w:r>
      <w:r w:rsidR="0027336D">
        <w:rPr>
          <w:rFonts w:cs="Arial"/>
          <w:sz w:val="22"/>
          <w:szCs w:val="22"/>
        </w:rPr>
        <w:t>1.2</w:t>
      </w:r>
      <w:r w:rsidR="00755CDD">
        <w:rPr>
          <w:rFonts w:cs="Arial"/>
          <w:sz w:val="22"/>
          <w:szCs w:val="22"/>
        </w:rPr>
        <w:fldChar w:fldCharType="end"/>
      </w:r>
      <w:r w:rsidR="00755CDD">
        <w:rPr>
          <w:rFonts w:cs="Arial"/>
          <w:sz w:val="22"/>
          <w:szCs w:val="22"/>
        </w:rPr>
        <w:t>.</w:t>
      </w:r>
    </w:p>
    <w:p w14:paraId="682B6DC3" w14:textId="77777777" w:rsidR="003E0ABD" w:rsidRDefault="003E0ABD" w:rsidP="002B1FF0">
      <w:pPr>
        <w:rPr>
          <w:rFonts w:cs="Arial"/>
          <w:sz w:val="22"/>
          <w:szCs w:val="22"/>
        </w:rPr>
      </w:pPr>
    </w:p>
    <w:p w14:paraId="6792A284" w14:textId="77777777" w:rsidR="003E0ABD" w:rsidRPr="002B1FF0" w:rsidRDefault="003E0ABD" w:rsidP="002B1FF0">
      <w:pPr>
        <w:rPr>
          <w:rFonts w:cs="Arial"/>
          <w:sz w:val="22"/>
          <w:szCs w:val="22"/>
        </w:rPr>
      </w:pPr>
    </w:p>
    <w:p w14:paraId="15DFAECA" w14:textId="11FD8FC1" w:rsidR="00E64F39" w:rsidRDefault="009377B8" w:rsidP="0049586D">
      <w:pPr>
        <w:pStyle w:val="Ttulo2"/>
      </w:pPr>
      <w:bookmarkStart w:id="180" w:name="_Toc158211515"/>
      <w:r>
        <w:t>S</w:t>
      </w:r>
      <w:r w:rsidR="001A43D3" w:rsidRPr="00A25B16">
        <w:t>ANTAFÉ ENERGY</w:t>
      </w:r>
      <w:bookmarkEnd w:id="180"/>
      <w:r w:rsidR="001A43D3" w:rsidRPr="00A25B16">
        <w:tab/>
      </w:r>
    </w:p>
    <w:p w14:paraId="4A753CBA" w14:textId="74E21953" w:rsidR="001A43D3" w:rsidRDefault="00E64F39" w:rsidP="001A43D3">
      <w:pPr>
        <w:jc w:val="left"/>
        <w:rPr>
          <w:i/>
          <w:iCs/>
          <w:sz w:val="22"/>
        </w:rPr>
      </w:pPr>
      <w:r>
        <w:rPr>
          <w:i/>
          <w:iCs/>
          <w:sz w:val="22"/>
        </w:rPr>
        <w:t>“</w:t>
      </w:r>
      <w:r w:rsidR="001A43D3" w:rsidRPr="00A25B16">
        <w:rPr>
          <w:i/>
          <w:iCs/>
          <w:sz w:val="22"/>
        </w:rPr>
        <w:t xml:space="preserve">Puede resultar distorsionante de los efectos que se buscan con la medida regulatoria, que la oferta adicional y temporal, se destine en forma expresa a priorizar la demanda esencial. Consideramos que debe orientarse a atender la coyuntura de estrés del sistema como prioridad, no obstante, el documento soporte, señala que la priorizacion de demanda esencial es indicativa y en tal sentido se debe señalar expresamente en la resolución definitiva. Igual consideracion en lo relacionado con la demanda no regulada. </w:t>
      </w:r>
      <w:r>
        <w:rPr>
          <w:i/>
          <w:iCs/>
          <w:sz w:val="22"/>
        </w:rPr>
        <w:t>“</w:t>
      </w:r>
    </w:p>
    <w:p w14:paraId="3F06EA18" w14:textId="77777777" w:rsidR="00E64F39" w:rsidRDefault="00E64F39" w:rsidP="001A43D3">
      <w:pPr>
        <w:jc w:val="left"/>
        <w:rPr>
          <w:i/>
          <w:iCs/>
          <w:sz w:val="22"/>
        </w:rPr>
      </w:pPr>
    </w:p>
    <w:p w14:paraId="7080EADA" w14:textId="77777777" w:rsidR="002B1FF0" w:rsidRPr="002B1FF0" w:rsidRDefault="002B1FF0" w:rsidP="002B1FF0">
      <w:pPr>
        <w:rPr>
          <w:rFonts w:cs="Arial"/>
          <w:b/>
          <w:bCs/>
          <w:sz w:val="22"/>
          <w:szCs w:val="22"/>
        </w:rPr>
      </w:pPr>
      <w:r w:rsidRPr="002B1FF0">
        <w:rPr>
          <w:rFonts w:cs="Arial"/>
          <w:b/>
          <w:bCs/>
          <w:sz w:val="22"/>
          <w:szCs w:val="22"/>
        </w:rPr>
        <w:t>RESPUESTA:</w:t>
      </w:r>
    </w:p>
    <w:p w14:paraId="1CBEA156" w14:textId="77777777" w:rsidR="002B1FF0" w:rsidRPr="002B1FF0" w:rsidRDefault="002B1FF0" w:rsidP="002B1FF0">
      <w:pPr>
        <w:rPr>
          <w:rFonts w:cs="Arial"/>
          <w:sz w:val="22"/>
          <w:szCs w:val="22"/>
        </w:rPr>
      </w:pPr>
    </w:p>
    <w:p w14:paraId="107649C2" w14:textId="23C186D1" w:rsidR="00E64F39" w:rsidRDefault="004B525F" w:rsidP="004B525F">
      <w:pPr>
        <w:rPr>
          <w:i/>
          <w:iCs/>
          <w:sz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_Ref149198028 \w \h </w:instrText>
      </w:r>
      <w:r>
        <w:rPr>
          <w:rFonts w:cs="Arial"/>
          <w:sz w:val="22"/>
          <w:szCs w:val="22"/>
        </w:rPr>
      </w:r>
      <w:r>
        <w:rPr>
          <w:rFonts w:cs="Arial"/>
          <w:sz w:val="22"/>
          <w:szCs w:val="22"/>
        </w:rPr>
        <w:fldChar w:fldCharType="separate"/>
      </w:r>
      <w:r w:rsidR="0027336D">
        <w:rPr>
          <w:rFonts w:cs="Arial"/>
          <w:sz w:val="22"/>
          <w:szCs w:val="22"/>
        </w:rPr>
        <w:t>8.14</w:t>
      </w:r>
      <w:r>
        <w:rPr>
          <w:rFonts w:cs="Arial"/>
          <w:sz w:val="22"/>
          <w:szCs w:val="22"/>
        </w:rPr>
        <w:fldChar w:fldCharType="end"/>
      </w:r>
      <w:r>
        <w:rPr>
          <w:rFonts w:cs="Arial"/>
          <w:sz w:val="22"/>
          <w:szCs w:val="22"/>
        </w:rPr>
        <w:t>.</w:t>
      </w:r>
    </w:p>
    <w:p w14:paraId="6745E2F2" w14:textId="77777777" w:rsidR="00E64F39" w:rsidRPr="00A25B16" w:rsidRDefault="00E64F39" w:rsidP="001A43D3">
      <w:pPr>
        <w:jc w:val="left"/>
        <w:rPr>
          <w:i/>
          <w:iCs/>
          <w:sz w:val="22"/>
        </w:rPr>
      </w:pPr>
    </w:p>
    <w:p w14:paraId="139A26AF" w14:textId="0A1ECDC8" w:rsidR="00E64F39" w:rsidRDefault="001A43D3" w:rsidP="0049586D">
      <w:pPr>
        <w:pStyle w:val="Ttulo2"/>
      </w:pPr>
      <w:bookmarkStart w:id="181" w:name="_Toc158211516"/>
      <w:r w:rsidRPr="00A25B16">
        <w:t>TERMONORTE S.A.S. E.S.P.</w:t>
      </w:r>
      <w:bookmarkEnd w:id="181"/>
      <w:r w:rsidRPr="00A25B16">
        <w:tab/>
      </w:r>
    </w:p>
    <w:p w14:paraId="0EA7844A" w14:textId="4D3315B4" w:rsidR="001A43D3" w:rsidRPr="00A25B16" w:rsidRDefault="001A43D3" w:rsidP="001A43D3">
      <w:pPr>
        <w:jc w:val="left"/>
        <w:rPr>
          <w:i/>
          <w:iCs/>
          <w:sz w:val="22"/>
        </w:rPr>
      </w:pPr>
      <w:r w:rsidRPr="00A25B16">
        <w:rPr>
          <w:i/>
          <w:iCs/>
          <w:sz w:val="22"/>
        </w:rPr>
        <w:t xml:space="preserve">"En el artículo 8 se incluye el parágrafo 4 transitorio sobre la priorización de la atención de la Demanda Esencial, sin embargo, en los considerandos y en el documento soporte del Proyecto de Resolución se expone la necesidad que está teniendo la demanda térmica de la costa del país. Con restricción de la oferta en Córdoba y una mayor necesidad de la de consumo de combustibles en el fenómeno de ""El niño"" por lo menos durante el año de gas vigente debería contemplarse dentro de la priorización. </w:t>
      </w:r>
    </w:p>
    <w:p w14:paraId="4B8AC0C2" w14:textId="77777777" w:rsidR="001A43D3" w:rsidRPr="00A25B16" w:rsidRDefault="001A43D3" w:rsidP="001A43D3">
      <w:pPr>
        <w:jc w:val="left"/>
        <w:rPr>
          <w:i/>
          <w:iCs/>
          <w:sz w:val="22"/>
        </w:rPr>
      </w:pPr>
    </w:p>
    <w:p w14:paraId="25119CF5" w14:textId="77777777" w:rsidR="001A43D3" w:rsidRPr="00A25B16" w:rsidRDefault="001A43D3" w:rsidP="001A43D3">
      <w:pPr>
        <w:jc w:val="left"/>
        <w:rPr>
          <w:i/>
          <w:iCs/>
          <w:sz w:val="22"/>
        </w:rPr>
      </w:pPr>
      <w:r w:rsidRPr="00A25B16">
        <w:rPr>
          <w:i/>
          <w:iCs/>
          <w:sz w:val="22"/>
        </w:rPr>
        <w:t>Se sugiere a la Comisión incluir en este articulo otro parágrafo transitorio que motive a la venta de gas para atención de la demanda térmica."</w:t>
      </w:r>
    </w:p>
    <w:p w14:paraId="1FA8664A" w14:textId="77777777" w:rsidR="00E64F39" w:rsidRDefault="00E64F39" w:rsidP="001A43D3">
      <w:pPr>
        <w:jc w:val="left"/>
        <w:rPr>
          <w:i/>
          <w:iCs/>
          <w:sz w:val="22"/>
        </w:rPr>
      </w:pPr>
    </w:p>
    <w:p w14:paraId="17BABFCB" w14:textId="77777777" w:rsidR="002B1FF0" w:rsidRPr="002B1FF0" w:rsidRDefault="002B1FF0" w:rsidP="002B1FF0">
      <w:pPr>
        <w:rPr>
          <w:rFonts w:cs="Arial"/>
          <w:b/>
          <w:bCs/>
          <w:sz w:val="22"/>
          <w:szCs w:val="22"/>
        </w:rPr>
      </w:pPr>
      <w:r w:rsidRPr="002B1FF0">
        <w:rPr>
          <w:rFonts w:cs="Arial"/>
          <w:b/>
          <w:bCs/>
          <w:sz w:val="22"/>
          <w:szCs w:val="22"/>
        </w:rPr>
        <w:t>RESPUESTA:</w:t>
      </w:r>
    </w:p>
    <w:p w14:paraId="725C825E" w14:textId="77777777" w:rsidR="002B1FF0" w:rsidRPr="002B1FF0" w:rsidRDefault="002B1FF0" w:rsidP="002B1FF0">
      <w:pPr>
        <w:rPr>
          <w:rFonts w:cs="Arial"/>
          <w:sz w:val="22"/>
          <w:szCs w:val="22"/>
        </w:rPr>
      </w:pPr>
    </w:p>
    <w:p w14:paraId="6202561E" w14:textId="48D239C9" w:rsidR="002B1FF0" w:rsidRDefault="00B77183" w:rsidP="002B1FF0">
      <w:pPr>
        <w:rPr>
          <w:rFonts w:cs="Arial"/>
          <w:sz w:val="22"/>
          <w:szCs w:val="22"/>
        </w:rPr>
      </w:pPr>
      <w:r>
        <w:rPr>
          <w:rFonts w:cs="Arial"/>
          <w:sz w:val="22"/>
          <w:szCs w:val="22"/>
        </w:rPr>
        <w:t>No se acoge el comentario.</w:t>
      </w:r>
    </w:p>
    <w:p w14:paraId="44F6C8FD" w14:textId="77777777" w:rsidR="00B77183" w:rsidRDefault="00B77183" w:rsidP="002B1FF0">
      <w:pPr>
        <w:rPr>
          <w:rFonts w:cs="Arial"/>
          <w:sz w:val="22"/>
          <w:szCs w:val="22"/>
        </w:rPr>
      </w:pPr>
    </w:p>
    <w:p w14:paraId="1359890C" w14:textId="718FB2E1" w:rsidR="00B77183" w:rsidRPr="002B1FF0" w:rsidRDefault="00B77183"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_Ref149198029 \w \h </w:instrText>
      </w:r>
      <w:r>
        <w:rPr>
          <w:rFonts w:cs="Arial"/>
          <w:sz w:val="22"/>
          <w:szCs w:val="22"/>
        </w:rPr>
      </w:r>
      <w:r>
        <w:rPr>
          <w:rFonts w:cs="Arial"/>
          <w:sz w:val="22"/>
          <w:szCs w:val="22"/>
        </w:rPr>
        <w:fldChar w:fldCharType="separate"/>
      </w:r>
      <w:r w:rsidR="0027336D">
        <w:rPr>
          <w:rFonts w:cs="Arial"/>
          <w:sz w:val="22"/>
          <w:szCs w:val="22"/>
        </w:rPr>
        <w:t>8.15</w:t>
      </w:r>
      <w:r>
        <w:rPr>
          <w:rFonts w:cs="Arial"/>
          <w:sz w:val="22"/>
          <w:szCs w:val="22"/>
        </w:rPr>
        <w:fldChar w:fldCharType="end"/>
      </w:r>
      <w:r>
        <w:rPr>
          <w:rFonts w:cs="Arial"/>
          <w:sz w:val="22"/>
          <w:szCs w:val="22"/>
        </w:rPr>
        <w:t>.</w:t>
      </w:r>
    </w:p>
    <w:p w14:paraId="43525251" w14:textId="77777777" w:rsidR="00E64F39" w:rsidRDefault="00E64F39" w:rsidP="001A43D3">
      <w:pPr>
        <w:jc w:val="left"/>
        <w:rPr>
          <w:i/>
          <w:iCs/>
          <w:sz w:val="22"/>
        </w:rPr>
      </w:pPr>
    </w:p>
    <w:p w14:paraId="7ADF369C" w14:textId="77777777" w:rsidR="00E64F39" w:rsidRDefault="00E64F39" w:rsidP="001A43D3">
      <w:pPr>
        <w:jc w:val="left"/>
        <w:rPr>
          <w:i/>
          <w:iCs/>
          <w:sz w:val="22"/>
        </w:rPr>
      </w:pPr>
    </w:p>
    <w:p w14:paraId="6C3D63B0" w14:textId="0EB2C1A8" w:rsidR="00E64F39" w:rsidRDefault="001A43D3" w:rsidP="0049586D">
      <w:pPr>
        <w:pStyle w:val="Ttulo2"/>
      </w:pPr>
      <w:bookmarkStart w:id="182" w:name="_Toc158211517"/>
      <w:r w:rsidRPr="00A25B16">
        <w:t>VANTI</w:t>
      </w:r>
      <w:bookmarkEnd w:id="182"/>
      <w:r w:rsidRPr="00A25B16">
        <w:tab/>
      </w:r>
    </w:p>
    <w:p w14:paraId="2FBF2B9C" w14:textId="71FE2945" w:rsidR="001A43D3" w:rsidRPr="00A25B16" w:rsidRDefault="001A43D3" w:rsidP="001A43D3">
      <w:pPr>
        <w:jc w:val="left"/>
        <w:rPr>
          <w:i/>
          <w:iCs/>
          <w:sz w:val="22"/>
        </w:rPr>
      </w:pPr>
      <w:r w:rsidRPr="00A25B16">
        <w:rPr>
          <w:i/>
          <w:iCs/>
          <w:sz w:val="22"/>
        </w:rPr>
        <w:t>"Respecto de lo mecanismos de priorización, es adecuado dar la prioridad a la demanda esencial. En cualquier caso, y para todos los mercados, los vendedores deben establecer y usar mecanismos de asignación de gas a los diferentes compradores tal que no generen o incentiven asignaciones a prorrata que ocasionen acaparamientos de gas y posibles ejercicios de poder de mercado.</w:t>
      </w:r>
    </w:p>
    <w:p w14:paraId="53F8D9E2" w14:textId="77777777" w:rsidR="001A43D3" w:rsidRDefault="001A43D3" w:rsidP="001A43D3">
      <w:pPr>
        <w:jc w:val="left"/>
        <w:rPr>
          <w:i/>
          <w:iCs/>
          <w:sz w:val="22"/>
        </w:rPr>
      </w:pPr>
    </w:p>
    <w:p w14:paraId="2F20C759" w14:textId="77777777" w:rsidR="006F400D" w:rsidRPr="002B1FF0" w:rsidRDefault="006F400D" w:rsidP="006F400D">
      <w:pPr>
        <w:rPr>
          <w:rFonts w:cs="Arial"/>
          <w:b/>
          <w:bCs/>
          <w:sz w:val="22"/>
          <w:szCs w:val="22"/>
        </w:rPr>
      </w:pPr>
      <w:r w:rsidRPr="002B1FF0">
        <w:rPr>
          <w:rFonts w:cs="Arial"/>
          <w:b/>
          <w:bCs/>
          <w:sz w:val="22"/>
          <w:szCs w:val="22"/>
        </w:rPr>
        <w:t>RESPUESTA:</w:t>
      </w:r>
    </w:p>
    <w:p w14:paraId="7B1BBC4B" w14:textId="77777777" w:rsidR="006F400D" w:rsidRDefault="006F400D" w:rsidP="001A43D3">
      <w:pPr>
        <w:jc w:val="left"/>
        <w:rPr>
          <w:i/>
          <w:iCs/>
          <w:sz w:val="22"/>
        </w:rPr>
      </w:pPr>
    </w:p>
    <w:p w14:paraId="0F1DBD67" w14:textId="74F295F0" w:rsidR="006F400D" w:rsidRDefault="006F400D" w:rsidP="006F400D">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_Ref149198030 \w \h </w:instrText>
      </w:r>
      <w:r>
        <w:rPr>
          <w:rFonts w:cs="Arial"/>
          <w:sz w:val="22"/>
          <w:szCs w:val="22"/>
        </w:rPr>
      </w:r>
      <w:r>
        <w:rPr>
          <w:rFonts w:cs="Arial"/>
          <w:sz w:val="22"/>
          <w:szCs w:val="22"/>
        </w:rPr>
        <w:fldChar w:fldCharType="separate"/>
      </w:r>
      <w:r w:rsidR="0027336D">
        <w:rPr>
          <w:rFonts w:cs="Arial"/>
          <w:sz w:val="22"/>
          <w:szCs w:val="22"/>
        </w:rPr>
        <w:t>8.11</w:t>
      </w:r>
      <w:r>
        <w:rPr>
          <w:rFonts w:cs="Arial"/>
          <w:sz w:val="22"/>
          <w:szCs w:val="22"/>
        </w:rPr>
        <w:fldChar w:fldCharType="end"/>
      </w:r>
      <w:r>
        <w:rPr>
          <w:rFonts w:cs="Arial"/>
          <w:sz w:val="22"/>
          <w:szCs w:val="22"/>
        </w:rPr>
        <w:t>.</w:t>
      </w:r>
    </w:p>
    <w:p w14:paraId="7C448F07" w14:textId="77777777" w:rsidR="006F400D" w:rsidRPr="002B1FF0" w:rsidRDefault="006F400D" w:rsidP="006F400D">
      <w:pPr>
        <w:rPr>
          <w:rFonts w:cs="Arial"/>
          <w:sz w:val="22"/>
          <w:szCs w:val="22"/>
        </w:rPr>
      </w:pPr>
    </w:p>
    <w:p w14:paraId="707BEA51" w14:textId="77777777" w:rsidR="006F400D" w:rsidRDefault="006F400D" w:rsidP="001A43D3">
      <w:pPr>
        <w:jc w:val="left"/>
        <w:rPr>
          <w:i/>
          <w:iCs/>
          <w:sz w:val="22"/>
        </w:rPr>
      </w:pPr>
    </w:p>
    <w:p w14:paraId="221E1409" w14:textId="77777777" w:rsidR="006F400D" w:rsidRDefault="006F400D" w:rsidP="006F400D">
      <w:pPr>
        <w:pStyle w:val="Ttulo2"/>
      </w:pPr>
      <w:bookmarkStart w:id="183" w:name="_Toc158211518"/>
      <w:r w:rsidRPr="00A25B16">
        <w:t>VANTI</w:t>
      </w:r>
      <w:bookmarkEnd w:id="183"/>
      <w:r w:rsidRPr="00A25B16">
        <w:tab/>
      </w:r>
    </w:p>
    <w:p w14:paraId="0CCBA79E" w14:textId="77777777" w:rsidR="001A43D3" w:rsidRDefault="001A43D3" w:rsidP="001A43D3">
      <w:pPr>
        <w:jc w:val="left"/>
        <w:rPr>
          <w:i/>
          <w:iCs/>
          <w:sz w:val="22"/>
        </w:rPr>
      </w:pPr>
      <w:r w:rsidRPr="00A25B16">
        <w:rPr>
          <w:i/>
          <w:iCs/>
          <w:sz w:val="22"/>
        </w:rPr>
        <w:t>En relación con que los vendedores deban establecer un mecanismo de priorización de la asignación de las cantidades solicitadas por los agentes que atienden usuarios que hacen parte de la demanda esencial, o de los usuarios no regulados que hacen parte de dicha demanda, vemos esta propuesta adecuada.</w:t>
      </w:r>
    </w:p>
    <w:p w14:paraId="62093B72" w14:textId="77777777" w:rsidR="006F400D" w:rsidRDefault="006F400D" w:rsidP="001A43D3">
      <w:pPr>
        <w:jc w:val="left"/>
        <w:rPr>
          <w:i/>
          <w:iCs/>
          <w:sz w:val="22"/>
        </w:rPr>
      </w:pPr>
    </w:p>
    <w:p w14:paraId="3629C383" w14:textId="77777777" w:rsidR="006F400D" w:rsidRPr="002B1FF0" w:rsidRDefault="006F400D" w:rsidP="006F400D">
      <w:pPr>
        <w:rPr>
          <w:rFonts w:cs="Arial"/>
          <w:b/>
          <w:bCs/>
          <w:sz w:val="22"/>
          <w:szCs w:val="22"/>
        </w:rPr>
      </w:pPr>
      <w:r w:rsidRPr="002B1FF0">
        <w:rPr>
          <w:rFonts w:cs="Arial"/>
          <w:b/>
          <w:bCs/>
          <w:sz w:val="22"/>
          <w:szCs w:val="22"/>
        </w:rPr>
        <w:t>RESPUESTA:</w:t>
      </w:r>
    </w:p>
    <w:p w14:paraId="7B3E4E14" w14:textId="77777777" w:rsidR="006F400D" w:rsidRDefault="006F400D" w:rsidP="006F400D">
      <w:pPr>
        <w:jc w:val="left"/>
        <w:rPr>
          <w:i/>
          <w:iCs/>
          <w:sz w:val="22"/>
        </w:rPr>
      </w:pPr>
    </w:p>
    <w:p w14:paraId="20465F23" w14:textId="54A5F5E8" w:rsidR="006F400D" w:rsidRDefault="006F400D" w:rsidP="006F400D">
      <w:pPr>
        <w:rPr>
          <w:rFonts w:cs="Arial"/>
          <w:sz w:val="22"/>
          <w:szCs w:val="22"/>
        </w:rPr>
      </w:pPr>
      <w:r>
        <w:rPr>
          <w:rFonts w:cs="Arial"/>
          <w:sz w:val="22"/>
          <w:szCs w:val="22"/>
        </w:rPr>
        <w:t xml:space="preserve">Ver respuesta al comentario </w:t>
      </w:r>
      <w:r w:rsidR="00E96B35">
        <w:rPr>
          <w:rFonts w:cs="Arial"/>
          <w:sz w:val="22"/>
          <w:szCs w:val="22"/>
        </w:rPr>
        <w:fldChar w:fldCharType="begin"/>
      </w:r>
      <w:r w:rsidR="00E96B35">
        <w:rPr>
          <w:rFonts w:cs="Arial"/>
          <w:sz w:val="22"/>
          <w:szCs w:val="22"/>
        </w:rPr>
        <w:instrText xml:space="preserve"> REF _Ref149111969 \w \h </w:instrText>
      </w:r>
      <w:r w:rsidR="00E96B35">
        <w:rPr>
          <w:rFonts w:cs="Arial"/>
          <w:sz w:val="22"/>
          <w:szCs w:val="22"/>
        </w:rPr>
      </w:r>
      <w:r w:rsidR="00E96B35">
        <w:rPr>
          <w:rFonts w:cs="Arial"/>
          <w:sz w:val="22"/>
          <w:szCs w:val="22"/>
        </w:rPr>
        <w:fldChar w:fldCharType="separate"/>
      </w:r>
      <w:r w:rsidR="0027336D">
        <w:rPr>
          <w:rFonts w:cs="Arial"/>
          <w:sz w:val="22"/>
          <w:szCs w:val="22"/>
        </w:rPr>
        <w:t>8.1</w:t>
      </w:r>
      <w:r w:rsidR="00E96B35">
        <w:rPr>
          <w:rFonts w:cs="Arial"/>
          <w:sz w:val="22"/>
          <w:szCs w:val="22"/>
        </w:rPr>
        <w:fldChar w:fldCharType="end"/>
      </w:r>
      <w:r>
        <w:rPr>
          <w:rFonts w:cs="Arial"/>
          <w:sz w:val="22"/>
          <w:szCs w:val="22"/>
        </w:rPr>
        <w:t>.</w:t>
      </w:r>
    </w:p>
    <w:p w14:paraId="3A017E74" w14:textId="77777777" w:rsidR="006F400D" w:rsidRDefault="006F400D" w:rsidP="001A43D3">
      <w:pPr>
        <w:jc w:val="left"/>
        <w:rPr>
          <w:i/>
          <w:iCs/>
          <w:sz w:val="22"/>
        </w:rPr>
      </w:pPr>
    </w:p>
    <w:p w14:paraId="125C6121" w14:textId="77777777" w:rsidR="006F400D" w:rsidRPr="00A25B16" w:rsidRDefault="006F400D" w:rsidP="001A43D3">
      <w:pPr>
        <w:jc w:val="left"/>
        <w:rPr>
          <w:i/>
          <w:iCs/>
          <w:sz w:val="22"/>
        </w:rPr>
      </w:pPr>
    </w:p>
    <w:p w14:paraId="05A6D88D" w14:textId="77777777" w:rsidR="006F400D" w:rsidRDefault="006F400D" w:rsidP="006F400D">
      <w:pPr>
        <w:pStyle w:val="Ttulo2"/>
      </w:pPr>
      <w:bookmarkStart w:id="184" w:name="_Toc158211519"/>
      <w:r w:rsidRPr="00A25B16">
        <w:t>VANTI</w:t>
      </w:r>
      <w:bookmarkEnd w:id="184"/>
      <w:r w:rsidRPr="00A25B16">
        <w:tab/>
      </w:r>
    </w:p>
    <w:p w14:paraId="5F6E642C" w14:textId="77777777" w:rsidR="001A43D3" w:rsidRPr="00A25B16" w:rsidRDefault="001A43D3" w:rsidP="001A43D3">
      <w:pPr>
        <w:jc w:val="left"/>
        <w:rPr>
          <w:i/>
          <w:iCs/>
          <w:sz w:val="22"/>
        </w:rPr>
      </w:pPr>
      <w:r w:rsidRPr="00A25B16">
        <w:rPr>
          <w:i/>
          <w:iCs/>
          <w:sz w:val="22"/>
        </w:rPr>
        <w:t>Teniendo en cuenta la situación de escasez de oferta que el país enfrenta en este momento, es importante que en dichos mecanismos:</w:t>
      </w:r>
    </w:p>
    <w:p w14:paraId="2905CC92" w14:textId="77777777" w:rsidR="001A43D3" w:rsidRPr="00A25B16" w:rsidRDefault="001A43D3" w:rsidP="001A43D3">
      <w:pPr>
        <w:jc w:val="left"/>
        <w:rPr>
          <w:i/>
          <w:iCs/>
          <w:sz w:val="22"/>
        </w:rPr>
      </w:pPr>
    </w:p>
    <w:p w14:paraId="5E85B5AF" w14:textId="77777777" w:rsidR="001A43D3" w:rsidRPr="00A25B16" w:rsidRDefault="001A43D3" w:rsidP="00C50F58">
      <w:pPr>
        <w:ind w:left="708"/>
        <w:jc w:val="left"/>
        <w:rPr>
          <w:i/>
          <w:iCs/>
          <w:sz w:val="22"/>
        </w:rPr>
      </w:pPr>
      <w:r w:rsidRPr="00214E35">
        <w:rPr>
          <w:i/>
          <w:iCs/>
          <w:sz w:val="22"/>
        </w:rPr>
        <w:t>i. Sean incorporadas herramientas que eliminen solicitudes de comercializadores que generen duplicidad de la demanda real, y en consecuencia, déficits artificiales.</w:t>
      </w:r>
    </w:p>
    <w:p w14:paraId="4A97E0B3" w14:textId="77777777" w:rsidR="001A43D3" w:rsidRPr="00A25B16" w:rsidRDefault="001A43D3" w:rsidP="00C50F58">
      <w:pPr>
        <w:ind w:left="708"/>
        <w:jc w:val="left"/>
        <w:rPr>
          <w:i/>
          <w:iCs/>
          <w:sz w:val="22"/>
        </w:rPr>
      </w:pPr>
    </w:p>
    <w:p w14:paraId="3F9422F8" w14:textId="77777777" w:rsidR="001A43D3" w:rsidRPr="00A25B16" w:rsidRDefault="001A43D3" w:rsidP="00C50F58">
      <w:pPr>
        <w:ind w:left="708"/>
        <w:jc w:val="left"/>
        <w:rPr>
          <w:i/>
          <w:iCs/>
          <w:sz w:val="22"/>
        </w:rPr>
      </w:pPr>
      <w:r w:rsidRPr="00A25B16">
        <w:rPr>
          <w:i/>
          <w:iCs/>
          <w:sz w:val="22"/>
        </w:rPr>
        <w:t>ii. Se eliminen modalidades de comercialización como las subastas, dado el impacto en el incremento de los precios ―y que de manera probada se observó en el 2022― tal como acaba de surtirse en el proceso de comercialización para el 2023.</w:t>
      </w:r>
    </w:p>
    <w:p w14:paraId="310E6C2C" w14:textId="77777777" w:rsidR="001A43D3" w:rsidRPr="00A25B16" w:rsidRDefault="001A43D3" w:rsidP="00C50F58">
      <w:pPr>
        <w:ind w:left="708"/>
        <w:jc w:val="left"/>
        <w:rPr>
          <w:i/>
          <w:iCs/>
          <w:sz w:val="22"/>
        </w:rPr>
      </w:pPr>
    </w:p>
    <w:p w14:paraId="6F167C3B" w14:textId="115892ED" w:rsidR="001A43D3" w:rsidRPr="00A25B16" w:rsidRDefault="001A43D3" w:rsidP="00C50F58">
      <w:pPr>
        <w:ind w:left="708"/>
        <w:jc w:val="left"/>
        <w:rPr>
          <w:i/>
          <w:iCs/>
          <w:sz w:val="22"/>
        </w:rPr>
      </w:pPr>
      <w:r w:rsidRPr="00A25B16">
        <w:rPr>
          <w:i/>
          <w:iCs/>
          <w:sz w:val="22"/>
        </w:rPr>
        <w:t>iii. De la misma manera, eliminar los mecanismos de prorrata, que justamente genera que las solicitudes de gas no correspondan con los requerimientos de la demanda real. En el último proceso se presentaron solicitudes de hasta 15 veces la oferta total (esto es, de 225.000 MBTUD)."</w:t>
      </w:r>
    </w:p>
    <w:p w14:paraId="17784FCC" w14:textId="77777777" w:rsidR="001A43D3" w:rsidRPr="00A25B16" w:rsidRDefault="001A43D3" w:rsidP="001A43D3">
      <w:pPr>
        <w:jc w:val="left"/>
        <w:rPr>
          <w:i/>
          <w:iCs/>
          <w:sz w:val="22"/>
        </w:rPr>
      </w:pPr>
    </w:p>
    <w:p w14:paraId="49AA999B" w14:textId="77777777" w:rsidR="002B1FF0" w:rsidRPr="002B1FF0" w:rsidRDefault="002B1FF0" w:rsidP="002B1FF0">
      <w:pPr>
        <w:rPr>
          <w:rFonts w:cs="Arial"/>
          <w:b/>
          <w:bCs/>
          <w:sz w:val="22"/>
          <w:szCs w:val="22"/>
        </w:rPr>
      </w:pPr>
      <w:r w:rsidRPr="002B1FF0">
        <w:rPr>
          <w:rFonts w:cs="Arial"/>
          <w:b/>
          <w:bCs/>
          <w:sz w:val="22"/>
          <w:szCs w:val="22"/>
        </w:rPr>
        <w:t>RESPUESTA:</w:t>
      </w:r>
    </w:p>
    <w:p w14:paraId="30D39C43" w14:textId="77777777" w:rsidR="002B1FF0" w:rsidRDefault="002B1FF0" w:rsidP="002B1FF0">
      <w:pPr>
        <w:rPr>
          <w:rFonts w:cs="Arial"/>
          <w:sz w:val="22"/>
          <w:szCs w:val="22"/>
        </w:rPr>
      </w:pPr>
    </w:p>
    <w:p w14:paraId="411E7EB9" w14:textId="06C6CC0E" w:rsidR="002B1FF0" w:rsidRDefault="00954C2D" w:rsidP="002B1FF0">
      <w:pPr>
        <w:rPr>
          <w:rFonts w:cs="Arial"/>
          <w:sz w:val="22"/>
          <w:szCs w:val="22"/>
        </w:rPr>
      </w:pPr>
      <w:r>
        <w:rPr>
          <w:rFonts w:cs="Arial"/>
          <w:sz w:val="22"/>
          <w:szCs w:val="22"/>
        </w:rPr>
        <w:t xml:space="preserve">La propuesta establece </w:t>
      </w:r>
      <w:r w:rsidR="00082309">
        <w:rPr>
          <w:rFonts w:cs="Arial"/>
          <w:sz w:val="22"/>
          <w:szCs w:val="22"/>
        </w:rPr>
        <w:t xml:space="preserve">la negociación directa </w:t>
      </w:r>
      <w:r>
        <w:rPr>
          <w:rFonts w:cs="Arial"/>
          <w:sz w:val="22"/>
          <w:szCs w:val="22"/>
        </w:rPr>
        <w:t>como mecanismo de comercialización de las cantidades a cont</w:t>
      </w:r>
      <w:r w:rsidR="00082309">
        <w:rPr>
          <w:rFonts w:cs="Arial"/>
          <w:sz w:val="22"/>
          <w:szCs w:val="22"/>
        </w:rPr>
        <w:t>rat</w:t>
      </w:r>
      <w:r>
        <w:rPr>
          <w:rFonts w:cs="Arial"/>
          <w:sz w:val="22"/>
          <w:szCs w:val="22"/>
        </w:rPr>
        <w:t xml:space="preserve">arse en el corto plazo, en la que es el vendedor quien establece las condiciones </w:t>
      </w:r>
      <w:r w:rsidR="00082309">
        <w:rPr>
          <w:rFonts w:cs="Arial"/>
          <w:sz w:val="22"/>
          <w:szCs w:val="22"/>
        </w:rPr>
        <w:t xml:space="preserve">o criterios </w:t>
      </w:r>
      <w:r>
        <w:rPr>
          <w:rFonts w:cs="Arial"/>
          <w:sz w:val="22"/>
          <w:szCs w:val="22"/>
        </w:rPr>
        <w:t xml:space="preserve">de </w:t>
      </w:r>
      <w:r w:rsidR="00082309">
        <w:rPr>
          <w:rFonts w:cs="Arial"/>
          <w:sz w:val="22"/>
          <w:szCs w:val="22"/>
        </w:rPr>
        <w:t>asignación de las cantidades ofertadas de tipo firme</w:t>
      </w:r>
      <w:r>
        <w:rPr>
          <w:rFonts w:cs="Arial"/>
          <w:sz w:val="22"/>
          <w:szCs w:val="22"/>
        </w:rPr>
        <w:t>. En todo caso, en el caso de utilizarse subastas la resolución definitiva establece que</w:t>
      </w:r>
      <w:r w:rsidR="00082309">
        <w:rPr>
          <w:rFonts w:cs="Arial"/>
          <w:sz w:val="22"/>
          <w:szCs w:val="22"/>
        </w:rPr>
        <w:t>,</w:t>
      </w:r>
      <w:r>
        <w:rPr>
          <w:rFonts w:cs="Arial"/>
          <w:sz w:val="22"/>
          <w:szCs w:val="22"/>
        </w:rPr>
        <w:t xml:space="preserve"> para las cantidades que tiene</w:t>
      </w:r>
      <w:r w:rsidR="00082309">
        <w:rPr>
          <w:rFonts w:cs="Arial"/>
          <w:sz w:val="22"/>
          <w:szCs w:val="22"/>
        </w:rPr>
        <w:t>n</w:t>
      </w:r>
      <w:r>
        <w:rPr>
          <w:rFonts w:cs="Arial"/>
          <w:sz w:val="22"/>
          <w:szCs w:val="22"/>
        </w:rPr>
        <w:t xml:space="preserve"> como destino la Demanda Esencial, el precio del contrato </w:t>
      </w:r>
      <w:r w:rsidR="00082309">
        <w:rPr>
          <w:rFonts w:cs="Arial"/>
          <w:sz w:val="22"/>
          <w:szCs w:val="22"/>
        </w:rPr>
        <w:t xml:space="preserve">de suministro </w:t>
      </w:r>
      <w:r>
        <w:rPr>
          <w:rFonts w:cs="Arial"/>
          <w:sz w:val="22"/>
          <w:szCs w:val="22"/>
        </w:rPr>
        <w:t xml:space="preserve">será el mismo Precio de Reserva establecido por el vendedor para la </w:t>
      </w:r>
      <w:r w:rsidR="00082309">
        <w:rPr>
          <w:rFonts w:cs="Arial"/>
          <w:sz w:val="22"/>
          <w:szCs w:val="22"/>
        </w:rPr>
        <w:t xml:space="preserve">asignación en caso de usarse </w:t>
      </w:r>
      <w:r>
        <w:rPr>
          <w:rFonts w:cs="Arial"/>
          <w:sz w:val="22"/>
          <w:szCs w:val="22"/>
        </w:rPr>
        <w:t xml:space="preserve">subasta. </w:t>
      </w:r>
      <w:r w:rsidR="00082309">
        <w:rPr>
          <w:rFonts w:cs="Arial"/>
          <w:sz w:val="22"/>
          <w:szCs w:val="22"/>
        </w:rPr>
        <w:t>Lo anterior por cuanto el Precio de Reserva refleja el precio a partir del cual el vendedor ofrece para la venta el gas natural</w:t>
      </w:r>
      <w:r w:rsidR="00282025">
        <w:rPr>
          <w:rFonts w:cs="Arial"/>
          <w:sz w:val="22"/>
          <w:szCs w:val="22"/>
        </w:rPr>
        <w:t>.</w:t>
      </w:r>
      <w:r w:rsidR="00082309">
        <w:rPr>
          <w:rFonts w:cs="Arial"/>
          <w:sz w:val="22"/>
          <w:szCs w:val="22"/>
        </w:rPr>
        <w:t xml:space="preserve">   </w:t>
      </w:r>
    </w:p>
    <w:p w14:paraId="7F0CD876" w14:textId="77777777" w:rsidR="00DC3192" w:rsidRDefault="00DC3192" w:rsidP="002B1FF0">
      <w:pPr>
        <w:rPr>
          <w:rFonts w:cs="Arial"/>
          <w:sz w:val="22"/>
          <w:szCs w:val="22"/>
        </w:rPr>
      </w:pPr>
    </w:p>
    <w:p w14:paraId="797147CB" w14:textId="2B6EADC7" w:rsidR="00883010" w:rsidRDefault="00883010" w:rsidP="00883010">
      <w:pPr>
        <w:rPr>
          <w:rFonts w:cs="Arial"/>
          <w:sz w:val="22"/>
          <w:szCs w:val="22"/>
        </w:rPr>
      </w:pPr>
      <w:r>
        <w:rPr>
          <w:rFonts w:cs="Arial"/>
          <w:sz w:val="22"/>
          <w:szCs w:val="22"/>
        </w:rPr>
        <w:t xml:space="preserve">Sobre la utilización </w:t>
      </w:r>
      <w:r w:rsidR="00BB176E">
        <w:rPr>
          <w:rFonts w:cs="Arial"/>
          <w:sz w:val="22"/>
          <w:szCs w:val="22"/>
        </w:rPr>
        <w:t xml:space="preserve">consistente en un precio fijo de oferta y asignación mediante </w:t>
      </w:r>
      <w:r>
        <w:rPr>
          <w:rFonts w:cs="Arial"/>
          <w:sz w:val="22"/>
          <w:szCs w:val="22"/>
        </w:rPr>
        <w:t>prorrata</w:t>
      </w:r>
      <w:r w:rsidR="00BB176E">
        <w:rPr>
          <w:rFonts w:cs="Arial"/>
          <w:sz w:val="22"/>
          <w:szCs w:val="22"/>
        </w:rPr>
        <w:t xml:space="preserve"> de participación</w:t>
      </w:r>
      <w:r>
        <w:rPr>
          <w:rFonts w:cs="Arial"/>
          <w:sz w:val="22"/>
          <w:szCs w:val="22"/>
        </w:rPr>
        <w:t>, en la resolución se ha incluido un anexo para que el cálculo de las cantidades que se solicitan con el fin de atender el consumo de los usuarios que hacen parte de la Demanda Esencial, sea lo más homogéneo y razonable posible.</w:t>
      </w:r>
    </w:p>
    <w:p w14:paraId="7C4002DB" w14:textId="77777777" w:rsidR="00883010" w:rsidRDefault="00883010" w:rsidP="002B1FF0">
      <w:pPr>
        <w:rPr>
          <w:rFonts w:cs="Arial"/>
          <w:sz w:val="22"/>
          <w:szCs w:val="22"/>
        </w:rPr>
      </w:pPr>
    </w:p>
    <w:p w14:paraId="6475550C" w14:textId="2DF7B3F6" w:rsidR="00DC3192" w:rsidRDefault="00883010" w:rsidP="002B1FF0">
      <w:pPr>
        <w:rPr>
          <w:rFonts w:cs="Arial"/>
          <w:sz w:val="22"/>
          <w:szCs w:val="22"/>
        </w:rPr>
      </w:pPr>
      <w:r>
        <w:rPr>
          <w:rFonts w:cs="Arial"/>
          <w:sz w:val="22"/>
          <w:szCs w:val="22"/>
        </w:rPr>
        <w:t xml:space="preserve">Ver respuesta </w:t>
      </w:r>
      <w:r w:rsidR="00E6248D">
        <w:rPr>
          <w:rFonts w:cs="Arial"/>
          <w:sz w:val="22"/>
          <w:szCs w:val="22"/>
        </w:rPr>
        <w:t xml:space="preserve">al comentario </w:t>
      </w:r>
      <w:r w:rsidR="00E6248D">
        <w:rPr>
          <w:rFonts w:cs="Arial"/>
          <w:sz w:val="22"/>
          <w:szCs w:val="22"/>
        </w:rPr>
        <w:fldChar w:fldCharType="begin"/>
      </w:r>
      <w:r w:rsidR="00E6248D">
        <w:rPr>
          <w:rFonts w:cs="Arial"/>
          <w:sz w:val="22"/>
          <w:szCs w:val="22"/>
        </w:rPr>
        <w:instrText xml:space="preserve"> REF _Ref149196952 \w \h </w:instrText>
      </w:r>
      <w:r w:rsidR="00E6248D">
        <w:rPr>
          <w:rFonts w:cs="Arial"/>
          <w:sz w:val="22"/>
          <w:szCs w:val="22"/>
        </w:rPr>
      </w:r>
      <w:r w:rsidR="00E6248D">
        <w:rPr>
          <w:rFonts w:cs="Arial"/>
          <w:sz w:val="22"/>
          <w:szCs w:val="22"/>
        </w:rPr>
        <w:fldChar w:fldCharType="separate"/>
      </w:r>
      <w:r w:rsidR="0027336D">
        <w:rPr>
          <w:rFonts w:cs="Arial"/>
          <w:sz w:val="22"/>
          <w:szCs w:val="22"/>
        </w:rPr>
        <w:t>8.3</w:t>
      </w:r>
      <w:r w:rsidR="00E6248D">
        <w:rPr>
          <w:rFonts w:cs="Arial"/>
          <w:sz w:val="22"/>
          <w:szCs w:val="22"/>
        </w:rPr>
        <w:fldChar w:fldCharType="end"/>
      </w:r>
      <w:r w:rsidR="00E6248D">
        <w:rPr>
          <w:rFonts w:cs="Arial"/>
          <w:sz w:val="22"/>
          <w:szCs w:val="22"/>
        </w:rPr>
        <w:t xml:space="preserve"> y </w:t>
      </w:r>
      <w:r w:rsidR="00DF64AD">
        <w:rPr>
          <w:rFonts w:cs="Arial"/>
          <w:sz w:val="22"/>
          <w:szCs w:val="22"/>
        </w:rPr>
        <w:t xml:space="preserve">al comentario </w:t>
      </w:r>
      <w:r w:rsidR="00DF64AD">
        <w:rPr>
          <w:rFonts w:cs="Arial"/>
          <w:sz w:val="22"/>
          <w:szCs w:val="22"/>
        </w:rPr>
        <w:fldChar w:fldCharType="begin"/>
      </w:r>
      <w:r w:rsidR="00DF64AD">
        <w:rPr>
          <w:rFonts w:cs="Arial"/>
          <w:sz w:val="22"/>
          <w:szCs w:val="22"/>
        </w:rPr>
        <w:instrText xml:space="preserve"> REF _Ref149198414 \w \h </w:instrText>
      </w:r>
      <w:r w:rsidR="00DF64AD">
        <w:rPr>
          <w:rFonts w:cs="Arial"/>
          <w:sz w:val="22"/>
          <w:szCs w:val="22"/>
        </w:rPr>
      </w:r>
      <w:r w:rsidR="00DF64AD">
        <w:rPr>
          <w:rFonts w:cs="Arial"/>
          <w:sz w:val="22"/>
          <w:szCs w:val="22"/>
        </w:rPr>
        <w:fldChar w:fldCharType="separate"/>
      </w:r>
      <w:r w:rsidR="0027336D">
        <w:rPr>
          <w:rFonts w:cs="Arial"/>
          <w:sz w:val="22"/>
          <w:szCs w:val="22"/>
        </w:rPr>
        <w:t>8.11</w:t>
      </w:r>
      <w:r w:rsidR="00DF64AD">
        <w:rPr>
          <w:rFonts w:cs="Arial"/>
          <w:sz w:val="22"/>
          <w:szCs w:val="22"/>
        </w:rPr>
        <w:fldChar w:fldCharType="end"/>
      </w:r>
      <w:r w:rsidR="00DF64AD">
        <w:rPr>
          <w:rFonts w:cs="Arial"/>
          <w:sz w:val="22"/>
          <w:szCs w:val="22"/>
        </w:rPr>
        <w:t>.</w:t>
      </w:r>
    </w:p>
    <w:p w14:paraId="5A058A55" w14:textId="77777777" w:rsidR="00EE415D" w:rsidRDefault="00EE415D" w:rsidP="002B1FF0">
      <w:pPr>
        <w:rPr>
          <w:rFonts w:cs="Arial"/>
          <w:sz w:val="22"/>
          <w:szCs w:val="22"/>
        </w:rPr>
      </w:pPr>
    </w:p>
    <w:p w14:paraId="17FC177E" w14:textId="77777777" w:rsidR="001A43D3" w:rsidRPr="00A25B16" w:rsidRDefault="001A43D3" w:rsidP="001A43D3">
      <w:pPr>
        <w:jc w:val="left"/>
        <w:rPr>
          <w:i/>
          <w:iCs/>
          <w:sz w:val="22"/>
        </w:rPr>
      </w:pPr>
    </w:p>
    <w:p w14:paraId="433CFA67" w14:textId="6A0776D7" w:rsidR="001A43D3" w:rsidRDefault="0049586D" w:rsidP="0049586D">
      <w:pPr>
        <w:pStyle w:val="Ttulo1"/>
      </w:pPr>
      <w:bookmarkStart w:id="185" w:name="_Toc158211520"/>
      <w:r>
        <w:t>ARTÍCULO 9</w:t>
      </w:r>
      <w:bookmarkEnd w:id="185"/>
    </w:p>
    <w:p w14:paraId="27F9085C" w14:textId="74C6BF92" w:rsidR="00E64F39" w:rsidRDefault="001A43D3" w:rsidP="0049586D">
      <w:pPr>
        <w:pStyle w:val="Ttulo2"/>
      </w:pPr>
      <w:bookmarkStart w:id="186" w:name="_Ref149212293"/>
      <w:bookmarkStart w:id="187" w:name="_Ref149213151"/>
      <w:bookmarkStart w:id="188" w:name="_Ref149213405"/>
      <w:bookmarkStart w:id="189" w:name="_Ref149215892"/>
      <w:bookmarkStart w:id="190" w:name="_Toc158211521"/>
      <w:r w:rsidRPr="00A25B16">
        <w:t>Andesco</w:t>
      </w:r>
      <w:bookmarkEnd w:id="186"/>
      <w:bookmarkEnd w:id="187"/>
      <w:bookmarkEnd w:id="188"/>
      <w:bookmarkEnd w:id="189"/>
      <w:bookmarkEnd w:id="190"/>
      <w:r w:rsidRPr="00A25B16">
        <w:tab/>
      </w:r>
    </w:p>
    <w:p w14:paraId="16363F06" w14:textId="6C73670B" w:rsidR="001A43D3" w:rsidRDefault="00E64F39" w:rsidP="001A43D3">
      <w:pPr>
        <w:jc w:val="left"/>
        <w:rPr>
          <w:i/>
          <w:iCs/>
          <w:sz w:val="22"/>
        </w:rPr>
      </w:pPr>
      <w:r>
        <w:rPr>
          <w:i/>
          <w:iCs/>
          <w:sz w:val="22"/>
        </w:rPr>
        <w:t>“</w:t>
      </w:r>
      <w:r w:rsidR="001A43D3" w:rsidRPr="00A25B16">
        <w:rPr>
          <w:i/>
          <w:iCs/>
          <w:sz w:val="22"/>
        </w:rPr>
        <w:t>En el artículo 9 se adiciona el “Parágrafo 2 transitorio” al artículo 20 de la Resolución CREG 186 de 2021. Allí se establece que los contratos deben finalizar el 31 de agosto de 2024; sin embargo, también en el artículo 10 se establece que se debe tener como fecha de terminación “antes de la finalización de la vigencia de esta resolución”, es decir, mayo de 2024. Teniendo en cuenta lo anterior, solicitamos amablemente que se defina claramente cuál será la fecha de terminación de los contratos.</w:t>
      </w:r>
      <w:r>
        <w:rPr>
          <w:i/>
          <w:iCs/>
          <w:sz w:val="22"/>
        </w:rPr>
        <w:t>”</w:t>
      </w:r>
    </w:p>
    <w:p w14:paraId="4DC02E23" w14:textId="77777777" w:rsidR="00E64F39" w:rsidRDefault="00E64F39" w:rsidP="001A43D3">
      <w:pPr>
        <w:jc w:val="left"/>
        <w:rPr>
          <w:i/>
          <w:iCs/>
          <w:sz w:val="22"/>
        </w:rPr>
      </w:pPr>
    </w:p>
    <w:p w14:paraId="66A651AC" w14:textId="77777777" w:rsidR="002B1FF0" w:rsidRPr="002B1FF0" w:rsidRDefault="002B1FF0" w:rsidP="002B1FF0">
      <w:pPr>
        <w:rPr>
          <w:rFonts w:cs="Arial"/>
          <w:b/>
          <w:bCs/>
          <w:sz w:val="22"/>
          <w:szCs w:val="22"/>
        </w:rPr>
      </w:pPr>
      <w:r w:rsidRPr="002B1FF0">
        <w:rPr>
          <w:rFonts w:cs="Arial"/>
          <w:b/>
          <w:bCs/>
          <w:sz w:val="22"/>
          <w:szCs w:val="22"/>
        </w:rPr>
        <w:t>RESPUESTA:</w:t>
      </w:r>
    </w:p>
    <w:p w14:paraId="1598175E" w14:textId="77777777" w:rsidR="002B1FF0" w:rsidRPr="002B1FF0" w:rsidRDefault="002B1FF0" w:rsidP="002B1FF0">
      <w:pPr>
        <w:rPr>
          <w:rFonts w:cs="Arial"/>
          <w:sz w:val="22"/>
          <w:szCs w:val="22"/>
        </w:rPr>
      </w:pPr>
    </w:p>
    <w:p w14:paraId="50C8380E" w14:textId="77777777" w:rsidR="000A6CBE" w:rsidRDefault="000A6CBE" w:rsidP="00D70ED0">
      <w:pPr>
        <w:jc w:val="left"/>
        <w:rPr>
          <w:sz w:val="22"/>
        </w:rPr>
      </w:pPr>
      <w:r>
        <w:rPr>
          <w:sz w:val="22"/>
        </w:rPr>
        <w:t>Se debe tener en cuenta la armonía de las disposiciones que se encuentran en el Proyecto de Resolución, así:</w:t>
      </w:r>
    </w:p>
    <w:p w14:paraId="2D6C9F67" w14:textId="77777777" w:rsidR="000A6CBE" w:rsidRDefault="000A6CBE" w:rsidP="00D70ED0">
      <w:pPr>
        <w:jc w:val="left"/>
        <w:rPr>
          <w:sz w:val="22"/>
        </w:rPr>
      </w:pPr>
    </w:p>
    <w:p w14:paraId="654FCC7B" w14:textId="2C1B4681" w:rsidR="00D70ED0" w:rsidRDefault="00D70ED0" w:rsidP="00D70ED0">
      <w:pPr>
        <w:jc w:val="left"/>
        <w:rPr>
          <w:sz w:val="22"/>
        </w:rPr>
      </w:pPr>
      <w:r w:rsidRPr="00D70ED0">
        <w:rPr>
          <w:sz w:val="22"/>
        </w:rPr>
        <w:t xml:space="preserve">En el </w:t>
      </w:r>
      <w:r>
        <w:rPr>
          <w:sz w:val="22"/>
        </w:rPr>
        <w:t>literal b. y c. del numeral i.) del Artículo 5 del Proyecto de Resolución, se establecen los siguientes textos:</w:t>
      </w:r>
    </w:p>
    <w:p w14:paraId="416471C9" w14:textId="77777777" w:rsidR="00D70ED0" w:rsidRDefault="00D70ED0" w:rsidP="00D70ED0">
      <w:pPr>
        <w:jc w:val="left"/>
        <w:rPr>
          <w:sz w:val="22"/>
        </w:rPr>
      </w:pPr>
    </w:p>
    <w:p w14:paraId="456E0376" w14:textId="77777777" w:rsidR="00D70ED0" w:rsidRPr="00D70ED0" w:rsidRDefault="00D70ED0" w:rsidP="00D70ED0">
      <w:pPr>
        <w:ind w:left="708"/>
        <w:jc w:val="left"/>
        <w:rPr>
          <w:i/>
          <w:iCs/>
          <w:sz w:val="22"/>
        </w:rPr>
      </w:pPr>
      <w:r>
        <w:rPr>
          <w:i/>
          <w:iCs/>
          <w:sz w:val="22"/>
        </w:rPr>
        <w:t>“</w:t>
      </w:r>
      <w:r w:rsidRPr="00D70ED0">
        <w:rPr>
          <w:i/>
          <w:iCs/>
          <w:sz w:val="22"/>
        </w:rPr>
        <w:t>b.</w:t>
      </w:r>
      <w:r w:rsidRPr="00D70ED0">
        <w:rPr>
          <w:i/>
          <w:iCs/>
          <w:sz w:val="22"/>
        </w:rPr>
        <w:tab/>
        <w:t xml:space="preserve">Podrán tener una duración de como mínimo una (1) semana laboral y </w:t>
      </w:r>
      <w:r w:rsidRPr="000A6CBE">
        <w:rPr>
          <w:i/>
          <w:iCs/>
          <w:sz w:val="22"/>
        </w:rPr>
        <w:t>de</w:t>
      </w:r>
      <w:r w:rsidRPr="00D70ED0">
        <w:rPr>
          <w:b/>
          <w:bCs/>
          <w:i/>
          <w:iCs/>
          <w:sz w:val="22"/>
          <w:u w:val="single"/>
        </w:rPr>
        <w:t xml:space="preserve"> como máximo doce (12) semanas laborales</w:t>
      </w:r>
      <w:r w:rsidRPr="00D70ED0">
        <w:rPr>
          <w:i/>
          <w:iCs/>
          <w:sz w:val="22"/>
        </w:rPr>
        <w:t xml:space="preserve">, excepto en los casos contemplados en el Artículo 20 de la Resolución CREG 186 de 2020. </w:t>
      </w:r>
    </w:p>
    <w:p w14:paraId="28879EBC" w14:textId="77777777" w:rsidR="00D70ED0" w:rsidRPr="00D70ED0" w:rsidRDefault="00D70ED0" w:rsidP="00D70ED0">
      <w:pPr>
        <w:ind w:left="708"/>
        <w:jc w:val="left"/>
        <w:rPr>
          <w:i/>
          <w:iCs/>
          <w:sz w:val="22"/>
        </w:rPr>
      </w:pPr>
    </w:p>
    <w:p w14:paraId="75E1561B" w14:textId="77777777" w:rsidR="00D70ED0" w:rsidRPr="00D70ED0" w:rsidRDefault="00D70ED0" w:rsidP="00D70ED0">
      <w:pPr>
        <w:ind w:left="708"/>
        <w:jc w:val="left"/>
        <w:rPr>
          <w:sz w:val="22"/>
        </w:rPr>
      </w:pPr>
      <w:r w:rsidRPr="00D70ED0">
        <w:rPr>
          <w:i/>
          <w:iCs/>
          <w:sz w:val="22"/>
        </w:rPr>
        <w:t>c.</w:t>
      </w:r>
      <w:r w:rsidRPr="00D70ED0">
        <w:rPr>
          <w:i/>
          <w:iCs/>
          <w:sz w:val="22"/>
        </w:rPr>
        <w:tab/>
        <w:t xml:space="preserve">En caso de que no se pacte la duración en semanas laborales, podrán tener una duración de como mínimo una semana calendario y de </w:t>
      </w:r>
      <w:r w:rsidRPr="00D70ED0">
        <w:rPr>
          <w:b/>
          <w:bCs/>
          <w:i/>
          <w:iCs/>
          <w:sz w:val="22"/>
          <w:u w:val="single"/>
        </w:rPr>
        <w:t>como máximo tres (3) meses</w:t>
      </w:r>
      <w:r w:rsidRPr="00D70ED0">
        <w:rPr>
          <w:i/>
          <w:iCs/>
          <w:sz w:val="22"/>
        </w:rPr>
        <w:t>, excepto en los casos contemplados en el Artículo 20 de la Resolución CREG 186 de 2020</w:t>
      </w:r>
      <w:r w:rsidRPr="00D70ED0">
        <w:rPr>
          <w:sz w:val="22"/>
        </w:rPr>
        <w:t>.</w:t>
      </w:r>
      <w:r>
        <w:rPr>
          <w:sz w:val="22"/>
        </w:rPr>
        <w:t>” (subrayado con resaltado fuera de texto).</w:t>
      </w:r>
    </w:p>
    <w:p w14:paraId="5C12F07D" w14:textId="77777777" w:rsidR="00D70ED0" w:rsidRDefault="00D70ED0" w:rsidP="002B1FF0">
      <w:pPr>
        <w:rPr>
          <w:rFonts w:cs="Arial"/>
          <w:sz w:val="22"/>
          <w:szCs w:val="22"/>
        </w:rPr>
      </w:pPr>
    </w:p>
    <w:p w14:paraId="06C52980" w14:textId="5D533486" w:rsidR="002B1FF0" w:rsidRDefault="00D70ED0" w:rsidP="002B1FF0">
      <w:pPr>
        <w:rPr>
          <w:rFonts w:cs="Arial"/>
          <w:sz w:val="22"/>
          <w:szCs w:val="22"/>
        </w:rPr>
      </w:pPr>
      <w:r>
        <w:rPr>
          <w:rFonts w:cs="Arial"/>
          <w:sz w:val="22"/>
          <w:szCs w:val="22"/>
        </w:rPr>
        <w:t>En el Artículo 9 del Proyecto de Resolución, se establece el siguiente texto:</w:t>
      </w:r>
    </w:p>
    <w:p w14:paraId="3860383E" w14:textId="77777777" w:rsidR="00D70ED0" w:rsidRDefault="00D70ED0" w:rsidP="002B1FF0">
      <w:pPr>
        <w:rPr>
          <w:rFonts w:cs="Arial"/>
          <w:sz w:val="22"/>
          <w:szCs w:val="22"/>
        </w:rPr>
      </w:pPr>
    </w:p>
    <w:p w14:paraId="4F8FF6E6" w14:textId="7ADB0545" w:rsidR="00D70ED0" w:rsidRDefault="00D70ED0" w:rsidP="00D70ED0">
      <w:pPr>
        <w:ind w:left="576"/>
        <w:rPr>
          <w:rFonts w:cs="Arial"/>
          <w:sz w:val="22"/>
          <w:szCs w:val="22"/>
        </w:rPr>
      </w:pPr>
      <w:r>
        <w:rPr>
          <w:rFonts w:cs="Arial"/>
          <w:sz w:val="22"/>
          <w:szCs w:val="22"/>
        </w:rPr>
        <w:t>“</w:t>
      </w:r>
      <w:r w:rsidRPr="00D70ED0">
        <w:rPr>
          <w:rFonts w:cs="Arial"/>
          <w:i/>
          <w:iCs/>
          <w:sz w:val="22"/>
          <w:szCs w:val="22"/>
        </w:rPr>
        <w:t xml:space="preserve">Los contratos celebrados en vigencia de la presente resolución tendrán la duración que acuerden las partes, y </w:t>
      </w:r>
      <w:r w:rsidRPr="00D70ED0">
        <w:rPr>
          <w:rFonts w:cs="Arial"/>
          <w:b/>
          <w:bCs/>
          <w:i/>
          <w:iCs/>
          <w:sz w:val="22"/>
          <w:szCs w:val="22"/>
          <w:u w:val="single"/>
        </w:rPr>
        <w:t>podrán tener como fecha de terminación el último día calendario de cualquier mes que transcurra antes del 31 de agosto de 2024</w:t>
      </w:r>
      <w:r w:rsidRPr="00D70ED0">
        <w:rPr>
          <w:rFonts w:cs="Arial"/>
          <w:i/>
          <w:iCs/>
          <w:sz w:val="22"/>
          <w:szCs w:val="22"/>
        </w:rPr>
        <w:t>, con sujeción a lo establecido en el numeral i.) del Parágrafo 2 transitorio al Artículo 9 de la presente Resolución</w:t>
      </w:r>
      <w:r w:rsidRPr="00D70ED0">
        <w:rPr>
          <w:rFonts w:cs="Arial"/>
          <w:sz w:val="22"/>
          <w:szCs w:val="22"/>
        </w:rPr>
        <w:t>.</w:t>
      </w:r>
      <w:r>
        <w:rPr>
          <w:rFonts w:cs="Arial"/>
          <w:sz w:val="22"/>
          <w:szCs w:val="22"/>
        </w:rPr>
        <w:t>” (subrayado con resaltado fuera de texto)</w:t>
      </w:r>
      <w:r w:rsidR="000A6CBE">
        <w:rPr>
          <w:rFonts w:cs="Arial"/>
          <w:sz w:val="22"/>
          <w:szCs w:val="22"/>
        </w:rPr>
        <w:t>.</w:t>
      </w:r>
    </w:p>
    <w:p w14:paraId="585580E5" w14:textId="77777777" w:rsidR="00D70ED0" w:rsidRDefault="00D70ED0" w:rsidP="00D70ED0">
      <w:pPr>
        <w:ind w:left="576"/>
        <w:rPr>
          <w:rFonts w:cs="Arial"/>
          <w:sz w:val="22"/>
          <w:szCs w:val="22"/>
        </w:rPr>
      </w:pPr>
    </w:p>
    <w:p w14:paraId="12A629AD" w14:textId="64065104" w:rsidR="00D70ED0" w:rsidRDefault="00D70ED0" w:rsidP="00D70ED0">
      <w:pPr>
        <w:rPr>
          <w:rFonts w:cs="Arial"/>
          <w:sz w:val="22"/>
          <w:szCs w:val="22"/>
        </w:rPr>
      </w:pPr>
      <w:r>
        <w:rPr>
          <w:rFonts w:cs="Arial"/>
          <w:sz w:val="22"/>
          <w:szCs w:val="22"/>
        </w:rPr>
        <w:t>En el primer inciso del Artículo 10 del Proyecto de Resolución, se establece el siguiente texto:</w:t>
      </w:r>
    </w:p>
    <w:p w14:paraId="7A1F5671" w14:textId="77777777" w:rsidR="00D70ED0" w:rsidRPr="002B1FF0" w:rsidRDefault="00D70ED0" w:rsidP="00D70ED0">
      <w:pPr>
        <w:rPr>
          <w:rFonts w:cs="Arial"/>
          <w:sz w:val="22"/>
          <w:szCs w:val="22"/>
        </w:rPr>
      </w:pPr>
    </w:p>
    <w:p w14:paraId="613B8274" w14:textId="068A1883" w:rsidR="00E64F39" w:rsidRDefault="00D70ED0" w:rsidP="00D70ED0">
      <w:pPr>
        <w:ind w:left="576"/>
        <w:jc w:val="left"/>
        <w:rPr>
          <w:rFonts w:cs="Arial"/>
          <w:sz w:val="22"/>
          <w:szCs w:val="22"/>
        </w:rPr>
      </w:pPr>
      <w:r>
        <w:rPr>
          <w:rFonts w:cs="Arial"/>
          <w:i/>
          <w:iCs/>
          <w:sz w:val="22"/>
          <w:szCs w:val="22"/>
        </w:rPr>
        <w:t>“</w:t>
      </w:r>
      <w:r w:rsidRPr="00D70ED0">
        <w:rPr>
          <w:rFonts w:cs="Arial"/>
          <w:i/>
          <w:iCs/>
          <w:sz w:val="22"/>
          <w:szCs w:val="22"/>
        </w:rPr>
        <w:t xml:space="preserve">En los casos no previstos en los Artículo 19 y Artículo 22 de esta Resolución, los vendedores y los compradores a los que se hace referencia en los artículos 16 y 17 de esta Resolución podrán negociar directamente el suministro de gas natural con duración menor a un (1) año, mediante las modalidades de tipo firme establecidas en el Artículo 8 de la presente Resolución. Dichos contratos podrán registrarse en cualquier momento del año y tendrán la duración que acuerden las partes, pero </w:t>
      </w:r>
      <w:r w:rsidRPr="00D70ED0">
        <w:rPr>
          <w:rFonts w:cs="Arial"/>
          <w:b/>
          <w:bCs/>
          <w:i/>
          <w:iCs/>
          <w:sz w:val="22"/>
          <w:szCs w:val="22"/>
          <w:u w:val="single"/>
        </w:rPr>
        <w:t>deberán tener como fecha de terminación el último día calendario de cualquier mes que transcurra antes de la pérdida de vigencia de la presente Resolución</w:t>
      </w:r>
      <w:r w:rsidRPr="00D70ED0">
        <w:rPr>
          <w:rFonts w:cs="Arial"/>
          <w:i/>
          <w:iCs/>
          <w:sz w:val="22"/>
          <w:szCs w:val="22"/>
        </w:rPr>
        <w:t>.</w:t>
      </w:r>
      <w:r>
        <w:rPr>
          <w:rFonts w:cs="Arial"/>
          <w:sz w:val="22"/>
          <w:szCs w:val="22"/>
        </w:rPr>
        <w:t>” (subrayado con resaltado fuera de texto)</w:t>
      </w:r>
      <w:r w:rsidR="000A6CBE">
        <w:rPr>
          <w:rFonts w:cs="Arial"/>
          <w:sz w:val="22"/>
          <w:szCs w:val="22"/>
        </w:rPr>
        <w:t>.</w:t>
      </w:r>
    </w:p>
    <w:p w14:paraId="66531FF8" w14:textId="77777777" w:rsidR="00D70ED0" w:rsidRDefault="00D70ED0" w:rsidP="00D70ED0">
      <w:pPr>
        <w:ind w:left="576"/>
        <w:jc w:val="left"/>
        <w:rPr>
          <w:i/>
          <w:iCs/>
          <w:sz w:val="22"/>
        </w:rPr>
      </w:pPr>
    </w:p>
    <w:p w14:paraId="2F297974" w14:textId="1C21AA8D" w:rsidR="000A6CBE" w:rsidRDefault="000A6CBE" w:rsidP="000A6CBE">
      <w:pPr>
        <w:rPr>
          <w:rFonts w:cs="Arial"/>
          <w:sz w:val="22"/>
          <w:szCs w:val="22"/>
        </w:rPr>
      </w:pPr>
      <w:r>
        <w:rPr>
          <w:rFonts w:cs="Arial"/>
          <w:sz w:val="22"/>
          <w:szCs w:val="22"/>
        </w:rPr>
        <w:t>En el Artículo 17 del Proyecto de Resolución, se establece el siguiente texto:</w:t>
      </w:r>
    </w:p>
    <w:p w14:paraId="38AB3873" w14:textId="77777777" w:rsidR="00E64F39" w:rsidRDefault="00E64F39" w:rsidP="001A43D3">
      <w:pPr>
        <w:jc w:val="left"/>
        <w:rPr>
          <w:i/>
          <w:iCs/>
          <w:sz w:val="22"/>
        </w:rPr>
      </w:pPr>
    </w:p>
    <w:p w14:paraId="7A998A16" w14:textId="34359C1E" w:rsidR="000A6CBE" w:rsidRDefault="000A6CBE" w:rsidP="000A6CBE">
      <w:pPr>
        <w:ind w:left="708"/>
        <w:jc w:val="left"/>
        <w:rPr>
          <w:rFonts w:cs="Arial"/>
          <w:sz w:val="22"/>
          <w:szCs w:val="22"/>
        </w:rPr>
      </w:pPr>
      <w:r>
        <w:rPr>
          <w:i/>
          <w:iCs/>
          <w:sz w:val="22"/>
        </w:rPr>
        <w:t>“</w:t>
      </w:r>
      <w:r w:rsidRPr="000A6CBE">
        <w:rPr>
          <w:i/>
          <w:iCs/>
          <w:sz w:val="22"/>
        </w:rPr>
        <w:t xml:space="preserve">La presente resolución </w:t>
      </w:r>
      <w:r w:rsidRPr="000A6CBE">
        <w:rPr>
          <w:b/>
          <w:bCs/>
          <w:i/>
          <w:iCs/>
          <w:sz w:val="22"/>
          <w:u w:val="single"/>
        </w:rPr>
        <w:t>rige de manera transitoria</w:t>
      </w:r>
      <w:r w:rsidRPr="000A6CBE">
        <w:rPr>
          <w:i/>
          <w:iCs/>
          <w:sz w:val="22"/>
        </w:rPr>
        <w:t xml:space="preserve"> a partir de su publicación en el Diario Oficial, </w:t>
      </w:r>
      <w:r w:rsidRPr="000A6CBE">
        <w:rPr>
          <w:b/>
          <w:bCs/>
          <w:i/>
          <w:iCs/>
          <w:sz w:val="22"/>
          <w:u w:val="single"/>
        </w:rPr>
        <w:t>hasta el 31 de mayo de 2024</w:t>
      </w:r>
      <w:r w:rsidRPr="000A6CBE">
        <w:rPr>
          <w:i/>
          <w:iCs/>
          <w:sz w:val="22"/>
        </w:rPr>
        <w:t xml:space="preserve"> y deroga las normas que le sean contrarias</w:t>
      </w:r>
      <w:r>
        <w:rPr>
          <w:i/>
          <w:iCs/>
          <w:sz w:val="22"/>
        </w:rPr>
        <w:t xml:space="preserve">”. </w:t>
      </w:r>
      <w:r>
        <w:rPr>
          <w:rFonts w:cs="Arial"/>
          <w:sz w:val="22"/>
          <w:szCs w:val="22"/>
        </w:rPr>
        <w:t>(subrayado con resaltado fuera de texto).</w:t>
      </w:r>
    </w:p>
    <w:p w14:paraId="508495DD" w14:textId="77777777" w:rsidR="000A6CBE" w:rsidRDefault="000A6CBE" w:rsidP="000A6CBE">
      <w:pPr>
        <w:ind w:left="708"/>
        <w:jc w:val="left"/>
        <w:rPr>
          <w:i/>
          <w:iCs/>
          <w:sz w:val="22"/>
        </w:rPr>
      </w:pPr>
    </w:p>
    <w:p w14:paraId="15CDCE59" w14:textId="5681CB7E" w:rsidR="000A6CBE" w:rsidRDefault="000A6CBE" w:rsidP="000A6CBE">
      <w:pPr>
        <w:jc w:val="left"/>
        <w:rPr>
          <w:sz w:val="22"/>
        </w:rPr>
      </w:pPr>
      <w:r w:rsidRPr="000A6CBE">
        <w:rPr>
          <w:sz w:val="22"/>
        </w:rPr>
        <w:t xml:space="preserve">Con todo lo anterior se busca </w:t>
      </w:r>
      <w:r>
        <w:rPr>
          <w:sz w:val="22"/>
        </w:rPr>
        <w:t>que sea claro todo</w:t>
      </w:r>
      <w:r w:rsidRPr="000A6CBE">
        <w:rPr>
          <w:sz w:val="22"/>
        </w:rPr>
        <w:t xml:space="preserve"> lo siguiente:</w:t>
      </w:r>
    </w:p>
    <w:p w14:paraId="5E5754AA" w14:textId="77777777" w:rsidR="000A6CBE" w:rsidRDefault="000A6CBE" w:rsidP="000A6CBE">
      <w:pPr>
        <w:jc w:val="left"/>
        <w:rPr>
          <w:sz w:val="22"/>
        </w:rPr>
      </w:pPr>
    </w:p>
    <w:p w14:paraId="6175290D" w14:textId="58C12047" w:rsidR="000A6CBE" w:rsidRDefault="000A6CBE" w:rsidP="000A6CBE">
      <w:pPr>
        <w:pStyle w:val="Prrafodelista"/>
        <w:numPr>
          <w:ilvl w:val="0"/>
          <w:numId w:val="26"/>
        </w:numPr>
        <w:jc w:val="left"/>
        <w:rPr>
          <w:sz w:val="22"/>
        </w:rPr>
      </w:pPr>
      <w:r>
        <w:rPr>
          <w:sz w:val="22"/>
        </w:rPr>
        <w:t>Toda la flexibilidad y demás reglas establecidas en el Proyecto de Resolución pierden vigencia el 31 de mayo de 2024.</w:t>
      </w:r>
    </w:p>
    <w:p w14:paraId="683BBB97" w14:textId="77777777" w:rsidR="000A6CBE" w:rsidRDefault="000A6CBE" w:rsidP="000A6CBE">
      <w:pPr>
        <w:pStyle w:val="Prrafodelista"/>
        <w:ind w:left="360"/>
        <w:jc w:val="left"/>
        <w:rPr>
          <w:sz w:val="22"/>
        </w:rPr>
      </w:pPr>
    </w:p>
    <w:p w14:paraId="00AF47BB" w14:textId="4A657FD0" w:rsidR="000A6CBE" w:rsidRPr="000A6CBE" w:rsidRDefault="000A6CBE">
      <w:pPr>
        <w:pStyle w:val="Prrafodelista"/>
        <w:numPr>
          <w:ilvl w:val="0"/>
          <w:numId w:val="26"/>
        </w:numPr>
        <w:jc w:val="left"/>
        <w:rPr>
          <w:sz w:val="22"/>
        </w:rPr>
      </w:pPr>
      <w:r w:rsidRPr="000A6CBE">
        <w:rPr>
          <w:sz w:val="22"/>
        </w:rPr>
        <w:t xml:space="preserve">Después del 31 de mayo de 2024 no se pueden registrar </w:t>
      </w:r>
      <w:r>
        <w:rPr>
          <w:sz w:val="22"/>
        </w:rPr>
        <w:t xml:space="preserve">ante el Gestor del Mercado </w:t>
      </w:r>
      <w:r w:rsidRPr="000A6CBE">
        <w:rPr>
          <w:sz w:val="22"/>
        </w:rPr>
        <w:t>contratos de suministro</w:t>
      </w:r>
      <w:r>
        <w:rPr>
          <w:sz w:val="22"/>
        </w:rPr>
        <w:t xml:space="preserve"> </w:t>
      </w:r>
      <w:r w:rsidRPr="000A6CBE">
        <w:rPr>
          <w:sz w:val="22"/>
        </w:rPr>
        <w:t>amparados con las reglas adicionales establecidas.</w:t>
      </w:r>
    </w:p>
    <w:p w14:paraId="1CE12F44" w14:textId="77777777" w:rsidR="000A6CBE" w:rsidRDefault="000A6CBE" w:rsidP="000A6CBE">
      <w:pPr>
        <w:pStyle w:val="Prrafodelista"/>
        <w:ind w:left="360"/>
        <w:jc w:val="left"/>
        <w:rPr>
          <w:sz w:val="22"/>
        </w:rPr>
      </w:pPr>
    </w:p>
    <w:p w14:paraId="37464E54" w14:textId="02D85CE8" w:rsidR="000A6CBE" w:rsidRDefault="000A6CBE" w:rsidP="000A6CBE">
      <w:pPr>
        <w:pStyle w:val="Prrafodelista"/>
        <w:numPr>
          <w:ilvl w:val="0"/>
          <w:numId w:val="26"/>
        </w:numPr>
        <w:jc w:val="left"/>
        <w:rPr>
          <w:sz w:val="22"/>
        </w:rPr>
      </w:pPr>
      <w:r>
        <w:rPr>
          <w:sz w:val="22"/>
        </w:rPr>
        <w:t>Se pueden registrar contratos el 31 de mayo de 2024, cuyo inicio de ejecución sea cualquier semana que transcurra antes del 31 de agosto de 2024.</w:t>
      </w:r>
    </w:p>
    <w:p w14:paraId="7A23AE03" w14:textId="12E13BE3" w:rsidR="000A6CBE" w:rsidRPr="000A6CBE" w:rsidRDefault="000A6CBE" w:rsidP="000A6CBE">
      <w:pPr>
        <w:pStyle w:val="Prrafodelista"/>
        <w:numPr>
          <w:ilvl w:val="0"/>
          <w:numId w:val="26"/>
        </w:numPr>
        <w:jc w:val="left"/>
        <w:rPr>
          <w:i/>
          <w:iCs/>
          <w:sz w:val="22"/>
        </w:rPr>
      </w:pPr>
      <w:r>
        <w:rPr>
          <w:sz w:val="22"/>
        </w:rPr>
        <w:t>El 31 de mayo de 2024, último día de vigencia de la resolución, pueden registrarse contratos cuya duración de ejecución no supere el 31 de agosto de 2024.</w:t>
      </w:r>
    </w:p>
    <w:p w14:paraId="7EE52436" w14:textId="77777777" w:rsidR="000A6CBE" w:rsidRDefault="000A6CBE" w:rsidP="000A6CBE">
      <w:pPr>
        <w:jc w:val="left"/>
        <w:rPr>
          <w:i/>
          <w:iCs/>
          <w:sz w:val="22"/>
        </w:rPr>
      </w:pPr>
    </w:p>
    <w:p w14:paraId="52688D4E" w14:textId="3C8A2289" w:rsidR="000A6CBE" w:rsidRPr="000A6CBE" w:rsidRDefault="000A6CBE" w:rsidP="00E90F01">
      <w:pPr>
        <w:rPr>
          <w:sz w:val="22"/>
        </w:rPr>
      </w:pPr>
      <w:r w:rsidRPr="000A6CBE">
        <w:rPr>
          <w:sz w:val="22"/>
        </w:rPr>
        <w:t xml:space="preserve">En la resolución definitiva se hacen algunos ajustes menores a los textos propuestos de modo que </w:t>
      </w:r>
      <w:r>
        <w:rPr>
          <w:sz w:val="22"/>
        </w:rPr>
        <w:t>n</w:t>
      </w:r>
      <w:r w:rsidRPr="000A6CBE">
        <w:rPr>
          <w:sz w:val="22"/>
        </w:rPr>
        <w:t>o haya duda de que se pueden registrar contratos de suministro con fechas de inicio de ejecución posteriores a la fecha del registro del contrato</w:t>
      </w:r>
      <w:r w:rsidR="000932CF">
        <w:rPr>
          <w:sz w:val="22"/>
        </w:rPr>
        <w:t xml:space="preserve"> ante el Gestor del Mercado</w:t>
      </w:r>
      <w:r w:rsidRPr="000A6CBE">
        <w:rPr>
          <w:sz w:val="22"/>
        </w:rPr>
        <w:t>.</w:t>
      </w:r>
      <w:r w:rsidR="00E90F01">
        <w:rPr>
          <w:sz w:val="22"/>
        </w:rPr>
        <w:t xml:space="preserve"> Adicionalmente, se establece una nueva vigencia de aplicación de las reglas propuestas </w:t>
      </w:r>
      <w:r w:rsidR="000209DD">
        <w:rPr>
          <w:sz w:val="22"/>
        </w:rPr>
        <w:t xml:space="preserve">que pasa a ser del 31 de mayo de 2024 </w:t>
      </w:r>
      <w:r w:rsidR="00C528AB">
        <w:rPr>
          <w:sz w:val="22"/>
        </w:rPr>
        <w:t xml:space="preserve">hasta el </w:t>
      </w:r>
      <w:r w:rsidR="00E90F01">
        <w:rPr>
          <w:sz w:val="22"/>
        </w:rPr>
        <w:t>31 de agosto de 2024.</w:t>
      </w:r>
    </w:p>
    <w:p w14:paraId="135BD199" w14:textId="77777777" w:rsidR="000A6CBE" w:rsidRDefault="000A6CBE" w:rsidP="000A6CBE">
      <w:pPr>
        <w:jc w:val="left"/>
        <w:rPr>
          <w:i/>
          <w:iCs/>
          <w:sz w:val="22"/>
        </w:rPr>
      </w:pPr>
    </w:p>
    <w:p w14:paraId="27754C2E" w14:textId="77777777" w:rsidR="000A6CBE" w:rsidRPr="00A25B16" w:rsidRDefault="000A6CBE" w:rsidP="001A43D3">
      <w:pPr>
        <w:jc w:val="left"/>
        <w:rPr>
          <w:i/>
          <w:iCs/>
          <w:sz w:val="22"/>
        </w:rPr>
      </w:pPr>
    </w:p>
    <w:p w14:paraId="18595635" w14:textId="1A2C07D8" w:rsidR="00E64F39" w:rsidRDefault="001A43D3" w:rsidP="0049586D">
      <w:pPr>
        <w:pStyle w:val="Ttulo2"/>
      </w:pPr>
      <w:bookmarkStart w:id="191" w:name="_Toc158211522"/>
      <w:r w:rsidRPr="00A25B16">
        <w:t>Ecopetrol S.A.</w:t>
      </w:r>
      <w:bookmarkEnd w:id="191"/>
    </w:p>
    <w:p w14:paraId="3A1C959B" w14:textId="50B19C2C" w:rsidR="001A43D3" w:rsidRDefault="00E64F39" w:rsidP="001A43D3">
      <w:pPr>
        <w:jc w:val="left"/>
        <w:rPr>
          <w:i/>
          <w:iCs/>
          <w:sz w:val="22"/>
        </w:rPr>
      </w:pPr>
      <w:r>
        <w:rPr>
          <w:i/>
          <w:iCs/>
          <w:sz w:val="22"/>
        </w:rPr>
        <w:t>“</w:t>
      </w:r>
      <w:r w:rsidR="001A43D3" w:rsidRPr="00A25B16">
        <w:rPr>
          <w:i/>
          <w:iCs/>
          <w:sz w:val="22"/>
        </w:rPr>
        <w:tab/>
        <w:t>Para efectos de mayor claridad en la lectura e interpretación de la resolución, sugerimos: i) revisar aquellos elementos del artículo 8 que se repiten en el artículo 10; ii) incluir las disposiciones establecidas en los artículos 9 y 10 en el artículo 5; y iii) de manera alternativa al numeral ii), ajustar la redacción para dar mayor claridad, en todo caso manteniendo la flexibilidad para aquellos campos señalados en el parágrafo del artículo 20.</w:t>
      </w:r>
      <w:r>
        <w:rPr>
          <w:i/>
          <w:iCs/>
          <w:sz w:val="22"/>
        </w:rPr>
        <w:t>”</w:t>
      </w:r>
    </w:p>
    <w:p w14:paraId="34908E97" w14:textId="77777777" w:rsidR="00E64F39" w:rsidRDefault="00E64F39" w:rsidP="001A43D3">
      <w:pPr>
        <w:jc w:val="left"/>
        <w:rPr>
          <w:i/>
          <w:iCs/>
          <w:sz w:val="22"/>
        </w:rPr>
      </w:pPr>
    </w:p>
    <w:p w14:paraId="44D73349" w14:textId="77777777" w:rsidR="002B1FF0" w:rsidRPr="002B1FF0" w:rsidRDefault="002B1FF0" w:rsidP="002B1FF0">
      <w:pPr>
        <w:rPr>
          <w:rFonts w:cs="Arial"/>
          <w:b/>
          <w:bCs/>
          <w:sz w:val="22"/>
          <w:szCs w:val="22"/>
        </w:rPr>
      </w:pPr>
      <w:r w:rsidRPr="002B1FF0">
        <w:rPr>
          <w:rFonts w:cs="Arial"/>
          <w:b/>
          <w:bCs/>
          <w:sz w:val="22"/>
          <w:szCs w:val="22"/>
        </w:rPr>
        <w:t>RESPUESTA:</w:t>
      </w:r>
    </w:p>
    <w:p w14:paraId="0ED76239" w14:textId="77777777" w:rsidR="002B1FF0" w:rsidRDefault="002B1FF0" w:rsidP="002B1FF0">
      <w:pPr>
        <w:rPr>
          <w:rFonts w:cs="Arial"/>
          <w:sz w:val="22"/>
          <w:szCs w:val="22"/>
        </w:rPr>
      </w:pPr>
    </w:p>
    <w:p w14:paraId="77DFCAFE" w14:textId="61584445" w:rsidR="002B1FF0" w:rsidRPr="002B1FF0" w:rsidRDefault="000932CF"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_Ref149212254 \w \h </w:instrText>
      </w:r>
      <w:r>
        <w:rPr>
          <w:rFonts w:cs="Arial"/>
          <w:sz w:val="22"/>
          <w:szCs w:val="22"/>
        </w:rPr>
      </w:r>
      <w:r>
        <w:rPr>
          <w:rFonts w:cs="Arial"/>
          <w:sz w:val="22"/>
          <w:szCs w:val="22"/>
        </w:rPr>
        <w:fldChar w:fldCharType="separate"/>
      </w:r>
      <w:r w:rsidR="0027336D">
        <w:rPr>
          <w:rFonts w:cs="Arial"/>
          <w:sz w:val="22"/>
          <w:szCs w:val="22"/>
        </w:rPr>
        <w:t>8.7</w:t>
      </w:r>
      <w:r>
        <w:rPr>
          <w:rFonts w:cs="Arial"/>
          <w:sz w:val="22"/>
          <w:szCs w:val="22"/>
        </w:rPr>
        <w:fldChar w:fldCharType="end"/>
      </w:r>
      <w:r>
        <w:rPr>
          <w:rFonts w:cs="Arial"/>
          <w:sz w:val="22"/>
          <w:szCs w:val="22"/>
        </w:rPr>
        <w:t>.</w:t>
      </w:r>
    </w:p>
    <w:p w14:paraId="2BE6A98D" w14:textId="77777777" w:rsidR="00E64F39" w:rsidRDefault="00E64F39" w:rsidP="001A43D3">
      <w:pPr>
        <w:jc w:val="left"/>
        <w:rPr>
          <w:i/>
          <w:iCs/>
          <w:sz w:val="22"/>
        </w:rPr>
      </w:pPr>
    </w:p>
    <w:p w14:paraId="5B9D3694" w14:textId="77777777" w:rsidR="00E64F39" w:rsidRPr="00A25B16" w:rsidRDefault="00E64F39" w:rsidP="001A43D3">
      <w:pPr>
        <w:jc w:val="left"/>
        <w:rPr>
          <w:i/>
          <w:iCs/>
          <w:sz w:val="22"/>
        </w:rPr>
      </w:pPr>
    </w:p>
    <w:p w14:paraId="7490CD54" w14:textId="4357CDCE" w:rsidR="00E64F39" w:rsidRDefault="001A43D3" w:rsidP="0049586D">
      <w:pPr>
        <w:pStyle w:val="Ttulo2"/>
      </w:pPr>
      <w:bookmarkStart w:id="192" w:name="_Toc158211523"/>
      <w:r w:rsidRPr="00A25B16">
        <w:t>Gestor del Mercado de Gas Natural en Colombia</w:t>
      </w:r>
      <w:bookmarkEnd w:id="192"/>
      <w:r w:rsidRPr="00A25B16">
        <w:tab/>
      </w:r>
    </w:p>
    <w:p w14:paraId="75A43FA2" w14:textId="431B6AB5" w:rsidR="001A43D3" w:rsidRPr="00A25B16" w:rsidRDefault="001A43D3" w:rsidP="001A43D3">
      <w:pPr>
        <w:jc w:val="left"/>
        <w:rPr>
          <w:i/>
          <w:iCs/>
          <w:sz w:val="22"/>
        </w:rPr>
      </w:pPr>
      <w:r w:rsidRPr="00A25B16">
        <w:rPr>
          <w:i/>
          <w:iCs/>
          <w:sz w:val="22"/>
        </w:rPr>
        <w:t>"El Artículo 9 del proyecto de Resolución establece que:</w:t>
      </w:r>
    </w:p>
    <w:p w14:paraId="392A325F" w14:textId="77777777" w:rsidR="001A43D3" w:rsidRPr="00A25B16" w:rsidRDefault="001A43D3" w:rsidP="001A43D3">
      <w:pPr>
        <w:jc w:val="left"/>
        <w:rPr>
          <w:i/>
          <w:iCs/>
          <w:sz w:val="22"/>
        </w:rPr>
      </w:pPr>
    </w:p>
    <w:p w14:paraId="22DB3E8E" w14:textId="77777777" w:rsidR="001A43D3" w:rsidRPr="00A25B16" w:rsidRDefault="001A43D3" w:rsidP="001A43D3">
      <w:pPr>
        <w:jc w:val="left"/>
        <w:rPr>
          <w:i/>
          <w:iCs/>
          <w:sz w:val="22"/>
        </w:rPr>
      </w:pPr>
      <w:r w:rsidRPr="00A25B16">
        <w:rPr>
          <w:i/>
          <w:iCs/>
          <w:sz w:val="22"/>
        </w:rPr>
        <w:t>""Parágrafo 2 transitorio. Los contratos celebrados en vigencia de la presente resolución tendrán la duración que acuerden las partes, y podrán tener como fecha de terminación el último día calendario de cualquier mes que transcurra antes del 31 de agosto de 2024, con sujeción a lo establecido en el numeral i.) del Parágrafo 2 transitorio al Artículo 9 de la presente Resolución."" (Subrayado fuera de texto).</w:t>
      </w:r>
    </w:p>
    <w:p w14:paraId="4FFB9178" w14:textId="77777777" w:rsidR="001A43D3" w:rsidRPr="00A25B16" w:rsidRDefault="001A43D3" w:rsidP="001A43D3">
      <w:pPr>
        <w:jc w:val="left"/>
        <w:rPr>
          <w:i/>
          <w:iCs/>
          <w:sz w:val="22"/>
        </w:rPr>
      </w:pPr>
    </w:p>
    <w:p w14:paraId="0108982B" w14:textId="77777777" w:rsidR="001A43D3" w:rsidRPr="00A25B16" w:rsidRDefault="001A43D3" w:rsidP="001A43D3">
      <w:pPr>
        <w:jc w:val="left"/>
        <w:rPr>
          <w:i/>
          <w:iCs/>
          <w:sz w:val="22"/>
        </w:rPr>
      </w:pPr>
      <w:r w:rsidRPr="00A25B16">
        <w:rPr>
          <w:i/>
          <w:iCs/>
          <w:sz w:val="22"/>
        </w:rPr>
        <w:t>No obstante, en el artículo 17 se establece que la vigencia de la Resolución será hasta el 31 de mayo de 2024:</w:t>
      </w:r>
    </w:p>
    <w:p w14:paraId="41C2487E" w14:textId="77777777" w:rsidR="001A43D3" w:rsidRPr="00A25B16" w:rsidRDefault="001A43D3" w:rsidP="001A43D3">
      <w:pPr>
        <w:jc w:val="left"/>
        <w:rPr>
          <w:i/>
          <w:iCs/>
          <w:sz w:val="22"/>
        </w:rPr>
      </w:pPr>
    </w:p>
    <w:p w14:paraId="5563DD52" w14:textId="77777777" w:rsidR="001A43D3" w:rsidRPr="00A25B16" w:rsidRDefault="001A43D3" w:rsidP="001A43D3">
      <w:pPr>
        <w:jc w:val="left"/>
        <w:rPr>
          <w:i/>
          <w:iCs/>
          <w:sz w:val="22"/>
        </w:rPr>
      </w:pPr>
      <w:r w:rsidRPr="00A25B16">
        <w:rPr>
          <w:i/>
          <w:iCs/>
          <w:sz w:val="22"/>
        </w:rPr>
        <w:t>""Artículo 17. Vigencia. La presente resolución rige de manera transitoria a partir de su publicación en el Diario Oficial, hasta el 31 de mayo de 2024 y deroga las normas que le sean contrarias."" (Subrayado fuera de texto).</w:t>
      </w:r>
    </w:p>
    <w:p w14:paraId="732E6608" w14:textId="77777777" w:rsidR="001A43D3" w:rsidRPr="00A25B16" w:rsidRDefault="001A43D3" w:rsidP="001A43D3">
      <w:pPr>
        <w:jc w:val="left"/>
        <w:rPr>
          <w:i/>
          <w:iCs/>
          <w:sz w:val="22"/>
        </w:rPr>
      </w:pPr>
    </w:p>
    <w:p w14:paraId="560D398A" w14:textId="77777777" w:rsidR="001A43D3" w:rsidRPr="00A25B16" w:rsidRDefault="001A43D3" w:rsidP="001A43D3">
      <w:pPr>
        <w:jc w:val="left"/>
        <w:rPr>
          <w:i/>
          <w:iCs/>
          <w:sz w:val="22"/>
        </w:rPr>
      </w:pPr>
      <w:r w:rsidRPr="00A25B16">
        <w:rPr>
          <w:i/>
          <w:iCs/>
          <w:sz w:val="22"/>
        </w:rPr>
        <w:t>En línea con esto, se encuentra que no existe una concordancia entre los dos artículos, dado que los contratos pactados después del 31 de mayo de 2024 quedarían sin una Resolución en vigor asociada, por lo que se sugiere revisar estas disposiciones."</w:t>
      </w:r>
    </w:p>
    <w:p w14:paraId="180E52C2" w14:textId="77777777" w:rsidR="00E64F39" w:rsidRDefault="00E64F39" w:rsidP="001A43D3">
      <w:pPr>
        <w:jc w:val="left"/>
        <w:rPr>
          <w:i/>
          <w:iCs/>
          <w:sz w:val="22"/>
        </w:rPr>
      </w:pPr>
    </w:p>
    <w:p w14:paraId="56EFEEBC" w14:textId="77777777" w:rsidR="002B1FF0" w:rsidRPr="002B1FF0" w:rsidRDefault="002B1FF0" w:rsidP="002B1FF0">
      <w:pPr>
        <w:rPr>
          <w:rFonts w:cs="Arial"/>
          <w:b/>
          <w:bCs/>
          <w:sz w:val="22"/>
          <w:szCs w:val="22"/>
        </w:rPr>
      </w:pPr>
      <w:r w:rsidRPr="002B1FF0">
        <w:rPr>
          <w:rFonts w:cs="Arial"/>
          <w:b/>
          <w:bCs/>
          <w:sz w:val="22"/>
          <w:szCs w:val="22"/>
        </w:rPr>
        <w:t>RESPUESTA:</w:t>
      </w:r>
    </w:p>
    <w:p w14:paraId="4DA678B0" w14:textId="77777777" w:rsidR="002B1FF0" w:rsidRPr="002B1FF0" w:rsidRDefault="002B1FF0" w:rsidP="002B1FF0">
      <w:pPr>
        <w:rPr>
          <w:rFonts w:cs="Arial"/>
          <w:sz w:val="22"/>
          <w:szCs w:val="22"/>
        </w:rPr>
      </w:pPr>
    </w:p>
    <w:p w14:paraId="0670E257" w14:textId="38EFA1F0" w:rsidR="002B1FF0" w:rsidRPr="002B1FF0" w:rsidRDefault="000932CF"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_Ref149212293 \w \h </w:instrText>
      </w:r>
      <w:r>
        <w:rPr>
          <w:rFonts w:cs="Arial"/>
          <w:sz w:val="22"/>
          <w:szCs w:val="22"/>
        </w:rPr>
      </w:r>
      <w:r>
        <w:rPr>
          <w:rFonts w:cs="Arial"/>
          <w:sz w:val="22"/>
          <w:szCs w:val="22"/>
        </w:rPr>
        <w:fldChar w:fldCharType="separate"/>
      </w:r>
      <w:r w:rsidR="0027336D">
        <w:rPr>
          <w:rFonts w:cs="Arial"/>
          <w:sz w:val="22"/>
          <w:szCs w:val="22"/>
        </w:rPr>
        <w:t>9.1</w:t>
      </w:r>
      <w:r>
        <w:rPr>
          <w:rFonts w:cs="Arial"/>
          <w:sz w:val="22"/>
          <w:szCs w:val="22"/>
        </w:rPr>
        <w:fldChar w:fldCharType="end"/>
      </w:r>
      <w:r>
        <w:rPr>
          <w:rFonts w:cs="Arial"/>
          <w:sz w:val="22"/>
          <w:szCs w:val="22"/>
        </w:rPr>
        <w:t xml:space="preserve">. </w:t>
      </w:r>
    </w:p>
    <w:p w14:paraId="54D6A219" w14:textId="77777777" w:rsidR="00E64F39" w:rsidRDefault="00E64F39" w:rsidP="001A43D3">
      <w:pPr>
        <w:jc w:val="left"/>
        <w:rPr>
          <w:i/>
          <w:iCs/>
          <w:sz w:val="22"/>
        </w:rPr>
      </w:pPr>
    </w:p>
    <w:p w14:paraId="59817B67" w14:textId="77777777" w:rsidR="00E64F39" w:rsidRDefault="00E64F39" w:rsidP="001A43D3">
      <w:pPr>
        <w:jc w:val="left"/>
        <w:rPr>
          <w:i/>
          <w:iCs/>
          <w:sz w:val="22"/>
        </w:rPr>
      </w:pPr>
    </w:p>
    <w:p w14:paraId="4B0D8940" w14:textId="442DBAEF" w:rsidR="00E64F39" w:rsidRDefault="001A43D3" w:rsidP="0049586D">
      <w:pPr>
        <w:pStyle w:val="Ttulo2"/>
      </w:pPr>
      <w:bookmarkStart w:id="193" w:name="_Toc158211524"/>
      <w:r w:rsidRPr="00A25B16">
        <w:t>LEWIS ENERGY COLOMBIA INC</w:t>
      </w:r>
      <w:bookmarkEnd w:id="193"/>
      <w:r w:rsidRPr="00A25B16">
        <w:tab/>
      </w:r>
    </w:p>
    <w:p w14:paraId="54654E0E" w14:textId="79063607" w:rsidR="001A43D3" w:rsidRPr="00A25B16" w:rsidRDefault="001A43D3" w:rsidP="001A43D3">
      <w:pPr>
        <w:jc w:val="left"/>
        <w:rPr>
          <w:i/>
          <w:iCs/>
          <w:sz w:val="22"/>
        </w:rPr>
      </w:pPr>
      <w:r w:rsidRPr="00A25B16">
        <w:rPr>
          <w:i/>
          <w:iCs/>
          <w:sz w:val="22"/>
        </w:rPr>
        <w:t xml:space="preserve">"La determinación de las semanas laborales como medida de la duración del suministro de gas natural presupone una ineficiencia, toda vez que el gas natural no entregado entre sábado y domingo se constituiría como un energético que no puede ser entregado al mercado. Esto, entonces, contraría la intención inherente a la expedición de esta resolución, cual es flexibilizar la entrada de nuevas cantidades de gas natural al mercado. </w:t>
      </w:r>
    </w:p>
    <w:p w14:paraId="4D7050A4" w14:textId="77777777" w:rsidR="001A43D3" w:rsidRPr="00A25B16" w:rsidRDefault="001A43D3" w:rsidP="001A43D3">
      <w:pPr>
        <w:jc w:val="left"/>
        <w:rPr>
          <w:i/>
          <w:iCs/>
          <w:sz w:val="22"/>
        </w:rPr>
      </w:pPr>
    </w:p>
    <w:p w14:paraId="68D29072" w14:textId="77777777" w:rsidR="001A43D3" w:rsidRPr="00A25B16" w:rsidRDefault="001A43D3" w:rsidP="001A43D3">
      <w:pPr>
        <w:jc w:val="left"/>
        <w:rPr>
          <w:i/>
          <w:iCs/>
          <w:sz w:val="22"/>
        </w:rPr>
      </w:pPr>
      <w:r w:rsidRPr="00A25B16">
        <w:rPr>
          <w:i/>
          <w:iCs/>
          <w:sz w:val="22"/>
        </w:rPr>
        <w:t xml:space="preserve">En este sentido, es nuestra consideración que la duración de estos contratos debe poder ser pactada en una medida distinta de las semanas laborales, mitigando cualquier ineficiencia en un lapso en particular de una semana. Lo anterior, sumado además a las particularidades de nuestros campos en los cuales operativamente no es viable abrir y cerrar suministro en los fines de semana. </w:t>
      </w:r>
    </w:p>
    <w:p w14:paraId="70FC62B1" w14:textId="77777777" w:rsidR="001A43D3" w:rsidRPr="00A25B16" w:rsidRDefault="001A43D3" w:rsidP="001A43D3">
      <w:pPr>
        <w:jc w:val="left"/>
        <w:rPr>
          <w:i/>
          <w:iCs/>
          <w:sz w:val="22"/>
        </w:rPr>
      </w:pPr>
    </w:p>
    <w:p w14:paraId="1D63151E" w14:textId="77777777" w:rsidR="001A43D3" w:rsidRPr="00A25B16" w:rsidRDefault="001A43D3" w:rsidP="001A43D3">
      <w:pPr>
        <w:jc w:val="left"/>
        <w:rPr>
          <w:i/>
          <w:iCs/>
          <w:sz w:val="22"/>
        </w:rPr>
      </w:pPr>
      <w:r w:rsidRPr="00A25B16">
        <w:rPr>
          <w:i/>
          <w:iCs/>
          <w:sz w:val="22"/>
        </w:rPr>
        <w:t xml:space="preserve">Por favor confirmar que, en atención al literal (c) del numeral (i) del parágrafo 2 transitorio del artículo 9 de la Resolución CREG 186, es optativo de los participantes del mercado primario pactar una duración contractual diferente a semanas laborales. </w:t>
      </w:r>
    </w:p>
    <w:p w14:paraId="7D2DDA44" w14:textId="77777777" w:rsidR="001A43D3" w:rsidRPr="00A25B16" w:rsidRDefault="001A43D3" w:rsidP="001A43D3">
      <w:pPr>
        <w:jc w:val="left"/>
        <w:rPr>
          <w:i/>
          <w:iCs/>
          <w:sz w:val="22"/>
        </w:rPr>
      </w:pPr>
    </w:p>
    <w:p w14:paraId="631B4FA6" w14:textId="77777777" w:rsidR="001A43D3" w:rsidRPr="00A25B16" w:rsidRDefault="001A43D3" w:rsidP="001A43D3">
      <w:pPr>
        <w:jc w:val="left"/>
        <w:rPr>
          <w:i/>
          <w:iCs/>
          <w:sz w:val="22"/>
        </w:rPr>
      </w:pPr>
      <w:r w:rsidRPr="00A25B16">
        <w:rPr>
          <w:i/>
          <w:iCs/>
          <w:sz w:val="22"/>
        </w:rPr>
        <w:t>En caso de no ser así, por favor incorporar una disposición expresa que permita a los agentes tener una duración encaminada a entregar gas de manera permanante en beneficio de la eficiencia del mercado de gas natural y la operatividad de los campos en producción. "</w:t>
      </w:r>
    </w:p>
    <w:p w14:paraId="346F4A19" w14:textId="77777777" w:rsidR="00E64F39" w:rsidRDefault="00E64F39" w:rsidP="001A43D3">
      <w:pPr>
        <w:jc w:val="left"/>
        <w:rPr>
          <w:i/>
          <w:iCs/>
          <w:sz w:val="22"/>
        </w:rPr>
      </w:pPr>
    </w:p>
    <w:p w14:paraId="7B5A4EA6" w14:textId="77777777" w:rsidR="002B1FF0" w:rsidRPr="002B1FF0" w:rsidRDefault="002B1FF0" w:rsidP="002B1FF0">
      <w:pPr>
        <w:rPr>
          <w:rFonts w:cs="Arial"/>
          <w:b/>
          <w:bCs/>
          <w:sz w:val="22"/>
          <w:szCs w:val="22"/>
        </w:rPr>
      </w:pPr>
      <w:r w:rsidRPr="002B1FF0">
        <w:rPr>
          <w:rFonts w:cs="Arial"/>
          <w:b/>
          <w:bCs/>
          <w:sz w:val="22"/>
          <w:szCs w:val="22"/>
        </w:rPr>
        <w:t>RESPUESTA:</w:t>
      </w:r>
    </w:p>
    <w:p w14:paraId="52883EAC" w14:textId="77777777" w:rsidR="002B1FF0" w:rsidRPr="002B1FF0" w:rsidRDefault="002B1FF0" w:rsidP="002B1FF0">
      <w:pPr>
        <w:rPr>
          <w:rFonts w:cs="Arial"/>
          <w:sz w:val="22"/>
          <w:szCs w:val="22"/>
        </w:rPr>
      </w:pPr>
    </w:p>
    <w:p w14:paraId="7BF7DA35" w14:textId="77777777" w:rsidR="006C7202" w:rsidRDefault="006C7202" w:rsidP="002B1FF0">
      <w:pPr>
        <w:rPr>
          <w:rFonts w:cs="Arial"/>
          <w:sz w:val="22"/>
          <w:szCs w:val="22"/>
        </w:rPr>
      </w:pPr>
      <w:r>
        <w:rPr>
          <w:rFonts w:cs="Arial"/>
          <w:sz w:val="22"/>
          <w:szCs w:val="22"/>
        </w:rPr>
        <w:t xml:space="preserve">Las duraciones contractuales propuestas en el Proyecto de Resolución son optativas, es decir, en un contrato se pueden pactar duraciones de suministro en semanas laborales o en semanas calendario. Si el vendedor o el comprador no consideran que el contrato de duración en semana laboral no se acomoda bien para aumentar su venta de cantidades disponibles para venta en firme o para atender el perfil de consumo de los usuarios finales que atiende, puede escoger utilizar el contrato en semana calendario. </w:t>
      </w:r>
    </w:p>
    <w:p w14:paraId="027CAEBE" w14:textId="77777777" w:rsidR="006C7202" w:rsidRDefault="006C7202" w:rsidP="002B1FF0">
      <w:pPr>
        <w:rPr>
          <w:rFonts w:cs="Arial"/>
          <w:sz w:val="22"/>
          <w:szCs w:val="22"/>
        </w:rPr>
      </w:pPr>
    </w:p>
    <w:p w14:paraId="4FD93CCD" w14:textId="45B9544C" w:rsidR="002B1FF0" w:rsidRPr="002B1FF0" w:rsidRDefault="006C7202" w:rsidP="002B1FF0">
      <w:pPr>
        <w:rPr>
          <w:rFonts w:cs="Arial"/>
          <w:sz w:val="22"/>
          <w:szCs w:val="22"/>
        </w:rPr>
      </w:pPr>
      <w:r>
        <w:rPr>
          <w:rFonts w:cs="Arial"/>
          <w:sz w:val="22"/>
          <w:szCs w:val="22"/>
        </w:rPr>
        <w:t xml:space="preserve">En la resolución definitiva se incluyen duraciones contractuales adicionales, que se insiste, son optativas  </w:t>
      </w:r>
    </w:p>
    <w:p w14:paraId="6F71BC6F" w14:textId="77777777" w:rsidR="00E64F39" w:rsidRDefault="00E64F39" w:rsidP="001A43D3">
      <w:pPr>
        <w:jc w:val="left"/>
        <w:rPr>
          <w:i/>
          <w:iCs/>
          <w:sz w:val="22"/>
        </w:rPr>
      </w:pPr>
    </w:p>
    <w:p w14:paraId="13D087D6" w14:textId="77777777" w:rsidR="00E64F39" w:rsidRDefault="00E64F39" w:rsidP="001A43D3">
      <w:pPr>
        <w:jc w:val="left"/>
        <w:rPr>
          <w:i/>
          <w:iCs/>
          <w:sz w:val="22"/>
        </w:rPr>
      </w:pPr>
    </w:p>
    <w:p w14:paraId="59F351EA" w14:textId="7E22A6C6" w:rsidR="00E64F39" w:rsidRDefault="00684ACA" w:rsidP="0049586D">
      <w:pPr>
        <w:pStyle w:val="Ttulo2"/>
      </w:pPr>
      <w:bookmarkStart w:id="194" w:name="_Ref149213227"/>
      <w:bookmarkStart w:id="195" w:name="_Ref149213374"/>
      <w:bookmarkStart w:id="196" w:name="_Toc158211525"/>
      <w:r>
        <w:t>M</w:t>
      </w:r>
      <w:r w:rsidR="001A43D3" w:rsidRPr="00A25B16">
        <w:t>ADIGAS INGENIEROS SA ESP</w:t>
      </w:r>
      <w:bookmarkEnd w:id="194"/>
      <w:bookmarkEnd w:id="195"/>
      <w:bookmarkEnd w:id="196"/>
      <w:r w:rsidR="001A43D3" w:rsidRPr="00A25B16">
        <w:tab/>
      </w:r>
    </w:p>
    <w:p w14:paraId="29CB7157" w14:textId="45096B42" w:rsidR="001A43D3" w:rsidRPr="00A25B16" w:rsidRDefault="001A43D3" w:rsidP="001A43D3">
      <w:pPr>
        <w:jc w:val="left"/>
        <w:rPr>
          <w:i/>
          <w:iCs/>
          <w:sz w:val="22"/>
        </w:rPr>
      </w:pPr>
      <w:r w:rsidRPr="00A25B16">
        <w:rPr>
          <w:i/>
          <w:iCs/>
          <w:sz w:val="22"/>
        </w:rPr>
        <w:t>"Teniendo en cuenta que las empresas que no tienen estabilidad contractual para atender sus mercados regulados, quedaría desprotegidos en los meses de septiembre a noviembre, que en teoría comenzaría a regir los próximos contratos de largo plazo en mercado regulado y en el entendido, que en la próxima oferta de gas se le daría prioridad a este mercado. Este articulado deber</w:t>
      </w:r>
      <w:r w:rsidR="006C7202">
        <w:rPr>
          <w:i/>
          <w:iCs/>
          <w:sz w:val="22"/>
        </w:rPr>
        <w:t>í</w:t>
      </w:r>
      <w:r w:rsidRPr="00A25B16">
        <w:rPr>
          <w:i/>
          <w:iCs/>
          <w:sz w:val="22"/>
        </w:rPr>
        <w:t>a aplicar indistintamente de la fuente, sea en campos menores o campos mayores, así como se de la posibilidad que la fecha de terminaci</w:t>
      </w:r>
      <w:r w:rsidR="006C7202">
        <w:rPr>
          <w:i/>
          <w:iCs/>
          <w:sz w:val="22"/>
        </w:rPr>
        <w:t>ó</w:t>
      </w:r>
      <w:r w:rsidRPr="00A25B16">
        <w:rPr>
          <w:i/>
          <w:iCs/>
          <w:sz w:val="22"/>
        </w:rPr>
        <w:t>n de los contratos sea en cualquier mes que transcurra antes del 30 de noviembre. Se propone:</w:t>
      </w:r>
    </w:p>
    <w:p w14:paraId="7CC7EEDE" w14:textId="77777777" w:rsidR="001A43D3" w:rsidRPr="00A25B16" w:rsidRDefault="001A43D3" w:rsidP="001A43D3">
      <w:pPr>
        <w:jc w:val="left"/>
        <w:rPr>
          <w:i/>
          <w:iCs/>
          <w:sz w:val="22"/>
        </w:rPr>
      </w:pPr>
    </w:p>
    <w:p w14:paraId="1D23B9CE" w14:textId="2A2C0747" w:rsidR="001A43D3" w:rsidRPr="00A25B16" w:rsidRDefault="001A43D3" w:rsidP="006C7202">
      <w:pPr>
        <w:ind w:left="708"/>
        <w:jc w:val="left"/>
        <w:rPr>
          <w:i/>
          <w:iCs/>
          <w:sz w:val="22"/>
        </w:rPr>
      </w:pPr>
      <w:r w:rsidRPr="00A25B16">
        <w:rPr>
          <w:i/>
          <w:iCs/>
          <w:sz w:val="22"/>
        </w:rPr>
        <w:t>Artículo 9. Adici</w:t>
      </w:r>
      <w:r w:rsidR="006C7202">
        <w:rPr>
          <w:i/>
          <w:iCs/>
          <w:sz w:val="22"/>
        </w:rPr>
        <w:t>ó</w:t>
      </w:r>
      <w:r w:rsidRPr="00A25B16">
        <w:rPr>
          <w:i/>
          <w:iCs/>
          <w:sz w:val="22"/>
        </w:rPr>
        <w:t>nese el parágrafo 2 Transitorio al articulo 20  ""Contratos objeto de las negociaciones directas en cualquier momento del año"" y al articulo 22 ""Negociación de contratos de largo plazo"" de la Resolución CREG 186 de 2020</w:t>
      </w:r>
    </w:p>
    <w:p w14:paraId="7E9BD0C0" w14:textId="77777777" w:rsidR="001A43D3" w:rsidRPr="00A25B16" w:rsidRDefault="001A43D3" w:rsidP="006C7202">
      <w:pPr>
        <w:ind w:left="708"/>
        <w:jc w:val="left"/>
        <w:rPr>
          <w:i/>
          <w:iCs/>
          <w:sz w:val="22"/>
        </w:rPr>
      </w:pPr>
    </w:p>
    <w:p w14:paraId="3AA44971" w14:textId="4F56D5CE" w:rsidR="001A43D3" w:rsidRPr="00A25B16" w:rsidRDefault="001A43D3" w:rsidP="006C7202">
      <w:pPr>
        <w:ind w:left="708"/>
        <w:jc w:val="left"/>
        <w:rPr>
          <w:i/>
          <w:iCs/>
          <w:sz w:val="22"/>
        </w:rPr>
      </w:pPr>
      <w:r w:rsidRPr="00A25B16">
        <w:rPr>
          <w:i/>
          <w:iCs/>
          <w:sz w:val="22"/>
        </w:rPr>
        <w:t xml:space="preserve"> Parágrafo 2 transitorio.  Los contratos celebrados en vigencia de la presente resolución tendrán la duración que acuerden las partes, y podrán tener como fecha de terminación el último día calendario de cualquier mes que transcurra antes del 30 de noviembre de 2024, con sujeción a lo establecido en el numeral i.) del Parágrafo 2 transitorio al Artículo 9 de la presente</w:t>
      </w:r>
      <w:r w:rsidR="006C7202">
        <w:rPr>
          <w:i/>
          <w:iCs/>
          <w:sz w:val="22"/>
        </w:rPr>
        <w:t xml:space="preserve"> </w:t>
      </w:r>
      <w:r w:rsidRPr="00A25B16">
        <w:rPr>
          <w:i/>
          <w:iCs/>
          <w:sz w:val="22"/>
        </w:rPr>
        <w:t>Resolución. "</w:t>
      </w:r>
    </w:p>
    <w:p w14:paraId="56E36513" w14:textId="77777777" w:rsidR="00E64F39" w:rsidRDefault="00E64F39" w:rsidP="001A43D3">
      <w:pPr>
        <w:jc w:val="left"/>
        <w:rPr>
          <w:i/>
          <w:iCs/>
          <w:sz w:val="22"/>
        </w:rPr>
      </w:pPr>
    </w:p>
    <w:p w14:paraId="25750F09" w14:textId="77777777" w:rsidR="002B1FF0" w:rsidRPr="002B1FF0" w:rsidRDefault="002B1FF0" w:rsidP="002B1FF0">
      <w:pPr>
        <w:rPr>
          <w:rFonts w:cs="Arial"/>
          <w:b/>
          <w:bCs/>
          <w:sz w:val="22"/>
          <w:szCs w:val="22"/>
        </w:rPr>
      </w:pPr>
      <w:r w:rsidRPr="002B1FF0">
        <w:rPr>
          <w:rFonts w:cs="Arial"/>
          <w:b/>
          <w:bCs/>
          <w:sz w:val="22"/>
          <w:szCs w:val="22"/>
        </w:rPr>
        <w:t>RESPUESTA:</w:t>
      </w:r>
    </w:p>
    <w:p w14:paraId="16CE884A" w14:textId="77777777" w:rsidR="002B1FF0" w:rsidRPr="002B1FF0" w:rsidRDefault="002B1FF0" w:rsidP="002B1FF0">
      <w:pPr>
        <w:rPr>
          <w:rFonts w:cs="Arial"/>
          <w:sz w:val="22"/>
          <w:szCs w:val="22"/>
        </w:rPr>
      </w:pPr>
    </w:p>
    <w:p w14:paraId="0C4F4552" w14:textId="144E7F4F" w:rsidR="002B1FF0" w:rsidRDefault="002B2F2C" w:rsidP="002B1FF0">
      <w:pPr>
        <w:rPr>
          <w:rFonts w:cs="Arial"/>
          <w:sz w:val="22"/>
          <w:szCs w:val="22"/>
        </w:rPr>
      </w:pPr>
      <w:r>
        <w:rPr>
          <w:rFonts w:cs="Arial"/>
          <w:sz w:val="22"/>
          <w:szCs w:val="22"/>
        </w:rPr>
        <w:t>La propuesta presentada permite la aplicación del mecanismo de negociaciones directas, tanto para las fuentes de suministro incluidas en el Artículo 19, como las demás fuentes de suministro</w:t>
      </w:r>
      <w:r w:rsidR="00E56C04">
        <w:rPr>
          <w:rFonts w:cs="Arial"/>
          <w:sz w:val="22"/>
          <w:szCs w:val="22"/>
        </w:rPr>
        <w:t xml:space="preserve"> incluido el gas obtenido en el exterior</w:t>
      </w:r>
      <w:r>
        <w:rPr>
          <w:rFonts w:cs="Arial"/>
          <w:sz w:val="22"/>
          <w:szCs w:val="22"/>
        </w:rPr>
        <w:t xml:space="preserve">. </w:t>
      </w:r>
    </w:p>
    <w:p w14:paraId="4EBF47C2" w14:textId="77777777" w:rsidR="002B2F2C" w:rsidRDefault="002B2F2C" w:rsidP="002B1FF0">
      <w:pPr>
        <w:rPr>
          <w:rFonts w:cs="Arial"/>
          <w:sz w:val="22"/>
          <w:szCs w:val="22"/>
        </w:rPr>
      </w:pPr>
    </w:p>
    <w:p w14:paraId="371ACE6B" w14:textId="4DBAE2BF" w:rsidR="002B2F2C" w:rsidRPr="002B1FF0" w:rsidRDefault="002B2F2C" w:rsidP="002B1FF0">
      <w:pPr>
        <w:rPr>
          <w:rFonts w:cs="Arial"/>
          <w:sz w:val="22"/>
          <w:szCs w:val="22"/>
        </w:rPr>
      </w:pPr>
      <w:r>
        <w:rPr>
          <w:rFonts w:cs="Arial"/>
          <w:sz w:val="22"/>
          <w:szCs w:val="22"/>
        </w:rPr>
        <w:t xml:space="preserve">Sobre la duración de ejecución máxima se ha propuesto el 1 de </w:t>
      </w:r>
      <w:r w:rsidR="00E90F01">
        <w:rPr>
          <w:rFonts w:cs="Arial"/>
          <w:sz w:val="22"/>
          <w:szCs w:val="22"/>
        </w:rPr>
        <w:t>noviembre</w:t>
      </w:r>
      <w:r>
        <w:rPr>
          <w:rFonts w:cs="Arial"/>
          <w:sz w:val="22"/>
          <w:szCs w:val="22"/>
        </w:rPr>
        <w:t xml:space="preserve"> de 2024, </w:t>
      </w:r>
      <w:r w:rsidR="00534FEA">
        <w:rPr>
          <w:rFonts w:cs="Arial"/>
          <w:sz w:val="22"/>
          <w:szCs w:val="22"/>
        </w:rPr>
        <w:t xml:space="preserve">en previsión de que para </w:t>
      </w:r>
      <w:r w:rsidR="00E90F01">
        <w:rPr>
          <w:rFonts w:cs="Arial"/>
          <w:sz w:val="22"/>
          <w:szCs w:val="22"/>
        </w:rPr>
        <w:t xml:space="preserve">antes de dicha fecha </w:t>
      </w:r>
      <w:r w:rsidR="00534FEA">
        <w:rPr>
          <w:rFonts w:cs="Arial"/>
          <w:sz w:val="22"/>
          <w:szCs w:val="22"/>
        </w:rPr>
        <w:t xml:space="preserve">se hayan podido publicar los ajustes a la Resolución CREG 186 de 2020 publicados en el Proyecto de Resolución CREG 702 003 de 2023, con un esquema más consolidado, armonioso y competitivo.  </w:t>
      </w:r>
    </w:p>
    <w:p w14:paraId="392AC448" w14:textId="77777777" w:rsidR="00E64F39" w:rsidRDefault="00E64F39" w:rsidP="001A43D3">
      <w:pPr>
        <w:jc w:val="left"/>
        <w:rPr>
          <w:i/>
          <w:iCs/>
          <w:sz w:val="22"/>
        </w:rPr>
      </w:pPr>
    </w:p>
    <w:p w14:paraId="27121A00" w14:textId="77777777" w:rsidR="00E64F39" w:rsidRDefault="00E64F39" w:rsidP="001A43D3">
      <w:pPr>
        <w:jc w:val="left"/>
        <w:rPr>
          <w:i/>
          <w:iCs/>
          <w:sz w:val="22"/>
        </w:rPr>
      </w:pPr>
    </w:p>
    <w:p w14:paraId="432C3A2E" w14:textId="777DD643" w:rsidR="00E64F39" w:rsidRDefault="001A43D3" w:rsidP="0049586D">
      <w:pPr>
        <w:pStyle w:val="Ttulo2"/>
      </w:pPr>
      <w:bookmarkStart w:id="197" w:name="_Toc158211526"/>
      <w:r w:rsidRPr="00A25B16">
        <w:t>Naturgas</w:t>
      </w:r>
      <w:bookmarkEnd w:id="197"/>
      <w:r w:rsidRPr="00A25B16">
        <w:tab/>
      </w:r>
    </w:p>
    <w:p w14:paraId="4BA238E9" w14:textId="6EB05B44" w:rsidR="001A43D3" w:rsidRPr="00A25B16" w:rsidRDefault="001A43D3" w:rsidP="001A43D3">
      <w:pPr>
        <w:jc w:val="left"/>
        <w:rPr>
          <w:i/>
          <w:iCs/>
          <w:sz w:val="22"/>
        </w:rPr>
      </w:pPr>
      <w:r w:rsidRPr="00A25B16">
        <w:rPr>
          <w:i/>
          <w:iCs/>
          <w:sz w:val="22"/>
        </w:rPr>
        <w:t>"Se establece que ""Los contratos celebrados en vigencia de la presente resolución tendrán la duración que acuerden las partes, y podrán tener como fecha de terminación el último día calendario de cualquier mes que transcurra antes del 31 de agosto de 2024, con sujeción a lo establecido en el numeral i.) del Parágrafo 2 transitorio al Artículo 9 de la presente Resolución"".</w:t>
      </w:r>
    </w:p>
    <w:p w14:paraId="296E19B7" w14:textId="77777777" w:rsidR="001A43D3" w:rsidRPr="00A25B16" w:rsidRDefault="001A43D3" w:rsidP="001A43D3">
      <w:pPr>
        <w:jc w:val="left"/>
        <w:rPr>
          <w:i/>
          <w:iCs/>
          <w:sz w:val="22"/>
        </w:rPr>
      </w:pPr>
    </w:p>
    <w:p w14:paraId="7FDD3780" w14:textId="77777777" w:rsidR="001A43D3" w:rsidRDefault="001A43D3" w:rsidP="001A43D3">
      <w:pPr>
        <w:jc w:val="left"/>
        <w:rPr>
          <w:i/>
          <w:iCs/>
          <w:sz w:val="22"/>
        </w:rPr>
      </w:pPr>
      <w:r w:rsidRPr="00A25B16">
        <w:rPr>
          <w:i/>
          <w:iCs/>
          <w:sz w:val="22"/>
        </w:rPr>
        <w:t>De esta disposición se entiende que si se transa un contrato el 31 de mayo de 2024, fecha límite de la transición, la duración de ese contrato sería máximo hasta el 31 de agosto de 2024. Agradecemos precisar el entendimiento que se debe tener sobre esta disposición para que no haya lugar a interpretaciones en el futuro.</w:t>
      </w:r>
    </w:p>
    <w:p w14:paraId="10F67CB9" w14:textId="77777777" w:rsidR="00B76277" w:rsidRDefault="00B76277" w:rsidP="001A43D3">
      <w:pPr>
        <w:jc w:val="left"/>
        <w:rPr>
          <w:i/>
          <w:iCs/>
          <w:sz w:val="22"/>
        </w:rPr>
      </w:pPr>
    </w:p>
    <w:p w14:paraId="2885E5B1" w14:textId="77777777" w:rsidR="00B76277" w:rsidRDefault="00B76277" w:rsidP="00B76277">
      <w:pPr>
        <w:rPr>
          <w:rFonts w:cs="Arial"/>
          <w:b/>
          <w:bCs/>
          <w:sz w:val="22"/>
          <w:szCs w:val="22"/>
        </w:rPr>
      </w:pPr>
      <w:r w:rsidRPr="002B1FF0">
        <w:rPr>
          <w:rFonts w:cs="Arial"/>
          <w:b/>
          <w:bCs/>
          <w:sz w:val="22"/>
          <w:szCs w:val="22"/>
        </w:rPr>
        <w:t>RESPUESTA:</w:t>
      </w:r>
    </w:p>
    <w:p w14:paraId="57928805" w14:textId="77777777" w:rsidR="00B76277" w:rsidRDefault="00B76277" w:rsidP="00B76277">
      <w:pPr>
        <w:rPr>
          <w:rFonts w:cs="Arial"/>
          <w:b/>
          <w:bCs/>
          <w:sz w:val="22"/>
          <w:szCs w:val="22"/>
        </w:rPr>
      </w:pPr>
    </w:p>
    <w:p w14:paraId="5DDF4914" w14:textId="73F560B3" w:rsidR="00B76277" w:rsidRPr="00B76277" w:rsidRDefault="00B76277" w:rsidP="00B76277">
      <w:pPr>
        <w:rPr>
          <w:rFonts w:cs="Arial"/>
          <w:sz w:val="22"/>
          <w:szCs w:val="22"/>
        </w:rPr>
      </w:pPr>
      <w:r w:rsidRPr="00B76277">
        <w:rPr>
          <w:rFonts w:cs="Arial"/>
          <w:sz w:val="22"/>
          <w:szCs w:val="22"/>
        </w:rPr>
        <w:t>Ver respue</w:t>
      </w:r>
      <w:r>
        <w:rPr>
          <w:rFonts w:cs="Arial"/>
          <w:sz w:val="22"/>
          <w:szCs w:val="22"/>
        </w:rPr>
        <w:t>s</w:t>
      </w:r>
      <w:r w:rsidRPr="00B76277">
        <w:rPr>
          <w:rFonts w:cs="Arial"/>
          <w:sz w:val="22"/>
          <w:szCs w:val="22"/>
        </w:rPr>
        <w:t xml:space="preserve">ta al comentario </w:t>
      </w:r>
      <w:r>
        <w:rPr>
          <w:rFonts w:cs="Arial"/>
          <w:sz w:val="22"/>
          <w:szCs w:val="22"/>
        </w:rPr>
        <w:fldChar w:fldCharType="begin"/>
      </w:r>
      <w:r>
        <w:rPr>
          <w:rFonts w:cs="Arial"/>
          <w:sz w:val="22"/>
          <w:szCs w:val="22"/>
        </w:rPr>
        <w:instrText xml:space="preserve"> REF _Ref149213151 \w \h </w:instrText>
      </w:r>
      <w:r>
        <w:rPr>
          <w:rFonts w:cs="Arial"/>
          <w:sz w:val="22"/>
          <w:szCs w:val="22"/>
        </w:rPr>
      </w:r>
      <w:r>
        <w:rPr>
          <w:rFonts w:cs="Arial"/>
          <w:sz w:val="22"/>
          <w:szCs w:val="22"/>
        </w:rPr>
        <w:fldChar w:fldCharType="separate"/>
      </w:r>
      <w:r w:rsidR="0027336D">
        <w:rPr>
          <w:rFonts w:cs="Arial"/>
          <w:sz w:val="22"/>
          <w:szCs w:val="22"/>
        </w:rPr>
        <w:t>9.1</w:t>
      </w:r>
      <w:r>
        <w:rPr>
          <w:rFonts w:cs="Arial"/>
          <w:sz w:val="22"/>
          <w:szCs w:val="22"/>
        </w:rPr>
        <w:fldChar w:fldCharType="end"/>
      </w:r>
      <w:r>
        <w:rPr>
          <w:rFonts w:cs="Arial"/>
          <w:sz w:val="22"/>
          <w:szCs w:val="22"/>
        </w:rPr>
        <w:t>.</w:t>
      </w:r>
    </w:p>
    <w:p w14:paraId="476D6932" w14:textId="77777777" w:rsidR="00B76277" w:rsidRDefault="00B76277" w:rsidP="001A43D3">
      <w:pPr>
        <w:jc w:val="left"/>
        <w:rPr>
          <w:i/>
          <w:iCs/>
          <w:sz w:val="22"/>
        </w:rPr>
      </w:pPr>
    </w:p>
    <w:p w14:paraId="013C84A7" w14:textId="77777777" w:rsidR="00B76277" w:rsidRPr="00A25B16" w:rsidRDefault="00B76277" w:rsidP="001A43D3">
      <w:pPr>
        <w:jc w:val="left"/>
        <w:rPr>
          <w:i/>
          <w:iCs/>
          <w:sz w:val="22"/>
        </w:rPr>
      </w:pPr>
    </w:p>
    <w:p w14:paraId="72D03348" w14:textId="77777777" w:rsidR="00B76277" w:rsidRDefault="00B76277" w:rsidP="00B76277">
      <w:pPr>
        <w:pStyle w:val="Ttulo2"/>
      </w:pPr>
      <w:bookmarkStart w:id="198" w:name="_Toc158211527"/>
      <w:r w:rsidRPr="00A25B16">
        <w:t>Naturgas</w:t>
      </w:r>
      <w:bookmarkEnd w:id="198"/>
      <w:r w:rsidRPr="00A25B16">
        <w:tab/>
      </w:r>
    </w:p>
    <w:p w14:paraId="76B7B869" w14:textId="329F50F1" w:rsidR="001A43D3" w:rsidRDefault="001A43D3" w:rsidP="001A43D3">
      <w:pPr>
        <w:jc w:val="left"/>
        <w:rPr>
          <w:i/>
          <w:iCs/>
          <w:sz w:val="22"/>
        </w:rPr>
      </w:pPr>
      <w:r w:rsidRPr="00A25B16">
        <w:rPr>
          <w:i/>
          <w:iCs/>
          <w:sz w:val="22"/>
        </w:rPr>
        <w:t>Adicionalmente, se debe tener en cuenta que algunos casos de producción local adicional, e.g. reactivación de pozos, pueden requerir contratos de por lo menos un año de duración para viabilizar su comercialización. De igual manera, la importación de gas a través de la planta SPEC, para demanda distinta a la térmica, requiere contratos de mediano plazo, e.g. un año.  Por tanto, es necesario considerar alternativas de contratos que se pacten durante la transición pero que puedan ir más allá del 31 de agosto de 2024 para viabilizar estos casos. "</w:t>
      </w:r>
    </w:p>
    <w:p w14:paraId="4BD54E99" w14:textId="77777777" w:rsidR="00E64F39" w:rsidRDefault="00E64F39" w:rsidP="001A43D3">
      <w:pPr>
        <w:jc w:val="left"/>
        <w:rPr>
          <w:i/>
          <w:iCs/>
          <w:sz w:val="22"/>
        </w:rPr>
      </w:pPr>
    </w:p>
    <w:p w14:paraId="6845A6C3" w14:textId="77777777" w:rsidR="002B1FF0" w:rsidRPr="002B1FF0" w:rsidRDefault="002B1FF0" w:rsidP="002B1FF0">
      <w:pPr>
        <w:rPr>
          <w:rFonts w:cs="Arial"/>
          <w:b/>
          <w:bCs/>
          <w:sz w:val="22"/>
          <w:szCs w:val="22"/>
        </w:rPr>
      </w:pPr>
      <w:r w:rsidRPr="002B1FF0">
        <w:rPr>
          <w:rFonts w:cs="Arial"/>
          <w:b/>
          <w:bCs/>
          <w:sz w:val="22"/>
          <w:szCs w:val="22"/>
        </w:rPr>
        <w:t>RESPUESTA:</w:t>
      </w:r>
    </w:p>
    <w:p w14:paraId="531B6D7E" w14:textId="77777777" w:rsidR="002B1FF0" w:rsidRPr="002B1FF0" w:rsidRDefault="002B1FF0" w:rsidP="002B1FF0">
      <w:pPr>
        <w:rPr>
          <w:rFonts w:cs="Arial"/>
          <w:sz w:val="22"/>
          <w:szCs w:val="22"/>
        </w:rPr>
      </w:pPr>
    </w:p>
    <w:p w14:paraId="5E444EC4" w14:textId="48E3D78F" w:rsidR="002B1FF0" w:rsidRPr="002B1FF0" w:rsidRDefault="00E56C04" w:rsidP="002B1FF0">
      <w:pPr>
        <w:rPr>
          <w:rFonts w:cs="Arial"/>
          <w:sz w:val="22"/>
          <w:szCs w:val="22"/>
        </w:rPr>
      </w:pPr>
      <w:r>
        <w:rPr>
          <w:rFonts w:cs="Arial"/>
          <w:sz w:val="22"/>
          <w:szCs w:val="22"/>
        </w:rPr>
        <w:t xml:space="preserve">Ver repuesta al </w:t>
      </w:r>
      <w:r w:rsidR="00FB1901">
        <w:rPr>
          <w:rFonts w:cs="Arial"/>
          <w:sz w:val="22"/>
          <w:szCs w:val="22"/>
        </w:rPr>
        <w:t xml:space="preserve">comentario </w:t>
      </w:r>
      <w:r w:rsidR="00FB1901">
        <w:rPr>
          <w:rFonts w:cs="Arial"/>
          <w:sz w:val="22"/>
          <w:szCs w:val="22"/>
        </w:rPr>
        <w:fldChar w:fldCharType="begin"/>
      </w:r>
      <w:r w:rsidR="00FB1901">
        <w:rPr>
          <w:rFonts w:cs="Arial"/>
          <w:sz w:val="22"/>
          <w:szCs w:val="22"/>
        </w:rPr>
        <w:instrText xml:space="preserve"> REF _Ref149024381 \w \h </w:instrText>
      </w:r>
      <w:r w:rsidR="00FB1901">
        <w:rPr>
          <w:rFonts w:cs="Arial"/>
          <w:sz w:val="22"/>
          <w:szCs w:val="22"/>
        </w:rPr>
      </w:r>
      <w:r w:rsidR="00FB1901">
        <w:rPr>
          <w:rFonts w:cs="Arial"/>
          <w:sz w:val="22"/>
          <w:szCs w:val="22"/>
        </w:rPr>
        <w:fldChar w:fldCharType="separate"/>
      </w:r>
      <w:r w:rsidR="0027336D">
        <w:rPr>
          <w:rFonts w:cs="Arial"/>
          <w:sz w:val="22"/>
          <w:szCs w:val="22"/>
        </w:rPr>
        <w:t>2.3</w:t>
      </w:r>
      <w:r w:rsidR="00FB1901">
        <w:rPr>
          <w:rFonts w:cs="Arial"/>
          <w:sz w:val="22"/>
          <w:szCs w:val="22"/>
        </w:rPr>
        <w:fldChar w:fldCharType="end"/>
      </w:r>
      <w:r w:rsidR="00FB1901">
        <w:rPr>
          <w:rFonts w:cs="Arial"/>
          <w:sz w:val="22"/>
          <w:szCs w:val="22"/>
        </w:rPr>
        <w:t xml:space="preserve"> y al </w:t>
      </w:r>
      <w:r>
        <w:rPr>
          <w:rFonts w:cs="Arial"/>
          <w:sz w:val="22"/>
          <w:szCs w:val="22"/>
        </w:rPr>
        <w:t xml:space="preserve">comentario </w:t>
      </w:r>
      <w:r>
        <w:rPr>
          <w:rFonts w:cs="Arial"/>
          <w:sz w:val="22"/>
          <w:szCs w:val="22"/>
        </w:rPr>
        <w:fldChar w:fldCharType="begin"/>
      </w:r>
      <w:r>
        <w:rPr>
          <w:rFonts w:cs="Arial"/>
          <w:sz w:val="22"/>
          <w:szCs w:val="22"/>
        </w:rPr>
        <w:instrText xml:space="preserve"> REF _Ref149213227 \w \h </w:instrText>
      </w:r>
      <w:r>
        <w:rPr>
          <w:rFonts w:cs="Arial"/>
          <w:sz w:val="22"/>
          <w:szCs w:val="22"/>
        </w:rPr>
      </w:r>
      <w:r>
        <w:rPr>
          <w:rFonts w:cs="Arial"/>
          <w:sz w:val="22"/>
          <w:szCs w:val="22"/>
        </w:rPr>
        <w:fldChar w:fldCharType="separate"/>
      </w:r>
      <w:r w:rsidR="0027336D">
        <w:rPr>
          <w:rFonts w:cs="Arial"/>
          <w:sz w:val="22"/>
          <w:szCs w:val="22"/>
        </w:rPr>
        <w:t>9.5</w:t>
      </w:r>
      <w:r>
        <w:rPr>
          <w:rFonts w:cs="Arial"/>
          <w:sz w:val="22"/>
          <w:szCs w:val="22"/>
        </w:rPr>
        <w:fldChar w:fldCharType="end"/>
      </w:r>
      <w:r>
        <w:rPr>
          <w:rFonts w:cs="Arial"/>
          <w:sz w:val="22"/>
          <w:szCs w:val="22"/>
        </w:rPr>
        <w:t>.</w:t>
      </w:r>
    </w:p>
    <w:p w14:paraId="7D4C2EB0" w14:textId="77777777" w:rsidR="00E64F39" w:rsidRDefault="00E64F39" w:rsidP="001A43D3">
      <w:pPr>
        <w:jc w:val="left"/>
        <w:rPr>
          <w:i/>
          <w:iCs/>
          <w:sz w:val="22"/>
        </w:rPr>
      </w:pPr>
    </w:p>
    <w:p w14:paraId="412F9735" w14:textId="77777777" w:rsidR="00E64F39" w:rsidRPr="00A25B16" w:rsidRDefault="00E64F39" w:rsidP="001A43D3">
      <w:pPr>
        <w:jc w:val="left"/>
        <w:rPr>
          <w:i/>
          <w:iCs/>
          <w:sz w:val="22"/>
        </w:rPr>
      </w:pPr>
    </w:p>
    <w:p w14:paraId="01C6B653" w14:textId="5945C5CA" w:rsidR="00E64F39" w:rsidRDefault="001A43D3" w:rsidP="0049586D">
      <w:pPr>
        <w:pStyle w:val="Ttulo2"/>
      </w:pPr>
      <w:bookmarkStart w:id="199" w:name="_Toc158211528"/>
      <w:r w:rsidRPr="00A25B16">
        <w:t>SANTAFÉ ENERGY</w:t>
      </w:r>
      <w:bookmarkEnd w:id="199"/>
      <w:r w:rsidRPr="00A25B16">
        <w:tab/>
      </w:r>
    </w:p>
    <w:p w14:paraId="65659E39" w14:textId="77777777" w:rsidR="00E64F39" w:rsidRDefault="00E64F39" w:rsidP="001A43D3">
      <w:pPr>
        <w:jc w:val="left"/>
        <w:rPr>
          <w:i/>
          <w:iCs/>
          <w:sz w:val="22"/>
        </w:rPr>
      </w:pPr>
      <w:r>
        <w:rPr>
          <w:i/>
          <w:iCs/>
          <w:sz w:val="22"/>
        </w:rPr>
        <w:t>“</w:t>
      </w:r>
      <w:r w:rsidR="001A43D3" w:rsidRPr="00A25B16">
        <w:rPr>
          <w:i/>
          <w:iCs/>
          <w:sz w:val="22"/>
        </w:rPr>
        <w:t>El limite contractual de 31 de agosto no logra cubrir el año de gas. Sugerimos que los periodos contractuales sean por el año de gas.</w:t>
      </w:r>
      <w:r>
        <w:rPr>
          <w:i/>
          <w:iCs/>
          <w:sz w:val="22"/>
        </w:rPr>
        <w:t>”</w:t>
      </w:r>
    </w:p>
    <w:p w14:paraId="2686C7FE" w14:textId="77777777" w:rsidR="00E64F39" w:rsidRDefault="00E64F39" w:rsidP="001A43D3">
      <w:pPr>
        <w:jc w:val="left"/>
        <w:rPr>
          <w:i/>
          <w:iCs/>
          <w:sz w:val="22"/>
        </w:rPr>
      </w:pPr>
    </w:p>
    <w:p w14:paraId="5F074030" w14:textId="77777777" w:rsidR="002B1FF0" w:rsidRPr="002B1FF0" w:rsidRDefault="002B1FF0" w:rsidP="002B1FF0">
      <w:pPr>
        <w:rPr>
          <w:rFonts w:cs="Arial"/>
          <w:b/>
          <w:bCs/>
          <w:sz w:val="22"/>
          <w:szCs w:val="22"/>
        </w:rPr>
      </w:pPr>
      <w:r w:rsidRPr="002B1FF0">
        <w:rPr>
          <w:rFonts w:cs="Arial"/>
          <w:b/>
          <w:bCs/>
          <w:sz w:val="22"/>
          <w:szCs w:val="22"/>
        </w:rPr>
        <w:t>RESPUESTA:</w:t>
      </w:r>
    </w:p>
    <w:p w14:paraId="34365FBC" w14:textId="77777777" w:rsidR="002B1FF0" w:rsidRPr="002B1FF0" w:rsidRDefault="002B1FF0" w:rsidP="002B1FF0">
      <w:pPr>
        <w:rPr>
          <w:rFonts w:cs="Arial"/>
          <w:sz w:val="22"/>
          <w:szCs w:val="22"/>
        </w:rPr>
      </w:pPr>
    </w:p>
    <w:p w14:paraId="25037CA0" w14:textId="691216AC" w:rsidR="002B1FF0" w:rsidRPr="002B1FF0" w:rsidRDefault="00565BB2"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_Ref149213374 \w \h </w:instrText>
      </w:r>
      <w:r>
        <w:rPr>
          <w:rFonts w:cs="Arial"/>
          <w:sz w:val="22"/>
          <w:szCs w:val="22"/>
        </w:rPr>
      </w:r>
      <w:r>
        <w:rPr>
          <w:rFonts w:cs="Arial"/>
          <w:sz w:val="22"/>
          <w:szCs w:val="22"/>
        </w:rPr>
        <w:fldChar w:fldCharType="separate"/>
      </w:r>
      <w:r w:rsidR="0027336D">
        <w:rPr>
          <w:rFonts w:cs="Arial"/>
          <w:sz w:val="22"/>
          <w:szCs w:val="22"/>
        </w:rPr>
        <w:t>9.5</w:t>
      </w:r>
      <w:r>
        <w:rPr>
          <w:rFonts w:cs="Arial"/>
          <w:sz w:val="22"/>
          <w:szCs w:val="22"/>
        </w:rPr>
        <w:fldChar w:fldCharType="end"/>
      </w:r>
      <w:r>
        <w:rPr>
          <w:rFonts w:cs="Arial"/>
          <w:sz w:val="22"/>
          <w:szCs w:val="22"/>
        </w:rPr>
        <w:t>.</w:t>
      </w:r>
    </w:p>
    <w:p w14:paraId="44E6ECC2" w14:textId="77777777" w:rsidR="00E64F39" w:rsidRDefault="00E64F39" w:rsidP="001A43D3">
      <w:pPr>
        <w:jc w:val="left"/>
        <w:rPr>
          <w:i/>
          <w:iCs/>
          <w:sz w:val="22"/>
        </w:rPr>
      </w:pPr>
    </w:p>
    <w:p w14:paraId="012A8A63" w14:textId="1BB33437" w:rsidR="001A43D3" w:rsidRPr="00A25B16" w:rsidRDefault="001A43D3" w:rsidP="001A43D3">
      <w:pPr>
        <w:jc w:val="left"/>
        <w:rPr>
          <w:i/>
          <w:iCs/>
          <w:sz w:val="22"/>
        </w:rPr>
      </w:pPr>
      <w:r w:rsidRPr="00A25B16">
        <w:rPr>
          <w:i/>
          <w:iCs/>
          <w:sz w:val="22"/>
        </w:rPr>
        <w:t xml:space="preserve"> </w:t>
      </w:r>
    </w:p>
    <w:p w14:paraId="5D7F2ABB" w14:textId="2BDF60DB" w:rsidR="00E64F39" w:rsidRDefault="001A43D3" w:rsidP="0049586D">
      <w:pPr>
        <w:pStyle w:val="Ttulo2"/>
      </w:pPr>
      <w:bookmarkStart w:id="200" w:name="_Toc158211529"/>
      <w:r w:rsidRPr="00A25B16">
        <w:t>VANTI</w:t>
      </w:r>
      <w:bookmarkEnd w:id="200"/>
      <w:r w:rsidRPr="00A25B16">
        <w:tab/>
      </w:r>
    </w:p>
    <w:p w14:paraId="580B9D5A" w14:textId="6A92C65F" w:rsidR="001A43D3" w:rsidRDefault="001A43D3" w:rsidP="001A43D3">
      <w:pPr>
        <w:jc w:val="left"/>
        <w:rPr>
          <w:i/>
          <w:iCs/>
          <w:sz w:val="22"/>
        </w:rPr>
      </w:pPr>
      <w:r w:rsidRPr="00A25B16">
        <w:rPr>
          <w:i/>
          <w:iCs/>
          <w:sz w:val="22"/>
        </w:rPr>
        <w:t>"El parágrafo 2 transitorio del artículo 9 establece que los contratos celebrados mientras se encuentre vigente la resolución en consulta tendrán como fecha máxima de terminación el 31 de agosto de 2024. Sin embargo, de acuerdo con el artículo 17 la vigencia de esta resolución es hasta el 31 de mayo de 2024.</w:t>
      </w:r>
    </w:p>
    <w:p w14:paraId="5AE70A08" w14:textId="77777777" w:rsidR="00D95302" w:rsidRPr="00A25B16" w:rsidRDefault="00D95302" w:rsidP="001A43D3">
      <w:pPr>
        <w:jc w:val="left"/>
        <w:rPr>
          <w:i/>
          <w:iCs/>
          <w:sz w:val="22"/>
        </w:rPr>
      </w:pPr>
    </w:p>
    <w:p w14:paraId="7A8EDCB3" w14:textId="50A07809" w:rsidR="001A43D3" w:rsidRPr="00A25B16" w:rsidRDefault="001A43D3" w:rsidP="001A43D3">
      <w:pPr>
        <w:jc w:val="left"/>
        <w:rPr>
          <w:i/>
          <w:iCs/>
          <w:sz w:val="22"/>
        </w:rPr>
      </w:pPr>
      <w:r w:rsidRPr="00A25B16">
        <w:rPr>
          <w:i/>
          <w:iCs/>
          <w:sz w:val="22"/>
        </w:rPr>
        <w:t>Se propone a la Comisión que defina una única fecha, puesto que se pueden presentar confusiones al momento de celebrar contratos de acuerdo con las modalidades existentes y a las incluidas en la resolución en consulta."</w:t>
      </w:r>
    </w:p>
    <w:p w14:paraId="5C27C2E6" w14:textId="77777777" w:rsidR="001A43D3" w:rsidRPr="00A25B16" w:rsidRDefault="001A43D3" w:rsidP="001A43D3">
      <w:pPr>
        <w:jc w:val="left"/>
        <w:rPr>
          <w:i/>
          <w:iCs/>
          <w:sz w:val="22"/>
        </w:rPr>
      </w:pPr>
    </w:p>
    <w:p w14:paraId="797B0460" w14:textId="77777777" w:rsidR="002B1FF0" w:rsidRPr="002B1FF0" w:rsidRDefault="002B1FF0" w:rsidP="002B1FF0">
      <w:pPr>
        <w:rPr>
          <w:rFonts w:cs="Arial"/>
          <w:b/>
          <w:bCs/>
          <w:sz w:val="22"/>
          <w:szCs w:val="22"/>
        </w:rPr>
      </w:pPr>
      <w:r w:rsidRPr="002B1FF0">
        <w:rPr>
          <w:rFonts w:cs="Arial"/>
          <w:b/>
          <w:bCs/>
          <w:sz w:val="22"/>
          <w:szCs w:val="22"/>
        </w:rPr>
        <w:t>RESPUESTA:</w:t>
      </w:r>
    </w:p>
    <w:p w14:paraId="7F63D414" w14:textId="77777777" w:rsidR="002B1FF0" w:rsidRDefault="002B1FF0" w:rsidP="002B1FF0">
      <w:pPr>
        <w:rPr>
          <w:rFonts w:cs="Arial"/>
          <w:sz w:val="22"/>
          <w:szCs w:val="22"/>
        </w:rPr>
      </w:pPr>
    </w:p>
    <w:p w14:paraId="6D47A1E2" w14:textId="77BFE2E8" w:rsidR="00D95302" w:rsidRPr="002B1FF0" w:rsidRDefault="00D95302"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_Ref149213405 \w \h </w:instrText>
      </w:r>
      <w:r>
        <w:rPr>
          <w:rFonts w:cs="Arial"/>
          <w:sz w:val="22"/>
          <w:szCs w:val="22"/>
        </w:rPr>
      </w:r>
      <w:r>
        <w:rPr>
          <w:rFonts w:cs="Arial"/>
          <w:sz w:val="22"/>
          <w:szCs w:val="22"/>
        </w:rPr>
        <w:fldChar w:fldCharType="separate"/>
      </w:r>
      <w:r w:rsidR="0027336D">
        <w:rPr>
          <w:rFonts w:cs="Arial"/>
          <w:sz w:val="22"/>
          <w:szCs w:val="22"/>
        </w:rPr>
        <w:t>9.1</w:t>
      </w:r>
      <w:r>
        <w:rPr>
          <w:rFonts w:cs="Arial"/>
          <w:sz w:val="22"/>
          <w:szCs w:val="22"/>
        </w:rPr>
        <w:fldChar w:fldCharType="end"/>
      </w:r>
      <w:r>
        <w:rPr>
          <w:rFonts w:cs="Arial"/>
          <w:sz w:val="22"/>
          <w:szCs w:val="22"/>
        </w:rPr>
        <w:t>.</w:t>
      </w:r>
    </w:p>
    <w:p w14:paraId="33CBF130" w14:textId="77777777" w:rsidR="002B1FF0" w:rsidRPr="002B1FF0" w:rsidRDefault="002B1FF0" w:rsidP="002B1FF0">
      <w:pPr>
        <w:rPr>
          <w:rFonts w:cs="Arial"/>
          <w:sz w:val="22"/>
          <w:szCs w:val="22"/>
        </w:rPr>
      </w:pPr>
    </w:p>
    <w:p w14:paraId="7761753A" w14:textId="77777777" w:rsidR="001A43D3" w:rsidRPr="00A25B16" w:rsidRDefault="001A43D3" w:rsidP="001A43D3">
      <w:pPr>
        <w:jc w:val="left"/>
        <w:rPr>
          <w:i/>
          <w:iCs/>
          <w:sz w:val="22"/>
        </w:rPr>
      </w:pPr>
    </w:p>
    <w:p w14:paraId="23EAFBC4" w14:textId="49DEC08F" w:rsidR="001A43D3" w:rsidRDefault="0049586D" w:rsidP="0049586D">
      <w:pPr>
        <w:pStyle w:val="Ttulo1"/>
      </w:pPr>
      <w:bookmarkStart w:id="201" w:name="_Toc158211530"/>
      <w:r>
        <w:t>ARTÍCULO 10</w:t>
      </w:r>
      <w:bookmarkEnd w:id="201"/>
    </w:p>
    <w:p w14:paraId="0772868A" w14:textId="1AEAE583" w:rsidR="00E64F39" w:rsidRDefault="00684ACA" w:rsidP="0049586D">
      <w:pPr>
        <w:pStyle w:val="Ttulo2"/>
      </w:pPr>
      <w:bookmarkStart w:id="202" w:name="_Toc158211531"/>
      <w:r>
        <w:t>A</w:t>
      </w:r>
      <w:r w:rsidR="001A43D3" w:rsidRPr="00A25B16">
        <w:t>NDEG</w:t>
      </w:r>
      <w:bookmarkEnd w:id="202"/>
      <w:r w:rsidR="001A43D3" w:rsidRPr="00A25B16">
        <w:tab/>
      </w:r>
    </w:p>
    <w:p w14:paraId="15CF5A91" w14:textId="7A07163D" w:rsidR="001A43D3" w:rsidRDefault="001A43D3" w:rsidP="001A43D3">
      <w:pPr>
        <w:jc w:val="left"/>
        <w:rPr>
          <w:i/>
          <w:iCs/>
          <w:sz w:val="22"/>
        </w:rPr>
      </w:pPr>
      <w:r w:rsidRPr="00A25B16">
        <w:rPr>
          <w:i/>
          <w:iCs/>
          <w:sz w:val="22"/>
        </w:rPr>
        <w:t>"Al no permitir la participación de la generación térmica en los mecanismos de priorización contemplados en la propuesta regulatoria, se estaría reduciendo aún más el mercado de gas natural en Colombia en cerca del 40% en la medida en que la generación térmica, a 2023, representa cerca del 33% de las cantidades contratadas en el mercado primario de gas natural, presentado en la Figura 4, a través de productos que responden al perfil de consumo de la demanda térmica de gas natural, presentado en la Figura 5. A todas luces, la propuesta regulatoria contenida en la Resolución 702 005 de 2023 contraería el mercado de gas, y por ende, la liquidez en las transacciones.</w:t>
      </w:r>
    </w:p>
    <w:p w14:paraId="366A4A1C" w14:textId="77777777" w:rsidR="0013018A" w:rsidRDefault="0013018A" w:rsidP="001A43D3">
      <w:pPr>
        <w:jc w:val="left"/>
        <w:rPr>
          <w:i/>
          <w:iCs/>
          <w:sz w:val="22"/>
        </w:rPr>
      </w:pPr>
    </w:p>
    <w:p w14:paraId="4ED1E3CC" w14:textId="77777777" w:rsidR="0013018A" w:rsidRDefault="0013018A" w:rsidP="0013018A">
      <w:pPr>
        <w:rPr>
          <w:rFonts w:cs="Arial"/>
          <w:b/>
          <w:bCs/>
          <w:sz w:val="22"/>
          <w:szCs w:val="22"/>
        </w:rPr>
      </w:pPr>
      <w:r w:rsidRPr="002B1FF0">
        <w:rPr>
          <w:rFonts w:cs="Arial"/>
          <w:b/>
          <w:bCs/>
          <w:sz w:val="22"/>
          <w:szCs w:val="22"/>
        </w:rPr>
        <w:t>RESPUESTA:</w:t>
      </w:r>
    </w:p>
    <w:p w14:paraId="1F67E79B" w14:textId="77777777" w:rsidR="0013018A" w:rsidRDefault="0013018A" w:rsidP="0013018A">
      <w:pPr>
        <w:rPr>
          <w:rFonts w:cs="Arial"/>
          <w:b/>
          <w:bCs/>
          <w:sz w:val="22"/>
          <w:szCs w:val="22"/>
        </w:rPr>
      </w:pPr>
    </w:p>
    <w:p w14:paraId="763BF948" w14:textId="795DD42D" w:rsidR="0013018A" w:rsidRPr="005C5EAE" w:rsidRDefault="0013018A" w:rsidP="0013018A">
      <w:pPr>
        <w:jc w:val="left"/>
        <w:rPr>
          <w:sz w:val="22"/>
        </w:rPr>
      </w:pPr>
      <w:r w:rsidRPr="005C5EAE">
        <w:rPr>
          <w:sz w:val="22"/>
        </w:rPr>
        <w:t xml:space="preserve">Ver respuesta al </w:t>
      </w:r>
      <w:r>
        <w:rPr>
          <w:sz w:val="22"/>
        </w:rPr>
        <w:t xml:space="preserve">comentario </w:t>
      </w:r>
      <w:r>
        <w:rPr>
          <w:sz w:val="22"/>
        </w:rPr>
        <w:fldChar w:fldCharType="begin"/>
      </w:r>
      <w:r>
        <w:rPr>
          <w:sz w:val="22"/>
        </w:rPr>
        <w:instrText xml:space="preserve"> REF _Ref149196838 \w \h </w:instrText>
      </w:r>
      <w:r>
        <w:rPr>
          <w:sz w:val="22"/>
        </w:rPr>
      </w:r>
      <w:r>
        <w:rPr>
          <w:sz w:val="22"/>
        </w:rPr>
        <w:fldChar w:fldCharType="separate"/>
      </w:r>
      <w:r w:rsidR="0027336D">
        <w:rPr>
          <w:sz w:val="22"/>
        </w:rPr>
        <w:t>8.2</w:t>
      </w:r>
      <w:r>
        <w:rPr>
          <w:sz w:val="22"/>
        </w:rPr>
        <w:fldChar w:fldCharType="end"/>
      </w:r>
      <w:r>
        <w:rPr>
          <w:sz w:val="22"/>
        </w:rPr>
        <w:t xml:space="preserve"> y al comentario </w:t>
      </w:r>
      <w:r>
        <w:rPr>
          <w:sz w:val="22"/>
        </w:rPr>
        <w:fldChar w:fldCharType="begin"/>
      </w:r>
      <w:r>
        <w:rPr>
          <w:sz w:val="22"/>
        </w:rPr>
        <w:instrText xml:space="preserve"> REF _Ref149196849 \w \h </w:instrText>
      </w:r>
      <w:r>
        <w:rPr>
          <w:sz w:val="22"/>
        </w:rPr>
      </w:r>
      <w:r>
        <w:rPr>
          <w:sz w:val="22"/>
        </w:rPr>
        <w:fldChar w:fldCharType="separate"/>
      </w:r>
      <w:r w:rsidR="0027336D">
        <w:rPr>
          <w:sz w:val="22"/>
        </w:rPr>
        <w:t>8.9</w:t>
      </w:r>
      <w:r>
        <w:rPr>
          <w:sz w:val="22"/>
        </w:rPr>
        <w:fldChar w:fldCharType="end"/>
      </w:r>
      <w:r>
        <w:rPr>
          <w:sz w:val="22"/>
        </w:rPr>
        <w:t>.</w:t>
      </w:r>
    </w:p>
    <w:p w14:paraId="60AC744B" w14:textId="77777777" w:rsidR="0013018A" w:rsidRDefault="0013018A" w:rsidP="001A43D3">
      <w:pPr>
        <w:jc w:val="left"/>
        <w:rPr>
          <w:i/>
          <w:iCs/>
          <w:sz w:val="22"/>
        </w:rPr>
      </w:pPr>
    </w:p>
    <w:p w14:paraId="4B513489" w14:textId="34CB5768" w:rsidR="0013018A" w:rsidRPr="0013018A" w:rsidRDefault="0013018A" w:rsidP="001A43D3">
      <w:pPr>
        <w:jc w:val="left"/>
        <w:rPr>
          <w:sz w:val="22"/>
        </w:rPr>
      </w:pPr>
      <w:r w:rsidRPr="0013018A">
        <w:rPr>
          <w:sz w:val="22"/>
        </w:rPr>
        <w:t>Por otra parte</w:t>
      </w:r>
      <w:r>
        <w:rPr>
          <w:sz w:val="22"/>
        </w:rPr>
        <w:t>, si el volumen de gas natural que se ofrece en el Mercado Primario es finalmente contratado en su totalidad, independientemente de cuál es el destino inicial que tiene ese volumen de gas y de si para ello se tuvo en cuenta una priorización del tipo de demanda, no se entiende por qué se plantea en el comentario que se presenta una contracción del mercado de gas por efectos de que en la priorización de la demanda no se incluya a la demanda del sector de generación térmica. Al final, se está contratando tod</w:t>
      </w:r>
      <w:r w:rsidR="002C6FC6">
        <w:rPr>
          <w:sz w:val="22"/>
        </w:rPr>
        <w:t>a</w:t>
      </w:r>
      <w:r>
        <w:rPr>
          <w:sz w:val="22"/>
        </w:rPr>
        <w:t xml:space="preserve"> la oferta de gas natural puesta en el mercado por los vendedores del Mercado Primario, que en caso de darse excedentes de compra, los mismos deberían tener salida en el Mercado Secundario, en el cual pueden participar como compradores los comercializadores que atienden esa demanda del sector térmico</w:t>
      </w:r>
      <w:r w:rsidR="006560B4">
        <w:rPr>
          <w:sz w:val="22"/>
        </w:rPr>
        <w:t xml:space="preserve"> en el Mercado Minorista</w:t>
      </w:r>
      <w:r>
        <w:rPr>
          <w:sz w:val="22"/>
        </w:rPr>
        <w:t xml:space="preserve">.   </w:t>
      </w:r>
    </w:p>
    <w:p w14:paraId="36B95537" w14:textId="77777777" w:rsidR="0013018A" w:rsidRDefault="0013018A" w:rsidP="001A43D3">
      <w:pPr>
        <w:jc w:val="left"/>
        <w:rPr>
          <w:i/>
          <w:iCs/>
          <w:sz w:val="22"/>
        </w:rPr>
      </w:pPr>
    </w:p>
    <w:p w14:paraId="46AAB684" w14:textId="77777777" w:rsidR="0013018A" w:rsidRPr="00A25B16" w:rsidRDefault="0013018A" w:rsidP="001A43D3">
      <w:pPr>
        <w:jc w:val="left"/>
        <w:rPr>
          <w:i/>
          <w:iCs/>
          <w:sz w:val="22"/>
        </w:rPr>
      </w:pPr>
    </w:p>
    <w:p w14:paraId="3E3D811E" w14:textId="77777777" w:rsidR="0013018A" w:rsidRDefault="0013018A" w:rsidP="0013018A">
      <w:pPr>
        <w:pStyle w:val="Ttulo2"/>
      </w:pPr>
      <w:bookmarkStart w:id="203" w:name="_Toc158211532"/>
      <w:r>
        <w:t>A</w:t>
      </w:r>
      <w:r w:rsidRPr="00A25B16">
        <w:t>NDEG</w:t>
      </w:r>
      <w:bookmarkEnd w:id="203"/>
      <w:r w:rsidRPr="00A25B16">
        <w:tab/>
      </w:r>
    </w:p>
    <w:p w14:paraId="7089AE6C" w14:textId="77777777" w:rsidR="001A43D3" w:rsidRDefault="001A43D3" w:rsidP="001A43D3">
      <w:pPr>
        <w:jc w:val="left"/>
        <w:rPr>
          <w:i/>
          <w:iCs/>
          <w:sz w:val="22"/>
        </w:rPr>
      </w:pPr>
      <w:r w:rsidRPr="00A25B16">
        <w:rPr>
          <w:i/>
          <w:iCs/>
          <w:sz w:val="22"/>
        </w:rPr>
        <w:t>En el contexto anterior, los planteamientos de la propuesta regulatoria aportan a la consolidación de la posición dominante de los productores- comercializadores, al habilitar a estos agentes para el diseño y aplicación de los mecanismos de comercialización de la producción, los cuales, si bien deben estar vigilados y supervisados por la Superintendencia, podrían generar barreras de acceso a la demanda con lo que se restringiría aún más el mercado de gas natural, al no permitirle a la demanda térmica acceder a productos y cantidades que le permiten dinamizar al mercado secundario de gas.</w:t>
      </w:r>
    </w:p>
    <w:p w14:paraId="6D9959AA" w14:textId="77777777" w:rsidR="00CF5C25" w:rsidRDefault="00CF5C25" w:rsidP="001A43D3">
      <w:pPr>
        <w:jc w:val="left"/>
        <w:rPr>
          <w:i/>
          <w:iCs/>
          <w:sz w:val="22"/>
        </w:rPr>
      </w:pPr>
    </w:p>
    <w:p w14:paraId="084E378B" w14:textId="77777777" w:rsidR="00CF5C25" w:rsidRPr="002B1FF0" w:rsidRDefault="00CF5C25" w:rsidP="00CF5C25">
      <w:pPr>
        <w:rPr>
          <w:rFonts w:cs="Arial"/>
          <w:b/>
          <w:bCs/>
          <w:sz w:val="22"/>
          <w:szCs w:val="22"/>
        </w:rPr>
      </w:pPr>
      <w:r w:rsidRPr="002B1FF0">
        <w:rPr>
          <w:rFonts w:cs="Arial"/>
          <w:b/>
          <w:bCs/>
          <w:sz w:val="22"/>
          <w:szCs w:val="22"/>
        </w:rPr>
        <w:t>RESPUESTA:</w:t>
      </w:r>
    </w:p>
    <w:p w14:paraId="5965C34D" w14:textId="77777777" w:rsidR="00CF5C25" w:rsidRDefault="00CF5C25" w:rsidP="001A43D3">
      <w:pPr>
        <w:jc w:val="left"/>
        <w:rPr>
          <w:i/>
          <w:iCs/>
          <w:sz w:val="22"/>
        </w:rPr>
      </w:pPr>
    </w:p>
    <w:p w14:paraId="7557F412" w14:textId="32413C7B" w:rsidR="00CF5C25" w:rsidRPr="00CF5C25" w:rsidRDefault="00CF5C25" w:rsidP="001A43D3">
      <w:pPr>
        <w:jc w:val="left"/>
        <w:rPr>
          <w:sz w:val="22"/>
        </w:rPr>
      </w:pPr>
      <w:r w:rsidRPr="00CF5C25">
        <w:rPr>
          <w:sz w:val="22"/>
        </w:rPr>
        <w:t>No se acoge el comentario.</w:t>
      </w:r>
    </w:p>
    <w:p w14:paraId="7D6A2212" w14:textId="77777777" w:rsidR="00CF5C25" w:rsidRPr="00CF5C25" w:rsidRDefault="00CF5C25" w:rsidP="001A43D3">
      <w:pPr>
        <w:jc w:val="left"/>
        <w:rPr>
          <w:sz w:val="22"/>
        </w:rPr>
      </w:pPr>
    </w:p>
    <w:p w14:paraId="765E5F44" w14:textId="09141B50" w:rsidR="00CF5C25" w:rsidRPr="00CF5C25" w:rsidRDefault="00CF5C25" w:rsidP="001A43D3">
      <w:pPr>
        <w:jc w:val="left"/>
        <w:rPr>
          <w:sz w:val="22"/>
        </w:rPr>
      </w:pPr>
      <w:r w:rsidRPr="00CF5C25">
        <w:rPr>
          <w:sz w:val="22"/>
        </w:rPr>
        <w:t>No se entendería la razón que lleve a un productor-comercializador a generar barreras de acceso a la demanda</w:t>
      </w:r>
      <w:r>
        <w:rPr>
          <w:sz w:val="22"/>
        </w:rPr>
        <w:t xml:space="preserve"> que está dispuesta a comprarle la oferta de suministro. Se parte de que el interés principal de un productor-comercializador es lograr suscribir en contratos de tipo firme, la mayor cantidad de venta de gas natural.</w:t>
      </w:r>
    </w:p>
    <w:p w14:paraId="25F4831B" w14:textId="77777777" w:rsidR="00CF5C25" w:rsidRDefault="00CF5C25" w:rsidP="001A43D3">
      <w:pPr>
        <w:jc w:val="left"/>
        <w:rPr>
          <w:i/>
          <w:iCs/>
          <w:sz w:val="22"/>
        </w:rPr>
      </w:pPr>
    </w:p>
    <w:p w14:paraId="5DE0D25B" w14:textId="77777777" w:rsidR="00CF5C25" w:rsidRPr="00A25B16" w:rsidRDefault="00CF5C25" w:rsidP="001A43D3">
      <w:pPr>
        <w:jc w:val="left"/>
        <w:rPr>
          <w:i/>
          <w:iCs/>
          <w:sz w:val="22"/>
        </w:rPr>
      </w:pPr>
    </w:p>
    <w:p w14:paraId="538973A5" w14:textId="77777777" w:rsidR="00CF5C25" w:rsidRDefault="00CF5C25" w:rsidP="00CF5C25">
      <w:pPr>
        <w:pStyle w:val="Ttulo2"/>
      </w:pPr>
      <w:bookmarkStart w:id="204" w:name="_Ref149297447"/>
      <w:bookmarkStart w:id="205" w:name="_Toc158211533"/>
      <w:r>
        <w:t>A</w:t>
      </w:r>
      <w:r w:rsidRPr="00A25B16">
        <w:t>NDEG</w:t>
      </w:r>
      <w:bookmarkEnd w:id="204"/>
      <w:bookmarkEnd w:id="205"/>
      <w:r w:rsidRPr="00A25B16">
        <w:tab/>
      </w:r>
    </w:p>
    <w:p w14:paraId="18BDBF6D" w14:textId="77777777" w:rsidR="001A43D3" w:rsidRPr="00A25B16" w:rsidRDefault="001A43D3" w:rsidP="001A43D3">
      <w:pPr>
        <w:jc w:val="left"/>
        <w:rPr>
          <w:i/>
          <w:iCs/>
          <w:sz w:val="22"/>
        </w:rPr>
      </w:pPr>
      <w:r w:rsidRPr="00A25B16">
        <w:rPr>
          <w:i/>
          <w:iCs/>
          <w:sz w:val="22"/>
        </w:rPr>
        <w:t>De esta manera, la propuesta de priorización de la Demanda Esencial, fomenta indirectamente a que el Mercado primario sea un mercado estático, basado en contratación firme de agentes particulares y coberturas de obligaciones, mientras que se plantea un mercado secundario como un esquema de compra/venta de excedentes ocasionales ante eventos específicos, reduciendo de esta forma, el volumen y liquidez del mercado mayorista de gas natural. Así las cosas, la propuesta general de la Resolución CREG 702 005 de 2023 afecta no solo al titular de los contratos sino también a aquellos que requieren suministro en el mercado diario."</w:t>
      </w:r>
    </w:p>
    <w:p w14:paraId="61890F49" w14:textId="77777777" w:rsidR="00E64F39" w:rsidRDefault="00E64F39" w:rsidP="001A43D3">
      <w:pPr>
        <w:jc w:val="left"/>
        <w:rPr>
          <w:i/>
          <w:iCs/>
          <w:sz w:val="22"/>
        </w:rPr>
      </w:pPr>
    </w:p>
    <w:p w14:paraId="012602E0" w14:textId="77777777" w:rsidR="002B1FF0" w:rsidRPr="002B1FF0" w:rsidRDefault="002B1FF0" w:rsidP="002B1FF0">
      <w:pPr>
        <w:rPr>
          <w:rFonts w:cs="Arial"/>
          <w:b/>
          <w:bCs/>
          <w:sz w:val="22"/>
          <w:szCs w:val="22"/>
        </w:rPr>
      </w:pPr>
      <w:r w:rsidRPr="002B1FF0">
        <w:rPr>
          <w:rFonts w:cs="Arial"/>
          <w:b/>
          <w:bCs/>
          <w:sz w:val="22"/>
          <w:szCs w:val="22"/>
        </w:rPr>
        <w:t>RESPUESTA:</w:t>
      </w:r>
    </w:p>
    <w:p w14:paraId="2A49085F" w14:textId="77777777" w:rsidR="002B1FF0" w:rsidRPr="002B1FF0" w:rsidRDefault="002B1FF0" w:rsidP="002B1FF0">
      <w:pPr>
        <w:rPr>
          <w:rFonts w:cs="Arial"/>
          <w:sz w:val="22"/>
          <w:szCs w:val="22"/>
        </w:rPr>
      </w:pPr>
    </w:p>
    <w:p w14:paraId="4ED2DDF1" w14:textId="2F7C47E8" w:rsidR="002B1FF0" w:rsidRDefault="00024163" w:rsidP="002B1FF0">
      <w:pPr>
        <w:rPr>
          <w:rFonts w:cs="Arial"/>
          <w:sz w:val="22"/>
          <w:szCs w:val="22"/>
        </w:rPr>
      </w:pPr>
      <w:r>
        <w:rPr>
          <w:rFonts w:cs="Arial"/>
          <w:sz w:val="22"/>
          <w:szCs w:val="22"/>
        </w:rPr>
        <w:t xml:space="preserve">El Mercado Primario es la base del Mercado Secundario. Idealmente en el Mercado Primario se deben negociar la gran mayoría de volúmenes de venta de gas natural mediante contratos de tipo firme de largo plazo, </w:t>
      </w:r>
      <w:r w:rsidR="00E76B23">
        <w:rPr>
          <w:rFonts w:cs="Arial"/>
          <w:sz w:val="22"/>
          <w:szCs w:val="22"/>
        </w:rPr>
        <w:t xml:space="preserve">a partir de la comercialización de la producción de los vendedores </w:t>
      </w:r>
      <w:r>
        <w:rPr>
          <w:rFonts w:cs="Arial"/>
          <w:sz w:val="22"/>
          <w:szCs w:val="22"/>
        </w:rPr>
        <w:t xml:space="preserve">con el fin de atender la demanda final de los compradores del Mercado Primario. En el Mercado Secundario idealmente se hacen las transacciones de más corto plazo, que obedecen a ajustes de faltantes de compra o excedentes de compra </w:t>
      </w:r>
      <w:r w:rsidR="00E76B23">
        <w:rPr>
          <w:rFonts w:cs="Arial"/>
          <w:sz w:val="22"/>
          <w:szCs w:val="22"/>
        </w:rPr>
        <w:t>d</w:t>
      </w:r>
      <w:r>
        <w:rPr>
          <w:rFonts w:cs="Arial"/>
          <w:sz w:val="22"/>
          <w:szCs w:val="22"/>
        </w:rPr>
        <w:t>e</w:t>
      </w:r>
      <w:r w:rsidR="00E76B23">
        <w:rPr>
          <w:rFonts w:cs="Arial"/>
          <w:sz w:val="22"/>
          <w:szCs w:val="22"/>
        </w:rPr>
        <w:t xml:space="preserve"> </w:t>
      </w:r>
      <w:r>
        <w:rPr>
          <w:rFonts w:cs="Arial"/>
          <w:sz w:val="22"/>
          <w:szCs w:val="22"/>
        </w:rPr>
        <w:t>l</w:t>
      </w:r>
      <w:r w:rsidR="00E76B23">
        <w:rPr>
          <w:rFonts w:cs="Arial"/>
          <w:sz w:val="22"/>
          <w:szCs w:val="22"/>
        </w:rPr>
        <w:t>os compradores del</w:t>
      </w:r>
      <w:r>
        <w:rPr>
          <w:rFonts w:cs="Arial"/>
          <w:sz w:val="22"/>
          <w:szCs w:val="22"/>
        </w:rPr>
        <w:t xml:space="preserve"> </w:t>
      </w:r>
      <w:r w:rsidR="00E76B23">
        <w:rPr>
          <w:rFonts w:cs="Arial"/>
          <w:sz w:val="22"/>
          <w:szCs w:val="22"/>
        </w:rPr>
        <w:t>M</w:t>
      </w:r>
      <w:r>
        <w:rPr>
          <w:rFonts w:cs="Arial"/>
          <w:sz w:val="22"/>
          <w:szCs w:val="22"/>
        </w:rPr>
        <w:t xml:space="preserve">ercado Primario. </w:t>
      </w:r>
    </w:p>
    <w:p w14:paraId="49B938FD" w14:textId="77777777" w:rsidR="00024163" w:rsidRDefault="00024163" w:rsidP="002B1FF0">
      <w:pPr>
        <w:rPr>
          <w:rFonts w:cs="Arial"/>
          <w:sz w:val="22"/>
          <w:szCs w:val="22"/>
        </w:rPr>
      </w:pPr>
    </w:p>
    <w:p w14:paraId="6CB938C9" w14:textId="6BCDCCC4" w:rsidR="00024163" w:rsidRPr="002B1FF0" w:rsidRDefault="00024163" w:rsidP="002B1FF0">
      <w:pPr>
        <w:rPr>
          <w:rFonts w:cs="Arial"/>
          <w:sz w:val="22"/>
          <w:szCs w:val="22"/>
        </w:rPr>
      </w:pPr>
      <w:r>
        <w:rPr>
          <w:rFonts w:cs="Arial"/>
          <w:sz w:val="22"/>
          <w:szCs w:val="22"/>
        </w:rPr>
        <w:t>Puede ocurrir que haya compradores del Mercado Primario que no atienden la demanda final, sino que básicamente logran conformar volúmenes de compra</w:t>
      </w:r>
      <w:r w:rsidR="00E76B23">
        <w:rPr>
          <w:rFonts w:cs="Arial"/>
          <w:sz w:val="22"/>
          <w:szCs w:val="22"/>
        </w:rPr>
        <w:t>,</w:t>
      </w:r>
      <w:r w:rsidR="001A7BDC">
        <w:rPr>
          <w:rFonts w:cs="Arial"/>
          <w:sz w:val="22"/>
          <w:szCs w:val="22"/>
        </w:rPr>
        <w:t xml:space="preserve"> duraciones de períodos de suministro </w:t>
      </w:r>
      <w:r w:rsidR="00E76B23">
        <w:rPr>
          <w:rFonts w:cs="Arial"/>
          <w:sz w:val="22"/>
          <w:szCs w:val="22"/>
        </w:rPr>
        <w:t xml:space="preserve">y precios, </w:t>
      </w:r>
      <w:r>
        <w:rPr>
          <w:rFonts w:cs="Arial"/>
          <w:sz w:val="22"/>
          <w:szCs w:val="22"/>
        </w:rPr>
        <w:t xml:space="preserve">que les permiten llegar a negociar con los vendedores del Mercado Primario en </w:t>
      </w:r>
      <w:r w:rsidR="002C6FC6">
        <w:rPr>
          <w:rFonts w:cs="Arial"/>
          <w:sz w:val="22"/>
          <w:szCs w:val="22"/>
        </w:rPr>
        <w:t xml:space="preserve">mejores </w:t>
      </w:r>
      <w:r>
        <w:rPr>
          <w:rFonts w:cs="Arial"/>
          <w:sz w:val="22"/>
          <w:szCs w:val="22"/>
        </w:rPr>
        <w:t>condiciones a las que podrían negociar compradores de menores consumos</w:t>
      </w:r>
      <w:r w:rsidR="001A7BDC">
        <w:rPr>
          <w:rFonts w:cs="Arial"/>
          <w:sz w:val="22"/>
          <w:szCs w:val="22"/>
        </w:rPr>
        <w:t xml:space="preserve"> y períodos de consumo muy variables</w:t>
      </w:r>
      <w:r w:rsidR="00E76B23">
        <w:rPr>
          <w:rFonts w:cs="Arial"/>
          <w:sz w:val="22"/>
          <w:szCs w:val="22"/>
        </w:rPr>
        <w:t>, por ejemplo</w:t>
      </w:r>
      <w:r>
        <w:rPr>
          <w:rFonts w:cs="Arial"/>
          <w:sz w:val="22"/>
          <w:szCs w:val="22"/>
        </w:rPr>
        <w:t>.</w:t>
      </w:r>
      <w:r w:rsidR="006631EF">
        <w:rPr>
          <w:rFonts w:cs="Arial"/>
          <w:sz w:val="22"/>
          <w:szCs w:val="22"/>
        </w:rPr>
        <w:t xml:space="preserve"> Se espera que </w:t>
      </w:r>
      <w:r w:rsidR="00E76B23">
        <w:rPr>
          <w:rFonts w:cs="Arial"/>
          <w:sz w:val="22"/>
          <w:szCs w:val="22"/>
        </w:rPr>
        <w:t>gracias a</w:t>
      </w:r>
      <w:r w:rsidR="006631EF">
        <w:rPr>
          <w:rFonts w:cs="Arial"/>
          <w:sz w:val="22"/>
          <w:szCs w:val="22"/>
        </w:rPr>
        <w:t xml:space="preserve"> ello, se aumente la eficiencia </w:t>
      </w:r>
      <w:r w:rsidR="00E76B23">
        <w:rPr>
          <w:rFonts w:cs="Arial"/>
          <w:sz w:val="22"/>
          <w:szCs w:val="22"/>
        </w:rPr>
        <w:t>en las transacciones de</w:t>
      </w:r>
      <w:r w:rsidR="006631EF">
        <w:rPr>
          <w:rFonts w:cs="Arial"/>
          <w:sz w:val="22"/>
          <w:szCs w:val="22"/>
        </w:rPr>
        <w:t>l Mercado</w:t>
      </w:r>
      <w:r w:rsidR="00E76B23">
        <w:rPr>
          <w:rFonts w:cs="Arial"/>
          <w:sz w:val="22"/>
          <w:szCs w:val="22"/>
        </w:rPr>
        <w:t xml:space="preserve"> Mayorista</w:t>
      </w:r>
      <w:r w:rsidR="006631EF">
        <w:rPr>
          <w:rFonts w:cs="Arial"/>
          <w:sz w:val="22"/>
          <w:szCs w:val="22"/>
        </w:rPr>
        <w:t xml:space="preserve">, en cuanto a que las condiciones de negociación del Mercado Secundario permitan </w:t>
      </w:r>
      <w:r w:rsidR="00E76B23">
        <w:rPr>
          <w:rFonts w:cs="Arial"/>
          <w:sz w:val="22"/>
          <w:szCs w:val="22"/>
        </w:rPr>
        <w:t xml:space="preserve">a los compradores </w:t>
      </w:r>
      <w:r w:rsidR="006631EF">
        <w:rPr>
          <w:rFonts w:cs="Arial"/>
          <w:sz w:val="22"/>
          <w:szCs w:val="22"/>
        </w:rPr>
        <w:t>obtener volúmenes de gas natural, condiciones de suministro y precios de suministro que</w:t>
      </w:r>
      <w:r w:rsidR="00E76B23">
        <w:rPr>
          <w:rFonts w:cs="Arial"/>
          <w:sz w:val="22"/>
          <w:szCs w:val="22"/>
        </w:rPr>
        <w:t>,</w:t>
      </w:r>
      <w:r w:rsidR="006631EF">
        <w:rPr>
          <w:rFonts w:cs="Arial"/>
          <w:sz w:val="22"/>
          <w:szCs w:val="22"/>
        </w:rPr>
        <w:t xml:space="preserve"> en conjunto</w:t>
      </w:r>
      <w:r w:rsidR="00E76B23">
        <w:rPr>
          <w:rFonts w:cs="Arial"/>
          <w:sz w:val="22"/>
          <w:szCs w:val="22"/>
        </w:rPr>
        <w:t>, resultan</w:t>
      </w:r>
      <w:r w:rsidR="006631EF">
        <w:rPr>
          <w:rFonts w:cs="Arial"/>
          <w:sz w:val="22"/>
          <w:szCs w:val="22"/>
        </w:rPr>
        <w:t xml:space="preserve"> </w:t>
      </w:r>
      <w:r w:rsidR="00E76B23">
        <w:rPr>
          <w:rFonts w:cs="Arial"/>
          <w:sz w:val="22"/>
          <w:szCs w:val="22"/>
        </w:rPr>
        <w:t xml:space="preserve">en </w:t>
      </w:r>
      <w:r w:rsidR="006631EF">
        <w:rPr>
          <w:rFonts w:cs="Arial"/>
          <w:sz w:val="22"/>
          <w:szCs w:val="22"/>
        </w:rPr>
        <w:t>mejores condiciones</w:t>
      </w:r>
      <w:r w:rsidR="00E76B23">
        <w:rPr>
          <w:rFonts w:cs="Arial"/>
          <w:sz w:val="22"/>
          <w:szCs w:val="22"/>
        </w:rPr>
        <w:t xml:space="preserve"> de contratación</w:t>
      </w:r>
      <w:r w:rsidR="006631EF">
        <w:rPr>
          <w:rFonts w:cs="Arial"/>
          <w:sz w:val="22"/>
          <w:szCs w:val="22"/>
        </w:rPr>
        <w:t xml:space="preserve"> y, p</w:t>
      </w:r>
      <w:r w:rsidR="00240276">
        <w:rPr>
          <w:rFonts w:cs="Arial"/>
          <w:sz w:val="22"/>
          <w:szCs w:val="22"/>
        </w:rPr>
        <w:t>o</w:t>
      </w:r>
      <w:r w:rsidR="006631EF">
        <w:rPr>
          <w:rFonts w:cs="Arial"/>
          <w:sz w:val="22"/>
          <w:szCs w:val="22"/>
        </w:rPr>
        <w:t xml:space="preserve">r tanto, menores costos, de los que </w:t>
      </w:r>
      <w:r w:rsidR="00E76B23">
        <w:rPr>
          <w:rFonts w:cs="Arial"/>
          <w:sz w:val="22"/>
          <w:szCs w:val="22"/>
        </w:rPr>
        <w:t xml:space="preserve">se </w:t>
      </w:r>
      <w:r w:rsidR="006631EF">
        <w:rPr>
          <w:rFonts w:cs="Arial"/>
          <w:sz w:val="22"/>
          <w:szCs w:val="22"/>
        </w:rPr>
        <w:t>lograrían acudiendo a la contratación en el Mercado Primario</w:t>
      </w:r>
      <w:r w:rsidR="00240276">
        <w:rPr>
          <w:rFonts w:cs="Arial"/>
          <w:sz w:val="22"/>
          <w:szCs w:val="22"/>
        </w:rPr>
        <w:t xml:space="preserve"> directamente.</w:t>
      </w:r>
    </w:p>
    <w:p w14:paraId="726D4CF1" w14:textId="77777777" w:rsidR="00E64F39" w:rsidRDefault="00E64F39" w:rsidP="001A43D3">
      <w:pPr>
        <w:jc w:val="left"/>
        <w:rPr>
          <w:i/>
          <w:iCs/>
          <w:sz w:val="22"/>
        </w:rPr>
      </w:pPr>
    </w:p>
    <w:p w14:paraId="01DA62B2" w14:textId="77777777" w:rsidR="00E64F39" w:rsidRDefault="00E64F39" w:rsidP="001A43D3">
      <w:pPr>
        <w:jc w:val="left"/>
        <w:rPr>
          <w:i/>
          <w:iCs/>
          <w:sz w:val="22"/>
        </w:rPr>
      </w:pPr>
    </w:p>
    <w:p w14:paraId="1E991B6F" w14:textId="22D6A4E1" w:rsidR="00E64F39" w:rsidRDefault="001A43D3" w:rsidP="0049586D">
      <w:pPr>
        <w:pStyle w:val="Ttulo2"/>
      </w:pPr>
      <w:bookmarkStart w:id="206" w:name="_Ref149215239"/>
      <w:bookmarkStart w:id="207" w:name="_Ref149215301"/>
      <w:bookmarkStart w:id="208" w:name="_Ref149215605"/>
      <w:bookmarkStart w:id="209" w:name="_Toc158211534"/>
      <w:r w:rsidRPr="00A25B16">
        <w:t>Andesco</w:t>
      </w:r>
      <w:bookmarkEnd w:id="206"/>
      <w:bookmarkEnd w:id="207"/>
      <w:bookmarkEnd w:id="208"/>
      <w:bookmarkEnd w:id="209"/>
      <w:r w:rsidRPr="00A25B16">
        <w:tab/>
      </w:r>
    </w:p>
    <w:p w14:paraId="426579B6" w14:textId="7CB86749" w:rsidR="001A43D3" w:rsidRPr="00A25B16" w:rsidRDefault="00E64F39" w:rsidP="001A43D3">
      <w:pPr>
        <w:jc w:val="left"/>
        <w:rPr>
          <w:i/>
          <w:iCs/>
          <w:sz w:val="22"/>
        </w:rPr>
      </w:pPr>
      <w:r>
        <w:rPr>
          <w:i/>
          <w:iCs/>
          <w:sz w:val="22"/>
        </w:rPr>
        <w:t>“</w:t>
      </w:r>
      <w:r w:rsidR="001A43D3" w:rsidRPr="00A25B16">
        <w:rPr>
          <w:i/>
          <w:iCs/>
          <w:sz w:val="22"/>
        </w:rPr>
        <w:t>El artículo 10 del proyecto del documento en consulta, hace referencia al artículo 22 “Contratos objeto de las negociaciones directas en cualquier momento del año”; no obstante, al remitirnos a la Resolución CREG 186 de 2020, el artículo 22 de esta corresponde a “Negociaciones de Largo Plazo”. Por lo tanto, vemos necesario que se ajuste este punto.</w:t>
      </w:r>
      <w:r>
        <w:rPr>
          <w:i/>
          <w:iCs/>
          <w:sz w:val="22"/>
        </w:rPr>
        <w:t>”</w:t>
      </w:r>
      <w:r w:rsidR="001A43D3" w:rsidRPr="00A25B16">
        <w:rPr>
          <w:i/>
          <w:iCs/>
          <w:sz w:val="22"/>
        </w:rPr>
        <w:t xml:space="preserve"> </w:t>
      </w:r>
    </w:p>
    <w:p w14:paraId="1C673E20" w14:textId="77777777" w:rsidR="00E64F39" w:rsidRDefault="00E64F39" w:rsidP="001A43D3">
      <w:pPr>
        <w:jc w:val="left"/>
        <w:rPr>
          <w:i/>
          <w:iCs/>
          <w:sz w:val="22"/>
        </w:rPr>
      </w:pPr>
    </w:p>
    <w:p w14:paraId="3CAC525C" w14:textId="77777777" w:rsidR="002B1FF0" w:rsidRPr="002B1FF0" w:rsidRDefault="002B1FF0" w:rsidP="002B1FF0">
      <w:pPr>
        <w:rPr>
          <w:rFonts w:cs="Arial"/>
          <w:b/>
          <w:bCs/>
          <w:sz w:val="22"/>
          <w:szCs w:val="22"/>
        </w:rPr>
      </w:pPr>
      <w:r w:rsidRPr="002B1FF0">
        <w:rPr>
          <w:rFonts w:cs="Arial"/>
          <w:b/>
          <w:bCs/>
          <w:sz w:val="22"/>
          <w:szCs w:val="22"/>
        </w:rPr>
        <w:t>RESPUESTA:</w:t>
      </w:r>
    </w:p>
    <w:p w14:paraId="2A9D7151" w14:textId="77777777" w:rsidR="003B25CC" w:rsidRDefault="003B25CC" w:rsidP="002B1FF0">
      <w:pPr>
        <w:rPr>
          <w:rFonts w:cs="Arial"/>
          <w:sz w:val="22"/>
          <w:szCs w:val="22"/>
        </w:rPr>
      </w:pPr>
    </w:p>
    <w:p w14:paraId="45B3BEA6" w14:textId="77777777" w:rsidR="00B565FA" w:rsidRDefault="00B565FA" w:rsidP="00B565FA">
      <w:pPr>
        <w:jc w:val="left"/>
        <w:rPr>
          <w:sz w:val="22"/>
        </w:rPr>
      </w:pPr>
      <w:r>
        <w:rPr>
          <w:sz w:val="22"/>
        </w:rPr>
        <w:t>Se acoge el comentario parcialmente.</w:t>
      </w:r>
    </w:p>
    <w:p w14:paraId="1BA5C338" w14:textId="77777777" w:rsidR="00B565FA" w:rsidRDefault="00B565FA" w:rsidP="00B565FA">
      <w:pPr>
        <w:jc w:val="left"/>
        <w:rPr>
          <w:sz w:val="22"/>
        </w:rPr>
      </w:pPr>
    </w:p>
    <w:p w14:paraId="413EF7D0" w14:textId="77777777" w:rsidR="00B565FA" w:rsidRDefault="00B565FA" w:rsidP="00B565FA">
      <w:pPr>
        <w:jc w:val="left"/>
        <w:rPr>
          <w:sz w:val="22"/>
        </w:rPr>
      </w:pPr>
      <w:r>
        <w:rPr>
          <w:sz w:val="22"/>
        </w:rPr>
        <w:t xml:space="preserve">La Resolución definitiva no contendrá la adición de parágrafos transitorios o de numerales transitorios a la Resolución CREG 186 de 2020, como se propuso en el Proyecto de Resolución, sino reglas adicionales a la mencionada Resolución, que son transitorias con una vigencia especificada. Cualquier regla de la Resolución CREG 186 de 2020 que sea contraria a alguna o varias de las medidas establecidas en la resolución definitiva del Proyecto de Resolución CREG 702 005 de 2023, se deroga transitoriamente durante su vigencia. Lo anterior con el fin de conformar un texto más simplificado y efectivo. </w:t>
      </w:r>
    </w:p>
    <w:p w14:paraId="6FBCFCB4" w14:textId="77777777" w:rsidR="002B1FF0" w:rsidRPr="002B1FF0" w:rsidRDefault="002B1FF0" w:rsidP="002B1FF0">
      <w:pPr>
        <w:rPr>
          <w:rFonts w:cs="Arial"/>
          <w:sz w:val="22"/>
          <w:szCs w:val="22"/>
        </w:rPr>
      </w:pPr>
    </w:p>
    <w:p w14:paraId="519A026D" w14:textId="77777777" w:rsidR="00E64F39" w:rsidRDefault="00E64F39" w:rsidP="001A43D3">
      <w:pPr>
        <w:jc w:val="left"/>
        <w:rPr>
          <w:i/>
          <w:iCs/>
          <w:sz w:val="22"/>
        </w:rPr>
      </w:pPr>
    </w:p>
    <w:p w14:paraId="57AED0F2" w14:textId="3F4555A2" w:rsidR="0092051D" w:rsidRDefault="0092051D" w:rsidP="0049586D">
      <w:pPr>
        <w:pStyle w:val="Ttulo2"/>
      </w:pPr>
      <w:bookmarkStart w:id="210" w:name="_Toc158211535"/>
      <w:r>
        <w:t>Calamarí LNG.</w:t>
      </w:r>
      <w:bookmarkEnd w:id="210"/>
    </w:p>
    <w:p w14:paraId="41F6DAB5" w14:textId="3210ADEF" w:rsidR="0092051D" w:rsidRPr="0092051D" w:rsidRDefault="0092051D" w:rsidP="0092051D">
      <w:pPr>
        <w:rPr>
          <w:i/>
          <w:iCs/>
          <w:sz w:val="22"/>
          <w:szCs w:val="22"/>
        </w:rPr>
      </w:pPr>
      <w:r w:rsidRPr="0092051D">
        <w:rPr>
          <w:sz w:val="22"/>
          <w:szCs w:val="22"/>
        </w:rPr>
        <w:t>"</w:t>
      </w:r>
      <w:r w:rsidRPr="0092051D">
        <w:rPr>
          <w:i/>
          <w:iCs/>
          <w:sz w:val="22"/>
          <w:szCs w:val="22"/>
        </w:rPr>
        <w:t>Por las condiciones de operación de la planta de regasificación, los cambios en las asignaciones pod</w:t>
      </w:r>
      <w:r>
        <w:rPr>
          <w:i/>
          <w:iCs/>
          <w:sz w:val="22"/>
          <w:szCs w:val="22"/>
        </w:rPr>
        <w:t>rí</w:t>
      </w:r>
      <w:r w:rsidRPr="0092051D">
        <w:rPr>
          <w:i/>
          <w:iCs/>
          <w:sz w:val="22"/>
          <w:szCs w:val="22"/>
        </w:rPr>
        <w:t xml:space="preserve">an ser causantes de incumplimientos de otros contratos pactados con anterioridad. </w:t>
      </w:r>
    </w:p>
    <w:p w14:paraId="3631351C" w14:textId="77777777" w:rsidR="0092051D" w:rsidRPr="0092051D" w:rsidRDefault="0092051D" w:rsidP="0092051D">
      <w:pPr>
        <w:rPr>
          <w:i/>
          <w:iCs/>
          <w:sz w:val="22"/>
          <w:szCs w:val="22"/>
        </w:rPr>
      </w:pPr>
    </w:p>
    <w:p w14:paraId="43BCC7A7" w14:textId="2C5BA957" w:rsidR="0092051D" w:rsidRPr="0092051D" w:rsidRDefault="0092051D" w:rsidP="0092051D">
      <w:pPr>
        <w:rPr>
          <w:i/>
          <w:iCs/>
          <w:sz w:val="22"/>
          <w:szCs w:val="22"/>
        </w:rPr>
      </w:pPr>
      <w:r w:rsidRPr="0092051D">
        <w:rPr>
          <w:i/>
          <w:iCs/>
          <w:sz w:val="22"/>
          <w:szCs w:val="22"/>
        </w:rPr>
        <w:t>Que las condiciones operación de la planta tengan preferencias sobre la priorización de la demanda."</w:t>
      </w:r>
    </w:p>
    <w:p w14:paraId="00559F53" w14:textId="77777777" w:rsidR="0092051D" w:rsidRPr="0092051D" w:rsidRDefault="0092051D" w:rsidP="0092051D">
      <w:pPr>
        <w:rPr>
          <w:sz w:val="22"/>
          <w:szCs w:val="22"/>
        </w:rPr>
      </w:pPr>
    </w:p>
    <w:p w14:paraId="48F021D8" w14:textId="539E3C24" w:rsidR="0092051D" w:rsidRPr="0092051D" w:rsidRDefault="0092051D" w:rsidP="0092051D">
      <w:pPr>
        <w:rPr>
          <w:b/>
          <w:bCs/>
          <w:sz w:val="22"/>
          <w:szCs w:val="22"/>
        </w:rPr>
      </w:pPr>
      <w:r w:rsidRPr="0092051D">
        <w:rPr>
          <w:b/>
          <w:bCs/>
          <w:sz w:val="22"/>
          <w:szCs w:val="22"/>
        </w:rPr>
        <w:t>RESPUESTA:</w:t>
      </w:r>
    </w:p>
    <w:p w14:paraId="63850B6E" w14:textId="77777777" w:rsidR="0092051D" w:rsidRPr="0092051D" w:rsidRDefault="0092051D" w:rsidP="0092051D">
      <w:pPr>
        <w:rPr>
          <w:sz w:val="22"/>
          <w:szCs w:val="22"/>
        </w:rPr>
      </w:pPr>
    </w:p>
    <w:p w14:paraId="62D1F973" w14:textId="1BF949AA" w:rsidR="0092051D" w:rsidRDefault="00843924" w:rsidP="0092051D">
      <w:pPr>
        <w:rPr>
          <w:sz w:val="22"/>
          <w:szCs w:val="22"/>
        </w:rPr>
      </w:pPr>
      <w:r>
        <w:rPr>
          <w:sz w:val="22"/>
          <w:szCs w:val="22"/>
        </w:rPr>
        <w:t xml:space="preserve">Ver respuesta al comentario </w:t>
      </w:r>
      <w:r w:rsidR="00EF56E9">
        <w:rPr>
          <w:sz w:val="22"/>
          <w:szCs w:val="22"/>
        </w:rPr>
        <w:fldChar w:fldCharType="begin"/>
      </w:r>
      <w:r w:rsidR="00EF56E9">
        <w:rPr>
          <w:sz w:val="22"/>
          <w:szCs w:val="22"/>
        </w:rPr>
        <w:instrText xml:space="preserve"> REF _Ref149215194 \w \h </w:instrText>
      </w:r>
      <w:r w:rsidR="00EF56E9">
        <w:rPr>
          <w:sz w:val="22"/>
          <w:szCs w:val="22"/>
        </w:rPr>
      </w:r>
      <w:r w:rsidR="00EF56E9">
        <w:rPr>
          <w:sz w:val="22"/>
          <w:szCs w:val="22"/>
        </w:rPr>
        <w:fldChar w:fldCharType="separate"/>
      </w:r>
      <w:r w:rsidR="0027336D">
        <w:rPr>
          <w:sz w:val="22"/>
          <w:szCs w:val="22"/>
        </w:rPr>
        <w:t>8.4</w:t>
      </w:r>
      <w:r w:rsidR="00EF56E9">
        <w:rPr>
          <w:sz w:val="22"/>
          <w:szCs w:val="22"/>
        </w:rPr>
        <w:fldChar w:fldCharType="end"/>
      </w:r>
      <w:r w:rsidR="00EF56E9">
        <w:rPr>
          <w:sz w:val="22"/>
          <w:szCs w:val="22"/>
        </w:rPr>
        <w:t>.</w:t>
      </w:r>
    </w:p>
    <w:p w14:paraId="3C56932B" w14:textId="77777777" w:rsidR="0092051D" w:rsidRPr="0092051D" w:rsidRDefault="0092051D" w:rsidP="0092051D">
      <w:pPr>
        <w:rPr>
          <w:sz w:val="22"/>
          <w:szCs w:val="22"/>
        </w:rPr>
      </w:pPr>
    </w:p>
    <w:p w14:paraId="1DD5D0F2" w14:textId="77777777" w:rsidR="0092051D" w:rsidRPr="0092051D" w:rsidRDefault="0092051D" w:rsidP="0092051D"/>
    <w:p w14:paraId="6A76D824" w14:textId="5436DC50" w:rsidR="00E64F39" w:rsidRDefault="001A43D3" w:rsidP="0049586D">
      <w:pPr>
        <w:pStyle w:val="Ttulo2"/>
      </w:pPr>
      <w:bookmarkStart w:id="211" w:name="_Toc158211536"/>
      <w:r w:rsidRPr="00A25B16">
        <w:t>Ecopetrol S.A.</w:t>
      </w:r>
      <w:bookmarkEnd w:id="211"/>
      <w:r w:rsidRPr="00A25B16">
        <w:tab/>
      </w:r>
    </w:p>
    <w:p w14:paraId="49FB0F09" w14:textId="4C25BE46" w:rsidR="001A43D3" w:rsidRDefault="00E64F39" w:rsidP="001A43D3">
      <w:pPr>
        <w:jc w:val="left"/>
        <w:rPr>
          <w:i/>
          <w:iCs/>
          <w:sz w:val="22"/>
        </w:rPr>
      </w:pPr>
      <w:r>
        <w:rPr>
          <w:i/>
          <w:iCs/>
          <w:sz w:val="22"/>
        </w:rPr>
        <w:t>“</w:t>
      </w:r>
      <w:r w:rsidR="001A43D3" w:rsidRPr="00A25B16">
        <w:rPr>
          <w:i/>
          <w:iCs/>
          <w:sz w:val="22"/>
        </w:rPr>
        <w:t>Para efectos de mayor claridad en la lectura e interpretación de la resolución, sugerimos: i) revisar aquellos elementos del artículo 8 que se repiten en el artículo 10; ii) incluir las disposiciones establecidas en los artículos 9 y 10 en el artículo 5; y iii) de manera alternativa al numeral ii), ajustar la redacción para dar mayor claridad, en todo caso manteniendo la flexibilidad para aquellos campos señalados en el parágrafo del artículo 20.</w:t>
      </w:r>
      <w:r>
        <w:rPr>
          <w:i/>
          <w:iCs/>
          <w:sz w:val="22"/>
        </w:rPr>
        <w:t>”</w:t>
      </w:r>
    </w:p>
    <w:p w14:paraId="51897B91" w14:textId="77777777" w:rsidR="00E64F39" w:rsidRDefault="00E64F39" w:rsidP="001A43D3">
      <w:pPr>
        <w:jc w:val="left"/>
        <w:rPr>
          <w:i/>
          <w:iCs/>
          <w:sz w:val="22"/>
        </w:rPr>
      </w:pPr>
    </w:p>
    <w:p w14:paraId="634545D3" w14:textId="77777777" w:rsidR="002B1FF0" w:rsidRPr="002B1FF0" w:rsidRDefault="002B1FF0" w:rsidP="002B1FF0">
      <w:pPr>
        <w:rPr>
          <w:rFonts w:cs="Arial"/>
          <w:b/>
          <w:bCs/>
          <w:sz w:val="22"/>
          <w:szCs w:val="22"/>
        </w:rPr>
      </w:pPr>
      <w:r w:rsidRPr="002B1FF0">
        <w:rPr>
          <w:rFonts w:cs="Arial"/>
          <w:b/>
          <w:bCs/>
          <w:sz w:val="22"/>
          <w:szCs w:val="22"/>
        </w:rPr>
        <w:t>RESPUESTA:</w:t>
      </w:r>
    </w:p>
    <w:p w14:paraId="73949F11" w14:textId="77777777" w:rsidR="002B1FF0" w:rsidRPr="002B1FF0" w:rsidRDefault="002B1FF0" w:rsidP="002B1FF0">
      <w:pPr>
        <w:rPr>
          <w:rFonts w:cs="Arial"/>
          <w:sz w:val="22"/>
          <w:szCs w:val="22"/>
        </w:rPr>
      </w:pPr>
    </w:p>
    <w:p w14:paraId="27A75334" w14:textId="1CFF056D" w:rsidR="002B1FF0" w:rsidRPr="002B1FF0" w:rsidRDefault="00EF56E9"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_Ref149215239 \w \h </w:instrText>
      </w:r>
      <w:r>
        <w:rPr>
          <w:rFonts w:cs="Arial"/>
          <w:sz w:val="22"/>
          <w:szCs w:val="22"/>
        </w:rPr>
      </w:r>
      <w:r>
        <w:rPr>
          <w:rFonts w:cs="Arial"/>
          <w:sz w:val="22"/>
          <w:szCs w:val="22"/>
        </w:rPr>
        <w:fldChar w:fldCharType="separate"/>
      </w:r>
      <w:r w:rsidR="0027336D">
        <w:rPr>
          <w:rFonts w:cs="Arial"/>
          <w:sz w:val="22"/>
          <w:szCs w:val="22"/>
        </w:rPr>
        <w:t>10.4</w:t>
      </w:r>
      <w:r>
        <w:rPr>
          <w:rFonts w:cs="Arial"/>
          <w:sz w:val="22"/>
          <w:szCs w:val="22"/>
        </w:rPr>
        <w:fldChar w:fldCharType="end"/>
      </w:r>
      <w:r>
        <w:rPr>
          <w:rFonts w:cs="Arial"/>
          <w:sz w:val="22"/>
          <w:szCs w:val="22"/>
        </w:rPr>
        <w:t>.</w:t>
      </w:r>
    </w:p>
    <w:p w14:paraId="63492689" w14:textId="77777777" w:rsidR="00E64F39" w:rsidRDefault="00E64F39" w:rsidP="001A43D3">
      <w:pPr>
        <w:jc w:val="left"/>
        <w:rPr>
          <w:i/>
          <w:iCs/>
          <w:sz w:val="22"/>
        </w:rPr>
      </w:pPr>
    </w:p>
    <w:p w14:paraId="3DA81CFF" w14:textId="77777777" w:rsidR="00E64F39" w:rsidRPr="00A25B16" w:rsidRDefault="00E64F39" w:rsidP="001A43D3">
      <w:pPr>
        <w:jc w:val="left"/>
        <w:rPr>
          <w:i/>
          <w:iCs/>
          <w:sz w:val="22"/>
        </w:rPr>
      </w:pPr>
    </w:p>
    <w:p w14:paraId="77ADC8E8" w14:textId="194A4D36" w:rsidR="00E64F39" w:rsidRDefault="001A43D3" w:rsidP="0049586D">
      <w:pPr>
        <w:pStyle w:val="Ttulo2"/>
      </w:pPr>
      <w:bookmarkStart w:id="212" w:name="_Ref149570370"/>
      <w:bookmarkStart w:id="213" w:name="_Toc158211537"/>
      <w:r w:rsidRPr="00A25B16">
        <w:t>Gestor del Mercado de Gas Natural en Colombia</w:t>
      </w:r>
      <w:bookmarkEnd w:id="212"/>
      <w:bookmarkEnd w:id="213"/>
      <w:r w:rsidRPr="00A25B16">
        <w:tab/>
      </w:r>
    </w:p>
    <w:p w14:paraId="3F7CB6E5" w14:textId="30777E8B" w:rsidR="001A43D3" w:rsidRPr="00A25B16" w:rsidRDefault="001A43D3" w:rsidP="001A43D3">
      <w:pPr>
        <w:jc w:val="left"/>
        <w:rPr>
          <w:i/>
          <w:iCs/>
          <w:sz w:val="22"/>
        </w:rPr>
      </w:pPr>
      <w:r w:rsidRPr="00A25B16">
        <w:rPr>
          <w:i/>
          <w:iCs/>
          <w:sz w:val="22"/>
        </w:rPr>
        <w:t>"El Artículo 10 del proyecto de Resolución establece que:</w:t>
      </w:r>
    </w:p>
    <w:p w14:paraId="2E8134E0" w14:textId="77777777" w:rsidR="001A43D3" w:rsidRPr="00A25B16" w:rsidRDefault="001A43D3" w:rsidP="001A43D3">
      <w:pPr>
        <w:jc w:val="left"/>
        <w:rPr>
          <w:i/>
          <w:iCs/>
          <w:sz w:val="22"/>
        </w:rPr>
      </w:pPr>
    </w:p>
    <w:p w14:paraId="2DD64C5E" w14:textId="77777777" w:rsidR="001A43D3" w:rsidRPr="00A25B16" w:rsidRDefault="001A43D3" w:rsidP="001A43D3">
      <w:pPr>
        <w:jc w:val="left"/>
        <w:rPr>
          <w:i/>
          <w:iCs/>
          <w:sz w:val="22"/>
        </w:rPr>
      </w:pPr>
      <w:r w:rsidRPr="00A25B16">
        <w:rPr>
          <w:i/>
          <w:iCs/>
          <w:sz w:val="22"/>
        </w:rPr>
        <w:t>""Artículo 10. Adiciónese el Parágrafo 2 transitorio, al Artículo 22 “Contratos objeto de las negociaciones directas en cualquier momento del año” de la Resolución CREG 186 de 2020, así: [...]""</w:t>
      </w:r>
    </w:p>
    <w:p w14:paraId="113C8792" w14:textId="77777777" w:rsidR="001A43D3" w:rsidRPr="00A25B16" w:rsidRDefault="001A43D3" w:rsidP="001A43D3">
      <w:pPr>
        <w:jc w:val="left"/>
        <w:rPr>
          <w:i/>
          <w:iCs/>
          <w:sz w:val="22"/>
        </w:rPr>
      </w:pPr>
    </w:p>
    <w:p w14:paraId="5A29A236" w14:textId="77777777" w:rsidR="001A43D3" w:rsidRPr="00A25B16" w:rsidRDefault="001A43D3" w:rsidP="001A43D3">
      <w:pPr>
        <w:jc w:val="left"/>
        <w:rPr>
          <w:i/>
          <w:iCs/>
          <w:sz w:val="22"/>
        </w:rPr>
      </w:pPr>
      <w:r w:rsidRPr="00A25B16">
        <w:rPr>
          <w:i/>
          <w:iCs/>
          <w:sz w:val="22"/>
        </w:rPr>
        <w:t>No obstante, el artículo 22 de la Resolución CREG 186 de 2020 actualmente no posee Parágrafos, por lo cual se sugiere ajustar la redacción a Parágrafo."</w:t>
      </w:r>
    </w:p>
    <w:p w14:paraId="54A83F8B" w14:textId="77777777" w:rsidR="00E64F39" w:rsidRDefault="00E64F39" w:rsidP="001A43D3">
      <w:pPr>
        <w:jc w:val="left"/>
        <w:rPr>
          <w:i/>
          <w:iCs/>
          <w:sz w:val="22"/>
        </w:rPr>
      </w:pPr>
    </w:p>
    <w:p w14:paraId="61CEFC9B" w14:textId="77777777" w:rsidR="002B1FF0" w:rsidRPr="002B1FF0" w:rsidRDefault="002B1FF0" w:rsidP="002B1FF0">
      <w:pPr>
        <w:rPr>
          <w:rFonts w:cs="Arial"/>
          <w:b/>
          <w:bCs/>
          <w:sz w:val="22"/>
          <w:szCs w:val="22"/>
        </w:rPr>
      </w:pPr>
      <w:r w:rsidRPr="002B1FF0">
        <w:rPr>
          <w:rFonts w:cs="Arial"/>
          <w:b/>
          <w:bCs/>
          <w:sz w:val="22"/>
          <w:szCs w:val="22"/>
        </w:rPr>
        <w:t>RESPUESTA:</w:t>
      </w:r>
    </w:p>
    <w:p w14:paraId="5CBDA47E" w14:textId="77777777" w:rsidR="002B1FF0" w:rsidRPr="002B1FF0" w:rsidRDefault="002B1FF0" w:rsidP="002B1FF0">
      <w:pPr>
        <w:rPr>
          <w:rFonts w:cs="Arial"/>
          <w:sz w:val="22"/>
          <w:szCs w:val="22"/>
        </w:rPr>
      </w:pPr>
    </w:p>
    <w:p w14:paraId="725C5BF9" w14:textId="366590D7" w:rsidR="002B1FF0" w:rsidRDefault="007F2DBC" w:rsidP="002B1FF0">
      <w:pPr>
        <w:rPr>
          <w:rFonts w:cs="Arial"/>
          <w:sz w:val="22"/>
          <w:szCs w:val="22"/>
        </w:rPr>
      </w:pPr>
      <w:r>
        <w:rPr>
          <w:rFonts w:cs="Arial"/>
          <w:sz w:val="22"/>
          <w:szCs w:val="22"/>
        </w:rPr>
        <w:t>Se acoge el comentario.</w:t>
      </w:r>
    </w:p>
    <w:p w14:paraId="4B63BB40" w14:textId="77777777" w:rsidR="007F2DBC" w:rsidRDefault="007F2DBC" w:rsidP="002B1FF0">
      <w:pPr>
        <w:rPr>
          <w:rFonts w:cs="Arial"/>
          <w:sz w:val="22"/>
          <w:szCs w:val="22"/>
        </w:rPr>
      </w:pPr>
    </w:p>
    <w:p w14:paraId="1F6E179D" w14:textId="0BCF2634" w:rsidR="007F2DBC" w:rsidRPr="002B1FF0" w:rsidRDefault="00970F52"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_Ref149215301 \w \h </w:instrText>
      </w:r>
      <w:r>
        <w:rPr>
          <w:rFonts w:cs="Arial"/>
          <w:sz w:val="22"/>
          <w:szCs w:val="22"/>
        </w:rPr>
      </w:r>
      <w:r>
        <w:rPr>
          <w:rFonts w:cs="Arial"/>
          <w:sz w:val="22"/>
          <w:szCs w:val="22"/>
        </w:rPr>
        <w:fldChar w:fldCharType="separate"/>
      </w:r>
      <w:r w:rsidR="0027336D">
        <w:rPr>
          <w:rFonts w:cs="Arial"/>
          <w:sz w:val="22"/>
          <w:szCs w:val="22"/>
        </w:rPr>
        <w:t>10.4</w:t>
      </w:r>
      <w:r>
        <w:rPr>
          <w:rFonts w:cs="Arial"/>
          <w:sz w:val="22"/>
          <w:szCs w:val="22"/>
        </w:rPr>
        <w:fldChar w:fldCharType="end"/>
      </w:r>
      <w:r>
        <w:rPr>
          <w:rFonts w:cs="Arial"/>
          <w:sz w:val="22"/>
          <w:szCs w:val="22"/>
        </w:rPr>
        <w:t>.</w:t>
      </w:r>
    </w:p>
    <w:p w14:paraId="285E640B" w14:textId="77777777" w:rsidR="00E64F39" w:rsidRDefault="00E64F39" w:rsidP="001A43D3">
      <w:pPr>
        <w:jc w:val="left"/>
        <w:rPr>
          <w:i/>
          <w:iCs/>
          <w:sz w:val="22"/>
        </w:rPr>
      </w:pPr>
    </w:p>
    <w:p w14:paraId="0F7BA11F" w14:textId="77777777" w:rsidR="00E64F39" w:rsidRDefault="00E64F39" w:rsidP="001A43D3">
      <w:pPr>
        <w:jc w:val="left"/>
        <w:rPr>
          <w:i/>
          <w:iCs/>
          <w:sz w:val="22"/>
        </w:rPr>
      </w:pPr>
    </w:p>
    <w:p w14:paraId="12EA0903" w14:textId="6CB47AF9" w:rsidR="00E64F39" w:rsidRDefault="001A43D3" w:rsidP="0049586D">
      <w:pPr>
        <w:pStyle w:val="Ttulo2"/>
      </w:pPr>
      <w:bookmarkStart w:id="214" w:name="_Toc158211538"/>
      <w:r w:rsidRPr="00A25B16">
        <w:t>Gestor del Mercado de Gas Natural en Colombia</w:t>
      </w:r>
      <w:bookmarkEnd w:id="214"/>
      <w:r w:rsidRPr="00A25B16">
        <w:tab/>
      </w:r>
    </w:p>
    <w:p w14:paraId="0A40D7F9" w14:textId="1B9A16D0" w:rsidR="001A43D3" w:rsidRPr="00A25B16" w:rsidRDefault="001A43D3" w:rsidP="001A43D3">
      <w:pPr>
        <w:jc w:val="left"/>
        <w:rPr>
          <w:i/>
          <w:iCs/>
          <w:sz w:val="22"/>
        </w:rPr>
      </w:pPr>
      <w:r w:rsidRPr="00A25B16">
        <w:rPr>
          <w:i/>
          <w:iCs/>
          <w:sz w:val="22"/>
        </w:rPr>
        <w:t>"En el Artículo 10 del proyecto de Resolución se establecen los casos y agentes que pueden negociar directamente el suministro de gas natural; sin embargo, se deja de manera agregada la modalidad contractual firme.</w:t>
      </w:r>
    </w:p>
    <w:p w14:paraId="74AA2393" w14:textId="77777777" w:rsidR="001A43D3" w:rsidRPr="00A25B16" w:rsidRDefault="001A43D3" w:rsidP="001A43D3">
      <w:pPr>
        <w:jc w:val="left"/>
        <w:rPr>
          <w:i/>
          <w:iCs/>
          <w:sz w:val="22"/>
        </w:rPr>
      </w:pPr>
    </w:p>
    <w:p w14:paraId="3E23C07A" w14:textId="77777777" w:rsidR="001A43D3" w:rsidRPr="00A25B16" w:rsidRDefault="001A43D3" w:rsidP="001A43D3">
      <w:pPr>
        <w:jc w:val="left"/>
        <w:rPr>
          <w:i/>
          <w:iCs/>
          <w:sz w:val="22"/>
        </w:rPr>
      </w:pPr>
      <w:r w:rsidRPr="00A25B16">
        <w:rPr>
          <w:i/>
          <w:iCs/>
          <w:sz w:val="22"/>
        </w:rPr>
        <w:t>""[...] de esta Resolución podrán negociar directamente el suministro de gas natural con duración menor a un (1) año, mediante las modalidades de tipo firme establecidas en el Artículo 8 de la presente Resolución. [...]""</w:t>
      </w:r>
    </w:p>
    <w:p w14:paraId="7C9BEEBE" w14:textId="77777777" w:rsidR="001A43D3" w:rsidRPr="00A25B16" w:rsidRDefault="001A43D3" w:rsidP="001A43D3">
      <w:pPr>
        <w:jc w:val="left"/>
        <w:rPr>
          <w:i/>
          <w:iCs/>
          <w:sz w:val="22"/>
        </w:rPr>
      </w:pPr>
    </w:p>
    <w:p w14:paraId="0522FAD8" w14:textId="77777777" w:rsidR="001A43D3" w:rsidRPr="00A25B16" w:rsidRDefault="001A43D3" w:rsidP="001A43D3">
      <w:pPr>
        <w:jc w:val="left"/>
        <w:rPr>
          <w:i/>
          <w:iCs/>
          <w:sz w:val="22"/>
        </w:rPr>
      </w:pPr>
      <w:r w:rsidRPr="00A25B16">
        <w:rPr>
          <w:i/>
          <w:iCs/>
          <w:sz w:val="22"/>
        </w:rPr>
        <w:t>Desde el Gestor del Mercado se sugiere que se especifiquen las modalidades contractuales tipo firme a las que les aplican dichos casos."</w:t>
      </w:r>
    </w:p>
    <w:p w14:paraId="4C3FF712" w14:textId="77777777" w:rsidR="00E64F39" w:rsidRDefault="00E64F39" w:rsidP="001A43D3">
      <w:pPr>
        <w:jc w:val="left"/>
        <w:rPr>
          <w:i/>
          <w:iCs/>
          <w:sz w:val="22"/>
        </w:rPr>
      </w:pPr>
    </w:p>
    <w:p w14:paraId="0F58EFF1" w14:textId="77777777" w:rsidR="002B1FF0" w:rsidRPr="002B1FF0" w:rsidRDefault="002B1FF0" w:rsidP="002B1FF0">
      <w:pPr>
        <w:rPr>
          <w:rFonts w:cs="Arial"/>
          <w:b/>
          <w:bCs/>
          <w:sz w:val="22"/>
          <w:szCs w:val="22"/>
        </w:rPr>
      </w:pPr>
      <w:r w:rsidRPr="002B1FF0">
        <w:rPr>
          <w:rFonts w:cs="Arial"/>
          <w:b/>
          <w:bCs/>
          <w:sz w:val="22"/>
          <w:szCs w:val="22"/>
        </w:rPr>
        <w:t>RESPUESTA:</w:t>
      </w:r>
    </w:p>
    <w:p w14:paraId="61F9A8D2" w14:textId="77777777" w:rsidR="002B1FF0" w:rsidRPr="002B1FF0" w:rsidRDefault="002B1FF0" w:rsidP="002B1FF0">
      <w:pPr>
        <w:rPr>
          <w:rFonts w:cs="Arial"/>
          <w:sz w:val="22"/>
          <w:szCs w:val="22"/>
        </w:rPr>
      </w:pPr>
    </w:p>
    <w:p w14:paraId="41CE69F0" w14:textId="098A174F" w:rsidR="002B1FF0" w:rsidRDefault="00AD6CCF" w:rsidP="002B1FF0">
      <w:pPr>
        <w:rPr>
          <w:rFonts w:cs="Arial"/>
          <w:sz w:val="22"/>
          <w:szCs w:val="22"/>
        </w:rPr>
      </w:pPr>
      <w:r>
        <w:rPr>
          <w:rFonts w:cs="Arial"/>
          <w:sz w:val="22"/>
          <w:szCs w:val="22"/>
        </w:rPr>
        <w:t>Se acoge el comentario.</w:t>
      </w:r>
    </w:p>
    <w:p w14:paraId="33228707" w14:textId="77777777" w:rsidR="00AD6CCF" w:rsidRDefault="00AD6CCF" w:rsidP="002B1FF0">
      <w:pPr>
        <w:rPr>
          <w:rFonts w:cs="Arial"/>
          <w:sz w:val="22"/>
          <w:szCs w:val="22"/>
        </w:rPr>
      </w:pPr>
    </w:p>
    <w:p w14:paraId="589AD63C" w14:textId="0382CF4C" w:rsidR="00AD6CCF" w:rsidRPr="002B1FF0" w:rsidRDefault="00AD6CCF" w:rsidP="002B1FF0">
      <w:pPr>
        <w:rPr>
          <w:rFonts w:cs="Arial"/>
          <w:sz w:val="22"/>
          <w:szCs w:val="22"/>
        </w:rPr>
      </w:pPr>
      <w:r>
        <w:rPr>
          <w:rFonts w:cs="Arial"/>
          <w:sz w:val="22"/>
          <w:szCs w:val="22"/>
        </w:rPr>
        <w:t>En la resolución definitiva se hace la mención de las modalidades de tipo firme. No se incluye la modalidad de Contrato de Suministro de Contingencia porque dicha modalidad tiene una mayor flexibilidad establecida en la Resolución CREG 186 de 2020, ante las condiciones de origen que permiten negociar est</w:t>
      </w:r>
      <w:r w:rsidR="00A17B83">
        <w:rPr>
          <w:rFonts w:cs="Arial"/>
          <w:sz w:val="22"/>
          <w:szCs w:val="22"/>
        </w:rPr>
        <w:t>a</w:t>
      </w:r>
      <w:r>
        <w:rPr>
          <w:rFonts w:cs="Arial"/>
          <w:sz w:val="22"/>
          <w:szCs w:val="22"/>
        </w:rPr>
        <w:t xml:space="preserve"> modalidad de contrato. </w:t>
      </w:r>
    </w:p>
    <w:p w14:paraId="1F6DA24B" w14:textId="77777777" w:rsidR="00E64F39" w:rsidRDefault="00E64F39" w:rsidP="001A43D3">
      <w:pPr>
        <w:jc w:val="left"/>
        <w:rPr>
          <w:i/>
          <w:iCs/>
          <w:sz w:val="22"/>
        </w:rPr>
      </w:pPr>
    </w:p>
    <w:p w14:paraId="7C0C2E2B" w14:textId="77777777" w:rsidR="00E64F39" w:rsidRDefault="00E64F39" w:rsidP="001A43D3">
      <w:pPr>
        <w:jc w:val="left"/>
        <w:rPr>
          <w:i/>
          <w:iCs/>
          <w:sz w:val="22"/>
        </w:rPr>
      </w:pPr>
    </w:p>
    <w:p w14:paraId="09E49744" w14:textId="2B442403" w:rsidR="00E64F39" w:rsidRDefault="001A43D3" w:rsidP="0049586D">
      <w:pPr>
        <w:pStyle w:val="Ttulo2"/>
      </w:pPr>
      <w:bookmarkStart w:id="215" w:name="_Toc158211539"/>
      <w:r w:rsidRPr="00A25B16">
        <w:t>Gestor del Mercado de Gas Natural en Colombia</w:t>
      </w:r>
      <w:bookmarkEnd w:id="215"/>
      <w:r w:rsidRPr="00A25B16">
        <w:tab/>
      </w:r>
    </w:p>
    <w:p w14:paraId="29FDE1D9" w14:textId="4C9C5CDC" w:rsidR="001A43D3" w:rsidRPr="00A25B16" w:rsidRDefault="001A43D3" w:rsidP="001A43D3">
      <w:pPr>
        <w:jc w:val="left"/>
        <w:rPr>
          <w:i/>
          <w:iCs/>
          <w:sz w:val="22"/>
        </w:rPr>
      </w:pPr>
      <w:r w:rsidRPr="00A25B16">
        <w:rPr>
          <w:i/>
          <w:iCs/>
          <w:sz w:val="22"/>
        </w:rPr>
        <w:t>"En el Artículo 10 del proyecto de Resolución se establece que los contratos deben finalizar el ultimo día calendario de cualquier mes, antes de la perdida de vigencia de la resolución:</w:t>
      </w:r>
    </w:p>
    <w:p w14:paraId="0BCE1036" w14:textId="77777777" w:rsidR="001A43D3" w:rsidRPr="00A25B16" w:rsidRDefault="001A43D3" w:rsidP="001A43D3">
      <w:pPr>
        <w:jc w:val="left"/>
        <w:rPr>
          <w:i/>
          <w:iCs/>
          <w:sz w:val="22"/>
        </w:rPr>
      </w:pPr>
    </w:p>
    <w:p w14:paraId="7B509AF1" w14:textId="77777777" w:rsidR="001A43D3" w:rsidRPr="00A25B16" w:rsidRDefault="001A43D3" w:rsidP="001A43D3">
      <w:pPr>
        <w:jc w:val="left"/>
        <w:rPr>
          <w:i/>
          <w:iCs/>
          <w:sz w:val="22"/>
        </w:rPr>
      </w:pPr>
      <w:r w:rsidRPr="00A25B16">
        <w:rPr>
          <w:i/>
          <w:iCs/>
          <w:sz w:val="22"/>
        </w:rPr>
        <w:t>""[...] Dichos contratos podrán registrarse en cualquier momento del año y tendrán la duración que acuerden las partes, pero deberán tener como fecha de terminación el último día calendario de cualquier mes que transcurra antes de la pérdida de vigencia de la presente Resolución."" (Subrayado fuera de texto).</w:t>
      </w:r>
    </w:p>
    <w:p w14:paraId="5E54F9A6" w14:textId="77777777" w:rsidR="001A43D3" w:rsidRPr="00A25B16" w:rsidRDefault="001A43D3" w:rsidP="001A43D3">
      <w:pPr>
        <w:jc w:val="left"/>
        <w:rPr>
          <w:i/>
          <w:iCs/>
          <w:sz w:val="22"/>
        </w:rPr>
      </w:pPr>
    </w:p>
    <w:p w14:paraId="7CFA36EF" w14:textId="77777777" w:rsidR="001A43D3" w:rsidRPr="00A25B16" w:rsidRDefault="001A43D3" w:rsidP="001A43D3">
      <w:pPr>
        <w:jc w:val="left"/>
        <w:rPr>
          <w:i/>
          <w:iCs/>
          <w:sz w:val="22"/>
        </w:rPr>
      </w:pPr>
      <w:r w:rsidRPr="00A25B16">
        <w:rPr>
          <w:i/>
          <w:iCs/>
          <w:sz w:val="22"/>
        </w:rPr>
        <w:t>No obstante, en vista de que los contratos a los que se hace referencia en la Resolución tienen como periodicidad mínima una semana, se sugiere que se especifique que sucederá en los casos en que la fecha de terminación del contrato, el último día calendario de cualquier mes, no corresponda a la fecha del ultimo día de la semana calendario o la semana laboral."</w:t>
      </w:r>
    </w:p>
    <w:p w14:paraId="35122F51" w14:textId="77777777" w:rsidR="00E64F39" w:rsidRDefault="00E64F39" w:rsidP="001A43D3">
      <w:pPr>
        <w:jc w:val="left"/>
        <w:rPr>
          <w:i/>
          <w:iCs/>
          <w:sz w:val="22"/>
        </w:rPr>
      </w:pPr>
    </w:p>
    <w:p w14:paraId="2F03B961" w14:textId="77777777" w:rsidR="002B1FF0" w:rsidRPr="002B1FF0" w:rsidRDefault="002B1FF0" w:rsidP="002B1FF0">
      <w:pPr>
        <w:rPr>
          <w:rFonts w:cs="Arial"/>
          <w:b/>
          <w:bCs/>
          <w:sz w:val="22"/>
          <w:szCs w:val="22"/>
        </w:rPr>
      </w:pPr>
      <w:r w:rsidRPr="002B1FF0">
        <w:rPr>
          <w:rFonts w:cs="Arial"/>
          <w:b/>
          <w:bCs/>
          <w:sz w:val="22"/>
          <w:szCs w:val="22"/>
        </w:rPr>
        <w:t>RESPUESTA:</w:t>
      </w:r>
    </w:p>
    <w:p w14:paraId="3CEB8B6A" w14:textId="77777777" w:rsidR="002B1FF0" w:rsidRDefault="002B1FF0" w:rsidP="002B1FF0">
      <w:pPr>
        <w:rPr>
          <w:rFonts w:cs="Arial"/>
          <w:sz w:val="22"/>
          <w:szCs w:val="22"/>
        </w:rPr>
      </w:pPr>
    </w:p>
    <w:p w14:paraId="3AD1D0C6" w14:textId="30A2B138" w:rsidR="00800A29" w:rsidRDefault="00800A29" w:rsidP="002B1FF0">
      <w:pPr>
        <w:rPr>
          <w:rFonts w:cs="Arial"/>
          <w:sz w:val="22"/>
          <w:szCs w:val="22"/>
        </w:rPr>
      </w:pPr>
      <w:r>
        <w:rPr>
          <w:rFonts w:cs="Arial"/>
          <w:sz w:val="22"/>
          <w:szCs w:val="22"/>
        </w:rPr>
        <w:t>Se acoge el comentario.</w:t>
      </w:r>
    </w:p>
    <w:p w14:paraId="74F35589" w14:textId="77777777" w:rsidR="00800A29" w:rsidRDefault="00800A29" w:rsidP="002B1FF0">
      <w:pPr>
        <w:rPr>
          <w:rFonts w:cs="Arial"/>
          <w:sz w:val="22"/>
          <w:szCs w:val="22"/>
        </w:rPr>
      </w:pPr>
    </w:p>
    <w:p w14:paraId="53477511" w14:textId="63612274" w:rsidR="00800A29" w:rsidRPr="002B1FF0" w:rsidRDefault="00800A29" w:rsidP="00642692">
      <w:pPr>
        <w:rPr>
          <w:rFonts w:cs="Arial"/>
          <w:sz w:val="22"/>
          <w:szCs w:val="22"/>
        </w:rPr>
      </w:pPr>
      <w:r>
        <w:rPr>
          <w:rFonts w:cs="Arial"/>
          <w:sz w:val="22"/>
          <w:szCs w:val="22"/>
        </w:rPr>
        <w:t xml:space="preserve">En la resolución definitiva se establece que </w:t>
      </w:r>
      <w:r w:rsidR="00642692">
        <w:rPr>
          <w:rFonts w:cs="Arial"/>
          <w:sz w:val="22"/>
          <w:szCs w:val="22"/>
        </w:rPr>
        <w:t>los contratos p</w:t>
      </w:r>
      <w:r w:rsidR="00642692" w:rsidRPr="00642692">
        <w:rPr>
          <w:rFonts w:cs="Arial"/>
          <w:sz w:val="22"/>
          <w:szCs w:val="22"/>
        </w:rPr>
        <w:t>odrán tener como fecha de inicio de ejecución el primer día de cualesquiera de las semanas que transcurran a partir de la fecha de publicación de la resolución</w:t>
      </w:r>
      <w:r w:rsidR="00642692">
        <w:rPr>
          <w:rFonts w:cs="Arial"/>
          <w:sz w:val="22"/>
          <w:szCs w:val="22"/>
        </w:rPr>
        <w:t xml:space="preserve"> y p</w:t>
      </w:r>
      <w:r w:rsidR="00642692" w:rsidRPr="00642692">
        <w:rPr>
          <w:rFonts w:cs="Arial"/>
          <w:sz w:val="22"/>
          <w:szCs w:val="22"/>
        </w:rPr>
        <w:t xml:space="preserve">odrán tener como fecha de terminación de la ejecución el último día de cualesquiera de las semanas que terminen antes del </w:t>
      </w:r>
      <w:r w:rsidR="00E90F01">
        <w:rPr>
          <w:rFonts w:cs="Arial"/>
          <w:sz w:val="22"/>
          <w:szCs w:val="22"/>
        </w:rPr>
        <w:t>1 de diciembre</w:t>
      </w:r>
      <w:r w:rsidR="00642692" w:rsidRPr="00642692">
        <w:rPr>
          <w:rFonts w:cs="Arial"/>
          <w:sz w:val="22"/>
          <w:szCs w:val="22"/>
        </w:rPr>
        <w:t xml:space="preserve"> de 2024.</w:t>
      </w:r>
    </w:p>
    <w:p w14:paraId="33503ECB" w14:textId="77777777" w:rsidR="002B1FF0" w:rsidRPr="002B1FF0" w:rsidRDefault="002B1FF0" w:rsidP="002B1FF0">
      <w:pPr>
        <w:rPr>
          <w:rFonts w:cs="Arial"/>
          <w:sz w:val="22"/>
          <w:szCs w:val="22"/>
        </w:rPr>
      </w:pPr>
    </w:p>
    <w:p w14:paraId="53935D7B" w14:textId="77777777" w:rsidR="00E64F39" w:rsidRDefault="00E64F39" w:rsidP="001A43D3">
      <w:pPr>
        <w:jc w:val="left"/>
        <w:rPr>
          <w:i/>
          <w:iCs/>
          <w:sz w:val="22"/>
        </w:rPr>
      </w:pPr>
    </w:p>
    <w:p w14:paraId="0CF65280" w14:textId="64D9C666" w:rsidR="00E64F39" w:rsidRDefault="001A43D3" w:rsidP="0049586D">
      <w:pPr>
        <w:pStyle w:val="Ttulo2"/>
      </w:pPr>
      <w:bookmarkStart w:id="216" w:name="_Toc158211540"/>
      <w:r w:rsidRPr="00A25B16">
        <w:t>Hocol S.A.</w:t>
      </w:r>
      <w:bookmarkEnd w:id="216"/>
      <w:r w:rsidRPr="00A25B16">
        <w:tab/>
      </w:r>
    </w:p>
    <w:p w14:paraId="67C1A01F" w14:textId="77777777" w:rsidR="00E64F39" w:rsidRDefault="00E64F39" w:rsidP="001A43D3">
      <w:pPr>
        <w:jc w:val="left"/>
        <w:rPr>
          <w:i/>
          <w:iCs/>
          <w:sz w:val="22"/>
        </w:rPr>
      </w:pPr>
      <w:r>
        <w:rPr>
          <w:i/>
          <w:iCs/>
          <w:sz w:val="22"/>
        </w:rPr>
        <w:t>“</w:t>
      </w:r>
      <w:r w:rsidR="001A43D3" w:rsidRPr="00A25B16">
        <w:rPr>
          <w:i/>
          <w:iCs/>
          <w:sz w:val="22"/>
        </w:rPr>
        <w:t>Revisar y ajustar errores de forma y de referencias que deben ser precisados para asegurar la consistencia de la norma</w:t>
      </w:r>
      <w:r>
        <w:rPr>
          <w:i/>
          <w:iCs/>
          <w:sz w:val="22"/>
        </w:rPr>
        <w:t>.”</w:t>
      </w:r>
    </w:p>
    <w:p w14:paraId="56B0F47B" w14:textId="77777777" w:rsidR="00E64F39" w:rsidRDefault="00E64F39" w:rsidP="001A43D3">
      <w:pPr>
        <w:jc w:val="left"/>
        <w:rPr>
          <w:i/>
          <w:iCs/>
          <w:sz w:val="22"/>
        </w:rPr>
      </w:pPr>
    </w:p>
    <w:p w14:paraId="43862E89" w14:textId="77777777" w:rsidR="002B1FF0" w:rsidRPr="002B1FF0" w:rsidRDefault="002B1FF0" w:rsidP="002B1FF0">
      <w:pPr>
        <w:rPr>
          <w:rFonts w:cs="Arial"/>
          <w:b/>
          <w:bCs/>
          <w:sz w:val="22"/>
          <w:szCs w:val="22"/>
        </w:rPr>
      </w:pPr>
      <w:r w:rsidRPr="002B1FF0">
        <w:rPr>
          <w:rFonts w:cs="Arial"/>
          <w:b/>
          <w:bCs/>
          <w:sz w:val="22"/>
          <w:szCs w:val="22"/>
        </w:rPr>
        <w:t>RESPUESTA:</w:t>
      </w:r>
    </w:p>
    <w:p w14:paraId="0DB40674" w14:textId="77777777" w:rsidR="002B1FF0" w:rsidRPr="002B1FF0" w:rsidRDefault="002B1FF0" w:rsidP="002B1FF0">
      <w:pPr>
        <w:rPr>
          <w:rFonts w:cs="Arial"/>
          <w:sz w:val="22"/>
          <w:szCs w:val="22"/>
        </w:rPr>
      </w:pPr>
    </w:p>
    <w:p w14:paraId="4E684AF5" w14:textId="003F4FF7" w:rsidR="002B1FF0" w:rsidRDefault="00ED58EB" w:rsidP="002B1FF0">
      <w:pPr>
        <w:rPr>
          <w:rFonts w:cs="Arial"/>
          <w:sz w:val="22"/>
          <w:szCs w:val="22"/>
        </w:rPr>
      </w:pPr>
      <w:r>
        <w:rPr>
          <w:rFonts w:cs="Arial"/>
          <w:sz w:val="22"/>
          <w:szCs w:val="22"/>
        </w:rPr>
        <w:t>Se acoge el comentario.</w:t>
      </w:r>
    </w:p>
    <w:p w14:paraId="3E8CB6F6" w14:textId="77777777" w:rsidR="00ED58EB" w:rsidRDefault="00ED58EB" w:rsidP="002B1FF0">
      <w:pPr>
        <w:rPr>
          <w:rFonts w:cs="Arial"/>
          <w:sz w:val="22"/>
          <w:szCs w:val="22"/>
        </w:rPr>
      </w:pPr>
    </w:p>
    <w:p w14:paraId="24C7BBC2" w14:textId="0D4968ED" w:rsidR="00ED58EB" w:rsidRPr="002B1FF0" w:rsidRDefault="00ED58EB"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_Ref149215605 \w \h </w:instrText>
      </w:r>
      <w:r>
        <w:rPr>
          <w:rFonts w:cs="Arial"/>
          <w:sz w:val="22"/>
          <w:szCs w:val="22"/>
        </w:rPr>
      </w:r>
      <w:r>
        <w:rPr>
          <w:rFonts w:cs="Arial"/>
          <w:sz w:val="22"/>
          <w:szCs w:val="22"/>
        </w:rPr>
        <w:fldChar w:fldCharType="separate"/>
      </w:r>
      <w:r w:rsidR="0027336D">
        <w:rPr>
          <w:rFonts w:cs="Arial"/>
          <w:sz w:val="22"/>
          <w:szCs w:val="22"/>
        </w:rPr>
        <w:t>10.4</w:t>
      </w:r>
      <w:r>
        <w:rPr>
          <w:rFonts w:cs="Arial"/>
          <w:sz w:val="22"/>
          <w:szCs w:val="22"/>
        </w:rPr>
        <w:fldChar w:fldCharType="end"/>
      </w:r>
      <w:r>
        <w:rPr>
          <w:rFonts w:cs="Arial"/>
          <w:sz w:val="22"/>
          <w:szCs w:val="22"/>
        </w:rPr>
        <w:t>.</w:t>
      </w:r>
    </w:p>
    <w:p w14:paraId="5F71D21D" w14:textId="77777777" w:rsidR="00E64F39" w:rsidRDefault="00E64F39" w:rsidP="001A43D3">
      <w:pPr>
        <w:jc w:val="left"/>
        <w:rPr>
          <w:i/>
          <w:iCs/>
          <w:sz w:val="22"/>
        </w:rPr>
      </w:pPr>
    </w:p>
    <w:p w14:paraId="261A62AA" w14:textId="5DA00878" w:rsidR="001A43D3" w:rsidRPr="00A25B16" w:rsidRDefault="001A43D3" w:rsidP="001A43D3">
      <w:pPr>
        <w:jc w:val="left"/>
        <w:rPr>
          <w:i/>
          <w:iCs/>
          <w:sz w:val="22"/>
        </w:rPr>
      </w:pPr>
      <w:r w:rsidRPr="00A25B16">
        <w:rPr>
          <w:i/>
          <w:iCs/>
          <w:sz w:val="22"/>
        </w:rPr>
        <w:t xml:space="preserve"> </w:t>
      </w:r>
    </w:p>
    <w:p w14:paraId="23B865DA" w14:textId="4948EABA" w:rsidR="00E64F39" w:rsidRDefault="001A43D3" w:rsidP="0049586D">
      <w:pPr>
        <w:pStyle w:val="Ttulo2"/>
      </w:pPr>
      <w:bookmarkStart w:id="217" w:name="_Ref149216116"/>
      <w:bookmarkStart w:id="218" w:name="_Toc158211541"/>
      <w:r w:rsidRPr="00A25B16">
        <w:t>Metrogas de Colombia SA ESP</w:t>
      </w:r>
      <w:bookmarkEnd w:id="217"/>
      <w:bookmarkEnd w:id="218"/>
      <w:r w:rsidRPr="00A25B16">
        <w:tab/>
      </w:r>
    </w:p>
    <w:p w14:paraId="5D47E6B4" w14:textId="36C82460" w:rsidR="001A43D3" w:rsidRDefault="00E64F39" w:rsidP="001A43D3">
      <w:pPr>
        <w:jc w:val="left"/>
        <w:rPr>
          <w:i/>
          <w:iCs/>
          <w:sz w:val="22"/>
        </w:rPr>
      </w:pPr>
      <w:r>
        <w:rPr>
          <w:i/>
          <w:iCs/>
          <w:sz w:val="22"/>
        </w:rPr>
        <w:t>“</w:t>
      </w:r>
      <w:r w:rsidR="001A43D3" w:rsidRPr="00A25B16">
        <w:rPr>
          <w:i/>
          <w:iCs/>
          <w:sz w:val="22"/>
        </w:rPr>
        <w:t>Como se evidencia en la columna C, no es claro lo indicado en dicho paragrafo ya que se evidencian errores en la escritura del documento</w:t>
      </w:r>
      <w:r>
        <w:rPr>
          <w:i/>
          <w:iCs/>
          <w:sz w:val="22"/>
        </w:rPr>
        <w:t>.”</w:t>
      </w:r>
    </w:p>
    <w:p w14:paraId="20936F52" w14:textId="77777777" w:rsidR="00E64F39" w:rsidRDefault="00E64F39" w:rsidP="001A43D3">
      <w:pPr>
        <w:jc w:val="left"/>
        <w:rPr>
          <w:i/>
          <w:iCs/>
          <w:sz w:val="22"/>
        </w:rPr>
      </w:pPr>
    </w:p>
    <w:p w14:paraId="42F9CDAF" w14:textId="77777777" w:rsidR="002B1FF0" w:rsidRPr="002B1FF0" w:rsidRDefault="002B1FF0" w:rsidP="002B1FF0">
      <w:pPr>
        <w:rPr>
          <w:rFonts w:cs="Arial"/>
          <w:b/>
          <w:bCs/>
          <w:sz w:val="22"/>
          <w:szCs w:val="22"/>
        </w:rPr>
      </w:pPr>
      <w:r w:rsidRPr="002B1FF0">
        <w:rPr>
          <w:rFonts w:cs="Arial"/>
          <w:b/>
          <w:bCs/>
          <w:sz w:val="22"/>
          <w:szCs w:val="22"/>
        </w:rPr>
        <w:t>RESPUESTA:</w:t>
      </w:r>
    </w:p>
    <w:p w14:paraId="045481C7" w14:textId="77777777" w:rsidR="002B1FF0" w:rsidRPr="002B1FF0" w:rsidRDefault="002B1FF0" w:rsidP="002B1FF0">
      <w:pPr>
        <w:rPr>
          <w:rFonts w:cs="Arial"/>
          <w:sz w:val="22"/>
          <w:szCs w:val="22"/>
        </w:rPr>
      </w:pPr>
    </w:p>
    <w:p w14:paraId="3903628B" w14:textId="6011140C" w:rsidR="002B1FF0" w:rsidRDefault="00ED58EB" w:rsidP="002B1FF0">
      <w:pPr>
        <w:rPr>
          <w:rFonts w:cs="Arial"/>
          <w:sz w:val="22"/>
          <w:szCs w:val="22"/>
        </w:rPr>
      </w:pPr>
      <w:r>
        <w:rPr>
          <w:rFonts w:cs="Arial"/>
          <w:sz w:val="22"/>
          <w:szCs w:val="22"/>
        </w:rPr>
        <w:t>A pesar de que en el Proyecto de Resolución publicado en archivo en formato pdf se presentaron errores de referenciación en el Artículo 10, en el formato Word que se publicó no aparecen dichos errores.</w:t>
      </w:r>
    </w:p>
    <w:p w14:paraId="0F0D2E23" w14:textId="77777777" w:rsidR="00ED58EB" w:rsidRDefault="00ED58EB" w:rsidP="002B1FF0">
      <w:pPr>
        <w:rPr>
          <w:rFonts w:cs="Arial"/>
          <w:sz w:val="22"/>
          <w:szCs w:val="22"/>
        </w:rPr>
      </w:pPr>
    </w:p>
    <w:p w14:paraId="76F14732" w14:textId="2C8A2140" w:rsidR="00ED58EB" w:rsidRPr="002B1FF0" w:rsidRDefault="00ED58EB" w:rsidP="002B1FF0">
      <w:pPr>
        <w:rPr>
          <w:rFonts w:cs="Arial"/>
          <w:sz w:val="22"/>
          <w:szCs w:val="22"/>
        </w:rPr>
      </w:pPr>
      <w:r>
        <w:rPr>
          <w:rFonts w:cs="Arial"/>
          <w:sz w:val="22"/>
          <w:szCs w:val="22"/>
        </w:rPr>
        <w:t>En todo caso se verificará que en el proceso de la publicación de la resolución definitiva, tanto en formato pdf como en formato Word, las referencias aparezcan correctamente.</w:t>
      </w:r>
    </w:p>
    <w:p w14:paraId="662BF559" w14:textId="77777777" w:rsidR="00E64F39" w:rsidRDefault="00E64F39" w:rsidP="001A43D3">
      <w:pPr>
        <w:jc w:val="left"/>
        <w:rPr>
          <w:i/>
          <w:iCs/>
          <w:sz w:val="22"/>
        </w:rPr>
      </w:pPr>
    </w:p>
    <w:p w14:paraId="50BEB844" w14:textId="77777777" w:rsidR="00E64F39" w:rsidRPr="00A25B16" w:rsidRDefault="00E64F39" w:rsidP="001A43D3">
      <w:pPr>
        <w:jc w:val="left"/>
        <w:rPr>
          <w:i/>
          <w:iCs/>
          <w:sz w:val="22"/>
        </w:rPr>
      </w:pPr>
    </w:p>
    <w:p w14:paraId="581A311C" w14:textId="52C88E6C" w:rsidR="00E64F39" w:rsidRDefault="001A43D3" w:rsidP="0049586D">
      <w:pPr>
        <w:pStyle w:val="Ttulo2"/>
      </w:pPr>
      <w:bookmarkStart w:id="219" w:name="_Toc158211542"/>
      <w:r w:rsidRPr="00A25B16">
        <w:t>Naturgas</w:t>
      </w:r>
      <w:bookmarkEnd w:id="219"/>
      <w:r w:rsidRPr="00A25B16">
        <w:tab/>
      </w:r>
    </w:p>
    <w:p w14:paraId="2A6A6427" w14:textId="1DA3F9EB" w:rsidR="001A43D3" w:rsidRPr="00A25B16" w:rsidRDefault="001A43D3" w:rsidP="001A43D3">
      <w:pPr>
        <w:jc w:val="left"/>
        <w:rPr>
          <w:i/>
          <w:iCs/>
          <w:sz w:val="22"/>
        </w:rPr>
      </w:pPr>
      <w:r w:rsidRPr="00A25B16">
        <w:rPr>
          <w:i/>
          <w:iCs/>
          <w:sz w:val="22"/>
        </w:rPr>
        <w:t>"Se establece, entre otros aspectos, que ""Dichos contratos podrán registrarse en cualquier momento del año y tendrán la duración que acuerden las partes, pero deberán tener como fecha de terminación el último día calendario de cualquier mes que transcurra antes de la pérdida de vigencia de la presente Resolución"".</w:t>
      </w:r>
    </w:p>
    <w:p w14:paraId="4E910110" w14:textId="77777777" w:rsidR="001A43D3" w:rsidRPr="00A25B16" w:rsidRDefault="001A43D3" w:rsidP="001A43D3">
      <w:pPr>
        <w:jc w:val="left"/>
        <w:rPr>
          <w:i/>
          <w:iCs/>
          <w:sz w:val="22"/>
        </w:rPr>
      </w:pPr>
    </w:p>
    <w:p w14:paraId="5DAD3C41" w14:textId="0937C5B3" w:rsidR="001A43D3" w:rsidRDefault="001A43D3" w:rsidP="001A43D3">
      <w:pPr>
        <w:jc w:val="left"/>
        <w:rPr>
          <w:i/>
          <w:iCs/>
          <w:sz w:val="22"/>
        </w:rPr>
      </w:pPr>
      <w:r w:rsidRPr="00A25B16">
        <w:rPr>
          <w:i/>
          <w:iCs/>
          <w:sz w:val="22"/>
        </w:rPr>
        <w:t>No es claro cuál puede ser la fecha de inicio de los contratos que se transen bajo estas reglas transitorias. Al respecto consideramos que una de las flexibilidades esenciales en esta coyuntura es habilitar la posibilidad de transar contratos ""futuros"" dentro del período de transición acorde con las declaraciones de producción. Por ejemplo, transar contratos para el suministro de diciembre 2023 a febrero de 2024."</w:t>
      </w:r>
    </w:p>
    <w:p w14:paraId="3B2A3B12" w14:textId="77777777" w:rsidR="00E64F39" w:rsidRDefault="00E64F39" w:rsidP="001A43D3">
      <w:pPr>
        <w:jc w:val="left"/>
        <w:rPr>
          <w:i/>
          <w:iCs/>
          <w:sz w:val="22"/>
        </w:rPr>
      </w:pPr>
    </w:p>
    <w:p w14:paraId="3C572E29" w14:textId="77777777" w:rsidR="002B1FF0" w:rsidRPr="002B1FF0" w:rsidRDefault="002B1FF0" w:rsidP="002B1FF0">
      <w:pPr>
        <w:rPr>
          <w:rFonts w:cs="Arial"/>
          <w:b/>
          <w:bCs/>
          <w:sz w:val="22"/>
          <w:szCs w:val="22"/>
        </w:rPr>
      </w:pPr>
      <w:r w:rsidRPr="002B1FF0">
        <w:rPr>
          <w:rFonts w:cs="Arial"/>
          <w:b/>
          <w:bCs/>
          <w:sz w:val="22"/>
          <w:szCs w:val="22"/>
        </w:rPr>
        <w:t>RESPUESTA:</w:t>
      </w:r>
    </w:p>
    <w:p w14:paraId="7792A705" w14:textId="77777777" w:rsidR="002B1FF0" w:rsidRDefault="002B1FF0" w:rsidP="002B1FF0">
      <w:pPr>
        <w:rPr>
          <w:rFonts w:cs="Arial"/>
          <w:sz w:val="22"/>
          <w:szCs w:val="22"/>
        </w:rPr>
      </w:pPr>
    </w:p>
    <w:p w14:paraId="3BAD2899" w14:textId="7A0C59B6" w:rsidR="00D804BA" w:rsidRDefault="00D804BA" w:rsidP="002B1FF0">
      <w:pPr>
        <w:rPr>
          <w:rFonts w:cs="Arial"/>
          <w:sz w:val="22"/>
          <w:szCs w:val="22"/>
        </w:rPr>
      </w:pPr>
      <w:r>
        <w:rPr>
          <w:rFonts w:cs="Arial"/>
          <w:sz w:val="22"/>
          <w:szCs w:val="22"/>
        </w:rPr>
        <w:t>Se acoge el comentario.</w:t>
      </w:r>
    </w:p>
    <w:p w14:paraId="1B7597DC" w14:textId="77777777" w:rsidR="00A17B83" w:rsidRDefault="00A17B83" w:rsidP="00A17B83">
      <w:pPr>
        <w:rPr>
          <w:rFonts w:cs="Arial"/>
          <w:sz w:val="22"/>
          <w:szCs w:val="22"/>
        </w:rPr>
      </w:pPr>
    </w:p>
    <w:p w14:paraId="094F8C3F" w14:textId="5A30539C" w:rsidR="00A17B83" w:rsidRPr="002B1FF0" w:rsidRDefault="00A17B83" w:rsidP="00A17B83">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_Ref149215892 \w \h </w:instrText>
      </w:r>
      <w:r>
        <w:rPr>
          <w:rFonts w:cs="Arial"/>
          <w:sz w:val="22"/>
          <w:szCs w:val="22"/>
        </w:rPr>
      </w:r>
      <w:r>
        <w:rPr>
          <w:rFonts w:cs="Arial"/>
          <w:sz w:val="22"/>
          <w:szCs w:val="22"/>
        </w:rPr>
        <w:fldChar w:fldCharType="separate"/>
      </w:r>
      <w:r w:rsidR="0027336D">
        <w:rPr>
          <w:rFonts w:cs="Arial"/>
          <w:sz w:val="22"/>
          <w:szCs w:val="22"/>
        </w:rPr>
        <w:t>9.1</w:t>
      </w:r>
      <w:r>
        <w:rPr>
          <w:rFonts w:cs="Arial"/>
          <w:sz w:val="22"/>
          <w:szCs w:val="22"/>
        </w:rPr>
        <w:fldChar w:fldCharType="end"/>
      </w:r>
      <w:r>
        <w:rPr>
          <w:rFonts w:cs="Arial"/>
          <w:sz w:val="22"/>
          <w:szCs w:val="22"/>
        </w:rPr>
        <w:t>.</w:t>
      </w:r>
    </w:p>
    <w:p w14:paraId="480A52A0" w14:textId="77777777" w:rsidR="00D804BA" w:rsidRDefault="00D804BA" w:rsidP="002B1FF0">
      <w:pPr>
        <w:rPr>
          <w:rFonts w:cs="Arial"/>
          <w:sz w:val="22"/>
          <w:szCs w:val="22"/>
        </w:rPr>
      </w:pPr>
    </w:p>
    <w:p w14:paraId="4E3D9F3C" w14:textId="532F1218" w:rsidR="00D804BA" w:rsidRDefault="00D804BA" w:rsidP="002B1FF0">
      <w:pPr>
        <w:rPr>
          <w:rFonts w:cs="Arial"/>
          <w:sz w:val="22"/>
          <w:szCs w:val="22"/>
        </w:rPr>
      </w:pPr>
      <w:r>
        <w:rPr>
          <w:rFonts w:cs="Arial"/>
          <w:sz w:val="22"/>
          <w:szCs w:val="22"/>
        </w:rPr>
        <w:t>En la resolución definitiva quedará claro que se podrán negociar contratos cuyo inicio de ejecución sea en fecha posterior a la fecha de registro del contrato.</w:t>
      </w:r>
    </w:p>
    <w:p w14:paraId="61775267" w14:textId="77777777" w:rsidR="00D804BA" w:rsidRDefault="00D804BA" w:rsidP="002B1FF0">
      <w:pPr>
        <w:rPr>
          <w:rFonts w:cs="Arial"/>
          <w:sz w:val="22"/>
          <w:szCs w:val="22"/>
        </w:rPr>
      </w:pPr>
    </w:p>
    <w:p w14:paraId="630D2342" w14:textId="77777777" w:rsidR="00E64F39" w:rsidRDefault="00E64F39" w:rsidP="001A43D3">
      <w:pPr>
        <w:jc w:val="left"/>
        <w:rPr>
          <w:i/>
          <w:iCs/>
          <w:sz w:val="22"/>
        </w:rPr>
      </w:pPr>
    </w:p>
    <w:p w14:paraId="308AB025" w14:textId="1BED2F12" w:rsidR="00E64F39" w:rsidRDefault="001A43D3" w:rsidP="0049586D">
      <w:pPr>
        <w:pStyle w:val="Ttulo2"/>
      </w:pPr>
      <w:bookmarkStart w:id="220" w:name="_Toc158211543"/>
      <w:r w:rsidRPr="00A25B16">
        <w:t>SANTAFÉ ENERGY</w:t>
      </w:r>
      <w:bookmarkEnd w:id="220"/>
      <w:r w:rsidRPr="00A25B16">
        <w:tab/>
      </w:r>
    </w:p>
    <w:p w14:paraId="59ED7DFA" w14:textId="34F90795" w:rsidR="001A43D3" w:rsidRDefault="00E64F39" w:rsidP="001A43D3">
      <w:pPr>
        <w:jc w:val="left"/>
        <w:rPr>
          <w:i/>
          <w:iCs/>
          <w:sz w:val="22"/>
        </w:rPr>
      </w:pPr>
      <w:r>
        <w:rPr>
          <w:i/>
          <w:iCs/>
          <w:sz w:val="22"/>
        </w:rPr>
        <w:t>“</w:t>
      </w:r>
      <w:r w:rsidR="001A43D3" w:rsidRPr="00A25B16">
        <w:rPr>
          <w:i/>
          <w:iCs/>
          <w:sz w:val="22"/>
        </w:rPr>
        <w:t>Reiteramos nuestra percepción de inconveniencia, sobre la obligación de priorizar la demanda esencial y la demanda no regulada en la p</w:t>
      </w:r>
      <w:r w:rsidR="00D804BA">
        <w:rPr>
          <w:i/>
          <w:iCs/>
          <w:sz w:val="22"/>
        </w:rPr>
        <w:t>r</w:t>
      </w:r>
      <w:r w:rsidR="001A43D3" w:rsidRPr="00A25B16">
        <w:rPr>
          <w:i/>
          <w:iCs/>
          <w:sz w:val="22"/>
        </w:rPr>
        <w:t>i</w:t>
      </w:r>
      <w:r w:rsidR="00D804BA">
        <w:rPr>
          <w:i/>
          <w:iCs/>
          <w:sz w:val="22"/>
        </w:rPr>
        <w:t>o</w:t>
      </w:r>
      <w:r w:rsidR="001A43D3" w:rsidRPr="00A25B16">
        <w:rPr>
          <w:i/>
          <w:iCs/>
          <w:sz w:val="22"/>
        </w:rPr>
        <w:t>rizaci</w:t>
      </w:r>
      <w:r w:rsidR="00D804BA">
        <w:rPr>
          <w:i/>
          <w:iCs/>
          <w:sz w:val="22"/>
        </w:rPr>
        <w:t>ó</w:t>
      </w:r>
      <w:r w:rsidR="001A43D3" w:rsidRPr="00A25B16">
        <w:rPr>
          <w:i/>
          <w:iCs/>
          <w:sz w:val="22"/>
        </w:rPr>
        <w:t>n de la oferta adicional que se promueve en la presente medida.</w:t>
      </w:r>
      <w:r>
        <w:rPr>
          <w:i/>
          <w:iCs/>
          <w:sz w:val="22"/>
        </w:rPr>
        <w:t>”</w:t>
      </w:r>
    </w:p>
    <w:p w14:paraId="3ECFACD8" w14:textId="77777777" w:rsidR="00E64F39" w:rsidRDefault="00E64F39" w:rsidP="001A43D3">
      <w:pPr>
        <w:jc w:val="left"/>
        <w:rPr>
          <w:i/>
          <w:iCs/>
          <w:sz w:val="22"/>
        </w:rPr>
      </w:pPr>
    </w:p>
    <w:p w14:paraId="741ECFC1" w14:textId="77777777" w:rsidR="002B1FF0" w:rsidRPr="002B1FF0" w:rsidRDefault="002B1FF0" w:rsidP="002B1FF0">
      <w:pPr>
        <w:rPr>
          <w:rFonts w:cs="Arial"/>
          <w:b/>
          <w:bCs/>
          <w:sz w:val="22"/>
          <w:szCs w:val="22"/>
        </w:rPr>
      </w:pPr>
      <w:r w:rsidRPr="002B1FF0">
        <w:rPr>
          <w:rFonts w:cs="Arial"/>
          <w:b/>
          <w:bCs/>
          <w:sz w:val="22"/>
          <w:szCs w:val="22"/>
        </w:rPr>
        <w:t>RESPUESTA:</w:t>
      </w:r>
    </w:p>
    <w:p w14:paraId="5D151234" w14:textId="77777777" w:rsidR="002B1FF0" w:rsidRPr="002B1FF0" w:rsidRDefault="002B1FF0" w:rsidP="002B1FF0">
      <w:pPr>
        <w:rPr>
          <w:rFonts w:cs="Arial"/>
          <w:sz w:val="22"/>
          <w:szCs w:val="22"/>
        </w:rPr>
      </w:pPr>
    </w:p>
    <w:p w14:paraId="05C51ECD" w14:textId="0AB0F320" w:rsidR="00A6184E" w:rsidRPr="005C5EAE" w:rsidRDefault="00A6184E" w:rsidP="00A6184E">
      <w:pPr>
        <w:jc w:val="left"/>
        <w:rPr>
          <w:sz w:val="22"/>
        </w:rPr>
      </w:pPr>
      <w:r w:rsidRPr="005C5EAE">
        <w:rPr>
          <w:sz w:val="22"/>
        </w:rPr>
        <w:t xml:space="preserve">Ver respuesta al </w:t>
      </w:r>
      <w:r>
        <w:rPr>
          <w:sz w:val="22"/>
        </w:rPr>
        <w:t xml:space="preserve">comentario </w:t>
      </w:r>
      <w:r>
        <w:rPr>
          <w:sz w:val="22"/>
        </w:rPr>
        <w:fldChar w:fldCharType="begin"/>
      </w:r>
      <w:r>
        <w:rPr>
          <w:sz w:val="22"/>
        </w:rPr>
        <w:instrText xml:space="preserve"> REF _Ref149196838 \w \h </w:instrText>
      </w:r>
      <w:r>
        <w:rPr>
          <w:sz w:val="22"/>
        </w:rPr>
      </w:r>
      <w:r>
        <w:rPr>
          <w:sz w:val="22"/>
        </w:rPr>
        <w:fldChar w:fldCharType="separate"/>
      </w:r>
      <w:r w:rsidR="0027336D">
        <w:rPr>
          <w:sz w:val="22"/>
        </w:rPr>
        <w:t>8.2</w:t>
      </w:r>
      <w:r>
        <w:rPr>
          <w:sz w:val="22"/>
        </w:rPr>
        <w:fldChar w:fldCharType="end"/>
      </w:r>
      <w:r>
        <w:rPr>
          <w:sz w:val="22"/>
        </w:rPr>
        <w:t xml:space="preserve"> y al comentario </w:t>
      </w:r>
      <w:r>
        <w:rPr>
          <w:sz w:val="22"/>
        </w:rPr>
        <w:fldChar w:fldCharType="begin"/>
      </w:r>
      <w:r>
        <w:rPr>
          <w:sz w:val="22"/>
        </w:rPr>
        <w:instrText xml:space="preserve"> REF _Ref149196849 \w \h </w:instrText>
      </w:r>
      <w:r>
        <w:rPr>
          <w:sz w:val="22"/>
        </w:rPr>
      </w:r>
      <w:r>
        <w:rPr>
          <w:sz w:val="22"/>
        </w:rPr>
        <w:fldChar w:fldCharType="separate"/>
      </w:r>
      <w:r w:rsidR="0027336D">
        <w:rPr>
          <w:sz w:val="22"/>
        </w:rPr>
        <w:t>8.9</w:t>
      </w:r>
      <w:r>
        <w:rPr>
          <w:sz w:val="22"/>
        </w:rPr>
        <w:fldChar w:fldCharType="end"/>
      </w:r>
      <w:r>
        <w:rPr>
          <w:sz w:val="22"/>
        </w:rPr>
        <w:t>.</w:t>
      </w:r>
    </w:p>
    <w:p w14:paraId="24C3D032" w14:textId="77777777" w:rsidR="00E64F39" w:rsidRDefault="00E64F39" w:rsidP="001A43D3">
      <w:pPr>
        <w:jc w:val="left"/>
        <w:rPr>
          <w:i/>
          <w:iCs/>
          <w:sz w:val="22"/>
        </w:rPr>
      </w:pPr>
    </w:p>
    <w:p w14:paraId="1356B0FB" w14:textId="77777777" w:rsidR="00E64F39" w:rsidRPr="00A25B16" w:rsidRDefault="00E64F39" w:rsidP="001A43D3">
      <w:pPr>
        <w:jc w:val="left"/>
        <w:rPr>
          <w:i/>
          <w:iCs/>
          <w:sz w:val="22"/>
        </w:rPr>
      </w:pPr>
    </w:p>
    <w:p w14:paraId="3EA39E8F" w14:textId="668FB703" w:rsidR="00ED0CF2" w:rsidRDefault="00ED0CF2" w:rsidP="00ED0CF2">
      <w:pPr>
        <w:pStyle w:val="Ttulo2"/>
        <w:jc w:val="left"/>
      </w:pPr>
      <w:bookmarkStart w:id="221" w:name="_Toc158211544"/>
      <w:r>
        <w:t>SSPD</w:t>
      </w:r>
      <w:bookmarkEnd w:id="221"/>
    </w:p>
    <w:p w14:paraId="010002D4" w14:textId="77777777" w:rsidR="00ED0CF2" w:rsidRPr="00ED0CF2" w:rsidRDefault="00ED0CF2" w:rsidP="00ED0CF2">
      <w:pPr>
        <w:jc w:val="left"/>
        <w:rPr>
          <w:i/>
          <w:iCs/>
          <w:sz w:val="22"/>
          <w:szCs w:val="22"/>
        </w:rPr>
      </w:pPr>
      <w:r w:rsidRPr="00ED0CF2">
        <w:rPr>
          <w:sz w:val="22"/>
          <w:szCs w:val="22"/>
        </w:rPr>
        <w:t>"</w:t>
      </w:r>
      <w:r w:rsidRPr="00ED0CF2">
        <w:rPr>
          <w:i/>
          <w:iCs/>
          <w:sz w:val="22"/>
          <w:szCs w:val="22"/>
        </w:rPr>
        <w:t>El articulo pretende adicionar un parágrafo transitorio al articulo 22 de la Resolución CREG 186 de 2020, no obstante al parecer por un error del documento se señala que: ""En los casos no previstos en los ¡Error! No se encuentra el origen de la referencia y  ¡Error! No se encuentra el origen de la referencia de esta Resolución, los vendedores y los compradores a los que se hace referencia en los artículos ¡Error! No se encuentra el origen de la referencia. y ¡Error! No se encuentra el origen de la referencia de esta Resolución podrán negociar directamente el suministro de gas natural con duración menor a un (1) año, mediante las modalidades de tipo firme establecidas en el Artículo 8 de la presente Resolución. Dichos contratos podrán registrarse en cualquier momento del año y tendrán la duración que acuerden las partes, pero deberán tener como fecha de terminación el último día calendario de cualquier mes que transcurra antes de la pérdida de vigencia de la presente Resolución"".</w:t>
      </w:r>
    </w:p>
    <w:p w14:paraId="7879296C" w14:textId="77777777" w:rsidR="00ED0CF2" w:rsidRPr="00ED0CF2" w:rsidRDefault="00ED0CF2" w:rsidP="00ED0CF2">
      <w:pPr>
        <w:jc w:val="left"/>
        <w:rPr>
          <w:i/>
          <w:iCs/>
          <w:sz w:val="22"/>
          <w:szCs w:val="22"/>
        </w:rPr>
      </w:pPr>
    </w:p>
    <w:p w14:paraId="5B370D18" w14:textId="5A46A9BC" w:rsidR="00ED0CF2" w:rsidRDefault="00ED0CF2" w:rsidP="00ED0CF2">
      <w:pPr>
        <w:jc w:val="left"/>
        <w:rPr>
          <w:i/>
          <w:iCs/>
          <w:sz w:val="22"/>
          <w:szCs w:val="22"/>
        </w:rPr>
      </w:pPr>
      <w:r w:rsidRPr="00ED0CF2">
        <w:rPr>
          <w:i/>
          <w:iCs/>
          <w:sz w:val="22"/>
          <w:szCs w:val="22"/>
        </w:rPr>
        <w:t xml:space="preserve">Se sugiere que la CREG revise el documento y ajuste lo correspondiente para que sea claro cuáles son los casos no previstos que podrán negociar directamente el suministro de gas natural con duración menor a un (1) año, mediante las modalidades de tipo firme establecidas. </w:t>
      </w:r>
    </w:p>
    <w:p w14:paraId="35A0D26B" w14:textId="77777777" w:rsidR="00ED0CF2" w:rsidRDefault="00ED0CF2" w:rsidP="00ED0CF2">
      <w:pPr>
        <w:jc w:val="left"/>
        <w:rPr>
          <w:i/>
          <w:iCs/>
          <w:sz w:val="22"/>
          <w:szCs w:val="22"/>
        </w:rPr>
      </w:pPr>
    </w:p>
    <w:p w14:paraId="6472EE48" w14:textId="77777777" w:rsidR="00ED0CF2" w:rsidRPr="002B1FF0" w:rsidRDefault="00ED0CF2" w:rsidP="00ED0CF2">
      <w:pPr>
        <w:jc w:val="left"/>
        <w:rPr>
          <w:rFonts w:cs="Arial"/>
          <w:b/>
          <w:bCs/>
          <w:sz w:val="22"/>
          <w:szCs w:val="22"/>
        </w:rPr>
      </w:pPr>
      <w:r w:rsidRPr="002B1FF0">
        <w:rPr>
          <w:rFonts w:cs="Arial"/>
          <w:b/>
          <w:bCs/>
          <w:sz w:val="22"/>
          <w:szCs w:val="22"/>
        </w:rPr>
        <w:t>RESPUESTA:</w:t>
      </w:r>
    </w:p>
    <w:p w14:paraId="4213D8B4" w14:textId="77777777" w:rsidR="00ED0CF2" w:rsidRDefault="00ED0CF2" w:rsidP="00ED0CF2">
      <w:pPr>
        <w:jc w:val="left"/>
        <w:rPr>
          <w:i/>
          <w:iCs/>
          <w:sz w:val="22"/>
          <w:szCs w:val="22"/>
        </w:rPr>
      </w:pPr>
    </w:p>
    <w:p w14:paraId="19666E39" w14:textId="60509175" w:rsidR="00ED0CF2" w:rsidRDefault="00ED0CF2" w:rsidP="00ED0CF2">
      <w:pPr>
        <w:jc w:val="left"/>
        <w:rPr>
          <w:sz w:val="22"/>
          <w:szCs w:val="22"/>
        </w:rPr>
      </w:pPr>
      <w:r w:rsidRPr="00ED0CF2">
        <w:rPr>
          <w:sz w:val="22"/>
          <w:szCs w:val="22"/>
        </w:rPr>
        <w:t xml:space="preserve">Ver respuesta al comentario </w:t>
      </w:r>
      <w:r w:rsidRPr="00ED0CF2">
        <w:rPr>
          <w:sz w:val="22"/>
          <w:szCs w:val="22"/>
        </w:rPr>
        <w:fldChar w:fldCharType="begin"/>
      </w:r>
      <w:r w:rsidRPr="00ED0CF2">
        <w:rPr>
          <w:sz w:val="22"/>
          <w:szCs w:val="22"/>
        </w:rPr>
        <w:instrText xml:space="preserve"> REF _Ref149216116 \w \h </w:instrText>
      </w:r>
      <w:r>
        <w:rPr>
          <w:sz w:val="22"/>
          <w:szCs w:val="22"/>
        </w:rPr>
        <w:instrText xml:space="preserve"> \* MERGEFORMAT </w:instrText>
      </w:r>
      <w:r w:rsidRPr="00ED0CF2">
        <w:rPr>
          <w:sz w:val="22"/>
          <w:szCs w:val="22"/>
        </w:rPr>
      </w:r>
      <w:r w:rsidRPr="00ED0CF2">
        <w:rPr>
          <w:sz w:val="22"/>
          <w:szCs w:val="22"/>
        </w:rPr>
        <w:fldChar w:fldCharType="separate"/>
      </w:r>
      <w:r w:rsidR="0027336D">
        <w:rPr>
          <w:sz w:val="22"/>
          <w:szCs w:val="22"/>
        </w:rPr>
        <w:t>10.11</w:t>
      </w:r>
      <w:r w:rsidRPr="00ED0CF2">
        <w:rPr>
          <w:sz w:val="22"/>
          <w:szCs w:val="22"/>
        </w:rPr>
        <w:fldChar w:fldCharType="end"/>
      </w:r>
      <w:r w:rsidRPr="00ED0CF2">
        <w:rPr>
          <w:sz w:val="22"/>
          <w:szCs w:val="22"/>
        </w:rPr>
        <w:t>.</w:t>
      </w:r>
    </w:p>
    <w:p w14:paraId="77C352DB" w14:textId="77777777" w:rsidR="00ED0CF2" w:rsidRPr="00ED0CF2" w:rsidRDefault="00ED0CF2" w:rsidP="00ED0CF2">
      <w:pPr>
        <w:jc w:val="left"/>
        <w:rPr>
          <w:sz w:val="22"/>
          <w:szCs w:val="22"/>
        </w:rPr>
      </w:pPr>
    </w:p>
    <w:p w14:paraId="5FE1E775" w14:textId="77777777" w:rsidR="00ED0CF2" w:rsidRPr="00ED0CF2" w:rsidRDefault="00ED0CF2" w:rsidP="00ED0CF2">
      <w:pPr>
        <w:jc w:val="left"/>
        <w:rPr>
          <w:i/>
          <w:iCs/>
          <w:sz w:val="22"/>
          <w:szCs w:val="22"/>
        </w:rPr>
      </w:pPr>
    </w:p>
    <w:p w14:paraId="1BE63AA4" w14:textId="77777777" w:rsidR="00ED0CF2" w:rsidRDefault="00ED0CF2" w:rsidP="00ED0CF2">
      <w:pPr>
        <w:pStyle w:val="Ttulo2"/>
        <w:jc w:val="left"/>
      </w:pPr>
      <w:bookmarkStart w:id="222" w:name="_Toc158211545"/>
      <w:r>
        <w:t>SSPD</w:t>
      </w:r>
      <w:bookmarkEnd w:id="222"/>
    </w:p>
    <w:p w14:paraId="58834B7B" w14:textId="77777777" w:rsidR="00ED0CF2" w:rsidRPr="00ED0CF2" w:rsidRDefault="00ED0CF2" w:rsidP="00ED0CF2">
      <w:pPr>
        <w:jc w:val="left"/>
        <w:rPr>
          <w:i/>
          <w:iCs/>
          <w:sz w:val="22"/>
          <w:szCs w:val="22"/>
        </w:rPr>
      </w:pPr>
      <w:r w:rsidRPr="00ED0CF2">
        <w:rPr>
          <w:i/>
          <w:iCs/>
          <w:sz w:val="22"/>
          <w:szCs w:val="22"/>
        </w:rPr>
        <w:t xml:space="preserve">Por otra parte, en la redacción del articulo se señala: ""Adicionese el Parágrafo 2 transitorio al articulo 22 (...) de la resolución CREG 186 de 2020""; sin embargo, al revisar el articulo 22 de la resolución CREG 186 se encuentra que este no tiene parágrafos. </w:t>
      </w:r>
    </w:p>
    <w:p w14:paraId="3FF38AF8" w14:textId="77777777" w:rsidR="00ED0CF2" w:rsidRPr="00ED0CF2" w:rsidRDefault="00ED0CF2" w:rsidP="00ED0CF2">
      <w:pPr>
        <w:jc w:val="left"/>
        <w:rPr>
          <w:i/>
          <w:iCs/>
          <w:sz w:val="22"/>
          <w:szCs w:val="22"/>
        </w:rPr>
      </w:pPr>
    </w:p>
    <w:p w14:paraId="7D272B66" w14:textId="77777777" w:rsidR="00ED0CF2" w:rsidRPr="00ED0CF2" w:rsidRDefault="00ED0CF2" w:rsidP="00ED0CF2">
      <w:pPr>
        <w:jc w:val="left"/>
        <w:rPr>
          <w:i/>
          <w:iCs/>
          <w:sz w:val="22"/>
          <w:szCs w:val="22"/>
        </w:rPr>
      </w:pPr>
      <w:r w:rsidRPr="00ED0CF2">
        <w:rPr>
          <w:i/>
          <w:iCs/>
          <w:sz w:val="22"/>
          <w:szCs w:val="22"/>
        </w:rPr>
        <w:t xml:space="preserve">Se sugiere el siguiente texto: </w:t>
      </w:r>
    </w:p>
    <w:p w14:paraId="62B8EA0E" w14:textId="77777777" w:rsidR="00ED0CF2" w:rsidRPr="00ED0CF2" w:rsidRDefault="00ED0CF2" w:rsidP="00ED0CF2">
      <w:pPr>
        <w:jc w:val="left"/>
        <w:rPr>
          <w:i/>
          <w:iCs/>
          <w:sz w:val="22"/>
          <w:szCs w:val="22"/>
        </w:rPr>
      </w:pPr>
    </w:p>
    <w:p w14:paraId="6AF7FA9E" w14:textId="77777777" w:rsidR="00ED0CF2" w:rsidRPr="00ED0CF2" w:rsidRDefault="00ED0CF2" w:rsidP="00ED0CF2">
      <w:pPr>
        <w:ind w:left="708"/>
        <w:jc w:val="left"/>
        <w:rPr>
          <w:i/>
          <w:iCs/>
          <w:sz w:val="22"/>
          <w:szCs w:val="22"/>
        </w:rPr>
      </w:pPr>
      <w:r w:rsidRPr="00ED0CF2">
        <w:rPr>
          <w:i/>
          <w:iCs/>
          <w:sz w:val="22"/>
          <w:szCs w:val="22"/>
        </w:rPr>
        <w:t>""Artículo 10. Adiciónese un Parágrafo transitorio al Artículo 22</w:t>
      </w:r>
    </w:p>
    <w:p w14:paraId="46566FF1" w14:textId="77777777" w:rsidR="00ED0CF2" w:rsidRPr="00ED0CF2" w:rsidRDefault="00ED0CF2" w:rsidP="00ED0CF2">
      <w:pPr>
        <w:ind w:firstLine="708"/>
        <w:jc w:val="left"/>
        <w:rPr>
          <w:i/>
          <w:iCs/>
          <w:sz w:val="22"/>
          <w:szCs w:val="22"/>
        </w:rPr>
      </w:pPr>
      <w:r w:rsidRPr="00ED0CF2">
        <w:rPr>
          <w:i/>
          <w:iCs/>
          <w:sz w:val="22"/>
          <w:szCs w:val="22"/>
        </w:rPr>
        <w:t>“Contratos objeto de las negociaciones directas en cualquier momento del año”</w:t>
      </w:r>
    </w:p>
    <w:p w14:paraId="7D1143CB" w14:textId="77777777" w:rsidR="00ED0CF2" w:rsidRPr="00ED0CF2" w:rsidRDefault="00ED0CF2" w:rsidP="00ED0CF2">
      <w:pPr>
        <w:ind w:firstLine="708"/>
        <w:jc w:val="left"/>
        <w:rPr>
          <w:i/>
          <w:iCs/>
          <w:sz w:val="22"/>
          <w:szCs w:val="22"/>
        </w:rPr>
      </w:pPr>
      <w:r w:rsidRPr="00ED0CF2">
        <w:rPr>
          <w:i/>
          <w:iCs/>
          <w:sz w:val="22"/>
          <w:szCs w:val="22"/>
        </w:rPr>
        <w:t>de la Resolución CREG 186 de 2020, así:</w:t>
      </w:r>
    </w:p>
    <w:p w14:paraId="1A62BB62" w14:textId="77777777" w:rsidR="00ED0CF2" w:rsidRPr="00ED0CF2" w:rsidRDefault="00ED0CF2" w:rsidP="00ED0CF2">
      <w:pPr>
        <w:jc w:val="left"/>
        <w:rPr>
          <w:sz w:val="22"/>
          <w:szCs w:val="22"/>
        </w:rPr>
      </w:pPr>
    </w:p>
    <w:p w14:paraId="17B3C848" w14:textId="58BB6329" w:rsidR="00ED0CF2" w:rsidRDefault="00ED0CF2" w:rsidP="00ED0CF2">
      <w:pPr>
        <w:jc w:val="left"/>
        <w:rPr>
          <w:sz w:val="22"/>
          <w:szCs w:val="22"/>
        </w:rPr>
      </w:pPr>
      <w:r w:rsidRPr="00ED0CF2">
        <w:rPr>
          <w:sz w:val="22"/>
          <w:szCs w:val="22"/>
        </w:rPr>
        <w:t>(…)"""</w:t>
      </w:r>
    </w:p>
    <w:p w14:paraId="75A9AFB5" w14:textId="77777777" w:rsidR="00ED0CF2" w:rsidRDefault="00ED0CF2" w:rsidP="00ED0CF2">
      <w:pPr>
        <w:rPr>
          <w:sz w:val="22"/>
          <w:szCs w:val="22"/>
        </w:rPr>
      </w:pPr>
    </w:p>
    <w:p w14:paraId="5776D96B" w14:textId="77777777" w:rsidR="00ED0CF2" w:rsidRPr="002B1FF0" w:rsidRDefault="00ED0CF2" w:rsidP="00ED0CF2">
      <w:pPr>
        <w:rPr>
          <w:rFonts w:cs="Arial"/>
          <w:b/>
          <w:bCs/>
          <w:sz w:val="22"/>
          <w:szCs w:val="22"/>
        </w:rPr>
      </w:pPr>
      <w:r w:rsidRPr="002B1FF0">
        <w:rPr>
          <w:rFonts w:cs="Arial"/>
          <w:b/>
          <w:bCs/>
          <w:sz w:val="22"/>
          <w:szCs w:val="22"/>
        </w:rPr>
        <w:t>RESPUESTA:</w:t>
      </w:r>
    </w:p>
    <w:p w14:paraId="26A9B44E" w14:textId="77777777" w:rsidR="00ED0CF2" w:rsidRDefault="00ED0CF2" w:rsidP="00ED0CF2">
      <w:pPr>
        <w:rPr>
          <w:sz w:val="22"/>
          <w:szCs w:val="22"/>
        </w:rPr>
      </w:pPr>
    </w:p>
    <w:p w14:paraId="32F3AB6B" w14:textId="44CA08EE" w:rsidR="00ED0CF2" w:rsidRDefault="00ED0CF2" w:rsidP="00ED0CF2">
      <w:pPr>
        <w:rPr>
          <w:sz w:val="22"/>
          <w:szCs w:val="22"/>
        </w:rPr>
      </w:pPr>
      <w:r>
        <w:rPr>
          <w:sz w:val="22"/>
          <w:szCs w:val="22"/>
        </w:rPr>
        <w:t xml:space="preserve">Ver respuesta al comentario </w:t>
      </w:r>
      <w:r w:rsidR="009F7B60">
        <w:rPr>
          <w:sz w:val="22"/>
          <w:szCs w:val="22"/>
        </w:rPr>
        <w:fldChar w:fldCharType="begin"/>
      </w:r>
      <w:r w:rsidR="009F7B60">
        <w:rPr>
          <w:sz w:val="22"/>
          <w:szCs w:val="22"/>
        </w:rPr>
        <w:instrText xml:space="preserve"> REF _Ref149570370 \w \h </w:instrText>
      </w:r>
      <w:r w:rsidR="009F7B60">
        <w:rPr>
          <w:sz w:val="22"/>
          <w:szCs w:val="22"/>
        </w:rPr>
      </w:r>
      <w:r w:rsidR="009F7B60">
        <w:rPr>
          <w:sz w:val="22"/>
          <w:szCs w:val="22"/>
        </w:rPr>
        <w:fldChar w:fldCharType="separate"/>
      </w:r>
      <w:r w:rsidR="0027336D">
        <w:rPr>
          <w:sz w:val="22"/>
          <w:szCs w:val="22"/>
        </w:rPr>
        <w:t>10.7</w:t>
      </w:r>
      <w:r w:rsidR="009F7B60">
        <w:rPr>
          <w:sz w:val="22"/>
          <w:szCs w:val="22"/>
        </w:rPr>
        <w:fldChar w:fldCharType="end"/>
      </w:r>
      <w:r w:rsidR="009F7B60">
        <w:rPr>
          <w:sz w:val="22"/>
          <w:szCs w:val="22"/>
        </w:rPr>
        <w:t>.</w:t>
      </w:r>
    </w:p>
    <w:p w14:paraId="5FA3CA69" w14:textId="77777777" w:rsidR="00ED0CF2" w:rsidRPr="00ED0CF2" w:rsidRDefault="00ED0CF2" w:rsidP="00ED0CF2">
      <w:pPr>
        <w:rPr>
          <w:sz w:val="22"/>
          <w:szCs w:val="22"/>
        </w:rPr>
      </w:pPr>
    </w:p>
    <w:p w14:paraId="028955CC" w14:textId="77777777" w:rsidR="00ED0CF2" w:rsidRPr="00ED0CF2" w:rsidRDefault="00ED0CF2" w:rsidP="00ED0CF2"/>
    <w:p w14:paraId="73A6810E" w14:textId="48FD75F9" w:rsidR="00E64F39" w:rsidRDefault="001A43D3" w:rsidP="0049586D">
      <w:pPr>
        <w:pStyle w:val="Ttulo2"/>
      </w:pPr>
      <w:bookmarkStart w:id="223" w:name="_Toc158211546"/>
      <w:r w:rsidRPr="00A25B16">
        <w:t>TEBSA</w:t>
      </w:r>
      <w:bookmarkEnd w:id="223"/>
      <w:r w:rsidRPr="00A25B16">
        <w:tab/>
      </w:r>
    </w:p>
    <w:p w14:paraId="0706BD09" w14:textId="2FE571E3" w:rsidR="001A43D3" w:rsidRDefault="00E64F39" w:rsidP="001A43D3">
      <w:pPr>
        <w:jc w:val="left"/>
        <w:rPr>
          <w:i/>
          <w:iCs/>
          <w:sz w:val="22"/>
        </w:rPr>
      </w:pPr>
      <w:r>
        <w:rPr>
          <w:i/>
          <w:iCs/>
          <w:sz w:val="22"/>
        </w:rPr>
        <w:t>“</w:t>
      </w:r>
      <w:r w:rsidR="001A43D3" w:rsidRPr="00A25B16">
        <w:rPr>
          <w:i/>
          <w:iCs/>
          <w:sz w:val="22"/>
        </w:rPr>
        <w:t>Consideramos que establecer un mecanismo de priorización para la asignación de cantidades solicitadas por los agentes que atienden usuarios que hacen parte de la Demanda Esencial sin colocar un límite en el cubrimiento, puede crear problemas de acaparamientos de gas y posible ejercicio de poder de mercado. Esto, al permitir que dispongan de la posibilidad de gestionar más compras en el suministro a pesar de tener contratos con el respaldo físico para atender el 100% de la demanda esencial. Esta situación puede llevar a que estos agentes revendan los excedentes de gas en el mercado a precios mayores de los costos de sus contratos trasladando ineficiencias en precios en momentos de déficit de gas.</w:t>
      </w:r>
      <w:r>
        <w:rPr>
          <w:i/>
          <w:iCs/>
          <w:sz w:val="22"/>
        </w:rPr>
        <w:t>”</w:t>
      </w:r>
    </w:p>
    <w:p w14:paraId="3C24DDD9" w14:textId="77777777" w:rsidR="00E64F39" w:rsidRDefault="00E64F39" w:rsidP="001A43D3">
      <w:pPr>
        <w:jc w:val="left"/>
        <w:rPr>
          <w:i/>
          <w:iCs/>
          <w:sz w:val="22"/>
        </w:rPr>
      </w:pPr>
    </w:p>
    <w:p w14:paraId="4E4943B4" w14:textId="77777777" w:rsidR="002B1FF0" w:rsidRPr="002B1FF0" w:rsidRDefault="002B1FF0" w:rsidP="002B1FF0">
      <w:pPr>
        <w:rPr>
          <w:rFonts w:cs="Arial"/>
          <w:b/>
          <w:bCs/>
          <w:sz w:val="22"/>
          <w:szCs w:val="22"/>
        </w:rPr>
      </w:pPr>
      <w:r w:rsidRPr="002B1FF0">
        <w:rPr>
          <w:rFonts w:cs="Arial"/>
          <w:b/>
          <w:bCs/>
          <w:sz w:val="22"/>
          <w:szCs w:val="22"/>
        </w:rPr>
        <w:t>RESPUESTA:</w:t>
      </w:r>
    </w:p>
    <w:p w14:paraId="6BB73AB6" w14:textId="77777777" w:rsidR="002B1FF0" w:rsidRPr="002B1FF0" w:rsidRDefault="002B1FF0" w:rsidP="002B1FF0">
      <w:pPr>
        <w:rPr>
          <w:rFonts w:cs="Arial"/>
          <w:sz w:val="22"/>
          <w:szCs w:val="22"/>
        </w:rPr>
      </w:pPr>
    </w:p>
    <w:p w14:paraId="6F544EA7" w14:textId="50012CDA" w:rsidR="002B1FF0" w:rsidRPr="002B1FF0" w:rsidRDefault="00B66F9E" w:rsidP="002B1FF0">
      <w:pPr>
        <w:rPr>
          <w:rFonts w:cs="Arial"/>
          <w:sz w:val="22"/>
          <w:szCs w:val="22"/>
        </w:rPr>
      </w:pPr>
      <w:r>
        <w:rPr>
          <w:rFonts w:cs="Arial"/>
          <w:sz w:val="22"/>
          <w:szCs w:val="22"/>
        </w:rPr>
        <w:t xml:space="preserve">Ver respuesta al comentario </w:t>
      </w:r>
      <w:r w:rsidR="00496197">
        <w:rPr>
          <w:rFonts w:cs="Arial"/>
          <w:sz w:val="22"/>
          <w:szCs w:val="22"/>
        </w:rPr>
        <w:fldChar w:fldCharType="begin"/>
      </w:r>
      <w:r w:rsidR="00496197">
        <w:rPr>
          <w:rFonts w:cs="Arial"/>
          <w:sz w:val="22"/>
          <w:szCs w:val="22"/>
        </w:rPr>
        <w:instrText xml:space="preserve"> REF _Ref149198030 \w \h </w:instrText>
      </w:r>
      <w:r w:rsidR="00496197">
        <w:rPr>
          <w:rFonts w:cs="Arial"/>
          <w:sz w:val="22"/>
          <w:szCs w:val="22"/>
        </w:rPr>
      </w:r>
      <w:r w:rsidR="00496197">
        <w:rPr>
          <w:rFonts w:cs="Arial"/>
          <w:sz w:val="22"/>
          <w:szCs w:val="22"/>
        </w:rPr>
        <w:fldChar w:fldCharType="separate"/>
      </w:r>
      <w:r w:rsidR="0027336D">
        <w:rPr>
          <w:rFonts w:cs="Arial"/>
          <w:sz w:val="22"/>
          <w:szCs w:val="22"/>
        </w:rPr>
        <w:t>8.11</w:t>
      </w:r>
      <w:r w:rsidR="00496197">
        <w:rPr>
          <w:rFonts w:cs="Arial"/>
          <w:sz w:val="22"/>
          <w:szCs w:val="22"/>
        </w:rPr>
        <w:fldChar w:fldCharType="end"/>
      </w:r>
      <w:r w:rsidR="00496197">
        <w:rPr>
          <w:rFonts w:cs="Arial"/>
          <w:sz w:val="22"/>
          <w:szCs w:val="22"/>
        </w:rPr>
        <w:t>.</w:t>
      </w:r>
    </w:p>
    <w:p w14:paraId="095CE6E9" w14:textId="77777777" w:rsidR="00E64F39" w:rsidRDefault="00E64F39" w:rsidP="001A43D3">
      <w:pPr>
        <w:jc w:val="left"/>
        <w:rPr>
          <w:i/>
          <w:iCs/>
          <w:sz w:val="22"/>
        </w:rPr>
      </w:pPr>
    </w:p>
    <w:p w14:paraId="172BABF4" w14:textId="77777777" w:rsidR="00E64F39" w:rsidRPr="00A25B16" w:rsidRDefault="00E64F39" w:rsidP="001A43D3">
      <w:pPr>
        <w:jc w:val="left"/>
        <w:rPr>
          <w:i/>
          <w:iCs/>
          <w:sz w:val="22"/>
        </w:rPr>
      </w:pPr>
    </w:p>
    <w:p w14:paraId="50AB3B28" w14:textId="707ECCDE" w:rsidR="00E64F39" w:rsidRDefault="001A43D3" w:rsidP="0049586D">
      <w:pPr>
        <w:pStyle w:val="Ttulo2"/>
      </w:pPr>
      <w:bookmarkStart w:id="224" w:name="_Toc158211547"/>
      <w:r w:rsidRPr="00A25B16">
        <w:t>TERMONORTE S.A.S. E.S.P.</w:t>
      </w:r>
      <w:bookmarkEnd w:id="224"/>
      <w:r w:rsidRPr="00A25B16">
        <w:tab/>
      </w:r>
    </w:p>
    <w:p w14:paraId="2DC0ECAD" w14:textId="0C7852E7" w:rsidR="001A43D3" w:rsidRPr="00A25B16" w:rsidRDefault="00E64F39" w:rsidP="001A43D3">
      <w:pPr>
        <w:jc w:val="left"/>
        <w:rPr>
          <w:i/>
          <w:iCs/>
          <w:sz w:val="22"/>
        </w:rPr>
      </w:pPr>
      <w:r>
        <w:rPr>
          <w:i/>
          <w:iCs/>
          <w:sz w:val="22"/>
        </w:rPr>
        <w:t>“</w:t>
      </w:r>
      <w:r w:rsidR="001A43D3" w:rsidRPr="00A25B16">
        <w:rPr>
          <w:i/>
          <w:iCs/>
          <w:sz w:val="22"/>
        </w:rPr>
        <w:t>En el parágrafo 2 transitorio del artículo 10 se publica el Proyecto de Resolución errores de vínculos que no permiten entender el propósito de la medida. Se solicita amablemente a la CREG ajustar el articulo para entender la incidencia del mismo.</w:t>
      </w:r>
      <w:r>
        <w:rPr>
          <w:i/>
          <w:iCs/>
          <w:sz w:val="22"/>
        </w:rPr>
        <w:t>”</w:t>
      </w:r>
    </w:p>
    <w:p w14:paraId="410FFD07" w14:textId="77777777" w:rsidR="001A43D3" w:rsidRPr="00A25B16" w:rsidRDefault="001A43D3" w:rsidP="001A43D3">
      <w:pPr>
        <w:jc w:val="left"/>
        <w:rPr>
          <w:i/>
          <w:iCs/>
          <w:sz w:val="22"/>
        </w:rPr>
      </w:pPr>
    </w:p>
    <w:p w14:paraId="3521F46E" w14:textId="77777777" w:rsidR="002B1FF0" w:rsidRPr="002B1FF0" w:rsidRDefault="002B1FF0" w:rsidP="002B1FF0">
      <w:pPr>
        <w:rPr>
          <w:rFonts w:cs="Arial"/>
          <w:b/>
          <w:bCs/>
          <w:sz w:val="22"/>
          <w:szCs w:val="22"/>
        </w:rPr>
      </w:pPr>
      <w:r w:rsidRPr="002B1FF0">
        <w:rPr>
          <w:rFonts w:cs="Arial"/>
          <w:b/>
          <w:bCs/>
          <w:sz w:val="22"/>
          <w:szCs w:val="22"/>
        </w:rPr>
        <w:t>RESPUESTA:</w:t>
      </w:r>
    </w:p>
    <w:p w14:paraId="72AAE1F8" w14:textId="77777777" w:rsidR="002B1FF0" w:rsidRPr="002B1FF0" w:rsidRDefault="002B1FF0" w:rsidP="002B1FF0">
      <w:pPr>
        <w:rPr>
          <w:rFonts w:cs="Arial"/>
          <w:sz w:val="22"/>
          <w:szCs w:val="22"/>
        </w:rPr>
      </w:pPr>
    </w:p>
    <w:p w14:paraId="20ABE846" w14:textId="42381FDA" w:rsidR="002B1FF0" w:rsidRDefault="00525089"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_Ref149216116 \w \h </w:instrText>
      </w:r>
      <w:r>
        <w:rPr>
          <w:rFonts w:cs="Arial"/>
          <w:sz w:val="22"/>
          <w:szCs w:val="22"/>
        </w:rPr>
      </w:r>
      <w:r>
        <w:rPr>
          <w:rFonts w:cs="Arial"/>
          <w:sz w:val="22"/>
          <w:szCs w:val="22"/>
        </w:rPr>
        <w:fldChar w:fldCharType="separate"/>
      </w:r>
      <w:r w:rsidR="0027336D">
        <w:rPr>
          <w:rFonts w:cs="Arial"/>
          <w:sz w:val="22"/>
          <w:szCs w:val="22"/>
        </w:rPr>
        <w:t>10.11</w:t>
      </w:r>
      <w:r>
        <w:rPr>
          <w:rFonts w:cs="Arial"/>
          <w:sz w:val="22"/>
          <w:szCs w:val="22"/>
        </w:rPr>
        <w:fldChar w:fldCharType="end"/>
      </w:r>
      <w:r>
        <w:rPr>
          <w:rFonts w:cs="Arial"/>
          <w:sz w:val="22"/>
          <w:szCs w:val="22"/>
        </w:rPr>
        <w:t>.</w:t>
      </w:r>
    </w:p>
    <w:p w14:paraId="2210E26B" w14:textId="77777777" w:rsidR="00525089" w:rsidRPr="002B1FF0" w:rsidRDefault="00525089" w:rsidP="002B1FF0">
      <w:pPr>
        <w:rPr>
          <w:rFonts w:cs="Arial"/>
          <w:sz w:val="22"/>
          <w:szCs w:val="22"/>
        </w:rPr>
      </w:pPr>
    </w:p>
    <w:p w14:paraId="22C5B541" w14:textId="77777777" w:rsidR="001A43D3" w:rsidRPr="00A25B16" w:rsidRDefault="001A43D3" w:rsidP="001A43D3">
      <w:pPr>
        <w:jc w:val="left"/>
        <w:rPr>
          <w:i/>
          <w:iCs/>
          <w:sz w:val="22"/>
        </w:rPr>
      </w:pPr>
    </w:p>
    <w:p w14:paraId="1809F4D0" w14:textId="0FE613AB" w:rsidR="001A43D3" w:rsidRDefault="0049586D" w:rsidP="0049586D">
      <w:pPr>
        <w:pStyle w:val="Ttulo1"/>
      </w:pPr>
      <w:bookmarkStart w:id="225" w:name="_Toc158211548"/>
      <w:r>
        <w:t>ARTÍCULO 11</w:t>
      </w:r>
      <w:bookmarkEnd w:id="225"/>
    </w:p>
    <w:p w14:paraId="4D1E5154" w14:textId="19C9529B" w:rsidR="00E64F39" w:rsidRDefault="001A43D3" w:rsidP="0049586D">
      <w:pPr>
        <w:pStyle w:val="Ttulo2"/>
      </w:pPr>
      <w:bookmarkStart w:id="226" w:name="_Ref149225777"/>
      <w:bookmarkStart w:id="227" w:name="_Ref149226652"/>
      <w:bookmarkStart w:id="228" w:name="_Ref149227064"/>
      <w:bookmarkStart w:id="229" w:name="_Ref149227302"/>
      <w:bookmarkStart w:id="230" w:name="_Ref149290106"/>
      <w:bookmarkStart w:id="231" w:name="_Toc158211549"/>
      <w:r w:rsidRPr="00A25B16">
        <w:t>ACOLGÉN</w:t>
      </w:r>
      <w:bookmarkEnd w:id="226"/>
      <w:bookmarkEnd w:id="227"/>
      <w:bookmarkEnd w:id="228"/>
      <w:bookmarkEnd w:id="229"/>
      <w:bookmarkEnd w:id="230"/>
      <w:bookmarkEnd w:id="231"/>
      <w:r w:rsidRPr="00A25B16">
        <w:tab/>
      </w:r>
    </w:p>
    <w:p w14:paraId="74ED1D96" w14:textId="74BE42A2" w:rsidR="001A43D3" w:rsidRDefault="00E64F39" w:rsidP="001A43D3">
      <w:pPr>
        <w:jc w:val="left"/>
        <w:rPr>
          <w:i/>
          <w:iCs/>
          <w:sz w:val="22"/>
        </w:rPr>
      </w:pPr>
      <w:r>
        <w:rPr>
          <w:i/>
          <w:iCs/>
          <w:sz w:val="22"/>
        </w:rPr>
        <w:t>“</w:t>
      </w:r>
      <w:r w:rsidR="001A43D3" w:rsidRPr="00A25B16">
        <w:rPr>
          <w:i/>
          <w:iCs/>
          <w:sz w:val="22"/>
        </w:rPr>
        <w:t>Respecto a las propuestas para mejorar la transparencia en las negociaciones del mercado secundario, compartimos la importancia de la transparencia, pero enfatizamos la necesidad de garantizar que los mecanismos no obstaculicen la fluidez y agilidad de las transacciones en este mercado dinámico. Es fundamental que las soluciones propuestas consideren la naturaleza fluctuante de las transacciones y respondan de manera oportuna a las demandas cambiantes, especialmente en situaciones excepcionales.</w:t>
      </w:r>
      <w:r>
        <w:rPr>
          <w:i/>
          <w:iCs/>
          <w:sz w:val="22"/>
        </w:rPr>
        <w:t>”</w:t>
      </w:r>
    </w:p>
    <w:p w14:paraId="5A7F7307" w14:textId="77777777" w:rsidR="00E64F39" w:rsidRDefault="00E64F39" w:rsidP="001A43D3">
      <w:pPr>
        <w:jc w:val="left"/>
        <w:rPr>
          <w:i/>
          <w:iCs/>
          <w:sz w:val="22"/>
        </w:rPr>
      </w:pPr>
    </w:p>
    <w:p w14:paraId="3B782E35" w14:textId="77777777" w:rsidR="002B1FF0" w:rsidRPr="002B1FF0" w:rsidRDefault="002B1FF0" w:rsidP="002B1FF0">
      <w:pPr>
        <w:rPr>
          <w:rFonts w:cs="Arial"/>
          <w:b/>
          <w:bCs/>
          <w:sz w:val="22"/>
          <w:szCs w:val="22"/>
        </w:rPr>
      </w:pPr>
      <w:r w:rsidRPr="002B1FF0">
        <w:rPr>
          <w:rFonts w:cs="Arial"/>
          <w:b/>
          <w:bCs/>
          <w:sz w:val="22"/>
          <w:szCs w:val="22"/>
        </w:rPr>
        <w:t>RESPUESTA:</w:t>
      </w:r>
    </w:p>
    <w:p w14:paraId="0C916BD1" w14:textId="77777777" w:rsidR="002B1FF0" w:rsidRPr="002B1FF0" w:rsidRDefault="002B1FF0" w:rsidP="002B1FF0">
      <w:pPr>
        <w:rPr>
          <w:rFonts w:cs="Arial"/>
          <w:sz w:val="22"/>
          <w:szCs w:val="22"/>
        </w:rPr>
      </w:pPr>
    </w:p>
    <w:p w14:paraId="41E1EC1F" w14:textId="1DD1B79F" w:rsidR="002B1FF0" w:rsidRDefault="0063762F" w:rsidP="002B1FF0">
      <w:pPr>
        <w:rPr>
          <w:rFonts w:cs="Arial"/>
          <w:sz w:val="22"/>
          <w:szCs w:val="22"/>
        </w:rPr>
      </w:pPr>
      <w:r>
        <w:rPr>
          <w:rFonts w:cs="Arial"/>
          <w:sz w:val="22"/>
          <w:szCs w:val="22"/>
        </w:rPr>
        <w:t>Se acoge el comentario parcialmente.</w:t>
      </w:r>
    </w:p>
    <w:p w14:paraId="2BBB1DBA" w14:textId="77777777" w:rsidR="0063762F" w:rsidRDefault="0063762F" w:rsidP="002B1FF0">
      <w:pPr>
        <w:rPr>
          <w:rFonts w:cs="Arial"/>
          <w:sz w:val="22"/>
          <w:szCs w:val="22"/>
        </w:rPr>
      </w:pPr>
    </w:p>
    <w:p w14:paraId="5B1E7CB8" w14:textId="71E30AB4" w:rsidR="00271C97" w:rsidRDefault="0063762F" w:rsidP="002B1FF0">
      <w:pPr>
        <w:rPr>
          <w:rFonts w:cs="Arial"/>
          <w:sz w:val="22"/>
          <w:szCs w:val="22"/>
        </w:rPr>
      </w:pPr>
      <w:r>
        <w:rPr>
          <w:rFonts w:cs="Arial"/>
          <w:sz w:val="22"/>
          <w:szCs w:val="22"/>
        </w:rPr>
        <w:t xml:space="preserve">Como se observó en el documento soporte </w:t>
      </w:r>
      <w:r w:rsidR="00A368E1">
        <w:rPr>
          <w:rFonts w:cs="Arial"/>
          <w:sz w:val="22"/>
          <w:szCs w:val="22"/>
        </w:rPr>
        <w:t xml:space="preserve">CREG 02 009 de 2023, </w:t>
      </w:r>
      <w:r>
        <w:rPr>
          <w:rFonts w:cs="Arial"/>
          <w:sz w:val="22"/>
          <w:szCs w:val="22"/>
        </w:rPr>
        <w:t xml:space="preserve">del Proyecto de Resolución CREG 702 005 de 2023 con los datos de la </w:t>
      </w:r>
      <w:r w:rsidR="00A368E1">
        <w:rPr>
          <w:rFonts w:cs="Arial"/>
          <w:sz w:val="22"/>
          <w:szCs w:val="22"/>
        </w:rPr>
        <w:t>Ilustración 2 “</w:t>
      </w:r>
      <w:r w:rsidR="00A368E1" w:rsidRPr="00A368E1">
        <w:rPr>
          <w:rFonts w:cs="Arial"/>
          <w:i/>
          <w:iCs/>
          <w:sz w:val="22"/>
          <w:szCs w:val="22"/>
        </w:rPr>
        <w:t>Comparación de energía facturada a usuarios residenciales y comerciales regulados y energía contratada en el Mercado Primario</w:t>
      </w:r>
      <w:r w:rsidR="00A368E1">
        <w:rPr>
          <w:rFonts w:cs="Arial"/>
          <w:sz w:val="22"/>
          <w:szCs w:val="22"/>
        </w:rPr>
        <w:t>” las cantidades totales contratadas que aparecen registradas ante el Gestor del Mercado con destino a  la demanda residencial u a la comercial regulada (pequeños usuarios comerciales) que son el segundo numeral de prioridad de la definición de la Demanda Esencial contenida en el Artículo 2.2.2.1.4 del Decreto 1073 de 2015, la suma de los valores máximos en el año 2022 del consumo de tales usuarios corresponde al setenta y cinco por ci</w:t>
      </w:r>
      <w:r w:rsidR="00271C97">
        <w:rPr>
          <w:rFonts w:cs="Arial"/>
          <w:sz w:val="22"/>
          <w:szCs w:val="22"/>
        </w:rPr>
        <w:t>e</w:t>
      </w:r>
      <w:r w:rsidR="00A368E1">
        <w:rPr>
          <w:rFonts w:cs="Arial"/>
          <w:sz w:val="22"/>
          <w:szCs w:val="22"/>
        </w:rPr>
        <w:t>nto (75%) de las cantidades contratadas de tipo firme para el período diciembre 2023 a noviembre 2024</w:t>
      </w:r>
      <w:r w:rsidR="00271C97">
        <w:rPr>
          <w:rFonts w:cs="Arial"/>
          <w:sz w:val="22"/>
          <w:szCs w:val="22"/>
        </w:rPr>
        <w:t>. Contando con que hay una comercializadora que no tiene contratado el volumen de gas para todo ese mismo período, al final de noviembre de 2024 el porcentaje se eleva al ochenta y cinco por ciento (85%).</w:t>
      </w:r>
    </w:p>
    <w:p w14:paraId="090C06BE" w14:textId="77777777" w:rsidR="00271C97" w:rsidRDefault="00271C97" w:rsidP="002B1FF0">
      <w:pPr>
        <w:rPr>
          <w:rFonts w:cs="Arial"/>
          <w:sz w:val="22"/>
          <w:szCs w:val="22"/>
        </w:rPr>
      </w:pPr>
    </w:p>
    <w:p w14:paraId="2165CB2E" w14:textId="612DF2AA" w:rsidR="0063762F" w:rsidRDefault="00271C97" w:rsidP="002B1FF0">
      <w:pPr>
        <w:rPr>
          <w:rFonts w:cs="Arial"/>
          <w:sz w:val="22"/>
          <w:szCs w:val="22"/>
        </w:rPr>
      </w:pPr>
      <w:r>
        <w:rPr>
          <w:rFonts w:cs="Arial"/>
          <w:sz w:val="22"/>
          <w:szCs w:val="22"/>
        </w:rPr>
        <w:t xml:space="preserve">De lo anterior se concluye que hay cantidades suficientes contratada en el Mercado Primario para atender a la demanda residencial y comercial regulada en caso de que dicha demanda se incremente para el año 2024 hasta en un dieciocho por ciento (18%) por encima del consumo en el año 2022.   </w:t>
      </w:r>
    </w:p>
    <w:p w14:paraId="7326D9D3" w14:textId="77777777" w:rsidR="00271C97" w:rsidRDefault="00271C97" w:rsidP="002B1FF0">
      <w:pPr>
        <w:rPr>
          <w:rFonts w:cs="Arial"/>
          <w:sz w:val="22"/>
          <w:szCs w:val="22"/>
        </w:rPr>
      </w:pPr>
    </w:p>
    <w:p w14:paraId="153C7062" w14:textId="54E0C72F" w:rsidR="00271C97" w:rsidRDefault="00271C97" w:rsidP="002B1FF0">
      <w:pPr>
        <w:rPr>
          <w:rFonts w:cs="Arial"/>
          <w:sz w:val="22"/>
          <w:szCs w:val="22"/>
        </w:rPr>
      </w:pPr>
      <w:r>
        <w:rPr>
          <w:rFonts w:cs="Arial"/>
          <w:sz w:val="22"/>
          <w:szCs w:val="22"/>
        </w:rPr>
        <w:t>Del mismo modo se puede observar de la ilustración mencionada, que hay comercializadores que atiende</w:t>
      </w:r>
      <w:r w:rsidR="004C20C7">
        <w:rPr>
          <w:rFonts w:cs="Arial"/>
          <w:sz w:val="22"/>
          <w:szCs w:val="22"/>
        </w:rPr>
        <w:t>n</w:t>
      </w:r>
      <w:r>
        <w:rPr>
          <w:rFonts w:cs="Arial"/>
          <w:sz w:val="22"/>
          <w:szCs w:val="22"/>
        </w:rPr>
        <w:t xml:space="preserve"> demanda final, cortos en la contratación necesaria</w:t>
      </w:r>
      <w:r w:rsidR="004C20C7">
        <w:rPr>
          <w:rFonts w:cs="Arial"/>
          <w:sz w:val="22"/>
          <w:szCs w:val="22"/>
        </w:rPr>
        <w:t xml:space="preserve"> </w:t>
      </w:r>
      <w:r>
        <w:rPr>
          <w:rFonts w:cs="Arial"/>
          <w:sz w:val="22"/>
          <w:szCs w:val="22"/>
        </w:rPr>
        <w:t>al menos en el Mercado Primario y otros comercializadores, que no necesariamente atienden demanda final pero que registraron contratos con destino a la demanda residencial y comercial que tiene contratadas cantidades excedentarias.</w:t>
      </w:r>
    </w:p>
    <w:p w14:paraId="2D3A632B" w14:textId="77777777" w:rsidR="00271C97" w:rsidRDefault="00271C97" w:rsidP="002B1FF0">
      <w:pPr>
        <w:rPr>
          <w:rFonts w:cs="Arial"/>
          <w:sz w:val="22"/>
          <w:szCs w:val="22"/>
        </w:rPr>
      </w:pPr>
    </w:p>
    <w:p w14:paraId="4637BCCF" w14:textId="2DFFC2E7" w:rsidR="00271C97" w:rsidRDefault="00271C97" w:rsidP="002B1FF0">
      <w:pPr>
        <w:rPr>
          <w:rFonts w:cs="Arial"/>
          <w:sz w:val="22"/>
          <w:szCs w:val="22"/>
        </w:rPr>
      </w:pPr>
      <w:r>
        <w:rPr>
          <w:rFonts w:cs="Arial"/>
          <w:sz w:val="22"/>
          <w:szCs w:val="22"/>
        </w:rPr>
        <w:t xml:space="preserve">Es por ello que se necesita la mayor oportunidad </w:t>
      </w:r>
      <w:r w:rsidR="001B7AC4">
        <w:rPr>
          <w:rFonts w:cs="Arial"/>
          <w:sz w:val="22"/>
          <w:szCs w:val="22"/>
        </w:rPr>
        <w:t>en la</w:t>
      </w:r>
      <w:r>
        <w:rPr>
          <w:rFonts w:cs="Arial"/>
          <w:sz w:val="22"/>
          <w:szCs w:val="22"/>
        </w:rPr>
        <w:t xml:space="preserve"> entrega de información de los compradores y vendedores del Mercado Secundario, antes que se concreten las negociaciones entre ellos, de modo que todos los posibles oferentes tanto de venta como de compra se enteren de los potenciales de negociación. Aunque ciertamente el registro de la información de los contratos finalmente suscritos puede servir a los participantes del Mercado Secundario y del Mercado Primario, no es suficiente el simple registro de la misma</w:t>
      </w:r>
      <w:r w:rsidR="00B170D3">
        <w:rPr>
          <w:rFonts w:cs="Arial"/>
          <w:sz w:val="22"/>
          <w:szCs w:val="22"/>
        </w:rPr>
        <w:t>,</w:t>
      </w:r>
      <w:r>
        <w:rPr>
          <w:rFonts w:cs="Arial"/>
          <w:sz w:val="22"/>
          <w:szCs w:val="22"/>
        </w:rPr>
        <w:t xml:space="preserve"> después de suscritos los contratos. </w:t>
      </w:r>
    </w:p>
    <w:p w14:paraId="5A3F97C2" w14:textId="77777777" w:rsidR="00271C97" w:rsidRDefault="00271C97" w:rsidP="002B1FF0">
      <w:pPr>
        <w:rPr>
          <w:rFonts w:cs="Arial"/>
          <w:sz w:val="22"/>
          <w:szCs w:val="22"/>
        </w:rPr>
      </w:pPr>
    </w:p>
    <w:p w14:paraId="2BA1D662" w14:textId="744F15DF" w:rsidR="00271C97" w:rsidRDefault="00271C97" w:rsidP="001B7AC4">
      <w:pPr>
        <w:rPr>
          <w:rFonts w:cs="Arial"/>
          <w:sz w:val="22"/>
          <w:szCs w:val="22"/>
        </w:rPr>
      </w:pPr>
      <w:r>
        <w:rPr>
          <w:rFonts w:cs="Arial"/>
          <w:sz w:val="22"/>
          <w:szCs w:val="22"/>
        </w:rPr>
        <w:t xml:space="preserve">Por otro lado, la gran mayoría de contratos del Mercado Secundario, de acuerdo con </w:t>
      </w:r>
      <w:r w:rsidR="00B170D3">
        <w:rPr>
          <w:rFonts w:cs="Arial"/>
          <w:sz w:val="22"/>
          <w:szCs w:val="22"/>
        </w:rPr>
        <w:t>la</w:t>
      </w:r>
      <w:r w:rsidR="001B7AC4">
        <w:rPr>
          <w:rFonts w:cs="Arial"/>
          <w:sz w:val="22"/>
          <w:szCs w:val="22"/>
        </w:rPr>
        <w:t>s</w:t>
      </w:r>
      <w:r w:rsidR="00B170D3">
        <w:rPr>
          <w:rFonts w:cs="Arial"/>
          <w:sz w:val="22"/>
          <w:szCs w:val="22"/>
        </w:rPr>
        <w:t xml:space="preserve"> </w:t>
      </w:r>
      <w:r>
        <w:rPr>
          <w:rFonts w:cs="Arial"/>
          <w:sz w:val="22"/>
          <w:szCs w:val="22"/>
        </w:rPr>
        <w:t xml:space="preserve">publicaciones </w:t>
      </w:r>
      <w:r w:rsidR="00B170D3">
        <w:rPr>
          <w:rFonts w:cs="Arial"/>
          <w:sz w:val="22"/>
          <w:szCs w:val="22"/>
        </w:rPr>
        <w:t xml:space="preserve">de los informes mensuales </w:t>
      </w:r>
      <w:r>
        <w:rPr>
          <w:rFonts w:cs="Arial"/>
          <w:sz w:val="22"/>
          <w:szCs w:val="22"/>
        </w:rPr>
        <w:t>del Gestor del Mercado, tiene</w:t>
      </w:r>
      <w:r w:rsidR="00B170D3">
        <w:rPr>
          <w:rFonts w:cs="Arial"/>
          <w:sz w:val="22"/>
          <w:szCs w:val="22"/>
        </w:rPr>
        <w:t>n</w:t>
      </w:r>
      <w:r>
        <w:rPr>
          <w:rFonts w:cs="Arial"/>
          <w:sz w:val="22"/>
          <w:szCs w:val="22"/>
        </w:rPr>
        <w:t xml:space="preserve"> duraciones</w:t>
      </w:r>
      <w:r w:rsidR="001B7AC4">
        <w:rPr>
          <w:rFonts w:cs="Arial"/>
          <w:sz w:val="22"/>
          <w:szCs w:val="22"/>
        </w:rPr>
        <w:t xml:space="preserve"> de 1 día. Por ejemplo, en el </w:t>
      </w:r>
      <w:r w:rsidR="001B7AC4" w:rsidRPr="001B7AC4">
        <w:rPr>
          <w:rFonts w:cs="Arial"/>
          <w:sz w:val="22"/>
          <w:szCs w:val="22"/>
        </w:rPr>
        <w:t>INFORME MENSUAL - MERCADO DE GAS NATURAL</w:t>
      </w:r>
      <w:r w:rsidR="001B7AC4">
        <w:rPr>
          <w:rFonts w:cs="Arial"/>
          <w:sz w:val="22"/>
          <w:szCs w:val="22"/>
        </w:rPr>
        <w:t xml:space="preserve"> </w:t>
      </w:r>
      <w:r w:rsidR="001B7AC4" w:rsidRPr="001B7AC4">
        <w:rPr>
          <w:rFonts w:cs="Arial"/>
          <w:sz w:val="22"/>
          <w:szCs w:val="22"/>
        </w:rPr>
        <w:t>SEPTIEMBRE 2023</w:t>
      </w:r>
      <w:r w:rsidR="001B7AC4">
        <w:rPr>
          <w:rFonts w:cs="Arial"/>
          <w:sz w:val="22"/>
          <w:szCs w:val="22"/>
        </w:rPr>
        <w:t>” (</w:t>
      </w:r>
      <w:hyperlink r:id="rId44" w:history="1">
        <w:r w:rsidR="001B7AC4" w:rsidRPr="00F57AB1">
          <w:rPr>
            <w:rStyle w:val="Hipervnculo"/>
            <w:rFonts w:cs="Arial"/>
            <w:sz w:val="22"/>
            <w:szCs w:val="22"/>
          </w:rPr>
          <w:t>https://www.bmcbec.com.co/sites/default/files/2023-10/Informe%20Mensual%202023%20Septiembre.pdf</w:t>
        </w:r>
      </w:hyperlink>
      <w:r w:rsidR="001B7AC4">
        <w:rPr>
          <w:rFonts w:cs="Arial"/>
          <w:sz w:val="22"/>
          <w:szCs w:val="22"/>
        </w:rPr>
        <w:t xml:space="preserve">) se encuentra la siguiente gráfica y el siguiente comentario:  </w:t>
      </w:r>
      <w:r>
        <w:rPr>
          <w:rFonts w:cs="Arial"/>
          <w:sz w:val="22"/>
          <w:szCs w:val="22"/>
        </w:rPr>
        <w:t xml:space="preserve"> </w:t>
      </w:r>
    </w:p>
    <w:p w14:paraId="419C1425" w14:textId="77777777" w:rsidR="003E1CAF" w:rsidRDefault="003E1CAF" w:rsidP="002B1FF0">
      <w:pPr>
        <w:rPr>
          <w:rFonts w:cs="Arial"/>
          <w:sz w:val="22"/>
          <w:szCs w:val="22"/>
        </w:rPr>
      </w:pPr>
    </w:p>
    <w:p w14:paraId="2C5BA7D9" w14:textId="77777777" w:rsidR="0089254A" w:rsidRDefault="0089254A" w:rsidP="000F5A77">
      <w:pPr>
        <w:rPr>
          <w:rFonts w:cs="Arial"/>
          <w:sz w:val="22"/>
          <w:szCs w:val="22"/>
        </w:rPr>
      </w:pPr>
    </w:p>
    <w:p w14:paraId="4A33870F" w14:textId="4B563AB3" w:rsidR="0089254A" w:rsidRPr="000F5A77" w:rsidRDefault="0089254A" w:rsidP="000F5A77">
      <w:pPr>
        <w:rPr>
          <w:rFonts w:cs="Arial"/>
          <w:sz w:val="22"/>
          <w:szCs w:val="22"/>
        </w:rPr>
      </w:pPr>
      <w:r>
        <w:rPr>
          <w:rFonts w:cs="Arial"/>
          <w:noProof/>
          <w:sz w:val="22"/>
          <w:szCs w:val="22"/>
        </w:rPr>
        <w:drawing>
          <wp:inline distT="0" distB="0" distL="0" distR="0" wp14:anchorId="1811DC26" wp14:editId="68CC9C50">
            <wp:extent cx="5967095" cy="2778760"/>
            <wp:effectExtent l="0" t="0" r="0" b="2540"/>
            <wp:docPr id="1420981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7095" cy="2778760"/>
                    </a:xfrm>
                    <a:prstGeom prst="rect">
                      <a:avLst/>
                    </a:prstGeom>
                    <a:noFill/>
                    <a:ln>
                      <a:noFill/>
                    </a:ln>
                  </pic:spPr>
                </pic:pic>
              </a:graphicData>
            </a:graphic>
          </wp:inline>
        </w:drawing>
      </w:r>
    </w:p>
    <w:p w14:paraId="71866B97" w14:textId="77777777" w:rsidR="00271C97" w:rsidRDefault="00271C97" w:rsidP="002B1FF0">
      <w:pPr>
        <w:rPr>
          <w:rFonts w:cs="Arial"/>
          <w:sz w:val="22"/>
          <w:szCs w:val="22"/>
        </w:rPr>
      </w:pPr>
    </w:p>
    <w:p w14:paraId="0D1F69CD" w14:textId="77777777" w:rsidR="001B7AC4" w:rsidRDefault="001B7AC4" w:rsidP="001B7AC4">
      <w:pPr>
        <w:ind w:left="708"/>
        <w:rPr>
          <w:rFonts w:cs="Arial"/>
          <w:i/>
          <w:iCs/>
          <w:sz w:val="22"/>
          <w:szCs w:val="22"/>
        </w:rPr>
      </w:pPr>
      <w:r>
        <w:rPr>
          <w:rFonts w:cs="Arial"/>
          <w:sz w:val="22"/>
          <w:szCs w:val="22"/>
        </w:rPr>
        <w:t>“</w:t>
      </w:r>
      <w:r w:rsidRPr="003E1CAF">
        <w:rPr>
          <w:rFonts w:cs="Arial"/>
          <w:i/>
          <w:iCs/>
          <w:sz w:val="22"/>
          <w:szCs w:val="22"/>
        </w:rPr>
        <w:t>El mercado secundario se caracteriza por un dinamismo en transacciones de corto plazo, es así como las negociaciones de duración de 1 día representan el 87% del número total de operaciones. El día con mayor número de transacciones registradas fue el 22 de septiembre con 41 transacciones, equivalentes al 7.03% del total de transacciones realizadas durante el mes y registrados en los términos de la Resolución CREG 186/2020.”</w:t>
      </w:r>
    </w:p>
    <w:p w14:paraId="728DD8A4" w14:textId="77777777" w:rsidR="001B7AC4" w:rsidRDefault="001B7AC4" w:rsidP="002B1FF0">
      <w:pPr>
        <w:rPr>
          <w:rFonts w:cs="Arial"/>
          <w:sz w:val="22"/>
          <w:szCs w:val="22"/>
        </w:rPr>
      </w:pPr>
    </w:p>
    <w:p w14:paraId="1F773573" w14:textId="19070C5E" w:rsidR="001B7AC4" w:rsidRDefault="001B7AC4" w:rsidP="001B7AC4">
      <w:pPr>
        <w:rPr>
          <w:rFonts w:cs="Arial"/>
          <w:sz w:val="22"/>
          <w:szCs w:val="22"/>
        </w:rPr>
      </w:pPr>
      <w:r w:rsidRPr="000F5A77">
        <w:rPr>
          <w:rFonts w:cs="Arial"/>
          <w:sz w:val="22"/>
          <w:szCs w:val="22"/>
        </w:rPr>
        <w:t xml:space="preserve">Es de tener en cuenta que el volumen de negociaciones no necesariamente implica la misma conclusión </w:t>
      </w:r>
      <w:r>
        <w:rPr>
          <w:rFonts w:cs="Arial"/>
          <w:sz w:val="22"/>
          <w:szCs w:val="22"/>
        </w:rPr>
        <w:t xml:space="preserve">cuando se evalúa el volumen en energía contratada (MBTU), entre contratos de un día de duración y contratos de mayores duraciones. </w:t>
      </w:r>
    </w:p>
    <w:p w14:paraId="78B6D280" w14:textId="77777777" w:rsidR="004C20C7" w:rsidRDefault="004C20C7" w:rsidP="001B7AC4">
      <w:pPr>
        <w:rPr>
          <w:rFonts w:cs="Arial"/>
          <w:sz w:val="22"/>
          <w:szCs w:val="22"/>
        </w:rPr>
      </w:pPr>
    </w:p>
    <w:p w14:paraId="29EE3266" w14:textId="5935DEA6" w:rsidR="004C20C7" w:rsidRDefault="004C20C7" w:rsidP="001B7AC4">
      <w:pPr>
        <w:rPr>
          <w:rFonts w:cs="Arial"/>
          <w:sz w:val="22"/>
          <w:szCs w:val="22"/>
        </w:rPr>
      </w:pPr>
      <w:r>
        <w:rPr>
          <w:rFonts w:cs="Arial"/>
          <w:sz w:val="22"/>
          <w:szCs w:val="22"/>
        </w:rPr>
        <w:t>Asimismo, se debe tener en cuenta que la información requerida en el Artículo 33 de la Resolución CREG 186 de 2020 es previa a la negociación, pues así se desprende de la lectura de los numerales 1 y 2, que se transcriben a continuación:</w:t>
      </w:r>
    </w:p>
    <w:p w14:paraId="4A8F8811" w14:textId="77777777" w:rsidR="004C20C7" w:rsidRDefault="004C20C7" w:rsidP="001B7AC4">
      <w:pPr>
        <w:rPr>
          <w:rFonts w:cs="Arial"/>
          <w:sz w:val="22"/>
          <w:szCs w:val="22"/>
        </w:rPr>
      </w:pPr>
    </w:p>
    <w:p w14:paraId="0AD98914" w14:textId="77BA41FB" w:rsidR="004C20C7" w:rsidRPr="004C20C7" w:rsidRDefault="004C20C7" w:rsidP="004C20C7">
      <w:pPr>
        <w:ind w:left="708"/>
        <w:rPr>
          <w:rFonts w:cs="Arial"/>
          <w:i/>
          <w:iCs/>
          <w:sz w:val="22"/>
          <w:szCs w:val="22"/>
        </w:rPr>
      </w:pPr>
      <w:r w:rsidRPr="004C20C7">
        <w:rPr>
          <w:rFonts w:cs="Arial"/>
          <w:i/>
          <w:iCs/>
          <w:sz w:val="22"/>
          <w:szCs w:val="22"/>
        </w:rPr>
        <w:t>“(…)  el gestor del mercado pondrá la siguiente información a disposición de los participantes del mercado que estén registrados en el BEC según lo dispuesto en el  Artículo 35  de esta Resolución:</w:t>
      </w:r>
    </w:p>
    <w:p w14:paraId="566C695B" w14:textId="77777777" w:rsidR="004C20C7" w:rsidRPr="004C20C7" w:rsidRDefault="004C20C7" w:rsidP="004C20C7">
      <w:pPr>
        <w:ind w:left="708"/>
        <w:rPr>
          <w:rFonts w:cs="Arial"/>
          <w:i/>
          <w:iCs/>
          <w:sz w:val="22"/>
          <w:szCs w:val="22"/>
        </w:rPr>
      </w:pPr>
    </w:p>
    <w:p w14:paraId="18129E87" w14:textId="77777777" w:rsidR="004C20C7" w:rsidRPr="004C20C7" w:rsidRDefault="004C20C7" w:rsidP="004C20C7">
      <w:pPr>
        <w:ind w:left="708"/>
        <w:rPr>
          <w:rFonts w:cs="Arial"/>
          <w:i/>
          <w:iCs/>
          <w:sz w:val="22"/>
          <w:szCs w:val="22"/>
        </w:rPr>
      </w:pPr>
      <w:r w:rsidRPr="004C20C7">
        <w:rPr>
          <w:rFonts w:cs="Arial"/>
          <w:i/>
          <w:iCs/>
          <w:sz w:val="22"/>
          <w:szCs w:val="22"/>
        </w:rPr>
        <w:t>1.</w:t>
      </w:r>
      <w:r w:rsidRPr="004C20C7">
        <w:rPr>
          <w:rFonts w:cs="Arial"/>
          <w:i/>
          <w:iCs/>
          <w:sz w:val="22"/>
          <w:szCs w:val="22"/>
        </w:rPr>
        <w:tab/>
        <w:t xml:space="preserve">Ofertas de venta de gas natural. Las ofertas deberán especificar la identidad del oferente, los datos de contacto del mismo, la cantidad ofrecida en MBTUD, la duración del contrato ofrecido, el punto estándar de entrega, los precios de venta en dólares de los Estados Unidos de América por MBTU, y la fecha máxima </w:t>
      </w:r>
      <w:r w:rsidRPr="004C20C7">
        <w:rPr>
          <w:rFonts w:cs="Arial"/>
          <w:b/>
          <w:bCs/>
          <w:i/>
          <w:iCs/>
          <w:sz w:val="22"/>
          <w:szCs w:val="22"/>
          <w:u w:val="single"/>
        </w:rPr>
        <w:t>para manifestar interés en el contrato ofrecido</w:t>
      </w:r>
      <w:r w:rsidRPr="004C20C7">
        <w:rPr>
          <w:rFonts w:cs="Arial"/>
          <w:i/>
          <w:iCs/>
          <w:sz w:val="22"/>
          <w:szCs w:val="22"/>
        </w:rPr>
        <w:t>.</w:t>
      </w:r>
    </w:p>
    <w:p w14:paraId="1D586C0C" w14:textId="77777777" w:rsidR="004C20C7" w:rsidRPr="004C20C7" w:rsidRDefault="004C20C7" w:rsidP="004C20C7">
      <w:pPr>
        <w:ind w:left="708"/>
        <w:rPr>
          <w:rFonts w:cs="Arial"/>
          <w:i/>
          <w:iCs/>
          <w:sz w:val="22"/>
          <w:szCs w:val="22"/>
        </w:rPr>
      </w:pPr>
    </w:p>
    <w:p w14:paraId="6435DB61" w14:textId="77777777" w:rsidR="004C20C7" w:rsidRPr="004C20C7" w:rsidRDefault="004C20C7" w:rsidP="004C20C7">
      <w:pPr>
        <w:ind w:left="708"/>
        <w:rPr>
          <w:rFonts w:cs="Arial"/>
          <w:i/>
          <w:iCs/>
          <w:sz w:val="22"/>
          <w:szCs w:val="22"/>
        </w:rPr>
      </w:pPr>
      <w:r w:rsidRPr="004C20C7">
        <w:rPr>
          <w:rFonts w:cs="Arial"/>
          <w:i/>
          <w:iCs/>
          <w:sz w:val="22"/>
          <w:szCs w:val="22"/>
        </w:rPr>
        <w:t>2.</w:t>
      </w:r>
      <w:r w:rsidRPr="004C20C7">
        <w:rPr>
          <w:rFonts w:cs="Arial"/>
          <w:i/>
          <w:iCs/>
          <w:sz w:val="22"/>
          <w:szCs w:val="22"/>
        </w:rPr>
        <w:tab/>
        <w:t xml:space="preserve">Solicitudes de compra de gas natural. Las solicitudes deberán especificar la identidad del solicitante, los datos de contacto del mismo, la cantidad requerida en MBTUD, la duración del contrato solicitado, el punto estándar de entrega, el precio de compra en dólares de los Estados Unidos de América por MBTU, y la fecha máxima </w:t>
      </w:r>
      <w:r w:rsidRPr="004C20C7">
        <w:rPr>
          <w:rFonts w:cs="Arial"/>
          <w:b/>
          <w:bCs/>
          <w:i/>
          <w:iCs/>
          <w:sz w:val="22"/>
          <w:szCs w:val="22"/>
          <w:u w:val="single"/>
        </w:rPr>
        <w:t>para manifestar interés en el contrato solicitado.</w:t>
      </w:r>
    </w:p>
    <w:p w14:paraId="012DFBF9" w14:textId="77777777" w:rsidR="004C20C7" w:rsidRPr="004C20C7" w:rsidRDefault="004C20C7" w:rsidP="004C20C7">
      <w:pPr>
        <w:ind w:left="708"/>
        <w:rPr>
          <w:rFonts w:cs="Arial"/>
          <w:i/>
          <w:iCs/>
          <w:sz w:val="22"/>
          <w:szCs w:val="22"/>
        </w:rPr>
      </w:pPr>
    </w:p>
    <w:p w14:paraId="309BBB61" w14:textId="3BCA0FE9" w:rsidR="004C20C7" w:rsidRPr="004C20C7" w:rsidRDefault="004C20C7" w:rsidP="004C20C7">
      <w:pPr>
        <w:ind w:left="708"/>
        <w:rPr>
          <w:rFonts w:cs="Arial"/>
          <w:i/>
          <w:iCs/>
          <w:sz w:val="22"/>
          <w:szCs w:val="22"/>
        </w:rPr>
      </w:pPr>
      <w:r w:rsidRPr="004C20C7">
        <w:rPr>
          <w:rFonts w:cs="Arial"/>
          <w:b/>
          <w:bCs/>
          <w:i/>
          <w:iCs/>
          <w:sz w:val="22"/>
          <w:szCs w:val="22"/>
          <w:u w:val="single"/>
        </w:rPr>
        <w:t>A partir de esta información</w:t>
      </w:r>
      <w:r w:rsidRPr="004C20C7">
        <w:rPr>
          <w:rFonts w:cs="Arial"/>
          <w:i/>
          <w:iCs/>
          <w:sz w:val="22"/>
          <w:szCs w:val="22"/>
        </w:rPr>
        <w:t xml:space="preserve">, los vendedores y los compradores que estén registrados en el BEC, según lo dispuesto en el  Artículo 35  de esta Resolución, </w:t>
      </w:r>
      <w:r w:rsidRPr="004C20C7">
        <w:rPr>
          <w:rFonts w:cs="Arial"/>
          <w:b/>
          <w:bCs/>
          <w:i/>
          <w:iCs/>
          <w:sz w:val="22"/>
          <w:szCs w:val="22"/>
          <w:u w:val="single"/>
        </w:rPr>
        <w:t>realizarán las negociaciones directas de su interés</w:t>
      </w:r>
      <w:r>
        <w:rPr>
          <w:rFonts w:cs="Arial"/>
          <w:i/>
          <w:iCs/>
          <w:sz w:val="22"/>
          <w:szCs w:val="22"/>
        </w:rPr>
        <w:t xml:space="preserve"> (…) </w:t>
      </w:r>
      <w:r w:rsidRPr="004C20C7">
        <w:rPr>
          <w:rFonts w:cs="Arial"/>
          <w:sz w:val="22"/>
          <w:szCs w:val="22"/>
        </w:rPr>
        <w:t>(subrayado con resaltado fuera de texto)</w:t>
      </w:r>
    </w:p>
    <w:p w14:paraId="74A3F4F5" w14:textId="77777777" w:rsidR="004C20C7" w:rsidRDefault="004C20C7" w:rsidP="001B7AC4">
      <w:pPr>
        <w:rPr>
          <w:rFonts w:cs="Arial"/>
          <w:sz w:val="22"/>
          <w:szCs w:val="22"/>
        </w:rPr>
      </w:pPr>
    </w:p>
    <w:p w14:paraId="7A2B764F" w14:textId="3F631325" w:rsidR="00CD3EFD" w:rsidRDefault="00CD3EFD" w:rsidP="001B7AC4">
      <w:pPr>
        <w:rPr>
          <w:rFonts w:cs="Arial"/>
          <w:sz w:val="22"/>
          <w:szCs w:val="22"/>
        </w:rPr>
      </w:pPr>
      <w:r>
        <w:rPr>
          <w:rFonts w:cs="Arial"/>
          <w:sz w:val="22"/>
          <w:szCs w:val="22"/>
        </w:rPr>
        <w:t>Finalmente, el Parágrafo del Artículo 33 establece que:</w:t>
      </w:r>
    </w:p>
    <w:p w14:paraId="412DE7FE" w14:textId="77777777" w:rsidR="00CD3EFD" w:rsidRDefault="00CD3EFD" w:rsidP="001B7AC4">
      <w:pPr>
        <w:rPr>
          <w:rFonts w:cs="Arial"/>
          <w:sz w:val="22"/>
          <w:szCs w:val="22"/>
        </w:rPr>
      </w:pPr>
    </w:p>
    <w:p w14:paraId="3DD043E8" w14:textId="59390706" w:rsidR="00CD3EFD" w:rsidRPr="004C20C7" w:rsidRDefault="00CD3EFD" w:rsidP="00CD3EFD">
      <w:pPr>
        <w:ind w:left="708"/>
        <w:rPr>
          <w:rFonts w:cs="Arial"/>
          <w:i/>
          <w:iCs/>
          <w:sz w:val="22"/>
          <w:szCs w:val="22"/>
        </w:rPr>
      </w:pPr>
      <w:r>
        <w:rPr>
          <w:rFonts w:cs="Arial"/>
          <w:sz w:val="22"/>
          <w:szCs w:val="22"/>
        </w:rPr>
        <w:t>“</w:t>
      </w:r>
      <w:r w:rsidRPr="00CD3EFD">
        <w:rPr>
          <w:rFonts w:cs="Arial"/>
          <w:i/>
          <w:iCs/>
          <w:sz w:val="22"/>
          <w:szCs w:val="22"/>
        </w:rPr>
        <w:t xml:space="preserve">Parágrafo. El gestor del mercado definirá el medio y el formato para la </w:t>
      </w:r>
      <w:r w:rsidRPr="00CD3EFD">
        <w:rPr>
          <w:rFonts w:cs="Arial"/>
          <w:b/>
          <w:bCs/>
          <w:i/>
          <w:iCs/>
          <w:sz w:val="22"/>
          <w:szCs w:val="22"/>
          <w:u w:val="single"/>
        </w:rPr>
        <w:t>presentación de las ofertas de venta y de las solicitudes de compra a las que se hace referencia en este artículo</w:t>
      </w:r>
      <w:r w:rsidRPr="00CD3EFD">
        <w:rPr>
          <w:rFonts w:cs="Arial"/>
          <w:i/>
          <w:iCs/>
          <w:sz w:val="22"/>
          <w:szCs w:val="22"/>
        </w:rPr>
        <w:t xml:space="preserve">. El gestor del mercado facilitará la publicación de </w:t>
      </w:r>
      <w:r w:rsidRPr="00CD3EFD">
        <w:rPr>
          <w:rFonts w:cs="Arial"/>
          <w:b/>
          <w:bCs/>
          <w:i/>
          <w:iCs/>
          <w:sz w:val="22"/>
          <w:szCs w:val="22"/>
          <w:u w:val="single"/>
        </w:rPr>
        <w:t>otra información</w:t>
      </w:r>
      <w:r w:rsidRPr="00CD3EFD">
        <w:rPr>
          <w:rFonts w:cs="Arial"/>
          <w:i/>
          <w:iCs/>
          <w:sz w:val="22"/>
          <w:szCs w:val="22"/>
        </w:rPr>
        <w:t xml:space="preserve"> sobre las ofertas de venta y las solicitudes de compra </w:t>
      </w:r>
      <w:r w:rsidRPr="00CD3EFD">
        <w:rPr>
          <w:rFonts w:cs="Arial"/>
          <w:b/>
          <w:bCs/>
          <w:i/>
          <w:iCs/>
          <w:sz w:val="22"/>
          <w:szCs w:val="22"/>
          <w:u w:val="single"/>
        </w:rPr>
        <w:t>que los participantes del mercado deseen publicar voluntariamente</w:t>
      </w:r>
      <w:r w:rsidRPr="00CD3EFD">
        <w:rPr>
          <w:rFonts w:cs="Arial"/>
          <w:sz w:val="22"/>
          <w:szCs w:val="22"/>
        </w:rPr>
        <w:t>.</w:t>
      </w:r>
      <w:r>
        <w:rPr>
          <w:rFonts w:cs="Arial"/>
          <w:sz w:val="22"/>
          <w:szCs w:val="22"/>
        </w:rPr>
        <w:t>”</w:t>
      </w:r>
      <w:r w:rsidRPr="00CD3EFD">
        <w:rPr>
          <w:rFonts w:cs="Arial"/>
          <w:sz w:val="22"/>
          <w:szCs w:val="22"/>
        </w:rPr>
        <w:t xml:space="preserve"> </w:t>
      </w:r>
      <w:r w:rsidRPr="004C20C7">
        <w:rPr>
          <w:rFonts w:cs="Arial"/>
          <w:sz w:val="22"/>
          <w:szCs w:val="22"/>
        </w:rPr>
        <w:t>(subrayado con resaltado fuera de texto)</w:t>
      </w:r>
    </w:p>
    <w:p w14:paraId="79C9F80A" w14:textId="77777777" w:rsidR="00CD3EFD" w:rsidRDefault="00CD3EFD" w:rsidP="00CD3EFD">
      <w:pPr>
        <w:rPr>
          <w:rFonts w:cs="Arial"/>
          <w:sz w:val="22"/>
          <w:szCs w:val="22"/>
        </w:rPr>
      </w:pPr>
    </w:p>
    <w:p w14:paraId="07978450" w14:textId="7066B5F3" w:rsidR="004C20C7" w:rsidRDefault="004C20C7" w:rsidP="001B7AC4">
      <w:pPr>
        <w:rPr>
          <w:rFonts w:cs="Arial"/>
          <w:sz w:val="22"/>
          <w:szCs w:val="22"/>
        </w:rPr>
      </w:pPr>
      <w:r>
        <w:rPr>
          <w:rFonts w:cs="Arial"/>
          <w:sz w:val="22"/>
          <w:szCs w:val="22"/>
        </w:rPr>
        <w:t>Es decir, la propuesta del Proyecto de Resolución no debe sorprender a nadie.</w:t>
      </w:r>
      <w:r w:rsidR="0053180E">
        <w:rPr>
          <w:rFonts w:cs="Arial"/>
          <w:sz w:val="22"/>
          <w:szCs w:val="22"/>
        </w:rPr>
        <w:t xml:space="preserve"> Claramente las negociaciones directas del Mercado Secundario parten de una información que se publica previamente al registro del contrato, sin ninguna excepción.</w:t>
      </w:r>
    </w:p>
    <w:p w14:paraId="5A15B075" w14:textId="77777777" w:rsidR="001B7AC4" w:rsidRDefault="001B7AC4" w:rsidP="002B1FF0">
      <w:pPr>
        <w:rPr>
          <w:rFonts w:cs="Arial"/>
          <w:sz w:val="22"/>
          <w:szCs w:val="22"/>
        </w:rPr>
      </w:pPr>
    </w:p>
    <w:p w14:paraId="2D3C7823" w14:textId="11FFB0B5" w:rsidR="00271C97" w:rsidRDefault="006477AE" w:rsidP="002B1FF0">
      <w:pPr>
        <w:rPr>
          <w:rFonts w:cs="Arial"/>
          <w:sz w:val="22"/>
          <w:szCs w:val="22"/>
        </w:rPr>
      </w:pPr>
      <w:r>
        <w:rPr>
          <w:rFonts w:cs="Arial"/>
          <w:sz w:val="22"/>
          <w:szCs w:val="22"/>
        </w:rPr>
        <w:t xml:space="preserve">Ahora bien, es posible que en ciertas negociaciones dichos requisitos demoren las negociaciones y se pierda la oportunidad efectiva de acudir a ellas. </w:t>
      </w:r>
      <w:r w:rsidR="00D1225D">
        <w:rPr>
          <w:rFonts w:cs="Arial"/>
          <w:sz w:val="22"/>
          <w:szCs w:val="22"/>
        </w:rPr>
        <w:t>Por lo anterior, e</w:t>
      </w:r>
      <w:r w:rsidR="00271C97">
        <w:rPr>
          <w:rFonts w:cs="Arial"/>
          <w:sz w:val="22"/>
          <w:szCs w:val="22"/>
        </w:rPr>
        <w:t>n la resolución definitiva se establece entonces dos aspectos necesarios</w:t>
      </w:r>
      <w:r w:rsidR="00661C41">
        <w:rPr>
          <w:rFonts w:cs="Arial"/>
          <w:sz w:val="22"/>
          <w:szCs w:val="22"/>
        </w:rPr>
        <w:t xml:space="preserve"> de manera que se obtenga la mayor eficiencia en el funcionamiento operativo del Mercado Secundario para el período de vigencia de la resolución definitiva</w:t>
      </w:r>
      <w:r w:rsidR="00271C97">
        <w:rPr>
          <w:rFonts w:cs="Arial"/>
          <w:sz w:val="22"/>
          <w:szCs w:val="22"/>
        </w:rPr>
        <w:t>:</w:t>
      </w:r>
    </w:p>
    <w:p w14:paraId="518D75DA" w14:textId="77777777" w:rsidR="00271C97" w:rsidRDefault="00271C97" w:rsidP="002B1FF0">
      <w:pPr>
        <w:rPr>
          <w:rFonts w:cs="Arial"/>
          <w:sz w:val="22"/>
          <w:szCs w:val="22"/>
        </w:rPr>
      </w:pPr>
    </w:p>
    <w:p w14:paraId="6BDDD45E" w14:textId="3C346D97" w:rsidR="00271C97" w:rsidRDefault="00271C97" w:rsidP="00271C97">
      <w:pPr>
        <w:pStyle w:val="Prrafodelista"/>
        <w:numPr>
          <w:ilvl w:val="0"/>
          <w:numId w:val="31"/>
        </w:numPr>
        <w:rPr>
          <w:rFonts w:cs="Arial"/>
          <w:sz w:val="22"/>
          <w:szCs w:val="22"/>
        </w:rPr>
      </w:pPr>
      <w:r w:rsidRPr="00271C97">
        <w:rPr>
          <w:rFonts w:cs="Arial"/>
          <w:sz w:val="22"/>
          <w:szCs w:val="22"/>
        </w:rPr>
        <w:t>Por una parte</w:t>
      </w:r>
      <w:r w:rsidR="003E1CAF">
        <w:rPr>
          <w:rFonts w:cs="Arial"/>
          <w:sz w:val="22"/>
          <w:szCs w:val="22"/>
        </w:rPr>
        <w:t>,</w:t>
      </w:r>
      <w:r w:rsidRPr="00271C97">
        <w:rPr>
          <w:rFonts w:cs="Arial"/>
          <w:sz w:val="22"/>
          <w:szCs w:val="22"/>
        </w:rPr>
        <w:t xml:space="preserve"> </w:t>
      </w:r>
      <w:r w:rsidR="005F6531">
        <w:rPr>
          <w:rFonts w:cs="Arial"/>
          <w:sz w:val="22"/>
          <w:szCs w:val="22"/>
        </w:rPr>
        <w:t xml:space="preserve">se establece </w:t>
      </w:r>
      <w:r>
        <w:rPr>
          <w:rFonts w:cs="Arial"/>
          <w:sz w:val="22"/>
          <w:szCs w:val="22"/>
        </w:rPr>
        <w:t>que l</w:t>
      </w:r>
      <w:r w:rsidRPr="00271C97">
        <w:rPr>
          <w:rFonts w:cs="Arial"/>
          <w:sz w:val="22"/>
          <w:szCs w:val="22"/>
        </w:rPr>
        <w:t>as cantidades de suministro excedentarias contratadas por un comercializador en el Mercado Primario o en el Mercado Secundario</w:t>
      </w:r>
      <w:r>
        <w:rPr>
          <w:rFonts w:cs="Arial"/>
          <w:sz w:val="22"/>
          <w:szCs w:val="22"/>
        </w:rPr>
        <w:t>,</w:t>
      </w:r>
      <w:r w:rsidRPr="00271C97">
        <w:rPr>
          <w:rFonts w:cs="Arial"/>
          <w:sz w:val="22"/>
          <w:szCs w:val="22"/>
        </w:rPr>
        <w:t xml:space="preserve"> registradas para atender a la demanda regulada, deberán ser ofrecidas en primera instancia a los compradores del Mercado Secundario que solicitan el suministro para atender directamente la demanda regulada de sus propios mercados de comercialización. En el caso de empresas comercializadoras en que exista vinculación económica, se podrán negociar prioritariamente dichas cantidades entre ellas, aplicando en el precio del contrato de suministro, como máximo, el margen de intermediación establecido en el Artículo 4 de la Resolución CREG 112 de 2007.</w:t>
      </w:r>
    </w:p>
    <w:p w14:paraId="648D9BD2" w14:textId="77777777" w:rsidR="003E1CAF" w:rsidRDefault="003E1CAF" w:rsidP="003E1CAF">
      <w:pPr>
        <w:rPr>
          <w:rFonts w:cs="Arial"/>
          <w:sz w:val="22"/>
          <w:szCs w:val="22"/>
        </w:rPr>
      </w:pPr>
    </w:p>
    <w:p w14:paraId="187221C1" w14:textId="12EFCF47" w:rsidR="003E1CAF" w:rsidRDefault="003E1CAF" w:rsidP="003E1CAF">
      <w:pPr>
        <w:ind w:left="360"/>
        <w:rPr>
          <w:rFonts w:cs="Arial"/>
          <w:sz w:val="22"/>
          <w:szCs w:val="22"/>
        </w:rPr>
      </w:pPr>
      <w:r>
        <w:rPr>
          <w:rFonts w:cs="Arial"/>
          <w:sz w:val="22"/>
          <w:szCs w:val="22"/>
        </w:rPr>
        <w:t>En este sentido no se espera que las negociaciones del Mercado Secundario de estas cantidades</w:t>
      </w:r>
      <w:r w:rsidR="00D1225D">
        <w:rPr>
          <w:rFonts w:cs="Arial"/>
          <w:sz w:val="22"/>
          <w:szCs w:val="22"/>
        </w:rPr>
        <w:t xml:space="preserve"> arriba </w:t>
      </w:r>
      <w:r>
        <w:rPr>
          <w:rFonts w:cs="Arial"/>
          <w:sz w:val="22"/>
          <w:szCs w:val="22"/>
        </w:rPr>
        <w:t xml:space="preserve">mencionadas, sean para </w:t>
      </w:r>
      <w:r w:rsidR="00D1225D">
        <w:rPr>
          <w:rFonts w:cs="Arial"/>
          <w:sz w:val="22"/>
          <w:szCs w:val="22"/>
        </w:rPr>
        <w:t xml:space="preserve">suscribir </w:t>
      </w:r>
      <w:r>
        <w:rPr>
          <w:rFonts w:cs="Arial"/>
          <w:sz w:val="22"/>
          <w:szCs w:val="22"/>
        </w:rPr>
        <w:t>contratos de duración de 1 día, sino de duraciones muy superiores, que se negocien en un plazo más extendido del que se negocia típicamente los contratos de 1 día de duración.</w:t>
      </w:r>
    </w:p>
    <w:p w14:paraId="355EDCFF" w14:textId="77777777" w:rsidR="00D1225D" w:rsidRPr="003E1CAF" w:rsidRDefault="00D1225D" w:rsidP="00D1225D">
      <w:pPr>
        <w:rPr>
          <w:rFonts w:cs="Arial"/>
          <w:sz w:val="22"/>
          <w:szCs w:val="22"/>
        </w:rPr>
      </w:pPr>
    </w:p>
    <w:p w14:paraId="017939E8" w14:textId="749E6001" w:rsidR="00271C97" w:rsidRPr="00271C97" w:rsidRDefault="00D1225D" w:rsidP="00271C97">
      <w:pPr>
        <w:pStyle w:val="Prrafodelista"/>
        <w:numPr>
          <w:ilvl w:val="0"/>
          <w:numId w:val="31"/>
        </w:numPr>
        <w:rPr>
          <w:rFonts w:cs="Arial"/>
          <w:sz w:val="22"/>
          <w:szCs w:val="22"/>
        </w:rPr>
      </w:pPr>
      <w:r>
        <w:rPr>
          <w:rFonts w:cs="Arial"/>
          <w:sz w:val="22"/>
          <w:szCs w:val="22"/>
        </w:rPr>
        <w:t>Por otra parte</w:t>
      </w:r>
      <w:r w:rsidR="005F6531">
        <w:rPr>
          <w:rFonts w:cs="Arial"/>
          <w:sz w:val="22"/>
          <w:szCs w:val="22"/>
        </w:rPr>
        <w:t>,</w:t>
      </w:r>
      <w:r>
        <w:rPr>
          <w:rFonts w:cs="Arial"/>
          <w:sz w:val="22"/>
          <w:szCs w:val="22"/>
        </w:rPr>
        <w:t xml:space="preserve"> se establece que </w:t>
      </w:r>
      <w:r w:rsidR="00661C41" w:rsidRPr="00661C41">
        <w:rPr>
          <w:rFonts w:cs="Arial"/>
          <w:sz w:val="22"/>
          <w:szCs w:val="22"/>
        </w:rPr>
        <w:t>Excepto para los casos de contratos de tipo firme para ser ejecutados en cualesquiera de los cinco (5) días hábiles siguientes al día de su registro ante el Gestor del Mercado y siempre y cuando el contrato haya sido negociado dentro de los  cinco (5) días hábiles antes de su registro, todos los agentes que deseen hacer negociaciones directas en el Mercado Secundario, están obligados a entregar la información requerida para el cumplimiento de lo establecido en el artículo 33 de la resolución</w:t>
      </w:r>
      <w:r w:rsidR="005F6531">
        <w:rPr>
          <w:rFonts w:cs="Arial"/>
          <w:sz w:val="22"/>
          <w:szCs w:val="22"/>
        </w:rPr>
        <w:t xml:space="preserve"> CREG 186 de 2020</w:t>
      </w:r>
      <w:r w:rsidR="00661C41" w:rsidRPr="00661C41">
        <w:rPr>
          <w:rFonts w:cs="Arial"/>
          <w:sz w:val="22"/>
          <w:szCs w:val="22"/>
        </w:rPr>
        <w:t xml:space="preserve">, antes de cualquier negociación de compraventa y en el caso de los vendedores y adicionalmente deberán informar si el gas es de origen nacional o importado u obtenido en el exterior. </w:t>
      </w:r>
      <w:r>
        <w:rPr>
          <w:rFonts w:cs="Arial"/>
          <w:sz w:val="22"/>
          <w:szCs w:val="22"/>
        </w:rPr>
        <w:t xml:space="preserve"> </w:t>
      </w:r>
    </w:p>
    <w:p w14:paraId="728C370A" w14:textId="77777777" w:rsidR="00E64F39" w:rsidRDefault="00E64F39" w:rsidP="001A43D3">
      <w:pPr>
        <w:jc w:val="left"/>
        <w:rPr>
          <w:i/>
          <w:iCs/>
          <w:sz w:val="22"/>
        </w:rPr>
      </w:pPr>
    </w:p>
    <w:p w14:paraId="7D77A5B8" w14:textId="77777777" w:rsidR="00E64F39" w:rsidRPr="00A25B16" w:rsidRDefault="00E64F39" w:rsidP="001A43D3">
      <w:pPr>
        <w:jc w:val="left"/>
        <w:rPr>
          <w:i/>
          <w:iCs/>
          <w:sz w:val="22"/>
        </w:rPr>
      </w:pPr>
    </w:p>
    <w:p w14:paraId="6FB9050A" w14:textId="5AB4326E" w:rsidR="00E64F39" w:rsidRDefault="001A43D3" w:rsidP="001A614B">
      <w:pPr>
        <w:pStyle w:val="Ttulo2"/>
      </w:pPr>
      <w:bookmarkStart w:id="232" w:name="_Toc158211550"/>
      <w:r w:rsidRPr="00A25B16">
        <w:t>Alcanos de Colombia S.A. E.S.P.</w:t>
      </w:r>
      <w:bookmarkEnd w:id="232"/>
      <w:r w:rsidRPr="00A25B16">
        <w:tab/>
      </w:r>
    </w:p>
    <w:p w14:paraId="4794FFDF" w14:textId="71FB8F03" w:rsidR="001A43D3" w:rsidRPr="00A25B16" w:rsidRDefault="001A43D3" w:rsidP="001A43D3">
      <w:pPr>
        <w:jc w:val="left"/>
        <w:rPr>
          <w:i/>
          <w:iCs/>
          <w:sz w:val="22"/>
        </w:rPr>
      </w:pPr>
      <w:r w:rsidRPr="00A25B16">
        <w:rPr>
          <w:i/>
          <w:iCs/>
          <w:sz w:val="22"/>
        </w:rPr>
        <w:t>"Tal como hoy está la operación en suministro de gas la nominación empieza para el día D+1 desde la 0.00 horas hasta las 15.30 horas del día D y la renominacion empieza a las 19.00 horas del día D-1 hasta las 18.00 horas del día de gas, estas restricciones hacen que los tiempos de transacción sean muy cortos.  Si se tuviera que reportar esta información al gestor, se incurriría en una reducción automática en los tiempos de transacción y seguramente muchas negociaciones comerciales que se hacen antes del tiempo de cierre no se harían.</w:t>
      </w:r>
    </w:p>
    <w:p w14:paraId="3A28FBEF" w14:textId="77777777" w:rsidR="001A43D3" w:rsidRPr="00A25B16" w:rsidRDefault="001A43D3" w:rsidP="001A43D3">
      <w:pPr>
        <w:jc w:val="left"/>
        <w:rPr>
          <w:i/>
          <w:iCs/>
          <w:sz w:val="22"/>
        </w:rPr>
      </w:pPr>
    </w:p>
    <w:p w14:paraId="5155C535" w14:textId="77777777" w:rsidR="001A43D3" w:rsidRPr="00A25B16" w:rsidRDefault="001A43D3" w:rsidP="001A43D3">
      <w:pPr>
        <w:jc w:val="left"/>
        <w:rPr>
          <w:i/>
          <w:iCs/>
          <w:sz w:val="22"/>
        </w:rPr>
      </w:pPr>
      <w:r w:rsidRPr="00A25B16">
        <w:rPr>
          <w:i/>
          <w:iCs/>
          <w:sz w:val="22"/>
        </w:rPr>
        <w:t>Se solicita que estas transacciones diarias no se reporten al gestor, y que continuen como están hoy en día, se cierra la negociación y luego se procede a registrar el contrato en el gestor de mercado. "</w:t>
      </w:r>
    </w:p>
    <w:p w14:paraId="792564D6" w14:textId="77777777" w:rsidR="00E64F39" w:rsidRDefault="00E64F39" w:rsidP="001A43D3">
      <w:pPr>
        <w:jc w:val="left"/>
        <w:rPr>
          <w:i/>
          <w:iCs/>
          <w:sz w:val="22"/>
        </w:rPr>
      </w:pPr>
    </w:p>
    <w:p w14:paraId="2D49E140" w14:textId="77777777" w:rsidR="002B1FF0" w:rsidRPr="002B1FF0" w:rsidRDefault="002B1FF0" w:rsidP="002B1FF0">
      <w:pPr>
        <w:rPr>
          <w:rFonts w:cs="Arial"/>
          <w:b/>
          <w:bCs/>
          <w:sz w:val="22"/>
          <w:szCs w:val="22"/>
        </w:rPr>
      </w:pPr>
      <w:r w:rsidRPr="002B1FF0">
        <w:rPr>
          <w:rFonts w:cs="Arial"/>
          <w:b/>
          <w:bCs/>
          <w:sz w:val="22"/>
          <w:szCs w:val="22"/>
        </w:rPr>
        <w:t>RESPUESTA:</w:t>
      </w:r>
    </w:p>
    <w:p w14:paraId="065312BE" w14:textId="77777777" w:rsidR="002B1FF0" w:rsidRPr="002B1FF0" w:rsidRDefault="002B1FF0" w:rsidP="002B1FF0">
      <w:pPr>
        <w:rPr>
          <w:rFonts w:cs="Arial"/>
          <w:sz w:val="22"/>
          <w:szCs w:val="22"/>
        </w:rPr>
      </w:pPr>
    </w:p>
    <w:p w14:paraId="3C02C93B" w14:textId="487CE7A2" w:rsidR="002B1FF0" w:rsidRPr="002B1FF0" w:rsidRDefault="002E1B91"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_Ref149225777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00AD4202" w14:textId="77777777" w:rsidR="00E64F39" w:rsidRDefault="00E64F39" w:rsidP="001A43D3">
      <w:pPr>
        <w:jc w:val="left"/>
        <w:rPr>
          <w:i/>
          <w:iCs/>
          <w:sz w:val="22"/>
        </w:rPr>
      </w:pPr>
    </w:p>
    <w:p w14:paraId="0E4DFA86" w14:textId="77777777" w:rsidR="00E64F39" w:rsidRDefault="00E64F39" w:rsidP="001A43D3">
      <w:pPr>
        <w:jc w:val="left"/>
        <w:rPr>
          <w:i/>
          <w:iCs/>
          <w:sz w:val="22"/>
        </w:rPr>
      </w:pPr>
    </w:p>
    <w:p w14:paraId="24618A32" w14:textId="697E0C16" w:rsidR="00E64F39" w:rsidRDefault="001A43D3" w:rsidP="001A614B">
      <w:pPr>
        <w:pStyle w:val="Ttulo2"/>
      </w:pPr>
      <w:bookmarkStart w:id="233" w:name="_Toc158211551"/>
      <w:r w:rsidRPr="00A25B16">
        <w:t>Alcanos de Colombia S.A. E.S.P.</w:t>
      </w:r>
      <w:bookmarkEnd w:id="233"/>
      <w:r w:rsidRPr="00A25B16">
        <w:tab/>
      </w:r>
    </w:p>
    <w:p w14:paraId="627B63BC" w14:textId="26FF675A" w:rsidR="001A43D3" w:rsidRPr="00A25B16" w:rsidRDefault="001A43D3" w:rsidP="001A43D3">
      <w:pPr>
        <w:jc w:val="left"/>
        <w:rPr>
          <w:i/>
          <w:iCs/>
          <w:sz w:val="22"/>
        </w:rPr>
      </w:pPr>
      <w:r w:rsidRPr="00A25B16">
        <w:rPr>
          <w:i/>
          <w:iCs/>
          <w:sz w:val="22"/>
        </w:rPr>
        <w:t>"Condiciona a que todas las negociaciones del mercado secundario se deban hacer a través del BEC.</w:t>
      </w:r>
    </w:p>
    <w:p w14:paraId="32AE0933" w14:textId="77777777" w:rsidR="001A43D3" w:rsidRPr="00A25B16" w:rsidRDefault="001A43D3" w:rsidP="001A43D3">
      <w:pPr>
        <w:jc w:val="left"/>
        <w:rPr>
          <w:i/>
          <w:iCs/>
          <w:sz w:val="22"/>
        </w:rPr>
      </w:pPr>
    </w:p>
    <w:p w14:paraId="59A3C490" w14:textId="77777777" w:rsidR="001A43D3" w:rsidRPr="00A25B16" w:rsidRDefault="001A43D3" w:rsidP="001A43D3">
      <w:pPr>
        <w:jc w:val="left"/>
        <w:rPr>
          <w:i/>
          <w:iCs/>
          <w:sz w:val="22"/>
        </w:rPr>
      </w:pPr>
      <w:r w:rsidRPr="00A25B16">
        <w:rPr>
          <w:i/>
          <w:iCs/>
          <w:sz w:val="22"/>
        </w:rPr>
        <w:t>Se corrija que las negociaciones del mercado secundario puedan ser directas o a través del BEC"</w:t>
      </w:r>
    </w:p>
    <w:p w14:paraId="3E4352B0" w14:textId="77777777" w:rsidR="00E64F39" w:rsidRDefault="00E64F39" w:rsidP="001A43D3">
      <w:pPr>
        <w:jc w:val="left"/>
        <w:rPr>
          <w:i/>
          <w:iCs/>
          <w:sz w:val="22"/>
        </w:rPr>
      </w:pPr>
    </w:p>
    <w:p w14:paraId="060F282D" w14:textId="77777777" w:rsidR="002B1FF0" w:rsidRPr="002B1FF0" w:rsidRDefault="002B1FF0" w:rsidP="002B1FF0">
      <w:pPr>
        <w:rPr>
          <w:rFonts w:cs="Arial"/>
          <w:b/>
          <w:bCs/>
          <w:sz w:val="22"/>
          <w:szCs w:val="22"/>
        </w:rPr>
      </w:pPr>
      <w:r w:rsidRPr="002B1FF0">
        <w:rPr>
          <w:rFonts w:cs="Arial"/>
          <w:b/>
          <w:bCs/>
          <w:sz w:val="22"/>
          <w:szCs w:val="22"/>
        </w:rPr>
        <w:t>RESPUESTA:</w:t>
      </w:r>
    </w:p>
    <w:p w14:paraId="0E8503CB" w14:textId="77777777" w:rsidR="002B1FF0" w:rsidRPr="002B1FF0" w:rsidRDefault="002B1FF0" w:rsidP="002B1FF0">
      <w:pPr>
        <w:rPr>
          <w:rFonts w:cs="Arial"/>
          <w:sz w:val="22"/>
          <w:szCs w:val="22"/>
        </w:rPr>
      </w:pPr>
    </w:p>
    <w:p w14:paraId="13AA3938" w14:textId="7508CB12" w:rsidR="002E1B91" w:rsidRPr="002B1FF0" w:rsidRDefault="002E1B91" w:rsidP="002E1B91">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_Ref149225777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0CFE3539" w14:textId="77777777" w:rsidR="00E64F39" w:rsidRDefault="00E64F39" w:rsidP="001A43D3">
      <w:pPr>
        <w:jc w:val="left"/>
        <w:rPr>
          <w:i/>
          <w:iCs/>
          <w:sz w:val="22"/>
        </w:rPr>
      </w:pPr>
    </w:p>
    <w:p w14:paraId="038A2D54" w14:textId="77777777" w:rsidR="00E64F39" w:rsidRDefault="00E64F39" w:rsidP="001A43D3">
      <w:pPr>
        <w:jc w:val="left"/>
        <w:rPr>
          <w:i/>
          <w:iCs/>
          <w:sz w:val="22"/>
        </w:rPr>
      </w:pPr>
    </w:p>
    <w:p w14:paraId="13788A3B" w14:textId="2E6BECF1" w:rsidR="00E64F39" w:rsidRDefault="00F32AE9" w:rsidP="001A614B">
      <w:pPr>
        <w:pStyle w:val="Ttulo2"/>
      </w:pPr>
      <w:bookmarkStart w:id="234" w:name="_Toc158211552"/>
      <w:r>
        <w:t>A</w:t>
      </w:r>
      <w:r w:rsidR="001A43D3" w:rsidRPr="00A25B16">
        <w:t>ndesco</w:t>
      </w:r>
      <w:bookmarkEnd w:id="234"/>
      <w:r w:rsidR="001A43D3" w:rsidRPr="00A25B16">
        <w:tab/>
      </w:r>
    </w:p>
    <w:p w14:paraId="7AB8BCBF" w14:textId="48181CF6" w:rsidR="001A43D3" w:rsidRDefault="00E64F39" w:rsidP="001A43D3">
      <w:pPr>
        <w:jc w:val="left"/>
        <w:rPr>
          <w:i/>
          <w:iCs/>
          <w:sz w:val="22"/>
        </w:rPr>
      </w:pPr>
      <w:r>
        <w:rPr>
          <w:i/>
          <w:iCs/>
          <w:sz w:val="22"/>
        </w:rPr>
        <w:t>“</w:t>
      </w:r>
      <w:r w:rsidR="001A43D3" w:rsidRPr="00A25B16">
        <w:rPr>
          <w:i/>
          <w:iCs/>
          <w:sz w:val="22"/>
        </w:rPr>
        <w:t>En el Artículo 11 observamos que, exigir que las cantidades y precios de compradores y vendedores estén registradas en la página del Gestor de Mercado con anterioridad a una transacción horaria, podría ocasionar retrasos en el mecanismo, teniendo en cuenta que en los próximos meses ante el fenómeno de “El Niño” se requerirá de cantidades de gas de manera rápida. Cabe mencionar que, actualmente el Gestor ya publica de manera diaria, las cantidades y precios por punto de venta en el mercado secundario.</w:t>
      </w:r>
      <w:r>
        <w:rPr>
          <w:i/>
          <w:iCs/>
          <w:sz w:val="22"/>
        </w:rPr>
        <w:t>”</w:t>
      </w:r>
    </w:p>
    <w:p w14:paraId="28F3B969" w14:textId="77777777" w:rsidR="00E64F39" w:rsidRDefault="00E64F39" w:rsidP="001A43D3">
      <w:pPr>
        <w:jc w:val="left"/>
        <w:rPr>
          <w:i/>
          <w:iCs/>
          <w:sz w:val="22"/>
        </w:rPr>
      </w:pPr>
    </w:p>
    <w:p w14:paraId="6E5C33FF" w14:textId="77777777" w:rsidR="002B1FF0" w:rsidRPr="002B1FF0" w:rsidRDefault="002B1FF0" w:rsidP="002B1FF0">
      <w:pPr>
        <w:rPr>
          <w:rFonts w:cs="Arial"/>
          <w:b/>
          <w:bCs/>
          <w:sz w:val="22"/>
          <w:szCs w:val="22"/>
        </w:rPr>
      </w:pPr>
      <w:r w:rsidRPr="002B1FF0">
        <w:rPr>
          <w:rFonts w:cs="Arial"/>
          <w:b/>
          <w:bCs/>
          <w:sz w:val="22"/>
          <w:szCs w:val="22"/>
        </w:rPr>
        <w:t>RESPUESTA:</w:t>
      </w:r>
    </w:p>
    <w:p w14:paraId="6243C268" w14:textId="77777777" w:rsidR="002B1FF0" w:rsidRPr="002B1FF0" w:rsidRDefault="002B1FF0" w:rsidP="002B1FF0">
      <w:pPr>
        <w:rPr>
          <w:rFonts w:cs="Arial"/>
          <w:sz w:val="22"/>
          <w:szCs w:val="22"/>
        </w:rPr>
      </w:pPr>
    </w:p>
    <w:p w14:paraId="0058E008" w14:textId="1BB05088" w:rsidR="002E1B91" w:rsidRPr="002B1FF0" w:rsidRDefault="002E1B91" w:rsidP="002E1B91">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_Ref149225777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4E1A5472" w14:textId="77777777" w:rsidR="00E64F39" w:rsidRDefault="00E64F39" w:rsidP="001A43D3">
      <w:pPr>
        <w:jc w:val="left"/>
        <w:rPr>
          <w:i/>
          <w:iCs/>
          <w:sz w:val="22"/>
        </w:rPr>
      </w:pPr>
    </w:p>
    <w:p w14:paraId="56A744B2" w14:textId="77777777" w:rsidR="00E64F39" w:rsidRPr="00A25B16" w:rsidRDefault="00E64F39" w:rsidP="001A43D3">
      <w:pPr>
        <w:jc w:val="left"/>
        <w:rPr>
          <w:i/>
          <w:iCs/>
          <w:sz w:val="22"/>
        </w:rPr>
      </w:pPr>
    </w:p>
    <w:p w14:paraId="1B15DF73" w14:textId="0D9BED5C" w:rsidR="00E64F39" w:rsidRDefault="001A43D3" w:rsidP="001A614B">
      <w:pPr>
        <w:pStyle w:val="Ttulo2"/>
      </w:pPr>
      <w:bookmarkStart w:id="235" w:name="_Toc158211553"/>
      <w:r w:rsidRPr="00A25B16">
        <w:t>ASOENERGIA</w:t>
      </w:r>
      <w:bookmarkEnd w:id="235"/>
      <w:r w:rsidRPr="00A25B16">
        <w:tab/>
      </w:r>
    </w:p>
    <w:p w14:paraId="1C2DF5EF" w14:textId="4F3BEA8B" w:rsidR="001A43D3" w:rsidRDefault="00E64F39" w:rsidP="001A43D3">
      <w:pPr>
        <w:jc w:val="left"/>
        <w:rPr>
          <w:i/>
          <w:iCs/>
          <w:sz w:val="22"/>
        </w:rPr>
      </w:pPr>
      <w:r>
        <w:rPr>
          <w:i/>
          <w:iCs/>
          <w:sz w:val="22"/>
        </w:rPr>
        <w:t>“</w:t>
      </w:r>
      <w:r w:rsidR="001A43D3" w:rsidRPr="00A25B16">
        <w:rPr>
          <w:i/>
          <w:iCs/>
          <w:sz w:val="22"/>
        </w:rPr>
        <w:t>Consideramos que el parágrafo en mención no debe ser de carácter obligatorio. De esta manera, no se estaría limitando la gestión comercial y estratégica de los agentes del mercado respecto del cierre de sus negociaciones contractuales.</w:t>
      </w:r>
      <w:r>
        <w:rPr>
          <w:i/>
          <w:iCs/>
          <w:sz w:val="22"/>
        </w:rPr>
        <w:t>”</w:t>
      </w:r>
    </w:p>
    <w:p w14:paraId="015ABDDD" w14:textId="77777777" w:rsidR="00E64F39" w:rsidRDefault="00E64F39" w:rsidP="001A43D3">
      <w:pPr>
        <w:jc w:val="left"/>
        <w:rPr>
          <w:i/>
          <w:iCs/>
          <w:sz w:val="22"/>
        </w:rPr>
      </w:pPr>
    </w:p>
    <w:p w14:paraId="7EB1CA88" w14:textId="77777777" w:rsidR="002B1FF0" w:rsidRPr="002B1FF0" w:rsidRDefault="002B1FF0" w:rsidP="002B1FF0">
      <w:pPr>
        <w:rPr>
          <w:rFonts w:cs="Arial"/>
          <w:b/>
          <w:bCs/>
          <w:sz w:val="22"/>
          <w:szCs w:val="22"/>
        </w:rPr>
      </w:pPr>
      <w:r w:rsidRPr="002B1FF0">
        <w:rPr>
          <w:rFonts w:cs="Arial"/>
          <w:b/>
          <w:bCs/>
          <w:sz w:val="22"/>
          <w:szCs w:val="22"/>
        </w:rPr>
        <w:t>RESPUESTA:</w:t>
      </w:r>
    </w:p>
    <w:p w14:paraId="05B3D1EC" w14:textId="77777777" w:rsidR="002B1FF0" w:rsidRPr="002B1FF0" w:rsidRDefault="002B1FF0" w:rsidP="002B1FF0">
      <w:pPr>
        <w:rPr>
          <w:rFonts w:cs="Arial"/>
          <w:sz w:val="22"/>
          <w:szCs w:val="22"/>
        </w:rPr>
      </w:pPr>
    </w:p>
    <w:p w14:paraId="6D4FFB21" w14:textId="788FB96D" w:rsidR="002E1B91" w:rsidRPr="002B1FF0" w:rsidRDefault="002E1B91" w:rsidP="002E1B91">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_Ref149225777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56017A84" w14:textId="77777777" w:rsidR="00E64F39" w:rsidRDefault="00E64F39" w:rsidP="001A43D3">
      <w:pPr>
        <w:jc w:val="left"/>
        <w:rPr>
          <w:i/>
          <w:iCs/>
          <w:sz w:val="22"/>
        </w:rPr>
      </w:pPr>
    </w:p>
    <w:p w14:paraId="735B868D" w14:textId="77777777" w:rsidR="00E64F39" w:rsidRPr="00A25B16" w:rsidRDefault="00E64F39" w:rsidP="001A43D3">
      <w:pPr>
        <w:jc w:val="left"/>
        <w:rPr>
          <w:i/>
          <w:iCs/>
          <w:sz w:val="22"/>
        </w:rPr>
      </w:pPr>
    </w:p>
    <w:p w14:paraId="58AA1C2E" w14:textId="592F7E49" w:rsidR="00D751B8" w:rsidRDefault="00D751B8" w:rsidP="001A614B">
      <w:pPr>
        <w:pStyle w:val="Ttulo2"/>
      </w:pPr>
      <w:bookmarkStart w:id="236" w:name="_Toc158211554"/>
      <w:r>
        <w:t>EPM</w:t>
      </w:r>
      <w:bookmarkEnd w:id="236"/>
    </w:p>
    <w:p w14:paraId="1280F14E" w14:textId="37384A9D" w:rsidR="00D751B8" w:rsidRDefault="00D751B8" w:rsidP="00D751B8">
      <w:r>
        <w:t>“</w:t>
      </w:r>
      <w:r w:rsidRPr="00D751B8">
        <w:rPr>
          <w:i/>
          <w:iCs/>
          <w:sz w:val="22"/>
          <w:szCs w:val="22"/>
        </w:rPr>
        <w:t>Si bien valoramos la intención de mejorar la transparencia en las negociaciones del mercado secundario, creemos que la aplicación de este artículo podría limitar la fluidez y agilidad de dicho mercado dada la naturaleza dinámica de las transacciones. En efecto, las solicitudes de compra aparecen en cualquier momento del día, y las transacciones por lo general se realizan de manera inmediata, casi siempre con demanda térmica que es despachada por el CND por necesidad del sector eléctrico por mantenimientos o fallas en Generadores. Así, exigir que las cantidades y precios estén registradas en la página del gestor con anterioridad a una transacción horaria, hace este mecanismo poco práctico y ágil, en especial durante los próximos meses ante el fenómeno de El Niño que requerirá de cantidades de gas de manera rápida. Por lo anterior, proponemos que al comienzo de cada mes se reporten al Gestor las cantidades estimadas disponibles de excedentes, y que estas sean ajustadas automáticamente por el GM en función de las transacciones realizadas. Esta propuesta se alinea con la naturaleza estacional y fluctuante de las transacciones y proporciona una visión más transparente al mercado secundario</w:t>
      </w:r>
      <w:r>
        <w:t>.”</w:t>
      </w:r>
    </w:p>
    <w:p w14:paraId="7C3FD9D0" w14:textId="77777777" w:rsidR="00D751B8" w:rsidRDefault="00D751B8" w:rsidP="00D751B8"/>
    <w:p w14:paraId="26448C08" w14:textId="77777777" w:rsidR="002B1FF0" w:rsidRPr="002B1FF0" w:rsidRDefault="002B1FF0" w:rsidP="002B1FF0">
      <w:pPr>
        <w:rPr>
          <w:rFonts w:cs="Arial"/>
          <w:b/>
          <w:bCs/>
          <w:sz w:val="22"/>
          <w:szCs w:val="22"/>
        </w:rPr>
      </w:pPr>
      <w:r w:rsidRPr="002B1FF0">
        <w:rPr>
          <w:rFonts w:cs="Arial"/>
          <w:b/>
          <w:bCs/>
          <w:sz w:val="22"/>
          <w:szCs w:val="22"/>
        </w:rPr>
        <w:t>RESPUESTA:</w:t>
      </w:r>
    </w:p>
    <w:p w14:paraId="2EBCC72E" w14:textId="77777777" w:rsidR="002B1FF0" w:rsidRPr="002B1FF0" w:rsidRDefault="002B1FF0" w:rsidP="002B1FF0">
      <w:pPr>
        <w:rPr>
          <w:rFonts w:cs="Arial"/>
          <w:sz w:val="22"/>
          <w:szCs w:val="22"/>
        </w:rPr>
      </w:pPr>
    </w:p>
    <w:p w14:paraId="08471FDC" w14:textId="17639450" w:rsidR="002E1B91" w:rsidRDefault="002E1B91" w:rsidP="002E1B91">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_Ref149225777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5BFFF13D" w14:textId="77777777" w:rsidR="003754AD" w:rsidRPr="002B1FF0" w:rsidRDefault="003754AD" w:rsidP="002E1B91">
      <w:pPr>
        <w:rPr>
          <w:rFonts w:cs="Arial"/>
          <w:sz w:val="22"/>
          <w:szCs w:val="22"/>
        </w:rPr>
      </w:pPr>
    </w:p>
    <w:p w14:paraId="20502660" w14:textId="77777777" w:rsidR="00D751B8" w:rsidRDefault="00D751B8" w:rsidP="00D751B8"/>
    <w:p w14:paraId="23817962" w14:textId="1888F19F" w:rsidR="00E64F39" w:rsidRDefault="001A43D3" w:rsidP="001A614B">
      <w:pPr>
        <w:pStyle w:val="Ttulo2"/>
      </w:pPr>
      <w:bookmarkStart w:id="237" w:name="_Toc158211555"/>
      <w:r w:rsidRPr="00A25B16">
        <w:t>Gases del Caribe</w:t>
      </w:r>
      <w:bookmarkEnd w:id="237"/>
      <w:r w:rsidRPr="00A25B16">
        <w:tab/>
      </w:r>
    </w:p>
    <w:p w14:paraId="2A407FC2" w14:textId="0169E956" w:rsidR="001A43D3" w:rsidRPr="00A25B16" w:rsidRDefault="001A43D3" w:rsidP="001A43D3">
      <w:pPr>
        <w:jc w:val="left"/>
        <w:rPr>
          <w:i/>
          <w:iCs/>
          <w:sz w:val="22"/>
        </w:rPr>
      </w:pPr>
      <w:r w:rsidRPr="00A25B16">
        <w:rPr>
          <w:i/>
          <w:iCs/>
          <w:sz w:val="22"/>
        </w:rPr>
        <w:t>"Consideramos que la medida transitoria que requiere registrar la información en el BEC para las transacciones de compra y venta en el mercado secundario no aumenta la flexibilidad, ni dinamismo en el desarrollo de las negociaciones, sino que incrementa  la carga operativa para los agentes involucrados y lo vuelve menos ágil y liquido, pudiendo perderse oportunidades de compra y venta de gas . Por otro lado, esta medida no genera una mayor transparencia al mercado, dado que actualmente todas las transacciones en el mercado secundario requieren un registro en el gestor del mercado.</w:t>
      </w:r>
    </w:p>
    <w:p w14:paraId="0771F638" w14:textId="77777777" w:rsidR="001A43D3" w:rsidRPr="00A25B16" w:rsidRDefault="001A43D3" w:rsidP="001A43D3">
      <w:pPr>
        <w:jc w:val="left"/>
        <w:rPr>
          <w:i/>
          <w:iCs/>
          <w:sz w:val="22"/>
        </w:rPr>
      </w:pPr>
    </w:p>
    <w:p w14:paraId="39FF736C" w14:textId="77777777" w:rsidR="001A43D3" w:rsidRPr="00A25B16" w:rsidRDefault="001A43D3" w:rsidP="001A43D3">
      <w:pPr>
        <w:jc w:val="left"/>
        <w:rPr>
          <w:i/>
          <w:iCs/>
          <w:sz w:val="22"/>
        </w:rPr>
      </w:pPr>
      <w:r w:rsidRPr="00A25B16">
        <w:rPr>
          <w:i/>
          <w:iCs/>
          <w:sz w:val="22"/>
        </w:rPr>
        <w:t>Recomendamos eliminar la medida establecida en el artículo 11 del presente Proyecto de Resolución"</w:t>
      </w:r>
    </w:p>
    <w:p w14:paraId="3F8F826C" w14:textId="77777777" w:rsidR="00E64F39" w:rsidRDefault="00E64F39" w:rsidP="001A43D3">
      <w:pPr>
        <w:jc w:val="left"/>
        <w:rPr>
          <w:i/>
          <w:iCs/>
          <w:sz w:val="22"/>
        </w:rPr>
      </w:pPr>
    </w:p>
    <w:p w14:paraId="358C8B70" w14:textId="77777777" w:rsidR="002B1FF0" w:rsidRPr="002B1FF0" w:rsidRDefault="002B1FF0" w:rsidP="002B1FF0">
      <w:pPr>
        <w:rPr>
          <w:rFonts w:cs="Arial"/>
          <w:b/>
          <w:bCs/>
          <w:sz w:val="22"/>
          <w:szCs w:val="22"/>
        </w:rPr>
      </w:pPr>
      <w:r w:rsidRPr="002B1FF0">
        <w:rPr>
          <w:rFonts w:cs="Arial"/>
          <w:b/>
          <w:bCs/>
          <w:sz w:val="22"/>
          <w:szCs w:val="22"/>
        </w:rPr>
        <w:t>RESPUESTA:</w:t>
      </w:r>
    </w:p>
    <w:p w14:paraId="6BCE220C" w14:textId="77777777" w:rsidR="002B1FF0" w:rsidRPr="002B1FF0" w:rsidRDefault="002B1FF0" w:rsidP="002B1FF0">
      <w:pPr>
        <w:rPr>
          <w:rFonts w:cs="Arial"/>
          <w:sz w:val="22"/>
          <w:szCs w:val="22"/>
        </w:rPr>
      </w:pPr>
    </w:p>
    <w:p w14:paraId="2D05F96E" w14:textId="6D6164A2" w:rsidR="002E1B91" w:rsidRPr="002B1FF0" w:rsidRDefault="002E1B91" w:rsidP="002E1B91">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_Ref149225777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1B2ED1DF" w14:textId="77777777" w:rsidR="00E64F39" w:rsidRDefault="00E64F39" w:rsidP="001A43D3">
      <w:pPr>
        <w:jc w:val="left"/>
        <w:rPr>
          <w:i/>
          <w:iCs/>
          <w:sz w:val="22"/>
        </w:rPr>
      </w:pPr>
    </w:p>
    <w:p w14:paraId="2D65E96D" w14:textId="77777777" w:rsidR="00E64F39" w:rsidRDefault="00E64F39" w:rsidP="001A43D3">
      <w:pPr>
        <w:jc w:val="left"/>
        <w:rPr>
          <w:i/>
          <w:iCs/>
          <w:sz w:val="22"/>
        </w:rPr>
      </w:pPr>
    </w:p>
    <w:p w14:paraId="7E25D31F" w14:textId="578AAC8B" w:rsidR="00E64F39" w:rsidRDefault="001A43D3" w:rsidP="001A614B">
      <w:pPr>
        <w:pStyle w:val="Ttulo2"/>
      </w:pPr>
      <w:bookmarkStart w:id="238" w:name="_Ref149227384"/>
      <w:bookmarkStart w:id="239" w:name="_Toc158211556"/>
      <w:r w:rsidRPr="00A25B16">
        <w:t>Gases del Oriente S.A E.S.P</w:t>
      </w:r>
      <w:bookmarkEnd w:id="238"/>
      <w:bookmarkEnd w:id="239"/>
      <w:r w:rsidRPr="00A25B16">
        <w:tab/>
      </w:r>
    </w:p>
    <w:p w14:paraId="17FBCF1A" w14:textId="535E6F74" w:rsidR="001A43D3" w:rsidRPr="00A25B16" w:rsidRDefault="001A43D3" w:rsidP="001A43D3">
      <w:pPr>
        <w:jc w:val="left"/>
        <w:rPr>
          <w:i/>
          <w:iCs/>
          <w:sz w:val="22"/>
        </w:rPr>
      </w:pPr>
      <w:r w:rsidRPr="00A25B16">
        <w:rPr>
          <w:i/>
          <w:iCs/>
          <w:sz w:val="22"/>
        </w:rPr>
        <w:t>"Todos los agentes que deseen hacer negociaciones directas en el mercado secundario, están obligados a entregar la información requerida para el cumplimiento de lo establecido en el artículo 33 de la presente resolución, antes de cualquier negociación de compraventa y en el caso de los vendedores adicionalmente deberán informar si el gas es de origen nacional o importado. Una vez publicada la información por el Gestor del Mercado, los agentes podrán hacer uso de otras plataformas, como se establece en el artículo 34 de la misma. En caso de no cumplirse con este requisito, el Gestor del Mercado deberá informarlo a las partes, abstenerse de registrar el contrato y dar aviso a las autoridades de vigilancia y control.</w:t>
      </w:r>
    </w:p>
    <w:p w14:paraId="3244DC42" w14:textId="77777777" w:rsidR="001A43D3" w:rsidRPr="00A25B16" w:rsidRDefault="001A43D3" w:rsidP="001A43D3">
      <w:pPr>
        <w:jc w:val="left"/>
        <w:rPr>
          <w:i/>
          <w:iCs/>
          <w:sz w:val="22"/>
        </w:rPr>
      </w:pPr>
    </w:p>
    <w:p w14:paraId="16C29237" w14:textId="77777777" w:rsidR="001A43D3" w:rsidRPr="00A25B16" w:rsidRDefault="001A43D3" w:rsidP="001A43D3">
      <w:pPr>
        <w:jc w:val="left"/>
        <w:rPr>
          <w:i/>
          <w:iCs/>
          <w:sz w:val="22"/>
        </w:rPr>
      </w:pPr>
      <w:r w:rsidRPr="00A25B16">
        <w:rPr>
          <w:i/>
          <w:iCs/>
          <w:sz w:val="22"/>
        </w:rPr>
        <w:t>Consideramos revisar la citación del articulo, debido a que en al resolución CREG 186 DE 2020  hace referencia a Negociaciones directas a traves de BEC y al presente resolución se refiere a “Negociaciones directas de derechos de suministro de gas natural del Mercado Secundario”."</w:t>
      </w:r>
    </w:p>
    <w:p w14:paraId="2D4D6956" w14:textId="77777777" w:rsidR="00E64F39" w:rsidRDefault="00E64F39" w:rsidP="001A43D3">
      <w:pPr>
        <w:jc w:val="left"/>
        <w:rPr>
          <w:i/>
          <w:iCs/>
          <w:sz w:val="22"/>
        </w:rPr>
      </w:pPr>
    </w:p>
    <w:p w14:paraId="551A4D6C" w14:textId="77777777" w:rsidR="00E64F39" w:rsidRDefault="00E64F39" w:rsidP="001A43D3">
      <w:pPr>
        <w:jc w:val="left"/>
        <w:rPr>
          <w:i/>
          <w:iCs/>
          <w:sz w:val="22"/>
        </w:rPr>
      </w:pPr>
    </w:p>
    <w:p w14:paraId="5318A8B2" w14:textId="77777777" w:rsidR="002B1FF0" w:rsidRPr="002B1FF0" w:rsidRDefault="002B1FF0" w:rsidP="002B1FF0">
      <w:pPr>
        <w:rPr>
          <w:rFonts w:cs="Arial"/>
          <w:b/>
          <w:bCs/>
          <w:sz w:val="22"/>
          <w:szCs w:val="22"/>
        </w:rPr>
      </w:pPr>
      <w:r w:rsidRPr="002B1FF0">
        <w:rPr>
          <w:rFonts w:cs="Arial"/>
          <w:b/>
          <w:bCs/>
          <w:sz w:val="22"/>
          <w:szCs w:val="22"/>
        </w:rPr>
        <w:t>RESPUESTA:</w:t>
      </w:r>
    </w:p>
    <w:p w14:paraId="740C9518" w14:textId="77777777" w:rsidR="002B1FF0" w:rsidRPr="002B1FF0" w:rsidRDefault="002B1FF0" w:rsidP="002B1FF0">
      <w:pPr>
        <w:rPr>
          <w:rFonts w:cs="Arial"/>
          <w:sz w:val="22"/>
          <w:szCs w:val="22"/>
        </w:rPr>
      </w:pPr>
    </w:p>
    <w:p w14:paraId="21C0B128" w14:textId="5C33C04A" w:rsidR="002B1FF0" w:rsidRDefault="004C20C7" w:rsidP="002B1FF0">
      <w:pPr>
        <w:rPr>
          <w:rFonts w:cs="Arial"/>
          <w:sz w:val="22"/>
          <w:szCs w:val="22"/>
        </w:rPr>
      </w:pPr>
      <w:r>
        <w:rPr>
          <w:rFonts w:cs="Arial"/>
          <w:sz w:val="22"/>
          <w:szCs w:val="22"/>
        </w:rPr>
        <w:t>El Artículo 33 de la Resolución CREG 186 de 2020 se titula “</w:t>
      </w:r>
      <w:r w:rsidRPr="004C20C7">
        <w:rPr>
          <w:rFonts w:cs="Arial"/>
          <w:i/>
          <w:iCs/>
          <w:sz w:val="22"/>
          <w:szCs w:val="22"/>
        </w:rPr>
        <w:t xml:space="preserve">Negociaciones directas a través del BEC” </w:t>
      </w:r>
      <w:r w:rsidRPr="004C20C7">
        <w:rPr>
          <w:rFonts w:cs="Arial"/>
          <w:sz w:val="22"/>
          <w:szCs w:val="22"/>
        </w:rPr>
        <w:t>y el Artículo 34 “</w:t>
      </w:r>
      <w:r w:rsidRPr="004C20C7">
        <w:rPr>
          <w:rFonts w:cs="Arial"/>
          <w:i/>
          <w:iCs/>
          <w:sz w:val="22"/>
          <w:szCs w:val="22"/>
        </w:rPr>
        <w:t>Negociaciones directas a través de otras plataformas</w:t>
      </w:r>
      <w:r>
        <w:rPr>
          <w:rFonts w:cs="Arial"/>
          <w:sz w:val="22"/>
          <w:szCs w:val="22"/>
        </w:rPr>
        <w:t xml:space="preserve">”. </w:t>
      </w:r>
    </w:p>
    <w:p w14:paraId="5D631245" w14:textId="77777777" w:rsidR="004C20C7" w:rsidRDefault="004C20C7" w:rsidP="002B1FF0">
      <w:pPr>
        <w:rPr>
          <w:rFonts w:cs="Arial"/>
          <w:sz w:val="22"/>
          <w:szCs w:val="22"/>
        </w:rPr>
      </w:pPr>
    </w:p>
    <w:p w14:paraId="34A83143" w14:textId="1910B1EE" w:rsidR="004C20C7" w:rsidRDefault="004C20C7" w:rsidP="002B1FF0">
      <w:pPr>
        <w:rPr>
          <w:rFonts w:cs="Arial"/>
          <w:sz w:val="22"/>
          <w:szCs w:val="22"/>
        </w:rPr>
      </w:pPr>
      <w:r>
        <w:rPr>
          <w:rFonts w:cs="Arial"/>
          <w:sz w:val="22"/>
          <w:szCs w:val="22"/>
        </w:rPr>
        <w:t xml:space="preserve">Aunque el título del Artículo 33 hace pensar que el texto que contiene el desarrollo del mismo solo se refiere a las negociaciones a través del BEC, realmente la primera parte de dicho Artículo </w:t>
      </w:r>
      <w:r w:rsidR="00706ADA">
        <w:rPr>
          <w:rFonts w:cs="Arial"/>
          <w:sz w:val="22"/>
          <w:szCs w:val="22"/>
        </w:rPr>
        <w:t xml:space="preserve">y su parágrafo, </w:t>
      </w:r>
      <w:r>
        <w:rPr>
          <w:rFonts w:cs="Arial"/>
          <w:sz w:val="22"/>
          <w:szCs w:val="22"/>
        </w:rPr>
        <w:t>requiere que en el BEC se ponga una información a disposición de los participantes del mercado. Esa disposición no aparece en el Artículo 34 y lo que realmente requiere la propuesta es que en el BEC se publique la información mínima, sin que ello implique que solo se puede negociar a través del BEC, pues se pueden utilizar otras plataformas</w:t>
      </w:r>
      <w:r w:rsidR="003754AD">
        <w:rPr>
          <w:rFonts w:cs="Arial"/>
          <w:sz w:val="22"/>
          <w:szCs w:val="22"/>
        </w:rPr>
        <w:t xml:space="preserve"> de negociación.</w:t>
      </w:r>
    </w:p>
    <w:p w14:paraId="4A4A96E2" w14:textId="6EEA7C1C" w:rsidR="004C20C7" w:rsidRPr="002B1FF0" w:rsidRDefault="004C20C7" w:rsidP="002B1FF0">
      <w:pPr>
        <w:rPr>
          <w:rFonts w:cs="Arial"/>
          <w:sz w:val="22"/>
          <w:szCs w:val="22"/>
        </w:rPr>
      </w:pPr>
      <w:r>
        <w:rPr>
          <w:rFonts w:cs="Arial"/>
          <w:sz w:val="22"/>
          <w:szCs w:val="22"/>
        </w:rPr>
        <w:t xml:space="preserve"> </w:t>
      </w:r>
    </w:p>
    <w:p w14:paraId="72187417" w14:textId="77777777" w:rsidR="00E64F39" w:rsidRDefault="00E64F39" w:rsidP="001A43D3">
      <w:pPr>
        <w:jc w:val="left"/>
        <w:rPr>
          <w:i/>
          <w:iCs/>
          <w:sz w:val="22"/>
        </w:rPr>
      </w:pPr>
    </w:p>
    <w:p w14:paraId="0F324575" w14:textId="5C03BFAC" w:rsidR="00E64F39" w:rsidRDefault="001A43D3" w:rsidP="001A614B">
      <w:pPr>
        <w:pStyle w:val="Ttulo2"/>
      </w:pPr>
      <w:bookmarkStart w:id="240" w:name="_Toc158211557"/>
      <w:r w:rsidRPr="00A25B16">
        <w:t>Grupo Energético de las Américas S.A.S. E.S.P.</w:t>
      </w:r>
      <w:bookmarkEnd w:id="240"/>
      <w:r w:rsidRPr="00A25B16">
        <w:tab/>
      </w:r>
    </w:p>
    <w:p w14:paraId="41701156" w14:textId="3BA69882" w:rsidR="001A43D3" w:rsidRPr="00A25B16" w:rsidRDefault="001A43D3" w:rsidP="001A43D3">
      <w:pPr>
        <w:jc w:val="left"/>
        <w:rPr>
          <w:i/>
          <w:iCs/>
          <w:sz w:val="22"/>
        </w:rPr>
      </w:pPr>
      <w:r w:rsidRPr="00A25B16">
        <w:rPr>
          <w:i/>
          <w:iCs/>
          <w:sz w:val="22"/>
        </w:rPr>
        <w:t xml:space="preserve">"En la redacción del artículo 11, que incluye el parágrafo 2 transitorio al artículo 33 de la Resolución CREG 186 de 2020 se encuentra muchas inconsistencias, tales como: </w:t>
      </w:r>
    </w:p>
    <w:p w14:paraId="0355E36B" w14:textId="77777777" w:rsidR="001A43D3" w:rsidRPr="00A25B16" w:rsidRDefault="001A43D3" w:rsidP="001A43D3">
      <w:pPr>
        <w:jc w:val="left"/>
        <w:rPr>
          <w:i/>
          <w:iCs/>
          <w:sz w:val="22"/>
        </w:rPr>
      </w:pPr>
    </w:p>
    <w:p w14:paraId="110224D0" w14:textId="77777777" w:rsidR="001A43D3" w:rsidRPr="00A25B16" w:rsidRDefault="001A43D3" w:rsidP="001A43D3">
      <w:pPr>
        <w:jc w:val="left"/>
        <w:rPr>
          <w:i/>
          <w:iCs/>
          <w:sz w:val="22"/>
        </w:rPr>
      </w:pPr>
      <w:r w:rsidRPr="00A25B16">
        <w:rPr>
          <w:i/>
          <w:iCs/>
          <w:sz w:val="22"/>
        </w:rPr>
        <w:t xml:space="preserve">- No se establece cual es el momento ""antes de cualquier negociación"", esto limita en gran medida la capacidad de negociación directa que tienen los participantes del mercado secundario. </w:t>
      </w:r>
    </w:p>
    <w:p w14:paraId="1A4B0819" w14:textId="77777777" w:rsidR="001A43D3" w:rsidRPr="00A25B16" w:rsidRDefault="001A43D3" w:rsidP="001A43D3">
      <w:pPr>
        <w:jc w:val="left"/>
        <w:rPr>
          <w:i/>
          <w:iCs/>
          <w:sz w:val="22"/>
        </w:rPr>
      </w:pPr>
    </w:p>
    <w:p w14:paraId="4B8253F7" w14:textId="77777777" w:rsidR="001A43D3" w:rsidRPr="00A25B16" w:rsidRDefault="001A43D3" w:rsidP="001A43D3">
      <w:pPr>
        <w:jc w:val="left"/>
        <w:rPr>
          <w:i/>
          <w:iCs/>
          <w:sz w:val="22"/>
        </w:rPr>
      </w:pPr>
      <w:r w:rsidRPr="00A25B16">
        <w:rPr>
          <w:i/>
          <w:iCs/>
          <w:sz w:val="22"/>
        </w:rPr>
        <w:t>- ¿Cual será la metodología o procedimiento para registrar la información de las negociaciones? Esto podría desembocar en una violación a la privacidad y confidencialidad de las negociaciones que se puedan dar entre los participantes del mercado secundario.</w:t>
      </w:r>
    </w:p>
    <w:p w14:paraId="61DBFD00" w14:textId="77777777" w:rsidR="001A43D3" w:rsidRPr="00A25B16" w:rsidRDefault="001A43D3" w:rsidP="001A43D3">
      <w:pPr>
        <w:jc w:val="left"/>
        <w:rPr>
          <w:i/>
          <w:iCs/>
          <w:sz w:val="22"/>
        </w:rPr>
      </w:pPr>
    </w:p>
    <w:p w14:paraId="4F85D3C6" w14:textId="77777777" w:rsidR="001A43D3" w:rsidRPr="00A25B16" w:rsidRDefault="001A43D3" w:rsidP="001A43D3">
      <w:pPr>
        <w:jc w:val="left"/>
        <w:rPr>
          <w:i/>
          <w:iCs/>
          <w:sz w:val="22"/>
        </w:rPr>
      </w:pPr>
      <w:r w:rsidRPr="00A25B16">
        <w:rPr>
          <w:i/>
          <w:iCs/>
          <w:sz w:val="22"/>
        </w:rPr>
        <w:t>- No se aclara los tipos de contratos que deben registrarse, es sabido que en el mercado secundario se negociacian contratos diarios en firme e interrumplibles con duraciones menores a un año. "</w:t>
      </w:r>
    </w:p>
    <w:p w14:paraId="6ECCE0E7" w14:textId="77777777" w:rsidR="00E64F39" w:rsidRDefault="00E64F39" w:rsidP="001A43D3">
      <w:pPr>
        <w:jc w:val="left"/>
        <w:rPr>
          <w:i/>
          <w:iCs/>
          <w:sz w:val="22"/>
        </w:rPr>
      </w:pPr>
    </w:p>
    <w:p w14:paraId="4117B56B" w14:textId="77777777" w:rsidR="002B1FF0" w:rsidRPr="002B1FF0" w:rsidRDefault="002B1FF0" w:rsidP="002B1FF0">
      <w:pPr>
        <w:rPr>
          <w:rFonts w:cs="Arial"/>
          <w:b/>
          <w:bCs/>
          <w:sz w:val="22"/>
          <w:szCs w:val="22"/>
        </w:rPr>
      </w:pPr>
      <w:r w:rsidRPr="002B1FF0">
        <w:rPr>
          <w:rFonts w:cs="Arial"/>
          <w:b/>
          <w:bCs/>
          <w:sz w:val="22"/>
          <w:szCs w:val="22"/>
        </w:rPr>
        <w:t>RESPUESTA:</w:t>
      </w:r>
    </w:p>
    <w:p w14:paraId="4597AD9A" w14:textId="77777777" w:rsidR="002B1FF0" w:rsidRDefault="002B1FF0" w:rsidP="002B1FF0">
      <w:pPr>
        <w:rPr>
          <w:rFonts w:cs="Arial"/>
          <w:sz w:val="22"/>
          <w:szCs w:val="22"/>
        </w:rPr>
      </w:pPr>
    </w:p>
    <w:p w14:paraId="742394B8" w14:textId="6501D34F" w:rsidR="006F6802" w:rsidRDefault="006F6802"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_Ref149226652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2A65DB25" w14:textId="77777777" w:rsidR="006F6802" w:rsidRDefault="006F6802" w:rsidP="002B1FF0">
      <w:pPr>
        <w:rPr>
          <w:rFonts w:cs="Arial"/>
          <w:sz w:val="22"/>
          <w:szCs w:val="22"/>
        </w:rPr>
      </w:pPr>
    </w:p>
    <w:p w14:paraId="44D6B4D2" w14:textId="2030A871" w:rsidR="006F6802" w:rsidRPr="002B1FF0" w:rsidRDefault="006F6802" w:rsidP="002B1FF0">
      <w:pPr>
        <w:rPr>
          <w:rFonts w:cs="Arial"/>
          <w:sz w:val="22"/>
          <w:szCs w:val="22"/>
        </w:rPr>
      </w:pPr>
      <w:r>
        <w:rPr>
          <w:rFonts w:cs="Arial"/>
          <w:sz w:val="22"/>
          <w:szCs w:val="22"/>
        </w:rPr>
        <w:t>Por otra parte, los contratos a negociar a partir de la información que se publica en el BEC son contratos de tipo firme. La negociación de contratos con interrupciones está establecida en el Título V de la Resolución CREG 186 de 2020, que es posterior al Capítulo IV “</w:t>
      </w:r>
      <w:r w:rsidRPr="006F6802">
        <w:rPr>
          <w:rFonts w:cs="Arial"/>
          <w:i/>
          <w:iCs/>
          <w:sz w:val="22"/>
          <w:szCs w:val="22"/>
        </w:rPr>
        <w:t>Negociaciones a través del BEC”</w:t>
      </w:r>
      <w:r>
        <w:rPr>
          <w:rFonts w:cs="Arial"/>
          <w:sz w:val="22"/>
          <w:szCs w:val="22"/>
        </w:rPr>
        <w:t xml:space="preserve"> del Título IV “</w:t>
      </w:r>
      <w:r w:rsidRPr="006F6802">
        <w:rPr>
          <w:rFonts w:cs="Arial"/>
          <w:i/>
          <w:iCs/>
          <w:sz w:val="22"/>
          <w:szCs w:val="22"/>
        </w:rPr>
        <w:t>Aspectos comerciales del mercado secundario</w:t>
      </w:r>
      <w:r>
        <w:rPr>
          <w:rFonts w:cs="Arial"/>
          <w:sz w:val="22"/>
          <w:szCs w:val="22"/>
        </w:rPr>
        <w:t>” de la Resolución CREG 186 de 2020.</w:t>
      </w:r>
    </w:p>
    <w:p w14:paraId="66EBBDB7" w14:textId="77777777" w:rsidR="002B1FF0" w:rsidRPr="002B1FF0" w:rsidRDefault="002B1FF0" w:rsidP="002B1FF0">
      <w:pPr>
        <w:rPr>
          <w:rFonts w:cs="Arial"/>
          <w:sz w:val="22"/>
          <w:szCs w:val="22"/>
        </w:rPr>
      </w:pPr>
    </w:p>
    <w:p w14:paraId="6C4A45CD" w14:textId="77777777" w:rsidR="00E64F39" w:rsidRDefault="00E64F39" w:rsidP="001A43D3">
      <w:pPr>
        <w:jc w:val="left"/>
        <w:rPr>
          <w:i/>
          <w:iCs/>
          <w:sz w:val="22"/>
        </w:rPr>
      </w:pPr>
    </w:p>
    <w:p w14:paraId="28AAC117" w14:textId="273F8B36" w:rsidR="00E64F39" w:rsidRDefault="001A43D3" w:rsidP="001A614B">
      <w:pPr>
        <w:pStyle w:val="Ttulo2"/>
      </w:pPr>
      <w:bookmarkStart w:id="241" w:name="_Toc158211558"/>
      <w:r w:rsidRPr="00A25B16">
        <w:t>LEWIS ENERGY COLOMBIA INC</w:t>
      </w:r>
      <w:bookmarkEnd w:id="241"/>
      <w:r w:rsidRPr="00A25B16">
        <w:tab/>
      </w:r>
    </w:p>
    <w:p w14:paraId="5C1A268C" w14:textId="3707BDC6" w:rsidR="001A43D3" w:rsidRPr="00A25B16" w:rsidRDefault="001A43D3" w:rsidP="001A43D3">
      <w:pPr>
        <w:jc w:val="left"/>
        <w:rPr>
          <w:i/>
          <w:iCs/>
          <w:sz w:val="22"/>
        </w:rPr>
      </w:pPr>
      <w:r w:rsidRPr="00A25B16">
        <w:rPr>
          <w:i/>
          <w:iCs/>
          <w:sz w:val="22"/>
        </w:rPr>
        <w:t xml:space="preserve">"EL numeral 5 transitorio del Artículo 11 de la Resolución CREG 186 de 2020 establece que podrán incorporarse como eventos eximentes de responsabilidad aquellos ocurridos en la capacidad de transporte que impliquen suspensiones por ocasión de la ocurrencia de eventos de fuerza mayor, caso fortuito o causa extraña, eventos eximentes y labores programadas para reparaciones técnicas o mantenimientos periódicos de la infraestructura de transporte, incluida la infraestructura de importación y la infraestructura de regasificación. </w:t>
      </w:r>
    </w:p>
    <w:p w14:paraId="7245BDF8" w14:textId="77777777" w:rsidR="001A43D3" w:rsidRPr="00A25B16" w:rsidRDefault="001A43D3" w:rsidP="001A43D3">
      <w:pPr>
        <w:jc w:val="left"/>
        <w:rPr>
          <w:i/>
          <w:iCs/>
          <w:sz w:val="22"/>
        </w:rPr>
      </w:pPr>
    </w:p>
    <w:p w14:paraId="7895CF9F" w14:textId="77777777" w:rsidR="001A43D3" w:rsidRPr="00A25B16" w:rsidRDefault="001A43D3" w:rsidP="001A43D3">
      <w:pPr>
        <w:jc w:val="left"/>
        <w:rPr>
          <w:i/>
          <w:iCs/>
          <w:sz w:val="22"/>
        </w:rPr>
      </w:pPr>
      <w:r w:rsidRPr="00A25B16">
        <w:rPr>
          <w:i/>
          <w:iCs/>
          <w:sz w:val="22"/>
        </w:rPr>
        <w:t xml:space="preserve">No obstante, esta disposición no prevé la incorporación de una medida ""espejo"" en el marco de la Resolución CREG 185 de 2020, en la cual eventos originados en la infraestructura de suministro, se constituyan como un evento eximente de los contratos que tienen por objeto la capacidad de transporte de gas. En esta medida, se genera una asimetría relacionada con los eslabones de suministro y transporte que consideramos no justificada e inequitativa en detrimento, en cualquier caso, de los usuarios finales. </w:t>
      </w:r>
    </w:p>
    <w:p w14:paraId="264B02C5" w14:textId="77777777" w:rsidR="001A43D3" w:rsidRPr="00A25B16" w:rsidRDefault="001A43D3" w:rsidP="001A43D3">
      <w:pPr>
        <w:jc w:val="left"/>
        <w:rPr>
          <w:i/>
          <w:iCs/>
          <w:sz w:val="22"/>
        </w:rPr>
      </w:pPr>
    </w:p>
    <w:p w14:paraId="26B60AB9" w14:textId="77777777" w:rsidR="001A43D3" w:rsidRPr="00A25B16" w:rsidRDefault="001A43D3" w:rsidP="001A43D3">
      <w:pPr>
        <w:jc w:val="left"/>
        <w:rPr>
          <w:i/>
          <w:iCs/>
          <w:sz w:val="22"/>
        </w:rPr>
      </w:pPr>
      <w:r w:rsidRPr="00A25B16">
        <w:rPr>
          <w:i/>
          <w:iCs/>
          <w:sz w:val="22"/>
        </w:rPr>
        <w:t>Incorporar una medida transitoria en la Resolución CREG 185 de 2020 que prevea como eventos eximentes de responsabilidad aquellos ocurridos en la infraestructura de suministro. "</w:t>
      </w:r>
    </w:p>
    <w:p w14:paraId="0E1622C9" w14:textId="77777777" w:rsidR="00E64F39" w:rsidRDefault="00E64F39" w:rsidP="001A43D3">
      <w:pPr>
        <w:jc w:val="left"/>
        <w:rPr>
          <w:i/>
          <w:iCs/>
          <w:sz w:val="22"/>
        </w:rPr>
      </w:pPr>
    </w:p>
    <w:p w14:paraId="48E6E54F" w14:textId="77777777" w:rsidR="002B1FF0" w:rsidRPr="002B1FF0" w:rsidRDefault="002B1FF0" w:rsidP="002B1FF0">
      <w:pPr>
        <w:rPr>
          <w:rFonts w:cs="Arial"/>
          <w:b/>
          <w:bCs/>
          <w:sz w:val="22"/>
          <w:szCs w:val="22"/>
        </w:rPr>
      </w:pPr>
      <w:r w:rsidRPr="002B1FF0">
        <w:rPr>
          <w:rFonts w:cs="Arial"/>
          <w:b/>
          <w:bCs/>
          <w:sz w:val="22"/>
          <w:szCs w:val="22"/>
        </w:rPr>
        <w:t>RESPUESTA:</w:t>
      </w:r>
    </w:p>
    <w:p w14:paraId="5CF7E0CA" w14:textId="77777777" w:rsidR="002B1FF0" w:rsidRPr="002B1FF0" w:rsidRDefault="002B1FF0" w:rsidP="002B1FF0">
      <w:pPr>
        <w:rPr>
          <w:rFonts w:cs="Arial"/>
          <w:sz w:val="22"/>
          <w:szCs w:val="22"/>
        </w:rPr>
      </w:pPr>
    </w:p>
    <w:p w14:paraId="2C777E19" w14:textId="75F4CBEE" w:rsidR="002B1FF0" w:rsidRPr="002B1FF0" w:rsidRDefault="001C106A"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_Ref149547819 \w \h </w:instrText>
      </w:r>
      <w:r>
        <w:rPr>
          <w:rFonts w:cs="Arial"/>
          <w:sz w:val="22"/>
          <w:szCs w:val="22"/>
        </w:rPr>
      </w:r>
      <w:r>
        <w:rPr>
          <w:rFonts w:cs="Arial"/>
          <w:sz w:val="22"/>
          <w:szCs w:val="22"/>
        </w:rPr>
        <w:fldChar w:fldCharType="separate"/>
      </w:r>
      <w:r w:rsidR="0027336D">
        <w:rPr>
          <w:rFonts w:cs="Arial"/>
          <w:sz w:val="22"/>
          <w:szCs w:val="22"/>
        </w:rPr>
        <w:t>3.1</w:t>
      </w:r>
      <w:r>
        <w:rPr>
          <w:rFonts w:cs="Arial"/>
          <w:sz w:val="22"/>
          <w:szCs w:val="22"/>
        </w:rPr>
        <w:fldChar w:fldCharType="end"/>
      </w:r>
      <w:r>
        <w:rPr>
          <w:rFonts w:cs="Arial"/>
          <w:sz w:val="22"/>
          <w:szCs w:val="22"/>
        </w:rPr>
        <w:t xml:space="preserve"> y al comentario </w:t>
      </w:r>
      <w:r>
        <w:rPr>
          <w:rFonts w:cs="Arial"/>
          <w:sz w:val="22"/>
          <w:szCs w:val="22"/>
        </w:rPr>
        <w:fldChar w:fldCharType="begin"/>
      </w:r>
      <w:r>
        <w:rPr>
          <w:rFonts w:cs="Arial"/>
          <w:sz w:val="22"/>
          <w:szCs w:val="22"/>
        </w:rPr>
        <w:instrText xml:space="preserve"> REF _Ref149298576 \w \h </w:instrText>
      </w:r>
      <w:r>
        <w:rPr>
          <w:rFonts w:cs="Arial"/>
          <w:sz w:val="22"/>
          <w:szCs w:val="22"/>
        </w:rPr>
      </w:r>
      <w:r>
        <w:rPr>
          <w:rFonts w:cs="Arial"/>
          <w:sz w:val="22"/>
          <w:szCs w:val="22"/>
        </w:rPr>
        <w:fldChar w:fldCharType="separate"/>
      </w:r>
      <w:r w:rsidR="0027336D">
        <w:rPr>
          <w:rFonts w:cs="Arial"/>
          <w:sz w:val="22"/>
          <w:szCs w:val="22"/>
        </w:rPr>
        <w:t>18.6</w:t>
      </w:r>
      <w:r>
        <w:rPr>
          <w:rFonts w:cs="Arial"/>
          <w:sz w:val="22"/>
          <w:szCs w:val="22"/>
        </w:rPr>
        <w:fldChar w:fldCharType="end"/>
      </w:r>
      <w:r w:rsidR="00C21050">
        <w:rPr>
          <w:rFonts w:cs="Arial"/>
          <w:sz w:val="22"/>
          <w:szCs w:val="22"/>
        </w:rPr>
        <w:t>.</w:t>
      </w:r>
    </w:p>
    <w:p w14:paraId="1A23CC80" w14:textId="77777777" w:rsidR="00E64F39" w:rsidRDefault="00E64F39" w:rsidP="001A43D3">
      <w:pPr>
        <w:jc w:val="left"/>
        <w:rPr>
          <w:i/>
          <w:iCs/>
          <w:sz w:val="22"/>
        </w:rPr>
      </w:pPr>
    </w:p>
    <w:p w14:paraId="5A59F7AE" w14:textId="77777777" w:rsidR="00E64F39" w:rsidRDefault="00E64F39" w:rsidP="001A43D3">
      <w:pPr>
        <w:jc w:val="left"/>
        <w:rPr>
          <w:i/>
          <w:iCs/>
          <w:sz w:val="22"/>
        </w:rPr>
      </w:pPr>
    </w:p>
    <w:p w14:paraId="68E53846" w14:textId="0942521C" w:rsidR="00E64F39" w:rsidRDefault="001A43D3" w:rsidP="001A614B">
      <w:pPr>
        <w:pStyle w:val="Ttulo2"/>
      </w:pPr>
      <w:bookmarkStart w:id="242" w:name="_Toc158211559"/>
      <w:r w:rsidRPr="00A25B16">
        <w:t>Metrogas de Colombia SA ESP</w:t>
      </w:r>
      <w:bookmarkEnd w:id="242"/>
      <w:r w:rsidRPr="00A25B16">
        <w:tab/>
      </w:r>
    </w:p>
    <w:p w14:paraId="30C615CD" w14:textId="259420BE" w:rsidR="001A43D3" w:rsidRDefault="00E64F39" w:rsidP="001A43D3">
      <w:pPr>
        <w:jc w:val="left"/>
        <w:rPr>
          <w:i/>
          <w:iCs/>
          <w:sz w:val="22"/>
        </w:rPr>
      </w:pPr>
      <w:r>
        <w:rPr>
          <w:i/>
          <w:iCs/>
          <w:sz w:val="22"/>
        </w:rPr>
        <w:t>“</w:t>
      </w:r>
      <w:r w:rsidR="001A43D3" w:rsidRPr="00A25B16">
        <w:rPr>
          <w:i/>
          <w:iCs/>
          <w:sz w:val="22"/>
        </w:rPr>
        <w:t>Teniendo en cuenta que el artículo 11, indica que se debe adicionar el parágrafo al Artículo 33 de la Resolución CREG 186 de 2020, se entiende que la obligatoriedad de la entrega de informac</w:t>
      </w:r>
      <w:r w:rsidR="00CD3EFD">
        <w:rPr>
          <w:i/>
          <w:iCs/>
          <w:sz w:val="22"/>
        </w:rPr>
        <w:t>i</w:t>
      </w:r>
      <w:r w:rsidR="001A43D3" w:rsidRPr="00A25B16">
        <w:rPr>
          <w:i/>
          <w:iCs/>
          <w:sz w:val="22"/>
        </w:rPr>
        <w:t>ón antes de cualquier negociación, solo hace referencia a las negociaciones directas que se realizan a través del BEC. Es importante tener en cuenta, que todo reporte adicional genera carga operativa a las empresas, y a su vez podría implicar que dichas transacciones finalmente no puedan ser resueltas.</w:t>
      </w:r>
      <w:r>
        <w:rPr>
          <w:i/>
          <w:iCs/>
          <w:sz w:val="22"/>
        </w:rPr>
        <w:t>”</w:t>
      </w:r>
    </w:p>
    <w:p w14:paraId="1142201C" w14:textId="77777777" w:rsidR="00E64F39" w:rsidRDefault="00E64F39" w:rsidP="001A43D3">
      <w:pPr>
        <w:jc w:val="left"/>
        <w:rPr>
          <w:i/>
          <w:iCs/>
          <w:sz w:val="22"/>
        </w:rPr>
      </w:pPr>
    </w:p>
    <w:p w14:paraId="76F426AC" w14:textId="77777777" w:rsidR="002B1FF0" w:rsidRPr="002B1FF0" w:rsidRDefault="002B1FF0" w:rsidP="002B1FF0">
      <w:pPr>
        <w:rPr>
          <w:rFonts w:cs="Arial"/>
          <w:b/>
          <w:bCs/>
          <w:sz w:val="22"/>
          <w:szCs w:val="22"/>
        </w:rPr>
      </w:pPr>
      <w:r w:rsidRPr="002B1FF0">
        <w:rPr>
          <w:rFonts w:cs="Arial"/>
          <w:b/>
          <w:bCs/>
          <w:sz w:val="22"/>
          <w:szCs w:val="22"/>
        </w:rPr>
        <w:t>RESPUESTA:</w:t>
      </w:r>
    </w:p>
    <w:p w14:paraId="0F7C9BA9" w14:textId="77777777" w:rsidR="002B1FF0" w:rsidRPr="002B1FF0" w:rsidRDefault="002B1FF0" w:rsidP="002B1FF0">
      <w:pPr>
        <w:rPr>
          <w:rFonts w:cs="Arial"/>
          <w:sz w:val="22"/>
          <w:szCs w:val="22"/>
        </w:rPr>
      </w:pPr>
    </w:p>
    <w:p w14:paraId="3A6C4995" w14:textId="7ED52B16" w:rsidR="002B1FF0" w:rsidRDefault="00CD3EFD"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_Ref149227064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4062A295" w14:textId="77777777" w:rsidR="00CD3EFD" w:rsidRDefault="00CD3EFD" w:rsidP="002B1FF0">
      <w:pPr>
        <w:rPr>
          <w:rFonts w:cs="Arial"/>
          <w:sz w:val="22"/>
          <w:szCs w:val="22"/>
        </w:rPr>
      </w:pPr>
    </w:p>
    <w:p w14:paraId="2F674CC4" w14:textId="77777777" w:rsidR="00E64F39" w:rsidRPr="00A25B16" w:rsidRDefault="00E64F39" w:rsidP="001A43D3">
      <w:pPr>
        <w:jc w:val="left"/>
        <w:rPr>
          <w:i/>
          <w:iCs/>
          <w:sz w:val="22"/>
        </w:rPr>
      </w:pPr>
    </w:p>
    <w:p w14:paraId="6B34AE22" w14:textId="1F36B6F7" w:rsidR="00E64F39" w:rsidRDefault="00F32AE9" w:rsidP="001A614B">
      <w:pPr>
        <w:pStyle w:val="Ttulo2"/>
      </w:pPr>
      <w:bookmarkStart w:id="243" w:name="_Toc158211560"/>
      <w:r>
        <w:t>Na</w:t>
      </w:r>
      <w:r w:rsidR="001A43D3" w:rsidRPr="00A25B16">
        <w:t>turgas</w:t>
      </w:r>
      <w:bookmarkEnd w:id="243"/>
      <w:r w:rsidR="001A43D3" w:rsidRPr="00A25B16">
        <w:tab/>
      </w:r>
    </w:p>
    <w:p w14:paraId="3A3F34F6" w14:textId="13C8E24C" w:rsidR="001A43D3" w:rsidRPr="00A25B16" w:rsidRDefault="001A43D3" w:rsidP="001A43D3">
      <w:pPr>
        <w:jc w:val="left"/>
        <w:rPr>
          <w:i/>
          <w:iCs/>
          <w:sz w:val="22"/>
        </w:rPr>
      </w:pPr>
      <w:r w:rsidRPr="00A25B16">
        <w:rPr>
          <w:i/>
          <w:iCs/>
          <w:sz w:val="22"/>
        </w:rPr>
        <w:t>"Se establece que ""Todos los agentes que deseen hacer negociaciones directas en el mercado secundario, están obligados a entregar la información requerida para el cumplimiento de lo establecido en el artículo 33 de la presente resolución, antes de cualquier negociación de compraventa y en el caso de los vendedores adicionalmente deberán informar si el gas es de origen nacional o importado. Una vez publicada la información por el Gestor del Mercado, los agentes podrán hacer uso de otras plataformas, como se establece en el artículo 34 de la misma. En caso de no cumplirse con este requisito, el Gestor del Mercado deberá informarlo a las partes, abstenerse de registrar el contrato y dar aviso a las autoridades de vigilancia y control"".</w:t>
      </w:r>
    </w:p>
    <w:p w14:paraId="25DF92E4" w14:textId="77777777" w:rsidR="001A43D3" w:rsidRPr="00A25B16" w:rsidRDefault="001A43D3" w:rsidP="001A43D3">
      <w:pPr>
        <w:jc w:val="left"/>
        <w:rPr>
          <w:i/>
          <w:iCs/>
          <w:sz w:val="22"/>
        </w:rPr>
      </w:pPr>
    </w:p>
    <w:p w14:paraId="0D130049" w14:textId="77777777" w:rsidR="001A43D3" w:rsidRPr="00A25B16" w:rsidRDefault="001A43D3" w:rsidP="001A43D3">
      <w:pPr>
        <w:jc w:val="left"/>
        <w:rPr>
          <w:i/>
          <w:iCs/>
          <w:sz w:val="22"/>
        </w:rPr>
      </w:pPr>
      <w:r w:rsidRPr="00A25B16">
        <w:rPr>
          <w:i/>
          <w:iCs/>
          <w:sz w:val="22"/>
        </w:rPr>
        <w:t>Al respecto debe tenerse en cuenta que gran parte de las transacciones del mercado secundario se realizan día a día para el día siguiente de tal manera que las cantidades disponibles cambian día a día y durante el día. No se observa viabilidad práctica para hacer publicaciones diarias a través del Gestor sobre cantidades que cambian durante el mismo día. Realizar esta publicación representaría una alta carga operativa y generaría inflexibilidad para realizar transacciones en el mercado secundario. Adicionalmente, la información publicada en los distintos informes del Gestor sobre el mercado secundario muestra que hay disponibilidad de información adecuada para el desarrollo de este mercado.</w:t>
      </w:r>
    </w:p>
    <w:p w14:paraId="2CFEA0A0" w14:textId="77777777" w:rsidR="001A43D3" w:rsidRPr="00A25B16" w:rsidRDefault="001A43D3" w:rsidP="001A43D3">
      <w:pPr>
        <w:jc w:val="left"/>
        <w:rPr>
          <w:i/>
          <w:iCs/>
          <w:sz w:val="22"/>
        </w:rPr>
      </w:pPr>
    </w:p>
    <w:p w14:paraId="32088E75" w14:textId="7FEDFA45" w:rsidR="001A43D3" w:rsidRDefault="001A43D3" w:rsidP="001A43D3">
      <w:pPr>
        <w:jc w:val="left"/>
        <w:rPr>
          <w:i/>
          <w:iCs/>
          <w:sz w:val="22"/>
        </w:rPr>
      </w:pPr>
      <w:r w:rsidRPr="00A25B16">
        <w:rPr>
          <w:i/>
          <w:iCs/>
          <w:sz w:val="22"/>
        </w:rPr>
        <w:t>Como está planteada la propuesta consideramos que genera una barrera para el desarrollo de transacciones en el mercado secundario durante la transición propuesta, especialmente las que se realizan día a día para el día siguiente. No observamos que esta propuesta agregue valor para realizar transacciones en el mercado secundario durante la transición planteada en la propuesta de la Resolución CREG 702 005."</w:t>
      </w:r>
    </w:p>
    <w:p w14:paraId="138246D5" w14:textId="77777777" w:rsidR="00E64F39" w:rsidRDefault="00E64F39" w:rsidP="001A43D3">
      <w:pPr>
        <w:jc w:val="left"/>
        <w:rPr>
          <w:i/>
          <w:iCs/>
          <w:sz w:val="22"/>
        </w:rPr>
      </w:pPr>
    </w:p>
    <w:p w14:paraId="7B4C90C8" w14:textId="77777777" w:rsidR="002B1FF0" w:rsidRPr="002B1FF0" w:rsidRDefault="002B1FF0" w:rsidP="002B1FF0">
      <w:pPr>
        <w:rPr>
          <w:rFonts w:cs="Arial"/>
          <w:b/>
          <w:bCs/>
          <w:sz w:val="22"/>
          <w:szCs w:val="22"/>
        </w:rPr>
      </w:pPr>
      <w:r w:rsidRPr="002B1FF0">
        <w:rPr>
          <w:rFonts w:cs="Arial"/>
          <w:b/>
          <w:bCs/>
          <w:sz w:val="22"/>
          <w:szCs w:val="22"/>
        </w:rPr>
        <w:t>RESPUESTA:</w:t>
      </w:r>
    </w:p>
    <w:p w14:paraId="435B47BC" w14:textId="77777777" w:rsidR="002B1FF0" w:rsidRPr="002B1FF0" w:rsidRDefault="002B1FF0" w:rsidP="002B1FF0">
      <w:pPr>
        <w:rPr>
          <w:rFonts w:cs="Arial"/>
          <w:sz w:val="22"/>
          <w:szCs w:val="22"/>
        </w:rPr>
      </w:pPr>
    </w:p>
    <w:p w14:paraId="1FDBD389" w14:textId="688AB648" w:rsidR="002B1FF0" w:rsidRPr="002B1FF0" w:rsidRDefault="00A71FAC"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_Ref149227302 \w \h </w:instrText>
      </w:r>
      <w:r>
        <w:rPr>
          <w:rFonts w:cs="Arial"/>
          <w:sz w:val="22"/>
          <w:szCs w:val="22"/>
        </w:rPr>
      </w:r>
      <w:r>
        <w:rPr>
          <w:rFonts w:cs="Arial"/>
          <w:sz w:val="22"/>
          <w:szCs w:val="22"/>
        </w:rPr>
        <w:fldChar w:fldCharType="separate"/>
      </w:r>
      <w:r w:rsidR="0027336D">
        <w:rPr>
          <w:rFonts w:cs="Arial"/>
          <w:sz w:val="22"/>
          <w:szCs w:val="22"/>
        </w:rPr>
        <w:t>11.1</w:t>
      </w:r>
      <w:r>
        <w:rPr>
          <w:rFonts w:cs="Arial"/>
          <w:sz w:val="22"/>
          <w:szCs w:val="22"/>
        </w:rPr>
        <w:fldChar w:fldCharType="end"/>
      </w:r>
      <w:r>
        <w:rPr>
          <w:rFonts w:cs="Arial"/>
          <w:sz w:val="22"/>
          <w:szCs w:val="22"/>
        </w:rPr>
        <w:t>.</w:t>
      </w:r>
    </w:p>
    <w:p w14:paraId="54ED46C9" w14:textId="77777777" w:rsidR="00E64F39" w:rsidRDefault="00E64F39" w:rsidP="001A43D3">
      <w:pPr>
        <w:jc w:val="left"/>
        <w:rPr>
          <w:i/>
          <w:iCs/>
          <w:sz w:val="22"/>
        </w:rPr>
      </w:pPr>
    </w:p>
    <w:p w14:paraId="7384CA33" w14:textId="77777777" w:rsidR="00E64F39" w:rsidRPr="00A25B16" w:rsidRDefault="00E64F39" w:rsidP="001A43D3">
      <w:pPr>
        <w:jc w:val="left"/>
        <w:rPr>
          <w:i/>
          <w:iCs/>
          <w:sz w:val="22"/>
        </w:rPr>
      </w:pPr>
    </w:p>
    <w:p w14:paraId="70461511" w14:textId="677CF812" w:rsidR="00E64F39" w:rsidRDefault="001A43D3" w:rsidP="001A614B">
      <w:pPr>
        <w:pStyle w:val="Ttulo2"/>
      </w:pPr>
      <w:bookmarkStart w:id="244" w:name="_Toc158211561"/>
      <w:r w:rsidRPr="00A25B16">
        <w:t>PETROMIL GAS S.A.S. E.S.P.</w:t>
      </w:r>
      <w:bookmarkEnd w:id="244"/>
      <w:r w:rsidRPr="00A25B16">
        <w:tab/>
      </w:r>
    </w:p>
    <w:p w14:paraId="0D4DEF48" w14:textId="490E09AF" w:rsidR="001A43D3" w:rsidRPr="00A25B16" w:rsidRDefault="001A43D3" w:rsidP="001A43D3">
      <w:pPr>
        <w:jc w:val="left"/>
        <w:rPr>
          <w:i/>
          <w:iCs/>
          <w:sz w:val="22"/>
        </w:rPr>
      </w:pPr>
      <w:r w:rsidRPr="00A25B16">
        <w:rPr>
          <w:i/>
          <w:iCs/>
          <w:sz w:val="22"/>
        </w:rPr>
        <w:t>"El artículo 11 del Proyecto de Resolución agrega un parágrafo 2 transitorio al artículo 33 de la Resolución CREG 186 de 2020 ""Negociaciones directas de derechos de suministro de gas natural del Mercado Secundario"", sin embargo, el titulo que cita el Proyecto de Resolución difiere en la descripción del artículo 33 de la Resolución CREG 186 de 2020, el cual dice ""Negociaciones directas a través del BEC"". Por lo anterior, queda en duda si el propósito de la medida transitoria debería citar el artículo 31 de la Resolución CREG 186 de 2020.</w:t>
      </w:r>
    </w:p>
    <w:p w14:paraId="01E1494B" w14:textId="77777777" w:rsidR="001A43D3" w:rsidRPr="00A25B16" w:rsidRDefault="001A43D3" w:rsidP="001A43D3">
      <w:pPr>
        <w:jc w:val="left"/>
        <w:rPr>
          <w:i/>
          <w:iCs/>
          <w:sz w:val="22"/>
        </w:rPr>
      </w:pPr>
    </w:p>
    <w:p w14:paraId="3AC57533" w14:textId="77777777" w:rsidR="001A43D3" w:rsidRPr="00A25B16" w:rsidRDefault="001A43D3" w:rsidP="001A43D3">
      <w:pPr>
        <w:jc w:val="left"/>
        <w:rPr>
          <w:i/>
          <w:iCs/>
          <w:sz w:val="22"/>
        </w:rPr>
      </w:pPr>
      <w:r w:rsidRPr="00A25B16">
        <w:rPr>
          <w:i/>
          <w:iCs/>
          <w:sz w:val="22"/>
        </w:rPr>
        <w:t>En caso de que la Comisión se quisiera referir al artículo 31 de la Resolución CREG 186 de 2020 y aplique a las negociaciones directas, encontramos que la medida es contradictoria con la finalidad de flexibilizar la comercialización de excedentes. Entrar a reportar en el gestor antes de las negociaciones requiere un desgaste administrativo mayor que el que ya tiene de por si la comercialización diaria de excedentes. "</w:t>
      </w:r>
    </w:p>
    <w:p w14:paraId="1EB337B5" w14:textId="77777777" w:rsidR="00E64F39" w:rsidRDefault="00E64F39" w:rsidP="001A43D3">
      <w:pPr>
        <w:jc w:val="left"/>
        <w:rPr>
          <w:i/>
          <w:iCs/>
          <w:sz w:val="22"/>
        </w:rPr>
      </w:pPr>
    </w:p>
    <w:p w14:paraId="73A0B08F" w14:textId="77777777" w:rsidR="002B1FF0" w:rsidRPr="002B1FF0" w:rsidRDefault="002B1FF0" w:rsidP="002B1FF0">
      <w:pPr>
        <w:rPr>
          <w:rFonts w:cs="Arial"/>
          <w:b/>
          <w:bCs/>
          <w:sz w:val="22"/>
          <w:szCs w:val="22"/>
        </w:rPr>
      </w:pPr>
      <w:r w:rsidRPr="002B1FF0">
        <w:rPr>
          <w:rFonts w:cs="Arial"/>
          <w:b/>
          <w:bCs/>
          <w:sz w:val="22"/>
          <w:szCs w:val="22"/>
        </w:rPr>
        <w:t>RESPUESTA:</w:t>
      </w:r>
    </w:p>
    <w:p w14:paraId="76A24F17" w14:textId="77777777" w:rsidR="002B1FF0" w:rsidRPr="002B1FF0" w:rsidRDefault="002B1FF0" w:rsidP="002B1FF0">
      <w:pPr>
        <w:rPr>
          <w:rFonts w:cs="Arial"/>
          <w:sz w:val="22"/>
          <w:szCs w:val="22"/>
        </w:rPr>
      </w:pPr>
    </w:p>
    <w:p w14:paraId="4BC109FC" w14:textId="410D8E16" w:rsidR="002B1FF0" w:rsidRPr="002B1FF0" w:rsidRDefault="00706ADA"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_Ref149227384 \w \h </w:instrText>
      </w:r>
      <w:r>
        <w:rPr>
          <w:rFonts w:cs="Arial"/>
          <w:sz w:val="22"/>
          <w:szCs w:val="22"/>
        </w:rPr>
      </w:r>
      <w:r>
        <w:rPr>
          <w:rFonts w:cs="Arial"/>
          <w:sz w:val="22"/>
          <w:szCs w:val="22"/>
        </w:rPr>
        <w:fldChar w:fldCharType="separate"/>
      </w:r>
      <w:r w:rsidR="0027336D">
        <w:rPr>
          <w:rFonts w:cs="Arial"/>
          <w:sz w:val="22"/>
          <w:szCs w:val="22"/>
        </w:rPr>
        <w:t>11.8</w:t>
      </w:r>
      <w:r>
        <w:rPr>
          <w:rFonts w:cs="Arial"/>
          <w:sz w:val="22"/>
          <w:szCs w:val="22"/>
        </w:rPr>
        <w:fldChar w:fldCharType="end"/>
      </w:r>
      <w:r>
        <w:rPr>
          <w:rFonts w:cs="Arial"/>
          <w:sz w:val="22"/>
          <w:szCs w:val="22"/>
        </w:rPr>
        <w:t>.</w:t>
      </w:r>
    </w:p>
    <w:p w14:paraId="578F03D1" w14:textId="77777777" w:rsidR="00E64F39" w:rsidRDefault="00E64F39" w:rsidP="001A43D3">
      <w:pPr>
        <w:jc w:val="left"/>
        <w:rPr>
          <w:i/>
          <w:iCs/>
          <w:sz w:val="22"/>
        </w:rPr>
      </w:pPr>
    </w:p>
    <w:p w14:paraId="1BF2758A" w14:textId="77777777" w:rsidR="00E64F39" w:rsidRDefault="00E64F39" w:rsidP="001A43D3">
      <w:pPr>
        <w:jc w:val="left"/>
        <w:rPr>
          <w:i/>
          <w:iCs/>
          <w:sz w:val="22"/>
        </w:rPr>
      </w:pPr>
    </w:p>
    <w:p w14:paraId="28ED5AE3" w14:textId="7A9B929A" w:rsidR="00E64F39" w:rsidRDefault="001A43D3" w:rsidP="001A614B">
      <w:pPr>
        <w:pStyle w:val="Ttulo2"/>
      </w:pPr>
      <w:bookmarkStart w:id="245" w:name="_Toc158211562"/>
      <w:r w:rsidRPr="00A25B16">
        <w:t>SANTAFÉ ENERGY</w:t>
      </w:r>
      <w:bookmarkEnd w:id="245"/>
      <w:r w:rsidRPr="00A25B16">
        <w:tab/>
      </w:r>
    </w:p>
    <w:p w14:paraId="6FF1340D" w14:textId="77777777" w:rsidR="00E64F39" w:rsidRDefault="00E64F39" w:rsidP="001A43D3">
      <w:pPr>
        <w:jc w:val="left"/>
        <w:rPr>
          <w:i/>
          <w:iCs/>
          <w:sz w:val="22"/>
        </w:rPr>
      </w:pPr>
      <w:r>
        <w:rPr>
          <w:i/>
          <w:iCs/>
          <w:sz w:val="22"/>
        </w:rPr>
        <w:t>“</w:t>
      </w:r>
      <w:r w:rsidR="001A43D3" w:rsidRPr="00A25B16">
        <w:rPr>
          <w:i/>
          <w:iCs/>
          <w:sz w:val="22"/>
        </w:rPr>
        <w:t>A fin de tener el control de cantidades consideramos conveniente que el gestor publique las cantidades de gas a negociarse en el mercado secundario.</w:t>
      </w:r>
      <w:r>
        <w:rPr>
          <w:i/>
          <w:iCs/>
          <w:sz w:val="22"/>
        </w:rPr>
        <w:t>”</w:t>
      </w:r>
    </w:p>
    <w:p w14:paraId="69C085BE" w14:textId="77777777" w:rsidR="00E64F39" w:rsidRDefault="00E64F39" w:rsidP="001A43D3">
      <w:pPr>
        <w:jc w:val="left"/>
        <w:rPr>
          <w:i/>
          <w:iCs/>
          <w:sz w:val="22"/>
        </w:rPr>
      </w:pPr>
    </w:p>
    <w:p w14:paraId="0DCC4303" w14:textId="77777777" w:rsidR="002B1FF0" w:rsidRPr="002B1FF0" w:rsidRDefault="002B1FF0" w:rsidP="002B1FF0">
      <w:pPr>
        <w:rPr>
          <w:rFonts w:cs="Arial"/>
          <w:b/>
          <w:bCs/>
          <w:sz w:val="22"/>
          <w:szCs w:val="22"/>
        </w:rPr>
      </w:pPr>
      <w:r w:rsidRPr="002B1FF0">
        <w:rPr>
          <w:rFonts w:cs="Arial"/>
          <w:b/>
          <w:bCs/>
          <w:sz w:val="22"/>
          <w:szCs w:val="22"/>
        </w:rPr>
        <w:t>RESPUESTA:</w:t>
      </w:r>
    </w:p>
    <w:p w14:paraId="70337B77" w14:textId="77777777" w:rsidR="002B1FF0" w:rsidRPr="002B1FF0" w:rsidRDefault="002B1FF0" w:rsidP="002B1FF0">
      <w:pPr>
        <w:rPr>
          <w:rFonts w:cs="Arial"/>
          <w:sz w:val="22"/>
          <w:szCs w:val="22"/>
        </w:rPr>
      </w:pPr>
    </w:p>
    <w:p w14:paraId="5F708BA7" w14:textId="5DB20429" w:rsidR="00706ADA" w:rsidRPr="002B1FF0" w:rsidRDefault="00706ADA" w:rsidP="00706ADA">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_Ref149227384 \w \h </w:instrText>
      </w:r>
      <w:r>
        <w:rPr>
          <w:rFonts w:cs="Arial"/>
          <w:sz w:val="22"/>
          <w:szCs w:val="22"/>
        </w:rPr>
      </w:r>
      <w:r>
        <w:rPr>
          <w:rFonts w:cs="Arial"/>
          <w:sz w:val="22"/>
          <w:szCs w:val="22"/>
        </w:rPr>
        <w:fldChar w:fldCharType="separate"/>
      </w:r>
      <w:r w:rsidR="0027336D">
        <w:rPr>
          <w:rFonts w:cs="Arial"/>
          <w:sz w:val="22"/>
          <w:szCs w:val="22"/>
        </w:rPr>
        <w:t>11.8</w:t>
      </w:r>
      <w:r>
        <w:rPr>
          <w:rFonts w:cs="Arial"/>
          <w:sz w:val="22"/>
          <w:szCs w:val="22"/>
        </w:rPr>
        <w:fldChar w:fldCharType="end"/>
      </w:r>
      <w:r>
        <w:rPr>
          <w:rFonts w:cs="Arial"/>
          <w:sz w:val="22"/>
          <w:szCs w:val="22"/>
        </w:rPr>
        <w:t>.</w:t>
      </w:r>
    </w:p>
    <w:p w14:paraId="06000A0C" w14:textId="77777777" w:rsidR="00E64F39" w:rsidRDefault="00E64F39" w:rsidP="001A43D3">
      <w:pPr>
        <w:jc w:val="left"/>
        <w:rPr>
          <w:i/>
          <w:iCs/>
          <w:sz w:val="22"/>
        </w:rPr>
      </w:pPr>
    </w:p>
    <w:p w14:paraId="442DECC9" w14:textId="19D7C728" w:rsidR="001A43D3" w:rsidRPr="00A25B16" w:rsidRDefault="001A43D3" w:rsidP="001A43D3">
      <w:pPr>
        <w:jc w:val="left"/>
        <w:rPr>
          <w:i/>
          <w:iCs/>
          <w:sz w:val="22"/>
        </w:rPr>
      </w:pPr>
      <w:r w:rsidRPr="00A25B16">
        <w:rPr>
          <w:i/>
          <w:iCs/>
          <w:sz w:val="22"/>
        </w:rPr>
        <w:t xml:space="preserve"> </w:t>
      </w:r>
    </w:p>
    <w:p w14:paraId="4BF6A66B" w14:textId="6256E7AD" w:rsidR="00E64F39" w:rsidRDefault="001A43D3" w:rsidP="001A614B">
      <w:pPr>
        <w:pStyle w:val="Ttulo2"/>
      </w:pPr>
      <w:bookmarkStart w:id="246" w:name="_Toc158211563"/>
      <w:r w:rsidRPr="00A25B16">
        <w:t>VANTI</w:t>
      </w:r>
      <w:bookmarkEnd w:id="246"/>
    </w:p>
    <w:p w14:paraId="30E1C1E6" w14:textId="2EAB1531" w:rsidR="001A43D3" w:rsidRPr="00A25B16" w:rsidRDefault="001A43D3" w:rsidP="001A43D3">
      <w:pPr>
        <w:jc w:val="left"/>
        <w:rPr>
          <w:i/>
          <w:iCs/>
          <w:sz w:val="22"/>
        </w:rPr>
      </w:pPr>
      <w:r w:rsidRPr="00A25B16">
        <w:rPr>
          <w:i/>
          <w:iCs/>
          <w:sz w:val="22"/>
        </w:rPr>
        <w:t>"Se propone eliminar este parágrafo transitorio pues justamente se requiere que los mecanismos de comercialización incorporen mayor flexibilidad. En cuanto al registro de la información en el BEC de las negociaciones del mercado secundario, se generaría mayor operatividad e inflexibilidad que puede afectar la transacción o incluso perder la oportunidad de obtener mayor suministro para atender la demanda.</w:t>
      </w:r>
    </w:p>
    <w:p w14:paraId="5FD85717" w14:textId="77777777" w:rsidR="001A43D3" w:rsidRPr="00A25B16" w:rsidRDefault="001A43D3" w:rsidP="001A43D3">
      <w:pPr>
        <w:jc w:val="left"/>
        <w:rPr>
          <w:i/>
          <w:iCs/>
          <w:sz w:val="22"/>
        </w:rPr>
      </w:pPr>
    </w:p>
    <w:p w14:paraId="0991F296" w14:textId="77777777" w:rsidR="001A43D3" w:rsidRPr="00A25B16" w:rsidRDefault="001A43D3" w:rsidP="001A43D3">
      <w:pPr>
        <w:jc w:val="left"/>
        <w:rPr>
          <w:i/>
          <w:iCs/>
          <w:sz w:val="22"/>
        </w:rPr>
      </w:pPr>
      <w:r w:rsidRPr="00A25B16">
        <w:rPr>
          <w:i/>
          <w:iCs/>
          <w:sz w:val="22"/>
        </w:rPr>
        <w:t>Lo anterior, teniendo en cuenta que por el impacto climático a causa del Fenómeno de El Niño se requerirá de cantidades de gas de manera rápida. De igual manera, el Gestor del Mercado ya publica diariamente las cantidades y precios por punto de venta en el mercado secundario, con lo cual, no se observa el beneficio de dicha medida.</w:t>
      </w:r>
    </w:p>
    <w:p w14:paraId="3F14272E" w14:textId="77777777" w:rsidR="001A43D3" w:rsidRPr="00A25B16" w:rsidRDefault="001A43D3" w:rsidP="001A43D3">
      <w:pPr>
        <w:jc w:val="left"/>
        <w:rPr>
          <w:i/>
          <w:iCs/>
          <w:sz w:val="22"/>
        </w:rPr>
      </w:pPr>
    </w:p>
    <w:p w14:paraId="42494597" w14:textId="032FDC84" w:rsidR="001A43D3" w:rsidRPr="00A25B16" w:rsidRDefault="001A43D3" w:rsidP="001A43D3">
      <w:pPr>
        <w:jc w:val="left"/>
        <w:rPr>
          <w:i/>
          <w:iCs/>
          <w:sz w:val="22"/>
        </w:rPr>
      </w:pPr>
      <w:r w:rsidRPr="00A25B16">
        <w:rPr>
          <w:i/>
          <w:iCs/>
          <w:sz w:val="22"/>
        </w:rPr>
        <w:t>En todo caso, de llegarse a requerir la medida es necesario realizar implementaciones tecnológicas en las plataformas del Gestor del Mercado. Estas implementaciones deben permitir que la información incorporada en SEGAS en el momento del registro de las transacciones migre automáticamente a otras plataformas donde se publique la información que se estime necesaria."</w:t>
      </w:r>
    </w:p>
    <w:p w14:paraId="43370C9C" w14:textId="77777777" w:rsidR="001A43D3" w:rsidRPr="00A25B16" w:rsidRDefault="001A43D3" w:rsidP="001A43D3">
      <w:pPr>
        <w:jc w:val="left"/>
        <w:rPr>
          <w:i/>
          <w:iCs/>
          <w:sz w:val="22"/>
        </w:rPr>
      </w:pPr>
    </w:p>
    <w:p w14:paraId="4A86F66A" w14:textId="77777777" w:rsidR="002B1FF0" w:rsidRPr="002B1FF0" w:rsidRDefault="002B1FF0" w:rsidP="002B1FF0">
      <w:pPr>
        <w:rPr>
          <w:rFonts w:cs="Arial"/>
          <w:b/>
          <w:bCs/>
          <w:sz w:val="22"/>
          <w:szCs w:val="22"/>
        </w:rPr>
      </w:pPr>
      <w:r w:rsidRPr="002B1FF0">
        <w:rPr>
          <w:rFonts w:cs="Arial"/>
          <w:b/>
          <w:bCs/>
          <w:sz w:val="22"/>
          <w:szCs w:val="22"/>
        </w:rPr>
        <w:t>RESPUESTA:</w:t>
      </w:r>
    </w:p>
    <w:p w14:paraId="36A813D4" w14:textId="77777777" w:rsidR="002B1FF0" w:rsidRPr="002B1FF0" w:rsidRDefault="002B1FF0" w:rsidP="002B1FF0">
      <w:pPr>
        <w:rPr>
          <w:rFonts w:cs="Arial"/>
          <w:sz w:val="22"/>
          <w:szCs w:val="22"/>
        </w:rPr>
      </w:pPr>
    </w:p>
    <w:p w14:paraId="2F76DB66" w14:textId="3EFD6B21" w:rsidR="00281BA5" w:rsidRPr="002B1FF0" w:rsidRDefault="00281BA5" w:rsidP="00281BA5">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_Ref149227384 \w \h </w:instrText>
      </w:r>
      <w:r>
        <w:rPr>
          <w:rFonts w:cs="Arial"/>
          <w:sz w:val="22"/>
          <w:szCs w:val="22"/>
        </w:rPr>
      </w:r>
      <w:r>
        <w:rPr>
          <w:rFonts w:cs="Arial"/>
          <w:sz w:val="22"/>
          <w:szCs w:val="22"/>
        </w:rPr>
        <w:fldChar w:fldCharType="separate"/>
      </w:r>
      <w:r w:rsidR="0027336D">
        <w:rPr>
          <w:rFonts w:cs="Arial"/>
          <w:sz w:val="22"/>
          <w:szCs w:val="22"/>
        </w:rPr>
        <w:t>11.8</w:t>
      </w:r>
      <w:r>
        <w:rPr>
          <w:rFonts w:cs="Arial"/>
          <w:sz w:val="22"/>
          <w:szCs w:val="22"/>
        </w:rPr>
        <w:fldChar w:fldCharType="end"/>
      </w:r>
      <w:r>
        <w:rPr>
          <w:rFonts w:cs="Arial"/>
          <w:sz w:val="22"/>
          <w:szCs w:val="22"/>
        </w:rPr>
        <w:t>.</w:t>
      </w:r>
    </w:p>
    <w:p w14:paraId="33A9CBE7" w14:textId="77777777" w:rsidR="001A43D3" w:rsidRDefault="001A43D3" w:rsidP="001A43D3">
      <w:pPr>
        <w:jc w:val="left"/>
        <w:rPr>
          <w:i/>
          <w:iCs/>
          <w:sz w:val="22"/>
        </w:rPr>
      </w:pPr>
    </w:p>
    <w:p w14:paraId="2B73CC19" w14:textId="77777777" w:rsidR="00F32AE9" w:rsidRPr="00A25B16" w:rsidRDefault="00F32AE9" w:rsidP="001A43D3">
      <w:pPr>
        <w:jc w:val="left"/>
        <w:rPr>
          <w:i/>
          <w:iCs/>
          <w:sz w:val="22"/>
        </w:rPr>
      </w:pPr>
    </w:p>
    <w:p w14:paraId="67EDFA63" w14:textId="1B736543" w:rsidR="001A43D3" w:rsidRDefault="001A614B" w:rsidP="001A614B">
      <w:pPr>
        <w:pStyle w:val="Ttulo1"/>
      </w:pPr>
      <w:bookmarkStart w:id="247" w:name="_Toc158211564"/>
      <w:r>
        <w:t>ARTÍCULO 12</w:t>
      </w:r>
      <w:bookmarkEnd w:id="247"/>
    </w:p>
    <w:p w14:paraId="346F1706" w14:textId="4A02463B" w:rsidR="0035175D" w:rsidRDefault="001A43D3" w:rsidP="001A614B">
      <w:pPr>
        <w:pStyle w:val="Ttulo2"/>
      </w:pPr>
      <w:bookmarkStart w:id="248" w:name="_Ref149228031"/>
      <w:bookmarkStart w:id="249" w:name="_Ref149229389"/>
      <w:bookmarkStart w:id="250" w:name="_Ref149285805"/>
      <w:bookmarkStart w:id="251" w:name="_Ref149286977"/>
      <w:bookmarkStart w:id="252" w:name="_Ref149297242"/>
      <w:bookmarkStart w:id="253" w:name="_Toc158211565"/>
      <w:r w:rsidRPr="00A25B16">
        <w:t>ACOLGÉN</w:t>
      </w:r>
      <w:bookmarkEnd w:id="248"/>
      <w:bookmarkEnd w:id="249"/>
      <w:bookmarkEnd w:id="250"/>
      <w:bookmarkEnd w:id="251"/>
      <w:bookmarkEnd w:id="252"/>
      <w:bookmarkEnd w:id="253"/>
      <w:r w:rsidRPr="00A25B16">
        <w:tab/>
      </w:r>
    </w:p>
    <w:p w14:paraId="37E9CA3C" w14:textId="35757ACB" w:rsidR="001A43D3" w:rsidRDefault="0035175D" w:rsidP="001A43D3">
      <w:pPr>
        <w:jc w:val="left"/>
        <w:rPr>
          <w:i/>
          <w:iCs/>
          <w:sz w:val="22"/>
        </w:rPr>
      </w:pPr>
      <w:r>
        <w:rPr>
          <w:i/>
          <w:iCs/>
          <w:sz w:val="22"/>
        </w:rPr>
        <w:t>“</w:t>
      </w:r>
      <w:r w:rsidR="001A43D3" w:rsidRPr="00A25B16">
        <w:rPr>
          <w:i/>
          <w:iCs/>
          <w:sz w:val="22"/>
        </w:rPr>
        <w:t>Sobre la idea de permitir negociaciones directas de contratos con interrupciones, creemos que el actual enfoque de la subasta mensual interrumpible es adecuado y debería mantenerse, considerando su éxito probado en la gestión de la demanda y la oferta.</w:t>
      </w:r>
      <w:r>
        <w:rPr>
          <w:i/>
          <w:iCs/>
          <w:sz w:val="22"/>
        </w:rPr>
        <w:t>”</w:t>
      </w:r>
    </w:p>
    <w:p w14:paraId="1DCD452C" w14:textId="77777777" w:rsidR="0035175D" w:rsidRDefault="0035175D" w:rsidP="001A43D3">
      <w:pPr>
        <w:jc w:val="left"/>
        <w:rPr>
          <w:i/>
          <w:iCs/>
          <w:sz w:val="22"/>
        </w:rPr>
      </w:pPr>
    </w:p>
    <w:p w14:paraId="5BD0AF74" w14:textId="77777777" w:rsidR="002B1FF0" w:rsidRPr="002B1FF0" w:rsidRDefault="002B1FF0" w:rsidP="002B1FF0">
      <w:pPr>
        <w:rPr>
          <w:rFonts w:cs="Arial"/>
          <w:b/>
          <w:bCs/>
          <w:sz w:val="22"/>
          <w:szCs w:val="22"/>
        </w:rPr>
      </w:pPr>
      <w:r w:rsidRPr="002B1FF0">
        <w:rPr>
          <w:rFonts w:cs="Arial"/>
          <w:b/>
          <w:bCs/>
          <w:sz w:val="22"/>
          <w:szCs w:val="22"/>
        </w:rPr>
        <w:t>RESPUESTA:</w:t>
      </w:r>
    </w:p>
    <w:p w14:paraId="6FE7DF76" w14:textId="77777777" w:rsidR="002B1FF0" w:rsidRPr="002B1FF0" w:rsidRDefault="002B1FF0" w:rsidP="002B1FF0">
      <w:pPr>
        <w:rPr>
          <w:rFonts w:cs="Arial"/>
          <w:sz w:val="22"/>
          <w:szCs w:val="22"/>
        </w:rPr>
      </w:pPr>
    </w:p>
    <w:p w14:paraId="2D74A868" w14:textId="37A0E082" w:rsidR="002B1FF0" w:rsidRDefault="003E0EFA" w:rsidP="002B1FF0">
      <w:pPr>
        <w:rPr>
          <w:rFonts w:cs="Arial"/>
          <w:sz w:val="22"/>
          <w:szCs w:val="22"/>
        </w:rPr>
      </w:pPr>
      <w:r>
        <w:rPr>
          <w:rFonts w:cs="Arial"/>
          <w:sz w:val="22"/>
          <w:szCs w:val="22"/>
        </w:rPr>
        <w:t>No se acoge el comentario.</w:t>
      </w:r>
    </w:p>
    <w:p w14:paraId="53280C5A" w14:textId="77777777" w:rsidR="003E0EFA" w:rsidRDefault="003E0EFA" w:rsidP="002B1FF0">
      <w:pPr>
        <w:rPr>
          <w:rFonts w:cs="Arial"/>
          <w:sz w:val="22"/>
          <w:szCs w:val="22"/>
        </w:rPr>
      </w:pPr>
    </w:p>
    <w:p w14:paraId="29BA8DAD" w14:textId="692674C7" w:rsidR="008C760D" w:rsidRDefault="008C760D" w:rsidP="00757ABE">
      <w:pPr>
        <w:rPr>
          <w:rFonts w:cs="Arial"/>
          <w:sz w:val="22"/>
          <w:szCs w:val="22"/>
        </w:rPr>
      </w:pPr>
      <w:r>
        <w:rPr>
          <w:rFonts w:cs="Arial"/>
          <w:sz w:val="22"/>
          <w:szCs w:val="22"/>
        </w:rPr>
        <w:t>En el comentario no se especifica la manera en que se pu</w:t>
      </w:r>
      <w:r w:rsidR="0079527C">
        <w:rPr>
          <w:rFonts w:cs="Arial"/>
          <w:sz w:val="22"/>
          <w:szCs w:val="22"/>
        </w:rPr>
        <w:t>e</w:t>
      </w:r>
      <w:r>
        <w:rPr>
          <w:rFonts w:cs="Arial"/>
          <w:sz w:val="22"/>
          <w:szCs w:val="22"/>
        </w:rPr>
        <w:t>de observar el éxito del esquema de negociaciones mediante subastas mensuales de contratos con interrupciones, que pueda servir de análisis de la inconveniencia de la propuesta</w:t>
      </w:r>
      <w:r w:rsidR="0079527C">
        <w:rPr>
          <w:rFonts w:cs="Arial"/>
          <w:sz w:val="22"/>
          <w:szCs w:val="22"/>
        </w:rPr>
        <w:t xml:space="preserve"> con elemento comparables a las actuales circunstancias extraordinarias de corto plazo que se tiene en consideración para el Proyecto de Resolución CREG 702 005 de 2023</w:t>
      </w:r>
      <w:r>
        <w:rPr>
          <w:rFonts w:cs="Arial"/>
          <w:sz w:val="22"/>
          <w:szCs w:val="22"/>
        </w:rPr>
        <w:t>.</w:t>
      </w:r>
    </w:p>
    <w:p w14:paraId="651CAF31" w14:textId="77777777" w:rsidR="008C760D" w:rsidRDefault="008C760D" w:rsidP="00757ABE">
      <w:pPr>
        <w:rPr>
          <w:rFonts w:cs="Arial"/>
          <w:sz w:val="22"/>
          <w:szCs w:val="22"/>
        </w:rPr>
      </w:pPr>
    </w:p>
    <w:p w14:paraId="3AE0723B" w14:textId="247AB1D5" w:rsidR="0035175D" w:rsidRDefault="003E0EFA" w:rsidP="00757ABE">
      <w:pPr>
        <w:rPr>
          <w:rFonts w:cs="Arial"/>
          <w:sz w:val="22"/>
          <w:szCs w:val="22"/>
        </w:rPr>
      </w:pPr>
      <w:r>
        <w:rPr>
          <w:rFonts w:cs="Arial"/>
          <w:sz w:val="22"/>
          <w:szCs w:val="22"/>
        </w:rPr>
        <w:t xml:space="preserve">Se considera que las negociaciones directas de los contratos con interrupciones bajo las condiciones extraordinarias que se presentan en el corto plazo, enunciadas en el documento de soporte del Proyecto de Resolución CREG 702 005 de 2023, requieren </w:t>
      </w:r>
      <w:r w:rsidR="000A36B7">
        <w:rPr>
          <w:rFonts w:cs="Arial"/>
          <w:sz w:val="22"/>
          <w:szCs w:val="22"/>
        </w:rPr>
        <w:t xml:space="preserve">de </w:t>
      </w:r>
      <w:r>
        <w:rPr>
          <w:rFonts w:cs="Arial"/>
          <w:sz w:val="22"/>
          <w:szCs w:val="22"/>
        </w:rPr>
        <w:t xml:space="preserve">una flexibilidad adicional en la forma en que se negocian dichos contratos. </w:t>
      </w:r>
      <w:r w:rsidR="000A36B7">
        <w:rPr>
          <w:rFonts w:cs="Arial"/>
          <w:sz w:val="22"/>
          <w:szCs w:val="22"/>
        </w:rPr>
        <w:t xml:space="preserve">Por último, es </w:t>
      </w:r>
      <w:r>
        <w:rPr>
          <w:rFonts w:cs="Arial"/>
          <w:sz w:val="22"/>
          <w:szCs w:val="22"/>
        </w:rPr>
        <w:t>de tener en cuenta que</w:t>
      </w:r>
      <w:r w:rsidR="00757ABE">
        <w:rPr>
          <w:rFonts w:cs="Arial"/>
          <w:sz w:val="22"/>
          <w:szCs w:val="22"/>
        </w:rPr>
        <w:t xml:space="preserve">, actualmente se pueden realizar negociaciones directas para los contratos con interrupciones </w:t>
      </w:r>
      <w:r w:rsidR="00757ABE" w:rsidRPr="00757ABE">
        <w:rPr>
          <w:rFonts w:cs="Arial"/>
          <w:sz w:val="22"/>
          <w:szCs w:val="22"/>
        </w:rPr>
        <w:t>que provenga</w:t>
      </w:r>
      <w:r w:rsidR="00757ABE">
        <w:rPr>
          <w:rFonts w:cs="Arial"/>
          <w:sz w:val="22"/>
          <w:szCs w:val="22"/>
        </w:rPr>
        <w:t>n</w:t>
      </w:r>
      <w:r w:rsidR="00757ABE" w:rsidRPr="00757ABE">
        <w:rPr>
          <w:rFonts w:cs="Arial"/>
          <w:sz w:val="22"/>
          <w:szCs w:val="22"/>
        </w:rPr>
        <w:t xml:space="preserve"> de campos que se encuentren en pruebas extensas o sobre los cuales no se haya declarado su comercialidad, de campos menores o de yacimientos no convencionales</w:t>
      </w:r>
      <w:r w:rsidR="00757ABE">
        <w:rPr>
          <w:rFonts w:cs="Arial"/>
          <w:sz w:val="22"/>
          <w:szCs w:val="22"/>
        </w:rPr>
        <w:t xml:space="preserve">, que </w:t>
      </w:r>
      <w:r>
        <w:rPr>
          <w:rFonts w:cs="Arial"/>
          <w:sz w:val="22"/>
          <w:szCs w:val="22"/>
        </w:rPr>
        <w:t>constituyen gran parte de la oferta de suministro de gas natural</w:t>
      </w:r>
      <w:r w:rsidR="00757ABE">
        <w:rPr>
          <w:rFonts w:cs="Arial"/>
          <w:sz w:val="22"/>
          <w:szCs w:val="22"/>
        </w:rPr>
        <w:t>.</w:t>
      </w:r>
    </w:p>
    <w:p w14:paraId="515C3294" w14:textId="77777777" w:rsidR="0079527C" w:rsidRDefault="0079527C" w:rsidP="00757ABE">
      <w:pPr>
        <w:rPr>
          <w:rFonts w:cs="Arial"/>
          <w:sz w:val="22"/>
          <w:szCs w:val="22"/>
        </w:rPr>
      </w:pPr>
    </w:p>
    <w:p w14:paraId="6B7F6A1B" w14:textId="2876DB63" w:rsidR="0079527C" w:rsidRDefault="0079527C" w:rsidP="00757ABE">
      <w:pPr>
        <w:rPr>
          <w:rFonts w:cs="Arial"/>
          <w:sz w:val="22"/>
          <w:szCs w:val="22"/>
        </w:rPr>
      </w:pPr>
      <w:r>
        <w:rPr>
          <w:rFonts w:cs="Arial"/>
          <w:sz w:val="22"/>
          <w:szCs w:val="22"/>
        </w:rPr>
        <w:t>En todo caso, en la resolución definitiva se especificará que la duración de los contratos con interrupciones bajo esta flexibilidad, será de un mes calendario, tal como ocurre con la subasta mensual de contratos con interrupciones.</w:t>
      </w:r>
    </w:p>
    <w:p w14:paraId="67FFD2C1" w14:textId="77777777" w:rsidR="00757ABE" w:rsidRDefault="00757ABE" w:rsidP="00757ABE">
      <w:pPr>
        <w:rPr>
          <w:i/>
          <w:iCs/>
          <w:sz w:val="22"/>
        </w:rPr>
      </w:pPr>
    </w:p>
    <w:p w14:paraId="24FE70FC" w14:textId="77777777" w:rsidR="0035175D" w:rsidRPr="00A25B16" w:rsidRDefault="0035175D" w:rsidP="001A43D3">
      <w:pPr>
        <w:jc w:val="left"/>
        <w:rPr>
          <w:i/>
          <w:iCs/>
          <w:sz w:val="22"/>
        </w:rPr>
      </w:pPr>
    </w:p>
    <w:p w14:paraId="7CCB6FB6" w14:textId="63190B57" w:rsidR="00D751B8" w:rsidRDefault="00D751B8" w:rsidP="001A614B">
      <w:pPr>
        <w:pStyle w:val="Ttulo2"/>
      </w:pPr>
      <w:bookmarkStart w:id="254" w:name="_Toc158211566"/>
      <w:r>
        <w:t>EPM</w:t>
      </w:r>
      <w:bookmarkEnd w:id="254"/>
    </w:p>
    <w:p w14:paraId="516F427E" w14:textId="6C3CA0F2" w:rsidR="00D751B8" w:rsidRDefault="00D751B8" w:rsidP="00D751B8">
      <w:r>
        <w:t>“</w:t>
      </w:r>
      <w:r w:rsidRPr="00D751B8">
        <w:rPr>
          <w:i/>
          <w:iCs/>
          <w:sz w:val="22"/>
          <w:szCs w:val="22"/>
        </w:rPr>
        <w:t>Aunque la propuesta de permitir negociaciones directas de contratos con interrupciones es entendible, consideramos que el enfoque actual sobre la subasta mensual interrumpible es más adecuado, tal como lo expresamos en los comentarios realizados a la Res. CREG 702 003, en comunicación radicado 20230130201127 del 31 de agosto de 2023.”</w:t>
      </w:r>
    </w:p>
    <w:p w14:paraId="7D7C59F6" w14:textId="77777777" w:rsidR="00D751B8" w:rsidRDefault="00D751B8" w:rsidP="00D751B8"/>
    <w:p w14:paraId="3FF9BA35" w14:textId="77777777" w:rsidR="002B1FF0" w:rsidRPr="002B1FF0" w:rsidRDefault="002B1FF0" w:rsidP="002B1FF0">
      <w:pPr>
        <w:rPr>
          <w:rFonts w:cs="Arial"/>
          <w:b/>
          <w:bCs/>
          <w:sz w:val="22"/>
          <w:szCs w:val="22"/>
        </w:rPr>
      </w:pPr>
      <w:r w:rsidRPr="002B1FF0">
        <w:rPr>
          <w:rFonts w:cs="Arial"/>
          <w:b/>
          <w:bCs/>
          <w:sz w:val="22"/>
          <w:szCs w:val="22"/>
        </w:rPr>
        <w:t>RESPUESTA:</w:t>
      </w:r>
    </w:p>
    <w:p w14:paraId="6A696735" w14:textId="77777777" w:rsidR="002B1FF0" w:rsidRPr="002B1FF0" w:rsidRDefault="002B1FF0" w:rsidP="002B1FF0">
      <w:pPr>
        <w:rPr>
          <w:rFonts w:cs="Arial"/>
          <w:sz w:val="22"/>
          <w:szCs w:val="22"/>
        </w:rPr>
      </w:pPr>
    </w:p>
    <w:p w14:paraId="0BC435CD" w14:textId="76EE367C" w:rsidR="000A36B7" w:rsidRDefault="000A36B7"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_Ref149228031 \w \h </w:instrText>
      </w:r>
      <w:r>
        <w:rPr>
          <w:rFonts w:cs="Arial"/>
          <w:sz w:val="22"/>
          <w:szCs w:val="22"/>
        </w:rPr>
      </w:r>
      <w:r>
        <w:rPr>
          <w:rFonts w:cs="Arial"/>
          <w:sz w:val="22"/>
          <w:szCs w:val="22"/>
        </w:rPr>
        <w:fldChar w:fldCharType="separate"/>
      </w:r>
      <w:r w:rsidR="0027336D">
        <w:rPr>
          <w:rFonts w:cs="Arial"/>
          <w:sz w:val="22"/>
          <w:szCs w:val="22"/>
        </w:rPr>
        <w:t>12.1</w:t>
      </w:r>
      <w:r>
        <w:rPr>
          <w:rFonts w:cs="Arial"/>
          <w:sz w:val="22"/>
          <w:szCs w:val="22"/>
        </w:rPr>
        <w:fldChar w:fldCharType="end"/>
      </w:r>
      <w:r w:rsidR="004F719B">
        <w:rPr>
          <w:rFonts w:cs="Arial"/>
          <w:sz w:val="22"/>
          <w:szCs w:val="22"/>
        </w:rPr>
        <w:t>.</w:t>
      </w:r>
    </w:p>
    <w:p w14:paraId="7AEC9177" w14:textId="77777777" w:rsidR="004F719B" w:rsidRDefault="004F719B" w:rsidP="002B1FF0">
      <w:pPr>
        <w:rPr>
          <w:rFonts w:cs="Arial"/>
          <w:sz w:val="22"/>
          <w:szCs w:val="22"/>
        </w:rPr>
      </w:pPr>
    </w:p>
    <w:p w14:paraId="605569B1" w14:textId="1A5EB56C" w:rsidR="004F719B" w:rsidRPr="00D82E5A" w:rsidRDefault="004F719B" w:rsidP="002B1FF0">
      <w:pPr>
        <w:rPr>
          <w:rFonts w:cs="Arial"/>
          <w:sz w:val="22"/>
          <w:szCs w:val="22"/>
        </w:rPr>
      </w:pPr>
      <w:r>
        <w:rPr>
          <w:rFonts w:cs="Arial"/>
          <w:sz w:val="22"/>
          <w:szCs w:val="22"/>
        </w:rPr>
        <w:t xml:space="preserve">Es de tener en cuenta que EPM en los comentarios respecto de las subastas mensuales de </w:t>
      </w:r>
      <w:r w:rsidRPr="00D82E5A">
        <w:rPr>
          <w:rFonts w:cs="Arial"/>
          <w:sz w:val="22"/>
          <w:szCs w:val="22"/>
        </w:rPr>
        <w:t>contratos con interrupciones y las negociaciones directas de contratos con interrupciones menciona que:</w:t>
      </w:r>
    </w:p>
    <w:p w14:paraId="6CE9A3DA" w14:textId="77777777" w:rsidR="004F719B" w:rsidRPr="00D82E5A" w:rsidRDefault="004F719B" w:rsidP="002B1FF0">
      <w:pPr>
        <w:rPr>
          <w:rFonts w:cs="Arial"/>
          <w:sz w:val="22"/>
          <w:szCs w:val="22"/>
        </w:rPr>
      </w:pPr>
    </w:p>
    <w:p w14:paraId="5BFAA18C" w14:textId="30E2C625" w:rsidR="004F719B" w:rsidRPr="00D82E5A" w:rsidRDefault="00D82E5A" w:rsidP="00D82E5A">
      <w:pPr>
        <w:ind w:left="576"/>
        <w:rPr>
          <w:rFonts w:cs="Arial"/>
          <w:sz w:val="22"/>
          <w:szCs w:val="22"/>
        </w:rPr>
      </w:pPr>
      <w:r w:rsidRPr="00D82E5A">
        <w:rPr>
          <w:rFonts w:cs="Arial"/>
          <w:sz w:val="22"/>
          <w:szCs w:val="22"/>
        </w:rPr>
        <w:t xml:space="preserve">“(…) </w:t>
      </w:r>
      <w:r w:rsidRPr="00D82E5A">
        <w:rPr>
          <w:rFonts w:cs="Arial"/>
          <w:i/>
          <w:iCs/>
          <w:sz w:val="22"/>
          <w:szCs w:val="22"/>
        </w:rPr>
        <w:t xml:space="preserve">los contratos bilaterales interrumpibles de los comercializadores </w:t>
      </w:r>
      <w:r w:rsidRPr="00D82E5A">
        <w:rPr>
          <w:rFonts w:cs="Arial"/>
          <w:b/>
          <w:bCs/>
          <w:i/>
          <w:iCs/>
          <w:sz w:val="22"/>
          <w:szCs w:val="22"/>
          <w:u w:val="single"/>
        </w:rPr>
        <w:t>pueden presentar una determinada cantidad ofrecida a través de varios contratos a diferentes tipos de demanda, para garantizar su venta efectiva cuando alguna de ellas lo solicite</w:t>
      </w:r>
      <w:r w:rsidRPr="00D82E5A">
        <w:rPr>
          <w:rFonts w:cs="Arial"/>
          <w:i/>
          <w:iCs/>
          <w:sz w:val="22"/>
          <w:szCs w:val="22"/>
        </w:rPr>
        <w:t>. Esta es la razón por lo que la comisión evidencia unas cantidades transadas mayores en la venta de bilaterales interrumpible, frente a las cantidades vendidas por el productor en la subasta mensual interrumpible</w:t>
      </w:r>
      <w:r w:rsidRPr="00D82E5A">
        <w:rPr>
          <w:rFonts w:cs="Arial"/>
          <w:sz w:val="22"/>
          <w:szCs w:val="22"/>
        </w:rPr>
        <w:t>.” (subrayado con resaltado fuer de texto)</w:t>
      </w:r>
    </w:p>
    <w:p w14:paraId="686FCB17" w14:textId="77777777" w:rsidR="00D751B8" w:rsidRPr="00D82E5A" w:rsidRDefault="00D751B8" w:rsidP="00D751B8">
      <w:pPr>
        <w:rPr>
          <w:sz w:val="22"/>
          <w:szCs w:val="22"/>
        </w:rPr>
      </w:pPr>
    </w:p>
    <w:p w14:paraId="6F135F66" w14:textId="5CB4B432" w:rsidR="00D82E5A" w:rsidRDefault="00AA2493" w:rsidP="00D751B8">
      <w:pPr>
        <w:rPr>
          <w:sz w:val="22"/>
          <w:szCs w:val="22"/>
        </w:rPr>
      </w:pPr>
      <w:r>
        <w:rPr>
          <w:sz w:val="22"/>
          <w:szCs w:val="22"/>
        </w:rPr>
        <w:t xml:space="preserve">Es decir, </w:t>
      </w:r>
      <w:r w:rsidR="00842ADD">
        <w:rPr>
          <w:sz w:val="22"/>
          <w:szCs w:val="22"/>
        </w:rPr>
        <w:t xml:space="preserve">de </w:t>
      </w:r>
      <w:r>
        <w:rPr>
          <w:sz w:val="22"/>
          <w:szCs w:val="22"/>
        </w:rPr>
        <w:t xml:space="preserve">la afirmación de EPM </w:t>
      </w:r>
      <w:r w:rsidR="00842ADD">
        <w:rPr>
          <w:sz w:val="22"/>
          <w:szCs w:val="22"/>
        </w:rPr>
        <w:t xml:space="preserve">se entiende que </w:t>
      </w:r>
      <w:r>
        <w:rPr>
          <w:sz w:val="22"/>
          <w:szCs w:val="22"/>
        </w:rPr>
        <w:t xml:space="preserve">se registran </w:t>
      </w:r>
      <w:r w:rsidR="00842ADD">
        <w:rPr>
          <w:sz w:val="22"/>
          <w:szCs w:val="22"/>
        </w:rPr>
        <w:t xml:space="preserve">varios </w:t>
      </w:r>
      <w:r>
        <w:rPr>
          <w:sz w:val="22"/>
          <w:szCs w:val="22"/>
        </w:rPr>
        <w:t>contratos con interrupciones</w:t>
      </w:r>
      <w:r w:rsidR="00842ADD">
        <w:rPr>
          <w:sz w:val="22"/>
          <w:szCs w:val="22"/>
        </w:rPr>
        <w:t>,</w:t>
      </w:r>
      <w:r>
        <w:rPr>
          <w:sz w:val="22"/>
          <w:szCs w:val="22"/>
        </w:rPr>
        <w:t xml:space="preserve"> de parte de un mismo vendedor</w:t>
      </w:r>
      <w:r w:rsidR="00106FA7">
        <w:rPr>
          <w:sz w:val="22"/>
          <w:szCs w:val="22"/>
        </w:rPr>
        <w:t xml:space="preserve"> del Mercado Secundario</w:t>
      </w:r>
      <w:r>
        <w:rPr>
          <w:sz w:val="22"/>
          <w:szCs w:val="22"/>
        </w:rPr>
        <w:t xml:space="preserve">, para un mismo punto </w:t>
      </w:r>
      <w:r w:rsidR="001950D2">
        <w:rPr>
          <w:sz w:val="22"/>
          <w:szCs w:val="22"/>
        </w:rPr>
        <w:t xml:space="preserve">de entrega </w:t>
      </w:r>
      <w:r>
        <w:rPr>
          <w:sz w:val="22"/>
          <w:szCs w:val="22"/>
        </w:rPr>
        <w:t xml:space="preserve">y para </w:t>
      </w:r>
      <w:r w:rsidR="00106FA7">
        <w:rPr>
          <w:sz w:val="22"/>
          <w:szCs w:val="22"/>
        </w:rPr>
        <w:t>l</w:t>
      </w:r>
      <w:r>
        <w:rPr>
          <w:sz w:val="22"/>
          <w:szCs w:val="22"/>
        </w:rPr>
        <w:t xml:space="preserve">a ejecución en un mismo período de tiempo, </w:t>
      </w:r>
      <w:r w:rsidR="00106FA7">
        <w:rPr>
          <w:sz w:val="22"/>
          <w:szCs w:val="22"/>
        </w:rPr>
        <w:t xml:space="preserve">que de sumarse </w:t>
      </w:r>
      <w:r w:rsidR="00842ADD">
        <w:rPr>
          <w:sz w:val="22"/>
          <w:szCs w:val="22"/>
        </w:rPr>
        <w:t xml:space="preserve">sus cantidades </w:t>
      </w:r>
      <w:r w:rsidR="00106FA7">
        <w:rPr>
          <w:sz w:val="22"/>
          <w:szCs w:val="22"/>
        </w:rPr>
        <w:t>supera</w:t>
      </w:r>
      <w:r w:rsidR="00842ADD">
        <w:rPr>
          <w:sz w:val="22"/>
          <w:szCs w:val="22"/>
        </w:rPr>
        <w:t>ría</w:t>
      </w:r>
      <w:r w:rsidR="00106FA7">
        <w:rPr>
          <w:sz w:val="22"/>
          <w:szCs w:val="22"/>
        </w:rPr>
        <w:t>n las cantidades disponibles de venta que realmente tiene (cantidades que son las que se autorizarían para ser nominadas en el día anterior al día de gas)</w:t>
      </w:r>
      <w:r w:rsidR="00842ADD">
        <w:rPr>
          <w:sz w:val="22"/>
          <w:szCs w:val="22"/>
        </w:rPr>
        <w:t>. Así de esta manera, se lograría la venta efectiva de esas cantidades, pues de haber uno o varios compradores en los contratos con interrupciones que no nominen, es posible que el vendedor no logre vender la cantidad total que tiene disponible. Así, registrando varios contratos con interrupciones, reduce ese riesgo de no venta efectiva.</w:t>
      </w:r>
    </w:p>
    <w:p w14:paraId="4C8C4465" w14:textId="77777777" w:rsidR="00842ADD" w:rsidRDefault="00842ADD" w:rsidP="00D751B8">
      <w:pPr>
        <w:rPr>
          <w:sz w:val="22"/>
          <w:szCs w:val="22"/>
        </w:rPr>
      </w:pPr>
    </w:p>
    <w:p w14:paraId="1394F56E" w14:textId="7257C4DC" w:rsidR="001950D2" w:rsidRDefault="001950D2" w:rsidP="001950D2">
      <w:pPr>
        <w:rPr>
          <w:sz w:val="22"/>
          <w:szCs w:val="22"/>
        </w:rPr>
      </w:pPr>
      <w:r>
        <w:rPr>
          <w:sz w:val="22"/>
          <w:szCs w:val="22"/>
        </w:rPr>
        <w:t>A partir de</w:t>
      </w:r>
      <w:r w:rsidRPr="00D82E5A">
        <w:rPr>
          <w:sz w:val="22"/>
          <w:szCs w:val="22"/>
        </w:rPr>
        <w:t xml:space="preserve"> ese comentario, surge</w:t>
      </w:r>
      <w:r>
        <w:rPr>
          <w:sz w:val="22"/>
          <w:szCs w:val="22"/>
        </w:rPr>
        <w:t>n</w:t>
      </w:r>
      <w:r w:rsidRPr="00D82E5A">
        <w:rPr>
          <w:sz w:val="22"/>
          <w:szCs w:val="22"/>
        </w:rPr>
        <w:t xml:space="preserve"> la</w:t>
      </w:r>
      <w:r>
        <w:rPr>
          <w:sz w:val="22"/>
          <w:szCs w:val="22"/>
        </w:rPr>
        <w:t>s</w:t>
      </w:r>
      <w:r w:rsidRPr="00D82E5A">
        <w:rPr>
          <w:sz w:val="22"/>
          <w:szCs w:val="22"/>
        </w:rPr>
        <w:t xml:space="preserve"> siguiente</w:t>
      </w:r>
      <w:r>
        <w:rPr>
          <w:sz w:val="22"/>
          <w:szCs w:val="22"/>
        </w:rPr>
        <w:t>s</w:t>
      </w:r>
      <w:r w:rsidRPr="00D82E5A">
        <w:rPr>
          <w:sz w:val="22"/>
          <w:szCs w:val="22"/>
        </w:rPr>
        <w:t xml:space="preserve"> duda</w:t>
      </w:r>
      <w:r>
        <w:rPr>
          <w:sz w:val="22"/>
          <w:szCs w:val="22"/>
        </w:rPr>
        <w:t>s</w:t>
      </w:r>
      <w:r w:rsidRPr="00D82E5A">
        <w:rPr>
          <w:sz w:val="22"/>
          <w:szCs w:val="22"/>
        </w:rPr>
        <w:t xml:space="preserve"> que no está</w:t>
      </w:r>
      <w:r>
        <w:rPr>
          <w:sz w:val="22"/>
          <w:szCs w:val="22"/>
        </w:rPr>
        <w:t>n</w:t>
      </w:r>
      <w:r w:rsidRPr="00D82E5A">
        <w:rPr>
          <w:sz w:val="22"/>
          <w:szCs w:val="22"/>
        </w:rPr>
        <w:t xml:space="preserve"> resuelta en la regulaci</w:t>
      </w:r>
      <w:r>
        <w:rPr>
          <w:sz w:val="22"/>
          <w:szCs w:val="22"/>
        </w:rPr>
        <w:t>ó</w:t>
      </w:r>
      <w:r w:rsidRPr="00D82E5A">
        <w:rPr>
          <w:sz w:val="22"/>
          <w:szCs w:val="22"/>
        </w:rPr>
        <w:t>n vigente</w:t>
      </w:r>
      <w:r>
        <w:rPr>
          <w:sz w:val="22"/>
          <w:szCs w:val="22"/>
        </w:rPr>
        <w:t>, en particular en el Anexo 6 de la resolución CREG 86 de 2020, que también aplica a los vendedores del Mercado Primario que participan en las subastas</w:t>
      </w:r>
      <w:r w:rsidRPr="00D82E5A">
        <w:rPr>
          <w:sz w:val="22"/>
          <w:szCs w:val="22"/>
        </w:rPr>
        <w:t xml:space="preserve">, y que de cierta manera se propone </w:t>
      </w:r>
      <w:r>
        <w:rPr>
          <w:sz w:val="22"/>
          <w:szCs w:val="22"/>
        </w:rPr>
        <w:t>ajustar en la propuesta del Proyecto de Resolución CREG 702 003 de 2023 y transitoriamente en el Proyecto de Resolución CREG 702 005 de 2023:</w:t>
      </w:r>
    </w:p>
    <w:p w14:paraId="0849D59F" w14:textId="77777777" w:rsidR="001950D2" w:rsidRDefault="001950D2" w:rsidP="00D751B8">
      <w:pPr>
        <w:rPr>
          <w:sz w:val="22"/>
          <w:szCs w:val="22"/>
        </w:rPr>
      </w:pPr>
    </w:p>
    <w:p w14:paraId="6B3FD6FB" w14:textId="56CDE45E" w:rsidR="00842ADD" w:rsidRDefault="00842ADD" w:rsidP="00D751B8">
      <w:pPr>
        <w:rPr>
          <w:sz w:val="22"/>
          <w:szCs w:val="22"/>
        </w:rPr>
      </w:pPr>
      <w:r>
        <w:rPr>
          <w:sz w:val="22"/>
          <w:szCs w:val="22"/>
        </w:rPr>
        <w:t xml:space="preserve">¿Cómo calcula la oferta máxima de cantidades un vendedor del Mercado Secundario para </w:t>
      </w:r>
      <w:r w:rsidR="001950D2">
        <w:rPr>
          <w:sz w:val="22"/>
          <w:szCs w:val="22"/>
        </w:rPr>
        <w:t>ofrecer</w:t>
      </w:r>
      <w:r>
        <w:rPr>
          <w:sz w:val="22"/>
          <w:szCs w:val="22"/>
        </w:rPr>
        <w:t xml:space="preserve"> en una subasta mensual de contratos con interrupciones? ¿Ese mismo criterio de cálculo lo utiliza para ofertar cantidades mediante negociación directa para esos mismos contratos? O para las negociaciones directas</w:t>
      </w:r>
      <w:r w:rsidR="001950D2">
        <w:rPr>
          <w:sz w:val="22"/>
          <w:szCs w:val="22"/>
        </w:rPr>
        <w:t>,</w:t>
      </w:r>
      <w:r>
        <w:rPr>
          <w:sz w:val="22"/>
          <w:szCs w:val="22"/>
        </w:rPr>
        <w:t xml:space="preserve"> que también se le permiten al vendedor del </w:t>
      </w:r>
      <w:r w:rsidR="001950D2">
        <w:rPr>
          <w:sz w:val="22"/>
          <w:szCs w:val="22"/>
        </w:rPr>
        <w:t>M</w:t>
      </w:r>
      <w:r>
        <w:rPr>
          <w:sz w:val="22"/>
          <w:szCs w:val="22"/>
        </w:rPr>
        <w:t xml:space="preserve">ercado Secundario, </w:t>
      </w:r>
      <w:r w:rsidR="001950D2">
        <w:rPr>
          <w:sz w:val="22"/>
          <w:szCs w:val="22"/>
        </w:rPr>
        <w:t>¿</w:t>
      </w:r>
      <w:r>
        <w:rPr>
          <w:sz w:val="22"/>
          <w:szCs w:val="22"/>
        </w:rPr>
        <w:t>el criterio de cantidades a contratar en diferentes contratos toma otra referencia de cantidad máxima total a ser registrada en la suma de esos contratos?</w:t>
      </w:r>
    </w:p>
    <w:p w14:paraId="3A239F0E" w14:textId="77777777" w:rsidR="001950D2" w:rsidRDefault="001950D2" w:rsidP="00D751B8">
      <w:pPr>
        <w:rPr>
          <w:sz w:val="22"/>
          <w:szCs w:val="22"/>
        </w:rPr>
      </w:pPr>
    </w:p>
    <w:p w14:paraId="398F0629" w14:textId="51ECEE44" w:rsidR="001950D2" w:rsidRPr="00D82E5A" w:rsidRDefault="001950D2" w:rsidP="00D751B8">
      <w:pPr>
        <w:rPr>
          <w:sz w:val="22"/>
          <w:szCs w:val="22"/>
        </w:rPr>
      </w:pPr>
      <w:r>
        <w:rPr>
          <w:sz w:val="22"/>
          <w:szCs w:val="22"/>
        </w:rPr>
        <w:t>Si el vendedor del Mercado Secundario ofrece cantidades que superan la cantidad total disponible, de modo de poder suscribir varios contratos con interrupciones para lograr la venta efectiva de las cantidades diarias disponibles para la venta, dicha oferta de cantidades está acompañada de una oferta de precio que marca el valor mínimo de la oferta de precio del vendedor del Mercado Primario, y el mecanismos de subastas es de sobre cerrado, ¿qué real posibilidad tiene el vendedor del Mercado Primario de poder lograr la asignación en la subasta, así sea una subasta de sobre cerrado? Añadiendo a lo anterior, el hecho que ese mismo vendedor del Mercado Secundario puede negociar directamente el contrato con interrupciones pues se le permite firmar contratos de entre 1 mes y 12 meses de duración.</w:t>
      </w:r>
    </w:p>
    <w:p w14:paraId="34533615" w14:textId="77777777" w:rsidR="00D82E5A" w:rsidRDefault="00D82E5A" w:rsidP="00D751B8"/>
    <w:p w14:paraId="5CA1E428" w14:textId="77777777" w:rsidR="00D751B8" w:rsidRPr="00D751B8" w:rsidRDefault="00D751B8" w:rsidP="00D751B8"/>
    <w:p w14:paraId="725FB65C" w14:textId="54B34784" w:rsidR="0035175D" w:rsidRDefault="001A43D3" w:rsidP="001A614B">
      <w:pPr>
        <w:pStyle w:val="Ttulo2"/>
      </w:pPr>
      <w:bookmarkStart w:id="255" w:name="_Toc158211567"/>
      <w:r w:rsidRPr="00A25B16">
        <w:t>Gases del Caribe</w:t>
      </w:r>
      <w:bookmarkEnd w:id="255"/>
      <w:r w:rsidRPr="00A25B16">
        <w:tab/>
      </w:r>
    </w:p>
    <w:p w14:paraId="1F003FA2" w14:textId="449EB44E" w:rsidR="001A43D3" w:rsidRDefault="0035175D" w:rsidP="001A43D3">
      <w:pPr>
        <w:jc w:val="left"/>
        <w:rPr>
          <w:i/>
          <w:iCs/>
          <w:sz w:val="22"/>
        </w:rPr>
      </w:pPr>
      <w:r>
        <w:rPr>
          <w:i/>
          <w:iCs/>
          <w:sz w:val="22"/>
        </w:rPr>
        <w:t>“</w:t>
      </w:r>
      <w:r w:rsidR="001A43D3" w:rsidRPr="00A25B16">
        <w:rPr>
          <w:i/>
          <w:iCs/>
          <w:sz w:val="22"/>
        </w:rPr>
        <w:t>Solicitamos respetuosamente una aclaración sobre el contenido del artículo mencionado. La redacción actual resulta confusa y puede dar lugar a diversas interpretaciones. No queda claro si la palabra "negociar" implica la suscripción de un contrato o se refiere a conversaciones entre los agentes interesados que pueden o no concretarse en un acuerdo formal y, por ende, en la firma de un contrato.</w:t>
      </w:r>
      <w:r>
        <w:rPr>
          <w:i/>
          <w:iCs/>
          <w:sz w:val="22"/>
        </w:rPr>
        <w:t>”</w:t>
      </w:r>
    </w:p>
    <w:p w14:paraId="70B691F9" w14:textId="77777777" w:rsidR="0035175D" w:rsidRDefault="0035175D" w:rsidP="001A43D3">
      <w:pPr>
        <w:jc w:val="left"/>
        <w:rPr>
          <w:i/>
          <w:iCs/>
          <w:sz w:val="22"/>
        </w:rPr>
      </w:pPr>
    </w:p>
    <w:p w14:paraId="5EA902DE" w14:textId="77777777" w:rsidR="002B1FF0" w:rsidRPr="002B1FF0" w:rsidRDefault="002B1FF0" w:rsidP="002B1FF0">
      <w:pPr>
        <w:rPr>
          <w:rFonts w:cs="Arial"/>
          <w:b/>
          <w:bCs/>
          <w:sz w:val="22"/>
          <w:szCs w:val="22"/>
        </w:rPr>
      </w:pPr>
      <w:r w:rsidRPr="002B1FF0">
        <w:rPr>
          <w:rFonts w:cs="Arial"/>
          <w:b/>
          <w:bCs/>
          <w:sz w:val="22"/>
          <w:szCs w:val="22"/>
        </w:rPr>
        <w:t>RESPUESTA:</w:t>
      </w:r>
    </w:p>
    <w:p w14:paraId="14DFEB4C" w14:textId="77777777" w:rsidR="002B1FF0" w:rsidRPr="002B1FF0" w:rsidRDefault="002B1FF0" w:rsidP="002B1FF0">
      <w:pPr>
        <w:rPr>
          <w:rFonts w:cs="Arial"/>
          <w:sz w:val="22"/>
          <w:szCs w:val="22"/>
        </w:rPr>
      </w:pPr>
    </w:p>
    <w:p w14:paraId="153BD4D9" w14:textId="780832D8" w:rsidR="00C27E8C" w:rsidRDefault="00C27E8C" w:rsidP="002B1FF0">
      <w:pPr>
        <w:rPr>
          <w:rFonts w:cs="Arial"/>
          <w:sz w:val="22"/>
          <w:szCs w:val="22"/>
        </w:rPr>
      </w:pPr>
      <w:r>
        <w:rPr>
          <w:rFonts w:cs="Arial"/>
          <w:sz w:val="22"/>
          <w:szCs w:val="22"/>
        </w:rPr>
        <w:t>A través del desarrollo de l texto de la Resolución CREG 186 de 2020 se pueden encontrar varios usos del verbo “negociar”. La Real Academia Española define “negociar” entre otros, como:</w:t>
      </w:r>
    </w:p>
    <w:p w14:paraId="35CC036E" w14:textId="77777777" w:rsidR="00C27E8C" w:rsidRDefault="00C27E8C" w:rsidP="002B1FF0">
      <w:pPr>
        <w:rPr>
          <w:rFonts w:cs="Arial"/>
          <w:sz w:val="22"/>
          <w:szCs w:val="22"/>
        </w:rPr>
      </w:pPr>
    </w:p>
    <w:p w14:paraId="278ECB12" w14:textId="0CC9BB88" w:rsidR="00C27E8C" w:rsidRDefault="00C27E8C" w:rsidP="00C27E8C">
      <w:pPr>
        <w:pStyle w:val="Prrafodelista"/>
        <w:ind w:left="720"/>
        <w:rPr>
          <w:rFonts w:cs="Arial"/>
          <w:sz w:val="22"/>
          <w:szCs w:val="22"/>
        </w:rPr>
      </w:pPr>
      <w:r>
        <w:rPr>
          <w:rFonts w:cs="Arial"/>
          <w:i/>
          <w:iCs/>
          <w:sz w:val="22"/>
          <w:szCs w:val="22"/>
        </w:rPr>
        <w:t xml:space="preserve">“1. </w:t>
      </w:r>
      <w:r w:rsidRPr="00C27E8C">
        <w:rPr>
          <w:rFonts w:cs="Arial"/>
          <w:i/>
          <w:iCs/>
          <w:sz w:val="22"/>
          <w:szCs w:val="22"/>
        </w:rPr>
        <w:t>Intr.. Tratar y comerciar, comprando y vendiendo o cambiando géneros, mercancías o valores para aumentar el caudal.</w:t>
      </w:r>
      <w:r>
        <w:rPr>
          <w:rFonts w:cs="Arial"/>
          <w:i/>
          <w:iCs/>
          <w:sz w:val="22"/>
          <w:szCs w:val="22"/>
        </w:rPr>
        <w:t>” (</w:t>
      </w:r>
      <w:r w:rsidRPr="00C27E8C">
        <w:rPr>
          <w:rFonts w:cs="Arial"/>
          <w:sz w:val="22"/>
          <w:szCs w:val="22"/>
        </w:rPr>
        <w:t xml:space="preserve">Tomado de </w:t>
      </w:r>
      <w:hyperlink r:id="rId46" w:history="1">
        <w:r w:rsidR="001831D2" w:rsidRPr="00F57AB1">
          <w:rPr>
            <w:rStyle w:val="Hipervnculo"/>
            <w:rFonts w:cs="Arial"/>
            <w:sz w:val="22"/>
            <w:szCs w:val="22"/>
          </w:rPr>
          <w:t>https://dle.rae.es/negociar</w:t>
        </w:r>
      </w:hyperlink>
      <w:r w:rsidRPr="00C27E8C">
        <w:rPr>
          <w:rFonts w:cs="Arial"/>
          <w:sz w:val="22"/>
          <w:szCs w:val="22"/>
        </w:rPr>
        <w:t>)</w:t>
      </w:r>
    </w:p>
    <w:p w14:paraId="4E00967A" w14:textId="77777777" w:rsidR="001831D2" w:rsidRDefault="001831D2" w:rsidP="00C27E8C">
      <w:pPr>
        <w:pStyle w:val="Prrafodelista"/>
        <w:ind w:left="720"/>
        <w:rPr>
          <w:rFonts w:cs="Arial"/>
          <w:i/>
          <w:iCs/>
          <w:sz w:val="22"/>
          <w:szCs w:val="22"/>
        </w:rPr>
      </w:pPr>
    </w:p>
    <w:p w14:paraId="5D13CCFB" w14:textId="113E3613" w:rsidR="001831D2" w:rsidRPr="001831D2" w:rsidRDefault="001831D2" w:rsidP="001831D2">
      <w:pPr>
        <w:pStyle w:val="Prrafodelista"/>
        <w:ind w:left="0"/>
        <w:rPr>
          <w:rFonts w:cs="Arial"/>
          <w:sz w:val="22"/>
          <w:szCs w:val="22"/>
        </w:rPr>
      </w:pPr>
      <w:r w:rsidRPr="001831D2">
        <w:rPr>
          <w:rFonts w:cs="Arial"/>
          <w:sz w:val="22"/>
          <w:szCs w:val="22"/>
        </w:rPr>
        <w:t>En ese mismo sentido se debe interpretar el uso de dicho verbo o sus conjugaciones</w:t>
      </w:r>
      <w:r>
        <w:rPr>
          <w:rFonts w:cs="Arial"/>
          <w:sz w:val="22"/>
          <w:szCs w:val="22"/>
        </w:rPr>
        <w:t>,</w:t>
      </w:r>
      <w:r w:rsidRPr="001831D2">
        <w:rPr>
          <w:rFonts w:cs="Arial"/>
          <w:sz w:val="22"/>
          <w:szCs w:val="22"/>
        </w:rPr>
        <w:t xml:space="preserve"> en el texto de la resolución CREG 186 d</w:t>
      </w:r>
      <w:r>
        <w:rPr>
          <w:rFonts w:cs="Arial"/>
          <w:sz w:val="22"/>
          <w:szCs w:val="22"/>
        </w:rPr>
        <w:t>e</w:t>
      </w:r>
      <w:r w:rsidRPr="001831D2">
        <w:rPr>
          <w:rFonts w:cs="Arial"/>
          <w:sz w:val="22"/>
          <w:szCs w:val="22"/>
        </w:rPr>
        <w:t xml:space="preserve"> 2020.</w:t>
      </w:r>
    </w:p>
    <w:p w14:paraId="2E157EF5" w14:textId="77777777" w:rsidR="00C27E8C" w:rsidRDefault="00C27E8C" w:rsidP="002B1FF0">
      <w:pPr>
        <w:rPr>
          <w:rFonts w:cs="Arial"/>
          <w:sz w:val="22"/>
          <w:szCs w:val="22"/>
        </w:rPr>
      </w:pPr>
    </w:p>
    <w:p w14:paraId="6D52849E" w14:textId="66519C07" w:rsidR="002B1FF0" w:rsidRDefault="00C27E8C" w:rsidP="002B1FF0">
      <w:pPr>
        <w:rPr>
          <w:rFonts w:cs="Arial"/>
          <w:sz w:val="22"/>
          <w:szCs w:val="22"/>
        </w:rPr>
      </w:pPr>
      <w:r>
        <w:rPr>
          <w:rFonts w:cs="Arial"/>
          <w:sz w:val="22"/>
          <w:szCs w:val="22"/>
        </w:rPr>
        <w:t>Por otro lado, a</w:t>
      </w:r>
      <w:r w:rsidR="000A36B7">
        <w:rPr>
          <w:rFonts w:cs="Arial"/>
          <w:sz w:val="22"/>
          <w:szCs w:val="22"/>
        </w:rPr>
        <w:t xml:space="preserve">ctualmente </w:t>
      </w:r>
      <w:r>
        <w:rPr>
          <w:rFonts w:cs="Arial"/>
          <w:sz w:val="22"/>
          <w:szCs w:val="22"/>
        </w:rPr>
        <w:t xml:space="preserve">como resultado de </w:t>
      </w:r>
      <w:r w:rsidR="000A36B7">
        <w:rPr>
          <w:rFonts w:cs="Arial"/>
          <w:sz w:val="22"/>
          <w:szCs w:val="22"/>
        </w:rPr>
        <w:t>las subastas mensuales de contratos con interrupciones</w:t>
      </w:r>
      <w:r>
        <w:rPr>
          <w:rFonts w:cs="Arial"/>
          <w:sz w:val="22"/>
          <w:szCs w:val="22"/>
        </w:rPr>
        <w:t xml:space="preserve"> se adjudican </w:t>
      </w:r>
      <w:r w:rsidRPr="00C27E8C">
        <w:rPr>
          <w:rFonts w:cs="Arial"/>
          <w:sz w:val="22"/>
          <w:szCs w:val="22"/>
        </w:rPr>
        <w:t>cantidades a los compradores y a los vendedores</w:t>
      </w:r>
      <w:r>
        <w:rPr>
          <w:rFonts w:cs="Arial"/>
          <w:sz w:val="22"/>
          <w:szCs w:val="22"/>
        </w:rPr>
        <w:t>. Sin embargo, ello resulta de un procedimiento detallado en el Anexo 6 de la Resolución CREG 186 de 2020, que no implica que por el solo hecho de participar como comprador o como vendedor, se deba suscribir un contrato con interrupciones.</w:t>
      </w:r>
    </w:p>
    <w:p w14:paraId="1B04AE74" w14:textId="77777777" w:rsidR="00C27E8C" w:rsidRDefault="00C27E8C" w:rsidP="002B1FF0">
      <w:pPr>
        <w:rPr>
          <w:rFonts w:cs="Arial"/>
          <w:sz w:val="22"/>
          <w:szCs w:val="22"/>
        </w:rPr>
      </w:pPr>
    </w:p>
    <w:p w14:paraId="4FCD032A" w14:textId="77777777" w:rsidR="0035175D" w:rsidRPr="00A25B16" w:rsidRDefault="0035175D" w:rsidP="001A43D3">
      <w:pPr>
        <w:jc w:val="left"/>
        <w:rPr>
          <w:i/>
          <w:iCs/>
          <w:sz w:val="22"/>
        </w:rPr>
      </w:pPr>
    </w:p>
    <w:p w14:paraId="07444D2F" w14:textId="1919E0C5" w:rsidR="0035175D" w:rsidRDefault="001A43D3" w:rsidP="001A614B">
      <w:pPr>
        <w:pStyle w:val="Ttulo2"/>
      </w:pPr>
      <w:bookmarkStart w:id="256" w:name="_Toc158211568"/>
      <w:r w:rsidRPr="00A25B16">
        <w:t>Hocol S.A.</w:t>
      </w:r>
      <w:bookmarkEnd w:id="256"/>
      <w:r w:rsidRPr="00A25B16">
        <w:tab/>
      </w:r>
    </w:p>
    <w:p w14:paraId="6795E98A" w14:textId="2F85FA1E" w:rsidR="001A43D3" w:rsidRDefault="0035175D" w:rsidP="001A43D3">
      <w:pPr>
        <w:jc w:val="left"/>
        <w:rPr>
          <w:i/>
          <w:iCs/>
          <w:sz w:val="22"/>
        </w:rPr>
      </w:pPr>
      <w:r>
        <w:rPr>
          <w:i/>
          <w:iCs/>
          <w:sz w:val="22"/>
        </w:rPr>
        <w:t>“</w:t>
      </w:r>
      <w:r w:rsidR="001A43D3" w:rsidRPr="00A25B16">
        <w:rPr>
          <w:i/>
          <w:iCs/>
          <w:sz w:val="22"/>
        </w:rPr>
        <w:t>Encontramos positivo que durante la vigencia de la resolución se suspendan subastas de contratos con interrupciones y para maximizar la eficiencia de esta medida, amablemente nos gustaría sugerir que se permita suscribir este tipo de contratos en cantidades que excedan la PTDV del campo; esto permitiría dar manejo a las situaciones de bajas nominaciones y/o declaraciones de eventos eximentes, así como posibilidades, de cara al mercado secundario, que incrementarían la disponibilidad de gas natural y a la vez mantendrían los niveles de producción de los distintos campos</w:t>
      </w:r>
      <w:r>
        <w:rPr>
          <w:i/>
          <w:iCs/>
          <w:sz w:val="22"/>
        </w:rPr>
        <w:t>.”</w:t>
      </w:r>
    </w:p>
    <w:p w14:paraId="43188888" w14:textId="77777777" w:rsidR="0035175D" w:rsidRDefault="0035175D" w:rsidP="001A43D3">
      <w:pPr>
        <w:jc w:val="left"/>
        <w:rPr>
          <w:i/>
          <w:iCs/>
          <w:sz w:val="22"/>
        </w:rPr>
      </w:pPr>
    </w:p>
    <w:p w14:paraId="5CB84237" w14:textId="77777777" w:rsidR="002B1FF0" w:rsidRPr="002B1FF0" w:rsidRDefault="002B1FF0" w:rsidP="002B1FF0">
      <w:pPr>
        <w:rPr>
          <w:rFonts w:cs="Arial"/>
          <w:b/>
          <w:bCs/>
          <w:sz w:val="22"/>
          <w:szCs w:val="22"/>
        </w:rPr>
      </w:pPr>
      <w:r w:rsidRPr="002B1FF0">
        <w:rPr>
          <w:rFonts w:cs="Arial"/>
          <w:b/>
          <w:bCs/>
          <w:sz w:val="22"/>
          <w:szCs w:val="22"/>
        </w:rPr>
        <w:t>RESPUESTA:</w:t>
      </w:r>
    </w:p>
    <w:p w14:paraId="23D11CE9" w14:textId="77777777" w:rsidR="002B1FF0" w:rsidRDefault="002B1FF0" w:rsidP="002B1FF0">
      <w:pPr>
        <w:rPr>
          <w:rFonts w:cs="Arial"/>
          <w:sz w:val="22"/>
          <w:szCs w:val="22"/>
        </w:rPr>
      </w:pPr>
    </w:p>
    <w:p w14:paraId="284EE3D3" w14:textId="5D69E18F" w:rsidR="002B1FF0" w:rsidRDefault="00D4678F" w:rsidP="002B1FF0">
      <w:pPr>
        <w:rPr>
          <w:rFonts w:cs="Arial"/>
          <w:sz w:val="22"/>
          <w:szCs w:val="22"/>
        </w:rPr>
      </w:pPr>
      <w:r>
        <w:rPr>
          <w:rFonts w:cs="Arial"/>
          <w:sz w:val="22"/>
          <w:szCs w:val="22"/>
        </w:rPr>
        <w:t>En el Proyecto de Resolución no se establecen limitaciones respecto de las cantidades máximas a negociar en forma directa por parte de los vendedores del Mercado Primario para los contratos con interrupciones.</w:t>
      </w:r>
      <w:r w:rsidR="006375C6">
        <w:rPr>
          <w:rFonts w:cs="Arial"/>
          <w:sz w:val="22"/>
          <w:szCs w:val="22"/>
        </w:rPr>
        <w:t xml:space="preserve"> Para ello se debe tener en cuenta la definición del Contrato con Interrupciones de la Resolución CR</w:t>
      </w:r>
      <w:r w:rsidR="00F90DB7">
        <w:rPr>
          <w:rFonts w:cs="Arial"/>
          <w:sz w:val="22"/>
          <w:szCs w:val="22"/>
        </w:rPr>
        <w:t>E</w:t>
      </w:r>
      <w:r w:rsidR="006375C6">
        <w:rPr>
          <w:rFonts w:cs="Arial"/>
          <w:sz w:val="22"/>
          <w:szCs w:val="22"/>
        </w:rPr>
        <w:t>G 186 de 2020:</w:t>
      </w:r>
    </w:p>
    <w:p w14:paraId="168D2DDB" w14:textId="77777777" w:rsidR="006375C6" w:rsidRDefault="006375C6" w:rsidP="002B1FF0">
      <w:pPr>
        <w:rPr>
          <w:rFonts w:cs="Arial"/>
          <w:sz w:val="22"/>
          <w:szCs w:val="22"/>
        </w:rPr>
      </w:pPr>
    </w:p>
    <w:p w14:paraId="3D24DF6D" w14:textId="34948FE4" w:rsidR="006375C6" w:rsidRDefault="006375C6" w:rsidP="006375C6">
      <w:pPr>
        <w:ind w:left="576"/>
        <w:rPr>
          <w:rFonts w:cs="Arial"/>
          <w:sz w:val="22"/>
          <w:szCs w:val="22"/>
        </w:rPr>
      </w:pPr>
      <w:r>
        <w:rPr>
          <w:rFonts w:cs="Arial"/>
          <w:sz w:val="22"/>
          <w:szCs w:val="22"/>
        </w:rPr>
        <w:t>“</w:t>
      </w:r>
      <w:r w:rsidRPr="006375C6">
        <w:rPr>
          <w:rFonts w:cs="Arial"/>
          <w:b/>
          <w:bCs/>
          <w:i/>
          <w:iCs/>
          <w:sz w:val="22"/>
          <w:szCs w:val="22"/>
        </w:rPr>
        <w:t>Contrato con interrupciones, CI</w:t>
      </w:r>
      <w:r w:rsidRPr="006375C6">
        <w:rPr>
          <w:rFonts w:cs="Arial"/>
          <w:i/>
          <w:iCs/>
          <w:sz w:val="22"/>
          <w:szCs w:val="22"/>
        </w:rPr>
        <w:t>: contrato escrito en el que las partes acuerdan no asumir compromiso de continuidad en la entrega o recibo de suministro de gas natural, durante un período determinado. El servicio puede ser interrumpido por cualquiera de las partes, en cualquier momento y bajo cualquier circunstancia, dando aviso previo a la otra parte</w:t>
      </w:r>
      <w:r>
        <w:rPr>
          <w:rFonts w:cs="Arial"/>
          <w:sz w:val="22"/>
          <w:szCs w:val="22"/>
        </w:rPr>
        <w:t>”</w:t>
      </w:r>
    </w:p>
    <w:p w14:paraId="15FC8898" w14:textId="77777777" w:rsidR="006375C6" w:rsidRDefault="006375C6" w:rsidP="002B1FF0">
      <w:pPr>
        <w:rPr>
          <w:rFonts w:cs="Arial"/>
          <w:sz w:val="22"/>
          <w:szCs w:val="22"/>
        </w:rPr>
      </w:pPr>
    </w:p>
    <w:p w14:paraId="6995D8A6" w14:textId="77777777" w:rsidR="006375C6" w:rsidRPr="002B1FF0" w:rsidRDefault="006375C6" w:rsidP="002B1FF0">
      <w:pPr>
        <w:rPr>
          <w:rFonts w:cs="Arial"/>
          <w:sz w:val="22"/>
          <w:szCs w:val="22"/>
        </w:rPr>
      </w:pPr>
    </w:p>
    <w:p w14:paraId="6C668637" w14:textId="1879306A" w:rsidR="0035175D" w:rsidRDefault="001A43D3" w:rsidP="001A614B">
      <w:pPr>
        <w:pStyle w:val="Ttulo2"/>
      </w:pPr>
      <w:bookmarkStart w:id="257" w:name="_Ref149229423"/>
      <w:bookmarkStart w:id="258" w:name="_Ref149286992"/>
      <w:bookmarkStart w:id="259" w:name="_Ref149287059"/>
      <w:bookmarkStart w:id="260" w:name="_Toc158211569"/>
      <w:r w:rsidRPr="00A25B16">
        <w:t>SANTAFÉ ENERGY</w:t>
      </w:r>
      <w:bookmarkEnd w:id="257"/>
      <w:bookmarkEnd w:id="258"/>
      <w:bookmarkEnd w:id="259"/>
      <w:bookmarkEnd w:id="260"/>
      <w:r w:rsidRPr="00A25B16">
        <w:tab/>
      </w:r>
    </w:p>
    <w:p w14:paraId="7D2D3C1B" w14:textId="4BA75DA2" w:rsidR="001A43D3" w:rsidRDefault="0035175D" w:rsidP="001A43D3">
      <w:pPr>
        <w:jc w:val="left"/>
        <w:rPr>
          <w:i/>
          <w:iCs/>
          <w:sz w:val="22"/>
        </w:rPr>
      </w:pPr>
      <w:r>
        <w:rPr>
          <w:i/>
          <w:iCs/>
          <w:sz w:val="22"/>
        </w:rPr>
        <w:t>“</w:t>
      </w:r>
      <w:r w:rsidR="001A43D3" w:rsidRPr="00A25B16">
        <w:rPr>
          <w:i/>
          <w:iCs/>
          <w:sz w:val="22"/>
        </w:rPr>
        <w:t>Oportuna la medida de limitar la negociación de interrumpibles, a agentes del mercado primario al mes previo del inicio de ejecucion. Al igual que los firmes bimensuales (Resolución CREG 136 de 2017)</w:t>
      </w:r>
      <w:r>
        <w:rPr>
          <w:i/>
          <w:iCs/>
          <w:sz w:val="22"/>
        </w:rPr>
        <w:t>.”</w:t>
      </w:r>
    </w:p>
    <w:p w14:paraId="54BCAE3B" w14:textId="77777777" w:rsidR="0035175D" w:rsidRDefault="0035175D" w:rsidP="001A43D3">
      <w:pPr>
        <w:jc w:val="left"/>
        <w:rPr>
          <w:i/>
          <w:iCs/>
          <w:sz w:val="22"/>
        </w:rPr>
      </w:pPr>
    </w:p>
    <w:p w14:paraId="7D704FE5" w14:textId="77777777" w:rsidR="002B1FF0" w:rsidRPr="002B1FF0" w:rsidRDefault="002B1FF0" w:rsidP="002B1FF0">
      <w:pPr>
        <w:rPr>
          <w:rFonts w:cs="Arial"/>
          <w:b/>
          <w:bCs/>
          <w:sz w:val="22"/>
          <w:szCs w:val="22"/>
        </w:rPr>
      </w:pPr>
      <w:r w:rsidRPr="002B1FF0">
        <w:rPr>
          <w:rFonts w:cs="Arial"/>
          <w:b/>
          <w:bCs/>
          <w:sz w:val="22"/>
          <w:szCs w:val="22"/>
        </w:rPr>
        <w:t>RESPUESTA:</w:t>
      </w:r>
    </w:p>
    <w:p w14:paraId="58B610C1" w14:textId="77777777" w:rsidR="002B1FF0" w:rsidRPr="002B1FF0" w:rsidRDefault="002B1FF0" w:rsidP="002B1FF0">
      <w:pPr>
        <w:rPr>
          <w:rFonts w:cs="Arial"/>
          <w:sz w:val="22"/>
          <w:szCs w:val="22"/>
        </w:rPr>
      </w:pPr>
    </w:p>
    <w:p w14:paraId="3425884E" w14:textId="2F828557" w:rsidR="008F47BB" w:rsidRDefault="008F47BB" w:rsidP="00907F59">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_Ref149286977 \w \h </w:instrText>
      </w:r>
      <w:r>
        <w:rPr>
          <w:rFonts w:cs="Arial"/>
          <w:sz w:val="22"/>
          <w:szCs w:val="22"/>
        </w:rPr>
      </w:r>
      <w:r>
        <w:rPr>
          <w:rFonts w:cs="Arial"/>
          <w:sz w:val="22"/>
          <w:szCs w:val="22"/>
        </w:rPr>
        <w:fldChar w:fldCharType="separate"/>
      </w:r>
      <w:r w:rsidR="0027336D">
        <w:rPr>
          <w:rFonts w:cs="Arial"/>
          <w:sz w:val="22"/>
          <w:szCs w:val="22"/>
        </w:rPr>
        <w:t>12.1</w:t>
      </w:r>
      <w:r>
        <w:rPr>
          <w:rFonts w:cs="Arial"/>
          <w:sz w:val="22"/>
          <w:szCs w:val="22"/>
        </w:rPr>
        <w:fldChar w:fldCharType="end"/>
      </w:r>
      <w:r>
        <w:rPr>
          <w:rFonts w:cs="Arial"/>
          <w:sz w:val="22"/>
          <w:szCs w:val="22"/>
        </w:rPr>
        <w:t>.</w:t>
      </w:r>
    </w:p>
    <w:p w14:paraId="355105EB" w14:textId="77777777" w:rsidR="008F47BB" w:rsidRDefault="008F47BB" w:rsidP="00907F59">
      <w:pPr>
        <w:rPr>
          <w:rFonts w:cs="Arial"/>
          <w:sz w:val="22"/>
          <w:szCs w:val="22"/>
        </w:rPr>
      </w:pPr>
    </w:p>
    <w:p w14:paraId="3EB733F4" w14:textId="1EEAEB49" w:rsidR="00907F59" w:rsidRPr="00907F59" w:rsidRDefault="00E959F5" w:rsidP="00907F59">
      <w:pPr>
        <w:rPr>
          <w:rFonts w:cs="Arial"/>
          <w:sz w:val="22"/>
          <w:szCs w:val="22"/>
        </w:rPr>
      </w:pPr>
      <w:r>
        <w:rPr>
          <w:rFonts w:cs="Arial"/>
          <w:sz w:val="22"/>
          <w:szCs w:val="22"/>
        </w:rPr>
        <w:t xml:space="preserve">En el Proyecto de Resolución no se establecen condiciones de negociación de contratos firmes bimestrales </w:t>
      </w:r>
      <w:r w:rsidR="00907F59">
        <w:rPr>
          <w:rFonts w:cs="Arial"/>
          <w:sz w:val="22"/>
          <w:szCs w:val="22"/>
        </w:rPr>
        <w:t xml:space="preserve">establecidos en la Resolución CREG 136 de 2014. De hecho, en el Proyecto de Resolución se establece que durante </w:t>
      </w:r>
      <w:r w:rsidR="00907F59" w:rsidRPr="00907F59">
        <w:rPr>
          <w:rFonts w:cs="Arial"/>
          <w:sz w:val="22"/>
          <w:szCs w:val="22"/>
        </w:rPr>
        <w:t>la vigencia de la Resolución, no se realizará la</w:t>
      </w:r>
    </w:p>
    <w:p w14:paraId="5BADB306" w14:textId="1F31569A" w:rsidR="002B1FF0" w:rsidRPr="002B1FF0" w:rsidRDefault="00907F59" w:rsidP="00907F59">
      <w:pPr>
        <w:rPr>
          <w:rFonts w:cs="Arial"/>
          <w:sz w:val="22"/>
          <w:szCs w:val="22"/>
        </w:rPr>
      </w:pPr>
      <w:r w:rsidRPr="00907F59">
        <w:rPr>
          <w:rFonts w:cs="Arial"/>
          <w:sz w:val="22"/>
          <w:szCs w:val="22"/>
        </w:rPr>
        <w:t>compraventa de gas natural de contratos firmes bimestrales mediante las</w:t>
      </w:r>
      <w:r>
        <w:rPr>
          <w:rFonts w:cs="Arial"/>
          <w:sz w:val="22"/>
          <w:szCs w:val="22"/>
        </w:rPr>
        <w:t xml:space="preserve"> </w:t>
      </w:r>
      <w:r w:rsidRPr="00907F59">
        <w:rPr>
          <w:rFonts w:cs="Arial"/>
          <w:sz w:val="22"/>
          <w:szCs w:val="22"/>
        </w:rPr>
        <w:t>subastas establecidas en la resolución CREG 136 de 2014, modificada por la</w:t>
      </w:r>
      <w:r>
        <w:rPr>
          <w:rFonts w:cs="Arial"/>
          <w:sz w:val="22"/>
          <w:szCs w:val="22"/>
        </w:rPr>
        <w:t xml:space="preserve"> </w:t>
      </w:r>
      <w:r w:rsidRPr="00907F59">
        <w:rPr>
          <w:rFonts w:cs="Arial"/>
          <w:sz w:val="22"/>
          <w:szCs w:val="22"/>
        </w:rPr>
        <w:t>resolución CREG 005 de 2017.</w:t>
      </w:r>
      <w:r w:rsidR="00E959F5">
        <w:rPr>
          <w:rFonts w:cs="Arial"/>
          <w:sz w:val="22"/>
          <w:szCs w:val="22"/>
        </w:rPr>
        <w:t xml:space="preserve"> </w:t>
      </w:r>
    </w:p>
    <w:p w14:paraId="4F5DCB2C" w14:textId="77777777" w:rsidR="0035175D" w:rsidRDefault="0035175D" w:rsidP="001A43D3">
      <w:pPr>
        <w:jc w:val="left"/>
        <w:rPr>
          <w:i/>
          <w:iCs/>
          <w:sz w:val="22"/>
        </w:rPr>
      </w:pPr>
    </w:p>
    <w:p w14:paraId="597D1533" w14:textId="77777777" w:rsidR="0035175D" w:rsidRPr="00A25B16" w:rsidRDefault="0035175D" w:rsidP="001A43D3">
      <w:pPr>
        <w:jc w:val="left"/>
        <w:rPr>
          <w:i/>
          <w:iCs/>
          <w:sz w:val="22"/>
        </w:rPr>
      </w:pPr>
    </w:p>
    <w:p w14:paraId="4746F929" w14:textId="44608759" w:rsidR="0035175D" w:rsidRDefault="001A43D3" w:rsidP="001A614B">
      <w:pPr>
        <w:pStyle w:val="Ttulo2"/>
      </w:pPr>
      <w:bookmarkStart w:id="261" w:name="_Ref149286165"/>
      <w:bookmarkStart w:id="262" w:name="_Ref149297498"/>
      <w:bookmarkStart w:id="263" w:name="_Toc158211570"/>
      <w:r w:rsidRPr="00A25B16">
        <w:t>VANTI</w:t>
      </w:r>
      <w:bookmarkEnd w:id="261"/>
      <w:bookmarkEnd w:id="262"/>
      <w:bookmarkEnd w:id="263"/>
      <w:r w:rsidRPr="00A25B16">
        <w:tab/>
      </w:r>
    </w:p>
    <w:p w14:paraId="4B67C401" w14:textId="3122CA23" w:rsidR="001A43D3" w:rsidRPr="00A25B16" w:rsidRDefault="001A43D3" w:rsidP="001A43D3">
      <w:pPr>
        <w:jc w:val="left"/>
        <w:rPr>
          <w:i/>
          <w:iCs/>
          <w:sz w:val="22"/>
        </w:rPr>
      </w:pPr>
      <w:r w:rsidRPr="00A25B16">
        <w:rPr>
          <w:i/>
          <w:iCs/>
          <w:sz w:val="22"/>
        </w:rPr>
        <w:t>"El parágrafo 6 transitorio da la posibilidad a los productores de suscribir directamente los contratos interrumpibles. Estas negociaciones, así como la posibilidad de venta de contratos firmes semanales, pueden afectar directamente la comercialización de los excedentes existentes en el Mercado Secundario.</w:t>
      </w:r>
    </w:p>
    <w:p w14:paraId="66D73F4A" w14:textId="77777777" w:rsidR="001A43D3" w:rsidRPr="00A25B16" w:rsidRDefault="001A43D3" w:rsidP="001A43D3">
      <w:pPr>
        <w:jc w:val="left"/>
        <w:rPr>
          <w:i/>
          <w:iCs/>
          <w:sz w:val="22"/>
        </w:rPr>
      </w:pPr>
    </w:p>
    <w:p w14:paraId="64BEA98E" w14:textId="6AA3ED6C" w:rsidR="001A43D3" w:rsidRPr="00A25B16" w:rsidRDefault="001A43D3" w:rsidP="001A43D3">
      <w:pPr>
        <w:jc w:val="left"/>
        <w:rPr>
          <w:i/>
          <w:iCs/>
          <w:sz w:val="22"/>
        </w:rPr>
      </w:pPr>
      <w:r w:rsidRPr="00A25B16">
        <w:rPr>
          <w:i/>
          <w:iCs/>
          <w:sz w:val="22"/>
        </w:rPr>
        <w:t>Por lo anterior, es importante garantizar: i) en cuanto al precio, que las políticas comerciales de los productores sean coherentes con aquellas definidas en los procesos de comercialización surtidos para el 2023; y ii) en cuanto a la oferta de cantidades, que correspondan con oferta en firme excedentaria de estos productores y no al 5% de flexibilidad de los contratos firmes CF95 que suscribieron los comercializadores con ellos."</w:t>
      </w:r>
    </w:p>
    <w:p w14:paraId="58243EA0" w14:textId="77777777" w:rsidR="001A43D3" w:rsidRPr="00A25B16" w:rsidRDefault="001A43D3" w:rsidP="001A43D3">
      <w:pPr>
        <w:jc w:val="left"/>
        <w:rPr>
          <w:i/>
          <w:iCs/>
          <w:sz w:val="22"/>
        </w:rPr>
      </w:pPr>
    </w:p>
    <w:p w14:paraId="3B164130" w14:textId="77777777" w:rsidR="002B1FF0" w:rsidRPr="002B1FF0" w:rsidRDefault="002B1FF0" w:rsidP="002B1FF0">
      <w:pPr>
        <w:rPr>
          <w:rFonts w:cs="Arial"/>
          <w:b/>
          <w:bCs/>
          <w:sz w:val="22"/>
          <w:szCs w:val="22"/>
        </w:rPr>
      </w:pPr>
      <w:r w:rsidRPr="002B1FF0">
        <w:rPr>
          <w:rFonts w:cs="Arial"/>
          <w:b/>
          <w:bCs/>
          <w:sz w:val="22"/>
          <w:szCs w:val="22"/>
        </w:rPr>
        <w:t>RESPUESTA:</w:t>
      </w:r>
    </w:p>
    <w:p w14:paraId="5FCF9BFD" w14:textId="77777777" w:rsidR="002B1FF0" w:rsidRPr="002B1FF0" w:rsidRDefault="002B1FF0" w:rsidP="002B1FF0">
      <w:pPr>
        <w:rPr>
          <w:rFonts w:cs="Arial"/>
          <w:sz w:val="22"/>
          <w:szCs w:val="22"/>
        </w:rPr>
      </w:pPr>
    </w:p>
    <w:p w14:paraId="3AA012AD" w14:textId="1A40C73B" w:rsidR="002B1FF0" w:rsidRDefault="00B2340D"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_Ref149229389 \w \h </w:instrText>
      </w:r>
      <w:r>
        <w:rPr>
          <w:rFonts w:cs="Arial"/>
          <w:sz w:val="22"/>
          <w:szCs w:val="22"/>
        </w:rPr>
      </w:r>
      <w:r>
        <w:rPr>
          <w:rFonts w:cs="Arial"/>
          <w:sz w:val="22"/>
          <w:szCs w:val="22"/>
        </w:rPr>
        <w:fldChar w:fldCharType="separate"/>
      </w:r>
      <w:r w:rsidR="0027336D">
        <w:rPr>
          <w:rFonts w:cs="Arial"/>
          <w:sz w:val="22"/>
          <w:szCs w:val="22"/>
        </w:rPr>
        <w:t>12.1</w:t>
      </w:r>
      <w:r>
        <w:rPr>
          <w:rFonts w:cs="Arial"/>
          <w:sz w:val="22"/>
          <w:szCs w:val="22"/>
        </w:rPr>
        <w:fldChar w:fldCharType="end"/>
      </w:r>
      <w:r>
        <w:rPr>
          <w:rFonts w:cs="Arial"/>
          <w:sz w:val="22"/>
          <w:szCs w:val="22"/>
        </w:rPr>
        <w:t xml:space="preserve"> y al comentario </w:t>
      </w:r>
      <w:r>
        <w:rPr>
          <w:rFonts w:cs="Arial"/>
          <w:sz w:val="22"/>
          <w:szCs w:val="22"/>
        </w:rPr>
        <w:fldChar w:fldCharType="begin"/>
      </w:r>
      <w:r>
        <w:rPr>
          <w:rFonts w:cs="Arial"/>
          <w:sz w:val="22"/>
          <w:szCs w:val="22"/>
        </w:rPr>
        <w:instrText xml:space="preserve"> REF _Ref149229423 \w \h </w:instrText>
      </w:r>
      <w:r>
        <w:rPr>
          <w:rFonts w:cs="Arial"/>
          <w:sz w:val="22"/>
          <w:szCs w:val="22"/>
        </w:rPr>
      </w:r>
      <w:r>
        <w:rPr>
          <w:rFonts w:cs="Arial"/>
          <w:sz w:val="22"/>
          <w:szCs w:val="22"/>
        </w:rPr>
        <w:fldChar w:fldCharType="separate"/>
      </w:r>
      <w:r w:rsidR="0027336D">
        <w:rPr>
          <w:rFonts w:cs="Arial"/>
          <w:sz w:val="22"/>
          <w:szCs w:val="22"/>
        </w:rPr>
        <w:t>12.5</w:t>
      </w:r>
      <w:r>
        <w:rPr>
          <w:rFonts w:cs="Arial"/>
          <w:sz w:val="22"/>
          <w:szCs w:val="22"/>
        </w:rPr>
        <w:fldChar w:fldCharType="end"/>
      </w:r>
      <w:r>
        <w:rPr>
          <w:rFonts w:cs="Arial"/>
          <w:sz w:val="22"/>
          <w:szCs w:val="22"/>
        </w:rPr>
        <w:t>.</w:t>
      </w:r>
    </w:p>
    <w:p w14:paraId="5E7CFE5B" w14:textId="77777777" w:rsidR="00E97561" w:rsidRDefault="00E97561" w:rsidP="002B1FF0">
      <w:pPr>
        <w:rPr>
          <w:rFonts w:cs="Arial"/>
          <w:sz w:val="22"/>
          <w:szCs w:val="22"/>
        </w:rPr>
      </w:pPr>
    </w:p>
    <w:p w14:paraId="2A7E62A9" w14:textId="77777777" w:rsidR="00E97561" w:rsidRDefault="00E97561" w:rsidP="002B1FF0">
      <w:pPr>
        <w:rPr>
          <w:rFonts w:cs="Arial"/>
          <w:sz w:val="22"/>
          <w:szCs w:val="22"/>
        </w:rPr>
      </w:pPr>
      <w:r>
        <w:rPr>
          <w:rFonts w:cs="Arial"/>
          <w:sz w:val="22"/>
          <w:szCs w:val="22"/>
        </w:rPr>
        <w:t>En el documento soporte CREG 902 009 de 2023, que acompaña al Proyecto de Resolución CREG 702 005 de 2023, se mencionan las circunstancias extraordinarias que se presentan actualmente y que se podrían continuar presentando en el corto plazo, que es la motivación principal de las propuestas publicadas. Se trata de un período de tiempo en el que la propuesta busca que se ponga en venta la mayor cantidad de gas natural en el Mercado Mayorista de tipo firme, sea en el Mercado Primario o sea en el Mercado Secundario. Esto implica que las cantidades en venta deberían ser complementarias para abastecer la demanda total final de gas natural.</w:t>
      </w:r>
    </w:p>
    <w:p w14:paraId="67E18C63" w14:textId="77777777" w:rsidR="00E97561" w:rsidRDefault="00E97561" w:rsidP="002B1FF0">
      <w:pPr>
        <w:rPr>
          <w:rFonts w:cs="Arial"/>
          <w:sz w:val="22"/>
          <w:szCs w:val="22"/>
        </w:rPr>
      </w:pPr>
    </w:p>
    <w:p w14:paraId="07BE26BE" w14:textId="3673B52B" w:rsidR="001A614B" w:rsidRDefault="00E97561" w:rsidP="001A43D3">
      <w:pPr>
        <w:jc w:val="left"/>
        <w:rPr>
          <w:sz w:val="22"/>
        </w:rPr>
      </w:pPr>
      <w:r w:rsidRPr="00E97561">
        <w:rPr>
          <w:sz w:val="22"/>
        </w:rPr>
        <w:t xml:space="preserve">Por otra parte, </w:t>
      </w:r>
      <w:r>
        <w:rPr>
          <w:sz w:val="22"/>
        </w:rPr>
        <w:t xml:space="preserve">si en algún momento la complementariedad de las cantidades en venta de tipo firme en los dos Mercados supera las cantidades requeridas para atender la totalidad de la demanda final, </w:t>
      </w:r>
      <w:r w:rsidRPr="00E97561">
        <w:rPr>
          <w:sz w:val="22"/>
        </w:rPr>
        <w:t xml:space="preserve">estas medidas también buscan que no haya abusos de precios </w:t>
      </w:r>
      <w:r>
        <w:rPr>
          <w:sz w:val="22"/>
        </w:rPr>
        <w:t xml:space="preserve">de venta del gas natural, en donde podría haber un aprovechamiento abusivo de las circunstancias excepcionales mencionadas, </w:t>
      </w:r>
      <w:r w:rsidRPr="00E97561">
        <w:rPr>
          <w:sz w:val="22"/>
        </w:rPr>
        <w:t>ni en el Mercado Primario ni en el Mercado Secundario</w:t>
      </w:r>
      <w:r>
        <w:rPr>
          <w:sz w:val="22"/>
        </w:rPr>
        <w:t>. E</w:t>
      </w:r>
      <w:r w:rsidRPr="00E97561">
        <w:rPr>
          <w:sz w:val="22"/>
        </w:rPr>
        <w:t xml:space="preserve">n cierta forma </w:t>
      </w:r>
      <w:r w:rsidR="00291116">
        <w:rPr>
          <w:sz w:val="22"/>
        </w:rPr>
        <w:t xml:space="preserve">se </w:t>
      </w:r>
      <w:r w:rsidRPr="00E97561">
        <w:rPr>
          <w:sz w:val="22"/>
        </w:rPr>
        <w:t xml:space="preserve">compiten ambos </w:t>
      </w:r>
      <w:r>
        <w:rPr>
          <w:sz w:val="22"/>
        </w:rPr>
        <w:t>M</w:t>
      </w:r>
      <w:r w:rsidRPr="00E97561">
        <w:rPr>
          <w:sz w:val="22"/>
        </w:rPr>
        <w:t>ercados, aunque obviamente la posibilidad de no cumplimiento de</w:t>
      </w:r>
      <w:r w:rsidR="00291116">
        <w:rPr>
          <w:sz w:val="22"/>
        </w:rPr>
        <w:t xml:space="preserve"> </w:t>
      </w:r>
      <w:r w:rsidRPr="00E97561">
        <w:rPr>
          <w:sz w:val="22"/>
        </w:rPr>
        <w:t>l</w:t>
      </w:r>
      <w:r w:rsidR="00291116">
        <w:rPr>
          <w:sz w:val="22"/>
        </w:rPr>
        <w:t>os contratos de</w:t>
      </w:r>
      <w:r w:rsidRPr="00E97561">
        <w:rPr>
          <w:sz w:val="22"/>
        </w:rPr>
        <w:t xml:space="preserve"> suministro en</w:t>
      </w:r>
      <w:r w:rsidR="00291116">
        <w:rPr>
          <w:sz w:val="22"/>
        </w:rPr>
        <w:t>tre</w:t>
      </w:r>
      <w:r w:rsidRPr="00E97561">
        <w:rPr>
          <w:sz w:val="22"/>
        </w:rPr>
        <w:t xml:space="preserve"> ambos</w:t>
      </w:r>
      <w:r w:rsidR="00291116">
        <w:rPr>
          <w:sz w:val="22"/>
        </w:rPr>
        <w:t xml:space="preserve"> Mercados</w:t>
      </w:r>
      <w:r w:rsidRPr="00E97561">
        <w:rPr>
          <w:sz w:val="22"/>
        </w:rPr>
        <w:t xml:space="preserve"> es diferente, p</w:t>
      </w:r>
      <w:r>
        <w:rPr>
          <w:sz w:val="22"/>
        </w:rPr>
        <w:t xml:space="preserve">uesto que la </w:t>
      </w:r>
      <w:r w:rsidRPr="00E97561">
        <w:rPr>
          <w:sz w:val="22"/>
        </w:rPr>
        <w:t xml:space="preserve">naturaleza las cantidades que se negocian </w:t>
      </w:r>
      <w:r>
        <w:rPr>
          <w:sz w:val="22"/>
        </w:rPr>
        <w:t xml:space="preserve">es diferente. En el caso de venta del Mercado Primario, el incumplimiento al comprador puede ser solo de parte del vendedor, pero en el caso del Mercado Secundario, el incumplimiento al comprador puede surgir por incumplimiento del vendedor del Mercado Primario al vendedor del Mercado Secundario o por incumplimiento del vendedor del Mercado Secundario. </w:t>
      </w:r>
    </w:p>
    <w:p w14:paraId="09C76A9E" w14:textId="77777777" w:rsidR="009677BC" w:rsidRDefault="009677BC" w:rsidP="001A43D3">
      <w:pPr>
        <w:jc w:val="left"/>
        <w:rPr>
          <w:sz w:val="22"/>
        </w:rPr>
      </w:pPr>
    </w:p>
    <w:p w14:paraId="59122D36" w14:textId="35265078" w:rsidR="009677BC" w:rsidRPr="00E97561" w:rsidRDefault="009677BC" w:rsidP="001A43D3">
      <w:pPr>
        <w:jc w:val="left"/>
        <w:rPr>
          <w:sz w:val="22"/>
        </w:rPr>
      </w:pPr>
      <w:r>
        <w:rPr>
          <w:sz w:val="22"/>
        </w:rPr>
        <w:t>Por último, en tod</w:t>
      </w:r>
      <w:r w:rsidR="00291116">
        <w:rPr>
          <w:sz w:val="22"/>
        </w:rPr>
        <w:t>a</w:t>
      </w:r>
      <w:r>
        <w:rPr>
          <w:sz w:val="22"/>
        </w:rPr>
        <w:t>s estas negociaciones debe darse cumplimiento a las reglas de comportamiento establecidas en la Resolución CREG 080 de 2019 y aquellas que la modifiquen o sustituyan.</w:t>
      </w:r>
    </w:p>
    <w:p w14:paraId="0ECC817D" w14:textId="77777777" w:rsidR="00E97561" w:rsidRDefault="00E97561" w:rsidP="001A43D3">
      <w:pPr>
        <w:jc w:val="left"/>
        <w:rPr>
          <w:i/>
          <w:iCs/>
          <w:sz w:val="22"/>
        </w:rPr>
      </w:pPr>
    </w:p>
    <w:p w14:paraId="78E73332" w14:textId="77777777" w:rsidR="00E97561" w:rsidRDefault="00E97561" w:rsidP="001A43D3">
      <w:pPr>
        <w:jc w:val="left"/>
        <w:rPr>
          <w:i/>
          <w:iCs/>
          <w:sz w:val="22"/>
        </w:rPr>
      </w:pPr>
    </w:p>
    <w:p w14:paraId="2764274D" w14:textId="61760582" w:rsidR="001A43D3" w:rsidRPr="00A25B16" w:rsidRDefault="001A614B" w:rsidP="001A614B">
      <w:pPr>
        <w:pStyle w:val="Ttulo1"/>
      </w:pPr>
      <w:bookmarkStart w:id="264" w:name="_Toc158211571"/>
      <w:r>
        <w:t>ARTÍCULO 13</w:t>
      </w:r>
      <w:bookmarkEnd w:id="264"/>
    </w:p>
    <w:p w14:paraId="1C8CE67E" w14:textId="35DD731A" w:rsidR="00D751B8" w:rsidRDefault="00D751B8" w:rsidP="001A614B">
      <w:pPr>
        <w:pStyle w:val="Ttulo2"/>
      </w:pPr>
      <w:bookmarkStart w:id="265" w:name="_Toc158211572"/>
      <w:r>
        <w:t>EPM</w:t>
      </w:r>
      <w:bookmarkEnd w:id="265"/>
    </w:p>
    <w:p w14:paraId="7E0238F7" w14:textId="10D369E6" w:rsidR="00D751B8" w:rsidRPr="00D751B8" w:rsidRDefault="00D751B8" w:rsidP="00D751B8">
      <w:pPr>
        <w:rPr>
          <w:i/>
          <w:iCs/>
          <w:sz w:val="22"/>
          <w:szCs w:val="22"/>
        </w:rPr>
      </w:pPr>
      <w:r>
        <w:t>“</w:t>
      </w:r>
      <w:r w:rsidRPr="00D751B8">
        <w:rPr>
          <w:i/>
          <w:iCs/>
          <w:sz w:val="22"/>
          <w:szCs w:val="22"/>
        </w:rPr>
        <w:t>Nos preocupa que se abran puertas para que los productores vendan bilateralmente, alterando la dinámica actual del mercado secundario. No es entendible la razón económica de darle mayor participación a un productor que debe concentrarse en la venta en el mercado primario, a que participe en un mercado secundario de gas interrumpible en el cual no debería participar, a menos que sea estrictamente necesario para vender excedentes, ante situaciones excepcionales como las de El Niño. Adicionalmente, entendemos que la propuesta se enfoca en la venta semanal de gas firme hasta por tres meses, y que con ello no habría excedentes para venta interrumpible de parte del productor.</w:t>
      </w:r>
    </w:p>
    <w:p w14:paraId="3650448E" w14:textId="77777777" w:rsidR="00D751B8" w:rsidRPr="00D751B8" w:rsidRDefault="00D751B8" w:rsidP="00D751B8">
      <w:pPr>
        <w:rPr>
          <w:i/>
          <w:iCs/>
          <w:sz w:val="22"/>
          <w:szCs w:val="22"/>
        </w:rPr>
      </w:pPr>
    </w:p>
    <w:p w14:paraId="7ED53826" w14:textId="2B4F0083" w:rsidR="00D751B8" w:rsidRDefault="00D751B8" w:rsidP="00D751B8">
      <w:r w:rsidRPr="00D751B8">
        <w:rPr>
          <w:i/>
          <w:iCs/>
          <w:sz w:val="22"/>
          <w:szCs w:val="22"/>
        </w:rPr>
        <w:t>Con la propuesta de venta directa de gas interrumpible, adicional a incrementar y extender el poder de mercado del productor al secundario, se afecta la dinámica de este mercado, que busca realizar ajustes frente las cantidades contratadas en firme por la demanda. La venta entre los excedentes de un productor y los de un comercializador requieren un precio de referencia, que evite que el productor venda por debajo de los costos del contrato primario ofrecido al comercializador. Por lo tanto, recomendamos la continuidad de la subasta mensual interrumpible, con un precio de referencia que asegure la competitividad</w:t>
      </w:r>
      <w:r>
        <w:t>. "</w:t>
      </w:r>
    </w:p>
    <w:p w14:paraId="00101460" w14:textId="77777777" w:rsidR="00D751B8" w:rsidRDefault="00D751B8" w:rsidP="00D751B8"/>
    <w:p w14:paraId="5A49786F" w14:textId="77777777" w:rsidR="002B1FF0" w:rsidRPr="002B1FF0" w:rsidRDefault="002B1FF0" w:rsidP="002B1FF0">
      <w:pPr>
        <w:rPr>
          <w:rFonts w:cs="Arial"/>
          <w:b/>
          <w:bCs/>
          <w:sz w:val="22"/>
          <w:szCs w:val="22"/>
        </w:rPr>
      </w:pPr>
      <w:r w:rsidRPr="002B1FF0">
        <w:rPr>
          <w:rFonts w:cs="Arial"/>
          <w:b/>
          <w:bCs/>
          <w:sz w:val="22"/>
          <w:szCs w:val="22"/>
        </w:rPr>
        <w:t>RESPUESTA:</w:t>
      </w:r>
    </w:p>
    <w:p w14:paraId="4F9E1F67" w14:textId="77777777" w:rsidR="002B1FF0" w:rsidRPr="002B1FF0" w:rsidRDefault="002B1FF0" w:rsidP="002B1FF0">
      <w:pPr>
        <w:rPr>
          <w:rFonts w:cs="Arial"/>
          <w:sz w:val="22"/>
          <w:szCs w:val="22"/>
        </w:rPr>
      </w:pPr>
    </w:p>
    <w:p w14:paraId="69FCC955" w14:textId="0E34B296" w:rsidR="00603AA4" w:rsidRDefault="00603AA4"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_Ref149286165 \w \h </w:instrText>
      </w:r>
      <w:r>
        <w:rPr>
          <w:rFonts w:cs="Arial"/>
          <w:sz w:val="22"/>
          <w:szCs w:val="22"/>
        </w:rPr>
      </w:r>
      <w:r>
        <w:rPr>
          <w:rFonts w:cs="Arial"/>
          <w:sz w:val="22"/>
          <w:szCs w:val="22"/>
        </w:rPr>
        <w:fldChar w:fldCharType="separate"/>
      </w:r>
      <w:r w:rsidR="0027336D">
        <w:rPr>
          <w:rFonts w:cs="Arial"/>
          <w:sz w:val="22"/>
          <w:szCs w:val="22"/>
        </w:rPr>
        <w:t>12.6</w:t>
      </w:r>
      <w:r>
        <w:rPr>
          <w:rFonts w:cs="Arial"/>
          <w:sz w:val="22"/>
          <w:szCs w:val="22"/>
        </w:rPr>
        <w:fldChar w:fldCharType="end"/>
      </w:r>
      <w:r>
        <w:rPr>
          <w:rFonts w:cs="Arial"/>
          <w:sz w:val="22"/>
          <w:szCs w:val="22"/>
        </w:rPr>
        <w:t>.</w:t>
      </w:r>
    </w:p>
    <w:p w14:paraId="576020A1" w14:textId="77777777" w:rsidR="00291116" w:rsidRDefault="00291116" w:rsidP="002B1FF0">
      <w:pPr>
        <w:rPr>
          <w:rFonts w:cs="Arial"/>
          <w:sz w:val="22"/>
          <w:szCs w:val="22"/>
        </w:rPr>
      </w:pPr>
    </w:p>
    <w:p w14:paraId="68BA234B" w14:textId="3479E885" w:rsidR="00291116" w:rsidRPr="002B1FF0" w:rsidRDefault="00603AA4" w:rsidP="002B1FF0">
      <w:pPr>
        <w:rPr>
          <w:rFonts w:cs="Arial"/>
          <w:sz w:val="22"/>
          <w:szCs w:val="22"/>
        </w:rPr>
      </w:pPr>
      <w:r>
        <w:rPr>
          <w:rFonts w:cs="Arial"/>
          <w:sz w:val="22"/>
          <w:szCs w:val="22"/>
        </w:rPr>
        <w:t>Adicionalmente, e</w:t>
      </w:r>
      <w:r w:rsidR="00291116">
        <w:rPr>
          <w:rFonts w:cs="Arial"/>
          <w:sz w:val="22"/>
          <w:szCs w:val="22"/>
        </w:rPr>
        <w:t>n el Mercado Primario n</w:t>
      </w:r>
      <w:r w:rsidR="00480B8C">
        <w:rPr>
          <w:rFonts w:cs="Arial"/>
          <w:sz w:val="22"/>
          <w:szCs w:val="22"/>
        </w:rPr>
        <w:t>o</w:t>
      </w:r>
      <w:r w:rsidR="00291116">
        <w:rPr>
          <w:rFonts w:cs="Arial"/>
          <w:sz w:val="22"/>
          <w:szCs w:val="22"/>
        </w:rPr>
        <w:t xml:space="preserve"> solamente se negocian las modalidades de contratos de tipo firme sino también la modalidad de contratos de tipo interrumpible (contrato con interrupciones). </w:t>
      </w:r>
    </w:p>
    <w:p w14:paraId="29F97D6C" w14:textId="77777777" w:rsidR="00D751B8" w:rsidRDefault="00D751B8" w:rsidP="00D751B8"/>
    <w:p w14:paraId="2B356A90" w14:textId="77777777" w:rsidR="00D751B8" w:rsidRPr="00D751B8" w:rsidRDefault="00D751B8" w:rsidP="00D751B8"/>
    <w:p w14:paraId="58832496" w14:textId="49BAC10D" w:rsidR="0035175D" w:rsidRDefault="001A43D3" w:rsidP="001A614B">
      <w:pPr>
        <w:pStyle w:val="Ttulo2"/>
      </w:pPr>
      <w:bookmarkStart w:id="266" w:name="_Ref149287027"/>
      <w:bookmarkStart w:id="267" w:name="_Toc158211573"/>
      <w:r w:rsidRPr="00A25B16">
        <w:t>Gestor del Mercado de Gas Natural en Colombia</w:t>
      </w:r>
      <w:bookmarkEnd w:id="266"/>
      <w:bookmarkEnd w:id="267"/>
      <w:r w:rsidRPr="00A25B16">
        <w:tab/>
      </w:r>
    </w:p>
    <w:p w14:paraId="5204DFA7" w14:textId="7326E4BF" w:rsidR="001A43D3" w:rsidRPr="00A25B16" w:rsidRDefault="001A43D3" w:rsidP="001A43D3">
      <w:pPr>
        <w:jc w:val="left"/>
        <w:rPr>
          <w:i/>
          <w:iCs/>
          <w:sz w:val="22"/>
        </w:rPr>
      </w:pPr>
      <w:r w:rsidRPr="00A25B16">
        <w:rPr>
          <w:i/>
          <w:iCs/>
          <w:sz w:val="22"/>
        </w:rPr>
        <w:t>"El Artículo 13 del proyecto de Resolución establece que:</w:t>
      </w:r>
    </w:p>
    <w:p w14:paraId="2004F14C" w14:textId="77777777" w:rsidR="001A43D3" w:rsidRPr="00A25B16" w:rsidRDefault="001A43D3" w:rsidP="001A43D3">
      <w:pPr>
        <w:jc w:val="left"/>
        <w:rPr>
          <w:i/>
          <w:iCs/>
          <w:sz w:val="22"/>
        </w:rPr>
      </w:pPr>
    </w:p>
    <w:p w14:paraId="78A9C31A" w14:textId="77777777" w:rsidR="001A43D3" w:rsidRPr="00A25B16" w:rsidRDefault="001A43D3" w:rsidP="001A43D3">
      <w:pPr>
        <w:jc w:val="left"/>
        <w:rPr>
          <w:i/>
          <w:iCs/>
          <w:sz w:val="22"/>
        </w:rPr>
      </w:pPr>
      <w:r w:rsidRPr="00A25B16">
        <w:rPr>
          <w:i/>
          <w:iCs/>
          <w:sz w:val="22"/>
        </w:rPr>
        <w:t>""Durante la vigencia de la presente Resolución no se negociará la compraventa de gas natural de contratos con interrupciones mediante la subasta mensual establecida en el Anexo 6 de la Resolución CREG 186 de 2020."" (Subrayado fuera de texto).</w:t>
      </w:r>
    </w:p>
    <w:p w14:paraId="23AEBC20" w14:textId="77777777" w:rsidR="001A43D3" w:rsidRPr="00A25B16" w:rsidRDefault="001A43D3" w:rsidP="001A43D3">
      <w:pPr>
        <w:jc w:val="left"/>
        <w:rPr>
          <w:i/>
          <w:iCs/>
          <w:sz w:val="22"/>
        </w:rPr>
      </w:pPr>
    </w:p>
    <w:p w14:paraId="0173DEE3" w14:textId="77777777" w:rsidR="001A43D3" w:rsidRPr="00A25B16" w:rsidRDefault="001A43D3" w:rsidP="001A43D3">
      <w:pPr>
        <w:jc w:val="left"/>
        <w:rPr>
          <w:i/>
          <w:iCs/>
          <w:sz w:val="22"/>
        </w:rPr>
      </w:pPr>
      <w:r w:rsidRPr="00A25B16">
        <w:rPr>
          <w:i/>
          <w:iCs/>
          <w:sz w:val="22"/>
        </w:rPr>
        <w:t>Se sugiere dejar explícito que las obligaciones del Gestor del Mercado de Gas Natural, en lo relacionado con la auditoría de este mecanismo de comercialización, no proceden durante la vigencia de la Resolución."</w:t>
      </w:r>
    </w:p>
    <w:p w14:paraId="7ED9B101" w14:textId="77777777" w:rsidR="0035175D" w:rsidRDefault="0035175D" w:rsidP="001A43D3">
      <w:pPr>
        <w:jc w:val="left"/>
        <w:rPr>
          <w:i/>
          <w:iCs/>
          <w:sz w:val="22"/>
        </w:rPr>
      </w:pPr>
    </w:p>
    <w:p w14:paraId="50001F72" w14:textId="77777777" w:rsidR="002B1FF0" w:rsidRDefault="002B1FF0" w:rsidP="002B1FF0">
      <w:pPr>
        <w:rPr>
          <w:rFonts w:cs="Arial"/>
          <w:b/>
          <w:bCs/>
          <w:sz w:val="22"/>
          <w:szCs w:val="22"/>
        </w:rPr>
      </w:pPr>
      <w:r w:rsidRPr="002B1FF0">
        <w:rPr>
          <w:rFonts w:cs="Arial"/>
          <w:b/>
          <w:bCs/>
          <w:sz w:val="22"/>
          <w:szCs w:val="22"/>
        </w:rPr>
        <w:t>RESPUESTA:</w:t>
      </w:r>
    </w:p>
    <w:p w14:paraId="5BB06B0D" w14:textId="77777777" w:rsidR="000857EA" w:rsidRDefault="000857EA" w:rsidP="002B1FF0">
      <w:pPr>
        <w:rPr>
          <w:rFonts w:cs="Arial"/>
          <w:b/>
          <w:bCs/>
          <w:sz w:val="22"/>
          <w:szCs w:val="22"/>
        </w:rPr>
      </w:pPr>
    </w:p>
    <w:p w14:paraId="336483F3" w14:textId="27531CE7" w:rsidR="000857EA" w:rsidRPr="000857EA" w:rsidRDefault="000857EA" w:rsidP="002B1FF0">
      <w:pPr>
        <w:rPr>
          <w:rFonts w:cs="Arial"/>
          <w:sz w:val="22"/>
          <w:szCs w:val="22"/>
        </w:rPr>
      </w:pPr>
      <w:r w:rsidRPr="000857EA">
        <w:rPr>
          <w:rFonts w:cs="Arial"/>
          <w:sz w:val="22"/>
          <w:szCs w:val="22"/>
        </w:rPr>
        <w:t>No se acoge el comentario.</w:t>
      </w:r>
    </w:p>
    <w:p w14:paraId="23BD80A8" w14:textId="77777777" w:rsidR="000857EA" w:rsidRPr="000857EA" w:rsidRDefault="000857EA" w:rsidP="002B1FF0">
      <w:pPr>
        <w:rPr>
          <w:rFonts w:cs="Arial"/>
          <w:sz w:val="22"/>
          <w:szCs w:val="22"/>
        </w:rPr>
      </w:pPr>
    </w:p>
    <w:p w14:paraId="2FC332C7" w14:textId="4C9A4ADF" w:rsidR="002B1FF0" w:rsidRPr="000857EA" w:rsidRDefault="000857EA" w:rsidP="002B1FF0">
      <w:pPr>
        <w:rPr>
          <w:rFonts w:cs="Arial"/>
          <w:sz w:val="22"/>
          <w:szCs w:val="22"/>
        </w:rPr>
      </w:pPr>
      <w:r>
        <w:rPr>
          <w:rFonts w:cs="Arial"/>
          <w:sz w:val="22"/>
          <w:szCs w:val="22"/>
        </w:rPr>
        <w:t xml:space="preserve">En el texto propuesto del Proyecto de Resolución se es claro y contundente, buscando precisamente que los agentes conozcan las consecuencias y no se generen dudas al respecto. Todo aquello que implique el que no se desarrollen subastas mensuales de contratos con interrupciones, debe ser considerado y previsto, entre ello todo lo que deja de ser necesario realizar por parte del Gestor del Mercado. </w:t>
      </w:r>
      <w:r w:rsidR="00BA3256">
        <w:rPr>
          <w:rFonts w:cs="Arial"/>
          <w:sz w:val="22"/>
          <w:szCs w:val="22"/>
        </w:rPr>
        <w:t>Por ejemplo, n</w:t>
      </w:r>
      <w:r>
        <w:rPr>
          <w:rFonts w:cs="Arial"/>
          <w:sz w:val="22"/>
          <w:szCs w:val="22"/>
        </w:rPr>
        <w:t xml:space="preserve">o se entendería que se desarrollen auditorías de unas subastas sobre las que el regulador previamente ha establecido que  no se van a realizar.   </w:t>
      </w:r>
    </w:p>
    <w:p w14:paraId="6E7FD861" w14:textId="77777777" w:rsidR="002B1FF0" w:rsidRPr="002B1FF0" w:rsidRDefault="002B1FF0" w:rsidP="002B1FF0">
      <w:pPr>
        <w:rPr>
          <w:rFonts w:cs="Arial"/>
          <w:sz w:val="22"/>
          <w:szCs w:val="22"/>
        </w:rPr>
      </w:pPr>
    </w:p>
    <w:p w14:paraId="434B863B" w14:textId="77777777" w:rsidR="0035175D" w:rsidRDefault="0035175D" w:rsidP="001A43D3">
      <w:pPr>
        <w:jc w:val="left"/>
        <w:rPr>
          <w:i/>
          <w:iCs/>
          <w:sz w:val="22"/>
        </w:rPr>
      </w:pPr>
    </w:p>
    <w:p w14:paraId="3DB23264" w14:textId="77777777" w:rsidR="0035175D" w:rsidRDefault="0035175D" w:rsidP="001A43D3">
      <w:pPr>
        <w:jc w:val="left"/>
        <w:rPr>
          <w:i/>
          <w:iCs/>
          <w:sz w:val="22"/>
        </w:rPr>
      </w:pPr>
    </w:p>
    <w:p w14:paraId="64AA5913" w14:textId="682674B2" w:rsidR="0035175D" w:rsidRDefault="00F32AE9" w:rsidP="001A614B">
      <w:pPr>
        <w:pStyle w:val="Ttulo2"/>
      </w:pPr>
      <w:bookmarkStart w:id="268" w:name="_Toc158211574"/>
      <w:r>
        <w:t>SA</w:t>
      </w:r>
      <w:r w:rsidR="001A43D3" w:rsidRPr="00A25B16">
        <w:t>NTAFÉ ENERGY</w:t>
      </w:r>
      <w:bookmarkEnd w:id="268"/>
      <w:r w:rsidR="001A43D3" w:rsidRPr="00A25B16">
        <w:tab/>
      </w:r>
    </w:p>
    <w:p w14:paraId="7FB6F6B4" w14:textId="75D55C0D" w:rsidR="001A43D3" w:rsidRPr="00A25B16" w:rsidRDefault="0035175D" w:rsidP="001A43D3">
      <w:pPr>
        <w:jc w:val="left"/>
        <w:rPr>
          <w:i/>
          <w:iCs/>
          <w:sz w:val="22"/>
        </w:rPr>
      </w:pPr>
      <w:r>
        <w:rPr>
          <w:i/>
          <w:iCs/>
          <w:sz w:val="22"/>
        </w:rPr>
        <w:t>“</w:t>
      </w:r>
      <w:r w:rsidR="001A43D3" w:rsidRPr="00A25B16">
        <w:rPr>
          <w:i/>
          <w:iCs/>
          <w:sz w:val="22"/>
        </w:rPr>
        <w:t>Oportuna la medida de limitar la negociación de interrumpibles, a agentes del mercado primario al mes previo del inicio de ejecuci</w:t>
      </w:r>
      <w:r w:rsidR="005074E2">
        <w:rPr>
          <w:i/>
          <w:iCs/>
          <w:sz w:val="22"/>
        </w:rPr>
        <w:t>ó</w:t>
      </w:r>
      <w:r w:rsidR="001A43D3" w:rsidRPr="00A25B16">
        <w:rPr>
          <w:i/>
          <w:iCs/>
          <w:sz w:val="22"/>
        </w:rPr>
        <w:t>n. Al igual que los firmes bimensuales (Resolución CREG 136 de 2017)</w:t>
      </w:r>
      <w:r>
        <w:rPr>
          <w:i/>
          <w:iCs/>
          <w:sz w:val="22"/>
        </w:rPr>
        <w:t>”</w:t>
      </w:r>
    </w:p>
    <w:p w14:paraId="593D441A" w14:textId="77777777" w:rsidR="001A43D3" w:rsidRPr="00A25B16" w:rsidRDefault="001A43D3" w:rsidP="001A43D3">
      <w:pPr>
        <w:jc w:val="left"/>
        <w:rPr>
          <w:i/>
          <w:iCs/>
          <w:sz w:val="22"/>
        </w:rPr>
      </w:pPr>
    </w:p>
    <w:p w14:paraId="15DD8F8B" w14:textId="77777777" w:rsidR="002B1FF0" w:rsidRPr="002B1FF0" w:rsidRDefault="002B1FF0" w:rsidP="002B1FF0">
      <w:pPr>
        <w:rPr>
          <w:rFonts w:cs="Arial"/>
          <w:b/>
          <w:bCs/>
          <w:sz w:val="22"/>
          <w:szCs w:val="22"/>
        </w:rPr>
      </w:pPr>
      <w:r w:rsidRPr="002B1FF0">
        <w:rPr>
          <w:rFonts w:cs="Arial"/>
          <w:b/>
          <w:bCs/>
          <w:sz w:val="22"/>
          <w:szCs w:val="22"/>
        </w:rPr>
        <w:t>RESPUESTA:</w:t>
      </w:r>
    </w:p>
    <w:p w14:paraId="6FD88AA1" w14:textId="77777777" w:rsidR="002B1FF0" w:rsidRPr="002B1FF0" w:rsidRDefault="002B1FF0" w:rsidP="002B1FF0">
      <w:pPr>
        <w:rPr>
          <w:rFonts w:cs="Arial"/>
          <w:sz w:val="22"/>
          <w:szCs w:val="22"/>
        </w:rPr>
      </w:pPr>
    </w:p>
    <w:p w14:paraId="614B3919" w14:textId="0CDB71FC" w:rsidR="002B1FF0" w:rsidRPr="002B1FF0" w:rsidRDefault="00BA3256" w:rsidP="002B1FF0">
      <w:pPr>
        <w:rPr>
          <w:rFonts w:cs="Arial"/>
          <w:sz w:val="22"/>
          <w:szCs w:val="22"/>
        </w:rPr>
      </w:pPr>
      <w:r>
        <w:rPr>
          <w:rFonts w:cs="Arial"/>
          <w:sz w:val="22"/>
          <w:szCs w:val="22"/>
        </w:rPr>
        <w:t xml:space="preserve">Ver respuesta al comentario </w:t>
      </w:r>
      <w:r w:rsidR="008F47BB">
        <w:rPr>
          <w:rFonts w:cs="Arial"/>
          <w:sz w:val="22"/>
          <w:szCs w:val="22"/>
        </w:rPr>
        <w:fldChar w:fldCharType="begin"/>
      </w:r>
      <w:r w:rsidR="008F47BB">
        <w:rPr>
          <w:rFonts w:cs="Arial"/>
          <w:sz w:val="22"/>
          <w:szCs w:val="22"/>
        </w:rPr>
        <w:instrText xml:space="preserve"> REF _Ref149286992 \w \h </w:instrText>
      </w:r>
      <w:r w:rsidR="008F47BB">
        <w:rPr>
          <w:rFonts w:cs="Arial"/>
          <w:sz w:val="22"/>
          <w:szCs w:val="22"/>
        </w:rPr>
      </w:r>
      <w:r w:rsidR="008F47BB">
        <w:rPr>
          <w:rFonts w:cs="Arial"/>
          <w:sz w:val="22"/>
          <w:szCs w:val="22"/>
        </w:rPr>
        <w:fldChar w:fldCharType="separate"/>
      </w:r>
      <w:r w:rsidR="0027336D">
        <w:rPr>
          <w:rFonts w:cs="Arial"/>
          <w:sz w:val="22"/>
          <w:szCs w:val="22"/>
        </w:rPr>
        <w:t>12.5</w:t>
      </w:r>
      <w:r w:rsidR="008F47BB">
        <w:rPr>
          <w:rFonts w:cs="Arial"/>
          <w:sz w:val="22"/>
          <w:szCs w:val="22"/>
        </w:rPr>
        <w:fldChar w:fldCharType="end"/>
      </w:r>
      <w:r w:rsidR="008F47BB">
        <w:rPr>
          <w:rFonts w:cs="Arial"/>
          <w:sz w:val="22"/>
          <w:szCs w:val="22"/>
        </w:rPr>
        <w:t>.</w:t>
      </w:r>
    </w:p>
    <w:p w14:paraId="75EC5CA5" w14:textId="77777777" w:rsidR="001A43D3" w:rsidRPr="00A25B16" w:rsidRDefault="001A43D3" w:rsidP="001A43D3">
      <w:pPr>
        <w:jc w:val="left"/>
        <w:rPr>
          <w:i/>
          <w:iCs/>
          <w:sz w:val="22"/>
        </w:rPr>
      </w:pPr>
    </w:p>
    <w:p w14:paraId="4967E7D8" w14:textId="77777777" w:rsidR="001A43D3" w:rsidRDefault="001A43D3" w:rsidP="001A43D3">
      <w:pPr>
        <w:jc w:val="left"/>
        <w:rPr>
          <w:i/>
          <w:iCs/>
          <w:sz w:val="22"/>
        </w:rPr>
      </w:pPr>
    </w:p>
    <w:p w14:paraId="4594C2B3" w14:textId="7B946F9A" w:rsidR="001A614B" w:rsidRDefault="001A614B" w:rsidP="001A614B">
      <w:pPr>
        <w:pStyle w:val="Ttulo1"/>
      </w:pPr>
      <w:bookmarkStart w:id="269" w:name="_Toc158211575"/>
      <w:r>
        <w:t>ARTÍCULO 14</w:t>
      </w:r>
      <w:bookmarkEnd w:id="269"/>
    </w:p>
    <w:p w14:paraId="3E314ABF" w14:textId="77777777" w:rsidR="001A614B" w:rsidRPr="00A25B16" w:rsidRDefault="001A614B" w:rsidP="001A43D3">
      <w:pPr>
        <w:jc w:val="left"/>
        <w:rPr>
          <w:i/>
          <w:iCs/>
          <w:sz w:val="22"/>
        </w:rPr>
      </w:pPr>
    </w:p>
    <w:p w14:paraId="51208577" w14:textId="22EF85D5" w:rsidR="0035175D" w:rsidRDefault="001A43D3" w:rsidP="001A614B">
      <w:pPr>
        <w:pStyle w:val="Ttulo2"/>
      </w:pPr>
      <w:bookmarkStart w:id="270" w:name="_Toc158211576"/>
      <w:r w:rsidRPr="00A25B16">
        <w:t>Gestor del Mercado de Gas Natural en Colombia</w:t>
      </w:r>
      <w:bookmarkEnd w:id="270"/>
      <w:r w:rsidRPr="00A25B16">
        <w:tab/>
      </w:r>
    </w:p>
    <w:p w14:paraId="46F0B7B9" w14:textId="515E354D" w:rsidR="001A43D3" w:rsidRPr="00A25B16" w:rsidRDefault="001A43D3" w:rsidP="001A43D3">
      <w:pPr>
        <w:jc w:val="left"/>
        <w:rPr>
          <w:i/>
          <w:iCs/>
          <w:sz w:val="22"/>
        </w:rPr>
      </w:pPr>
      <w:r w:rsidRPr="00A25B16">
        <w:rPr>
          <w:i/>
          <w:iCs/>
          <w:sz w:val="22"/>
        </w:rPr>
        <w:t>"El Artículo 14 del proyecto de Resolución establece que:</w:t>
      </w:r>
    </w:p>
    <w:p w14:paraId="1BC4FDCA" w14:textId="77777777" w:rsidR="001A43D3" w:rsidRPr="00A25B16" w:rsidRDefault="001A43D3" w:rsidP="001A43D3">
      <w:pPr>
        <w:jc w:val="left"/>
        <w:rPr>
          <w:i/>
          <w:iCs/>
          <w:sz w:val="22"/>
        </w:rPr>
      </w:pPr>
    </w:p>
    <w:p w14:paraId="6F48F018" w14:textId="77777777" w:rsidR="001A43D3" w:rsidRPr="00A25B16" w:rsidRDefault="001A43D3" w:rsidP="001A43D3">
      <w:pPr>
        <w:jc w:val="left"/>
        <w:rPr>
          <w:i/>
          <w:iCs/>
          <w:sz w:val="22"/>
        </w:rPr>
      </w:pPr>
      <w:r w:rsidRPr="00A25B16">
        <w:rPr>
          <w:i/>
          <w:iCs/>
          <w:sz w:val="22"/>
        </w:rPr>
        <w:t>""Durante la vigencia de la presente Resolución, no se realizará la compraventa de gas natural de contratos firmes bimestrales mediante las subastas establecidas en la resolución CREG 136 de 2014, modificada por la resolución CREG 005 de 2017."" (Subrayado fuera de texto).</w:t>
      </w:r>
    </w:p>
    <w:p w14:paraId="5C2FAE05" w14:textId="77777777" w:rsidR="001A43D3" w:rsidRPr="00A25B16" w:rsidRDefault="001A43D3" w:rsidP="001A43D3">
      <w:pPr>
        <w:jc w:val="left"/>
        <w:rPr>
          <w:i/>
          <w:iCs/>
          <w:sz w:val="22"/>
        </w:rPr>
      </w:pPr>
    </w:p>
    <w:p w14:paraId="2C33E5D6" w14:textId="77777777" w:rsidR="001A43D3" w:rsidRPr="00A25B16" w:rsidRDefault="001A43D3" w:rsidP="001A43D3">
      <w:pPr>
        <w:jc w:val="left"/>
        <w:rPr>
          <w:i/>
          <w:iCs/>
          <w:sz w:val="22"/>
        </w:rPr>
      </w:pPr>
      <w:r w:rsidRPr="00A25B16">
        <w:rPr>
          <w:i/>
          <w:iCs/>
          <w:sz w:val="22"/>
        </w:rPr>
        <w:t>Se sugiere dejar explícito que las obligaciones del Gestor del Mercado de Gas Natural, en lo relacionado con la auditoría de este mecanismo de comercialización, no proceden durante la vigencia de la Resolución."</w:t>
      </w:r>
    </w:p>
    <w:p w14:paraId="126AC0A3" w14:textId="77777777" w:rsidR="0035175D" w:rsidRDefault="0035175D" w:rsidP="001A43D3">
      <w:pPr>
        <w:jc w:val="left"/>
        <w:rPr>
          <w:i/>
          <w:iCs/>
          <w:sz w:val="22"/>
        </w:rPr>
      </w:pPr>
    </w:p>
    <w:p w14:paraId="44693F4F" w14:textId="77777777" w:rsidR="002B1FF0" w:rsidRPr="002B1FF0" w:rsidRDefault="002B1FF0" w:rsidP="002B1FF0">
      <w:pPr>
        <w:rPr>
          <w:rFonts w:cs="Arial"/>
          <w:b/>
          <w:bCs/>
          <w:sz w:val="22"/>
          <w:szCs w:val="22"/>
        </w:rPr>
      </w:pPr>
      <w:r w:rsidRPr="002B1FF0">
        <w:rPr>
          <w:rFonts w:cs="Arial"/>
          <w:b/>
          <w:bCs/>
          <w:sz w:val="22"/>
          <w:szCs w:val="22"/>
        </w:rPr>
        <w:t>RESPUESTA:</w:t>
      </w:r>
    </w:p>
    <w:p w14:paraId="09A0D853" w14:textId="63D9CAF2" w:rsidR="002B1FF0" w:rsidRPr="002B1FF0" w:rsidRDefault="005D0B2A"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_Ref149287027 \w \h </w:instrText>
      </w:r>
      <w:r>
        <w:rPr>
          <w:rFonts w:cs="Arial"/>
          <w:sz w:val="22"/>
          <w:szCs w:val="22"/>
        </w:rPr>
      </w:r>
      <w:r>
        <w:rPr>
          <w:rFonts w:cs="Arial"/>
          <w:sz w:val="22"/>
          <w:szCs w:val="22"/>
        </w:rPr>
        <w:fldChar w:fldCharType="separate"/>
      </w:r>
      <w:r w:rsidR="0027336D">
        <w:rPr>
          <w:rFonts w:cs="Arial"/>
          <w:sz w:val="22"/>
          <w:szCs w:val="22"/>
        </w:rPr>
        <w:t>13.2</w:t>
      </w:r>
      <w:r>
        <w:rPr>
          <w:rFonts w:cs="Arial"/>
          <w:sz w:val="22"/>
          <w:szCs w:val="22"/>
        </w:rPr>
        <w:fldChar w:fldCharType="end"/>
      </w:r>
      <w:r>
        <w:rPr>
          <w:rFonts w:cs="Arial"/>
          <w:sz w:val="22"/>
          <w:szCs w:val="22"/>
        </w:rPr>
        <w:t>.</w:t>
      </w:r>
    </w:p>
    <w:p w14:paraId="00DD8D80" w14:textId="77777777" w:rsidR="0035175D" w:rsidRDefault="0035175D" w:rsidP="001A43D3">
      <w:pPr>
        <w:jc w:val="left"/>
        <w:rPr>
          <w:i/>
          <w:iCs/>
          <w:sz w:val="22"/>
        </w:rPr>
      </w:pPr>
    </w:p>
    <w:p w14:paraId="24E0477C" w14:textId="77777777" w:rsidR="0035175D" w:rsidRDefault="0035175D" w:rsidP="001A43D3">
      <w:pPr>
        <w:jc w:val="left"/>
        <w:rPr>
          <w:i/>
          <w:iCs/>
          <w:sz w:val="22"/>
        </w:rPr>
      </w:pPr>
    </w:p>
    <w:p w14:paraId="6E9A4CD8" w14:textId="76E96D05" w:rsidR="001A614B" w:rsidRDefault="001A43D3" w:rsidP="001A614B">
      <w:pPr>
        <w:pStyle w:val="Ttulo2"/>
      </w:pPr>
      <w:bookmarkStart w:id="271" w:name="_Toc158211577"/>
      <w:r w:rsidRPr="00A25B16">
        <w:t>SANTAFÉ ENERGY</w:t>
      </w:r>
      <w:bookmarkEnd w:id="271"/>
      <w:r w:rsidRPr="00A25B16">
        <w:tab/>
      </w:r>
    </w:p>
    <w:p w14:paraId="627C794A" w14:textId="7A37A4CC" w:rsidR="001A43D3" w:rsidRPr="00A25B16" w:rsidRDefault="001A614B" w:rsidP="001A43D3">
      <w:pPr>
        <w:jc w:val="left"/>
        <w:rPr>
          <w:i/>
          <w:iCs/>
          <w:sz w:val="22"/>
        </w:rPr>
      </w:pPr>
      <w:r>
        <w:rPr>
          <w:i/>
          <w:iCs/>
          <w:sz w:val="22"/>
        </w:rPr>
        <w:t>“</w:t>
      </w:r>
      <w:r w:rsidR="001A43D3" w:rsidRPr="00A25B16">
        <w:rPr>
          <w:i/>
          <w:iCs/>
          <w:sz w:val="22"/>
        </w:rPr>
        <w:t>Oportuna la medida de limitar la negociación de interrumpibles, a agentes del mercado primario al mes previo del inicio de ejecucion. Al igual que los firmes bimensuales (Resolución CREG 136 de 2017)</w:t>
      </w:r>
      <w:r>
        <w:rPr>
          <w:i/>
          <w:iCs/>
          <w:sz w:val="22"/>
        </w:rPr>
        <w:t>.”</w:t>
      </w:r>
    </w:p>
    <w:p w14:paraId="052045E7" w14:textId="77777777" w:rsidR="001A43D3" w:rsidRDefault="001A43D3" w:rsidP="001A43D3">
      <w:pPr>
        <w:jc w:val="left"/>
        <w:rPr>
          <w:i/>
          <w:iCs/>
          <w:sz w:val="22"/>
        </w:rPr>
      </w:pPr>
    </w:p>
    <w:p w14:paraId="3EA1D974" w14:textId="77777777" w:rsidR="002B1FF0" w:rsidRPr="002B1FF0" w:rsidRDefault="002B1FF0" w:rsidP="002B1FF0">
      <w:pPr>
        <w:rPr>
          <w:rFonts w:cs="Arial"/>
          <w:b/>
          <w:bCs/>
          <w:sz w:val="22"/>
          <w:szCs w:val="22"/>
        </w:rPr>
      </w:pPr>
      <w:r w:rsidRPr="002B1FF0">
        <w:rPr>
          <w:rFonts w:cs="Arial"/>
          <w:b/>
          <w:bCs/>
          <w:sz w:val="22"/>
          <w:szCs w:val="22"/>
        </w:rPr>
        <w:t>RESPUESTA:</w:t>
      </w:r>
    </w:p>
    <w:p w14:paraId="622011BA" w14:textId="77777777" w:rsidR="002B1FF0" w:rsidRPr="002B1FF0" w:rsidRDefault="002B1FF0" w:rsidP="002B1FF0">
      <w:pPr>
        <w:rPr>
          <w:rFonts w:cs="Arial"/>
          <w:sz w:val="22"/>
          <w:szCs w:val="22"/>
        </w:rPr>
      </w:pPr>
    </w:p>
    <w:p w14:paraId="0354FD91" w14:textId="2DCCB123" w:rsidR="002B1FF0" w:rsidRPr="002B1FF0" w:rsidRDefault="00CB03F6"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_Ref149287059 \w \h </w:instrText>
      </w:r>
      <w:r>
        <w:rPr>
          <w:rFonts w:cs="Arial"/>
          <w:sz w:val="22"/>
          <w:szCs w:val="22"/>
        </w:rPr>
      </w:r>
      <w:r>
        <w:rPr>
          <w:rFonts w:cs="Arial"/>
          <w:sz w:val="22"/>
          <w:szCs w:val="22"/>
        </w:rPr>
        <w:fldChar w:fldCharType="separate"/>
      </w:r>
      <w:r w:rsidR="0027336D">
        <w:rPr>
          <w:rFonts w:cs="Arial"/>
          <w:sz w:val="22"/>
          <w:szCs w:val="22"/>
        </w:rPr>
        <w:t>12.5</w:t>
      </w:r>
      <w:r>
        <w:rPr>
          <w:rFonts w:cs="Arial"/>
          <w:sz w:val="22"/>
          <w:szCs w:val="22"/>
        </w:rPr>
        <w:fldChar w:fldCharType="end"/>
      </w:r>
      <w:r>
        <w:rPr>
          <w:rFonts w:cs="Arial"/>
          <w:sz w:val="22"/>
          <w:szCs w:val="22"/>
        </w:rPr>
        <w:t>.</w:t>
      </w:r>
    </w:p>
    <w:p w14:paraId="009F174F" w14:textId="77777777" w:rsidR="0060744B" w:rsidRPr="00A25B16" w:rsidRDefault="0060744B" w:rsidP="001A43D3">
      <w:pPr>
        <w:jc w:val="left"/>
        <w:rPr>
          <w:i/>
          <w:iCs/>
          <w:sz w:val="22"/>
        </w:rPr>
      </w:pPr>
    </w:p>
    <w:p w14:paraId="584006D6" w14:textId="77777777" w:rsidR="001A43D3" w:rsidRPr="00A25B16" w:rsidRDefault="001A43D3" w:rsidP="001A43D3">
      <w:pPr>
        <w:jc w:val="left"/>
        <w:rPr>
          <w:i/>
          <w:iCs/>
          <w:sz w:val="22"/>
        </w:rPr>
      </w:pPr>
    </w:p>
    <w:p w14:paraId="2E0C1AAC" w14:textId="7F22264E" w:rsidR="001A43D3" w:rsidRDefault="001A614B" w:rsidP="001A614B">
      <w:pPr>
        <w:pStyle w:val="Ttulo1"/>
      </w:pPr>
      <w:bookmarkStart w:id="272" w:name="_Toc158211578"/>
      <w:r>
        <w:t>ARTÍCULO 15</w:t>
      </w:r>
      <w:bookmarkEnd w:id="272"/>
    </w:p>
    <w:p w14:paraId="1E8AEC81" w14:textId="31AB7138" w:rsidR="0035175D" w:rsidRDefault="001A43D3" w:rsidP="001A614B">
      <w:pPr>
        <w:pStyle w:val="Ttulo2"/>
      </w:pPr>
      <w:bookmarkStart w:id="273" w:name="_Ref149289843"/>
      <w:bookmarkStart w:id="274" w:name="_Ref149290017"/>
      <w:bookmarkStart w:id="275" w:name="_Toc158211579"/>
      <w:r w:rsidRPr="00A25B16">
        <w:t>ACP</w:t>
      </w:r>
      <w:bookmarkEnd w:id="273"/>
      <w:bookmarkEnd w:id="274"/>
      <w:bookmarkEnd w:id="275"/>
      <w:r w:rsidRPr="00A25B16">
        <w:tab/>
      </w:r>
    </w:p>
    <w:p w14:paraId="3F9D674E" w14:textId="69928E4E" w:rsidR="001A43D3" w:rsidRDefault="0035175D" w:rsidP="001A43D3">
      <w:pPr>
        <w:jc w:val="left"/>
        <w:rPr>
          <w:i/>
          <w:iCs/>
          <w:sz w:val="22"/>
        </w:rPr>
      </w:pPr>
      <w:r>
        <w:rPr>
          <w:i/>
          <w:iCs/>
          <w:sz w:val="22"/>
        </w:rPr>
        <w:t>“</w:t>
      </w:r>
      <w:r w:rsidR="001A43D3" w:rsidRPr="00A25B16">
        <w:rPr>
          <w:i/>
          <w:iCs/>
          <w:sz w:val="22"/>
        </w:rPr>
        <w:t>Si bien compartimos la necesidad de que se complete la información contractual del mercado, vemos necesario que se aclare el alcance de lo contenido en el articulo</w:t>
      </w:r>
      <w:r w:rsidR="0062433F">
        <w:rPr>
          <w:i/>
          <w:iCs/>
          <w:sz w:val="22"/>
        </w:rPr>
        <w:t xml:space="preserve"> </w:t>
      </w:r>
      <w:r w:rsidR="001A43D3" w:rsidRPr="00A25B16">
        <w:rPr>
          <w:i/>
          <w:iCs/>
          <w:sz w:val="22"/>
        </w:rPr>
        <w:t>15 del proyecto normativo, de forma que sea explicito su alcance, especialmente si la obligatoriedad de registro aplica a los segmentos no obligados bajo la normativa actual.</w:t>
      </w:r>
      <w:r>
        <w:rPr>
          <w:i/>
          <w:iCs/>
          <w:sz w:val="22"/>
        </w:rPr>
        <w:t>”</w:t>
      </w:r>
    </w:p>
    <w:p w14:paraId="15F19325" w14:textId="77777777" w:rsidR="0035175D" w:rsidRDefault="0035175D" w:rsidP="001A43D3">
      <w:pPr>
        <w:jc w:val="left"/>
        <w:rPr>
          <w:i/>
          <w:iCs/>
          <w:sz w:val="22"/>
        </w:rPr>
      </w:pPr>
    </w:p>
    <w:p w14:paraId="1C59A278" w14:textId="77777777" w:rsidR="002B1FF0" w:rsidRPr="002B1FF0" w:rsidRDefault="002B1FF0" w:rsidP="002B1FF0">
      <w:pPr>
        <w:rPr>
          <w:rFonts w:cs="Arial"/>
          <w:b/>
          <w:bCs/>
          <w:sz w:val="22"/>
          <w:szCs w:val="22"/>
        </w:rPr>
      </w:pPr>
      <w:r w:rsidRPr="002B1FF0">
        <w:rPr>
          <w:rFonts w:cs="Arial"/>
          <w:b/>
          <w:bCs/>
          <w:sz w:val="22"/>
          <w:szCs w:val="22"/>
        </w:rPr>
        <w:t>RESPUESTA:</w:t>
      </w:r>
    </w:p>
    <w:p w14:paraId="35BA985B" w14:textId="77777777" w:rsidR="002B1FF0" w:rsidRDefault="002B1FF0" w:rsidP="002B1FF0">
      <w:pPr>
        <w:rPr>
          <w:rFonts w:cs="Arial"/>
          <w:sz w:val="22"/>
          <w:szCs w:val="22"/>
        </w:rPr>
      </w:pPr>
    </w:p>
    <w:p w14:paraId="7AFD8073" w14:textId="439A6AE8" w:rsidR="007A1C19" w:rsidRDefault="0062433F" w:rsidP="002B1FF0">
      <w:pPr>
        <w:rPr>
          <w:rFonts w:cs="Arial"/>
          <w:sz w:val="22"/>
          <w:szCs w:val="22"/>
        </w:rPr>
      </w:pPr>
      <w:r>
        <w:rPr>
          <w:rFonts w:cs="Arial"/>
          <w:sz w:val="22"/>
          <w:szCs w:val="22"/>
        </w:rPr>
        <w:t xml:space="preserve">Como se observa en el texto del capítulo </w:t>
      </w:r>
      <w:r>
        <w:rPr>
          <w:rFonts w:cs="Arial"/>
          <w:sz w:val="22"/>
          <w:szCs w:val="22"/>
        </w:rPr>
        <w:fldChar w:fldCharType="begin"/>
      </w:r>
      <w:r>
        <w:rPr>
          <w:rFonts w:cs="Arial"/>
          <w:sz w:val="22"/>
          <w:szCs w:val="22"/>
        </w:rPr>
        <w:instrText xml:space="preserve"> REF _Ref149288225 \w \h </w:instrText>
      </w:r>
      <w:r>
        <w:rPr>
          <w:rFonts w:cs="Arial"/>
          <w:sz w:val="22"/>
          <w:szCs w:val="22"/>
        </w:rPr>
      </w:r>
      <w:r>
        <w:rPr>
          <w:rFonts w:cs="Arial"/>
          <w:sz w:val="22"/>
          <w:szCs w:val="22"/>
        </w:rPr>
        <w:fldChar w:fldCharType="separate"/>
      </w:r>
      <w:r w:rsidR="0027336D">
        <w:rPr>
          <w:rFonts w:cs="Arial"/>
          <w:sz w:val="22"/>
          <w:szCs w:val="22"/>
        </w:rPr>
        <w:t>1</w:t>
      </w:r>
      <w:r>
        <w:rPr>
          <w:rFonts w:cs="Arial"/>
          <w:sz w:val="22"/>
          <w:szCs w:val="22"/>
        </w:rPr>
        <w:fldChar w:fldCharType="end"/>
      </w:r>
      <w:r>
        <w:rPr>
          <w:rFonts w:cs="Arial"/>
          <w:sz w:val="22"/>
          <w:szCs w:val="22"/>
        </w:rPr>
        <w:t xml:space="preserve"> del presente documento, el parágrafo 2 del Artículo 11 de la Ley 401 de 1997 establece que las competencias previstas en la Ley 142 de 1994 </w:t>
      </w:r>
      <w:r w:rsidRPr="0062433F">
        <w:rPr>
          <w:rFonts w:cs="Arial"/>
          <w:sz w:val="22"/>
          <w:szCs w:val="22"/>
        </w:rPr>
        <w:t>sólo se predicarán en los casos en que el gas se utilice efectivamente como combustible y no como materia prima de procesos industriales petroquímicos</w:t>
      </w:r>
      <w:r>
        <w:rPr>
          <w:rFonts w:cs="Arial"/>
          <w:sz w:val="22"/>
          <w:szCs w:val="22"/>
        </w:rPr>
        <w:t xml:space="preserve">. Por otro lado, en el literal b) del Artículo 2.2.2.2.42 del Decreto 1073 de 2015 se determina que la CREG al expedir la regulación del mercado mayorista </w:t>
      </w:r>
      <w:r w:rsidR="00157013">
        <w:rPr>
          <w:rFonts w:cs="Arial"/>
          <w:sz w:val="22"/>
          <w:szCs w:val="22"/>
        </w:rPr>
        <w:t xml:space="preserve">señale la información que debe ser declarada por los participantes del mercado </w:t>
      </w:r>
      <w:r w:rsidR="00157013" w:rsidRPr="00157013">
        <w:rPr>
          <w:rFonts w:cs="Arial"/>
          <w:sz w:val="22"/>
          <w:szCs w:val="22"/>
        </w:rPr>
        <w:t>para el funcionamiento del mercado mayorista de gas natural.</w:t>
      </w:r>
    </w:p>
    <w:p w14:paraId="7058ADB9" w14:textId="77777777" w:rsidR="0062433F" w:rsidRDefault="0062433F" w:rsidP="002B1FF0">
      <w:pPr>
        <w:rPr>
          <w:rFonts w:cs="Arial"/>
          <w:sz w:val="22"/>
          <w:szCs w:val="22"/>
        </w:rPr>
      </w:pPr>
    </w:p>
    <w:p w14:paraId="6BDDA331" w14:textId="3928C487" w:rsidR="002056B2" w:rsidRDefault="00B36139" w:rsidP="002B1FF0">
      <w:pPr>
        <w:rPr>
          <w:rFonts w:cs="Arial"/>
          <w:sz w:val="22"/>
          <w:szCs w:val="22"/>
        </w:rPr>
      </w:pPr>
      <w:r>
        <w:rPr>
          <w:rFonts w:cs="Arial"/>
          <w:sz w:val="22"/>
          <w:szCs w:val="22"/>
        </w:rPr>
        <w:t xml:space="preserve">Sin embargo, </w:t>
      </w:r>
      <w:r w:rsidR="00157013">
        <w:rPr>
          <w:rFonts w:cs="Arial"/>
          <w:sz w:val="22"/>
          <w:szCs w:val="22"/>
        </w:rPr>
        <w:t>cualquier</w:t>
      </w:r>
      <w:r>
        <w:rPr>
          <w:rFonts w:cs="Arial"/>
          <w:sz w:val="22"/>
          <w:szCs w:val="22"/>
        </w:rPr>
        <w:t xml:space="preserve"> venta de gas natural de los productores-comercializadores, de los comercializadores de gas importado y de los comercializadores afecta necesariamente las condiciones de negociación del Mercado Mayorista de gas natural, así dichas ventas se dirijan a atender la demanda de gas que sirve como </w:t>
      </w:r>
      <w:r w:rsidRPr="0062433F">
        <w:rPr>
          <w:rFonts w:cs="Arial"/>
          <w:sz w:val="22"/>
          <w:szCs w:val="22"/>
        </w:rPr>
        <w:t>materia prima de procesos industriales petroquímicos</w:t>
      </w:r>
      <w:r>
        <w:rPr>
          <w:rFonts w:cs="Arial"/>
          <w:sz w:val="22"/>
          <w:szCs w:val="22"/>
        </w:rPr>
        <w:t>.</w:t>
      </w:r>
      <w:r w:rsidR="00507832">
        <w:rPr>
          <w:rFonts w:cs="Arial"/>
          <w:sz w:val="22"/>
          <w:szCs w:val="22"/>
        </w:rPr>
        <w:t xml:space="preserve"> En ese sentido la información que se requiere para que el funcionamiento del Mercado Mayorista de gas natural se desarrolle de manera más eficiente y oportuna, requiere incluir </w:t>
      </w:r>
      <w:r w:rsidR="00157013">
        <w:rPr>
          <w:rFonts w:cs="Arial"/>
          <w:sz w:val="22"/>
          <w:szCs w:val="22"/>
        </w:rPr>
        <w:t xml:space="preserve">también </w:t>
      </w:r>
      <w:r w:rsidR="00507832">
        <w:rPr>
          <w:rFonts w:cs="Arial"/>
          <w:sz w:val="22"/>
          <w:szCs w:val="22"/>
        </w:rPr>
        <w:t xml:space="preserve">las cantidades de gas que se venden a los compradores que lo utilizan como materia prima de procesos industriales petroquímicos. </w:t>
      </w:r>
    </w:p>
    <w:p w14:paraId="64788988" w14:textId="77777777" w:rsidR="002056B2" w:rsidRDefault="002056B2" w:rsidP="002B1FF0">
      <w:pPr>
        <w:rPr>
          <w:rFonts w:cs="Arial"/>
          <w:sz w:val="22"/>
          <w:szCs w:val="22"/>
        </w:rPr>
      </w:pPr>
    </w:p>
    <w:p w14:paraId="5273AED4" w14:textId="7A088549" w:rsidR="002B1FF0" w:rsidRPr="002B1FF0" w:rsidRDefault="00507832" w:rsidP="002B1FF0">
      <w:pPr>
        <w:rPr>
          <w:rFonts w:cs="Arial"/>
          <w:sz w:val="22"/>
          <w:szCs w:val="22"/>
        </w:rPr>
      </w:pPr>
      <w:r>
        <w:rPr>
          <w:rFonts w:cs="Arial"/>
          <w:sz w:val="22"/>
          <w:szCs w:val="22"/>
        </w:rPr>
        <w:t xml:space="preserve">En este sentido es que </w:t>
      </w:r>
      <w:r w:rsidR="002056B2">
        <w:rPr>
          <w:rFonts w:cs="Arial"/>
          <w:sz w:val="22"/>
          <w:szCs w:val="22"/>
        </w:rPr>
        <w:t xml:space="preserve">el texto de </w:t>
      </w:r>
      <w:r>
        <w:rPr>
          <w:rFonts w:cs="Arial"/>
          <w:sz w:val="22"/>
          <w:szCs w:val="22"/>
        </w:rPr>
        <w:t>la propuesta del Proyecto de Resolución establece explícitamente la obligación de los vendedores del Mercado Primario</w:t>
      </w:r>
      <w:r w:rsidR="002056B2">
        <w:rPr>
          <w:rFonts w:cs="Arial"/>
          <w:sz w:val="22"/>
          <w:szCs w:val="22"/>
        </w:rPr>
        <w:t xml:space="preserve"> (</w:t>
      </w:r>
      <w:r>
        <w:rPr>
          <w:rFonts w:cs="Arial"/>
          <w:sz w:val="22"/>
          <w:szCs w:val="22"/>
        </w:rPr>
        <w:t>como participantes de dicho mercado</w:t>
      </w:r>
      <w:r w:rsidR="002056B2">
        <w:rPr>
          <w:rFonts w:cs="Arial"/>
          <w:sz w:val="22"/>
          <w:szCs w:val="22"/>
        </w:rPr>
        <w:t>)</w:t>
      </w:r>
      <w:r>
        <w:rPr>
          <w:rFonts w:cs="Arial"/>
          <w:sz w:val="22"/>
          <w:szCs w:val="22"/>
        </w:rPr>
        <w:t xml:space="preserve"> a que declaren la información</w:t>
      </w:r>
      <w:r w:rsidR="00157013">
        <w:rPr>
          <w:rFonts w:cs="Arial"/>
          <w:sz w:val="22"/>
          <w:szCs w:val="22"/>
        </w:rPr>
        <w:t>. No se</w:t>
      </w:r>
      <w:r>
        <w:rPr>
          <w:rFonts w:cs="Arial"/>
          <w:sz w:val="22"/>
          <w:szCs w:val="22"/>
        </w:rPr>
        <w:t xml:space="preserve"> exige a los compradores</w:t>
      </w:r>
      <w:r w:rsidR="00157013">
        <w:rPr>
          <w:rFonts w:cs="Arial"/>
          <w:sz w:val="22"/>
          <w:szCs w:val="22"/>
        </w:rPr>
        <w:t xml:space="preserve"> tal registro</w:t>
      </w:r>
      <w:r>
        <w:rPr>
          <w:rFonts w:cs="Arial"/>
          <w:sz w:val="22"/>
          <w:szCs w:val="22"/>
        </w:rPr>
        <w:t xml:space="preserve"> porque estos no se consideran participantes del mercado, precisamente por lo previsto en el Parágrafo 2 del Artículo 11 de la Ley 401 de 1997.</w:t>
      </w:r>
    </w:p>
    <w:p w14:paraId="68856B0A" w14:textId="77777777" w:rsidR="0035175D" w:rsidRDefault="0035175D" w:rsidP="001A43D3">
      <w:pPr>
        <w:jc w:val="left"/>
        <w:rPr>
          <w:i/>
          <w:iCs/>
          <w:sz w:val="22"/>
        </w:rPr>
      </w:pPr>
    </w:p>
    <w:p w14:paraId="79592873" w14:textId="77777777" w:rsidR="0035175D" w:rsidRPr="00A25B16" w:rsidRDefault="0035175D" w:rsidP="001A43D3">
      <w:pPr>
        <w:jc w:val="left"/>
        <w:rPr>
          <w:i/>
          <w:iCs/>
          <w:sz w:val="22"/>
        </w:rPr>
      </w:pPr>
    </w:p>
    <w:p w14:paraId="62251530" w14:textId="4DDE002C" w:rsidR="0035175D" w:rsidRDefault="001A43D3" w:rsidP="001A614B">
      <w:pPr>
        <w:pStyle w:val="Ttulo2"/>
      </w:pPr>
      <w:bookmarkStart w:id="276" w:name="_Toc158211580"/>
      <w:r w:rsidRPr="00A25B16">
        <w:t>ASOENERGIA</w:t>
      </w:r>
      <w:bookmarkEnd w:id="276"/>
      <w:r w:rsidRPr="00A25B16">
        <w:tab/>
      </w:r>
    </w:p>
    <w:p w14:paraId="1490EB70" w14:textId="03DFA960" w:rsidR="001A43D3" w:rsidRDefault="0035175D" w:rsidP="001A43D3">
      <w:pPr>
        <w:jc w:val="left"/>
        <w:rPr>
          <w:i/>
          <w:iCs/>
          <w:sz w:val="22"/>
        </w:rPr>
      </w:pPr>
      <w:r>
        <w:rPr>
          <w:i/>
          <w:iCs/>
          <w:sz w:val="22"/>
        </w:rPr>
        <w:t>“</w:t>
      </w:r>
      <w:r w:rsidR="001A43D3" w:rsidRPr="00A25B16">
        <w:rPr>
          <w:i/>
          <w:iCs/>
          <w:sz w:val="22"/>
        </w:rPr>
        <w:t>La Propuesta establece que todos los contratos de suministro de gas natural sin excepción así no sean de uso como combustible por el usuario final, deberán registrarse ante el Gestor por los vendedores. De esta manera, nos surge la inquietud de si la responsabilidad del registro de dichos contratos recae únicamente en el vendedor, o si, por el contrario, el comprador deberá también confirmar la información en los sistemas dispuestos para ello.</w:t>
      </w:r>
      <w:r>
        <w:rPr>
          <w:i/>
          <w:iCs/>
          <w:sz w:val="22"/>
        </w:rPr>
        <w:t>”</w:t>
      </w:r>
    </w:p>
    <w:p w14:paraId="4A28EA4E" w14:textId="77777777" w:rsidR="0035175D" w:rsidRDefault="0035175D" w:rsidP="001A43D3">
      <w:pPr>
        <w:jc w:val="left"/>
        <w:rPr>
          <w:i/>
          <w:iCs/>
          <w:sz w:val="22"/>
        </w:rPr>
      </w:pPr>
    </w:p>
    <w:p w14:paraId="7539D01E" w14:textId="77777777" w:rsidR="002B1FF0" w:rsidRPr="002B1FF0" w:rsidRDefault="002B1FF0" w:rsidP="002B1FF0">
      <w:pPr>
        <w:rPr>
          <w:rFonts w:cs="Arial"/>
          <w:b/>
          <w:bCs/>
          <w:sz w:val="22"/>
          <w:szCs w:val="22"/>
        </w:rPr>
      </w:pPr>
      <w:r w:rsidRPr="002B1FF0">
        <w:rPr>
          <w:rFonts w:cs="Arial"/>
          <w:b/>
          <w:bCs/>
          <w:sz w:val="22"/>
          <w:szCs w:val="22"/>
        </w:rPr>
        <w:t>RESPUESTA:</w:t>
      </w:r>
    </w:p>
    <w:p w14:paraId="45F202E4" w14:textId="77777777" w:rsidR="002B1FF0" w:rsidRPr="002B1FF0" w:rsidRDefault="002B1FF0" w:rsidP="002B1FF0">
      <w:pPr>
        <w:rPr>
          <w:rFonts w:cs="Arial"/>
          <w:sz w:val="22"/>
          <w:szCs w:val="22"/>
        </w:rPr>
      </w:pPr>
    </w:p>
    <w:p w14:paraId="7065ACFB" w14:textId="3496965C" w:rsidR="002B1FF0" w:rsidRPr="002B1FF0" w:rsidRDefault="003F7E56"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_Ref149289843 \w \h </w:instrText>
      </w:r>
      <w:r>
        <w:rPr>
          <w:rFonts w:cs="Arial"/>
          <w:sz w:val="22"/>
          <w:szCs w:val="22"/>
        </w:rPr>
      </w:r>
      <w:r>
        <w:rPr>
          <w:rFonts w:cs="Arial"/>
          <w:sz w:val="22"/>
          <w:szCs w:val="22"/>
        </w:rPr>
        <w:fldChar w:fldCharType="separate"/>
      </w:r>
      <w:r w:rsidR="0027336D">
        <w:rPr>
          <w:rFonts w:cs="Arial"/>
          <w:sz w:val="22"/>
          <w:szCs w:val="22"/>
        </w:rPr>
        <w:t>15.1</w:t>
      </w:r>
      <w:r>
        <w:rPr>
          <w:rFonts w:cs="Arial"/>
          <w:sz w:val="22"/>
          <w:szCs w:val="22"/>
        </w:rPr>
        <w:fldChar w:fldCharType="end"/>
      </w:r>
      <w:r>
        <w:rPr>
          <w:rFonts w:cs="Arial"/>
          <w:sz w:val="22"/>
          <w:szCs w:val="22"/>
        </w:rPr>
        <w:t>.</w:t>
      </w:r>
    </w:p>
    <w:p w14:paraId="1F918709" w14:textId="77777777" w:rsidR="0035175D" w:rsidRDefault="0035175D" w:rsidP="001A43D3">
      <w:pPr>
        <w:jc w:val="left"/>
        <w:rPr>
          <w:i/>
          <w:iCs/>
          <w:sz w:val="22"/>
        </w:rPr>
      </w:pPr>
    </w:p>
    <w:p w14:paraId="7980BA78" w14:textId="77777777" w:rsidR="0035175D" w:rsidRPr="00A25B16" w:rsidRDefault="0035175D" w:rsidP="001A43D3">
      <w:pPr>
        <w:jc w:val="left"/>
        <w:rPr>
          <w:i/>
          <w:iCs/>
          <w:sz w:val="22"/>
        </w:rPr>
      </w:pPr>
    </w:p>
    <w:p w14:paraId="408085FB" w14:textId="2875E356" w:rsidR="0035175D" w:rsidRDefault="001A43D3" w:rsidP="001A614B">
      <w:pPr>
        <w:pStyle w:val="Ttulo2"/>
      </w:pPr>
      <w:bookmarkStart w:id="277" w:name="_Toc158211581"/>
      <w:r w:rsidRPr="00A25B16">
        <w:t>GECELCA SA ESP</w:t>
      </w:r>
      <w:bookmarkEnd w:id="277"/>
      <w:r w:rsidRPr="00A25B16">
        <w:tab/>
      </w:r>
    </w:p>
    <w:p w14:paraId="16A4E1D6" w14:textId="73B3EF1B" w:rsidR="001A43D3" w:rsidRPr="00A25B16" w:rsidRDefault="001A43D3" w:rsidP="001A43D3">
      <w:pPr>
        <w:jc w:val="left"/>
        <w:rPr>
          <w:i/>
          <w:iCs/>
          <w:sz w:val="22"/>
        </w:rPr>
      </w:pPr>
      <w:r w:rsidRPr="00A25B16">
        <w:rPr>
          <w:i/>
          <w:iCs/>
          <w:sz w:val="22"/>
        </w:rPr>
        <w:t xml:space="preserve">"Consideramos que esta medida podría restarle agilidad al proceso de negociación e iría en contravía de las demás medidas planteadas, al incluir como paso adicional el registro de posturas de compra y venta ante el Gestor, más aún para el caso de la negociación de contratos de duración diaria. </w:t>
      </w:r>
    </w:p>
    <w:p w14:paraId="4E78806B" w14:textId="77777777" w:rsidR="001A43D3" w:rsidRPr="00A25B16" w:rsidRDefault="001A43D3" w:rsidP="001A43D3">
      <w:pPr>
        <w:jc w:val="left"/>
        <w:rPr>
          <w:i/>
          <w:iCs/>
          <w:sz w:val="22"/>
        </w:rPr>
      </w:pPr>
    </w:p>
    <w:p w14:paraId="7FE3731E" w14:textId="77777777" w:rsidR="001A43D3" w:rsidRPr="00A25B16" w:rsidRDefault="001A43D3" w:rsidP="001A43D3">
      <w:pPr>
        <w:jc w:val="left"/>
        <w:rPr>
          <w:i/>
          <w:iCs/>
          <w:sz w:val="22"/>
        </w:rPr>
      </w:pPr>
      <w:r w:rsidRPr="00A25B16">
        <w:rPr>
          <w:i/>
          <w:iCs/>
          <w:sz w:val="22"/>
        </w:rPr>
        <w:t>Por lo anterior, proponemos que esta medida se acote a negociaciones con duración mayor a una semana, puesto que de un contrato con una duración menor a la semanal no se tiene mayor información que la que obtiene al momento del registro de contrato. "</w:t>
      </w:r>
    </w:p>
    <w:p w14:paraId="23B2959F" w14:textId="77777777" w:rsidR="0035175D" w:rsidRDefault="0035175D" w:rsidP="001A43D3">
      <w:pPr>
        <w:jc w:val="left"/>
        <w:rPr>
          <w:i/>
          <w:iCs/>
          <w:sz w:val="22"/>
        </w:rPr>
      </w:pPr>
    </w:p>
    <w:p w14:paraId="6235D907" w14:textId="77777777" w:rsidR="002B1FF0" w:rsidRPr="002B1FF0" w:rsidRDefault="002B1FF0" w:rsidP="002B1FF0">
      <w:pPr>
        <w:rPr>
          <w:rFonts w:cs="Arial"/>
          <w:b/>
          <w:bCs/>
          <w:sz w:val="22"/>
          <w:szCs w:val="22"/>
        </w:rPr>
      </w:pPr>
      <w:r w:rsidRPr="002B1FF0">
        <w:rPr>
          <w:rFonts w:cs="Arial"/>
          <w:b/>
          <w:bCs/>
          <w:sz w:val="22"/>
          <w:szCs w:val="22"/>
        </w:rPr>
        <w:t>RESPUESTA:</w:t>
      </w:r>
    </w:p>
    <w:p w14:paraId="46D3BDC8" w14:textId="77777777" w:rsidR="002B1FF0" w:rsidRDefault="002B1FF0" w:rsidP="002B1FF0">
      <w:pPr>
        <w:rPr>
          <w:rFonts w:cs="Arial"/>
          <w:sz w:val="22"/>
          <w:szCs w:val="22"/>
        </w:rPr>
      </w:pPr>
    </w:p>
    <w:p w14:paraId="44246C23" w14:textId="4976F2EF" w:rsidR="002B1FF0" w:rsidRPr="002B1FF0" w:rsidRDefault="000474CD" w:rsidP="002B1FF0">
      <w:pPr>
        <w:rPr>
          <w:rFonts w:cs="Arial"/>
          <w:sz w:val="22"/>
          <w:szCs w:val="22"/>
        </w:rPr>
      </w:pPr>
      <w:r>
        <w:rPr>
          <w:rFonts w:cs="Arial"/>
          <w:sz w:val="22"/>
          <w:szCs w:val="22"/>
        </w:rPr>
        <w:t xml:space="preserve">Ver respuesta al comentario </w:t>
      </w:r>
      <w:r w:rsidR="009A33EB">
        <w:rPr>
          <w:rFonts w:cs="Arial"/>
          <w:sz w:val="22"/>
          <w:szCs w:val="22"/>
        </w:rPr>
        <w:fldChar w:fldCharType="begin"/>
      </w:r>
      <w:r w:rsidR="009A33EB">
        <w:rPr>
          <w:rFonts w:cs="Arial"/>
          <w:sz w:val="22"/>
          <w:szCs w:val="22"/>
        </w:rPr>
        <w:instrText xml:space="preserve"> REF _Ref149290106 \w \h </w:instrText>
      </w:r>
      <w:r w:rsidR="009A33EB">
        <w:rPr>
          <w:rFonts w:cs="Arial"/>
          <w:sz w:val="22"/>
          <w:szCs w:val="22"/>
        </w:rPr>
      </w:r>
      <w:r w:rsidR="009A33EB">
        <w:rPr>
          <w:rFonts w:cs="Arial"/>
          <w:sz w:val="22"/>
          <w:szCs w:val="22"/>
        </w:rPr>
        <w:fldChar w:fldCharType="separate"/>
      </w:r>
      <w:r w:rsidR="0027336D">
        <w:rPr>
          <w:rFonts w:cs="Arial"/>
          <w:sz w:val="22"/>
          <w:szCs w:val="22"/>
        </w:rPr>
        <w:t>11.1</w:t>
      </w:r>
      <w:r w:rsidR="009A33EB">
        <w:rPr>
          <w:rFonts w:cs="Arial"/>
          <w:sz w:val="22"/>
          <w:szCs w:val="22"/>
        </w:rPr>
        <w:fldChar w:fldCharType="end"/>
      </w:r>
      <w:r w:rsidR="009A33EB">
        <w:rPr>
          <w:rFonts w:cs="Arial"/>
          <w:sz w:val="22"/>
          <w:szCs w:val="22"/>
        </w:rPr>
        <w:t>.</w:t>
      </w:r>
    </w:p>
    <w:p w14:paraId="6F7FE81A" w14:textId="77777777" w:rsidR="0035175D" w:rsidRDefault="0035175D" w:rsidP="001A43D3">
      <w:pPr>
        <w:jc w:val="left"/>
        <w:rPr>
          <w:i/>
          <w:iCs/>
          <w:sz w:val="22"/>
        </w:rPr>
      </w:pPr>
    </w:p>
    <w:p w14:paraId="03A5CEEF" w14:textId="77777777" w:rsidR="0035175D" w:rsidRDefault="0035175D" w:rsidP="001A43D3">
      <w:pPr>
        <w:jc w:val="left"/>
        <w:rPr>
          <w:i/>
          <w:iCs/>
          <w:sz w:val="22"/>
        </w:rPr>
      </w:pPr>
    </w:p>
    <w:p w14:paraId="068ABFEF" w14:textId="7084B3F1" w:rsidR="0060744B" w:rsidRDefault="001A43D3" w:rsidP="0060744B">
      <w:pPr>
        <w:pStyle w:val="Ttulo2"/>
      </w:pPr>
      <w:bookmarkStart w:id="278" w:name="_Toc158211582"/>
      <w:r w:rsidRPr="00A25B16">
        <w:t>Gestor del Mercado de Gas Natural en Colombia</w:t>
      </w:r>
      <w:bookmarkEnd w:id="278"/>
      <w:r w:rsidRPr="00A25B16">
        <w:tab/>
      </w:r>
    </w:p>
    <w:p w14:paraId="53C43577" w14:textId="13F1EC66" w:rsidR="001A43D3" w:rsidRPr="00A25B16" w:rsidRDefault="001A43D3" w:rsidP="001A43D3">
      <w:pPr>
        <w:jc w:val="left"/>
        <w:rPr>
          <w:i/>
          <w:iCs/>
          <w:sz w:val="22"/>
        </w:rPr>
      </w:pPr>
      <w:r w:rsidRPr="00A25B16">
        <w:rPr>
          <w:i/>
          <w:iCs/>
          <w:sz w:val="22"/>
        </w:rPr>
        <w:t>"El Artículo 15 del proyecto de Resolución establece que:</w:t>
      </w:r>
    </w:p>
    <w:p w14:paraId="294401E7" w14:textId="77777777" w:rsidR="001A43D3" w:rsidRPr="00A25B16" w:rsidRDefault="001A43D3" w:rsidP="001A43D3">
      <w:pPr>
        <w:jc w:val="left"/>
        <w:rPr>
          <w:i/>
          <w:iCs/>
          <w:sz w:val="22"/>
        </w:rPr>
      </w:pPr>
    </w:p>
    <w:p w14:paraId="3109D56F" w14:textId="77777777" w:rsidR="001A43D3" w:rsidRPr="00A25B16" w:rsidRDefault="001A43D3" w:rsidP="001A43D3">
      <w:pPr>
        <w:jc w:val="left"/>
        <w:rPr>
          <w:i/>
          <w:iCs/>
          <w:sz w:val="22"/>
        </w:rPr>
      </w:pPr>
      <w:r w:rsidRPr="00A25B16">
        <w:rPr>
          <w:i/>
          <w:iCs/>
          <w:sz w:val="22"/>
        </w:rPr>
        <w:t>""Todos los contratos de suministro de gas natural, sin excepción, deberán ser registrados por los vendedores, así el gas natural que se suministra no sea usado como combustible por el usuario</w:t>
      </w:r>
    </w:p>
    <w:p w14:paraId="614DC6FC" w14:textId="77777777" w:rsidR="001A43D3" w:rsidRPr="00A25B16" w:rsidRDefault="001A43D3" w:rsidP="001A43D3">
      <w:pPr>
        <w:jc w:val="left"/>
        <w:rPr>
          <w:i/>
          <w:iCs/>
          <w:sz w:val="22"/>
        </w:rPr>
      </w:pPr>
      <w:r w:rsidRPr="00A25B16">
        <w:rPr>
          <w:i/>
          <w:iCs/>
          <w:sz w:val="22"/>
        </w:rPr>
        <w:t xml:space="preserve">final. [...]"" </w:t>
      </w:r>
    </w:p>
    <w:p w14:paraId="7FD78C35" w14:textId="77777777" w:rsidR="001A43D3" w:rsidRPr="00A25B16" w:rsidRDefault="001A43D3" w:rsidP="001A43D3">
      <w:pPr>
        <w:jc w:val="left"/>
        <w:rPr>
          <w:i/>
          <w:iCs/>
          <w:sz w:val="22"/>
        </w:rPr>
      </w:pPr>
    </w:p>
    <w:p w14:paraId="0B2AC538" w14:textId="77777777" w:rsidR="001A43D3" w:rsidRPr="00A25B16" w:rsidRDefault="001A43D3" w:rsidP="001A43D3">
      <w:pPr>
        <w:jc w:val="left"/>
        <w:rPr>
          <w:i/>
          <w:iCs/>
          <w:sz w:val="22"/>
        </w:rPr>
      </w:pPr>
      <w:r w:rsidRPr="00A25B16">
        <w:rPr>
          <w:i/>
          <w:iCs/>
          <w:sz w:val="22"/>
        </w:rPr>
        <w:t>No obstante, con el fin de tener mayor claridad en el alcance del Artículo, se sugiere dejar explícito que los vendedores deben registrar los contratos de suministro destinados a la utilización del gas como materia prima en procesos industriales petroquímicos, así como para el autoconsumo de los productores-comercializadores y las refinerías, en línea con lo presentado en el proyecto de Resolución CREG 702 003 de 2023.</w:t>
      </w:r>
    </w:p>
    <w:p w14:paraId="02DCA17B" w14:textId="77777777" w:rsidR="001A43D3" w:rsidRPr="00A25B16" w:rsidRDefault="001A43D3" w:rsidP="001A43D3">
      <w:pPr>
        <w:jc w:val="left"/>
        <w:rPr>
          <w:i/>
          <w:iCs/>
          <w:sz w:val="22"/>
        </w:rPr>
      </w:pPr>
    </w:p>
    <w:p w14:paraId="652B9EA2" w14:textId="77777777" w:rsidR="001A43D3" w:rsidRPr="00A25B16" w:rsidRDefault="001A43D3" w:rsidP="001A43D3">
      <w:pPr>
        <w:jc w:val="left"/>
        <w:rPr>
          <w:i/>
          <w:iCs/>
          <w:sz w:val="22"/>
        </w:rPr>
      </w:pPr>
      <w:r w:rsidRPr="00A25B16">
        <w:rPr>
          <w:i/>
          <w:iCs/>
          <w:sz w:val="22"/>
        </w:rPr>
        <w:t>Así mismo, se considera pertinente aclarar que se deben registrar solo aquellos contratos que se encuentren vigentes."</w:t>
      </w:r>
    </w:p>
    <w:p w14:paraId="29D6D3A7" w14:textId="77777777" w:rsidR="0035175D" w:rsidRDefault="0035175D" w:rsidP="001A43D3">
      <w:pPr>
        <w:jc w:val="left"/>
        <w:rPr>
          <w:i/>
          <w:iCs/>
          <w:sz w:val="22"/>
        </w:rPr>
      </w:pPr>
    </w:p>
    <w:p w14:paraId="1ABD7F18" w14:textId="77777777" w:rsidR="002B1FF0" w:rsidRPr="002B1FF0" w:rsidRDefault="002B1FF0" w:rsidP="002B1FF0">
      <w:pPr>
        <w:rPr>
          <w:rFonts w:cs="Arial"/>
          <w:b/>
          <w:bCs/>
          <w:sz w:val="22"/>
          <w:szCs w:val="22"/>
        </w:rPr>
      </w:pPr>
      <w:r w:rsidRPr="002B1FF0">
        <w:rPr>
          <w:rFonts w:cs="Arial"/>
          <w:b/>
          <w:bCs/>
          <w:sz w:val="22"/>
          <w:szCs w:val="22"/>
        </w:rPr>
        <w:t>RESPUESTA:</w:t>
      </w:r>
    </w:p>
    <w:p w14:paraId="72C16A3F" w14:textId="77777777" w:rsidR="002B1FF0" w:rsidRDefault="002B1FF0" w:rsidP="002B1FF0">
      <w:pPr>
        <w:rPr>
          <w:rFonts w:cs="Arial"/>
          <w:sz w:val="22"/>
          <w:szCs w:val="22"/>
        </w:rPr>
      </w:pPr>
    </w:p>
    <w:p w14:paraId="00159368" w14:textId="56A9F399" w:rsidR="003F7E56" w:rsidRDefault="003F7E56" w:rsidP="002B1FF0">
      <w:pPr>
        <w:rPr>
          <w:rFonts w:cs="Arial"/>
          <w:sz w:val="22"/>
          <w:szCs w:val="22"/>
        </w:rPr>
      </w:pPr>
      <w:r>
        <w:rPr>
          <w:rFonts w:cs="Arial"/>
          <w:sz w:val="22"/>
          <w:szCs w:val="22"/>
        </w:rPr>
        <w:t>Se acoge el comentario parcialmente.</w:t>
      </w:r>
    </w:p>
    <w:p w14:paraId="3E807017" w14:textId="77777777" w:rsidR="003F7E56" w:rsidRDefault="003F7E56" w:rsidP="002B1FF0">
      <w:pPr>
        <w:rPr>
          <w:rFonts w:cs="Arial"/>
          <w:sz w:val="22"/>
          <w:szCs w:val="22"/>
        </w:rPr>
      </w:pPr>
    </w:p>
    <w:p w14:paraId="507C9697" w14:textId="53736F61" w:rsidR="003F7E56" w:rsidRPr="002B1FF0" w:rsidRDefault="003F7E56" w:rsidP="002B1FF0">
      <w:pPr>
        <w:rPr>
          <w:rFonts w:cs="Arial"/>
          <w:sz w:val="22"/>
          <w:szCs w:val="22"/>
        </w:rPr>
      </w:pPr>
      <w:r>
        <w:rPr>
          <w:rFonts w:cs="Arial"/>
          <w:sz w:val="22"/>
          <w:szCs w:val="22"/>
        </w:rPr>
        <w:t>El esquema de información del autoconsumo de productores-comercializadores requiere de complementos que sí se incorporan en el Proyecto de Resolución CREG 702 003 de 2023 y que armonizan con medidas que no se incorporan en el Proyecto de Resolución CREG 702 005 de 2023, precisamente por la situación de corto plazo que la motiva.</w:t>
      </w:r>
    </w:p>
    <w:p w14:paraId="0115EB60" w14:textId="77777777" w:rsidR="002B1FF0" w:rsidRPr="002B1FF0" w:rsidRDefault="002B1FF0" w:rsidP="002B1FF0">
      <w:pPr>
        <w:rPr>
          <w:rFonts w:cs="Arial"/>
          <w:sz w:val="22"/>
          <w:szCs w:val="22"/>
        </w:rPr>
      </w:pPr>
    </w:p>
    <w:p w14:paraId="741D1FDB" w14:textId="77777777" w:rsidR="0035175D" w:rsidRDefault="0035175D" w:rsidP="001A43D3">
      <w:pPr>
        <w:jc w:val="left"/>
        <w:rPr>
          <w:i/>
          <w:iCs/>
          <w:sz w:val="22"/>
        </w:rPr>
      </w:pPr>
    </w:p>
    <w:p w14:paraId="47A41E44" w14:textId="6E9BD448" w:rsidR="0035175D" w:rsidRDefault="001A43D3" w:rsidP="001A614B">
      <w:pPr>
        <w:pStyle w:val="Ttulo2"/>
      </w:pPr>
      <w:bookmarkStart w:id="279" w:name="_Toc158211583"/>
      <w:r w:rsidRPr="00A25B16">
        <w:t>SANTAFÉ ENERGY</w:t>
      </w:r>
      <w:bookmarkEnd w:id="279"/>
      <w:r w:rsidRPr="00A25B16">
        <w:tab/>
      </w:r>
    </w:p>
    <w:p w14:paraId="2FE473B7" w14:textId="7A5D5A75" w:rsidR="001A43D3" w:rsidRPr="00A25B16" w:rsidRDefault="0035175D" w:rsidP="001A43D3">
      <w:pPr>
        <w:jc w:val="left"/>
        <w:rPr>
          <w:i/>
          <w:iCs/>
          <w:sz w:val="22"/>
        </w:rPr>
      </w:pPr>
      <w:r>
        <w:rPr>
          <w:i/>
          <w:iCs/>
          <w:sz w:val="22"/>
        </w:rPr>
        <w:t>“</w:t>
      </w:r>
      <w:r w:rsidR="001A43D3" w:rsidRPr="00A25B16">
        <w:rPr>
          <w:i/>
          <w:iCs/>
          <w:sz w:val="22"/>
        </w:rPr>
        <w:t>Convenien</w:t>
      </w:r>
      <w:r>
        <w:rPr>
          <w:i/>
          <w:iCs/>
          <w:sz w:val="22"/>
        </w:rPr>
        <w:t>t</w:t>
      </w:r>
      <w:r w:rsidR="001A43D3" w:rsidRPr="00A25B16">
        <w:rPr>
          <w:i/>
          <w:iCs/>
          <w:sz w:val="22"/>
        </w:rPr>
        <w:t>e el registro de los contratos por parte del vendedor.</w:t>
      </w:r>
      <w:r>
        <w:rPr>
          <w:i/>
          <w:iCs/>
          <w:sz w:val="22"/>
        </w:rPr>
        <w:t>”</w:t>
      </w:r>
    </w:p>
    <w:p w14:paraId="6B86A647" w14:textId="77777777" w:rsidR="001A43D3" w:rsidRPr="00A25B16" w:rsidRDefault="001A43D3" w:rsidP="001A43D3">
      <w:pPr>
        <w:jc w:val="left"/>
        <w:rPr>
          <w:i/>
          <w:iCs/>
          <w:sz w:val="22"/>
        </w:rPr>
      </w:pPr>
    </w:p>
    <w:p w14:paraId="68241BEC" w14:textId="77777777" w:rsidR="002B1FF0" w:rsidRPr="002B1FF0" w:rsidRDefault="002B1FF0" w:rsidP="002B1FF0">
      <w:pPr>
        <w:rPr>
          <w:rFonts w:cs="Arial"/>
          <w:b/>
          <w:bCs/>
          <w:sz w:val="22"/>
          <w:szCs w:val="22"/>
        </w:rPr>
      </w:pPr>
      <w:r w:rsidRPr="002B1FF0">
        <w:rPr>
          <w:rFonts w:cs="Arial"/>
          <w:b/>
          <w:bCs/>
          <w:sz w:val="22"/>
          <w:szCs w:val="22"/>
        </w:rPr>
        <w:t>RESPUESTA:</w:t>
      </w:r>
    </w:p>
    <w:p w14:paraId="4C501795" w14:textId="77777777" w:rsidR="002B1FF0" w:rsidRPr="002B1FF0" w:rsidRDefault="002B1FF0" w:rsidP="002B1FF0">
      <w:pPr>
        <w:rPr>
          <w:rFonts w:cs="Arial"/>
          <w:sz w:val="22"/>
          <w:szCs w:val="22"/>
        </w:rPr>
      </w:pPr>
    </w:p>
    <w:p w14:paraId="37A589B8" w14:textId="41C4F370" w:rsidR="002B1FF0" w:rsidRDefault="003F7E56"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_Ref149290017 \w \h </w:instrText>
      </w:r>
      <w:r>
        <w:rPr>
          <w:rFonts w:cs="Arial"/>
          <w:sz w:val="22"/>
          <w:szCs w:val="22"/>
        </w:rPr>
      </w:r>
      <w:r>
        <w:rPr>
          <w:rFonts w:cs="Arial"/>
          <w:sz w:val="22"/>
          <w:szCs w:val="22"/>
        </w:rPr>
        <w:fldChar w:fldCharType="separate"/>
      </w:r>
      <w:r w:rsidR="0027336D">
        <w:rPr>
          <w:rFonts w:cs="Arial"/>
          <w:sz w:val="22"/>
          <w:szCs w:val="22"/>
        </w:rPr>
        <w:t>15.1</w:t>
      </w:r>
      <w:r>
        <w:rPr>
          <w:rFonts w:cs="Arial"/>
          <w:sz w:val="22"/>
          <w:szCs w:val="22"/>
        </w:rPr>
        <w:fldChar w:fldCharType="end"/>
      </w:r>
      <w:r>
        <w:rPr>
          <w:rFonts w:cs="Arial"/>
          <w:sz w:val="22"/>
          <w:szCs w:val="22"/>
        </w:rPr>
        <w:t>.</w:t>
      </w:r>
    </w:p>
    <w:p w14:paraId="485E906D" w14:textId="77777777" w:rsidR="003F7E56" w:rsidRPr="002B1FF0" w:rsidRDefault="003F7E56" w:rsidP="002B1FF0">
      <w:pPr>
        <w:rPr>
          <w:rFonts w:cs="Arial"/>
          <w:sz w:val="22"/>
          <w:szCs w:val="22"/>
        </w:rPr>
      </w:pPr>
    </w:p>
    <w:p w14:paraId="2036DADF" w14:textId="77777777" w:rsidR="001A43D3" w:rsidRDefault="001A43D3" w:rsidP="001A43D3">
      <w:pPr>
        <w:jc w:val="left"/>
        <w:rPr>
          <w:i/>
          <w:iCs/>
          <w:sz w:val="22"/>
        </w:rPr>
      </w:pPr>
    </w:p>
    <w:p w14:paraId="302DE644" w14:textId="77777777" w:rsidR="00F70380" w:rsidRDefault="00F70380" w:rsidP="00F70380">
      <w:pPr>
        <w:pStyle w:val="Ttulo2"/>
      </w:pPr>
      <w:bookmarkStart w:id="280" w:name="_Ref149570861"/>
      <w:bookmarkStart w:id="281" w:name="_Toc158211584"/>
      <w:r w:rsidRPr="00A25B16">
        <w:t>S</w:t>
      </w:r>
      <w:r>
        <w:t>SPD</w:t>
      </w:r>
      <w:bookmarkEnd w:id="280"/>
      <w:bookmarkEnd w:id="281"/>
    </w:p>
    <w:p w14:paraId="6967D382" w14:textId="6D8EBC2A" w:rsidR="00F70380" w:rsidRDefault="00F70380" w:rsidP="00847E3D">
      <w:pPr>
        <w:rPr>
          <w:i/>
          <w:iCs/>
          <w:sz w:val="22"/>
          <w:szCs w:val="22"/>
        </w:rPr>
      </w:pPr>
      <w:r w:rsidRPr="00AC4D80">
        <w:rPr>
          <w:i/>
          <w:iCs/>
          <w:sz w:val="22"/>
          <w:szCs w:val="22"/>
        </w:rPr>
        <w:t>“El ar</w:t>
      </w:r>
      <w:r w:rsidR="00AC4D80">
        <w:rPr>
          <w:i/>
          <w:iCs/>
          <w:sz w:val="22"/>
          <w:szCs w:val="22"/>
        </w:rPr>
        <w:t>tí</w:t>
      </w:r>
      <w:r w:rsidRPr="00AC4D80">
        <w:rPr>
          <w:i/>
          <w:iCs/>
          <w:sz w:val="22"/>
          <w:szCs w:val="22"/>
        </w:rPr>
        <w:t>culo</w:t>
      </w:r>
      <w:r w:rsidR="00AA3B3C" w:rsidRPr="00AC4D80">
        <w:rPr>
          <w:i/>
          <w:iCs/>
          <w:sz w:val="22"/>
          <w:szCs w:val="22"/>
        </w:rPr>
        <w:t xml:space="preserve"> </w:t>
      </w:r>
      <w:r w:rsidRPr="00AC4D80">
        <w:rPr>
          <w:i/>
          <w:iCs/>
          <w:sz w:val="22"/>
          <w:szCs w:val="22"/>
        </w:rPr>
        <w:t>15 establece el registro ante el Gestor del Mercado de todos los contratos de suministro de gas natural, incluyendo los que no son usados como combustible por el usuario final. De lo anterior se deduce que tambi</w:t>
      </w:r>
      <w:r w:rsidR="00AA3B3C" w:rsidRPr="00AC4D80">
        <w:rPr>
          <w:i/>
          <w:iCs/>
          <w:sz w:val="22"/>
          <w:szCs w:val="22"/>
        </w:rPr>
        <w:t>é</w:t>
      </w:r>
      <w:r w:rsidRPr="00AC4D80">
        <w:rPr>
          <w:i/>
          <w:iCs/>
          <w:sz w:val="22"/>
          <w:szCs w:val="22"/>
        </w:rPr>
        <w:t xml:space="preserve">n debe incluirse el registro de contratos de suministro cuyo destino sea la materia prima de procesos industriales petroquímicos. </w:t>
      </w:r>
    </w:p>
    <w:p w14:paraId="76BB9CA0" w14:textId="77777777" w:rsidR="00AC4D80" w:rsidRPr="00AC4D80" w:rsidRDefault="00AC4D80" w:rsidP="00847E3D">
      <w:pPr>
        <w:rPr>
          <w:i/>
          <w:iCs/>
          <w:sz w:val="22"/>
          <w:szCs w:val="22"/>
        </w:rPr>
      </w:pPr>
    </w:p>
    <w:p w14:paraId="19AF1EBA" w14:textId="1F35330C" w:rsidR="00F70380" w:rsidRPr="00AC4D80" w:rsidRDefault="00F70380" w:rsidP="00847E3D">
      <w:pPr>
        <w:rPr>
          <w:i/>
          <w:iCs/>
          <w:sz w:val="22"/>
          <w:szCs w:val="22"/>
        </w:rPr>
      </w:pPr>
      <w:r w:rsidRPr="00AC4D80">
        <w:rPr>
          <w:i/>
          <w:iCs/>
          <w:sz w:val="22"/>
          <w:szCs w:val="22"/>
        </w:rPr>
        <w:t>Frente al tema es claro que el parágrafo 2 del articulo 11 de la Ley 401 de 1997 señala una excepción respecto de la aplicación de la Ley 142 de 1994 en materia de gas con destino a la demanda petroq</w:t>
      </w:r>
      <w:r w:rsidR="00AA3B3C" w:rsidRPr="00AC4D80">
        <w:rPr>
          <w:i/>
          <w:iCs/>
          <w:sz w:val="22"/>
          <w:szCs w:val="22"/>
        </w:rPr>
        <w:t>uí</w:t>
      </w:r>
      <w:r w:rsidRPr="00AC4D80">
        <w:rPr>
          <w:i/>
          <w:iCs/>
          <w:sz w:val="22"/>
          <w:szCs w:val="22"/>
        </w:rPr>
        <w:t xml:space="preserve">mica; no obstante, esta SSPD considera de suma importancia para la gestión y transparencia de la información del mercado que dichos contratos se registren pese a que no queden sujetos a la aplicación de los servicios públicos domiciliarios, puesto que esto permite tener la visión general de la totalidad del gas producido y comercializado por los agentes productores - comercializadores sujetos al cumplimiento de la Ley 142 de 1994 respecto a la actividad de comercialización del gas producido. </w:t>
      </w:r>
    </w:p>
    <w:p w14:paraId="49A8D5D5" w14:textId="77777777" w:rsidR="00847E3D" w:rsidRPr="00AC4D80" w:rsidRDefault="00847E3D" w:rsidP="00847E3D">
      <w:pPr>
        <w:rPr>
          <w:i/>
          <w:iCs/>
          <w:sz w:val="22"/>
          <w:szCs w:val="22"/>
        </w:rPr>
      </w:pPr>
    </w:p>
    <w:p w14:paraId="5892615E" w14:textId="5706DEFD" w:rsidR="00F70380" w:rsidRPr="00AC4D80" w:rsidRDefault="00F70380" w:rsidP="00847E3D">
      <w:pPr>
        <w:rPr>
          <w:i/>
          <w:iCs/>
          <w:sz w:val="22"/>
          <w:szCs w:val="22"/>
        </w:rPr>
      </w:pPr>
      <w:r w:rsidRPr="00AC4D80">
        <w:rPr>
          <w:i/>
          <w:iCs/>
          <w:sz w:val="22"/>
          <w:szCs w:val="22"/>
        </w:rPr>
        <w:t xml:space="preserve">Se sugiere que la CREG adicione de manera definitiva como un nuevo artículo a la Resolución CREG 186 de 2020, las disposiciones del artículo comentado. Para lo cual se propone el siguiente texto: </w:t>
      </w:r>
    </w:p>
    <w:p w14:paraId="03DA55DE" w14:textId="77777777" w:rsidR="00847E3D" w:rsidRPr="00AC4D80" w:rsidRDefault="00847E3D" w:rsidP="00847E3D">
      <w:pPr>
        <w:rPr>
          <w:i/>
          <w:iCs/>
          <w:sz w:val="22"/>
          <w:szCs w:val="22"/>
        </w:rPr>
      </w:pPr>
    </w:p>
    <w:p w14:paraId="7345066F" w14:textId="6A46F675" w:rsidR="00F70380" w:rsidRPr="00AC4D80" w:rsidRDefault="00F70380" w:rsidP="00847E3D">
      <w:pPr>
        <w:ind w:left="708"/>
        <w:rPr>
          <w:i/>
          <w:iCs/>
          <w:sz w:val="22"/>
          <w:szCs w:val="22"/>
        </w:rPr>
      </w:pPr>
      <w:r w:rsidRPr="00AC4D80">
        <w:rPr>
          <w:i/>
          <w:iCs/>
          <w:sz w:val="22"/>
          <w:szCs w:val="22"/>
        </w:rPr>
        <w:t>"Articulo 15. Adici</w:t>
      </w:r>
      <w:r w:rsidR="00AA3B3C" w:rsidRPr="00AC4D80">
        <w:rPr>
          <w:i/>
          <w:iCs/>
          <w:sz w:val="22"/>
          <w:szCs w:val="22"/>
        </w:rPr>
        <w:t>ó</w:t>
      </w:r>
      <w:r w:rsidRPr="00AC4D80">
        <w:rPr>
          <w:i/>
          <w:iCs/>
          <w:sz w:val="22"/>
          <w:szCs w:val="22"/>
        </w:rPr>
        <w:t>nese de manera permanente un nuevo artículo a la Resolución CREG 186 de 2020, así:</w:t>
      </w:r>
    </w:p>
    <w:p w14:paraId="2B2065D6" w14:textId="77777777" w:rsidR="00847E3D" w:rsidRPr="00AC4D80" w:rsidRDefault="00847E3D" w:rsidP="00847E3D">
      <w:pPr>
        <w:ind w:left="708"/>
        <w:rPr>
          <w:i/>
          <w:iCs/>
          <w:sz w:val="22"/>
          <w:szCs w:val="22"/>
        </w:rPr>
      </w:pPr>
    </w:p>
    <w:p w14:paraId="4C87E898" w14:textId="3DA57849" w:rsidR="00F70380" w:rsidRPr="00AC4D80" w:rsidRDefault="00F70380" w:rsidP="00847E3D">
      <w:pPr>
        <w:ind w:left="708"/>
        <w:rPr>
          <w:i/>
          <w:iCs/>
          <w:sz w:val="22"/>
          <w:szCs w:val="22"/>
        </w:rPr>
      </w:pPr>
      <w:r w:rsidRPr="00AC4D80">
        <w:rPr>
          <w:i/>
          <w:iCs/>
          <w:sz w:val="22"/>
          <w:szCs w:val="22"/>
        </w:rPr>
        <w:t>Registro de contratos. Todos los contratos de suministro de gas natural, sin excepción, deberán ser registrados por los vendedores, así el gas natural que se suministra no sea usado como combustible por el usuario final o que tenga como destino la materia prima de procesos industriales petroquímicos. En el caso de que a la fecha de entrada en vigencia de la presente resolución haya contratos suscritos previamente que no han sido registrados, los vendedores deberán hacerlo, de acuerdo con los requerimientos de información detallados en el Anexo 1 de la Resolución CREG 186 de 2020, en un término máximo de cinco (5) días hábiles contados a partir de la entrada en vigencia de la presente resolución."</w:t>
      </w:r>
    </w:p>
    <w:p w14:paraId="7741EB16" w14:textId="77777777" w:rsidR="00AE4B10" w:rsidRDefault="00AE4B10" w:rsidP="00AE4B10">
      <w:pPr>
        <w:rPr>
          <w:rFonts w:cs="Arial"/>
          <w:b/>
          <w:bCs/>
          <w:sz w:val="22"/>
          <w:szCs w:val="22"/>
        </w:rPr>
      </w:pPr>
    </w:p>
    <w:p w14:paraId="6E1B13AF" w14:textId="6B17486A" w:rsidR="00F70380" w:rsidRPr="002B1FF0" w:rsidRDefault="00F70380" w:rsidP="00AE4B10">
      <w:pPr>
        <w:rPr>
          <w:rFonts w:cs="Arial"/>
          <w:b/>
          <w:bCs/>
          <w:sz w:val="22"/>
          <w:szCs w:val="22"/>
        </w:rPr>
      </w:pPr>
      <w:r w:rsidRPr="002B1FF0">
        <w:rPr>
          <w:rFonts w:cs="Arial"/>
          <w:b/>
          <w:bCs/>
          <w:sz w:val="22"/>
          <w:szCs w:val="22"/>
        </w:rPr>
        <w:t>RESPUESTA:</w:t>
      </w:r>
    </w:p>
    <w:p w14:paraId="4E0739F1" w14:textId="1363936A" w:rsidR="00F70380" w:rsidRDefault="00F70380" w:rsidP="00AE4B10">
      <w:pPr>
        <w:pStyle w:val="Ttulo2"/>
        <w:numPr>
          <w:ilvl w:val="0"/>
          <w:numId w:val="0"/>
        </w:numPr>
        <w:spacing w:after="0"/>
      </w:pPr>
    </w:p>
    <w:p w14:paraId="576B18E9" w14:textId="3A72A47E" w:rsidR="00F70380" w:rsidRDefault="00AA3B3C" w:rsidP="00AE4B10">
      <w:r>
        <w:t xml:space="preserve">Ver respuesta al comentario </w:t>
      </w:r>
      <w:r>
        <w:fldChar w:fldCharType="begin"/>
      </w:r>
      <w:r>
        <w:instrText xml:space="preserve"> REF _Ref149289843 \w \h </w:instrText>
      </w:r>
      <w:r>
        <w:fldChar w:fldCharType="separate"/>
      </w:r>
      <w:r w:rsidR="0027336D">
        <w:t>15.1</w:t>
      </w:r>
      <w:r>
        <w:fldChar w:fldCharType="end"/>
      </w:r>
      <w:r>
        <w:t xml:space="preserve"> y al comentario </w:t>
      </w:r>
      <w:r>
        <w:fldChar w:fldCharType="begin"/>
      </w:r>
      <w:r>
        <w:instrText xml:space="preserve"> REF _Ref149298576 \w \h </w:instrText>
      </w:r>
      <w:r>
        <w:fldChar w:fldCharType="separate"/>
      </w:r>
      <w:r w:rsidR="0027336D">
        <w:t>18.6</w:t>
      </w:r>
      <w:r>
        <w:fldChar w:fldCharType="end"/>
      </w:r>
      <w:r>
        <w:t>.</w:t>
      </w:r>
    </w:p>
    <w:p w14:paraId="1C5195D6" w14:textId="77777777" w:rsidR="000A6F82" w:rsidRPr="00F70380" w:rsidRDefault="000A6F82" w:rsidP="00AE4B10"/>
    <w:p w14:paraId="2C10B514" w14:textId="77777777" w:rsidR="00F70380" w:rsidRDefault="00F70380" w:rsidP="00AE4B10">
      <w:pPr>
        <w:jc w:val="left"/>
        <w:rPr>
          <w:i/>
          <w:iCs/>
          <w:sz w:val="22"/>
        </w:rPr>
      </w:pPr>
    </w:p>
    <w:p w14:paraId="45C76105" w14:textId="230C60D4" w:rsidR="001A43D3" w:rsidRDefault="001A614B" w:rsidP="001A614B">
      <w:pPr>
        <w:pStyle w:val="Ttulo1"/>
      </w:pPr>
      <w:bookmarkStart w:id="282" w:name="_Toc158211585"/>
      <w:r>
        <w:t>ARTÍCULO 16</w:t>
      </w:r>
      <w:bookmarkEnd w:id="282"/>
    </w:p>
    <w:p w14:paraId="1E6FCEA5" w14:textId="4BF90723" w:rsidR="0035175D" w:rsidRDefault="001A43D3" w:rsidP="001A614B">
      <w:pPr>
        <w:pStyle w:val="Ttulo2"/>
      </w:pPr>
      <w:bookmarkStart w:id="283" w:name="_Toc158211586"/>
      <w:r w:rsidRPr="00A25B16">
        <w:t>VANTI</w:t>
      </w:r>
      <w:bookmarkEnd w:id="283"/>
      <w:r w:rsidRPr="00A25B16">
        <w:tab/>
      </w:r>
    </w:p>
    <w:p w14:paraId="56A96BF2" w14:textId="604789FF" w:rsidR="001A43D3" w:rsidRPr="00A25B16" w:rsidRDefault="001A43D3" w:rsidP="001A43D3">
      <w:pPr>
        <w:jc w:val="left"/>
        <w:rPr>
          <w:i/>
          <w:iCs/>
          <w:sz w:val="22"/>
        </w:rPr>
      </w:pPr>
      <w:r w:rsidRPr="00A25B16">
        <w:rPr>
          <w:i/>
          <w:iCs/>
          <w:sz w:val="22"/>
        </w:rPr>
        <w:t>"Se valora de manera muy positiva que la Comisión tenga en cuenta las reglas de comportamiento que establece la Resolución CREG 080 de 2019. Sin embargo, el Grupo Vanti sugiere complementar el artículo 16 de la resolución en consulta, así:</w:t>
      </w:r>
    </w:p>
    <w:p w14:paraId="3C9F0B24" w14:textId="77777777" w:rsidR="001A43D3" w:rsidRPr="00A25B16" w:rsidRDefault="001A43D3" w:rsidP="001A43D3">
      <w:pPr>
        <w:jc w:val="left"/>
        <w:rPr>
          <w:i/>
          <w:iCs/>
          <w:sz w:val="22"/>
        </w:rPr>
      </w:pPr>
    </w:p>
    <w:p w14:paraId="3C7B30F5" w14:textId="77777777" w:rsidR="001A43D3" w:rsidRPr="00A25B16" w:rsidRDefault="001A43D3" w:rsidP="001A43D3">
      <w:pPr>
        <w:jc w:val="left"/>
        <w:rPr>
          <w:i/>
          <w:iCs/>
          <w:sz w:val="22"/>
        </w:rPr>
      </w:pPr>
      <w:r w:rsidRPr="00A25B16">
        <w:rPr>
          <w:i/>
          <w:iCs/>
          <w:sz w:val="22"/>
        </w:rPr>
        <w:t xml:space="preserve">“Artículo 16. Reglas de comportamiento. Todos los Participantes en el Mercado Mayorista de Gas Natural deberán dar cumplimiento a las reglas de comportamiento establecidas en la Resolución CREG 080 de 2019, o aquella que la modifique, añada o sustituya, </w:t>
      </w:r>
      <w:r w:rsidRPr="00D360E4">
        <w:rPr>
          <w:i/>
          <w:iCs/>
          <w:sz w:val="22"/>
          <w:u w:val="single"/>
        </w:rPr>
        <w:t>en especial lo dispuesto en los Artículos 4, numeral 4.2; 14, 21 y 23</w:t>
      </w:r>
      <w:r w:rsidRPr="00A25B16">
        <w:rPr>
          <w:i/>
          <w:iCs/>
          <w:sz w:val="22"/>
        </w:rPr>
        <w:t>” (Destacado fuera de texto)</w:t>
      </w:r>
    </w:p>
    <w:p w14:paraId="5D11E86A" w14:textId="77777777" w:rsidR="001A43D3" w:rsidRPr="00A25B16" w:rsidRDefault="001A43D3" w:rsidP="001A43D3">
      <w:pPr>
        <w:jc w:val="left"/>
        <w:rPr>
          <w:i/>
          <w:iCs/>
          <w:sz w:val="22"/>
        </w:rPr>
      </w:pPr>
    </w:p>
    <w:p w14:paraId="4D1D51E9" w14:textId="130E1A4E" w:rsidR="001A43D3" w:rsidRPr="00A25B16" w:rsidRDefault="001A43D3" w:rsidP="001A43D3">
      <w:pPr>
        <w:jc w:val="left"/>
        <w:rPr>
          <w:i/>
          <w:iCs/>
          <w:sz w:val="22"/>
        </w:rPr>
      </w:pPr>
      <w:r w:rsidRPr="00A25B16">
        <w:rPr>
          <w:i/>
          <w:iCs/>
          <w:sz w:val="22"/>
        </w:rPr>
        <w:t>Con la modificación propuesta se vela por el correcto traslado de los cobros que se generen por las nuevas implementaciones transitorias propuestas por la Comisión."</w:t>
      </w:r>
    </w:p>
    <w:p w14:paraId="5709DDB7" w14:textId="77777777" w:rsidR="001A43D3" w:rsidRPr="00A25B16" w:rsidRDefault="001A43D3" w:rsidP="001A43D3">
      <w:pPr>
        <w:jc w:val="left"/>
        <w:rPr>
          <w:i/>
          <w:iCs/>
          <w:sz w:val="22"/>
        </w:rPr>
      </w:pPr>
    </w:p>
    <w:p w14:paraId="00082002" w14:textId="77777777" w:rsidR="002B1FF0" w:rsidRPr="002B1FF0" w:rsidRDefault="002B1FF0" w:rsidP="002B1FF0">
      <w:pPr>
        <w:rPr>
          <w:rFonts w:cs="Arial"/>
          <w:b/>
          <w:bCs/>
          <w:sz w:val="22"/>
          <w:szCs w:val="22"/>
        </w:rPr>
      </w:pPr>
      <w:r w:rsidRPr="002B1FF0">
        <w:rPr>
          <w:rFonts w:cs="Arial"/>
          <w:b/>
          <w:bCs/>
          <w:sz w:val="22"/>
          <w:szCs w:val="22"/>
        </w:rPr>
        <w:t>RESPUESTA:</w:t>
      </w:r>
    </w:p>
    <w:p w14:paraId="52C0A97E" w14:textId="77777777" w:rsidR="002B1FF0" w:rsidRDefault="002B1FF0" w:rsidP="002B1FF0">
      <w:pPr>
        <w:rPr>
          <w:rFonts w:cs="Arial"/>
          <w:sz w:val="22"/>
          <w:szCs w:val="22"/>
        </w:rPr>
      </w:pPr>
    </w:p>
    <w:p w14:paraId="51E8D31B" w14:textId="77777777" w:rsidR="00D360E4" w:rsidRDefault="00D360E4" w:rsidP="00861AC2">
      <w:pPr>
        <w:rPr>
          <w:rFonts w:cs="Arial"/>
          <w:sz w:val="22"/>
          <w:szCs w:val="22"/>
        </w:rPr>
      </w:pPr>
      <w:r>
        <w:rPr>
          <w:rFonts w:cs="Arial"/>
          <w:sz w:val="22"/>
          <w:szCs w:val="22"/>
        </w:rPr>
        <w:t>Se acoge el comentario parcialmente.</w:t>
      </w:r>
    </w:p>
    <w:p w14:paraId="16090961" w14:textId="77777777" w:rsidR="00D360E4" w:rsidRDefault="00D360E4" w:rsidP="00861AC2">
      <w:pPr>
        <w:rPr>
          <w:rFonts w:cs="Arial"/>
          <w:sz w:val="22"/>
          <w:szCs w:val="22"/>
        </w:rPr>
      </w:pPr>
    </w:p>
    <w:p w14:paraId="67C4264D" w14:textId="41BBA7E2" w:rsidR="00861AC2" w:rsidRPr="002B1FF0" w:rsidRDefault="00D360E4" w:rsidP="00861AC2">
      <w:pPr>
        <w:rPr>
          <w:rFonts w:cs="Arial"/>
          <w:sz w:val="22"/>
          <w:szCs w:val="22"/>
        </w:rPr>
      </w:pPr>
      <w:r>
        <w:rPr>
          <w:rFonts w:cs="Arial"/>
          <w:sz w:val="22"/>
          <w:szCs w:val="22"/>
        </w:rPr>
        <w:t xml:space="preserve">Se trata de que los participantes del mercado tengan claro la aplicación de todas las reglas de comportamiento, sin que de algún modo se pueda interpretar que son solo aquellas que se particularizan, en la resolución definitiva se colocará un texto que logre el mejor compromiso entre algunas reglas de comportamiento específicas que, en virtud de la propuesta de regulación planteada, </w:t>
      </w:r>
      <w:r w:rsidR="005316F7">
        <w:rPr>
          <w:rFonts w:cs="Arial"/>
          <w:sz w:val="22"/>
          <w:szCs w:val="22"/>
        </w:rPr>
        <w:t xml:space="preserve">los participantes del mercado </w:t>
      </w:r>
      <w:r>
        <w:rPr>
          <w:rFonts w:cs="Arial"/>
          <w:sz w:val="22"/>
          <w:szCs w:val="22"/>
        </w:rPr>
        <w:t xml:space="preserve">deben ser  extremadamente cuidadosos y rigurosos </w:t>
      </w:r>
      <w:r w:rsidR="00861AC2" w:rsidRPr="009806BB">
        <w:rPr>
          <w:rFonts w:cs="Arial"/>
          <w:sz w:val="22"/>
          <w:szCs w:val="22"/>
        </w:rPr>
        <w:t xml:space="preserve">en el marco de los comportamientos establecidos en la Resolución CREG 080 de 2019, </w:t>
      </w:r>
      <w:bookmarkStart w:id="284" w:name="_Hlk149294235"/>
      <w:r w:rsidR="00861AC2" w:rsidRPr="009806BB">
        <w:rPr>
          <w:rFonts w:cs="Arial"/>
          <w:sz w:val="22"/>
          <w:szCs w:val="22"/>
        </w:rPr>
        <w:t>en especial lo contemplado en el Capítulo II “</w:t>
      </w:r>
      <w:r w:rsidR="00861AC2" w:rsidRPr="009806BB">
        <w:rPr>
          <w:rFonts w:cs="Arial"/>
          <w:i/>
          <w:iCs/>
          <w:sz w:val="22"/>
          <w:szCs w:val="22"/>
        </w:rPr>
        <w:t>Comportamientos que propenden por el cumplimiento de los fines de la regulación</w:t>
      </w:r>
      <w:r w:rsidR="00861AC2" w:rsidRPr="009806BB">
        <w:rPr>
          <w:rFonts w:cs="Arial"/>
          <w:sz w:val="22"/>
          <w:szCs w:val="22"/>
        </w:rPr>
        <w:t>”</w:t>
      </w:r>
      <w:r w:rsidR="00861AC2">
        <w:rPr>
          <w:rFonts w:cs="Arial"/>
          <w:sz w:val="22"/>
          <w:szCs w:val="22"/>
        </w:rPr>
        <w:t>, Capítulo VII “</w:t>
      </w:r>
      <w:r w:rsidR="00861AC2" w:rsidRPr="00861AC2">
        <w:rPr>
          <w:rFonts w:cs="Arial"/>
          <w:i/>
          <w:iCs/>
          <w:sz w:val="22"/>
          <w:szCs w:val="22"/>
        </w:rPr>
        <w:t>Comportamientos que propenden por la competencia efectiva en el mercado</w:t>
      </w:r>
      <w:r w:rsidR="00861AC2">
        <w:rPr>
          <w:rFonts w:cs="Arial"/>
          <w:sz w:val="22"/>
          <w:szCs w:val="22"/>
        </w:rPr>
        <w:t>” y Capítulo VIII “</w:t>
      </w:r>
      <w:r w:rsidR="00861AC2" w:rsidRPr="00861AC2">
        <w:rPr>
          <w:rFonts w:cs="Arial"/>
          <w:i/>
          <w:iCs/>
          <w:sz w:val="22"/>
          <w:szCs w:val="22"/>
        </w:rPr>
        <w:t>Comportamientos que propenden por la adecuada prestación del servicio público”.</w:t>
      </w:r>
      <w:bookmarkEnd w:id="284"/>
    </w:p>
    <w:p w14:paraId="44332C87" w14:textId="77777777" w:rsidR="002B1FF0" w:rsidRDefault="002B1FF0" w:rsidP="002B1FF0">
      <w:pPr>
        <w:rPr>
          <w:rFonts w:cs="Arial"/>
          <w:sz w:val="22"/>
          <w:szCs w:val="22"/>
        </w:rPr>
      </w:pPr>
    </w:p>
    <w:p w14:paraId="783C2978" w14:textId="77777777" w:rsidR="001A43D3" w:rsidRPr="00A25B16" w:rsidRDefault="001A43D3" w:rsidP="001A43D3">
      <w:pPr>
        <w:jc w:val="left"/>
        <w:rPr>
          <w:i/>
          <w:iCs/>
          <w:sz w:val="22"/>
        </w:rPr>
      </w:pPr>
    </w:p>
    <w:p w14:paraId="78B6B244" w14:textId="0275CE6C" w:rsidR="001A43D3" w:rsidRDefault="001A614B" w:rsidP="001A614B">
      <w:pPr>
        <w:pStyle w:val="Ttulo1"/>
      </w:pPr>
      <w:bookmarkStart w:id="285" w:name="_Toc158211587"/>
      <w:r>
        <w:t>ARTÍCULO 17</w:t>
      </w:r>
      <w:bookmarkEnd w:id="285"/>
    </w:p>
    <w:p w14:paraId="2C8C6A2C" w14:textId="371430C5" w:rsidR="0035175D" w:rsidRDefault="001A43D3" w:rsidP="001A614B">
      <w:pPr>
        <w:pStyle w:val="Ttulo2"/>
      </w:pPr>
      <w:bookmarkStart w:id="286" w:name="_Ref149295087"/>
      <w:bookmarkStart w:id="287" w:name="_Ref149296283"/>
      <w:bookmarkStart w:id="288" w:name="_Toc158211588"/>
      <w:r w:rsidRPr="00A25B16">
        <w:t>ACP</w:t>
      </w:r>
      <w:bookmarkEnd w:id="286"/>
      <w:bookmarkEnd w:id="287"/>
      <w:bookmarkEnd w:id="288"/>
      <w:r w:rsidRPr="00A25B16">
        <w:tab/>
      </w:r>
    </w:p>
    <w:p w14:paraId="0022AEA2" w14:textId="2BDDFFFB" w:rsidR="001A43D3" w:rsidRPr="00A25B16" w:rsidRDefault="001A43D3" w:rsidP="001A43D3">
      <w:pPr>
        <w:jc w:val="left"/>
        <w:rPr>
          <w:i/>
          <w:iCs/>
          <w:sz w:val="22"/>
        </w:rPr>
      </w:pPr>
      <w:r w:rsidRPr="00A25B16">
        <w:rPr>
          <w:i/>
          <w:iCs/>
          <w:sz w:val="22"/>
        </w:rPr>
        <w:t>"Entendiendo que la motivación manifiesta de la propuesta regulatoria descrita en el documento soporte, es solventar cualquier dificultad que se pueda dar en la contratación de suministro para el año gas 2023 – 2024, no es clara la motivación de tener fechas de duración máxima y vigencia regulatoria diferenciales.</w:t>
      </w:r>
    </w:p>
    <w:p w14:paraId="4D922157" w14:textId="77777777" w:rsidR="001A43D3" w:rsidRPr="00A25B16" w:rsidRDefault="001A43D3" w:rsidP="001A43D3">
      <w:pPr>
        <w:jc w:val="left"/>
        <w:rPr>
          <w:i/>
          <w:iCs/>
          <w:sz w:val="22"/>
        </w:rPr>
      </w:pPr>
    </w:p>
    <w:p w14:paraId="7A15F20D" w14:textId="77777777" w:rsidR="001A43D3" w:rsidRDefault="001A43D3" w:rsidP="001A43D3">
      <w:pPr>
        <w:jc w:val="left"/>
        <w:rPr>
          <w:i/>
          <w:iCs/>
          <w:sz w:val="22"/>
        </w:rPr>
      </w:pPr>
      <w:r w:rsidRPr="00A25B16">
        <w:rPr>
          <w:i/>
          <w:iCs/>
          <w:sz w:val="22"/>
        </w:rPr>
        <w:t>En este sentido, proponemos a la comisión que las medidas adoptadas tengan una temporalidad alineada con lo descrito anteriormente y que, por tanto, rijan hasta el 30 de noviembre de 2024 de forma que se mitigue cualquier riesgo o dificultad comercial sobre el suministro en todo el periodo de comercialización."</w:t>
      </w:r>
    </w:p>
    <w:p w14:paraId="78CE95CD" w14:textId="77777777" w:rsidR="0035175D" w:rsidRDefault="0035175D" w:rsidP="001A43D3">
      <w:pPr>
        <w:jc w:val="left"/>
        <w:rPr>
          <w:i/>
          <w:iCs/>
          <w:sz w:val="22"/>
        </w:rPr>
      </w:pPr>
    </w:p>
    <w:p w14:paraId="4C990D33" w14:textId="77777777" w:rsidR="002B1FF0" w:rsidRPr="002B1FF0" w:rsidRDefault="002B1FF0" w:rsidP="002B1FF0">
      <w:pPr>
        <w:rPr>
          <w:rFonts w:cs="Arial"/>
          <w:b/>
          <w:bCs/>
          <w:sz w:val="22"/>
          <w:szCs w:val="22"/>
        </w:rPr>
      </w:pPr>
      <w:r w:rsidRPr="002B1FF0">
        <w:rPr>
          <w:rFonts w:cs="Arial"/>
          <w:b/>
          <w:bCs/>
          <w:sz w:val="22"/>
          <w:szCs w:val="22"/>
        </w:rPr>
        <w:t>RESPUESTA:</w:t>
      </w:r>
    </w:p>
    <w:p w14:paraId="269C3592" w14:textId="77777777" w:rsidR="002B1FF0" w:rsidRDefault="002B1FF0" w:rsidP="002B1FF0">
      <w:pPr>
        <w:rPr>
          <w:rFonts w:cs="Arial"/>
          <w:sz w:val="22"/>
          <w:szCs w:val="22"/>
        </w:rPr>
      </w:pPr>
    </w:p>
    <w:p w14:paraId="2A19646F" w14:textId="47FFB07E" w:rsidR="00DB37D7" w:rsidRDefault="00DB37D7" w:rsidP="002B1FF0">
      <w:pPr>
        <w:rPr>
          <w:rFonts w:cs="Arial"/>
          <w:sz w:val="22"/>
          <w:szCs w:val="22"/>
        </w:rPr>
      </w:pPr>
      <w:r>
        <w:rPr>
          <w:rFonts w:cs="Arial"/>
          <w:sz w:val="22"/>
          <w:szCs w:val="22"/>
        </w:rPr>
        <w:t>No se acoge el comentario.</w:t>
      </w:r>
    </w:p>
    <w:p w14:paraId="3C4B4012" w14:textId="77777777" w:rsidR="00DB37D7" w:rsidRDefault="00DB37D7" w:rsidP="002B1FF0">
      <w:pPr>
        <w:rPr>
          <w:rFonts w:cs="Arial"/>
          <w:sz w:val="22"/>
          <w:szCs w:val="22"/>
        </w:rPr>
      </w:pPr>
    </w:p>
    <w:p w14:paraId="3BD56F3F" w14:textId="0C1727A5" w:rsidR="003C0D3F" w:rsidRDefault="00AD43FE" w:rsidP="003C0D3F">
      <w:pPr>
        <w:jc w:val="left"/>
        <w:rPr>
          <w:bCs/>
          <w:sz w:val="22"/>
        </w:rPr>
      </w:pPr>
      <w:r>
        <w:rPr>
          <w:rFonts w:cs="Arial"/>
          <w:sz w:val="22"/>
          <w:szCs w:val="22"/>
        </w:rPr>
        <w:t xml:space="preserve">En el capítulo </w:t>
      </w:r>
      <w:r>
        <w:rPr>
          <w:rFonts w:cs="Arial"/>
          <w:sz w:val="22"/>
          <w:szCs w:val="22"/>
        </w:rPr>
        <w:fldChar w:fldCharType="begin"/>
      </w:r>
      <w:r>
        <w:rPr>
          <w:rFonts w:cs="Arial"/>
          <w:sz w:val="22"/>
          <w:szCs w:val="22"/>
        </w:rPr>
        <w:instrText xml:space="preserve"> REF _Ref148943086 \w \h </w:instrText>
      </w:r>
      <w:r>
        <w:rPr>
          <w:rFonts w:cs="Arial"/>
          <w:sz w:val="22"/>
          <w:szCs w:val="22"/>
        </w:rPr>
      </w:r>
      <w:r>
        <w:rPr>
          <w:rFonts w:cs="Arial"/>
          <w:sz w:val="22"/>
          <w:szCs w:val="22"/>
        </w:rPr>
        <w:fldChar w:fldCharType="separate"/>
      </w:r>
      <w:r w:rsidR="0027336D">
        <w:rPr>
          <w:rFonts w:cs="Arial"/>
          <w:sz w:val="22"/>
          <w:szCs w:val="22"/>
        </w:rPr>
        <w:t>2</w:t>
      </w:r>
      <w:r>
        <w:rPr>
          <w:rFonts w:cs="Arial"/>
          <w:sz w:val="22"/>
          <w:szCs w:val="22"/>
        </w:rPr>
        <w:fldChar w:fldCharType="end"/>
      </w:r>
      <w:r>
        <w:rPr>
          <w:rFonts w:cs="Arial"/>
          <w:sz w:val="22"/>
          <w:szCs w:val="22"/>
        </w:rPr>
        <w:t xml:space="preserve"> se mencionan las circunstancias extraordinarias que se presentan actualmente y que se podrían continuar presentando en el corto plazo, en particular la ocurrencia de un Fenómeno de El Niño que se extienda en el 2024, que es la motivación principal de las propuestas publicadas. Se trata de un período de tiempo </w:t>
      </w:r>
      <w:r w:rsidR="00DB37D7">
        <w:rPr>
          <w:rFonts w:cs="Arial"/>
          <w:sz w:val="22"/>
          <w:szCs w:val="22"/>
        </w:rPr>
        <w:t>para</w:t>
      </w:r>
      <w:r>
        <w:rPr>
          <w:rFonts w:cs="Arial"/>
          <w:sz w:val="22"/>
          <w:szCs w:val="22"/>
        </w:rPr>
        <w:t xml:space="preserve"> el que la propuesta busca que se ponga en venta la mayor cantidad de gas natural en el Mercado Mayorista de tipo firme, sea en el Mercado Primario o sea en el Mercado Secundario. </w:t>
      </w:r>
      <w:r w:rsidR="00DB37D7">
        <w:rPr>
          <w:rFonts w:cs="Arial"/>
          <w:sz w:val="22"/>
          <w:szCs w:val="22"/>
        </w:rPr>
        <w:t xml:space="preserve">Asimismo, se tiene en cuenta </w:t>
      </w:r>
      <w:r w:rsidR="003C0D3F">
        <w:rPr>
          <w:bCs/>
          <w:sz w:val="22"/>
        </w:rPr>
        <w:t xml:space="preserve">el objetivo de la expedición de ajustes al funcionamiento del Mercado Mayorista de acuerdo con las propuestas presentadas de mayor fondo y estructura, mediante el Proyecto de Resolución CREG 702 003 de 2023. </w:t>
      </w:r>
    </w:p>
    <w:p w14:paraId="2C6921F0" w14:textId="77777777" w:rsidR="00B4676E" w:rsidRDefault="00B4676E" w:rsidP="003C0D3F">
      <w:pPr>
        <w:jc w:val="left"/>
        <w:rPr>
          <w:bCs/>
          <w:sz w:val="22"/>
        </w:rPr>
      </w:pPr>
    </w:p>
    <w:p w14:paraId="73DDC673" w14:textId="35F5C5DF" w:rsidR="0035175D" w:rsidRDefault="00A970AB" w:rsidP="001A43D3">
      <w:pPr>
        <w:jc w:val="left"/>
        <w:rPr>
          <w:bCs/>
          <w:sz w:val="22"/>
        </w:rPr>
      </w:pPr>
      <w:r>
        <w:rPr>
          <w:rFonts w:cs="Arial"/>
          <w:sz w:val="22"/>
          <w:szCs w:val="22"/>
        </w:rPr>
        <w:t xml:space="preserve">Ver respuesta </w:t>
      </w:r>
      <w:r>
        <w:rPr>
          <w:bCs/>
          <w:sz w:val="22"/>
        </w:rPr>
        <w:t xml:space="preserve">al comentario </w:t>
      </w:r>
      <w:r>
        <w:rPr>
          <w:bCs/>
          <w:sz w:val="22"/>
        </w:rPr>
        <w:fldChar w:fldCharType="begin"/>
      </w:r>
      <w:r>
        <w:rPr>
          <w:bCs/>
          <w:sz w:val="22"/>
        </w:rPr>
        <w:instrText xml:space="preserve"> REF _Ref149212293 \w \h </w:instrText>
      </w:r>
      <w:r>
        <w:rPr>
          <w:bCs/>
          <w:sz w:val="22"/>
        </w:rPr>
      </w:r>
      <w:r>
        <w:rPr>
          <w:bCs/>
          <w:sz w:val="22"/>
        </w:rPr>
        <w:fldChar w:fldCharType="separate"/>
      </w:r>
      <w:r w:rsidR="0027336D">
        <w:rPr>
          <w:bCs/>
          <w:sz w:val="22"/>
        </w:rPr>
        <w:t>9.1</w:t>
      </w:r>
      <w:r>
        <w:rPr>
          <w:bCs/>
          <w:sz w:val="22"/>
        </w:rPr>
        <w:fldChar w:fldCharType="end"/>
      </w:r>
      <w:r>
        <w:rPr>
          <w:bCs/>
          <w:sz w:val="22"/>
        </w:rPr>
        <w:t>.</w:t>
      </w:r>
    </w:p>
    <w:p w14:paraId="51136236" w14:textId="77777777" w:rsidR="00A970AB" w:rsidRDefault="00A970AB" w:rsidP="001A43D3">
      <w:pPr>
        <w:jc w:val="left"/>
        <w:rPr>
          <w:bCs/>
          <w:sz w:val="22"/>
        </w:rPr>
      </w:pPr>
    </w:p>
    <w:p w14:paraId="26CF0E1D" w14:textId="77777777" w:rsidR="00A970AB" w:rsidRPr="00A25B16" w:rsidRDefault="00A970AB" w:rsidP="001A43D3">
      <w:pPr>
        <w:jc w:val="left"/>
        <w:rPr>
          <w:i/>
          <w:iCs/>
          <w:sz w:val="22"/>
        </w:rPr>
      </w:pPr>
    </w:p>
    <w:p w14:paraId="612CE945" w14:textId="1A1E3237" w:rsidR="0035175D" w:rsidRDefault="001A43D3" w:rsidP="001A614B">
      <w:pPr>
        <w:pStyle w:val="Ttulo2"/>
      </w:pPr>
      <w:bookmarkStart w:id="289" w:name="_Toc158211589"/>
      <w:r w:rsidRPr="00A25B16">
        <w:t>GECELCA SA ESP</w:t>
      </w:r>
      <w:bookmarkEnd w:id="289"/>
      <w:r w:rsidRPr="00A25B16">
        <w:tab/>
      </w:r>
    </w:p>
    <w:p w14:paraId="36F3D715" w14:textId="557C05A6" w:rsidR="001A43D3" w:rsidRPr="00A25B16" w:rsidRDefault="001A43D3" w:rsidP="001A43D3">
      <w:pPr>
        <w:jc w:val="left"/>
        <w:rPr>
          <w:i/>
          <w:iCs/>
          <w:sz w:val="22"/>
        </w:rPr>
      </w:pPr>
      <w:r w:rsidRPr="00A25B16">
        <w:rPr>
          <w:i/>
          <w:iCs/>
          <w:sz w:val="22"/>
        </w:rPr>
        <w:t>"En relación con la vigencia de la resolución que está propuesta hasta el 31 de mayo de 2024. Vemos oportuno que estas medidas se extiendan al menos por todo el año de gas, es decir, hasta el 30 de noviembre de 2024, dado que estas se podrían requerir ante una eventual prolongación del fenómeno de El Niño, así como durante el tiempo de recuperación de la hidrología y un aumento en el consumo de gas natural que genere una mayor presión sobre el abastecimiento de este combustible.</w:t>
      </w:r>
    </w:p>
    <w:p w14:paraId="438F0BEF" w14:textId="77777777" w:rsidR="001A43D3" w:rsidRPr="00A25B16" w:rsidRDefault="001A43D3" w:rsidP="001A43D3">
      <w:pPr>
        <w:jc w:val="left"/>
        <w:rPr>
          <w:i/>
          <w:iCs/>
          <w:sz w:val="22"/>
        </w:rPr>
      </w:pPr>
    </w:p>
    <w:p w14:paraId="61C9985A" w14:textId="77777777" w:rsidR="001A43D3" w:rsidRDefault="001A43D3" w:rsidP="001A43D3">
      <w:pPr>
        <w:jc w:val="left"/>
        <w:rPr>
          <w:i/>
          <w:iCs/>
          <w:sz w:val="22"/>
        </w:rPr>
      </w:pPr>
      <w:r w:rsidRPr="00A25B16">
        <w:rPr>
          <w:i/>
          <w:iCs/>
          <w:sz w:val="22"/>
        </w:rPr>
        <w:t>Vemos oportuno que las medidas contempladas en esta resolución se extiendan hasta el 30 de noviembre de 2024. "</w:t>
      </w:r>
    </w:p>
    <w:p w14:paraId="3835A4EC" w14:textId="77777777" w:rsidR="0035175D" w:rsidRDefault="0035175D" w:rsidP="001A43D3">
      <w:pPr>
        <w:jc w:val="left"/>
        <w:rPr>
          <w:i/>
          <w:iCs/>
          <w:sz w:val="22"/>
        </w:rPr>
      </w:pPr>
    </w:p>
    <w:p w14:paraId="17818B61" w14:textId="77777777" w:rsidR="002B1FF0" w:rsidRPr="002B1FF0" w:rsidRDefault="002B1FF0" w:rsidP="002B1FF0">
      <w:pPr>
        <w:rPr>
          <w:rFonts w:cs="Arial"/>
          <w:b/>
          <w:bCs/>
          <w:sz w:val="22"/>
          <w:szCs w:val="22"/>
        </w:rPr>
      </w:pPr>
      <w:r w:rsidRPr="002B1FF0">
        <w:rPr>
          <w:rFonts w:cs="Arial"/>
          <w:b/>
          <w:bCs/>
          <w:sz w:val="22"/>
          <w:szCs w:val="22"/>
        </w:rPr>
        <w:t>RESPUESTA:</w:t>
      </w:r>
    </w:p>
    <w:p w14:paraId="5FCCD410" w14:textId="77777777" w:rsidR="002B1FF0" w:rsidRDefault="002B1FF0" w:rsidP="002B1FF0">
      <w:pPr>
        <w:rPr>
          <w:rFonts w:cs="Arial"/>
          <w:sz w:val="22"/>
          <w:szCs w:val="22"/>
        </w:rPr>
      </w:pPr>
    </w:p>
    <w:p w14:paraId="4FF0631F" w14:textId="21638190" w:rsidR="002B1FF0" w:rsidRPr="002B1FF0" w:rsidRDefault="001A07F6" w:rsidP="00190B99">
      <w:pPr>
        <w:jc w:val="left"/>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_Ref149295087 \w \h </w:instrText>
      </w:r>
      <w:r>
        <w:rPr>
          <w:rFonts w:cs="Arial"/>
          <w:sz w:val="22"/>
          <w:szCs w:val="22"/>
        </w:rPr>
      </w:r>
      <w:r>
        <w:rPr>
          <w:rFonts w:cs="Arial"/>
          <w:sz w:val="22"/>
          <w:szCs w:val="22"/>
        </w:rPr>
        <w:fldChar w:fldCharType="separate"/>
      </w:r>
      <w:r w:rsidR="0027336D">
        <w:rPr>
          <w:rFonts w:cs="Arial"/>
          <w:sz w:val="22"/>
          <w:szCs w:val="22"/>
        </w:rPr>
        <w:t>17.1</w:t>
      </w:r>
      <w:r>
        <w:rPr>
          <w:rFonts w:cs="Arial"/>
          <w:sz w:val="22"/>
          <w:szCs w:val="22"/>
        </w:rPr>
        <w:fldChar w:fldCharType="end"/>
      </w:r>
      <w:r>
        <w:rPr>
          <w:rFonts w:cs="Arial"/>
          <w:sz w:val="22"/>
          <w:szCs w:val="22"/>
        </w:rPr>
        <w:t>.</w:t>
      </w:r>
    </w:p>
    <w:p w14:paraId="3C6FD329" w14:textId="77777777" w:rsidR="0035175D" w:rsidRDefault="0035175D" w:rsidP="001A43D3">
      <w:pPr>
        <w:jc w:val="left"/>
        <w:rPr>
          <w:i/>
          <w:iCs/>
          <w:sz w:val="22"/>
        </w:rPr>
      </w:pPr>
    </w:p>
    <w:p w14:paraId="31CCF52D" w14:textId="77777777" w:rsidR="0035175D" w:rsidRPr="00A25B16" w:rsidRDefault="0035175D" w:rsidP="001A43D3">
      <w:pPr>
        <w:jc w:val="left"/>
        <w:rPr>
          <w:i/>
          <w:iCs/>
          <w:sz w:val="22"/>
        </w:rPr>
      </w:pPr>
    </w:p>
    <w:p w14:paraId="10644E8B" w14:textId="6E361B86" w:rsidR="0035175D" w:rsidRDefault="001A43D3" w:rsidP="001A614B">
      <w:pPr>
        <w:pStyle w:val="Ttulo2"/>
      </w:pPr>
      <w:bookmarkStart w:id="290" w:name="_Toc158211590"/>
      <w:r w:rsidRPr="00A25B16">
        <w:t>Gestor del Mercado de Gas Natural en Colombia</w:t>
      </w:r>
      <w:bookmarkEnd w:id="290"/>
      <w:r w:rsidRPr="00A25B16">
        <w:tab/>
      </w:r>
    </w:p>
    <w:p w14:paraId="0DE6AE4F" w14:textId="4AB7F057" w:rsidR="001A43D3" w:rsidRPr="00A25B16" w:rsidRDefault="001A43D3" w:rsidP="001A43D3">
      <w:pPr>
        <w:jc w:val="left"/>
        <w:rPr>
          <w:i/>
          <w:iCs/>
          <w:sz w:val="22"/>
        </w:rPr>
      </w:pPr>
      <w:r w:rsidRPr="00A25B16">
        <w:rPr>
          <w:i/>
          <w:iCs/>
          <w:sz w:val="22"/>
        </w:rPr>
        <w:t>"El Artículo 17 del proyecto de Resolución establece que:</w:t>
      </w:r>
    </w:p>
    <w:p w14:paraId="65B9B89B" w14:textId="77777777" w:rsidR="001A43D3" w:rsidRPr="00A25B16" w:rsidRDefault="001A43D3" w:rsidP="001A43D3">
      <w:pPr>
        <w:jc w:val="left"/>
        <w:rPr>
          <w:i/>
          <w:iCs/>
          <w:sz w:val="22"/>
        </w:rPr>
      </w:pPr>
    </w:p>
    <w:p w14:paraId="20EBFD15" w14:textId="77777777" w:rsidR="001A43D3" w:rsidRPr="00A25B16" w:rsidRDefault="001A43D3" w:rsidP="001A43D3">
      <w:pPr>
        <w:jc w:val="left"/>
        <w:rPr>
          <w:i/>
          <w:iCs/>
          <w:sz w:val="22"/>
        </w:rPr>
      </w:pPr>
      <w:r w:rsidRPr="00A25B16">
        <w:rPr>
          <w:i/>
          <w:iCs/>
          <w:sz w:val="22"/>
        </w:rPr>
        <w:t>""Artículo 17. Vigencia. La presente resolución rige de manera transitoria a partir de su publicación en el Diario Oficial, hasta el 31 de mayo de 2024 y deroga las normas que le sean contrarias."" (Subrayado fuera de texto).</w:t>
      </w:r>
    </w:p>
    <w:p w14:paraId="1858E240" w14:textId="77777777" w:rsidR="001A43D3" w:rsidRPr="00A25B16" w:rsidRDefault="001A43D3" w:rsidP="001A43D3">
      <w:pPr>
        <w:jc w:val="left"/>
        <w:rPr>
          <w:i/>
          <w:iCs/>
          <w:sz w:val="22"/>
        </w:rPr>
      </w:pPr>
    </w:p>
    <w:p w14:paraId="24EC8000" w14:textId="77777777" w:rsidR="001A43D3" w:rsidRPr="00A25B16" w:rsidRDefault="001A43D3" w:rsidP="001A43D3">
      <w:pPr>
        <w:jc w:val="left"/>
        <w:rPr>
          <w:i/>
          <w:iCs/>
          <w:sz w:val="22"/>
        </w:rPr>
      </w:pPr>
      <w:r w:rsidRPr="00A25B16">
        <w:rPr>
          <w:i/>
          <w:iCs/>
          <w:sz w:val="22"/>
        </w:rPr>
        <w:t>No obstante, se sugiere que la CREG otorgue un periodo de tiempo para que el Gestor del Mercado pueda llevar a cabo el desarrollo, las pruebas y la implementación de los ajustes tecnológicos que requiere la Resolución."</w:t>
      </w:r>
    </w:p>
    <w:p w14:paraId="0D412B10" w14:textId="77777777" w:rsidR="0035175D" w:rsidRDefault="0035175D" w:rsidP="001A43D3">
      <w:pPr>
        <w:jc w:val="left"/>
        <w:rPr>
          <w:i/>
          <w:iCs/>
          <w:sz w:val="22"/>
        </w:rPr>
      </w:pPr>
    </w:p>
    <w:p w14:paraId="20CF219A" w14:textId="77777777" w:rsidR="002B1FF0" w:rsidRPr="002B1FF0" w:rsidRDefault="002B1FF0" w:rsidP="002B1FF0">
      <w:pPr>
        <w:rPr>
          <w:rFonts w:cs="Arial"/>
          <w:b/>
          <w:bCs/>
          <w:sz w:val="22"/>
          <w:szCs w:val="22"/>
        </w:rPr>
      </w:pPr>
      <w:r w:rsidRPr="002B1FF0">
        <w:rPr>
          <w:rFonts w:cs="Arial"/>
          <w:b/>
          <w:bCs/>
          <w:sz w:val="22"/>
          <w:szCs w:val="22"/>
        </w:rPr>
        <w:t>RESPUESTA:</w:t>
      </w:r>
    </w:p>
    <w:p w14:paraId="4548D80D" w14:textId="77777777" w:rsidR="002B1FF0" w:rsidRPr="002B1FF0" w:rsidRDefault="002B1FF0" w:rsidP="002B1FF0">
      <w:pPr>
        <w:rPr>
          <w:rFonts w:cs="Arial"/>
          <w:sz w:val="22"/>
          <w:szCs w:val="22"/>
        </w:rPr>
      </w:pPr>
    </w:p>
    <w:p w14:paraId="16955307" w14:textId="5DDFD0DD" w:rsidR="002B1FF0" w:rsidRDefault="00B862AE" w:rsidP="002B1FF0">
      <w:pPr>
        <w:rPr>
          <w:rFonts w:cs="Arial"/>
          <w:sz w:val="22"/>
          <w:szCs w:val="22"/>
        </w:rPr>
      </w:pPr>
      <w:r>
        <w:rPr>
          <w:rFonts w:cs="Arial"/>
          <w:sz w:val="22"/>
          <w:szCs w:val="22"/>
        </w:rPr>
        <w:t>Se acoge el comentario parcialmente.</w:t>
      </w:r>
    </w:p>
    <w:p w14:paraId="6FF2F8E1" w14:textId="77777777" w:rsidR="00B862AE" w:rsidRDefault="00B862AE" w:rsidP="002B1FF0">
      <w:pPr>
        <w:rPr>
          <w:rFonts w:cs="Arial"/>
          <w:sz w:val="22"/>
          <w:szCs w:val="22"/>
        </w:rPr>
      </w:pPr>
    </w:p>
    <w:p w14:paraId="3758B782" w14:textId="34E88064" w:rsidR="00B862AE" w:rsidRDefault="00B862AE" w:rsidP="002B1FF0">
      <w:pPr>
        <w:rPr>
          <w:rFonts w:cs="Arial"/>
          <w:sz w:val="22"/>
          <w:szCs w:val="22"/>
        </w:rPr>
      </w:pPr>
      <w:r>
        <w:rPr>
          <w:rFonts w:cs="Arial"/>
          <w:sz w:val="22"/>
          <w:szCs w:val="22"/>
        </w:rPr>
        <w:t>Hay negociaciones que se pueden ir avanzando y contratos que se pueden ir negociando a partir de la entrada en vigencia de la resolución definitiva</w:t>
      </w:r>
      <w:r w:rsidR="00760B58">
        <w:rPr>
          <w:rFonts w:cs="Arial"/>
          <w:sz w:val="22"/>
          <w:szCs w:val="22"/>
        </w:rPr>
        <w:t>,</w:t>
      </w:r>
      <w:r w:rsidR="00A635DC">
        <w:rPr>
          <w:rFonts w:cs="Arial"/>
          <w:sz w:val="22"/>
          <w:szCs w:val="22"/>
        </w:rPr>
        <w:t xml:space="preserve"> con la información existente,</w:t>
      </w:r>
      <w:r>
        <w:rPr>
          <w:rFonts w:cs="Arial"/>
          <w:sz w:val="22"/>
          <w:szCs w:val="22"/>
        </w:rPr>
        <w:t xml:space="preserve"> sin que dependan de ajustes tecnológicos del Gestor del Mercado</w:t>
      </w:r>
      <w:r w:rsidR="00A635DC">
        <w:rPr>
          <w:rFonts w:cs="Arial"/>
          <w:sz w:val="22"/>
          <w:szCs w:val="22"/>
        </w:rPr>
        <w:t xml:space="preserve"> o de nuevas publicaciones</w:t>
      </w:r>
      <w:r w:rsidR="00760B58">
        <w:rPr>
          <w:rFonts w:cs="Arial"/>
          <w:sz w:val="22"/>
          <w:szCs w:val="22"/>
        </w:rPr>
        <w:t xml:space="preserve"> del Gestor</w:t>
      </w:r>
      <w:r w:rsidR="00A635DC">
        <w:rPr>
          <w:rFonts w:cs="Arial"/>
          <w:sz w:val="22"/>
          <w:szCs w:val="22"/>
        </w:rPr>
        <w:t>. Asimismo</w:t>
      </w:r>
      <w:r w:rsidR="00760B58">
        <w:rPr>
          <w:rFonts w:cs="Arial"/>
          <w:sz w:val="22"/>
          <w:szCs w:val="22"/>
        </w:rPr>
        <w:t>,</w:t>
      </w:r>
      <w:r w:rsidR="00A635DC">
        <w:rPr>
          <w:rFonts w:cs="Arial"/>
          <w:sz w:val="22"/>
          <w:szCs w:val="22"/>
        </w:rPr>
        <w:t xml:space="preserve"> no debería tomarse mayor tiempo en</w:t>
      </w:r>
      <w:r>
        <w:rPr>
          <w:rFonts w:cs="Arial"/>
          <w:sz w:val="22"/>
          <w:szCs w:val="22"/>
        </w:rPr>
        <w:t xml:space="preserve"> aspectos que el Gestor del Mercado ya debería tener implementados de tiempo anterior</w:t>
      </w:r>
      <w:r w:rsidR="00F04971">
        <w:rPr>
          <w:rFonts w:cs="Arial"/>
          <w:sz w:val="22"/>
          <w:szCs w:val="22"/>
        </w:rPr>
        <w:t>, en particular respecto del Mercado Secundario</w:t>
      </w:r>
      <w:r>
        <w:rPr>
          <w:rFonts w:cs="Arial"/>
          <w:sz w:val="22"/>
          <w:szCs w:val="22"/>
        </w:rPr>
        <w:t>.</w:t>
      </w:r>
      <w:r w:rsidR="00F04971">
        <w:rPr>
          <w:rFonts w:cs="Arial"/>
          <w:sz w:val="22"/>
          <w:szCs w:val="22"/>
        </w:rPr>
        <w:t xml:space="preserve"> </w:t>
      </w:r>
    </w:p>
    <w:p w14:paraId="0EBDCF98" w14:textId="77777777" w:rsidR="00A635DC" w:rsidRDefault="00A635DC" w:rsidP="002B1FF0">
      <w:pPr>
        <w:rPr>
          <w:rFonts w:cs="Arial"/>
          <w:sz w:val="22"/>
          <w:szCs w:val="22"/>
        </w:rPr>
      </w:pPr>
    </w:p>
    <w:p w14:paraId="60D364E8" w14:textId="7BC1E7A7" w:rsidR="00A635DC" w:rsidRPr="002B1FF0" w:rsidRDefault="00A635DC" w:rsidP="002B1FF0">
      <w:pPr>
        <w:rPr>
          <w:rFonts w:cs="Arial"/>
          <w:sz w:val="22"/>
          <w:szCs w:val="22"/>
        </w:rPr>
      </w:pPr>
      <w:r>
        <w:rPr>
          <w:rFonts w:cs="Arial"/>
          <w:sz w:val="22"/>
          <w:szCs w:val="22"/>
        </w:rPr>
        <w:t xml:space="preserve">En aquellos casos de </w:t>
      </w:r>
      <w:r w:rsidR="00760B58">
        <w:rPr>
          <w:rFonts w:cs="Arial"/>
          <w:sz w:val="22"/>
          <w:szCs w:val="22"/>
        </w:rPr>
        <w:t xml:space="preserve">manejo </w:t>
      </w:r>
      <w:r>
        <w:rPr>
          <w:rFonts w:cs="Arial"/>
          <w:sz w:val="22"/>
          <w:szCs w:val="22"/>
        </w:rPr>
        <w:t>de información</w:t>
      </w:r>
      <w:r w:rsidR="00760B58">
        <w:rPr>
          <w:rFonts w:cs="Arial"/>
          <w:sz w:val="22"/>
          <w:szCs w:val="22"/>
        </w:rPr>
        <w:t>, declaraciones, publicaciones, balances, etc.</w:t>
      </w:r>
      <w:r>
        <w:rPr>
          <w:rFonts w:cs="Arial"/>
          <w:sz w:val="22"/>
          <w:szCs w:val="22"/>
        </w:rPr>
        <w:t xml:space="preserve"> se establecerá un plazo pertinente para que el Gestor del Mercado pueda implementar y probar los ajustes en los sistemas de tecnología de información y comunicaciones, previo al inicio del uso por parte de los </w:t>
      </w:r>
      <w:r w:rsidR="006D517B">
        <w:rPr>
          <w:rFonts w:cs="Arial"/>
          <w:sz w:val="22"/>
          <w:szCs w:val="22"/>
        </w:rPr>
        <w:t>Participantes del Mercado</w:t>
      </w:r>
      <w:r>
        <w:rPr>
          <w:rFonts w:cs="Arial"/>
          <w:sz w:val="22"/>
          <w:szCs w:val="22"/>
        </w:rPr>
        <w:t>.</w:t>
      </w:r>
    </w:p>
    <w:p w14:paraId="4711421B" w14:textId="77777777" w:rsidR="0035175D" w:rsidRDefault="0035175D" w:rsidP="001A43D3">
      <w:pPr>
        <w:jc w:val="left"/>
        <w:rPr>
          <w:i/>
          <w:iCs/>
          <w:sz w:val="22"/>
        </w:rPr>
      </w:pPr>
    </w:p>
    <w:p w14:paraId="3C25E29D" w14:textId="77777777" w:rsidR="0035175D" w:rsidRDefault="0035175D" w:rsidP="001A43D3">
      <w:pPr>
        <w:jc w:val="left"/>
        <w:rPr>
          <w:i/>
          <w:iCs/>
          <w:sz w:val="22"/>
        </w:rPr>
      </w:pPr>
    </w:p>
    <w:p w14:paraId="2BB6C6A3" w14:textId="10F80A59" w:rsidR="0035175D" w:rsidRDefault="001A43D3" w:rsidP="001A614B">
      <w:pPr>
        <w:pStyle w:val="Ttulo2"/>
      </w:pPr>
      <w:bookmarkStart w:id="291" w:name="_Toc158211591"/>
      <w:r w:rsidRPr="00A25B16">
        <w:t>Hocol S.A.</w:t>
      </w:r>
      <w:bookmarkEnd w:id="291"/>
      <w:r w:rsidRPr="00A25B16">
        <w:tab/>
      </w:r>
    </w:p>
    <w:p w14:paraId="1FF7562B" w14:textId="3EE0E1B9" w:rsidR="001A43D3" w:rsidRDefault="0035175D" w:rsidP="001A43D3">
      <w:pPr>
        <w:jc w:val="left"/>
        <w:rPr>
          <w:i/>
          <w:iCs/>
          <w:sz w:val="22"/>
        </w:rPr>
      </w:pPr>
      <w:r>
        <w:rPr>
          <w:i/>
          <w:iCs/>
          <w:sz w:val="22"/>
        </w:rPr>
        <w:t>“</w:t>
      </w:r>
      <w:r w:rsidR="001A43D3" w:rsidRPr="00A25B16">
        <w:rPr>
          <w:i/>
          <w:iCs/>
          <w:sz w:val="22"/>
        </w:rPr>
        <w:t>Sugerimos que exista consistencia entre la vigencia de esta resolución a mayo 31 de 2024 y la vigencia de los contratos suscritos como resultado de la aplicación de estas medidas transitorias en agosto 31 de 2024; estas fechas deberían unificarse a agosto 31 de 2024 o incluso considerar mantener la vigencia de esta resolución hasta la finalización del año de gas, es decir noviembre 30 de 202</w:t>
      </w:r>
      <w:r>
        <w:rPr>
          <w:i/>
          <w:iCs/>
          <w:sz w:val="22"/>
        </w:rPr>
        <w:t>4.”</w:t>
      </w:r>
    </w:p>
    <w:p w14:paraId="4001486A" w14:textId="77777777" w:rsidR="0035175D" w:rsidRDefault="0035175D" w:rsidP="001A43D3">
      <w:pPr>
        <w:jc w:val="left"/>
        <w:rPr>
          <w:i/>
          <w:iCs/>
          <w:sz w:val="22"/>
        </w:rPr>
      </w:pPr>
    </w:p>
    <w:p w14:paraId="4908CE30" w14:textId="77777777" w:rsidR="002B1FF0" w:rsidRPr="002B1FF0" w:rsidRDefault="002B1FF0" w:rsidP="002B1FF0">
      <w:pPr>
        <w:rPr>
          <w:rFonts w:cs="Arial"/>
          <w:b/>
          <w:bCs/>
          <w:sz w:val="22"/>
          <w:szCs w:val="22"/>
        </w:rPr>
      </w:pPr>
      <w:r w:rsidRPr="002B1FF0">
        <w:rPr>
          <w:rFonts w:cs="Arial"/>
          <w:b/>
          <w:bCs/>
          <w:sz w:val="22"/>
          <w:szCs w:val="22"/>
        </w:rPr>
        <w:t>RESPUESTA:</w:t>
      </w:r>
    </w:p>
    <w:p w14:paraId="71DADDD4" w14:textId="77777777" w:rsidR="002B1FF0" w:rsidRPr="002B1FF0" w:rsidRDefault="002B1FF0" w:rsidP="002B1FF0">
      <w:pPr>
        <w:rPr>
          <w:rFonts w:cs="Arial"/>
          <w:sz w:val="22"/>
          <w:szCs w:val="22"/>
        </w:rPr>
      </w:pPr>
    </w:p>
    <w:p w14:paraId="747CF869" w14:textId="7D2F40E4" w:rsidR="002B1FF0" w:rsidRPr="002B1FF0" w:rsidRDefault="0003026D"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_Ref149212293 \w \h </w:instrText>
      </w:r>
      <w:r>
        <w:rPr>
          <w:rFonts w:cs="Arial"/>
          <w:sz w:val="22"/>
          <w:szCs w:val="22"/>
        </w:rPr>
      </w:r>
      <w:r>
        <w:rPr>
          <w:rFonts w:cs="Arial"/>
          <w:sz w:val="22"/>
          <w:szCs w:val="22"/>
        </w:rPr>
        <w:fldChar w:fldCharType="separate"/>
      </w:r>
      <w:r w:rsidR="0027336D">
        <w:rPr>
          <w:rFonts w:cs="Arial"/>
          <w:sz w:val="22"/>
          <w:szCs w:val="22"/>
        </w:rPr>
        <w:t>9.1</w:t>
      </w:r>
      <w:r>
        <w:rPr>
          <w:rFonts w:cs="Arial"/>
          <w:sz w:val="22"/>
          <w:szCs w:val="22"/>
        </w:rPr>
        <w:fldChar w:fldCharType="end"/>
      </w:r>
      <w:r>
        <w:rPr>
          <w:rFonts w:cs="Arial"/>
          <w:sz w:val="22"/>
          <w:szCs w:val="22"/>
        </w:rPr>
        <w:t>.</w:t>
      </w:r>
    </w:p>
    <w:p w14:paraId="230C4279" w14:textId="77777777" w:rsidR="0035175D" w:rsidRDefault="0035175D" w:rsidP="001A43D3">
      <w:pPr>
        <w:jc w:val="left"/>
        <w:rPr>
          <w:i/>
          <w:iCs/>
          <w:sz w:val="22"/>
        </w:rPr>
      </w:pPr>
    </w:p>
    <w:p w14:paraId="5A598F33" w14:textId="77777777" w:rsidR="0035175D" w:rsidRPr="00A25B16" w:rsidRDefault="0035175D" w:rsidP="001A43D3">
      <w:pPr>
        <w:jc w:val="left"/>
        <w:rPr>
          <w:i/>
          <w:iCs/>
          <w:sz w:val="22"/>
        </w:rPr>
      </w:pPr>
    </w:p>
    <w:p w14:paraId="3D6CA614" w14:textId="4AC7F2C4" w:rsidR="0035175D" w:rsidRDefault="001A43D3" w:rsidP="001A614B">
      <w:pPr>
        <w:pStyle w:val="Ttulo2"/>
      </w:pPr>
      <w:bookmarkStart w:id="292" w:name="_Toc158211592"/>
      <w:r w:rsidRPr="00A25B16">
        <w:t>SANTAFÉ ENERGY</w:t>
      </w:r>
      <w:bookmarkEnd w:id="292"/>
      <w:r w:rsidRPr="00A25B16">
        <w:tab/>
      </w:r>
    </w:p>
    <w:p w14:paraId="58110533" w14:textId="5EF9061B" w:rsidR="001A43D3" w:rsidRPr="00A25B16" w:rsidRDefault="0035175D" w:rsidP="001A43D3">
      <w:pPr>
        <w:jc w:val="left"/>
        <w:rPr>
          <w:i/>
          <w:iCs/>
          <w:sz w:val="22"/>
        </w:rPr>
      </w:pPr>
      <w:r>
        <w:rPr>
          <w:i/>
          <w:iCs/>
          <w:sz w:val="22"/>
        </w:rPr>
        <w:t>“</w:t>
      </w:r>
      <w:r w:rsidR="001A43D3" w:rsidRPr="00A25B16">
        <w:rPr>
          <w:i/>
          <w:iCs/>
          <w:sz w:val="22"/>
        </w:rPr>
        <w:t>Consideramos que la vigencia debería ser acorde al año de gas.</w:t>
      </w:r>
      <w:r>
        <w:rPr>
          <w:i/>
          <w:iCs/>
          <w:sz w:val="22"/>
        </w:rPr>
        <w:t>”</w:t>
      </w:r>
    </w:p>
    <w:p w14:paraId="1A5FD5B3" w14:textId="77777777" w:rsidR="00B70F87" w:rsidRPr="00A25B16" w:rsidRDefault="00B70F87" w:rsidP="001A43D3">
      <w:pPr>
        <w:jc w:val="left"/>
        <w:rPr>
          <w:i/>
          <w:iCs/>
          <w:sz w:val="22"/>
        </w:rPr>
      </w:pPr>
    </w:p>
    <w:p w14:paraId="73B93612" w14:textId="77777777" w:rsidR="002B1FF0" w:rsidRPr="002B1FF0" w:rsidRDefault="002B1FF0" w:rsidP="002B1FF0">
      <w:pPr>
        <w:rPr>
          <w:rFonts w:cs="Arial"/>
          <w:b/>
          <w:bCs/>
          <w:sz w:val="22"/>
          <w:szCs w:val="22"/>
        </w:rPr>
      </w:pPr>
      <w:r w:rsidRPr="002B1FF0">
        <w:rPr>
          <w:rFonts w:cs="Arial"/>
          <w:b/>
          <w:bCs/>
          <w:sz w:val="22"/>
          <w:szCs w:val="22"/>
        </w:rPr>
        <w:t>RESPUESTA:</w:t>
      </w:r>
    </w:p>
    <w:p w14:paraId="235C4DD2" w14:textId="77777777" w:rsidR="002B1FF0" w:rsidRPr="002B1FF0" w:rsidRDefault="002B1FF0" w:rsidP="002B1FF0">
      <w:pPr>
        <w:rPr>
          <w:rFonts w:cs="Arial"/>
          <w:sz w:val="22"/>
          <w:szCs w:val="22"/>
        </w:rPr>
      </w:pPr>
    </w:p>
    <w:p w14:paraId="68425748" w14:textId="557FAC90" w:rsidR="0003026D" w:rsidRPr="002B1FF0" w:rsidRDefault="0003026D" w:rsidP="0003026D">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_Ref149212293 \w \h </w:instrText>
      </w:r>
      <w:r>
        <w:rPr>
          <w:rFonts w:cs="Arial"/>
          <w:sz w:val="22"/>
          <w:szCs w:val="22"/>
        </w:rPr>
      </w:r>
      <w:r>
        <w:rPr>
          <w:rFonts w:cs="Arial"/>
          <w:sz w:val="22"/>
          <w:szCs w:val="22"/>
        </w:rPr>
        <w:fldChar w:fldCharType="separate"/>
      </w:r>
      <w:r w:rsidR="0027336D">
        <w:rPr>
          <w:rFonts w:cs="Arial"/>
          <w:sz w:val="22"/>
          <w:szCs w:val="22"/>
        </w:rPr>
        <w:t>9.1</w:t>
      </w:r>
      <w:r>
        <w:rPr>
          <w:rFonts w:cs="Arial"/>
          <w:sz w:val="22"/>
          <w:szCs w:val="22"/>
        </w:rPr>
        <w:fldChar w:fldCharType="end"/>
      </w:r>
      <w:r>
        <w:rPr>
          <w:rFonts w:cs="Arial"/>
          <w:sz w:val="22"/>
          <w:szCs w:val="22"/>
        </w:rPr>
        <w:t xml:space="preserve"> y al comentario </w:t>
      </w:r>
      <w:r>
        <w:rPr>
          <w:rFonts w:cs="Arial"/>
          <w:sz w:val="22"/>
          <w:szCs w:val="22"/>
        </w:rPr>
        <w:fldChar w:fldCharType="begin"/>
      </w:r>
      <w:r>
        <w:rPr>
          <w:rFonts w:cs="Arial"/>
          <w:sz w:val="22"/>
          <w:szCs w:val="22"/>
        </w:rPr>
        <w:instrText xml:space="preserve"> REF _Ref149296283 \w \h </w:instrText>
      </w:r>
      <w:r>
        <w:rPr>
          <w:rFonts w:cs="Arial"/>
          <w:sz w:val="22"/>
          <w:szCs w:val="22"/>
        </w:rPr>
      </w:r>
      <w:r>
        <w:rPr>
          <w:rFonts w:cs="Arial"/>
          <w:sz w:val="22"/>
          <w:szCs w:val="22"/>
        </w:rPr>
        <w:fldChar w:fldCharType="separate"/>
      </w:r>
      <w:r w:rsidR="0027336D">
        <w:rPr>
          <w:rFonts w:cs="Arial"/>
          <w:sz w:val="22"/>
          <w:szCs w:val="22"/>
        </w:rPr>
        <w:t>17.1</w:t>
      </w:r>
      <w:r>
        <w:rPr>
          <w:rFonts w:cs="Arial"/>
          <w:sz w:val="22"/>
          <w:szCs w:val="22"/>
        </w:rPr>
        <w:fldChar w:fldCharType="end"/>
      </w:r>
      <w:r>
        <w:rPr>
          <w:rFonts w:cs="Arial"/>
          <w:sz w:val="22"/>
          <w:szCs w:val="22"/>
        </w:rPr>
        <w:t>.</w:t>
      </w:r>
    </w:p>
    <w:p w14:paraId="27223FBE" w14:textId="77777777" w:rsidR="002B1FF0" w:rsidRPr="002B1FF0" w:rsidRDefault="002B1FF0" w:rsidP="002B1FF0">
      <w:pPr>
        <w:rPr>
          <w:rFonts w:cs="Arial"/>
          <w:sz w:val="22"/>
          <w:szCs w:val="22"/>
        </w:rPr>
      </w:pPr>
    </w:p>
    <w:p w14:paraId="50229F13" w14:textId="77777777" w:rsidR="00B70F87" w:rsidRDefault="00B70F87" w:rsidP="001A43D3">
      <w:pPr>
        <w:jc w:val="left"/>
        <w:rPr>
          <w:i/>
          <w:iCs/>
          <w:sz w:val="22"/>
        </w:rPr>
      </w:pPr>
    </w:p>
    <w:p w14:paraId="6850E04D" w14:textId="639DA19D" w:rsidR="00CD7465" w:rsidRDefault="00CD7465" w:rsidP="00CD7465">
      <w:pPr>
        <w:pStyle w:val="Ttulo2"/>
      </w:pPr>
      <w:bookmarkStart w:id="293" w:name="_Toc158211593"/>
      <w:r>
        <w:t>SSPD</w:t>
      </w:r>
      <w:bookmarkEnd w:id="293"/>
      <w:r w:rsidRPr="00A25B16">
        <w:tab/>
      </w:r>
    </w:p>
    <w:p w14:paraId="532ACDE0" w14:textId="0723308A" w:rsidR="00CD7465" w:rsidRPr="00CD7465" w:rsidRDefault="00CD7465" w:rsidP="00CD7465">
      <w:pPr>
        <w:jc w:val="left"/>
        <w:rPr>
          <w:i/>
          <w:iCs/>
          <w:sz w:val="22"/>
        </w:rPr>
      </w:pPr>
      <w:r>
        <w:rPr>
          <w:i/>
          <w:iCs/>
          <w:sz w:val="22"/>
        </w:rPr>
        <w:t>“</w:t>
      </w:r>
      <w:r w:rsidRPr="00CD7465">
        <w:rPr>
          <w:i/>
          <w:iCs/>
          <w:sz w:val="22"/>
        </w:rPr>
        <w:t>De conformidad con el texto del art</w:t>
      </w:r>
      <w:r w:rsidR="00C300A0">
        <w:rPr>
          <w:i/>
          <w:iCs/>
          <w:sz w:val="22"/>
        </w:rPr>
        <w:t>í</w:t>
      </w:r>
      <w:r w:rsidRPr="00CD7465">
        <w:rPr>
          <w:i/>
          <w:iCs/>
          <w:sz w:val="22"/>
        </w:rPr>
        <w:t>culo 17, es claro que el proyecto de resolución en su totalidad tiene efectos transitorios; no obstante y en línea con el comentario realizado por esta SSPD frente al art</w:t>
      </w:r>
      <w:r w:rsidR="00C300A0">
        <w:rPr>
          <w:i/>
          <w:iCs/>
          <w:sz w:val="22"/>
        </w:rPr>
        <w:t>í</w:t>
      </w:r>
      <w:r w:rsidRPr="00CD7465">
        <w:rPr>
          <w:i/>
          <w:iCs/>
          <w:sz w:val="22"/>
        </w:rPr>
        <w:t>culo 15 del proyecto, se sugiere que se ajuste el art</w:t>
      </w:r>
      <w:r w:rsidR="00C300A0">
        <w:rPr>
          <w:i/>
          <w:iCs/>
          <w:sz w:val="22"/>
        </w:rPr>
        <w:t>í</w:t>
      </w:r>
      <w:r w:rsidRPr="00CD7465">
        <w:rPr>
          <w:i/>
          <w:iCs/>
          <w:sz w:val="22"/>
        </w:rPr>
        <w:t>culo de vigencia con el fin de que la trans</w:t>
      </w:r>
      <w:r w:rsidR="00C300A0">
        <w:rPr>
          <w:i/>
          <w:iCs/>
          <w:sz w:val="22"/>
        </w:rPr>
        <w:t>i</w:t>
      </w:r>
      <w:r w:rsidRPr="00CD7465">
        <w:rPr>
          <w:i/>
          <w:iCs/>
          <w:sz w:val="22"/>
        </w:rPr>
        <w:t>toriedad no sea extensiva al art</w:t>
      </w:r>
      <w:r w:rsidR="00C300A0">
        <w:rPr>
          <w:i/>
          <w:iCs/>
          <w:sz w:val="22"/>
        </w:rPr>
        <w:t>í</w:t>
      </w:r>
      <w:r w:rsidRPr="00CD7465">
        <w:rPr>
          <w:i/>
          <w:iCs/>
          <w:sz w:val="22"/>
        </w:rPr>
        <w:t xml:space="preserve">culo 15. </w:t>
      </w:r>
    </w:p>
    <w:p w14:paraId="2C28F36D" w14:textId="77777777" w:rsidR="00CD7465" w:rsidRPr="00CD7465" w:rsidRDefault="00CD7465" w:rsidP="00CD7465">
      <w:pPr>
        <w:jc w:val="left"/>
        <w:rPr>
          <w:i/>
          <w:iCs/>
          <w:sz w:val="22"/>
        </w:rPr>
      </w:pPr>
    </w:p>
    <w:p w14:paraId="3A0F6966" w14:textId="7455A128" w:rsidR="00CD7465" w:rsidRPr="00CD7465" w:rsidRDefault="00CD7465" w:rsidP="00CD7465">
      <w:pPr>
        <w:jc w:val="left"/>
        <w:rPr>
          <w:i/>
          <w:iCs/>
          <w:sz w:val="22"/>
        </w:rPr>
      </w:pPr>
      <w:r w:rsidRPr="00CD7465">
        <w:rPr>
          <w:i/>
          <w:iCs/>
          <w:sz w:val="22"/>
        </w:rPr>
        <w:t>Se sugiere que la CREG ajuste el art</w:t>
      </w:r>
      <w:r w:rsidR="00C300A0">
        <w:rPr>
          <w:i/>
          <w:iCs/>
          <w:sz w:val="22"/>
        </w:rPr>
        <w:t>í</w:t>
      </w:r>
      <w:r w:rsidRPr="00CD7465">
        <w:rPr>
          <w:i/>
          <w:iCs/>
          <w:sz w:val="22"/>
        </w:rPr>
        <w:t xml:space="preserve">culo 17 del proyecto de resolución así: </w:t>
      </w:r>
    </w:p>
    <w:p w14:paraId="7C4B4EDC" w14:textId="77777777" w:rsidR="00CD7465" w:rsidRPr="00CD7465" w:rsidRDefault="00CD7465" w:rsidP="00CD7465">
      <w:pPr>
        <w:jc w:val="left"/>
        <w:rPr>
          <w:i/>
          <w:iCs/>
          <w:sz w:val="22"/>
        </w:rPr>
      </w:pPr>
    </w:p>
    <w:p w14:paraId="15ABAA70" w14:textId="6C09D341" w:rsidR="00CD7465" w:rsidRDefault="00CD7465" w:rsidP="00CD7465">
      <w:pPr>
        <w:ind w:left="432"/>
        <w:jc w:val="left"/>
        <w:rPr>
          <w:i/>
          <w:iCs/>
          <w:sz w:val="22"/>
        </w:rPr>
      </w:pPr>
      <w:r w:rsidRPr="00CD7465">
        <w:rPr>
          <w:i/>
          <w:iCs/>
          <w:sz w:val="22"/>
        </w:rPr>
        <w:t>"Articulo 17. Vigencia. La presente resolución rige de manera transitoria a partir de su publicación en el Diario Oficial, hasta el 31 de mayo de 2024 y deroga las normas que le sean contrarias, a ex</w:t>
      </w:r>
      <w:r w:rsidR="00C300A0">
        <w:rPr>
          <w:i/>
          <w:iCs/>
          <w:sz w:val="22"/>
        </w:rPr>
        <w:t>c</w:t>
      </w:r>
      <w:r w:rsidRPr="00CD7465">
        <w:rPr>
          <w:i/>
          <w:iCs/>
          <w:sz w:val="22"/>
        </w:rPr>
        <w:t>epción del articulo 15 el cual adiciona de manera permanente un artículo a la resolución CREG 186 de 2020.</w:t>
      </w:r>
      <w:r>
        <w:rPr>
          <w:i/>
          <w:iCs/>
          <w:sz w:val="22"/>
        </w:rPr>
        <w:t>”</w:t>
      </w:r>
    </w:p>
    <w:p w14:paraId="1708A0BA" w14:textId="77777777" w:rsidR="00CD7465" w:rsidRDefault="00CD7465" w:rsidP="001A43D3">
      <w:pPr>
        <w:jc w:val="left"/>
        <w:rPr>
          <w:i/>
          <w:iCs/>
          <w:sz w:val="22"/>
        </w:rPr>
      </w:pPr>
    </w:p>
    <w:p w14:paraId="68B416E1" w14:textId="77777777" w:rsidR="00CD7465" w:rsidRPr="002B1FF0" w:rsidRDefault="00CD7465" w:rsidP="00CD7465">
      <w:pPr>
        <w:rPr>
          <w:rFonts w:cs="Arial"/>
          <w:b/>
          <w:bCs/>
          <w:sz w:val="22"/>
          <w:szCs w:val="22"/>
        </w:rPr>
      </w:pPr>
      <w:r w:rsidRPr="002B1FF0">
        <w:rPr>
          <w:rFonts w:cs="Arial"/>
          <w:b/>
          <w:bCs/>
          <w:sz w:val="22"/>
          <w:szCs w:val="22"/>
        </w:rPr>
        <w:t>RESPUESTA:</w:t>
      </w:r>
    </w:p>
    <w:p w14:paraId="5FDE95B8" w14:textId="77777777" w:rsidR="00CD7465" w:rsidRPr="002B1FF0" w:rsidRDefault="00CD7465" w:rsidP="00CD7465">
      <w:pPr>
        <w:rPr>
          <w:rFonts w:cs="Arial"/>
          <w:sz w:val="22"/>
          <w:szCs w:val="22"/>
        </w:rPr>
      </w:pPr>
    </w:p>
    <w:p w14:paraId="7922A7D4" w14:textId="4DAF02F9" w:rsidR="00CD7465" w:rsidRPr="002B1FF0" w:rsidRDefault="00CD7465" w:rsidP="00CD7465">
      <w:pPr>
        <w:rPr>
          <w:rFonts w:cs="Arial"/>
          <w:sz w:val="22"/>
          <w:szCs w:val="22"/>
        </w:rPr>
      </w:pPr>
      <w:r>
        <w:rPr>
          <w:rFonts w:cs="Arial"/>
          <w:sz w:val="22"/>
          <w:szCs w:val="22"/>
        </w:rPr>
        <w:t xml:space="preserve">Ver respuesta al comentario </w:t>
      </w:r>
      <w:r w:rsidR="00C300A0">
        <w:rPr>
          <w:rFonts w:cs="Arial"/>
          <w:sz w:val="22"/>
          <w:szCs w:val="22"/>
        </w:rPr>
        <w:fldChar w:fldCharType="begin"/>
      </w:r>
      <w:r w:rsidR="00C300A0">
        <w:rPr>
          <w:rFonts w:cs="Arial"/>
          <w:sz w:val="22"/>
          <w:szCs w:val="22"/>
        </w:rPr>
        <w:instrText xml:space="preserve"> REF _Ref149570861 \w \h </w:instrText>
      </w:r>
      <w:r w:rsidR="00C300A0">
        <w:rPr>
          <w:rFonts w:cs="Arial"/>
          <w:sz w:val="22"/>
          <w:szCs w:val="22"/>
        </w:rPr>
      </w:r>
      <w:r w:rsidR="00C300A0">
        <w:rPr>
          <w:rFonts w:cs="Arial"/>
          <w:sz w:val="22"/>
          <w:szCs w:val="22"/>
        </w:rPr>
        <w:fldChar w:fldCharType="separate"/>
      </w:r>
      <w:r w:rsidR="0027336D">
        <w:rPr>
          <w:rFonts w:cs="Arial"/>
          <w:sz w:val="22"/>
          <w:szCs w:val="22"/>
        </w:rPr>
        <w:t>15.6</w:t>
      </w:r>
      <w:r w:rsidR="00C300A0">
        <w:rPr>
          <w:rFonts w:cs="Arial"/>
          <w:sz w:val="22"/>
          <w:szCs w:val="22"/>
        </w:rPr>
        <w:fldChar w:fldCharType="end"/>
      </w:r>
      <w:r>
        <w:rPr>
          <w:rFonts w:cs="Arial"/>
          <w:sz w:val="22"/>
          <w:szCs w:val="22"/>
        </w:rPr>
        <w:t>.</w:t>
      </w:r>
    </w:p>
    <w:p w14:paraId="6A6D6F16" w14:textId="77777777" w:rsidR="00CD7465" w:rsidRPr="00A25B16" w:rsidRDefault="00CD7465" w:rsidP="001A43D3">
      <w:pPr>
        <w:jc w:val="left"/>
        <w:rPr>
          <w:i/>
          <w:iCs/>
          <w:sz w:val="22"/>
        </w:rPr>
      </w:pPr>
    </w:p>
    <w:p w14:paraId="6F823A11" w14:textId="47867622" w:rsidR="001A614B" w:rsidRDefault="00650FB7" w:rsidP="001A614B">
      <w:pPr>
        <w:pStyle w:val="Ttulo1"/>
      </w:pPr>
      <w:bookmarkStart w:id="294" w:name="_Toc158211594"/>
      <w:r>
        <w:t>GENERAL</w:t>
      </w:r>
      <w:bookmarkEnd w:id="294"/>
    </w:p>
    <w:p w14:paraId="56D8DD5F" w14:textId="4C5B8ECD" w:rsidR="0035175D" w:rsidRDefault="00B70F87" w:rsidP="001A614B">
      <w:pPr>
        <w:pStyle w:val="Ttulo2"/>
      </w:pPr>
      <w:bookmarkStart w:id="295" w:name="_Ref149300523"/>
      <w:bookmarkStart w:id="296" w:name="_Toc158211595"/>
      <w:r w:rsidRPr="00A25B16">
        <w:t>ACOLGÉN</w:t>
      </w:r>
      <w:bookmarkEnd w:id="295"/>
      <w:bookmarkEnd w:id="296"/>
      <w:r w:rsidRPr="00A25B16">
        <w:tab/>
      </w:r>
    </w:p>
    <w:p w14:paraId="388B6922" w14:textId="7F531E45" w:rsidR="00B70F87" w:rsidRDefault="0035175D" w:rsidP="00B70F87">
      <w:pPr>
        <w:rPr>
          <w:rFonts w:cs="Arial"/>
          <w:i/>
          <w:iCs/>
          <w:sz w:val="22"/>
          <w:szCs w:val="22"/>
        </w:rPr>
      </w:pPr>
      <w:r>
        <w:rPr>
          <w:rFonts w:cs="Arial"/>
          <w:i/>
          <w:iCs/>
          <w:sz w:val="22"/>
          <w:szCs w:val="22"/>
        </w:rPr>
        <w:t>“</w:t>
      </w:r>
      <w:r w:rsidR="00B70F87" w:rsidRPr="00A25B16">
        <w:rPr>
          <w:rFonts w:cs="Arial"/>
          <w:i/>
          <w:iCs/>
          <w:sz w:val="22"/>
          <w:szCs w:val="22"/>
        </w:rPr>
        <w:t>De manera general, y antes de entrar en detalles, queremos subrayar nuestra preocupación sobre la situación de disponibilidad de gas natural con posterioridad al año 2024, razón por la cual consideramos de vital importancia que, mientras atendemos los retos inmediatos, dirijamos nuestra mirada hacia el horizonte para asegurar un suministro de gas que sea sostenible y estable para el beneficio de todos los colombianos; además, consideramos</w:t>
      </w:r>
      <w:r w:rsidR="00C668D8">
        <w:rPr>
          <w:rFonts w:cs="Arial"/>
          <w:i/>
          <w:iCs/>
          <w:sz w:val="22"/>
          <w:szCs w:val="22"/>
        </w:rPr>
        <w:t xml:space="preserve"> </w:t>
      </w:r>
      <w:r w:rsidR="00B70F87" w:rsidRPr="00A25B16">
        <w:rPr>
          <w:rFonts w:cs="Arial"/>
          <w:i/>
          <w:iCs/>
          <w:sz w:val="22"/>
          <w:szCs w:val="22"/>
        </w:rPr>
        <w:t>esencial fortalecer incentivos a los productores, los cuales resulten en la posibilidad de concretar mayor oferta en el mercado. En este sentido, resulta pertinente explorar y adoptar medidas innovadoras, tales como la  sustitución de gas en refinerías y la reinyección en procesos de extracción de crudo para así asegurar la robustez y estabilidad del mercado de gas natural a largo plazo.</w:t>
      </w:r>
      <w:r w:rsidR="00B02E57">
        <w:rPr>
          <w:rFonts w:cs="Arial"/>
          <w:i/>
          <w:iCs/>
          <w:sz w:val="22"/>
          <w:szCs w:val="22"/>
        </w:rPr>
        <w:t>”</w:t>
      </w:r>
    </w:p>
    <w:p w14:paraId="7765C026" w14:textId="77777777" w:rsidR="00B02E57" w:rsidRDefault="00B02E57" w:rsidP="00B70F87">
      <w:pPr>
        <w:rPr>
          <w:rFonts w:cs="Arial"/>
          <w:i/>
          <w:iCs/>
          <w:sz w:val="22"/>
          <w:szCs w:val="22"/>
        </w:rPr>
      </w:pPr>
    </w:p>
    <w:p w14:paraId="0B803FE8" w14:textId="77777777" w:rsidR="002B1FF0" w:rsidRPr="002B1FF0" w:rsidRDefault="002B1FF0" w:rsidP="002B1FF0">
      <w:pPr>
        <w:rPr>
          <w:rFonts w:cs="Arial"/>
          <w:b/>
          <w:bCs/>
          <w:sz w:val="22"/>
          <w:szCs w:val="22"/>
        </w:rPr>
      </w:pPr>
      <w:r w:rsidRPr="002B1FF0">
        <w:rPr>
          <w:rFonts w:cs="Arial"/>
          <w:b/>
          <w:bCs/>
          <w:sz w:val="22"/>
          <w:szCs w:val="22"/>
        </w:rPr>
        <w:t>RESPUESTA:</w:t>
      </w:r>
    </w:p>
    <w:p w14:paraId="52205A62" w14:textId="77777777" w:rsidR="002B1FF0" w:rsidRPr="002B1FF0" w:rsidRDefault="002B1FF0" w:rsidP="002B1FF0">
      <w:pPr>
        <w:rPr>
          <w:rFonts w:cs="Arial"/>
          <w:sz w:val="22"/>
          <w:szCs w:val="22"/>
        </w:rPr>
      </w:pPr>
    </w:p>
    <w:p w14:paraId="3E3836CC" w14:textId="5AB8FE02" w:rsidR="002B1FF0" w:rsidRDefault="004017F4" w:rsidP="002B1FF0">
      <w:pPr>
        <w:rPr>
          <w:rFonts w:cs="Arial"/>
          <w:sz w:val="22"/>
          <w:szCs w:val="22"/>
        </w:rPr>
      </w:pPr>
      <w:r>
        <w:rPr>
          <w:rFonts w:cs="Arial"/>
          <w:sz w:val="22"/>
          <w:szCs w:val="22"/>
        </w:rPr>
        <w:t xml:space="preserve">En el Proyecto de Resolución CREG 702 003 de 2023 se publicó la propuesta de ajustes al </w:t>
      </w:r>
      <w:r w:rsidR="002C6FC6">
        <w:rPr>
          <w:rFonts w:cs="Arial"/>
          <w:sz w:val="22"/>
          <w:szCs w:val="22"/>
        </w:rPr>
        <w:t>M</w:t>
      </w:r>
      <w:r>
        <w:rPr>
          <w:rFonts w:cs="Arial"/>
          <w:sz w:val="22"/>
          <w:szCs w:val="22"/>
        </w:rPr>
        <w:t xml:space="preserve">ercado Mayorista con la que se busca atender las nuevas circunstancias de la oferta de suministro de gas natural en los próximos años, teniendo como objetivo que la resolución definitiva del Proyecto se publique hacia el primer semestre de 2024. </w:t>
      </w:r>
    </w:p>
    <w:p w14:paraId="2C61866A" w14:textId="77777777" w:rsidR="004017F4" w:rsidRDefault="004017F4" w:rsidP="002B1FF0">
      <w:pPr>
        <w:rPr>
          <w:rFonts w:cs="Arial"/>
          <w:sz w:val="22"/>
          <w:szCs w:val="22"/>
        </w:rPr>
      </w:pPr>
    </w:p>
    <w:p w14:paraId="0B5FE518" w14:textId="4AF5449B" w:rsidR="004017F4" w:rsidRDefault="004017F4" w:rsidP="002B1FF0">
      <w:pPr>
        <w:rPr>
          <w:rFonts w:cs="Arial"/>
          <w:sz w:val="22"/>
          <w:szCs w:val="22"/>
        </w:rPr>
      </w:pPr>
      <w:r>
        <w:rPr>
          <w:rFonts w:cs="Arial"/>
          <w:sz w:val="22"/>
          <w:szCs w:val="22"/>
        </w:rPr>
        <w:t>No es de la competencia de la CREG establecer reglas en torno al autoconsumo del productor de gas natural para abastecer las refinerías de su propiedad o el uso de gas para reinyección y aumentar el factor de recobro de las fuentes de suministro nacionales. La CREG establece reglas de mercado para que el productos-comercializador tenga señales económicas para la colocación del gas que produce, ya sea para la venta en el Mercado Mayorista, o en los usos mencionados en el comentario recibido.</w:t>
      </w:r>
    </w:p>
    <w:p w14:paraId="1E1A59B5" w14:textId="77777777" w:rsidR="004017F4" w:rsidRPr="002B1FF0" w:rsidRDefault="004017F4" w:rsidP="002B1FF0">
      <w:pPr>
        <w:rPr>
          <w:rFonts w:cs="Arial"/>
          <w:sz w:val="22"/>
          <w:szCs w:val="22"/>
        </w:rPr>
      </w:pPr>
    </w:p>
    <w:p w14:paraId="54F5E7C0" w14:textId="77777777" w:rsidR="00B02E57" w:rsidRDefault="00B02E57" w:rsidP="00B70F87">
      <w:pPr>
        <w:rPr>
          <w:rFonts w:cs="Arial"/>
          <w:i/>
          <w:iCs/>
          <w:sz w:val="22"/>
          <w:szCs w:val="22"/>
        </w:rPr>
      </w:pPr>
    </w:p>
    <w:p w14:paraId="26B22743" w14:textId="54E093E5" w:rsidR="00B02E57" w:rsidRDefault="00B70F87" w:rsidP="001A614B">
      <w:pPr>
        <w:pStyle w:val="Ttulo2"/>
      </w:pPr>
      <w:bookmarkStart w:id="297" w:name="_Ref149297567"/>
      <w:bookmarkStart w:id="298" w:name="_Toc158211596"/>
      <w:r w:rsidRPr="00A25B16">
        <w:t>ACOLGÉN</w:t>
      </w:r>
      <w:bookmarkEnd w:id="297"/>
      <w:bookmarkEnd w:id="298"/>
      <w:r w:rsidRPr="00A25B16">
        <w:tab/>
      </w:r>
    </w:p>
    <w:p w14:paraId="574D0475" w14:textId="118E18B2" w:rsidR="00B70F87" w:rsidRDefault="00B02E57" w:rsidP="00B70F87">
      <w:pPr>
        <w:rPr>
          <w:rFonts w:cs="Arial"/>
          <w:i/>
          <w:iCs/>
          <w:sz w:val="22"/>
          <w:szCs w:val="22"/>
        </w:rPr>
      </w:pPr>
      <w:r>
        <w:rPr>
          <w:rFonts w:cs="Arial"/>
          <w:i/>
          <w:iCs/>
          <w:sz w:val="22"/>
          <w:szCs w:val="22"/>
        </w:rPr>
        <w:t>“</w:t>
      </w:r>
      <w:r w:rsidR="00B70F87" w:rsidRPr="00A25B16">
        <w:rPr>
          <w:rFonts w:cs="Arial"/>
          <w:i/>
          <w:iCs/>
          <w:sz w:val="22"/>
          <w:szCs w:val="22"/>
        </w:rPr>
        <w:t>No debe desconocerse la necesidad imperante de que el parque térmico pueda contar en el corto plazo con un suministro firme de gas natural, dada la coyuntura de El Niño que acontece. Para las plantas termoeléctricas es fundamental contar con excedentes de gas natural para generación, de manera que puedan honrar sus obligaciones de energía firme y generar por mérito cuando el mercado así lo requiera, como viene ocurriendo desde hace varios meses, logrando un equilibrio entre brindar confiabilidad al sistema y reducir los costos de generación, lo cual tiene un respectivo impacto positivo en la formación del precio de bolsa; lo anterior, teniendo presente que de no contar con gas natural, algunas plantas utilizarían energéticos sustitutos, como es el caso de los combustibles líquidos, los cuales podrían llegar a incrementar los costos de operación.</w:t>
      </w:r>
      <w:r>
        <w:rPr>
          <w:rFonts w:cs="Arial"/>
          <w:i/>
          <w:iCs/>
          <w:sz w:val="22"/>
          <w:szCs w:val="22"/>
        </w:rPr>
        <w:t>”</w:t>
      </w:r>
    </w:p>
    <w:p w14:paraId="6C920496" w14:textId="77777777" w:rsidR="00B02E57" w:rsidRDefault="00B02E57" w:rsidP="00B70F87">
      <w:pPr>
        <w:rPr>
          <w:rFonts w:cs="Arial"/>
          <w:i/>
          <w:iCs/>
          <w:sz w:val="22"/>
          <w:szCs w:val="22"/>
        </w:rPr>
      </w:pPr>
    </w:p>
    <w:p w14:paraId="0A273571" w14:textId="77777777" w:rsidR="002B1FF0" w:rsidRPr="002B1FF0" w:rsidRDefault="002B1FF0" w:rsidP="002B1FF0">
      <w:pPr>
        <w:rPr>
          <w:rFonts w:cs="Arial"/>
          <w:b/>
          <w:bCs/>
          <w:sz w:val="22"/>
          <w:szCs w:val="22"/>
        </w:rPr>
      </w:pPr>
      <w:r w:rsidRPr="002B1FF0">
        <w:rPr>
          <w:rFonts w:cs="Arial"/>
          <w:b/>
          <w:bCs/>
          <w:sz w:val="22"/>
          <w:szCs w:val="22"/>
        </w:rPr>
        <w:t>RESPUESTA:</w:t>
      </w:r>
    </w:p>
    <w:p w14:paraId="1D39E7A6" w14:textId="77777777" w:rsidR="002B1FF0" w:rsidRPr="002B1FF0" w:rsidRDefault="002B1FF0" w:rsidP="002B1FF0">
      <w:pPr>
        <w:rPr>
          <w:rFonts w:cs="Arial"/>
          <w:sz w:val="22"/>
          <w:szCs w:val="22"/>
        </w:rPr>
      </w:pPr>
    </w:p>
    <w:p w14:paraId="51789C9A" w14:textId="7805DF4D" w:rsidR="002B1FF0" w:rsidRPr="002B1FF0" w:rsidRDefault="00CC3116" w:rsidP="002B1FF0">
      <w:pPr>
        <w:rPr>
          <w:rFonts w:cs="Arial"/>
          <w:sz w:val="22"/>
          <w:szCs w:val="22"/>
        </w:rPr>
      </w:pPr>
      <w:r>
        <w:rPr>
          <w:rFonts w:cs="Arial"/>
          <w:sz w:val="22"/>
          <w:szCs w:val="22"/>
        </w:rPr>
        <w:t xml:space="preserve">Ver respuesta </w:t>
      </w:r>
      <w:r w:rsidR="00834B66">
        <w:rPr>
          <w:rFonts w:cs="Arial"/>
          <w:sz w:val="22"/>
          <w:szCs w:val="22"/>
        </w:rPr>
        <w:t xml:space="preserve">al comentario </w:t>
      </w:r>
      <w:r w:rsidR="00834B66">
        <w:rPr>
          <w:rFonts w:cs="Arial"/>
          <w:sz w:val="22"/>
          <w:szCs w:val="22"/>
        </w:rPr>
        <w:fldChar w:fldCharType="begin"/>
      </w:r>
      <w:r w:rsidR="00834B66">
        <w:rPr>
          <w:rFonts w:cs="Arial"/>
          <w:sz w:val="22"/>
          <w:szCs w:val="22"/>
        </w:rPr>
        <w:instrText xml:space="preserve"> REF _Ref149297447 \w \h </w:instrText>
      </w:r>
      <w:r w:rsidR="00834B66">
        <w:rPr>
          <w:rFonts w:cs="Arial"/>
          <w:sz w:val="22"/>
          <w:szCs w:val="22"/>
        </w:rPr>
      </w:r>
      <w:r w:rsidR="00834B66">
        <w:rPr>
          <w:rFonts w:cs="Arial"/>
          <w:sz w:val="22"/>
          <w:szCs w:val="22"/>
        </w:rPr>
        <w:fldChar w:fldCharType="separate"/>
      </w:r>
      <w:r w:rsidR="0027336D">
        <w:rPr>
          <w:rFonts w:cs="Arial"/>
          <w:sz w:val="22"/>
          <w:szCs w:val="22"/>
        </w:rPr>
        <w:t>10.3</w:t>
      </w:r>
      <w:r w:rsidR="00834B66">
        <w:rPr>
          <w:rFonts w:cs="Arial"/>
          <w:sz w:val="22"/>
          <w:szCs w:val="22"/>
        </w:rPr>
        <w:fldChar w:fldCharType="end"/>
      </w:r>
      <w:r w:rsidR="00834B66">
        <w:rPr>
          <w:rFonts w:cs="Arial"/>
          <w:sz w:val="22"/>
          <w:szCs w:val="22"/>
        </w:rPr>
        <w:t xml:space="preserve">, </w:t>
      </w:r>
      <w:r>
        <w:rPr>
          <w:rFonts w:cs="Arial"/>
          <w:sz w:val="22"/>
          <w:szCs w:val="22"/>
        </w:rPr>
        <w:t>al comentario</w:t>
      </w:r>
      <w:r w:rsidR="00BD5E09">
        <w:rPr>
          <w:rFonts w:cs="Arial"/>
          <w:sz w:val="22"/>
          <w:szCs w:val="22"/>
        </w:rPr>
        <w:t xml:space="preserve"> </w:t>
      </w:r>
      <w:r w:rsidR="00BD5E09">
        <w:rPr>
          <w:rFonts w:cs="Arial"/>
          <w:sz w:val="22"/>
          <w:szCs w:val="22"/>
        </w:rPr>
        <w:fldChar w:fldCharType="begin"/>
      </w:r>
      <w:r w:rsidR="00BD5E09">
        <w:rPr>
          <w:rFonts w:cs="Arial"/>
          <w:sz w:val="22"/>
          <w:szCs w:val="22"/>
        </w:rPr>
        <w:instrText xml:space="preserve"> REF _Ref149297242 \w \h </w:instrText>
      </w:r>
      <w:r w:rsidR="00BD5E09">
        <w:rPr>
          <w:rFonts w:cs="Arial"/>
          <w:sz w:val="22"/>
          <w:szCs w:val="22"/>
        </w:rPr>
      </w:r>
      <w:r w:rsidR="00BD5E09">
        <w:rPr>
          <w:rFonts w:cs="Arial"/>
          <w:sz w:val="22"/>
          <w:szCs w:val="22"/>
        </w:rPr>
        <w:fldChar w:fldCharType="separate"/>
      </w:r>
      <w:r w:rsidR="0027336D">
        <w:rPr>
          <w:rFonts w:cs="Arial"/>
          <w:sz w:val="22"/>
          <w:szCs w:val="22"/>
        </w:rPr>
        <w:t>12.1</w:t>
      </w:r>
      <w:r w:rsidR="00BD5E09">
        <w:rPr>
          <w:rFonts w:cs="Arial"/>
          <w:sz w:val="22"/>
          <w:szCs w:val="22"/>
        </w:rPr>
        <w:fldChar w:fldCharType="end"/>
      </w:r>
      <w:r w:rsidR="00BD5E09">
        <w:rPr>
          <w:rFonts w:cs="Arial"/>
          <w:sz w:val="22"/>
          <w:szCs w:val="22"/>
        </w:rPr>
        <w:t xml:space="preserve">, </w:t>
      </w:r>
      <w:r w:rsidR="00834B66">
        <w:rPr>
          <w:rFonts w:cs="Arial"/>
          <w:sz w:val="22"/>
          <w:szCs w:val="22"/>
        </w:rPr>
        <w:t xml:space="preserve">al comentario </w:t>
      </w:r>
      <w:r w:rsidR="00834B66">
        <w:rPr>
          <w:rFonts w:cs="Arial"/>
          <w:sz w:val="22"/>
          <w:szCs w:val="22"/>
        </w:rPr>
        <w:fldChar w:fldCharType="begin"/>
      </w:r>
      <w:r w:rsidR="00834B66">
        <w:rPr>
          <w:rFonts w:cs="Arial"/>
          <w:sz w:val="22"/>
          <w:szCs w:val="22"/>
        </w:rPr>
        <w:instrText xml:space="preserve"> REF _Ref149297498 \w \h </w:instrText>
      </w:r>
      <w:r w:rsidR="00834B66">
        <w:rPr>
          <w:rFonts w:cs="Arial"/>
          <w:sz w:val="22"/>
          <w:szCs w:val="22"/>
        </w:rPr>
      </w:r>
      <w:r w:rsidR="00834B66">
        <w:rPr>
          <w:rFonts w:cs="Arial"/>
          <w:sz w:val="22"/>
          <w:szCs w:val="22"/>
        </w:rPr>
        <w:fldChar w:fldCharType="separate"/>
      </w:r>
      <w:r w:rsidR="0027336D">
        <w:rPr>
          <w:rFonts w:cs="Arial"/>
          <w:sz w:val="22"/>
          <w:szCs w:val="22"/>
        </w:rPr>
        <w:t>12.6</w:t>
      </w:r>
      <w:r w:rsidR="00834B66">
        <w:rPr>
          <w:rFonts w:cs="Arial"/>
          <w:sz w:val="22"/>
          <w:szCs w:val="22"/>
        </w:rPr>
        <w:fldChar w:fldCharType="end"/>
      </w:r>
      <w:r w:rsidR="00834B66">
        <w:rPr>
          <w:rFonts w:cs="Arial"/>
          <w:sz w:val="22"/>
          <w:szCs w:val="22"/>
        </w:rPr>
        <w:t>, entre otros.</w:t>
      </w:r>
      <w:r w:rsidR="00BD5E09">
        <w:rPr>
          <w:rFonts w:cs="Arial"/>
          <w:sz w:val="22"/>
          <w:szCs w:val="22"/>
        </w:rPr>
        <w:t xml:space="preserve"> </w:t>
      </w:r>
    </w:p>
    <w:p w14:paraId="4E1FE40F" w14:textId="77777777" w:rsidR="001A614B" w:rsidRDefault="001A614B" w:rsidP="00B70F87">
      <w:pPr>
        <w:rPr>
          <w:rFonts w:cs="Arial"/>
          <w:i/>
          <w:iCs/>
          <w:sz w:val="22"/>
          <w:szCs w:val="22"/>
        </w:rPr>
      </w:pPr>
    </w:p>
    <w:p w14:paraId="0FAF3D58" w14:textId="77777777" w:rsidR="0060744B" w:rsidRDefault="0060744B" w:rsidP="00B70F87">
      <w:pPr>
        <w:rPr>
          <w:rFonts w:cs="Arial"/>
          <w:i/>
          <w:iCs/>
          <w:sz w:val="22"/>
          <w:szCs w:val="22"/>
        </w:rPr>
      </w:pPr>
    </w:p>
    <w:p w14:paraId="740D3087" w14:textId="1D07C511" w:rsidR="00B02E57" w:rsidRDefault="00B70F87" w:rsidP="001A614B">
      <w:pPr>
        <w:pStyle w:val="Ttulo2"/>
      </w:pPr>
      <w:bookmarkStart w:id="299" w:name="_Ref149303414"/>
      <w:bookmarkStart w:id="300" w:name="_Toc158211597"/>
      <w:r w:rsidRPr="00A25B16">
        <w:t>ANDEG</w:t>
      </w:r>
      <w:bookmarkEnd w:id="299"/>
      <w:bookmarkEnd w:id="300"/>
      <w:r w:rsidRPr="00A25B16">
        <w:tab/>
      </w:r>
    </w:p>
    <w:p w14:paraId="17D6314D" w14:textId="77777777" w:rsidR="00B02E57" w:rsidRDefault="00B70F87" w:rsidP="00B70F87">
      <w:pPr>
        <w:rPr>
          <w:rFonts w:cs="Arial"/>
          <w:i/>
          <w:iCs/>
          <w:sz w:val="22"/>
          <w:szCs w:val="22"/>
        </w:rPr>
      </w:pPr>
      <w:r w:rsidRPr="00A25B16">
        <w:rPr>
          <w:rFonts w:cs="Arial"/>
          <w:i/>
          <w:iCs/>
          <w:sz w:val="22"/>
          <w:szCs w:val="22"/>
        </w:rPr>
        <w:t xml:space="preserve">"Si bien estamos de acuerdo con el propósito de aumentar la flexibilidad y liquidez del mercado de gas natural, la propuesta regulatoria prioriza la asignación de cantidades solicitadas por agentes para atención a la demanda esencial sin considerar a la demanda de generación térmica. </w:t>
      </w:r>
    </w:p>
    <w:p w14:paraId="77BAA843" w14:textId="77777777" w:rsidR="00B02E57" w:rsidRDefault="00B02E57" w:rsidP="00B70F87">
      <w:pPr>
        <w:rPr>
          <w:rFonts w:cs="Arial"/>
          <w:i/>
          <w:iCs/>
          <w:sz w:val="22"/>
          <w:szCs w:val="22"/>
        </w:rPr>
      </w:pPr>
    </w:p>
    <w:p w14:paraId="40B0E4CE" w14:textId="0F2E2128" w:rsidR="00B70F87" w:rsidRPr="00A25B16" w:rsidRDefault="00B70F87" w:rsidP="00B70F87">
      <w:pPr>
        <w:rPr>
          <w:rFonts w:cs="Arial"/>
          <w:i/>
          <w:iCs/>
          <w:sz w:val="22"/>
          <w:szCs w:val="22"/>
        </w:rPr>
      </w:pPr>
      <w:r w:rsidRPr="00A25B16">
        <w:rPr>
          <w:rFonts w:cs="Arial"/>
          <w:i/>
          <w:iCs/>
          <w:sz w:val="22"/>
          <w:szCs w:val="22"/>
        </w:rPr>
        <w:t>Si bien, en el Documento Soporte 902 009 de 2023 se indica que se podrán negociar cantidades adicionales de gas natural para la demanda esencial, con la presente propuesta se está desincentivando la oferta de cantidades para la demanda de generación térmica justamente en la coyuntura de Fenómeno de El Niño, en donde se observa en la Figura 1 el crecimiento de la Generación térmica a septiembre y octubre de 2023, ya para el mes de Octubre se han activado las Obligaciones de Energía en Firme-OEF para ciertas horas, como se muestra en la Figura 2 y finalmente, la generación térmica está generando en mérito, como se muestra en la Figura 3, con lo cual, el gas natural es requerido para la generación térmica y garantizar el suministro de energía eléctrica.</w:t>
      </w:r>
    </w:p>
    <w:p w14:paraId="5D4686AE" w14:textId="77777777" w:rsidR="00B70F87" w:rsidRPr="00A25B16" w:rsidRDefault="00B70F87" w:rsidP="00B70F87">
      <w:pPr>
        <w:rPr>
          <w:rFonts w:cs="Arial"/>
          <w:i/>
          <w:iCs/>
          <w:sz w:val="22"/>
          <w:szCs w:val="22"/>
        </w:rPr>
      </w:pPr>
    </w:p>
    <w:p w14:paraId="75A9A4DD" w14:textId="77777777" w:rsidR="00B70F87" w:rsidRPr="00A25B16" w:rsidRDefault="00B70F87" w:rsidP="00B70F87">
      <w:pPr>
        <w:rPr>
          <w:rFonts w:cs="Arial"/>
          <w:i/>
          <w:iCs/>
          <w:sz w:val="22"/>
          <w:szCs w:val="22"/>
        </w:rPr>
      </w:pPr>
      <w:r w:rsidRPr="00A25B16">
        <w:rPr>
          <w:rFonts w:cs="Arial"/>
          <w:i/>
          <w:iCs/>
          <w:sz w:val="22"/>
          <w:szCs w:val="22"/>
        </w:rPr>
        <w:t>Por lo anteriormente expuesto, se sugiere que la asignación de cantidades de gas natural sea por precio y que también se priorice a la demanda para la generación térmica en la condición actual de Fenómeno de El Niño."</w:t>
      </w:r>
    </w:p>
    <w:p w14:paraId="0259354A" w14:textId="77777777" w:rsidR="00B02E57" w:rsidRDefault="00B02E57" w:rsidP="00B70F87">
      <w:pPr>
        <w:rPr>
          <w:rFonts w:cs="Arial"/>
          <w:i/>
          <w:iCs/>
          <w:sz w:val="22"/>
          <w:szCs w:val="22"/>
        </w:rPr>
      </w:pPr>
    </w:p>
    <w:p w14:paraId="15C52894" w14:textId="77777777" w:rsidR="002B1FF0" w:rsidRPr="002B1FF0" w:rsidRDefault="002B1FF0" w:rsidP="002B1FF0">
      <w:pPr>
        <w:rPr>
          <w:rFonts w:cs="Arial"/>
          <w:b/>
          <w:bCs/>
          <w:sz w:val="22"/>
          <w:szCs w:val="22"/>
        </w:rPr>
      </w:pPr>
      <w:r w:rsidRPr="002B1FF0">
        <w:rPr>
          <w:rFonts w:cs="Arial"/>
          <w:b/>
          <w:bCs/>
          <w:sz w:val="22"/>
          <w:szCs w:val="22"/>
        </w:rPr>
        <w:t>RESPUESTA:</w:t>
      </w:r>
    </w:p>
    <w:p w14:paraId="47B285F0" w14:textId="77777777" w:rsidR="002B1FF0" w:rsidRPr="002B1FF0" w:rsidRDefault="002B1FF0" w:rsidP="002B1FF0">
      <w:pPr>
        <w:rPr>
          <w:rFonts w:cs="Arial"/>
          <w:sz w:val="22"/>
          <w:szCs w:val="22"/>
        </w:rPr>
      </w:pPr>
    </w:p>
    <w:p w14:paraId="26C92FAA" w14:textId="63D5EA22" w:rsidR="002B1FF0" w:rsidRPr="002B1FF0" w:rsidRDefault="008D3DE4"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_Ref149198028 \w \h </w:instrText>
      </w:r>
      <w:r>
        <w:rPr>
          <w:rFonts w:cs="Arial"/>
          <w:sz w:val="22"/>
          <w:szCs w:val="22"/>
        </w:rPr>
      </w:r>
      <w:r>
        <w:rPr>
          <w:rFonts w:cs="Arial"/>
          <w:sz w:val="22"/>
          <w:szCs w:val="22"/>
        </w:rPr>
        <w:fldChar w:fldCharType="separate"/>
      </w:r>
      <w:r w:rsidR="0027336D">
        <w:rPr>
          <w:rFonts w:cs="Arial"/>
          <w:sz w:val="22"/>
          <w:szCs w:val="22"/>
        </w:rPr>
        <w:t>8.14</w:t>
      </w:r>
      <w:r>
        <w:rPr>
          <w:rFonts w:cs="Arial"/>
          <w:sz w:val="22"/>
          <w:szCs w:val="22"/>
        </w:rPr>
        <w:fldChar w:fldCharType="end"/>
      </w:r>
      <w:r>
        <w:rPr>
          <w:rFonts w:cs="Arial"/>
          <w:sz w:val="22"/>
          <w:szCs w:val="22"/>
        </w:rPr>
        <w:t xml:space="preserve"> y al comentario </w:t>
      </w:r>
      <w:r>
        <w:rPr>
          <w:rFonts w:cs="Arial"/>
          <w:sz w:val="22"/>
          <w:szCs w:val="22"/>
        </w:rPr>
        <w:fldChar w:fldCharType="begin"/>
      </w:r>
      <w:r>
        <w:rPr>
          <w:rFonts w:cs="Arial"/>
          <w:sz w:val="22"/>
          <w:szCs w:val="22"/>
        </w:rPr>
        <w:instrText xml:space="preserve"> REF _Ref149297567 \w \h </w:instrText>
      </w:r>
      <w:r>
        <w:rPr>
          <w:rFonts w:cs="Arial"/>
          <w:sz w:val="22"/>
          <w:szCs w:val="22"/>
        </w:rPr>
      </w:r>
      <w:r>
        <w:rPr>
          <w:rFonts w:cs="Arial"/>
          <w:sz w:val="22"/>
          <w:szCs w:val="22"/>
        </w:rPr>
        <w:fldChar w:fldCharType="separate"/>
      </w:r>
      <w:r w:rsidR="0027336D">
        <w:rPr>
          <w:rFonts w:cs="Arial"/>
          <w:sz w:val="22"/>
          <w:szCs w:val="22"/>
        </w:rPr>
        <w:t>18.2</w:t>
      </w:r>
      <w:r>
        <w:rPr>
          <w:rFonts w:cs="Arial"/>
          <w:sz w:val="22"/>
          <w:szCs w:val="22"/>
        </w:rPr>
        <w:fldChar w:fldCharType="end"/>
      </w:r>
      <w:r>
        <w:rPr>
          <w:rFonts w:cs="Arial"/>
          <w:sz w:val="22"/>
          <w:szCs w:val="22"/>
        </w:rPr>
        <w:t>.</w:t>
      </w:r>
    </w:p>
    <w:p w14:paraId="38DB4620" w14:textId="77777777" w:rsidR="00B02E57" w:rsidRDefault="00B02E57" w:rsidP="00B70F87">
      <w:pPr>
        <w:rPr>
          <w:rFonts w:cs="Arial"/>
          <w:i/>
          <w:iCs/>
          <w:sz w:val="22"/>
          <w:szCs w:val="22"/>
        </w:rPr>
      </w:pPr>
    </w:p>
    <w:p w14:paraId="4D70A9D6" w14:textId="77777777" w:rsidR="00B02E57" w:rsidRDefault="00B02E57" w:rsidP="00B70F87">
      <w:pPr>
        <w:rPr>
          <w:rFonts w:cs="Arial"/>
          <w:i/>
          <w:iCs/>
          <w:sz w:val="22"/>
          <w:szCs w:val="22"/>
        </w:rPr>
      </w:pPr>
    </w:p>
    <w:p w14:paraId="37A9E921" w14:textId="33F12065" w:rsidR="00B02E57" w:rsidRDefault="00B70F87" w:rsidP="001A614B">
      <w:pPr>
        <w:pStyle w:val="Ttulo2"/>
      </w:pPr>
      <w:bookmarkStart w:id="301" w:name="_Toc158211598"/>
      <w:r w:rsidRPr="00A25B16">
        <w:t>ANDEG</w:t>
      </w:r>
      <w:bookmarkEnd w:id="301"/>
      <w:r w:rsidRPr="00A25B16">
        <w:tab/>
      </w:r>
    </w:p>
    <w:p w14:paraId="0826A275" w14:textId="68C82251" w:rsidR="00B70F87" w:rsidRDefault="00B02E57" w:rsidP="00B70F87">
      <w:pPr>
        <w:rPr>
          <w:rFonts w:cs="Arial"/>
          <w:i/>
          <w:iCs/>
          <w:sz w:val="22"/>
          <w:szCs w:val="22"/>
        </w:rPr>
      </w:pPr>
      <w:r>
        <w:rPr>
          <w:rFonts w:cs="Arial"/>
          <w:i/>
          <w:iCs/>
          <w:sz w:val="22"/>
          <w:szCs w:val="22"/>
        </w:rPr>
        <w:t>“</w:t>
      </w:r>
      <w:r w:rsidR="00B70F87" w:rsidRPr="00A25B16">
        <w:rPr>
          <w:rFonts w:cs="Arial"/>
          <w:i/>
          <w:iCs/>
          <w:sz w:val="22"/>
          <w:szCs w:val="22"/>
        </w:rPr>
        <w:t>Se debe tener en cuenta que los comercializadores que atienden Demanda Esencial debían tener prevista la contratación para la atención de su mercado, debido a que en Fenómeno de El Niño, se requiere mayor despacho térmico como se ha expuesto anteriormente; si bien la generación puede realizarse a través de combustibles líquidos, en la práctica debería considerarse la alternativa del gas natural para la generación eléctrica en el contexto del “pacto por la justicia tarifaria”.</w:t>
      </w:r>
    </w:p>
    <w:p w14:paraId="1011D98E" w14:textId="77777777" w:rsidR="00B02E57" w:rsidRDefault="00B02E57" w:rsidP="00B70F87">
      <w:pPr>
        <w:rPr>
          <w:rFonts w:cs="Arial"/>
          <w:i/>
          <w:iCs/>
          <w:sz w:val="22"/>
          <w:szCs w:val="22"/>
        </w:rPr>
      </w:pPr>
    </w:p>
    <w:p w14:paraId="43774872" w14:textId="77777777" w:rsidR="002B1FF0" w:rsidRPr="002B1FF0" w:rsidRDefault="002B1FF0" w:rsidP="002B1FF0">
      <w:pPr>
        <w:rPr>
          <w:rFonts w:cs="Arial"/>
          <w:b/>
          <w:bCs/>
          <w:sz w:val="22"/>
          <w:szCs w:val="22"/>
        </w:rPr>
      </w:pPr>
      <w:r w:rsidRPr="002B1FF0">
        <w:rPr>
          <w:rFonts w:cs="Arial"/>
          <w:b/>
          <w:bCs/>
          <w:sz w:val="22"/>
          <w:szCs w:val="22"/>
        </w:rPr>
        <w:t>RESPUESTA:</w:t>
      </w:r>
    </w:p>
    <w:p w14:paraId="522315FB" w14:textId="77777777" w:rsidR="002B1FF0" w:rsidRPr="002B1FF0" w:rsidRDefault="002B1FF0" w:rsidP="002B1FF0">
      <w:pPr>
        <w:rPr>
          <w:rFonts w:cs="Arial"/>
          <w:sz w:val="22"/>
          <w:szCs w:val="22"/>
        </w:rPr>
      </w:pPr>
    </w:p>
    <w:p w14:paraId="270F0C7C" w14:textId="04410AB0" w:rsidR="002B1FF0" w:rsidRPr="002B1FF0" w:rsidRDefault="003A3F9C"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_Ref149198028 \w \h </w:instrText>
      </w:r>
      <w:r>
        <w:rPr>
          <w:rFonts w:cs="Arial"/>
          <w:sz w:val="22"/>
          <w:szCs w:val="22"/>
        </w:rPr>
      </w:r>
      <w:r>
        <w:rPr>
          <w:rFonts w:cs="Arial"/>
          <w:sz w:val="22"/>
          <w:szCs w:val="22"/>
        </w:rPr>
        <w:fldChar w:fldCharType="separate"/>
      </w:r>
      <w:r w:rsidR="0027336D">
        <w:rPr>
          <w:rFonts w:cs="Arial"/>
          <w:sz w:val="22"/>
          <w:szCs w:val="22"/>
        </w:rPr>
        <w:t>8.14</w:t>
      </w:r>
      <w:r>
        <w:rPr>
          <w:rFonts w:cs="Arial"/>
          <w:sz w:val="22"/>
          <w:szCs w:val="22"/>
        </w:rPr>
        <w:fldChar w:fldCharType="end"/>
      </w:r>
      <w:r>
        <w:rPr>
          <w:rFonts w:cs="Arial"/>
          <w:sz w:val="22"/>
          <w:szCs w:val="22"/>
        </w:rPr>
        <w:t>.</w:t>
      </w:r>
    </w:p>
    <w:p w14:paraId="3537D818" w14:textId="77777777" w:rsidR="00B02E57" w:rsidRDefault="00B02E57" w:rsidP="00B70F87">
      <w:pPr>
        <w:rPr>
          <w:rFonts w:cs="Arial"/>
          <w:i/>
          <w:iCs/>
          <w:sz w:val="22"/>
          <w:szCs w:val="22"/>
        </w:rPr>
      </w:pPr>
    </w:p>
    <w:p w14:paraId="0D86140C" w14:textId="77777777" w:rsidR="00B02E57" w:rsidRPr="00A25B16" w:rsidRDefault="00B02E57" w:rsidP="00B70F87">
      <w:pPr>
        <w:rPr>
          <w:rFonts w:cs="Arial"/>
          <w:i/>
          <w:iCs/>
          <w:sz w:val="22"/>
          <w:szCs w:val="22"/>
        </w:rPr>
      </w:pPr>
    </w:p>
    <w:p w14:paraId="1BA86DB0" w14:textId="4474A140" w:rsidR="00B02E57" w:rsidRDefault="00B70F87" w:rsidP="001A614B">
      <w:pPr>
        <w:pStyle w:val="Ttulo2"/>
      </w:pPr>
      <w:bookmarkStart w:id="302" w:name="_Toc158211599"/>
      <w:r w:rsidRPr="00A25B16">
        <w:t>Andesco</w:t>
      </w:r>
      <w:bookmarkEnd w:id="302"/>
      <w:r w:rsidRPr="00A25B16">
        <w:tab/>
      </w:r>
    </w:p>
    <w:p w14:paraId="4D3312D5" w14:textId="38E24560" w:rsidR="00B70F87" w:rsidRDefault="00B02E57" w:rsidP="00B70F87">
      <w:pPr>
        <w:rPr>
          <w:rFonts w:cs="Arial"/>
          <w:i/>
          <w:iCs/>
          <w:sz w:val="22"/>
          <w:szCs w:val="22"/>
        </w:rPr>
      </w:pPr>
      <w:r>
        <w:rPr>
          <w:rFonts w:cs="Arial"/>
          <w:i/>
          <w:iCs/>
          <w:sz w:val="22"/>
          <w:szCs w:val="22"/>
        </w:rPr>
        <w:t>“</w:t>
      </w:r>
      <w:r w:rsidR="00B70F87" w:rsidRPr="00A25B16">
        <w:rPr>
          <w:rFonts w:cs="Arial"/>
          <w:i/>
          <w:iCs/>
          <w:sz w:val="22"/>
          <w:szCs w:val="22"/>
        </w:rPr>
        <w:t xml:space="preserve">Consideramos importante señalar la preocupación de que al establecer un mecanismo de priorización para la asignación de cantidades solicitadas por los agentes que atienden usuarios que hacen parte de la Demanda Esencial sin definir un límite en el cubrimiento, se podrían ocasionar situaciones de acaparamientos de gas y posibles ejercicios de poder de mercado. </w:t>
      </w:r>
      <w:r>
        <w:rPr>
          <w:rFonts w:cs="Arial"/>
          <w:i/>
          <w:iCs/>
          <w:sz w:val="22"/>
          <w:szCs w:val="22"/>
        </w:rPr>
        <w:t>“</w:t>
      </w:r>
    </w:p>
    <w:p w14:paraId="2E46B168" w14:textId="77777777" w:rsidR="00B02E57" w:rsidRDefault="00B02E57" w:rsidP="00B70F87">
      <w:pPr>
        <w:rPr>
          <w:rFonts w:cs="Arial"/>
          <w:i/>
          <w:iCs/>
          <w:sz w:val="22"/>
          <w:szCs w:val="22"/>
        </w:rPr>
      </w:pPr>
    </w:p>
    <w:p w14:paraId="0942EF7E" w14:textId="77777777" w:rsidR="002B1FF0" w:rsidRPr="002B1FF0" w:rsidRDefault="002B1FF0" w:rsidP="002B1FF0">
      <w:pPr>
        <w:rPr>
          <w:rFonts w:cs="Arial"/>
          <w:b/>
          <w:bCs/>
          <w:sz w:val="22"/>
          <w:szCs w:val="22"/>
        </w:rPr>
      </w:pPr>
      <w:r w:rsidRPr="002B1FF0">
        <w:rPr>
          <w:rFonts w:cs="Arial"/>
          <w:b/>
          <w:bCs/>
          <w:sz w:val="22"/>
          <w:szCs w:val="22"/>
        </w:rPr>
        <w:t>RESPUESTA:</w:t>
      </w:r>
    </w:p>
    <w:p w14:paraId="67EA7C7A" w14:textId="77777777" w:rsidR="002B1FF0" w:rsidRPr="002B1FF0" w:rsidRDefault="002B1FF0" w:rsidP="002B1FF0">
      <w:pPr>
        <w:rPr>
          <w:rFonts w:cs="Arial"/>
          <w:sz w:val="22"/>
          <w:szCs w:val="22"/>
        </w:rPr>
      </w:pPr>
    </w:p>
    <w:p w14:paraId="079D3D6B" w14:textId="171A8F1B" w:rsidR="00B02E57" w:rsidRDefault="003D1A70" w:rsidP="00B70F87">
      <w:pPr>
        <w:rPr>
          <w:rFonts w:cs="Arial"/>
          <w:sz w:val="22"/>
          <w:szCs w:val="22"/>
        </w:rPr>
      </w:pPr>
      <w:r>
        <w:rPr>
          <w:rFonts w:cs="Arial"/>
          <w:sz w:val="22"/>
          <w:szCs w:val="22"/>
        </w:rPr>
        <w:t xml:space="preserve">Ver respuesta </w:t>
      </w:r>
      <w:r w:rsidR="00460902">
        <w:rPr>
          <w:rFonts w:cs="Arial"/>
          <w:sz w:val="22"/>
          <w:szCs w:val="22"/>
        </w:rPr>
        <w:t xml:space="preserve">al comentario </w:t>
      </w:r>
      <w:r w:rsidR="00460902">
        <w:rPr>
          <w:rFonts w:cs="Arial"/>
          <w:sz w:val="22"/>
          <w:szCs w:val="22"/>
        </w:rPr>
        <w:fldChar w:fldCharType="begin"/>
      </w:r>
      <w:r w:rsidR="00460902">
        <w:rPr>
          <w:rFonts w:cs="Arial"/>
          <w:sz w:val="22"/>
          <w:szCs w:val="22"/>
        </w:rPr>
        <w:instrText xml:space="preserve"> REF _Ref149198030 \w \h </w:instrText>
      </w:r>
      <w:r w:rsidR="00460902">
        <w:rPr>
          <w:rFonts w:cs="Arial"/>
          <w:sz w:val="22"/>
          <w:szCs w:val="22"/>
        </w:rPr>
      </w:r>
      <w:r w:rsidR="00460902">
        <w:rPr>
          <w:rFonts w:cs="Arial"/>
          <w:sz w:val="22"/>
          <w:szCs w:val="22"/>
        </w:rPr>
        <w:fldChar w:fldCharType="separate"/>
      </w:r>
      <w:r w:rsidR="0027336D">
        <w:rPr>
          <w:rFonts w:cs="Arial"/>
          <w:sz w:val="22"/>
          <w:szCs w:val="22"/>
        </w:rPr>
        <w:t>8.11</w:t>
      </w:r>
      <w:r w:rsidR="00460902">
        <w:rPr>
          <w:rFonts w:cs="Arial"/>
          <w:sz w:val="22"/>
          <w:szCs w:val="22"/>
        </w:rPr>
        <w:fldChar w:fldCharType="end"/>
      </w:r>
      <w:r w:rsidR="00460902">
        <w:rPr>
          <w:rFonts w:cs="Arial"/>
          <w:sz w:val="22"/>
          <w:szCs w:val="22"/>
        </w:rPr>
        <w:t>.</w:t>
      </w:r>
    </w:p>
    <w:p w14:paraId="5B259D96" w14:textId="77777777" w:rsidR="00460902" w:rsidRPr="00A25B16" w:rsidRDefault="00460902" w:rsidP="00B70F87">
      <w:pPr>
        <w:rPr>
          <w:rFonts w:cs="Arial"/>
          <w:i/>
          <w:iCs/>
          <w:sz w:val="22"/>
          <w:szCs w:val="22"/>
        </w:rPr>
      </w:pPr>
    </w:p>
    <w:p w14:paraId="4D7FE707" w14:textId="495AF6EE" w:rsidR="00B02E57" w:rsidRDefault="00B70F87" w:rsidP="001A614B">
      <w:pPr>
        <w:pStyle w:val="Ttulo2"/>
      </w:pPr>
      <w:bookmarkStart w:id="303" w:name="_Ref149298576"/>
      <w:bookmarkStart w:id="304" w:name="_Ref149301788"/>
      <w:bookmarkStart w:id="305" w:name="_Toc158211600"/>
      <w:r w:rsidRPr="00A25B16">
        <w:t>Andesco</w:t>
      </w:r>
      <w:bookmarkEnd w:id="303"/>
      <w:bookmarkEnd w:id="304"/>
      <w:bookmarkEnd w:id="305"/>
      <w:r w:rsidRPr="00A25B16">
        <w:tab/>
      </w:r>
    </w:p>
    <w:p w14:paraId="3B66554A" w14:textId="586F2E38" w:rsidR="00B70F87" w:rsidRDefault="00B02E57" w:rsidP="00B70F87">
      <w:pPr>
        <w:rPr>
          <w:rFonts w:cs="Arial"/>
          <w:i/>
          <w:iCs/>
          <w:sz w:val="22"/>
          <w:szCs w:val="22"/>
        </w:rPr>
      </w:pPr>
      <w:r>
        <w:rPr>
          <w:rFonts w:cs="Arial"/>
          <w:i/>
          <w:iCs/>
          <w:sz w:val="22"/>
          <w:szCs w:val="22"/>
        </w:rPr>
        <w:t>“</w:t>
      </w:r>
      <w:r w:rsidR="00B70F87" w:rsidRPr="00A25B16">
        <w:rPr>
          <w:rFonts w:cs="Arial"/>
          <w:i/>
          <w:iCs/>
          <w:sz w:val="22"/>
          <w:szCs w:val="22"/>
        </w:rPr>
        <w:t xml:space="preserve">Vemos necesario que las disposiciones transitorias puestas en firme por la Comisión conserven la armonía frente a las demás medidas transitorias que la se vienen trabajando en materia de comercialización de gas natural y otras disposiciones como, por ejemplo, las modificaciones sobre las Resoluciones CREG 185 y CREG 186 de 2021. </w:t>
      </w:r>
      <w:r>
        <w:rPr>
          <w:rFonts w:cs="Arial"/>
          <w:i/>
          <w:iCs/>
          <w:sz w:val="22"/>
          <w:szCs w:val="22"/>
        </w:rPr>
        <w:t>“</w:t>
      </w:r>
    </w:p>
    <w:p w14:paraId="72205FA3" w14:textId="77777777" w:rsidR="00B02E57" w:rsidRDefault="00B02E57" w:rsidP="00B70F87">
      <w:pPr>
        <w:rPr>
          <w:rFonts w:cs="Arial"/>
          <w:i/>
          <w:iCs/>
          <w:sz w:val="22"/>
          <w:szCs w:val="22"/>
        </w:rPr>
      </w:pPr>
    </w:p>
    <w:p w14:paraId="4C37F5AC" w14:textId="77777777" w:rsidR="002B1FF0" w:rsidRPr="002B1FF0" w:rsidRDefault="002B1FF0" w:rsidP="002B1FF0">
      <w:pPr>
        <w:rPr>
          <w:rFonts w:cs="Arial"/>
          <w:b/>
          <w:bCs/>
          <w:sz w:val="22"/>
          <w:szCs w:val="22"/>
        </w:rPr>
      </w:pPr>
      <w:r w:rsidRPr="002B1FF0">
        <w:rPr>
          <w:rFonts w:cs="Arial"/>
          <w:b/>
          <w:bCs/>
          <w:sz w:val="22"/>
          <w:szCs w:val="22"/>
        </w:rPr>
        <w:t>RESPUESTA:</w:t>
      </w:r>
    </w:p>
    <w:p w14:paraId="19D8B495" w14:textId="77777777" w:rsidR="002B1FF0" w:rsidRPr="002B1FF0" w:rsidRDefault="002B1FF0" w:rsidP="002B1FF0">
      <w:pPr>
        <w:rPr>
          <w:rFonts w:cs="Arial"/>
          <w:sz w:val="22"/>
          <w:szCs w:val="22"/>
        </w:rPr>
      </w:pPr>
    </w:p>
    <w:p w14:paraId="29947D97" w14:textId="7A48906F" w:rsidR="002B1FF0" w:rsidRDefault="006D27D0" w:rsidP="002B1FF0">
      <w:pPr>
        <w:rPr>
          <w:rFonts w:cs="Arial"/>
          <w:sz w:val="22"/>
          <w:szCs w:val="22"/>
        </w:rPr>
      </w:pPr>
      <w:r>
        <w:rPr>
          <w:rFonts w:cs="Arial"/>
          <w:sz w:val="22"/>
          <w:szCs w:val="22"/>
        </w:rPr>
        <w:t>En general, después de la separación de las reglas del Mercado Mayorista establecidas en la resolución CREG 114 de 2017, en reglas para la comercialización de la capacidad de transporte (Resolución CREG 185 de 2020) y reglas para la comercialización del suministro (Resolución CREG 186 de 2020) cuando la CREG evalúa ajustes a cada una de esas reglas, chequea la necesidad de ajustes a las demás resoluciones para que se mantenga la resistencia regulatoria. Sin embargo, debe la CREG considerar también la oportunidad en el momento más adecuado para introducir los ajustes para cada actividad de la cadena.</w:t>
      </w:r>
    </w:p>
    <w:p w14:paraId="61762890" w14:textId="77777777" w:rsidR="006D27D0" w:rsidRDefault="006D27D0" w:rsidP="002B1FF0">
      <w:pPr>
        <w:rPr>
          <w:rFonts w:cs="Arial"/>
          <w:sz w:val="22"/>
          <w:szCs w:val="22"/>
        </w:rPr>
      </w:pPr>
    </w:p>
    <w:p w14:paraId="2E3E506F" w14:textId="0BF1D94E" w:rsidR="006D27D0" w:rsidRDefault="006D27D0" w:rsidP="002B1FF0">
      <w:pPr>
        <w:rPr>
          <w:rFonts w:cs="Arial"/>
          <w:sz w:val="22"/>
          <w:szCs w:val="22"/>
        </w:rPr>
      </w:pPr>
      <w:r>
        <w:rPr>
          <w:rFonts w:cs="Arial"/>
          <w:sz w:val="22"/>
          <w:szCs w:val="22"/>
        </w:rPr>
        <w:t>Hay caso en que lo más efectivo es avanzar en las modificaciones de varias regulaciones interdependientes en forma paralela pero concretar las resoluciones definitivas en forma secuencial. De otro modo, el ciclo de comentarios no se cierra oportunamente.</w:t>
      </w:r>
    </w:p>
    <w:p w14:paraId="417272C0" w14:textId="77777777" w:rsidR="00E641F6" w:rsidRDefault="00E641F6" w:rsidP="002B1FF0">
      <w:pPr>
        <w:rPr>
          <w:rFonts w:cs="Arial"/>
          <w:sz w:val="22"/>
          <w:szCs w:val="22"/>
        </w:rPr>
      </w:pPr>
    </w:p>
    <w:p w14:paraId="147A67B2" w14:textId="4F8F2CF4" w:rsidR="00E641F6" w:rsidRPr="002B1FF0" w:rsidRDefault="00E641F6" w:rsidP="002B1FF0">
      <w:pPr>
        <w:rPr>
          <w:rFonts w:cs="Arial"/>
          <w:sz w:val="22"/>
          <w:szCs w:val="22"/>
        </w:rPr>
      </w:pPr>
      <w:r>
        <w:rPr>
          <w:rFonts w:cs="Arial"/>
          <w:sz w:val="22"/>
          <w:szCs w:val="22"/>
        </w:rPr>
        <w:t>En todos los casos, cualquier desarrollo regulatorio que se avance ayuda a retroalimentar avances en otras propuestas de regulación previamente avanzadas. Se espera que aquellos ajustes de corto plazo transitorios del Proyecto de Resolución CREG 702 005 de 2023, se evalúen con los resultados obtenidos y se incluyan como ajustes definitivos adicionales a los propuestos en el Proyecto de Resolución CREG 702 003 de 2023.</w:t>
      </w:r>
    </w:p>
    <w:p w14:paraId="59705D91" w14:textId="77777777" w:rsidR="001A614B" w:rsidRDefault="001A614B" w:rsidP="00B70F87">
      <w:pPr>
        <w:rPr>
          <w:rFonts w:cs="Arial"/>
          <w:i/>
          <w:iCs/>
          <w:sz w:val="22"/>
          <w:szCs w:val="22"/>
        </w:rPr>
      </w:pPr>
    </w:p>
    <w:p w14:paraId="657FEC80" w14:textId="77777777" w:rsidR="00B02E57" w:rsidRDefault="00B02E57" w:rsidP="00B70F87">
      <w:pPr>
        <w:rPr>
          <w:rFonts w:cs="Arial"/>
          <w:i/>
          <w:iCs/>
          <w:sz w:val="22"/>
          <w:szCs w:val="22"/>
        </w:rPr>
      </w:pPr>
    </w:p>
    <w:p w14:paraId="1260D789" w14:textId="1BCD470F" w:rsidR="00650FB7" w:rsidRDefault="00650FB7" w:rsidP="001A614B">
      <w:pPr>
        <w:pStyle w:val="Ttulo2"/>
      </w:pPr>
      <w:bookmarkStart w:id="306" w:name="_Toc158211601"/>
      <w:r>
        <w:t>Calamarí LNG</w:t>
      </w:r>
      <w:bookmarkEnd w:id="306"/>
    </w:p>
    <w:p w14:paraId="41AE8620" w14:textId="07E3FBE8" w:rsidR="00650FB7" w:rsidRDefault="00650FB7" w:rsidP="00650FB7">
      <w:pPr>
        <w:rPr>
          <w:i/>
          <w:iCs/>
          <w:sz w:val="22"/>
          <w:szCs w:val="22"/>
        </w:rPr>
      </w:pPr>
      <w:r w:rsidRPr="00650FB7">
        <w:rPr>
          <w:sz w:val="22"/>
          <w:szCs w:val="22"/>
        </w:rPr>
        <w:t>"</w:t>
      </w:r>
      <w:r w:rsidRPr="00650FB7">
        <w:rPr>
          <w:i/>
          <w:iCs/>
          <w:sz w:val="22"/>
          <w:szCs w:val="22"/>
        </w:rPr>
        <w:t>En general nos gustaría remarcar que la comercialización de gas desde la planta de regasificación de Cartagena, posee unas características diferentes a la de pozos onshore</w:t>
      </w:r>
      <w:r>
        <w:rPr>
          <w:i/>
          <w:iCs/>
          <w:sz w:val="22"/>
          <w:szCs w:val="22"/>
        </w:rPr>
        <w:t>.</w:t>
      </w:r>
    </w:p>
    <w:p w14:paraId="7D84990E" w14:textId="6A7911D8" w:rsidR="00650FB7" w:rsidRPr="00650FB7" w:rsidRDefault="00650FB7" w:rsidP="00650FB7">
      <w:pPr>
        <w:rPr>
          <w:i/>
          <w:iCs/>
          <w:sz w:val="22"/>
          <w:szCs w:val="22"/>
        </w:rPr>
      </w:pPr>
      <w:r w:rsidRPr="00650FB7">
        <w:rPr>
          <w:i/>
          <w:iCs/>
          <w:sz w:val="22"/>
          <w:szCs w:val="22"/>
        </w:rPr>
        <w:t>Es importante que se tengan en cuenta esas características a la hora de modificar la regulación para permitir que esta oferta sea de verdad posible tenerla.</w:t>
      </w:r>
    </w:p>
    <w:p w14:paraId="50721A5A" w14:textId="77777777" w:rsidR="00650FB7" w:rsidRDefault="00650FB7" w:rsidP="00650FB7">
      <w:pPr>
        <w:rPr>
          <w:i/>
          <w:iCs/>
          <w:sz w:val="22"/>
          <w:szCs w:val="22"/>
        </w:rPr>
      </w:pPr>
    </w:p>
    <w:p w14:paraId="450DADA2" w14:textId="5043B48B" w:rsidR="00650FB7" w:rsidRPr="00650FB7" w:rsidRDefault="00650FB7" w:rsidP="00650FB7">
      <w:pPr>
        <w:rPr>
          <w:i/>
          <w:iCs/>
          <w:sz w:val="22"/>
          <w:szCs w:val="22"/>
        </w:rPr>
      </w:pPr>
      <w:r w:rsidRPr="00650FB7">
        <w:rPr>
          <w:i/>
          <w:iCs/>
          <w:sz w:val="22"/>
          <w:szCs w:val="22"/>
        </w:rPr>
        <w:t>Por ejemplo, podemos tener el mínimo send out o mínimo operativo para poder arrancar la regasificación. Si no se tiene este mínimo la planta no podrá arrancar por lo que</w:t>
      </w:r>
      <w:r>
        <w:rPr>
          <w:i/>
          <w:iCs/>
          <w:sz w:val="22"/>
          <w:szCs w:val="22"/>
        </w:rPr>
        <w:t xml:space="preserve"> </w:t>
      </w:r>
      <w:r w:rsidRPr="00650FB7">
        <w:rPr>
          <w:i/>
          <w:iCs/>
          <w:sz w:val="22"/>
          <w:szCs w:val="22"/>
        </w:rPr>
        <w:t xml:space="preserve">cualquier demanda que se piense atender tiene que ser por encima de ese mínimo operativo. </w:t>
      </w:r>
    </w:p>
    <w:p w14:paraId="2A86B2B3" w14:textId="77777777" w:rsidR="00650FB7" w:rsidRDefault="00650FB7" w:rsidP="00650FB7">
      <w:pPr>
        <w:rPr>
          <w:i/>
          <w:iCs/>
          <w:sz w:val="22"/>
          <w:szCs w:val="22"/>
        </w:rPr>
      </w:pPr>
    </w:p>
    <w:p w14:paraId="5BBA856A" w14:textId="2C4152C5" w:rsidR="00650FB7" w:rsidRPr="00650FB7" w:rsidRDefault="00650FB7" w:rsidP="00650FB7">
      <w:pPr>
        <w:rPr>
          <w:i/>
          <w:iCs/>
          <w:sz w:val="22"/>
          <w:szCs w:val="22"/>
        </w:rPr>
      </w:pPr>
      <w:r w:rsidRPr="00650FB7">
        <w:rPr>
          <w:i/>
          <w:iCs/>
          <w:sz w:val="22"/>
          <w:szCs w:val="22"/>
        </w:rPr>
        <w:t>Lo mismo pasa con los precios, en el mercado de GNL los precios normalmente están atados a un indexador por lo que cualquier negociación en Colombia debe permitir</w:t>
      </w:r>
      <w:r>
        <w:rPr>
          <w:i/>
          <w:iCs/>
          <w:sz w:val="22"/>
          <w:szCs w:val="22"/>
        </w:rPr>
        <w:t xml:space="preserve"> </w:t>
      </w:r>
      <w:r w:rsidRPr="00650FB7">
        <w:rPr>
          <w:i/>
          <w:iCs/>
          <w:sz w:val="22"/>
          <w:szCs w:val="22"/>
        </w:rPr>
        <w:t>que se incorpore dicho indexador al precio.</w:t>
      </w:r>
    </w:p>
    <w:p w14:paraId="7DCFE563" w14:textId="77777777" w:rsidR="00650FB7" w:rsidRDefault="00650FB7" w:rsidP="00650FB7">
      <w:pPr>
        <w:rPr>
          <w:i/>
          <w:iCs/>
          <w:sz w:val="22"/>
          <w:szCs w:val="22"/>
        </w:rPr>
      </w:pPr>
    </w:p>
    <w:p w14:paraId="2EC22DBC" w14:textId="0C824CFB" w:rsidR="00650FB7" w:rsidRPr="00650FB7" w:rsidRDefault="00650FB7" w:rsidP="00650FB7">
      <w:pPr>
        <w:rPr>
          <w:i/>
          <w:iCs/>
          <w:sz w:val="22"/>
          <w:szCs w:val="22"/>
        </w:rPr>
      </w:pPr>
      <w:r w:rsidRPr="00650FB7">
        <w:rPr>
          <w:i/>
          <w:iCs/>
          <w:sz w:val="22"/>
          <w:szCs w:val="22"/>
        </w:rPr>
        <w:t>En conclusión, lo que queremos anotar es que las particularidades de este mercado, que puede ser muy útil par a atender la demanda en Colombia, deben ser tenidas en cuenta para que la regulación</w:t>
      </w:r>
      <w:r>
        <w:rPr>
          <w:i/>
          <w:iCs/>
          <w:sz w:val="22"/>
          <w:szCs w:val="22"/>
        </w:rPr>
        <w:t xml:space="preserve"> </w:t>
      </w:r>
      <w:r w:rsidRPr="00650FB7">
        <w:rPr>
          <w:i/>
          <w:iCs/>
          <w:sz w:val="22"/>
          <w:szCs w:val="22"/>
        </w:rPr>
        <w:t>ayude a que se pueda materializar.</w:t>
      </w:r>
      <w:r>
        <w:rPr>
          <w:i/>
          <w:iCs/>
          <w:sz w:val="22"/>
          <w:szCs w:val="22"/>
        </w:rPr>
        <w:t xml:space="preserve">  </w:t>
      </w:r>
    </w:p>
    <w:p w14:paraId="3637033F" w14:textId="77777777" w:rsidR="00650FB7" w:rsidRDefault="00650FB7" w:rsidP="00650FB7">
      <w:pPr>
        <w:rPr>
          <w:i/>
          <w:iCs/>
          <w:sz w:val="22"/>
          <w:szCs w:val="22"/>
        </w:rPr>
      </w:pPr>
    </w:p>
    <w:p w14:paraId="0460E4E9" w14:textId="2BA00D9D" w:rsidR="00650FB7" w:rsidRPr="00650FB7" w:rsidRDefault="00650FB7" w:rsidP="00650FB7">
      <w:pPr>
        <w:rPr>
          <w:sz w:val="22"/>
          <w:szCs w:val="22"/>
        </w:rPr>
      </w:pPr>
      <w:r w:rsidRPr="00650FB7">
        <w:rPr>
          <w:i/>
          <w:iCs/>
          <w:sz w:val="22"/>
          <w:szCs w:val="22"/>
        </w:rPr>
        <w:t>Desde Calamari estaremos atentos a cualquier inquietud que se tenga al respecto para poder llegar a una solución que beneficie a todos</w:t>
      </w:r>
      <w:r w:rsidRPr="00650FB7">
        <w:rPr>
          <w:sz w:val="22"/>
          <w:szCs w:val="22"/>
        </w:rPr>
        <w:t>."</w:t>
      </w:r>
    </w:p>
    <w:p w14:paraId="09285D58" w14:textId="77777777" w:rsidR="00650FB7" w:rsidRPr="00650FB7" w:rsidRDefault="00650FB7" w:rsidP="00650FB7">
      <w:pPr>
        <w:rPr>
          <w:sz w:val="22"/>
          <w:szCs w:val="22"/>
        </w:rPr>
      </w:pPr>
    </w:p>
    <w:p w14:paraId="29527CF4" w14:textId="7D5D4EE5" w:rsidR="00650FB7" w:rsidRPr="00650FB7" w:rsidRDefault="00650FB7" w:rsidP="00650FB7">
      <w:pPr>
        <w:rPr>
          <w:b/>
          <w:bCs/>
          <w:sz w:val="22"/>
          <w:szCs w:val="22"/>
        </w:rPr>
      </w:pPr>
      <w:r w:rsidRPr="00650FB7">
        <w:rPr>
          <w:b/>
          <w:bCs/>
          <w:sz w:val="22"/>
          <w:szCs w:val="22"/>
        </w:rPr>
        <w:t>RESPUESTA:</w:t>
      </w:r>
    </w:p>
    <w:p w14:paraId="00CC463D" w14:textId="77777777" w:rsidR="00650FB7" w:rsidRPr="00650FB7" w:rsidRDefault="00650FB7" w:rsidP="00650FB7">
      <w:pPr>
        <w:rPr>
          <w:sz w:val="22"/>
          <w:szCs w:val="22"/>
        </w:rPr>
      </w:pPr>
    </w:p>
    <w:p w14:paraId="5C59B581" w14:textId="24A6D4B1" w:rsidR="00650FB7" w:rsidRPr="00650FB7" w:rsidRDefault="00FF68A5" w:rsidP="00650FB7">
      <w:pPr>
        <w:rPr>
          <w:sz w:val="22"/>
          <w:szCs w:val="22"/>
        </w:rPr>
      </w:pPr>
      <w:r>
        <w:rPr>
          <w:sz w:val="22"/>
          <w:szCs w:val="22"/>
        </w:rPr>
        <w:t xml:space="preserve">Ver respuesta </w:t>
      </w:r>
      <w:r w:rsidR="007C16E7">
        <w:rPr>
          <w:sz w:val="22"/>
          <w:szCs w:val="22"/>
        </w:rPr>
        <w:t xml:space="preserve">al comentario </w:t>
      </w:r>
      <w:r w:rsidR="007C16E7">
        <w:rPr>
          <w:sz w:val="22"/>
          <w:szCs w:val="22"/>
        </w:rPr>
        <w:fldChar w:fldCharType="begin"/>
      </w:r>
      <w:r w:rsidR="007C16E7">
        <w:rPr>
          <w:sz w:val="22"/>
          <w:szCs w:val="22"/>
        </w:rPr>
        <w:instrText xml:space="preserve"> REF _Ref148955025 \w \h </w:instrText>
      </w:r>
      <w:r w:rsidR="007C16E7">
        <w:rPr>
          <w:sz w:val="22"/>
          <w:szCs w:val="22"/>
        </w:rPr>
      </w:r>
      <w:r w:rsidR="007C16E7">
        <w:rPr>
          <w:sz w:val="22"/>
          <w:szCs w:val="22"/>
        </w:rPr>
        <w:fldChar w:fldCharType="separate"/>
      </w:r>
      <w:r w:rsidR="0027336D">
        <w:rPr>
          <w:sz w:val="22"/>
          <w:szCs w:val="22"/>
        </w:rPr>
        <w:t>5.3</w:t>
      </w:r>
      <w:r w:rsidR="007C16E7">
        <w:rPr>
          <w:sz w:val="22"/>
          <w:szCs w:val="22"/>
        </w:rPr>
        <w:fldChar w:fldCharType="end"/>
      </w:r>
      <w:r w:rsidR="007C16E7">
        <w:rPr>
          <w:sz w:val="22"/>
          <w:szCs w:val="22"/>
        </w:rPr>
        <w:t xml:space="preserve">, </w:t>
      </w:r>
      <w:r>
        <w:rPr>
          <w:sz w:val="22"/>
          <w:szCs w:val="22"/>
        </w:rPr>
        <w:t>al comentario</w:t>
      </w:r>
      <w:r w:rsidR="003527FF">
        <w:rPr>
          <w:sz w:val="22"/>
          <w:szCs w:val="22"/>
        </w:rPr>
        <w:t xml:space="preserve"> </w:t>
      </w:r>
      <w:r w:rsidR="003527FF">
        <w:rPr>
          <w:sz w:val="22"/>
          <w:szCs w:val="22"/>
        </w:rPr>
        <w:fldChar w:fldCharType="begin"/>
      </w:r>
      <w:r w:rsidR="003527FF">
        <w:rPr>
          <w:sz w:val="22"/>
          <w:szCs w:val="22"/>
        </w:rPr>
        <w:instrText xml:space="preserve"> REF _Ref149215194 \w \h </w:instrText>
      </w:r>
      <w:r w:rsidR="003527FF">
        <w:rPr>
          <w:sz w:val="22"/>
          <w:szCs w:val="22"/>
        </w:rPr>
      </w:r>
      <w:r w:rsidR="003527FF">
        <w:rPr>
          <w:sz w:val="22"/>
          <w:szCs w:val="22"/>
        </w:rPr>
        <w:fldChar w:fldCharType="separate"/>
      </w:r>
      <w:r w:rsidR="0027336D">
        <w:rPr>
          <w:sz w:val="22"/>
          <w:szCs w:val="22"/>
        </w:rPr>
        <w:t>8.4</w:t>
      </w:r>
      <w:r w:rsidR="003527FF">
        <w:rPr>
          <w:sz w:val="22"/>
          <w:szCs w:val="22"/>
        </w:rPr>
        <w:fldChar w:fldCharType="end"/>
      </w:r>
      <w:r w:rsidR="007C16E7">
        <w:rPr>
          <w:sz w:val="22"/>
          <w:szCs w:val="22"/>
        </w:rPr>
        <w:t xml:space="preserve"> </w:t>
      </w:r>
      <w:r>
        <w:rPr>
          <w:sz w:val="22"/>
          <w:szCs w:val="22"/>
        </w:rPr>
        <w:t xml:space="preserve">y al comentario </w:t>
      </w:r>
      <w:r>
        <w:rPr>
          <w:sz w:val="22"/>
          <w:szCs w:val="22"/>
        </w:rPr>
        <w:fldChar w:fldCharType="begin"/>
      </w:r>
      <w:r>
        <w:rPr>
          <w:sz w:val="22"/>
          <w:szCs w:val="22"/>
        </w:rPr>
        <w:instrText xml:space="preserve"> REF _Ref149298576 \w \h </w:instrText>
      </w:r>
      <w:r>
        <w:rPr>
          <w:sz w:val="22"/>
          <w:szCs w:val="22"/>
        </w:rPr>
      </w:r>
      <w:r>
        <w:rPr>
          <w:sz w:val="22"/>
          <w:szCs w:val="22"/>
        </w:rPr>
        <w:fldChar w:fldCharType="separate"/>
      </w:r>
      <w:r w:rsidR="0027336D">
        <w:rPr>
          <w:sz w:val="22"/>
          <w:szCs w:val="22"/>
        </w:rPr>
        <w:t>18.6</w:t>
      </w:r>
      <w:r>
        <w:rPr>
          <w:sz w:val="22"/>
          <w:szCs w:val="22"/>
        </w:rPr>
        <w:fldChar w:fldCharType="end"/>
      </w:r>
    </w:p>
    <w:p w14:paraId="1E5EC1C9" w14:textId="77777777" w:rsidR="00650FB7" w:rsidRDefault="00650FB7" w:rsidP="00650FB7"/>
    <w:p w14:paraId="72513A6F" w14:textId="77777777" w:rsidR="003527FF" w:rsidRPr="00650FB7" w:rsidRDefault="003527FF" w:rsidP="00650FB7"/>
    <w:p w14:paraId="406B59E4" w14:textId="0C6ED151" w:rsidR="00B02E57" w:rsidRDefault="00B70F87" w:rsidP="001A614B">
      <w:pPr>
        <w:pStyle w:val="Ttulo2"/>
      </w:pPr>
      <w:bookmarkStart w:id="307" w:name="_Ref149300565"/>
      <w:bookmarkStart w:id="308" w:name="_Toc158211602"/>
      <w:r w:rsidRPr="00A25B16">
        <w:t>Ecopetrol S.A.</w:t>
      </w:r>
      <w:bookmarkEnd w:id="307"/>
      <w:bookmarkEnd w:id="308"/>
      <w:r w:rsidRPr="00A25B16">
        <w:tab/>
      </w:r>
    </w:p>
    <w:p w14:paraId="5FE2BE8A" w14:textId="2F804F39" w:rsidR="00B70F87" w:rsidRPr="00A25B16" w:rsidRDefault="00B70F87" w:rsidP="00B70F87">
      <w:pPr>
        <w:rPr>
          <w:rFonts w:cs="Arial"/>
          <w:i/>
          <w:iCs/>
          <w:sz w:val="22"/>
          <w:szCs w:val="22"/>
        </w:rPr>
      </w:pPr>
      <w:r w:rsidRPr="00A25B16">
        <w:rPr>
          <w:rFonts w:cs="Arial"/>
          <w:i/>
          <w:iCs/>
          <w:sz w:val="22"/>
          <w:szCs w:val="22"/>
        </w:rPr>
        <w:t>"Resaltamos la oportunidad con la que la Comisión pone a consideración del mercado medidas transitorias para afrontar el periodo de baja hidrología al que se enfrenta el país.</w:t>
      </w:r>
    </w:p>
    <w:p w14:paraId="18B498FD" w14:textId="77777777" w:rsidR="00B70F87" w:rsidRPr="00A25B16" w:rsidRDefault="00B70F87" w:rsidP="00B70F87">
      <w:pPr>
        <w:rPr>
          <w:rFonts w:cs="Arial"/>
          <w:i/>
          <w:iCs/>
          <w:sz w:val="22"/>
          <w:szCs w:val="22"/>
        </w:rPr>
      </w:pPr>
    </w:p>
    <w:p w14:paraId="635DE81E" w14:textId="36EEEF5F" w:rsidR="00B70F87" w:rsidRPr="00A25B16" w:rsidRDefault="00B70F87" w:rsidP="00B70F87">
      <w:pPr>
        <w:rPr>
          <w:rFonts w:cs="Arial"/>
          <w:i/>
          <w:iCs/>
          <w:sz w:val="22"/>
          <w:szCs w:val="22"/>
        </w:rPr>
      </w:pPr>
      <w:r w:rsidRPr="00A25B16">
        <w:rPr>
          <w:rFonts w:cs="Arial"/>
          <w:i/>
          <w:iCs/>
          <w:sz w:val="22"/>
          <w:szCs w:val="22"/>
        </w:rPr>
        <w:t>De las medidas propuestas entendemos que estas se podrán aplicar hasta el 31 de mayo de 2024, aunque la duración de los contratos referidos en el artículo 5 podrá exceder este plazo. Agradecemos a la Comisión confirmar este entendimiento.</w:t>
      </w:r>
      <w:r w:rsidR="00CC7A0A">
        <w:rPr>
          <w:rFonts w:cs="Arial"/>
          <w:i/>
          <w:iCs/>
          <w:sz w:val="22"/>
          <w:szCs w:val="22"/>
        </w:rPr>
        <w:t>”</w:t>
      </w:r>
    </w:p>
    <w:p w14:paraId="249EA84F" w14:textId="77777777" w:rsidR="00B70F87" w:rsidRDefault="00B70F87" w:rsidP="00B70F87">
      <w:pPr>
        <w:rPr>
          <w:rFonts w:cs="Arial"/>
          <w:i/>
          <w:iCs/>
          <w:sz w:val="22"/>
          <w:szCs w:val="22"/>
        </w:rPr>
      </w:pPr>
    </w:p>
    <w:p w14:paraId="22EDA0D7" w14:textId="77777777" w:rsidR="00CC7A0A" w:rsidRPr="00650FB7" w:rsidRDefault="00CC7A0A" w:rsidP="00CC7A0A">
      <w:pPr>
        <w:rPr>
          <w:b/>
          <w:bCs/>
          <w:sz w:val="22"/>
          <w:szCs w:val="22"/>
        </w:rPr>
      </w:pPr>
      <w:r w:rsidRPr="00650FB7">
        <w:rPr>
          <w:b/>
          <w:bCs/>
          <w:sz w:val="22"/>
          <w:szCs w:val="22"/>
        </w:rPr>
        <w:t>RESPUESTA:</w:t>
      </w:r>
    </w:p>
    <w:p w14:paraId="38F07F13" w14:textId="77777777" w:rsidR="00CC7A0A" w:rsidRPr="00A25B16" w:rsidRDefault="00CC7A0A" w:rsidP="00B70F87">
      <w:pPr>
        <w:rPr>
          <w:rFonts w:cs="Arial"/>
          <w:i/>
          <w:iCs/>
          <w:sz w:val="22"/>
          <w:szCs w:val="22"/>
        </w:rPr>
      </w:pPr>
    </w:p>
    <w:p w14:paraId="67334A96" w14:textId="2874D755" w:rsidR="00CC7A0A" w:rsidRPr="00017B8C" w:rsidRDefault="00017B8C" w:rsidP="00B70F87">
      <w:pPr>
        <w:rPr>
          <w:rFonts w:cs="Arial"/>
          <w:sz w:val="22"/>
          <w:szCs w:val="22"/>
        </w:rPr>
      </w:pPr>
      <w:r w:rsidRPr="00017B8C">
        <w:rPr>
          <w:rFonts w:cs="Arial"/>
          <w:sz w:val="22"/>
          <w:szCs w:val="22"/>
        </w:rPr>
        <w:t>Es correcto el entendimiento.</w:t>
      </w:r>
    </w:p>
    <w:p w14:paraId="2C32B7F1" w14:textId="77777777" w:rsidR="00017B8C" w:rsidRPr="00017B8C" w:rsidRDefault="00017B8C" w:rsidP="00B70F87">
      <w:pPr>
        <w:rPr>
          <w:rFonts w:cs="Arial"/>
          <w:sz w:val="22"/>
          <w:szCs w:val="22"/>
        </w:rPr>
      </w:pPr>
    </w:p>
    <w:p w14:paraId="6F0D6177" w14:textId="6BB3A6AF" w:rsidR="00017B8C" w:rsidRPr="00017B8C" w:rsidRDefault="00017B8C" w:rsidP="00B70F87">
      <w:pPr>
        <w:rPr>
          <w:rFonts w:cs="Arial"/>
          <w:sz w:val="22"/>
          <w:szCs w:val="22"/>
        </w:rPr>
      </w:pPr>
      <w:r w:rsidRPr="00017B8C">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_Ref149212293 \w \h </w:instrText>
      </w:r>
      <w:r>
        <w:rPr>
          <w:rFonts w:cs="Arial"/>
          <w:sz w:val="22"/>
          <w:szCs w:val="22"/>
        </w:rPr>
      </w:r>
      <w:r>
        <w:rPr>
          <w:rFonts w:cs="Arial"/>
          <w:sz w:val="22"/>
          <w:szCs w:val="22"/>
        </w:rPr>
        <w:fldChar w:fldCharType="separate"/>
      </w:r>
      <w:r w:rsidR="0027336D">
        <w:rPr>
          <w:rFonts w:cs="Arial"/>
          <w:sz w:val="22"/>
          <w:szCs w:val="22"/>
        </w:rPr>
        <w:t>9.1</w:t>
      </w:r>
      <w:r>
        <w:rPr>
          <w:rFonts w:cs="Arial"/>
          <w:sz w:val="22"/>
          <w:szCs w:val="22"/>
        </w:rPr>
        <w:fldChar w:fldCharType="end"/>
      </w:r>
      <w:r>
        <w:rPr>
          <w:rFonts w:cs="Arial"/>
          <w:sz w:val="22"/>
          <w:szCs w:val="22"/>
        </w:rPr>
        <w:t>.</w:t>
      </w:r>
    </w:p>
    <w:p w14:paraId="133293EB" w14:textId="77777777" w:rsidR="00017B8C" w:rsidRDefault="00017B8C" w:rsidP="00B70F87">
      <w:pPr>
        <w:rPr>
          <w:rFonts w:cs="Arial"/>
          <w:i/>
          <w:iCs/>
          <w:sz w:val="22"/>
          <w:szCs w:val="22"/>
        </w:rPr>
      </w:pPr>
    </w:p>
    <w:p w14:paraId="1CF1B0BE" w14:textId="77777777" w:rsidR="00017B8C" w:rsidRDefault="00017B8C" w:rsidP="00B70F87">
      <w:pPr>
        <w:rPr>
          <w:rFonts w:cs="Arial"/>
          <w:i/>
          <w:iCs/>
          <w:sz w:val="22"/>
          <w:szCs w:val="22"/>
        </w:rPr>
      </w:pPr>
    </w:p>
    <w:p w14:paraId="6290D49C" w14:textId="77777777" w:rsidR="00CC7A0A" w:rsidRDefault="00CC7A0A" w:rsidP="00CC7A0A">
      <w:pPr>
        <w:pStyle w:val="Ttulo2"/>
      </w:pPr>
      <w:bookmarkStart w:id="309" w:name="_Ref149300575"/>
      <w:bookmarkStart w:id="310" w:name="_Toc158211603"/>
      <w:r w:rsidRPr="00A25B16">
        <w:t>Ecopetrol S.A.</w:t>
      </w:r>
      <w:bookmarkEnd w:id="309"/>
      <w:bookmarkEnd w:id="310"/>
      <w:r w:rsidRPr="00A25B16">
        <w:tab/>
      </w:r>
    </w:p>
    <w:p w14:paraId="52D71139" w14:textId="2CABD7E2" w:rsidR="00B70F87" w:rsidRPr="00A25B16" w:rsidRDefault="00CC7A0A" w:rsidP="00B70F87">
      <w:pPr>
        <w:rPr>
          <w:rFonts w:cs="Arial"/>
          <w:i/>
          <w:iCs/>
          <w:sz w:val="22"/>
          <w:szCs w:val="22"/>
        </w:rPr>
      </w:pPr>
      <w:r>
        <w:rPr>
          <w:rFonts w:cs="Arial"/>
          <w:i/>
          <w:iCs/>
          <w:sz w:val="22"/>
          <w:szCs w:val="22"/>
        </w:rPr>
        <w:t>“</w:t>
      </w:r>
      <w:r w:rsidR="00B70F87" w:rsidRPr="00A25B16">
        <w:rPr>
          <w:rFonts w:cs="Arial"/>
          <w:i/>
          <w:iCs/>
          <w:sz w:val="22"/>
          <w:szCs w:val="22"/>
        </w:rPr>
        <w:t xml:space="preserve">De otro lado, entendemos que la flexibilidad propuesta aplica para los contratos de las fuentes señaladas en el artículo 22 y de las contempladas en el artículo 19, con excepción de lo considerado en el parágrafo del artículo 20 de la Resolución CREG 186 de 2020. Esto es, entendemos que aplica para la comercialización del gas natural proveniente de campos con producción mayor a 30 MPCD, fuentes de </w:t>
      </w:r>
      <w:r w:rsidR="00B02E57">
        <w:rPr>
          <w:rFonts w:cs="Arial"/>
          <w:i/>
          <w:iCs/>
          <w:sz w:val="22"/>
          <w:szCs w:val="22"/>
        </w:rPr>
        <w:t xml:space="preserve"> </w:t>
      </w:r>
      <w:r w:rsidR="00B70F87" w:rsidRPr="00A25B16">
        <w:rPr>
          <w:rFonts w:cs="Arial"/>
          <w:i/>
          <w:iCs/>
          <w:sz w:val="22"/>
          <w:szCs w:val="22"/>
        </w:rPr>
        <w:t>importación y campos menores.</w:t>
      </w:r>
      <w:r>
        <w:rPr>
          <w:rFonts w:cs="Arial"/>
          <w:i/>
          <w:iCs/>
          <w:sz w:val="22"/>
          <w:szCs w:val="22"/>
        </w:rPr>
        <w:t>”</w:t>
      </w:r>
    </w:p>
    <w:p w14:paraId="1FBCABEC" w14:textId="77777777" w:rsidR="00B70F87" w:rsidRPr="00A25B16" w:rsidRDefault="00B70F87" w:rsidP="00B70F87">
      <w:pPr>
        <w:rPr>
          <w:rFonts w:cs="Arial"/>
          <w:i/>
          <w:iCs/>
          <w:sz w:val="22"/>
          <w:szCs w:val="22"/>
        </w:rPr>
      </w:pPr>
    </w:p>
    <w:p w14:paraId="37B2E11E" w14:textId="77777777" w:rsidR="00CC7A0A" w:rsidRDefault="00CC7A0A" w:rsidP="00CC7A0A">
      <w:pPr>
        <w:rPr>
          <w:b/>
          <w:bCs/>
          <w:sz w:val="22"/>
          <w:szCs w:val="22"/>
        </w:rPr>
      </w:pPr>
      <w:r w:rsidRPr="00650FB7">
        <w:rPr>
          <w:b/>
          <w:bCs/>
          <w:sz w:val="22"/>
          <w:szCs w:val="22"/>
        </w:rPr>
        <w:t>RESPUESTA:</w:t>
      </w:r>
    </w:p>
    <w:p w14:paraId="38F28CD8" w14:textId="77777777" w:rsidR="00017B8C" w:rsidRDefault="00017B8C" w:rsidP="00CC7A0A">
      <w:pPr>
        <w:rPr>
          <w:b/>
          <w:bCs/>
          <w:sz w:val="22"/>
          <w:szCs w:val="22"/>
        </w:rPr>
      </w:pPr>
    </w:p>
    <w:p w14:paraId="6BD02146" w14:textId="181AC505" w:rsidR="00017B8C" w:rsidRPr="00017B8C" w:rsidRDefault="00017B8C" w:rsidP="00CC7A0A">
      <w:pPr>
        <w:rPr>
          <w:sz w:val="22"/>
          <w:szCs w:val="22"/>
        </w:rPr>
      </w:pPr>
      <w:r w:rsidRPr="00017B8C">
        <w:rPr>
          <w:sz w:val="22"/>
          <w:szCs w:val="22"/>
        </w:rPr>
        <w:t>Es correcto el entendimiento.</w:t>
      </w:r>
    </w:p>
    <w:p w14:paraId="090BAEBF" w14:textId="77777777" w:rsidR="00017B8C" w:rsidRPr="00017B8C" w:rsidRDefault="00017B8C" w:rsidP="00CC7A0A">
      <w:pPr>
        <w:rPr>
          <w:sz w:val="22"/>
          <w:szCs w:val="22"/>
        </w:rPr>
      </w:pPr>
    </w:p>
    <w:p w14:paraId="28C76365" w14:textId="51D5A494" w:rsidR="00017B8C" w:rsidRPr="00017B8C" w:rsidRDefault="00017B8C" w:rsidP="00CC7A0A">
      <w:pPr>
        <w:rPr>
          <w:sz w:val="22"/>
          <w:szCs w:val="22"/>
        </w:rPr>
      </w:pPr>
      <w:r w:rsidRPr="00017B8C">
        <w:rPr>
          <w:sz w:val="22"/>
          <w:szCs w:val="22"/>
        </w:rPr>
        <w:t xml:space="preserve">Ver respuesta al comentario </w:t>
      </w:r>
      <w:r w:rsidR="00B2580D">
        <w:rPr>
          <w:sz w:val="22"/>
          <w:szCs w:val="22"/>
        </w:rPr>
        <w:fldChar w:fldCharType="begin"/>
      </w:r>
      <w:r w:rsidR="00B2580D">
        <w:rPr>
          <w:sz w:val="22"/>
          <w:szCs w:val="22"/>
        </w:rPr>
        <w:instrText xml:space="preserve"> REF _Ref149212254 \w \h </w:instrText>
      </w:r>
      <w:r w:rsidR="00B2580D">
        <w:rPr>
          <w:sz w:val="22"/>
          <w:szCs w:val="22"/>
        </w:rPr>
      </w:r>
      <w:r w:rsidR="00B2580D">
        <w:rPr>
          <w:sz w:val="22"/>
          <w:szCs w:val="22"/>
        </w:rPr>
        <w:fldChar w:fldCharType="separate"/>
      </w:r>
      <w:r w:rsidR="0027336D">
        <w:rPr>
          <w:sz w:val="22"/>
          <w:szCs w:val="22"/>
        </w:rPr>
        <w:t>8.7</w:t>
      </w:r>
      <w:r w:rsidR="00B2580D">
        <w:rPr>
          <w:sz w:val="22"/>
          <w:szCs w:val="22"/>
        </w:rPr>
        <w:fldChar w:fldCharType="end"/>
      </w:r>
      <w:r w:rsidR="00B2580D">
        <w:rPr>
          <w:sz w:val="22"/>
          <w:szCs w:val="22"/>
        </w:rPr>
        <w:t>.</w:t>
      </w:r>
    </w:p>
    <w:p w14:paraId="7EA5410B" w14:textId="77777777" w:rsidR="00CC7A0A" w:rsidRDefault="00CC7A0A" w:rsidP="00B70F87">
      <w:pPr>
        <w:rPr>
          <w:rFonts w:cs="Arial"/>
          <w:i/>
          <w:iCs/>
          <w:sz w:val="22"/>
          <w:szCs w:val="22"/>
        </w:rPr>
      </w:pPr>
    </w:p>
    <w:p w14:paraId="0D2C3D3E" w14:textId="77777777" w:rsidR="00CC7A0A" w:rsidRDefault="00CC7A0A" w:rsidP="00B70F87">
      <w:pPr>
        <w:rPr>
          <w:rFonts w:cs="Arial"/>
          <w:i/>
          <w:iCs/>
          <w:sz w:val="22"/>
          <w:szCs w:val="22"/>
        </w:rPr>
      </w:pPr>
    </w:p>
    <w:p w14:paraId="589709FD" w14:textId="77777777" w:rsidR="00CC7A0A" w:rsidRDefault="00CC7A0A" w:rsidP="00CC7A0A">
      <w:pPr>
        <w:pStyle w:val="Ttulo2"/>
      </w:pPr>
      <w:bookmarkStart w:id="311" w:name="_Toc158211604"/>
      <w:r w:rsidRPr="00A25B16">
        <w:t>Ecopetrol S.A.</w:t>
      </w:r>
      <w:bookmarkEnd w:id="311"/>
      <w:r w:rsidRPr="00A25B16">
        <w:tab/>
      </w:r>
    </w:p>
    <w:p w14:paraId="241C4C03" w14:textId="5E0FD923" w:rsidR="00B70F87" w:rsidRDefault="00CC7A0A" w:rsidP="00B70F87">
      <w:pPr>
        <w:rPr>
          <w:rFonts w:cs="Arial"/>
          <w:i/>
          <w:iCs/>
          <w:sz w:val="22"/>
          <w:szCs w:val="22"/>
        </w:rPr>
      </w:pPr>
      <w:r>
        <w:rPr>
          <w:rFonts w:cs="Arial"/>
          <w:i/>
          <w:iCs/>
          <w:sz w:val="22"/>
          <w:szCs w:val="22"/>
        </w:rPr>
        <w:t>“</w:t>
      </w:r>
      <w:r w:rsidR="00B70F87" w:rsidRPr="00A25B16">
        <w:rPr>
          <w:rFonts w:cs="Arial"/>
          <w:i/>
          <w:iCs/>
          <w:sz w:val="22"/>
          <w:szCs w:val="22"/>
        </w:rPr>
        <w:t>Así mismo, entendemos que las demás reglas de comercialización establecidas para las fuentes de los artículos previamente señalados se mantendrán sin modificación. Agradecemos a la Comisión confirmar este entendimiento, sin perjuicio de una mayor claridad en el texto final."</w:t>
      </w:r>
    </w:p>
    <w:p w14:paraId="5C4CF1F9" w14:textId="77777777" w:rsidR="00CC7A0A" w:rsidRDefault="00CC7A0A" w:rsidP="00B70F87">
      <w:pPr>
        <w:rPr>
          <w:rFonts w:cs="Arial"/>
          <w:i/>
          <w:iCs/>
          <w:sz w:val="22"/>
          <w:szCs w:val="22"/>
        </w:rPr>
      </w:pPr>
    </w:p>
    <w:p w14:paraId="47190DD0" w14:textId="77777777" w:rsidR="00CC7A0A" w:rsidRPr="00650FB7" w:rsidRDefault="00CC7A0A" w:rsidP="00CC7A0A">
      <w:pPr>
        <w:rPr>
          <w:b/>
          <w:bCs/>
          <w:sz w:val="22"/>
          <w:szCs w:val="22"/>
        </w:rPr>
      </w:pPr>
      <w:r w:rsidRPr="00650FB7">
        <w:rPr>
          <w:b/>
          <w:bCs/>
          <w:sz w:val="22"/>
          <w:szCs w:val="22"/>
        </w:rPr>
        <w:t>RESPUESTA:</w:t>
      </w:r>
    </w:p>
    <w:p w14:paraId="05ACBBB9" w14:textId="77777777" w:rsidR="00CC7A0A" w:rsidRDefault="00CC7A0A" w:rsidP="00B70F87">
      <w:pPr>
        <w:rPr>
          <w:rFonts w:cs="Arial"/>
          <w:i/>
          <w:iCs/>
          <w:sz w:val="22"/>
          <w:szCs w:val="22"/>
        </w:rPr>
      </w:pPr>
    </w:p>
    <w:p w14:paraId="0834E3CF" w14:textId="36AD6AAE" w:rsidR="00CC7A0A" w:rsidRPr="00DF0B90" w:rsidRDefault="00DF0B90" w:rsidP="00B70F87">
      <w:pPr>
        <w:rPr>
          <w:rFonts w:cs="Arial"/>
          <w:sz w:val="22"/>
          <w:szCs w:val="22"/>
        </w:rPr>
      </w:pPr>
      <w:r w:rsidRPr="00DF0B90">
        <w:rPr>
          <w:rFonts w:cs="Arial"/>
          <w:sz w:val="22"/>
          <w:szCs w:val="22"/>
        </w:rPr>
        <w:t>Es correcto el entendimiento.</w:t>
      </w:r>
    </w:p>
    <w:p w14:paraId="4C2407E0" w14:textId="77777777" w:rsidR="00DF0B90" w:rsidRPr="00DF0B90" w:rsidRDefault="00DF0B90" w:rsidP="00B70F87">
      <w:pPr>
        <w:rPr>
          <w:rFonts w:cs="Arial"/>
          <w:sz w:val="22"/>
          <w:szCs w:val="22"/>
        </w:rPr>
      </w:pPr>
    </w:p>
    <w:p w14:paraId="79D8272F" w14:textId="642D27FF" w:rsidR="00DF0B90" w:rsidRDefault="00DF0B90" w:rsidP="00113EE8">
      <w:pPr>
        <w:rPr>
          <w:rFonts w:cs="Arial"/>
          <w:sz w:val="22"/>
          <w:szCs w:val="22"/>
        </w:rPr>
      </w:pPr>
      <w:r w:rsidRPr="00DF0B90">
        <w:rPr>
          <w:rFonts w:cs="Arial"/>
          <w:sz w:val="22"/>
          <w:szCs w:val="22"/>
        </w:rPr>
        <w:t xml:space="preserve">En el Artículo de vigencia de la resolución se establece que </w:t>
      </w:r>
      <w:r w:rsidR="00113EE8" w:rsidRPr="00113EE8">
        <w:rPr>
          <w:rFonts w:cs="Arial"/>
          <w:sz w:val="22"/>
          <w:szCs w:val="22"/>
        </w:rPr>
        <w:t>rige de manera transitoria</w:t>
      </w:r>
      <w:r w:rsidR="00113EE8">
        <w:rPr>
          <w:rFonts w:cs="Arial"/>
          <w:sz w:val="22"/>
          <w:szCs w:val="22"/>
        </w:rPr>
        <w:t xml:space="preserve"> </w:t>
      </w:r>
      <w:r w:rsidR="00113EE8" w:rsidRPr="00113EE8">
        <w:rPr>
          <w:rFonts w:cs="Arial"/>
          <w:sz w:val="22"/>
          <w:szCs w:val="22"/>
        </w:rPr>
        <w:t xml:space="preserve">a partir de su publicación en el Diario Oficial, hasta el 31 de </w:t>
      </w:r>
      <w:r w:rsidR="00B24464">
        <w:rPr>
          <w:rFonts w:cs="Arial"/>
          <w:sz w:val="22"/>
          <w:szCs w:val="22"/>
        </w:rPr>
        <w:t>agosto</w:t>
      </w:r>
      <w:r w:rsidR="00113EE8" w:rsidRPr="00113EE8">
        <w:rPr>
          <w:rFonts w:cs="Arial"/>
          <w:sz w:val="22"/>
          <w:szCs w:val="22"/>
        </w:rPr>
        <w:t xml:space="preserve"> de 2024</w:t>
      </w:r>
      <w:r w:rsidR="00D643EA">
        <w:rPr>
          <w:rFonts w:cs="Arial"/>
          <w:sz w:val="22"/>
          <w:szCs w:val="22"/>
        </w:rPr>
        <w:t xml:space="preserve"> (inicialmente se propuso el </w:t>
      </w:r>
      <w:r w:rsidR="00D26BD2">
        <w:rPr>
          <w:rFonts w:cs="Arial"/>
          <w:sz w:val="22"/>
          <w:szCs w:val="22"/>
        </w:rPr>
        <w:t>31 de mayo de 2024)</w:t>
      </w:r>
      <w:r w:rsidR="00113EE8" w:rsidRPr="00113EE8">
        <w:rPr>
          <w:rFonts w:cs="Arial"/>
          <w:sz w:val="22"/>
          <w:szCs w:val="22"/>
        </w:rPr>
        <w:t xml:space="preserve"> y</w:t>
      </w:r>
      <w:r w:rsidR="00113EE8">
        <w:rPr>
          <w:rFonts w:cs="Arial"/>
          <w:sz w:val="22"/>
          <w:szCs w:val="22"/>
        </w:rPr>
        <w:t xml:space="preserve"> </w:t>
      </w:r>
      <w:r w:rsidR="00113EE8" w:rsidRPr="00113EE8">
        <w:rPr>
          <w:rFonts w:cs="Arial"/>
          <w:b/>
          <w:bCs/>
          <w:sz w:val="22"/>
          <w:szCs w:val="22"/>
          <w:u w:val="single"/>
        </w:rPr>
        <w:t>deroga las normas que le sean contrarias</w:t>
      </w:r>
      <w:r w:rsidR="00113EE8">
        <w:rPr>
          <w:rFonts w:cs="Arial"/>
          <w:b/>
          <w:bCs/>
          <w:sz w:val="22"/>
          <w:szCs w:val="22"/>
          <w:u w:val="single"/>
        </w:rPr>
        <w:t xml:space="preserve">. </w:t>
      </w:r>
      <w:r w:rsidR="00113EE8" w:rsidRPr="009F23BF">
        <w:rPr>
          <w:rFonts w:cs="Arial"/>
          <w:sz w:val="22"/>
          <w:szCs w:val="22"/>
        </w:rPr>
        <w:t xml:space="preserve">Así por ejemplo, </w:t>
      </w:r>
      <w:r w:rsidR="009F23BF">
        <w:rPr>
          <w:rFonts w:cs="Arial"/>
          <w:sz w:val="22"/>
          <w:szCs w:val="22"/>
        </w:rPr>
        <w:t xml:space="preserve">el vendedor de </w:t>
      </w:r>
      <w:r w:rsidR="00113EE8" w:rsidRPr="009F23BF">
        <w:rPr>
          <w:rFonts w:cs="Arial"/>
          <w:sz w:val="22"/>
          <w:szCs w:val="22"/>
        </w:rPr>
        <w:t xml:space="preserve">un campo menor puede suscribir de manera directa un contrato de suministro, negociarlo y luego registrarlo en cualquier momento </w:t>
      </w:r>
      <w:r w:rsidR="009F23BF">
        <w:rPr>
          <w:rFonts w:cs="Arial"/>
          <w:sz w:val="22"/>
          <w:szCs w:val="22"/>
        </w:rPr>
        <w:t xml:space="preserve">del período diciembre 2023 a mayor de 2024 </w:t>
      </w:r>
      <w:r w:rsidR="00113EE8" w:rsidRPr="009F23BF">
        <w:rPr>
          <w:rFonts w:cs="Arial"/>
          <w:sz w:val="22"/>
          <w:szCs w:val="22"/>
        </w:rPr>
        <w:t xml:space="preserve">al Gestor del Mercado, </w:t>
      </w:r>
      <w:r w:rsidR="00874101">
        <w:rPr>
          <w:rFonts w:cs="Arial"/>
          <w:sz w:val="22"/>
          <w:szCs w:val="22"/>
        </w:rPr>
        <w:t xml:space="preserve">en el que </w:t>
      </w:r>
      <w:r w:rsidR="00874101" w:rsidRPr="00874101">
        <w:rPr>
          <w:rFonts w:cs="Arial"/>
          <w:sz w:val="22"/>
          <w:szCs w:val="22"/>
        </w:rPr>
        <w:t>sólo se podrán pactar contratos de suministro a los que se hace referencia en los numerales 1, 2, 3, 4, 5, 7 y 8 del Artículo 8</w:t>
      </w:r>
      <w:r w:rsidR="00874101">
        <w:rPr>
          <w:rFonts w:cs="Arial"/>
          <w:sz w:val="22"/>
          <w:szCs w:val="22"/>
        </w:rPr>
        <w:t xml:space="preserve"> de la Resolución CREG 186 de 2020</w:t>
      </w:r>
      <w:r w:rsidR="00874101" w:rsidRPr="00874101">
        <w:rPr>
          <w:rFonts w:cs="Arial"/>
          <w:sz w:val="22"/>
          <w:szCs w:val="22"/>
        </w:rPr>
        <w:t xml:space="preserve">, los cuales se sujetarán a lo dispuesto en los capítulos I y II del título III de la </w:t>
      </w:r>
      <w:r w:rsidR="00874101">
        <w:rPr>
          <w:rFonts w:cs="Arial"/>
          <w:sz w:val="22"/>
          <w:szCs w:val="22"/>
        </w:rPr>
        <w:t>misma</w:t>
      </w:r>
      <w:r w:rsidR="00874101" w:rsidRPr="00874101">
        <w:rPr>
          <w:rFonts w:cs="Arial"/>
          <w:sz w:val="22"/>
          <w:szCs w:val="22"/>
        </w:rPr>
        <w:t xml:space="preserve"> Resolución</w:t>
      </w:r>
      <w:r w:rsidR="00874101">
        <w:rPr>
          <w:rFonts w:cs="Arial"/>
          <w:sz w:val="22"/>
          <w:szCs w:val="22"/>
        </w:rPr>
        <w:t xml:space="preserve">; finalmente ese contrato deberá tener como fecha de terminación de la ejecución un 30 de noviembre del año que acuerden las partes. Lo anterior no es una norma contraria a ninguna de las que se establece respecto de las duraciones de los contratos y las demás condiciones establecidas en la resolución definitiva al respecto. </w:t>
      </w:r>
    </w:p>
    <w:p w14:paraId="1F8DB24B" w14:textId="77777777" w:rsidR="00874101" w:rsidRDefault="00874101" w:rsidP="00113EE8">
      <w:pPr>
        <w:rPr>
          <w:rFonts w:cs="Arial"/>
          <w:sz w:val="22"/>
          <w:szCs w:val="22"/>
        </w:rPr>
      </w:pPr>
    </w:p>
    <w:p w14:paraId="4A23BB20" w14:textId="2C223F65" w:rsidR="00874101" w:rsidRDefault="00874101" w:rsidP="00B70F87">
      <w:pPr>
        <w:rPr>
          <w:rFonts w:cs="Arial"/>
          <w:sz w:val="22"/>
          <w:szCs w:val="22"/>
        </w:rPr>
      </w:pPr>
      <w:r>
        <w:rPr>
          <w:rFonts w:cs="Arial"/>
          <w:sz w:val="22"/>
          <w:szCs w:val="22"/>
        </w:rPr>
        <w:t xml:space="preserve">Una norma contraria es por ejemplo en el Artículo 22 de la Resolución CREG 186 de 2020, en el que se pueden pactar contratos directamente, únicamente </w:t>
      </w:r>
      <w:r w:rsidRPr="00874101">
        <w:rPr>
          <w:rFonts w:cs="Arial"/>
          <w:sz w:val="22"/>
          <w:szCs w:val="22"/>
        </w:rPr>
        <w:t>mediante contratos de suministro firme CF95, firmeza condicionada y opción de compra, cuya duración sea de tres (3) o más años.</w:t>
      </w:r>
      <w:r>
        <w:rPr>
          <w:rFonts w:cs="Arial"/>
          <w:sz w:val="22"/>
          <w:szCs w:val="22"/>
        </w:rPr>
        <w:t xml:space="preserve"> Esto es contrario a la flexibilidad que se da a los contratos de negociación directa de la resolución propuesta.</w:t>
      </w:r>
    </w:p>
    <w:p w14:paraId="5167722A" w14:textId="2FFAF8B3" w:rsidR="00CC7A0A" w:rsidRPr="00DF0B90" w:rsidRDefault="00874101" w:rsidP="00B70F87">
      <w:pPr>
        <w:rPr>
          <w:rFonts w:cs="Arial"/>
          <w:sz w:val="22"/>
          <w:szCs w:val="22"/>
        </w:rPr>
      </w:pPr>
      <w:r>
        <w:rPr>
          <w:rFonts w:cs="Arial"/>
          <w:sz w:val="22"/>
          <w:szCs w:val="22"/>
        </w:rPr>
        <w:t xml:space="preserve"> </w:t>
      </w:r>
    </w:p>
    <w:p w14:paraId="2D6157ED" w14:textId="3F2A0E37" w:rsidR="00D751B8" w:rsidRPr="00802EF8" w:rsidRDefault="00802EF8" w:rsidP="00B70F87">
      <w:pPr>
        <w:rPr>
          <w:rFonts w:cs="Arial"/>
          <w:sz w:val="22"/>
          <w:szCs w:val="22"/>
        </w:rPr>
      </w:pPr>
      <w:r w:rsidRPr="00802EF8">
        <w:rPr>
          <w:rFonts w:cs="Arial"/>
          <w:sz w:val="22"/>
          <w:szCs w:val="22"/>
        </w:rPr>
        <w:t xml:space="preserve">En el Artículo 1 de la resolución definitiva se adicionará que </w:t>
      </w:r>
      <w:r>
        <w:rPr>
          <w:rFonts w:cs="Arial"/>
          <w:sz w:val="22"/>
          <w:szCs w:val="22"/>
        </w:rPr>
        <w:t xml:space="preserve">las reglas que </w:t>
      </w:r>
      <w:r w:rsidRPr="00802EF8">
        <w:rPr>
          <w:rFonts w:cs="Arial"/>
          <w:sz w:val="22"/>
          <w:szCs w:val="22"/>
        </w:rPr>
        <w:t>se establecen de manera transitoria y de corto plazo, son adicionales a las reglas contempladas en la Resolución CREG 186 de 2020 y aquellas que la modifican o adicionan</w:t>
      </w:r>
      <w:r>
        <w:rPr>
          <w:rFonts w:cs="Arial"/>
          <w:sz w:val="22"/>
          <w:szCs w:val="22"/>
        </w:rPr>
        <w:t>.</w:t>
      </w:r>
    </w:p>
    <w:p w14:paraId="6D5753DC" w14:textId="77777777" w:rsidR="00802EF8" w:rsidRDefault="00802EF8" w:rsidP="00B70F87">
      <w:pPr>
        <w:rPr>
          <w:rFonts w:cs="Arial"/>
          <w:i/>
          <w:iCs/>
          <w:sz w:val="22"/>
          <w:szCs w:val="22"/>
        </w:rPr>
      </w:pPr>
    </w:p>
    <w:p w14:paraId="07D15566" w14:textId="77777777" w:rsidR="00802EF8" w:rsidRDefault="00802EF8" w:rsidP="00B70F87">
      <w:pPr>
        <w:rPr>
          <w:rFonts w:cs="Arial"/>
          <w:i/>
          <w:iCs/>
          <w:sz w:val="22"/>
          <w:szCs w:val="22"/>
        </w:rPr>
      </w:pPr>
    </w:p>
    <w:p w14:paraId="7EEA9940" w14:textId="730CE091" w:rsidR="00D751B8" w:rsidRDefault="00D751B8" w:rsidP="001A614B">
      <w:pPr>
        <w:pStyle w:val="Ttulo2"/>
      </w:pPr>
      <w:bookmarkStart w:id="312" w:name="_Toc158211605"/>
      <w:r>
        <w:t>EPM</w:t>
      </w:r>
      <w:bookmarkEnd w:id="312"/>
    </w:p>
    <w:p w14:paraId="13CA4829" w14:textId="412EED0A" w:rsidR="00D751B8" w:rsidRDefault="00D751B8" w:rsidP="00D751B8">
      <w:r w:rsidRPr="00D751B8">
        <w:rPr>
          <w:i/>
          <w:iCs/>
          <w:sz w:val="22"/>
          <w:szCs w:val="22"/>
        </w:rPr>
        <w:t>“Queremos hacer notar que el principal desafío que enfrenta Colombia no radica en flexibilizar el mecanismo de Comercialización, aunque será de gran ayuda durante la contingencia de El Niño, sino en la crítica situación de disponibilidad de abastecimiento de gas, a partir de diciembre de 2024. Los análisis muestran que un desequilibrio entre la demanda y la oferta llevaría a precios elevados y un riesgo de racionamiento, ante la ausencia de gas comercial en el interior del país. Bajo este panorama, se requiere de nuevos incentivos a los productores para que dispongan de las cantidades requeridas en el mercado, incluso pensar eventualmente en mecanismos de sustitución de gas en refinerías y/o desviar hacia el mercado de gas un porcentaje del gas actualmente utilizado en la reinyección para extracción de crudo. El panorama no es alentador entre el 2024 y 2026, y aún sin considerar los resultados de la restricción actual en el suministro en la costa del 8,6% de la demanda contratada. Las apuestas de Ecopetrol deben llevar a que se concreten los recursos hoy</w:t>
      </w:r>
      <w:r w:rsidR="00C871D6">
        <w:rPr>
          <w:i/>
          <w:iCs/>
          <w:sz w:val="22"/>
          <w:szCs w:val="22"/>
        </w:rPr>
        <w:t xml:space="preserve"> a</w:t>
      </w:r>
      <w:r w:rsidRPr="00D751B8">
        <w:rPr>
          <w:i/>
          <w:iCs/>
          <w:sz w:val="22"/>
          <w:szCs w:val="22"/>
        </w:rPr>
        <w:t>nunciados en el Offshore en el 2026, pero en el mediano plazo será difícil incentivar nueva demanda e iniciar una Transición energética Justa y baja en emisiones</w:t>
      </w:r>
      <w:r w:rsidRPr="00D751B8">
        <w:t xml:space="preserve">. </w:t>
      </w:r>
      <w:r>
        <w:t>“</w:t>
      </w:r>
    </w:p>
    <w:p w14:paraId="5A004003" w14:textId="77777777" w:rsidR="00D751B8" w:rsidRDefault="00D751B8" w:rsidP="00D751B8"/>
    <w:p w14:paraId="5800CF97" w14:textId="77777777" w:rsidR="002B1FF0" w:rsidRPr="002B1FF0" w:rsidRDefault="002B1FF0" w:rsidP="002B1FF0">
      <w:pPr>
        <w:rPr>
          <w:rFonts w:cs="Arial"/>
          <w:b/>
          <w:bCs/>
          <w:sz w:val="22"/>
          <w:szCs w:val="22"/>
        </w:rPr>
      </w:pPr>
      <w:r w:rsidRPr="002B1FF0">
        <w:rPr>
          <w:rFonts w:cs="Arial"/>
          <w:b/>
          <w:bCs/>
          <w:sz w:val="22"/>
          <w:szCs w:val="22"/>
        </w:rPr>
        <w:t>RESPUESTA:</w:t>
      </w:r>
    </w:p>
    <w:p w14:paraId="3228CA65" w14:textId="77777777" w:rsidR="002B1FF0" w:rsidRDefault="002B1FF0" w:rsidP="002B1FF0">
      <w:pPr>
        <w:rPr>
          <w:rFonts w:cs="Arial"/>
          <w:sz w:val="22"/>
          <w:szCs w:val="22"/>
        </w:rPr>
      </w:pPr>
    </w:p>
    <w:p w14:paraId="61E945CD" w14:textId="046B1070" w:rsidR="002B1FF0" w:rsidRPr="002B1FF0" w:rsidRDefault="00C871D6" w:rsidP="002B1FF0">
      <w:pPr>
        <w:rPr>
          <w:rFonts w:cs="Arial"/>
          <w:sz w:val="22"/>
          <w:szCs w:val="22"/>
        </w:rPr>
      </w:pPr>
      <w:r>
        <w:rPr>
          <w:rFonts w:cs="Arial"/>
          <w:sz w:val="22"/>
          <w:szCs w:val="22"/>
        </w:rPr>
        <w:t xml:space="preserve">Ver respuesta al comentario </w:t>
      </w:r>
      <w:r>
        <w:rPr>
          <w:rFonts w:cs="Arial"/>
          <w:sz w:val="22"/>
          <w:szCs w:val="22"/>
        </w:rPr>
        <w:fldChar w:fldCharType="begin"/>
      </w:r>
      <w:r>
        <w:rPr>
          <w:rFonts w:cs="Arial"/>
          <w:sz w:val="22"/>
          <w:szCs w:val="22"/>
        </w:rPr>
        <w:instrText xml:space="preserve"> REF _Ref149300523 \w \h </w:instrText>
      </w:r>
      <w:r>
        <w:rPr>
          <w:rFonts w:cs="Arial"/>
          <w:sz w:val="22"/>
          <w:szCs w:val="22"/>
        </w:rPr>
      </w:r>
      <w:r>
        <w:rPr>
          <w:rFonts w:cs="Arial"/>
          <w:sz w:val="22"/>
          <w:szCs w:val="22"/>
        </w:rPr>
        <w:fldChar w:fldCharType="separate"/>
      </w:r>
      <w:r w:rsidR="0027336D">
        <w:rPr>
          <w:rFonts w:cs="Arial"/>
          <w:sz w:val="22"/>
          <w:szCs w:val="22"/>
        </w:rPr>
        <w:t>18.1</w:t>
      </w:r>
      <w:r>
        <w:rPr>
          <w:rFonts w:cs="Arial"/>
          <w:sz w:val="22"/>
          <w:szCs w:val="22"/>
        </w:rPr>
        <w:fldChar w:fldCharType="end"/>
      </w:r>
      <w:r>
        <w:rPr>
          <w:rFonts w:cs="Arial"/>
          <w:sz w:val="22"/>
          <w:szCs w:val="22"/>
        </w:rPr>
        <w:t>.</w:t>
      </w:r>
    </w:p>
    <w:p w14:paraId="6336819D" w14:textId="77777777" w:rsidR="00D751B8" w:rsidRDefault="00D751B8" w:rsidP="00D751B8"/>
    <w:p w14:paraId="42B88900" w14:textId="77777777" w:rsidR="00D751B8" w:rsidRPr="00D751B8" w:rsidRDefault="00D751B8" w:rsidP="00D751B8"/>
    <w:p w14:paraId="78626DDA" w14:textId="1760FD85" w:rsidR="00920AD8" w:rsidRDefault="00920AD8" w:rsidP="001A614B">
      <w:pPr>
        <w:pStyle w:val="Ttulo2"/>
      </w:pPr>
      <w:bookmarkStart w:id="313" w:name="_Toc158211606"/>
      <w:r w:rsidRPr="00920AD8">
        <w:t>LEWIS ENERGY COLOMBIA INC</w:t>
      </w:r>
      <w:bookmarkEnd w:id="313"/>
    </w:p>
    <w:p w14:paraId="10CCB850" w14:textId="77777777" w:rsidR="00920AD8" w:rsidRPr="00920AD8" w:rsidRDefault="00920AD8" w:rsidP="00920AD8">
      <w:pPr>
        <w:rPr>
          <w:i/>
          <w:iCs/>
          <w:sz w:val="22"/>
          <w:szCs w:val="22"/>
        </w:rPr>
      </w:pPr>
      <w:r w:rsidRPr="00920AD8">
        <w:rPr>
          <w:i/>
          <w:iCs/>
          <w:sz w:val="22"/>
          <w:szCs w:val="22"/>
        </w:rPr>
        <w:t>“Por favor, confirmar que la aplicabilidad del proyecto de resolución recae sobre todas las fuentes de suministro, independientemente de que se trate de aquellas establecidas en los artículos 19 y/o 22 de la Resolución CREG 186 de 2020 (en particular, aplicable a campos mayores)</w:t>
      </w:r>
    </w:p>
    <w:p w14:paraId="18C77EA7" w14:textId="77777777" w:rsidR="00920AD8" w:rsidRPr="00920AD8" w:rsidRDefault="00920AD8" w:rsidP="00920AD8">
      <w:pPr>
        <w:rPr>
          <w:i/>
          <w:iCs/>
          <w:sz w:val="22"/>
          <w:szCs w:val="22"/>
        </w:rPr>
      </w:pPr>
    </w:p>
    <w:p w14:paraId="385278E0" w14:textId="77777777" w:rsidR="00920AD8" w:rsidRPr="00920AD8" w:rsidRDefault="00920AD8" w:rsidP="00920AD8">
      <w:pPr>
        <w:rPr>
          <w:i/>
          <w:iCs/>
          <w:sz w:val="22"/>
          <w:szCs w:val="22"/>
        </w:rPr>
      </w:pPr>
      <w:r w:rsidRPr="00920AD8">
        <w:rPr>
          <w:i/>
          <w:iCs/>
          <w:sz w:val="22"/>
          <w:szCs w:val="22"/>
        </w:rPr>
        <w:t>Lo anterior, en concordancia con lo señalado por el Documento Soporte publicado, optando por flexibilizar el suministro de gas natural, independientemente de la fuente.</w:t>
      </w:r>
    </w:p>
    <w:p w14:paraId="4EF409A8" w14:textId="77777777" w:rsidR="00920AD8" w:rsidRPr="00920AD8" w:rsidRDefault="00920AD8" w:rsidP="00920AD8">
      <w:pPr>
        <w:rPr>
          <w:i/>
          <w:iCs/>
          <w:sz w:val="22"/>
          <w:szCs w:val="22"/>
        </w:rPr>
      </w:pPr>
    </w:p>
    <w:p w14:paraId="5ADF794A" w14:textId="23D1250C" w:rsidR="00920AD8" w:rsidRPr="00920AD8" w:rsidRDefault="00920AD8" w:rsidP="00920AD8">
      <w:pPr>
        <w:rPr>
          <w:i/>
          <w:iCs/>
          <w:sz w:val="22"/>
          <w:szCs w:val="22"/>
        </w:rPr>
      </w:pPr>
      <w:r w:rsidRPr="00920AD8">
        <w:rPr>
          <w:i/>
          <w:iCs/>
          <w:sz w:val="22"/>
          <w:szCs w:val="22"/>
        </w:rPr>
        <w:t>Incorporar de manera inequívoca en el texto de la resolución definitiva, que todas las fuentes de suministro de gas natural podrán acogerse a las disposiciones previstas en ésta y por ende, negociar el suministro de gas directamente en cualquier momento del año hasta el 30 de agosto de 2024 atendiendo las normas aquí previstas.”</w:t>
      </w:r>
    </w:p>
    <w:p w14:paraId="1FCF5EA7" w14:textId="77777777" w:rsidR="00920AD8" w:rsidRDefault="00920AD8" w:rsidP="00920AD8"/>
    <w:p w14:paraId="4E70AE1D" w14:textId="77777777" w:rsidR="002B1FF0" w:rsidRPr="002B1FF0" w:rsidRDefault="002B1FF0" w:rsidP="002B1FF0">
      <w:pPr>
        <w:rPr>
          <w:rFonts w:cs="Arial"/>
          <w:b/>
          <w:bCs/>
          <w:sz w:val="22"/>
          <w:szCs w:val="22"/>
        </w:rPr>
      </w:pPr>
      <w:r w:rsidRPr="002B1FF0">
        <w:rPr>
          <w:rFonts w:cs="Arial"/>
          <w:b/>
          <w:bCs/>
          <w:sz w:val="22"/>
          <w:szCs w:val="22"/>
        </w:rPr>
        <w:t>RESPUESTA:</w:t>
      </w:r>
    </w:p>
    <w:p w14:paraId="53D473B0" w14:textId="77777777" w:rsidR="002B1FF0" w:rsidRPr="002B1FF0" w:rsidRDefault="002B1FF0" w:rsidP="002B1FF0">
      <w:pPr>
        <w:rPr>
          <w:rFonts w:cs="Arial"/>
          <w:sz w:val="22"/>
          <w:szCs w:val="22"/>
        </w:rPr>
      </w:pPr>
    </w:p>
    <w:p w14:paraId="18670905" w14:textId="0F42D3B9" w:rsidR="002B1FF0" w:rsidRDefault="00C871D6" w:rsidP="002B1FF0">
      <w:pPr>
        <w:rPr>
          <w:rFonts w:cs="Arial"/>
          <w:sz w:val="22"/>
          <w:szCs w:val="22"/>
        </w:rPr>
      </w:pPr>
      <w:r>
        <w:rPr>
          <w:rFonts w:cs="Arial"/>
          <w:sz w:val="22"/>
          <w:szCs w:val="22"/>
        </w:rPr>
        <w:t xml:space="preserve">Ver repuesta al comentario </w:t>
      </w:r>
      <w:r>
        <w:rPr>
          <w:rFonts w:cs="Arial"/>
          <w:sz w:val="22"/>
          <w:szCs w:val="22"/>
        </w:rPr>
        <w:fldChar w:fldCharType="begin"/>
      </w:r>
      <w:r>
        <w:rPr>
          <w:rFonts w:cs="Arial"/>
          <w:sz w:val="22"/>
          <w:szCs w:val="22"/>
        </w:rPr>
        <w:instrText xml:space="preserve"> REF _Ref149300565 \w \h </w:instrText>
      </w:r>
      <w:r>
        <w:rPr>
          <w:rFonts w:cs="Arial"/>
          <w:sz w:val="22"/>
          <w:szCs w:val="22"/>
        </w:rPr>
      </w:r>
      <w:r>
        <w:rPr>
          <w:rFonts w:cs="Arial"/>
          <w:sz w:val="22"/>
          <w:szCs w:val="22"/>
        </w:rPr>
        <w:fldChar w:fldCharType="separate"/>
      </w:r>
      <w:r w:rsidR="0027336D">
        <w:rPr>
          <w:rFonts w:cs="Arial"/>
          <w:sz w:val="22"/>
          <w:szCs w:val="22"/>
        </w:rPr>
        <w:t>18.8</w:t>
      </w:r>
      <w:r>
        <w:rPr>
          <w:rFonts w:cs="Arial"/>
          <w:sz w:val="22"/>
          <w:szCs w:val="22"/>
        </w:rPr>
        <w:fldChar w:fldCharType="end"/>
      </w:r>
      <w:r>
        <w:rPr>
          <w:rFonts w:cs="Arial"/>
          <w:sz w:val="22"/>
          <w:szCs w:val="22"/>
        </w:rPr>
        <w:t xml:space="preserve"> y al comentario </w:t>
      </w:r>
      <w:r>
        <w:rPr>
          <w:rFonts w:cs="Arial"/>
          <w:sz w:val="22"/>
          <w:szCs w:val="22"/>
        </w:rPr>
        <w:fldChar w:fldCharType="begin"/>
      </w:r>
      <w:r>
        <w:rPr>
          <w:rFonts w:cs="Arial"/>
          <w:sz w:val="22"/>
          <w:szCs w:val="22"/>
        </w:rPr>
        <w:instrText xml:space="preserve"> REF _Ref149300575 \w \h </w:instrText>
      </w:r>
      <w:r>
        <w:rPr>
          <w:rFonts w:cs="Arial"/>
          <w:sz w:val="22"/>
          <w:szCs w:val="22"/>
        </w:rPr>
      </w:r>
      <w:r>
        <w:rPr>
          <w:rFonts w:cs="Arial"/>
          <w:sz w:val="22"/>
          <w:szCs w:val="22"/>
        </w:rPr>
        <w:fldChar w:fldCharType="separate"/>
      </w:r>
      <w:r w:rsidR="0027336D">
        <w:rPr>
          <w:rFonts w:cs="Arial"/>
          <w:sz w:val="22"/>
          <w:szCs w:val="22"/>
        </w:rPr>
        <w:t>18.9</w:t>
      </w:r>
      <w:r>
        <w:rPr>
          <w:rFonts w:cs="Arial"/>
          <w:sz w:val="22"/>
          <w:szCs w:val="22"/>
        </w:rPr>
        <w:fldChar w:fldCharType="end"/>
      </w:r>
      <w:r>
        <w:rPr>
          <w:rFonts w:cs="Arial"/>
          <w:sz w:val="22"/>
          <w:szCs w:val="22"/>
        </w:rPr>
        <w:t>.</w:t>
      </w:r>
    </w:p>
    <w:p w14:paraId="2BA49651" w14:textId="77777777" w:rsidR="00C871D6" w:rsidRPr="002B1FF0" w:rsidRDefault="00C871D6" w:rsidP="002B1FF0">
      <w:pPr>
        <w:rPr>
          <w:rFonts w:cs="Arial"/>
          <w:sz w:val="22"/>
          <w:szCs w:val="22"/>
        </w:rPr>
      </w:pPr>
    </w:p>
    <w:p w14:paraId="3F371CC7" w14:textId="77777777" w:rsidR="00920AD8" w:rsidRPr="00920AD8" w:rsidRDefault="00920AD8" w:rsidP="00920AD8"/>
    <w:p w14:paraId="75C34A4F" w14:textId="254C3A39" w:rsidR="00B02E57" w:rsidRDefault="00B70F87" w:rsidP="001A614B">
      <w:pPr>
        <w:pStyle w:val="Ttulo2"/>
      </w:pPr>
      <w:bookmarkStart w:id="314" w:name="_Toc158211607"/>
      <w:r w:rsidRPr="00A25B16">
        <w:t>OGE LEGAL SERVICES</w:t>
      </w:r>
      <w:bookmarkEnd w:id="314"/>
      <w:r w:rsidRPr="00A25B16">
        <w:tab/>
      </w:r>
    </w:p>
    <w:p w14:paraId="0CE016D3" w14:textId="1B4F7139" w:rsidR="00B70F87" w:rsidRPr="00A25B16" w:rsidRDefault="00B70F87" w:rsidP="00B70F87">
      <w:pPr>
        <w:rPr>
          <w:rFonts w:cs="Arial"/>
          <w:i/>
          <w:iCs/>
          <w:sz w:val="22"/>
          <w:szCs w:val="22"/>
        </w:rPr>
      </w:pPr>
      <w:r w:rsidRPr="00A25B16">
        <w:rPr>
          <w:rFonts w:cs="Arial"/>
          <w:i/>
          <w:iCs/>
          <w:sz w:val="22"/>
          <w:szCs w:val="22"/>
        </w:rPr>
        <w:t>"En la parte considerativa de la resolución se hace referencia a lo siguiente: “En comunicación del 8 de agosto de 2023 los productores-comercializadores CNEOG Colombia y CNE Oil &amp; Gas declararon al Ministerio de Minas y Energía una Insalvable Restricción en la Oferta de Gas Natural en el punto de entrega Estación Jobo, No Transitoria, inicialmente por 23.600 MBTUD.”, al respecto se pregunta:</w:t>
      </w:r>
    </w:p>
    <w:p w14:paraId="0BD8664F" w14:textId="77777777" w:rsidR="00B70F87" w:rsidRPr="00A25B16" w:rsidRDefault="00B70F87" w:rsidP="00B70F87">
      <w:pPr>
        <w:rPr>
          <w:rFonts w:cs="Arial"/>
          <w:i/>
          <w:iCs/>
          <w:sz w:val="22"/>
          <w:szCs w:val="22"/>
        </w:rPr>
      </w:pPr>
      <w:r w:rsidRPr="00A25B16">
        <w:rPr>
          <w:rFonts w:cs="Arial"/>
          <w:i/>
          <w:iCs/>
          <w:sz w:val="22"/>
          <w:szCs w:val="22"/>
        </w:rPr>
        <w:t>-</w:t>
      </w:r>
    </w:p>
    <w:p w14:paraId="07D9AD62" w14:textId="77777777" w:rsidR="00B70F87" w:rsidRPr="00A25B16" w:rsidRDefault="00B70F87" w:rsidP="00B70F87">
      <w:pPr>
        <w:rPr>
          <w:rFonts w:cs="Arial"/>
          <w:i/>
          <w:iCs/>
          <w:sz w:val="22"/>
          <w:szCs w:val="22"/>
        </w:rPr>
      </w:pPr>
      <w:r w:rsidRPr="00A25B16">
        <w:rPr>
          <w:rFonts w:cs="Arial"/>
          <w:i/>
          <w:iCs/>
          <w:sz w:val="22"/>
          <w:szCs w:val="22"/>
        </w:rPr>
        <w:t>¿La mencionada declaración tiene origen en fuerza mayor?</w:t>
      </w:r>
    </w:p>
    <w:p w14:paraId="44DD436C" w14:textId="77777777" w:rsidR="00B70F87" w:rsidRPr="00A25B16" w:rsidRDefault="00B70F87" w:rsidP="00B70F87">
      <w:pPr>
        <w:rPr>
          <w:rFonts w:cs="Arial"/>
          <w:i/>
          <w:iCs/>
          <w:sz w:val="22"/>
          <w:szCs w:val="22"/>
        </w:rPr>
      </w:pPr>
      <w:r w:rsidRPr="00A25B16">
        <w:rPr>
          <w:rFonts w:cs="Arial"/>
          <w:i/>
          <w:iCs/>
          <w:sz w:val="22"/>
          <w:szCs w:val="22"/>
        </w:rPr>
        <w:t>-</w:t>
      </w:r>
    </w:p>
    <w:p w14:paraId="77705043" w14:textId="77777777" w:rsidR="00B70F87" w:rsidRPr="00A25B16" w:rsidRDefault="00B70F87" w:rsidP="00B70F87">
      <w:pPr>
        <w:rPr>
          <w:rFonts w:cs="Arial"/>
          <w:i/>
          <w:iCs/>
          <w:sz w:val="22"/>
          <w:szCs w:val="22"/>
        </w:rPr>
      </w:pPr>
      <w:r w:rsidRPr="00A25B16">
        <w:rPr>
          <w:rFonts w:cs="Arial"/>
          <w:i/>
          <w:iCs/>
          <w:sz w:val="22"/>
          <w:szCs w:val="22"/>
        </w:rPr>
        <w:t>¿En qué tipo de eventos se sustentó la fuerza mayor?</w:t>
      </w:r>
    </w:p>
    <w:p w14:paraId="526A63B6" w14:textId="77777777" w:rsidR="00B02E57" w:rsidRDefault="00B02E57" w:rsidP="00B70F87">
      <w:pPr>
        <w:rPr>
          <w:rFonts w:cs="Arial"/>
          <w:i/>
          <w:iCs/>
          <w:sz w:val="22"/>
          <w:szCs w:val="22"/>
        </w:rPr>
      </w:pPr>
    </w:p>
    <w:p w14:paraId="2AC405DD" w14:textId="7F64A066" w:rsidR="00B70F87" w:rsidRPr="00A25B16" w:rsidRDefault="00B70F87" w:rsidP="00B70F87">
      <w:pPr>
        <w:rPr>
          <w:rFonts w:cs="Arial"/>
          <w:i/>
          <w:iCs/>
          <w:sz w:val="22"/>
          <w:szCs w:val="22"/>
        </w:rPr>
      </w:pPr>
      <w:r w:rsidRPr="00A25B16">
        <w:rPr>
          <w:rFonts w:cs="Arial"/>
          <w:i/>
          <w:iCs/>
          <w:sz w:val="22"/>
          <w:szCs w:val="22"/>
        </w:rPr>
        <w:t>Para efectos de supervisar y vigilar las circunstancias que dieron origen a la mencionada declaración se solicita dar traslado y conocimiento a las autoridades competentes."</w:t>
      </w:r>
    </w:p>
    <w:p w14:paraId="0CFD2FA9" w14:textId="77777777" w:rsidR="00B02E57" w:rsidRDefault="00B02E57" w:rsidP="00B70F87">
      <w:pPr>
        <w:rPr>
          <w:rFonts w:cs="Arial"/>
          <w:i/>
          <w:iCs/>
          <w:sz w:val="22"/>
          <w:szCs w:val="22"/>
        </w:rPr>
      </w:pPr>
    </w:p>
    <w:p w14:paraId="3623ACBD" w14:textId="77777777" w:rsidR="002B1FF0" w:rsidRPr="002B1FF0" w:rsidRDefault="002B1FF0" w:rsidP="002B1FF0">
      <w:pPr>
        <w:rPr>
          <w:rFonts w:cs="Arial"/>
          <w:b/>
          <w:bCs/>
          <w:sz w:val="22"/>
          <w:szCs w:val="22"/>
        </w:rPr>
      </w:pPr>
      <w:r w:rsidRPr="002B1FF0">
        <w:rPr>
          <w:rFonts w:cs="Arial"/>
          <w:b/>
          <w:bCs/>
          <w:sz w:val="22"/>
          <w:szCs w:val="22"/>
        </w:rPr>
        <w:t>RESPUESTA:</w:t>
      </w:r>
    </w:p>
    <w:p w14:paraId="11A6988B" w14:textId="77777777" w:rsidR="002B1FF0" w:rsidRPr="002B1FF0" w:rsidRDefault="002B1FF0" w:rsidP="002B1FF0">
      <w:pPr>
        <w:rPr>
          <w:rFonts w:cs="Arial"/>
          <w:sz w:val="22"/>
          <w:szCs w:val="22"/>
        </w:rPr>
      </w:pPr>
    </w:p>
    <w:p w14:paraId="742F8558" w14:textId="4BDBE371" w:rsidR="00CB5CE0" w:rsidRDefault="009C2B3D" w:rsidP="00B70F87">
      <w:pPr>
        <w:rPr>
          <w:rFonts w:cs="Arial"/>
          <w:sz w:val="22"/>
          <w:szCs w:val="22"/>
        </w:rPr>
      </w:pPr>
      <w:r>
        <w:rPr>
          <w:rFonts w:cs="Arial"/>
          <w:sz w:val="22"/>
          <w:szCs w:val="22"/>
        </w:rPr>
        <w:t>No es competencia de la CREG, en general</w:t>
      </w:r>
      <w:r w:rsidR="00252E5D">
        <w:rPr>
          <w:rFonts w:cs="Arial"/>
          <w:sz w:val="22"/>
          <w:szCs w:val="22"/>
        </w:rPr>
        <w:t>,</w:t>
      </w:r>
      <w:r>
        <w:rPr>
          <w:rFonts w:cs="Arial"/>
          <w:sz w:val="22"/>
          <w:szCs w:val="22"/>
        </w:rPr>
        <w:t xml:space="preserve"> determinar si la declaración </w:t>
      </w:r>
      <w:r w:rsidR="00252E5D">
        <w:rPr>
          <w:rFonts w:cs="Arial"/>
          <w:sz w:val="22"/>
          <w:szCs w:val="22"/>
        </w:rPr>
        <w:t xml:space="preserve">de una Insalvable Restricción en la Oferta de Gas Natural que realice </w:t>
      </w:r>
      <w:r>
        <w:rPr>
          <w:rFonts w:cs="Arial"/>
          <w:sz w:val="22"/>
          <w:szCs w:val="22"/>
        </w:rPr>
        <w:t xml:space="preserve">un productor de gas natural tiene origen o no en una fuerza mayor. </w:t>
      </w:r>
      <w:r w:rsidR="00CB5CE0">
        <w:rPr>
          <w:rFonts w:cs="Arial"/>
          <w:sz w:val="22"/>
          <w:szCs w:val="22"/>
        </w:rPr>
        <w:t>En el Parágrafo 3 del Artículo 2.2.2.21 del Decreto 1073 de 2015 se determina que:</w:t>
      </w:r>
    </w:p>
    <w:p w14:paraId="5E90B9AA" w14:textId="77777777" w:rsidR="00CB5CE0" w:rsidRDefault="00CB5CE0" w:rsidP="00B70F87">
      <w:pPr>
        <w:rPr>
          <w:rFonts w:cs="Arial"/>
          <w:sz w:val="22"/>
          <w:szCs w:val="22"/>
        </w:rPr>
      </w:pPr>
    </w:p>
    <w:p w14:paraId="05F758CB" w14:textId="77777777" w:rsidR="00252E5D" w:rsidRDefault="00CB5CE0" w:rsidP="00CB5CE0">
      <w:pPr>
        <w:ind w:left="576"/>
        <w:rPr>
          <w:rFonts w:cs="Arial"/>
          <w:sz w:val="22"/>
          <w:szCs w:val="22"/>
        </w:rPr>
      </w:pPr>
      <w:r>
        <w:rPr>
          <w:rFonts w:cs="Arial"/>
          <w:sz w:val="22"/>
          <w:szCs w:val="22"/>
        </w:rPr>
        <w:t>“</w:t>
      </w:r>
      <w:r w:rsidRPr="00CB5CE0">
        <w:rPr>
          <w:rFonts w:cs="Arial"/>
          <w:i/>
          <w:iCs/>
          <w:sz w:val="22"/>
          <w:szCs w:val="22"/>
        </w:rPr>
        <w:t xml:space="preserve">PARÁGRAFO 3. </w:t>
      </w:r>
      <w:r w:rsidRPr="00CB5CE0">
        <w:rPr>
          <w:rFonts w:cs="Arial"/>
          <w:b/>
          <w:bCs/>
          <w:i/>
          <w:iCs/>
          <w:sz w:val="22"/>
          <w:szCs w:val="22"/>
          <w:u w:val="single"/>
        </w:rPr>
        <w:t>La declaratoria del periodo de insalvables restricciones en la oferta de gas natural o situaciones de grave emergencia no transitorias</w:t>
      </w:r>
      <w:r w:rsidRPr="00CB5CE0">
        <w:rPr>
          <w:rFonts w:cs="Arial"/>
          <w:i/>
          <w:iCs/>
          <w:sz w:val="22"/>
          <w:szCs w:val="22"/>
        </w:rPr>
        <w:t xml:space="preserve">, por la ocurrencia de un evento propio del ámbito de acción de un productor, transportador o comercializador, no lo eximirá del cumplimiento de sus obligaciones contractuales, </w:t>
      </w:r>
      <w:r w:rsidRPr="00CB5CE0">
        <w:rPr>
          <w:rFonts w:cs="Arial"/>
          <w:b/>
          <w:bCs/>
          <w:i/>
          <w:iCs/>
          <w:sz w:val="22"/>
          <w:szCs w:val="22"/>
          <w:u w:val="single"/>
        </w:rPr>
        <w:t>salvo que dicho suceso obedezca a un evento de fuerza mayor</w:t>
      </w:r>
      <w:r w:rsidRPr="00CB5CE0">
        <w:rPr>
          <w:rFonts w:cs="Arial"/>
          <w:i/>
          <w:iCs/>
          <w:sz w:val="22"/>
          <w:szCs w:val="22"/>
        </w:rPr>
        <w:t>, caso fortuito, causa extraña o a un evento eximente de responsabilidad conforme a lo dispuesto en la regulación vigente</w:t>
      </w:r>
      <w:r w:rsidRPr="00CB5CE0">
        <w:rPr>
          <w:rFonts w:cs="Arial"/>
          <w:sz w:val="22"/>
          <w:szCs w:val="22"/>
        </w:rPr>
        <w:t>.</w:t>
      </w:r>
      <w:r>
        <w:rPr>
          <w:rFonts w:cs="Arial"/>
          <w:sz w:val="22"/>
          <w:szCs w:val="22"/>
        </w:rPr>
        <w:t>” (subrayado con resaltado fuera de texto)</w:t>
      </w:r>
      <w:r w:rsidR="00252E5D">
        <w:rPr>
          <w:rFonts w:cs="Arial"/>
          <w:sz w:val="22"/>
          <w:szCs w:val="22"/>
        </w:rPr>
        <w:t>.</w:t>
      </w:r>
    </w:p>
    <w:p w14:paraId="54B669AB" w14:textId="77777777" w:rsidR="00252E5D" w:rsidRDefault="00252E5D" w:rsidP="00CB5CE0">
      <w:pPr>
        <w:ind w:left="576"/>
        <w:rPr>
          <w:rFonts w:cs="Arial"/>
          <w:sz w:val="22"/>
          <w:szCs w:val="22"/>
        </w:rPr>
      </w:pPr>
    </w:p>
    <w:p w14:paraId="4B9BDA7A" w14:textId="7D2A20FB" w:rsidR="00B02E57" w:rsidRDefault="00252E5D" w:rsidP="00252E5D">
      <w:pPr>
        <w:rPr>
          <w:rFonts w:cs="Arial"/>
          <w:sz w:val="22"/>
          <w:szCs w:val="22"/>
        </w:rPr>
      </w:pPr>
      <w:r>
        <w:rPr>
          <w:rFonts w:cs="Arial"/>
          <w:sz w:val="22"/>
          <w:szCs w:val="22"/>
        </w:rPr>
        <w:t xml:space="preserve">Corresponde a las contrapartes de los contratos de tipo firme cuyo cumplimiento de suministro queda comprometido ante tal situación, desarrollar los procedimientos que considere necesarios </w:t>
      </w:r>
      <w:r w:rsidR="007762B1">
        <w:rPr>
          <w:rFonts w:cs="Arial"/>
          <w:sz w:val="22"/>
          <w:szCs w:val="22"/>
        </w:rPr>
        <w:t xml:space="preserve">ante las autoridades correspondientes, </w:t>
      </w:r>
      <w:r>
        <w:rPr>
          <w:rFonts w:cs="Arial"/>
          <w:sz w:val="22"/>
          <w:szCs w:val="22"/>
        </w:rPr>
        <w:t>para determinar si realmente se dieron las condiciones previstas en el Parágrafo anteriormente transcrito o no.</w:t>
      </w:r>
      <w:r w:rsidR="00CB5CE0">
        <w:rPr>
          <w:rFonts w:cs="Arial"/>
          <w:sz w:val="22"/>
          <w:szCs w:val="22"/>
        </w:rPr>
        <w:t xml:space="preserve"> </w:t>
      </w:r>
      <w:r w:rsidR="007762B1">
        <w:rPr>
          <w:rFonts w:cs="Arial"/>
          <w:sz w:val="22"/>
          <w:szCs w:val="22"/>
        </w:rPr>
        <w:t>Es de tener en cuenta que los contratos de suministro de gas provienen necesariamente del gas que se produce en virtud de la ejecución de un contrato de explotación o de producción de petróleo o gas, que suscribe el productor con la Agencia Nacional de Hidrocarburos.</w:t>
      </w:r>
    </w:p>
    <w:p w14:paraId="4D1740F9" w14:textId="77777777" w:rsidR="00151E25" w:rsidRDefault="00151E25" w:rsidP="00252E5D">
      <w:pPr>
        <w:rPr>
          <w:rFonts w:cs="Arial"/>
          <w:sz w:val="22"/>
          <w:szCs w:val="22"/>
        </w:rPr>
      </w:pPr>
    </w:p>
    <w:p w14:paraId="61172B62" w14:textId="0F9CEE7E" w:rsidR="00151E25" w:rsidRDefault="00151E25" w:rsidP="00252E5D">
      <w:pPr>
        <w:rPr>
          <w:rFonts w:cs="Arial"/>
          <w:sz w:val="22"/>
          <w:szCs w:val="22"/>
        </w:rPr>
      </w:pPr>
      <w:r>
        <w:rPr>
          <w:rFonts w:cs="Arial"/>
          <w:sz w:val="22"/>
          <w:szCs w:val="22"/>
        </w:rPr>
        <w:t>El Artículo 10 “</w:t>
      </w:r>
      <w:r w:rsidRPr="00151E25">
        <w:rPr>
          <w:rFonts w:cs="Arial"/>
          <w:i/>
          <w:iCs/>
          <w:sz w:val="22"/>
          <w:szCs w:val="22"/>
        </w:rPr>
        <w:t>Eve</w:t>
      </w:r>
      <w:r>
        <w:rPr>
          <w:rFonts w:cs="Arial"/>
          <w:i/>
          <w:iCs/>
          <w:sz w:val="22"/>
          <w:szCs w:val="22"/>
        </w:rPr>
        <w:t>n</w:t>
      </w:r>
      <w:r w:rsidRPr="00151E25">
        <w:rPr>
          <w:rFonts w:cs="Arial"/>
          <w:i/>
          <w:iCs/>
          <w:sz w:val="22"/>
          <w:szCs w:val="22"/>
        </w:rPr>
        <w:t>tos de fuerza mayor, caso fortuito o causa extraña</w:t>
      </w:r>
      <w:r>
        <w:rPr>
          <w:rFonts w:cs="Arial"/>
          <w:sz w:val="22"/>
          <w:szCs w:val="22"/>
        </w:rPr>
        <w:t xml:space="preserve">” de la Resolución CREG 186 de 2020 se establece la forma de proceder por cada una de las partes del contrato de suministro de gas natural ante la ocurrencia de un evento de </w:t>
      </w:r>
      <w:r w:rsidRPr="00151E25">
        <w:rPr>
          <w:rFonts w:cs="Arial"/>
          <w:sz w:val="22"/>
          <w:szCs w:val="22"/>
        </w:rPr>
        <w:t>fuerza mayor, caso fortuito o causa extraña</w:t>
      </w:r>
      <w:r w:rsidR="007762B1">
        <w:rPr>
          <w:rFonts w:cs="Arial"/>
          <w:sz w:val="22"/>
          <w:szCs w:val="22"/>
        </w:rPr>
        <w:t xml:space="preserve">. </w:t>
      </w:r>
    </w:p>
    <w:p w14:paraId="5B65327E" w14:textId="77777777" w:rsidR="00CB5CE0" w:rsidRDefault="00CB5CE0" w:rsidP="00B70F87">
      <w:pPr>
        <w:rPr>
          <w:rFonts w:cs="Arial"/>
          <w:sz w:val="22"/>
          <w:szCs w:val="22"/>
        </w:rPr>
      </w:pPr>
    </w:p>
    <w:p w14:paraId="296DA72B" w14:textId="77777777" w:rsidR="00B02E57" w:rsidRDefault="00B02E57" w:rsidP="00B70F87">
      <w:pPr>
        <w:rPr>
          <w:rFonts w:cs="Arial"/>
          <w:i/>
          <w:iCs/>
          <w:sz w:val="22"/>
          <w:szCs w:val="22"/>
        </w:rPr>
      </w:pPr>
    </w:p>
    <w:p w14:paraId="61EDE6D0" w14:textId="196EC7DA" w:rsidR="00B02E57" w:rsidRDefault="00B70F87" w:rsidP="001A614B">
      <w:pPr>
        <w:pStyle w:val="Ttulo2"/>
      </w:pPr>
      <w:bookmarkStart w:id="315" w:name="_Toc158211608"/>
      <w:r w:rsidRPr="00A25B16">
        <w:t>OGE LEGAL SERVICES</w:t>
      </w:r>
      <w:bookmarkEnd w:id="315"/>
      <w:r w:rsidRPr="00A25B16">
        <w:tab/>
      </w:r>
    </w:p>
    <w:p w14:paraId="3D21BBF0" w14:textId="4CD5EC2D" w:rsidR="00B70F87" w:rsidRDefault="00B02E57" w:rsidP="00B70F87">
      <w:pPr>
        <w:rPr>
          <w:rFonts w:cs="Arial"/>
          <w:i/>
          <w:iCs/>
          <w:sz w:val="22"/>
          <w:szCs w:val="22"/>
        </w:rPr>
      </w:pPr>
      <w:r>
        <w:rPr>
          <w:rFonts w:cs="Arial"/>
          <w:i/>
          <w:iCs/>
          <w:sz w:val="22"/>
          <w:szCs w:val="22"/>
        </w:rPr>
        <w:t>“</w:t>
      </w:r>
      <w:r w:rsidR="00B70F87" w:rsidRPr="00A25B16">
        <w:rPr>
          <w:rFonts w:cs="Arial"/>
          <w:i/>
          <w:iCs/>
          <w:sz w:val="22"/>
          <w:szCs w:val="22"/>
        </w:rPr>
        <w:t>En atención a que Colombia cuenta con pocas terminales y puertos para la importación de gas natural licuado, se pregunta: ¿Las terminales y los puertos existentes deben garantizar el libre acceso a su infraestructura para superar eficientemente las situaciones de indisponibilidad en el suministro de gas natural local?</w:t>
      </w:r>
    </w:p>
    <w:p w14:paraId="63617D86" w14:textId="77777777" w:rsidR="00B02E57" w:rsidRDefault="00B02E57" w:rsidP="00B70F87">
      <w:pPr>
        <w:rPr>
          <w:rFonts w:cs="Arial"/>
          <w:i/>
          <w:iCs/>
          <w:sz w:val="22"/>
          <w:szCs w:val="22"/>
        </w:rPr>
      </w:pPr>
    </w:p>
    <w:p w14:paraId="644608B3" w14:textId="77777777" w:rsidR="002B1FF0" w:rsidRPr="002B1FF0" w:rsidRDefault="002B1FF0" w:rsidP="002B1FF0">
      <w:pPr>
        <w:rPr>
          <w:rFonts w:cs="Arial"/>
          <w:b/>
          <w:bCs/>
          <w:sz w:val="22"/>
          <w:szCs w:val="22"/>
        </w:rPr>
      </w:pPr>
      <w:r w:rsidRPr="002B1FF0">
        <w:rPr>
          <w:rFonts w:cs="Arial"/>
          <w:b/>
          <w:bCs/>
          <w:sz w:val="22"/>
          <w:szCs w:val="22"/>
        </w:rPr>
        <w:t>RESPUESTA:</w:t>
      </w:r>
    </w:p>
    <w:p w14:paraId="6DC89E61" w14:textId="77777777" w:rsidR="002B1FF0" w:rsidRPr="002B1FF0" w:rsidRDefault="002B1FF0" w:rsidP="002B1FF0">
      <w:pPr>
        <w:rPr>
          <w:rFonts w:cs="Arial"/>
          <w:sz w:val="22"/>
          <w:szCs w:val="22"/>
        </w:rPr>
      </w:pPr>
    </w:p>
    <w:p w14:paraId="4470E9E5" w14:textId="5BA7914D" w:rsidR="002B1FF0" w:rsidRDefault="00307B4C" w:rsidP="002B1FF0">
      <w:pPr>
        <w:rPr>
          <w:rFonts w:cs="Arial"/>
          <w:sz w:val="22"/>
          <w:szCs w:val="22"/>
        </w:rPr>
      </w:pPr>
      <w:r>
        <w:rPr>
          <w:rFonts w:cs="Arial"/>
          <w:sz w:val="22"/>
          <w:szCs w:val="22"/>
        </w:rPr>
        <w:t>El Artículo 2.2.2.40 del Decreto 1073 de 2015, establece al respecto del comentario:</w:t>
      </w:r>
    </w:p>
    <w:p w14:paraId="0A72E3F6" w14:textId="77777777" w:rsidR="00307B4C" w:rsidRDefault="00307B4C" w:rsidP="002B1FF0">
      <w:pPr>
        <w:rPr>
          <w:rFonts w:cs="Arial"/>
          <w:sz w:val="22"/>
          <w:szCs w:val="22"/>
        </w:rPr>
      </w:pPr>
    </w:p>
    <w:p w14:paraId="1D9E2D04" w14:textId="03600C23" w:rsidR="00307B4C" w:rsidRPr="00307B4C" w:rsidRDefault="00307B4C" w:rsidP="00307B4C">
      <w:pPr>
        <w:ind w:left="708"/>
        <w:rPr>
          <w:rFonts w:cs="Arial"/>
          <w:i/>
          <w:iCs/>
          <w:sz w:val="22"/>
          <w:szCs w:val="22"/>
        </w:rPr>
      </w:pPr>
      <w:r>
        <w:rPr>
          <w:rFonts w:cs="Arial"/>
          <w:sz w:val="22"/>
          <w:szCs w:val="22"/>
        </w:rPr>
        <w:t>“</w:t>
      </w:r>
      <w:r w:rsidRPr="00307B4C">
        <w:rPr>
          <w:rFonts w:cs="Arial"/>
          <w:i/>
          <w:iCs/>
          <w:sz w:val="22"/>
          <w:szCs w:val="22"/>
        </w:rPr>
        <w:t>ARTÍCULO 2.2.2.2.40. Acceso a la capacidad de la Infraestructura de Regasificación. Los Agentes propietarios y/u operadores de la Infraestructura de Regasificación deberán permitir el acceso a la capacidad no utilizada y/o no comprometida a los Agentes que la requieran, siempre y cuando, se cumplan las siguientes condiciones: (i) se cuente con capacidad disponible para ser contratada, y (ii) no se interfiera ni se ponga en riesgo el cumplimiento de los contratos vigentes por asumir nuevos compromisos contractuales.</w:t>
      </w:r>
    </w:p>
    <w:p w14:paraId="1CD90A57" w14:textId="77777777" w:rsidR="00307B4C" w:rsidRPr="00307B4C" w:rsidRDefault="00307B4C" w:rsidP="00307B4C">
      <w:pPr>
        <w:ind w:left="708"/>
        <w:rPr>
          <w:rFonts w:cs="Arial"/>
          <w:i/>
          <w:iCs/>
          <w:sz w:val="22"/>
          <w:szCs w:val="22"/>
        </w:rPr>
      </w:pPr>
    </w:p>
    <w:p w14:paraId="04F95EA7" w14:textId="1E53B987" w:rsidR="00307B4C" w:rsidRPr="00307B4C" w:rsidRDefault="00307B4C" w:rsidP="00307B4C">
      <w:pPr>
        <w:ind w:left="708"/>
        <w:rPr>
          <w:rFonts w:cs="Arial"/>
          <w:i/>
          <w:iCs/>
          <w:sz w:val="22"/>
          <w:szCs w:val="22"/>
        </w:rPr>
      </w:pPr>
      <w:r w:rsidRPr="00307B4C">
        <w:rPr>
          <w:rFonts w:cs="Arial"/>
          <w:i/>
          <w:iCs/>
          <w:sz w:val="22"/>
          <w:szCs w:val="22"/>
        </w:rPr>
        <w:t>PARÁGRAFO 1. Los Agentes solo podrán ejercer el derecho de acceso a la capacidad de la infraestructura de regasificación mediante la celebración del contrato respectivo con el propietario y/u operador.</w:t>
      </w:r>
    </w:p>
    <w:p w14:paraId="01B6603B" w14:textId="77777777" w:rsidR="00307B4C" w:rsidRPr="00307B4C" w:rsidRDefault="00307B4C" w:rsidP="00307B4C">
      <w:pPr>
        <w:ind w:left="708"/>
        <w:rPr>
          <w:rFonts w:cs="Arial"/>
          <w:i/>
          <w:iCs/>
          <w:sz w:val="22"/>
          <w:szCs w:val="22"/>
        </w:rPr>
      </w:pPr>
    </w:p>
    <w:p w14:paraId="38C74D3F" w14:textId="7382E9AE" w:rsidR="00307B4C" w:rsidRPr="00307B4C" w:rsidRDefault="00307B4C" w:rsidP="00307B4C">
      <w:pPr>
        <w:ind w:left="708"/>
        <w:rPr>
          <w:rFonts w:cs="Arial"/>
          <w:i/>
          <w:iCs/>
          <w:sz w:val="22"/>
          <w:szCs w:val="22"/>
        </w:rPr>
      </w:pPr>
      <w:r w:rsidRPr="00307B4C">
        <w:rPr>
          <w:rFonts w:cs="Arial"/>
          <w:i/>
          <w:iCs/>
          <w:sz w:val="22"/>
          <w:szCs w:val="22"/>
        </w:rPr>
        <w:t>PARÁGRAFO 2. Cuando las partes no lleguen a u</w:t>
      </w:r>
      <w:r w:rsidRPr="00307B4C">
        <w:rPr>
          <w:i/>
          <w:iCs/>
        </w:rPr>
        <w:t xml:space="preserve"> </w:t>
      </w:r>
      <w:r w:rsidRPr="00307B4C">
        <w:rPr>
          <w:rFonts w:cs="Arial"/>
          <w:i/>
          <w:iCs/>
          <w:sz w:val="22"/>
          <w:szCs w:val="22"/>
        </w:rPr>
        <w:t>un acuerdo sobre el acceso, el asunto se someterá a la decisión del MME. Para este efecto, el Ministerio podrá solicitar concepto a la CREG.”</w:t>
      </w:r>
    </w:p>
    <w:p w14:paraId="20C032A4" w14:textId="77777777" w:rsidR="00B02E57" w:rsidRDefault="00B02E57" w:rsidP="00B70F87">
      <w:pPr>
        <w:rPr>
          <w:rFonts w:cs="Arial"/>
          <w:i/>
          <w:iCs/>
          <w:sz w:val="22"/>
          <w:szCs w:val="22"/>
        </w:rPr>
      </w:pPr>
    </w:p>
    <w:p w14:paraId="6CAC9875" w14:textId="77777777" w:rsidR="00B02E57" w:rsidRPr="00A25B16" w:rsidRDefault="00B02E57" w:rsidP="00B70F87">
      <w:pPr>
        <w:rPr>
          <w:rFonts w:cs="Arial"/>
          <w:i/>
          <w:iCs/>
          <w:sz w:val="22"/>
          <w:szCs w:val="22"/>
        </w:rPr>
      </w:pPr>
    </w:p>
    <w:p w14:paraId="251F3205" w14:textId="49F5AD44" w:rsidR="00B02E57" w:rsidRDefault="00B70F87" w:rsidP="001A614B">
      <w:pPr>
        <w:pStyle w:val="Ttulo2"/>
      </w:pPr>
      <w:bookmarkStart w:id="316" w:name="_Toc158211609"/>
      <w:r w:rsidRPr="00A25B16">
        <w:t>TEBSA</w:t>
      </w:r>
      <w:bookmarkEnd w:id="316"/>
      <w:r w:rsidRPr="00A25B16">
        <w:tab/>
      </w:r>
    </w:p>
    <w:p w14:paraId="4E494CAD" w14:textId="3C5A1007" w:rsidR="00B02E57" w:rsidRDefault="00B02E57" w:rsidP="00B70F87">
      <w:pPr>
        <w:rPr>
          <w:rFonts w:cs="Arial"/>
          <w:i/>
          <w:iCs/>
          <w:sz w:val="22"/>
          <w:szCs w:val="22"/>
        </w:rPr>
      </w:pPr>
      <w:r>
        <w:rPr>
          <w:rFonts w:cs="Arial"/>
          <w:i/>
          <w:iCs/>
          <w:sz w:val="22"/>
          <w:szCs w:val="22"/>
        </w:rPr>
        <w:t>“</w:t>
      </w:r>
      <w:r w:rsidR="00B70F87" w:rsidRPr="00A25B16">
        <w:rPr>
          <w:rFonts w:cs="Arial"/>
          <w:i/>
          <w:iCs/>
          <w:sz w:val="22"/>
          <w:szCs w:val="22"/>
        </w:rPr>
        <w:t>Consideramos que este tipo de resoluciones, a pesar de proponer medidas transitorias,  establecen</w:t>
      </w:r>
      <w:r w:rsidR="007E5C6A">
        <w:rPr>
          <w:rFonts w:cs="Arial"/>
          <w:i/>
          <w:iCs/>
          <w:sz w:val="22"/>
          <w:szCs w:val="22"/>
        </w:rPr>
        <w:t xml:space="preserve"> </w:t>
      </w:r>
      <w:r w:rsidR="00B70F87" w:rsidRPr="00A25B16">
        <w:rPr>
          <w:rFonts w:cs="Arial"/>
          <w:i/>
          <w:iCs/>
          <w:sz w:val="22"/>
          <w:szCs w:val="22"/>
        </w:rPr>
        <w:t>propuestas que representan cambios en el funcionamiento del mercado. Por lo anterior reiteramos la necesidad de acompañarlas con el respectivo Análisis de Impacto Normativo- AIN, en el cual  se respalde la necesidad de su aplicación en el sector y se identifiquen los impactos en términos de ventajas y desventajas.</w:t>
      </w:r>
      <w:r>
        <w:rPr>
          <w:rFonts w:cs="Arial"/>
          <w:i/>
          <w:iCs/>
          <w:sz w:val="22"/>
          <w:szCs w:val="22"/>
        </w:rPr>
        <w:t>”</w:t>
      </w:r>
    </w:p>
    <w:p w14:paraId="05494915" w14:textId="77777777" w:rsidR="00B02E57" w:rsidRDefault="00B02E57" w:rsidP="00B70F87">
      <w:pPr>
        <w:rPr>
          <w:rFonts w:cs="Arial"/>
          <w:i/>
          <w:iCs/>
          <w:sz w:val="22"/>
          <w:szCs w:val="22"/>
        </w:rPr>
      </w:pPr>
    </w:p>
    <w:p w14:paraId="40D17BE3" w14:textId="77777777" w:rsidR="002B1FF0" w:rsidRPr="002B1FF0" w:rsidRDefault="002B1FF0" w:rsidP="002B1FF0">
      <w:pPr>
        <w:rPr>
          <w:rFonts w:cs="Arial"/>
          <w:b/>
          <w:bCs/>
          <w:sz w:val="22"/>
          <w:szCs w:val="22"/>
        </w:rPr>
      </w:pPr>
      <w:r w:rsidRPr="002B1FF0">
        <w:rPr>
          <w:rFonts w:cs="Arial"/>
          <w:b/>
          <w:bCs/>
          <w:sz w:val="22"/>
          <w:szCs w:val="22"/>
        </w:rPr>
        <w:t>RESPUESTA:</w:t>
      </w:r>
    </w:p>
    <w:p w14:paraId="3F8A8EA7" w14:textId="77777777" w:rsidR="002B1FF0" w:rsidRDefault="002B1FF0" w:rsidP="002B1FF0">
      <w:pPr>
        <w:rPr>
          <w:rFonts w:cs="Arial"/>
          <w:sz w:val="22"/>
          <w:szCs w:val="22"/>
        </w:rPr>
      </w:pPr>
    </w:p>
    <w:p w14:paraId="4C37E8C9" w14:textId="09119930" w:rsidR="007E5C6A" w:rsidRDefault="007E5C6A" w:rsidP="002B1FF0">
      <w:pPr>
        <w:rPr>
          <w:rFonts w:cs="Arial"/>
          <w:sz w:val="22"/>
          <w:szCs w:val="22"/>
        </w:rPr>
      </w:pPr>
      <w:r>
        <w:rPr>
          <w:rFonts w:cs="Arial"/>
          <w:sz w:val="22"/>
          <w:szCs w:val="22"/>
        </w:rPr>
        <w:t>El Análisis de impacto normativo está contenido en el documento de soporte que acompaña tanto la publicación del Proyecto de Resolución como la publicación de la resolución definitiva.</w:t>
      </w:r>
    </w:p>
    <w:p w14:paraId="34E2EF2E" w14:textId="77777777" w:rsidR="007E5C6A" w:rsidRPr="002B1FF0" w:rsidRDefault="007E5C6A" w:rsidP="002B1FF0">
      <w:pPr>
        <w:rPr>
          <w:rFonts w:cs="Arial"/>
          <w:sz w:val="22"/>
          <w:szCs w:val="22"/>
        </w:rPr>
      </w:pPr>
    </w:p>
    <w:p w14:paraId="3458A00E" w14:textId="7104F6F2" w:rsidR="00B02E57" w:rsidRDefault="00B70F87" w:rsidP="001A614B">
      <w:pPr>
        <w:pStyle w:val="Ttulo2"/>
      </w:pPr>
      <w:bookmarkStart w:id="317" w:name="_Toc158211610"/>
      <w:r w:rsidRPr="00A25B16">
        <w:t>TEBSA</w:t>
      </w:r>
      <w:bookmarkEnd w:id="317"/>
      <w:r w:rsidRPr="00A25B16">
        <w:tab/>
      </w:r>
    </w:p>
    <w:p w14:paraId="254F4A3E" w14:textId="449EFC1A" w:rsidR="00B70F87" w:rsidRPr="00A25B16" w:rsidRDefault="00B02E57" w:rsidP="00B70F87">
      <w:pPr>
        <w:rPr>
          <w:rFonts w:cs="Arial"/>
          <w:i/>
          <w:iCs/>
          <w:sz w:val="22"/>
          <w:szCs w:val="22"/>
        </w:rPr>
      </w:pPr>
      <w:r>
        <w:rPr>
          <w:rFonts w:cs="Arial"/>
          <w:i/>
          <w:iCs/>
          <w:sz w:val="22"/>
          <w:szCs w:val="22"/>
        </w:rPr>
        <w:t>“</w:t>
      </w:r>
      <w:r w:rsidR="00B70F87" w:rsidRPr="00A25B16">
        <w:rPr>
          <w:rFonts w:cs="Arial"/>
          <w:i/>
          <w:iCs/>
          <w:sz w:val="22"/>
          <w:szCs w:val="22"/>
        </w:rPr>
        <w:t xml:space="preserve">Vemos necesario que las medidas que se plantean de manera transitoria en el sector de gas natural, por su pertinencia, sean incluidas de manera definitiva en el proyecto de Resolución CREG 702 003 de 2023, el cual realiza ajustes estructurales a la Resolución CREG 186 de 2020, con el objetivo de dinamizar el sector.  </w:t>
      </w:r>
      <w:r>
        <w:rPr>
          <w:rFonts w:cs="Arial"/>
          <w:i/>
          <w:iCs/>
          <w:sz w:val="22"/>
          <w:szCs w:val="22"/>
        </w:rPr>
        <w:t>“</w:t>
      </w:r>
    </w:p>
    <w:p w14:paraId="6DE00589" w14:textId="77777777" w:rsidR="00B70F87" w:rsidRPr="00A25B16" w:rsidRDefault="00B70F87" w:rsidP="00B70F87">
      <w:pPr>
        <w:rPr>
          <w:rFonts w:cs="Arial"/>
          <w:i/>
          <w:iCs/>
          <w:sz w:val="22"/>
          <w:szCs w:val="22"/>
        </w:rPr>
      </w:pPr>
    </w:p>
    <w:p w14:paraId="07B461DC" w14:textId="77777777" w:rsidR="002B1FF0" w:rsidRPr="002B1FF0" w:rsidRDefault="002B1FF0" w:rsidP="002B1FF0">
      <w:pPr>
        <w:rPr>
          <w:rFonts w:cs="Arial"/>
          <w:b/>
          <w:bCs/>
          <w:sz w:val="22"/>
          <w:szCs w:val="22"/>
        </w:rPr>
      </w:pPr>
      <w:r w:rsidRPr="002B1FF0">
        <w:rPr>
          <w:rFonts w:cs="Arial"/>
          <w:b/>
          <w:bCs/>
          <w:sz w:val="22"/>
          <w:szCs w:val="22"/>
        </w:rPr>
        <w:t>RESPUESTA:</w:t>
      </w:r>
    </w:p>
    <w:p w14:paraId="2E1AD90A" w14:textId="77777777" w:rsidR="002B1FF0" w:rsidRPr="002B1FF0" w:rsidRDefault="002B1FF0" w:rsidP="002B1FF0">
      <w:pPr>
        <w:rPr>
          <w:rFonts w:cs="Arial"/>
          <w:sz w:val="22"/>
          <w:szCs w:val="22"/>
        </w:rPr>
      </w:pPr>
    </w:p>
    <w:p w14:paraId="5FA42E27" w14:textId="388A01D3" w:rsidR="00B70F87" w:rsidRPr="00A25B16" w:rsidRDefault="00BE74EE" w:rsidP="00BE74EE">
      <w:pPr>
        <w:rPr>
          <w:i/>
          <w:iCs/>
          <w:sz w:val="22"/>
        </w:rPr>
      </w:pPr>
      <w:r>
        <w:rPr>
          <w:rFonts w:cs="Arial"/>
          <w:sz w:val="22"/>
          <w:szCs w:val="22"/>
        </w:rPr>
        <w:t xml:space="preserve">Ver respuesta al comentario </w:t>
      </w:r>
      <w:r w:rsidR="001C75D3">
        <w:rPr>
          <w:rFonts w:cs="Arial"/>
          <w:sz w:val="22"/>
          <w:szCs w:val="22"/>
        </w:rPr>
        <w:fldChar w:fldCharType="begin"/>
      </w:r>
      <w:r w:rsidR="001C75D3">
        <w:rPr>
          <w:rFonts w:cs="Arial"/>
          <w:sz w:val="22"/>
          <w:szCs w:val="22"/>
        </w:rPr>
        <w:instrText xml:space="preserve"> REF _Ref149301788 \w \h </w:instrText>
      </w:r>
      <w:r w:rsidR="001C75D3">
        <w:rPr>
          <w:rFonts w:cs="Arial"/>
          <w:sz w:val="22"/>
          <w:szCs w:val="22"/>
        </w:rPr>
      </w:r>
      <w:r w:rsidR="001C75D3">
        <w:rPr>
          <w:rFonts w:cs="Arial"/>
          <w:sz w:val="22"/>
          <w:szCs w:val="22"/>
        </w:rPr>
        <w:fldChar w:fldCharType="separate"/>
      </w:r>
      <w:r w:rsidR="0027336D">
        <w:rPr>
          <w:rFonts w:cs="Arial"/>
          <w:sz w:val="22"/>
          <w:szCs w:val="22"/>
        </w:rPr>
        <w:t>18.6</w:t>
      </w:r>
      <w:r w:rsidR="001C75D3">
        <w:rPr>
          <w:rFonts w:cs="Arial"/>
          <w:sz w:val="22"/>
          <w:szCs w:val="22"/>
        </w:rPr>
        <w:fldChar w:fldCharType="end"/>
      </w:r>
      <w:r w:rsidR="001C75D3">
        <w:rPr>
          <w:rFonts w:cs="Arial"/>
          <w:sz w:val="22"/>
          <w:szCs w:val="22"/>
        </w:rPr>
        <w:t>.</w:t>
      </w:r>
    </w:p>
    <w:sectPr w:rsidR="00B70F87" w:rsidRPr="00A25B16" w:rsidSect="00813D90">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628D3" w14:textId="77777777" w:rsidR="006743E3" w:rsidRDefault="006743E3">
      <w:r>
        <w:separator/>
      </w:r>
    </w:p>
  </w:endnote>
  <w:endnote w:type="continuationSeparator" w:id="0">
    <w:p w14:paraId="0EE8C1FD" w14:textId="77777777" w:rsidR="006743E3" w:rsidRDefault="006743E3">
      <w:r>
        <w:continuationSeparator/>
      </w:r>
    </w:p>
  </w:endnote>
  <w:endnote w:type="continuationNotice" w:id="1">
    <w:p w14:paraId="0CD7D94F" w14:textId="77777777" w:rsidR="006743E3" w:rsidRDefault="00674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D0A9" w14:textId="30D220E1" w:rsidR="0077100C" w:rsidRDefault="002C61C3" w:rsidP="00503501">
    <w:pPr>
      <w:pStyle w:val="Piedepgina"/>
      <w:ind w:left="1680" w:hanging="1680"/>
      <w:rPr>
        <w:b/>
        <w:sz w:val="16"/>
        <w:lang w:val="es-CO"/>
      </w:rPr>
    </w:pPr>
    <w:r>
      <w:rPr>
        <w:sz w:val="16"/>
        <w:lang w:val="es-CO"/>
      </w:rPr>
      <w:t xml:space="preserve">D – </w:t>
    </w:r>
    <w:r w:rsidR="00D31137" w:rsidRPr="00D31137">
      <w:rPr>
        <w:sz w:val="16"/>
        <w:lang w:val="es-CO"/>
      </w:rPr>
      <w:t>902</w:t>
    </w:r>
    <w:r w:rsidR="00D31137">
      <w:rPr>
        <w:sz w:val="16"/>
        <w:lang w:val="es-CO"/>
      </w:rPr>
      <w:t xml:space="preserve"> </w:t>
    </w:r>
    <w:r w:rsidR="00D31137" w:rsidRPr="00D31137">
      <w:rPr>
        <w:sz w:val="16"/>
        <w:lang w:val="es-CO"/>
      </w:rPr>
      <w:t>029</w:t>
    </w:r>
    <w:r w:rsidR="00BB2955">
      <w:rPr>
        <w:sz w:val="16"/>
        <w:lang w:val="es-CO"/>
      </w:rPr>
      <w:t xml:space="preserve"> </w:t>
    </w:r>
    <w:r>
      <w:rPr>
        <w:sz w:val="16"/>
        <w:lang w:val="es-CO"/>
      </w:rPr>
      <w:t>DE 202</w:t>
    </w:r>
    <w:r w:rsidR="00EF64D0">
      <w:rPr>
        <w:sz w:val="16"/>
        <w:lang w:val="es-CO"/>
      </w:rPr>
      <w:t>4</w:t>
    </w:r>
    <w:r>
      <w:rPr>
        <w:sz w:val="16"/>
        <w:lang w:val="es-CO"/>
      </w:rPr>
      <w:t xml:space="preserve"> - </w:t>
    </w:r>
    <w:r w:rsidR="00503501">
      <w:rPr>
        <w:sz w:val="16"/>
        <w:lang w:val="es-CO"/>
      </w:rPr>
      <w:tab/>
    </w:r>
    <w:r w:rsidR="005328E3" w:rsidRPr="005328E3">
      <w:rPr>
        <w:sz w:val="16"/>
        <w:szCs w:val="16"/>
      </w:rPr>
      <w:t xml:space="preserve">ADICIONES TRANSITORIAS A LOS ASPECTOS COMERCIALES DEL SUMINISTRO DEL </w:t>
    </w:r>
    <w:r w:rsidR="004B170D">
      <w:rPr>
        <w:sz w:val="16"/>
        <w:szCs w:val="16"/>
      </w:rPr>
      <w:t>MERCADO</w:t>
    </w:r>
    <w:r w:rsidR="005328E3" w:rsidRPr="005328E3">
      <w:rPr>
        <w:sz w:val="16"/>
        <w:szCs w:val="16"/>
      </w:rPr>
      <w:t xml:space="preserve"> MAYORISTA DE GAS NATURAL ESTABLECIDOS EN LA RESOLUCIÓN CREG 186 DE 2020</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r w:rsidRPr="00456730">
            <w:rPr>
              <w:rFonts w:cs="Arial"/>
              <w:b/>
              <w:iCs/>
              <w:sz w:val="14"/>
            </w:rPr>
            <w:t>DOCUMENTO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E4718" w14:textId="77777777" w:rsidR="006743E3" w:rsidRDefault="006743E3">
      <w:r>
        <w:separator/>
      </w:r>
    </w:p>
  </w:footnote>
  <w:footnote w:type="continuationSeparator" w:id="0">
    <w:p w14:paraId="60A4B119" w14:textId="77777777" w:rsidR="006743E3" w:rsidRDefault="006743E3">
      <w:r>
        <w:continuationSeparator/>
      </w:r>
    </w:p>
  </w:footnote>
  <w:footnote w:type="continuationNotice" w:id="1">
    <w:p w14:paraId="714717ED" w14:textId="77777777" w:rsidR="006743E3" w:rsidRDefault="006743E3"/>
  </w:footnote>
  <w:footnote w:id="2">
    <w:p w14:paraId="41645DF6" w14:textId="6ABE8B4F" w:rsidR="00BC26AF" w:rsidRPr="00BC26AF" w:rsidRDefault="00BC26AF">
      <w:pPr>
        <w:pStyle w:val="Textonotapie"/>
        <w:rPr>
          <w:lang w:val="es-CO"/>
        </w:rPr>
      </w:pPr>
      <w:r>
        <w:rPr>
          <w:rStyle w:val="Refdenotaalpie"/>
        </w:rPr>
        <w:footnoteRef/>
      </w:r>
      <w:r>
        <w:t xml:space="preserve"> </w:t>
      </w:r>
      <w:r>
        <w:rPr>
          <w:lang w:val="es-CO"/>
        </w:rPr>
        <w:t>Se asumió, para efectos de simplificar el cálculo, que la capacidad calorífica promedio del gas natural corresponde a 1.025 btu/pie cúbico (</w:t>
      </w:r>
      <w:r w:rsidR="00B202FC">
        <w:rPr>
          <w:lang w:val="es-CO"/>
        </w:rPr>
        <w:t>36.197 btu/m</w:t>
      </w:r>
      <w:r w:rsidR="00B202FC" w:rsidRPr="00B202FC">
        <w:rPr>
          <w:vertAlign w:val="superscript"/>
          <w:lang w:val="es-CO"/>
        </w:rPr>
        <w:t>3</w:t>
      </w:r>
      <w:r w:rsidR="00B202FC">
        <w:rPr>
          <w:lang w:val="es-CO"/>
        </w:rPr>
        <w:t xml:space="preserve">) </w:t>
      </w:r>
      <w:r>
        <w:rPr>
          <w:lang w:val="es-CO"/>
        </w:rPr>
        <w:t>pues en el SUI los registros se realizan en m</w:t>
      </w:r>
      <w:r w:rsidRPr="00BC26AF">
        <w:rPr>
          <w:vertAlign w:val="superscript"/>
          <w:lang w:val="es-CO"/>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59B3" w14:textId="1758CBF9" w:rsidR="00020441" w:rsidRDefault="00020441">
    <w:pPr>
      <w:pStyle w:val="Encabezado"/>
    </w:pPr>
    <w:r>
      <w:rPr>
        <w:rFonts w:cs="Arial"/>
        <w:b/>
        <w:i/>
        <w:color w:val="808080"/>
        <w:sz w:val="16"/>
      </w:rPr>
      <w:t>Sesión No.</w:t>
    </w:r>
    <w:r w:rsidR="00EE785A">
      <w:rPr>
        <w:rFonts w:cs="Arial"/>
        <w:b/>
        <w:i/>
        <w:color w:val="808080"/>
        <w:sz w:val="16"/>
      </w:rPr>
      <w:t xml:space="preserve"> </w:t>
    </w:r>
    <w:r w:rsidR="00AA58DD">
      <w:rPr>
        <w:rFonts w:cs="Arial"/>
        <w:b/>
        <w:i/>
        <w:color w:val="808080"/>
        <w:sz w:val="16"/>
      </w:rPr>
      <w:t>1310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5BCD746"/>
    <w:lvl w:ilvl="0">
      <w:numFmt w:val="bullet"/>
      <w:lvlText w:val="*"/>
      <w:lvlJc w:val="left"/>
    </w:lvl>
  </w:abstractNum>
  <w:abstractNum w:abstractNumId="1" w15:restartNumberingAfterBreak="0">
    <w:nsid w:val="043D5702"/>
    <w:multiLevelType w:val="hybridMultilevel"/>
    <w:tmpl w:val="EC2E5732"/>
    <w:lvl w:ilvl="0" w:tplc="C25865C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2F3FEC"/>
    <w:multiLevelType w:val="hybridMultilevel"/>
    <w:tmpl w:val="F1B0A8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191CEB"/>
    <w:multiLevelType w:val="hybridMultilevel"/>
    <w:tmpl w:val="E55463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A20783"/>
    <w:multiLevelType w:val="hybridMultilevel"/>
    <w:tmpl w:val="BCFA32CC"/>
    <w:lvl w:ilvl="0" w:tplc="28DCF7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3D35FF"/>
    <w:multiLevelType w:val="hybridMultilevel"/>
    <w:tmpl w:val="29A2AF60"/>
    <w:lvl w:ilvl="0" w:tplc="04FA2830">
      <w:start w:val="1"/>
      <w:numFmt w:val="lowerRoman"/>
      <w:lvlText w:val="%1.)"/>
      <w:lvlJc w:val="left"/>
      <w:pPr>
        <w:ind w:left="360" w:hanging="360"/>
      </w:pPr>
      <w:rPr>
        <w:rFonts w:hint="default"/>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E75410B"/>
    <w:multiLevelType w:val="hybridMultilevel"/>
    <w:tmpl w:val="B086AE1C"/>
    <w:lvl w:ilvl="0" w:tplc="60086E80">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2F44159"/>
    <w:multiLevelType w:val="multilevel"/>
    <w:tmpl w:val="EF5AD0F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E0A1C37"/>
    <w:multiLevelType w:val="hybridMultilevel"/>
    <w:tmpl w:val="569E8732"/>
    <w:lvl w:ilvl="0" w:tplc="376C9D24">
      <w:numFmt w:val="bullet"/>
      <w:lvlText w:val="-"/>
      <w:lvlJc w:val="left"/>
      <w:pPr>
        <w:ind w:left="720" w:hanging="360"/>
      </w:pPr>
      <w:rPr>
        <w:rFonts w:ascii="Bookman Old Style" w:eastAsia="Times New Roman" w:hAnsi="Bookman Old Styl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8E24B8"/>
    <w:multiLevelType w:val="hybridMultilevel"/>
    <w:tmpl w:val="E116A6AA"/>
    <w:lvl w:ilvl="0" w:tplc="240A000B">
      <w:start w:val="1"/>
      <w:numFmt w:val="bullet"/>
      <w:lvlText w:val=""/>
      <w:lvlJc w:val="left"/>
      <w:pPr>
        <w:ind w:left="791" w:hanging="360"/>
      </w:pPr>
      <w:rPr>
        <w:rFonts w:ascii="Wingdings" w:hAnsi="Wingdings" w:hint="default"/>
      </w:rPr>
    </w:lvl>
    <w:lvl w:ilvl="1" w:tplc="240A0003" w:tentative="1">
      <w:start w:val="1"/>
      <w:numFmt w:val="bullet"/>
      <w:lvlText w:val="o"/>
      <w:lvlJc w:val="left"/>
      <w:pPr>
        <w:ind w:left="1511" w:hanging="360"/>
      </w:pPr>
      <w:rPr>
        <w:rFonts w:ascii="Courier New" w:hAnsi="Courier New" w:cs="Courier New" w:hint="default"/>
      </w:rPr>
    </w:lvl>
    <w:lvl w:ilvl="2" w:tplc="240A0005" w:tentative="1">
      <w:start w:val="1"/>
      <w:numFmt w:val="bullet"/>
      <w:lvlText w:val=""/>
      <w:lvlJc w:val="left"/>
      <w:pPr>
        <w:ind w:left="2231" w:hanging="360"/>
      </w:pPr>
      <w:rPr>
        <w:rFonts w:ascii="Wingdings" w:hAnsi="Wingdings" w:hint="default"/>
      </w:rPr>
    </w:lvl>
    <w:lvl w:ilvl="3" w:tplc="240A0001" w:tentative="1">
      <w:start w:val="1"/>
      <w:numFmt w:val="bullet"/>
      <w:lvlText w:val=""/>
      <w:lvlJc w:val="left"/>
      <w:pPr>
        <w:ind w:left="2951" w:hanging="360"/>
      </w:pPr>
      <w:rPr>
        <w:rFonts w:ascii="Symbol" w:hAnsi="Symbol" w:hint="default"/>
      </w:rPr>
    </w:lvl>
    <w:lvl w:ilvl="4" w:tplc="240A0003" w:tentative="1">
      <w:start w:val="1"/>
      <w:numFmt w:val="bullet"/>
      <w:lvlText w:val="o"/>
      <w:lvlJc w:val="left"/>
      <w:pPr>
        <w:ind w:left="3671" w:hanging="360"/>
      </w:pPr>
      <w:rPr>
        <w:rFonts w:ascii="Courier New" w:hAnsi="Courier New" w:cs="Courier New" w:hint="default"/>
      </w:rPr>
    </w:lvl>
    <w:lvl w:ilvl="5" w:tplc="240A0005" w:tentative="1">
      <w:start w:val="1"/>
      <w:numFmt w:val="bullet"/>
      <w:lvlText w:val=""/>
      <w:lvlJc w:val="left"/>
      <w:pPr>
        <w:ind w:left="4391" w:hanging="360"/>
      </w:pPr>
      <w:rPr>
        <w:rFonts w:ascii="Wingdings" w:hAnsi="Wingdings" w:hint="default"/>
      </w:rPr>
    </w:lvl>
    <w:lvl w:ilvl="6" w:tplc="240A0001" w:tentative="1">
      <w:start w:val="1"/>
      <w:numFmt w:val="bullet"/>
      <w:lvlText w:val=""/>
      <w:lvlJc w:val="left"/>
      <w:pPr>
        <w:ind w:left="5111" w:hanging="360"/>
      </w:pPr>
      <w:rPr>
        <w:rFonts w:ascii="Symbol" w:hAnsi="Symbol" w:hint="default"/>
      </w:rPr>
    </w:lvl>
    <w:lvl w:ilvl="7" w:tplc="240A0003" w:tentative="1">
      <w:start w:val="1"/>
      <w:numFmt w:val="bullet"/>
      <w:lvlText w:val="o"/>
      <w:lvlJc w:val="left"/>
      <w:pPr>
        <w:ind w:left="5831" w:hanging="360"/>
      </w:pPr>
      <w:rPr>
        <w:rFonts w:ascii="Courier New" w:hAnsi="Courier New" w:cs="Courier New" w:hint="default"/>
      </w:rPr>
    </w:lvl>
    <w:lvl w:ilvl="8" w:tplc="240A0005" w:tentative="1">
      <w:start w:val="1"/>
      <w:numFmt w:val="bullet"/>
      <w:lvlText w:val=""/>
      <w:lvlJc w:val="left"/>
      <w:pPr>
        <w:ind w:left="6551" w:hanging="360"/>
      </w:pPr>
      <w:rPr>
        <w:rFonts w:ascii="Wingdings" w:hAnsi="Wingdings" w:hint="default"/>
      </w:rPr>
    </w:lvl>
  </w:abstractNum>
  <w:abstractNum w:abstractNumId="10" w15:restartNumberingAfterBreak="0">
    <w:nsid w:val="2F2549F0"/>
    <w:multiLevelType w:val="hybridMultilevel"/>
    <w:tmpl w:val="0FCECD4E"/>
    <w:lvl w:ilvl="0" w:tplc="EE5E0AAC">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871C60"/>
    <w:multiLevelType w:val="hybridMultilevel"/>
    <w:tmpl w:val="2AE88428"/>
    <w:lvl w:ilvl="0" w:tplc="CC0440F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91E6023"/>
    <w:multiLevelType w:val="hybridMultilevel"/>
    <w:tmpl w:val="81ECA8A0"/>
    <w:lvl w:ilvl="0" w:tplc="0704903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4B931BF3"/>
    <w:multiLevelType w:val="hybridMultilevel"/>
    <w:tmpl w:val="D21654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0D059F"/>
    <w:multiLevelType w:val="hybridMultilevel"/>
    <w:tmpl w:val="841002D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EE1289B"/>
    <w:multiLevelType w:val="multilevel"/>
    <w:tmpl w:val="4DBEDEC6"/>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0"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1" w15:restartNumberingAfterBreak="0">
    <w:nsid w:val="6C2105AF"/>
    <w:multiLevelType w:val="hybridMultilevel"/>
    <w:tmpl w:val="74C061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D52301E"/>
    <w:multiLevelType w:val="hybridMultilevel"/>
    <w:tmpl w:val="50B23C64"/>
    <w:lvl w:ilvl="0" w:tplc="376C9D24">
      <w:numFmt w:val="bullet"/>
      <w:lvlText w:val="-"/>
      <w:lvlJc w:val="left"/>
      <w:pPr>
        <w:ind w:left="360" w:hanging="360"/>
      </w:pPr>
      <w:rPr>
        <w:rFonts w:ascii="Bookman Old Style" w:eastAsia="Times New Roman" w:hAnsi="Bookman Old Style"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397B83"/>
    <w:multiLevelType w:val="hybridMultilevel"/>
    <w:tmpl w:val="4E8E1D24"/>
    <w:lvl w:ilvl="0" w:tplc="240A0019">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7DB3076B"/>
    <w:multiLevelType w:val="hybridMultilevel"/>
    <w:tmpl w:val="8A068666"/>
    <w:lvl w:ilvl="0" w:tplc="46F82C2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01872976">
    <w:abstractNumId w:val="7"/>
  </w:num>
  <w:num w:numId="2" w16cid:durableId="801968684">
    <w:abstractNumId w:val="7"/>
  </w:num>
  <w:num w:numId="3" w16cid:durableId="2073001526">
    <w:abstractNumId w:val="7"/>
  </w:num>
  <w:num w:numId="4" w16cid:durableId="780993275">
    <w:abstractNumId w:val="7"/>
  </w:num>
  <w:num w:numId="5" w16cid:durableId="493184022">
    <w:abstractNumId w:val="7"/>
  </w:num>
  <w:num w:numId="6" w16cid:durableId="449592109">
    <w:abstractNumId w:val="7"/>
  </w:num>
  <w:num w:numId="7" w16cid:durableId="1909227231">
    <w:abstractNumId w:val="20"/>
  </w:num>
  <w:num w:numId="8" w16cid:durableId="467629627">
    <w:abstractNumId w:val="17"/>
  </w:num>
  <w:num w:numId="9" w16cid:durableId="959071692">
    <w:abstractNumId w:val="23"/>
  </w:num>
  <w:num w:numId="10" w16cid:durableId="2118718905">
    <w:abstractNumId w:val="24"/>
  </w:num>
  <w:num w:numId="11" w16cid:durableId="811794889">
    <w:abstractNumId w:val="18"/>
  </w:num>
  <w:num w:numId="12" w16cid:durableId="196089711">
    <w:abstractNumId w:val="16"/>
  </w:num>
  <w:num w:numId="13" w16cid:durableId="983437049">
    <w:abstractNumId w:val="3"/>
  </w:num>
  <w:num w:numId="14" w16cid:durableId="18672812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2495956">
    <w:abstractNumId w:val="13"/>
  </w:num>
  <w:num w:numId="16" w16cid:durableId="389236098">
    <w:abstractNumId w:val="0"/>
    <w:lvlOverride w:ilvl="0">
      <w:lvl w:ilvl="0">
        <w:numFmt w:val="bullet"/>
        <w:lvlText w:val="•"/>
        <w:legacy w:legacy="1" w:legacySpace="0" w:legacyIndent="0"/>
        <w:lvlJc w:val="left"/>
        <w:rPr>
          <w:rFonts w:ascii="Times New Roman" w:hAnsi="Times New Roman" w:cs="Times New Roman" w:hint="default"/>
          <w:sz w:val="36"/>
        </w:rPr>
      </w:lvl>
    </w:lvlOverride>
  </w:num>
  <w:num w:numId="17" w16cid:durableId="557742673">
    <w:abstractNumId w:val="15"/>
  </w:num>
  <w:num w:numId="18" w16cid:durableId="299967503">
    <w:abstractNumId w:val="2"/>
  </w:num>
  <w:num w:numId="19" w16cid:durableId="1766608518">
    <w:abstractNumId w:val="6"/>
  </w:num>
  <w:num w:numId="20" w16cid:durableId="1567104219">
    <w:abstractNumId w:val="26"/>
  </w:num>
  <w:num w:numId="21" w16cid:durableId="1398823388">
    <w:abstractNumId w:val="8"/>
  </w:num>
  <w:num w:numId="22" w16cid:durableId="730884722">
    <w:abstractNumId w:val="11"/>
  </w:num>
  <w:num w:numId="23" w16cid:durableId="1896744192">
    <w:abstractNumId w:val="5"/>
  </w:num>
  <w:num w:numId="24" w16cid:durableId="162626759">
    <w:abstractNumId w:val="9"/>
  </w:num>
  <w:num w:numId="25" w16cid:durableId="545870388">
    <w:abstractNumId w:val="14"/>
  </w:num>
  <w:num w:numId="26" w16cid:durableId="539363360">
    <w:abstractNumId w:val="22"/>
  </w:num>
  <w:num w:numId="27" w16cid:durableId="78913546">
    <w:abstractNumId w:val="19"/>
  </w:num>
  <w:num w:numId="28" w16cid:durableId="68432783">
    <w:abstractNumId w:val="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9" w16cid:durableId="41447401">
    <w:abstractNumId w:val="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0" w16cid:durableId="1500271650">
    <w:abstractNumId w:val="1"/>
  </w:num>
  <w:num w:numId="31" w16cid:durableId="1341391230">
    <w:abstractNumId w:val="25"/>
  </w:num>
  <w:num w:numId="32" w16cid:durableId="2087805161">
    <w:abstractNumId w:val="4"/>
  </w:num>
  <w:num w:numId="33" w16cid:durableId="600530522">
    <w:abstractNumId w:val="21"/>
  </w:num>
  <w:num w:numId="34" w16cid:durableId="1659772523">
    <w:abstractNumId w:val="10"/>
  </w:num>
  <w:num w:numId="35" w16cid:durableId="159582010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1AA5"/>
    <w:rsid w:val="000032F1"/>
    <w:rsid w:val="00003E85"/>
    <w:rsid w:val="000109C7"/>
    <w:rsid w:val="00012759"/>
    <w:rsid w:val="00017B8C"/>
    <w:rsid w:val="00020441"/>
    <w:rsid w:val="000209DD"/>
    <w:rsid w:val="00024163"/>
    <w:rsid w:val="000241D2"/>
    <w:rsid w:val="00024674"/>
    <w:rsid w:val="00027430"/>
    <w:rsid w:val="000276B4"/>
    <w:rsid w:val="0003026D"/>
    <w:rsid w:val="00032023"/>
    <w:rsid w:val="00036A9A"/>
    <w:rsid w:val="00041B12"/>
    <w:rsid w:val="000441FC"/>
    <w:rsid w:val="0004574E"/>
    <w:rsid w:val="000461FA"/>
    <w:rsid w:val="000474CD"/>
    <w:rsid w:val="00052648"/>
    <w:rsid w:val="00052C88"/>
    <w:rsid w:val="0005490F"/>
    <w:rsid w:val="00056DFC"/>
    <w:rsid w:val="00060E5D"/>
    <w:rsid w:val="0006172A"/>
    <w:rsid w:val="00062BF8"/>
    <w:rsid w:val="00064551"/>
    <w:rsid w:val="00064E62"/>
    <w:rsid w:val="00066421"/>
    <w:rsid w:val="0006680F"/>
    <w:rsid w:val="0006691B"/>
    <w:rsid w:val="00066A0B"/>
    <w:rsid w:val="00070DB2"/>
    <w:rsid w:val="00073DEE"/>
    <w:rsid w:val="00076D28"/>
    <w:rsid w:val="00081E3F"/>
    <w:rsid w:val="0008224D"/>
    <w:rsid w:val="00082309"/>
    <w:rsid w:val="000857EA"/>
    <w:rsid w:val="00086C1B"/>
    <w:rsid w:val="000932CF"/>
    <w:rsid w:val="000A074A"/>
    <w:rsid w:val="000A31D2"/>
    <w:rsid w:val="000A36B7"/>
    <w:rsid w:val="000A4911"/>
    <w:rsid w:val="000A4B1A"/>
    <w:rsid w:val="000A5018"/>
    <w:rsid w:val="000A6CBE"/>
    <w:rsid w:val="000A6F82"/>
    <w:rsid w:val="000B288A"/>
    <w:rsid w:val="000B3B19"/>
    <w:rsid w:val="000B5AD2"/>
    <w:rsid w:val="000B640E"/>
    <w:rsid w:val="000C36BC"/>
    <w:rsid w:val="000C5723"/>
    <w:rsid w:val="000C5DC1"/>
    <w:rsid w:val="000D0A51"/>
    <w:rsid w:val="000D67D4"/>
    <w:rsid w:val="000E2B43"/>
    <w:rsid w:val="000E32BB"/>
    <w:rsid w:val="000E5253"/>
    <w:rsid w:val="000E6A9D"/>
    <w:rsid w:val="000F1350"/>
    <w:rsid w:val="000F1625"/>
    <w:rsid w:val="000F3AF1"/>
    <w:rsid w:val="000F5A77"/>
    <w:rsid w:val="000F752C"/>
    <w:rsid w:val="000F798A"/>
    <w:rsid w:val="001022BC"/>
    <w:rsid w:val="00102B1C"/>
    <w:rsid w:val="0010544E"/>
    <w:rsid w:val="00106FA7"/>
    <w:rsid w:val="0010705A"/>
    <w:rsid w:val="00107CED"/>
    <w:rsid w:val="001100FA"/>
    <w:rsid w:val="00113EE8"/>
    <w:rsid w:val="0011562D"/>
    <w:rsid w:val="0011646A"/>
    <w:rsid w:val="00122171"/>
    <w:rsid w:val="00123579"/>
    <w:rsid w:val="001258FE"/>
    <w:rsid w:val="00127FEE"/>
    <w:rsid w:val="0013018A"/>
    <w:rsid w:val="001322AD"/>
    <w:rsid w:val="00133A93"/>
    <w:rsid w:val="00133F1B"/>
    <w:rsid w:val="0013498B"/>
    <w:rsid w:val="00136BF5"/>
    <w:rsid w:val="00141429"/>
    <w:rsid w:val="00141DC6"/>
    <w:rsid w:val="00151E25"/>
    <w:rsid w:val="00152056"/>
    <w:rsid w:val="0015231C"/>
    <w:rsid w:val="00152B19"/>
    <w:rsid w:val="00155B31"/>
    <w:rsid w:val="00157013"/>
    <w:rsid w:val="00157D7D"/>
    <w:rsid w:val="001700C2"/>
    <w:rsid w:val="00172DD4"/>
    <w:rsid w:val="00174BEB"/>
    <w:rsid w:val="0017619C"/>
    <w:rsid w:val="00177750"/>
    <w:rsid w:val="001830E8"/>
    <w:rsid w:val="001831D2"/>
    <w:rsid w:val="00186477"/>
    <w:rsid w:val="00190B99"/>
    <w:rsid w:val="00191936"/>
    <w:rsid w:val="001925FB"/>
    <w:rsid w:val="00194F02"/>
    <w:rsid w:val="001950D2"/>
    <w:rsid w:val="00195F4F"/>
    <w:rsid w:val="001A07F6"/>
    <w:rsid w:val="001A43D3"/>
    <w:rsid w:val="001A527C"/>
    <w:rsid w:val="001A55FF"/>
    <w:rsid w:val="001A614B"/>
    <w:rsid w:val="001A7110"/>
    <w:rsid w:val="001A7BDC"/>
    <w:rsid w:val="001B1E14"/>
    <w:rsid w:val="001B1E32"/>
    <w:rsid w:val="001B7AC4"/>
    <w:rsid w:val="001C106A"/>
    <w:rsid w:val="001C1D61"/>
    <w:rsid w:val="001C27FD"/>
    <w:rsid w:val="001C2B62"/>
    <w:rsid w:val="001C3206"/>
    <w:rsid w:val="001C3599"/>
    <w:rsid w:val="001C6EEF"/>
    <w:rsid w:val="001C74CC"/>
    <w:rsid w:val="001C75D3"/>
    <w:rsid w:val="001D07F0"/>
    <w:rsid w:val="001D1294"/>
    <w:rsid w:val="001D2928"/>
    <w:rsid w:val="001D3B0C"/>
    <w:rsid w:val="001D4109"/>
    <w:rsid w:val="001D597F"/>
    <w:rsid w:val="001E1432"/>
    <w:rsid w:val="001E1F4C"/>
    <w:rsid w:val="001E2F23"/>
    <w:rsid w:val="001E6E14"/>
    <w:rsid w:val="001F1775"/>
    <w:rsid w:val="001F1B0B"/>
    <w:rsid w:val="001F20C3"/>
    <w:rsid w:val="002028C3"/>
    <w:rsid w:val="00202EC9"/>
    <w:rsid w:val="00204E9C"/>
    <w:rsid w:val="002056B2"/>
    <w:rsid w:val="00214E35"/>
    <w:rsid w:val="00215B79"/>
    <w:rsid w:val="00216A5A"/>
    <w:rsid w:val="00220D0D"/>
    <w:rsid w:val="002211D2"/>
    <w:rsid w:val="00224015"/>
    <w:rsid w:val="002272CC"/>
    <w:rsid w:val="002278AA"/>
    <w:rsid w:val="00230D94"/>
    <w:rsid w:val="002310FA"/>
    <w:rsid w:val="00233A5E"/>
    <w:rsid w:val="00234889"/>
    <w:rsid w:val="00235414"/>
    <w:rsid w:val="00235972"/>
    <w:rsid w:val="00236EAF"/>
    <w:rsid w:val="00240276"/>
    <w:rsid w:val="00242364"/>
    <w:rsid w:val="00242826"/>
    <w:rsid w:val="00243B9B"/>
    <w:rsid w:val="00246413"/>
    <w:rsid w:val="00252E5D"/>
    <w:rsid w:val="002562FF"/>
    <w:rsid w:val="00261B44"/>
    <w:rsid w:val="0026677A"/>
    <w:rsid w:val="00271C97"/>
    <w:rsid w:val="002722D7"/>
    <w:rsid w:val="0027336D"/>
    <w:rsid w:val="00277DD8"/>
    <w:rsid w:val="002803D5"/>
    <w:rsid w:val="00281BA5"/>
    <w:rsid w:val="00282025"/>
    <w:rsid w:val="00282595"/>
    <w:rsid w:val="00284087"/>
    <w:rsid w:val="00284541"/>
    <w:rsid w:val="0028466C"/>
    <w:rsid w:val="00285A55"/>
    <w:rsid w:val="00285B96"/>
    <w:rsid w:val="00287948"/>
    <w:rsid w:val="00291116"/>
    <w:rsid w:val="002919FC"/>
    <w:rsid w:val="00296646"/>
    <w:rsid w:val="002A466E"/>
    <w:rsid w:val="002A49B7"/>
    <w:rsid w:val="002B1FF0"/>
    <w:rsid w:val="002B2F2C"/>
    <w:rsid w:val="002B63C3"/>
    <w:rsid w:val="002B6BFC"/>
    <w:rsid w:val="002B6FB8"/>
    <w:rsid w:val="002B770B"/>
    <w:rsid w:val="002C0115"/>
    <w:rsid w:val="002C3B38"/>
    <w:rsid w:val="002C44B2"/>
    <w:rsid w:val="002C48D1"/>
    <w:rsid w:val="002C5860"/>
    <w:rsid w:val="002C61C3"/>
    <w:rsid w:val="002C6FC6"/>
    <w:rsid w:val="002D0003"/>
    <w:rsid w:val="002D682C"/>
    <w:rsid w:val="002E0EE0"/>
    <w:rsid w:val="002E19C4"/>
    <w:rsid w:val="002E1B91"/>
    <w:rsid w:val="002E361C"/>
    <w:rsid w:val="002E4C08"/>
    <w:rsid w:val="002E5FE3"/>
    <w:rsid w:val="002F2689"/>
    <w:rsid w:val="002F340F"/>
    <w:rsid w:val="002F5145"/>
    <w:rsid w:val="002F5747"/>
    <w:rsid w:val="002F5CC6"/>
    <w:rsid w:val="00300731"/>
    <w:rsid w:val="00303FDE"/>
    <w:rsid w:val="003043F9"/>
    <w:rsid w:val="003045A4"/>
    <w:rsid w:val="00307B4C"/>
    <w:rsid w:val="00311EC9"/>
    <w:rsid w:val="00313D59"/>
    <w:rsid w:val="0031479E"/>
    <w:rsid w:val="00317CF5"/>
    <w:rsid w:val="003253FC"/>
    <w:rsid w:val="00327E55"/>
    <w:rsid w:val="00331B96"/>
    <w:rsid w:val="003320D3"/>
    <w:rsid w:val="0033359A"/>
    <w:rsid w:val="00335B97"/>
    <w:rsid w:val="003374F2"/>
    <w:rsid w:val="00340203"/>
    <w:rsid w:val="0034059D"/>
    <w:rsid w:val="00342D19"/>
    <w:rsid w:val="003454B0"/>
    <w:rsid w:val="00346BC3"/>
    <w:rsid w:val="00347386"/>
    <w:rsid w:val="0035125E"/>
    <w:rsid w:val="0035175D"/>
    <w:rsid w:val="003520BF"/>
    <w:rsid w:val="003527FF"/>
    <w:rsid w:val="003625A6"/>
    <w:rsid w:val="003629EA"/>
    <w:rsid w:val="003642B0"/>
    <w:rsid w:val="00374068"/>
    <w:rsid w:val="003754AD"/>
    <w:rsid w:val="00377650"/>
    <w:rsid w:val="0038050C"/>
    <w:rsid w:val="00381AFB"/>
    <w:rsid w:val="00385B81"/>
    <w:rsid w:val="0039109C"/>
    <w:rsid w:val="00391C52"/>
    <w:rsid w:val="003956FA"/>
    <w:rsid w:val="003965A1"/>
    <w:rsid w:val="003A3F9C"/>
    <w:rsid w:val="003A4910"/>
    <w:rsid w:val="003B25CC"/>
    <w:rsid w:val="003B3C55"/>
    <w:rsid w:val="003B5FFB"/>
    <w:rsid w:val="003B752E"/>
    <w:rsid w:val="003B7C96"/>
    <w:rsid w:val="003C0D3F"/>
    <w:rsid w:val="003C182B"/>
    <w:rsid w:val="003C2B44"/>
    <w:rsid w:val="003C3BEE"/>
    <w:rsid w:val="003C4DE7"/>
    <w:rsid w:val="003C55ED"/>
    <w:rsid w:val="003D1A70"/>
    <w:rsid w:val="003D2E27"/>
    <w:rsid w:val="003E064F"/>
    <w:rsid w:val="003E0ABD"/>
    <w:rsid w:val="003E0EFA"/>
    <w:rsid w:val="003E1CAF"/>
    <w:rsid w:val="003E3D98"/>
    <w:rsid w:val="003E4C9B"/>
    <w:rsid w:val="003E5DB0"/>
    <w:rsid w:val="003E70DB"/>
    <w:rsid w:val="003F1607"/>
    <w:rsid w:val="003F1A60"/>
    <w:rsid w:val="003F21A1"/>
    <w:rsid w:val="003F2AAD"/>
    <w:rsid w:val="003F2BF1"/>
    <w:rsid w:val="003F725A"/>
    <w:rsid w:val="003F7E56"/>
    <w:rsid w:val="004017F4"/>
    <w:rsid w:val="0040273A"/>
    <w:rsid w:val="0040539F"/>
    <w:rsid w:val="00410254"/>
    <w:rsid w:val="0041131C"/>
    <w:rsid w:val="00412F55"/>
    <w:rsid w:val="004148F2"/>
    <w:rsid w:val="00415E67"/>
    <w:rsid w:val="00417945"/>
    <w:rsid w:val="00420F87"/>
    <w:rsid w:val="00421336"/>
    <w:rsid w:val="0042305D"/>
    <w:rsid w:val="004241EB"/>
    <w:rsid w:val="0042599E"/>
    <w:rsid w:val="00426841"/>
    <w:rsid w:val="00426D4E"/>
    <w:rsid w:val="00430EBC"/>
    <w:rsid w:val="00433829"/>
    <w:rsid w:val="00435138"/>
    <w:rsid w:val="0043672F"/>
    <w:rsid w:val="004415B5"/>
    <w:rsid w:val="00446983"/>
    <w:rsid w:val="00450CB7"/>
    <w:rsid w:val="00456730"/>
    <w:rsid w:val="0046010A"/>
    <w:rsid w:val="00460902"/>
    <w:rsid w:val="0046166B"/>
    <w:rsid w:val="004653CF"/>
    <w:rsid w:val="00480B8C"/>
    <w:rsid w:val="00482845"/>
    <w:rsid w:val="00491326"/>
    <w:rsid w:val="004914CA"/>
    <w:rsid w:val="0049586D"/>
    <w:rsid w:val="00495C4A"/>
    <w:rsid w:val="00496197"/>
    <w:rsid w:val="00496D67"/>
    <w:rsid w:val="004A0880"/>
    <w:rsid w:val="004A2267"/>
    <w:rsid w:val="004A2DE5"/>
    <w:rsid w:val="004A5587"/>
    <w:rsid w:val="004A733B"/>
    <w:rsid w:val="004A7D77"/>
    <w:rsid w:val="004B0F92"/>
    <w:rsid w:val="004B170D"/>
    <w:rsid w:val="004B523D"/>
    <w:rsid w:val="004B525F"/>
    <w:rsid w:val="004B7CE3"/>
    <w:rsid w:val="004C02E6"/>
    <w:rsid w:val="004C068B"/>
    <w:rsid w:val="004C1E3B"/>
    <w:rsid w:val="004C205B"/>
    <w:rsid w:val="004C20C7"/>
    <w:rsid w:val="004C2F9D"/>
    <w:rsid w:val="004C669C"/>
    <w:rsid w:val="004D16D8"/>
    <w:rsid w:val="004D489E"/>
    <w:rsid w:val="004E0133"/>
    <w:rsid w:val="004E3965"/>
    <w:rsid w:val="004E4022"/>
    <w:rsid w:val="004E433C"/>
    <w:rsid w:val="004E70B1"/>
    <w:rsid w:val="004F0E6A"/>
    <w:rsid w:val="004F719B"/>
    <w:rsid w:val="005011AD"/>
    <w:rsid w:val="0050147E"/>
    <w:rsid w:val="0050257C"/>
    <w:rsid w:val="00503501"/>
    <w:rsid w:val="005042D3"/>
    <w:rsid w:val="00505B0E"/>
    <w:rsid w:val="005074C3"/>
    <w:rsid w:val="005074E2"/>
    <w:rsid w:val="00507832"/>
    <w:rsid w:val="005110D2"/>
    <w:rsid w:val="00512CEF"/>
    <w:rsid w:val="0051418C"/>
    <w:rsid w:val="00516247"/>
    <w:rsid w:val="00517002"/>
    <w:rsid w:val="00520A3B"/>
    <w:rsid w:val="00522EDD"/>
    <w:rsid w:val="00525089"/>
    <w:rsid w:val="00531114"/>
    <w:rsid w:val="005316F7"/>
    <w:rsid w:val="0053180E"/>
    <w:rsid w:val="005328E3"/>
    <w:rsid w:val="00534FEA"/>
    <w:rsid w:val="0053791E"/>
    <w:rsid w:val="00537AC1"/>
    <w:rsid w:val="0054035B"/>
    <w:rsid w:val="0054039F"/>
    <w:rsid w:val="00545AE0"/>
    <w:rsid w:val="00547DA7"/>
    <w:rsid w:val="00550AC1"/>
    <w:rsid w:val="00552DE2"/>
    <w:rsid w:val="0055379D"/>
    <w:rsid w:val="005601B8"/>
    <w:rsid w:val="00565BB2"/>
    <w:rsid w:val="00573C8D"/>
    <w:rsid w:val="00583A7C"/>
    <w:rsid w:val="00585460"/>
    <w:rsid w:val="00587047"/>
    <w:rsid w:val="00597EFB"/>
    <w:rsid w:val="005A0158"/>
    <w:rsid w:val="005A2540"/>
    <w:rsid w:val="005A4F42"/>
    <w:rsid w:val="005B38D9"/>
    <w:rsid w:val="005B79B6"/>
    <w:rsid w:val="005B7C62"/>
    <w:rsid w:val="005C3919"/>
    <w:rsid w:val="005C5EAE"/>
    <w:rsid w:val="005D0B2A"/>
    <w:rsid w:val="005D14ED"/>
    <w:rsid w:val="005D26BC"/>
    <w:rsid w:val="005D6968"/>
    <w:rsid w:val="005E0893"/>
    <w:rsid w:val="005E21FD"/>
    <w:rsid w:val="005E32E5"/>
    <w:rsid w:val="005E33EB"/>
    <w:rsid w:val="005E5578"/>
    <w:rsid w:val="005E5760"/>
    <w:rsid w:val="005F007A"/>
    <w:rsid w:val="005F52D2"/>
    <w:rsid w:val="005F6531"/>
    <w:rsid w:val="005F6A74"/>
    <w:rsid w:val="00600E8D"/>
    <w:rsid w:val="0060207B"/>
    <w:rsid w:val="00602606"/>
    <w:rsid w:val="00603AA4"/>
    <w:rsid w:val="00605348"/>
    <w:rsid w:val="0060744B"/>
    <w:rsid w:val="00611006"/>
    <w:rsid w:val="006141EA"/>
    <w:rsid w:val="006172DA"/>
    <w:rsid w:val="006177BC"/>
    <w:rsid w:val="00623873"/>
    <w:rsid w:val="0062433F"/>
    <w:rsid w:val="006244A6"/>
    <w:rsid w:val="006275DE"/>
    <w:rsid w:val="00630117"/>
    <w:rsid w:val="00631CA1"/>
    <w:rsid w:val="00633A52"/>
    <w:rsid w:val="00634185"/>
    <w:rsid w:val="006353AD"/>
    <w:rsid w:val="006375C6"/>
    <w:rsid w:val="0063762F"/>
    <w:rsid w:val="00640798"/>
    <w:rsid w:val="00640C44"/>
    <w:rsid w:val="00642692"/>
    <w:rsid w:val="00644352"/>
    <w:rsid w:val="006464AE"/>
    <w:rsid w:val="006477AE"/>
    <w:rsid w:val="006500F5"/>
    <w:rsid w:val="00650478"/>
    <w:rsid w:val="00650FB7"/>
    <w:rsid w:val="00655515"/>
    <w:rsid w:val="006560B4"/>
    <w:rsid w:val="00657BAB"/>
    <w:rsid w:val="00661C41"/>
    <w:rsid w:val="006631EF"/>
    <w:rsid w:val="0066453F"/>
    <w:rsid w:val="00665B8B"/>
    <w:rsid w:val="0067152C"/>
    <w:rsid w:val="00671F09"/>
    <w:rsid w:val="006743E3"/>
    <w:rsid w:val="00674779"/>
    <w:rsid w:val="00683186"/>
    <w:rsid w:val="00684ACA"/>
    <w:rsid w:val="006864FD"/>
    <w:rsid w:val="0068752A"/>
    <w:rsid w:val="00694D58"/>
    <w:rsid w:val="00694DFF"/>
    <w:rsid w:val="00696230"/>
    <w:rsid w:val="006A1118"/>
    <w:rsid w:val="006A17AF"/>
    <w:rsid w:val="006A284B"/>
    <w:rsid w:val="006C028F"/>
    <w:rsid w:val="006C097D"/>
    <w:rsid w:val="006C165F"/>
    <w:rsid w:val="006C7202"/>
    <w:rsid w:val="006C7825"/>
    <w:rsid w:val="006D04C0"/>
    <w:rsid w:val="006D1B8C"/>
    <w:rsid w:val="006D27D0"/>
    <w:rsid w:val="006D3299"/>
    <w:rsid w:val="006D46D5"/>
    <w:rsid w:val="006D517B"/>
    <w:rsid w:val="006D5DE4"/>
    <w:rsid w:val="006E0593"/>
    <w:rsid w:val="006E1029"/>
    <w:rsid w:val="006E1AB3"/>
    <w:rsid w:val="006E2D5C"/>
    <w:rsid w:val="006E7773"/>
    <w:rsid w:val="006F400D"/>
    <w:rsid w:val="006F497C"/>
    <w:rsid w:val="006F5BB9"/>
    <w:rsid w:val="006F6017"/>
    <w:rsid w:val="006F6802"/>
    <w:rsid w:val="006F6D58"/>
    <w:rsid w:val="007058B6"/>
    <w:rsid w:val="00706ADA"/>
    <w:rsid w:val="00711F9A"/>
    <w:rsid w:val="00717554"/>
    <w:rsid w:val="0072076E"/>
    <w:rsid w:val="00722212"/>
    <w:rsid w:val="00725B28"/>
    <w:rsid w:val="007279CB"/>
    <w:rsid w:val="007319DB"/>
    <w:rsid w:val="00733189"/>
    <w:rsid w:val="00736E00"/>
    <w:rsid w:val="0074297C"/>
    <w:rsid w:val="007458E2"/>
    <w:rsid w:val="007471CB"/>
    <w:rsid w:val="007471D0"/>
    <w:rsid w:val="00755CDD"/>
    <w:rsid w:val="00757ABE"/>
    <w:rsid w:val="00760B58"/>
    <w:rsid w:val="00761BC8"/>
    <w:rsid w:val="00762FF4"/>
    <w:rsid w:val="007631D7"/>
    <w:rsid w:val="00763474"/>
    <w:rsid w:val="00764CC7"/>
    <w:rsid w:val="00765B90"/>
    <w:rsid w:val="00766ABE"/>
    <w:rsid w:val="00767C18"/>
    <w:rsid w:val="0077100C"/>
    <w:rsid w:val="00771B95"/>
    <w:rsid w:val="007734A4"/>
    <w:rsid w:val="007762B1"/>
    <w:rsid w:val="00776661"/>
    <w:rsid w:val="0077747F"/>
    <w:rsid w:val="00777F1C"/>
    <w:rsid w:val="00780F51"/>
    <w:rsid w:val="007821D9"/>
    <w:rsid w:val="00782216"/>
    <w:rsid w:val="00782784"/>
    <w:rsid w:val="00784026"/>
    <w:rsid w:val="00785BCA"/>
    <w:rsid w:val="007864F4"/>
    <w:rsid w:val="007917A7"/>
    <w:rsid w:val="0079435D"/>
    <w:rsid w:val="0079527C"/>
    <w:rsid w:val="007953D8"/>
    <w:rsid w:val="007A1C19"/>
    <w:rsid w:val="007A4F40"/>
    <w:rsid w:val="007A525A"/>
    <w:rsid w:val="007B3583"/>
    <w:rsid w:val="007B4522"/>
    <w:rsid w:val="007C16E7"/>
    <w:rsid w:val="007C37DD"/>
    <w:rsid w:val="007D4122"/>
    <w:rsid w:val="007D490D"/>
    <w:rsid w:val="007E0711"/>
    <w:rsid w:val="007E5C6A"/>
    <w:rsid w:val="007E6F31"/>
    <w:rsid w:val="007F0FDA"/>
    <w:rsid w:val="007F26EE"/>
    <w:rsid w:val="007F2DBC"/>
    <w:rsid w:val="007F4C20"/>
    <w:rsid w:val="0080080D"/>
    <w:rsid w:val="00800A29"/>
    <w:rsid w:val="00801ECE"/>
    <w:rsid w:val="00802EF8"/>
    <w:rsid w:val="008068F7"/>
    <w:rsid w:val="00813D90"/>
    <w:rsid w:val="00816650"/>
    <w:rsid w:val="00823DC3"/>
    <w:rsid w:val="00831272"/>
    <w:rsid w:val="00833EED"/>
    <w:rsid w:val="00834B66"/>
    <w:rsid w:val="00836DB7"/>
    <w:rsid w:val="0084024C"/>
    <w:rsid w:val="00840517"/>
    <w:rsid w:val="00841DC2"/>
    <w:rsid w:val="00841F2F"/>
    <w:rsid w:val="00842447"/>
    <w:rsid w:val="00842ADD"/>
    <w:rsid w:val="00843924"/>
    <w:rsid w:val="00844067"/>
    <w:rsid w:val="00847E3D"/>
    <w:rsid w:val="00861AC2"/>
    <w:rsid w:val="00866F17"/>
    <w:rsid w:val="008708B4"/>
    <w:rsid w:val="00871606"/>
    <w:rsid w:val="00874101"/>
    <w:rsid w:val="00883010"/>
    <w:rsid w:val="008850B5"/>
    <w:rsid w:val="00885678"/>
    <w:rsid w:val="00885E0E"/>
    <w:rsid w:val="00886E66"/>
    <w:rsid w:val="00890A29"/>
    <w:rsid w:val="0089254A"/>
    <w:rsid w:val="0089302A"/>
    <w:rsid w:val="008935C7"/>
    <w:rsid w:val="008A3820"/>
    <w:rsid w:val="008A689B"/>
    <w:rsid w:val="008B3E59"/>
    <w:rsid w:val="008B734F"/>
    <w:rsid w:val="008B7395"/>
    <w:rsid w:val="008B7615"/>
    <w:rsid w:val="008C2105"/>
    <w:rsid w:val="008C518B"/>
    <w:rsid w:val="008C6E50"/>
    <w:rsid w:val="008C760D"/>
    <w:rsid w:val="008D0241"/>
    <w:rsid w:val="008D1413"/>
    <w:rsid w:val="008D1D29"/>
    <w:rsid w:val="008D322A"/>
    <w:rsid w:val="008D3DE4"/>
    <w:rsid w:val="008D45A7"/>
    <w:rsid w:val="008E269E"/>
    <w:rsid w:val="008E4B18"/>
    <w:rsid w:val="008F2313"/>
    <w:rsid w:val="008F47BB"/>
    <w:rsid w:val="008F5A0E"/>
    <w:rsid w:val="008F7D49"/>
    <w:rsid w:val="00901004"/>
    <w:rsid w:val="00904382"/>
    <w:rsid w:val="00906F2B"/>
    <w:rsid w:val="009071C7"/>
    <w:rsid w:val="00907F59"/>
    <w:rsid w:val="0092051D"/>
    <w:rsid w:val="00920AD8"/>
    <w:rsid w:val="009233BC"/>
    <w:rsid w:val="00930B8A"/>
    <w:rsid w:val="00932088"/>
    <w:rsid w:val="00932FFA"/>
    <w:rsid w:val="00933069"/>
    <w:rsid w:val="00934DB3"/>
    <w:rsid w:val="00935705"/>
    <w:rsid w:val="009377B8"/>
    <w:rsid w:val="00937F51"/>
    <w:rsid w:val="00941778"/>
    <w:rsid w:val="00941E73"/>
    <w:rsid w:val="0094264E"/>
    <w:rsid w:val="00942CF3"/>
    <w:rsid w:val="009430F0"/>
    <w:rsid w:val="00943F2D"/>
    <w:rsid w:val="00947B06"/>
    <w:rsid w:val="00954071"/>
    <w:rsid w:val="0095465B"/>
    <w:rsid w:val="00954B4E"/>
    <w:rsid w:val="00954C2D"/>
    <w:rsid w:val="00956F71"/>
    <w:rsid w:val="009640AD"/>
    <w:rsid w:val="00966243"/>
    <w:rsid w:val="009677BC"/>
    <w:rsid w:val="00970F52"/>
    <w:rsid w:val="00971D8C"/>
    <w:rsid w:val="009806BB"/>
    <w:rsid w:val="0098175C"/>
    <w:rsid w:val="0098248E"/>
    <w:rsid w:val="009827C3"/>
    <w:rsid w:val="00990C93"/>
    <w:rsid w:val="00991798"/>
    <w:rsid w:val="009968DB"/>
    <w:rsid w:val="009A33EB"/>
    <w:rsid w:val="009A3833"/>
    <w:rsid w:val="009A5319"/>
    <w:rsid w:val="009B09A1"/>
    <w:rsid w:val="009B1E66"/>
    <w:rsid w:val="009B36A0"/>
    <w:rsid w:val="009B4369"/>
    <w:rsid w:val="009B4E5A"/>
    <w:rsid w:val="009B577B"/>
    <w:rsid w:val="009B5C14"/>
    <w:rsid w:val="009C08C1"/>
    <w:rsid w:val="009C2B3D"/>
    <w:rsid w:val="009C4D5F"/>
    <w:rsid w:val="009C5245"/>
    <w:rsid w:val="009D1151"/>
    <w:rsid w:val="009D44AC"/>
    <w:rsid w:val="009E1209"/>
    <w:rsid w:val="009E1F4C"/>
    <w:rsid w:val="009E2E8B"/>
    <w:rsid w:val="009E616E"/>
    <w:rsid w:val="009F23BF"/>
    <w:rsid w:val="009F44D1"/>
    <w:rsid w:val="009F6910"/>
    <w:rsid w:val="009F7B60"/>
    <w:rsid w:val="00A05BCB"/>
    <w:rsid w:val="00A119F1"/>
    <w:rsid w:val="00A134A7"/>
    <w:rsid w:val="00A15852"/>
    <w:rsid w:val="00A15E18"/>
    <w:rsid w:val="00A16195"/>
    <w:rsid w:val="00A17B83"/>
    <w:rsid w:val="00A17F78"/>
    <w:rsid w:val="00A203A2"/>
    <w:rsid w:val="00A2276C"/>
    <w:rsid w:val="00A25B16"/>
    <w:rsid w:val="00A2644A"/>
    <w:rsid w:val="00A26AEE"/>
    <w:rsid w:val="00A27035"/>
    <w:rsid w:val="00A30D43"/>
    <w:rsid w:val="00A3135B"/>
    <w:rsid w:val="00A34B01"/>
    <w:rsid w:val="00A368E1"/>
    <w:rsid w:val="00A379E6"/>
    <w:rsid w:val="00A402E9"/>
    <w:rsid w:val="00A41282"/>
    <w:rsid w:val="00A4155B"/>
    <w:rsid w:val="00A44893"/>
    <w:rsid w:val="00A50C0E"/>
    <w:rsid w:val="00A516B9"/>
    <w:rsid w:val="00A6184E"/>
    <w:rsid w:val="00A61C11"/>
    <w:rsid w:val="00A635DC"/>
    <w:rsid w:val="00A71FAC"/>
    <w:rsid w:val="00A73766"/>
    <w:rsid w:val="00A75117"/>
    <w:rsid w:val="00A81810"/>
    <w:rsid w:val="00A83783"/>
    <w:rsid w:val="00A8611C"/>
    <w:rsid w:val="00A94F19"/>
    <w:rsid w:val="00A95F47"/>
    <w:rsid w:val="00A970AB"/>
    <w:rsid w:val="00AA2493"/>
    <w:rsid w:val="00AA3B3C"/>
    <w:rsid w:val="00AA58DD"/>
    <w:rsid w:val="00AB192C"/>
    <w:rsid w:val="00AB2068"/>
    <w:rsid w:val="00AB42A9"/>
    <w:rsid w:val="00AB56B0"/>
    <w:rsid w:val="00AC01CB"/>
    <w:rsid w:val="00AC286B"/>
    <w:rsid w:val="00AC4663"/>
    <w:rsid w:val="00AC4D80"/>
    <w:rsid w:val="00AC66C6"/>
    <w:rsid w:val="00AC6BAE"/>
    <w:rsid w:val="00AD02AC"/>
    <w:rsid w:val="00AD11CD"/>
    <w:rsid w:val="00AD28B1"/>
    <w:rsid w:val="00AD41A0"/>
    <w:rsid w:val="00AD43FE"/>
    <w:rsid w:val="00AD4578"/>
    <w:rsid w:val="00AD47D1"/>
    <w:rsid w:val="00AD48B0"/>
    <w:rsid w:val="00AD6CCF"/>
    <w:rsid w:val="00AD70F1"/>
    <w:rsid w:val="00AE326F"/>
    <w:rsid w:val="00AE3830"/>
    <w:rsid w:val="00AE4628"/>
    <w:rsid w:val="00AE4B10"/>
    <w:rsid w:val="00AE5CBF"/>
    <w:rsid w:val="00AF18BD"/>
    <w:rsid w:val="00AF2369"/>
    <w:rsid w:val="00B02E57"/>
    <w:rsid w:val="00B1192D"/>
    <w:rsid w:val="00B1588C"/>
    <w:rsid w:val="00B1667C"/>
    <w:rsid w:val="00B170D3"/>
    <w:rsid w:val="00B17B4A"/>
    <w:rsid w:val="00B202FC"/>
    <w:rsid w:val="00B20A04"/>
    <w:rsid w:val="00B20A30"/>
    <w:rsid w:val="00B20C43"/>
    <w:rsid w:val="00B21A1B"/>
    <w:rsid w:val="00B220B7"/>
    <w:rsid w:val="00B2340D"/>
    <w:rsid w:val="00B24464"/>
    <w:rsid w:val="00B24B2D"/>
    <w:rsid w:val="00B2580D"/>
    <w:rsid w:val="00B30EB3"/>
    <w:rsid w:val="00B334F5"/>
    <w:rsid w:val="00B33A8E"/>
    <w:rsid w:val="00B33FE2"/>
    <w:rsid w:val="00B36139"/>
    <w:rsid w:val="00B425AB"/>
    <w:rsid w:val="00B449F1"/>
    <w:rsid w:val="00B465B5"/>
    <w:rsid w:val="00B4676E"/>
    <w:rsid w:val="00B467E2"/>
    <w:rsid w:val="00B501F7"/>
    <w:rsid w:val="00B52862"/>
    <w:rsid w:val="00B565FA"/>
    <w:rsid w:val="00B602F6"/>
    <w:rsid w:val="00B60742"/>
    <w:rsid w:val="00B60C56"/>
    <w:rsid w:val="00B61814"/>
    <w:rsid w:val="00B6373E"/>
    <w:rsid w:val="00B65589"/>
    <w:rsid w:val="00B66706"/>
    <w:rsid w:val="00B66F9E"/>
    <w:rsid w:val="00B6706C"/>
    <w:rsid w:val="00B70F87"/>
    <w:rsid w:val="00B745A5"/>
    <w:rsid w:val="00B74FF2"/>
    <w:rsid w:val="00B75C7F"/>
    <w:rsid w:val="00B76277"/>
    <w:rsid w:val="00B77183"/>
    <w:rsid w:val="00B81BF9"/>
    <w:rsid w:val="00B8476D"/>
    <w:rsid w:val="00B862AE"/>
    <w:rsid w:val="00B93785"/>
    <w:rsid w:val="00B94CF0"/>
    <w:rsid w:val="00BA133F"/>
    <w:rsid w:val="00BA3256"/>
    <w:rsid w:val="00BA35CE"/>
    <w:rsid w:val="00BB0D33"/>
    <w:rsid w:val="00BB176E"/>
    <w:rsid w:val="00BB278F"/>
    <w:rsid w:val="00BB2955"/>
    <w:rsid w:val="00BB2F69"/>
    <w:rsid w:val="00BB4F7C"/>
    <w:rsid w:val="00BB6E73"/>
    <w:rsid w:val="00BC26AF"/>
    <w:rsid w:val="00BC2DDD"/>
    <w:rsid w:val="00BC6629"/>
    <w:rsid w:val="00BD1A90"/>
    <w:rsid w:val="00BD5E09"/>
    <w:rsid w:val="00BD6453"/>
    <w:rsid w:val="00BD65D8"/>
    <w:rsid w:val="00BE2675"/>
    <w:rsid w:val="00BE2C84"/>
    <w:rsid w:val="00BE626F"/>
    <w:rsid w:val="00BE71E1"/>
    <w:rsid w:val="00BE74EE"/>
    <w:rsid w:val="00BF0663"/>
    <w:rsid w:val="00BF1753"/>
    <w:rsid w:val="00BF256A"/>
    <w:rsid w:val="00BF54FE"/>
    <w:rsid w:val="00C03371"/>
    <w:rsid w:val="00C07566"/>
    <w:rsid w:val="00C07C46"/>
    <w:rsid w:val="00C10A17"/>
    <w:rsid w:val="00C14D2B"/>
    <w:rsid w:val="00C15490"/>
    <w:rsid w:val="00C15C9D"/>
    <w:rsid w:val="00C168FA"/>
    <w:rsid w:val="00C177BE"/>
    <w:rsid w:val="00C17854"/>
    <w:rsid w:val="00C21050"/>
    <w:rsid w:val="00C245F9"/>
    <w:rsid w:val="00C25159"/>
    <w:rsid w:val="00C27C7C"/>
    <w:rsid w:val="00C27E8C"/>
    <w:rsid w:val="00C300A0"/>
    <w:rsid w:val="00C30DEA"/>
    <w:rsid w:val="00C34FA7"/>
    <w:rsid w:val="00C40736"/>
    <w:rsid w:val="00C416BA"/>
    <w:rsid w:val="00C42A2B"/>
    <w:rsid w:val="00C45F2B"/>
    <w:rsid w:val="00C46991"/>
    <w:rsid w:val="00C470E3"/>
    <w:rsid w:val="00C47F44"/>
    <w:rsid w:val="00C50F58"/>
    <w:rsid w:val="00C528AB"/>
    <w:rsid w:val="00C538B7"/>
    <w:rsid w:val="00C55707"/>
    <w:rsid w:val="00C567FC"/>
    <w:rsid w:val="00C56D88"/>
    <w:rsid w:val="00C57680"/>
    <w:rsid w:val="00C632FA"/>
    <w:rsid w:val="00C659A9"/>
    <w:rsid w:val="00C668D8"/>
    <w:rsid w:val="00C669CF"/>
    <w:rsid w:val="00C70FD2"/>
    <w:rsid w:val="00C777CB"/>
    <w:rsid w:val="00C808FE"/>
    <w:rsid w:val="00C86F34"/>
    <w:rsid w:val="00C871D6"/>
    <w:rsid w:val="00C9034B"/>
    <w:rsid w:val="00C924E3"/>
    <w:rsid w:val="00C92E28"/>
    <w:rsid w:val="00C94D87"/>
    <w:rsid w:val="00CA272C"/>
    <w:rsid w:val="00CA3EE9"/>
    <w:rsid w:val="00CA4551"/>
    <w:rsid w:val="00CA5CE2"/>
    <w:rsid w:val="00CB03F6"/>
    <w:rsid w:val="00CB0983"/>
    <w:rsid w:val="00CB1DBC"/>
    <w:rsid w:val="00CB5CE0"/>
    <w:rsid w:val="00CB5CE8"/>
    <w:rsid w:val="00CB67B8"/>
    <w:rsid w:val="00CB7AD8"/>
    <w:rsid w:val="00CC0A0E"/>
    <w:rsid w:val="00CC111F"/>
    <w:rsid w:val="00CC17EB"/>
    <w:rsid w:val="00CC3116"/>
    <w:rsid w:val="00CC5294"/>
    <w:rsid w:val="00CC7A0A"/>
    <w:rsid w:val="00CD3AA7"/>
    <w:rsid w:val="00CD3EFD"/>
    <w:rsid w:val="00CD6FB6"/>
    <w:rsid w:val="00CD7465"/>
    <w:rsid w:val="00CD74FB"/>
    <w:rsid w:val="00CE1082"/>
    <w:rsid w:val="00CE13D1"/>
    <w:rsid w:val="00CE1F58"/>
    <w:rsid w:val="00CE2414"/>
    <w:rsid w:val="00CE66D9"/>
    <w:rsid w:val="00CE7C57"/>
    <w:rsid w:val="00CF5C25"/>
    <w:rsid w:val="00CF75E0"/>
    <w:rsid w:val="00D01BB4"/>
    <w:rsid w:val="00D027D6"/>
    <w:rsid w:val="00D06B43"/>
    <w:rsid w:val="00D07716"/>
    <w:rsid w:val="00D07DC7"/>
    <w:rsid w:val="00D1109B"/>
    <w:rsid w:val="00D1225D"/>
    <w:rsid w:val="00D12498"/>
    <w:rsid w:val="00D13027"/>
    <w:rsid w:val="00D1325A"/>
    <w:rsid w:val="00D14B78"/>
    <w:rsid w:val="00D15CD1"/>
    <w:rsid w:val="00D164C2"/>
    <w:rsid w:val="00D16CD3"/>
    <w:rsid w:val="00D20923"/>
    <w:rsid w:val="00D21F3A"/>
    <w:rsid w:val="00D22D23"/>
    <w:rsid w:val="00D255AA"/>
    <w:rsid w:val="00D26BD2"/>
    <w:rsid w:val="00D31137"/>
    <w:rsid w:val="00D3123C"/>
    <w:rsid w:val="00D360E4"/>
    <w:rsid w:val="00D4165A"/>
    <w:rsid w:val="00D45984"/>
    <w:rsid w:val="00D462D5"/>
    <w:rsid w:val="00D4678F"/>
    <w:rsid w:val="00D61EA8"/>
    <w:rsid w:val="00D643EA"/>
    <w:rsid w:val="00D65255"/>
    <w:rsid w:val="00D666DF"/>
    <w:rsid w:val="00D67B28"/>
    <w:rsid w:val="00D70E20"/>
    <w:rsid w:val="00D70ED0"/>
    <w:rsid w:val="00D732E2"/>
    <w:rsid w:val="00D74C27"/>
    <w:rsid w:val="00D751B8"/>
    <w:rsid w:val="00D804BA"/>
    <w:rsid w:val="00D809F9"/>
    <w:rsid w:val="00D82E5A"/>
    <w:rsid w:val="00D82FBA"/>
    <w:rsid w:val="00D8346A"/>
    <w:rsid w:val="00D90903"/>
    <w:rsid w:val="00D9126C"/>
    <w:rsid w:val="00D94AC4"/>
    <w:rsid w:val="00D95302"/>
    <w:rsid w:val="00DA2AB6"/>
    <w:rsid w:val="00DA367E"/>
    <w:rsid w:val="00DA5577"/>
    <w:rsid w:val="00DA5CD0"/>
    <w:rsid w:val="00DB2520"/>
    <w:rsid w:val="00DB37D7"/>
    <w:rsid w:val="00DB43E8"/>
    <w:rsid w:val="00DB5790"/>
    <w:rsid w:val="00DB5FB9"/>
    <w:rsid w:val="00DB6372"/>
    <w:rsid w:val="00DC0496"/>
    <w:rsid w:val="00DC06A6"/>
    <w:rsid w:val="00DC3192"/>
    <w:rsid w:val="00DC4CA3"/>
    <w:rsid w:val="00DD07EB"/>
    <w:rsid w:val="00DD12AF"/>
    <w:rsid w:val="00DD1C49"/>
    <w:rsid w:val="00DD34EE"/>
    <w:rsid w:val="00DD4D9A"/>
    <w:rsid w:val="00DD700E"/>
    <w:rsid w:val="00DD7346"/>
    <w:rsid w:val="00DE4354"/>
    <w:rsid w:val="00DE7AC6"/>
    <w:rsid w:val="00DF0B90"/>
    <w:rsid w:val="00DF25B4"/>
    <w:rsid w:val="00DF5CE4"/>
    <w:rsid w:val="00DF64AD"/>
    <w:rsid w:val="00DF7806"/>
    <w:rsid w:val="00E05A41"/>
    <w:rsid w:val="00E11B3A"/>
    <w:rsid w:val="00E166D7"/>
    <w:rsid w:val="00E17218"/>
    <w:rsid w:val="00E17520"/>
    <w:rsid w:val="00E22BB1"/>
    <w:rsid w:val="00E31E1B"/>
    <w:rsid w:val="00E350EE"/>
    <w:rsid w:val="00E37BB8"/>
    <w:rsid w:val="00E41054"/>
    <w:rsid w:val="00E4137F"/>
    <w:rsid w:val="00E41927"/>
    <w:rsid w:val="00E44502"/>
    <w:rsid w:val="00E4770D"/>
    <w:rsid w:val="00E47A91"/>
    <w:rsid w:val="00E52742"/>
    <w:rsid w:val="00E528E4"/>
    <w:rsid w:val="00E5451A"/>
    <w:rsid w:val="00E56C04"/>
    <w:rsid w:val="00E6240B"/>
    <w:rsid w:val="00E6248D"/>
    <w:rsid w:val="00E639A3"/>
    <w:rsid w:val="00E641F6"/>
    <w:rsid w:val="00E64F39"/>
    <w:rsid w:val="00E66A01"/>
    <w:rsid w:val="00E713BA"/>
    <w:rsid w:val="00E7209B"/>
    <w:rsid w:val="00E74579"/>
    <w:rsid w:val="00E76B23"/>
    <w:rsid w:val="00E81E65"/>
    <w:rsid w:val="00E83FB6"/>
    <w:rsid w:val="00E842F9"/>
    <w:rsid w:val="00E857C1"/>
    <w:rsid w:val="00E86594"/>
    <w:rsid w:val="00E90F01"/>
    <w:rsid w:val="00E9322B"/>
    <w:rsid w:val="00E94F99"/>
    <w:rsid w:val="00E959F5"/>
    <w:rsid w:val="00E96B35"/>
    <w:rsid w:val="00E97561"/>
    <w:rsid w:val="00EA18F8"/>
    <w:rsid w:val="00EA424C"/>
    <w:rsid w:val="00EA6A61"/>
    <w:rsid w:val="00EA6C1E"/>
    <w:rsid w:val="00EB5413"/>
    <w:rsid w:val="00EB6E53"/>
    <w:rsid w:val="00EC44DA"/>
    <w:rsid w:val="00EC522B"/>
    <w:rsid w:val="00EC598C"/>
    <w:rsid w:val="00EC5D76"/>
    <w:rsid w:val="00EC7441"/>
    <w:rsid w:val="00ED0CF2"/>
    <w:rsid w:val="00ED3A26"/>
    <w:rsid w:val="00ED5800"/>
    <w:rsid w:val="00ED58EB"/>
    <w:rsid w:val="00ED6495"/>
    <w:rsid w:val="00EE415D"/>
    <w:rsid w:val="00EE44A6"/>
    <w:rsid w:val="00EE5798"/>
    <w:rsid w:val="00EE60B3"/>
    <w:rsid w:val="00EE73DA"/>
    <w:rsid w:val="00EE785A"/>
    <w:rsid w:val="00EE796E"/>
    <w:rsid w:val="00EE7E80"/>
    <w:rsid w:val="00EF1FA9"/>
    <w:rsid w:val="00EF33C4"/>
    <w:rsid w:val="00EF56E9"/>
    <w:rsid w:val="00EF5749"/>
    <w:rsid w:val="00EF64D0"/>
    <w:rsid w:val="00EF7184"/>
    <w:rsid w:val="00F01B9F"/>
    <w:rsid w:val="00F02338"/>
    <w:rsid w:val="00F0260A"/>
    <w:rsid w:val="00F03A5A"/>
    <w:rsid w:val="00F03E9E"/>
    <w:rsid w:val="00F04971"/>
    <w:rsid w:val="00F04C2E"/>
    <w:rsid w:val="00F06165"/>
    <w:rsid w:val="00F06226"/>
    <w:rsid w:val="00F10D2B"/>
    <w:rsid w:val="00F127F8"/>
    <w:rsid w:val="00F12D6B"/>
    <w:rsid w:val="00F204D0"/>
    <w:rsid w:val="00F24455"/>
    <w:rsid w:val="00F249DA"/>
    <w:rsid w:val="00F24C8E"/>
    <w:rsid w:val="00F25641"/>
    <w:rsid w:val="00F27093"/>
    <w:rsid w:val="00F275A6"/>
    <w:rsid w:val="00F31953"/>
    <w:rsid w:val="00F31ABE"/>
    <w:rsid w:val="00F32AB8"/>
    <w:rsid w:val="00F32AE9"/>
    <w:rsid w:val="00F3355B"/>
    <w:rsid w:val="00F35404"/>
    <w:rsid w:val="00F40D91"/>
    <w:rsid w:val="00F424AD"/>
    <w:rsid w:val="00F56366"/>
    <w:rsid w:val="00F56997"/>
    <w:rsid w:val="00F57719"/>
    <w:rsid w:val="00F57B98"/>
    <w:rsid w:val="00F60EFD"/>
    <w:rsid w:val="00F70380"/>
    <w:rsid w:val="00F71E76"/>
    <w:rsid w:val="00F727E0"/>
    <w:rsid w:val="00F74587"/>
    <w:rsid w:val="00F7544D"/>
    <w:rsid w:val="00F828E8"/>
    <w:rsid w:val="00F83DE5"/>
    <w:rsid w:val="00F90DB7"/>
    <w:rsid w:val="00F911DD"/>
    <w:rsid w:val="00F94FC5"/>
    <w:rsid w:val="00F95442"/>
    <w:rsid w:val="00FA3707"/>
    <w:rsid w:val="00FA61B5"/>
    <w:rsid w:val="00FA67E2"/>
    <w:rsid w:val="00FB069B"/>
    <w:rsid w:val="00FB0A50"/>
    <w:rsid w:val="00FB1901"/>
    <w:rsid w:val="00FC086D"/>
    <w:rsid w:val="00FC0C06"/>
    <w:rsid w:val="00FC40F8"/>
    <w:rsid w:val="00FC58A6"/>
    <w:rsid w:val="00FC59E3"/>
    <w:rsid w:val="00FD1DC8"/>
    <w:rsid w:val="00FD4AAC"/>
    <w:rsid w:val="00FD6D7A"/>
    <w:rsid w:val="00FE1453"/>
    <w:rsid w:val="00FE62A7"/>
    <w:rsid w:val="00FF68A5"/>
    <w:rsid w:val="00FF76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68DF0"/>
  <w15:chartTrackingRefBased/>
  <w15:docId w15:val="{D0C27000-6705-45AC-A574-D756A9E3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465"/>
    <w:pPr>
      <w:jc w:val="both"/>
    </w:pPr>
    <w:rPr>
      <w:rFonts w:ascii="Arial" w:hAnsi="Arial"/>
      <w:sz w:val="24"/>
      <w:lang w:val="es-ES_tradnl" w:eastAsia="es-ES"/>
    </w:rPr>
  </w:style>
  <w:style w:type="paragraph" w:styleId="Ttulo1">
    <w:name w:val="heading 1"/>
    <w:basedOn w:val="Normal"/>
    <w:next w:val="Normal"/>
    <w:link w:val="Ttulo1Car"/>
    <w:qFormat/>
    <w:pPr>
      <w:keepNext/>
      <w:numPr>
        <w:numId w:val="27"/>
      </w:numPr>
      <w:suppressAutoHyphens/>
      <w:spacing w:after="240"/>
      <w:outlineLvl w:val="0"/>
    </w:pPr>
    <w:rPr>
      <w:b/>
    </w:rPr>
  </w:style>
  <w:style w:type="paragraph" w:styleId="Ttulo2">
    <w:name w:val="heading 2"/>
    <w:basedOn w:val="Normal"/>
    <w:next w:val="Normal"/>
    <w:link w:val="Ttulo2Car"/>
    <w:qFormat/>
    <w:pPr>
      <w:keepNext/>
      <w:numPr>
        <w:ilvl w:val="1"/>
        <w:numId w:val="27"/>
      </w:numPr>
      <w:spacing w:after="240"/>
      <w:outlineLvl w:val="1"/>
    </w:pPr>
    <w:rPr>
      <w:b/>
      <w:szCs w:val="24"/>
    </w:rPr>
  </w:style>
  <w:style w:type="paragraph" w:styleId="Ttulo3">
    <w:name w:val="heading 3"/>
    <w:basedOn w:val="Normal"/>
    <w:next w:val="Normal"/>
    <w:qFormat/>
    <w:pPr>
      <w:keepNext/>
      <w:numPr>
        <w:ilvl w:val="2"/>
        <w:numId w:val="27"/>
      </w:numPr>
      <w:tabs>
        <w:tab w:val="left" w:pos="0"/>
      </w:tabs>
      <w:suppressAutoHyphens/>
      <w:spacing w:after="240"/>
      <w:outlineLvl w:val="2"/>
    </w:pPr>
    <w:rPr>
      <w:b/>
      <w:lang w:val="es-ES"/>
    </w:rPr>
  </w:style>
  <w:style w:type="paragraph" w:styleId="Ttulo4">
    <w:name w:val="heading 4"/>
    <w:basedOn w:val="Normal"/>
    <w:next w:val="Normal"/>
    <w:link w:val="Ttulo4Car"/>
    <w:qFormat/>
    <w:pPr>
      <w:keepNext/>
      <w:numPr>
        <w:ilvl w:val="3"/>
        <w:numId w:val="27"/>
      </w:numPr>
      <w:spacing w:after="240"/>
      <w:outlineLvl w:val="3"/>
    </w:pPr>
    <w:rPr>
      <w:b/>
    </w:rPr>
  </w:style>
  <w:style w:type="paragraph" w:styleId="Ttulo5">
    <w:name w:val="heading 5"/>
    <w:basedOn w:val="Normal"/>
    <w:next w:val="Normal"/>
    <w:qFormat/>
    <w:pPr>
      <w:keepNext/>
      <w:numPr>
        <w:ilvl w:val="4"/>
        <w:numId w:val="27"/>
      </w:numPr>
      <w:spacing w:after="240"/>
      <w:outlineLvl w:val="4"/>
    </w:pPr>
    <w:rPr>
      <w:sz w:val="22"/>
    </w:rPr>
  </w:style>
  <w:style w:type="paragraph" w:styleId="Ttulo6">
    <w:name w:val="heading 6"/>
    <w:basedOn w:val="Normal"/>
    <w:next w:val="Normal"/>
    <w:qFormat/>
    <w:pPr>
      <w:numPr>
        <w:ilvl w:val="5"/>
        <w:numId w:val="27"/>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27"/>
      </w:numPr>
      <w:spacing w:before="240" w:after="60"/>
      <w:outlineLvl w:val="6"/>
    </w:pPr>
    <w:rPr>
      <w:sz w:val="20"/>
    </w:rPr>
  </w:style>
  <w:style w:type="paragraph" w:styleId="Ttulo8">
    <w:name w:val="heading 8"/>
    <w:basedOn w:val="Normal"/>
    <w:next w:val="Normal"/>
    <w:qFormat/>
    <w:pPr>
      <w:numPr>
        <w:ilvl w:val="7"/>
        <w:numId w:val="27"/>
      </w:numPr>
      <w:spacing w:before="240" w:after="60"/>
      <w:outlineLvl w:val="7"/>
    </w:pPr>
    <w:rPr>
      <w:i/>
      <w:sz w:val="20"/>
    </w:rPr>
  </w:style>
  <w:style w:type="paragraph" w:styleId="Ttulo9">
    <w:name w:val="heading 9"/>
    <w:basedOn w:val="Normal"/>
    <w:next w:val="Normal"/>
    <w:qFormat/>
    <w:pPr>
      <w:numPr>
        <w:ilvl w:val="8"/>
        <w:numId w:val="27"/>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3965A1"/>
    <w:pPr>
      <w:tabs>
        <w:tab w:val="left" w:pos="480"/>
        <w:tab w:val="right" w:leader="dot" w:pos="8828"/>
      </w:tabs>
      <w:spacing w:before="120"/>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uiPriority w:val="39"/>
    <w:pPr>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aliases w:val="Figura"/>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aliases w:val="Párrafo de lista1,Bolita,Párrafo de lista3,BOLA,Párrafo de lista21"/>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paragraph" w:styleId="TtuloTDC">
    <w:name w:val="TOC Heading"/>
    <w:basedOn w:val="Ttulo1"/>
    <w:next w:val="Normal"/>
    <w:uiPriority w:val="39"/>
    <w:unhideWhenUsed/>
    <w:qFormat/>
    <w:rsid w:val="00CA4551"/>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table" w:styleId="Tablaconcuadrcula">
    <w:name w:val="Table Grid"/>
    <w:basedOn w:val="Tablanormal"/>
    <w:uiPriority w:val="59"/>
    <w:rsid w:val="002A4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qFormat/>
    <w:rsid w:val="0042305D"/>
    <w:pPr>
      <w:spacing w:after="200"/>
    </w:pPr>
    <w:rPr>
      <w:i/>
      <w:iCs/>
      <w:color w:val="44546A" w:themeColor="text2"/>
      <w:sz w:val="18"/>
      <w:szCs w:val="18"/>
    </w:rPr>
  </w:style>
  <w:style w:type="paragraph" w:styleId="Revisin">
    <w:name w:val="Revision"/>
    <w:hidden/>
    <w:uiPriority w:val="99"/>
    <w:semiHidden/>
    <w:rsid w:val="008C518B"/>
    <w:rPr>
      <w:rFonts w:ascii="Arial" w:hAnsi="Arial"/>
      <w:sz w:val="24"/>
      <w:lang w:val="es-ES_tradnl" w:eastAsia="es-ES"/>
    </w:rPr>
  </w:style>
  <w:style w:type="character" w:customStyle="1" w:styleId="PrrafodelistaCar">
    <w:name w:val="Párrafo de lista Car"/>
    <w:aliases w:val="Párrafo de lista1 Car,Bolita Car,Párrafo de lista3 Car,BOLA Car,Párrafo de lista21 Car"/>
    <w:link w:val="Prrafodelista"/>
    <w:uiPriority w:val="34"/>
    <w:rsid w:val="00C27C7C"/>
    <w:rPr>
      <w:rFonts w:ascii="Arial" w:hAnsi="Arial"/>
      <w:sz w:val="24"/>
      <w:lang w:val="es-ES_tradnl" w:eastAsia="es-ES"/>
    </w:rPr>
  </w:style>
  <w:style w:type="character" w:customStyle="1" w:styleId="Ttulo4Car">
    <w:name w:val="Título 4 Car"/>
    <w:basedOn w:val="Fuentedeprrafopredeter"/>
    <w:link w:val="Ttulo4"/>
    <w:rsid w:val="00A25B16"/>
    <w:rPr>
      <w:rFonts w:ascii="Arial" w:hAnsi="Arial"/>
      <w:b/>
      <w:sz w:val="24"/>
      <w:lang w:val="es-ES_tradnl" w:eastAsia="es-ES"/>
    </w:rPr>
  </w:style>
  <w:style w:type="character" w:styleId="Mencinsinresolver">
    <w:name w:val="Unresolved Mention"/>
    <w:basedOn w:val="Fuentedeprrafopredeter"/>
    <w:uiPriority w:val="99"/>
    <w:semiHidden/>
    <w:unhideWhenUsed/>
    <w:rsid w:val="00511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171363">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78690911">
      <w:bodyDiv w:val="1"/>
      <w:marLeft w:val="0"/>
      <w:marRight w:val="0"/>
      <w:marTop w:val="0"/>
      <w:marBottom w:val="0"/>
      <w:divBdr>
        <w:top w:val="none" w:sz="0" w:space="0" w:color="auto"/>
        <w:left w:val="none" w:sz="0" w:space="0" w:color="auto"/>
        <w:bottom w:val="none" w:sz="0" w:space="0" w:color="auto"/>
        <w:right w:val="none" w:sz="0" w:space="0" w:color="auto"/>
      </w:divBdr>
    </w:div>
    <w:div w:id="568613032">
      <w:bodyDiv w:val="1"/>
      <w:marLeft w:val="0"/>
      <w:marRight w:val="0"/>
      <w:marTop w:val="0"/>
      <w:marBottom w:val="0"/>
      <w:divBdr>
        <w:top w:val="none" w:sz="0" w:space="0" w:color="auto"/>
        <w:left w:val="none" w:sz="0" w:space="0" w:color="auto"/>
        <w:bottom w:val="none" w:sz="0" w:space="0" w:color="auto"/>
        <w:right w:val="none" w:sz="0" w:space="0" w:color="auto"/>
      </w:divBdr>
    </w:div>
    <w:div w:id="637758583">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1658218085">
      <w:bodyDiv w:val="1"/>
      <w:marLeft w:val="0"/>
      <w:marRight w:val="0"/>
      <w:marTop w:val="0"/>
      <w:marBottom w:val="0"/>
      <w:divBdr>
        <w:top w:val="none" w:sz="0" w:space="0" w:color="auto"/>
        <w:left w:val="none" w:sz="0" w:space="0" w:color="auto"/>
        <w:bottom w:val="none" w:sz="0" w:space="0" w:color="auto"/>
        <w:right w:val="none" w:sz="0" w:space="0" w:color="auto"/>
      </w:divBdr>
    </w:div>
    <w:div w:id="1733457740">
      <w:bodyDiv w:val="1"/>
      <w:marLeft w:val="0"/>
      <w:marRight w:val="0"/>
      <w:marTop w:val="0"/>
      <w:marBottom w:val="0"/>
      <w:divBdr>
        <w:top w:val="none" w:sz="0" w:space="0" w:color="auto"/>
        <w:left w:val="none" w:sz="0" w:space="0" w:color="auto"/>
        <w:bottom w:val="none" w:sz="0" w:space="0" w:color="auto"/>
        <w:right w:val="none" w:sz="0" w:space="0" w:color="auto"/>
      </w:divBdr>
    </w:div>
    <w:div w:id="1798841037">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file:///\\Abeltran\publico\Logo%20completo.gif"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image" Target="media/image16.png"/><Relationship Id="rId44" Type="http://schemas.openxmlformats.org/officeDocument/2006/relationships/hyperlink" Target="https://www.bmcbec.com.co/sites/default/files/2023-10/Informe%20Mensual%202023%20Septiemb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dle.rae.es/negociar" TargetMode="External"/><Relationship Id="rId20" Type="http://schemas.openxmlformats.org/officeDocument/2006/relationships/image" Target="media/image6.png"/><Relationship Id="rId4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ons\OneDrive\Documentos\SUI%20Consumos%20de%20Gas%20regulados%20por%20tipo%20reportados%20a&#241;o%202022%20a%2019%20sept%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Balance conceptual - GBTUD</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047729658792651"/>
          <c:y val="0.13780110819480895"/>
          <c:w val="0.818757217847769"/>
          <c:h val="0.60046660834062404"/>
        </c:manualLayout>
      </c:layout>
      <c:lineChart>
        <c:grouping val="standard"/>
        <c:varyColors val="0"/>
        <c:ser>
          <c:idx val="0"/>
          <c:order val="0"/>
          <c:tx>
            <c:strRef>
              <c:f>'Firme y PP 19 sept 2023'!$B$1</c:f>
              <c:strCache>
                <c:ptCount val="1"/>
                <c:pt idx="0">
                  <c:v>Potencial de Producción (MME 5 sept. 2023)</c:v>
                </c:pt>
              </c:strCache>
            </c:strRef>
          </c:tx>
          <c:spPr>
            <a:ln w="28575" cap="rnd">
              <a:solidFill>
                <a:srgbClr val="FF0000"/>
              </a:solidFill>
              <a:round/>
            </a:ln>
            <a:effectLst/>
          </c:spPr>
          <c:marker>
            <c:symbol val="none"/>
          </c:marker>
          <c:cat>
            <c:numRef>
              <c:f>'Firme y PP 19 sept 2023'!$A$2:$A$13</c:f>
              <c:numCache>
                <c:formatCode>[$-409]mmm\-yy;@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'Firme y PP 19 sept 2023'!$B$2:$B$13</c:f>
              <c:numCache>
                <c:formatCode>#,##0</c:formatCode>
                <c:ptCount val="12"/>
                <c:pt idx="0">
                  <c:v>1165</c:v>
                </c:pt>
                <c:pt idx="1">
                  <c:v>1159</c:v>
                </c:pt>
                <c:pt idx="2">
                  <c:v>1149</c:v>
                </c:pt>
                <c:pt idx="3">
                  <c:v>1142</c:v>
                </c:pt>
                <c:pt idx="4">
                  <c:v>1132</c:v>
                </c:pt>
                <c:pt idx="5">
                  <c:v>1120</c:v>
                </c:pt>
                <c:pt idx="6">
                  <c:v>1103</c:v>
                </c:pt>
                <c:pt idx="7">
                  <c:v>1098</c:v>
                </c:pt>
                <c:pt idx="8">
                  <c:v>1103</c:v>
                </c:pt>
                <c:pt idx="9">
                  <c:v>1081</c:v>
                </c:pt>
                <c:pt idx="10">
                  <c:v>1077</c:v>
                </c:pt>
                <c:pt idx="11">
                  <c:v>1084</c:v>
                </c:pt>
              </c:numCache>
            </c:numRef>
          </c:val>
          <c:smooth val="0"/>
          <c:extLst>
            <c:ext xmlns:c16="http://schemas.microsoft.com/office/drawing/2014/chart" uri="{C3380CC4-5D6E-409C-BE32-E72D297353CC}">
              <c16:uniqueId val="{00000000-4FA1-4A9B-BC28-D7F32D0AE53C}"/>
            </c:ext>
          </c:extLst>
        </c:ser>
        <c:ser>
          <c:idx val="1"/>
          <c:order val="1"/>
          <c:tx>
            <c:strRef>
              <c:f>'Firme y PP 19 sept 2023'!$C$1</c:f>
              <c:strCache>
                <c:ptCount val="1"/>
                <c:pt idx="0">
                  <c:v>Contratación en firme (Gestor del Mercado 19 sept 2023)</c:v>
                </c:pt>
              </c:strCache>
            </c:strRef>
          </c:tx>
          <c:spPr>
            <a:ln w="28575" cap="rnd">
              <a:solidFill>
                <a:srgbClr val="00B050"/>
              </a:solidFill>
              <a:round/>
            </a:ln>
            <a:effectLst/>
          </c:spPr>
          <c:marker>
            <c:symbol val="none"/>
          </c:marker>
          <c:cat>
            <c:numRef>
              <c:f>'Firme y PP 19 sept 2023'!$A$2:$A$13</c:f>
              <c:numCache>
                <c:formatCode>[$-409]mmm\-yy;@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'Firme y PP 19 sept 2023'!$C$2:$C$13</c:f>
              <c:numCache>
                <c:formatCode>#,##0</c:formatCode>
                <c:ptCount val="12"/>
                <c:pt idx="0">
                  <c:v>1063</c:v>
                </c:pt>
                <c:pt idx="1">
                  <c:v>1063</c:v>
                </c:pt>
                <c:pt idx="2">
                  <c:v>1063</c:v>
                </c:pt>
                <c:pt idx="3">
                  <c:v>1030</c:v>
                </c:pt>
                <c:pt idx="4">
                  <c:v>1030</c:v>
                </c:pt>
                <c:pt idx="5">
                  <c:v>1060</c:v>
                </c:pt>
                <c:pt idx="6">
                  <c:v>1060</c:v>
                </c:pt>
                <c:pt idx="7">
                  <c:v>1059</c:v>
                </c:pt>
                <c:pt idx="8">
                  <c:v>1059</c:v>
                </c:pt>
                <c:pt idx="9">
                  <c:v>1059</c:v>
                </c:pt>
                <c:pt idx="10">
                  <c:v>1059</c:v>
                </c:pt>
                <c:pt idx="11">
                  <c:v>1059</c:v>
                </c:pt>
              </c:numCache>
            </c:numRef>
          </c:val>
          <c:smooth val="0"/>
          <c:extLst>
            <c:ext xmlns:c16="http://schemas.microsoft.com/office/drawing/2014/chart" uri="{C3380CC4-5D6E-409C-BE32-E72D297353CC}">
              <c16:uniqueId val="{00000001-4FA1-4A9B-BC28-D7F32D0AE53C}"/>
            </c:ext>
          </c:extLst>
        </c:ser>
        <c:dLbls>
          <c:showLegendKey val="0"/>
          <c:showVal val="0"/>
          <c:showCatName val="0"/>
          <c:showSerName val="0"/>
          <c:showPercent val="0"/>
          <c:showBubbleSize val="0"/>
        </c:dLbls>
        <c:marker val="1"/>
        <c:smooth val="0"/>
        <c:axId val="1117521375"/>
        <c:axId val="1193715279"/>
      </c:lineChart>
      <c:lineChart>
        <c:grouping val="standard"/>
        <c:varyColors val="0"/>
        <c:ser>
          <c:idx val="2"/>
          <c:order val="2"/>
          <c:tx>
            <c:strRef>
              <c:f>'Firme y PP 19 sept 2023'!$D$1</c:f>
              <c:strCache>
                <c:ptCount val="1"/>
                <c:pt idx="0">
                  <c:v>Potencial para venta en firme</c:v>
                </c:pt>
              </c:strCache>
            </c:strRef>
          </c:tx>
          <c:spPr>
            <a:ln w="28575" cap="rnd">
              <a:solidFill>
                <a:srgbClr val="00B0F0"/>
              </a:solidFill>
              <a:round/>
            </a:ln>
            <a:effectLst/>
          </c:spPr>
          <c:marker>
            <c:symbol val="none"/>
          </c:marker>
          <c:dLbls>
            <c:spPr>
              <a:noFill/>
              <a:ln>
                <a:solidFill>
                  <a:schemeClr val="accent1"/>
                </a:solid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'Firme y PP 19 sept 2023'!$D$2:$D$13</c:f>
              <c:numCache>
                <c:formatCode>#,##0</c:formatCode>
                <c:ptCount val="12"/>
                <c:pt idx="0">
                  <c:v>102</c:v>
                </c:pt>
                <c:pt idx="1">
                  <c:v>96</c:v>
                </c:pt>
                <c:pt idx="2">
                  <c:v>86</c:v>
                </c:pt>
                <c:pt idx="3">
                  <c:v>112</c:v>
                </c:pt>
                <c:pt idx="4">
                  <c:v>102</c:v>
                </c:pt>
                <c:pt idx="5">
                  <c:v>60</c:v>
                </c:pt>
                <c:pt idx="6">
                  <c:v>43</c:v>
                </c:pt>
                <c:pt idx="7">
                  <c:v>39</c:v>
                </c:pt>
                <c:pt idx="8">
                  <c:v>44</c:v>
                </c:pt>
                <c:pt idx="9">
                  <c:v>22</c:v>
                </c:pt>
                <c:pt idx="10">
                  <c:v>18</c:v>
                </c:pt>
                <c:pt idx="11">
                  <c:v>25</c:v>
                </c:pt>
              </c:numCache>
            </c:numRef>
          </c:val>
          <c:smooth val="0"/>
          <c:extLst>
            <c:ext xmlns:c16="http://schemas.microsoft.com/office/drawing/2014/chart" uri="{C3380CC4-5D6E-409C-BE32-E72D297353CC}">
              <c16:uniqueId val="{00000002-4FA1-4A9B-BC28-D7F32D0AE53C}"/>
            </c:ext>
          </c:extLst>
        </c:ser>
        <c:dLbls>
          <c:showLegendKey val="0"/>
          <c:showVal val="0"/>
          <c:showCatName val="0"/>
          <c:showSerName val="0"/>
          <c:showPercent val="0"/>
          <c:showBubbleSize val="0"/>
        </c:dLbls>
        <c:marker val="1"/>
        <c:smooth val="0"/>
        <c:axId val="1117525087"/>
        <c:axId val="987886751"/>
      </c:lineChart>
      <c:dateAx>
        <c:axId val="1117521375"/>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193715279"/>
        <c:crosses val="autoZero"/>
        <c:auto val="1"/>
        <c:lblOffset val="100"/>
        <c:baseTimeUnit val="months"/>
      </c:dateAx>
      <c:valAx>
        <c:axId val="1193715279"/>
        <c:scaling>
          <c:orientation val="minMax"/>
          <c:max val="1400"/>
          <c:min val="9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17521375"/>
        <c:crosses val="autoZero"/>
        <c:crossBetween val="between"/>
      </c:valAx>
      <c:valAx>
        <c:axId val="987886751"/>
        <c:scaling>
          <c:orientation val="minMax"/>
          <c:max val="12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17525087"/>
        <c:crosses val="max"/>
        <c:crossBetween val="between"/>
      </c:valAx>
      <c:catAx>
        <c:axId val="1117525087"/>
        <c:scaling>
          <c:orientation val="minMax"/>
        </c:scaling>
        <c:delete val="1"/>
        <c:axPos val="b"/>
        <c:majorTickMark val="out"/>
        <c:minorTickMark val="none"/>
        <c:tickLblPos val="nextTo"/>
        <c:crossAx val="987886751"/>
        <c:crosses val="autoZero"/>
        <c:auto val="1"/>
        <c:lblAlgn val="ctr"/>
        <c:lblOffset val="100"/>
        <c:noMultiLvlLbl val="0"/>
      </c:catAx>
      <c:spPr>
        <a:noFill/>
        <a:ln>
          <a:noFill/>
        </a:ln>
        <a:effectLst/>
      </c:spPr>
    </c:plotArea>
    <c:legend>
      <c:legendPos val="b"/>
      <c:layout>
        <c:manualLayout>
          <c:xMode val="edge"/>
          <c:yMode val="edge"/>
          <c:x val="6.6887139107611529E-2"/>
          <c:y val="0.7951148293963255"/>
          <c:w val="0.88011439195100605"/>
          <c:h val="0.177107392825896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af6a08-8266-41cd-baa5-d91eeccc15b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8698CE1C61F55489DABF72A152DC66D" ma:contentTypeVersion="12" ma:contentTypeDescription="Crear nuevo documento." ma:contentTypeScope="" ma:versionID="aff55034aa64abb78e6031bae1044530">
  <xsd:schema xmlns:xsd="http://www.w3.org/2001/XMLSchema" xmlns:xs="http://www.w3.org/2001/XMLSchema" xmlns:p="http://schemas.microsoft.com/office/2006/metadata/properties" xmlns:ns2="bfaf6a08-8266-41cd-baa5-d91eeccc15b6" xmlns:ns3="f9f0256f-341e-4b75-bd33-3a48534173fc" targetNamespace="http://schemas.microsoft.com/office/2006/metadata/properties" ma:root="true" ma:fieldsID="700c6478f77cb0d4ee247e11b0a3cf44" ns2:_="" ns3:_="">
    <xsd:import namespace="bfaf6a08-8266-41cd-baa5-d91eeccc15b6"/>
    <xsd:import namespace="f9f0256f-341e-4b75-bd33-3a48534173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f6a08-8266-41cd-baa5-d91eeccc1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0256f-341e-4b75-bd33-3a48534173fc"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customXml/itemProps2.xml><?xml version="1.0" encoding="utf-8"?>
<ds:datastoreItem xmlns:ds="http://schemas.openxmlformats.org/officeDocument/2006/customXml" ds:itemID="{387AFAEA-A6E5-49FB-A21E-1198B42A34FE}">
  <ds:schemaRefs>
    <ds:schemaRef ds:uri="http://schemas.microsoft.com/office/2006/metadata/properties"/>
    <ds:schemaRef ds:uri="http://schemas.microsoft.com/office/infopath/2007/PartnerControls"/>
    <ds:schemaRef ds:uri="bfaf6a08-8266-41cd-baa5-d91eeccc15b6"/>
  </ds:schemaRefs>
</ds:datastoreItem>
</file>

<file path=customXml/itemProps3.xml><?xml version="1.0" encoding="utf-8"?>
<ds:datastoreItem xmlns:ds="http://schemas.openxmlformats.org/officeDocument/2006/customXml" ds:itemID="{99550A60-33DC-4D13-9235-A5F5BDA03282}">
  <ds:schemaRefs>
    <ds:schemaRef ds:uri="http://schemas.microsoft.com/sharepoint/v3/contenttype/forms"/>
  </ds:schemaRefs>
</ds:datastoreItem>
</file>

<file path=customXml/itemProps4.xml><?xml version="1.0" encoding="utf-8"?>
<ds:datastoreItem xmlns:ds="http://schemas.openxmlformats.org/officeDocument/2006/customXml" ds:itemID="{4B449A32-9496-4C36-B515-E8E657798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f6a08-8266-41cd-baa5-d91eeccc15b6"/>
    <ds:schemaRef ds:uri="f9f0256f-341e-4b75-bd33-3a4853417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48595</Words>
  <Characters>267278</Characters>
  <Application>Microsoft Office Word</Application>
  <DocSecurity>0</DocSecurity>
  <Lines>2227</Lines>
  <Paragraphs>630</Paragraphs>
  <ScaleCrop>false</ScaleCrop>
  <HeadingPairs>
    <vt:vector size="2" baseType="variant">
      <vt:variant>
        <vt:lpstr>Título</vt:lpstr>
      </vt:variant>
      <vt:variant>
        <vt:i4>1</vt:i4>
      </vt:variant>
    </vt:vector>
  </HeadingPairs>
  <TitlesOfParts>
    <vt:vector size="1" baseType="lpstr">
      <vt:lpstr>DOCUMENTO CREG - REGULACIÓN CONSULTA Y DEFINITIVA CARACTER GENERAL</vt:lpstr>
    </vt:vector>
  </TitlesOfParts>
  <Company>CREG</Company>
  <LinksUpToDate>false</LinksUpToDate>
  <CharactersWithSpaces>315243</CharactersWithSpaces>
  <SharedDoc>false</SharedDoc>
  <HLinks>
    <vt:vector size="1314" baseType="variant">
      <vt:variant>
        <vt:i4>6553727</vt:i4>
      </vt:variant>
      <vt:variant>
        <vt:i4>1659</vt:i4>
      </vt:variant>
      <vt:variant>
        <vt:i4>0</vt:i4>
      </vt:variant>
      <vt:variant>
        <vt:i4>5</vt:i4>
      </vt:variant>
      <vt:variant>
        <vt:lpwstr>https://dle.rae.es/negociar</vt:lpwstr>
      </vt:variant>
      <vt:variant>
        <vt:lpwstr/>
      </vt:variant>
      <vt:variant>
        <vt:i4>1769494</vt:i4>
      </vt:variant>
      <vt:variant>
        <vt:i4>1611</vt:i4>
      </vt:variant>
      <vt:variant>
        <vt:i4>0</vt:i4>
      </vt:variant>
      <vt:variant>
        <vt:i4>5</vt:i4>
      </vt:variant>
      <vt:variant>
        <vt:lpwstr>https://www.bmcbec.com.co/sites/default/files/2023-10/Informe Mensual 2023 Septiembre.pdf</vt:lpwstr>
      </vt:variant>
      <vt:variant>
        <vt:lpwstr/>
      </vt:variant>
      <vt:variant>
        <vt:i4>1310777</vt:i4>
      </vt:variant>
      <vt:variant>
        <vt:i4>1304</vt:i4>
      </vt:variant>
      <vt:variant>
        <vt:i4>0</vt:i4>
      </vt:variant>
      <vt:variant>
        <vt:i4>5</vt:i4>
      </vt:variant>
      <vt:variant>
        <vt:lpwstr/>
      </vt:variant>
      <vt:variant>
        <vt:lpwstr>_Toc149302166</vt:lpwstr>
      </vt:variant>
      <vt:variant>
        <vt:i4>1310777</vt:i4>
      </vt:variant>
      <vt:variant>
        <vt:i4>1298</vt:i4>
      </vt:variant>
      <vt:variant>
        <vt:i4>0</vt:i4>
      </vt:variant>
      <vt:variant>
        <vt:i4>5</vt:i4>
      </vt:variant>
      <vt:variant>
        <vt:lpwstr/>
      </vt:variant>
      <vt:variant>
        <vt:lpwstr>_Toc149302165</vt:lpwstr>
      </vt:variant>
      <vt:variant>
        <vt:i4>1310777</vt:i4>
      </vt:variant>
      <vt:variant>
        <vt:i4>1292</vt:i4>
      </vt:variant>
      <vt:variant>
        <vt:i4>0</vt:i4>
      </vt:variant>
      <vt:variant>
        <vt:i4>5</vt:i4>
      </vt:variant>
      <vt:variant>
        <vt:lpwstr/>
      </vt:variant>
      <vt:variant>
        <vt:lpwstr>_Toc149302164</vt:lpwstr>
      </vt:variant>
      <vt:variant>
        <vt:i4>1310777</vt:i4>
      </vt:variant>
      <vt:variant>
        <vt:i4>1286</vt:i4>
      </vt:variant>
      <vt:variant>
        <vt:i4>0</vt:i4>
      </vt:variant>
      <vt:variant>
        <vt:i4>5</vt:i4>
      </vt:variant>
      <vt:variant>
        <vt:lpwstr/>
      </vt:variant>
      <vt:variant>
        <vt:lpwstr>_Toc149302163</vt:lpwstr>
      </vt:variant>
      <vt:variant>
        <vt:i4>1048638</vt:i4>
      </vt:variant>
      <vt:variant>
        <vt:i4>1277</vt:i4>
      </vt:variant>
      <vt:variant>
        <vt:i4>0</vt:i4>
      </vt:variant>
      <vt:variant>
        <vt:i4>5</vt:i4>
      </vt:variant>
      <vt:variant>
        <vt:lpwstr/>
      </vt:variant>
      <vt:variant>
        <vt:lpwstr>_Toc158211610</vt:lpwstr>
      </vt:variant>
      <vt:variant>
        <vt:i4>1114174</vt:i4>
      </vt:variant>
      <vt:variant>
        <vt:i4>1271</vt:i4>
      </vt:variant>
      <vt:variant>
        <vt:i4>0</vt:i4>
      </vt:variant>
      <vt:variant>
        <vt:i4>5</vt:i4>
      </vt:variant>
      <vt:variant>
        <vt:lpwstr/>
      </vt:variant>
      <vt:variant>
        <vt:lpwstr>_Toc158211609</vt:lpwstr>
      </vt:variant>
      <vt:variant>
        <vt:i4>1114174</vt:i4>
      </vt:variant>
      <vt:variant>
        <vt:i4>1265</vt:i4>
      </vt:variant>
      <vt:variant>
        <vt:i4>0</vt:i4>
      </vt:variant>
      <vt:variant>
        <vt:i4>5</vt:i4>
      </vt:variant>
      <vt:variant>
        <vt:lpwstr/>
      </vt:variant>
      <vt:variant>
        <vt:lpwstr>_Toc158211608</vt:lpwstr>
      </vt:variant>
      <vt:variant>
        <vt:i4>1114174</vt:i4>
      </vt:variant>
      <vt:variant>
        <vt:i4>1259</vt:i4>
      </vt:variant>
      <vt:variant>
        <vt:i4>0</vt:i4>
      </vt:variant>
      <vt:variant>
        <vt:i4>5</vt:i4>
      </vt:variant>
      <vt:variant>
        <vt:lpwstr/>
      </vt:variant>
      <vt:variant>
        <vt:lpwstr>_Toc158211607</vt:lpwstr>
      </vt:variant>
      <vt:variant>
        <vt:i4>1114174</vt:i4>
      </vt:variant>
      <vt:variant>
        <vt:i4>1253</vt:i4>
      </vt:variant>
      <vt:variant>
        <vt:i4>0</vt:i4>
      </vt:variant>
      <vt:variant>
        <vt:i4>5</vt:i4>
      </vt:variant>
      <vt:variant>
        <vt:lpwstr/>
      </vt:variant>
      <vt:variant>
        <vt:lpwstr>_Toc158211606</vt:lpwstr>
      </vt:variant>
      <vt:variant>
        <vt:i4>1114174</vt:i4>
      </vt:variant>
      <vt:variant>
        <vt:i4>1247</vt:i4>
      </vt:variant>
      <vt:variant>
        <vt:i4>0</vt:i4>
      </vt:variant>
      <vt:variant>
        <vt:i4>5</vt:i4>
      </vt:variant>
      <vt:variant>
        <vt:lpwstr/>
      </vt:variant>
      <vt:variant>
        <vt:lpwstr>_Toc158211605</vt:lpwstr>
      </vt:variant>
      <vt:variant>
        <vt:i4>1114174</vt:i4>
      </vt:variant>
      <vt:variant>
        <vt:i4>1241</vt:i4>
      </vt:variant>
      <vt:variant>
        <vt:i4>0</vt:i4>
      </vt:variant>
      <vt:variant>
        <vt:i4>5</vt:i4>
      </vt:variant>
      <vt:variant>
        <vt:lpwstr/>
      </vt:variant>
      <vt:variant>
        <vt:lpwstr>_Toc158211604</vt:lpwstr>
      </vt:variant>
      <vt:variant>
        <vt:i4>1114174</vt:i4>
      </vt:variant>
      <vt:variant>
        <vt:i4>1235</vt:i4>
      </vt:variant>
      <vt:variant>
        <vt:i4>0</vt:i4>
      </vt:variant>
      <vt:variant>
        <vt:i4>5</vt:i4>
      </vt:variant>
      <vt:variant>
        <vt:lpwstr/>
      </vt:variant>
      <vt:variant>
        <vt:lpwstr>_Toc158211603</vt:lpwstr>
      </vt:variant>
      <vt:variant>
        <vt:i4>1114174</vt:i4>
      </vt:variant>
      <vt:variant>
        <vt:i4>1229</vt:i4>
      </vt:variant>
      <vt:variant>
        <vt:i4>0</vt:i4>
      </vt:variant>
      <vt:variant>
        <vt:i4>5</vt:i4>
      </vt:variant>
      <vt:variant>
        <vt:lpwstr/>
      </vt:variant>
      <vt:variant>
        <vt:lpwstr>_Toc158211602</vt:lpwstr>
      </vt:variant>
      <vt:variant>
        <vt:i4>1114174</vt:i4>
      </vt:variant>
      <vt:variant>
        <vt:i4>1223</vt:i4>
      </vt:variant>
      <vt:variant>
        <vt:i4>0</vt:i4>
      </vt:variant>
      <vt:variant>
        <vt:i4>5</vt:i4>
      </vt:variant>
      <vt:variant>
        <vt:lpwstr/>
      </vt:variant>
      <vt:variant>
        <vt:lpwstr>_Toc158211601</vt:lpwstr>
      </vt:variant>
      <vt:variant>
        <vt:i4>1114174</vt:i4>
      </vt:variant>
      <vt:variant>
        <vt:i4>1217</vt:i4>
      </vt:variant>
      <vt:variant>
        <vt:i4>0</vt:i4>
      </vt:variant>
      <vt:variant>
        <vt:i4>5</vt:i4>
      </vt:variant>
      <vt:variant>
        <vt:lpwstr/>
      </vt:variant>
      <vt:variant>
        <vt:lpwstr>_Toc158211600</vt:lpwstr>
      </vt:variant>
      <vt:variant>
        <vt:i4>1572925</vt:i4>
      </vt:variant>
      <vt:variant>
        <vt:i4>1211</vt:i4>
      </vt:variant>
      <vt:variant>
        <vt:i4>0</vt:i4>
      </vt:variant>
      <vt:variant>
        <vt:i4>5</vt:i4>
      </vt:variant>
      <vt:variant>
        <vt:lpwstr/>
      </vt:variant>
      <vt:variant>
        <vt:lpwstr>_Toc158211599</vt:lpwstr>
      </vt:variant>
      <vt:variant>
        <vt:i4>1572925</vt:i4>
      </vt:variant>
      <vt:variant>
        <vt:i4>1205</vt:i4>
      </vt:variant>
      <vt:variant>
        <vt:i4>0</vt:i4>
      </vt:variant>
      <vt:variant>
        <vt:i4>5</vt:i4>
      </vt:variant>
      <vt:variant>
        <vt:lpwstr/>
      </vt:variant>
      <vt:variant>
        <vt:lpwstr>_Toc158211598</vt:lpwstr>
      </vt:variant>
      <vt:variant>
        <vt:i4>1572925</vt:i4>
      </vt:variant>
      <vt:variant>
        <vt:i4>1199</vt:i4>
      </vt:variant>
      <vt:variant>
        <vt:i4>0</vt:i4>
      </vt:variant>
      <vt:variant>
        <vt:i4>5</vt:i4>
      </vt:variant>
      <vt:variant>
        <vt:lpwstr/>
      </vt:variant>
      <vt:variant>
        <vt:lpwstr>_Toc158211597</vt:lpwstr>
      </vt:variant>
      <vt:variant>
        <vt:i4>1572925</vt:i4>
      </vt:variant>
      <vt:variant>
        <vt:i4>1193</vt:i4>
      </vt:variant>
      <vt:variant>
        <vt:i4>0</vt:i4>
      </vt:variant>
      <vt:variant>
        <vt:i4>5</vt:i4>
      </vt:variant>
      <vt:variant>
        <vt:lpwstr/>
      </vt:variant>
      <vt:variant>
        <vt:lpwstr>_Toc158211596</vt:lpwstr>
      </vt:variant>
      <vt:variant>
        <vt:i4>1572925</vt:i4>
      </vt:variant>
      <vt:variant>
        <vt:i4>1187</vt:i4>
      </vt:variant>
      <vt:variant>
        <vt:i4>0</vt:i4>
      </vt:variant>
      <vt:variant>
        <vt:i4>5</vt:i4>
      </vt:variant>
      <vt:variant>
        <vt:lpwstr/>
      </vt:variant>
      <vt:variant>
        <vt:lpwstr>_Toc158211595</vt:lpwstr>
      </vt:variant>
      <vt:variant>
        <vt:i4>1572925</vt:i4>
      </vt:variant>
      <vt:variant>
        <vt:i4>1181</vt:i4>
      </vt:variant>
      <vt:variant>
        <vt:i4>0</vt:i4>
      </vt:variant>
      <vt:variant>
        <vt:i4>5</vt:i4>
      </vt:variant>
      <vt:variant>
        <vt:lpwstr/>
      </vt:variant>
      <vt:variant>
        <vt:lpwstr>_Toc158211594</vt:lpwstr>
      </vt:variant>
      <vt:variant>
        <vt:i4>1572925</vt:i4>
      </vt:variant>
      <vt:variant>
        <vt:i4>1175</vt:i4>
      </vt:variant>
      <vt:variant>
        <vt:i4>0</vt:i4>
      </vt:variant>
      <vt:variant>
        <vt:i4>5</vt:i4>
      </vt:variant>
      <vt:variant>
        <vt:lpwstr/>
      </vt:variant>
      <vt:variant>
        <vt:lpwstr>_Toc158211593</vt:lpwstr>
      </vt:variant>
      <vt:variant>
        <vt:i4>1572925</vt:i4>
      </vt:variant>
      <vt:variant>
        <vt:i4>1169</vt:i4>
      </vt:variant>
      <vt:variant>
        <vt:i4>0</vt:i4>
      </vt:variant>
      <vt:variant>
        <vt:i4>5</vt:i4>
      </vt:variant>
      <vt:variant>
        <vt:lpwstr/>
      </vt:variant>
      <vt:variant>
        <vt:lpwstr>_Toc158211592</vt:lpwstr>
      </vt:variant>
      <vt:variant>
        <vt:i4>1572925</vt:i4>
      </vt:variant>
      <vt:variant>
        <vt:i4>1163</vt:i4>
      </vt:variant>
      <vt:variant>
        <vt:i4>0</vt:i4>
      </vt:variant>
      <vt:variant>
        <vt:i4>5</vt:i4>
      </vt:variant>
      <vt:variant>
        <vt:lpwstr/>
      </vt:variant>
      <vt:variant>
        <vt:lpwstr>_Toc158211591</vt:lpwstr>
      </vt:variant>
      <vt:variant>
        <vt:i4>1572925</vt:i4>
      </vt:variant>
      <vt:variant>
        <vt:i4>1157</vt:i4>
      </vt:variant>
      <vt:variant>
        <vt:i4>0</vt:i4>
      </vt:variant>
      <vt:variant>
        <vt:i4>5</vt:i4>
      </vt:variant>
      <vt:variant>
        <vt:lpwstr/>
      </vt:variant>
      <vt:variant>
        <vt:lpwstr>_Toc158211590</vt:lpwstr>
      </vt:variant>
      <vt:variant>
        <vt:i4>1638461</vt:i4>
      </vt:variant>
      <vt:variant>
        <vt:i4>1151</vt:i4>
      </vt:variant>
      <vt:variant>
        <vt:i4>0</vt:i4>
      </vt:variant>
      <vt:variant>
        <vt:i4>5</vt:i4>
      </vt:variant>
      <vt:variant>
        <vt:lpwstr/>
      </vt:variant>
      <vt:variant>
        <vt:lpwstr>_Toc158211589</vt:lpwstr>
      </vt:variant>
      <vt:variant>
        <vt:i4>1638461</vt:i4>
      </vt:variant>
      <vt:variant>
        <vt:i4>1145</vt:i4>
      </vt:variant>
      <vt:variant>
        <vt:i4>0</vt:i4>
      </vt:variant>
      <vt:variant>
        <vt:i4>5</vt:i4>
      </vt:variant>
      <vt:variant>
        <vt:lpwstr/>
      </vt:variant>
      <vt:variant>
        <vt:lpwstr>_Toc158211588</vt:lpwstr>
      </vt:variant>
      <vt:variant>
        <vt:i4>1638461</vt:i4>
      </vt:variant>
      <vt:variant>
        <vt:i4>1139</vt:i4>
      </vt:variant>
      <vt:variant>
        <vt:i4>0</vt:i4>
      </vt:variant>
      <vt:variant>
        <vt:i4>5</vt:i4>
      </vt:variant>
      <vt:variant>
        <vt:lpwstr/>
      </vt:variant>
      <vt:variant>
        <vt:lpwstr>_Toc158211587</vt:lpwstr>
      </vt:variant>
      <vt:variant>
        <vt:i4>1638461</vt:i4>
      </vt:variant>
      <vt:variant>
        <vt:i4>1133</vt:i4>
      </vt:variant>
      <vt:variant>
        <vt:i4>0</vt:i4>
      </vt:variant>
      <vt:variant>
        <vt:i4>5</vt:i4>
      </vt:variant>
      <vt:variant>
        <vt:lpwstr/>
      </vt:variant>
      <vt:variant>
        <vt:lpwstr>_Toc158211586</vt:lpwstr>
      </vt:variant>
      <vt:variant>
        <vt:i4>1638461</vt:i4>
      </vt:variant>
      <vt:variant>
        <vt:i4>1127</vt:i4>
      </vt:variant>
      <vt:variant>
        <vt:i4>0</vt:i4>
      </vt:variant>
      <vt:variant>
        <vt:i4>5</vt:i4>
      </vt:variant>
      <vt:variant>
        <vt:lpwstr/>
      </vt:variant>
      <vt:variant>
        <vt:lpwstr>_Toc158211585</vt:lpwstr>
      </vt:variant>
      <vt:variant>
        <vt:i4>1638461</vt:i4>
      </vt:variant>
      <vt:variant>
        <vt:i4>1121</vt:i4>
      </vt:variant>
      <vt:variant>
        <vt:i4>0</vt:i4>
      </vt:variant>
      <vt:variant>
        <vt:i4>5</vt:i4>
      </vt:variant>
      <vt:variant>
        <vt:lpwstr/>
      </vt:variant>
      <vt:variant>
        <vt:lpwstr>_Toc158211584</vt:lpwstr>
      </vt:variant>
      <vt:variant>
        <vt:i4>1638461</vt:i4>
      </vt:variant>
      <vt:variant>
        <vt:i4>1115</vt:i4>
      </vt:variant>
      <vt:variant>
        <vt:i4>0</vt:i4>
      </vt:variant>
      <vt:variant>
        <vt:i4>5</vt:i4>
      </vt:variant>
      <vt:variant>
        <vt:lpwstr/>
      </vt:variant>
      <vt:variant>
        <vt:lpwstr>_Toc158211583</vt:lpwstr>
      </vt:variant>
      <vt:variant>
        <vt:i4>1638461</vt:i4>
      </vt:variant>
      <vt:variant>
        <vt:i4>1109</vt:i4>
      </vt:variant>
      <vt:variant>
        <vt:i4>0</vt:i4>
      </vt:variant>
      <vt:variant>
        <vt:i4>5</vt:i4>
      </vt:variant>
      <vt:variant>
        <vt:lpwstr/>
      </vt:variant>
      <vt:variant>
        <vt:lpwstr>_Toc158211582</vt:lpwstr>
      </vt:variant>
      <vt:variant>
        <vt:i4>1638461</vt:i4>
      </vt:variant>
      <vt:variant>
        <vt:i4>1103</vt:i4>
      </vt:variant>
      <vt:variant>
        <vt:i4>0</vt:i4>
      </vt:variant>
      <vt:variant>
        <vt:i4>5</vt:i4>
      </vt:variant>
      <vt:variant>
        <vt:lpwstr/>
      </vt:variant>
      <vt:variant>
        <vt:lpwstr>_Toc158211581</vt:lpwstr>
      </vt:variant>
      <vt:variant>
        <vt:i4>1638461</vt:i4>
      </vt:variant>
      <vt:variant>
        <vt:i4>1097</vt:i4>
      </vt:variant>
      <vt:variant>
        <vt:i4>0</vt:i4>
      </vt:variant>
      <vt:variant>
        <vt:i4>5</vt:i4>
      </vt:variant>
      <vt:variant>
        <vt:lpwstr/>
      </vt:variant>
      <vt:variant>
        <vt:lpwstr>_Toc158211580</vt:lpwstr>
      </vt:variant>
      <vt:variant>
        <vt:i4>1441853</vt:i4>
      </vt:variant>
      <vt:variant>
        <vt:i4>1091</vt:i4>
      </vt:variant>
      <vt:variant>
        <vt:i4>0</vt:i4>
      </vt:variant>
      <vt:variant>
        <vt:i4>5</vt:i4>
      </vt:variant>
      <vt:variant>
        <vt:lpwstr/>
      </vt:variant>
      <vt:variant>
        <vt:lpwstr>_Toc158211579</vt:lpwstr>
      </vt:variant>
      <vt:variant>
        <vt:i4>1441853</vt:i4>
      </vt:variant>
      <vt:variant>
        <vt:i4>1085</vt:i4>
      </vt:variant>
      <vt:variant>
        <vt:i4>0</vt:i4>
      </vt:variant>
      <vt:variant>
        <vt:i4>5</vt:i4>
      </vt:variant>
      <vt:variant>
        <vt:lpwstr/>
      </vt:variant>
      <vt:variant>
        <vt:lpwstr>_Toc158211578</vt:lpwstr>
      </vt:variant>
      <vt:variant>
        <vt:i4>1441853</vt:i4>
      </vt:variant>
      <vt:variant>
        <vt:i4>1079</vt:i4>
      </vt:variant>
      <vt:variant>
        <vt:i4>0</vt:i4>
      </vt:variant>
      <vt:variant>
        <vt:i4>5</vt:i4>
      </vt:variant>
      <vt:variant>
        <vt:lpwstr/>
      </vt:variant>
      <vt:variant>
        <vt:lpwstr>_Toc158211577</vt:lpwstr>
      </vt:variant>
      <vt:variant>
        <vt:i4>1441853</vt:i4>
      </vt:variant>
      <vt:variant>
        <vt:i4>1073</vt:i4>
      </vt:variant>
      <vt:variant>
        <vt:i4>0</vt:i4>
      </vt:variant>
      <vt:variant>
        <vt:i4>5</vt:i4>
      </vt:variant>
      <vt:variant>
        <vt:lpwstr/>
      </vt:variant>
      <vt:variant>
        <vt:lpwstr>_Toc158211576</vt:lpwstr>
      </vt:variant>
      <vt:variant>
        <vt:i4>1441853</vt:i4>
      </vt:variant>
      <vt:variant>
        <vt:i4>1067</vt:i4>
      </vt:variant>
      <vt:variant>
        <vt:i4>0</vt:i4>
      </vt:variant>
      <vt:variant>
        <vt:i4>5</vt:i4>
      </vt:variant>
      <vt:variant>
        <vt:lpwstr/>
      </vt:variant>
      <vt:variant>
        <vt:lpwstr>_Toc158211575</vt:lpwstr>
      </vt:variant>
      <vt:variant>
        <vt:i4>1441853</vt:i4>
      </vt:variant>
      <vt:variant>
        <vt:i4>1061</vt:i4>
      </vt:variant>
      <vt:variant>
        <vt:i4>0</vt:i4>
      </vt:variant>
      <vt:variant>
        <vt:i4>5</vt:i4>
      </vt:variant>
      <vt:variant>
        <vt:lpwstr/>
      </vt:variant>
      <vt:variant>
        <vt:lpwstr>_Toc158211574</vt:lpwstr>
      </vt:variant>
      <vt:variant>
        <vt:i4>1441853</vt:i4>
      </vt:variant>
      <vt:variant>
        <vt:i4>1055</vt:i4>
      </vt:variant>
      <vt:variant>
        <vt:i4>0</vt:i4>
      </vt:variant>
      <vt:variant>
        <vt:i4>5</vt:i4>
      </vt:variant>
      <vt:variant>
        <vt:lpwstr/>
      </vt:variant>
      <vt:variant>
        <vt:lpwstr>_Toc158211573</vt:lpwstr>
      </vt:variant>
      <vt:variant>
        <vt:i4>1441853</vt:i4>
      </vt:variant>
      <vt:variant>
        <vt:i4>1049</vt:i4>
      </vt:variant>
      <vt:variant>
        <vt:i4>0</vt:i4>
      </vt:variant>
      <vt:variant>
        <vt:i4>5</vt:i4>
      </vt:variant>
      <vt:variant>
        <vt:lpwstr/>
      </vt:variant>
      <vt:variant>
        <vt:lpwstr>_Toc158211572</vt:lpwstr>
      </vt:variant>
      <vt:variant>
        <vt:i4>1441853</vt:i4>
      </vt:variant>
      <vt:variant>
        <vt:i4>1043</vt:i4>
      </vt:variant>
      <vt:variant>
        <vt:i4>0</vt:i4>
      </vt:variant>
      <vt:variant>
        <vt:i4>5</vt:i4>
      </vt:variant>
      <vt:variant>
        <vt:lpwstr/>
      </vt:variant>
      <vt:variant>
        <vt:lpwstr>_Toc158211571</vt:lpwstr>
      </vt:variant>
      <vt:variant>
        <vt:i4>1441853</vt:i4>
      </vt:variant>
      <vt:variant>
        <vt:i4>1037</vt:i4>
      </vt:variant>
      <vt:variant>
        <vt:i4>0</vt:i4>
      </vt:variant>
      <vt:variant>
        <vt:i4>5</vt:i4>
      </vt:variant>
      <vt:variant>
        <vt:lpwstr/>
      </vt:variant>
      <vt:variant>
        <vt:lpwstr>_Toc158211570</vt:lpwstr>
      </vt:variant>
      <vt:variant>
        <vt:i4>1507389</vt:i4>
      </vt:variant>
      <vt:variant>
        <vt:i4>1031</vt:i4>
      </vt:variant>
      <vt:variant>
        <vt:i4>0</vt:i4>
      </vt:variant>
      <vt:variant>
        <vt:i4>5</vt:i4>
      </vt:variant>
      <vt:variant>
        <vt:lpwstr/>
      </vt:variant>
      <vt:variant>
        <vt:lpwstr>_Toc158211569</vt:lpwstr>
      </vt:variant>
      <vt:variant>
        <vt:i4>1507389</vt:i4>
      </vt:variant>
      <vt:variant>
        <vt:i4>1025</vt:i4>
      </vt:variant>
      <vt:variant>
        <vt:i4>0</vt:i4>
      </vt:variant>
      <vt:variant>
        <vt:i4>5</vt:i4>
      </vt:variant>
      <vt:variant>
        <vt:lpwstr/>
      </vt:variant>
      <vt:variant>
        <vt:lpwstr>_Toc158211568</vt:lpwstr>
      </vt:variant>
      <vt:variant>
        <vt:i4>1507389</vt:i4>
      </vt:variant>
      <vt:variant>
        <vt:i4>1019</vt:i4>
      </vt:variant>
      <vt:variant>
        <vt:i4>0</vt:i4>
      </vt:variant>
      <vt:variant>
        <vt:i4>5</vt:i4>
      </vt:variant>
      <vt:variant>
        <vt:lpwstr/>
      </vt:variant>
      <vt:variant>
        <vt:lpwstr>_Toc158211567</vt:lpwstr>
      </vt:variant>
      <vt:variant>
        <vt:i4>1507389</vt:i4>
      </vt:variant>
      <vt:variant>
        <vt:i4>1013</vt:i4>
      </vt:variant>
      <vt:variant>
        <vt:i4>0</vt:i4>
      </vt:variant>
      <vt:variant>
        <vt:i4>5</vt:i4>
      </vt:variant>
      <vt:variant>
        <vt:lpwstr/>
      </vt:variant>
      <vt:variant>
        <vt:lpwstr>_Toc158211566</vt:lpwstr>
      </vt:variant>
      <vt:variant>
        <vt:i4>1507389</vt:i4>
      </vt:variant>
      <vt:variant>
        <vt:i4>1007</vt:i4>
      </vt:variant>
      <vt:variant>
        <vt:i4>0</vt:i4>
      </vt:variant>
      <vt:variant>
        <vt:i4>5</vt:i4>
      </vt:variant>
      <vt:variant>
        <vt:lpwstr/>
      </vt:variant>
      <vt:variant>
        <vt:lpwstr>_Toc158211565</vt:lpwstr>
      </vt:variant>
      <vt:variant>
        <vt:i4>1507389</vt:i4>
      </vt:variant>
      <vt:variant>
        <vt:i4>1001</vt:i4>
      </vt:variant>
      <vt:variant>
        <vt:i4>0</vt:i4>
      </vt:variant>
      <vt:variant>
        <vt:i4>5</vt:i4>
      </vt:variant>
      <vt:variant>
        <vt:lpwstr/>
      </vt:variant>
      <vt:variant>
        <vt:lpwstr>_Toc158211564</vt:lpwstr>
      </vt:variant>
      <vt:variant>
        <vt:i4>1507389</vt:i4>
      </vt:variant>
      <vt:variant>
        <vt:i4>995</vt:i4>
      </vt:variant>
      <vt:variant>
        <vt:i4>0</vt:i4>
      </vt:variant>
      <vt:variant>
        <vt:i4>5</vt:i4>
      </vt:variant>
      <vt:variant>
        <vt:lpwstr/>
      </vt:variant>
      <vt:variant>
        <vt:lpwstr>_Toc158211563</vt:lpwstr>
      </vt:variant>
      <vt:variant>
        <vt:i4>1507389</vt:i4>
      </vt:variant>
      <vt:variant>
        <vt:i4>989</vt:i4>
      </vt:variant>
      <vt:variant>
        <vt:i4>0</vt:i4>
      </vt:variant>
      <vt:variant>
        <vt:i4>5</vt:i4>
      </vt:variant>
      <vt:variant>
        <vt:lpwstr/>
      </vt:variant>
      <vt:variant>
        <vt:lpwstr>_Toc158211562</vt:lpwstr>
      </vt:variant>
      <vt:variant>
        <vt:i4>1507389</vt:i4>
      </vt:variant>
      <vt:variant>
        <vt:i4>983</vt:i4>
      </vt:variant>
      <vt:variant>
        <vt:i4>0</vt:i4>
      </vt:variant>
      <vt:variant>
        <vt:i4>5</vt:i4>
      </vt:variant>
      <vt:variant>
        <vt:lpwstr/>
      </vt:variant>
      <vt:variant>
        <vt:lpwstr>_Toc158211561</vt:lpwstr>
      </vt:variant>
      <vt:variant>
        <vt:i4>1507389</vt:i4>
      </vt:variant>
      <vt:variant>
        <vt:i4>977</vt:i4>
      </vt:variant>
      <vt:variant>
        <vt:i4>0</vt:i4>
      </vt:variant>
      <vt:variant>
        <vt:i4>5</vt:i4>
      </vt:variant>
      <vt:variant>
        <vt:lpwstr/>
      </vt:variant>
      <vt:variant>
        <vt:lpwstr>_Toc158211560</vt:lpwstr>
      </vt:variant>
      <vt:variant>
        <vt:i4>1310781</vt:i4>
      </vt:variant>
      <vt:variant>
        <vt:i4>971</vt:i4>
      </vt:variant>
      <vt:variant>
        <vt:i4>0</vt:i4>
      </vt:variant>
      <vt:variant>
        <vt:i4>5</vt:i4>
      </vt:variant>
      <vt:variant>
        <vt:lpwstr/>
      </vt:variant>
      <vt:variant>
        <vt:lpwstr>_Toc158211559</vt:lpwstr>
      </vt:variant>
      <vt:variant>
        <vt:i4>1310781</vt:i4>
      </vt:variant>
      <vt:variant>
        <vt:i4>965</vt:i4>
      </vt:variant>
      <vt:variant>
        <vt:i4>0</vt:i4>
      </vt:variant>
      <vt:variant>
        <vt:i4>5</vt:i4>
      </vt:variant>
      <vt:variant>
        <vt:lpwstr/>
      </vt:variant>
      <vt:variant>
        <vt:lpwstr>_Toc158211558</vt:lpwstr>
      </vt:variant>
      <vt:variant>
        <vt:i4>1310781</vt:i4>
      </vt:variant>
      <vt:variant>
        <vt:i4>959</vt:i4>
      </vt:variant>
      <vt:variant>
        <vt:i4>0</vt:i4>
      </vt:variant>
      <vt:variant>
        <vt:i4>5</vt:i4>
      </vt:variant>
      <vt:variant>
        <vt:lpwstr/>
      </vt:variant>
      <vt:variant>
        <vt:lpwstr>_Toc158211557</vt:lpwstr>
      </vt:variant>
      <vt:variant>
        <vt:i4>1310781</vt:i4>
      </vt:variant>
      <vt:variant>
        <vt:i4>953</vt:i4>
      </vt:variant>
      <vt:variant>
        <vt:i4>0</vt:i4>
      </vt:variant>
      <vt:variant>
        <vt:i4>5</vt:i4>
      </vt:variant>
      <vt:variant>
        <vt:lpwstr/>
      </vt:variant>
      <vt:variant>
        <vt:lpwstr>_Toc158211556</vt:lpwstr>
      </vt:variant>
      <vt:variant>
        <vt:i4>1310781</vt:i4>
      </vt:variant>
      <vt:variant>
        <vt:i4>947</vt:i4>
      </vt:variant>
      <vt:variant>
        <vt:i4>0</vt:i4>
      </vt:variant>
      <vt:variant>
        <vt:i4>5</vt:i4>
      </vt:variant>
      <vt:variant>
        <vt:lpwstr/>
      </vt:variant>
      <vt:variant>
        <vt:lpwstr>_Toc158211555</vt:lpwstr>
      </vt:variant>
      <vt:variant>
        <vt:i4>1310781</vt:i4>
      </vt:variant>
      <vt:variant>
        <vt:i4>941</vt:i4>
      </vt:variant>
      <vt:variant>
        <vt:i4>0</vt:i4>
      </vt:variant>
      <vt:variant>
        <vt:i4>5</vt:i4>
      </vt:variant>
      <vt:variant>
        <vt:lpwstr/>
      </vt:variant>
      <vt:variant>
        <vt:lpwstr>_Toc158211554</vt:lpwstr>
      </vt:variant>
      <vt:variant>
        <vt:i4>1310781</vt:i4>
      </vt:variant>
      <vt:variant>
        <vt:i4>935</vt:i4>
      </vt:variant>
      <vt:variant>
        <vt:i4>0</vt:i4>
      </vt:variant>
      <vt:variant>
        <vt:i4>5</vt:i4>
      </vt:variant>
      <vt:variant>
        <vt:lpwstr/>
      </vt:variant>
      <vt:variant>
        <vt:lpwstr>_Toc158211553</vt:lpwstr>
      </vt:variant>
      <vt:variant>
        <vt:i4>1310781</vt:i4>
      </vt:variant>
      <vt:variant>
        <vt:i4>929</vt:i4>
      </vt:variant>
      <vt:variant>
        <vt:i4>0</vt:i4>
      </vt:variant>
      <vt:variant>
        <vt:i4>5</vt:i4>
      </vt:variant>
      <vt:variant>
        <vt:lpwstr/>
      </vt:variant>
      <vt:variant>
        <vt:lpwstr>_Toc158211552</vt:lpwstr>
      </vt:variant>
      <vt:variant>
        <vt:i4>1310781</vt:i4>
      </vt:variant>
      <vt:variant>
        <vt:i4>923</vt:i4>
      </vt:variant>
      <vt:variant>
        <vt:i4>0</vt:i4>
      </vt:variant>
      <vt:variant>
        <vt:i4>5</vt:i4>
      </vt:variant>
      <vt:variant>
        <vt:lpwstr/>
      </vt:variant>
      <vt:variant>
        <vt:lpwstr>_Toc158211551</vt:lpwstr>
      </vt:variant>
      <vt:variant>
        <vt:i4>1310781</vt:i4>
      </vt:variant>
      <vt:variant>
        <vt:i4>917</vt:i4>
      </vt:variant>
      <vt:variant>
        <vt:i4>0</vt:i4>
      </vt:variant>
      <vt:variant>
        <vt:i4>5</vt:i4>
      </vt:variant>
      <vt:variant>
        <vt:lpwstr/>
      </vt:variant>
      <vt:variant>
        <vt:lpwstr>_Toc158211550</vt:lpwstr>
      </vt:variant>
      <vt:variant>
        <vt:i4>1376317</vt:i4>
      </vt:variant>
      <vt:variant>
        <vt:i4>911</vt:i4>
      </vt:variant>
      <vt:variant>
        <vt:i4>0</vt:i4>
      </vt:variant>
      <vt:variant>
        <vt:i4>5</vt:i4>
      </vt:variant>
      <vt:variant>
        <vt:lpwstr/>
      </vt:variant>
      <vt:variant>
        <vt:lpwstr>_Toc158211549</vt:lpwstr>
      </vt:variant>
      <vt:variant>
        <vt:i4>1376317</vt:i4>
      </vt:variant>
      <vt:variant>
        <vt:i4>905</vt:i4>
      </vt:variant>
      <vt:variant>
        <vt:i4>0</vt:i4>
      </vt:variant>
      <vt:variant>
        <vt:i4>5</vt:i4>
      </vt:variant>
      <vt:variant>
        <vt:lpwstr/>
      </vt:variant>
      <vt:variant>
        <vt:lpwstr>_Toc158211548</vt:lpwstr>
      </vt:variant>
      <vt:variant>
        <vt:i4>1376317</vt:i4>
      </vt:variant>
      <vt:variant>
        <vt:i4>899</vt:i4>
      </vt:variant>
      <vt:variant>
        <vt:i4>0</vt:i4>
      </vt:variant>
      <vt:variant>
        <vt:i4>5</vt:i4>
      </vt:variant>
      <vt:variant>
        <vt:lpwstr/>
      </vt:variant>
      <vt:variant>
        <vt:lpwstr>_Toc158211547</vt:lpwstr>
      </vt:variant>
      <vt:variant>
        <vt:i4>1376317</vt:i4>
      </vt:variant>
      <vt:variant>
        <vt:i4>893</vt:i4>
      </vt:variant>
      <vt:variant>
        <vt:i4>0</vt:i4>
      </vt:variant>
      <vt:variant>
        <vt:i4>5</vt:i4>
      </vt:variant>
      <vt:variant>
        <vt:lpwstr/>
      </vt:variant>
      <vt:variant>
        <vt:lpwstr>_Toc158211546</vt:lpwstr>
      </vt:variant>
      <vt:variant>
        <vt:i4>1376317</vt:i4>
      </vt:variant>
      <vt:variant>
        <vt:i4>887</vt:i4>
      </vt:variant>
      <vt:variant>
        <vt:i4>0</vt:i4>
      </vt:variant>
      <vt:variant>
        <vt:i4>5</vt:i4>
      </vt:variant>
      <vt:variant>
        <vt:lpwstr/>
      </vt:variant>
      <vt:variant>
        <vt:lpwstr>_Toc158211545</vt:lpwstr>
      </vt:variant>
      <vt:variant>
        <vt:i4>1376317</vt:i4>
      </vt:variant>
      <vt:variant>
        <vt:i4>881</vt:i4>
      </vt:variant>
      <vt:variant>
        <vt:i4>0</vt:i4>
      </vt:variant>
      <vt:variant>
        <vt:i4>5</vt:i4>
      </vt:variant>
      <vt:variant>
        <vt:lpwstr/>
      </vt:variant>
      <vt:variant>
        <vt:lpwstr>_Toc158211544</vt:lpwstr>
      </vt:variant>
      <vt:variant>
        <vt:i4>1376317</vt:i4>
      </vt:variant>
      <vt:variant>
        <vt:i4>875</vt:i4>
      </vt:variant>
      <vt:variant>
        <vt:i4>0</vt:i4>
      </vt:variant>
      <vt:variant>
        <vt:i4>5</vt:i4>
      </vt:variant>
      <vt:variant>
        <vt:lpwstr/>
      </vt:variant>
      <vt:variant>
        <vt:lpwstr>_Toc158211543</vt:lpwstr>
      </vt:variant>
      <vt:variant>
        <vt:i4>1376317</vt:i4>
      </vt:variant>
      <vt:variant>
        <vt:i4>869</vt:i4>
      </vt:variant>
      <vt:variant>
        <vt:i4>0</vt:i4>
      </vt:variant>
      <vt:variant>
        <vt:i4>5</vt:i4>
      </vt:variant>
      <vt:variant>
        <vt:lpwstr/>
      </vt:variant>
      <vt:variant>
        <vt:lpwstr>_Toc158211542</vt:lpwstr>
      </vt:variant>
      <vt:variant>
        <vt:i4>1376317</vt:i4>
      </vt:variant>
      <vt:variant>
        <vt:i4>863</vt:i4>
      </vt:variant>
      <vt:variant>
        <vt:i4>0</vt:i4>
      </vt:variant>
      <vt:variant>
        <vt:i4>5</vt:i4>
      </vt:variant>
      <vt:variant>
        <vt:lpwstr/>
      </vt:variant>
      <vt:variant>
        <vt:lpwstr>_Toc158211541</vt:lpwstr>
      </vt:variant>
      <vt:variant>
        <vt:i4>1376317</vt:i4>
      </vt:variant>
      <vt:variant>
        <vt:i4>857</vt:i4>
      </vt:variant>
      <vt:variant>
        <vt:i4>0</vt:i4>
      </vt:variant>
      <vt:variant>
        <vt:i4>5</vt:i4>
      </vt:variant>
      <vt:variant>
        <vt:lpwstr/>
      </vt:variant>
      <vt:variant>
        <vt:lpwstr>_Toc158211540</vt:lpwstr>
      </vt:variant>
      <vt:variant>
        <vt:i4>1179709</vt:i4>
      </vt:variant>
      <vt:variant>
        <vt:i4>851</vt:i4>
      </vt:variant>
      <vt:variant>
        <vt:i4>0</vt:i4>
      </vt:variant>
      <vt:variant>
        <vt:i4>5</vt:i4>
      </vt:variant>
      <vt:variant>
        <vt:lpwstr/>
      </vt:variant>
      <vt:variant>
        <vt:lpwstr>_Toc158211539</vt:lpwstr>
      </vt:variant>
      <vt:variant>
        <vt:i4>1179709</vt:i4>
      </vt:variant>
      <vt:variant>
        <vt:i4>845</vt:i4>
      </vt:variant>
      <vt:variant>
        <vt:i4>0</vt:i4>
      </vt:variant>
      <vt:variant>
        <vt:i4>5</vt:i4>
      </vt:variant>
      <vt:variant>
        <vt:lpwstr/>
      </vt:variant>
      <vt:variant>
        <vt:lpwstr>_Toc158211538</vt:lpwstr>
      </vt:variant>
      <vt:variant>
        <vt:i4>1179709</vt:i4>
      </vt:variant>
      <vt:variant>
        <vt:i4>839</vt:i4>
      </vt:variant>
      <vt:variant>
        <vt:i4>0</vt:i4>
      </vt:variant>
      <vt:variant>
        <vt:i4>5</vt:i4>
      </vt:variant>
      <vt:variant>
        <vt:lpwstr/>
      </vt:variant>
      <vt:variant>
        <vt:lpwstr>_Toc158211537</vt:lpwstr>
      </vt:variant>
      <vt:variant>
        <vt:i4>1179709</vt:i4>
      </vt:variant>
      <vt:variant>
        <vt:i4>833</vt:i4>
      </vt:variant>
      <vt:variant>
        <vt:i4>0</vt:i4>
      </vt:variant>
      <vt:variant>
        <vt:i4>5</vt:i4>
      </vt:variant>
      <vt:variant>
        <vt:lpwstr/>
      </vt:variant>
      <vt:variant>
        <vt:lpwstr>_Toc158211536</vt:lpwstr>
      </vt:variant>
      <vt:variant>
        <vt:i4>1179709</vt:i4>
      </vt:variant>
      <vt:variant>
        <vt:i4>827</vt:i4>
      </vt:variant>
      <vt:variant>
        <vt:i4>0</vt:i4>
      </vt:variant>
      <vt:variant>
        <vt:i4>5</vt:i4>
      </vt:variant>
      <vt:variant>
        <vt:lpwstr/>
      </vt:variant>
      <vt:variant>
        <vt:lpwstr>_Toc158211535</vt:lpwstr>
      </vt:variant>
      <vt:variant>
        <vt:i4>1179709</vt:i4>
      </vt:variant>
      <vt:variant>
        <vt:i4>821</vt:i4>
      </vt:variant>
      <vt:variant>
        <vt:i4>0</vt:i4>
      </vt:variant>
      <vt:variant>
        <vt:i4>5</vt:i4>
      </vt:variant>
      <vt:variant>
        <vt:lpwstr/>
      </vt:variant>
      <vt:variant>
        <vt:lpwstr>_Toc158211534</vt:lpwstr>
      </vt:variant>
      <vt:variant>
        <vt:i4>1179709</vt:i4>
      </vt:variant>
      <vt:variant>
        <vt:i4>815</vt:i4>
      </vt:variant>
      <vt:variant>
        <vt:i4>0</vt:i4>
      </vt:variant>
      <vt:variant>
        <vt:i4>5</vt:i4>
      </vt:variant>
      <vt:variant>
        <vt:lpwstr/>
      </vt:variant>
      <vt:variant>
        <vt:lpwstr>_Toc158211533</vt:lpwstr>
      </vt:variant>
      <vt:variant>
        <vt:i4>1179709</vt:i4>
      </vt:variant>
      <vt:variant>
        <vt:i4>809</vt:i4>
      </vt:variant>
      <vt:variant>
        <vt:i4>0</vt:i4>
      </vt:variant>
      <vt:variant>
        <vt:i4>5</vt:i4>
      </vt:variant>
      <vt:variant>
        <vt:lpwstr/>
      </vt:variant>
      <vt:variant>
        <vt:lpwstr>_Toc158211532</vt:lpwstr>
      </vt:variant>
      <vt:variant>
        <vt:i4>1179709</vt:i4>
      </vt:variant>
      <vt:variant>
        <vt:i4>803</vt:i4>
      </vt:variant>
      <vt:variant>
        <vt:i4>0</vt:i4>
      </vt:variant>
      <vt:variant>
        <vt:i4>5</vt:i4>
      </vt:variant>
      <vt:variant>
        <vt:lpwstr/>
      </vt:variant>
      <vt:variant>
        <vt:lpwstr>_Toc158211531</vt:lpwstr>
      </vt:variant>
      <vt:variant>
        <vt:i4>1179709</vt:i4>
      </vt:variant>
      <vt:variant>
        <vt:i4>797</vt:i4>
      </vt:variant>
      <vt:variant>
        <vt:i4>0</vt:i4>
      </vt:variant>
      <vt:variant>
        <vt:i4>5</vt:i4>
      </vt:variant>
      <vt:variant>
        <vt:lpwstr/>
      </vt:variant>
      <vt:variant>
        <vt:lpwstr>_Toc158211530</vt:lpwstr>
      </vt:variant>
      <vt:variant>
        <vt:i4>1245245</vt:i4>
      </vt:variant>
      <vt:variant>
        <vt:i4>791</vt:i4>
      </vt:variant>
      <vt:variant>
        <vt:i4>0</vt:i4>
      </vt:variant>
      <vt:variant>
        <vt:i4>5</vt:i4>
      </vt:variant>
      <vt:variant>
        <vt:lpwstr/>
      </vt:variant>
      <vt:variant>
        <vt:lpwstr>_Toc158211529</vt:lpwstr>
      </vt:variant>
      <vt:variant>
        <vt:i4>1245245</vt:i4>
      </vt:variant>
      <vt:variant>
        <vt:i4>785</vt:i4>
      </vt:variant>
      <vt:variant>
        <vt:i4>0</vt:i4>
      </vt:variant>
      <vt:variant>
        <vt:i4>5</vt:i4>
      </vt:variant>
      <vt:variant>
        <vt:lpwstr/>
      </vt:variant>
      <vt:variant>
        <vt:lpwstr>_Toc158211528</vt:lpwstr>
      </vt:variant>
      <vt:variant>
        <vt:i4>1245245</vt:i4>
      </vt:variant>
      <vt:variant>
        <vt:i4>779</vt:i4>
      </vt:variant>
      <vt:variant>
        <vt:i4>0</vt:i4>
      </vt:variant>
      <vt:variant>
        <vt:i4>5</vt:i4>
      </vt:variant>
      <vt:variant>
        <vt:lpwstr/>
      </vt:variant>
      <vt:variant>
        <vt:lpwstr>_Toc158211527</vt:lpwstr>
      </vt:variant>
      <vt:variant>
        <vt:i4>1245245</vt:i4>
      </vt:variant>
      <vt:variant>
        <vt:i4>773</vt:i4>
      </vt:variant>
      <vt:variant>
        <vt:i4>0</vt:i4>
      </vt:variant>
      <vt:variant>
        <vt:i4>5</vt:i4>
      </vt:variant>
      <vt:variant>
        <vt:lpwstr/>
      </vt:variant>
      <vt:variant>
        <vt:lpwstr>_Toc158211526</vt:lpwstr>
      </vt:variant>
      <vt:variant>
        <vt:i4>1245245</vt:i4>
      </vt:variant>
      <vt:variant>
        <vt:i4>767</vt:i4>
      </vt:variant>
      <vt:variant>
        <vt:i4>0</vt:i4>
      </vt:variant>
      <vt:variant>
        <vt:i4>5</vt:i4>
      </vt:variant>
      <vt:variant>
        <vt:lpwstr/>
      </vt:variant>
      <vt:variant>
        <vt:lpwstr>_Toc158211525</vt:lpwstr>
      </vt:variant>
      <vt:variant>
        <vt:i4>1245245</vt:i4>
      </vt:variant>
      <vt:variant>
        <vt:i4>761</vt:i4>
      </vt:variant>
      <vt:variant>
        <vt:i4>0</vt:i4>
      </vt:variant>
      <vt:variant>
        <vt:i4>5</vt:i4>
      </vt:variant>
      <vt:variant>
        <vt:lpwstr/>
      </vt:variant>
      <vt:variant>
        <vt:lpwstr>_Toc158211524</vt:lpwstr>
      </vt:variant>
      <vt:variant>
        <vt:i4>1245245</vt:i4>
      </vt:variant>
      <vt:variant>
        <vt:i4>755</vt:i4>
      </vt:variant>
      <vt:variant>
        <vt:i4>0</vt:i4>
      </vt:variant>
      <vt:variant>
        <vt:i4>5</vt:i4>
      </vt:variant>
      <vt:variant>
        <vt:lpwstr/>
      </vt:variant>
      <vt:variant>
        <vt:lpwstr>_Toc158211523</vt:lpwstr>
      </vt:variant>
      <vt:variant>
        <vt:i4>1245245</vt:i4>
      </vt:variant>
      <vt:variant>
        <vt:i4>749</vt:i4>
      </vt:variant>
      <vt:variant>
        <vt:i4>0</vt:i4>
      </vt:variant>
      <vt:variant>
        <vt:i4>5</vt:i4>
      </vt:variant>
      <vt:variant>
        <vt:lpwstr/>
      </vt:variant>
      <vt:variant>
        <vt:lpwstr>_Toc158211522</vt:lpwstr>
      </vt:variant>
      <vt:variant>
        <vt:i4>1245245</vt:i4>
      </vt:variant>
      <vt:variant>
        <vt:i4>743</vt:i4>
      </vt:variant>
      <vt:variant>
        <vt:i4>0</vt:i4>
      </vt:variant>
      <vt:variant>
        <vt:i4>5</vt:i4>
      </vt:variant>
      <vt:variant>
        <vt:lpwstr/>
      </vt:variant>
      <vt:variant>
        <vt:lpwstr>_Toc158211521</vt:lpwstr>
      </vt:variant>
      <vt:variant>
        <vt:i4>1245245</vt:i4>
      </vt:variant>
      <vt:variant>
        <vt:i4>737</vt:i4>
      </vt:variant>
      <vt:variant>
        <vt:i4>0</vt:i4>
      </vt:variant>
      <vt:variant>
        <vt:i4>5</vt:i4>
      </vt:variant>
      <vt:variant>
        <vt:lpwstr/>
      </vt:variant>
      <vt:variant>
        <vt:lpwstr>_Toc158211520</vt:lpwstr>
      </vt:variant>
      <vt:variant>
        <vt:i4>1048637</vt:i4>
      </vt:variant>
      <vt:variant>
        <vt:i4>731</vt:i4>
      </vt:variant>
      <vt:variant>
        <vt:i4>0</vt:i4>
      </vt:variant>
      <vt:variant>
        <vt:i4>5</vt:i4>
      </vt:variant>
      <vt:variant>
        <vt:lpwstr/>
      </vt:variant>
      <vt:variant>
        <vt:lpwstr>_Toc158211519</vt:lpwstr>
      </vt:variant>
      <vt:variant>
        <vt:i4>1048637</vt:i4>
      </vt:variant>
      <vt:variant>
        <vt:i4>725</vt:i4>
      </vt:variant>
      <vt:variant>
        <vt:i4>0</vt:i4>
      </vt:variant>
      <vt:variant>
        <vt:i4>5</vt:i4>
      </vt:variant>
      <vt:variant>
        <vt:lpwstr/>
      </vt:variant>
      <vt:variant>
        <vt:lpwstr>_Toc158211518</vt:lpwstr>
      </vt:variant>
      <vt:variant>
        <vt:i4>1048637</vt:i4>
      </vt:variant>
      <vt:variant>
        <vt:i4>719</vt:i4>
      </vt:variant>
      <vt:variant>
        <vt:i4>0</vt:i4>
      </vt:variant>
      <vt:variant>
        <vt:i4>5</vt:i4>
      </vt:variant>
      <vt:variant>
        <vt:lpwstr/>
      </vt:variant>
      <vt:variant>
        <vt:lpwstr>_Toc158211517</vt:lpwstr>
      </vt:variant>
      <vt:variant>
        <vt:i4>1048637</vt:i4>
      </vt:variant>
      <vt:variant>
        <vt:i4>713</vt:i4>
      </vt:variant>
      <vt:variant>
        <vt:i4>0</vt:i4>
      </vt:variant>
      <vt:variant>
        <vt:i4>5</vt:i4>
      </vt:variant>
      <vt:variant>
        <vt:lpwstr/>
      </vt:variant>
      <vt:variant>
        <vt:lpwstr>_Toc158211516</vt:lpwstr>
      </vt:variant>
      <vt:variant>
        <vt:i4>1048637</vt:i4>
      </vt:variant>
      <vt:variant>
        <vt:i4>707</vt:i4>
      </vt:variant>
      <vt:variant>
        <vt:i4>0</vt:i4>
      </vt:variant>
      <vt:variant>
        <vt:i4>5</vt:i4>
      </vt:variant>
      <vt:variant>
        <vt:lpwstr/>
      </vt:variant>
      <vt:variant>
        <vt:lpwstr>_Toc158211515</vt:lpwstr>
      </vt:variant>
      <vt:variant>
        <vt:i4>1048637</vt:i4>
      </vt:variant>
      <vt:variant>
        <vt:i4>701</vt:i4>
      </vt:variant>
      <vt:variant>
        <vt:i4>0</vt:i4>
      </vt:variant>
      <vt:variant>
        <vt:i4>5</vt:i4>
      </vt:variant>
      <vt:variant>
        <vt:lpwstr/>
      </vt:variant>
      <vt:variant>
        <vt:lpwstr>_Toc158211514</vt:lpwstr>
      </vt:variant>
      <vt:variant>
        <vt:i4>1048637</vt:i4>
      </vt:variant>
      <vt:variant>
        <vt:i4>695</vt:i4>
      </vt:variant>
      <vt:variant>
        <vt:i4>0</vt:i4>
      </vt:variant>
      <vt:variant>
        <vt:i4>5</vt:i4>
      </vt:variant>
      <vt:variant>
        <vt:lpwstr/>
      </vt:variant>
      <vt:variant>
        <vt:lpwstr>_Toc158211513</vt:lpwstr>
      </vt:variant>
      <vt:variant>
        <vt:i4>1048637</vt:i4>
      </vt:variant>
      <vt:variant>
        <vt:i4>689</vt:i4>
      </vt:variant>
      <vt:variant>
        <vt:i4>0</vt:i4>
      </vt:variant>
      <vt:variant>
        <vt:i4>5</vt:i4>
      </vt:variant>
      <vt:variant>
        <vt:lpwstr/>
      </vt:variant>
      <vt:variant>
        <vt:lpwstr>_Toc158211512</vt:lpwstr>
      </vt:variant>
      <vt:variant>
        <vt:i4>1048637</vt:i4>
      </vt:variant>
      <vt:variant>
        <vt:i4>683</vt:i4>
      </vt:variant>
      <vt:variant>
        <vt:i4>0</vt:i4>
      </vt:variant>
      <vt:variant>
        <vt:i4>5</vt:i4>
      </vt:variant>
      <vt:variant>
        <vt:lpwstr/>
      </vt:variant>
      <vt:variant>
        <vt:lpwstr>_Toc158211511</vt:lpwstr>
      </vt:variant>
      <vt:variant>
        <vt:i4>1048637</vt:i4>
      </vt:variant>
      <vt:variant>
        <vt:i4>677</vt:i4>
      </vt:variant>
      <vt:variant>
        <vt:i4>0</vt:i4>
      </vt:variant>
      <vt:variant>
        <vt:i4>5</vt:i4>
      </vt:variant>
      <vt:variant>
        <vt:lpwstr/>
      </vt:variant>
      <vt:variant>
        <vt:lpwstr>_Toc158211510</vt:lpwstr>
      </vt:variant>
      <vt:variant>
        <vt:i4>1114173</vt:i4>
      </vt:variant>
      <vt:variant>
        <vt:i4>671</vt:i4>
      </vt:variant>
      <vt:variant>
        <vt:i4>0</vt:i4>
      </vt:variant>
      <vt:variant>
        <vt:i4>5</vt:i4>
      </vt:variant>
      <vt:variant>
        <vt:lpwstr/>
      </vt:variant>
      <vt:variant>
        <vt:lpwstr>_Toc158211509</vt:lpwstr>
      </vt:variant>
      <vt:variant>
        <vt:i4>1114173</vt:i4>
      </vt:variant>
      <vt:variant>
        <vt:i4>665</vt:i4>
      </vt:variant>
      <vt:variant>
        <vt:i4>0</vt:i4>
      </vt:variant>
      <vt:variant>
        <vt:i4>5</vt:i4>
      </vt:variant>
      <vt:variant>
        <vt:lpwstr/>
      </vt:variant>
      <vt:variant>
        <vt:lpwstr>_Toc158211508</vt:lpwstr>
      </vt:variant>
      <vt:variant>
        <vt:i4>1114173</vt:i4>
      </vt:variant>
      <vt:variant>
        <vt:i4>659</vt:i4>
      </vt:variant>
      <vt:variant>
        <vt:i4>0</vt:i4>
      </vt:variant>
      <vt:variant>
        <vt:i4>5</vt:i4>
      </vt:variant>
      <vt:variant>
        <vt:lpwstr/>
      </vt:variant>
      <vt:variant>
        <vt:lpwstr>_Toc158211507</vt:lpwstr>
      </vt:variant>
      <vt:variant>
        <vt:i4>1114173</vt:i4>
      </vt:variant>
      <vt:variant>
        <vt:i4>653</vt:i4>
      </vt:variant>
      <vt:variant>
        <vt:i4>0</vt:i4>
      </vt:variant>
      <vt:variant>
        <vt:i4>5</vt:i4>
      </vt:variant>
      <vt:variant>
        <vt:lpwstr/>
      </vt:variant>
      <vt:variant>
        <vt:lpwstr>_Toc158211506</vt:lpwstr>
      </vt:variant>
      <vt:variant>
        <vt:i4>1114173</vt:i4>
      </vt:variant>
      <vt:variant>
        <vt:i4>647</vt:i4>
      </vt:variant>
      <vt:variant>
        <vt:i4>0</vt:i4>
      </vt:variant>
      <vt:variant>
        <vt:i4>5</vt:i4>
      </vt:variant>
      <vt:variant>
        <vt:lpwstr/>
      </vt:variant>
      <vt:variant>
        <vt:lpwstr>_Toc158211505</vt:lpwstr>
      </vt:variant>
      <vt:variant>
        <vt:i4>1114173</vt:i4>
      </vt:variant>
      <vt:variant>
        <vt:i4>641</vt:i4>
      </vt:variant>
      <vt:variant>
        <vt:i4>0</vt:i4>
      </vt:variant>
      <vt:variant>
        <vt:i4>5</vt:i4>
      </vt:variant>
      <vt:variant>
        <vt:lpwstr/>
      </vt:variant>
      <vt:variant>
        <vt:lpwstr>_Toc158211504</vt:lpwstr>
      </vt:variant>
      <vt:variant>
        <vt:i4>1114173</vt:i4>
      </vt:variant>
      <vt:variant>
        <vt:i4>635</vt:i4>
      </vt:variant>
      <vt:variant>
        <vt:i4>0</vt:i4>
      </vt:variant>
      <vt:variant>
        <vt:i4>5</vt:i4>
      </vt:variant>
      <vt:variant>
        <vt:lpwstr/>
      </vt:variant>
      <vt:variant>
        <vt:lpwstr>_Toc158211503</vt:lpwstr>
      </vt:variant>
      <vt:variant>
        <vt:i4>1114173</vt:i4>
      </vt:variant>
      <vt:variant>
        <vt:i4>629</vt:i4>
      </vt:variant>
      <vt:variant>
        <vt:i4>0</vt:i4>
      </vt:variant>
      <vt:variant>
        <vt:i4>5</vt:i4>
      </vt:variant>
      <vt:variant>
        <vt:lpwstr/>
      </vt:variant>
      <vt:variant>
        <vt:lpwstr>_Toc158211502</vt:lpwstr>
      </vt:variant>
      <vt:variant>
        <vt:i4>1114173</vt:i4>
      </vt:variant>
      <vt:variant>
        <vt:i4>623</vt:i4>
      </vt:variant>
      <vt:variant>
        <vt:i4>0</vt:i4>
      </vt:variant>
      <vt:variant>
        <vt:i4>5</vt:i4>
      </vt:variant>
      <vt:variant>
        <vt:lpwstr/>
      </vt:variant>
      <vt:variant>
        <vt:lpwstr>_Toc158211501</vt:lpwstr>
      </vt:variant>
      <vt:variant>
        <vt:i4>1114173</vt:i4>
      </vt:variant>
      <vt:variant>
        <vt:i4>617</vt:i4>
      </vt:variant>
      <vt:variant>
        <vt:i4>0</vt:i4>
      </vt:variant>
      <vt:variant>
        <vt:i4>5</vt:i4>
      </vt:variant>
      <vt:variant>
        <vt:lpwstr/>
      </vt:variant>
      <vt:variant>
        <vt:lpwstr>_Toc158211500</vt:lpwstr>
      </vt:variant>
      <vt:variant>
        <vt:i4>1572924</vt:i4>
      </vt:variant>
      <vt:variant>
        <vt:i4>611</vt:i4>
      </vt:variant>
      <vt:variant>
        <vt:i4>0</vt:i4>
      </vt:variant>
      <vt:variant>
        <vt:i4>5</vt:i4>
      </vt:variant>
      <vt:variant>
        <vt:lpwstr/>
      </vt:variant>
      <vt:variant>
        <vt:lpwstr>_Toc158211499</vt:lpwstr>
      </vt:variant>
      <vt:variant>
        <vt:i4>1572924</vt:i4>
      </vt:variant>
      <vt:variant>
        <vt:i4>605</vt:i4>
      </vt:variant>
      <vt:variant>
        <vt:i4>0</vt:i4>
      </vt:variant>
      <vt:variant>
        <vt:i4>5</vt:i4>
      </vt:variant>
      <vt:variant>
        <vt:lpwstr/>
      </vt:variant>
      <vt:variant>
        <vt:lpwstr>_Toc158211498</vt:lpwstr>
      </vt:variant>
      <vt:variant>
        <vt:i4>1572924</vt:i4>
      </vt:variant>
      <vt:variant>
        <vt:i4>599</vt:i4>
      </vt:variant>
      <vt:variant>
        <vt:i4>0</vt:i4>
      </vt:variant>
      <vt:variant>
        <vt:i4>5</vt:i4>
      </vt:variant>
      <vt:variant>
        <vt:lpwstr/>
      </vt:variant>
      <vt:variant>
        <vt:lpwstr>_Toc158211497</vt:lpwstr>
      </vt:variant>
      <vt:variant>
        <vt:i4>1572924</vt:i4>
      </vt:variant>
      <vt:variant>
        <vt:i4>593</vt:i4>
      </vt:variant>
      <vt:variant>
        <vt:i4>0</vt:i4>
      </vt:variant>
      <vt:variant>
        <vt:i4>5</vt:i4>
      </vt:variant>
      <vt:variant>
        <vt:lpwstr/>
      </vt:variant>
      <vt:variant>
        <vt:lpwstr>_Toc158211496</vt:lpwstr>
      </vt:variant>
      <vt:variant>
        <vt:i4>1572924</vt:i4>
      </vt:variant>
      <vt:variant>
        <vt:i4>587</vt:i4>
      </vt:variant>
      <vt:variant>
        <vt:i4>0</vt:i4>
      </vt:variant>
      <vt:variant>
        <vt:i4>5</vt:i4>
      </vt:variant>
      <vt:variant>
        <vt:lpwstr/>
      </vt:variant>
      <vt:variant>
        <vt:lpwstr>_Toc158211495</vt:lpwstr>
      </vt:variant>
      <vt:variant>
        <vt:i4>1572924</vt:i4>
      </vt:variant>
      <vt:variant>
        <vt:i4>581</vt:i4>
      </vt:variant>
      <vt:variant>
        <vt:i4>0</vt:i4>
      </vt:variant>
      <vt:variant>
        <vt:i4>5</vt:i4>
      </vt:variant>
      <vt:variant>
        <vt:lpwstr/>
      </vt:variant>
      <vt:variant>
        <vt:lpwstr>_Toc158211494</vt:lpwstr>
      </vt:variant>
      <vt:variant>
        <vt:i4>1572924</vt:i4>
      </vt:variant>
      <vt:variant>
        <vt:i4>575</vt:i4>
      </vt:variant>
      <vt:variant>
        <vt:i4>0</vt:i4>
      </vt:variant>
      <vt:variant>
        <vt:i4>5</vt:i4>
      </vt:variant>
      <vt:variant>
        <vt:lpwstr/>
      </vt:variant>
      <vt:variant>
        <vt:lpwstr>_Toc158211493</vt:lpwstr>
      </vt:variant>
      <vt:variant>
        <vt:i4>1572924</vt:i4>
      </vt:variant>
      <vt:variant>
        <vt:i4>569</vt:i4>
      </vt:variant>
      <vt:variant>
        <vt:i4>0</vt:i4>
      </vt:variant>
      <vt:variant>
        <vt:i4>5</vt:i4>
      </vt:variant>
      <vt:variant>
        <vt:lpwstr/>
      </vt:variant>
      <vt:variant>
        <vt:lpwstr>_Toc158211492</vt:lpwstr>
      </vt:variant>
      <vt:variant>
        <vt:i4>1572924</vt:i4>
      </vt:variant>
      <vt:variant>
        <vt:i4>563</vt:i4>
      </vt:variant>
      <vt:variant>
        <vt:i4>0</vt:i4>
      </vt:variant>
      <vt:variant>
        <vt:i4>5</vt:i4>
      </vt:variant>
      <vt:variant>
        <vt:lpwstr/>
      </vt:variant>
      <vt:variant>
        <vt:lpwstr>_Toc158211491</vt:lpwstr>
      </vt:variant>
      <vt:variant>
        <vt:i4>1572924</vt:i4>
      </vt:variant>
      <vt:variant>
        <vt:i4>557</vt:i4>
      </vt:variant>
      <vt:variant>
        <vt:i4>0</vt:i4>
      </vt:variant>
      <vt:variant>
        <vt:i4>5</vt:i4>
      </vt:variant>
      <vt:variant>
        <vt:lpwstr/>
      </vt:variant>
      <vt:variant>
        <vt:lpwstr>_Toc158211490</vt:lpwstr>
      </vt:variant>
      <vt:variant>
        <vt:i4>1638460</vt:i4>
      </vt:variant>
      <vt:variant>
        <vt:i4>551</vt:i4>
      </vt:variant>
      <vt:variant>
        <vt:i4>0</vt:i4>
      </vt:variant>
      <vt:variant>
        <vt:i4>5</vt:i4>
      </vt:variant>
      <vt:variant>
        <vt:lpwstr/>
      </vt:variant>
      <vt:variant>
        <vt:lpwstr>_Toc158211489</vt:lpwstr>
      </vt:variant>
      <vt:variant>
        <vt:i4>1638460</vt:i4>
      </vt:variant>
      <vt:variant>
        <vt:i4>545</vt:i4>
      </vt:variant>
      <vt:variant>
        <vt:i4>0</vt:i4>
      </vt:variant>
      <vt:variant>
        <vt:i4>5</vt:i4>
      </vt:variant>
      <vt:variant>
        <vt:lpwstr/>
      </vt:variant>
      <vt:variant>
        <vt:lpwstr>_Toc158211488</vt:lpwstr>
      </vt:variant>
      <vt:variant>
        <vt:i4>1638460</vt:i4>
      </vt:variant>
      <vt:variant>
        <vt:i4>539</vt:i4>
      </vt:variant>
      <vt:variant>
        <vt:i4>0</vt:i4>
      </vt:variant>
      <vt:variant>
        <vt:i4>5</vt:i4>
      </vt:variant>
      <vt:variant>
        <vt:lpwstr/>
      </vt:variant>
      <vt:variant>
        <vt:lpwstr>_Toc158211487</vt:lpwstr>
      </vt:variant>
      <vt:variant>
        <vt:i4>1638460</vt:i4>
      </vt:variant>
      <vt:variant>
        <vt:i4>533</vt:i4>
      </vt:variant>
      <vt:variant>
        <vt:i4>0</vt:i4>
      </vt:variant>
      <vt:variant>
        <vt:i4>5</vt:i4>
      </vt:variant>
      <vt:variant>
        <vt:lpwstr/>
      </vt:variant>
      <vt:variant>
        <vt:lpwstr>_Toc158211486</vt:lpwstr>
      </vt:variant>
      <vt:variant>
        <vt:i4>1638460</vt:i4>
      </vt:variant>
      <vt:variant>
        <vt:i4>527</vt:i4>
      </vt:variant>
      <vt:variant>
        <vt:i4>0</vt:i4>
      </vt:variant>
      <vt:variant>
        <vt:i4>5</vt:i4>
      </vt:variant>
      <vt:variant>
        <vt:lpwstr/>
      </vt:variant>
      <vt:variant>
        <vt:lpwstr>_Toc158211485</vt:lpwstr>
      </vt:variant>
      <vt:variant>
        <vt:i4>1638460</vt:i4>
      </vt:variant>
      <vt:variant>
        <vt:i4>521</vt:i4>
      </vt:variant>
      <vt:variant>
        <vt:i4>0</vt:i4>
      </vt:variant>
      <vt:variant>
        <vt:i4>5</vt:i4>
      </vt:variant>
      <vt:variant>
        <vt:lpwstr/>
      </vt:variant>
      <vt:variant>
        <vt:lpwstr>_Toc158211484</vt:lpwstr>
      </vt:variant>
      <vt:variant>
        <vt:i4>1638460</vt:i4>
      </vt:variant>
      <vt:variant>
        <vt:i4>515</vt:i4>
      </vt:variant>
      <vt:variant>
        <vt:i4>0</vt:i4>
      </vt:variant>
      <vt:variant>
        <vt:i4>5</vt:i4>
      </vt:variant>
      <vt:variant>
        <vt:lpwstr/>
      </vt:variant>
      <vt:variant>
        <vt:lpwstr>_Toc158211483</vt:lpwstr>
      </vt:variant>
      <vt:variant>
        <vt:i4>1638460</vt:i4>
      </vt:variant>
      <vt:variant>
        <vt:i4>509</vt:i4>
      </vt:variant>
      <vt:variant>
        <vt:i4>0</vt:i4>
      </vt:variant>
      <vt:variant>
        <vt:i4>5</vt:i4>
      </vt:variant>
      <vt:variant>
        <vt:lpwstr/>
      </vt:variant>
      <vt:variant>
        <vt:lpwstr>_Toc158211482</vt:lpwstr>
      </vt:variant>
      <vt:variant>
        <vt:i4>1638460</vt:i4>
      </vt:variant>
      <vt:variant>
        <vt:i4>503</vt:i4>
      </vt:variant>
      <vt:variant>
        <vt:i4>0</vt:i4>
      </vt:variant>
      <vt:variant>
        <vt:i4>5</vt:i4>
      </vt:variant>
      <vt:variant>
        <vt:lpwstr/>
      </vt:variant>
      <vt:variant>
        <vt:lpwstr>_Toc158211481</vt:lpwstr>
      </vt:variant>
      <vt:variant>
        <vt:i4>1638460</vt:i4>
      </vt:variant>
      <vt:variant>
        <vt:i4>497</vt:i4>
      </vt:variant>
      <vt:variant>
        <vt:i4>0</vt:i4>
      </vt:variant>
      <vt:variant>
        <vt:i4>5</vt:i4>
      </vt:variant>
      <vt:variant>
        <vt:lpwstr/>
      </vt:variant>
      <vt:variant>
        <vt:lpwstr>_Toc158211480</vt:lpwstr>
      </vt:variant>
      <vt:variant>
        <vt:i4>1441852</vt:i4>
      </vt:variant>
      <vt:variant>
        <vt:i4>491</vt:i4>
      </vt:variant>
      <vt:variant>
        <vt:i4>0</vt:i4>
      </vt:variant>
      <vt:variant>
        <vt:i4>5</vt:i4>
      </vt:variant>
      <vt:variant>
        <vt:lpwstr/>
      </vt:variant>
      <vt:variant>
        <vt:lpwstr>_Toc158211479</vt:lpwstr>
      </vt:variant>
      <vt:variant>
        <vt:i4>1441852</vt:i4>
      </vt:variant>
      <vt:variant>
        <vt:i4>485</vt:i4>
      </vt:variant>
      <vt:variant>
        <vt:i4>0</vt:i4>
      </vt:variant>
      <vt:variant>
        <vt:i4>5</vt:i4>
      </vt:variant>
      <vt:variant>
        <vt:lpwstr/>
      </vt:variant>
      <vt:variant>
        <vt:lpwstr>_Toc158211478</vt:lpwstr>
      </vt:variant>
      <vt:variant>
        <vt:i4>1441852</vt:i4>
      </vt:variant>
      <vt:variant>
        <vt:i4>479</vt:i4>
      </vt:variant>
      <vt:variant>
        <vt:i4>0</vt:i4>
      </vt:variant>
      <vt:variant>
        <vt:i4>5</vt:i4>
      </vt:variant>
      <vt:variant>
        <vt:lpwstr/>
      </vt:variant>
      <vt:variant>
        <vt:lpwstr>_Toc158211477</vt:lpwstr>
      </vt:variant>
      <vt:variant>
        <vt:i4>1441852</vt:i4>
      </vt:variant>
      <vt:variant>
        <vt:i4>473</vt:i4>
      </vt:variant>
      <vt:variant>
        <vt:i4>0</vt:i4>
      </vt:variant>
      <vt:variant>
        <vt:i4>5</vt:i4>
      </vt:variant>
      <vt:variant>
        <vt:lpwstr/>
      </vt:variant>
      <vt:variant>
        <vt:lpwstr>_Toc158211476</vt:lpwstr>
      </vt:variant>
      <vt:variant>
        <vt:i4>1441852</vt:i4>
      </vt:variant>
      <vt:variant>
        <vt:i4>467</vt:i4>
      </vt:variant>
      <vt:variant>
        <vt:i4>0</vt:i4>
      </vt:variant>
      <vt:variant>
        <vt:i4>5</vt:i4>
      </vt:variant>
      <vt:variant>
        <vt:lpwstr/>
      </vt:variant>
      <vt:variant>
        <vt:lpwstr>_Toc158211475</vt:lpwstr>
      </vt:variant>
      <vt:variant>
        <vt:i4>1441852</vt:i4>
      </vt:variant>
      <vt:variant>
        <vt:i4>461</vt:i4>
      </vt:variant>
      <vt:variant>
        <vt:i4>0</vt:i4>
      </vt:variant>
      <vt:variant>
        <vt:i4>5</vt:i4>
      </vt:variant>
      <vt:variant>
        <vt:lpwstr/>
      </vt:variant>
      <vt:variant>
        <vt:lpwstr>_Toc158211474</vt:lpwstr>
      </vt:variant>
      <vt:variant>
        <vt:i4>1441852</vt:i4>
      </vt:variant>
      <vt:variant>
        <vt:i4>455</vt:i4>
      </vt:variant>
      <vt:variant>
        <vt:i4>0</vt:i4>
      </vt:variant>
      <vt:variant>
        <vt:i4>5</vt:i4>
      </vt:variant>
      <vt:variant>
        <vt:lpwstr/>
      </vt:variant>
      <vt:variant>
        <vt:lpwstr>_Toc158211473</vt:lpwstr>
      </vt:variant>
      <vt:variant>
        <vt:i4>1441852</vt:i4>
      </vt:variant>
      <vt:variant>
        <vt:i4>449</vt:i4>
      </vt:variant>
      <vt:variant>
        <vt:i4>0</vt:i4>
      </vt:variant>
      <vt:variant>
        <vt:i4>5</vt:i4>
      </vt:variant>
      <vt:variant>
        <vt:lpwstr/>
      </vt:variant>
      <vt:variant>
        <vt:lpwstr>_Toc158211472</vt:lpwstr>
      </vt:variant>
      <vt:variant>
        <vt:i4>1441852</vt:i4>
      </vt:variant>
      <vt:variant>
        <vt:i4>443</vt:i4>
      </vt:variant>
      <vt:variant>
        <vt:i4>0</vt:i4>
      </vt:variant>
      <vt:variant>
        <vt:i4>5</vt:i4>
      </vt:variant>
      <vt:variant>
        <vt:lpwstr/>
      </vt:variant>
      <vt:variant>
        <vt:lpwstr>_Toc158211471</vt:lpwstr>
      </vt:variant>
      <vt:variant>
        <vt:i4>1441852</vt:i4>
      </vt:variant>
      <vt:variant>
        <vt:i4>437</vt:i4>
      </vt:variant>
      <vt:variant>
        <vt:i4>0</vt:i4>
      </vt:variant>
      <vt:variant>
        <vt:i4>5</vt:i4>
      </vt:variant>
      <vt:variant>
        <vt:lpwstr/>
      </vt:variant>
      <vt:variant>
        <vt:lpwstr>_Toc158211470</vt:lpwstr>
      </vt:variant>
      <vt:variant>
        <vt:i4>1507388</vt:i4>
      </vt:variant>
      <vt:variant>
        <vt:i4>431</vt:i4>
      </vt:variant>
      <vt:variant>
        <vt:i4>0</vt:i4>
      </vt:variant>
      <vt:variant>
        <vt:i4>5</vt:i4>
      </vt:variant>
      <vt:variant>
        <vt:lpwstr/>
      </vt:variant>
      <vt:variant>
        <vt:lpwstr>_Toc158211469</vt:lpwstr>
      </vt:variant>
      <vt:variant>
        <vt:i4>1507388</vt:i4>
      </vt:variant>
      <vt:variant>
        <vt:i4>425</vt:i4>
      </vt:variant>
      <vt:variant>
        <vt:i4>0</vt:i4>
      </vt:variant>
      <vt:variant>
        <vt:i4>5</vt:i4>
      </vt:variant>
      <vt:variant>
        <vt:lpwstr/>
      </vt:variant>
      <vt:variant>
        <vt:lpwstr>_Toc158211468</vt:lpwstr>
      </vt:variant>
      <vt:variant>
        <vt:i4>1507388</vt:i4>
      </vt:variant>
      <vt:variant>
        <vt:i4>419</vt:i4>
      </vt:variant>
      <vt:variant>
        <vt:i4>0</vt:i4>
      </vt:variant>
      <vt:variant>
        <vt:i4>5</vt:i4>
      </vt:variant>
      <vt:variant>
        <vt:lpwstr/>
      </vt:variant>
      <vt:variant>
        <vt:lpwstr>_Toc158211467</vt:lpwstr>
      </vt:variant>
      <vt:variant>
        <vt:i4>1507388</vt:i4>
      </vt:variant>
      <vt:variant>
        <vt:i4>413</vt:i4>
      </vt:variant>
      <vt:variant>
        <vt:i4>0</vt:i4>
      </vt:variant>
      <vt:variant>
        <vt:i4>5</vt:i4>
      </vt:variant>
      <vt:variant>
        <vt:lpwstr/>
      </vt:variant>
      <vt:variant>
        <vt:lpwstr>_Toc158211466</vt:lpwstr>
      </vt:variant>
      <vt:variant>
        <vt:i4>1507388</vt:i4>
      </vt:variant>
      <vt:variant>
        <vt:i4>407</vt:i4>
      </vt:variant>
      <vt:variant>
        <vt:i4>0</vt:i4>
      </vt:variant>
      <vt:variant>
        <vt:i4>5</vt:i4>
      </vt:variant>
      <vt:variant>
        <vt:lpwstr/>
      </vt:variant>
      <vt:variant>
        <vt:lpwstr>_Toc158211465</vt:lpwstr>
      </vt:variant>
      <vt:variant>
        <vt:i4>1507388</vt:i4>
      </vt:variant>
      <vt:variant>
        <vt:i4>401</vt:i4>
      </vt:variant>
      <vt:variant>
        <vt:i4>0</vt:i4>
      </vt:variant>
      <vt:variant>
        <vt:i4>5</vt:i4>
      </vt:variant>
      <vt:variant>
        <vt:lpwstr/>
      </vt:variant>
      <vt:variant>
        <vt:lpwstr>_Toc158211464</vt:lpwstr>
      </vt:variant>
      <vt:variant>
        <vt:i4>1507388</vt:i4>
      </vt:variant>
      <vt:variant>
        <vt:i4>395</vt:i4>
      </vt:variant>
      <vt:variant>
        <vt:i4>0</vt:i4>
      </vt:variant>
      <vt:variant>
        <vt:i4>5</vt:i4>
      </vt:variant>
      <vt:variant>
        <vt:lpwstr/>
      </vt:variant>
      <vt:variant>
        <vt:lpwstr>_Toc158211463</vt:lpwstr>
      </vt:variant>
      <vt:variant>
        <vt:i4>1507388</vt:i4>
      </vt:variant>
      <vt:variant>
        <vt:i4>389</vt:i4>
      </vt:variant>
      <vt:variant>
        <vt:i4>0</vt:i4>
      </vt:variant>
      <vt:variant>
        <vt:i4>5</vt:i4>
      </vt:variant>
      <vt:variant>
        <vt:lpwstr/>
      </vt:variant>
      <vt:variant>
        <vt:lpwstr>_Toc158211462</vt:lpwstr>
      </vt:variant>
      <vt:variant>
        <vt:i4>1507388</vt:i4>
      </vt:variant>
      <vt:variant>
        <vt:i4>383</vt:i4>
      </vt:variant>
      <vt:variant>
        <vt:i4>0</vt:i4>
      </vt:variant>
      <vt:variant>
        <vt:i4>5</vt:i4>
      </vt:variant>
      <vt:variant>
        <vt:lpwstr/>
      </vt:variant>
      <vt:variant>
        <vt:lpwstr>_Toc158211461</vt:lpwstr>
      </vt:variant>
      <vt:variant>
        <vt:i4>1507388</vt:i4>
      </vt:variant>
      <vt:variant>
        <vt:i4>377</vt:i4>
      </vt:variant>
      <vt:variant>
        <vt:i4>0</vt:i4>
      </vt:variant>
      <vt:variant>
        <vt:i4>5</vt:i4>
      </vt:variant>
      <vt:variant>
        <vt:lpwstr/>
      </vt:variant>
      <vt:variant>
        <vt:lpwstr>_Toc158211460</vt:lpwstr>
      </vt:variant>
      <vt:variant>
        <vt:i4>1310780</vt:i4>
      </vt:variant>
      <vt:variant>
        <vt:i4>371</vt:i4>
      </vt:variant>
      <vt:variant>
        <vt:i4>0</vt:i4>
      </vt:variant>
      <vt:variant>
        <vt:i4>5</vt:i4>
      </vt:variant>
      <vt:variant>
        <vt:lpwstr/>
      </vt:variant>
      <vt:variant>
        <vt:lpwstr>_Toc158211459</vt:lpwstr>
      </vt:variant>
      <vt:variant>
        <vt:i4>1310780</vt:i4>
      </vt:variant>
      <vt:variant>
        <vt:i4>365</vt:i4>
      </vt:variant>
      <vt:variant>
        <vt:i4>0</vt:i4>
      </vt:variant>
      <vt:variant>
        <vt:i4>5</vt:i4>
      </vt:variant>
      <vt:variant>
        <vt:lpwstr/>
      </vt:variant>
      <vt:variant>
        <vt:lpwstr>_Toc158211458</vt:lpwstr>
      </vt:variant>
      <vt:variant>
        <vt:i4>1310780</vt:i4>
      </vt:variant>
      <vt:variant>
        <vt:i4>359</vt:i4>
      </vt:variant>
      <vt:variant>
        <vt:i4>0</vt:i4>
      </vt:variant>
      <vt:variant>
        <vt:i4>5</vt:i4>
      </vt:variant>
      <vt:variant>
        <vt:lpwstr/>
      </vt:variant>
      <vt:variant>
        <vt:lpwstr>_Toc158211457</vt:lpwstr>
      </vt:variant>
      <vt:variant>
        <vt:i4>1310780</vt:i4>
      </vt:variant>
      <vt:variant>
        <vt:i4>353</vt:i4>
      </vt:variant>
      <vt:variant>
        <vt:i4>0</vt:i4>
      </vt:variant>
      <vt:variant>
        <vt:i4>5</vt:i4>
      </vt:variant>
      <vt:variant>
        <vt:lpwstr/>
      </vt:variant>
      <vt:variant>
        <vt:lpwstr>_Toc158211456</vt:lpwstr>
      </vt:variant>
      <vt:variant>
        <vt:i4>1310780</vt:i4>
      </vt:variant>
      <vt:variant>
        <vt:i4>347</vt:i4>
      </vt:variant>
      <vt:variant>
        <vt:i4>0</vt:i4>
      </vt:variant>
      <vt:variant>
        <vt:i4>5</vt:i4>
      </vt:variant>
      <vt:variant>
        <vt:lpwstr/>
      </vt:variant>
      <vt:variant>
        <vt:lpwstr>_Toc158211455</vt:lpwstr>
      </vt:variant>
      <vt:variant>
        <vt:i4>1310780</vt:i4>
      </vt:variant>
      <vt:variant>
        <vt:i4>341</vt:i4>
      </vt:variant>
      <vt:variant>
        <vt:i4>0</vt:i4>
      </vt:variant>
      <vt:variant>
        <vt:i4>5</vt:i4>
      </vt:variant>
      <vt:variant>
        <vt:lpwstr/>
      </vt:variant>
      <vt:variant>
        <vt:lpwstr>_Toc158211454</vt:lpwstr>
      </vt:variant>
      <vt:variant>
        <vt:i4>1310780</vt:i4>
      </vt:variant>
      <vt:variant>
        <vt:i4>335</vt:i4>
      </vt:variant>
      <vt:variant>
        <vt:i4>0</vt:i4>
      </vt:variant>
      <vt:variant>
        <vt:i4>5</vt:i4>
      </vt:variant>
      <vt:variant>
        <vt:lpwstr/>
      </vt:variant>
      <vt:variant>
        <vt:lpwstr>_Toc158211453</vt:lpwstr>
      </vt:variant>
      <vt:variant>
        <vt:i4>1310780</vt:i4>
      </vt:variant>
      <vt:variant>
        <vt:i4>329</vt:i4>
      </vt:variant>
      <vt:variant>
        <vt:i4>0</vt:i4>
      </vt:variant>
      <vt:variant>
        <vt:i4>5</vt:i4>
      </vt:variant>
      <vt:variant>
        <vt:lpwstr/>
      </vt:variant>
      <vt:variant>
        <vt:lpwstr>_Toc158211452</vt:lpwstr>
      </vt:variant>
      <vt:variant>
        <vt:i4>1310780</vt:i4>
      </vt:variant>
      <vt:variant>
        <vt:i4>323</vt:i4>
      </vt:variant>
      <vt:variant>
        <vt:i4>0</vt:i4>
      </vt:variant>
      <vt:variant>
        <vt:i4>5</vt:i4>
      </vt:variant>
      <vt:variant>
        <vt:lpwstr/>
      </vt:variant>
      <vt:variant>
        <vt:lpwstr>_Toc158211451</vt:lpwstr>
      </vt:variant>
      <vt:variant>
        <vt:i4>1310780</vt:i4>
      </vt:variant>
      <vt:variant>
        <vt:i4>317</vt:i4>
      </vt:variant>
      <vt:variant>
        <vt:i4>0</vt:i4>
      </vt:variant>
      <vt:variant>
        <vt:i4>5</vt:i4>
      </vt:variant>
      <vt:variant>
        <vt:lpwstr/>
      </vt:variant>
      <vt:variant>
        <vt:lpwstr>_Toc158211450</vt:lpwstr>
      </vt:variant>
      <vt:variant>
        <vt:i4>1376316</vt:i4>
      </vt:variant>
      <vt:variant>
        <vt:i4>311</vt:i4>
      </vt:variant>
      <vt:variant>
        <vt:i4>0</vt:i4>
      </vt:variant>
      <vt:variant>
        <vt:i4>5</vt:i4>
      </vt:variant>
      <vt:variant>
        <vt:lpwstr/>
      </vt:variant>
      <vt:variant>
        <vt:lpwstr>_Toc158211449</vt:lpwstr>
      </vt:variant>
      <vt:variant>
        <vt:i4>1376316</vt:i4>
      </vt:variant>
      <vt:variant>
        <vt:i4>305</vt:i4>
      </vt:variant>
      <vt:variant>
        <vt:i4>0</vt:i4>
      </vt:variant>
      <vt:variant>
        <vt:i4>5</vt:i4>
      </vt:variant>
      <vt:variant>
        <vt:lpwstr/>
      </vt:variant>
      <vt:variant>
        <vt:lpwstr>_Toc158211448</vt:lpwstr>
      </vt:variant>
      <vt:variant>
        <vt:i4>1376316</vt:i4>
      </vt:variant>
      <vt:variant>
        <vt:i4>299</vt:i4>
      </vt:variant>
      <vt:variant>
        <vt:i4>0</vt:i4>
      </vt:variant>
      <vt:variant>
        <vt:i4>5</vt:i4>
      </vt:variant>
      <vt:variant>
        <vt:lpwstr/>
      </vt:variant>
      <vt:variant>
        <vt:lpwstr>_Toc158211447</vt:lpwstr>
      </vt:variant>
      <vt:variant>
        <vt:i4>1376316</vt:i4>
      </vt:variant>
      <vt:variant>
        <vt:i4>293</vt:i4>
      </vt:variant>
      <vt:variant>
        <vt:i4>0</vt:i4>
      </vt:variant>
      <vt:variant>
        <vt:i4>5</vt:i4>
      </vt:variant>
      <vt:variant>
        <vt:lpwstr/>
      </vt:variant>
      <vt:variant>
        <vt:lpwstr>_Toc158211446</vt:lpwstr>
      </vt:variant>
      <vt:variant>
        <vt:i4>1376316</vt:i4>
      </vt:variant>
      <vt:variant>
        <vt:i4>287</vt:i4>
      </vt:variant>
      <vt:variant>
        <vt:i4>0</vt:i4>
      </vt:variant>
      <vt:variant>
        <vt:i4>5</vt:i4>
      </vt:variant>
      <vt:variant>
        <vt:lpwstr/>
      </vt:variant>
      <vt:variant>
        <vt:lpwstr>_Toc158211445</vt:lpwstr>
      </vt:variant>
      <vt:variant>
        <vt:i4>1376316</vt:i4>
      </vt:variant>
      <vt:variant>
        <vt:i4>281</vt:i4>
      </vt:variant>
      <vt:variant>
        <vt:i4>0</vt:i4>
      </vt:variant>
      <vt:variant>
        <vt:i4>5</vt:i4>
      </vt:variant>
      <vt:variant>
        <vt:lpwstr/>
      </vt:variant>
      <vt:variant>
        <vt:lpwstr>_Toc158211444</vt:lpwstr>
      </vt:variant>
      <vt:variant>
        <vt:i4>1376316</vt:i4>
      </vt:variant>
      <vt:variant>
        <vt:i4>275</vt:i4>
      </vt:variant>
      <vt:variant>
        <vt:i4>0</vt:i4>
      </vt:variant>
      <vt:variant>
        <vt:i4>5</vt:i4>
      </vt:variant>
      <vt:variant>
        <vt:lpwstr/>
      </vt:variant>
      <vt:variant>
        <vt:lpwstr>_Toc158211443</vt:lpwstr>
      </vt:variant>
      <vt:variant>
        <vt:i4>1376316</vt:i4>
      </vt:variant>
      <vt:variant>
        <vt:i4>269</vt:i4>
      </vt:variant>
      <vt:variant>
        <vt:i4>0</vt:i4>
      </vt:variant>
      <vt:variant>
        <vt:i4>5</vt:i4>
      </vt:variant>
      <vt:variant>
        <vt:lpwstr/>
      </vt:variant>
      <vt:variant>
        <vt:lpwstr>_Toc158211442</vt:lpwstr>
      </vt:variant>
      <vt:variant>
        <vt:i4>1376316</vt:i4>
      </vt:variant>
      <vt:variant>
        <vt:i4>263</vt:i4>
      </vt:variant>
      <vt:variant>
        <vt:i4>0</vt:i4>
      </vt:variant>
      <vt:variant>
        <vt:i4>5</vt:i4>
      </vt:variant>
      <vt:variant>
        <vt:lpwstr/>
      </vt:variant>
      <vt:variant>
        <vt:lpwstr>_Toc158211441</vt:lpwstr>
      </vt:variant>
      <vt:variant>
        <vt:i4>1376316</vt:i4>
      </vt:variant>
      <vt:variant>
        <vt:i4>257</vt:i4>
      </vt:variant>
      <vt:variant>
        <vt:i4>0</vt:i4>
      </vt:variant>
      <vt:variant>
        <vt:i4>5</vt:i4>
      </vt:variant>
      <vt:variant>
        <vt:lpwstr/>
      </vt:variant>
      <vt:variant>
        <vt:lpwstr>_Toc158211440</vt:lpwstr>
      </vt:variant>
      <vt:variant>
        <vt:i4>1179708</vt:i4>
      </vt:variant>
      <vt:variant>
        <vt:i4>251</vt:i4>
      </vt:variant>
      <vt:variant>
        <vt:i4>0</vt:i4>
      </vt:variant>
      <vt:variant>
        <vt:i4>5</vt:i4>
      </vt:variant>
      <vt:variant>
        <vt:lpwstr/>
      </vt:variant>
      <vt:variant>
        <vt:lpwstr>_Toc158211439</vt:lpwstr>
      </vt:variant>
      <vt:variant>
        <vt:i4>1179708</vt:i4>
      </vt:variant>
      <vt:variant>
        <vt:i4>245</vt:i4>
      </vt:variant>
      <vt:variant>
        <vt:i4>0</vt:i4>
      </vt:variant>
      <vt:variant>
        <vt:i4>5</vt:i4>
      </vt:variant>
      <vt:variant>
        <vt:lpwstr/>
      </vt:variant>
      <vt:variant>
        <vt:lpwstr>_Toc158211438</vt:lpwstr>
      </vt:variant>
      <vt:variant>
        <vt:i4>1179708</vt:i4>
      </vt:variant>
      <vt:variant>
        <vt:i4>239</vt:i4>
      </vt:variant>
      <vt:variant>
        <vt:i4>0</vt:i4>
      </vt:variant>
      <vt:variant>
        <vt:i4>5</vt:i4>
      </vt:variant>
      <vt:variant>
        <vt:lpwstr/>
      </vt:variant>
      <vt:variant>
        <vt:lpwstr>_Toc158211437</vt:lpwstr>
      </vt:variant>
      <vt:variant>
        <vt:i4>1179708</vt:i4>
      </vt:variant>
      <vt:variant>
        <vt:i4>233</vt:i4>
      </vt:variant>
      <vt:variant>
        <vt:i4>0</vt:i4>
      </vt:variant>
      <vt:variant>
        <vt:i4>5</vt:i4>
      </vt:variant>
      <vt:variant>
        <vt:lpwstr/>
      </vt:variant>
      <vt:variant>
        <vt:lpwstr>_Toc158211436</vt:lpwstr>
      </vt:variant>
      <vt:variant>
        <vt:i4>1179708</vt:i4>
      </vt:variant>
      <vt:variant>
        <vt:i4>227</vt:i4>
      </vt:variant>
      <vt:variant>
        <vt:i4>0</vt:i4>
      </vt:variant>
      <vt:variant>
        <vt:i4>5</vt:i4>
      </vt:variant>
      <vt:variant>
        <vt:lpwstr/>
      </vt:variant>
      <vt:variant>
        <vt:lpwstr>_Toc158211435</vt:lpwstr>
      </vt:variant>
      <vt:variant>
        <vt:i4>1179708</vt:i4>
      </vt:variant>
      <vt:variant>
        <vt:i4>221</vt:i4>
      </vt:variant>
      <vt:variant>
        <vt:i4>0</vt:i4>
      </vt:variant>
      <vt:variant>
        <vt:i4>5</vt:i4>
      </vt:variant>
      <vt:variant>
        <vt:lpwstr/>
      </vt:variant>
      <vt:variant>
        <vt:lpwstr>_Toc158211434</vt:lpwstr>
      </vt:variant>
      <vt:variant>
        <vt:i4>1179708</vt:i4>
      </vt:variant>
      <vt:variant>
        <vt:i4>215</vt:i4>
      </vt:variant>
      <vt:variant>
        <vt:i4>0</vt:i4>
      </vt:variant>
      <vt:variant>
        <vt:i4>5</vt:i4>
      </vt:variant>
      <vt:variant>
        <vt:lpwstr/>
      </vt:variant>
      <vt:variant>
        <vt:lpwstr>_Toc158211433</vt:lpwstr>
      </vt:variant>
      <vt:variant>
        <vt:i4>1179708</vt:i4>
      </vt:variant>
      <vt:variant>
        <vt:i4>209</vt:i4>
      </vt:variant>
      <vt:variant>
        <vt:i4>0</vt:i4>
      </vt:variant>
      <vt:variant>
        <vt:i4>5</vt:i4>
      </vt:variant>
      <vt:variant>
        <vt:lpwstr/>
      </vt:variant>
      <vt:variant>
        <vt:lpwstr>_Toc158211432</vt:lpwstr>
      </vt:variant>
      <vt:variant>
        <vt:i4>1179708</vt:i4>
      </vt:variant>
      <vt:variant>
        <vt:i4>203</vt:i4>
      </vt:variant>
      <vt:variant>
        <vt:i4>0</vt:i4>
      </vt:variant>
      <vt:variant>
        <vt:i4>5</vt:i4>
      </vt:variant>
      <vt:variant>
        <vt:lpwstr/>
      </vt:variant>
      <vt:variant>
        <vt:lpwstr>_Toc158211431</vt:lpwstr>
      </vt:variant>
      <vt:variant>
        <vt:i4>1179708</vt:i4>
      </vt:variant>
      <vt:variant>
        <vt:i4>197</vt:i4>
      </vt:variant>
      <vt:variant>
        <vt:i4>0</vt:i4>
      </vt:variant>
      <vt:variant>
        <vt:i4>5</vt:i4>
      </vt:variant>
      <vt:variant>
        <vt:lpwstr/>
      </vt:variant>
      <vt:variant>
        <vt:lpwstr>_Toc158211430</vt:lpwstr>
      </vt:variant>
      <vt:variant>
        <vt:i4>1245244</vt:i4>
      </vt:variant>
      <vt:variant>
        <vt:i4>191</vt:i4>
      </vt:variant>
      <vt:variant>
        <vt:i4>0</vt:i4>
      </vt:variant>
      <vt:variant>
        <vt:i4>5</vt:i4>
      </vt:variant>
      <vt:variant>
        <vt:lpwstr/>
      </vt:variant>
      <vt:variant>
        <vt:lpwstr>_Toc158211429</vt:lpwstr>
      </vt:variant>
      <vt:variant>
        <vt:i4>1245244</vt:i4>
      </vt:variant>
      <vt:variant>
        <vt:i4>185</vt:i4>
      </vt:variant>
      <vt:variant>
        <vt:i4>0</vt:i4>
      </vt:variant>
      <vt:variant>
        <vt:i4>5</vt:i4>
      </vt:variant>
      <vt:variant>
        <vt:lpwstr/>
      </vt:variant>
      <vt:variant>
        <vt:lpwstr>_Toc158211428</vt:lpwstr>
      </vt:variant>
      <vt:variant>
        <vt:i4>1245244</vt:i4>
      </vt:variant>
      <vt:variant>
        <vt:i4>179</vt:i4>
      </vt:variant>
      <vt:variant>
        <vt:i4>0</vt:i4>
      </vt:variant>
      <vt:variant>
        <vt:i4>5</vt:i4>
      </vt:variant>
      <vt:variant>
        <vt:lpwstr/>
      </vt:variant>
      <vt:variant>
        <vt:lpwstr>_Toc158211427</vt:lpwstr>
      </vt:variant>
      <vt:variant>
        <vt:i4>1245244</vt:i4>
      </vt:variant>
      <vt:variant>
        <vt:i4>173</vt:i4>
      </vt:variant>
      <vt:variant>
        <vt:i4>0</vt:i4>
      </vt:variant>
      <vt:variant>
        <vt:i4>5</vt:i4>
      </vt:variant>
      <vt:variant>
        <vt:lpwstr/>
      </vt:variant>
      <vt:variant>
        <vt:lpwstr>_Toc158211426</vt:lpwstr>
      </vt:variant>
      <vt:variant>
        <vt:i4>1245244</vt:i4>
      </vt:variant>
      <vt:variant>
        <vt:i4>167</vt:i4>
      </vt:variant>
      <vt:variant>
        <vt:i4>0</vt:i4>
      </vt:variant>
      <vt:variant>
        <vt:i4>5</vt:i4>
      </vt:variant>
      <vt:variant>
        <vt:lpwstr/>
      </vt:variant>
      <vt:variant>
        <vt:lpwstr>_Toc158211425</vt:lpwstr>
      </vt:variant>
      <vt:variant>
        <vt:i4>1245244</vt:i4>
      </vt:variant>
      <vt:variant>
        <vt:i4>161</vt:i4>
      </vt:variant>
      <vt:variant>
        <vt:i4>0</vt:i4>
      </vt:variant>
      <vt:variant>
        <vt:i4>5</vt:i4>
      </vt:variant>
      <vt:variant>
        <vt:lpwstr/>
      </vt:variant>
      <vt:variant>
        <vt:lpwstr>_Toc158211424</vt:lpwstr>
      </vt:variant>
      <vt:variant>
        <vt:i4>1245244</vt:i4>
      </vt:variant>
      <vt:variant>
        <vt:i4>155</vt:i4>
      </vt:variant>
      <vt:variant>
        <vt:i4>0</vt:i4>
      </vt:variant>
      <vt:variant>
        <vt:i4>5</vt:i4>
      </vt:variant>
      <vt:variant>
        <vt:lpwstr/>
      </vt:variant>
      <vt:variant>
        <vt:lpwstr>_Toc158211423</vt:lpwstr>
      </vt:variant>
      <vt:variant>
        <vt:i4>1245244</vt:i4>
      </vt:variant>
      <vt:variant>
        <vt:i4>149</vt:i4>
      </vt:variant>
      <vt:variant>
        <vt:i4>0</vt:i4>
      </vt:variant>
      <vt:variant>
        <vt:i4>5</vt:i4>
      </vt:variant>
      <vt:variant>
        <vt:lpwstr/>
      </vt:variant>
      <vt:variant>
        <vt:lpwstr>_Toc158211422</vt:lpwstr>
      </vt:variant>
      <vt:variant>
        <vt:i4>1245244</vt:i4>
      </vt:variant>
      <vt:variant>
        <vt:i4>143</vt:i4>
      </vt:variant>
      <vt:variant>
        <vt:i4>0</vt:i4>
      </vt:variant>
      <vt:variant>
        <vt:i4>5</vt:i4>
      </vt:variant>
      <vt:variant>
        <vt:lpwstr/>
      </vt:variant>
      <vt:variant>
        <vt:lpwstr>_Toc158211421</vt:lpwstr>
      </vt:variant>
      <vt:variant>
        <vt:i4>1245244</vt:i4>
      </vt:variant>
      <vt:variant>
        <vt:i4>137</vt:i4>
      </vt:variant>
      <vt:variant>
        <vt:i4>0</vt:i4>
      </vt:variant>
      <vt:variant>
        <vt:i4>5</vt:i4>
      </vt:variant>
      <vt:variant>
        <vt:lpwstr/>
      </vt:variant>
      <vt:variant>
        <vt:lpwstr>_Toc158211420</vt:lpwstr>
      </vt:variant>
      <vt:variant>
        <vt:i4>1048636</vt:i4>
      </vt:variant>
      <vt:variant>
        <vt:i4>131</vt:i4>
      </vt:variant>
      <vt:variant>
        <vt:i4>0</vt:i4>
      </vt:variant>
      <vt:variant>
        <vt:i4>5</vt:i4>
      </vt:variant>
      <vt:variant>
        <vt:lpwstr/>
      </vt:variant>
      <vt:variant>
        <vt:lpwstr>_Toc158211419</vt:lpwstr>
      </vt:variant>
      <vt:variant>
        <vt:i4>1048636</vt:i4>
      </vt:variant>
      <vt:variant>
        <vt:i4>125</vt:i4>
      </vt:variant>
      <vt:variant>
        <vt:i4>0</vt:i4>
      </vt:variant>
      <vt:variant>
        <vt:i4>5</vt:i4>
      </vt:variant>
      <vt:variant>
        <vt:lpwstr/>
      </vt:variant>
      <vt:variant>
        <vt:lpwstr>_Toc158211418</vt:lpwstr>
      </vt:variant>
      <vt:variant>
        <vt:i4>1048636</vt:i4>
      </vt:variant>
      <vt:variant>
        <vt:i4>119</vt:i4>
      </vt:variant>
      <vt:variant>
        <vt:i4>0</vt:i4>
      </vt:variant>
      <vt:variant>
        <vt:i4>5</vt:i4>
      </vt:variant>
      <vt:variant>
        <vt:lpwstr/>
      </vt:variant>
      <vt:variant>
        <vt:lpwstr>_Toc158211417</vt:lpwstr>
      </vt:variant>
      <vt:variant>
        <vt:i4>1048636</vt:i4>
      </vt:variant>
      <vt:variant>
        <vt:i4>113</vt:i4>
      </vt:variant>
      <vt:variant>
        <vt:i4>0</vt:i4>
      </vt:variant>
      <vt:variant>
        <vt:i4>5</vt:i4>
      </vt:variant>
      <vt:variant>
        <vt:lpwstr/>
      </vt:variant>
      <vt:variant>
        <vt:lpwstr>_Toc158211416</vt:lpwstr>
      </vt:variant>
      <vt:variant>
        <vt:i4>1048636</vt:i4>
      </vt:variant>
      <vt:variant>
        <vt:i4>107</vt:i4>
      </vt:variant>
      <vt:variant>
        <vt:i4>0</vt:i4>
      </vt:variant>
      <vt:variant>
        <vt:i4>5</vt:i4>
      </vt:variant>
      <vt:variant>
        <vt:lpwstr/>
      </vt:variant>
      <vt:variant>
        <vt:lpwstr>_Toc158211415</vt:lpwstr>
      </vt:variant>
      <vt:variant>
        <vt:i4>1048636</vt:i4>
      </vt:variant>
      <vt:variant>
        <vt:i4>101</vt:i4>
      </vt:variant>
      <vt:variant>
        <vt:i4>0</vt:i4>
      </vt:variant>
      <vt:variant>
        <vt:i4>5</vt:i4>
      </vt:variant>
      <vt:variant>
        <vt:lpwstr/>
      </vt:variant>
      <vt:variant>
        <vt:lpwstr>_Toc158211414</vt:lpwstr>
      </vt:variant>
      <vt:variant>
        <vt:i4>1048636</vt:i4>
      </vt:variant>
      <vt:variant>
        <vt:i4>95</vt:i4>
      </vt:variant>
      <vt:variant>
        <vt:i4>0</vt:i4>
      </vt:variant>
      <vt:variant>
        <vt:i4>5</vt:i4>
      </vt:variant>
      <vt:variant>
        <vt:lpwstr/>
      </vt:variant>
      <vt:variant>
        <vt:lpwstr>_Toc158211413</vt:lpwstr>
      </vt:variant>
      <vt:variant>
        <vt:i4>1048636</vt:i4>
      </vt:variant>
      <vt:variant>
        <vt:i4>89</vt:i4>
      </vt:variant>
      <vt:variant>
        <vt:i4>0</vt:i4>
      </vt:variant>
      <vt:variant>
        <vt:i4>5</vt:i4>
      </vt:variant>
      <vt:variant>
        <vt:lpwstr/>
      </vt:variant>
      <vt:variant>
        <vt:lpwstr>_Toc158211412</vt:lpwstr>
      </vt:variant>
      <vt:variant>
        <vt:i4>1048636</vt:i4>
      </vt:variant>
      <vt:variant>
        <vt:i4>83</vt:i4>
      </vt:variant>
      <vt:variant>
        <vt:i4>0</vt:i4>
      </vt:variant>
      <vt:variant>
        <vt:i4>5</vt:i4>
      </vt:variant>
      <vt:variant>
        <vt:lpwstr/>
      </vt:variant>
      <vt:variant>
        <vt:lpwstr>_Toc158211411</vt:lpwstr>
      </vt:variant>
      <vt:variant>
        <vt:i4>1048636</vt:i4>
      </vt:variant>
      <vt:variant>
        <vt:i4>77</vt:i4>
      </vt:variant>
      <vt:variant>
        <vt:i4>0</vt:i4>
      </vt:variant>
      <vt:variant>
        <vt:i4>5</vt:i4>
      </vt:variant>
      <vt:variant>
        <vt:lpwstr/>
      </vt:variant>
      <vt:variant>
        <vt:lpwstr>_Toc158211410</vt:lpwstr>
      </vt:variant>
      <vt:variant>
        <vt:i4>1114172</vt:i4>
      </vt:variant>
      <vt:variant>
        <vt:i4>71</vt:i4>
      </vt:variant>
      <vt:variant>
        <vt:i4>0</vt:i4>
      </vt:variant>
      <vt:variant>
        <vt:i4>5</vt:i4>
      </vt:variant>
      <vt:variant>
        <vt:lpwstr/>
      </vt:variant>
      <vt:variant>
        <vt:lpwstr>_Toc158211409</vt:lpwstr>
      </vt:variant>
      <vt:variant>
        <vt:i4>1114172</vt:i4>
      </vt:variant>
      <vt:variant>
        <vt:i4>65</vt:i4>
      </vt:variant>
      <vt:variant>
        <vt:i4>0</vt:i4>
      </vt:variant>
      <vt:variant>
        <vt:i4>5</vt:i4>
      </vt:variant>
      <vt:variant>
        <vt:lpwstr/>
      </vt:variant>
      <vt:variant>
        <vt:lpwstr>_Toc158211408</vt:lpwstr>
      </vt:variant>
      <vt:variant>
        <vt:i4>1114172</vt:i4>
      </vt:variant>
      <vt:variant>
        <vt:i4>59</vt:i4>
      </vt:variant>
      <vt:variant>
        <vt:i4>0</vt:i4>
      </vt:variant>
      <vt:variant>
        <vt:i4>5</vt:i4>
      </vt:variant>
      <vt:variant>
        <vt:lpwstr/>
      </vt:variant>
      <vt:variant>
        <vt:lpwstr>_Toc158211407</vt:lpwstr>
      </vt:variant>
      <vt:variant>
        <vt:i4>1114172</vt:i4>
      </vt:variant>
      <vt:variant>
        <vt:i4>53</vt:i4>
      </vt:variant>
      <vt:variant>
        <vt:i4>0</vt:i4>
      </vt:variant>
      <vt:variant>
        <vt:i4>5</vt:i4>
      </vt:variant>
      <vt:variant>
        <vt:lpwstr/>
      </vt:variant>
      <vt:variant>
        <vt:lpwstr>_Toc158211406</vt:lpwstr>
      </vt:variant>
      <vt:variant>
        <vt:i4>1114172</vt:i4>
      </vt:variant>
      <vt:variant>
        <vt:i4>47</vt:i4>
      </vt:variant>
      <vt:variant>
        <vt:i4>0</vt:i4>
      </vt:variant>
      <vt:variant>
        <vt:i4>5</vt:i4>
      </vt:variant>
      <vt:variant>
        <vt:lpwstr/>
      </vt:variant>
      <vt:variant>
        <vt:lpwstr>_Toc158211405</vt:lpwstr>
      </vt:variant>
      <vt:variant>
        <vt:i4>1114172</vt:i4>
      </vt:variant>
      <vt:variant>
        <vt:i4>41</vt:i4>
      </vt:variant>
      <vt:variant>
        <vt:i4>0</vt:i4>
      </vt:variant>
      <vt:variant>
        <vt:i4>5</vt:i4>
      </vt:variant>
      <vt:variant>
        <vt:lpwstr/>
      </vt:variant>
      <vt:variant>
        <vt:lpwstr>_Toc158211404</vt:lpwstr>
      </vt:variant>
      <vt:variant>
        <vt:i4>1114172</vt:i4>
      </vt:variant>
      <vt:variant>
        <vt:i4>35</vt:i4>
      </vt:variant>
      <vt:variant>
        <vt:i4>0</vt:i4>
      </vt:variant>
      <vt:variant>
        <vt:i4>5</vt:i4>
      </vt:variant>
      <vt:variant>
        <vt:lpwstr/>
      </vt:variant>
      <vt:variant>
        <vt:lpwstr>_Toc158211403</vt:lpwstr>
      </vt:variant>
      <vt:variant>
        <vt:i4>1114172</vt:i4>
      </vt:variant>
      <vt:variant>
        <vt:i4>29</vt:i4>
      </vt:variant>
      <vt:variant>
        <vt:i4>0</vt:i4>
      </vt:variant>
      <vt:variant>
        <vt:i4>5</vt:i4>
      </vt:variant>
      <vt:variant>
        <vt:lpwstr/>
      </vt:variant>
      <vt:variant>
        <vt:lpwstr>_Toc158211402</vt:lpwstr>
      </vt:variant>
      <vt:variant>
        <vt:i4>1114172</vt:i4>
      </vt:variant>
      <vt:variant>
        <vt:i4>23</vt:i4>
      </vt:variant>
      <vt:variant>
        <vt:i4>0</vt:i4>
      </vt:variant>
      <vt:variant>
        <vt:i4>5</vt:i4>
      </vt:variant>
      <vt:variant>
        <vt:lpwstr/>
      </vt:variant>
      <vt:variant>
        <vt:lpwstr>_Toc158211401</vt:lpwstr>
      </vt:variant>
      <vt:variant>
        <vt:i4>1114172</vt:i4>
      </vt:variant>
      <vt:variant>
        <vt:i4>17</vt:i4>
      </vt:variant>
      <vt:variant>
        <vt:i4>0</vt:i4>
      </vt:variant>
      <vt:variant>
        <vt:i4>5</vt:i4>
      </vt:variant>
      <vt:variant>
        <vt:lpwstr/>
      </vt:variant>
      <vt:variant>
        <vt:lpwstr>_Toc158211400</vt:lpwstr>
      </vt:variant>
      <vt:variant>
        <vt:i4>1572923</vt:i4>
      </vt:variant>
      <vt:variant>
        <vt:i4>11</vt:i4>
      </vt:variant>
      <vt:variant>
        <vt:i4>0</vt:i4>
      </vt:variant>
      <vt:variant>
        <vt:i4>5</vt:i4>
      </vt:variant>
      <vt:variant>
        <vt:lpwstr/>
      </vt:variant>
      <vt:variant>
        <vt:lpwstr>_Toc158211399</vt:lpwstr>
      </vt:variant>
      <vt:variant>
        <vt:i4>1572923</vt:i4>
      </vt:variant>
      <vt:variant>
        <vt:i4>5</vt:i4>
      </vt:variant>
      <vt:variant>
        <vt:i4>0</vt:i4>
      </vt:variant>
      <vt:variant>
        <vt:i4>5</vt:i4>
      </vt:variant>
      <vt:variant>
        <vt:lpwstr/>
      </vt:variant>
      <vt:variant>
        <vt:lpwstr>_Toc158211398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Wilson Sanchez Sanchez</cp:lastModifiedBy>
  <cp:revision>6</cp:revision>
  <cp:lastPrinted>2024-06-20T21:40:00Z</cp:lastPrinted>
  <dcterms:created xsi:type="dcterms:W3CDTF">2024-04-18T15:19:00Z</dcterms:created>
  <dcterms:modified xsi:type="dcterms:W3CDTF">2024-06-20T21:41:00Z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0x010100E8698CE1C61F55489DABF72A152DC66D</vt:lpwstr>
  </property>
  <property fmtid="{D5CDD505-2E9C-101B-9397-08002B2CF9AE}" pid="3" name="MediaServiceImageTags">
    <vt:lpwstr/>
  </property>
</Properties>
</file>