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0A74" w14:textId="27FB6CE9"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0" o:title=""/>
          </v:shape>
          <o:OLEObject Type="Embed" ProgID="PBrush" ShapeID="_x0000_s2050" DrawAspect="Content" ObjectID="_1774937267" r:id="rId11"/>
        </w:object>
      </w: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1AA812C4" w:rsidR="00A06511" w:rsidRPr="00E060BE" w:rsidRDefault="00C6148D" w:rsidP="2DA57E2F">
      <w:pPr>
        <w:pStyle w:val="Ttulo5"/>
        <w:tabs>
          <w:tab w:val="right" w:pos="9356"/>
        </w:tabs>
        <w:ind w:left="0"/>
        <w:rPr>
          <w:rFonts w:ascii="Bookman Old Style" w:hAnsi="Bookman Old Style"/>
          <w:sz w:val="24"/>
          <w:szCs w:val="24"/>
          <w:lang w:val="es-ES"/>
        </w:rPr>
      </w:pPr>
      <w:r>
        <w:rPr>
          <w:rFonts w:ascii="Bookman Old Style" w:hAnsi="Bookman Old Style"/>
          <w:sz w:val="24"/>
          <w:szCs w:val="24"/>
          <w:lang w:val="es-ES"/>
        </w:rPr>
        <w:t xml:space="preserve">PROYECTO DE </w:t>
      </w:r>
      <w:r w:rsidR="00A06511" w:rsidRPr="2DA57E2F">
        <w:rPr>
          <w:rFonts w:ascii="Bookman Old Style" w:hAnsi="Bookman Old Style"/>
          <w:sz w:val="24"/>
          <w:szCs w:val="24"/>
          <w:lang w:val="es-ES"/>
        </w:rPr>
        <w:t xml:space="preserve">RESOLUCIÓN No. </w:t>
      </w:r>
      <w:r w:rsidR="004D7E6A" w:rsidRPr="004D7E6A">
        <w:rPr>
          <w:rFonts w:ascii="Bookman Old Style" w:hAnsi="Bookman Old Style"/>
          <w:szCs w:val="28"/>
        </w:rPr>
        <w:t>701 042 DE 2024</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54CA8A26" w:rsidR="00CA77FB" w:rsidRPr="004D7E6A" w:rsidRDefault="00CA77FB" w:rsidP="00012259">
      <w:pPr>
        <w:pStyle w:val="Ttulo3"/>
        <w:tabs>
          <w:tab w:val="left" w:pos="0"/>
          <w:tab w:val="right" w:pos="9356"/>
        </w:tabs>
        <w:ind w:left="0"/>
        <w:rPr>
          <w:rFonts w:ascii="Bookman Old Style" w:hAnsi="Bookman Old Style"/>
          <w:bCs/>
          <w:szCs w:val="24"/>
        </w:rPr>
      </w:pPr>
      <w:r w:rsidRPr="004D7E6A">
        <w:rPr>
          <w:rFonts w:ascii="Bookman Old Style" w:hAnsi="Bookman Old Style"/>
          <w:bCs/>
          <w:szCs w:val="24"/>
        </w:rPr>
        <w:t>(</w:t>
      </w:r>
      <w:r w:rsidR="004D7E6A" w:rsidRPr="004D7E6A">
        <w:rPr>
          <w:rFonts w:ascii="Bookman Old Style" w:hAnsi="Bookman Old Style"/>
          <w:bCs/>
          <w:szCs w:val="24"/>
        </w:rPr>
        <w:t>18 ABR. 2024</w:t>
      </w:r>
      <w:r w:rsidRPr="004D7E6A">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A71B8E" w14:textId="77777777" w:rsidR="00B351B4" w:rsidRPr="00E060BE" w:rsidRDefault="00B351B4" w:rsidP="00012259">
      <w:pPr>
        <w:ind w:left="0"/>
        <w:rPr>
          <w:rFonts w:ascii="Bookman Old Style" w:hAnsi="Bookman Old Style"/>
          <w:bCs/>
          <w:lang w:val="es-CO"/>
        </w:rPr>
      </w:pPr>
    </w:p>
    <w:p w14:paraId="194B76D5" w14:textId="07A0798A" w:rsidR="00911963" w:rsidRDefault="00911963" w:rsidP="00911963">
      <w:pPr>
        <w:ind w:left="0"/>
        <w:jc w:val="both"/>
        <w:rPr>
          <w:rFonts w:ascii="Bookman Old Style" w:hAnsi="Bookman Old Style"/>
        </w:rPr>
      </w:pPr>
      <w:r>
        <w:rPr>
          <w:rFonts w:ascii="Bookman Old Style" w:hAnsi="Bookman Old Style"/>
        </w:rPr>
        <w:t xml:space="preserve">La </w:t>
      </w:r>
      <w:r w:rsidRPr="006A3821">
        <w:rPr>
          <w:rFonts w:ascii="Bookman Old Style" w:hAnsi="Bookman Old Style"/>
        </w:rPr>
        <w:t xml:space="preserve">Comisión de Regulación de Energía y Gas, en su sesión No. </w:t>
      </w:r>
      <w:r w:rsidR="006A3821" w:rsidRPr="006A3821">
        <w:rPr>
          <w:rFonts w:ascii="Bookman Old Style" w:hAnsi="Bookman Old Style"/>
        </w:rPr>
        <w:t>1310</w:t>
      </w:r>
      <w:r w:rsidRPr="006A3821">
        <w:rPr>
          <w:rFonts w:ascii="Bookman Old Style" w:hAnsi="Bookman Old Style"/>
        </w:rPr>
        <w:t xml:space="preserve"> del </w:t>
      </w:r>
      <w:r w:rsidR="006A3821" w:rsidRPr="006A3821">
        <w:rPr>
          <w:rFonts w:ascii="Bookman Old Style" w:hAnsi="Bookman Old Style"/>
        </w:rPr>
        <w:t>18</w:t>
      </w:r>
      <w:r w:rsidRPr="006A3821">
        <w:rPr>
          <w:rFonts w:ascii="Bookman Old Style" w:hAnsi="Bookman Old Style"/>
        </w:rPr>
        <w:t xml:space="preserve"> de abril de 2024, aprobó</w:t>
      </w:r>
      <w:r>
        <w:rPr>
          <w:rFonts w:ascii="Bookman Old Style" w:hAnsi="Bookman Old Style"/>
        </w:rPr>
        <w:t xml:space="preserve"> someter a consulta pública el presente proyecto de resolución </w:t>
      </w:r>
      <w:r w:rsidR="00601F6F">
        <w:rPr>
          <w:rFonts w:ascii="Bookman Old Style" w:hAnsi="Bookman Old Style"/>
        </w:rPr>
        <w:t>hasta</w:t>
      </w:r>
      <w:r w:rsidR="00772B48">
        <w:rPr>
          <w:rFonts w:ascii="Bookman Old Style" w:hAnsi="Bookman Old Style"/>
        </w:rPr>
        <w:t xml:space="preserve"> las 12</w:t>
      </w:r>
      <w:r w:rsidR="004D7E6A">
        <w:rPr>
          <w:rFonts w:ascii="Bookman Old Style" w:hAnsi="Bookman Old Style"/>
        </w:rPr>
        <w:t>:00</w:t>
      </w:r>
      <w:r w:rsidR="00772B48">
        <w:rPr>
          <w:rFonts w:ascii="Bookman Old Style" w:hAnsi="Bookman Old Style"/>
        </w:rPr>
        <w:t xml:space="preserve"> p.m. d</w:t>
      </w:r>
      <w:r w:rsidR="00601F6F">
        <w:rPr>
          <w:rFonts w:ascii="Bookman Old Style" w:hAnsi="Bookman Old Style"/>
        </w:rPr>
        <w:t>el día 19 de abril de 2024</w:t>
      </w:r>
      <w:r w:rsidR="6CFE3991" w:rsidRPr="4985A735">
        <w:rPr>
          <w:rFonts w:ascii="Bookman Old Style" w:hAnsi="Bookman Old Style"/>
        </w:rPr>
        <w:t>, conforme a los numerales 1 y 6 del artículo 34</w:t>
      </w:r>
      <w:r w:rsidR="4E53F8EC" w:rsidRPr="4985A735">
        <w:rPr>
          <w:rFonts w:ascii="Bookman Old Style" w:hAnsi="Bookman Old Style"/>
        </w:rPr>
        <w:t xml:space="preserve"> </w:t>
      </w:r>
      <w:r w:rsidR="230D68AC" w:rsidRPr="4985A735">
        <w:rPr>
          <w:rFonts w:ascii="Bookman Old Style" w:hAnsi="Bookman Old Style"/>
        </w:rPr>
        <w:t xml:space="preserve">del </w:t>
      </w:r>
      <w:r w:rsidR="7C0ACD05" w:rsidRPr="4985A735">
        <w:rPr>
          <w:rFonts w:ascii="Bookman Old Style" w:hAnsi="Bookman Old Style"/>
        </w:rPr>
        <w:t>Reglamento</w:t>
      </w:r>
      <w:r w:rsidR="230D68AC" w:rsidRPr="4985A735">
        <w:rPr>
          <w:rFonts w:ascii="Bookman Old Style" w:hAnsi="Bookman Old Style"/>
        </w:rPr>
        <w:t xml:space="preserve"> de la CREG</w:t>
      </w:r>
      <w:r w:rsidR="4E53F8EC" w:rsidRPr="4985A735">
        <w:rPr>
          <w:rFonts w:ascii="Bookman Old Style" w:hAnsi="Bookman Old Style"/>
        </w:rPr>
        <w:t xml:space="preserve"> Resolución 105 003</w:t>
      </w:r>
      <w:r w:rsidR="28CCE20D" w:rsidRPr="4985A735">
        <w:rPr>
          <w:rFonts w:ascii="Bookman Old Style" w:hAnsi="Bookman Old Style"/>
        </w:rPr>
        <w:t>, aprobado mediante Decreto 1573 de 2023</w:t>
      </w:r>
      <w:r w:rsidR="00C6148D">
        <w:rPr>
          <w:rFonts w:ascii="Bookman Old Style" w:hAnsi="Bookman Old Style"/>
        </w:rPr>
        <w:t>.</w:t>
      </w:r>
    </w:p>
    <w:p w14:paraId="0FD001AE" w14:textId="77777777" w:rsidR="000A0145" w:rsidRDefault="000A0145" w:rsidP="00911963">
      <w:pPr>
        <w:ind w:left="0"/>
        <w:jc w:val="both"/>
        <w:rPr>
          <w:rFonts w:ascii="Bookman Old Style" w:hAnsi="Bookman Old Style"/>
        </w:rPr>
      </w:pPr>
    </w:p>
    <w:p w14:paraId="3A705E7A" w14:textId="328A53B6" w:rsidR="00911963" w:rsidRDefault="000A0145" w:rsidP="00911963">
      <w:pPr>
        <w:ind w:left="0"/>
        <w:jc w:val="both"/>
        <w:rPr>
          <w:rFonts w:ascii="Bookman Old Style" w:hAnsi="Bookman Old Style"/>
        </w:rPr>
      </w:pPr>
      <w:r>
        <w:rPr>
          <w:rFonts w:ascii="Bookman Old Style" w:hAnsi="Bookman Old Style"/>
        </w:rPr>
        <w:t>L</w:t>
      </w:r>
      <w:r w:rsidR="00911963">
        <w:rPr>
          <w:rFonts w:ascii="Bookman Old Style" w:hAnsi="Bookman Old Style"/>
        </w:rPr>
        <w:t xml:space="preserve">e invita a los prestadores de los servicios públicos domiciliarios sujetos a la regulación de la CREG y a los demás interesados, para que remitan sus observaciones o sugerencias sobre la propuesta al director ejecutivo de la Comisión de Regulación de Energía y Gas, al correo electrónico </w:t>
      </w:r>
      <w:hyperlink r:id="rId12" w:history="1">
        <w:r w:rsidR="00911963">
          <w:rPr>
            <w:rStyle w:val="Hipervnculo"/>
            <w:rFonts w:ascii="Bookman Old Style" w:hAnsi="Bookman Old Style"/>
          </w:rPr>
          <w:t>creg@creg.gov.co</w:t>
        </w:r>
      </w:hyperlink>
      <w:r w:rsidR="00911963">
        <w:rPr>
          <w:rFonts w:ascii="Bookman Old Style" w:hAnsi="Bookman Old Style"/>
        </w:rPr>
        <w:t xml:space="preserve">, dentro del plazo establecido, identificando el mensaje con el siguiente asunto: “Comentarios sobre </w:t>
      </w:r>
      <w:r w:rsidR="00975031" w:rsidRPr="003F10C8">
        <w:rPr>
          <w:rFonts w:ascii="Bookman Old Style" w:hAnsi="Bookman Old Style"/>
        </w:rPr>
        <w:t>Medidas transitorias para aumentar la oferta de energía</w:t>
      </w:r>
      <w:r w:rsidR="00911963">
        <w:rPr>
          <w:rFonts w:ascii="Bookman Old Style" w:hAnsi="Bookman Old Style"/>
        </w:rPr>
        <w:t>”.</w:t>
      </w:r>
    </w:p>
    <w:p w14:paraId="03E534AF" w14:textId="77777777" w:rsidR="00911963" w:rsidRDefault="00911963" w:rsidP="00911963">
      <w:pPr>
        <w:ind w:left="0"/>
        <w:jc w:val="both"/>
        <w:rPr>
          <w:rFonts w:ascii="Bookman Old Style" w:hAnsi="Bookman Old Style"/>
        </w:rPr>
      </w:pPr>
    </w:p>
    <w:p w14:paraId="0B22C032" w14:textId="77777777" w:rsidR="00911963" w:rsidRDefault="00911963" w:rsidP="00911963">
      <w:pPr>
        <w:ind w:left="0"/>
        <w:jc w:val="both"/>
        <w:rPr>
          <w:rFonts w:ascii="Bookman Old Style" w:hAnsi="Bookman Old Style"/>
        </w:rPr>
      </w:pPr>
      <w:r>
        <w:rPr>
          <w:rFonts w:ascii="Bookman Old Style" w:hAnsi="Bookman Old Style"/>
        </w:rPr>
        <w:t>Al vencimiento de la consulta pública, la CREG determinará si el proyecto debe ser informado a la Superintendencia de Industria y Comercio -SIC-, para el ejercicio de la Abogacía de la Competencia, con fundamento en las disposiciones del Decreto 1071 de 2015, Artículo 2.2.2.30.5.</w:t>
      </w:r>
    </w:p>
    <w:p w14:paraId="5F67B77B" w14:textId="77777777" w:rsidR="00911963" w:rsidRDefault="00911963" w:rsidP="00C6148D">
      <w:pPr>
        <w:ind w:left="0"/>
        <w:rPr>
          <w:rFonts w:ascii="Bookman Old Style" w:hAnsi="Bookman Old Style"/>
        </w:rPr>
      </w:pPr>
    </w:p>
    <w:p w14:paraId="6207F17B" w14:textId="77777777" w:rsidR="00FF0B59" w:rsidRDefault="00FF0B59" w:rsidP="00FF0B59">
      <w:pPr>
        <w:tabs>
          <w:tab w:val="left" w:pos="0"/>
          <w:tab w:val="right" w:pos="9356"/>
        </w:tabs>
        <w:ind w:left="0"/>
        <w:jc w:val="center"/>
        <w:rPr>
          <w:rFonts w:ascii="Bookman Old Style" w:hAnsi="Bookman Old Style"/>
          <w:b/>
          <w:bCs/>
          <w:lang w:val="es-ES_tradnl"/>
        </w:rPr>
      </w:pPr>
      <w:r>
        <w:rPr>
          <w:rFonts w:ascii="Bookman Old Style" w:hAnsi="Bookman Old Style"/>
          <w:b/>
          <w:bCs/>
          <w:lang w:val="es-ES_tradnl"/>
        </w:rPr>
        <w:t>PROYECTO DE RESOLUCIÓN</w:t>
      </w:r>
    </w:p>
    <w:p w14:paraId="1F7DFFEC" w14:textId="77777777" w:rsidR="00911963" w:rsidRDefault="00911963" w:rsidP="00045D3D">
      <w:pPr>
        <w:ind w:left="0"/>
        <w:jc w:val="center"/>
        <w:rPr>
          <w:rFonts w:ascii="Bookman Old Style" w:hAnsi="Bookman Old Style"/>
        </w:rPr>
      </w:pPr>
    </w:p>
    <w:p w14:paraId="053FCB54" w14:textId="738DE073" w:rsidR="00045D3D" w:rsidRPr="00C435C3" w:rsidRDefault="003F10C8" w:rsidP="00C6148D">
      <w:pPr>
        <w:ind w:left="0"/>
        <w:jc w:val="center"/>
        <w:rPr>
          <w:rFonts w:ascii="Bookman Old Style" w:hAnsi="Bookman Old Style"/>
        </w:rPr>
      </w:pPr>
      <w:r w:rsidRPr="003F10C8">
        <w:rPr>
          <w:rFonts w:ascii="Bookman Old Style" w:hAnsi="Bookman Old Style"/>
        </w:rPr>
        <w:t>Medidas transitorias para aumentar la oferta de energía</w:t>
      </w:r>
      <w:r w:rsidR="00CC351F" w:rsidRPr="00CC351F">
        <w:rPr>
          <w:rFonts w:ascii="Bookman Old Style" w:hAnsi="Bookman Old Style"/>
        </w:rPr>
        <w:t xml:space="preserve"> ante el Fenómeno del Niño</w:t>
      </w:r>
      <w:r w:rsidR="004D7E6A">
        <w:rPr>
          <w:rFonts w:ascii="Bookman Old Style" w:hAnsi="Bookman Old Style"/>
        </w:rPr>
        <w:t>.</w:t>
      </w:r>
    </w:p>
    <w:p w14:paraId="73484C03" w14:textId="77777777" w:rsidR="000E23AE" w:rsidRDefault="000E23AE" w:rsidP="00045D3D">
      <w:pPr>
        <w:ind w:right="51"/>
        <w:jc w:val="center"/>
        <w:rPr>
          <w:rFonts w:ascii="Bookman Old Style" w:hAnsi="Bookman Old Style"/>
          <w:b/>
        </w:rPr>
      </w:pPr>
    </w:p>
    <w:p w14:paraId="5F144221" w14:textId="24E88E02" w:rsidR="00045D3D" w:rsidRPr="00C6148D" w:rsidRDefault="00045D3D" w:rsidP="00C6148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045D3D">
      <w:pPr>
        <w:ind w:left="0" w:right="51"/>
        <w:rPr>
          <w:rFonts w:ascii="Bookman Old Style" w:hAnsi="Bookman Old Style"/>
        </w:rPr>
      </w:pPr>
    </w:p>
    <w:p w14:paraId="1ADEBA78" w14:textId="77777777" w:rsidR="00033502" w:rsidRDefault="00045D3D" w:rsidP="00033502">
      <w:pPr>
        <w:ind w:left="0" w:right="142"/>
        <w:jc w:val="center"/>
        <w:rPr>
          <w:rFonts w:ascii="Bookman Old Style" w:hAnsi="Bookman Old Style"/>
        </w:rPr>
      </w:pPr>
      <w:r w:rsidRPr="00C435C3">
        <w:rPr>
          <w:rFonts w:ascii="Bookman Old Style" w:hAnsi="Bookman Old Style"/>
        </w:rPr>
        <w:t xml:space="preserve">En ejercicio de sus atribuciones constitucionales y legales, en especial las conferidas por las </w:t>
      </w:r>
      <w:r w:rsidR="002352B9">
        <w:rPr>
          <w:rFonts w:ascii="Bookman Old Style" w:hAnsi="Bookman Old Style"/>
        </w:rPr>
        <w:t>l</w:t>
      </w:r>
      <w:r w:rsidRPr="00C435C3">
        <w:rPr>
          <w:rFonts w:ascii="Bookman Old Style" w:hAnsi="Bookman Old Style"/>
        </w:rPr>
        <w:t xml:space="preserve">eyes 142 y 143 de 1994, y en desarrollo de los </w:t>
      </w:r>
      <w:r w:rsidR="002352B9">
        <w:rPr>
          <w:rFonts w:ascii="Bookman Old Style" w:hAnsi="Bookman Old Style"/>
        </w:rPr>
        <w:t>d</w:t>
      </w:r>
      <w:r w:rsidRPr="00C435C3">
        <w:rPr>
          <w:rFonts w:ascii="Bookman Old Style" w:hAnsi="Bookman Old Style"/>
        </w:rPr>
        <w:t>ecretos 1524 y 2253 de 1994</w:t>
      </w:r>
      <w:r w:rsidR="00033502">
        <w:rPr>
          <w:rFonts w:ascii="Bookman Old Style" w:hAnsi="Bookman Old Style"/>
          <w:b/>
        </w:rPr>
        <w:t xml:space="preserve"> </w:t>
      </w:r>
      <w:r w:rsidR="00033502">
        <w:rPr>
          <w:rFonts w:ascii="Bookman Old Style" w:hAnsi="Bookman Old Style"/>
        </w:rPr>
        <w:t>y 1260 de 2013</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2378A86C" w14:textId="089CA617" w:rsidR="00045D3D" w:rsidRPr="00C435C3" w:rsidRDefault="00045D3D" w:rsidP="00C6148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66E1F067" w14:textId="77777777" w:rsidR="00045D3D" w:rsidRPr="00C435C3" w:rsidRDefault="00045D3D" w:rsidP="00045D3D">
      <w:pPr>
        <w:rPr>
          <w:rFonts w:ascii="Bookman Old Style" w:hAnsi="Bookman Old Style"/>
          <w:b/>
        </w:rPr>
      </w:pPr>
    </w:p>
    <w:p w14:paraId="3EF0E074" w14:textId="77777777" w:rsidR="00682B24" w:rsidRDefault="00682B24" w:rsidP="00682B24">
      <w:pPr>
        <w:ind w:left="0"/>
        <w:jc w:val="both"/>
        <w:rPr>
          <w:rFonts w:ascii="Bookman Old Style" w:hAnsi="Bookman Old Style"/>
        </w:rPr>
      </w:pPr>
      <w:r w:rsidRPr="00FD259E">
        <w:rPr>
          <w:rFonts w:ascii="Bookman Old Style" w:hAnsi="Bookman Old Style"/>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39DFA652" w14:textId="77777777" w:rsidR="00682B24" w:rsidRPr="00FD259E" w:rsidRDefault="00682B24" w:rsidP="00682B24">
      <w:pPr>
        <w:ind w:left="0"/>
        <w:jc w:val="both"/>
        <w:rPr>
          <w:rFonts w:ascii="Bookman Old Style" w:hAnsi="Bookman Old Style"/>
        </w:rPr>
      </w:pPr>
    </w:p>
    <w:p w14:paraId="53FC6C02" w14:textId="77777777" w:rsidR="00682B24" w:rsidRDefault="00682B24" w:rsidP="00682B24">
      <w:pPr>
        <w:ind w:left="0"/>
        <w:jc w:val="both"/>
        <w:rPr>
          <w:rFonts w:ascii="Bookman Old Style" w:hAnsi="Bookman Old Style"/>
        </w:rPr>
      </w:pPr>
      <w:r w:rsidRPr="00FD259E">
        <w:rPr>
          <w:rFonts w:ascii="Bookman Old Style" w:hAnsi="Bookman Old Style"/>
        </w:rPr>
        <w:lastRenderedPageBreak/>
        <w:t>El artículo 365 de la misma Carta Política establece que los servicios públicos son inherentes a la finalidad social del Estado y es deber de este, asegurar su prestación eficiente a todos los habitantes del territorio nacional.</w:t>
      </w:r>
    </w:p>
    <w:p w14:paraId="15C868DD" w14:textId="77777777" w:rsidR="00682B24" w:rsidRDefault="00682B24" w:rsidP="00682B24">
      <w:pPr>
        <w:ind w:left="0"/>
        <w:jc w:val="both"/>
        <w:rPr>
          <w:rFonts w:ascii="Bookman Old Style" w:hAnsi="Bookman Old Style"/>
        </w:rPr>
      </w:pPr>
    </w:p>
    <w:p w14:paraId="5FA3FC9D" w14:textId="77777777" w:rsidR="00186041" w:rsidRDefault="00186041" w:rsidP="00186041">
      <w:pPr>
        <w:ind w:left="0" w:right="142"/>
        <w:jc w:val="both"/>
        <w:rPr>
          <w:rFonts w:ascii="Bookman Old Style" w:hAnsi="Bookman Old Style"/>
          <w:bCs/>
        </w:rPr>
      </w:pPr>
      <w:r>
        <w:rPr>
          <w:rFonts w:ascii="Bookman Old Style" w:hAnsi="Bookman Old Style"/>
          <w:bCs/>
        </w:rPr>
        <w:t xml:space="preserve">El artículo 370 de la Constitución Política confiere al </w:t>
      </w:r>
      <w:proofErr w:type="gramStart"/>
      <w:r>
        <w:rPr>
          <w:rFonts w:ascii="Bookman Old Style" w:hAnsi="Bookman Old Style"/>
          <w:bCs/>
        </w:rPr>
        <w:t>Presidente</w:t>
      </w:r>
      <w:proofErr w:type="gramEnd"/>
      <w:r>
        <w:rPr>
          <w:rFonts w:ascii="Bookman Old Style" w:hAnsi="Bookman Old Style"/>
          <w:bCs/>
        </w:rPr>
        <w:t xml:space="preserve"> de la República la función de señalar, con sujeción a la ley, las políticas generales de administración y control de eficiencia de los servicios públicos domiciliarios.</w:t>
      </w:r>
    </w:p>
    <w:p w14:paraId="624D5178" w14:textId="77777777" w:rsidR="00186041" w:rsidRPr="00FD259E" w:rsidRDefault="00186041" w:rsidP="00682B24">
      <w:pPr>
        <w:ind w:left="0"/>
        <w:jc w:val="both"/>
        <w:rPr>
          <w:rFonts w:ascii="Bookman Old Style" w:hAnsi="Bookman Old Style"/>
        </w:rPr>
      </w:pPr>
    </w:p>
    <w:p w14:paraId="446B9B7C" w14:textId="77777777" w:rsidR="00682B24" w:rsidRDefault="00682B24" w:rsidP="00682B24">
      <w:pPr>
        <w:ind w:left="0"/>
        <w:jc w:val="both"/>
        <w:rPr>
          <w:rFonts w:ascii="Bookman Old Style" w:hAnsi="Bookman Old Style"/>
        </w:rPr>
      </w:pPr>
      <w:r w:rsidRPr="00FD259E">
        <w:rPr>
          <w:rFonts w:ascii="Bookman Old Style" w:hAnsi="Bookman Old Style"/>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6F38BC89" w14:textId="77777777" w:rsidR="00682B24" w:rsidRPr="00FD259E" w:rsidRDefault="00682B24" w:rsidP="00682B24">
      <w:pPr>
        <w:ind w:left="0"/>
        <w:jc w:val="both"/>
        <w:rPr>
          <w:rFonts w:ascii="Bookman Old Style" w:hAnsi="Bookman Old Style"/>
        </w:rPr>
      </w:pPr>
    </w:p>
    <w:p w14:paraId="6EA5C176" w14:textId="77777777" w:rsidR="00682B24" w:rsidRDefault="00682B24" w:rsidP="00682B24">
      <w:pPr>
        <w:ind w:left="0"/>
        <w:jc w:val="both"/>
        <w:rPr>
          <w:rFonts w:ascii="Bookman Old Style" w:hAnsi="Bookman Old Style"/>
        </w:rPr>
      </w:pPr>
      <w:r w:rsidRPr="00FD259E">
        <w:rPr>
          <w:rFonts w:ascii="Bookman Old Style" w:hAnsi="Bookman Old Style"/>
        </w:rPr>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67FBC912" w14:textId="77777777" w:rsidR="00682B24" w:rsidRPr="00FD259E" w:rsidRDefault="00682B24" w:rsidP="00682B24">
      <w:pPr>
        <w:ind w:left="0"/>
        <w:jc w:val="both"/>
        <w:rPr>
          <w:rFonts w:ascii="Bookman Old Style" w:hAnsi="Bookman Old Style"/>
        </w:rPr>
      </w:pPr>
    </w:p>
    <w:p w14:paraId="415DA576" w14:textId="77777777" w:rsidR="00682B24" w:rsidRDefault="00682B24" w:rsidP="00682B24">
      <w:pPr>
        <w:ind w:left="0"/>
        <w:jc w:val="both"/>
        <w:rPr>
          <w:rFonts w:ascii="Bookman Old Style" w:hAnsi="Bookman Old Style"/>
        </w:rPr>
      </w:pPr>
      <w:r w:rsidRPr="00FD259E">
        <w:rPr>
          <w:rFonts w:ascii="Bookman Old Style" w:hAnsi="Bookman Old Style"/>
        </w:rPr>
        <w:t>En el artículo 74 de la Ley 142 de 1994, se señala que son funciones y facultades especiales de la Comisión de Regulación de Energía y Gas,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estas y los grandes usuarios.</w:t>
      </w:r>
    </w:p>
    <w:p w14:paraId="40A16540" w14:textId="77777777" w:rsidR="00682B24" w:rsidRPr="00FD259E" w:rsidRDefault="00682B24" w:rsidP="00682B24">
      <w:pPr>
        <w:ind w:left="0"/>
        <w:jc w:val="both"/>
        <w:rPr>
          <w:rFonts w:ascii="Bookman Old Style" w:hAnsi="Bookman Old Style"/>
        </w:rPr>
      </w:pPr>
    </w:p>
    <w:p w14:paraId="0AB629BC" w14:textId="3C23F9E4" w:rsidR="00682B24" w:rsidRDefault="00682B24" w:rsidP="00682B24">
      <w:pPr>
        <w:ind w:left="0"/>
        <w:jc w:val="both"/>
        <w:rPr>
          <w:rFonts w:ascii="Bookman Old Style" w:hAnsi="Bookman Old Style"/>
        </w:rPr>
      </w:pPr>
      <w:r w:rsidRPr="00FD259E">
        <w:rPr>
          <w:rFonts w:ascii="Bookman Old Style" w:hAnsi="Bookman Old Style"/>
        </w:rPr>
        <w:t xml:space="preserve">Particularmente el numeral 1 del artículo 74 de la Ley 142 de 1994, le asignó a la CREG la función de expedir el Reglamento de Operación para regular el funcionamiento del Mercado Mayorista de </w:t>
      </w:r>
      <w:r w:rsidR="007D0B61">
        <w:rPr>
          <w:rFonts w:ascii="Bookman Old Style" w:hAnsi="Bookman Old Style"/>
        </w:rPr>
        <w:t>E</w:t>
      </w:r>
      <w:r w:rsidRPr="00FD259E">
        <w:rPr>
          <w:rFonts w:ascii="Bookman Old Style" w:hAnsi="Bookman Old Style"/>
        </w:rPr>
        <w:t>nergía.</w:t>
      </w:r>
    </w:p>
    <w:p w14:paraId="096BD0D7" w14:textId="77777777" w:rsidR="00682B24" w:rsidRPr="00FD259E" w:rsidRDefault="00682B24" w:rsidP="00682B24">
      <w:pPr>
        <w:ind w:left="0"/>
        <w:jc w:val="both"/>
        <w:rPr>
          <w:rFonts w:ascii="Bookman Old Style" w:hAnsi="Bookman Old Style"/>
        </w:rPr>
      </w:pPr>
    </w:p>
    <w:p w14:paraId="08377CC9" w14:textId="77777777" w:rsidR="00682B24" w:rsidRDefault="00682B24" w:rsidP="00682B24">
      <w:pPr>
        <w:ind w:left="0"/>
        <w:jc w:val="both"/>
        <w:rPr>
          <w:rFonts w:ascii="Bookman Old Style" w:hAnsi="Bookman Old Style"/>
        </w:rPr>
      </w:pPr>
      <w:r w:rsidRPr="00FD259E">
        <w:rPr>
          <w:rFonts w:ascii="Bookman Old Style" w:hAnsi="Bookman Old Style"/>
        </w:rPr>
        <w:t>El artículo 2 de la Ley 143 de 1994 establece que corresponde al Estado, en relación con el servicio de energía, garantizar la prestación continua e ininterrumpida del servicio.</w:t>
      </w:r>
    </w:p>
    <w:p w14:paraId="53BAD2BB" w14:textId="77777777" w:rsidR="00682B24" w:rsidRPr="00FD259E" w:rsidRDefault="00682B24" w:rsidP="00682B24">
      <w:pPr>
        <w:ind w:left="0"/>
        <w:jc w:val="both"/>
        <w:rPr>
          <w:rFonts w:ascii="Bookman Old Style" w:hAnsi="Bookman Old Style"/>
        </w:rPr>
      </w:pPr>
    </w:p>
    <w:p w14:paraId="4133341D" w14:textId="77777777" w:rsidR="00682B24" w:rsidRDefault="00682B24" w:rsidP="00682B24">
      <w:pPr>
        <w:ind w:left="0"/>
        <w:jc w:val="both"/>
        <w:rPr>
          <w:rFonts w:ascii="Bookman Old Style" w:hAnsi="Bookman Old Style"/>
        </w:rPr>
      </w:pPr>
      <w:r w:rsidRPr="00FD259E">
        <w:rPr>
          <w:rFonts w:ascii="Bookman Old Style" w:hAnsi="Bookman Old Style"/>
        </w:rPr>
        <w:t xml:space="preserve">Así mismo el artículo 4 señala que uno de los objetivos del Estado respecto al servicio de energía es “Abastecer la demanda de electricidad de la comunidad bajo criterios económicos y de viabilidad financiera, asegurando su cubrimiento en un marco de uso racional y eficiente de los diferentes recursos energéticos del país”. </w:t>
      </w:r>
    </w:p>
    <w:p w14:paraId="646310C1" w14:textId="77777777" w:rsidR="00682B24" w:rsidRPr="00FD259E" w:rsidRDefault="00682B24" w:rsidP="00682B24">
      <w:pPr>
        <w:ind w:left="0"/>
        <w:jc w:val="both"/>
        <w:rPr>
          <w:rFonts w:ascii="Bookman Old Style" w:hAnsi="Bookman Old Style"/>
        </w:rPr>
      </w:pPr>
    </w:p>
    <w:p w14:paraId="47869C3F" w14:textId="77777777" w:rsidR="00682B24" w:rsidRDefault="00682B24" w:rsidP="00682B24">
      <w:pPr>
        <w:ind w:left="0"/>
        <w:jc w:val="both"/>
        <w:rPr>
          <w:rFonts w:ascii="Bookman Old Style" w:hAnsi="Bookman Old Style"/>
        </w:rPr>
      </w:pPr>
      <w:r w:rsidRPr="00FD259E">
        <w:rPr>
          <w:rFonts w:ascii="Bookman Old Style" w:hAnsi="Bookman Old Style"/>
        </w:rPr>
        <w:t>El artículo 6 de la Ley 143 de 1994 señaló que las actividades relacionadas con el servicio de electricidad se regirían, entre otros principios, por el de adaptabilidad, el cual conduce a la incorporación de los avances de la ciencia y de la tecnología, con el fin de que aporten mayor calidad y eficiencia en la prestación del servicio al menor costo económico.</w:t>
      </w:r>
    </w:p>
    <w:p w14:paraId="1224F874" w14:textId="77777777" w:rsidR="00682B24" w:rsidRPr="00FD259E" w:rsidRDefault="00682B24" w:rsidP="00682B24">
      <w:pPr>
        <w:ind w:left="0"/>
        <w:jc w:val="both"/>
        <w:rPr>
          <w:rFonts w:ascii="Bookman Old Style" w:hAnsi="Bookman Old Style"/>
        </w:rPr>
      </w:pPr>
    </w:p>
    <w:p w14:paraId="2F5C2C45" w14:textId="77777777" w:rsidR="00682B24" w:rsidRDefault="00682B24" w:rsidP="00682B24">
      <w:pPr>
        <w:ind w:left="0"/>
        <w:jc w:val="both"/>
        <w:rPr>
          <w:rFonts w:ascii="Bookman Old Style" w:hAnsi="Bookman Old Style"/>
        </w:rPr>
      </w:pPr>
      <w:r w:rsidRPr="00FD259E">
        <w:rPr>
          <w:rFonts w:ascii="Bookman Old Style" w:hAnsi="Bookman Old Style"/>
        </w:rPr>
        <w:t xml:space="preserve">El artículo 18 de la Ley 143 de 1994 ordena que la CREG debe desarrollar el marco regulatorio que incentive la inversión en expansión de la capacidad de </w:t>
      </w:r>
      <w:r w:rsidRPr="00FD259E">
        <w:rPr>
          <w:rFonts w:ascii="Bookman Old Style" w:hAnsi="Bookman Old Style"/>
        </w:rPr>
        <w:lastRenderedPageBreak/>
        <w:t>generación y transmisión del Sistema Interconectado Nacional, SIN, por parte de inversionistas estratégicos, y establecer esquemas que promuevan la entrada de nueva capacidad de generación y transmisión.</w:t>
      </w:r>
    </w:p>
    <w:p w14:paraId="7E1B1A65" w14:textId="77777777" w:rsidR="00682B24" w:rsidRPr="00FD259E" w:rsidRDefault="00682B24" w:rsidP="00682B24">
      <w:pPr>
        <w:ind w:left="0"/>
        <w:jc w:val="both"/>
        <w:rPr>
          <w:rFonts w:ascii="Bookman Old Style" w:hAnsi="Bookman Old Style"/>
        </w:rPr>
      </w:pPr>
    </w:p>
    <w:p w14:paraId="70D091E5" w14:textId="77777777" w:rsidR="00682B24" w:rsidRPr="00FD259E" w:rsidRDefault="00682B24" w:rsidP="00682B24">
      <w:pPr>
        <w:ind w:left="0"/>
        <w:jc w:val="both"/>
        <w:rPr>
          <w:rFonts w:ascii="Bookman Old Style" w:hAnsi="Bookman Old Style"/>
        </w:rPr>
      </w:pPr>
      <w:r w:rsidRPr="00FD259E">
        <w:rPr>
          <w:rFonts w:ascii="Bookman Old Style" w:hAnsi="Bookman Old Style"/>
        </w:rPr>
        <w:t>El artículo 20 de la Ley 143 de 1994 definió como objetivo fundamental de la regulación en el sector eléctrico, asegurar una adecuada prestación del servicio mediante el aprovechamiento eficiente de los diferentes recursos energéticos.</w:t>
      </w:r>
    </w:p>
    <w:p w14:paraId="717D493C" w14:textId="77777777" w:rsidR="00C511E7" w:rsidRDefault="00C511E7" w:rsidP="00682B24">
      <w:pPr>
        <w:ind w:left="0"/>
        <w:jc w:val="both"/>
        <w:rPr>
          <w:rFonts w:ascii="Bookman Old Style" w:hAnsi="Bookman Old Style"/>
        </w:rPr>
      </w:pPr>
    </w:p>
    <w:p w14:paraId="0C79EC1D" w14:textId="746C1562" w:rsidR="00682B24" w:rsidRDefault="00682B24" w:rsidP="00682B24">
      <w:pPr>
        <w:ind w:left="0"/>
        <w:jc w:val="both"/>
        <w:rPr>
          <w:rFonts w:ascii="Bookman Old Style" w:hAnsi="Bookman Old Style"/>
        </w:rPr>
      </w:pPr>
      <w:r w:rsidRPr="00FD259E">
        <w:rPr>
          <w:rFonts w:ascii="Bookman Old Style" w:hAnsi="Bookman Old Style"/>
        </w:rPr>
        <w:t>Para cumplir el objetivo señalado, la Ley 143 de 1994, artículo 23, atribuyó a la CREG crear las condiciones para asegurar la disponibilidad de una oferta energética eficiente capaz de abastecer la demanda bajo criterios sociales, económicos, ambientales y de viabilidad financiera, promover y preservar la competencia.</w:t>
      </w:r>
    </w:p>
    <w:p w14:paraId="3C63D9FF" w14:textId="77777777" w:rsidR="00682B24" w:rsidRPr="00FD259E" w:rsidRDefault="00682B24" w:rsidP="00682B24">
      <w:pPr>
        <w:ind w:left="0"/>
        <w:jc w:val="both"/>
        <w:rPr>
          <w:rFonts w:ascii="Bookman Old Style" w:hAnsi="Bookman Old Style"/>
        </w:rPr>
      </w:pPr>
    </w:p>
    <w:p w14:paraId="5DAECDB9" w14:textId="77777777" w:rsidR="00682B24" w:rsidRDefault="00682B24" w:rsidP="00682B24">
      <w:pPr>
        <w:ind w:left="0"/>
        <w:jc w:val="both"/>
        <w:rPr>
          <w:rFonts w:ascii="Bookman Old Style" w:hAnsi="Bookman Old Style"/>
        </w:rPr>
      </w:pPr>
      <w:r w:rsidRPr="00FD259E">
        <w:rPr>
          <w:rFonts w:ascii="Bookman Old Style" w:hAnsi="Bookman Old Style"/>
        </w:rPr>
        <w:t>La Resolución CREG 024 de 1995 reglamenta los aspectos comerciales del mercado mayorista de energía en el SIN, como parte del Reglamento de Operación.</w:t>
      </w:r>
    </w:p>
    <w:p w14:paraId="161713FE" w14:textId="77777777" w:rsidR="00682B24" w:rsidRDefault="00682B24" w:rsidP="00682B24">
      <w:pPr>
        <w:ind w:left="0"/>
        <w:jc w:val="both"/>
        <w:rPr>
          <w:rFonts w:ascii="Bookman Old Style" w:hAnsi="Bookman Old Style"/>
        </w:rPr>
      </w:pPr>
    </w:p>
    <w:p w14:paraId="0E66AC53" w14:textId="43D10D7A" w:rsidR="00682B24" w:rsidRDefault="00682B24" w:rsidP="00682B24">
      <w:pPr>
        <w:ind w:left="0"/>
        <w:jc w:val="both"/>
        <w:rPr>
          <w:rFonts w:ascii="Bookman Old Style" w:hAnsi="Bookman Old Style"/>
        </w:rPr>
      </w:pPr>
      <w:r>
        <w:rPr>
          <w:rFonts w:ascii="Bookman Old Style" w:hAnsi="Bookman Old Style"/>
        </w:rPr>
        <w:t>La Resolución CREG 060 de 2019 en su artículo 30 incluy</w:t>
      </w:r>
      <w:r w:rsidR="00C511E7">
        <w:rPr>
          <w:rFonts w:ascii="Bookman Old Style" w:hAnsi="Bookman Old Style"/>
        </w:rPr>
        <w:t>ó</w:t>
      </w:r>
      <w:r>
        <w:rPr>
          <w:rFonts w:ascii="Bookman Old Style" w:hAnsi="Bookman Old Style"/>
        </w:rPr>
        <w:t xml:space="preserve"> el tratamiento de desviaciones de plantas de generación variable (</w:t>
      </w:r>
      <w:r w:rsidRPr="00DF5B41">
        <w:rPr>
          <w:rFonts w:ascii="Bookman Old Style" w:hAnsi="Bookman Old Style"/>
        </w:rPr>
        <w:t>plantas eólicas, solares fotovoltaicas y plantas filo de agua, que son despachadas centralmente</w:t>
      </w:r>
      <w:r>
        <w:rPr>
          <w:rFonts w:ascii="Bookman Old Style" w:hAnsi="Bookman Old Style"/>
        </w:rPr>
        <w:t>).</w:t>
      </w:r>
    </w:p>
    <w:p w14:paraId="56B085CA" w14:textId="77777777" w:rsidR="00682B24" w:rsidRDefault="00682B24" w:rsidP="00682B24">
      <w:pPr>
        <w:ind w:left="0"/>
        <w:jc w:val="both"/>
        <w:rPr>
          <w:rFonts w:ascii="Bookman Old Style" w:hAnsi="Bookman Old Style"/>
        </w:rPr>
      </w:pPr>
    </w:p>
    <w:p w14:paraId="4D097850" w14:textId="63C71CFF" w:rsidR="00682B24" w:rsidRPr="008C4C5B" w:rsidRDefault="002762C1" w:rsidP="007B4B88">
      <w:pPr>
        <w:ind w:left="0"/>
        <w:jc w:val="both"/>
        <w:rPr>
          <w:rFonts w:ascii="Bookman Old Style" w:hAnsi="Bookman Old Style"/>
          <w:i/>
          <w:iCs/>
        </w:rPr>
      </w:pPr>
      <w:r>
        <w:rPr>
          <w:rFonts w:ascii="Bookman Old Style" w:hAnsi="Bookman Old Style"/>
        </w:rPr>
        <w:t>D</w:t>
      </w:r>
      <w:r w:rsidR="00682B24" w:rsidRPr="007B4B88">
        <w:rPr>
          <w:rFonts w:ascii="Bookman Old Style" w:hAnsi="Bookman Old Style"/>
        </w:rPr>
        <w:t xml:space="preserve">e acuerdo con el informe entregado por XM S.A E.S.P. -en su calidad de Centro Nacional de Despacho (CND)- sobre la operación del SIN, en el marco de la reunión N°184 de la Comisión Asesora de Coordinación y Seguimiento a la Situación Energética (CACSSE) realizada el 10 de abril de 2024, se </w:t>
      </w:r>
      <w:r w:rsidR="00BB53B8" w:rsidRPr="007B4B88">
        <w:rPr>
          <w:rFonts w:ascii="Bookman Old Style" w:hAnsi="Bookman Old Style"/>
        </w:rPr>
        <w:t>recomendó</w:t>
      </w:r>
      <w:r w:rsidR="4C261A68" w:rsidRPr="007B4B88">
        <w:rPr>
          <w:rFonts w:ascii="Bookman Old Style" w:hAnsi="Bookman Old Style"/>
        </w:rPr>
        <w:t xml:space="preserve"> que a las plantas variables (solares) </w:t>
      </w:r>
      <w:r w:rsidR="2D60F78A" w:rsidRPr="007B4B88">
        <w:rPr>
          <w:rFonts w:ascii="Bookman Old Style" w:hAnsi="Bookman Old Style"/>
        </w:rPr>
        <w:t>los cobros por desviaciones previstos en la Resolución CREG 060 de 2019 se les flexibili</w:t>
      </w:r>
      <w:r w:rsidR="55508DCF" w:rsidRPr="007B4B88">
        <w:rPr>
          <w:rFonts w:ascii="Bookman Old Style" w:hAnsi="Bookman Old Style"/>
        </w:rPr>
        <w:t xml:space="preserve">ce </w:t>
      </w:r>
      <w:r w:rsidR="3CA59033" w:rsidRPr="4985A735">
        <w:rPr>
          <w:rFonts w:ascii="Bookman Old Style" w:hAnsi="Bookman Old Style"/>
        </w:rPr>
        <w:t>durante</w:t>
      </w:r>
      <w:r w:rsidR="55508DCF" w:rsidRPr="007B4B88">
        <w:rPr>
          <w:rFonts w:ascii="Bookman Old Style" w:hAnsi="Bookman Old Style"/>
        </w:rPr>
        <w:t xml:space="preserve"> el periodo del Fenómeno de el Niño</w:t>
      </w:r>
      <w:r>
        <w:rPr>
          <w:rFonts w:ascii="Bookman Old Style" w:hAnsi="Bookman Old Style"/>
        </w:rPr>
        <w:t>.</w:t>
      </w:r>
      <w:r w:rsidR="00BF62CB">
        <w:rPr>
          <w:rFonts w:ascii="Bookman Old Style" w:hAnsi="Bookman Old Style"/>
        </w:rPr>
        <w:t xml:space="preserve"> Así mismo en la reunión</w:t>
      </w:r>
      <w:r w:rsidR="0012400B">
        <w:rPr>
          <w:rFonts w:ascii="Bookman Old Style" w:hAnsi="Bookman Old Style"/>
        </w:rPr>
        <w:t xml:space="preserve"> CACSSE</w:t>
      </w:r>
      <w:r w:rsidR="00BF62CB">
        <w:rPr>
          <w:rFonts w:ascii="Bookman Old Style" w:hAnsi="Bookman Old Style"/>
        </w:rPr>
        <w:t xml:space="preserve"> N</w:t>
      </w:r>
      <w:r w:rsidR="00BF62CB" w:rsidRPr="007B4B88">
        <w:rPr>
          <w:rFonts w:ascii="Bookman Old Style" w:hAnsi="Bookman Old Style"/>
        </w:rPr>
        <w:t>°</w:t>
      </w:r>
      <w:r w:rsidR="00BF62CB">
        <w:rPr>
          <w:rFonts w:ascii="Bookman Old Style" w:hAnsi="Bookman Old Style"/>
        </w:rPr>
        <w:t xml:space="preserve">186 del 17 de abril de 2024 se hizo énfasis en la necesidad de tener mas oferta de generación. </w:t>
      </w:r>
    </w:p>
    <w:p w14:paraId="7F597E68" w14:textId="77777777" w:rsidR="00682B24" w:rsidRPr="008C4C5B" w:rsidRDefault="00682B24" w:rsidP="00682B24">
      <w:pPr>
        <w:ind w:left="708"/>
        <w:jc w:val="both"/>
        <w:rPr>
          <w:rFonts w:ascii="Bookman Old Style" w:hAnsi="Bookman Old Style"/>
          <w:i/>
          <w:iCs/>
        </w:rPr>
      </w:pPr>
    </w:p>
    <w:p w14:paraId="5CB5B137" w14:textId="1C976D77" w:rsidR="00A21F93" w:rsidRDefault="00891C04" w:rsidP="00A21F93">
      <w:pPr>
        <w:ind w:left="0"/>
        <w:jc w:val="both"/>
        <w:rPr>
          <w:rFonts w:ascii="Bookman Old Style" w:hAnsi="Bookman Old Style"/>
        </w:rPr>
      </w:pPr>
      <w:r>
        <w:rPr>
          <w:rFonts w:ascii="Bookman Old Style" w:hAnsi="Bookman Old Style"/>
        </w:rPr>
        <w:t>En l</w:t>
      </w:r>
      <w:r w:rsidR="00A21F93">
        <w:rPr>
          <w:rFonts w:ascii="Bookman Old Style" w:hAnsi="Bookman Old Style"/>
        </w:rPr>
        <w:t>as Resoluciones CREG 025 de 1995, 121 de 1998, 060 de 2019</w:t>
      </w:r>
      <w:r>
        <w:rPr>
          <w:rFonts w:ascii="Bookman Old Style" w:hAnsi="Bookman Old Style"/>
        </w:rPr>
        <w:t xml:space="preserve"> y </w:t>
      </w:r>
      <w:r w:rsidR="00A21F93">
        <w:rPr>
          <w:rFonts w:ascii="Bookman Old Style" w:hAnsi="Bookman Old Style"/>
        </w:rPr>
        <w:t>148 de 2021</w:t>
      </w:r>
      <w:r w:rsidR="00DC492A">
        <w:rPr>
          <w:rFonts w:ascii="Bookman Old Style" w:hAnsi="Bookman Old Style"/>
        </w:rPr>
        <w:t>, y todas aquellas que las modifiquen adicionen o sustituyan,</w:t>
      </w:r>
      <w:r w:rsidR="00A21F93">
        <w:rPr>
          <w:rFonts w:ascii="Bookman Old Style" w:hAnsi="Bookman Old Style"/>
        </w:rPr>
        <w:t xml:space="preserve"> </w:t>
      </w:r>
      <w:r w:rsidR="004B379C">
        <w:rPr>
          <w:rFonts w:ascii="Bookman Old Style" w:hAnsi="Bookman Old Style"/>
        </w:rPr>
        <w:t>se</w:t>
      </w:r>
      <w:r>
        <w:rPr>
          <w:rFonts w:ascii="Bookman Old Style" w:hAnsi="Bookman Old Style"/>
        </w:rPr>
        <w:t xml:space="preserve"> presentan disposiciones y lineamientos para pruebas que deben realizar las plantas de generación.</w:t>
      </w:r>
      <w:r w:rsidR="00C40931">
        <w:rPr>
          <w:rFonts w:ascii="Bookman Old Style" w:hAnsi="Bookman Old Style"/>
        </w:rPr>
        <w:t xml:space="preserve"> Las plantas en pruebas pueden </w:t>
      </w:r>
      <w:r w:rsidR="005875E5">
        <w:rPr>
          <w:rFonts w:ascii="Bookman Old Style" w:hAnsi="Bookman Old Style"/>
        </w:rPr>
        <w:t>entregar</w:t>
      </w:r>
      <w:r w:rsidR="00C40931">
        <w:rPr>
          <w:rFonts w:ascii="Bookman Old Style" w:hAnsi="Bookman Old Style"/>
        </w:rPr>
        <w:t xml:space="preserve"> su energía </w:t>
      </w:r>
      <w:r w:rsidR="005875E5">
        <w:rPr>
          <w:rFonts w:ascii="Bookman Old Style" w:hAnsi="Bookman Old Style"/>
        </w:rPr>
        <w:t>disponible sin incurrir en desviaciones del programa de generación pues no les aplica.</w:t>
      </w:r>
    </w:p>
    <w:p w14:paraId="0491BA78" w14:textId="77777777" w:rsidR="00A21F93" w:rsidRDefault="00A21F93" w:rsidP="00682B24">
      <w:pPr>
        <w:ind w:left="0"/>
        <w:jc w:val="both"/>
        <w:rPr>
          <w:rFonts w:ascii="Bookman Old Style" w:hAnsi="Bookman Old Style"/>
        </w:rPr>
      </w:pPr>
    </w:p>
    <w:p w14:paraId="21D8163D" w14:textId="58ACAAB7" w:rsidR="00F53315" w:rsidRDefault="00672A9A" w:rsidP="00682B24">
      <w:pPr>
        <w:ind w:left="0"/>
        <w:jc w:val="both"/>
        <w:rPr>
          <w:rFonts w:ascii="Bookman Old Style" w:hAnsi="Bookman Old Style"/>
        </w:rPr>
      </w:pPr>
      <w:r>
        <w:rPr>
          <w:rFonts w:ascii="Bookman Old Style" w:hAnsi="Bookman Old Style"/>
        </w:rPr>
        <w:t xml:space="preserve">En el seguimiento que se realiza desde la Comisión se encuentra que los niveles de embalse están cerca a la senda de referencia, </w:t>
      </w:r>
      <w:r w:rsidRPr="00154608">
        <w:rPr>
          <w:rFonts w:ascii="Bookman Old Style" w:hAnsi="Bookman Old Style"/>
        </w:rPr>
        <w:t xml:space="preserve">por lo </w:t>
      </w:r>
      <w:r w:rsidR="002762C1" w:rsidRPr="00154608">
        <w:rPr>
          <w:rFonts w:ascii="Bookman Old Style" w:hAnsi="Bookman Old Style"/>
        </w:rPr>
        <w:t>tanto,</w:t>
      </w:r>
      <w:r w:rsidRPr="00154608">
        <w:rPr>
          <w:rFonts w:ascii="Bookman Old Style" w:hAnsi="Bookman Old Style"/>
        </w:rPr>
        <w:t xml:space="preserve"> se requieren</w:t>
      </w:r>
      <w:r>
        <w:rPr>
          <w:rFonts w:ascii="Bookman Old Style" w:hAnsi="Bookman Old Style"/>
        </w:rPr>
        <w:t xml:space="preserve"> </w:t>
      </w:r>
      <w:r w:rsidRPr="00154608">
        <w:rPr>
          <w:rFonts w:ascii="Bookman Old Style" w:hAnsi="Bookman Old Style"/>
        </w:rPr>
        <w:t>tomar medidas urgentes para garantizar el abastecimiento del servicio público de energía eléctrica a los usuarios</w:t>
      </w:r>
      <w:r>
        <w:rPr>
          <w:rFonts w:ascii="Bookman Old Style" w:hAnsi="Bookman Old Style"/>
        </w:rPr>
        <w:t>.</w:t>
      </w:r>
    </w:p>
    <w:p w14:paraId="6C5DD236" w14:textId="77777777" w:rsidR="00672A9A" w:rsidRDefault="00672A9A" w:rsidP="00682B24">
      <w:pPr>
        <w:ind w:left="0"/>
        <w:jc w:val="both"/>
        <w:rPr>
          <w:rFonts w:ascii="Bookman Old Style" w:hAnsi="Bookman Old Style"/>
        </w:rPr>
      </w:pPr>
    </w:p>
    <w:p w14:paraId="3DB41754" w14:textId="7C9C7F24" w:rsidR="00045D3D" w:rsidRPr="00C6148D" w:rsidRDefault="00682B24" w:rsidP="00C6148D">
      <w:pPr>
        <w:ind w:left="0"/>
        <w:jc w:val="both"/>
        <w:rPr>
          <w:rFonts w:ascii="Bookman Old Style" w:hAnsi="Bookman Old Style"/>
        </w:rPr>
      </w:pPr>
      <w:r w:rsidRPr="00F9108A">
        <w:rPr>
          <w:rFonts w:ascii="Bookman Old Style" w:hAnsi="Bookman Old Style"/>
        </w:rPr>
        <w:t xml:space="preserve">Conforme a lo anterior, La Comisión de Regulación de Energía y Gas, en su Sesión </w:t>
      </w:r>
      <w:r w:rsidR="00F9108A" w:rsidRPr="00F9108A">
        <w:rPr>
          <w:rFonts w:ascii="Bookman Old Style" w:hAnsi="Bookman Old Style"/>
        </w:rPr>
        <w:t>1310</w:t>
      </w:r>
      <w:r w:rsidRPr="00F9108A">
        <w:rPr>
          <w:rFonts w:ascii="Bookman Old Style" w:hAnsi="Bookman Old Style"/>
        </w:rPr>
        <w:t xml:space="preserve"> del </w:t>
      </w:r>
      <w:r w:rsidR="00F9108A" w:rsidRPr="00F9108A">
        <w:rPr>
          <w:rFonts w:ascii="Bookman Old Style" w:hAnsi="Bookman Old Style"/>
        </w:rPr>
        <w:t>18</w:t>
      </w:r>
      <w:r w:rsidRPr="00F9108A">
        <w:rPr>
          <w:rFonts w:ascii="Bookman Old Style" w:hAnsi="Bookman Old Style"/>
        </w:rPr>
        <w:t xml:space="preserve"> de </w:t>
      </w:r>
      <w:r w:rsidR="00F9108A" w:rsidRPr="00F9108A">
        <w:rPr>
          <w:rFonts w:ascii="Bookman Old Style" w:hAnsi="Bookman Old Style"/>
        </w:rPr>
        <w:t>abril</w:t>
      </w:r>
      <w:r w:rsidRPr="00F9108A">
        <w:rPr>
          <w:rFonts w:ascii="Bookman Old Style" w:hAnsi="Bookman Old Style"/>
        </w:rPr>
        <w:t xml:space="preserve"> de </w:t>
      </w:r>
      <w:r w:rsidR="004A204E" w:rsidRPr="00F9108A">
        <w:rPr>
          <w:rFonts w:ascii="Bookman Old Style" w:hAnsi="Bookman Old Style"/>
        </w:rPr>
        <w:t>2024</w:t>
      </w:r>
      <w:r w:rsidRPr="00F9108A">
        <w:rPr>
          <w:rFonts w:ascii="Bookman Old Style" w:hAnsi="Bookman Old Style"/>
        </w:rPr>
        <w:t>, acordó</w:t>
      </w:r>
      <w:r>
        <w:rPr>
          <w:rFonts w:ascii="Bookman Old Style" w:hAnsi="Bookman Old Style"/>
        </w:rPr>
        <w:t xml:space="preserve"> expedir esta resolución.</w:t>
      </w:r>
    </w:p>
    <w:p w14:paraId="2E6D08E8" w14:textId="77777777" w:rsidR="00C6148D" w:rsidRDefault="00C6148D" w:rsidP="00045D3D">
      <w:pPr>
        <w:suppressAutoHyphens/>
        <w:jc w:val="center"/>
        <w:rPr>
          <w:rFonts w:ascii="Bookman Old Style" w:hAnsi="Bookman Old Style"/>
          <w:b/>
          <w:spacing w:val="-3"/>
        </w:rPr>
      </w:pPr>
    </w:p>
    <w:p w14:paraId="40EFC463" w14:textId="77777777"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6329DCCD" w14:textId="05609B33" w:rsidR="00501745" w:rsidRDefault="00045D3D" w:rsidP="00DF3CA2">
      <w:pPr>
        <w:ind w:left="0"/>
        <w:jc w:val="both"/>
        <w:rPr>
          <w:rFonts w:ascii="Bookman Old Style" w:hAnsi="Bookman Old Style"/>
          <w:bCs/>
        </w:rPr>
      </w:pPr>
      <w:r w:rsidRPr="002A782A">
        <w:rPr>
          <w:rFonts w:ascii="Bookman Old Style" w:hAnsi="Bookman Old Style"/>
          <w:b/>
        </w:rPr>
        <w:t xml:space="preserve">ARTÍCULO 1. </w:t>
      </w:r>
      <w:r w:rsidR="00D8518F">
        <w:rPr>
          <w:rFonts w:ascii="Bookman Old Style" w:hAnsi="Bookman Old Style"/>
          <w:b/>
        </w:rPr>
        <w:t xml:space="preserve">Desviaciones y nueva causal de redespacho. </w:t>
      </w:r>
      <w:r w:rsidR="0088495B" w:rsidRPr="0088495B">
        <w:rPr>
          <w:rFonts w:ascii="Bookman Old Style" w:hAnsi="Bookman Old Style"/>
          <w:bCs/>
        </w:rPr>
        <w:t>E</w:t>
      </w:r>
      <w:r w:rsidR="007742B6">
        <w:rPr>
          <w:rFonts w:ascii="Bookman Old Style" w:hAnsi="Bookman Old Style"/>
          <w:bCs/>
        </w:rPr>
        <w:t xml:space="preserve">l </w:t>
      </w:r>
      <w:r w:rsidR="001B19E6">
        <w:rPr>
          <w:rFonts w:ascii="Bookman Old Style" w:hAnsi="Bookman Old Style"/>
          <w:bCs/>
        </w:rPr>
        <w:t>Centro Nacional de Despacho (</w:t>
      </w:r>
      <w:r w:rsidR="007742B6">
        <w:rPr>
          <w:rFonts w:ascii="Bookman Old Style" w:hAnsi="Bookman Old Style"/>
          <w:bCs/>
        </w:rPr>
        <w:t>CND</w:t>
      </w:r>
      <w:r w:rsidR="001B19E6">
        <w:rPr>
          <w:rFonts w:ascii="Bookman Old Style" w:hAnsi="Bookman Old Style"/>
          <w:bCs/>
        </w:rPr>
        <w:t>)</w:t>
      </w:r>
      <w:r w:rsidR="007742B6">
        <w:rPr>
          <w:rFonts w:ascii="Bookman Old Style" w:hAnsi="Bookman Old Style"/>
          <w:bCs/>
        </w:rPr>
        <w:t xml:space="preserve"> y </w:t>
      </w:r>
      <w:r w:rsidR="001B19E6">
        <w:rPr>
          <w:rFonts w:ascii="Bookman Old Style" w:hAnsi="Bookman Old Style"/>
          <w:bCs/>
        </w:rPr>
        <w:t xml:space="preserve">el Administrador </w:t>
      </w:r>
      <w:r w:rsidR="001B19E6" w:rsidRPr="001C1034">
        <w:rPr>
          <w:rFonts w:ascii="Bookman Old Style" w:hAnsi="Bookman Old Style"/>
          <w:bCs/>
        </w:rPr>
        <w:t xml:space="preserve">del Sistema de Intercambios Comerciales </w:t>
      </w:r>
      <w:r w:rsidR="001B19E6">
        <w:rPr>
          <w:rFonts w:ascii="Bookman Old Style" w:hAnsi="Bookman Old Style"/>
          <w:bCs/>
        </w:rPr>
        <w:t>(</w:t>
      </w:r>
      <w:r w:rsidR="007742B6">
        <w:rPr>
          <w:rFonts w:ascii="Bookman Old Style" w:hAnsi="Bookman Old Style"/>
          <w:bCs/>
        </w:rPr>
        <w:t>ASIC</w:t>
      </w:r>
      <w:r w:rsidR="001B19E6">
        <w:rPr>
          <w:rFonts w:ascii="Bookman Old Style" w:hAnsi="Bookman Old Style"/>
          <w:bCs/>
        </w:rPr>
        <w:t>)</w:t>
      </w:r>
      <w:r w:rsidR="007742B6">
        <w:rPr>
          <w:rFonts w:ascii="Bookman Old Style" w:hAnsi="Bookman Old Style"/>
          <w:bCs/>
        </w:rPr>
        <w:t xml:space="preserve"> </w:t>
      </w:r>
      <w:r w:rsidR="001B19E6">
        <w:rPr>
          <w:rFonts w:ascii="Bookman Old Style" w:hAnsi="Bookman Old Style"/>
          <w:bCs/>
        </w:rPr>
        <w:t>deberán</w:t>
      </w:r>
      <w:r w:rsidR="0088495B">
        <w:rPr>
          <w:rFonts w:ascii="Bookman Old Style" w:hAnsi="Bookman Old Style"/>
          <w:bCs/>
        </w:rPr>
        <w:t xml:space="preserve"> </w:t>
      </w:r>
      <w:r w:rsidR="00B3597F">
        <w:rPr>
          <w:rFonts w:ascii="Bookman Old Style" w:hAnsi="Bookman Old Style"/>
          <w:bCs/>
        </w:rPr>
        <w:t xml:space="preserve">aplicar </w:t>
      </w:r>
      <w:r w:rsidR="001B19E6">
        <w:rPr>
          <w:rFonts w:ascii="Bookman Old Style" w:hAnsi="Bookman Old Style"/>
          <w:bCs/>
        </w:rPr>
        <w:t>transitoriamente</w:t>
      </w:r>
      <w:r w:rsidR="00F93382">
        <w:rPr>
          <w:rFonts w:ascii="Bookman Old Style" w:hAnsi="Bookman Old Style"/>
          <w:bCs/>
        </w:rPr>
        <w:t>, según corresponda,</w:t>
      </w:r>
      <w:r w:rsidR="001B19E6">
        <w:rPr>
          <w:rFonts w:ascii="Bookman Old Style" w:hAnsi="Bookman Old Style"/>
          <w:bCs/>
        </w:rPr>
        <w:t xml:space="preserve"> </w:t>
      </w:r>
      <w:r w:rsidR="0088495B">
        <w:rPr>
          <w:rFonts w:ascii="Bookman Old Style" w:hAnsi="Bookman Old Style"/>
          <w:bCs/>
        </w:rPr>
        <w:t xml:space="preserve">para las desviaciones del programa de generación </w:t>
      </w:r>
      <w:r w:rsidR="00B3597F">
        <w:rPr>
          <w:rFonts w:ascii="Bookman Old Style" w:hAnsi="Bookman Old Style"/>
          <w:bCs/>
        </w:rPr>
        <w:t xml:space="preserve">y </w:t>
      </w:r>
      <w:r w:rsidR="00F93382">
        <w:rPr>
          <w:rFonts w:ascii="Bookman Old Style" w:hAnsi="Bookman Old Style"/>
          <w:bCs/>
        </w:rPr>
        <w:t>c</w:t>
      </w:r>
      <w:r w:rsidR="00B3597F">
        <w:rPr>
          <w:rFonts w:ascii="Bookman Old Style" w:hAnsi="Bookman Old Style"/>
          <w:bCs/>
        </w:rPr>
        <w:t xml:space="preserve">ausales de redespacho </w:t>
      </w:r>
      <w:r w:rsidR="0088495B">
        <w:rPr>
          <w:rFonts w:ascii="Bookman Old Style" w:hAnsi="Bookman Old Style"/>
          <w:bCs/>
        </w:rPr>
        <w:t>lo siguiente:</w:t>
      </w:r>
    </w:p>
    <w:p w14:paraId="174661D5" w14:textId="77777777" w:rsidR="0088495B" w:rsidRDefault="0088495B" w:rsidP="00DF3CA2">
      <w:pPr>
        <w:ind w:left="0"/>
        <w:jc w:val="both"/>
        <w:rPr>
          <w:rFonts w:ascii="Bookman Old Style" w:hAnsi="Bookman Old Style"/>
          <w:bCs/>
        </w:rPr>
      </w:pPr>
    </w:p>
    <w:p w14:paraId="4B8DEE7E" w14:textId="0F25AEFA" w:rsidR="00045D3D" w:rsidRPr="00B3597F" w:rsidRDefault="0088495B" w:rsidP="0088495B">
      <w:pPr>
        <w:pStyle w:val="Prrafodelista"/>
        <w:numPr>
          <w:ilvl w:val="0"/>
          <w:numId w:val="24"/>
        </w:numPr>
        <w:jc w:val="both"/>
        <w:rPr>
          <w:rFonts w:ascii="Bookman Old Style" w:hAnsi="Bookman Old Style"/>
          <w:i/>
          <w:sz w:val="24"/>
          <w:szCs w:val="24"/>
        </w:rPr>
      </w:pPr>
      <w:r>
        <w:rPr>
          <w:rFonts w:ascii="Bookman Old Style" w:hAnsi="Bookman Old Style"/>
          <w:bCs/>
          <w:sz w:val="24"/>
          <w:szCs w:val="24"/>
        </w:rPr>
        <w:t>E</w:t>
      </w:r>
      <w:r w:rsidR="007742B6" w:rsidRPr="0088495B">
        <w:rPr>
          <w:rFonts w:ascii="Bookman Old Style" w:hAnsi="Bookman Old Style"/>
          <w:bCs/>
          <w:sz w:val="24"/>
          <w:szCs w:val="24"/>
        </w:rPr>
        <w:t>n aplicación de</w:t>
      </w:r>
      <w:r w:rsidR="0022658C">
        <w:rPr>
          <w:rFonts w:ascii="Bookman Old Style" w:hAnsi="Bookman Old Style"/>
          <w:bCs/>
          <w:sz w:val="24"/>
          <w:szCs w:val="24"/>
        </w:rPr>
        <w:t xml:space="preserve">l </w:t>
      </w:r>
      <w:r w:rsidR="007742B6" w:rsidRPr="0088495B">
        <w:rPr>
          <w:rFonts w:ascii="Bookman Old Style" w:hAnsi="Bookman Old Style"/>
          <w:bCs/>
          <w:sz w:val="24"/>
          <w:szCs w:val="24"/>
        </w:rPr>
        <w:t xml:space="preserve">literal b de que trata el Numeral 1.1.5 del Anexo A de la Resolución CREG 024 de 1995, </w:t>
      </w:r>
      <w:r w:rsidR="00887CA3">
        <w:rPr>
          <w:rFonts w:ascii="Bookman Old Style" w:hAnsi="Bookman Old Style"/>
          <w:bCs/>
          <w:sz w:val="24"/>
          <w:szCs w:val="24"/>
        </w:rPr>
        <w:t>modificado</w:t>
      </w:r>
      <w:r w:rsidR="007742B6" w:rsidRPr="0088495B">
        <w:rPr>
          <w:rFonts w:ascii="Bookman Old Style" w:hAnsi="Bookman Old Style"/>
          <w:bCs/>
          <w:sz w:val="24"/>
          <w:szCs w:val="24"/>
        </w:rPr>
        <w:t xml:space="preserve"> por el artículo 30 de la Resolución CREG 060 de 2019, considerarán para las plantas de generación variable que no les aplican desviaciones del programa de generación</w:t>
      </w:r>
      <w:r w:rsidR="00CF3847">
        <w:rPr>
          <w:rFonts w:ascii="Bookman Old Style" w:hAnsi="Bookman Old Style"/>
          <w:bCs/>
          <w:sz w:val="24"/>
          <w:szCs w:val="24"/>
        </w:rPr>
        <w:t>, es decir, su desviación</w:t>
      </w:r>
      <w:r w:rsidR="004F5933">
        <w:rPr>
          <w:rFonts w:ascii="Bookman Old Style" w:hAnsi="Bookman Old Style"/>
          <w:bCs/>
          <w:sz w:val="24"/>
          <w:szCs w:val="24"/>
        </w:rPr>
        <w:t xml:space="preserve"> diaria y horaria </w:t>
      </w:r>
      <w:r w:rsidR="00CF3847">
        <w:rPr>
          <w:rFonts w:ascii="Bookman Old Style" w:hAnsi="Bookman Old Style"/>
          <w:bCs/>
          <w:sz w:val="24"/>
          <w:szCs w:val="24"/>
        </w:rPr>
        <w:t>será de cero indiferentemente de los valores que se presenten en su programa de generación</w:t>
      </w:r>
      <w:r w:rsidR="00B14136">
        <w:rPr>
          <w:rFonts w:ascii="Bookman Old Style" w:hAnsi="Bookman Old Style"/>
          <w:bCs/>
          <w:sz w:val="24"/>
          <w:szCs w:val="24"/>
        </w:rPr>
        <w:t>, programa de redespacho</w:t>
      </w:r>
      <w:r w:rsidR="00CF3847">
        <w:rPr>
          <w:rFonts w:ascii="Bookman Old Style" w:hAnsi="Bookman Old Style"/>
          <w:bCs/>
          <w:sz w:val="24"/>
          <w:szCs w:val="24"/>
        </w:rPr>
        <w:t xml:space="preserve"> y generación real.</w:t>
      </w:r>
    </w:p>
    <w:p w14:paraId="0932E662" w14:textId="77777777" w:rsidR="00B3597F" w:rsidRPr="00B3597F" w:rsidRDefault="00B3597F" w:rsidP="00B3597F">
      <w:pPr>
        <w:pStyle w:val="Prrafodelista"/>
        <w:ind w:left="720"/>
        <w:jc w:val="both"/>
        <w:rPr>
          <w:rFonts w:ascii="Bookman Old Style" w:hAnsi="Bookman Old Style"/>
          <w:i/>
          <w:sz w:val="24"/>
          <w:szCs w:val="24"/>
        </w:rPr>
      </w:pPr>
    </w:p>
    <w:p w14:paraId="6DB4D8D9" w14:textId="742A12AB" w:rsidR="00B3597F" w:rsidRPr="001B19E6" w:rsidRDefault="00B3597F" w:rsidP="0088495B">
      <w:pPr>
        <w:pStyle w:val="Prrafodelista"/>
        <w:numPr>
          <w:ilvl w:val="0"/>
          <w:numId w:val="24"/>
        </w:numPr>
        <w:jc w:val="both"/>
        <w:rPr>
          <w:rFonts w:ascii="Bookman Old Style" w:hAnsi="Bookman Old Style"/>
          <w:i/>
          <w:sz w:val="24"/>
          <w:szCs w:val="24"/>
        </w:rPr>
      </w:pPr>
      <w:r>
        <w:rPr>
          <w:rFonts w:ascii="Bookman Old Style" w:hAnsi="Bookman Old Style"/>
          <w:iCs/>
          <w:sz w:val="24"/>
          <w:szCs w:val="24"/>
        </w:rPr>
        <w:t xml:space="preserve">Se adiciona una nueva </w:t>
      </w:r>
      <w:r w:rsidR="001B19E6">
        <w:rPr>
          <w:rFonts w:ascii="Bookman Old Style" w:hAnsi="Bookman Old Style"/>
          <w:iCs/>
          <w:sz w:val="24"/>
          <w:szCs w:val="24"/>
        </w:rPr>
        <w:t>causal</w:t>
      </w:r>
      <w:r>
        <w:rPr>
          <w:rFonts w:ascii="Bookman Old Style" w:hAnsi="Bookman Old Style"/>
          <w:iCs/>
          <w:sz w:val="24"/>
          <w:szCs w:val="24"/>
        </w:rPr>
        <w:t xml:space="preserve"> de redespacho </w:t>
      </w:r>
      <w:r w:rsidR="003D69D3">
        <w:rPr>
          <w:rFonts w:ascii="Bookman Old Style" w:hAnsi="Bookman Old Style"/>
          <w:iCs/>
          <w:sz w:val="24"/>
          <w:szCs w:val="24"/>
        </w:rPr>
        <w:t xml:space="preserve">al numeral 4.1 del Anexo Código de Operación, Resolución CREG 025 de 1995, o todas aquellas que la modifiquen adicionen o sustituyan, </w:t>
      </w:r>
      <w:r w:rsidR="001B19E6">
        <w:rPr>
          <w:rFonts w:ascii="Bookman Old Style" w:hAnsi="Bookman Old Style"/>
          <w:iCs/>
          <w:sz w:val="24"/>
          <w:szCs w:val="24"/>
        </w:rPr>
        <w:t xml:space="preserve">para </w:t>
      </w:r>
      <w:r w:rsidR="008A1230">
        <w:rPr>
          <w:rFonts w:ascii="Bookman Old Style" w:hAnsi="Bookman Old Style"/>
          <w:iCs/>
          <w:sz w:val="24"/>
          <w:szCs w:val="24"/>
        </w:rPr>
        <w:t xml:space="preserve">los cambios de </w:t>
      </w:r>
      <w:r w:rsidR="00585667">
        <w:rPr>
          <w:rFonts w:ascii="Bookman Old Style" w:hAnsi="Bookman Old Style"/>
          <w:iCs/>
          <w:sz w:val="24"/>
          <w:szCs w:val="24"/>
        </w:rPr>
        <w:t>disponibilidad</w:t>
      </w:r>
      <w:r w:rsidR="008A1230">
        <w:rPr>
          <w:rFonts w:ascii="Bookman Old Style" w:hAnsi="Bookman Old Style"/>
          <w:iCs/>
          <w:sz w:val="24"/>
          <w:szCs w:val="24"/>
        </w:rPr>
        <w:t xml:space="preserve"> de plantas de generación </w:t>
      </w:r>
      <w:r w:rsidR="00585667">
        <w:rPr>
          <w:rFonts w:ascii="Bookman Old Style" w:hAnsi="Bookman Old Style"/>
          <w:iCs/>
          <w:sz w:val="24"/>
          <w:szCs w:val="24"/>
        </w:rPr>
        <w:t>hidráulica</w:t>
      </w:r>
      <w:r w:rsidR="00EB3ACE">
        <w:rPr>
          <w:rFonts w:ascii="Bookman Old Style" w:hAnsi="Bookman Old Style"/>
          <w:iCs/>
          <w:sz w:val="24"/>
          <w:szCs w:val="24"/>
        </w:rPr>
        <w:t xml:space="preserve"> </w:t>
      </w:r>
      <w:r w:rsidR="003D69D3">
        <w:rPr>
          <w:rFonts w:ascii="Bookman Old Style" w:hAnsi="Bookman Old Style"/>
          <w:iCs/>
          <w:sz w:val="24"/>
          <w:szCs w:val="24"/>
        </w:rPr>
        <w:t>así</w:t>
      </w:r>
      <w:r w:rsidR="001B19E6">
        <w:rPr>
          <w:rFonts w:ascii="Bookman Old Style" w:hAnsi="Bookman Old Style"/>
          <w:iCs/>
          <w:sz w:val="24"/>
          <w:szCs w:val="24"/>
        </w:rPr>
        <w:t>:</w:t>
      </w:r>
    </w:p>
    <w:p w14:paraId="0FF4877B" w14:textId="77777777" w:rsidR="001B19E6" w:rsidRPr="001B19E6" w:rsidRDefault="001B19E6" w:rsidP="001B19E6">
      <w:pPr>
        <w:pStyle w:val="Prrafodelista"/>
        <w:rPr>
          <w:rFonts w:ascii="Bookman Old Style" w:hAnsi="Bookman Old Style"/>
          <w:i/>
          <w:sz w:val="24"/>
          <w:szCs w:val="24"/>
        </w:rPr>
      </w:pPr>
    </w:p>
    <w:p w14:paraId="0218E421" w14:textId="4298760C" w:rsidR="001B19E6" w:rsidRPr="004E7ABF" w:rsidRDefault="005D7880" w:rsidP="001B19E6">
      <w:pPr>
        <w:pStyle w:val="Prrafodelista"/>
        <w:numPr>
          <w:ilvl w:val="0"/>
          <w:numId w:val="25"/>
        </w:numPr>
        <w:jc w:val="both"/>
        <w:rPr>
          <w:rFonts w:ascii="Bookman Old Style" w:hAnsi="Bookman Old Style"/>
          <w:i/>
          <w:sz w:val="24"/>
          <w:szCs w:val="24"/>
        </w:rPr>
      </w:pPr>
      <w:r>
        <w:rPr>
          <w:rFonts w:ascii="Bookman Old Style" w:hAnsi="Bookman Old Style"/>
          <w:iCs/>
          <w:sz w:val="24"/>
          <w:szCs w:val="24"/>
        </w:rPr>
        <w:t xml:space="preserve">Cuando una planta </w:t>
      </w:r>
      <w:r w:rsidR="00585667">
        <w:rPr>
          <w:rFonts w:ascii="Bookman Old Style" w:hAnsi="Bookman Old Style"/>
          <w:iCs/>
          <w:sz w:val="24"/>
          <w:szCs w:val="24"/>
        </w:rPr>
        <w:t xml:space="preserve">de generación hidráulica </w:t>
      </w:r>
      <w:r>
        <w:rPr>
          <w:rFonts w:ascii="Bookman Old Style" w:hAnsi="Bookman Old Style"/>
          <w:iCs/>
          <w:sz w:val="24"/>
          <w:szCs w:val="24"/>
        </w:rPr>
        <w:t>tenga un</w:t>
      </w:r>
      <w:r w:rsidR="00B02D02">
        <w:rPr>
          <w:rFonts w:ascii="Bookman Old Style" w:hAnsi="Bookman Old Style"/>
          <w:iCs/>
          <w:sz w:val="24"/>
          <w:szCs w:val="24"/>
        </w:rPr>
        <w:t xml:space="preserve">a restricción ambiental sustentada por la autoridad </w:t>
      </w:r>
      <w:r w:rsidR="008C1AF6">
        <w:rPr>
          <w:rFonts w:ascii="Bookman Old Style" w:hAnsi="Bookman Old Style"/>
          <w:iCs/>
          <w:sz w:val="24"/>
          <w:szCs w:val="24"/>
        </w:rPr>
        <w:t xml:space="preserve">ambiental </w:t>
      </w:r>
      <w:r w:rsidR="00B02D02">
        <w:rPr>
          <w:rFonts w:ascii="Bookman Old Style" w:hAnsi="Bookman Old Style"/>
          <w:iCs/>
          <w:sz w:val="24"/>
          <w:szCs w:val="24"/>
        </w:rPr>
        <w:t xml:space="preserve">competente y que la misma </w:t>
      </w:r>
      <w:r w:rsidR="00D60DC2">
        <w:rPr>
          <w:rFonts w:ascii="Bookman Old Style" w:hAnsi="Bookman Old Style"/>
          <w:iCs/>
          <w:sz w:val="24"/>
          <w:szCs w:val="24"/>
        </w:rPr>
        <w:t>produzca desviaciones del programa de generación</w:t>
      </w:r>
      <w:r w:rsidR="00BC3FFE">
        <w:rPr>
          <w:rFonts w:ascii="Bookman Old Style" w:hAnsi="Bookman Old Style"/>
          <w:iCs/>
          <w:sz w:val="24"/>
          <w:szCs w:val="24"/>
        </w:rPr>
        <w:t xml:space="preserve">, </w:t>
      </w:r>
      <w:r w:rsidR="0069292C">
        <w:rPr>
          <w:rFonts w:ascii="Bookman Old Style" w:hAnsi="Bookman Old Style"/>
          <w:iCs/>
          <w:sz w:val="24"/>
          <w:szCs w:val="24"/>
        </w:rPr>
        <w:t xml:space="preserve">la planta </w:t>
      </w:r>
      <w:r w:rsidR="00BC3FFE">
        <w:rPr>
          <w:rFonts w:ascii="Bookman Old Style" w:hAnsi="Bookman Old Style"/>
          <w:iCs/>
          <w:sz w:val="24"/>
          <w:szCs w:val="24"/>
        </w:rPr>
        <w:t xml:space="preserve">debe informar de dicha condición al </w:t>
      </w:r>
      <w:r w:rsidR="17E89F9B" w:rsidRPr="4985A735">
        <w:rPr>
          <w:rFonts w:ascii="Bookman Old Style" w:hAnsi="Bookman Old Style"/>
          <w:sz w:val="24"/>
          <w:szCs w:val="24"/>
        </w:rPr>
        <w:t>Centro Nacional de Despacho</w:t>
      </w:r>
      <w:r w:rsidR="360E692D" w:rsidRPr="4985A735">
        <w:rPr>
          <w:rFonts w:ascii="Bookman Old Style" w:hAnsi="Bookman Old Style"/>
          <w:sz w:val="24"/>
          <w:szCs w:val="24"/>
        </w:rPr>
        <w:t xml:space="preserve"> –</w:t>
      </w:r>
      <w:r w:rsidR="00BC3FFE">
        <w:rPr>
          <w:rFonts w:ascii="Bookman Old Style" w:hAnsi="Bookman Old Style"/>
          <w:iCs/>
          <w:sz w:val="24"/>
          <w:szCs w:val="24"/>
        </w:rPr>
        <w:t>CND</w:t>
      </w:r>
      <w:r w:rsidR="360E692D" w:rsidRPr="4985A735">
        <w:rPr>
          <w:rFonts w:ascii="Bookman Old Style" w:hAnsi="Bookman Old Style"/>
          <w:sz w:val="24"/>
          <w:szCs w:val="24"/>
        </w:rPr>
        <w:t>-</w:t>
      </w:r>
      <w:r w:rsidR="00BC3FFE">
        <w:rPr>
          <w:rFonts w:ascii="Bookman Old Style" w:hAnsi="Bookman Old Style"/>
          <w:iCs/>
          <w:sz w:val="24"/>
          <w:szCs w:val="24"/>
        </w:rPr>
        <w:t xml:space="preserve"> con la justificación</w:t>
      </w:r>
      <w:r w:rsidR="004E7ABF">
        <w:rPr>
          <w:rFonts w:ascii="Bookman Old Style" w:hAnsi="Bookman Old Style"/>
          <w:iCs/>
          <w:sz w:val="24"/>
          <w:szCs w:val="24"/>
        </w:rPr>
        <w:t xml:space="preserve"> y documentación, esto para poder usarse como causal de redespacho. </w:t>
      </w:r>
      <w:r w:rsidR="00BC3FFE">
        <w:rPr>
          <w:rFonts w:ascii="Bookman Old Style" w:hAnsi="Bookman Old Style"/>
          <w:iCs/>
          <w:sz w:val="24"/>
          <w:szCs w:val="24"/>
        </w:rPr>
        <w:t xml:space="preserve"> </w:t>
      </w:r>
      <w:r w:rsidR="004E7ABF">
        <w:rPr>
          <w:rFonts w:ascii="Bookman Old Style" w:hAnsi="Bookman Old Style"/>
          <w:iCs/>
          <w:sz w:val="24"/>
          <w:szCs w:val="24"/>
        </w:rPr>
        <w:t xml:space="preserve">El CND define el medio y los tiempos de reporte de esta información. </w:t>
      </w:r>
    </w:p>
    <w:p w14:paraId="56F7C498" w14:textId="77777777" w:rsidR="004E7ABF" w:rsidRPr="004E7ABF" w:rsidRDefault="004E7ABF" w:rsidP="004E7ABF">
      <w:pPr>
        <w:pStyle w:val="Prrafodelista"/>
        <w:ind w:left="1440"/>
        <w:jc w:val="both"/>
        <w:rPr>
          <w:rFonts w:ascii="Bookman Old Style" w:hAnsi="Bookman Old Style"/>
          <w:i/>
          <w:sz w:val="24"/>
          <w:szCs w:val="24"/>
        </w:rPr>
      </w:pPr>
    </w:p>
    <w:p w14:paraId="7B47D92D" w14:textId="55EAE0BB" w:rsidR="00A066A4" w:rsidRDefault="00A066A4" w:rsidP="00F40AEF">
      <w:pPr>
        <w:pStyle w:val="Prrafodelista"/>
        <w:numPr>
          <w:ilvl w:val="0"/>
          <w:numId w:val="25"/>
        </w:numPr>
        <w:jc w:val="both"/>
        <w:rPr>
          <w:rFonts w:ascii="Bookman Old Style" w:hAnsi="Bookman Old Style"/>
          <w:iCs/>
          <w:sz w:val="24"/>
          <w:szCs w:val="24"/>
        </w:rPr>
      </w:pPr>
      <w:r w:rsidRPr="00A066A4">
        <w:rPr>
          <w:rFonts w:ascii="Bookman Old Style" w:hAnsi="Bookman Old Style"/>
          <w:iCs/>
          <w:sz w:val="24"/>
          <w:szCs w:val="24"/>
        </w:rPr>
        <w:t xml:space="preserve">La planta que haga uso de </w:t>
      </w:r>
      <w:r w:rsidR="009F2DC4" w:rsidRPr="003E1127">
        <w:rPr>
          <w:rFonts w:ascii="Bookman Old Style" w:hAnsi="Bookman Old Style"/>
          <w:iCs/>
          <w:sz w:val="24"/>
          <w:szCs w:val="24"/>
        </w:rPr>
        <w:t>la</w:t>
      </w:r>
      <w:r w:rsidRPr="00A066A4">
        <w:rPr>
          <w:rFonts w:ascii="Bookman Old Style" w:hAnsi="Bookman Old Style"/>
          <w:iCs/>
          <w:sz w:val="24"/>
          <w:szCs w:val="24"/>
        </w:rPr>
        <w:t xml:space="preserve"> causal </w:t>
      </w:r>
      <w:r w:rsidR="003E1127" w:rsidRPr="003E1127">
        <w:rPr>
          <w:rFonts w:ascii="Bookman Old Style" w:hAnsi="Bookman Old Style"/>
          <w:iCs/>
          <w:sz w:val="24"/>
          <w:szCs w:val="24"/>
        </w:rPr>
        <w:t xml:space="preserve">anterior </w:t>
      </w:r>
      <w:r w:rsidRPr="00A066A4">
        <w:rPr>
          <w:rFonts w:ascii="Bookman Old Style" w:hAnsi="Bookman Old Style"/>
          <w:iCs/>
          <w:sz w:val="24"/>
          <w:szCs w:val="24"/>
        </w:rPr>
        <w:t>deberá seguir enviando al CND de forma horaria</w:t>
      </w:r>
      <w:r w:rsidR="003E1127" w:rsidRPr="003E1127">
        <w:rPr>
          <w:rFonts w:ascii="Bookman Old Style" w:hAnsi="Bookman Old Style"/>
          <w:iCs/>
          <w:sz w:val="24"/>
          <w:szCs w:val="24"/>
        </w:rPr>
        <w:t>,</w:t>
      </w:r>
      <w:r w:rsidRPr="00A066A4">
        <w:rPr>
          <w:rFonts w:ascii="Bookman Old Style" w:hAnsi="Bookman Old Style"/>
          <w:iCs/>
          <w:sz w:val="24"/>
          <w:szCs w:val="24"/>
        </w:rPr>
        <w:t xml:space="preserve"> o </w:t>
      </w:r>
      <w:r w:rsidR="00E36A40">
        <w:rPr>
          <w:rFonts w:ascii="Bookman Old Style" w:hAnsi="Bookman Old Style"/>
          <w:iCs/>
          <w:sz w:val="24"/>
          <w:szCs w:val="24"/>
        </w:rPr>
        <w:t>con la periodicidad de</w:t>
      </w:r>
      <w:r w:rsidR="003E1127" w:rsidRPr="003E1127">
        <w:rPr>
          <w:rFonts w:ascii="Bookman Old Style" w:hAnsi="Bookman Old Style"/>
          <w:iCs/>
          <w:sz w:val="24"/>
          <w:szCs w:val="24"/>
        </w:rPr>
        <w:t xml:space="preserve"> tiempo que defina el CND, </w:t>
      </w:r>
      <w:r w:rsidRPr="00A066A4">
        <w:rPr>
          <w:rFonts w:ascii="Bookman Old Style" w:hAnsi="Bookman Old Style"/>
          <w:iCs/>
          <w:sz w:val="24"/>
          <w:szCs w:val="24"/>
        </w:rPr>
        <w:t>los datos hidrológicos de medición de caudales asociados a: aportes, recurso vertido y recurso que es utilizado como gener</w:t>
      </w:r>
      <w:r w:rsidR="003E1127" w:rsidRPr="003E1127">
        <w:rPr>
          <w:rFonts w:ascii="Bookman Old Style" w:hAnsi="Bookman Old Style"/>
          <w:iCs/>
          <w:sz w:val="24"/>
          <w:szCs w:val="24"/>
        </w:rPr>
        <w:t>ación</w:t>
      </w:r>
      <w:r w:rsidRPr="00A066A4">
        <w:rPr>
          <w:rFonts w:ascii="Bookman Old Style" w:hAnsi="Bookman Old Style"/>
          <w:iCs/>
          <w:sz w:val="24"/>
          <w:szCs w:val="24"/>
        </w:rPr>
        <w:t xml:space="preserve">. </w:t>
      </w:r>
      <w:proofErr w:type="gramStart"/>
      <w:r w:rsidRPr="00A066A4">
        <w:rPr>
          <w:rFonts w:ascii="Bookman Old Style" w:hAnsi="Bookman Old Style"/>
          <w:iCs/>
          <w:sz w:val="24"/>
          <w:szCs w:val="24"/>
        </w:rPr>
        <w:t>Además</w:t>
      </w:r>
      <w:proofErr w:type="gramEnd"/>
      <w:r w:rsidRPr="00A066A4">
        <w:rPr>
          <w:rFonts w:ascii="Bookman Old Style" w:hAnsi="Bookman Old Style"/>
          <w:iCs/>
          <w:sz w:val="24"/>
          <w:szCs w:val="24"/>
        </w:rPr>
        <w:t xml:space="preserve"> </w:t>
      </w:r>
      <w:r w:rsidR="003E1127">
        <w:rPr>
          <w:rFonts w:ascii="Bookman Old Style" w:hAnsi="Bookman Old Style"/>
          <w:iCs/>
          <w:sz w:val="24"/>
          <w:szCs w:val="24"/>
        </w:rPr>
        <w:t xml:space="preserve">deben continuar enviando </w:t>
      </w:r>
      <w:r w:rsidRPr="00A066A4">
        <w:rPr>
          <w:rFonts w:ascii="Bookman Old Style" w:hAnsi="Bookman Old Style"/>
          <w:iCs/>
          <w:sz w:val="24"/>
          <w:szCs w:val="24"/>
        </w:rPr>
        <w:t xml:space="preserve">los datos de medición del recurso en dónde la autoridad </w:t>
      </w:r>
      <w:r w:rsidR="003E1127">
        <w:rPr>
          <w:rFonts w:ascii="Bookman Old Style" w:hAnsi="Bookman Old Style"/>
          <w:iCs/>
          <w:sz w:val="24"/>
          <w:szCs w:val="24"/>
        </w:rPr>
        <w:t xml:space="preserve">ambiental </w:t>
      </w:r>
      <w:r w:rsidRPr="00A066A4">
        <w:rPr>
          <w:rFonts w:ascii="Bookman Old Style" w:hAnsi="Bookman Old Style"/>
          <w:iCs/>
          <w:sz w:val="24"/>
          <w:szCs w:val="24"/>
        </w:rPr>
        <w:t>realice la medición y verificación para hacer seguimiento de la restricción</w:t>
      </w:r>
      <w:r w:rsidR="00324D4F">
        <w:rPr>
          <w:rFonts w:ascii="Bookman Old Style" w:hAnsi="Bookman Old Style"/>
          <w:iCs/>
          <w:sz w:val="24"/>
          <w:szCs w:val="24"/>
        </w:rPr>
        <w:t xml:space="preserve"> ambiental</w:t>
      </w:r>
      <w:r w:rsidRPr="00A066A4">
        <w:rPr>
          <w:rFonts w:ascii="Bookman Old Style" w:hAnsi="Bookman Old Style"/>
          <w:iCs/>
          <w:sz w:val="24"/>
          <w:szCs w:val="24"/>
        </w:rPr>
        <w:t>.</w:t>
      </w:r>
    </w:p>
    <w:p w14:paraId="2C053E20" w14:textId="77777777" w:rsidR="0062354F" w:rsidRPr="0062354F" w:rsidRDefault="0062354F" w:rsidP="0062354F">
      <w:pPr>
        <w:pStyle w:val="Prrafodelista"/>
        <w:rPr>
          <w:rFonts w:ascii="Bookman Old Style" w:hAnsi="Bookman Old Style"/>
          <w:iCs/>
          <w:sz w:val="24"/>
          <w:szCs w:val="24"/>
        </w:rPr>
      </w:pPr>
    </w:p>
    <w:p w14:paraId="5D907552" w14:textId="5C5CED84" w:rsidR="0062354F" w:rsidRPr="004E7ABF" w:rsidRDefault="0062354F" w:rsidP="0062354F">
      <w:pPr>
        <w:pStyle w:val="Prrafodelista"/>
        <w:ind w:left="1440"/>
        <w:jc w:val="both"/>
        <w:rPr>
          <w:rFonts w:ascii="Bookman Old Style" w:hAnsi="Bookman Old Style"/>
          <w:i/>
          <w:sz w:val="24"/>
          <w:szCs w:val="24"/>
        </w:rPr>
      </w:pPr>
      <w:r>
        <w:rPr>
          <w:rFonts w:ascii="Bookman Old Style" w:hAnsi="Bookman Old Style"/>
          <w:iCs/>
          <w:sz w:val="24"/>
          <w:szCs w:val="24"/>
        </w:rPr>
        <w:t>El CND define el medio de reporte de esta información.</w:t>
      </w:r>
    </w:p>
    <w:p w14:paraId="428D24EB" w14:textId="77777777" w:rsidR="00A066A4" w:rsidRPr="00A066A4" w:rsidRDefault="00A066A4" w:rsidP="00A066A4">
      <w:pPr>
        <w:pStyle w:val="Prrafodelista"/>
        <w:rPr>
          <w:rFonts w:ascii="Bookman Old Style" w:hAnsi="Bookman Old Style"/>
          <w:iCs/>
          <w:sz w:val="24"/>
          <w:szCs w:val="24"/>
        </w:rPr>
      </w:pPr>
    </w:p>
    <w:p w14:paraId="675C4439" w14:textId="36319CA0" w:rsidR="00DF5E52" w:rsidRDefault="00DF5E52" w:rsidP="00DF5E52">
      <w:pPr>
        <w:pStyle w:val="Prrafodelista"/>
        <w:numPr>
          <w:ilvl w:val="0"/>
          <w:numId w:val="25"/>
        </w:numPr>
        <w:jc w:val="both"/>
        <w:rPr>
          <w:rFonts w:ascii="Bookman Old Style" w:hAnsi="Bookman Old Style"/>
          <w:iCs/>
          <w:sz w:val="24"/>
          <w:szCs w:val="24"/>
        </w:rPr>
      </w:pPr>
      <w:r w:rsidRPr="00DF5E52">
        <w:rPr>
          <w:rFonts w:ascii="Bookman Old Style" w:hAnsi="Bookman Old Style"/>
          <w:iCs/>
          <w:sz w:val="24"/>
          <w:szCs w:val="24"/>
        </w:rPr>
        <w:t xml:space="preserve">El CND deberá reportar toda la información </w:t>
      </w:r>
      <w:r w:rsidR="00325207">
        <w:rPr>
          <w:rFonts w:ascii="Bookman Old Style" w:hAnsi="Bookman Old Style"/>
          <w:iCs/>
          <w:sz w:val="24"/>
          <w:szCs w:val="24"/>
        </w:rPr>
        <w:t xml:space="preserve">de los numerales i y </w:t>
      </w:r>
      <w:proofErr w:type="spellStart"/>
      <w:r w:rsidR="00325207">
        <w:rPr>
          <w:rFonts w:ascii="Bookman Old Style" w:hAnsi="Bookman Old Style"/>
          <w:iCs/>
          <w:sz w:val="24"/>
          <w:szCs w:val="24"/>
        </w:rPr>
        <w:t>ii</w:t>
      </w:r>
      <w:proofErr w:type="spellEnd"/>
      <w:r>
        <w:rPr>
          <w:rFonts w:ascii="Bookman Old Style" w:hAnsi="Bookman Old Style"/>
          <w:iCs/>
          <w:sz w:val="24"/>
          <w:szCs w:val="24"/>
        </w:rPr>
        <w:t xml:space="preserve"> </w:t>
      </w:r>
      <w:r w:rsidR="00537CB2">
        <w:rPr>
          <w:rFonts w:ascii="Bookman Old Style" w:hAnsi="Bookman Old Style"/>
          <w:iCs/>
          <w:sz w:val="24"/>
          <w:szCs w:val="24"/>
        </w:rPr>
        <w:t xml:space="preserve">anteriores </w:t>
      </w:r>
      <w:r>
        <w:rPr>
          <w:rFonts w:ascii="Bookman Old Style" w:hAnsi="Bookman Old Style"/>
          <w:iCs/>
          <w:sz w:val="24"/>
          <w:szCs w:val="24"/>
        </w:rPr>
        <w:t xml:space="preserve">a la Superintendencia de Servicios Públicos Domiciliarios para su vigilancia y seguimiento. </w:t>
      </w:r>
    </w:p>
    <w:p w14:paraId="30FE6BD8" w14:textId="77777777" w:rsidR="00A91DD0" w:rsidRDefault="00A91DD0" w:rsidP="00A91DD0">
      <w:pPr>
        <w:pStyle w:val="Prrafodelista"/>
        <w:ind w:left="1440"/>
        <w:jc w:val="both"/>
        <w:rPr>
          <w:rFonts w:ascii="Bookman Old Style" w:hAnsi="Bookman Old Style"/>
          <w:iCs/>
          <w:sz w:val="24"/>
          <w:szCs w:val="24"/>
        </w:rPr>
      </w:pPr>
    </w:p>
    <w:p w14:paraId="1DB19DEB" w14:textId="6DF57AAE" w:rsidR="00A91DD0" w:rsidRPr="00DF5E52" w:rsidRDefault="00A91DD0" w:rsidP="00DF5E52">
      <w:pPr>
        <w:pStyle w:val="Prrafodelista"/>
        <w:numPr>
          <w:ilvl w:val="0"/>
          <w:numId w:val="25"/>
        </w:numPr>
        <w:jc w:val="both"/>
        <w:rPr>
          <w:rFonts w:ascii="Bookman Old Style" w:hAnsi="Bookman Old Style"/>
          <w:iCs/>
          <w:sz w:val="24"/>
          <w:szCs w:val="24"/>
        </w:rPr>
      </w:pPr>
      <w:r>
        <w:rPr>
          <w:rFonts w:ascii="Bookman Old Style" w:hAnsi="Bookman Old Style"/>
          <w:iCs/>
          <w:sz w:val="24"/>
          <w:szCs w:val="24"/>
        </w:rPr>
        <w:t>El invocar esta causal se considera como una desviación autorizada del programa de generación</w:t>
      </w:r>
      <w:r w:rsidR="0083551B">
        <w:rPr>
          <w:rFonts w:ascii="Bookman Old Style" w:hAnsi="Bookman Old Style"/>
          <w:iCs/>
          <w:sz w:val="24"/>
          <w:szCs w:val="24"/>
        </w:rPr>
        <w:t xml:space="preserve"> que</w:t>
      </w:r>
      <w:r w:rsidR="001009D1">
        <w:rPr>
          <w:rFonts w:ascii="Bookman Old Style" w:hAnsi="Bookman Old Style"/>
          <w:iCs/>
          <w:sz w:val="24"/>
          <w:szCs w:val="24"/>
        </w:rPr>
        <w:t>, en cualquier caso,</w:t>
      </w:r>
      <w:r w:rsidR="0083551B">
        <w:rPr>
          <w:rFonts w:ascii="Bookman Old Style" w:hAnsi="Bookman Old Style"/>
          <w:iCs/>
          <w:sz w:val="24"/>
          <w:szCs w:val="24"/>
        </w:rPr>
        <w:t xml:space="preserve"> </w:t>
      </w:r>
      <w:r w:rsidR="001009D1">
        <w:rPr>
          <w:rFonts w:ascii="Bookman Old Style" w:hAnsi="Bookman Old Style"/>
          <w:iCs/>
          <w:sz w:val="24"/>
          <w:szCs w:val="24"/>
        </w:rPr>
        <w:t>debe analizar el CND para su autorización</w:t>
      </w:r>
      <w:r>
        <w:rPr>
          <w:rFonts w:ascii="Bookman Old Style" w:hAnsi="Bookman Old Style"/>
          <w:iCs/>
          <w:sz w:val="24"/>
          <w:szCs w:val="24"/>
        </w:rPr>
        <w:t>.</w:t>
      </w:r>
    </w:p>
    <w:p w14:paraId="1F032986" w14:textId="77777777" w:rsidR="00045D3D" w:rsidRPr="00C435C3" w:rsidRDefault="00045D3D" w:rsidP="00045D3D">
      <w:pPr>
        <w:rPr>
          <w:rFonts w:ascii="Bookman Old Style" w:hAnsi="Bookman Old Style"/>
        </w:rPr>
      </w:pPr>
    </w:p>
    <w:p w14:paraId="575CB3AC" w14:textId="13167F3F" w:rsidR="00045D3D" w:rsidRDefault="00045D3D" w:rsidP="00DF3CA2">
      <w:pPr>
        <w:ind w:left="0"/>
        <w:jc w:val="both"/>
        <w:rPr>
          <w:rFonts w:ascii="Bookman Old Style" w:hAnsi="Bookman Old Style"/>
          <w:bCs/>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w:t>
      </w:r>
      <w:r w:rsidR="007519FF">
        <w:rPr>
          <w:rFonts w:ascii="Bookman Old Style" w:hAnsi="Bookman Old Style"/>
          <w:i/>
          <w:sz w:val="22"/>
        </w:rPr>
        <w:t xml:space="preserve"> </w:t>
      </w:r>
      <w:r w:rsidR="00D8518F" w:rsidRPr="00D8518F">
        <w:rPr>
          <w:rFonts w:ascii="Bookman Old Style" w:hAnsi="Bookman Old Style"/>
          <w:b/>
        </w:rPr>
        <w:t>Liquidación de desviaciones</w:t>
      </w:r>
      <w:r w:rsidR="00D8518F">
        <w:rPr>
          <w:rFonts w:ascii="Bookman Old Style" w:hAnsi="Bookman Old Style"/>
          <w:i/>
          <w:sz w:val="22"/>
        </w:rPr>
        <w:t xml:space="preserve">. </w:t>
      </w:r>
      <w:r w:rsidR="007519FF" w:rsidRPr="001C1034">
        <w:rPr>
          <w:rFonts w:ascii="Bookman Old Style" w:hAnsi="Bookman Old Style"/>
          <w:bCs/>
        </w:rPr>
        <w:t xml:space="preserve">Las reglas para la liquidación de las desviaciones establecidas en </w:t>
      </w:r>
      <w:r w:rsidR="007519FF">
        <w:rPr>
          <w:rFonts w:ascii="Bookman Old Style" w:hAnsi="Bookman Old Style"/>
          <w:bCs/>
        </w:rPr>
        <w:t>el artículo 1 de la</w:t>
      </w:r>
      <w:r w:rsidR="007519FF" w:rsidRPr="001C1034">
        <w:rPr>
          <w:rFonts w:ascii="Bookman Old Style" w:hAnsi="Bookman Old Style"/>
          <w:bCs/>
        </w:rPr>
        <w:t xml:space="preserve"> presente </w:t>
      </w:r>
      <w:r w:rsidR="007519FF">
        <w:rPr>
          <w:rFonts w:ascii="Bookman Old Style" w:hAnsi="Bookman Old Style"/>
          <w:bCs/>
        </w:rPr>
        <w:t>resolución</w:t>
      </w:r>
      <w:r w:rsidR="007519FF" w:rsidRPr="001C1034">
        <w:rPr>
          <w:rFonts w:ascii="Bookman Old Style" w:hAnsi="Bookman Old Style"/>
          <w:bCs/>
        </w:rPr>
        <w:t xml:space="preserve"> deberán ser aplicadas</w:t>
      </w:r>
      <w:r w:rsidR="00AB1E47">
        <w:rPr>
          <w:rFonts w:ascii="Bookman Old Style" w:hAnsi="Bookman Old Style"/>
          <w:bCs/>
        </w:rPr>
        <w:t xml:space="preserve"> </w:t>
      </w:r>
      <w:r w:rsidR="007519FF" w:rsidRPr="001C1034">
        <w:rPr>
          <w:rFonts w:ascii="Bookman Old Style" w:hAnsi="Bookman Old Style"/>
          <w:bCs/>
        </w:rPr>
        <w:t>por el ASIC a más tardar en la versión final de la facturación mensual para el mes de aplicación de la presente resolución</w:t>
      </w:r>
      <w:r w:rsidR="007519FF">
        <w:rPr>
          <w:rFonts w:ascii="Bookman Old Style" w:hAnsi="Bookman Old Style"/>
          <w:bCs/>
        </w:rPr>
        <w:t>.</w:t>
      </w:r>
      <w:r w:rsidR="00766ABB">
        <w:rPr>
          <w:rFonts w:ascii="Bookman Old Style" w:hAnsi="Bookman Old Style"/>
          <w:bCs/>
        </w:rPr>
        <w:t xml:space="preserve"> </w:t>
      </w:r>
    </w:p>
    <w:p w14:paraId="59758778" w14:textId="77777777" w:rsidR="007519FF" w:rsidRDefault="007519FF" w:rsidP="00DF3CA2">
      <w:pPr>
        <w:ind w:left="0"/>
        <w:jc w:val="both"/>
        <w:rPr>
          <w:rFonts w:ascii="Bookman Old Style" w:hAnsi="Bookman Old Style"/>
          <w:bCs/>
        </w:rPr>
      </w:pPr>
    </w:p>
    <w:p w14:paraId="789B5DD0" w14:textId="709C182C" w:rsidR="00E523E5" w:rsidRDefault="008C11E4" w:rsidP="008C11E4">
      <w:pPr>
        <w:ind w:left="0"/>
        <w:jc w:val="both"/>
        <w:rPr>
          <w:rFonts w:ascii="Bookman Old Style" w:hAnsi="Bookman Old Style"/>
          <w:bCs/>
        </w:rPr>
      </w:pPr>
      <w:r w:rsidRPr="002A782A">
        <w:rPr>
          <w:rFonts w:ascii="Bookman Old Style" w:hAnsi="Bookman Old Style"/>
          <w:b/>
        </w:rPr>
        <w:t xml:space="preserve">ARTÍCULO </w:t>
      </w:r>
      <w:r>
        <w:rPr>
          <w:rFonts w:ascii="Bookman Old Style" w:hAnsi="Bookman Old Style"/>
          <w:b/>
        </w:rPr>
        <w:t>3</w:t>
      </w:r>
      <w:r w:rsidRPr="002A782A">
        <w:rPr>
          <w:rFonts w:ascii="Bookman Old Style" w:hAnsi="Bookman Old Style"/>
          <w:b/>
        </w:rPr>
        <w:t>.</w:t>
      </w:r>
      <w:r w:rsidRPr="4985A735">
        <w:rPr>
          <w:rFonts w:ascii="Bookman Old Style" w:hAnsi="Bookman Old Style"/>
          <w:i/>
          <w:sz w:val="22"/>
          <w:szCs w:val="22"/>
        </w:rPr>
        <w:t xml:space="preserve"> </w:t>
      </w:r>
      <w:r w:rsidR="00D8518F">
        <w:rPr>
          <w:rFonts w:ascii="Bookman Old Style" w:hAnsi="Bookman Old Style"/>
          <w:b/>
        </w:rPr>
        <w:t xml:space="preserve">Requisitos </w:t>
      </w:r>
      <w:r w:rsidR="00F364B5">
        <w:rPr>
          <w:rFonts w:ascii="Bookman Old Style" w:hAnsi="Bookman Old Style"/>
          <w:b/>
        </w:rPr>
        <w:t>mínimos</w:t>
      </w:r>
      <w:r w:rsidR="00D8518F">
        <w:rPr>
          <w:rFonts w:ascii="Bookman Old Style" w:hAnsi="Bookman Old Style"/>
          <w:b/>
        </w:rPr>
        <w:t xml:space="preserve"> para declaración </w:t>
      </w:r>
      <w:r w:rsidR="00F364B5">
        <w:rPr>
          <w:rFonts w:ascii="Bookman Old Style" w:hAnsi="Bookman Old Style"/>
          <w:b/>
        </w:rPr>
        <w:t>de una planta en pruebas</w:t>
      </w:r>
      <w:r w:rsidR="00D8518F">
        <w:rPr>
          <w:rFonts w:ascii="Bookman Old Style" w:hAnsi="Bookman Old Style"/>
          <w:b/>
        </w:rPr>
        <w:t>.</w:t>
      </w:r>
      <w:r w:rsidR="00D8518F" w:rsidRPr="00D8518F">
        <w:rPr>
          <w:rFonts w:ascii="Bookman Old Style" w:hAnsi="Bookman Old Style"/>
          <w:b/>
        </w:rPr>
        <w:t xml:space="preserve"> </w:t>
      </w:r>
      <w:r w:rsidRPr="001C1034">
        <w:rPr>
          <w:rFonts w:ascii="Bookman Old Style" w:hAnsi="Bookman Old Style"/>
          <w:bCs/>
        </w:rPr>
        <w:t xml:space="preserve">Las </w:t>
      </w:r>
      <w:r>
        <w:rPr>
          <w:rFonts w:ascii="Bookman Old Style" w:hAnsi="Bookman Old Style"/>
          <w:bCs/>
        </w:rPr>
        <w:t>plantas que no hayan entrado en operación comercial</w:t>
      </w:r>
      <w:r w:rsidR="0029076B">
        <w:rPr>
          <w:rFonts w:ascii="Bookman Old Style" w:hAnsi="Bookman Old Style"/>
          <w:bCs/>
        </w:rPr>
        <w:t xml:space="preserve"> y que no tengan los requerimientos suficientes para </w:t>
      </w:r>
      <w:r w:rsidR="00A91DD0">
        <w:rPr>
          <w:rFonts w:ascii="Bookman Old Style" w:hAnsi="Bookman Old Style"/>
          <w:bCs/>
        </w:rPr>
        <w:t xml:space="preserve">declararse </w:t>
      </w:r>
      <w:r w:rsidR="0029076B">
        <w:rPr>
          <w:rFonts w:ascii="Bookman Old Style" w:hAnsi="Bookman Old Style"/>
          <w:bCs/>
        </w:rPr>
        <w:t>en</w:t>
      </w:r>
      <w:r w:rsidR="00A91DD0">
        <w:rPr>
          <w:rFonts w:ascii="Bookman Old Style" w:hAnsi="Bookman Old Style"/>
          <w:bCs/>
        </w:rPr>
        <w:t xml:space="preserve"> </w:t>
      </w:r>
      <w:r w:rsidR="00FA304E">
        <w:rPr>
          <w:rFonts w:ascii="Bookman Old Style" w:hAnsi="Bookman Old Style"/>
          <w:bCs/>
        </w:rPr>
        <w:t xml:space="preserve">inicio </w:t>
      </w:r>
      <w:r w:rsidR="00A91DD0">
        <w:rPr>
          <w:rFonts w:ascii="Bookman Old Style" w:hAnsi="Bookman Old Style"/>
          <w:bCs/>
        </w:rPr>
        <w:t>de</w:t>
      </w:r>
      <w:r w:rsidR="0029076B">
        <w:rPr>
          <w:rFonts w:ascii="Bookman Old Style" w:hAnsi="Bookman Old Style"/>
          <w:bCs/>
        </w:rPr>
        <w:t xml:space="preserve"> pruebas,</w:t>
      </w:r>
      <w:r>
        <w:rPr>
          <w:rFonts w:ascii="Bookman Old Style" w:hAnsi="Bookman Old Style"/>
          <w:bCs/>
        </w:rPr>
        <w:t xml:space="preserve"> </w:t>
      </w:r>
      <w:r w:rsidR="53EBFF51" w:rsidRPr="4985A735">
        <w:rPr>
          <w:rFonts w:ascii="Bookman Old Style" w:hAnsi="Bookman Old Style"/>
        </w:rPr>
        <w:t>podrán</w:t>
      </w:r>
      <w:r w:rsidR="00B24419">
        <w:rPr>
          <w:rFonts w:ascii="Bookman Old Style" w:hAnsi="Bookman Old Style"/>
          <w:bCs/>
        </w:rPr>
        <w:t xml:space="preserve"> declararse en </w:t>
      </w:r>
      <w:r w:rsidR="00FA304E">
        <w:rPr>
          <w:rFonts w:ascii="Bookman Old Style" w:hAnsi="Bookman Old Style"/>
          <w:bCs/>
        </w:rPr>
        <w:t xml:space="preserve">inicio de </w:t>
      </w:r>
      <w:r w:rsidR="00B24419">
        <w:rPr>
          <w:rFonts w:ascii="Bookman Old Style" w:hAnsi="Bookman Old Style"/>
          <w:bCs/>
        </w:rPr>
        <w:t>pruebas entregando su energía disponible</w:t>
      </w:r>
      <w:r w:rsidR="00B47A28">
        <w:rPr>
          <w:rFonts w:ascii="Bookman Old Style" w:hAnsi="Bookman Old Style"/>
          <w:bCs/>
        </w:rPr>
        <w:t>.</w:t>
      </w:r>
    </w:p>
    <w:p w14:paraId="2AC0A1D6" w14:textId="00C2E753" w:rsidR="006814C3" w:rsidRDefault="006814C3" w:rsidP="008C11E4">
      <w:pPr>
        <w:ind w:left="0"/>
        <w:jc w:val="both"/>
        <w:rPr>
          <w:rFonts w:ascii="Bookman Old Style" w:hAnsi="Bookman Old Style"/>
          <w:bCs/>
        </w:rPr>
      </w:pPr>
    </w:p>
    <w:p w14:paraId="22844DBF" w14:textId="0313D435" w:rsidR="008C11E4" w:rsidRDefault="00E523E5" w:rsidP="008C11E4">
      <w:pPr>
        <w:ind w:left="0"/>
        <w:jc w:val="both"/>
        <w:rPr>
          <w:rFonts w:ascii="Bookman Old Style" w:hAnsi="Bookman Old Style"/>
          <w:bCs/>
        </w:rPr>
      </w:pPr>
      <w:r w:rsidRPr="00E9533B">
        <w:rPr>
          <w:rFonts w:ascii="Bookman Old Style" w:hAnsi="Bookman Old Style"/>
          <w:b/>
        </w:rPr>
        <w:lastRenderedPageBreak/>
        <w:t>Parágrafo</w:t>
      </w:r>
      <w:r w:rsidR="00B47A28" w:rsidRPr="00E9533B">
        <w:rPr>
          <w:rFonts w:ascii="Bookman Old Style" w:hAnsi="Bookman Old Style"/>
          <w:b/>
        </w:rPr>
        <w:t xml:space="preserve"> 1</w:t>
      </w:r>
      <w:r w:rsidRPr="00E9533B">
        <w:rPr>
          <w:rFonts w:ascii="Bookman Old Style" w:hAnsi="Bookman Old Style"/>
          <w:b/>
        </w:rPr>
        <w:t>.</w:t>
      </w:r>
      <w:r>
        <w:rPr>
          <w:rFonts w:ascii="Bookman Old Style" w:hAnsi="Bookman Old Style"/>
          <w:bCs/>
        </w:rPr>
        <w:t xml:space="preserve"> </w:t>
      </w:r>
      <w:r w:rsidR="00B24419">
        <w:rPr>
          <w:rFonts w:ascii="Bookman Old Style" w:hAnsi="Bookman Old Style"/>
          <w:bCs/>
        </w:rPr>
        <w:t>Es</w:t>
      </w:r>
      <w:r w:rsidR="00B47A28">
        <w:rPr>
          <w:rFonts w:ascii="Bookman Old Style" w:hAnsi="Bookman Old Style"/>
          <w:bCs/>
        </w:rPr>
        <w:t xml:space="preserve">te </w:t>
      </w:r>
      <w:r w:rsidR="006814C3">
        <w:rPr>
          <w:rFonts w:ascii="Bookman Old Style" w:hAnsi="Bookman Old Style"/>
          <w:bCs/>
        </w:rPr>
        <w:t>artículo</w:t>
      </w:r>
      <w:r>
        <w:rPr>
          <w:rFonts w:ascii="Bookman Old Style" w:hAnsi="Bookman Old Style"/>
          <w:bCs/>
        </w:rPr>
        <w:t xml:space="preserve"> se </w:t>
      </w:r>
      <w:r w:rsidR="006814C3">
        <w:rPr>
          <w:rFonts w:ascii="Bookman Old Style" w:hAnsi="Bookman Old Style"/>
          <w:bCs/>
        </w:rPr>
        <w:t>podrá</w:t>
      </w:r>
      <w:r>
        <w:rPr>
          <w:rFonts w:ascii="Bookman Old Style" w:hAnsi="Bookman Old Style"/>
          <w:bCs/>
        </w:rPr>
        <w:t xml:space="preserve"> aplicar</w:t>
      </w:r>
      <w:r w:rsidR="00B24419">
        <w:rPr>
          <w:rFonts w:ascii="Bookman Old Style" w:hAnsi="Bookman Old Style"/>
          <w:bCs/>
        </w:rPr>
        <w:t xml:space="preserve"> una vez</w:t>
      </w:r>
      <w:r>
        <w:rPr>
          <w:rFonts w:ascii="Bookman Old Style" w:hAnsi="Bookman Old Style"/>
          <w:bCs/>
        </w:rPr>
        <w:t xml:space="preserve"> la planta</w:t>
      </w:r>
      <w:r w:rsidR="00B24419">
        <w:rPr>
          <w:rFonts w:ascii="Bookman Old Style" w:hAnsi="Bookman Old Style"/>
          <w:bCs/>
        </w:rPr>
        <w:t xml:space="preserve"> haya cumplido </w:t>
      </w:r>
      <w:r>
        <w:rPr>
          <w:rFonts w:ascii="Bookman Old Style" w:hAnsi="Bookman Old Style"/>
          <w:bCs/>
        </w:rPr>
        <w:t xml:space="preserve">como mínimo </w:t>
      </w:r>
      <w:r w:rsidR="00B24419">
        <w:rPr>
          <w:rFonts w:ascii="Bookman Old Style" w:hAnsi="Bookman Old Style"/>
          <w:bCs/>
        </w:rPr>
        <w:t>con los requerimientos de protecciones y de frontera comercial de la regulación vigente</w:t>
      </w:r>
      <w:r w:rsidR="008C11E4">
        <w:rPr>
          <w:rFonts w:ascii="Bookman Old Style" w:hAnsi="Bookman Old Style"/>
          <w:bCs/>
        </w:rPr>
        <w:t>.</w:t>
      </w:r>
    </w:p>
    <w:p w14:paraId="7E3C4107" w14:textId="77777777" w:rsidR="00B47A28" w:rsidRDefault="00B47A28" w:rsidP="008C11E4">
      <w:pPr>
        <w:ind w:left="0"/>
        <w:jc w:val="both"/>
        <w:rPr>
          <w:rFonts w:ascii="Bookman Old Style" w:hAnsi="Bookman Old Style"/>
          <w:bCs/>
        </w:rPr>
      </w:pPr>
    </w:p>
    <w:p w14:paraId="2E358FDB" w14:textId="3A54333C" w:rsidR="00B47A28" w:rsidRDefault="00B47A28" w:rsidP="00B47A28">
      <w:pPr>
        <w:ind w:left="0"/>
        <w:jc w:val="both"/>
        <w:rPr>
          <w:rFonts w:ascii="Bookman Old Style" w:hAnsi="Bookman Old Style"/>
          <w:bCs/>
        </w:rPr>
      </w:pPr>
      <w:r w:rsidRPr="00E9533B">
        <w:rPr>
          <w:rFonts w:ascii="Bookman Old Style" w:hAnsi="Bookman Old Style"/>
          <w:b/>
        </w:rPr>
        <w:t>Parágrafo 2.</w:t>
      </w:r>
      <w:r>
        <w:rPr>
          <w:rFonts w:ascii="Bookman Old Style" w:hAnsi="Bookman Old Style"/>
          <w:bCs/>
        </w:rPr>
        <w:t xml:space="preserve"> Este </w:t>
      </w:r>
      <w:r w:rsidRPr="4985A735">
        <w:rPr>
          <w:rFonts w:ascii="Bookman Old Style" w:hAnsi="Bookman Old Style"/>
        </w:rPr>
        <w:t>art</w:t>
      </w:r>
      <w:r w:rsidR="4A448A26" w:rsidRPr="4985A735">
        <w:rPr>
          <w:rFonts w:ascii="Bookman Old Style" w:hAnsi="Bookman Old Style"/>
        </w:rPr>
        <w:t>í</w:t>
      </w:r>
      <w:r w:rsidRPr="4985A735">
        <w:rPr>
          <w:rFonts w:ascii="Bookman Old Style" w:hAnsi="Bookman Old Style"/>
        </w:rPr>
        <w:t>culo</w:t>
      </w:r>
      <w:r>
        <w:rPr>
          <w:rFonts w:ascii="Bookman Old Style" w:hAnsi="Bookman Old Style"/>
          <w:bCs/>
        </w:rPr>
        <w:t xml:space="preserve"> no se </w:t>
      </w:r>
      <w:r w:rsidR="006505EA">
        <w:rPr>
          <w:rFonts w:ascii="Bookman Old Style" w:hAnsi="Bookman Old Style"/>
          <w:bCs/>
        </w:rPr>
        <w:t>podrá</w:t>
      </w:r>
      <w:r>
        <w:rPr>
          <w:rFonts w:ascii="Bookman Old Style" w:hAnsi="Bookman Old Style"/>
          <w:bCs/>
        </w:rPr>
        <w:t xml:space="preserve"> aplicar para tener una potencia máxima declarada o una </w:t>
      </w:r>
      <w:r w:rsidR="006505EA">
        <w:rPr>
          <w:rFonts w:ascii="Bookman Old Style" w:hAnsi="Bookman Old Style"/>
          <w:bCs/>
        </w:rPr>
        <w:t>capacidad</w:t>
      </w:r>
      <w:r>
        <w:rPr>
          <w:rFonts w:ascii="Bookman Old Style" w:hAnsi="Bookman Old Style"/>
          <w:bCs/>
        </w:rPr>
        <w:t xml:space="preserve"> </w:t>
      </w:r>
      <w:r w:rsidR="006505EA">
        <w:rPr>
          <w:rFonts w:ascii="Bookman Old Style" w:hAnsi="Bookman Old Style"/>
          <w:bCs/>
        </w:rPr>
        <w:t xml:space="preserve">vista en punto de conexión </w:t>
      </w:r>
      <w:r w:rsidR="00D8518F">
        <w:rPr>
          <w:rFonts w:ascii="Bookman Old Style" w:hAnsi="Bookman Old Style"/>
          <w:bCs/>
        </w:rPr>
        <w:t>mayor</w:t>
      </w:r>
      <w:r w:rsidR="006505EA">
        <w:rPr>
          <w:rFonts w:ascii="Bookman Old Style" w:hAnsi="Bookman Old Style"/>
          <w:bCs/>
        </w:rPr>
        <w:t xml:space="preserve"> de 19,9 MW.</w:t>
      </w:r>
    </w:p>
    <w:p w14:paraId="2B370CBF" w14:textId="77777777" w:rsidR="007519FF" w:rsidRDefault="007519FF" w:rsidP="00DF3CA2">
      <w:pPr>
        <w:ind w:left="0"/>
        <w:jc w:val="both"/>
        <w:rPr>
          <w:rFonts w:ascii="Bookman Old Style" w:hAnsi="Bookman Old Style"/>
          <w:bCs/>
        </w:rPr>
      </w:pPr>
    </w:p>
    <w:p w14:paraId="648EFDAC" w14:textId="11296264" w:rsidR="00E9533B" w:rsidRDefault="00E9533B" w:rsidP="00E9533B">
      <w:pPr>
        <w:ind w:left="0"/>
        <w:jc w:val="both"/>
        <w:rPr>
          <w:rFonts w:ascii="Bookman Old Style" w:hAnsi="Bookman Old Style"/>
          <w:bCs/>
        </w:rPr>
      </w:pPr>
      <w:r w:rsidRPr="00E9533B">
        <w:rPr>
          <w:rFonts w:ascii="Bookman Old Style" w:hAnsi="Bookman Old Style"/>
          <w:b/>
        </w:rPr>
        <w:t xml:space="preserve">Parágrafo </w:t>
      </w:r>
      <w:r>
        <w:rPr>
          <w:rFonts w:ascii="Bookman Old Style" w:hAnsi="Bookman Old Style"/>
          <w:b/>
        </w:rPr>
        <w:t>3</w:t>
      </w:r>
      <w:r w:rsidRPr="00E9533B">
        <w:rPr>
          <w:rFonts w:ascii="Bookman Old Style" w:hAnsi="Bookman Old Style"/>
          <w:b/>
        </w:rPr>
        <w:t>.</w:t>
      </w:r>
      <w:r>
        <w:rPr>
          <w:rFonts w:ascii="Bookman Old Style" w:hAnsi="Bookman Old Style"/>
          <w:bCs/>
        </w:rPr>
        <w:t xml:space="preserve"> La operación de la</w:t>
      </w:r>
      <w:r w:rsidR="000F59F5">
        <w:rPr>
          <w:rFonts w:ascii="Bookman Old Style" w:hAnsi="Bookman Old Style"/>
          <w:bCs/>
        </w:rPr>
        <w:t>s</w:t>
      </w:r>
      <w:r>
        <w:rPr>
          <w:rFonts w:ascii="Bookman Old Style" w:hAnsi="Bookman Old Style"/>
          <w:bCs/>
        </w:rPr>
        <w:t xml:space="preserve"> planta</w:t>
      </w:r>
      <w:r w:rsidR="00B95011">
        <w:rPr>
          <w:rFonts w:ascii="Bookman Old Style" w:hAnsi="Bookman Old Style"/>
          <w:bCs/>
        </w:rPr>
        <w:t>s</w:t>
      </w:r>
      <w:r>
        <w:rPr>
          <w:rFonts w:ascii="Bookman Old Style" w:hAnsi="Bookman Old Style"/>
          <w:bCs/>
        </w:rPr>
        <w:t xml:space="preserve"> en pruebas y conectada</w:t>
      </w:r>
      <w:r w:rsidR="000F59F5">
        <w:rPr>
          <w:rFonts w:ascii="Bookman Old Style" w:hAnsi="Bookman Old Style"/>
          <w:bCs/>
        </w:rPr>
        <w:t>s</w:t>
      </w:r>
      <w:r>
        <w:rPr>
          <w:rFonts w:ascii="Bookman Old Style" w:hAnsi="Bookman Old Style"/>
          <w:bCs/>
        </w:rPr>
        <w:t xml:space="preserve"> al sistema cumpliendo con los requerimientos mínimos de este artículo solo podrá ejecutarse hasta la fecha estipulada en el artículo 4 de la presente resolución</w:t>
      </w:r>
      <w:r w:rsidR="000F59F5">
        <w:rPr>
          <w:rFonts w:ascii="Bookman Old Style" w:hAnsi="Bookman Old Style"/>
          <w:bCs/>
        </w:rPr>
        <w:t>, por lo cual deberán suspender su programa de pruebas luego de dich</w:t>
      </w:r>
      <w:r w:rsidR="00B95011">
        <w:rPr>
          <w:rFonts w:ascii="Bookman Old Style" w:hAnsi="Bookman Old Style"/>
          <w:bCs/>
        </w:rPr>
        <w:t>a fecha</w:t>
      </w:r>
      <w:r>
        <w:rPr>
          <w:rFonts w:ascii="Bookman Old Style" w:hAnsi="Bookman Old Style"/>
          <w:bCs/>
        </w:rPr>
        <w:t xml:space="preserve">. </w:t>
      </w:r>
      <w:r w:rsidR="001B7574">
        <w:rPr>
          <w:rFonts w:ascii="Bookman Old Style" w:hAnsi="Bookman Old Style"/>
          <w:bCs/>
        </w:rPr>
        <w:t>Se podr</w:t>
      </w:r>
      <w:r w:rsidR="00463AFF">
        <w:rPr>
          <w:rFonts w:ascii="Bookman Old Style" w:hAnsi="Bookman Old Style"/>
          <w:bCs/>
        </w:rPr>
        <w:t>á</w:t>
      </w:r>
      <w:r w:rsidR="001B7574">
        <w:rPr>
          <w:rFonts w:ascii="Bookman Old Style" w:hAnsi="Bookman Old Style"/>
          <w:bCs/>
        </w:rPr>
        <w:t xml:space="preserve">n declarar en pruebas de forma posterior, cumpliendo con los requerimientos de la regulación vigente y Acuerdos del Consejo Nacional de Operación </w:t>
      </w:r>
      <w:r w:rsidR="00077C69">
        <w:rPr>
          <w:rFonts w:ascii="Bookman Old Style" w:hAnsi="Bookman Old Style"/>
          <w:bCs/>
        </w:rPr>
        <w:t>que definan tales requisitos.</w:t>
      </w:r>
    </w:p>
    <w:p w14:paraId="734CCE30" w14:textId="77777777" w:rsidR="00E9533B" w:rsidRDefault="00E9533B" w:rsidP="00DF3CA2">
      <w:pPr>
        <w:ind w:left="0"/>
        <w:jc w:val="both"/>
        <w:rPr>
          <w:rFonts w:ascii="Bookman Old Style" w:hAnsi="Bookman Old Style"/>
          <w:bCs/>
        </w:rPr>
      </w:pPr>
    </w:p>
    <w:p w14:paraId="7156EC64" w14:textId="69D6CC1F" w:rsidR="0013688E" w:rsidRDefault="00501745" w:rsidP="00501745">
      <w:pPr>
        <w:ind w:left="0"/>
        <w:jc w:val="both"/>
        <w:rPr>
          <w:rFonts w:ascii="Bookman Old Style" w:hAnsi="Bookman Old Style"/>
        </w:rPr>
      </w:pPr>
      <w:r w:rsidRPr="002A782A">
        <w:rPr>
          <w:rFonts w:ascii="Bookman Old Style" w:hAnsi="Bookman Old Style"/>
          <w:b/>
        </w:rPr>
        <w:t xml:space="preserve">ARTÍCULO </w:t>
      </w:r>
      <w:r>
        <w:rPr>
          <w:rFonts w:ascii="Bookman Old Style" w:hAnsi="Bookman Old Style"/>
          <w:b/>
        </w:rPr>
        <w:t>4</w:t>
      </w:r>
      <w:r w:rsidRPr="002A782A">
        <w:rPr>
          <w:rFonts w:ascii="Bookman Old Style" w:hAnsi="Bookman Old Style"/>
          <w:b/>
        </w:rPr>
        <w:t>.</w:t>
      </w:r>
      <w:r>
        <w:rPr>
          <w:rFonts w:ascii="Bookman Old Style" w:hAnsi="Bookman Old Style"/>
          <w:bCs/>
        </w:rPr>
        <w:t xml:space="preserve"> </w:t>
      </w:r>
      <w:r>
        <w:rPr>
          <w:rFonts w:ascii="Bookman Old Style" w:hAnsi="Bookman Old Style"/>
          <w:b/>
        </w:rPr>
        <w:t>Transición</w:t>
      </w:r>
      <w:r>
        <w:rPr>
          <w:rFonts w:ascii="Bookman Old Style" w:hAnsi="Bookman Old Style"/>
          <w:bCs/>
        </w:rPr>
        <w:t xml:space="preserve">. Las disposiciones de la presente resolución aplicarán </w:t>
      </w:r>
      <w:r w:rsidR="005542A1">
        <w:rPr>
          <w:rFonts w:ascii="Bookman Old Style" w:hAnsi="Bookman Old Style"/>
          <w:bCs/>
        </w:rPr>
        <w:t xml:space="preserve">a partir del día siguiente de </w:t>
      </w:r>
      <w:r w:rsidR="00AB1E47">
        <w:rPr>
          <w:rFonts w:ascii="Bookman Old Style" w:hAnsi="Bookman Old Style"/>
          <w:bCs/>
        </w:rPr>
        <w:t>publicación</w:t>
      </w:r>
      <w:r w:rsidR="005542A1">
        <w:rPr>
          <w:rFonts w:ascii="Bookman Old Style" w:hAnsi="Bookman Old Style"/>
          <w:bCs/>
        </w:rPr>
        <w:t xml:space="preserve"> de esta resolución</w:t>
      </w:r>
      <w:r w:rsidR="00A478B1">
        <w:rPr>
          <w:rFonts w:ascii="Bookman Old Style" w:hAnsi="Bookman Old Style"/>
          <w:bCs/>
        </w:rPr>
        <w:t xml:space="preserve"> </w:t>
      </w:r>
      <w:r w:rsidR="005542A1">
        <w:rPr>
          <w:rFonts w:ascii="Bookman Old Style" w:hAnsi="Bookman Old Style"/>
          <w:bCs/>
        </w:rPr>
        <w:t xml:space="preserve">y </w:t>
      </w:r>
      <w:r>
        <w:rPr>
          <w:rFonts w:ascii="Bookman Old Style" w:hAnsi="Bookman Old Style"/>
          <w:bCs/>
        </w:rPr>
        <w:t>hasta el 30 de junio de 2024.</w:t>
      </w:r>
      <w:r w:rsidR="78B4ADBD" w:rsidRPr="4714D67C">
        <w:rPr>
          <w:rFonts w:ascii="Bookman Old Style" w:hAnsi="Bookman Old Style"/>
        </w:rPr>
        <w:t xml:space="preserve"> </w:t>
      </w:r>
      <w:r w:rsidR="78B4ADBD" w:rsidRPr="3B493216">
        <w:rPr>
          <w:rFonts w:ascii="Bookman Old Style" w:hAnsi="Bookman Old Style"/>
        </w:rPr>
        <w:t>Cumplid</w:t>
      </w:r>
      <w:r w:rsidR="30BB9ECA" w:rsidRPr="3B493216">
        <w:rPr>
          <w:rFonts w:ascii="Bookman Old Style" w:hAnsi="Bookman Old Style"/>
        </w:rPr>
        <w:t>o</w:t>
      </w:r>
      <w:r w:rsidR="78B4ADBD" w:rsidRPr="4714D67C">
        <w:rPr>
          <w:rFonts w:ascii="Bookman Old Style" w:hAnsi="Bookman Old Style"/>
        </w:rPr>
        <w:t xml:space="preserve"> </w:t>
      </w:r>
      <w:r w:rsidR="27D3F736" w:rsidRPr="4714D67C">
        <w:rPr>
          <w:rFonts w:ascii="Bookman Old Style" w:hAnsi="Bookman Old Style"/>
        </w:rPr>
        <w:t xml:space="preserve">este plazo se continuarán aplicando las </w:t>
      </w:r>
      <w:proofErr w:type="gramStart"/>
      <w:r w:rsidR="27D3F736" w:rsidRPr="4714D67C">
        <w:rPr>
          <w:rFonts w:ascii="Bookman Old Style" w:hAnsi="Bookman Old Style"/>
        </w:rPr>
        <w:t>resoluciones</w:t>
      </w:r>
      <w:r w:rsidR="36DFBF72" w:rsidRPr="785E754B">
        <w:rPr>
          <w:rFonts w:ascii="Bookman Old Style" w:hAnsi="Bookman Old Style"/>
        </w:rPr>
        <w:t xml:space="preserve"> </w:t>
      </w:r>
      <w:r w:rsidR="5780232C" w:rsidRPr="764A5785">
        <w:rPr>
          <w:rFonts w:ascii="Bookman Old Style" w:hAnsi="Bookman Old Style"/>
        </w:rPr>
        <w:t xml:space="preserve"> </w:t>
      </w:r>
      <w:r w:rsidR="5780232C" w:rsidRPr="5BA2DCCE">
        <w:rPr>
          <w:rFonts w:ascii="Bookman Old Style" w:hAnsi="Bookman Old Style"/>
        </w:rPr>
        <w:t>vigentes</w:t>
      </w:r>
      <w:proofErr w:type="gramEnd"/>
      <w:r w:rsidR="5780232C" w:rsidRPr="5BA2DCCE">
        <w:rPr>
          <w:rFonts w:ascii="Bookman Old Style" w:hAnsi="Bookman Old Style"/>
        </w:rPr>
        <w:t xml:space="preserve"> </w:t>
      </w:r>
      <w:r w:rsidR="5780232C" w:rsidRPr="43A18D17">
        <w:rPr>
          <w:rFonts w:ascii="Bookman Old Style" w:hAnsi="Bookman Old Style"/>
        </w:rPr>
        <w:t>sobre la materia</w:t>
      </w:r>
      <w:r w:rsidR="5780232C" w:rsidRPr="6FE0A4AC">
        <w:rPr>
          <w:rFonts w:ascii="Bookman Old Style" w:hAnsi="Bookman Old Style"/>
        </w:rPr>
        <w:t>.</w:t>
      </w:r>
    </w:p>
    <w:p w14:paraId="389C946B" w14:textId="77777777" w:rsidR="0013688E" w:rsidRDefault="0013688E" w:rsidP="00501745">
      <w:pPr>
        <w:ind w:left="0"/>
        <w:jc w:val="both"/>
        <w:rPr>
          <w:rFonts w:ascii="Bookman Old Style" w:hAnsi="Bookman Old Style"/>
          <w:bCs/>
        </w:rPr>
      </w:pPr>
    </w:p>
    <w:p w14:paraId="1A65BDF4" w14:textId="5083389B" w:rsidR="00045D3D" w:rsidRDefault="00EF033D" w:rsidP="00EF033D">
      <w:pPr>
        <w:ind w:left="0"/>
        <w:jc w:val="both"/>
        <w:rPr>
          <w:rFonts w:ascii="Bookman Old Style" w:hAnsi="Bookman Old Style"/>
          <w:i/>
          <w:sz w:val="22"/>
        </w:rPr>
      </w:pPr>
      <w:r w:rsidRPr="002A782A">
        <w:rPr>
          <w:rFonts w:ascii="Bookman Old Style" w:hAnsi="Bookman Old Style"/>
          <w:b/>
        </w:rPr>
        <w:t xml:space="preserve">ARTÍCULO </w:t>
      </w:r>
      <w:r>
        <w:rPr>
          <w:rFonts w:ascii="Bookman Old Style" w:hAnsi="Bookman Old Style"/>
          <w:b/>
        </w:rPr>
        <w:t>5</w:t>
      </w:r>
      <w:r w:rsidRPr="002A782A">
        <w:rPr>
          <w:rFonts w:ascii="Bookman Old Style" w:hAnsi="Bookman Old Style"/>
          <w:b/>
        </w:rPr>
        <w:t>.</w:t>
      </w:r>
      <w:r>
        <w:rPr>
          <w:rFonts w:ascii="Bookman Old Style" w:hAnsi="Bookman Old Style"/>
          <w:bCs/>
        </w:rPr>
        <w:t xml:space="preserve"> </w:t>
      </w:r>
      <w:r w:rsidRPr="4985A735">
        <w:rPr>
          <w:rFonts w:ascii="Bookman Old Style" w:hAnsi="Bookman Old Style"/>
          <w:b/>
          <w:bCs/>
        </w:rPr>
        <w:t>Vigenci</w:t>
      </w:r>
      <w:r w:rsidR="641F5512" w:rsidRPr="4985A735">
        <w:rPr>
          <w:rFonts w:ascii="Bookman Old Style" w:hAnsi="Bookman Old Style"/>
          <w:b/>
          <w:bCs/>
        </w:rPr>
        <w:t>a</w:t>
      </w:r>
      <w:r>
        <w:rPr>
          <w:rFonts w:ascii="Bookman Old Style" w:hAnsi="Bookman Old Style"/>
          <w:bCs/>
        </w:rPr>
        <w:t xml:space="preserve">. </w:t>
      </w:r>
      <w:r w:rsidRPr="4714D67C">
        <w:rPr>
          <w:rFonts w:ascii="Bookman Old Style" w:hAnsi="Bookman Old Style"/>
          <w:color w:val="000000" w:themeColor="text1"/>
        </w:rPr>
        <w:t>La presente resolución rige a partir de su publicación en el </w:t>
      </w:r>
      <w:r w:rsidRPr="4714D67C">
        <w:rPr>
          <w:rFonts w:ascii="Bookman Old Style" w:hAnsi="Bookman Old Style"/>
          <w:i/>
          <w:color w:val="000000" w:themeColor="text1"/>
        </w:rPr>
        <w:t>Diario Oficial</w:t>
      </w:r>
      <w:r w:rsidRPr="4714D67C">
        <w:rPr>
          <w:rFonts w:ascii="Bookman Old Style" w:hAnsi="Bookman Old Style"/>
          <w:color w:val="000000" w:themeColor="text1"/>
        </w:rPr>
        <w:t>.</w:t>
      </w:r>
    </w:p>
    <w:p w14:paraId="4C3505C4" w14:textId="77777777" w:rsidR="00045D3D" w:rsidRPr="00C435C3" w:rsidRDefault="00045D3D" w:rsidP="00045D3D">
      <w:pPr>
        <w:ind w:left="0"/>
        <w:rPr>
          <w:rFonts w:ascii="Bookman Old Style" w:hAnsi="Bookman Old Style"/>
        </w:rPr>
      </w:pPr>
    </w:p>
    <w:p w14:paraId="292B1F06" w14:textId="6DE2B38A" w:rsidR="00045D3D" w:rsidRDefault="00045D3D" w:rsidP="00045D3D">
      <w:pPr>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p w14:paraId="5AF3C5C0" w14:textId="77777777" w:rsidR="007D0B61" w:rsidRDefault="007D0B61" w:rsidP="00045D3D">
      <w:pPr>
        <w:jc w:val="center"/>
        <w:rPr>
          <w:rFonts w:ascii="Bookman Old Style" w:hAnsi="Bookman Old Style"/>
          <w:b/>
        </w:rPr>
      </w:pPr>
    </w:p>
    <w:tbl>
      <w:tblPr>
        <w:tblW w:w="0" w:type="auto"/>
        <w:tblCellMar>
          <w:top w:w="15" w:type="dxa"/>
          <w:left w:w="15" w:type="dxa"/>
          <w:bottom w:w="15" w:type="dxa"/>
          <w:right w:w="15" w:type="dxa"/>
        </w:tblCellMar>
        <w:tblLook w:val="04A0" w:firstRow="1" w:lastRow="0" w:firstColumn="1" w:lastColumn="0" w:noHBand="0" w:noVBand="1"/>
      </w:tblPr>
      <w:tblGrid>
        <w:gridCol w:w="4992"/>
        <w:gridCol w:w="4364"/>
      </w:tblGrid>
      <w:tr w:rsidR="007D0B61" w14:paraId="1C78FF99" w14:textId="77777777" w:rsidTr="007D0B61">
        <w:tc>
          <w:tcPr>
            <w:tcW w:w="5067" w:type="dxa"/>
            <w:tcBorders>
              <w:top w:val="nil"/>
              <w:left w:val="nil"/>
              <w:bottom w:val="nil"/>
              <w:right w:val="nil"/>
            </w:tcBorders>
            <w:tcMar>
              <w:top w:w="0" w:type="dxa"/>
              <w:left w:w="108" w:type="dxa"/>
              <w:bottom w:w="0" w:type="dxa"/>
              <w:right w:w="108" w:type="dxa"/>
            </w:tcMar>
            <w:hideMark/>
          </w:tcPr>
          <w:p w14:paraId="21ECC248" w14:textId="77777777" w:rsidR="007D0B61" w:rsidRDefault="007D0B61">
            <w:pPr>
              <w:pStyle w:val="NormalWeb"/>
              <w:spacing w:before="0" w:beforeAutospacing="0" w:after="0" w:afterAutospacing="0" w:line="276" w:lineRule="atLeast"/>
              <w:jc w:val="center"/>
              <w:rPr>
                <w:rFonts w:ascii="Bookman Old Style" w:hAnsi="Bookman Old Style"/>
                <w:b/>
                <w:bCs/>
                <w:lang w:val="es-ES"/>
              </w:rPr>
            </w:pPr>
          </w:p>
          <w:p w14:paraId="669AEC1E" w14:textId="77777777" w:rsidR="007D0B61" w:rsidRDefault="007D0B61">
            <w:pPr>
              <w:pStyle w:val="NormalWeb"/>
              <w:spacing w:before="0" w:beforeAutospacing="0" w:after="0" w:afterAutospacing="0" w:line="276" w:lineRule="atLeast"/>
              <w:jc w:val="center"/>
              <w:rPr>
                <w:rFonts w:ascii="Bookman Old Style" w:hAnsi="Bookman Old Style"/>
                <w:b/>
                <w:bCs/>
                <w:lang w:val="es-ES"/>
              </w:rPr>
            </w:pPr>
          </w:p>
          <w:p w14:paraId="460543A1" w14:textId="4B366F54" w:rsidR="007D0B61" w:rsidRDefault="007D0B61">
            <w:pPr>
              <w:pStyle w:val="NormalWeb"/>
              <w:spacing w:before="0" w:beforeAutospacing="0" w:after="0" w:afterAutospacing="0" w:line="276" w:lineRule="atLeast"/>
              <w:jc w:val="center"/>
              <w:rPr>
                <w:rFonts w:ascii="Bookman Old Style" w:hAnsi="Bookman Old Style"/>
              </w:rPr>
            </w:pPr>
          </w:p>
        </w:tc>
        <w:tc>
          <w:tcPr>
            <w:tcW w:w="4429" w:type="dxa"/>
            <w:tcBorders>
              <w:top w:val="nil"/>
              <w:left w:val="nil"/>
              <w:bottom w:val="nil"/>
              <w:right w:val="nil"/>
            </w:tcBorders>
            <w:tcMar>
              <w:top w:w="0" w:type="dxa"/>
              <w:left w:w="108" w:type="dxa"/>
              <w:bottom w:w="0" w:type="dxa"/>
              <w:right w:w="108" w:type="dxa"/>
            </w:tcMar>
            <w:hideMark/>
          </w:tcPr>
          <w:p w14:paraId="4EE0ADD1" w14:textId="0259B8A5" w:rsidR="007D0B61" w:rsidRDefault="007D0B61">
            <w:pPr>
              <w:pStyle w:val="NormalWeb"/>
              <w:spacing w:before="0" w:beforeAutospacing="0" w:after="0" w:afterAutospacing="0" w:line="276" w:lineRule="atLeast"/>
              <w:jc w:val="center"/>
              <w:rPr>
                <w:rFonts w:ascii="Bookman Old Style" w:hAnsi="Bookman Old Style"/>
              </w:rPr>
            </w:pPr>
          </w:p>
        </w:tc>
      </w:tr>
    </w:tbl>
    <w:p w14:paraId="08107B52" w14:textId="77777777" w:rsidR="007D0B61" w:rsidRPr="00C435C3" w:rsidRDefault="007D0B61" w:rsidP="00045D3D">
      <w:pPr>
        <w:jc w:val="center"/>
        <w:rPr>
          <w:rFonts w:ascii="Bookman Old Style" w:hAnsi="Bookman Old Style"/>
          <w:b/>
        </w:rPr>
      </w:pPr>
    </w:p>
    <w:p w14:paraId="7651F574" w14:textId="77777777" w:rsidR="00045D3D" w:rsidRPr="00C435C3" w:rsidRDefault="00045D3D" w:rsidP="00045D3D">
      <w:pPr>
        <w:rPr>
          <w:rFonts w:ascii="Bookman Old Style" w:hAnsi="Bookman Old Style"/>
        </w:rPr>
      </w:pPr>
    </w:p>
    <w:sectPr w:rsidR="00045D3D" w:rsidRPr="00C435C3" w:rsidSect="000025C0">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5D689" w14:textId="77777777" w:rsidR="000025C0" w:rsidRDefault="000025C0">
      <w:r>
        <w:separator/>
      </w:r>
    </w:p>
  </w:endnote>
  <w:endnote w:type="continuationSeparator" w:id="0">
    <w:p w14:paraId="2A6CBECD" w14:textId="77777777" w:rsidR="000025C0" w:rsidRDefault="000025C0">
      <w:r>
        <w:continuationSeparator/>
      </w:r>
    </w:p>
  </w:endnote>
  <w:endnote w:type="continuationNotice" w:id="1">
    <w:p w14:paraId="4B45C67A" w14:textId="77777777" w:rsidR="000025C0" w:rsidRDefault="00002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E0445" w14:textId="77777777" w:rsidR="000025C0" w:rsidRDefault="000025C0">
      <w:r>
        <w:separator/>
      </w:r>
    </w:p>
  </w:footnote>
  <w:footnote w:type="continuationSeparator" w:id="0">
    <w:p w14:paraId="5CE22D43" w14:textId="77777777" w:rsidR="000025C0" w:rsidRDefault="000025C0">
      <w:r>
        <w:continuationSeparator/>
      </w:r>
    </w:p>
  </w:footnote>
  <w:footnote w:type="continuationNotice" w:id="1">
    <w:p w14:paraId="56526521" w14:textId="77777777" w:rsidR="000025C0" w:rsidRDefault="00002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22FF3D29" w:rsidR="0087657D" w:rsidRPr="00951F79" w:rsidRDefault="00D336C4"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C6148D">
      <w:rPr>
        <w:rFonts w:ascii="Bookman Old Style" w:hAnsi="Bookman Old Style" w:cs="Arial"/>
        <w:b w:val="0"/>
        <w:sz w:val="22"/>
        <w:szCs w:val="22"/>
      </w:rPr>
      <w:t xml:space="preserve"> </w:t>
    </w:r>
    <w:r w:rsidR="00C6148D" w:rsidRPr="00C6148D">
      <w:rPr>
        <w:rFonts w:ascii="Bookman Old Style" w:hAnsi="Bookman Old Style" w:cs="Arial"/>
        <w:bCs/>
        <w:sz w:val="22"/>
        <w:szCs w:val="22"/>
        <w:u w:val="single"/>
      </w:rPr>
      <w:t>701 042</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C6148D">
      <w:rPr>
        <w:rFonts w:ascii="Bookman Old Style" w:hAnsi="Bookman Old Style" w:cs="Arial"/>
        <w:b w:val="0"/>
        <w:sz w:val="22"/>
        <w:szCs w:val="22"/>
      </w:rPr>
      <w:t xml:space="preserve"> </w:t>
    </w:r>
    <w:r w:rsidR="00C6148D" w:rsidRPr="00C6148D">
      <w:rPr>
        <w:rFonts w:ascii="Bookman Old Style" w:hAnsi="Bookman Old Style" w:cs="Arial"/>
        <w:bCs/>
        <w:sz w:val="22"/>
        <w:szCs w:val="22"/>
        <w:u w:val="single"/>
      </w:rPr>
      <w:t>18 ABR. 2024</w:t>
    </w:r>
    <w:r w:rsidR="003D076C">
      <w:rPr>
        <w:rFonts w:ascii="Bookman Old Style" w:hAnsi="Bookman Old Style" w:cs="Arial"/>
        <w:b w:val="0"/>
        <w:sz w:val="22"/>
        <w:szCs w:val="22"/>
      </w:rPr>
      <w:tab/>
    </w:r>
    <w:r w:rsidR="00C6148D">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A1A10"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DE7A"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8358A"/>
    <w:multiLevelType w:val="hybridMultilevel"/>
    <w:tmpl w:val="5B36B4B2"/>
    <w:lvl w:ilvl="0" w:tplc="C2E41DA2">
      <w:start w:val="1"/>
      <w:numFmt w:val="lowerLetter"/>
      <w:lvlText w:val="%1)"/>
      <w:lvlJc w:val="left"/>
      <w:pPr>
        <w:ind w:left="720" w:hanging="360"/>
      </w:pPr>
      <w:rPr>
        <w:rFonts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3BE7396"/>
    <w:multiLevelType w:val="hybridMultilevel"/>
    <w:tmpl w:val="D2D00F3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B038C4"/>
    <w:multiLevelType w:val="hybridMultilevel"/>
    <w:tmpl w:val="85F81942"/>
    <w:lvl w:ilvl="0" w:tplc="749A9790">
      <w:start w:val="1"/>
      <w:numFmt w:val="lowerRoman"/>
      <w:lvlText w:val="%1."/>
      <w:lvlJc w:val="left"/>
      <w:pPr>
        <w:ind w:left="1440" w:hanging="360"/>
      </w:pPr>
      <w:rPr>
        <w:rFonts w:hint="default"/>
        <w:i w:val="0"/>
        <w:i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3"/>
  </w:num>
  <w:num w:numId="4" w16cid:durableId="1416053916">
    <w:abstractNumId w:val="6"/>
  </w:num>
  <w:num w:numId="5" w16cid:durableId="1460681335">
    <w:abstractNumId w:val="17"/>
  </w:num>
  <w:num w:numId="6" w16cid:durableId="432214895">
    <w:abstractNumId w:val="4"/>
  </w:num>
  <w:num w:numId="7" w16cid:durableId="845751384">
    <w:abstractNumId w:val="3"/>
  </w:num>
  <w:num w:numId="8" w16cid:durableId="29301030">
    <w:abstractNumId w:val="20"/>
  </w:num>
  <w:num w:numId="9" w16cid:durableId="2003662021">
    <w:abstractNumId w:val="19"/>
  </w:num>
  <w:num w:numId="10" w16cid:durableId="2014674860">
    <w:abstractNumId w:val="13"/>
  </w:num>
  <w:num w:numId="11" w16cid:durableId="958032325">
    <w:abstractNumId w:val="24"/>
  </w:num>
  <w:num w:numId="12" w16cid:durableId="1838691975">
    <w:abstractNumId w:val="22"/>
  </w:num>
  <w:num w:numId="13" w16cid:durableId="273679532">
    <w:abstractNumId w:val="10"/>
  </w:num>
  <w:num w:numId="14" w16cid:durableId="2070683866">
    <w:abstractNumId w:val="2"/>
  </w:num>
  <w:num w:numId="15" w16cid:durableId="1975476040">
    <w:abstractNumId w:val="14"/>
  </w:num>
  <w:num w:numId="16" w16cid:durableId="83963299">
    <w:abstractNumId w:val="1"/>
  </w:num>
  <w:num w:numId="17" w16cid:durableId="353533871">
    <w:abstractNumId w:val="9"/>
  </w:num>
  <w:num w:numId="18" w16cid:durableId="788664195">
    <w:abstractNumId w:val="0"/>
  </w:num>
  <w:num w:numId="19" w16cid:durableId="1454788596">
    <w:abstractNumId w:val="21"/>
  </w:num>
  <w:num w:numId="20" w16cid:durableId="1999069271">
    <w:abstractNumId w:val="15"/>
  </w:num>
  <w:num w:numId="21" w16cid:durableId="1075667280">
    <w:abstractNumId w:val="7"/>
  </w:num>
  <w:num w:numId="22" w16cid:durableId="40371620">
    <w:abstractNumId w:val="8"/>
  </w:num>
  <w:num w:numId="23" w16cid:durableId="1289819993">
    <w:abstractNumId w:val="16"/>
  </w:num>
  <w:num w:numId="24" w16cid:durableId="1764566570">
    <w:abstractNumId w:val="11"/>
  </w:num>
  <w:num w:numId="25" w16cid:durableId="15134955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353"/>
    <w:rsid w:val="000025C0"/>
    <w:rsid w:val="0000625C"/>
    <w:rsid w:val="00006AE2"/>
    <w:rsid w:val="000076A1"/>
    <w:rsid w:val="00012259"/>
    <w:rsid w:val="0001627C"/>
    <w:rsid w:val="00025383"/>
    <w:rsid w:val="0002657F"/>
    <w:rsid w:val="00031D5C"/>
    <w:rsid w:val="00033502"/>
    <w:rsid w:val="000348BF"/>
    <w:rsid w:val="00042483"/>
    <w:rsid w:val="00045D3D"/>
    <w:rsid w:val="0004717F"/>
    <w:rsid w:val="00052C2D"/>
    <w:rsid w:val="00063657"/>
    <w:rsid w:val="0007035E"/>
    <w:rsid w:val="00076680"/>
    <w:rsid w:val="00076A1D"/>
    <w:rsid w:val="00077C69"/>
    <w:rsid w:val="0008073E"/>
    <w:rsid w:val="00091CDB"/>
    <w:rsid w:val="000A0145"/>
    <w:rsid w:val="000A19AC"/>
    <w:rsid w:val="000B2EC9"/>
    <w:rsid w:val="000C7CAC"/>
    <w:rsid w:val="000D26F8"/>
    <w:rsid w:val="000D48A6"/>
    <w:rsid w:val="000E23AE"/>
    <w:rsid w:val="000E47BD"/>
    <w:rsid w:val="000E57BE"/>
    <w:rsid w:val="000E669C"/>
    <w:rsid w:val="000F3FC0"/>
    <w:rsid w:val="000F59F5"/>
    <w:rsid w:val="000F7FCB"/>
    <w:rsid w:val="001009D1"/>
    <w:rsid w:val="00106654"/>
    <w:rsid w:val="00116809"/>
    <w:rsid w:val="00117F7E"/>
    <w:rsid w:val="0012400B"/>
    <w:rsid w:val="0013526C"/>
    <w:rsid w:val="0013688E"/>
    <w:rsid w:val="001405C6"/>
    <w:rsid w:val="00141013"/>
    <w:rsid w:val="00154608"/>
    <w:rsid w:val="00186041"/>
    <w:rsid w:val="0018749E"/>
    <w:rsid w:val="00192CBF"/>
    <w:rsid w:val="00192FF1"/>
    <w:rsid w:val="001A5F1B"/>
    <w:rsid w:val="001B19E6"/>
    <w:rsid w:val="001B1C22"/>
    <w:rsid w:val="001B2C3D"/>
    <w:rsid w:val="001B34C6"/>
    <w:rsid w:val="001B7574"/>
    <w:rsid w:val="001C44EC"/>
    <w:rsid w:val="001D169E"/>
    <w:rsid w:val="001D507E"/>
    <w:rsid w:val="001D7832"/>
    <w:rsid w:val="00210DC1"/>
    <w:rsid w:val="00211D34"/>
    <w:rsid w:val="00214F04"/>
    <w:rsid w:val="002251AA"/>
    <w:rsid w:val="0022658C"/>
    <w:rsid w:val="002352B9"/>
    <w:rsid w:val="00237CB1"/>
    <w:rsid w:val="002475E8"/>
    <w:rsid w:val="00247A2B"/>
    <w:rsid w:val="00266CD6"/>
    <w:rsid w:val="002673AC"/>
    <w:rsid w:val="00275DAB"/>
    <w:rsid w:val="002762C1"/>
    <w:rsid w:val="0028508D"/>
    <w:rsid w:val="002903C0"/>
    <w:rsid w:val="0029076B"/>
    <w:rsid w:val="002A361A"/>
    <w:rsid w:val="002A782A"/>
    <w:rsid w:val="002B11E2"/>
    <w:rsid w:val="002B24B8"/>
    <w:rsid w:val="002C07D3"/>
    <w:rsid w:val="002D3AE9"/>
    <w:rsid w:val="002D4510"/>
    <w:rsid w:val="002D7EF9"/>
    <w:rsid w:val="002F0734"/>
    <w:rsid w:val="002F175F"/>
    <w:rsid w:val="002F3D9E"/>
    <w:rsid w:val="002F46E7"/>
    <w:rsid w:val="003101DA"/>
    <w:rsid w:val="003102AE"/>
    <w:rsid w:val="003111C3"/>
    <w:rsid w:val="00314757"/>
    <w:rsid w:val="003163BC"/>
    <w:rsid w:val="003211CE"/>
    <w:rsid w:val="00324D4F"/>
    <w:rsid w:val="003250DA"/>
    <w:rsid w:val="00325207"/>
    <w:rsid w:val="003338BB"/>
    <w:rsid w:val="0035403A"/>
    <w:rsid w:val="0036394B"/>
    <w:rsid w:val="00365677"/>
    <w:rsid w:val="00366DB6"/>
    <w:rsid w:val="003709B5"/>
    <w:rsid w:val="003759C2"/>
    <w:rsid w:val="00377027"/>
    <w:rsid w:val="0038492A"/>
    <w:rsid w:val="00397365"/>
    <w:rsid w:val="003A2950"/>
    <w:rsid w:val="003A31F6"/>
    <w:rsid w:val="003C09CF"/>
    <w:rsid w:val="003C3447"/>
    <w:rsid w:val="003C3F2E"/>
    <w:rsid w:val="003C49AB"/>
    <w:rsid w:val="003D076C"/>
    <w:rsid w:val="003D69D3"/>
    <w:rsid w:val="003E1127"/>
    <w:rsid w:val="003E78B5"/>
    <w:rsid w:val="003E7A62"/>
    <w:rsid w:val="003F10C8"/>
    <w:rsid w:val="003F68C5"/>
    <w:rsid w:val="003F7E67"/>
    <w:rsid w:val="004012F8"/>
    <w:rsid w:val="00415BAB"/>
    <w:rsid w:val="00415ED2"/>
    <w:rsid w:val="0042068C"/>
    <w:rsid w:val="004251F5"/>
    <w:rsid w:val="00426637"/>
    <w:rsid w:val="0043534B"/>
    <w:rsid w:val="0044318E"/>
    <w:rsid w:val="00443B35"/>
    <w:rsid w:val="0045488D"/>
    <w:rsid w:val="00463AFF"/>
    <w:rsid w:val="00466B0E"/>
    <w:rsid w:val="0047122B"/>
    <w:rsid w:val="00473B7A"/>
    <w:rsid w:val="00491C66"/>
    <w:rsid w:val="004960E9"/>
    <w:rsid w:val="004A204E"/>
    <w:rsid w:val="004A2E88"/>
    <w:rsid w:val="004A5305"/>
    <w:rsid w:val="004B379C"/>
    <w:rsid w:val="004B3BD9"/>
    <w:rsid w:val="004C3AD5"/>
    <w:rsid w:val="004D05F2"/>
    <w:rsid w:val="004D2A71"/>
    <w:rsid w:val="004D7634"/>
    <w:rsid w:val="004D7E6A"/>
    <w:rsid w:val="004E611A"/>
    <w:rsid w:val="004E6813"/>
    <w:rsid w:val="004E7ABF"/>
    <w:rsid w:val="004F5933"/>
    <w:rsid w:val="004F6460"/>
    <w:rsid w:val="00501745"/>
    <w:rsid w:val="00520E9E"/>
    <w:rsid w:val="00520F90"/>
    <w:rsid w:val="005300D3"/>
    <w:rsid w:val="00537CB2"/>
    <w:rsid w:val="00542A10"/>
    <w:rsid w:val="00544F82"/>
    <w:rsid w:val="005509D2"/>
    <w:rsid w:val="005528F2"/>
    <w:rsid w:val="005542A1"/>
    <w:rsid w:val="00566067"/>
    <w:rsid w:val="00572199"/>
    <w:rsid w:val="00585667"/>
    <w:rsid w:val="005875E5"/>
    <w:rsid w:val="00593C4F"/>
    <w:rsid w:val="005946A8"/>
    <w:rsid w:val="005A3E06"/>
    <w:rsid w:val="005A4407"/>
    <w:rsid w:val="005A59EF"/>
    <w:rsid w:val="005B1C7E"/>
    <w:rsid w:val="005C2253"/>
    <w:rsid w:val="005C6976"/>
    <w:rsid w:val="005C7677"/>
    <w:rsid w:val="005D7880"/>
    <w:rsid w:val="005F6F41"/>
    <w:rsid w:val="0060147E"/>
    <w:rsid w:val="00601F6F"/>
    <w:rsid w:val="0062354F"/>
    <w:rsid w:val="00625DC6"/>
    <w:rsid w:val="0063560D"/>
    <w:rsid w:val="0064391D"/>
    <w:rsid w:val="006505EA"/>
    <w:rsid w:val="00651821"/>
    <w:rsid w:val="00654384"/>
    <w:rsid w:val="006640DA"/>
    <w:rsid w:val="006675CD"/>
    <w:rsid w:val="00672A9A"/>
    <w:rsid w:val="006814C3"/>
    <w:rsid w:val="00682B24"/>
    <w:rsid w:val="00684D9B"/>
    <w:rsid w:val="0068510A"/>
    <w:rsid w:val="0069292C"/>
    <w:rsid w:val="00697556"/>
    <w:rsid w:val="006A3821"/>
    <w:rsid w:val="006B4647"/>
    <w:rsid w:val="006B4C2B"/>
    <w:rsid w:val="006B6194"/>
    <w:rsid w:val="006B6D47"/>
    <w:rsid w:val="006C5AFE"/>
    <w:rsid w:val="006E0CBA"/>
    <w:rsid w:val="006E29D8"/>
    <w:rsid w:val="006E371F"/>
    <w:rsid w:val="006F2EC8"/>
    <w:rsid w:val="006F6D95"/>
    <w:rsid w:val="00706F13"/>
    <w:rsid w:val="007072E8"/>
    <w:rsid w:val="0071618D"/>
    <w:rsid w:val="00725FA4"/>
    <w:rsid w:val="00740446"/>
    <w:rsid w:val="007438A9"/>
    <w:rsid w:val="0074491E"/>
    <w:rsid w:val="007519FF"/>
    <w:rsid w:val="0076247A"/>
    <w:rsid w:val="007653AB"/>
    <w:rsid w:val="00765BBB"/>
    <w:rsid w:val="00766ABB"/>
    <w:rsid w:val="007711CD"/>
    <w:rsid w:val="00772B48"/>
    <w:rsid w:val="007742B6"/>
    <w:rsid w:val="00775964"/>
    <w:rsid w:val="007765FE"/>
    <w:rsid w:val="00783054"/>
    <w:rsid w:val="00783AAA"/>
    <w:rsid w:val="00794E2E"/>
    <w:rsid w:val="00795BFB"/>
    <w:rsid w:val="007A0E79"/>
    <w:rsid w:val="007A3104"/>
    <w:rsid w:val="007A3ACA"/>
    <w:rsid w:val="007A6181"/>
    <w:rsid w:val="007B0C3E"/>
    <w:rsid w:val="007B2760"/>
    <w:rsid w:val="007B4B88"/>
    <w:rsid w:val="007B5A60"/>
    <w:rsid w:val="007D0B61"/>
    <w:rsid w:val="007D55B3"/>
    <w:rsid w:val="007D7E8D"/>
    <w:rsid w:val="007E7C60"/>
    <w:rsid w:val="00806C01"/>
    <w:rsid w:val="008148CC"/>
    <w:rsid w:val="008211A4"/>
    <w:rsid w:val="00825E8E"/>
    <w:rsid w:val="0083551B"/>
    <w:rsid w:val="008452E9"/>
    <w:rsid w:val="00845301"/>
    <w:rsid w:val="0084693A"/>
    <w:rsid w:val="00847B2E"/>
    <w:rsid w:val="00866AA3"/>
    <w:rsid w:val="00873150"/>
    <w:rsid w:val="0087657D"/>
    <w:rsid w:val="008807D5"/>
    <w:rsid w:val="00880832"/>
    <w:rsid w:val="0088495B"/>
    <w:rsid w:val="00886EE1"/>
    <w:rsid w:val="0088727D"/>
    <w:rsid w:val="00887CA3"/>
    <w:rsid w:val="00891C04"/>
    <w:rsid w:val="00897C75"/>
    <w:rsid w:val="008A1230"/>
    <w:rsid w:val="008A18C2"/>
    <w:rsid w:val="008A3DEA"/>
    <w:rsid w:val="008A4D85"/>
    <w:rsid w:val="008A516D"/>
    <w:rsid w:val="008B1548"/>
    <w:rsid w:val="008C0CB6"/>
    <w:rsid w:val="008C1130"/>
    <w:rsid w:val="008C11E4"/>
    <w:rsid w:val="008C1AF6"/>
    <w:rsid w:val="008D18E6"/>
    <w:rsid w:val="008D7A9B"/>
    <w:rsid w:val="008E0060"/>
    <w:rsid w:val="008E2AD1"/>
    <w:rsid w:val="008E7091"/>
    <w:rsid w:val="008E76AC"/>
    <w:rsid w:val="008F21F6"/>
    <w:rsid w:val="00911963"/>
    <w:rsid w:val="00913A85"/>
    <w:rsid w:val="009161E6"/>
    <w:rsid w:val="00926697"/>
    <w:rsid w:val="00931629"/>
    <w:rsid w:val="00951F79"/>
    <w:rsid w:val="00954E2C"/>
    <w:rsid w:val="0095561E"/>
    <w:rsid w:val="00957F7F"/>
    <w:rsid w:val="00962D1F"/>
    <w:rsid w:val="00974AB5"/>
    <w:rsid w:val="00975031"/>
    <w:rsid w:val="0098706D"/>
    <w:rsid w:val="009916B6"/>
    <w:rsid w:val="009935FB"/>
    <w:rsid w:val="009A322A"/>
    <w:rsid w:val="009B3CAC"/>
    <w:rsid w:val="009C2300"/>
    <w:rsid w:val="009F2DC4"/>
    <w:rsid w:val="009F4A54"/>
    <w:rsid w:val="009F4BEC"/>
    <w:rsid w:val="009F5874"/>
    <w:rsid w:val="009F6E2D"/>
    <w:rsid w:val="00A06511"/>
    <w:rsid w:val="00A066A4"/>
    <w:rsid w:val="00A15BA9"/>
    <w:rsid w:val="00A21E62"/>
    <w:rsid w:val="00A21F93"/>
    <w:rsid w:val="00A25FD7"/>
    <w:rsid w:val="00A336FF"/>
    <w:rsid w:val="00A43AFF"/>
    <w:rsid w:val="00A478B1"/>
    <w:rsid w:val="00A546B8"/>
    <w:rsid w:val="00A7793A"/>
    <w:rsid w:val="00A77A9B"/>
    <w:rsid w:val="00A77EBD"/>
    <w:rsid w:val="00A91DD0"/>
    <w:rsid w:val="00AA4CC7"/>
    <w:rsid w:val="00AA5E8E"/>
    <w:rsid w:val="00AB13D0"/>
    <w:rsid w:val="00AB1E47"/>
    <w:rsid w:val="00AB2BAD"/>
    <w:rsid w:val="00AB6CA7"/>
    <w:rsid w:val="00AC45E4"/>
    <w:rsid w:val="00AD01E4"/>
    <w:rsid w:val="00AD0858"/>
    <w:rsid w:val="00AD67FE"/>
    <w:rsid w:val="00AE02E3"/>
    <w:rsid w:val="00AE7340"/>
    <w:rsid w:val="00AF1BBD"/>
    <w:rsid w:val="00B02D02"/>
    <w:rsid w:val="00B06053"/>
    <w:rsid w:val="00B10207"/>
    <w:rsid w:val="00B14136"/>
    <w:rsid w:val="00B141E7"/>
    <w:rsid w:val="00B203EB"/>
    <w:rsid w:val="00B24419"/>
    <w:rsid w:val="00B32B26"/>
    <w:rsid w:val="00B351B4"/>
    <w:rsid w:val="00B3597F"/>
    <w:rsid w:val="00B46BCA"/>
    <w:rsid w:val="00B478AA"/>
    <w:rsid w:val="00B47A28"/>
    <w:rsid w:val="00B80E3E"/>
    <w:rsid w:val="00B87806"/>
    <w:rsid w:val="00B87EC9"/>
    <w:rsid w:val="00B91F48"/>
    <w:rsid w:val="00B95011"/>
    <w:rsid w:val="00BB0B04"/>
    <w:rsid w:val="00BB1FBB"/>
    <w:rsid w:val="00BB32C9"/>
    <w:rsid w:val="00BB53B8"/>
    <w:rsid w:val="00BC38FD"/>
    <w:rsid w:val="00BC3FFE"/>
    <w:rsid w:val="00BE34C8"/>
    <w:rsid w:val="00BE39AF"/>
    <w:rsid w:val="00BF1449"/>
    <w:rsid w:val="00BF4259"/>
    <w:rsid w:val="00BF4519"/>
    <w:rsid w:val="00BF62CB"/>
    <w:rsid w:val="00C034CB"/>
    <w:rsid w:val="00C051A8"/>
    <w:rsid w:val="00C054BC"/>
    <w:rsid w:val="00C17897"/>
    <w:rsid w:val="00C20504"/>
    <w:rsid w:val="00C365AE"/>
    <w:rsid w:val="00C40931"/>
    <w:rsid w:val="00C409D5"/>
    <w:rsid w:val="00C435C3"/>
    <w:rsid w:val="00C44E5F"/>
    <w:rsid w:val="00C511E7"/>
    <w:rsid w:val="00C51B7C"/>
    <w:rsid w:val="00C53C08"/>
    <w:rsid w:val="00C60048"/>
    <w:rsid w:val="00C6148D"/>
    <w:rsid w:val="00C622F4"/>
    <w:rsid w:val="00C6234B"/>
    <w:rsid w:val="00C63380"/>
    <w:rsid w:val="00C63EAE"/>
    <w:rsid w:val="00C73260"/>
    <w:rsid w:val="00C7629F"/>
    <w:rsid w:val="00C826BE"/>
    <w:rsid w:val="00C8661B"/>
    <w:rsid w:val="00C878FC"/>
    <w:rsid w:val="00CA03C8"/>
    <w:rsid w:val="00CA139A"/>
    <w:rsid w:val="00CA2899"/>
    <w:rsid w:val="00CA3A3D"/>
    <w:rsid w:val="00CA3AA6"/>
    <w:rsid w:val="00CA77FB"/>
    <w:rsid w:val="00CB379B"/>
    <w:rsid w:val="00CB5327"/>
    <w:rsid w:val="00CB5DD0"/>
    <w:rsid w:val="00CB63AF"/>
    <w:rsid w:val="00CC351F"/>
    <w:rsid w:val="00CC51D4"/>
    <w:rsid w:val="00CC65DA"/>
    <w:rsid w:val="00CF21B9"/>
    <w:rsid w:val="00CF3847"/>
    <w:rsid w:val="00CF4DF5"/>
    <w:rsid w:val="00CF6A20"/>
    <w:rsid w:val="00CF6BF9"/>
    <w:rsid w:val="00D03800"/>
    <w:rsid w:val="00D065D3"/>
    <w:rsid w:val="00D14C94"/>
    <w:rsid w:val="00D32124"/>
    <w:rsid w:val="00D336C4"/>
    <w:rsid w:val="00D342A6"/>
    <w:rsid w:val="00D37FDD"/>
    <w:rsid w:val="00D438EF"/>
    <w:rsid w:val="00D45CA6"/>
    <w:rsid w:val="00D464BF"/>
    <w:rsid w:val="00D514AC"/>
    <w:rsid w:val="00D53E26"/>
    <w:rsid w:val="00D57129"/>
    <w:rsid w:val="00D57ECD"/>
    <w:rsid w:val="00D60DC2"/>
    <w:rsid w:val="00D720F8"/>
    <w:rsid w:val="00D83F43"/>
    <w:rsid w:val="00D8518F"/>
    <w:rsid w:val="00D86C12"/>
    <w:rsid w:val="00D91C12"/>
    <w:rsid w:val="00DB182C"/>
    <w:rsid w:val="00DB5661"/>
    <w:rsid w:val="00DC492A"/>
    <w:rsid w:val="00DC496A"/>
    <w:rsid w:val="00DD0633"/>
    <w:rsid w:val="00DD4F0E"/>
    <w:rsid w:val="00DE2BDA"/>
    <w:rsid w:val="00DF0BF0"/>
    <w:rsid w:val="00DF16F5"/>
    <w:rsid w:val="00DF20D7"/>
    <w:rsid w:val="00DF3CA2"/>
    <w:rsid w:val="00DF575E"/>
    <w:rsid w:val="00DF5E52"/>
    <w:rsid w:val="00DF753F"/>
    <w:rsid w:val="00E01463"/>
    <w:rsid w:val="00E05E0A"/>
    <w:rsid w:val="00E060BE"/>
    <w:rsid w:val="00E062EE"/>
    <w:rsid w:val="00E24075"/>
    <w:rsid w:val="00E36A40"/>
    <w:rsid w:val="00E43E25"/>
    <w:rsid w:val="00E4563F"/>
    <w:rsid w:val="00E45DDE"/>
    <w:rsid w:val="00E523E5"/>
    <w:rsid w:val="00E52607"/>
    <w:rsid w:val="00E534CF"/>
    <w:rsid w:val="00E63920"/>
    <w:rsid w:val="00E81CB4"/>
    <w:rsid w:val="00E81E1C"/>
    <w:rsid w:val="00E8585B"/>
    <w:rsid w:val="00E87F41"/>
    <w:rsid w:val="00E9533B"/>
    <w:rsid w:val="00EA3F15"/>
    <w:rsid w:val="00EA5490"/>
    <w:rsid w:val="00EA7847"/>
    <w:rsid w:val="00EB3ACE"/>
    <w:rsid w:val="00EB4C2F"/>
    <w:rsid w:val="00ED04AF"/>
    <w:rsid w:val="00EE2E6E"/>
    <w:rsid w:val="00EF033D"/>
    <w:rsid w:val="00EF3F0E"/>
    <w:rsid w:val="00F04541"/>
    <w:rsid w:val="00F0759E"/>
    <w:rsid w:val="00F1229C"/>
    <w:rsid w:val="00F16A43"/>
    <w:rsid w:val="00F21110"/>
    <w:rsid w:val="00F364B5"/>
    <w:rsid w:val="00F46780"/>
    <w:rsid w:val="00F53315"/>
    <w:rsid w:val="00F55808"/>
    <w:rsid w:val="00F55DB1"/>
    <w:rsid w:val="00F61E24"/>
    <w:rsid w:val="00F77D2D"/>
    <w:rsid w:val="00F81606"/>
    <w:rsid w:val="00F821A3"/>
    <w:rsid w:val="00F9108A"/>
    <w:rsid w:val="00F9314A"/>
    <w:rsid w:val="00F93382"/>
    <w:rsid w:val="00F940B2"/>
    <w:rsid w:val="00FA304E"/>
    <w:rsid w:val="00FA62AB"/>
    <w:rsid w:val="00FB1C7C"/>
    <w:rsid w:val="00FC58EF"/>
    <w:rsid w:val="00FD33DF"/>
    <w:rsid w:val="00FE39D7"/>
    <w:rsid w:val="00FE5F8B"/>
    <w:rsid w:val="00FF0130"/>
    <w:rsid w:val="00FF0B59"/>
    <w:rsid w:val="026A5530"/>
    <w:rsid w:val="068A837A"/>
    <w:rsid w:val="06DFEBF2"/>
    <w:rsid w:val="0AF32369"/>
    <w:rsid w:val="0E149126"/>
    <w:rsid w:val="0F273DF2"/>
    <w:rsid w:val="17E89F9B"/>
    <w:rsid w:val="1B7C1075"/>
    <w:rsid w:val="1C49B3E7"/>
    <w:rsid w:val="21ABAD57"/>
    <w:rsid w:val="230D68AC"/>
    <w:rsid w:val="259C7825"/>
    <w:rsid w:val="26E396BA"/>
    <w:rsid w:val="27D3F736"/>
    <w:rsid w:val="28CCE20D"/>
    <w:rsid w:val="2982D14E"/>
    <w:rsid w:val="2D60F78A"/>
    <w:rsid w:val="2DA57E2F"/>
    <w:rsid w:val="30BB9ECA"/>
    <w:rsid w:val="360E692D"/>
    <w:rsid w:val="36DFBF72"/>
    <w:rsid w:val="3B493216"/>
    <w:rsid w:val="3CA59033"/>
    <w:rsid w:val="43A18D17"/>
    <w:rsid w:val="446A9424"/>
    <w:rsid w:val="470164E3"/>
    <w:rsid w:val="4714D67C"/>
    <w:rsid w:val="4985A735"/>
    <w:rsid w:val="49AC238A"/>
    <w:rsid w:val="4A448A26"/>
    <w:rsid w:val="4C261A68"/>
    <w:rsid w:val="4E53F8EC"/>
    <w:rsid w:val="51F2AC3C"/>
    <w:rsid w:val="528486A5"/>
    <w:rsid w:val="53EBFF51"/>
    <w:rsid w:val="55508DCF"/>
    <w:rsid w:val="55D94AD8"/>
    <w:rsid w:val="5780232C"/>
    <w:rsid w:val="5BA2DCCE"/>
    <w:rsid w:val="5CC7BB1A"/>
    <w:rsid w:val="5DDCE5CC"/>
    <w:rsid w:val="5F7F0024"/>
    <w:rsid w:val="60FB94AD"/>
    <w:rsid w:val="61AC127B"/>
    <w:rsid w:val="638DD5EA"/>
    <w:rsid w:val="641F5512"/>
    <w:rsid w:val="64AF927E"/>
    <w:rsid w:val="65D96E6E"/>
    <w:rsid w:val="67A10D61"/>
    <w:rsid w:val="6AB32D02"/>
    <w:rsid w:val="6B1EFC2F"/>
    <w:rsid w:val="6CFE3991"/>
    <w:rsid w:val="6CFF26ED"/>
    <w:rsid w:val="6D86C6A9"/>
    <w:rsid w:val="6E3A7CC9"/>
    <w:rsid w:val="6FE0A4AC"/>
    <w:rsid w:val="764A5785"/>
    <w:rsid w:val="77F37146"/>
    <w:rsid w:val="785E754B"/>
    <w:rsid w:val="78B4ADBD"/>
    <w:rsid w:val="7C0ACD05"/>
    <w:rsid w:val="7EFB4B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semiHidden/>
    <w:unhideWhenUsed/>
    <w:rsid w:val="00911963"/>
    <w:rPr>
      <w:color w:val="0563C1" w:themeColor="hyperlink"/>
      <w:u w:val="single"/>
    </w:rPr>
  </w:style>
  <w:style w:type="paragraph" w:styleId="Revisin">
    <w:name w:val="Revision"/>
    <w:hidden/>
    <w:uiPriority w:val="99"/>
    <w:semiHidden/>
    <w:rsid w:val="007B4B88"/>
    <w:rPr>
      <w:sz w:val="24"/>
      <w:szCs w:val="24"/>
      <w:lang w:val="es-ES" w:eastAsia="es-ES"/>
    </w:rPr>
  </w:style>
  <w:style w:type="paragraph" w:styleId="NormalWeb">
    <w:name w:val="Normal (Web)"/>
    <w:basedOn w:val="Normal"/>
    <w:uiPriority w:val="99"/>
    <w:semiHidden/>
    <w:unhideWhenUsed/>
    <w:rsid w:val="007D0B61"/>
    <w:pPr>
      <w:spacing w:before="100" w:beforeAutospacing="1" w:after="100" w:afterAutospacing="1"/>
      <w:ind w:left="0"/>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980">
      <w:bodyDiv w:val="1"/>
      <w:marLeft w:val="0"/>
      <w:marRight w:val="0"/>
      <w:marTop w:val="0"/>
      <w:marBottom w:val="0"/>
      <w:divBdr>
        <w:top w:val="none" w:sz="0" w:space="0" w:color="auto"/>
        <w:left w:val="none" w:sz="0" w:space="0" w:color="auto"/>
        <w:bottom w:val="none" w:sz="0" w:space="0" w:color="auto"/>
        <w:right w:val="none" w:sz="0" w:space="0" w:color="auto"/>
      </w:divBdr>
    </w:div>
    <w:div w:id="135266761">
      <w:bodyDiv w:val="1"/>
      <w:marLeft w:val="0"/>
      <w:marRight w:val="0"/>
      <w:marTop w:val="0"/>
      <w:marBottom w:val="0"/>
      <w:divBdr>
        <w:top w:val="none" w:sz="0" w:space="0" w:color="auto"/>
        <w:left w:val="none" w:sz="0" w:space="0" w:color="auto"/>
        <w:bottom w:val="none" w:sz="0" w:space="0" w:color="auto"/>
        <w:right w:val="none" w:sz="0" w:space="0" w:color="auto"/>
      </w:divBdr>
    </w:div>
    <w:div w:id="986859703">
      <w:bodyDiv w:val="1"/>
      <w:marLeft w:val="0"/>
      <w:marRight w:val="0"/>
      <w:marTop w:val="0"/>
      <w:marBottom w:val="0"/>
      <w:divBdr>
        <w:top w:val="none" w:sz="0" w:space="0" w:color="auto"/>
        <w:left w:val="none" w:sz="0" w:space="0" w:color="auto"/>
        <w:bottom w:val="none" w:sz="0" w:space="0" w:color="auto"/>
        <w:right w:val="none" w:sz="0" w:space="0" w:color="auto"/>
      </w:divBdr>
    </w:div>
    <w:div w:id="1267424148">
      <w:bodyDiv w:val="1"/>
      <w:marLeft w:val="0"/>
      <w:marRight w:val="0"/>
      <w:marTop w:val="0"/>
      <w:marBottom w:val="0"/>
      <w:divBdr>
        <w:top w:val="none" w:sz="0" w:space="0" w:color="auto"/>
        <w:left w:val="none" w:sz="0" w:space="0" w:color="auto"/>
        <w:bottom w:val="none" w:sz="0" w:space="0" w:color="auto"/>
        <w:right w:val="none" w:sz="0" w:space="0" w:color="auto"/>
      </w:divBdr>
    </w:div>
    <w:div w:id="1356268308">
      <w:bodyDiv w:val="1"/>
      <w:marLeft w:val="0"/>
      <w:marRight w:val="0"/>
      <w:marTop w:val="0"/>
      <w:marBottom w:val="0"/>
      <w:divBdr>
        <w:top w:val="none" w:sz="0" w:space="0" w:color="auto"/>
        <w:left w:val="none" w:sz="0" w:space="0" w:color="auto"/>
        <w:bottom w:val="none" w:sz="0" w:space="0" w:color="auto"/>
        <w:right w:val="none" w:sz="0" w:space="0" w:color="auto"/>
      </w:divBdr>
    </w:div>
    <w:div w:id="1447852568">
      <w:bodyDiv w:val="1"/>
      <w:marLeft w:val="0"/>
      <w:marRight w:val="0"/>
      <w:marTop w:val="0"/>
      <w:marBottom w:val="0"/>
      <w:divBdr>
        <w:top w:val="none" w:sz="0" w:space="0" w:color="auto"/>
        <w:left w:val="none" w:sz="0" w:space="0" w:color="auto"/>
        <w:bottom w:val="none" w:sz="0" w:space="0" w:color="auto"/>
        <w:right w:val="none" w:sz="0" w:space="0" w:color="auto"/>
      </w:divBdr>
      <w:divsChild>
        <w:div w:id="1779451197">
          <w:marLeft w:val="446"/>
          <w:marRight w:val="0"/>
          <w:marTop w:val="0"/>
          <w:marBottom w:val="0"/>
          <w:divBdr>
            <w:top w:val="none" w:sz="0" w:space="0" w:color="auto"/>
            <w:left w:val="none" w:sz="0" w:space="0" w:color="auto"/>
            <w:bottom w:val="none" w:sz="0" w:space="0" w:color="auto"/>
            <w:right w:val="none" w:sz="0" w:space="0" w:color="auto"/>
          </w:divBdr>
        </w:div>
      </w:divsChild>
    </w:div>
    <w:div w:id="2036155042">
      <w:bodyDiv w:val="1"/>
      <w:marLeft w:val="0"/>
      <w:marRight w:val="0"/>
      <w:marTop w:val="0"/>
      <w:marBottom w:val="0"/>
      <w:divBdr>
        <w:top w:val="none" w:sz="0" w:space="0" w:color="auto"/>
        <w:left w:val="none" w:sz="0" w:space="0" w:color="auto"/>
        <w:bottom w:val="none" w:sz="0" w:space="0" w:color="auto"/>
        <w:right w:val="none" w:sz="0" w:space="0" w:color="auto"/>
      </w:divBdr>
      <w:divsChild>
        <w:div w:id="18078159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eg@creg.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88D91-2041-445E-985C-5E7240BA260E}">
  <ds:schemaRefs>
    <ds:schemaRef ds:uri="http://schemas.microsoft.com/sharepoint/v3/contenttype/forms"/>
  </ds:schemaRefs>
</ds:datastoreItem>
</file>

<file path=customXml/itemProps2.xml><?xml version="1.0" encoding="utf-8"?>
<ds:datastoreItem xmlns:ds="http://schemas.openxmlformats.org/officeDocument/2006/customXml" ds:itemID="{302DC861-0F56-4C11-90F3-0B66818DD50B}">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9313639E-A322-46F9-B9E0-34AA77C84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PLANTILLA1.dotx</Template>
  <TotalTime>4</TotalTime>
  <Pages>5</Pages>
  <Words>1803</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11697</CharactersWithSpaces>
  <SharedDoc>false</SharedDoc>
  <HLinks>
    <vt:vector size="6" baseType="variant">
      <vt:variant>
        <vt:i4>4390966</vt:i4>
      </vt:variant>
      <vt:variant>
        <vt:i4>6</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2024-04-18T14:21:00Z</cp:lastPrinted>
  <dcterms:created xsi:type="dcterms:W3CDTF">2024-04-18T14:20:00Z</dcterms:created>
  <dcterms:modified xsi:type="dcterms:W3CDTF">2024-04-18T14:21:00Z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