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058C" w14:textId="77777777" w:rsidR="007D3DDC" w:rsidRPr="00B317E5" w:rsidRDefault="007D3DDC">
      <w:pPr>
        <w:rPr>
          <w:rFonts w:cs="Arial"/>
        </w:rPr>
      </w:pPr>
    </w:p>
    <w:p w14:paraId="74EDA122" w14:textId="77777777" w:rsidR="007D3DDC" w:rsidRPr="00B317E5" w:rsidRDefault="007D3DDC">
      <w:pPr>
        <w:rPr>
          <w:rFonts w:cs="Arial"/>
        </w:rPr>
      </w:pPr>
    </w:p>
    <w:p w14:paraId="2764143B" w14:textId="621FB19C" w:rsidR="00020441" w:rsidRPr="00B317E5" w:rsidRDefault="00000520">
      <w:pPr>
        <w:rPr>
          <w:rFonts w:cs="Arial"/>
        </w:rPr>
      </w:pPr>
      <w:r w:rsidRPr="00B317E5">
        <w:rPr>
          <w:rFonts w:cs="Arial"/>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Pr="00B317E5" w:rsidRDefault="00020441">
      <w:pPr>
        <w:rPr>
          <w:rFonts w:cs="Arial"/>
        </w:rPr>
      </w:pPr>
    </w:p>
    <w:p w14:paraId="626BE014" w14:textId="77777777" w:rsidR="00020441" w:rsidRPr="00B317E5" w:rsidRDefault="00020441" w:rsidP="003C55ED">
      <w:pPr>
        <w:pStyle w:val="TDC1"/>
        <w:rPr>
          <w:rFonts w:cs="Arial"/>
        </w:rPr>
      </w:pPr>
    </w:p>
    <w:p w14:paraId="59F27ABD" w14:textId="77777777" w:rsidR="00020441" w:rsidRPr="00B317E5" w:rsidRDefault="00020441" w:rsidP="003C55ED">
      <w:pPr>
        <w:pStyle w:val="TDC1"/>
        <w:rPr>
          <w:rFonts w:cs="Arial"/>
        </w:rPr>
      </w:pPr>
    </w:p>
    <w:p w14:paraId="7D2E2055" w14:textId="77777777" w:rsidR="007D3DDC" w:rsidRPr="00B317E5" w:rsidRDefault="007D3DDC" w:rsidP="007D3DDC">
      <w:pPr>
        <w:rPr>
          <w:rFonts w:cs="Arial"/>
          <w:lang w:val="es-ES"/>
        </w:rPr>
      </w:pPr>
    </w:p>
    <w:p w14:paraId="465B98F3" w14:textId="77777777" w:rsidR="00020441" w:rsidRPr="00B317E5" w:rsidRDefault="00020441">
      <w:pPr>
        <w:rPr>
          <w:rFonts w:cs="Arial"/>
        </w:rPr>
      </w:pPr>
    </w:p>
    <w:p w14:paraId="43077885" w14:textId="77777777" w:rsidR="00020441" w:rsidRPr="00B317E5" w:rsidRDefault="00020441">
      <w:pPr>
        <w:rPr>
          <w:rFonts w:cs="Arial"/>
        </w:rPr>
      </w:pPr>
    </w:p>
    <w:p w14:paraId="10A762C8" w14:textId="77777777" w:rsidR="00020441" w:rsidRPr="00B317E5" w:rsidRDefault="00020441">
      <w:pPr>
        <w:rPr>
          <w:rFonts w:cs="Arial"/>
        </w:rPr>
      </w:pPr>
    </w:p>
    <w:p w14:paraId="00854BAE" w14:textId="1B589477" w:rsidR="00020441" w:rsidRPr="00B317E5" w:rsidRDefault="007D3DDC">
      <w:pPr>
        <w:pStyle w:val="Textoindependiente"/>
        <w:jc w:val="both"/>
        <w:rPr>
          <w:rFonts w:cs="Arial"/>
          <w:bCs/>
          <w:sz w:val="32"/>
        </w:rPr>
      </w:pPr>
      <w:bookmarkStart w:id="0" w:name="_Hlk164152272"/>
      <w:r w:rsidRPr="00B317E5">
        <w:rPr>
          <w:rFonts w:cs="Arial"/>
          <w:sz w:val="40"/>
        </w:rPr>
        <w:t>PROGRAMA TRANSITORIO DE INCENTIVOS AL USO EFICIENTE DE LA ENERGÍA ELÉCTRICA POR PARTE DE LA DEMANDA</w:t>
      </w:r>
      <w:bookmarkEnd w:id="0"/>
    </w:p>
    <w:p w14:paraId="14B50E75" w14:textId="77777777" w:rsidR="00020441" w:rsidRPr="00B317E5" w:rsidRDefault="00020441" w:rsidP="003C55ED">
      <w:pPr>
        <w:pStyle w:val="TDC1"/>
        <w:rPr>
          <w:rFonts w:cs="Arial"/>
        </w:rPr>
      </w:pPr>
    </w:p>
    <w:p w14:paraId="00F8537C" w14:textId="77777777" w:rsidR="00020441" w:rsidRPr="00B317E5" w:rsidRDefault="00020441">
      <w:pPr>
        <w:rPr>
          <w:rFonts w:cs="Arial"/>
        </w:rPr>
      </w:pPr>
    </w:p>
    <w:p w14:paraId="51A764C5" w14:textId="77777777" w:rsidR="00020441" w:rsidRPr="00B317E5" w:rsidRDefault="00020441">
      <w:pPr>
        <w:rPr>
          <w:rFonts w:cs="Arial"/>
        </w:rPr>
      </w:pPr>
    </w:p>
    <w:p w14:paraId="1222BB47" w14:textId="77777777" w:rsidR="00020441" w:rsidRPr="00B317E5" w:rsidRDefault="00020441">
      <w:pPr>
        <w:rPr>
          <w:rFonts w:cs="Arial"/>
        </w:rPr>
      </w:pPr>
    </w:p>
    <w:p w14:paraId="140F9666" w14:textId="77777777" w:rsidR="007D3DDC" w:rsidRPr="00B317E5" w:rsidRDefault="007D3DDC">
      <w:pPr>
        <w:rPr>
          <w:rFonts w:cs="Arial"/>
        </w:rPr>
      </w:pPr>
    </w:p>
    <w:p w14:paraId="59776045" w14:textId="77777777" w:rsidR="00020441" w:rsidRPr="00B317E5" w:rsidRDefault="00020441">
      <w:pPr>
        <w:rPr>
          <w:rFonts w:cs="Arial"/>
        </w:rPr>
      </w:pPr>
    </w:p>
    <w:p w14:paraId="53B509DC" w14:textId="71509146" w:rsidR="00020441" w:rsidRPr="00B317E5" w:rsidRDefault="00020441">
      <w:pPr>
        <w:rPr>
          <w:rFonts w:cs="Arial"/>
          <w:b/>
          <w:caps/>
          <w:sz w:val="36"/>
          <w:lang w:val="es-ES"/>
        </w:rPr>
      </w:pPr>
      <w:r w:rsidRPr="00B317E5">
        <w:rPr>
          <w:rFonts w:cs="Arial"/>
          <w:b/>
          <w:caps/>
          <w:sz w:val="28"/>
          <w:lang w:val="es-ES"/>
        </w:rPr>
        <w:t xml:space="preserve">DOCUMENTO </w:t>
      </w:r>
      <w:r w:rsidRPr="00B317E5">
        <w:rPr>
          <w:rFonts w:cs="Arial"/>
          <w:b/>
          <w:caps/>
          <w:sz w:val="40"/>
          <w:lang w:val="es-ES"/>
        </w:rPr>
        <w:t>CREG</w:t>
      </w:r>
      <w:r w:rsidR="0086615C">
        <w:rPr>
          <w:rFonts w:cs="Arial"/>
          <w:b/>
          <w:caps/>
          <w:sz w:val="40"/>
          <w:lang w:val="es-ES"/>
        </w:rPr>
        <w:t xml:space="preserve"> – 901 063</w:t>
      </w:r>
    </w:p>
    <w:p w14:paraId="44F07507" w14:textId="55CD6E30" w:rsidR="000B5AD2" w:rsidRPr="00B317E5" w:rsidRDefault="0086615C" w:rsidP="0086615C">
      <w:pPr>
        <w:tabs>
          <w:tab w:val="left" w:pos="9142"/>
        </w:tabs>
        <w:jc w:val="left"/>
        <w:rPr>
          <w:rFonts w:cs="Arial"/>
          <w:b/>
          <w:bCs/>
          <w:sz w:val="28"/>
          <w:szCs w:val="28"/>
          <w:lang w:val="es-MX"/>
        </w:rPr>
      </w:pPr>
      <w:r>
        <w:rPr>
          <w:rFonts w:cs="Arial"/>
          <w:b/>
          <w:bCs/>
          <w:sz w:val="28"/>
          <w:szCs w:val="28"/>
          <w:lang w:val="es-MX"/>
        </w:rPr>
        <w:t>13 DE ABRIL DE 2024</w:t>
      </w:r>
      <w:r w:rsidR="009C08C1" w:rsidRPr="00B317E5">
        <w:rPr>
          <w:rFonts w:cs="Arial"/>
          <w:b/>
          <w:bCs/>
          <w:sz w:val="28"/>
          <w:szCs w:val="28"/>
          <w:lang w:val="es-MX"/>
        </w:rPr>
        <w:tab/>
      </w:r>
    </w:p>
    <w:p w14:paraId="18F1E9BA" w14:textId="075CEE6C" w:rsidR="00E166D7" w:rsidRPr="00B317E5" w:rsidRDefault="00E166D7" w:rsidP="009C08C1">
      <w:pPr>
        <w:tabs>
          <w:tab w:val="left" w:pos="9142"/>
        </w:tabs>
        <w:jc w:val="left"/>
        <w:rPr>
          <w:rFonts w:cs="Arial"/>
          <w:sz w:val="22"/>
          <w:szCs w:val="22"/>
          <w:lang w:val="es-MX"/>
        </w:rPr>
      </w:pPr>
    </w:p>
    <w:p w14:paraId="6E829A66" w14:textId="77777777" w:rsidR="0010544E" w:rsidRPr="00B317E5" w:rsidRDefault="0010544E" w:rsidP="00F40D91">
      <w:pPr>
        <w:tabs>
          <w:tab w:val="left" w:pos="9142"/>
        </w:tabs>
        <w:ind w:left="9142" w:hanging="9142"/>
        <w:jc w:val="left"/>
        <w:rPr>
          <w:rFonts w:cs="Arial"/>
          <w:sz w:val="28"/>
          <w:szCs w:val="28"/>
        </w:rPr>
      </w:pPr>
    </w:p>
    <w:p w14:paraId="330058FA" w14:textId="77777777" w:rsidR="007D3DDC" w:rsidRPr="00B317E5" w:rsidRDefault="007D3DDC">
      <w:pPr>
        <w:ind w:left="4956"/>
        <w:jc w:val="left"/>
        <w:rPr>
          <w:rFonts w:cs="Arial"/>
          <w:bCs/>
        </w:rPr>
      </w:pPr>
    </w:p>
    <w:p w14:paraId="32E55F6B" w14:textId="77777777" w:rsidR="00020441" w:rsidRPr="00B317E5" w:rsidRDefault="00020441">
      <w:pPr>
        <w:ind w:left="4956"/>
        <w:jc w:val="left"/>
        <w:rPr>
          <w:rFonts w:cs="Arial"/>
          <w:bCs/>
        </w:rPr>
      </w:pPr>
    </w:p>
    <w:p w14:paraId="66BB81E3" w14:textId="77777777" w:rsidR="007D3DDC" w:rsidRPr="00B317E5" w:rsidRDefault="007D3DDC">
      <w:pPr>
        <w:ind w:left="4956"/>
        <w:jc w:val="left"/>
        <w:rPr>
          <w:rFonts w:cs="Arial"/>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rsidRPr="00B317E5" w14:paraId="5FB9C57C" w14:textId="77777777">
        <w:tc>
          <w:tcPr>
            <w:tcW w:w="4024" w:type="dxa"/>
          </w:tcPr>
          <w:p w14:paraId="248A6A95" w14:textId="77777777" w:rsidR="0077100C" w:rsidRPr="00B317E5" w:rsidRDefault="0077100C">
            <w:pPr>
              <w:jc w:val="left"/>
              <w:rPr>
                <w:rFonts w:cs="Arial"/>
                <w:b/>
                <w:bCs/>
              </w:rPr>
            </w:pPr>
          </w:p>
          <w:p w14:paraId="6D27A061" w14:textId="77777777" w:rsidR="0077100C" w:rsidRPr="00B317E5" w:rsidRDefault="0077100C">
            <w:pPr>
              <w:jc w:val="left"/>
              <w:rPr>
                <w:rFonts w:cs="Arial"/>
                <w:b/>
                <w:bCs/>
              </w:rPr>
            </w:pPr>
          </w:p>
          <w:p w14:paraId="2440A9AB" w14:textId="77777777" w:rsidR="00020441" w:rsidRPr="00B317E5" w:rsidRDefault="00020441">
            <w:pPr>
              <w:jc w:val="left"/>
              <w:rPr>
                <w:rFonts w:cs="Arial"/>
                <w:b/>
                <w:bCs/>
              </w:rPr>
            </w:pPr>
            <w:r w:rsidRPr="00B317E5">
              <w:rPr>
                <w:rFonts w:cs="Arial"/>
                <w:b/>
                <w:bCs/>
              </w:rPr>
              <w:t>CIRCULACIÓN:</w:t>
            </w:r>
          </w:p>
        </w:tc>
      </w:tr>
      <w:tr w:rsidR="00020441" w:rsidRPr="00B317E5" w14:paraId="6A659732" w14:textId="77777777">
        <w:tc>
          <w:tcPr>
            <w:tcW w:w="4024" w:type="dxa"/>
          </w:tcPr>
          <w:p w14:paraId="71462D42" w14:textId="77777777" w:rsidR="007D3DDC" w:rsidRPr="00B317E5" w:rsidRDefault="007D3DDC">
            <w:pPr>
              <w:jc w:val="left"/>
              <w:rPr>
                <w:rFonts w:cs="Arial"/>
                <w:b/>
                <w:bCs/>
              </w:rPr>
            </w:pPr>
          </w:p>
          <w:p w14:paraId="74DA0102" w14:textId="48293E41" w:rsidR="00020441" w:rsidRPr="00B317E5" w:rsidRDefault="00020441">
            <w:pPr>
              <w:jc w:val="left"/>
              <w:rPr>
                <w:rFonts w:cs="Arial"/>
                <w:b/>
                <w:bCs/>
              </w:rPr>
            </w:pPr>
            <w:r w:rsidRPr="00B317E5">
              <w:rPr>
                <w:rFonts w:cs="Arial"/>
                <w:b/>
                <w:bCs/>
              </w:rPr>
              <w:t>MIEMBROS DE LA COMISIÓN DE</w:t>
            </w:r>
          </w:p>
        </w:tc>
      </w:tr>
      <w:tr w:rsidR="00020441" w:rsidRPr="00B317E5" w14:paraId="2BED25F3" w14:textId="77777777">
        <w:tc>
          <w:tcPr>
            <w:tcW w:w="4024" w:type="dxa"/>
          </w:tcPr>
          <w:p w14:paraId="5666418A" w14:textId="4272C62B" w:rsidR="00020441" w:rsidRPr="00B317E5" w:rsidRDefault="00020441">
            <w:pPr>
              <w:tabs>
                <w:tab w:val="left" w:pos="4606"/>
                <w:tab w:val="left" w:pos="9142"/>
              </w:tabs>
              <w:jc w:val="left"/>
              <w:rPr>
                <w:rFonts w:cs="Arial"/>
                <w:b/>
                <w:bCs/>
              </w:rPr>
            </w:pPr>
            <w:r w:rsidRPr="00B317E5">
              <w:rPr>
                <w:rFonts w:cs="Arial"/>
                <w:b/>
                <w:bCs/>
              </w:rPr>
              <w:t xml:space="preserve">REGULACIÓN DE ENERGÍA Y GAS </w:t>
            </w:r>
          </w:p>
        </w:tc>
      </w:tr>
    </w:tbl>
    <w:p w14:paraId="43D59473" w14:textId="77777777" w:rsidR="00E7209B" w:rsidRPr="00B317E5" w:rsidRDefault="00E7209B" w:rsidP="003C55ED">
      <w:pPr>
        <w:pStyle w:val="Ttulo1"/>
        <w:numPr>
          <w:ilvl w:val="0"/>
          <w:numId w:val="0"/>
        </w:numPr>
        <w:ind w:left="432" w:hanging="432"/>
        <w:jc w:val="center"/>
        <w:rPr>
          <w:rFonts w:cs="Arial"/>
        </w:rPr>
      </w:pPr>
    </w:p>
    <w:p w14:paraId="73ACC9F4" w14:textId="77777777" w:rsidR="00E7209B" w:rsidRPr="00B317E5" w:rsidRDefault="00020441" w:rsidP="003C55ED">
      <w:pPr>
        <w:pStyle w:val="Ttulo1"/>
        <w:numPr>
          <w:ilvl w:val="0"/>
          <w:numId w:val="0"/>
        </w:numPr>
        <w:ind w:left="432" w:hanging="432"/>
        <w:jc w:val="center"/>
        <w:rPr>
          <w:rFonts w:cs="Arial"/>
        </w:rPr>
      </w:pPr>
      <w:r w:rsidRPr="00B317E5">
        <w:rPr>
          <w:rFonts w:cs="Arial"/>
        </w:rPr>
        <w:br w:type="page"/>
      </w:r>
      <w:bookmarkStart w:id="1" w:name="_Toc417034533"/>
      <w:bookmarkStart w:id="2" w:name="_Toc429486657"/>
    </w:p>
    <w:p w14:paraId="46CC8F19" w14:textId="77777777" w:rsidR="00E7209B" w:rsidRPr="00B317E5" w:rsidRDefault="00E7209B" w:rsidP="003C55ED">
      <w:pPr>
        <w:pStyle w:val="Ttulo1"/>
        <w:numPr>
          <w:ilvl w:val="0"/>
          <w:numId w:val="0"/>
        </w:numPr>
        <w:ind w:left="432" w:hanging="432"/>
        <w:jc w:val="center"/>
        <w:rPr>
          <w:rFonts w:cs="Arial"/>
        </w:rPr>
      </w:pPr>
    </w:p>
    <w:p w14:paraId="309A9CDB" w14:textId="77777777" w:rsidR="00E7209B" w:rsidRPr="00B317E5" w:rsidRDefault="00E7209B" w:rsidP="003C55ED">
      <w:pPr>
        <w:pStyle w:val="Ttulo1"/>
        <w:numPr>
          <w:ilvl w:val="0"/>
          <w:numId w:val="0"/>
        </w:numPr>
        <w:ind w:left="432" w:hanging="432"/>
        <w:jc w:val="center"/>
        <w:rPr>
          <w:rFonts w:cs="Arial"/>
        </w:rPr>
      </w:pPr>
    </w:p>
    <w:p w14:paraId="3680512E" w14:textId="77777777" w:rsidR="004E3965" w:rsidRPr="00B317E5" w:rsidRDefault="004E3965" w:rsidP="003C55ED">
      <w:pPr>
        <w:pStyle w:val="Ttulo1"/>
        <w:numPr>
          <w:ilvl w:val="0"/>
          <w:numId w:val="0"/>
        </w:numPr>
        <w:ind w:left="432" w:hanging="432"/>
        <w:jc w:val="center"/>
        <w:rPr>
          <w:rFonts w:cs="Arial"/>
        </w:rPr>
      </w:pPr>
      <w:r w:rsidRPr="00B317E5">
        <w:rPr>
          <w:rFonts w:cs="Arial"/>
        </w:rPr>
        <w:t>C</w:t>
      </w:r>
      <w:r w:rsidR="003C55ED" w:rsidRPr="00B317E5">
        <w:rPr>
          <w:rFonts w:cs="Arial"/>
        </w:rPr>
        <w:t>ONTENIDO</w:t>
      </w:r>
      <w:bookmarkEnd w:id="1"/>
      <w:bookmarkEnd w:id="2"/>
    </w:p>
    <w:p w14:paraId="73B72075" w14:textId="77777777" w:rsidR="003C55ED" w:rsidRPr="00B317E5" w:rsidRDefault="003C55ED" w:rsidP="003C55ED">
      <w:pPr>
        <w:rPr>
          <w:rFonts w:cs="Arial"/>
        </w:rPr>
      </w:pPr>
    </w:p>
    <w:p w14:paraId="4594B116" w14:textId="76364996" w:rsidR="00CE3B02" w:rsidRPr="00B317E5" w:rsidRDefault="00CE3B02" w:rsidP="00131D9B">
      <w:pPr>
        <w:pStyle w:val="Ttulo1"/>
        <w:numPr>
          <w:ilvl w:val="0"/>
          <w:numId w:val="14"/>
        </w:numPr>
        <w:spacing w:after="0"/>
        <w:ind w:left="431" w:hanging="431"/>
        <w:rPr>
          <w:rFonts w:cs="Arial"/>
          <w:sz w:val="22"/>
        </w:rPr>
      </w:pPr>
      <w:r w:rsidRPr="00B317E5">
        <w:rPr>
          <w:rFonts w:cs="Arial"/>
          <w:sz w:val="22"/>
        </w:rPr>
        <w:t>ANTECEDENTES</w:t>
      </w:r>
      <w:r w:rsidR="004B15DA" w:rsidRPr="00B317E5">
        <w:rPr>
          <w:rFonts w:cs="Arial"/>
          <w:sz w:val="22"/>
        </w:rPr>
        <w:t xml:space="preserve"> Y </w:t>
      </w:r>
      <w:r w:rsidRPr="00B317E5">
        <w:rPr>
          <w:rFonts w:cs="Arial"/>
          <w:sz w:val="22"/>
        </w:rPr>
        <w:t>NECESIDAD REGULATORIA</w:t>
      </w:r>
    </w:p>
    <w:p w14:paraId="745A6B7C" w14:textId="77777777" w:rsidR="00CE3B02" w:rsidRPr="00B317E5" w:rsidRDefault="00CE3B02" w:rsidP="00CE3B02">
      <w:pPr>
        <w:rPr>
          <w:rFonts w:cs="Arial"/>
          <w:sz w:val="22"/>
        </w:rPr>
      </w:pPr>
    </w:p>
    <w:p w14:paraId="16966DD4" w14:textId="77777777" w:rsidR="00CE3B02" w:rsidRPr="00B317E5" w:rsidRDefault="00CE3B02" w:rsidP="00CE3B02">
      <w:pPr>
        <w:rPr>
          <w:rFonts w:cs="Arial"/>
          <w:sz w:val="22"/>
        </w:rPr>
      </w:pPr>
    </w:p>
    <w:p w14:paraId="24002DE4" w14:textId="77777777" w:rsidR="00CE3B02" w:rsidRPr="00B317E5" w:rsidRDefault="00CE3B02" w:rsidP="00CE3B02">
      <w:pPr>
        <w:pStyle w:val="Ttulo1"/>
        <w:numPr>
          <w:ilvl w:val="0"/>
          <w:numId w:val="14"/>
        </w:numPr>
        <w:rPr>
          <w:rFonts w:cs="Arial"/>
        </w:rPr>
      </w:pPr>
      <w:r w:rsidRPr="00B317E5">
        <w:rPr>
          <w:rFonts w:cs="Arial"/>
        </w:rPr>
        <w:t>PROPUESTA</w:t>
      </w:r>
      <w:r w:rsidRPr="00B317E5">
        <w:rPr>
          <w:rFonts w:cs="Arial"/>
        </w:rPr>
        <w:tab/>
      </w:r>
    </w:p>
    <w:p w14:paraId="35ED4F6F" w14:textId="77777777" w:rsidR="00CE3B02" w:rsidRPr="00B317E5" w:rsidRDefault="00CE3B02" w:rsidP="00CE3B02">
      <w:pPr>
        <w:rPr>
          <w:rFonts w:cs="Arial"/>
        </w:rPr>
      </w:pPr>
    </w:p>
    <w:p w14:paraId="6C0D135D" w14:textId="77777777" w:rsidR="00CE3B02" w:rsidRPr="00B317E5" w:rsidRDefault="00CE3B02" w:rsidP="00CE3B02">
      <w:pPr>
        <w:pStyle w:val="Ttulo1"/>
        <w:numPr>
          <w:ilvl w:val="0"/>
          <w:numId w:val="14"/>
        </w:numPr>
        <w:rPr>
          <w:rFonts w:cs="Arial"/>
        </w:rPr>
      </w:pPr>
      <w:r w:rsidRPr="00B317E5">
        <w:rPr>
          <w:rFonts w:cs="Arial"/>
        </w:rPr>
        <w:t>CONSULTA PÚBLICA</w:t>
      </w:r>
    </w:p>
    <w:p w14:paraId="1838411F" w14:textId="77777777" w:rsidR="00346BC3" w:rsidRPr="00B317E5" w:rsidRDefault="00346BC3" w:rsidP="0038050C">
      <w:pPr>
        <w:rPr>
          <w:rFonts w:cs="Arial"/>
          <w:sz w:val="22"/>
        </w:rPr>
      </w:pPr>
    </w:p>
    <w:p w14:paraId="4126F0F1" w14:textId="77777777" w:rsidR="00346BC3" w:rsidRPr="00B317E5" w:rsidRDefault="00346BC3" w:rsidP="0038050C">
      <w:pPr>
        <w:rPr>
          <w:rFonts w:cs="Arial"/>
          <w:sz w:val="22"/>
        </w:rPr>
      </w:pPr>
    </w:p>
    <w:p w14:paraId="0DF62D9D" w14:textId="77777777" w:rsidR="00346BC3" w:rsidRPr="00B317E5" w:rsidRDefault="00346BC3" w:rsidP="0038050C">
      <w:pPr>
        <w:rPr>
          <w:rFonts w:cs="Arial"/>
          <w:sz w:val="22"/>
        </w:rPr>
      </w:pPr>
    </w:p>
    <w:p w14:paraId="38408E44" w14:textId="77777777" w:rsidR="00346BC3" w:rsidRPr="00B317E5" w:rsidRDefault="00346BC3" w:rsidP="0038050C">
      <w:pPr>
        <w:rPr>
          <w:rFonts w:cs="Arial"/>
          <w:sz w:val="22"/>
        </w:rPr>
      </w:pPr>
    </w:p>
    <w:p w14:paraId="1F9EA351" w14:textId="77777777" w:rsidR="00346BC3" w:rsidRPr="00B317E5" w:rsidRDefault="00346BC3" w:rsidP="0038050C">
      <w:pPr>
        <w:rPr>
          <w:rFonts w:cs="Arial"/>
          <w:sz w:val="22"/>
        </w:rPr>
      </w:pPr>
    </w:p>
    <w:p w14:paraId="23EC2163" w14:textId="77777777" w:rsidR="00346BC3" w:rsidRPr="00B317E5" w:rsidRDefault="00346BC3" w:rsidP="0038050C">
      <w:pPr>
        <w:rPr>
          <w:rFonts w:cs="Arial"/>
          <w:sz w:val="22"/>
        </w:rPr>
      </w:pPr>
    </w:p>
    <w:p w14:paraId="34C986F7" w14:textId="77777777" w:rsidR="00346BC3" w:rsidRPr="00B317E5" w:rsidRDefault="00346BC3" w:rsidP="0038050C">
      <w:pPr>
        <w:rPr>
          <w:rFonts w:cs="Arial"/>
          <w:sz w:val="22"/>
        </w:rPr>
      </w:pPr>
    </w:p>
    <w:p w14:paraId="324B8DD2" w14:textId="77777777" w:rsidR="00346BC3" w:rsidRPr="00B317E5" w:rsidRDefault="00346BC3" w:rsidP="0038050C">
      <w:pPr>
        <w:rPr>
          <w:rFonts w:cs="Arial"/>
          <w:sz w:val="22"/>
        </w:rPr>
      </w:pPr>
    </w:p>
    <w:p w14:paraId="178C6DD5" w14:textId="77777777" w:rsidR="00346BC3" w:rsidRPr="00B317E5" w:rsidRDefault="00346BC3" w:rsidP="0038050C">
      <w:pPr>
        <w:rPr>
          <w:rFonts w:cs="Arial"/>
          <w:sz w:val="22"/>
        </w:rPr>
      </w:pPr>
    </w:p>
    <w:p w14:paraId="015E553B" w14:textId="77777777" w:rsidR="00346BC3" w:rsidRPr="00B317E5" w:rsidRDefault="00346BC3" w:rsidP="0038050C">
      <w:pPr>
        <w:rPr>
          <w:rFonts w:cs="Arial"/>
          <w:sz w:val="22"/>
        </w:rPr>
      </w:pPr>
    </w:p>
    <w:p w14:paraId="1AF86B8A" w14:textId="77777777" w:rsidR="00346BC3" w:rsidRPr="00B317E5" w:rsidRDefault="00346BC3" w:rsidP="0038050C">
      <w:pPr>
        <w:rPr>
          <w:rFonts w:cs="Arial"/>
          <w:sz w:val="22"/>
        </w:rPr>
      </w:pPr>
    </w:p>
    <w:p w14:paraId="47423BF7" w14:textId="77777777" w:rsidR="00346BC3" w:rsidRPr="00B317E5" w:rsidRDefault="00346BC3" w:rsidP="0038050C">
      <w:pPr>
        <w:rPr>
          <w:rFonts w:cs="Arial"/>
          <w:sz w:val="22"/>
        </w:rPr>
      </w:pPr>
    </w:p>
    <w:p w14:paraId="530345DD" w14:textId="77777777" w:rsidR="00346BC3" w:rsidRPr="00B317E5" w:rsidRDefault="00346BC3" w:rsidP="0038050C">
      <w:pPr>
        <w:rPr>
          <w:rFonts w:cs="Arial"/>
          <w:sz w:val="22"/>
        </w:rPr>
      </w:pPr>
    </w:p>
    <w:p w14:paraId="3F9C0A40" w14:textId="77777777" w:rsidR="00346BC3" w:rsidRPr="00B317E5" w:rsidRDefault="00346BC3" w:rsidP="0038050C">
      <w:pPr>
        <w:rPr>
          <w:rFonts w:cs="Arial"/>
          <w:sz w:val="22"/>
        </w:rPr>
      </w:pPr>
    </w:p>
    <w:p w14:paraId="6042005B" w14:textId="77777777" w:rsidR="00346BC3" w:rsidRPr="00B317E5" w:rsidRDefault="00346BC3" w:rsidP="0038050C">
      <w:pPr>
        <w:rPr>
          <w:rFonts w:cs="Arial"/>
          <w:sz w:val="22"/>
        </w:rPr>
      </w:pPr>
    </w:p>
    <w:p w14:paraId="5F148B5B" w14:textId="77777777" w:rsidR="00346BC3" w:rsidRPr="00B317E5" w:rsidRDefault="00346BC3" w:rsidP="0038050C">
      <w:pPr>
        <w:rPr>
          <w:rFonts w:cs="Arial"/>
          <w:sz w:val="22"/>
        </w:rPr>
      </w:pPr>
    </w:p>
    <w:p w14:paraId="32331C45" w14:textId="77777777" w:rsidR="00346BC3" w:rsidRPr="00B317E5" w:rsidRDefault="00346BC3" w:rsidP="0038050C">
      <w:pPr>
        <w:rPr>
          <w:rFonts w:cs="Arial"/>
          <w:sz w:val="22"/>
        </w:rPr>
      </w:pPr>
    </w:p>
    <w:p w14:paraId="6DD0405B" w14:textId="77777777" w:rsidR="00346BC3" w:rsidRPr="00B317E5" w:rsidRDefault="00346BC3" w:rsidP="0038050C">
      <w:pPr>
        <w:rPr>
          <w:rFonts w:cs="Arial"/>
          <w:sz w:val="22"/>
        </w:rPr>
      </w:pPr>
    </w:p>
    <w:p w14:paraId="6941D339" w14:textId="77777777" w:rsidR="00346BC3" w:rsidRPr="00B317E5" w:rsidRDefault="00346BC3" w:rsidP="0038050C">
      <w:pPr>
        <w:rPr>
          <w:rFonts w:cs="Arial"/>
          <w:sz w:val="22"/>
        </w:rPr>
      </w:pPr>
    </w:p>
    <w:p w14:paraId="1D512EC4" w14:textId="77777777" w:rsidR="00346BC3" w:rsidRPr="00B317E5" w:rsidRDefault="00346BC3" w:rsidP="0038050C">
      <w:pPr>
        <w:rPr>
          <w:rFonts w:cs="Arial"/>
          <w:sz w:val="22"/>
        </w:rPr>
      </w:pPr>
    </w:p>
    <w:p w14:paraId="4E7BCEBF" w14:textId="77777777" w:rsidR="00346BC3" w:rsidRPr="00B317E5" w:rsidRDefault="00346BC3" w:rsidP="0038050C">
      <w:pPr>
        <w:rPr>
          <w:rFonts w:cs="Arial"/>
          <w:sz w:val="22"/>
        </w:rPr>
      </w:pPr>
    </w:p>
    <w:p w14:paraId="7EB76267" w14:textId="77777777" w:rsidR="00346BC3" w:rsidRPr="00B317E5" w:rsidRDefault="00346BC3" w:rsidP="0038050C">
      <w:pPr>
        <w:rPr>
          <w:rFonts w:cs="Arial"/>
          <w:sz w:val="22"/>
        </w:rPr>
      </w:pPr>
    </w:p>
    <w:p w14:paraId="5C4714A2" w14:textId="77777777" w:rsidR="00346BC3" w:rsidRPr="00B317E5" w:rsidRDefault="00346BC3" w:rsidP="0038050C">
      <w:pPr>
        <w:rPr>
          <w:rFonts w:cs="Arial"/>
          <w:sz w:val="22"/>
        </w:rPr>
      </w:pPr>
    </w:p>
    <w:p w14:paraId="2DEF7793" w14:textId="77777777" w:rsidR="00346BC3" w:rsidRPr="00B317E5" w:rsidRDefault="00346BC3" w:rsidP="0038050C">
      <w:pPr>
        <w:rPr>
          <w:rFonts w:cs="Arial"/>
          <w:sz w:val="22"/>
        </w:rPr>
      </w:pPr>
    </w:p>
    <w:p w14:paraId="56CB0B62" w14:textId="77777777" w:rsidR="001700C2" w:rsidRPr="00B317E5" w:rsidRDefault="001700C2" w:rsidP="0038050C">
      <w:pPr>
        <w:rPr>
          <w:rFonts w:cs="Arial"/>
          <w:sz w:val="22"/>
        </w:rPr>
      </w:pPr>
    </w:p>
    <w:p w14:paraId="4680854B" w14:textId="77777777" w:rsidR="00DD7346" w:rsidRPr="00B317E5" w:rsidRDefault="00DD7346" w:rsidP="0038050C">
      <w:pPr>
        <w:rPr>
          <w:rFonts w:cs="Arial"/>
          <w:sz w:val="22"/>
        </w:rPr>
      </w:pPr>
    </w:p>
    <w:p w14:paraId="4B866E27" w14:textId="77777777" w:rsidR="001700C2" w:rsidRPr="00B317E5" w:rsidRDefault="001700C2" w:rsidP="0038050C">
      <w:pPr>
        <w:rPr>
          <w:rFonts w:cs="Arial"/>
          <w:sz w:val="22"/>
        </w:rPr>
      </w:pPr>
    </w:p>
    <w:p w14:paraId="639DAC72" w14:textId="77777777" w:rsidR="00BA70A7" w:rsidRPr="00B317E5" w:rsidRDefault="00BA70A7">
      <w:pPr>
        <w:jc w:val="left"/>
        <w:rPr>
          <w:rFonts w:cs="Arial"/>
          <w:b/>
        </w:rPr>
      </w:pPr>
      <w:r w:rsidRPr="00B317E5">
        <w:rPr>
          <w:rFonts w:cs="Arial"/>
        </w:rPr>
        <w:br w:type="page"/>
      </w:r>
    </w:p>
    <w:p w14:paraId="57E6054A" w14:textId="196C1CE8" w:rsidR="00E7209B" w:rsidRPr="00B317E5" w:rsidRDefault="007D3DDC" w:rsidP="00E7209B">
      <w:pPr>
        <w:pStyle w:val="Ttulo"/>
        <w:rPr>
          <w:rFonts w:cs="Arial"/>
        </w:rPr>
      </w:pPr>
      <w:r w:rsidRPr="00B317E5">
        <w:rPr>
          <w:rFonts w:cs="Arial"/>
        </w:rPr>
        <w:lastRenderedPageBreak/>
        <w:t>PROGRAMA TRANSITORIO DE INCENTIVOS AL USO EFICIENTE DE LA ENERGÍA ELÉCTRICA POR PARTE DE LA DEMANDA</w:t>
      </w:r>
    </w:p>
    <w:p w14:paraId="2E65D49B" w14:textId="77777777" w:rsidR="00E7209B" w:rsidRPr="00B317E5" w:rsidRDefault="00E7209B" w:rsidP="00E7209B">
      <w:pPr>
        <w:rPr>
          <w:rFonts w:cs="Arial"/>
        </w:rPr>
      </w:pPr>
    </w:p>
    <w:p w14:paraId="139A074B" w14:textId="638216DF" w:rsidR="00E7209B" w:rsidRPr="00B317E5" w:rsidRDefault="00E7209B" w:rsidP="00BA70A7">
      <w:pPr>
        <w:pStyle w:val="Ttulo1"/>
        <w:numPr>
          <w:ilvl w:val="0"/>
          <w:numId w:val="16"/>
        </w:numPr>
        <w:spacing w:after="0"/>
        <w:rPr>
          <w:rFonts w:cs="Arial"/>
          <w:sz w:val="22"/>
        </w:rPr>
      </w:pPr>
      <w:bookmarkStart w:id="3" w:name="_Toc41901972"/>
      <w:bookmarkStart w:id="4" w:name="_Toc506979468"/>
      <w:bookmarkStart w:id="5" w:name="_Toc494863466"/>
      <w:r w:rsidRPr="00B317E5">
        <w:rPr>
          <w:rFonts w:cs="Arial"/>
          <w:sz w:val="22"/>
        </w:rPr>
        <w:t>ANTECEDENTES</w:t>
      </w:r>
      <w:bookmarkEnd w:id="3"/>
      <w:bookmarkEnd w:id="4"/>
      <w:bookmarkEnd w:id="5"/>
      <w:r w:rsidR="004B15DA" w:rsidRPr="00B317E5">
        <w:rPr>
          <w:rFonts w:cs="Arial"/>
          <w:sz w:val="22"/>
        </w:rPr>
        <w:t xml:space="preserve"> Y NECESIDAD REGULATORIA</w:t>
      </w:r>
    </w:p>
    <w:p w14:paraId="17167894" w14:textId="77777777" w:rsidR="00E7209B" w:rsidRPr="00B317E5" w:rsidRDefault="00E7209B" w:rsidP="00E7209B">
      <w:pPr>
        <w:rPr>
          <w:rFonts w:cs="Arial"/>
          <w:sz w:val="22"/>
        </w:rPr>
      </w:pPr>
    </w:p>
    <w:p w14:paraId="75A99F2F" w14:textId="3C4C3F61" w:rsidR="00E1605F" w:rsidRPr="00B317E5" w:rsidRDefault="004B377B" w:rsidP="00731B68">
      <w:pPr>
        <w:ind w:right="51"/>
        <w:rPr>
          <w:rFonts w:cs="Arial"/>
          <w:lang w:val="es-CO"/>
        </w:rPr>
      </w:pPr>
      <w:r w:rsidRPr="00B317E5">
        <w:rPr>
          <w:rFonts w:cs="Arial"/>
          <w:lang w:val="es-CO"/>
        </w:rPr>
        <w:t>El sistema Eléctrico Nacional</w:t>
      </w:r>
      <w:r w:rsidR="00211756" w:rsidRPr="00B317E5">
        <w:rPr>
          <w:rFonts w:cs="Arial"/>
          <w:lang w:val="es-CO"/>
        </w:rPr>
        <w:t xml:space="preserve"> se encuentra en una situación de estrechez </w:t>
      </w:r>
      <w:r w:rsidR="008B420F" w:rsidRPr="00B317E5">
        <w:rPr>
          <w:rFonts w:cs="Arial"/>
          <w:lang w:val="es-CO"/>
        </w:rPr>
        <w:t xml:space="preserve">entre la oferta y la demanda. </w:t>
      </w:r>
      <w:r w:rsidR="00F3657E" w:rsidRPr="00B317E5">
        <w:rPr>
          <w:rFonts w:cs="Arial"/>
          <w:lang w:val="es-CO"/>
        </w:rPr>
        <w:t>Est</w:t>
      </w:r>
      <w:r w:rsidR="00B64108" w:rsidRPr="00B317E5">
        <w:rPr>
          <w:rFonts w:cs="Arial"/>
          <w:lang w:val="es-CO"/>
        </w:rPr>
        <w:t>e panor</w:t>
      </w:r>
      <w:r w:rsidR="00ED23C8" w:rsidRPr="00B317E5">
        <w:rPr>
          <w:rFonts w:cs="Arial"/>
          <w:lang w:val="es-CO"/>
        </w:rPr>
        <w:t>a</w:t>
      </w:r>
      <w:r w:rsidR="00B64108" w:rsidRPr="00B317E5">
        <w:rPr>
          <w:rFonts w:cs="Arial"/>
          <w:lang w:val="es-CO"/>
        </w:rPr>
        <w:t>ma es el resultado de varios factores</w:t>
      </w:r>
      <w:r w:rsidR="007D5082" w:rsidRPr="00B317E5">
        <w:rPr>
          <w:rFonts w:cs="Arial"/>
          <w:lang w:val="es-CO"/>
        </w:rPr>
        <w:t xml:space="preserve"> que concurren</w:t>
      </w:r>
      <w:r w:rsidR="00B64108" w:rsidRPr="00B317E5">
        <w:rPr>
          <w:rFonts w:cs="Arial"/>
          <w:lang w:val="es-CO"/>
        </w:rPr>
        <w:t xml:space="preserve">, </w:t>
      </w:r>
      <w:r w:rsidR="007D5082" w:rsidRPr="00B317E5">
        <w:rPr>
          <w:rFonts w:cs="Arial"/>
          <w:lang w:val="es-CO"/>
        </w:rPr>
        <w:t>los cuales</w:t>
      </w:r>
      <w:r w:rsidR="00F3657E" w:rsidRPr="00B317E5">
        <w:rPr>
          <w:rFonts w:cs="Arial"/>
          <w:lang w:val="es-CO"/>
        </w:rPr>
        <w:t xml:space="preserve"> </w:t>
      </w:r>
      <w:r w:rsidR="007105D6" w:rsidRPr="00B317E5">
        <w:rPr>
          <w:rFonts w:cs="Arial"/>
          <w:lang w:val="es-CO"/>
        </w:rPr>
        <w:t>reduc</w:t>
      </w:r>
      <w:r w:rsidR="00F3355E" w:rsidRPr="00B317E5">
        <w:rPr>
          <w:rFonts w:cs="Arial"/>
          <w:lang w:val="es-CO"/>
        </w:rPr>
        <w:t>en</w:t>
      </w:r>
      <w:r w:rsidR="007105D6" w:rsidRPr="00B317E5">
        <w:rPr>
          <w:rFonts w:cs="Arial"/>
          <w:lang w:val="es-CO"/>
        </w:rPr>
        <w:t xml:space="preserve"> </w:t>
      </w:r>
      <w:r w:rsidR="001E3009" w:rsidRPr="00B317E5">
        <w:rPr>
          <w:rFonts w:cs="Arial"/>
          <w:lang w:val="es-CO"/>
        </w:rPr>
        <w:t xml:space="preserve">la holgura con la que opera </w:t>
      </w:r>
      <w:r w:rsidR="00E1605F" w:rsidRPr="00B317E5">
        <w:rPr>
          <w:rFonts w:cs="Arial"/>
          <w:lang w:val="es-CO"/>
        </w:rPr>
        <w:t xml:space="preserve">el sistema interconectado nacional. </w:t>
      </w:r>
    </w:p>
    <w:p w14:paraId="75FA1C7E" w14:textId="77777777" w:rsidR="00E1605F" w:rsidRPr="00B317E5" w:rsidRDefault="00E1605F" w:rsidP="00731B68">
      <w:pPr>
        <w:ind w:right="51"/>
        <w:rPr>
          <w:rFonts w:cs="Arial"/>
          <w:lang w:val="es-CO"/>
        </w:rPr>
      </w:pPr>
    </w:p>
    <w:p w14:paraId="1F5A5A88" w14:textId="5A10AC30" w:rsidR="008F2DCC" w:rsidRPr="00B317E5" w:rsidRDefault="00637A98" w:rsidP="00731B68">
      <w:pPr>
        <w:ind w:right="51"/>
        <w:rPr>
          <w:rFonts w:cs="Arial"/>
          <w:lang w:val="es-CO"/>
        </w:rPr>
      </w:pPr>
      <w:r w:rsidRPr="00B317E5">
        <w:rPr>
          <w:rFonts w:cs="Arial"/>
          <w:lang w:val="es-CO"/>
        </w:rPr>
        <w:t xml:space="preserve">El </w:t>
      </w:r>
      <w:r w:rsidR="002F22B1" w:rsidRPr="00B317E5">
        <w:rPr>
          <w:rFonts w:cs="Arial"/>
          <w:lang w:val="es-CO"/>
        </w:rPr>
        <w:t>primer factor,</w:t>
      </w:r>
      <w:r w:rsidRPr="00B317E5">
        <w:rPr>
          <w:rFonts w:cs="Arial"/>
          <w:lang w:val="es-CO"/>
        </w:rPr>
        <w:t xml:space="preserve"> </w:t>
      </w:r>
      <w:r w:rsidR="00C803AB" w:rsidRPr="00B317E5">
        <w:rPr>
          <w:rFonts w:cs="Arial"/>
          <w:lang w:val="es-CO"/>
        </w:rPr>
        <w:t>es la</w:t>
      </w:r>
      <w:r w:rsidR="00F66D0B" w:rsidRPr="00B317E5">
        <w:rPr>
          <w:rFonts w:cs="Arial"/>
          <w:lang w:val="es-CO"/>
        </w:rPr>
        <w:t xml:space="preserve"> duración </w:t>
      </w:r>
      <w:r w:rsidR="003B1D87" w:rsidRPr="00B317E5">
        <w:rPr>
          <w:rFonts w:cs="Arial"/>
          <w:lang w:val="es-CO"/>
        </w:rPr>
        <w:t>incierta</w:t>
      </w:r>
      <w:r w:rsidR="00F66D0B" w:rsidRPr="00B317E5">
        <w:rPr>
          <w:rFonts w:cs="Arial"/>
          <w:lang w:val="es-CO"/>
        </w:rPr>
        <w:t xml:space="preserve"> y la intensidad del </w:t>
      </w:r>
      <w:r w:rsidR="003B6DA8" w:rsidRPr="00B317E5">
        <w:rPr>
          <w:rFonts w:cs="Arial"/>
          <w:lang w:val="es-CO"/>
        </w:rPr>
        <w:t>F</w:t>
      </w:r>
      <w:r w:rsidR="00F66D0B" w:rsidRPr="00B317E5">
        <w:rPr>
          <w:rFonts w:cs="Arial"/>
          <w:lang w:val="es-CO"/>
        </w:rPr>
        <w:t>enómeno de</w:t>
      </w:r>
      <w:r w:rsidR="003B6DA8" w:rsidRPr="00B317E5">
        <w:rPr>
          <w:rFonts w:cs="Arial"/>
          <w:lang w:val="es-CO"/>
        </w:rPr>
        <w:t xml:space="preserve"> e</w:t>
      </w:r>
      <w:r w:rsidR="00F66D0B" w:rsidRPr="00B317E5">
        <w:rPr>
          <w:rFonts w:cs="Arial"/>
          <w:lang w:val="es-CO"/>
        </w:rPr>
        <w:t xml:space="preserve">l </w:t>
      </w:r>
      <w:r w:rsidR="003B6DA8" w:rsidRPr="00B317E5">
        <w:rPr>
          <w:rFonts w:cs="Arial"/>
          <w:lang w:val="es-CO"/>
        </w:rPr>
        <w:t>N</w:t>
      </w:r>
      <w:r w:rsidR="00F66D0B" w:rsidRPr="00B317E5">
        <w:rPr>
          <w:rFonts w:cs="Arial"/>
          <w:lang w:val="es-CO"/>
        </w:rPr>
        <w:t>iño</w:t>
      </w:r>
      <w:r w:rsidR="003B1D87" w:rsidRPr="00B317E5">
        <w:rPr>
          <w:rFonts w:cs="Arial"/>
          <w:lang w:val="es-CO"/>
        </w:rPr>
        <w:t>.</w:t>
      </w:r>
      <w:r w:rsidR="00F66D0B" w:rsidRPr="00B317E5">
        <w:rPr>
          <w:rFonts w:cs="Arial"/>
          <w:lang w:val="es-CO"/>
        </w:rPr>
        <w:t xml:space="preserve"> </w:t>
      </w:r>
      <w:r w:rsidR="008F2DCC" w:rsidRPr="00B317E5">
        <w:rPr>
          <w:rFonts w:cs="Arial"/>
          <w:lang w:val="es-CO"/>
        </w:rPr>
        <w:t xml:space="preserve">Lo anterior, </w:t>
      </w:r>
      <w:r w:rsidR="00E660AB" w:rsidRPr="00B317E5">
        <w:rPr>
          <w:rFonts w:cs="Arial"/>
          <w:lang w:val="es-CO"/>
        </w:rPr>
        <w:t>significa que</w:t>
      </w:r>
      <w:r w:rsidR="00CE7E34" w:rsidRPr="00B317E5">
        <w:rPr>
          <w:rFonts w:cs="Arial"/>
          <w:lang w:val="es-CO"/>
        </w:rPr>
        <w:t>,</w:t>
      </w:r>
      <w:r w:rsidR="00E660AB" w:rsidRPr="00B317E5">
        <w:rPr>
          <w:rFonts w:cs="Arial"/>
          <w:lang w:val="es-CO"/>
        </w:rPr>
        <w:t xml:space="preserve"> </w:t>
      </w:r>
      <w:r w:rsidR="00C3681E" w:rsidRPr="00B317E5">
        <w:rPr>
          <w:rFonts w:cs="Arial"/>
          <w:lang w:val="es-CO"/>
        </w:rPr>
        <w:t xml:space="preserve">con la reducción permanente </w:t>
      </w:r>
      <w:r w:rsidR="00A22816" w:rsidRPr="00B317E5">
        <w:rPr>
          <w:rFonts w:cs="Arial"/>
          <w:lang w:val="es-CO"/>
        </w:rPr>
        <w:t>en</w:t>
      </w:r>
      <w:r w:rsidR="00C3681E" w:rsidRPr="00B317E5">
        <w:rPr>
          <w:rFonts w:cs="Arial"/>
          <w:lang w:val="es-CO"/>
        </w:rPr>
        <w:t xml:space="preserve"> los aportes </w:t>
      </w:r>
      <w:r w:rsidR="00502D53" w:rsidRPr="00B317E5">
        <w:rPr>
          <w:rFonts w:cs="Arial"/>
          <w:lang w:val="es-CO"/>
        </w:rPr>
        <w:t>en</w:t>
      </w:r>
      <w:r w:rsidR="00A22816" w:rsidRPr="00B317E5">
        <w:rPr>
          <w:rFonts w:cs="Arial"/>
          <w:lang w:val="es-CO"/>
        </w:rPr>
        <w:t xml:space="preserve"> los embalses </w:t>
      </w:r>
      <w:r w:rsidR="00502D53" w:rsidRPr="00B317E5">
        <w:rPr>
          <w:rFonts w:cs="Arial"/>
          <w:lang w:val="es-CO"/>
        </w:rPr>
        <w:t>y</w:t>
      </w:r>
      <w:r w:rsidR="00A22816" w:rsidRPr="00B317E5">
        <w:rPr>
          <w:rFonts w:cs="Arial"/>
          <w:lang w:val="es-CO"/>
        </w:rPr>
        <w:t xml:space="preserve"> </w:t>
      </w:r>
      <w:r w:rsidR="00761EAC" w:rsidRPr="00B317E5">
        <w:rPr>
          <w:rFonts w:cs="Arial"/>
          <w:lang w:val="es-CO"/>
        </w:rPr>
        <w:t xml:space="preserve">la disminución progresiva </w:t>
      </w:r>
      <w:r w:rsidR="005B52BF" w:rsidRPr="00B317E5">
        <w:rPr>
          <w:rFonts w:cs="Arial"/>
          <w:lang w:val="es-CO"/>
        </w:rPr>
        <w:t xml:space="preserve">en la capacidad de generación </w:t>
      </w:r>
      <w:r w:rsidR="00A81B74" w:rsidRPr="00B317E5">
        <w:rPr>
          <w:rFonts w:cs="Arial"/>
          <w:lang w:val="es-CO"/>
        </w:rPr>
        <w:t>de las plantas hidr</w:t>
      </w:r>
      <w:r w:rsidR="00A67834" w:rsidRPr="00B317E5">
        <w:rPr>
          <w:rFonts w:cs="Arial"/>
          <w:lang w:val="es-CO"/>
        </w:rPr>
        <w:t>áulicas</w:t>
      </w:r>
      <w:r w:rsidR="00FA063A" w:rsidRPr="00B317E5">
        <w:rPr>
          <w:rFonts w:cs="Arial"/>
          <w:lang w:val="es-CO"/>
        </w:rPr>
        <w:t xml:space="preserve">, se estrecha de forma paulatina </w:t>
      </w:r>
      <w:r w:rsidR="00053566" w:rsidRPr="00B317E5">
        <w:rPr>
          <w:rFonts w:cs="Arial"/>
          <w:lang w:val="es-CO"/>
        </w:rPr>
        <w:t xml:space="preserve">la holgura entre </w:t>
      </w:r>
      <w:r w:rsidR="0095116B" w:rsidRPr="00B317E5">
        <w:rPr>
          <w:rFonts w:cs="Arial"/>
          <w:lang w:val="es-CO"/>
        </w:rPr>
        <w:t>la oferta y la demanda agregada.</w:t>
      </w:r>
      <w:r w:rsidR="00A67834" w:rsidRPr="00B317E5">
        <w:rPr>
          <w:rFonts w:cs="Arial"/>
          <w:lang w:val="es-CO"/>
        </w:rPr>
        <w:t xml:space="preserve"> </w:t>
      </w:r>
    </w:p>
    <w:p w14:paraId="4CC33A1A" w14:textId="77777777" w:rsidR="004B377B" w:rsidRPr="00B317E5" w:rsidRDefault="004B377B" w:rsidP="00731B68">
      <w:pPr>
        <w:ind w:right="51"/>
        <w:rPr>
          <w:rFonts w:cs="Arial"/>
          <w:lang w:val="es-CO"/>
        </w:rPr>
      </w:pPr>
    </w:p>
    <w:p w14:paraId="182C2A2C" w14:textId="77777777" w:rsidR="006E7A53" w:rsidRPr="00B317E5" w:rsidRDefault="00EC63B2" w:rsidP="00731B68">
      <w:pPr>
        <w:ind w:right="51"/>
        <w:rPr>
          <w:rFonts w:cs="Arial"/>
          <w:lang w:val="es-CO"/>
        </w:rPr>
      </w:pPr>
      <w:r w:rsidRPr="00B317E5">
        <w:rPr>
          <w:rFonts w:cs="Arial"/>
          <w:lang w:val="es-CO"/>
        </w:rPr>
        <w:t xml:space="preserve">El segundo factor, es la </w:t>
      </w:r>
      <w:r w:rsidR="00AF242D" w:rsidRPr="00B317E5">
        <w:rPr>
          <w:rFonts w:cs="Arial"/>
          <w:lang w:val="es-CO"/>
        </w:rPr>
        <w:t>situación que a</w:t>
      </w:r>
      <w:r w:rsidR="002F2D1F" w:rsidRPr="00B317E5">
        <w:rPr>
          <w:rFonts w:cs="Arial"/>
          <w:lang w:val="es-CO"/>
        </w:rPr>
        <w:t>tra</w:t>
      </w:r>
      <w:r w:rsidR="00AF242D" w:rsidRPr="00B317E5">
        <w:rPr>
          <w:rFonts w:cs="Arial"/>
          <w:lang w:val="es-CO"/>
        </w:rPr>
        <w:t xml:space="preserve">viesa el sector </w:t>
      </w:r>
      <w:r w:rsidR="00C359FA" w:rsidRPr="00B317E5">
        <w:rPr>
          <w:rFonts w:cs="Arial"/>
          <w:lang w:val="es-CO"/>
        </w:rPr>
        <w:t xml:space="preserve">eléctrico </w:t>
      </w:r>
      <w:r w:rsidR="00EF2F65" w:rsidRPr="00B317E5">
        <w:rPr>
          <w:rFonts w:cs="Arial"/>
          <w:lang w:val="es-CO"/>
        </w:rPr>
        <w:t>al</w:t>
      </w:r>
      <w:r w:rsidR="002F2D1F" w:rsidRPr="00B317E5">
        <w:rPr>
          <w:rFonts w:cs="Arial"/>
          <w:lang w:val="es-CO"/>
        </w:rPr>
        <w:t xml:space="preserve"> increment</w:t>
      </w:r>
      <w:r w:rsidR="00EF2F65" w:rsidRPr="00B317E5">
        <w:rPr>
          <w:rFonts w:cs="Arial"/>
          <w:lang w:val="es-CO"/>
        </w:rPr>
        <w:t>ar</w:t>
      </w:r>
      <w:r w:rsidR="00353DDF" w:rsidRPr="00B317E5">
        <w:rPr>
          <w:rFonts w:cs="Arial"/>
          <w:lang w:val="es-CO"/>
        </w:rPr>
        <w:t>se</w:t>
      </w:r>
      <w:r w:rsidR="002F2D1F" w:rsidRPr="00B317E5">
        <w:rPr>
          <w:rFonts w:cs="Arial"/>
          <w:lang w:val="es-CO"/>
        </w:rPr>
        <w:t xml:space="preserve"> la demanda</w:t>
      </w:r>
      <w:r w:rsidR="00DE3BCD" w:rsidRPr="00B317E5">
        <w:rPr>
          <w:rFonts w:cs="Arial"/>
          <w:lang w:val="es-CO"/>
        </w:rPr>
        <w:t xml:space="preserve">, que </w:t>
      </w:r>
      <w:r w:rsidR="00C10CEF" w:rsidRPr="00B317E5">
        <w:rPr>
          <w:rFonts w:cs="Arial"/>
          <w:lang w:val="es-CO"/>
        </w:rPr>
        <w:t>represent</w:t>
      </w:r>
      <w:r w:rsidR="00406E92" w:rsidRPr="00B317E5">
        <w:rPr>
          <w:rFonts w:cs="Arial"/>
          <w:lang w:val="es-CO"/>
        </w:rPr>
        <w:t xml:space="preserve">a </w:t>
      </w:r>
      <w:r w:rsidR="00EE3F1B" w:rsidRPr="00B317E5">
        <w:rPr>
          <w:rFonts w:cs="Arial"/>
          <w:lang w:val="es-CO"/>
        </w:rPr>
        <w:t xml:space="preserve">un crecimiento del </w:t>
      </w:r>
      <w:r w:rsidR="00704CCC" w:rsidRPr="00B317E5">
        <w:rPr>
          <w:rFonts w:cs="Arial"/>
          <w:lang w:val="es-CO"/>
        </w:rPr>
        <w:t>8.31% comparado con los mismos días del mes de</w:t>
      </w:r>
      <w:r w:rsidR="00F16BF1" w:rsidRPr="00B317E5">
        <w:rPr>
          <w:rFonts w:cs="Arial"/>
          <w:lang w:val="es-CO"/>
        </w:rPr>
        <w:t>l año inmediatamente anterior</w:t>
      </w:r>
      <w:r w:rsidR="006E7A53" w:rsidRPr="00B317E5">
        <w:rPr>
          <w:rFonts w:cs="Arial"/>
          <w:lang w:val="es-CO"/>
        </w:rPr>
        <w:t>.</w:t>
      </w:r>
    </w:p>
    <w:p w14:paraId="35C6E9B7" w14:textId="77777777" w:rsidR="00731B68" w:rsidRPr="00B317E5" w:rsidRDefault="00731B68" w:rsidP="00731B68">
      <w:pPr>
        <w:ind w:right="51"/>
        <w:rPr>
          <w:rFonts w:cs="Arial"/>
          <w:lang w:val="es-CO"/>
        </w:rPr>
      </w:pPr>
    </w:p>
    <w:p w14:paraId="2B5209D6" w14:textId="74FE6CA3" w:rsidR="00AB27D4" w:rsidRPr="00B317E5" w:rsidRDefault="00801F63" w:rsidP="00AB27D4">
      <w:pPr>
        <w:ind w:right="51"/>
        <w:rPr>
          <w:rFonts w:cs="Arial"/>
          <w:lang w:val="es-CO"/>
        </w:rPr>
      </w:pPr>
      <w:r w:rsidRPr="00B317E5">
        <w:rPr>
          <w:rFonts w:cs="Arial"/>
          <w:lang w:val="es-CO"/>
        </w:rPr>
        <w:t xml:space="preserve">Sobre la situación </w:t>
      </w:r>
      <w:r w:rsidR="00047C8D" w:rsidRPr="00B317E5">
        <w:rPr>
          <w:rFonts w:cs="Arial"/>
          <w:lang w:val="es-CO"/>
        </w:rPr>
        <w:t xml:space="preserve">operativa del sistema, </w:t>
      </w:r>
      <w:r w:rsidR="005D6B4F" w:rsidRPr="00B317E5">
        <w:rPr>
          <w:rFonts w:cs="Arial"/>
          <w:lang w:val="es-CO"/>
        </w:rPr>
        <w:t>e</w:t>
      </w:r>
      <w:r w:rsidR="00AB27D4" w:rsidRPr="00B317E5">
        <w:rPr>
          <w:rFonts w:cs="Arial"/>
          <w:lang w:val="es-CO"/>
        </w:rPr>
        <w:t xml:space="preserve">l Centro Nacional del Despacho -CND- con el oficio 202444006895-1 del 30 de marzo de 2024, comunicó al Ministerio de Minas y Energía y al Consejo Nacional de Operación, </w:t>
      </w:r>
      <w:r w:rsidR="00F614FC" w:rsidRPr="00B317E5">
        <w:rPr>
          <w:rFonts w:cs="Arial"/>
          <w:lang w:val="es-CO"/>
        </w:rPr>
        <w:t xml:space="preserve">los </w:t>
      </w:r>
      <w:r w:rsidR="00731B68" w:rsidRPr="00B317E5">
        <w:rPr>
          <w:rFonts w:cs="Arial"/>
          <w:lang w:val="es-CO"/>
        </w:rPr>
        <w:t>aspectos que vienen afectando la operación del Sistema Interconectado Nacional (SIN) y que pueden poner en riesgo el abastecimiento de la demanda de energía eléctrica en el país, dentro de los que se destacan:</w:t>
      </w:r>
    </w:p>
    <w:p w14:paraId="05502831" w14:textId="77777777" w:rsidR="00AB27D4" w:rsidRPr="00B317E5" w:rsidRDefault="00AB27D4" w:rsidP="00AB27D4">
      <w:pPr>
        <w:ind w:right="51"/>
        <w:rPr>
          <w:rFonts w:cs="Arial"/>
          <w:lang w:val="es-CO"/>
        </w:rPr>
      </w:pPr>
    </w:p>
    <w:p w14:paraId="6F22A448" w14:textId="77777777" w:rsidR="00AB27D4" w:rsidRPr="00B317E5" w:rsidRDefault="00AB27D4" w:rsidP="00AB27D4">
      <w:pPr>
        <w:ind w:left="284" w:right="51"/>
        <w:rPr>
          <w:rFonts w:cs="Arial"/>
          <w:sz w:val="22"/>
          <w:szCs w:val="22"/>
        </w:rPr>
      </w:pPr>
      <w:r w:rsidRPr="00B317E5">
        <w:rPr>
          <w:rFonts w:cs="Arial"/>
          <w:sz w:val="22"/>
          <w:szCs w:val="22"/>
        </w:rPr>
        <w:t>“(…)</w:t>
      </w:r>
    </w:p>
    <w:p w14:paraId="1F055F1C" w14:textId="77777777" w:rsidR="00AB27D4" w:rsidRPr="00B317E5" w:rsidRDefault="00AB27D4" w:rsidP="18D82EF9">
      <w:pPr>
        <w:ind w:left="284" w:right="51"/>
        <w:rPr>
          <w:rFonts w:cs="Arial"/>
          <w:sz w:val="22"/>
          <w:szCs w:val="22"/>
          <w:lang w:val="es-ES"/>
        </w:rPr>
      </w:pPr>
      <w:r w:rsidRPr="18D82EF9">
        <w:rPr>
          <w:rFonts w:cs="Arial"/>
          <w:sz w:val="22"/>
          <w:szCs w:val="22"/>
          <w:lang w:val="es-ES"/>
        </w:rPr>
        <w:t xml:space="preserve"> • A la fecha la demanda de energía eléctrica presenta un crecimiento de 8.31 % comparado con los mismos días del mes del año inmediatamente anterior. Además, durante algunos días de marzo la demanda se ha situado por encima del escenario de demanda medio publicado por UPME (Unidad de Planeación </w:t>
      </w:r>
      <w:proofErr w:type="gramStart"/>
      <w:r w:rsidRPr="18D82EF9">
        <w:rPr>
          <w:rFonts w:cs="Arial"/>
          <w:sz w:val="22"/>
          <w:szCs w:val="22"/>
          <w:lang w:val="es-ES"/>
        </w:rPr>
        <w:t>Minero Energética</w:t>
      </w:r>
      <w:proofErr w:type="gramEnd"/>
      <w:r w:rsidRPr="18D82EF9">
        <w:rPr>
          <w:rFonts w:cs="Arial"/>
          <w:sz w:val="22"/>
          <w:szCs w:val="22"/>
          <w:lang w:val="es-ES"/>
        </w:rPr>
        <w:t xml:space="preserve">) en su actualización de enero de 2024 (…). </w:t>
      </w:r>
    </w:p>
    <w:p w14:paraId="2C1E7FE0" w14:textId="77777777" w:rsidR="00AB27D4" w:rsidRPr="00B317E5" w:rsidRDefault="00AB27D4" w:rsidP="00AB27D4">
      <w:pPr>
        <w:ind w:left="284" w:right="51"/>
        <w:rPr>
          <w:rFonts w:cs="Arial"/>
          <w:sz w:val="22"/>
          <w:szCs w:val="22"/>
        </w:rPr>
      </w:pPr>
    </w:p>
    <w:p w14:paraId="291C91E3" w14:textId="77777777" w:rsidR="00AB27D4" w:rsidRPr="00B317E5" w:rsidRDefault="00AB27D4" w:rsidP="00AB27D4">
      <w:pPr>
        <w:ind w:left="284" w:right="51"/>
        <w:rPr>
          <w:rFonts w:cs="Arial"/>
          <w:sz w:val="22"/>
          <w:szCs w:val="22"/>
        </w:rPr>
      </w:pPr>
      <w:r w:rsidRPr="00B317E5">
        <w:rPr>
          <w:rFonts w:cs="Arial"/>
          <w:sz w:val="22"/>
          <w:szCs w:val="22"/>
        </w:rPr>
        <w:t>• En el seguimiento a los aportes, se resalta que los aportes hídricos registrados en marzo se mantienen por debajo de los mínimos históricos, en el 45.37 % de la media histórica, es decir 69.96 GWh/día.</w:t>
      </w:r>
    </w:p>
    <w:p w14:paraId="48157F51" w14:textId="77777777" w:rsidR="00AB27D4" w:rsidRPr="00B317E5" w:rsidRDefault="00AB27D4" w:rsidP="00AB27D4">
      <w:pPr>
        <w:ind w:left="284" w:right="51"/>
        <w:rPr>
          <w:rFonts w:cs="Arial"/>
          <w:sz w:val="22"/>
          <w:szCs w:val="22"/>
        </w:rPr>
      </w:pPr>
    </w:p>
    <w:p w14:paraId="7BC215B2" w14:textId="77777777" w:rsidR="00AB27D4" w:rsidRPr="00B317E5" w:rsidRDefault="00AB27D4" w:rsidP="00AB27D4">
      <w:pPr>
        <w:ind w:left="284" w:right="51"/>
        <w:rPr>
          <w:rFonts w:cs="Arial"/>
          <w:sz w:val="22"/>
          <w:szCs w:val="22"/>
        </w:rPr>
      </w:pPr>
      <w:r w:rsidRPr="00B317E5">
        <w:rPr>
          <w:rFonts w:cs="Arial"/>
          <w:sz w:val="22"/>
          <w:szCs w:val="22"/>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5FC7549C" w14:textId="77777777" w:rsidR="00AB27D4" w:rsidRPr="00B317E5" w:rsidRDefault="00AB27D4" w:rsidP="00AB27D4">
      <w:pPr>
        <w:ind w:left="284" w:right="51"/>
        <w:rPr>
          <w:rFonts w:cs="Arial"/>
          <w:sz w:val="22"/>
          <w:szCs w:val="22"/>
        </w:rPr>
      </w:pPr>
    </w:p>
    <w:p w14:paraId="7D05C3C1" w14:textId="77777777" w:rsidR="00AB27D4" w:rsidRPr="00B317E5" w:rsidRDefault="00AB27D4" w:rsidP="18D82EF9">
      <w:pPr>
        <w:ind w:left="284" w:right="51"/>
        <w:rPr>
          <w:rFonts w:cs="Arial"/>
          <w:sz w:val="22"/>
          <w:szCs w:val="22"/>
          <w:lang w:val="es-ES"/>
        </w:rPr>
      </w:pPr>
      <w:r w:rsidRPr="18D82EF9">
        <w:rPr>
          <w:rFonts w:cs="Arial"/>
          <w:sz w:val="22"/>
          <w:szCs w:val="22"/>
          <w:lang w:val="es-ES"/>
        </w:rPr>
        <w:t xml:space="preserve">• A nivel regional las reservas se encuentran reflejadas el 49.25% en la región Centro, 34.93% en Antioquia, el 8.25% en Oriente y el porcentaje restante en Valle y Caribe. A nivel de embalses llama la atención que el volumen útil del embalse agregado del sistema está concentrado en los embalses de Peñol y del agregado de Bogotá, en un 26.8% y 39.4%, respectivamente y algunos de los principales embalses del país empiezan a registrar mínimos </w:t>
      </w:r>
      <w:r w:rsidRPr="18D82EF9">
        <w:rPr>
          <w:rFonts w:cs="Arial"/>
          <w:sz w:val="22"/>
          <w:szCs w:val="22"/>
          <w:lang w:val="es-ES"/>
        </w:rPr>
        <w:lastRenderedPageBreak/>
        <w:t xml:space="preserve">históricos como El Peñol con 35.93%, Guavio con un 5.8%, El Quimbo con 19.45% y </w:t>
      </w:r>
      <w:proofErr w:type="spellStart"/>
      <w:r w:rsidRPr="18D82EF9">
        <w:rPr>
          <w:rFonts w:cs="Arial"/>
          <w:sz w:val="22"/>
          <w:szCs w:val="22"/>
          <w:lang w:val="es-ES"/>
        </w:rPr>
        <w:t>Ríogrande</w:t>
      </w:r>
      <w:proofErr w:type="spellEnd"/>
      <w:r w:rsidRPr="18D82EF9">
        <w:rPr>
          <w:rFonts w:cs="Arial"/>
          <w:sz w:val="22"/>
          <w:szCs w:val="22"/>
          <w:lang w:val="es-ES"/>
        </w:rPr>
        <w:t xml:space="preserve"> 2 con 7.37%.</w:t>
      </w:r>
    </w:p>
    <w:p w14:paraId="6133B035" w14:textId="77777777" w:rsidR="00AB27D4" w:rsidRPr="00B317E5" w:rsidRDefault="00AB27D4" w:rsidP="00AB27D4">
      <w:pPr>
        <w:ind w:left="284" w:right="51"/>
        <w:rPr>
          <w:rFonts w:cs="Arial"/>
          <w:sz w:val="22"/>
          <w:szCs w:val="22"/>
        </w:rPr>
      </w:pPr>
    </w:p>
    <w:p w14:paraId="16FBCD14" w14:textId="77777777" w:rsidR="00AB27D4" w:rsidRPr="00B317E5" w:rsidRDefault="00AB27D4" w:rsidP="00AB27D4">
      <w:pPr>
        <w:ind w:left="284" w:right="51"/>
        <w:rPr>
          <w:rFonts w:cs="Arial"/>
          <w:sz w:val="22"/>
          <w:szCs w:val="22"/>
        </w:rPr>
      </w:pPr>
      <w:r w:rsidRPr="00B317E5">
        <w:rPr>
          <w:rFonts w:cs="Arial"/>
          <w:sz w:val="22"/>
          <w:szCs w:val="22"/>
        </w:rPr>
        <w:t>(…)</w:t>
      </w:r>
    </w:p>
    <w:p w14:paraId="54F73A5A" w14:textId="77777777" w:rsidR="00AB27D4" w:rsidRPr="00B317E5" w:rsidRDefault="00AB27D4" w:rsidP="00AB27D4">
      <w:pPr>
        <w:ind w:left="284" w:right="51"/>
        <w:rPr>
          <w:rFonts w:cs="Arial"/>
          <w:sz w:val="22"/>
          <w:szCs w:val="22"/>
        </w:rPr>
      </w:pPr>
    </w:p>
    <w:p w14:paraId="2B86707A" w14:textId="77777777" w:rsidR="00AB27D4" w:rsidRPr="00B317E5" w:rsidRDefault="00AB27D4" w:rsidP="00AB27D4">
      <w:pPr>
        <w:ind w:left="284" w:right="51"/>
        <w:rPr>
          <w:rFonts w:cs="Arial"/>
          <w:sz w:val="22"/>
          <w:szCs w:val="22"/>
        </w:rPr>
      </w:pPr>
      <w:r w:rsidRPr="00B317E5">
        <w:rPr>
          <w:rFonts w:cs="Arial"/>
          <w:sz w:val="22"/>
          <w:szCs w:val="22"/>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5F95D3BB" w14:textId="77777777" w:rsidR="00AB27D4" w:rsidRPr="00B317E5" w:rsidRDefault="00AB27D4" w:rsidP="00AB27D4">
      <w:pPr>
        <w:ind w:left="284" w:right="51"/>
        <w:rPr>
          <w:rFonts w:cs="Arial"/>
          <w:sz w:val="22"/>
          <w:szCs w:val="22"/>
        </w:rPr>
      </w:pPr>
    </w:p>
    <w:p w14:paraId="11E89DDB" w14:textId="77777777" w:rsidR="00AB27D4" w:rsidRPr="00B317E5" w:rsidRDefault="00AB27D4" w:rsidP="00AB27D4">
      <w:pPr>
        <w:ind w:left="284" w:right="51"/>
        <w:rPr>
          <w:rFonts w:cs="Arial"/>
          <w:sz w:val="22"/>
          <w:szCs w:val="22"/>
          <w:lang w:val="es-CO"/>
        </w:rPr>
      </w:pPr>
      <w:r w:rsidRPr="00B317E5">
        <w:rPr>
          <w:rFonts w:cs="Arial"/>
          <w:sz w:val="22"/>
          <w:szCs w:val="22"/>
        </w:rPr>
        <w:t>• La media de exportaciones a Ecuador en marzo ha sido de 3,77 GWh/día promedio. En algunos días de marzo las exportaciones han estado por encima de 5 GWh/día y se espera que esta situación se mantenga al menos hasta la segunda semana de abril, según lo informado por CENACE (Centro Nacional de Control de Energía de Ecuador). (…)”</w:t>
      </w:r>
    </w:p>
    <w:p w14:paraId="23FC83C5" w14:textId="77777777" w:rsidR="00AB27D4" w:rsidRPr="00B317E5" w:rsidRDefault="00AB27D4" w:rsidP="00AB27D4">
      <w:pPr>
        <w:ind w:right="51"/>
        <w:rPr>
          <w:rFonts w:cs="Arial"/>
          <w:lang w:val="es-CO"/>
        </w:rPr>
      </w:pPr>
    </w:p>
    <w:p w14:paraId="2957F2A9" w14:textId="77777777" w:rsidR="00AB27D4" w:rsidRPr="00B317E5" w:rsidRDefault="00AB27D4" w:rsidP="00AB27D4">
      <w:pPr>
        <w:ind w:right="51"/>
        <w:rPr>
          <w:rFonts w:cs="Arial"/>
          <w:lang w:val="es-CO"/>
        </w:rPr>
      </w:pPr>
      <w:r w:rsidRPr="00B317E5">
        <w:rPr>
          <w:rFonts w:cs="Arial"/>
          <w:lang w:val="es-CO"/>
        </w:rPr>
        <w:t>Adicionalmente, menciona que, bajo las condiciones operativas actuales, ante la persistencia de los bajos aportes hídricos y el incremento en la demanda, es necesario gestionar la implementación de medidas transitorias con el fin de asegurar la operación confiable y segura del SIN, dentro de las que se encuentran medidas para la reducción de la demanda.</w:t>
      </w:r>
    </w:p>
    <w:p w14:paraId="0B032005" w14:textId="77777777" w:rsidR="00A409EC" w:rsidRPr="00B317E5" w:rsidRDefault="00A409EC" w:rsidP="00731B68">
      <w:pPr>
        <w:ind w:right="51"/>
        <w:rPr>
          <w:rFonts w:cs="Arial"/>
        </w:rPr>
      </w:pPr>
    </w:p>
    <w:p w14:paraId="478674A1" w14:textId="4DC20020" w:rsidR="00451F93" w:rsidRPr="00B317E5" w:rsidRDefault="00E07313" w:rsidP="18D82EF9">
      <w:pPr>
        <w:ind w:right="51"/>
        <w:rPr>
          <w:rFonts w:cs="Arial"/>
          <w:lang w:val="es-ES"/>
        </w:rPr>
      </w:pPr>
      <w:r w:rsidRPr="18D82EF9">
        <w:rPr>
          <w:rFonts w:cs="Arial"/>
          <w:lang w:val="es-ES"/>
        </w:rPr>
        <w:t xml:space="preserve">Así las cosas, </w:t>
      </w:r>
      <w:r w:rsidR="003C2E17" w:rsidRPr="18D82EF9">
        <w:rPr>
          <w:rFonts w:cs="Arial"/>
          <w:lang w:val="es-ES"/>
        </w:rPr>
        <w:t xml:space="preserve">es necesario </w:t>
      </w:r>
      <w:r w:rsidR="0091131A" w:rsidRPr="18D82EF9">
        <w:rPr>
          <w:rFonts w:cs="Arial"/>
          <w:lang w:val="es-ES"/>
        </w:rPr>
        <w:t xml:space="preserve">promover el uso </w:t>
      </w:r>
      <w:r w:rsidR="00F130E8" w:rsidRPr="18D82EF9">
        <w:rPr>
          <w:rFonts w:cs="Arial"/>
          <w:lang w:val="es-ES"/>
        </w:rPr>
        <w:t xml:space="preserve">racional y </w:t>
      </w:r>
      <w:r w:rsidR="0091131A" w:rsidRPr="18D82EF9">
        <w:rPr>
          <w:rFonts w:cs="Arial"/>
          <w:lang w:val="es-ES"/>
        </w:rPr>
        <w:t xml:space="preserve">eficiente </w:t>
      </w:r>
      <w:r w:rsidR="00874693" w:rsidRPr="18D82EF9">
        <w:rPr>
          <w:rFonts w:cs="Arial"/>
          <w:lang w:val="es-ES"/>
        </w:rPr>
        <w:t>de la energía</w:t>
      </w:r>
      <w:r w:rsidR="00277E3C" w:rsidRPr="18D82EF9">
        <w:rPr>
          <w:rFonts w:cs="Arial"/>
          <w:lang w:val="es-ES"/>
        </w:rPr>
        <w:t>, por lo cual</w:t>
      </w:r>
      <w:r w:rsidR="00901A9F" w:rsidRPr="18D82EF9">
        <w:rPr>
          <w:rFonts w:cs="Arial"/>
          <w:lang w:val="es-ES"/>
        </w:rPr>
        <w:t>,</w:t>
      </w:r>
      <w:r w:rsidR="00277E3C" w:rsidRPr="18D82EF9">
        <w:rPr>
          <w:rFonts w:cs="Arial"/>
          <w:lang w:val="es-ES"/>
        </w:rPr>
        <w:t xml:space="preserve"> </w:t>
      </w:r>
      <w:r w:rsidR="00BB5D0F" w:rsidRPr="18D82EF9">
        <w:rPr>
          <w:rFonts w:cs="Arial"/>
          <w:lang w:val="es-ES"/>
        </w:rPr>
        <w:t>con fundamento en el marco legal vigente</w:t>
      </w:r>
      <w:r w:rsidR="00467320" w:rsidRPr="18D82EF9">
        <w:rPr>
          <w:rFonts w:cs="Arial"/>
          <w:lang w:val="es-ES"/>
        </w:rPr>
        <w:t xml:space="preserve">, la Comisión de Regulación de Energía y Gas, </w:t>
      </w:r>
      <w:r w:rsidR="00EB5F6F" w:rsidRPr="18D82EF9">
        <w:rPr>
          <w:rFonts w:cs="Arial"/>
          <w:lang w:val="es-ES"/>
        </w:rPr>
        <w:t>ha diseñado un esquema de tarifas diferenciales</w:t>
      </w:r>
      <w:r w:rsidR="00842E1C" w:rsidRPr="18D82EF9">
        <w:rPr>
          <w:rFonts w:cs="Arial"/>
          <w:lang w:val="es-ES"/>
        </w:rPr>
        <w:t xml:space="preserve">, el cual se detalla en el </w:t>
      </w:r>
      <w:r w:rsidR="00451F93" w:rsidRPr="18D82EF9">
        <w:rPr>
          <w:rFonts w:cs="Arial"/>
          <w:lang w:val="es-ES"/>
        </w:rPr>
        <w:t xml:space="preserve">siguiente acápite. </w:t>
      </w:r>
    </w:p>
    <w:p w14:paraId="4A2A75B4" w14:textId="77777777" w:rsidR="00E7209B" w:rsidRPr="00B317E5" w:rsidRDefault="00E7209B" w:rsidP="00E7209B">
      <w:pPr>
        <w:rPr>
          <w:rFonts w:cs="Arial"/>
          <w:sz w:val="22"/>
        </w:rPr>
      </w:pPr>
    </w:p>
    <w:p w14:paraId="3ED2E169" w14:textId="40E4F4B6" w:rsidR="00E7209B" w:rsidRPr="00B317E5" w:rsidRDefault="007D3DDC" w:rsidP="007D3DDC">
      <w:pPr>
        <w:pStyle w:val="Ttulo1"/>
        <w:numPr>
          <w:ilvl w:val="0"/>
          <w:numId w:val="14"/>
        </w:numPr>
        <w:rPr>
          <w:rFonts w:cs="Arial"/>
        </w:rPr>
      </w:pPr>
      <w:r w:rsidRPr="00B317E5">
        <w:rPr>
          <w:rFonts w:cs="Arial"/>
        </w:rPr>
        <w:t>PROPUESTA</w:t>
      </w:r>
      <w:r w:rsidRPr="00B317E5">
        <w:rPr>
          <w:rFonts w:cs="Arial"/>
        </w:rPr>
        <w:tab/>
      </w:r>
    </w:p>
    <w:p w14:paraId="05E18EEC" w14:textId="44BD9377" w:rsidR="00BA70A7" w:rsidRPr="00B317E5" w:rsidRDefault="00A32BFA" w:rsidP="18D82EF9">
      <w:pPr>
        <w:rPr>
          <w:rFonts w:cs="Arial"/>
          <w:lang w:val="es-ES"/>
        </w:rPr>
      </w:pPr>
      <w:r w:rsidRPr="18D82EF9">
        <w:rPr>
          <w:rFonts w:cs="Arial"/>
          <w:lang w:val="es-ES"/>
        </w:rPr>
        <w:t>De acuerdo con la necesidad regulatoria identificada</w:t>
      </w:r>
      <w:r w:rsidR="008C3F99" w:rsidRPr="18D82EF9">
        <w:rPr>
          <w:rFonts w:cs="Arial"/>
          <w:lang w:val="es-ES"/>
        </w:rPr>
        <w:t xml:space="preserve">, </w:t>
      </w:r>
      <w:r w:rsidR="00711E28" w:rsidRPr="18D82EF9">
        <w:rPr>
          <w:rFonts w:cs="Arial"/>
          <w:lang w:val="es-ES"/>
        </w:rPr>
        <w:t>se presenta para consulta pública la siguiente propuesta</w:t>
      </w:r>
      <w:r w:rsidR="00E56C72" w:rsidRPr="18D82EF9">
        <w:rPr>
          <w:rFonts w:cs="Arial"/>
          <w:lang w:val="es-ES"/>
        </w:rPr>
        <w:t xml:space="preserve">, consistente en la implementación de un programa transitorio de incentivos al uso eficiente de la energía eléctrica, que tiene como propósito principal </w:t>
      </w:r>
      <w:r w:rsidR="00FB1F4D" w:rsidRPr="18D82EF9">
        <w:rPr>
          <w:rFonts w:cs="Arial"/>
          <w:lang w:val="es-ES"/>
        </w:rPr>
        <w:t>de promover la recuperación de los niveles de los embalses del país y prevenir eventuales desabastecimientos.</w:t>
      </w:r>
    </w:p>
    <w:p w14:paraId="07AF4BE9" w14:textId="77777777" w:rsidR="00C658CE" w:rsidRPr="00B317E5" w:rsidRDefault="00C658CE" w:rsidP="007D3DDC">
      <w:pPr>
        <w:rPr>
          <w:rFonts w:cs="Arial"/>
        </w:rPr>
      </w:pPr>
    </w:p>
    <w:p w14:paraId="1897F796" w14:textId="648DFE75" w:rsidR="00DD4E63" w:rsidRPr="00B317E5" w:rsidRDefault="001F7231" w:rsidP="007D3DDC">
      <w:pPr>
        <w:rPr>
          <w:rFonts w:cs="Arial"/>
          <w:b/>
          <w:bCs/>
        </w:rPr>
      </w:pPr>
      <w:r>
        <w:rPr>
          <w:rFonts w:cs="Arial"/>
          <w:b/>
          <w:bCs/>
        </w:rPr>
        <w:t>2</w:t>
      </w:r>
      <w:r w:rsidR="00DD4E63" w:rsidRPr="00B317E5">
        <w:rPr>
          <w:rFonts w:cs="Arial"/>
          <w:b/>
          <w:bCs/>
        </w:rPr>
        <w:t>.1. Meta de consumo para usuarios regulados</w:t>
      </w:r>
    </w:p>
    <w:p w14:paraId="456F5D23" w14:textId="77777777" w:rsidR="00DD4E63" w:rsidRPr="00B317E5" w:rsidRDefault="00DD4E63" w:rsidP="007D3DDC">
      <w:pPr>
        <w:rPr>
          <w:rFonts w:cs="Arial"/>
        </w:rPr>
      </w:pPr>
    </w:p>
    <w:p w14:paraId="2E9C7AB3" w14:textId="60671F49" w:rsidR="00F858C8" w:rsidRPr="00B317E5" w:rsidRDefault="00AB0A16" w:rsidP="007D3DDC">
      <w:pPr>
        <w:rPr>
          <w:rFonts w:cs="Arial"/>
        </w:rPr>
      </w:pPr>
      <w:r w:rsidRPr="00B317E5">
        <w:rPr>
          <w:rFonts w:cs="Arial"/>
        </w:rPr>
        <w:t>Un</w:t>
      </w:r>
      <w:r w:rsidR="008F707B" w:rsidRPr="00B317E5">
        <w:rPr>
          <w:rFonts w:cs="Arial"/>
        </w:rPr>
        <w:t xml:space="preserve"> programa</w:t>
      </w:r>
      <w:r w:rsidRPr="00B317E5">
        <w:rPr>
          <w:rFonts w:cs="Arial"/>
        </w:rPr>
        <w:t xml:space="preserve"> de uso eficiente de energía</w:t>
      </w:r>
      <w:r w:rsidR="008F707B" w:rsidRPr="00B317E5">
        <w:rPr>
          <w:rFonts w:cs="Arial"/>
        </w:rPr>
        <w:t xml:space="preserve"> requiere</w:t>
      </w:r>
      <w:r w:rsidR="00527562" w:rsidRPr="00B317E5">
        <w:rPr>
          <w:rFonts w:cs="Arial"/>
        </w:rPr>
        <w:t xml:space="preserve"> </w:t>
      </w:r>
      <w:r w:rsidR="00DA0C8E" w:rsidRPr="00B317E5">
        <w:rPr>
          <w:rFonts w:cs="Arial"/>
        </w:rPr>
        <w:t xml:space="preserve">la </w:t>
      </w:r>
      <w:r w:rsidR="00F42DCB" w:rsidRPr="00B317E5">
        <w:rPr>
          <w:rFonts w:cs="Arial"/>
        </w:rPr>
        <w:t xml:space="preserve">determinación de una meta de consumo </w:t>
      </w:r>
      <w:r w:rsidR="00B514F1" w:rsidRPr="00B317E5">
        <w:rPr>
          <w:rFonts w:cs="Arial"/>
        </w:rPr>
        <w:t xml:space="preserve">para </w:t>
      </w:r>
      <w:r w:rsidR="00045627" w:rsidRPr="00B317E5">
        <w:rPr>
          <w:rFonts w:cs="Arial"/>
        </w:rPr>
        <w:t xml:space="preserve">los </w:t>
      </w:r>
      <w:r w:rsidR="00B514F1" w:rsidRPr="00B317E5">
        <w:rPr>
          <w:rFonts w:cs="Arial"/>
        </w:rPr>
        <w:t>usuarios regulados</w:t>
      </w:r>
      <w:r w:rsidR="00065FCC" w:rsidRPr="00B317E5">
        <w:rPr>
          <w:rFonts w:cs="Arial"/>
        </w:rPr>
        <w:t>.</w:t>
      </w:r>
    </w:p>
    <w:p w14:paraId="7DE2C0C9" w14:textId="77777777" w:rsidR="00F858C8" w:rsidRPr="00B317E5" w:rsidRDefault="00F858C8" w:rsidP="007D3DDC">
      <w:pPr>
        <w:rPr>
          <w:rFonts w:cs="Arial"/>
        </w:rPr>
      </w:pPr>
    </w:p>
    <w:p w14:paraId="785B5005" w14:textId="30F51E92" w:rsidR="00F858C8" w:rsidRPr="00B317E5" w:rsidRDefault="00F858C8" w:rsidP="18D82EF9">
      <w:pPr>
        <w:rPr>
          <w:rFonts w:cs="Arial"/>
          <w:lang w:val="es-ES"/>
        </w:rPr>
      </w:pPr>
      <w:r w:rsidRPr="18D82EF9">
        <w:rPr>
          <w:rFonts w:cs="Arial"/>
          <w:lang w:val="es-ES"/>
        </w:rPr>
        <w:t xml:space="preserve">Para este fin, esta Comisión </w:t>
      </w:r>
      <w:r w:rsidR="00F56C9C" w:rsidRPr="18D82EF9">
        <w:rPr>
          <w:rFonts w:cs="Arial"/>
          <w:lang w:val="es-ES"/>
        </w:rPr>
        <w:t>consideró</w:t>
      </w:r>
      <w:r w:rsidRPr="18D82EF9">
        <w:rPr>
          <w:rFonts w:cs="Arial"/>
          <w:lang w:val="es-ES"/>
        </w:rPr>
        <w:t xml:space="preserve"> dos alternativas: i) </w:t>
      </w:r>
      <w:r w:rsidR="00DD342A" w:rsidRPr="18D82EF9">
        <w:rPr>
          <w:rFonts w:cs="Arial"/>
          <w:lang w:val="es-ES"/>
        </w:rPr>
        <w:t>valor fijo en kWh-mes</w:t>
      </w:r>
      <w:r w:rsidR="007C6CF6" w:rsidRPr="18D82EF9">
        <w:rPr>
          <w:rFonts w:cs="Arial"/>
          <w:lang w:val="es-ES"/>
        </w:rPr>
        <w:t xml:space="preserve"> por mercado de comercialización</w:t>
      </w:r>
      <w:r w:rsidR="00FF077B" w:rsidRPr="18D82EF9">
        <w:rPr>
          <w:rFonts w:cs="Arial"/>
          <w:lang w:val="es-ES"/>
        </w:rPr>
        <w:t xml:space="preserve">, </w:t>
      </w:r>
      <w:proofErr w:type="spellStart"/>
      <w:r w:rsidR="00FF077B" w:rsidRPr="18D82EF9">
        <w:rPr>
          <w:rFonts w:cs="Arial"/>
          <w:lang w:val="es-ES"/>
        </w:rPr>
        <w:t>ii</w:t>
      </w:r>
      <w:proofErr w:type="spellEnd"/>
      <w:r w:rsidR="00FF077B" w:rsidRPr="18D82EF9">
        <w:rPr>
          <w:rFonts w:cs="Arial"/>
          <w:lang w:val="es-ES"/>
        </w:rPr>
        <w:t>) meta individual de consumo en kWh-mes</w:t>
      </w:r>
      <w:r w:rsidR="00DD1C56" w:rsidRPr="18D82EF9">
        <w:rPr>
          <w:rFonts w:cs="Arial"/>
          <w:lang w:val="es-ES"/>
        </w:rPr>
        <w:t xml:space="preserve"> con base en el consumo</w:t>
      </w:r>
      <w:r w:rsidR="0076610E" w:rsidRPr="18D82EF9">
        <w:rPr>
          <w:rFonts w:cs="Arial"/>
          <w:lang w:val="es-ES"/>
        </w:rPr>
        <w:t xml:space="preserve"> observado del usuario.</w:t>
      </w:r>
    </w:p>
    <w:p w14:paraId="63322563" w14:textId="77777777" w:rsidR="00F858C8" w:rsidRPr="00B317E5" w:rsidRDefault="00F858C8" w:rsidP="007D3DDC">
      <w:pPr>
        <w:rPr>
          <w:rFonts w:cs="Arial"/>
        </w:rPr>
      </w:pPr>
    </w:p>
    <w:p w14:paraId="03B5EF2C" w14:textId="256F4B59" w:rsidR="0076610E" w:rsidRPr="00B317E5" w:rsidRDefault="0076610E" w:rsidP="18D82EF9">
      <w:pPr>
        <w:rPr>
          <w:rFonts w:cs="Arial"/>
          <w:lang w:val="es-ES"/>
        </w:rPr>
      </w:pPr>
      <w:r w:rsidRPr="18D82EF9">
        <w:rPr>
          <w:rFonts w:cs="Arial"/>
          <w:lang w:val="es-ES"/>
        </w:rPr>
        <w:t xml:space="preserve">Frente a la primera </w:t>
      </w:r>
      <w:r w:rsidR="007400B8" w:rsidRPr="18D82EF9">
        <w:rPr>
          <w:rFonts w:cs="Arial"/>
          <w:lang w:val="es-ES"/>
        </w:rPr>
        <w:t>alternativa</w:t>
      </w:r>
      <w:r w:rsidRPr="18D82EF9">
        <w:rPr>
          <w:rFonts w:cs="Arial"/>
          <w:lang w:val="es-ES"/>
        </w:rPr>
        <w:t xml:space="preserve">, </w:t>
      </w:r>
      <w:r w:rsidR="009F3B85" w:rsidRPr="18D82EF9">
        <w:rPr>
          <w:rFonts w:cs="Arial"/>
          <w:lang w:val="es-ES"/>
        </w:rPr>
        <w:t>esta Comisión encuentra que</w:t>
      </w:r>
      <w:r w:rsidR="008571E9" w:rsidRPr="18D82EF9">
        <w:rPr>
          <w:rFonts w:cs="Arial"/>
          <w:lang w:val="es-ES"/>
        </w:rPr>
        <w:t>, si bien</w:t>
      </w:r>
      <w:r w:rsidR="009F3B85" w:rsidRPr="18D82EF9">
        <w:rPr>
          <w:rFonts w:cs="Arial"/>
          <w:lang w:val="es-ES"/>
        </w:rPr>
        <w:t xml:space="preserve"> u</w:t>
      </w:r>
      <w:r w:rsidRPr="18D82EF9">
        <w:rPr>
          <w:rFonts w:cs="Arial"/>
          <w:lang w:val="es-ES"/>
        </w:rPr>
        <w:t>na meta fija de consumo</w:t>
      </w:r>
      <w:r w:rsidR="00F17084" w:rsidRPr="18D82EF9">
        <w:rPr>
          <w:rFonts w:cs="Arial"/>
          <w:lang w:val="es-ES"/>
        </w:rPr>
        <w:t xml:space="preserve"> por mercado de comercialización</w:t>
      </w:r>
      <w:r w:rsidR="008571E9" w:rsidRPr="18D82EF9">
        <w:rPr>
          <w:rFonts w:cs="Arial"/>
          <w:lang w:val="es-ES"/>
        </w:rPr>
        <w:t xml:space="preserve"> puede </w:t>
      </w:r>
      <w:r w:rsidR="00082356" w:rsidRPr="18D82EF9">
        <w:rPr>
          <w:rFonts w:cs="Arial"/>
          <w:lang w:val="es-ES"/>
        </w:rPr>
        <w:t>facilitar la implementación y seguimiento del presente programa</w:t>
      </w:r>
      <w:r w:rsidRPr="18D82EF9">
        <w:rPr>
          <w:rFonts w:cs="Arial"/>
          <w:lang w:val="es-ES"/>
        </w:rPr>
        <w:t xml:space="preserve">, </w:t>
      </w:r>
      <w:r w:rsidR="0086633E">
        <w:rPr>
          <w:rFonts w:cs="Arial"/>
          <w:lang w:val="es-ES"/>
        </w:rPr>
        <w:t>no recoge las diferencias</w:t>
      </w:r>
      <w:r w:rsidR="00E4572D" w:rsidRPr="18D82EF9">
        <w:rPr>
          <w:rFonts w:cs="Arial"/>
          <w:lang w:val="es-ES"/>
        </w:rPr>
        <w:t xml:space="preserve"> entre usuarios</w:t>
      </w:r>
      <w:r w:rsidR="0086633E">
        <w:rPr>
          <w:rFonts w:cs="Arial"/>
          <w:lang w:val="es-ES"/>
        </w:rPr>
        <w:t xml:space="preserve"> derivadas por</w:t>
      </w:r>
      <w:r w:rsidR="00E4572D" w:rsidRPr="18D82EF9">
        <w:rPr>
          <w:rFonts w:cs="Arial"/>
          <w:lang w:val="es-ES"/>
        </w:rPr>
        <w:t xml:space="preserve"> </w:t>
      </w:r>
      <w:r w:rsidR="0086633E">
        <w:rPr>
          <w:rFonts w:cs="Arial"/>
          <w:lang w:val="es-ES"/>
        </w:rPr>
        <w:t>el</w:t>
      </w:r>
      <w:r w:rsidR="00E4572D" w:rsidRPr="18D82EF9">
        <w:rPr>
          <w:rFonts w:cs="Arial"/>
          <w:lang w:val="es-ES"/>
        </w:rPr>
        <w:t xml:space="preserve"> número de </w:t>
      </w:r>
      <w:r w:rsidR="0086633E">
        <w:rPr>
          <w:rFonts w:cs="Arial"/>
          <w:lang w:val="es-ES"/>
        </w:rPr>
        <w:t>habitan</w:t>
      </w:r>
      <w:r w:rsidR="00E4572D" w:rsidRPr="18D82EF9">
        <w:rPr>
          <w:rFonts w:cs="Arial"/>
          <w:lang w:val="es-ES"/>
        </w:rPr>
        <w:t>tes</w:t>
      </w:r>
      <w:r w:rsidR="0075388F">
        <w:rPr>
          <w:rFonts w:cs="Arial"/>
          <w:lang w:val="es-ES"/>
        </w:rPr>
        <w:t>,</w:t>
      </w:r>
      <w:r w:rsidR="00E4572D" w:rsidRPr="18D82EF9">
        <w:rPr>
          <w:rFonts w:cs="Arial"/>
          <w:lang w:val="es-ES"/>
        </w:rPr>
        <w:t xml:space="preserve"> diferencias en</w:t>
      </w:r>
      <w:r w:rsidR="0075388F">
        <w:rPr>
          <w:rFonts w:cs="Arial"/>
          <w:lang w:val="es-ES"/>
        </w:rPr>
        <w:t xml:space="preserve"> el</w:t>
      </w:r>
      <w:r w:rsidR="00E4572D" w:rsidRPr="18D82EF9">
        <w:rPr>
          <w:rFonts w:cs="Arial"/>
          <w:lang w:val="es-ES"/>
        </w:rPr>
        <w:t xml:space="preserve"> tamaño</w:t>
      </w:r>
      <w:r w:rsidR="0075388F">
        <w:rPr>
          <w:rFonts w:cs="Arial"/>
          <w:lang w:val="es-ES"/>
        </w:rPr>
        <w:t xml:space="preserve"> del lugar de domicilio</w:t>
      </w:r>
      <w:r w:rsidR="00E4572D" w:rsidRPr="18D82EF9">
        <w:rPr>
          <w:rFonts w:cs="Arial"/>
          <w:lang w:val="es-ES"/>
        </w:rPr>
        <w:t>, tipo</w:t>
      </w:r>
      <w:r w:rsidR="0075388F">
        <w:rPr>
          <w:rFonts w:cs="Arial"/>
          <w:lang w:val="es-ES"/>
        </w:rPr>
        <w:t xml:space="preserve"> de </w:t>
      </w:r>
      <w:r w:rsidR="0075388F">
        <w:rPr>
          <w:rFonts w:cs="Arial"/>
          <w:lang w:val="es-ES"/>
        </w:rPr>
        <w:lastRenderedPageBreak/>
        <w:t>domicilio</w:t>
      </w:r>
      <w:r w:rsidR="00E4572D" w:rsidRPr="18D82EF9">
        <w:rPr>
          <w:rFonts w:cs="Arial"/>
          <w:lang w:val="es-ES"/>
        </w:rPr>
        <w:t xml:space="preserve"> (casa, edificio, lote, </w:t>
      </w:r>
      <w:proofErr w:type="spellStart"/>
      <w:r w:rsidR="00E4572D" w:rsidRPr="18D82EF9">
        <w:rPr>
          <w:rFonts w:cs="Arial"/>
          <w:lang w:val="es-ES"/>
        </w:rPr>
        <w:t>etc</w:t>
      </w:r>
      <w:proofErr w:type="spellEnd"/>
      <w:r w:rsidR="00E4572D" w:rsidRPr="18D82EF9">
        <w:rPr>
          <w:rFonts w:cs="Arial"/>
          <w:lang w:val="es-ES"/>
        </w:rPr>
        <w:t>) o ubicación</w:t>
      </w:r>
      <w:r w:rsidR="0075388F">
        <w:rPr>
          <w:rFonts w:cs="Arial"/>
          <w:lang w:val="es-ES"/>
        </w:rPr>
        <w:t xml:space="preserve"> geográfica</w:t>
      </w:r>
      <w:r w:rsidR="00E4572D" w:rsidRPr="18D82EF9">
        <w:rPr>
          <w:rFonts w:cs="Arial"/>
          <w:lang w:val="es-ES"/>
        </w:rPr>
        <w:t xml:space="preserve">. Esto </w:t>
      </w:r>
      <w:r w:rsidRPr="18D82EF9">
        <w:rPr>
          <w:rFonts w:cs="Arial"/>
          <w:lang w:val="es-ES"/>
        </w:rPr>
        <w:t>incluso si se determinara de manera diferencial por región o piso térmico</w:t>
      </w:r>
      <w:r w:rsidR="00E4572D" w:rsidRPr="18D82EF9">
        <w:rPr>
          <w:rFonts w:cs="Arial"/>
          <w:lang w:val="es-ES"/>
        </w:rPr>
        <w:t xml:space="preserve">, </w:t>
      </w:r>
      <w:r w:rsidR="008F354F" w:rsidRPr="18D82EF9">
        <w:rPr>
          <w:rFonts w:cs="Arial"/>
          <w:lang w:val="es-ES"/>
        </w:rPr>
        <w:t>pues aplicar un mismo valor para un conjunto de usuarios que presentan heterogeneidades entre sí, que no son gestionables en el corto plazo,</w:t>
      </w:r>
      <w:r w:rsidR="00CD3DF0" w:rsidRPr="18D82EF9">
        <w:rPr>
          <w:rFonts w:cs="Arial"/>
          <w:lang w:val="es-ES"/>
        </w:rPr>
        <w:t xml:space="preserve"> tendría como consecuencia que para unos usuarios tal meta resulta</w:t>
      </w:r>
      <w:r w:rsidR="00204476" w:rsidRPr="18D82EF9">
        <w:rPr>
          <w:rFonts w:cs="Arial"/>
          <w:lang w:val="es-ES"/>
        </w:rPr>
        <w:t xml:space="preserve">ra </w:t>
      </w:r>
      <w:r w:rsidR="002D5CE1" w:rsidRPr="18D82EF9">
        <w:rPr>
          <w:rFonts w:cs="Arial"/>
          <w:lang w:val="es-ES"/>
        </w:rPr>
        <w:t xml:space="preserve">baja </w:t>
      </w:r>
      <w:r w:rsidR="00DD7A97">
        <w:rPr>
          <w:rFonts w:cs="Arial"/>
          <w:lang w:val="es-ES"/>
        </w:rPr>
        <w:t>y de difícil cumplimiento</w:t>
      </w:r>
      <w:r w:rsidR="002D5CE1" w:rsidRPr="18D82EF9">
        <w:rPr>
          <w:rFonts w:cs="Arial"/>
          <w:lang w:val="es-ES"/>
        </w:rPr>
        <w:t xml:space="preserve">, o </w:t>
      </w:r>
      <w:r w:rsidR="00DD7A97">
        <w:rPr>
          <w:rFonts w:cs="Arial"/>
          <w:lang w:val="es-ES"/>
        </w:rPr>
        <w:t>muy</w:t>
      </w:r>
      <w:r w:rsidR="002D5CE1" w:rsidRPr="18D82EF9">
        <w:rPr>
          <w:rFonts w:cs="Arial"/>
          <w:lang w:val="es-ES"/>
        </w:rPr>
        <w:t xml:space="preserve"> </w:t>
      </w:r>
      <w:r w:rsidR="0084497D" w:rsidRPr="18D82EF9">
        <w:rPr>
          <w:rFonts w:cs="Arial"/>
          <w:lang w:val="es-ES"/>
        </w:rPr>
        <w:t xml:space="preserve">holgada, lo que </w:t>
      </w:r>
      <w:r w:rsidR="00EB7D8A" w:rsidRPr="18D82EF9">
        <w:rPr>
          <w:rFonts w:cs="Arial"/>
          <w:lang w:val="es-ES"/>
        </w:rPr>
        <w:t>dejaría sin los efectos deseados al presente programa de uso eficiente de energía.</w:t>
      </w:r>
    </w:p>
    <w:p w14:paraId="67FE4CC4" w14:textId="77777777" w:rsidR="0076610E" w:rsidRPr="00B317E5" w:rsidRDefault="0076610E" w:rsidP="007D3DDC">
      <w:pPr>
        <w:rPr>
          <w:rFonts w:cs="Arial"/>
        </w:rPr>
      </w:pPr>
    </w:p>
    <w:p w14:paraId="13B34733" w14:textId="366E0BF1" w:rsidR="00CF0C6A" w:rsidRPr="00B317E5" w:rsidRDefault="007400B8" w:rsidP="18D82EF9">
      <w:pPr>
        <w:rPr>
          <w:rFonts w:cs="Arial"/>
          <w:lang w:val="es-ES"/>
        </w:rPr>
      </w:pPr>
      <w:r w:rsidRPr="18D82EF9">
        <w:rPr>
          <w:rFonts w:cs="Arial"/>
          <w:lang w:val="es-ES"/>
        </w:rPr>
        <w:t>Frente a la segunda alternativa, e</w:t>
      </w:r>
      <w:r w:rsidR="00CF0C6A" w:rsidRPr="18D82EF9">
        <w:rPr>
          <w:rFonts w:cs="Arial"/>
          <w:lang w:val="es-ES"/>
        </w:rPr>
        <w:t>sta Comisión considera que</w:t>
      </w:r>
      <w:r w:rsidR="00646D81" w:rsidRPr="18D82EF9">
        <w:rPr>
          <w:rFonts w:cs="Arial"/>
          <w:lang w:val="es-ES"/>
        </w:rPr>
        <w:t>, a diferencia de un valor fijo preestablecido</w:t>
      </w:r>
      <w:r w:rsidR="00B1349C" w:rsidRPr="18D82EF9">
        <w:rPr>
          <w:rFonts w:cs="Arial"/>
          <w:lang w:val="es-ES"/>
        </w:rPr>
        <w:t>,</w:t>
      </w:r>
      <w:r w:rsidR="00CF0C6A" w:rsidRPr="18D82EF9">
        <w:rPr>
          <w:rFonts w:cs="Arial"/>
          <w:lang w:val="es-ES"/>
        </w:rPr>
        <w:t xml:space="preserve"> </w:t>
      </w:r>
      <w:r w:rsidR="004E4E26" w:rsidRPr="18D82EF9">
        <w:rPr>
          <w:rFonts w:cs="Arial"/>
          <w:lang w:val="es-ES"/>
        </w:rPr>
        <w:t xml:space="preserve">la determinación de una meta </w:t>
      </w:r>
      <w:r w:rsidR="00373EE4" w:rsidRPr="18D82EF9">
        <w:rPr>
          <w:rFonts w:cs="Arial"/>
          <w:lang w:val="es-ES"/>
        </w:rPr>
        <w:t xml:space="preserve">de consumo que resulte de los consumos individuales registrados por cada </w:t>
      </w:r>
      <w:proofErr w:type="gramStart"/>
      <w:r w:rsidR="00373EE4" w:rsidRPr="18D82EF9">
        <w:rPr>
          <w:rFonts w:cs="Arial"/>
          <w:lang w:val="es-ES"/>
        </w:rPr>
        <w:t>usuario,</w:t>
      </w:r>
      <w:proofErr w:type="gramEnd"/>
      <w:r w:rsidR="00373EE4" w:rsidRPr="18D82EF9">
        <w:rPr>
          <w:rFonts w:cs="Arial"/>
          <w:lang w:val="es-ES"/>
        </w:rPr>
        <w:t xml:space="preserve"> permite recoger las particularidades </w:t>
      </w:r>
      <w:r w:rsidR="004A0424" w:rsidRPr="18D82EF9">
        <w:rPr>
          <w:rFonts w:cs="Arial"/>
          <w:lang w:val="es-ES"/>
        </w:rPr>
        <w:t>de cada hogar, como su ubicación geográfica,</w:t>
      </w:r>
      <w:r w:rsidR="003102C6" w:rsidRPr="18D82EF9">
        <w:rPr>
          <w:rFonts w:cs="Arial"/>
          <w:lang w:val="es-ES"/>
        </w:rPr>
        <w:t xml:space="preserve"> número de integrantes</w:t>
      </w:r>
      <w:r w:rsidR="001D2EBF" w:rsidRPr="18D82EF9">
        <w:rPr>
          <w:rFonts w:cs="Arial"/>
          <w:lang w:val="es-ES"/>
        </w:rPr>
        <w:t xml:space="preserve"> y</w:t>
      </w:r>
      <w:r w:rsidR="00E3505B" w:rsidRPr="18D82EF9">
        <w:rPr>
          <w:rFonts w:cs="Arial"/>
          <w:lang w:val="es-ES"/>
        </w:rPr>
        <w:t xml:space="preserve"> otras</w:t>
      </w:r>
      <w:r w:rsidR="004A0424" w:rsidRPr="18D82EF9">
        <w:rPr>
          <w:rFonts w:cs="Arial"/>
          <w:lang w:val="es-ES"/>
        </w:rPr>
        <w:t xml:space="preserve"> condiciones sociodemográficas</w:t>
      </w:r>
      <w:r w:rsidR="00561933" w:rsidRPr="18D82EF9">
        <w:rPr>
          <w:rFonts w:cs="Arial"/>
          <w:lang w:val="es-ES"/>
        </w:rPr>
        <w:t xml:space="preserve"> que afectan sus necesidades</w:t>
      </w:r>
      <w:r w:rsidR="000C1E97" w:rsidRPr="18D82EF9">
        <w:rPr>
          <w:rFonts w:cs="Arial"/>
          <w:lang w:val="es-ES"/>
        </w:rPr>
        <w:t xml:space="preserve"> de</w:t>
      </w:r>
      <w:r w:rsidR="006749E2" w:rsidRPr="18D82EF9">
        <w:rPr>
          <w:rFonts w:cs="Arial"/>
          <w:lang w:val="es-ES"/>
        </w:rPr>
        <w:t xml:space="preserve"> consumo de</w:t>
      </w:r>
      <w:r w:rsidR="000C1E97" w:rsidRPr="18D82EF9">
        <w:rPr>
          <w:rFonts w:cs="Arial"/>
          <w:lang w:val="es-ES"/>
        </w:rPr>
        <w:t xml:space="preserve"> </w:t>
      </w:r>
      <w:r w:rsidR="005B2EE7" w:rsidRPr="18D82EF9">
        <w:rPr>
          <w:rFonts w:cs="Arial"/>
          <w:lang w:val="es-ES"/>
        </w:rPr>
        <w:t>energía</w:t>
      </w:r>
      <w:r w:rsidR="006749E2" w:rsidRPr="18D82EF9">
        <w:rPr>
          <w:rFonts w:cs="Arial"/>
          <w:lang w:val="es-ES"/>
        </w:rPr>
        <w:t xml:space="preserve"> eléctrica</w:t>
      </w:r>
      <w:r w:rsidR="00E3505B" w:rsidRPr="18D82EF9">
        <w:rPr>
          <w:rFonts w:cs="Arial"/>
          <w:lang w:val="es-ES"/>
        </w:rPr>
        <w:t>.</w:t>
      </w:r>
    </w:p>
    <w:p w14:paraId="76AB593F" w14:textId="77777777" w:rsidR="009C0606" w:rsidRPr="00B317E5" w:rsidRDefault="009C0606" w:rsidP="007D3DDC">
      <w:pPr>
        <w:rPr>
          <w:rFonts w:cs="Arial"/>
        </w:rPr>
      </w:pPr>
    </w:p>
    <w:p w14:paraId="10F50325" w14:textId="726632FD" w:rsidR="00C06E71" w:rsidRPr="00B317E5" w:rsidRDefault="00C06E71" w:rsidP="18D82EF9">
      <w:pPr>
        <w:rPr>
          <w:rFonts w:cs="Arial"/>
          <w:lang w:val="es-ES"/>
        </w:rPr>
      </w:pPr>
      <w:r w:rsidRPr="18D82EF9">
        <w:rPr>
          <w:rFonts w:cs="Arial"/>
          <w:lang w:val="es-ES"/>
        </w:rPr>
        <w:t>Por lo anterior, esta Comisión considera que la segunda alternativa</w:t>
      </w:r>
      <w:r w:rsidR="002103B8" w:rsidRPr="18D82EF9">
        <w:rPr>
          <w:rFonts w:cs="Arial"/>
          <w:lang w:val="es-ES"/>
        </w:rPr>
        <w:t xml:space="preserve">, </w:t>
      </w:r>
      <w:proofErr w:type="spellStart"/>
      <w:r w:rsidR="002103B8" w:rsidRPr="18D82EF9">
        <w:rPr>
          <w:rFonts w:cs="Arial"/>
          <w:lang w:val="es-ES"/>
        </w:rPr>
        <w:t>aún</w:t>
      </w:r>
      <w:proofErr w:type="spellEnd"/>
      <w:r w:rsidR="002103B8" w:rsidRPr="18D82EF9">
        <w:rPr>
          <w:rFonts w:cs="Arial"/>
          <w:lang w:val="es-ES"/>
        </w:rPr>
        <w:t xml:space="preserve"> cuando </w:t>
      </w:r>
      <w:r w:rsidR="009324E2" w:rsidRPr="18D82EF9">
        <w:rPr>
          <w:rFonts w:cs="Arial"/>
          <w:lang w:val="es-ES"/>
        </w:rPr>
        <w:t xml:space="preserve">tiene un mayor grado de complejidad que la primera, </w:t>
      </w:r>
      <w:r w:rsidR="00141767">
        <w:rPr>
          <w:rFonts w:cs="Arial"/>
          <w:lang w:val="es-ES"/>
        </w:rPr>
        <w:t>r</w:t>
      </w:r>
      <w:r w:rsidR="00F4335F" w:rsidRPr="18D82EF9">
        <w:rPr>
          <w:rFonts w:cs="Arial"/>
          <w:lang w:val="es-ES"/>
        </w:rPr>
        <w:t>ecoge</w:t>
      </w:r>
      <w:r w:rsidR="00141767">
        <w:rPr>
          <w:rFonts w:cs="Arial"/>
          <w:lang w:val="es-ES"/>
        </w:rPr>
        <w:t xml:space="preserve"> mejor</w:t>
      </w:r>
      <w:r w:rsidR="00F4335F" w:rsidRPr="18D82EF9">
        <w:rPr>
          <w:rFonts w:cs="Arial"/>
          <w:lang w:val="es-ES"/>
        </w:rPr>
        <w:t xml:space="preserve"> las particularidades </w:t>
      </w:r>
      <w:r w:rsidR="00963FA4" w:rsidRPr="18D82EF9">
        <w:rPr>
          <w:rFonts w:cs="Arial"/>
          <w:lang w:val="es-ES"/>
        </w:rPr>
        <w:t>de cada domicilio y de quienes</w:t>
      </w:r>
      <w:r w:rsidR="00FB3032" w:rsidRPr="18D82EF9">
        <w:rPr>
          <w:rFonts w:cs="Arial"/>
          <w:lang w:val="es-ES"/>
        </w:rPr>
        <w:t xml:space="preserve"> </w:t>
      </w:r>
      <w:r w:rsidR="00E14B11" w:rsidRPr="18D82EF9">
        <w:rPr>
          <w:rFonts w:cs="Arial"/>
          <w:lang w:val="es-ES"/>
        </w:rPr>
        <w:t xml:space="preserve">requieren el </w:t>
      </w:r>
      <w:r w:rsidR="001C0624" w:rsidRPr="18D82EF9">
        <w:rPr>
          <w:rFonts w:cs="Arial"/>
          <w:lang w:val="es-ES"/>
        </w:rPr>
        <w:t>servicio público.</w:t>
      </w:r>
    </w:p>
    <w:p w14:paraId="58680809" w14:textId="77777777" w:rsidR="00C06E71" w:rsidRPr="00B317E5" w:rsidRDefault="00C06E71" w:rsidP="007D3DDC">
      <w:pPr>
        <w:rPr>
          <w:rFonts w:cs="Arial"/>
        </w:rPr>
      </w:pPr>
    </w:p>
    <w:p w14:paraId="121C8E19" w14:textId="3B94F393" w:rsidR="00272A62" w:rsidRPr="00B317E5" w:rsidRDefault="00585661" w:rsidP="00FF45F0">
      <w:pPr>
        <w:rPr>
          <w:rFonts w:cs="Arial"/>
        </w:rPr>
      </w:pPr>
      <w:r w:rsidRPr="00B317E5">
        <w:rPr>
          <w:rFonts w:cs="Arial"/>
        </w:rPr>
        <w:t>Con la segunda alternativa</w:t>
      </w:r>
      <w:r w:rsidR="00D6652C" w:rsidRPr="00B317E5">
        <w:rPr>
          <w:rFonts w:cs="Arial"/>
        </w:rPr>
        <w:t xml:space="preserve"> para </w:t>
      </w:r>
      <w:r w:rsidR="000F649F" w:rsidRPr="00B317E5">
        <w:rPr>
          <w:rFonts w:cs="Arial"/>
        </w:rPr>
        <w:t>determinar la meta</w:t>
      </w:r>
      <w:r w:rsidR="0060144B" w:rsidRPr="00B317E5">
        <w:rPr>
          <w:rFonts w:cs="Arial"/>
        </w:rPr>
        <w:t xml:space="preserve"> por usuario</w:t>
      </w:r>
      <w:r w:rsidR="007120AA" w:rsidRPr="00B317E5">
        <w:rPr>
          <w:rFonts w:cs="Arial"/>
        </w:rPr>
        <w:t xml:space="preserve">, </w:t>
      </w:r>
      <w:r w:rsidR="00065FCC" w:rsidRPr="00B317E5">
        <w:rPr>
          <w:rFonts w:cs="Arial"/>
        </w:rPr>
        <w:t>es necesario</w:t>
      </w:r>
      <w:r w:rsidR="00D6652C" w:rsidRPr="00B317E5">
        <w:rPr>
          <w:rFonts w:cs="Arial"/>
        </w:rPr>
        <w:t xml:space="preserve"> también</w:t>
      </w:r>
      <w:r w:rsidR="00065FCC" w:rsidRPr="00B317E5">
        <w:rPr>
          <w:rFonts w:cs="Arial"/>
        </w:rPr>
        <w:t xml:space="preserve"> establecer </w:t>
      </w:r>
      <w:r w:rsidR="00ED1140" w:rsidRPr="00B317E5">
        <w:rPr>
          <w:rFonts w:cs="Arial"/>
        </w:rPr>
        <w:t>el periodo de referencia de consumo</w:t>
      </w:r>
      <w:r w:rsidR="006C14A4" w:rsidRPr="00B317E5">
        <w:rPr>
          <w:rFonts w:cs="Arial"/>
        </w:rPr>
        <w:t xml:space="preserve"> que se tomará</w:t>
      </w:r>
      <w:r w:rsidR="001E0DB3" w:rsidRPr="00B317E5">
        <w:rPr>
          <w:rFonts w:cs="Arial"/>
        </w:rPr>
        <w:t xml:space="preserve"> para definir</w:t>
      </w:r>
      <w:r w:rsidR="006C14A4" w:rsidRPr="00B317E5">
        <w:rPr>
          <w:rFonts w:cs="Arial"/>
        </w:rPr>
        <w:t xml:space="preserve"> </w:t>
      </w:r>
      <w:r w:rsidR="001E0DB3" w:rsidRPr="00B317E5">
        <w:rPr>
          <w:rFonts w:cs="Arial"/>
        </w:rPr>
        <w:t>la</w:t>
      </w:r>
      <w:r w:rsidR="006C14A4" w:rsidRPr="00B317E5">
        <w:rPr>
          <w:rFonts w:cs="Arial"/>
        </w:rPr>
        <w:t xml:space="preserve"> meta de ahorro</w:t>
      </w:r>
      <w:r w:rsidR="00101087" w:rsidRPr="00B317E5">
        <w:rPr>
          <w:rFonts w:cs="Arial"/>
        </w:rPr>
        <w:t>.</w:t>
      </w:r>
    </w:p>
    <w:p w14:paraId="1FFE6AFC" w14:textId="77777777" w:rsidR="00272A62" w:rsidRPr="00B317E5" w:rsidRDefault="00272A62" w:rsidP="00FF45F0">
      <w:pPr>
        <w:rPr>
          <w:rFonts w:cs="Arial"/>
        </w:rPr>
      </w:pPr>
    </w:p>
    <w:p w14:paraId="3A17349B" w14:textId="6009EF8C" w:rsidR="005E43E9" w:rsidRPr="00B317E5" w:rsidRDefault="007078AA" w:rsidP="18D82EF9">
      <w:pPr>
        <w:rPr>
          <w:rFonts w:cs="Arial"/>
          <w:lang w:val="es-ES"/>
        </w:rPr>
      </w:pPr>
      <w:r w:rsidRPr="18D82EF9">
        <w:rPr>
          <w:rFonts w:cs="Arial"/>
          <w:lang w:val="es-ES"/>
        </w:rPr>
        <w:t>Co</w:t>
      </w:r>
      <w:r w:rsidR="00E31EF3" w:rsidRPr="18D82EF9">
        <w:rPr>
          <w:rFonts w:cs="Arial"/>
          <w:lang w:val="es-ES"/>
        </w:rPr>
        <w:t xml:space="preserve">nsiderando que </w:t>
      </w:r>
      <w:r w:rsidR="00D9494C" w:rsidRPr="18D82EF9">
        <w:rPr>
          <w:rFonts w:cs="Arial"/>
          <w:lang w:val="es-ES"/>
        </w:rPr>
        <w:t xml:space="preserve">los usuarios han requerido incrementar su consumo de energía por las altas temperaturas </w:t>
      </w:r>
      <w:r w:rsidR="00EF3337" w:rsidRPr="18D82EF9">
        <w:rPr>
          <w:rFonts w:cs="Arial"/>
          <w:lang w:val="es-ES"/>
        </w:rPr>
        <w:t>ocasionadas por el presente Fenómeno del Niño</w:t>
      </w:r>
      <w:r w:rsidR="00065F1A" w:rsidRPr="18D82EF9">
        <w:rPr>
          <w:rFonts w:cs="Arial"/>
          <w:lang w:val="es-ES"/>
        </w:rPr>
        <w:t xml:space="preserve">, esta CREG considera </w:t>
      </w:r>
      <w:r w:rsidR="000A4107" w:rsidRPr="18D82EF9">
        <w:rPr>
          <w:rFonts w:cs="Arial"/>
          <w:lang w:val="es-ES"/>
        </w:rPr>
        <w:t>procedente tomar como referencia de consumo</w:t>
      </w:r>
      <w:r w:rsidR="00290849" w:rsidRPr="18D82EF9">
        <w:rPr>
          <w:rFonts w:cs="Arial"/>
          <w:lang w:val="es-ES"/>
        </w:rPr>
        <w:t xml:space="preserve"> para el presente programa, el consumo </w:t>
      </w:r>
      <w:r w:rsidR="00A96199" w:rsidRPr="18D82EF9">
        <w:rPr>
          <w:rFonts w:cs="Arial"/>
          <w:lang w:val="es-ES"/>
        </w:rPr>
        <w:t>más reciente</w:t>
      </w:r>
      <w:r w:rsidR="005E43E9" w:rsidRPr="18D82EF9">
        <w:rPr>
          <w:rFonts w:cs="Arial"/>
          <w:lang w:val="es-ES"/>
        </w:rPr>
        <w:t xml:space="preserve"> que se tenga</w:t>
      </w:r>
      <w:r w:rsidR="00B91D95" w:rsidRPr="18D82EF9">
        <w:rPr>
          <w:rFonts w:cs="Arial"/>
          <w:lang w:val="es-ES"/>
        </w:rPr>
        <w:t xml:space="preserve"> para el usuario</w:t>
      </w:r>
      <w:r w:rsidR="005E43E9" w:rsidRPr="18D82EF9">
        <w:rPr>
          <w:rFonts w:cs="Arial"/>
          <w:lang w:val="es-ES"/>
        </w:rPr>
        <w:t xml:space="preserve">. De esta forma, se recoge la necesidad particular </w:t>
      </w:r>
      <w:r w:rsidR="00E17508" w:rsidRPr="18D82EF9">
        <w:rPr>
          <w:rFonts w:cs="Arial"/>
          <w:lang w:val="es-ES"/>
        </w:rPr>
        <w:t xml:space="preserve">de los usuarios de realizar consumos más altos para mitigar el </w:t>
      </w:r>
      <w:r w:rsidR="00A55877" w:rsidRPr="18D82EF9">
        <w:rPr>
          <w:rFonts w:cs="Arial"/>
          <w:lang w:val="es-ES"/>
        </w:rPr>
        <w:t>impacto</w:t>
      </w:r>
      <w:r w:rsidR="00E17508" w:rsidRPr="18D82EF9">
        <w:rPr>
          <w:rFonts w:cs="Arial"/>
          <w:lang w:val="es-ES"/>
        </w:rPr>
        <w:t xml:space="preserve"> de</w:t>
      </w:r>
      <w:r w:rsidR="00592628" w:rsidRPr="18D82EF9">
        <w:rPr>
          <w:rFonts w:cs="Arial"/>
          <w:lang w:val="es-ES"/>
        </w:rPr>
        <w:t xml:space="preserve"> las altas </w:t>
      </w:r>
      <w:r w:rsidR="001C6B3B" w:rsidRPr="18D82EF9">
        <w:rPr>
          <w:rFonts w:cs="Arial"/>
          <w:lang w:val="es-ES"/>
        </w:rPr>
        <w:t xml:space="preserve">temperaturas en </w:t>
      </w:r>
      <w:r w:rsidR="00A55877" w:rsidRPr="18D82EF9">
        <w:rPr>
          <w:rFonts w:cs="Arial"/>
          <w:lang w:val="es-ES"/>
        </w:rPr>
        <w:t>su calidad de vida</w:t>
      </w:r>
      <w:r w:rsidR="003310A8" w:rsidRPr="18D82EF9">
        <w:rPr>
          <w:rFonts w:cs="Arial"/>
          <w:lang w:val="es-ES"/>
        </w:rPr>
        <w:t>.</w:t>
      </w:r>
    </w:p>
    <w:p w14:paraId="7A1016BE" w14:textId="77777777" w:rsidR="00A55877" w:rsidRPr="00B317E5" w:rsidRDefault="00A55877" w:rsidP="007D3DDC">
      <w:pPr>
        <w:rPr>
          <w:rFonts w:cs="Arial"/>
        </w:rPr>
      </w:pPr>
    </w:p>
    <w:p w14:paraId="3F807A79" w14:textId="08788034" w:rsidR="00A55877" w:rsidRPr="00B317E5" w:rsidRDefault="00B43292" w:rsidP="007D3DDC">
      <w:pPr>
        <w:rPr>
          <w:rFonts w:cs="Arial"/>
        </w:rPr>
      </w:pPr>
      <w:r w:rsidRPr="00B317E5">
        <w:rPr>
          <w:rFonts w:cs="Arial"/>
        </w:rPr>
        <w:t>Así,</w:t>
      </w:r>
      <w:r w:rsidR="00661ACC" w:rsidRPr="00B317E5">
        <w:rPr>
          <w:rFonts w:cs="Arial"/>
        </w:rPr>
        <w:t xml:space="preserve"> se propone que</w:t>
      </w:r>
      <w:r w:rsidRPr="00B317E5">
        <w:rPr>
          <w:rFonts w:cs="Arial"/>
        </w:rPr>
        <w:t xml:space="preserve"> la meta de consumo individual para cada usuario regulado durante la vigencia del presente programa correspond</w:t>
      </w:r>
      <w:r w:rsidR="00661ACC" w:rsidRPr="00B317E5">
        <w:rPr>
          <w:rFonts w:cs="Arial"/>
        </w:rPr>
        <w:t>a</w:t>
      </w:r>
      <w:r w:rsidRPr="00B317E5">
        <w:rPr>
          <w:rFonts w:cs="Arial"/>
        </w:rPr>
        <w:t xml:space="preserve"> al último consumo mensual facturado del usuario, expresado en kilovatios por hora al mes (kWh-mes)</w:t>
      </w:r>
      <w:r w:rsidR="00585603" w:rsidRPr="00B317E5">
        <w:rPr>
          <w:rFonts w:cs="Arial"/>
        </w:rPr>
        <w:t>.</w:t>
      </w:r>
    </w:p>
    <w:p w14:paraId="4401AEE8" w14:textId="77777777" w:rsidR="00A55877" w:rsidRPr="00B317E5" w:rsidRDefault="00A55877" w:rsidP="007D3DDC">
      <w:pPr>
        <w:rPr>
          <w:rFonts w:cs="Arial"/>
        </w:rPr>
      </w:pPr>
    </w:p>
    <w:p w14:paraId="436EA180" w14:textId="382FF5B8" w:rsidR="007078AA" w:rsidRPr="00B317E5" w:rsidRDefault="00472D71" w:rsidP="007D3DDC">
      <w:pPr>
        <w:rPr>
          <w:rFonts w:cs="Arial"/>
        </w:rPr>
      </w:pPr>
      <w:r w:rsidRPr="00B317E5">
        <w:rPr>
          <w:rFonts w:cs="Arial"/>
        </w:rPr>
        <w:t>Por último,</w:t>
      </w:r>
      <w:r w:rsidR="008C556E" w:rsidRPr="00B317E5">
        <w:rPr>
          <w:rFonts w:cs="Arial"/>
        </w:rPr>
        <w:t xml:space="preserve"> </w:t>
      </w:r>
      <w:r w:rsidRPr="00B317E5">
        <w:rPr>
          <w:rFonts w:cs="Arial"/>
        </w:rPr>
        <w:t>co</w:t>
      </w:r>
      <w:r w:rsidR="007078AA" w:rsidRPr="00B317E5">
        <w:rPr>
          <w:rFonts w:cs="Arial"/>
        </w:rPr>
        <w:t xml:space="preserve">mo fecha de referencia se </w:t>
      </w:r>
      <w:r w:rsidR="00BF44DD" w:rsidRPr="00B317E5">
        <w:rPr>
          <w:rFonts w:cs="Arial"/>
        </w:rPr>
        <w:t>toma</w:t>
      </w:r>
      <w:r w:rsidR="00B8081C" w:rsidRPr="00B317E5">
        <w:rPr>
          <w:rFonts w:cs="Arial"/>
        </w:rPr>
        <w:t xml:space="preserve"> el 15 de abril de 2024</w:t>
      </w:r>
      <w:r w:rsidR="00C815F1" w:rsidRPr="00B317E5">
        <w:rPr>
          <w:rFonts w:cs="Arial"/>
        </w:rPr>
        <w:t>, de forma tal que el comercializador deberá tomar como meta individual de consumo</w:t>
      </w:r>
      <w:r w:rsidR="002D3A5C" w:rsidRPr="00B317E5">
        <w:rPr>
          <w:rFonts w:cs="Arial"/>
        </w:rPr>
        <w:t xml:space="preserve"> de cada usuario, aquel consumo en kWh-mes</w:t>
      </w:r>
      <w:r w:rsidR="00A72F7D" w:rsidRPr="00B317E5">
        <w:rPr>
          <w:rFonts w:cs="Arial"/>
        </w:rPr>
        <w:t xml:space="preserve"> resultante del ciclo</w:t>
      </w:r>
      <w:r w:rsidR="00684DDA" w:rsidRPr="00B317E5">
        <w:rPr>
          <w:rFonts w:cs="Arial"/>
        </w:rPr>
        <w:t xml:space="preserve"> completo</w:t>
      </w:r>
      <w:r w:rsidR="00A72F7D" w:rsidRPr="00B317E5">
        <w:rPr>
          <w:rFonts w:cs="Arial"/>
        </w:rPr>
        <w:t xml:space="preserve"> de </w:t>
      </w:r>
      <w:r w:rsidR="002F6492" w:rsidRPr="00B317E5">
        <w:rPr>
          <w:rFonts w:cs="Arial"/>
        </w:rPr>
        <w:t xml:space="preserve">lectura </w:t>
      </w:r>
      <w:r w:rsidR="00DB11D1" w:rsidRPr="00B317E5">
        <w:rPr>
          <w:rFonts w:cs="Arial"/>
        </w:rPr>
        <w:t>inmediatamente anterior a dicha fecha.</w:t>
      </w:r>
    </w:p>
    <w:p w14:paraId="2335E6F3" w14:textId="77777777" w:rsidR="00DB11D1" w:rsidRPr="00B317E5" w:rsidRDefault="00DB11D1" w:rsidP="007D3DDC">
      <w:pPr>
        <w:rPr>
          <w:rFonts w:cs="Arial"/>
        </w:rPr>
      </w:pPr>
    </w:p>
    <w:p w14:paraId="6CCC02E9" w14:textId="73B5FA24" w:rsidR="008905C6" w:rsidRPr="00B317E5" w:rsidRDefault="001F7231" w:rsidP="008905C6">
      <w:pPr>
        <w:rPr>
          <w:rFonts w:cs="Arial"/>
          <w:b/>
          <w:bCs/>
        </w:rPr>
      </w:pPr>
      <w:r>
        <w:rPr>
          <w:rFonts w:cs="Arial"/>
          <w:b/>
          <w:bCs/>
        </w:rPr>
        <w:t>2</w:t>
      </w:r>
      <w:r w:rsidR="008905C6" w:rsidRPr="00B317E5">
        <w:rPr>
          <w:rFonts w:cs="Arial"/>
          <w:b/>
          <w:bCs/>
        </w:rPr>
        <w:t xml:space="preserve">.2. </w:t>
      </w:r>
      <w:r w:rsidR="003C1825" w:rsidRPr="00B317E5">
        <w:rPr>
          <w:rFonts w:cs="Arial"/>
          <w:b/>
          <w:bCs/>
        </w:rPr>
        <w:t>Tarifa diferencial por consumos superiores a la meta individual de consumo</w:t>
      </w:r>
    </w:p>
    <w:p w14:paraId="52014AAE" w14:textId="77777777" w:rsidR="00DB11D1" w:rsidRPr="00B317E5" w:rsidRDefault="00DB11D1" w:rsidP="007D3DDC">
      <w:pPr>
        <w:rPr>
          <w:rFonts w:cs="Arial"/>
        </w:rPr>
      </w:pPr>
    </w:p>
    <w:p w14:paraId="2E5D84FF" w14:textId="6D5F7049" w:rsidR="00A24D78" w:rsidRPr="00B317E5" w:rsidRDefault="00696982" w:rsidP="00A24D78">
      <w:pPr>
        <w:rPr>
          <w:rFonts w:cs="Arial"/>
        </w:rPr>
      </w:pPr>
      <w:r w:rsidRPr="00B317E5">
        <w:rPr>
          <w:rFonts w:cs="Arial"/>
        </w:rPr>
        <w:t>Como referencia</w:t>
      </w:r>
      <w:r w:rsidR="0037233B" w:rsidRPr="00B317E5">
        <w:rPr>
          <w:rFonts w:cs="Arial"/>
        </w:rPr>
        <w:t xml:space="preserve"> para establecer un desincentivo al incremento en el consumo de energía, se revisó</w:t>
      </w:r>
      <w:r w:rsidR="00AC2217" w:rsidRPr="00B317E5">
        <w:rPr>
          <w:rFonts w:cs="Arial"/>
        </w:rPr>
        <w:t xml:space="preserve"> el antecedente </w:t>
      </w:r>
      <w:r w:rsidR="00A24D78" w:rsidRPr="00B317E5">
        <w:rPr>
          <w:rFonts w:cs="Arial"/>
        </w:rPr>
        <w:t>del programa “Apagar Paga” establecido por el Gobierno Nacional en 2016</w:t>
      </w:r>
      <w:r w:rsidR="00AC2217" w:rsidRPr="00B317E5">
        <w:rPr>
          <w:rFonts w:cs="Arial"/>
        </w:rPr>
        <w:t>. En esa ocasión,</w:t>
      </w:r>
      <w:r w:rsidR="00A24D78" w:rsidRPr="00B317E5">
        <w:rPr>
          <w:rFonts w:cs="Arial"/>
        </w:rPr>
        <w:t xml:space="preserve"> la CREG estableció una penalización equivalente al doble de la tarifa regulada para los usuarios que no cumplieran su meta de ahorro.</w:t>
      </w:r>
    </w:p>
    <w:p w14:paraId="459B6001" w14:textId="77777777" w:rsidR="00A24D78" w:rsidRPr="00B317E5" w:rsidRDefault="00A24D78" w:rsidP="00A24D78">
      <w:pPr>
        <w:rPr>
          <w:rFonts w:cs="Arial"/>
        </w:rPr>
      </w:pPr>
    </w:p>
    <w:p w14:paraId="25BB962F" w14:textId="5C81D398" w:rsidR="00F80EB2" w:rsidRPr="00B317E5" w:rsidRDefault="00A24D78" w:rsidP="007D3DDC">
      <w:pPr>
        <w:rPr>
          <w:rFonts w:cs="Arial"/>
        </w:rPr>
      </w:pPr>
      <w:r w:rsidRPr="00B317E5">
        <w:rPr>
          <w:rFonts w:cs="Arial"/>
        </w:rPr>
        <w:t xml:space="preserve">Considerando la coyuntura tarifaria actual, esta Comisión encuentra que </w:t>
      </w:r>
      <w:r w:rsidR="00E90F5C" w:rsidRPr="00B317E5">
        <w:rPr>
          <w:rFonts w:cs="Arial"/>
        </w:rPr>
        <w:t>un</w:t>
      </w:r>
      <w:r w:rsidR="006F5383" w:rsidRPr="00B317E5">
        <w:rPr>
          <w:rFonts w:cs="Arial"/>
        </w:rPr>
        <w:t>a tarifa</w:t>
      </w:r>
      <w:r w:rsidR="00E90F5C" w:rsidRPr="00B317E5">
        <w:rPr>
          <w:rFonts w:cs="Arial"/>
        </w:rPr>
        <w:t xml:space="preserve"> de igual magnitud</w:t>
      </w:r>
      <w:r w:rsidR="006F5383" w:rsidRPr="00B317E5">
        <w:rPr>
          <w:rFonts w:cs="Arial"/>
        </w:rPr>
        <w:t xml:space="preserve"> a la del referido antecedente</w:t>
      </w:r>
      <w:r w:rsidR="002A4E89" w:rsidRPr="00B317E5">
        <w:rPr>
          <w:rFonts w:cs="Arial"/>
        </w:rPr>
        <w:t>,</w:t>
      </w:r>
      <w:r w:rsidR="00E90F5C" w:rsidRPr="00B317E5">
        <w:rPr>
          <w:rFonts w:cs="Arial"/>
        </w:rPr>
        <w:t xml:space="preserve"> resultaría desproporcionad</w:t>
      </w:r>
      <w:r w:rsidR="006F5383" w:rsidRPr="00B317E5">
        <w:rPr>
          <w:rFonts w:cs="Arial"/>
        </w:rPr>
        <w:t>a</w:t>
      </w:r>
      <w:r w:rsidR="00E90F5C" w:rsidRPr="00B317E5">
        <w:rPr>
          <w:rFonts w:cs="Arial"/>
        </w:rPr>
        <w:t xml:space="preserve"> para l</w:t>
      </w:r>
      <w:r w:rsidR="00462D96" w:rsidRPr="00B317E5">
        <w:rPr>
          <w:rFonts w:cs="Arial"/>
        </w:rPr>
        <w:t>os usuarios.</w:t>
      </w:r>
      <w:r w:rsidR="007B4F04" w:rsidRPr="00B317E5">
        <w:rPr>
          <w:rFonts w:cs="Arial"/>
        </w:rPr>
        <w:t xml:space="preserve"> Por lo anterior, c</w:t>
      </w:r>
      <w:r w:rsidR="00D80A74" w:rsidRPr="00B317E5">
        <w:rPr>
          <w:rFonts w:cs="Arial"/>
        </w:rPr>
        <w:t>omo incentivo al uso eficiente de la energía, se propone la implementación de una tarifa diferencial</w:t>
      </w:r>
      <w:r w:rsidR="00C30A2B" w:rsidRPr="00B317E5">
        <w:rPr>
          <w:rFonts w:cs="Arial"/>
        </w:rPr>
        <w:t xml:space="preserve"> </w:t>
      </w:r>
      <w:r w:rsidR="00CF125C" w:rsidRPr="00B317E5">
        <w:rPr>
          <w:rFonts w:cs="Arial"/>
        </w:rPr>
        <w:t>equivalente a 1.3 veces la tarifa regulada</w:t>
      </w:r>
      <w:r w:rsidR="0030066D" w:rsidRPr="00B317E5">
        <w:rPr>
          <w:rFonts w:cs="Arial"/>
        </w:rPr>
        <w:t xml:space="preserve"> vigente</w:t>
      </w:r>
      <w:r w:rsidR="003200AF" w:rsidRPr="00B317E5">
        <w:rPr>
          <w:rFonts w:cs="Arial"/>
        </w:rPr>
        <w:t xml:space="preserve"> (i.e.</w:t>
      </w:r>
      <w:r w:rsidR="008B074D" w:rsidRPr="00B317E5">
        <w:rPr>
          <w:rFonts w:cs="Arial"/>
        </w:rPr>
        <w:t xml:space="preserve"> aquella que habría aplicado el comercializador</w:t>
      </w:r>
      <w:r w:rsidR="00CF125C" w:rsidRPr="00B317E5">
        <w:rPr>
          <w:rFonts w:cs="Arial"/>
        </w:rPr>
        <w:t xml:space="preserve"> en ausencia del presente programa</w:t>
      </w:r>
      <w:r w:rsidR="008B074D" w:rsidRPr="00B317E5">
        <w:rPr>
          <w:rFonts w:cs="Arial"/>
        </w:rPr>
        <w:t xml:space="preserve"> transitorio</w:t>
      </w:r>
      <w:r w:rsidR="00F22B60" w:rsidRPr="00B317E5">
        <w:rPr>
          <w:rFonts w:cs="Arial"/>
        </w:rPr>
        <w:t>)</w:t>
      </w:r>
      <w:r w:rsidR="002C0390" w:rsidRPr="00B317E5">
        <w:rPr>
          <w:rFonts w:cs="Arial"/>
        </w:rPr>
        <w:t>,</w:t>
      </w:r>
      <w:r w:rsidR="00CF125C" w:rsidRPr="00B317E5">
        <w:rPr>
          <w:rFonts w:cs="Arial"/>
        </w:rPr>
        <w:t xml:space="preserve"> por cada kWh</w:t>
      </w:r>
      <w:r w:rsidR="0069628A" w:rsidRPr="00B317E5">
        <w:rPr>
          <w:rFonts w:cs="Arial"/>
        </w:rPr>
        <w:t xml:space="preserve"> que el usuario co</w:t>
      </w:r>
      <w:r w:rsidR="0010102A" w:rsidRPr="00B317E5">
        <w:rPr>
          <w:rFonts w:cs="Arial"/>
        </w:rPr>
        <w:t>nsuma por encima de</w:t>
      </w:r>
      <w:r w:rsidR="00CF125C" w:rsidRPr="00B317E5">
        <w:rPr>
          <w:rFonts w:cs="Arial"/>
        </w:rPr>
        <w:t xml:space="preserve"> su meta individual de consumo</w:t>
      </w:r>
      <w:r w:rsidR="00621686" w:rsidRPr="00B317E5">
        <w:rPr>
          <w:rFonts w:cs="Arial"/>
        </w:rPr>
        <w:t>, como se muestra a continuación</w:t>
      </w:r>
      <w:r w:rsidR="00E93482" w:rsidRPr="00B317E5">
        <w:rPr>
          <w:rFonts w:cs="Arial"/>
        </w:rPr>
        <w:t>, para cada mes de aplicación del programa</w:t>
      </w:r>
      <w:r w:rsidR="00621686" w:rsidRPr="00B317E5">
        <w:rPr>
          <w:rFonts w:cs="Arial"/>
        </w:rPr>
        <w:t>:</w:t>
      </w:r>
    </w:p>
    <w:p w14:paraId="65944B28" w14:textId="77777777" w:rsidR="00604B1A" w:rsidRPr="00B317E5" w:rsidRDefault="00604B1A" w:rsidP="00604B1A">
      <w:pPr>
        <w:rPr>
          <w:rFonts w:cs="Arial"/>
        </w:rPr>
      </w:pPr>
    </w:p>
    <w:p w14:paraId="027FCF33" w14:textId="18E9394B" w:rsidR="00A34D53" w:rsidRPr="00B317E5" w:rsidRDefault="0086615C" w:rsidP="00A34D53">
      <w:pPr>
        <w:jc w:val="center"/>
        <w:rPr>
          <w:rFonts w:cs="Arial"/>
          <w:bCs/>
          <w:i/>
        </w:rPr>
      </w:pPr>
      <m:oMathPara>
        <m:oMath>
          <m:sSub>
            <m:sSubPr>
              <m:ctrlPr>
                <w:rPr>
                  <w:rFonts w:ascii="Cambria Math" w:hAnsi="Cambria Math" w:cs="Arial"/>
                  <w:bCs/>
                  <w:i/>
                </w:rPr>
              </m:ctrlPr>
            </m:sSubPr>
            <m:e>
              <m:r>
                <w:rPr>
                  <w:rFonts w:ascii="Cambria Math" w:hAnsi="Cambria Math" w:cs="Arial"/>
                </w:rPr>
                <m:t>TPA</m:t>
              </m:r>
            </m:e>
            <m:sub/>
          </m:sSub>
          <m:r>
            <w:rPr>
              <w:rFonts w:ascii="Cambria Math" w:hAnsi="Cambria Math" w:cs="Arial"/>
            </w:rPr>
            <m:t>=</m:t>
          </m:r>
          <m:d>
            <m:dPr>
              <m:begChr m:val="{"/>
              <m:endChr m:val=""/>
              <m:ctrlPr>
                <w:rPr>
                  <w:rFonts w:ascii="Cambria Math" w:hAnsi="Cambria Math" w:cs="Arial"/>
                  <w:bCs/>
                  <w:i/>
                </w:rPr>
              </m:ctrlPr>
            </m:dPr>
            <m:e>
              <m:m>
                <m:mPr>
                  <m:mcs>
                    <m:mc>
                      <m:mcPr>
                        <m:count m:val="2"/>
                        <m:mcJc m:val="center"/>
                      </m:mcPr>
                    </m:mc>
                  </m:mcs>
                  <m:ctrlPr>
                    <w:rPr>
                      <w:rFonts w:ascii="Cambria Math" w:hAnsi="Cambria Math" w:cs="Arial"/>
                      <w:bCs/>
                      <w:i/>
                    </w:rPr>
                  </m:ctrlPr>
                </m:mPr>
                <m:mr>
                  <m:e>
                    <m:r>
                      <w:rPr>
                        <w:rFonts w:ascii="Cambria Math" w:hAnsi="Cambria Math" w:cs="Arial"/>
                      </w:rPr>
                      <m:t>T</m:t>
                    </m:r>
                    <m:sSub>
                      <m:sSubPr>
                        <m:ctrlPr>
                          <w:rPr>
                            <w:rFonts w:ascii="Cambria Math" w:hAnsi="Cambria Math" w:cs="Arial"/>
                            <w:i/>
                          </w:rPr>
                        </m:ctrlPr>
                      </m:sSubPr>
                      <m:e>
                        <m:r>
                          <w:rPr>
                            <w:rFonts w:ascii="Cambria Math" w:hAnsi="Cambria Math" w:cs="Arial"/>
                          </w:rPr>
                          <m:t>R</m:t>
                        </m:r>
                      </m:e>
                      <m:sub/>
                    </m:sSub>
                  </m:e>
                  <m:e>
                    <m:r>
                      <w:rPr>
                        <w:rFonts w:ascii="Cambria Math" w:hAnsi="Cambria Math" w:cs="Arial"/>
                      </w:rPr>
                      <m:t xml:space="preserve">           ; Para consumo entre 0 kWh hasta M</m:t>
                    </m:r>
                    <m:sSub>
                      <m:sSubPr>
                        <m:ctrlPr>
                          <w:rPr>
                            <w:rFonts w:ascii="Cambria Math" w:hAnsi="Cambria Math" w:cs="Arial"/>
                            <w:bCs/>
                            <w:i/>
                          </w:rPr>
                        </m:ctrlPr>
                      </m:sSubPr>
                      <m:e>
                        <m:r>
                          <w:rPr>
                            <w:rFonts w:ascii="Cambria Math" w:hAnsi="Cambria Math" w:cs="Arial"/>
                          </w:rPr>
                          <m:t>eta</m:t>
                        </m:r>
                      </m:e>
                      <m:sub/>
                    </m:sSub>
                  </m:e>
                </m:mr>
                <m:mr>
                  <m:e>
                    <m:r>
                      <w:rPr>
                        <w:rFonts w:ascii="Cambria Math" w:hAnsi="Cambria Math" w:cs="Arial"/>
                      </w:rPr>
                      <m:t>1.3*T</m:t>
                    </m:r>
                    <m:sSub>
                      <m:sSubPr>
                        <m:ctrlPr>
                          <w:rPr>
                            <w:rFonts w:ascii="Cambria Math" w:hAnsi="Cambria Math" w:cs="Arial"/>
                            <w:i/>
                          </w:rPr>
                        </m:ctrlPr>
                      </m:sSubPr>
                      <m:e>
                        <m:r>
                          <w:rPr>
                            <w:rFonts w:ascii="Cambria Math" w:hAnsi="Cambria Math" w:cs="Arial"/>
                          </w:rPr>
                          <m:t>R</m:t>
                        </m:r>
                      </m:e>
                      <m:sub/>
                    </m:sSub>
                  </m:e>
                  <m:e>
                    <m:r>
                      <w:rPr>
                        <w:rFonts w:ascii="Cambria Math" w:hAnsi="Cambria Math" w:cs="Arial"/>
                      </w:rPr>
                      <m:t>; Para consumo superior a la M</m:t>
                    </m:r>
                    <m:sSub>
                      <m:sSubPr>
                        <m:ctrlPr>
                          <w:rPr>
                            <w:rFonts w:ascii="Cambria Math" w:hAnsi="Cambria Math" w:cs="Arial"/>
                            <w:bCs/>
                            <w:i/>
                          </w:rPr>
                        </m:ctrlPr>
                      </m:sSubPr>
                      <m:e>
                        <m:r>
                          <w:rPr>
                            <w:rFonts w:ascii="Cambria Math" w:hAnsi="Cambria Math" w:cs="Arial"/>
                          </w:rPr>
                          <m:t>eta</m:t>
                        </m:r>
                      </m:e>
                      <m:sub/>
                    </m:sSub>
                  </m:e>
                </m:mr>
              </m:m>
            </m:e>
          </m:d>
        </m:oMath>
      </m:oMathPara>
    </w:p>
    <w:p w14:paraId="7C3C902B" w14:textId="77777777" w:rsidR="00A34D53" w:rsidRPr="00B317E5" w:rsidRDefault="00A34D53" w:rsidP="00A34D53">
      <w:pPr>
        <w:rPr>
          <w:rFonts w:cs="Arial"/>
          <w:bCs/>
          <w:i/>
        </w:rPr>
      </w:pPr>
    </w:p>
    <w:p w14:paraId="3A73CE1D" w14:textId="77777777" w:rsidR="00A34D53" w:rsidRPr="00B317E5" w:rsidRDefault="00A34D53" w:rsidP="00A34D53">
      <w:pPr>
        <w:ind w:left="708" w:hanging="708"/>
        <w:rPr>
          <w:rFonts w:cs="Arial"/>
          <w:bCs/>
          <w:iCs/>
        </w:rPr>
      </w:pPr>
      <w:r w:rsidRPr="00B317E5">
        <w:rPr>
          <w:rFonts w:cs="Arial"/>
          <w:bCs/>
          <w:iCs/>
        </w:rPr>
        <w:t>Donde:</w:t>
      </w:r>
    </w:p>
    <w:p w14:paraId="07B70F1F" w14:textId="77777777" w:rsidR="00A34D53" w:rsidRPr="00B317E5" w:rsidRDefault="00A34D53" w:rsidP="00A34D53">
      <w:pPr>
        <w:rPr>
          <w:rFonts w:cs="Arial"/>
          <w:bCs/>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40"/>
      </w:tblGrid>
      <w:tr w:rsidR="00A34D53" w:rsidRPr="00B317E5" w14:paraId="7128BB75" w14:textId="77777777" w:rsidTr="00422B35">
        <w:tc>
          <w:tcPr>
            <w:tcW w:w="1134" w:type="dxa"/>
            <w:hideMark/>
          </w:tcPr>
          <w:p w14:paraId="14CBD0E9" w14:textId="5391E73A" w:rsidR="00A34D53" w:rsidRPr="00B317E5" w:rsidRDefault="0086615C" w:rsidP="00422B35">
            <w:pPr>
              <w:ind w:left="34"/>
              <w:rPr>
                <w:rFonts w:cs="Arial"/>
                <w:bCs/>
                <w:i/>
              </w:rPr>
            </w:pPr>
            <m:oMathPara>
              <m:oMath>
                <m:sSub>
                  <m:sSubPr>
                    <m:ctrlPr>
                      <w:rPr>
                        <w:rFonts w:ascii="Cambria Math" w:hAnsi="Cambria Math" w:cs="Arial"/>
                        <w:bCs/>
                        <w:i/>
                      </w:rPr>
                    </m:ctrlPr>
                  </m:sSubPr>
                  <m:e>
                    <m:r>
                      <w:rPr>
                        <w:rFonts w:ascii="Cambria Math" w:hAnsi="Cambria Math" w:cs="Arial"/>
                      </w:rPr>
                      <m:t>TPA</m:t>
                    </m:r>
                  </m:e>
                  <m:sub/>
                </m:sSub>
                <m:r>
                  <w:rPr>
                    <w:rFonts w:ascii="Cambria Math" w:hAnsi="Cambria Math" w:cs="Arial"/>
                  </w:rPr>
                  <m:t>:</m:t>
                </m:r>
              </m:oMath>
            </m:oMathPara>
          </w:p>
        </w:tc>
        <w:tc>
          <w:tcPr>
            <w:tcW w:w="7840" w:type="dxa"/>
            <w:hideMark/>
          </w:tcPr>
          <w:p w14:paraId="6A1A3A68" w14:textId="269B6527" w:rsidR="00A34D53" w:rsidRPr="00B317E5" w:rsidRDefault="00A34D53" w:rsidP="00422B35">
            <w:pPr>
              <w:ind w:left="81"/>
              <w:rPr>
                <w:rFonts w:cs="Arial"/>
                <w:bCs/>
                <w:iCs/>
              </w:rPr>
            </w:pPr>
            <w:r w:rsidRPr="00B317E5">
              <w:rPr>
                <w:rFonts w:cs="Arial"/>
                <w:bCs/>
                <w:iCs/>
              </w:rPr>
              <w:t>Tarifa</w:t>
            </w:r>
            <w:r w:rsidR="00123ACC" w:rsidRPr="00B317E5">
              <w:rPr>
                <w:rFonts w:cs="Arial"/>
                <w:bCs/>
                <w:iCs/>
              </w:rPr>
              <w:t xml:space="preserve"> </w:t>
            </w:r>
            <w:r w:rsidRPr="00B317E5">
              <w:rPr>
                <w:rFonts w:cs="Arial"/>
                <w:bCs/>
                <w:iCs/>
              </w:rPr>
              <w:t>del programa de uso eficiente de energía p</w:t>
            </w:r>
            <w:r w:rsidR="00033CD2" w:rsidRPr="00B317E5">
              <w:rPr>
                <w:rFonts w:cs="Arial"/>
                <w:bCs/>
                <w:iCs/>
              </w:rPr>
              <w:t>or</w:t>
            </w:r>
            <w:r w:rsidRPr="00B317E5">
              <w:rPr>
                <w:rFonts w:cs="Arial"/>
                <w:bCs/>
                <w:iCs/>
              </w:rPr>
              <w:t xml:space="preserve"> usuario</w:t>
            </w:r>
            <w:r w:rsidR="00033CD2" w:rsidRPr="00B317E5">
              <w:rPr>
                <w:rFonts w:cs="Arial"/>
                <w:bCs/>
                <w:iCs/>
              </w:rPr>
              <w:t>,</w:t>
            </w:r>
            <w:r w:rsidRPr="00B317E5">
              <w:rPr>
                <w:rFonts w:cs="Arial"/>
                <w:bCs/>
                <w:iCs/>
              </w:rPr>
              <w:t xml:space="preserve"> rango de consumo</w:t>
            </w:r>
            <w:r w:rsidR="00715F66" w:rsidRPr="00B317E5">
              <w:rPr>
                <w:rFonts w:cs="Arial"/>
                <w:bCs/>
                <w:i/>
              </w:rPr>
              <w:t xml:space="preserve"> </w:t>
            </w:r>
            <w:r w:rsidR="00715F66" w:rsidRPr="00B317E5">
              <w:rPr>
                <w:rFonts w:cs="Arial"/>
                <w:bCs/>
                <w:iCs/>
              </w:rPr>
              <w:t>y</w:t>
            </w:r>
            <w:r w:rsidRPr="00B317E5">
              <w:rPr>
                <w:rFonts w:cs="Arial"/>
                <w:bCs/>
                <w:iCs/>
              </w:rPr>
              <w:t xml:space="preserve"> del nivel de tensión. Expresada en pesos por kilovatio hora ($/kWh).</w:t>
            </w:r>
          </w:p>
          <w:p w14:paraId="0B3F97BA" w14:textId="77777777" w:rsidR="00A34D53" w:rsidRPr="00B317E5" w:rsidRDefault="00A34D53" w:rsidP="00422B35">
            <w:pPr>
              <w:ind w:left="81"/>
              <w:rPr>
                <w:rFonts w:cs="Arial"/>
                <w:bCs/>
                <w:iCs/>
              </w:rPr>
            </w:pPr>
          </w:p>
          <w:p w14:paraId="21AC7C49" w14:textId="77777777" w:rsidR="00A34D53" w:rsidRPr="00B317E5" w:rsidRDefault="00A34D53" w:rsidP="00422B35">
            <w:pPr>
              <w:ind w:left="81"/>
              <w:rPr>
                <w:rFonts w:cs="Arial"/>
                <w:bCs/>
                <w:i/>
              </w:rPr>
            </w:pPr>
          </w:p>
        </w:tc>
      </w:tr>
      <w:tr w:rsidR="00A34D53" w:rsidRPr="00B317E5" w14:paraId="280834B6" w14:textId="77777777" w:rsidTr="00422B35">
        <w:tc>
          <w:tcPr>
            <w:tcW w:w="1134" w:type="dxa"/>
            <w:hideMark/>
          </w:tcPr>
          <w:p w14:paraId="42AC6786" w14:textId="1D39AE39" w:rsidR="00A34D53" w:rsidRPr="00B317E5" w:rsidRDefault="00A34D53" w:rsidP="00422B35">
            <w:pPr>
              <w:ind w:left="34"/>
              <w:rPr>
                <w:rFonts w:cs="Arial"/>
                <w:bCs/>
                <w:i/>
              </w:rPr>
            </w:pPr>
            <m:oMath>
              <m:r>
                <w:rPr>
                  <w:rFonts w:ascii="Cambria Math" w:hAnsi="Cambria Math" w:cs="Arial"/>
                </w:rPr>
                <m:t>M</m:t>
              </m:r>
              <m:sSub>
                <m:sSubPr>
                  <m:ctrlPr>
                    <w:rPr>
                      <w:rFonts w:ascii="Cambria Math" w:hAnsi="Cambria Math" w:cs="Arial"/>
                      <w:bCs/>
                      <w:i/>
                    </w:rPr>
                  </m:ctrlPr>
                </m:sSubPr>
                <m:e>
                  <m:r>
                    <w:rPr>
                      <w:rFonts w:ascii="Cambria Math" w:hAnsi="Cambria Math" w:cs="Arial"/>
                    </w:rPr>
                    <m:t>eta</m:t>
                  </m:r>
                </m:e>
                <m:sub/>
              </m:sSub>
            </m:oMath>
            <w:r w:rsidRPr="00B317E5">
              <w:rPr>
                <w:rFonts w:cs="Arial"/>
                <w:bCs/>
                <w:i/>
              </w:rPr>
              <w:t>:</w:t>
            </w:r>
          </w:p>
        </w:tc>
        <w:tc>
          <w:tcPr>
            <w:tcW w:w="7840" w:type="dxa"/>
            <w:hideMark/>
          </w:tcPr>
          <w:p w14:paraId="6B0C486F" w14:textId="7924E055" w:rsidR="00A34D53" w:rsidRPr="00B317E5" w:rsidRDefault="00A34D53" w:rsidP="00422B35">
            <w:pPr>
              <w:ind w:left="81"/>
              <w:rPr>
                <w:rFonts w:cs="Arial"/>
                <w:bCs/>
                <w:iCs/>
              </w:rPr>
            </w:pPr>
            <w:r w:rsidRPr="00B317E5">
              <w:rPr>
                <w:rFonts w:cs="Arial"/>
                <w:bCs/>
                <w:iCs/>
              </w:rPr>
              <w:t xml:space="preserve">Meta de consumo individual del usuario, expresada en kilovatios hora al mes (kWh-mes), definida de acuerdo con lo dispuesto en el </w:t>
            </w:r>
            <w:r w:rsidR="00525D19" w:rsidRPr="00B317E5">
              <w:rPr>
                <w:rFonts w:cs="Arial"/>
                <w:bCs/>
                <w:iCs/>
              </w:rPr>
              <w:t>numeral 3.2 del presente documento</w:t>
            </w:r>
            <w:r w:rsidRPr="00B317E5">
              <w:rPr>
                <w:rFonts w:cs="Arial"/>
                <w:bCs/>
                <w:iCs/>
              </w:rPr>
              <w:t>.</w:t>
            </w:r>
          </w:p>
          <w:p w14:paraId="5143B279" w14:textId="77777777" w:rsidR="00A34D53" w:rsidRPr="00B317E5" w:rsidRDefault="00A34D53" w:rsidP="00422B35">
            <w:pPr>
              <w:ind w:left="81"/>
              <w:rPr>
                <w:rFonts w:cs="Arial"/>
                <w:bCs/>
                <w:iCs/>
              </w:rPr>
            </w:pPr>
          </w:p>
          <w:p w14:paraId="2D22B861" w14:textId="77777777" w:rsidR="00A34D53" w:rsidRPr="00B317E5" w:rsidRDefault="00A34D53" w:rsidP="00422B35">
            <w:pPr>
              <w:ind w:left="81"/>
              <w:rPr>
                <w:rFonts w:cs="Arial"/>
                <w:bCs/>
                <w:i/>
              </w:rPr>
            </w:pPr>
          </w:p>
        </w:tc>
      </w:tr>
      <w:tr w:rsidR="00A34D53" w:rsidRPr="00B317E5" w14:paraId="15A361C2" w14:textId="77777777" w:rsidTr="00422B35">
        <w:tc>
          <w:tcPr>
            <w:tcW w:w="1134" w:type="dxa"/>
          </w:tcPr>
          <w:p w14:paraId="5DDAEAEE" w14:textId="2D83FEED" w:rsidR="00A34D53" w:rsidRPr="00B317E5" w:rsidRDefault="00A34D53" w:rsidP="00422B35">
            <w:pPr>
              <w:ind w:left="34"/>
              <w:rPr>
                <w:rFonts w:cs="Arial"/>
              </w:rPr>
            </w:pPr>
            <m:oMath>
              <m:r>
                <w:rPr>
                  <w:rFonts w:ascii="Cambria Math" w:hAnsi="Cambria Math" w:cs="Arial"/>
                </w:rPr>
                <m:t>T</m:t>
              </m:r>
              <m:sSub>
                <m:sSubPr>
                  <m:ctrlPr>
                    <w:rPr>
                      <w:rFonts w:ascii="Cambria Math" w:hAnsi="Cambria Math" w:cs="Arial"/>
                      <w:i/>
                    </w:rPr>
                  </m:ctrlPr>
                </m:sSubPr>
                <m:e>
                  <m:r>
                    <w:rPr>
                      <w:rFonts w:ascii="Cambria Math" w:hAnsi="Cambria Math" w:cs="Arial"/>
                    </w:rPr>
                    <m:t>R</m:t>
                  </m:r>
                </m:e>
                <m:sub/>
              </m:sSub>
            </m:oMath>
            <w:r w:rsidRPr="00B317E5">
              <w:rPr>
                <w:rFonts w:cs="Arial"/>
                <w:bCs/>
                <w:i/>
              </w:rPr>
              <w:t xml:space="preserve">: </w:t>
            </w:r>
          </w:p>
        </w:tc>
        <w:tc>
          <w:tcPr>
            <w:tcW w:w="7840" w:type="dxa"/>
          </w:tcPr>
          <w:p w14:paraId="32738ADF" w14:textId="3284427D" w:rsidR="00A34D53" w:rsidRPr="00B317E5" w:rsidRDefault="00A34D53" w:rsidP="00422B35">
            <w:pPr>
              <w:ind w:left="81"/>
              <w:rPr>
                <w:rFonts w:cs="Arial"/>
                <w:bCs/>
                <w:iCs/>
              </w:rPr>
            </w:pPr>
            <w:r w:rsidRPr="00B317E5">
              <w:rPr>
                <w:rFonts w:cs="Arial"/>
                <w:bCs/>
                <w:iCs/>
              </w:rPr>
              <w:t>Tarifa regulada aplicable en ausencia del presente programa de uso eficiente de energía p</w:t>
            </w:r>
            <w:r w:rsidR="00E63379" w:rsidRPr="00B317E5">
              <w:rPr>
                <w:rFonts w:cs="Arial"/>
                <w:bCs/>
                <w:iCs/>
              </w:rPr>
              <w:t>or</w:t>
            </w:r>
            <w:r w:rsidRPr="00B317E5">
              <w:rPr>
                <w:rFonts w:cs="Arial"/>
                <w:bCs/>
                <w:iCs/>
              </w:rPr>
              <w:t xml:space="preserve"> usuario, rango de consumo</w:t>
            </w:r>
            <w:r w:rsidR="00E63379" w:rsidRPr="00B317E5">
              <w:rPr>
                <w:rFonts w:cs="Arial"/>
                <w:bCs/>
                <w:i/>
              </w:rPr>
              <w:t xml:space="preserve"> </w:t>
            </w:r>
            <w:r w:rsidR="00E63379" w:rsidRPr="00B317E5">
              <w:rPr>
                <w:rFonts w:cs="Arial"/>
                <w:bCs/>
                <w:iCs/>
              </w:rPr>
              <w:t>y</w:t>
            </w:r>
            <w:r w:rsidRPr="00B317E5">
              <w:rPr>
                <w:rFonts w:cs="Arial"/>
                <w:bCs/>
                <w:iCs/>
              </w:rPr>
              <w:t xml:space="preserve"> del nivel de tensión</w:t>
            </w:r>
            <w:r w:rsidR="00E63379" w:rsidRPr="00B317E5">
              <w:rPr>
                <w:rFonts w:cs="Arial"/>
                <w:bCs/>
                <w:iCs/>
              </w:rPr>
              <w:t>.</w:t>
            </w:r>
            <w:r w:rsidRPr="00B317E5">
              <w:rPr>
                <w:rFonts w:cs="Arial"/>
                <w:bCs/>
                <w:iCs/>
              </w:rPr>
              <w:t xml:space="preserve"> </w:t>
            </w:r>
            <w:r w:rsidR="00E63379" w:rsidRPr="00B317E5">
              <w:rPr>
                <w:rFonts w:cs="Arial"/>
                <w:bCs/>
                <w:iCs/>
              </w:rPr>
              <w:t>E</w:t>
            </w:r>
            <w:r w:rsidRPr="00B317E5">
              <w:rPr>
                <w:rFonts w:cs="Arial"/>
                <w:bCs/>
                <w:iCs/>
              </w:rPr>
              <w:t>xpresada en pesos por kilovatio hora ($/kWh).</w:t>
            </w:r>
          </w:p>
        </w:tc>
      </w:tr>
    </w:tbl>
    <w:p w14:paraId="4F3AFD7D" w14:textId="77777777" w:rsidR="00604B1A" w:rsidRPr="00B317E5" w:rsidRDefault="00604B1A" w:rsidP="00604B1A">
      <w:pPr>
        <w:rPr>
          <w:rFonts w:cs="Arial"/>
        </w:rPr>
      </w:pPr>
    </w:p>
    <w:p w14:paraId="251B74F6" w14:textId="05C119E8" w:rsidR="00604B1A" w:rsidRPr="00B317E5" w:rsidRDefault="00343B4B" w:rsidP="00604B1A">
      <w:pPr>
        <w:rPr>
          <w:rFonts w:cs="Arial"/>
        </w:rPr>
      </w:pPr>
      <w:r w:rsidRPr="00B317E5">
        <w:rPr>
          <w:rFonts w:cs="Arial"/>
        </w:rPr>
        <w:t xml:space="preserve">Se debe aclarar que, al incluir la </w:t>
      </w:r>
      <w:r w:rsidR="00DB7C5D" w:rsidRPr="00B317E5">
        <w:rPr>
          <w:rFonts w:cs="Arial"/>
        </w:rPr>
        <w:t xml:space="preserve">individualización de la tarifa por rango de consumo, </w:t>
      </w:r>
      <w:r w:rsidR="00C05950" w:rsidRPr="00B317E5">
        <w:rPr>
          <w:rFonts w:cs="Arial"/>
        </w:rPr>
        <w:t>la</w:t>
      </w:r>
      <w:r w:rsidR="00CF7A9A" w:rsidRPr="00B317E5">
        <w:rPr>
          <w:rFonts w:cs="Arial"/>
        </w:rPr>
        <w:t xml:space="preserve"> anterior fórmula</w:t>
      </w:r>
      <w:r w:rsidR="00604B1A" w:rsidRPr="00B317E5">
        <w:rPr>
          <w:rFonts w:cs="Arial"/>
        </w:rPr>
        <w:t xml:space="preserve"> </w:t>
      </w:r>
      <w:r w:rsidR="00CF7A9A" w:rsidRPr="00B317E5">
        <w:rPr>
          <w:rFonts w:cs="Arial"/>
        </w:rPr>
        <w:t>recoge</w:t>
      </w:r>
      <w:r w:rsidR="00604B1A" w:rsidRPr="00B317E5">
        <w:rPr>
          <w:rFonts w:cs="Arial"/>
        </w:rPr>
        <w:t xml:space="preserve"> las diferencias tarifarias que deben ser aplicadas por el comercializador para usuarios de estratos 1 a 3 por consumos inferiores o superiores al consumo de subsistencia.</w:t>
      </w:r>
    </w:p>
    <w:p w14:paraId="2962BEF6" w14:textId="77777777" w:rsidR="00604B1A" w:rsidRPr="00B317E5" w:rsidRDefault="00604B1A" w:rsidP="00604B1A">
      <w:pPr>
        <w:rPr>
          <w:rFonts w:cs="Arial"/>
        </w:rPr>
      </w:pPr>
    </w:p>
    <w:p w14:paraId="4C44A2AE" w14:textId="30C2346A" w:rsidR="00604B1A" w:rsidRPr="00B317E5" w:rsidRDefault="00DD224C" w:rsidP="00604B1A">
      <w:pPr>
        <w:rPr>
          <w:rFonts w:cs="Arial"/>
        </w:rPr>
      </w:pPr>
      <w:r w:rsidRPr="00B317E5">
        <w:rPr>
          <w:rFonts w:cs="Arial"/>
        </w:rPr>
        <w:t>Dado que el comercializador deberá tener un mes completo de lectura para determinar la meta individual de consumo por usuario</w:t>
      </w:r>
      <w:r w:rsidR="00266E8A" w:rsidRPr="00B317E5">
        <w:rPr>
          <w:rFonts w:cs="Arial"/>
        </w:rPr>
        <w:t>,</w:t>
      </w:r>
      <w:r w:rsidRPr="00B317E5">
        <w:rPr>
          <w:rFonts w:cs="Arial"/>
        </w:rPr>
        <w:t xml:space="preserve"> </w:t>
      </w:r>
      <w:r w:rsidR="00982F9F" w:rsidRPr="00B317E5">
        <w:rPr>
          <w:rFonts w:cs="Arial"/>
        </w:rPr>
        <w:t>l</w:t>
      </w:r>
      <w:r w:rsidR="00604B1A" w:rsidRPr="00B317E5">
        <w:rPr>
          <w:rFonts w:cs="Arial"/>
        </w:rPr>
        <w:t xml:space="preserve">os usuarios para los cuales </w:t>
      </w:r>
      <w:r w:rsidR="00616F4D" w:rsidRPr="00B317E5">
        <w:rPr>
          <w:rFonts w:cs="Arial"/>
        </w:rPr>
        <w:t>no se tenga</w:t>
      </w:r>
      <w:r w:rsidR="00572C20" w:rsidRPr="00B317E5">
        <w:rPr>
          <w:rFonts w:cs="Arial"/>
        </w:rPr>
        <w:t xml:space="preserve"> un</w:t>
      </w:r>
      <w:r w:rsidR="00604B1A" w:rsidRPr="00B317E5">
        <w:rPr>
          <w:rFonts w:cs="Arial"/>
        </w:rPr>
        <w:t xml:space="preserve"> ciclo de lectura completo, no</w:t>
      </w:r>
      <w:r w:rsidR="00572C20" w:rsidRPr="00B317E5">
        <w:rPr>
          <w:rFonts w:cs="Arial"/>
        </w:rPr>
        <w:t xml:space="preserve"> se</w:t>
      </w:r>
      <w:r w:rsidR="00604B1A" w:rsidRPr="00B317E5">
        <w:rPr>
          <w:rFonts w:cs="Arial"/>
        </w:rPr>
        <w:t xml:space="preserve"> les</w:t>
      </w:r>
      <w:r w:rsidR="00572C20" w:rsidRPr="00B317E5">
        <w:rPr>
          <w:rFonts w:cs="Arial"/>
        </w:rPr>
        <w:t xml:space="preserve"> podrá</w:t>
      </w:r>
      <w:r w:rsidR="00604B1A" w:rsidRPr="00B317E5">
        <w:rPr>
          <w:rFonts w:cs="Arial"/>
        </w:rPr>
        <w:t xml:space="preserve"> aplicar el esquema de tarifas diferenciales previstas en el presente artículo hasta tanto el comercializador tenga información de un ciclo de lectura completo para determinar la meta de consumo individual.</w:t>
      </w:r>
    </w:p>
    <w:p w14:paraId="1D37094C" w14:textId="77777777" w:rsidR="002C0390" w:rsidRPr="00B317E5" w:rsidRDefault="002C0390" w:rsidP="007D3DDC">
      <w:pPr>
        <w:rPr>
          <w:rFonts w:cs="Arial"/>
        </w:rPr>
      </w:pPr>
    </w:p>
    <w:p w14:paraId="497786AE" w14:textId="519F4DF3" w:rsidR="00137278" w:rsidRPr="00B317E5" w:rsidRDefault="001F7231" w:rsidP="00137278">
      <w:pPr>
        <w:rPr>
          <w:rFonts w:cs="Arial"/>
          <w:b/>
          <w:bCs/>
        </w:rPr>
      </w:pPr>
      <w:r>
        <w:rPr>
          <w:rFonts w:cs="Arial"/>
          <w:b/>
          <w:bCs/>
        </w:rPr>
        <w:t>2</w:t>
      </w:r>
      <w:r w:rsidR="00137278" w:rsidRPr="00B317E5">
        <w:rPr>
          <w:rFonts w:cs="Arial"/>
          <w:b/>
          <w:bCs/>
        </w:rPr>
        <w:t>.3. Beneficio por consumos inferiores a la meta individual de consumo</w:t>
      </w:r>
    </w:p>
    <w:p w14:paraId="2AD1DA7A" w14:textId="77777777" w:rsidR="00236847" w:rsidRPr="00B317E5" w:rsidRDefault="00236847" w:rsidP="007D3DDC">
      <w:pPr>
        <w:rPr>
          <w:rFonts w:cs="Arial"/>
        </w:rPr>
      </w:pPr>
    </w:p>
    <w:p w14:paraId="01C25213" w14:textId="52174E5F" w:rsidR="00BF0BB1" w:rsidRPr="00B317E5" w:rsidRDefault="009D5455" w:rsidP="18D82EF9">
      <w:pPr>
        <w:rPr>
          <w:rFonts w:cs="Arial"/>
          <w:lang w:val="es-ES"/>
        </w:rPr>
      </w:pPr>
      <w:r w:rsidRPr="18D82EF9">
        <w:rPr>
          <w:rFonts w:cs="Arial"/>
          <w:lang w:val="es-ES"/>
        </w:rPr>
        <w:t xml:space="preserve">Como incentivo para </w:t>
      </w:r>
      <w:r w:rsidR="005748FD" w:rsidRPr="18D82EF9">
        <w:rPr>
          <w:rFonts w:cs="Arial"/>
          <w:lang w:val="es-ES"/>
        </w:rPr>
        <w:t xml:space="preserve">consumos eficientes por parte de los usuarios regulados, representados en consumos inferiores a su meta individual, se propone </w:t>
      </w:r>
      <w:r w:rsidR="00543BBC" w:rsidRPr="18D82EF9">
        <w:rPr>
          <w:rFonts w:cs="Arial"/>
          <w:lang w:val="es-ES"/>
        </w:rPr>
        <w:t>repartir entre estos usuarios</w:t>
      </w:r>
      <w:r w:rsidR="0053704A" w:rsidRPr="18D82EF9">
        <w:rPr>
          <w:rFonts w:cs="Arial"/>
          <w:lang w:val="es-ES"/>
        </w:rPr>
        <w:t xml:space="preserve">, al finalizar el </w:t>
      </w:r>
      <w:r w:rsidR="00662475" w:rsidRPr="18D82EF9">
        <w:rPr>
          <w:rFonts w:cs="Arial"/>
          <w:lang w:val="es-ES"/>
        </w:rPr>
        <w:t>programa,</w:t>
      </w:r>
      <w:r w:rsidR="00543BBC" w:rsidRPr="18D82EF9">
        <w:rPr>
          <w:rFonts w:cs="Arial"/>
          <w:lang w:val="es-ES"/>
        </w:rPr>
        <w:t xml:space="preserve"> los recursos que resulten de los cobros </w:t>
      </w:r>
      <w:r w:rsidR="00662475" w:rsidRPr="18D82EF9">
        <w:rPr>
          <w:rFonts w:cs="Arial"/>
          <w:lang w:val="es-ES"/>
        </w:rPr>
        <w:t xml:space="preserve">en exceso </w:t>
      </w:r>
      <w:r w:rsidR="00543BBC" w:rsidRPr="18D82EF9">
        <w:rPr>
          <w:rFonts w:cs="Arial"/>
          <w:lang w:val="es-ES"/>
        </w:rPr>
        <w:t xml:space="preserve">realizados por el comercializador </w:t>
      </w:r>
      <w:r w:rsidR="000F36FA" w:rsidRPr="18D82EF9">
        <w:rPr>
          <w:rFonts w:cs="Arial"/>
          <w:lang w:val="es-ES"/>
        </w:rPr>
        <w:t xml:space="preserve">a usuarios que realicen consumos superiores a su meta de ahorro y, en consecuencia, se les cobre 1.3 veces la tarifa regulada por esos </w:t>
      </w:r>
      <w:r w:rsidR="000F36FA" w:rsidRPr="18D82EF9">
        <w:rPr>
          <w:rFonts w:cs="Arial"/>
          <w:lang w:val="es-ES"/>
        </w:rPr>
        <w:lastRenderedPageBreak/>
        <w:t>consumos adicionales.</w:t>
      </w:r>
      <w:r w:rsidR="000E224F" w:rsidRPr="18D82EF9">
        <w:rPr>
          <w:rFonts w:cs="Arial"/>
          <w:lang w:val="es-ES"/>
        </w:rPr>
        <w:t xml:space="preserve"> Esta distribución la debe realizar </w:t>
      </w:r>
      <w:proofErr w:type="gramStart"/>
      <w:r w:rsidR="000E224F" w:rsidRPr="18D82EF9">
        <w:rPr>
          <w:rFonts w:cs="Arial"/>
          <w:lang w:val="es-ES"/>
        </w:rPr>
        <w:t>el comercialización</w:t>
      </w:r>
      <w:proofErr w:type="gramEnd"/>
      <w:r w:rsidR="000E224F" w:rsidRPr="18D82EF9">
        <w:rPr>
          <w:rFonts w:cs="Arial"/>
          <w:lang w:val="es-ES"/>
        </w:rPr>
        <w:t>, con sus usuarios, por mercado de comercialización.</w:t>
      </w:r>
    </w:p>
    <w:p w14:paraId="52DE3876" w14:textId="77777777" w:rsidR="00662475" w:rsidRPr="00B317E5" w:rsidRDefault="00662475" w:rsidP="007D3DDC">
      <w:pPr>
        <w:rPr>
          <w:rFonts w:cs="Arial"/>
        </w:rPr>
      </w:pPr>
    </w:p>
    <w:p w14:paraId="265F368C" w14:textId="06D42514" w:rsidR="000E224F" w:rsidRPr="00B317E5" w:rsidRDefault="000E224F" w:rsidP="007D3DDC">
      <w:pPr>
        <w:rPr>
          <w:rFonts w:cs="Arial"/>
        </w:rPr>
      </w:pPr>
      <w:r w:rsidRPr="00B317E5">
        <w:rPr>
          <w:rFonts w:cs="Arial"/>
        </w:rPr>
        <w:t xml:space="preserve">Es decir, para </w:t>
      </w:r>
      <w:r w:rsidR="00D0255A" w:rsidRPr="00B317E5">
        <w:rPr>
          <w:rFonts w:cs="Arial"/>
        </w:rPr>
        <w:t>la distribución del beneficio, cada comercializador deberá determinar el valor total de los cobros realizados en exceso</w:t>
      </w:r>
      <w:r w:rsidR="00532A5A" w:rsidRPr="00B317E5">
        <w:rPr>
          <w:rFonts w:cs="Arial"/>
        </w:rPr>
        <w:t xml:space="preserve"> (por encima de la tarifa regulada) a los usuarios que consumieron energía por encima de su meta individual</w:t>
      </w:r>
      <w:r w:rsidR="0053704A" w:rsidRPr="00B317E5">
        <w:rPr>
          <w:rFonts w:cs="Arial"/>
        </w:rPr>
        <w:t>, durante la ejecución del programa.</w:t>
      </w:r>
      <w:r w:rsidR="009F43E3" w:rsidRPr="00B317E5">
        <w:rPr>
          <w:rFonts w:cs="Arial"/>
        </w:rPr>
        <w:t xml:space="preserve"> Est</w:t>
      </w:r>
      <w:r w:rsidR="00EE5592" w:rsidRPr="00B317E5">
        <w:rPr>
          <w:rFonts w:cs="Arial"/>
        </w:rPr>
        <w:t>a agregación deberá realizarse</w:t>
      </w:r>
      <w:r w:rsidR="009F43E3" w:rsidRPr="00B317E5">
        <w:rPr>
          <w:rFonts w:cs="Arial"/>
        </w:rPr>
        <w:t xml:space="preserve"> </w:t>
      </w:r>
      <w:r w:rsidR="006520B5" w:rsidRPr="00B317E5">
        <w:rPr>
          <w:rFonts w:cs="Arial"/>
        </w:rPr>
        <w:t>para los usuarios atendidos por el comercializador y que pertenecen al mismo mercado de comercialización</w:t>
      </w:r>
      <w:r w:rsidR="009F43E3" w:rsidRPr="00B317E5">
        <w:rPr>
          <w:rFonts w:cs="Arial"/>
        </w:rPr>
        <w:t xml:space="preserve">, de forma tal que el comercializador tendrá al final del programa, tantas </w:t>
      </w:r>
      <w:r w:rsidR="00D45BE7" w:rsidRPr="00B317E5">
        <w:rPr>
          <w:rFonts w:cs="Arial"/>
        </w:rPr>
        <w:t>“bolsas”</w:t>
      </w:r>
      <w:r w:rsidR="0096174F" w:rsidRPr="00B317E5">
        <w:rPr>
          <w:rFonts w:cs="Arial"/>
        </w:rPr>
        <w:t xml:space="preserve"> de cobros en exceso</w:t>
      </w:r>
      <w:r w:rsidR="00D45BE7" w:rsidRPr="00B317E5">
        <w:rPr>
          <w:rFonts w:cs="Arial"/>
        </w:rPr>
        <w:t xml:space="preserve"> como mercados de comercialización en los que participe</w:t>
      </w:r>
      <w:r w:rsidR="0091734D" w:rsidRPr="00B317E5">
        <w:rPr>
          <w:rFonts w:cs="Arial"/>
        </w:rPr>
        <w:t>.</w:t>
      </w:r>
    </w:p>
    <w:p w14:paraId="69ADF6CF" w14:textId="77777777" w:rsidR="001E5D8C" w:rsidRPr="00B317E5" w:rsidRDefault="001E5D8C" w:rsidP="007D3DDC">
      <w:pPr>
        <w:rPr>
          <w:rFonts w:cs="Arial"/>
        </w:rPr>
      </w:pPr>
    </w:p>
    <w:p w14:paraId="6FD953F7" w14:textId="70955C70" w:rsidR="001E5D8C" w:rsidRPr="00B317E5" w:rsidRDefault="001E5D8C" w:rsidP="007D3DDC">
      <w:pPr>
        <w:rPr>
          <w:rFonts w:cs="Arial"/>
        </w:rPr>
      </w:pPr>
      <w:r w:rsidRPr="00B317E5">
        <w:rPr>
          <w:rFonts w:cs="Arial"/>
        </w:rPr>
        <w:t>Deberá posteriormente determinar el ahorro total de energía</w:t>
      </w:r>
      <w:r w:rsidR="0091734D" w:rsidRPr="00B317E5">
        <w:rPr>
          <w:rFonts w:cs="Arial"/>
        </w:rPr>
        <w:t xml:space="preserve"> por mercado de comercialización en el que participe, de acuerdo con </w:t>
      </w:r>
      <w:r w:rsidR="00670208" w:rsidRPr="00B317E5">
        <w:rPr>
          <w:rFonts w:cs="Arial"/>
        </w:rPr>
        <w:t>los ahorros individuales registrados por los usuarios de ese mercado durante la ejecución del programa.</w:t>
      </w:r>
    </w:p>
    <w:p w14:paraId="2F467C20" w14:textId="77777777" w:rsidR="00670208" w:rsidRPr="00B317E5" w:rsidRDefault="00670208" w:rsidP="007D3DDC">
      <w:pPr>
        <w:rPr>
          <w:rFonts w:cs="Arial"/>
        </w:rPr>
      </w:pPr>
    </w:p>
    <w:p w14:paraId="38902EEF" w14:textId="5B6D1EB8" w:rsidR="00670208" w:rsidRPr="00B317E5" w:rsidRDefault="00693604" w:rsidP="007D3DDC">
      <w:pPr>
        <w:rPr>
          <w:rFonts w:cs="Arial"/>
        </w:rPr>
      </w:pPr>
      <w:r w:rsidRPr="00B317E5">
        <w:rPr>
          <w:rFonts w:cs="Arial"/>
        </w:rPr>
        <w:t>El ahorro de energía de c</w:t>
      </w:r>
      <w:r w:rsidR="00670208" w:rsidRPr="00B317E5">
        <w:rPr>
          <w:rFonts w:cs="Arial"/>
        </w:rPr>
        <w:t xml:space="preserve">ada usuario que haya consumido por debajo de su meta de consumo </w:t>
      </w:r>
      <w:r w:rsidRPr="00B317E5">
        <w:rPr>
          <w:rFonts w:cs="Arial"/>
        </w:rPr>
        <w:t xml:space="preserve">durante la ejecución del </w:t>
      </w:r>
      <w:r w:rsidR="0096174F" w:rsidRPr="00B317E5">
        <w:rPr>
          <w:rFonts w:cs="Arial"/>
        </w:rPr>
        <w:t>programa</w:t>
      </w:r>
      <w:r w:rsidRPr="00B317E5">
        <w:rPr>
          <w:rFonts w:cs="Arial"/>
        </w:rPr>
        <w:t xml:space="preserve"> representará entonces una proporción sobre el ahorro</w:t>
      </w:r>
      <w:r w:rsidR="00992567" w:rsidRPr="00B317E5">
        <w:rPr>
          <w:rFonts w:cs="Arial"/>
        </w:rPr>
        <w:t xml:space="preserve"> total de</w:t>
      </w:r>
      <w:r w:rsidR="00A628DC" w:rsidRPr="00B317E5">
        <w:rPr>
          <w:rFonts w:cs="Arial"/>
        </w:rPr>
        <w:t xml:space="preserve"> </w:t>
      </w:r>
      <w:r w:rsidR="00992567" w:rsidRPr="00B317E5">
        <w:rPr>
          <w:rFonts w:cs="Arial"/>
        </w:rPr>
        <w:t>l</w:t>
      </w:r>
      <w:r w:rsidR="00A628DC" w:rsidRPr="00B317E5">
        <w:rPr>
          <w:rFonts w:cs="Arial"/>
        </w:rPr>
        <w:t>os usuarios atendidos por el comercializador y que pertenecen al mismo</w:t>
      </w:r>
      <w:r w:rsidR="00992567" w:rsidRPr="00B317E5">
        <w:rPr>
          <w:rFonts w:cs="Arial"/>
        </w:rPr>
        <w:t xml:space="preserve"> mercado de comercializa</w:t>
      </w:r>
      <w:r w:rsidR="00A628DC" w:rsidRPr="00B317E5">
        <w:rPr>
          <w:rFonts w:cs="Arial"/>
        </w:rPr>
        <w:t>ción</w:t>
      </w:r>
      <w:r w:rsidR="002D7288" w:rsidRPr="00B317E5">
        <w:rPr>
          <w:rFonts w:cs="Arial"/>
        </w:rPr>
        <w:t>.</w:t>
      </w:r>
    </w:p>
    <w:p w14:paraId="74AD5DD2" w14:textId="77777777" w:rsidR="002D7288" w:rsidRPr="00B317E5" w:rsidRDefault="002D7288" w:rsidP="007D3DDC">
      <w:pPr>
        <w:rPr>
          <w:rFonts w:cs="Arial"/>
        </w:rPr>
      </w:pPr>
    </w:p>
    <w:p w14:paraId="4A3A49EC" w14:textId="0440668B" w:rsidR="007D4C0B" w:rsidRPr="00B317E5" w:rsidRDefault="00CB51E4" w:rsidP="007D3DDC">
      <w:pPr>
        <w:rPr>
          <w:rFonts w:cs="Arial"/>
        </w:rPr>
      </w:pPr>
      <w:r w:rsidRPr="00B317E5">
        <w:rPr>
          <w:rFonts w:cs="Arial"/>
        </w:rPr>
        <w:t>Dicha proporción será utilizada por el comercializador para repartir</w:t>
      </w:r>
      <w:r w:rsidR="00806C14" w:rsidRPr="00B317E5">
        <w:rPr>
          <w:rFonts w:cs="Arial"/>
        </w:rPr>
        <w:t xml:space="preserve"> la “bolsa” consolidada por mercado de comercialización,</w:t>
      </w:r>
      <w:r w:rsidRPr="00B317E5">
        <w:rPr>
          <w:rFonts w:cs="Arial"/>
        </w:rPr>
        <w:t xml:space="preserve"> entre los usuarios que hayan consumido energía por debajo de su meta individual</w:t>
      </w:r>
      <w:r w:rsidR="00806C14" w:rsidRPr="00B317E5">
        <w:rPr>
          <w:rFonts w:cs="Arial"/>
        </w:rPr>
        <w:t xml:space="preserve"> y que pertenecen a ese mismo mercado.</w:t>
      </w:r>
    </w:p>
    <w:p w14:paraId="6BD5484D" w14:textId="77777777" w:rsidR="0096174F" w:rsidRDefault="0096174F" w:rsidP="007D3DDC">
      <w:pPr>
        <w:rPr>
          <w:rFonts w:cs="Arial"/>
        </w:rPr>
      </w:pPr>
    </w:p>
    <w:p w14:paraId="25628B80" w14:textId="7375D1E4" w:rsidR="00B317E5" w:rsidRDefault="00B317E5" w:rsidP="007D3DDC">
      <w:pPr>
        <w:rPr>
          <w:rFonts w:cs="Arial"/>
        </w:rPr>
      </w:pPr>
      <w:r>
        <w:rPr>
          <w:rFonts w:cs="Arial"/>
        </w:rPr>
        <w:t>En particular, el comercializador deberá seguir los siguientes pasos:</w:t>
      </w:r>
    </w:p>
    <w:p w14:paraId="1B32B6D9" w14:textId="77777777" w:rsidR="00B317E5" w:rsidRPr="00B317E5" w:rsidRDefault="00B317E5" w:rsidP="007D3DDC">
      <w:pPr>
        <w:rPr>
          <w:rFonts w:cs="Arial"/>
        </w:rPr>
      </w:pPr>
    </w:p>
    <w:p w14:paraId="2656228B" w14:textId="77777777" w:rsidR="00B317E5" w:rsidRPr="00B317E5" w:rsidRDefault="00B317E5" w:rsidP="00B317E5">
      <w:pPr>
        <w:pStyle w:val="Prrafodelista"/>
        <w:numPr>
          <w:ilvl w:val="0"/>
          <w:numId w:val="17"/>
        </w:numPr>
        <w:ind w:left="284" w:hanging="284"/>
        <w:rPr>
          <w:rFonts w:cs="Arial"/>
          <w:bCs/>
          <w:szCs w:val="24"/>
        </w:rPr>
      </w:pPr>
      <w:r w:rsidRPr="00B317E5">
        <w:rPr>
          <w:rFonts w:cs="Arial"/>
          <w:bCs/>
          <w:szCs w:val="24"/>
        </w:rPr>
        <w:t>Calcular el valor mensual agregado en pesos de los cobros realizados a usuarios regulados por consumos superiores a su meta individual de consumo, por mercado de comercialización.</w:t>
      </w:r>
    </w:p>
    <w:p w14:paraId="5177E51E" w14:textId="77777777" w:rsidR="00B317E5" w:rsidRPr="00B317E5" w:rsidRDefault="00B317E5" w:rsidP="00B317E5">
      <w:pPr>
        <w:pStyle w:val="Prrafodelista"/>
        <w:ind w:left="720"/>
        <w:rPr>
          <w:rFonts w:cs="Arial"/>
          <w:bCs/>
          <w:szCs w:val="24"/>
        </w:rPr>
      </w:pPr>
    </w:p>
    <w:p w14:paraId="7F9D99B2" w14:textId="77777777" w:rsidR="00B317E5" w:rsidRPr="00B317E5" w:rsidRDefault="00B317E5" w:rsidP="00B317E5">
      <w:pPr>
        <w:pStyle w:val="Prrafodelista"/>
        <w:ind w:left="720"/>
        <w:rPr>
          <w:rFonts w:cs="Arial"/>
          <w:bCs/>
          <w:szCs w:val="24"/>
        </w:rPr>
      </w:pPr>
      <m:oMathPara>
        <m:oMath>
          <m:r>
            <w:rPr>
              <w:rFonts w:ascii="Cambria Math" w:hAnsi="Cambria Math" w:cs="Arial"/>
              <w:szCs w:val="24"/>
            </w:rPr>
            <m:t>CM</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m:t>
              </m:r>
            </m:sub>
          </m:sSub>
          <m:r>
            <w:rPr>
              <w:rFonts w:ascii="Cambria Math" w:hAnsi="Cambria Math" w:cs="Arial"/>
              <w:szCs w:val="24"/>
            </w:rPr>
            <m:t xml:space="preserve">= </m:t>
          </m:r>
          <m:nary>
            <m:naryPr>
              <m:chr m:val="∑"/>
              <m:limLoc m:val="undOvr"/>
              <m:ctrlPr>
                <w:rPr>
                  <w:rFonts w:ascii="Cambria Math" w:hAnsi="Cambria Math" w:cs="Arial"/>
                  <w:bCs/>
                  <w:i/>
                  <w:szCs w:val="24"/>
                </w:rPr>
              </m:ctrlPr>
            </m:naryPr>
            <m:sub>
              <m:r>
                <w:rPr>
                  <w:rFonts w:ascii="Cambria Math" w:hAnsi="Cambria Math" w:cs="Arial"/>
                  <w:szCs w:val="24"/>
                </w:rPr>
                <m:t>i=1</m:t>
              </m:r>
            </m:sub>
            <m:sup>
              <m:r>
                <w:rPr>
                  <w:rFonts w:ascii="Cambria Math" w:hAnsi="Cambria Math" w:cs="Arial"/>
                  <w:szCs w:val="24"/>
                </w:rPr>
                <m:t>NCj,m</m:t>
              </m:r>
            </m:sup>
            <m:e>
              <m:r>
                <w:rPr>
                  <w:rFonts w:ascii="Cambria Math" w:hAnsi="Cambria Math" w:cs="Arial"/>
                  <w:szCs w:val="24"/>
                </w:rPr>
                <m:t>C</m:t>
              </m:r>
              <m:sSub>
                <m:sSubPr>
                  <m:ctrlPr>
                    <w:rPr>
                      <w:rFonts w:ascii="Cambria Math" w:hAnsi="Cambria Math" w:cs="Arial"/>
                      <w:bCs/>
                      <w:i/>
                      <w:szCs w:val="24"/>
                    </w:rPr>
                  </m:ctrlPr>
                </m:sSubPr>
                <m:e>
                  <m:r>
                    <w:rPr>
                      <w:rFonts w:ascii="Cambria Math" w:hAnsi="Cambria Math" w:cs="Arial"/>
                      <w:szCs w:val="24"/>
                    </w:rPr>
                    <m:t>M</m:t>
                  </m:r>
                </m:e>
                <m:sub>
                  <m:r>
                    <w:rPr>
                      <w:rFonts w:ascii="Cambria Math" w:hAnsi="Cambria Math" w:cs="Arial"/>
                      <w:szCs w:val="24"/>
                    </w:rPr>
                    <m:t>i,j,m</m:t>
                  </m:r>
                </m:sub>
              </m:sSub>
            </m:e>
          </m:nary>
        </m:oMath>
      </m:oMathPara>
    </w:p>
    <w:p w14:paraId="5C1E2DC9" w14:textId="77777777" w:rsidR="00B317E5" w:rsidRPr="00B317E5" w:rsidRDefault="00B317E5" w:rsidP="00B317E5">
      <w:pPr>
        <w:pStyle w:val="Prrafodelista"/>
        <w:ind w:left="720"/>
        <w:rPr>
          <w:rFonts w:cs="Arial"/>
          <w:bCs/>
          <w:szCs w:val="24"/>
        </w:rPr>
      </w:pPr>
    </w:p>
    <w:p w14:paraId="0CCF560F" w14:textId="77777777" w:rsidR="00B317E5" w:rsidRPr="00B317E5" w:rsidRDefault="00B317E5" w:rsidP="00B317E5">
      <w:pPr>
        <w:pStyle w:val="Prrafodelista"/>
        <w:ind w:left="284"/>
        <w:rPr>
          <w:rFonts w:cs="Arial"/>
          <w:bCs/>
          <w:szCs w:val="24"/>
        </w:rPr>
      </w:pPr>
      <w:r w:rsidRPr="00B317E5">
        <w:rPr>
          <w:rFonts w:cs="Arial"/>
          <w:bCs/>
          <w:szCs w:val="24"/>
        </w:rPr>
        <w:t>Donde:</w:t>
      </w:r>
    </w:p>
    <w:p w14:paraId="09252F5B" w14:textId="77777777" w:rsidR="00B317E5" w:rsidRPr="00B317E5" w:rsidRDefault="00B317E5" w:rsidP="00B317E5">
      <w:pPr>
        <w:pStyle w:val="Prrafodelista"/>
        <w:ind w:left="720"/>
        <w:rPr>
          <w:rFonts w:cs="Arial"/>
          <w:bCs/>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080"/>
      </w:tblGrid>
      <w:tr w:rsidR="00B317E5" w:rsidRPr="00B317E5" w14:paraId="226ACF62" w14:textId="77777777" w:rsidTr="00422B35">
        <w:tc>
          <w:tcPr>
            <w:tcW w:w="992" w:type="dxa"/>
            <w:hideMark/>
          </w:tcPr>
          <w:p w14:paraId="7296687C" w14:textId="77777777" w:rsidR="00B317E5" w:rsidRPr="00B317E5" w:rsidRDefault="00B317E5" w:rsidP="00422B35">
            <w:pPr>
              <w:ind w:left="34"/>
              <w:rPr>
                <w:rFonts w:cs="Arial"/>
                <w:bCs/>
                <w:i/>
              </w:rPr>
            </w:pPr>
            <m:oMathPara>
              <m:oMathParaPr>
                <m:jc m:val="right"/>
              </m:oMathParaPr>
              <m:oMath>
                <m:r>
                  <w:rPr>
                    <w:rFonts w:ascii="Cambria Math" w:hAnsi="Cambria Math" w:cs="Arial"/>
                  </w:rPr>
                  <m:t>CM</m:t>
                </m:r>
                <m:sSub>
                  <m:sSubPr>
                    <m:ctrlPr>
                      <w:rPr>
                        <w:rFonts w:ascii="Cambria Math" w:hAnsi="Cambria Math" w:cs="Arial"/>
                        <w:bCs/>
                        <w:i/>
                      </w:rPr>
                    </m:ctrlPr>
                  </m:sSubPr>
                  <m:e>
                    <m:r>
                      <w:rPr>
                        <w:rFonts w:ascii="Cambria Math" w:hAnsi="Cambria Math" w:cs="Arial"/>
                      </w:rPr>
                      <m:t>A</m:t>
                    </m:r>
                  </m:e>
                  <m:sub>
                    <m:r>
                      <w:rPr>
                        <w:rFonts w:ascii="Cambria Math" w:hAnsi="Cambria Math" w:cs="Arial"/>
                      </w:rPr>
                      <m:t>j,m</m:t>
                    </m:r>
                  </m:sub>
                </m:sSub>
                <m:r>
                  <w:rPr>
                    <w:rFonts w:ascii="Cambria Math" w:hAnsi="Cambria Math" w:cs="Arial"/>
                  </w:rPr>
                  <m:t>:</m:t>
                </m:r>
              </m:oMath>
            </m:oMathPara>
          </w:p>
        </w:tc>
        <w:tc>
          <w:tcPr>
            <w:tcW w:w="8080" w:type="dxa"/>
            <w:hideMark/>
          </w:tcPr>
          <w:p w14:paraId="0F334041" w14:textId="77777777" w:rsidR="00B317E5" w:rsidRPr="00B317E5" w:rsidRDefault="00B317E5" w:rsidP="00422B35">
            <w:pPr>
              <w:rPr>
                <w:rFonts w:cs="Arial"/>
                <w:bCs/>
                <w:iCs/>
              </w:rPr>
            </w:pPr>
            <w:r w:rsidRPr="00B317E5">
              <w:rPr>
                <w:rFonts w:cs="Arial"/>
                <w:bCs/>
                <w:iCs/>
              </w:rPr>
              <w:t xml:space="preserve">Cobro mensual agregado en pesos con cargo </w:t>
            </w:r>
            <w:r w:rsidRPr="00B317E5">
              <w:rPr>
                <w:rFonts w:cs="Arial"/>
                <w:bCs/>
              </w:rPr>
              <w:t xml:space="preserve">a usuarios regulados que realizaron consumos superiores a su meta individual de consumo, en el mercado de comercialización </w:t>
            </w:r>
            <w:r w:rsidRPr="00B317E5">
              <w:rPr>
                <w:rFonts w:cs="Arial"/>
                <w:bCs/>
                <w:i/>
                <w:iCs/>
              </w:rPr>
              <w:t>j</w:t>
            </w:r>
            <w:r w:rsidRPr="00B317E5">
              <w:rPr>
                <w:rFonts w:cs="Arial"/>
                <w:bCs/>
              </w:rPr>
              <w:t xml:space="preserve">, para el mes </w:t>
            </w:r>
            <w:r w:rsidRPr="00B317E5">
              <w:rPr>
                <w:rFonts w:cs="Arial"/>
                <w:bCs/>
                <w:i/>
                <w:iCs/>
              </w:rPr>
              <w:t>m</w:t>
            </w:r>
            <w:r w:rsidRPr="00B317E5">
              <w:rPr>
                <w:rFonts w:cs="Arial"/>
                <w:bCs/>
                <w:iCs/>
              </w:rPr>
              <w:t xml:space="preserve">. </w:t>
            </w:r>
          </w:p>
          <w:p w14:paraId="3C34C3F9" w14:textId="77777777" w:rsidR="00B317E5" w:rsidRPr="00B317E5" w:rsidRDefault="00B317E5" w:rsidP="00422B35">
            <w:pPr>
              <w:rPr>
                <w:rFonts w:cs="Arial"/>
                <w:bCs/>
                <w:iCs/>
              </w:rPr>
            </w:pPr>
          </w:p>
          <w:p w14:paraId="4F4EF070" w14:textId="77777777" w:rsidR="00B317E5" w:rsidRPr="00B317E5" w:rsidRDefault="00B317E5" w:rsidP="00422B35">
            <w:pPr>
              <w:rPr>
                <w:rFonts w:cs="Arial"/>
                <w:bCs/>
                <w:i/>
              </w:rPr>
            </w:pPr>
          </w:p>
        </w:tc>
      </w:tr>
      <w:tr w:rsidR="00B317E5" w:rsidRPr="00B317E5" w14:paraId="191D6FCF" w14:textId="77777777" w:rsidTr="00422B35">
        <w:tc>
          <w:tcPr>
            <w:tcW w:w="992" w:type="dxa"/>
            <w:hideMark/>
          </w:tcPr>
          <w:p w14:paraId="76A29C25" w14:textId="77777777" w:rsidR="00B317E5" w:rsidRPr="00B317E5" w:rsidRDefault="00B317E5" w:rsidP="00422B35">
            <w:pPr>
              <w:ind w:left="34"/>
              <w:rPr>
                <w:rFonts w:cs="Arial"/>
                <w:bCs/>
                <w:i/>
              </w:rPr>
            </w:pPr>
            <m:oMathPara>
              <m:oMathParaPr>
                <m:jc m:val="right"/>
              </m:oMathParaPr>
              <m:oMath>
                <m:r>
                  <w:rPr>
                    <w:rFonts w:ascii="Cambria Math" w:hAnsi="Cambria Math" w:cs="Arial"/>
                  </w:rPr>
                  <m:t>C</m:t>
                </m:r>
                <m:sSub>
                  <m:sSubPr>
                    <m:ctrlPr>
                      <w:rPr>
                        <w:rFonts w:ascii="Cambria Math" w:hAnsi="Cambria Math" w:cs="Arial"/>
                        <w:bCs/>
                        <w:i/>
                      </w:rPr>
                    </m:ctrlPr>
                  </m:sSubPr>
                  <m:e>
                    <m:r>
                      <w:rPr>
                        <w:rFonts w:ascii="Cambria Math" w:hAnsi="Cambria Math" w:cs="Arial"/>
                      </w:rPr>
                      <m:t>M</m:t>
                    </m:r>
                  </m:e>
                  <m:sub>
                    <m:r>
                      <w:rPr>
                        <w:rFonts w:ascii="Cambria Math" w:hAnsi="Cambria Math" w:cs="Arial"/>
                      </w:rPr>
                      <m:t>i,m</m:t>
                    </m:r>
                  </m:sub>
                </m:sSub>
                <m:r>
                  <w:rPr>
                    <w:rFonts w:ascii="Cambria Math" w:hAnsi="Cambria Math" w:cs="Arial"/>
                  </w:rPr>
                  <m:t>:</m:t>
                </m:r>
              </m:oMath>
            </m:oMathPara>
          </w:p>
        </w:tc>
        <w:tc>
          <w:tcPr>
            <w:tcW w:w="8080" w:type="dxa"/>
            <w:hideMark/>
          </w:tcPr>
          <w:p w14:paraId="574D2476" w14:textId="77777777" w:rsidR="00B317E5" w:rsidRPr="00B317E5" w:rsidRDefault="00B317E5" w:rsidP="00422B35">
            <w:pPr>
              <w:rPr>
                <w:rFonts w:cs="Arial"/>
                <w:bCs/>
                <w:iCs/>
              </w:rPr>
            </w:pPr>
            <w:r w:rsidRPr="00B317E5">
              <w:rPr>
                <w:rFonts w:cs="Arial"/>
                <w:bCs/>
                <w:iCs/>
              </w:rPr>
              <w:t xml:space="preserve">Cobro mensual en pesos con cargo al usuario </w:t>
            </w:r>
            <w:r w:rsidRPr="00B317E5">
              <w:rPr>
                <w:rFonts w:cs="Arial"/>
                <w:bCs/>
                <w:i/>
              </w:rPr>
              <w:t>i</w:t>
            </w:r>
            <w:r w:rsidRPr="00B317E5">
              <w:rPr>
                <w:rFonts w:cs="Arial"/>
                <w:bCs/>
                <w:iCs/>
              </w:rPr>
              <w:t xml:space="preserve">, perteneciente al mercado de comercialización </w:t>
            </w:r>
            <w:r w:rsidRPr="00B317E5">
              <w:rPr>
                <w:rFonts w:cs="Arial"/>
                <w:bCs/>
                <w:i/>
              </w:rPr>
              <w:t>j</w:t>
            </w:r>
            <w:r w:rsidRPr="00B317E5">
              <w:rPr>
                <w:rFonts w:cs="Arial"/>
                <w:bCs/>
                <w:iCs/>
              </w:rPr>
              <w:t xml:space="preserve">, por </w:t>
            </w:r>
            <w:r w:rsidRPr="00B317E5">
              <w:rPr>
                <w:rFonts w:cs="Arial"/>
                <w:bCs/>
              </w:rPr>
              <w:t xml:space="preserve">consumos superiores a su meta individual de consumo, para el mes </w:t>
            </w:r>
            <w:r w:rsidRPr="00B317E5">
              <w:rPr>
                <w:rFonts w:cs="Arial"/>
                <w:bCs/>
                <w:i/>
                <w:iCs/>
              </w:rPr>
              <w:t>m</w:t>
            </w:r>
            <w:r w:rsidRPr="00B317E5">
              <w:rPr>
                <w:rFonts w:cs="Arial"/>
                <w:bCs/>
                <w:iCs/>
              </w:rPr>
              <w:t xml:space="preserve">. </w:t>
            </w:r>
          </w:p>
          <w:p w14:paraId="457CA7CC" w14:textId="77777777" w:rsidR="00B317E5" w:rsidRPr="00B317E5" w:rsidRDefault="00B317E5" w:rsidP="00422B35">
            <w:pPr>
              <w:rPr>
                <w:rFonts w:cs="Arial"/>
                <w:bCs/>
                <w:iCs/>
              </w:rPr>
            </w:pPr>
          </w:p>
          <w:p w14:paraId="5A3E0A49" w14:textId="77777777" w:rsidR="00B317E5" w:rsidRPr="00B317E5" w:rsidRDefault="00B317E5" w:rsidP="00422B35">
            <w:pPr>
              <w:rPr>
                <w:rFonts w:cs="Arial"/>
                <w:bCs/>
                <w:i/>
              </w:rPr>
            </w:pPr>
          </w:p>
        </w:tc>
      </w:tr>
      <w:tr w:rsidR="00B317E5" w:rsidRPr="00B317E5" w14:paraId="07F2A2BA" w14:textId="77777777" w:rsidTr="00422B35">
        <w:tc>
          <w:tcPr>
            <w:tcW w:w="992" w:type="dxa"/>
          </w:tcPr>
          <w:p w14:paraId="19571126" w14:textId="77777777" w:rsidR="00B317E5" w:rsidRPr="00B317E5" w:rsidRDefault="00B317E5" w:rsidP="00422B35">
            <w:pPr>
              <w:ind w:left="34"/>
              <w:jc w:val="right"/>
              <w:rPr>
                <w:rFonts w:cs="Arial"/>
              </w:rPr>
            </w:pPr>
            <m:oMathPara>
              <m:oMathParaPr>
                <m:jc m:val="right"/>
              </m:oMathParaPr>
              <m:oMath>
                <m:r>
                  <w:rPr>
                    <w:rFonts w:ascii="Cambria Math" w:hAnsi="Cambria Math" w:cs="Arial"/>
                  </w:rPr>
                  <w:lastRenderedPageBreak/>
                  <m:t>NCj,m:</m:t>
                </m:r>
              </m:oMath>
            </m:oMathPara>
          </w:p>
        </w:tc>
        <w:tc>
          <w:tcPr>
            <w:tcW w:w="8080" w:type="dxa"/>
          </w:tcPr>
          <w:p w14:paraId="3C399414" w14:textId="77777777" w:rsidR="00B317E5" w:rsidRPr="00B317E5" w:rsidRDefault="00B317E5" w:rsidP="00422B35">
            <w:pPr>
              <w:rPr>
                <w:rFonts w:cs="Arial"/>
                <w:bCs/>
                <w:iCs/>
              </w:rPr>
            </w:pPr>
            <w:r w:rsidRPr="00B317E5">
              <w:rPr>
                <w:rFonts w:cs="Arial"/>
                <w:bCs/>
                <w:iCs/>
              </w:rPr>
              <w:t xml:space="preserve">Número de usuarios pertenecientes al mercado </w:t>
            </w:r>
            <w:r w:rsidRPr="00B317E5">
              <w:rPr>
                <w:rFonts w:cs="Arial"/>
                <w:bCs/>
                <w:i/>
              </w:rPr>
              <w:t>j</w:t>
            </w:r>
            <w:r w:rsidRPr="00B317E5">
              <w:rPr>
                <w:rFonts w:cs="Arial"/>
                <w:bCs/>
                <w:iCs/>
              </w:rPr>
              <w:t xml:space="preserve"> a quienes se les realizaron cobros por </w:t>
            </w:r>
            <w:r w:rsidRPr="00B317E5">
              <w:rPr>
                <w:rFonts w:cs="Arial"/>
                <w:bCs/>
              </w:rPr>
              <w:t>consumos superiores a su meta individual de consumo, para el mes m</w:t>
            </w:r>
            <w:r w:rsidRPr="00B317E5">
              <w:rPr>
                <w:rFonts w:cs="Arial"/>
                <w:bCs/>
                <w:iCs/>
              </w:rPr>
              <w:t>.</w:t>
            </w:r>
          </w:p>
        </w:tc>
      </w:tr>
    </w:tbl>
    <w:p w14:paraId="02597CC9" w14:textId="77777777" w:rsidR="00B317E5" w:rsidRPr="00B317E5" w:rsidRDefault="00B317E5" w:rsidP="00B317E5">
      <w:pPr>
        <w:pStyle w:val="Prrafodelista"/>
        <w:ind w:left="720"/>
        <w:rPr>
          <w:rFonts w:cs="Arial"/>
          <w:bCs/>
          <w:szCs w:val="24"/>
        </w:rPr>
      </w:pPr>
    </w:p>
    <w:p w14:paraId="3E14DBE0" w14:textId="77777777" w:rsidR="00B317E5" w:rsidRPr="00B317E5" w:rsidRDefault="00B317E5" w:rsidP="00B317E5">
      <w:pPr>
        <w:pStyle w:val="Prrafodelista"/>
        <w:numPr>
          <w:ilvl w:val="0"/>
          <w:numId w:val="17"/>
        </w:numPr>
        <w:ind w:left="284" w:hanging="284"/>
        <w:rPr>
          <w:rFonts w:cs="Arial"/>
          <w:bCs/>
          <w:szCs w:val="24"/>
        </w:rPr>
      </w:pPr>
      <w:r w:rsidRPr="00B317E5">
        <w:rPr>
          <w:rFonts w:cs="Arial"/>
          <w:bCs/>
          <w:szCs w:val="24"/>
        </w:rPr>
        <w:t>Calcular el valor total en pesos de los cobros realizados a usuarios regulados por consumos superiores a su meta de consumo, por mercado de comercialización, durante la ejecución del programa de uso eficiente de energía.</w:t>
      </w:r>
    </w:p>
    <w:p w14:paraId="4143E456" w14:textId="77777777" w:rsidR="00B317E5" w:rsidRPr="00B317E5" w:rsidRDefault="00B317E5" w:rsidP="00B317E5">
      <w:pPr>
        <w:rPr>
          <w:rFonts w:cs="Arial"/>
          <w:bCs/>
        </w:rPr>
      </w:pPr>
    </w:p>
    <w:p w14:paraId="649B9E6B" w14:textId="77777777" w:rsidR="00B317E5" w:rsidRPr="00B317E5" w:rsidRDefault="00B317E5" w:rsidP="00B317E5">
      <w:pPr>
        <w:pStyle w:val="Prrafodelista"/>
        <w:ind w:left="720"/>
        <w:rPr>
          <w:rFonts w:cs="Arial"/>
          <w:bCs/>
          <w:szCs w:val="24"/>
        </w:rPr>
      </w:pPr>
      <m:oMathPara>
        <m:oMath>
          <m:r>
            <w:rPr>
              <w:rFonts w:ascii="Cambria Math" w:hAnsi="Cambria Math" w:cs="Arial"/>
              <w:szCs w:val="24"/>
            </w:rPr>
            <m:t>CP</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t>
              </m:r>
            </m:sub>
          </m:sSub>
          <m:r>
            <w:rPr>
              <w:rFonts w:ascii="Cambria Math" w:hAnsi="Cambria Math" w:cs="Arial"/>
              <w:szCs w:val="24"/>
            </w:rPr>
            <m:t xml:space="preserve">= </m:t>
          </m:r>
          <m:nary>
            <m:naryPr>
              <m:chr m:val="∑"/>
              <m:limLoc m:val="undOvr"/>
              <m:ctrlPr>
                <w:rPr>
                  <w:rFonts w:ascii="Cambria Math" w:hAnsi="Cambria Math" w:cs="Arial"/>
                  <w:bCs/>
                  <w:i/>
                  <w:szCs w:val="24"/>
                </w:rPr>
              </m:ctrlPr>
            </m:naryPr>
            <m:sub>
              <m:r>
                <w:rPr>
                  <w:rFonts w:ascii="Cambria Math" w:hAnsi="Cambria Math" w:cs="Arial"/>
                  <w:szCs w:val="24"/>
                </w:rPr>
                <m:t>M=1</m:t>
              </m:r>
            </m:sub>
            <m:sup>
              <m:r>
                <w:rPr>
                  <w:rFonts w:ascii="Cambria Math" w:hAnsi="Cambria Math" w:cs="Arial"/>
                  <w:szCs w:val="24"/>
                </w:rPr>
                <m:t>M</m:t>
              </m:r>
            </m:sup>
            <m:e>
              <m:r>
                <w:rPr>
                  <w:rFonts w:ascii="Cambria Math" w:hAnsi="Cambria Math" w:cs="Arial"/>
                  <w:szCs w:val="24"/>
                </w:rPr>
                <m:t>C</m:t>
              </m:r>
              <m:sSub>
                <m:sSubPr>
                  <m:ctrlPr>
                    <w:rPr>
                      <w:rFonts w:ascii="Cambria Math" w:hAnsi="Cambria Math" w:cs="Arial"/>
                      <w:bCs/>
                      <w:i/>
                      <w:szCs w:val="24"/>
                    </w:rPr>
                  </m:ctrlPr>
                </m:sSubPr>
                <m:e>
                  <m:r>
                    <w:rPr>
                      <w:rFonts w:ascii="Cambria Math" w:hAnsi="Cambria Math" w:cs="Arial"/>
                      <w:szCs w:val="24"/>
                    </w:rPr>
                    <m:t>MA</m:t>
                  </m:r>
                </m:e>
                <m:sub>
                  <m:r>
                    <w:rPr>
                      <w:rFonts w:ascii="Cambria Math" w:hAnsi="Cambria Math" w:cs="Arial"/>
                      <w:szCs w:val="24"/>
                    </w:rPr>
                    <m:t>j,m</m:t>
                  </m:r>
                </m:sub>
              </m:sSub>
            </m:e>
          </m:nary>
        </m:oMath>
      </m:oMathPara>
    </w:p>
    <w:p w14:paraId="41194D48" w14:textId="77777777" w:rsidR="00B317E5" w:rsidRPr="00B317E5" w:rsidRDefault="00B317E5" w:rsidP="00B317E5">
      <w:pPr>
        <w:pStyle w:val="Prrafodelista"/>
        <w:ind w:left="284"/>
        <w:rPr>
          <w:rFonts w:cs="Arial"/>
          <w:bCs/>
          <w:szCs w:val="24"/>
        </w:rPr>
      </w:pPr>
      <w:r w:rsidRPr="00B317E5">
        <w:rPr>
          <w:rFonts w:cs="Arial"/>
          <w:bCs/>
          <w:szCs w:val="24"/>
        </w:rPr>
        <w:t>Donde:</w:t>
      </w:r>
    </w:p>
    <w:p w14:paraId="02B697E7" w14:textId="77777777" w:rsidR="00B317E5" w:rsidRPr="00B317E5" w:rsidRDefault="00B317E5" w:rsidP="00B317E5">
      <w:pPr>
        <w:rPr>
          <w:rFonts w:cs="Arial"/>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8015"/>
      </w:tblGrid>
      <w:tr w:rsidR="00B317E5" w:rsidRPr="00B317E5" w14:paraId="734FC7DF" w14:textId="77777777" w:rsidTr="00422B35">
        <w:tc>
          <w:tcPr>
            <w:tcW w:w="1057" w:type="dxa"/>
            <w:hideMark/>
          </w:tcPr>
          <w:p w14:paraId="31EE3D1B" w14:textId="77777777" w:rsidR="00B317E5" w:rsidRPr="00B317E5" w:rsidRDefault="00B317E5" w:rsidP="00422B35">
            <w:pPr>
              <w:ind w:left="34"/>
              <w:rPr>
                <w:rFonts w:cs="Arial"/>
                <w:bCs/>
                <w:i/>
              </w:rPr>
            </w:pPr>
            <m:oMathPara>
              <m:oMathParaPr>
                <m:jc m:val="right"/>
              </m:oMathParaPr>
              <m:oMath>
                <m:r>
                  <w:rPr>
                    <w:rFonts w:ascii="Cambria Math" w:hAnsi="Cambria Math" w:cs="Arial"/>
                  </w:rPr>
                  <m:t>CP</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r>
                  <w:rPr>
                    <w:rFonts w:ascii="Cambria Math" w:hAnsi="Cambria Math" w:cs="Arial"/>
                  </w:rPr>
                  <m:t>:</m:t>
                </m:r>
              </m:oMath>
            </m:oMathPara>
          </w:p>
        </w:tc>
        <w:tc>
          <w:tcPr>
            <w:tcW w:w="8015" w:type="dxa"/>
            <w:hideMark/>
          </w:tcPr>
          <w:p w14:paraId="1BAAF387" w14:textId="77777777" w:rsidR="00B317E5" w:rsidRPr="00B317E5" w:rsidRDefault="00B317E5" w:rsidP="00422B35">
            <w:pPr>
              <w:ind w:left="81"/>
              <w:rPr>
                <w:rFonts w:cs="Arial"/>
                <w:bCs/>
                <w:iCs/>
              </w:rPr>
            </w:pPr>
            <w:r w:rsidRPr="00B317E5">
              <w:rPr>
                <w:rFonts w:cs="Arial"/>
                <w:bCs/>
                <w:iCs/>
              </w:rPr>
              <w:t xml:space="preserve">Cobro total en pesos durante la </w:t>
            </w:r>
            <w:r w:rsidRPr="00B317E5">
              <w:rPr>
                <w:rFonts w:cs="Arial"/>
                <w:bCs/>
              </w:rPr>
              <w:t>ejecución del programa de uso eficiente de energía,</w:t>
            </w:r>
            <w:r w:rsidRPr="00B317E5">
              <w:rPr>
                <w:rFonts w:cs="Arial"/>
                <w:bCs/>
                <w:iCs/>
              </w:rPr>
              <w:t xml:space="preserve"> </w:t>
            </w:r>
            <w:r w:rsidRPr="00B317E5">
              <w:rPr>
                <w:rFonts w:cs="Arial"/>
                <w:bCs/>
              </w:rPr>
              <w:t xml:space="preserve">a usuarios regulados que realizaron consumos superiores a su meta individual de consumo, en el mercado de comercialización </w:t>
            </w:r>
            <w:r w:rsidRPr="00B317E5">
              <w:rPr>
                <w:rFonts w:cs="Arial"/>
                <w:bCs/>
                <w:i/>
                <w:iCs/>
              </w:rPr>
              <w:t>j</w:t>
            </w:r>
            <w:r w:rsidRPr="00B317E5">
              <w:rPr>
                <w:rFonts w:cs="Arial"/>
                <w:bCs/>
                <w:iCs/>
              </w:rPr>
              <w:t>.</w:t>
            </w:r>
          </w:p>
          <w:p w14:paraId="084D4DCD" w14:textId="77777777" w:rsidR="00B317E5" w:rsidRPr="00B317E5" w:rsidRDefault="00B317E5" w:rsidP="00422B35">
            <w:pPr>
              <w:ind w:left="81"/>
              <w:rPr>
                <w:rFonts w:cs="Arial"/>
                <w:bCs/>
                <w:iCs/>
              </w:rPr>
            </w:pPr>
          </w:p>
          <w:p w14:paraId="18AE5717" w14:textId="77777777" w:rsidR="00B317E5" w:rsidRPr="00B317E5" w:rsidRDefault="00B317E5" w:rsidP="00422B35">
            <w:pPr>
              <w:ind w:left="81"/>
              <w:rPr>
                <w:rFonts w:cs="Arial"/>
                <w:bCs/>
                <w:i/>
              </w:rPr>
            </w:pPr>
          </w:p>
        </w:tc>
      </w:tr>
      <w:tr w:rsidR="00B317E5" w:rsidRPr="00B317E5" w14:paraId="6B207766" w14:textId="77777777" w:rsidTr="00422B35">
        <w:tc>
          <w:tcPr>
            <w:tcW w:w="1057" w:type="dxa"/>
            <w:hideMark/>
          </w:tcPr>
          <w:p w14:paraId="56B3B0E5" w14:textId="77777777" w:rsidR="00B317E5" w:rsidRPr="00B317E5" w:rsidRDefault="00B317E5" w:rsidP="00422B35">
            <w:pPr>
              <w:ind w:left="34"/>
              <w:rPr>
                <w:rFonts w:cs="Arial"/>
                <w:bCs/>
                <w:i/>
              </w:rPr>
            </w:pPr>
            <m:oMathPara>
              <m:oMathParaPr>
                <m:jc m:val="right"/>
              </m:oMathParaPr>
              <m:oMath>
                <m:r>
                  <w:rPr>
                    <w:rFonts w:ascii="Cambria Math" w:hAnsi="Cambria Math" w:cs="Arial"/>
                  </w:rPr>
                  <m:t>CM</m:t>
                </m:r>
                <m:sSub>
                  <m:sSubPr>
                    <m:ctrlPr>
                      <w:rPr>
                        <w:rFonts w:ascii="Cambria Math" w:hAnsi="Cambria Math" w:cs="Arial"/>
                        <w:bCs/>
                        <w:i/>
                      </w:rPr>
                    </m:ctrlPr>
                  </m:sSubPr>
                  <m:e>
                    <m:r>
                      <w:rPr>
                        <w:rFonts w:ascii="Cambria Math" w:hAnsi="Cambria Math" w:cs="Arial"/>
                      </w:rPr>
                      <m:t>A</m:t>
                    </m:r>
                  </m:e>
                  <m:sub>
                    <m:r>
                      <w:rPr>
                        <w:rFonts w:ascii="Cambria Math" w:hAnsi="Cambria Math" w:cs="Arial"/>
                      </w:rPr>
                      <m:t>j,m</m:t>
                    </m:r>
                  </m:sub>
                </m:sSub>
                <m:r>
                  <w:rPr>
                    <w:rFonts w:ascii="Cambria Math" w:hAnsi="Cambria Math" w:cs="Arial"/>
                  </w:rPr>
                  <m:t>:</m:t>
                </m:r>
              </m:oMath>
            </m:oMathPara>
          </w:p>
        </w:tc>
        <w:tc>
          <w:tcPr>
            <w:tcW w:w="8015" w:type="dxa"/>
            <w:hideMark/>
          </w:tcPr>
          <w:p w14:paraId="469616D6" w14:textId="77777777" w:rsidR="00B317E5" w:rsidRPr="00B317E5" w:rsidRDefault="00B317E5" w:rsidP="00422B35">
            <w:pPr>
              <w:ind w:left="81"/>
              <w:rPr>
                <w:rFonts w:cs="Arial"/>
                <w:bCs/>
                <w:iCs/>
              </w:rPr>
            </w:pPr>
            <w:r w:rsidRPr="00B317E5">
              <w:rPr>
                <w:rFonts w:cs="Arial"/>
                <w:bCs/>
                <w:iCs/>
              </w:rPr>
              <w:t xml:space="preserve">Cobro mensual agregado en pesos </w:t>
            </w:r>
            <w:r w:rsidRPr="00B317E5">
              <w:rPr>
                <w:rFonts w:cs="Arial"/>
                <w:bCs/>
              </w:rPr>
              <w:t xml:space="preserve">a usuarios regulados que realizaron consumos superiores a su meta individual de consumo, en el mercado de comercialización </w:t>
            </w:r>
            <w:r w:rsidRPr="00B317E5">
              <w:rPr>
                <w:rFonts w:cs="Arial"/>
                <w:bCs/>
                <w:i/>
                <w:iCs/>
              </w:rPr>
              <w:t>j</w:t>
            </w:r>
            <w:r w:rsidRPr="00B317E5">
              <w:rPr>
                <w:rFonts w:cs="Arial"/>
                <w:bCs/>
              </w:rPr>
              <w:t xml:space="preserve">, para el mes </w:t>
            </w:r>
            <w:r w:rsidRPr="00B317E5">
              <w:rPr>
                <w:rFonts w:cs="Arial"/>
                <w:bCs/>
                <w:i/>
                <w:iCs/>
              </w:rPr>
              <w:t>m</w:t>
            </w:r>
            <w:r w:rsidRPr="00B317E5">
              <w:rPr>
                <w:rFonts w:cs="Arial"/>
                <w:bCs/>
                <w:iCs/>
              </w:rPr>
              <w:t>.</w:t>
            </w:r>
          </w:p>
          <w:p w14:paraId="06F6DAD3" w14:textId="77777777" w:rsidR="00B317E5" w:rsidRPr="00B317E5" w:rsidRDefault="00B317E5" w:rsidP="00422B35">
            <w:pPr>
              <w:ind w:left="81"/>
              <w:rPr>
                <w:rFonts w:cs="Arial"/>
                <w:bCs/>
                <w:iCs/>
              </w:rPr>
            </w:pPr>
          </w:p>
          <w:p w14:paraId="47358447" w14:textId="77777777" w:rsidR="00B317E5" w:rsidRPr="00B317E5" w:rsidRDefault="00B317E5" w:rsidP="00422B35">
            <w:pPr>
              <w:ind w:left="81"/>
              <w:rPr>
                <w:rFonts w:cs="Arial"/>
                <w:bCs/>
                <w:i/>
              </w:rPr>
            </w:pPr>
          </w:p>
        </w:tc>
      </w:tr>
      <w:tr w:rsidR="00B317E5" w:rsidRPr="00B317E5" w14:paraId="05130340" w14:textId="77777777" w:rsidTr="00422B35">
        <w:tc>
          <w:tcPr>
            <w:tcW w:w="1057" w:type="dxa"/>
          </w:tcPr>
          <w:p w14:paraId="57917B90" w14:textId="77777777" w:rsidR="00B317E5" w:rsidRPr="00B317E5" w:rsidRDefault="00B317E5" w:rsidP="00422B35">
            <w:pPr>
              <w:ind w:left="34"/>
              <w:jc w:val="right"/>
              <w:rPr>
                <w:rFonts w:cs="Arial"/>
              </w:rPr>
            </w:pPr>
            <m:oMathPara>
              <m:oMathParaPr>
                <m:jc m:val="right"/>
              </m:oMathParaPr>
              <m:oMath>
                <m:r>
                  <w:rPr>
                    <w:rFonts w:ascii="Cambria Math" w:hAnsi="Cambria Math" w:cs="Arial"/>
                  </w:rPr>
                  <m:t>M:</m:t>
                </m:r>
              </m:oMath>
            </m:oMathPara>
          </w:p>
        </w:tc>
        <w:tc>
          <w:tcPr>
            <w:tcW w:w="8015" w:type="dxa"/>
          </w:tcPr>
          <w:p w14:paraId="033E38BB" w14:textId="77777777" w:rsidR="00B317E5" w:rsidRPr="00B317E5" w:rsidRDefault="00B317E5" w:rsidP="00422B35">
            <w:pPr>
              <w:ind w:left="81"/>
              <w:rPr>
                <w:rFonts w:cs="Arial"/>
                <w:bCs/>
                <w:iCs/>
              </w:rPr>
            </w:pPr>
            <w:r w:rsidRPr="00B317E5">
              <w:rPr>
                <w:rFonts w:cs="Arial"/>
                <w:bCs/>
                <w:iCs/>
              </w:rPr>
              <w:t xml:space="preserve">Número de meses que duró la ejecución del </w:t>
            </w:r>
            <w:bookmarkStart w:id="6" w:name="_Hlk164148861"/>
            <w:r w:rsidRPr="00B317E5">
              <w:rPr>
                <w:rFonts w:cs="Arial"/>
                <w:bCs/>
                <w:iCs/>
              </w:rPr>
              <w:t>programa de incentivos al uso eficiente de energía</w:t>
            </w:r>
            <w:bookmarkEnd w:id="6"/>
            <w:r w:rsidRPr="00B317E5">
              <w:rPr>
                <w:rFonts w:cs="Arial"/>
                <w:bCs/>
                <w:iCs/>
              </w:rPr>
              <w:t>.</w:t>
            </w:r>
          </w:p>
        </w:tc>
      </w:tr>
    </w:tbl>
    <w:p w14:paraId="45707343" w14:textId="77777777" w:rsidR="00B317E5" w:rsidRPr="00B317E5" w:rsidRDefault="00B317E5" w:rsidP="00B317E5">
      <w:pPr>
        <w:pStyle w:val="Prrafodelista"/>
        <w:ind w:left="720"/>
        <w:rPr>
          <w:rFonts w:cs="Arial"/>
          <w:bCs/>
          <w:szCs w:val="24"/>
        </w:rPr>
      </w:pPr>
    </w:p>
    <w:p w14:paraId="0602A6FA" w14:textId="77777777" w:rsidR="00B317E5" w:rsidRPr="00B317E5" w:rsidRDefault="00B317E5" w:rsidP="00B317E5">
      <w:pPr>
        <w:pStyle w:val="Prrafodelista"/>
        <w:numPr>
          <w:ilvl w:val="0"/>
          <w:numId w:val="17"/>
        </w:numPr>
        <w:ind w:left="284" w:hanging="284"/>
        <w:rPr>
          <w:rFonts w:cs="Arial"/>
          <w:bCs/>
          <w:szCs w:val="24"/>
        </w:rPr>
      </w:pPr>
      <w:r w:rsidRPr="00B317E5">
        <w:rPr>
          <w:rFonts w:cs="Arial"/>
          <w:bCs/>
          <w:szCs w:val="24"/>
        </w:rPr>
        <w:t>Estimar el consumo mensual ahorrado agregado (kWh) correspondiente a los usuarios regulados que realizaron consumos inferiores a su meta individual de consumo, por mercado de comercialización.</w:t>
      </w:r>
    </w:p>
    <w:p w14:paraId="2ECC809D" w14:textId="77777777" w:rsidR="00B317E5" w:rsidRPr="00B317E5" w:rsidRDefault="00B317E5" w:rsidP="00B317E5">
      <w:pPr>
        <w:pStyle w:val="Prrafodelista"/>
        <w:ind w:left="3402" w:hanging="2694"/>
        <w:rPr>
          <w:rFonts w:cs="Arial"/>
          <w:bCs/>
          <w:szCs w:val="24"/>
        </w:rPr>
      </w:pPr>
    </w:p>
    <w:p w14:paraId="766EDEEC" w14:textId="77777777" w:rsidR="00B317E5" w:rsidRPr="00B317E5" w:rsidRDefault="00B317E5" w:rsidP="00B317E5">
      <w:pPr>
        <w:pStyle w:val="Prrafodelista"/>
        <w:ind w:left="720"/>
        <w:rPr>
          <w:rFonts w:cs="Arial"/>
          <w:bCs/>
          <w:szCs w:val="24"/>
        </w:rPr>
      </w:pPr>
      <m:oMathPara>
        <m:oMath>
          <m:r>
            <w:rPr>
              <w:rFonts w:ascii="Cambria Math" w:hAnsi="Cambria Math" w:cs="Arial"/>
              <w:szCs w:val="24"/>
            </w:rPr>
            <m:t>EM</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m:t>
              </m:r>
            </m:sub>
          </m:sSub>
          <m:r>
            <w:rPr>
              <w:rFonts w:ascii="Cambria Math" w:hAnsi="Cambria Math" w:cs="Arial"/>
              <w:szCs w:val="24"/>
            </w:rPr>
            <m:t xml:space="preserve">= </m:t>
          </m:r>
          <m:nary>
            <m:naryPr>
              <m:chr m:val="∑"/>
              <m:limLoc m:val="undOvr"/>
              <m:ctrlPr>
                <w:rPr>
                  <w:rFonts w:ascii="Cambria Math" w:hAnsi="Cambria Math" w:cs="Arial"/>
                  <w:bCs/>
                  <w:i/>
                  <w:szCs w:val="24"/>
                </w:rPr>
              </m:ctrlPr>
            </m:naryPr>
            <m:sub>
              <m:r>
                <w:rPr>
                  <w:rFonts w:ascii="Cambria Math" w:hAnsi="Cambria Math" w:cs="Arial"/>
                  <w:szCs w:val="24"/>
                </w:rPr>
                <m:t>i=1</m:t>
              </m:r>
            </m:sub>
            <m:sup>
              <m:r>
                <w:rPr>
                  <w:rFonts w:ascii="Cambria Math" w:hAnsi="Cambria Math" w:cs="Arial"/>
                  <w:szCs w:val="24"/>
                </w:rPr>
                <m:t>NAj,m</m:t>
              </m:r>
            </m:sup>
            <m:e>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Ma</m:t>
                  </m:r>
                </m:e>
                <m:sub>
                  <m:r>
                    <w:rPr>
                      <w:rFonts w:ascii="Cambria Math" w:hAnsi="Cambria Math" w:cs="Arial"/>
                      <w:szCs w:val="24"/>
                    </w:rPr>
                    <m:t>i,j,m</m:t>
                  </m:r>
                </m:sub>
              </m:sSub>
            </m:e>
          </m:nary>
        </m:oMath>
      </m:oMathPara>
    </w:p>
    <w:p w14:paraId="166B066A" w14:textId="77777777" w:rsidR="00B317E5" w:rsidRPr="00B317E5" w:rsidRDefault="00B317E5" w:rsidP="00B317E5">
      <w:pPr>
        <w:pStyle w:val="Prrafodelista"/>
        <w:ind w:left="284"/>
        <w:rPr>
          <w:rFonts w:cs="Arial"/>
          <w:bCs/>
          <w:szCs w:val="24"/>
        </w:rPr>
      </w:pPr>
    </w:p>
    <w:p w14:paraId="22E1BB98" w14:textId="77777777" w:rsidR="00B317E5" w:rsidRPr="00B317E5" w:rsidRDefault="00B317E5" w:rsidP="00B317E5">
      <w:pPr>
        <w:pStyle w:val="Prrafodelista"/>
        <w:ind w:left="284"/>
        <w:rPr>
          <w:rFonts w:cs="Arial"/>
          <w:bCs/>
          <w:szCs w:val="24"/>
        </w:rPr>
      </w:pPr>
      <w:r w:rsidRPr="00B317E5">
        <w:rPr>
          <w:rFonts w:cs="Arial"/>
          <w:bCs/>
          <w:szCs w:val="24"/>
        </w:rPr>
        <w:t>Donde:</w:t>
      </w:r>
    </w:p>
    <w:p w14:paraId="48E67AB4" w14:textId="77777777" w:rsidR="00B317E5" w:rsidRPr="00B317E5" w:rsidRDefault="00B317E5" w:rsidP="00B317E5">
      <w:pPr>
        <w:pStyle w:val="Prrafodelista"/>
        <w:ind w:left="3402" w:hanging="2694"/>
        <w:rPr>
          <w:rFonts w:cs="Arial"/>
          <w:bCs/>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902"/>
      </w:tblGrid>
      <w:tr w:rsidR="00B317E5" w:rsidRPr="00B317E5" w14:paraId="4BF3DA8E" w14:textId="77777777" w:rsidTr="00422B35">
        <w:tc>
          <w:tcPr>
            <w:tcW w:w="1170" w:type="dxa"/>
            <w:hideMark/>
          </w:tcPr>
          <w:p w14:paraId="4CFE25FA" w14:textId="77777777" w:rsidR="00B317E5" w:rsidRPr="00B317E5" w:rsidRDefault="00B317E5" w:rsidP="00422B35">
            <w:pPr>
              <w:ind w:left="34"/>
              <w:rPr>
                <w:rFonts w:cs="Arial"/>
                <w:bCs/>
                <w:i/>
              </w:rPr>
            </w:pPr>
            <m:oMathPara>
              <m:oMathParaPr>
                <m:jc m:val="right"/>
              </m:oMathParaPr>
              <m:oMath>
                <m:r>
                  <w:rPr>
                    <w:rFonts w:ascii="Cambria Math" w:hAnsi="Cambria Math" w:cs="Arial"/>
                  </w:rPr>
                  <m:t>EM</m:t>
                </m:r>
                <m:sSub>
                  <m:sSubPr>
                    <m:ctrlPr>
                      <w:rPr>
                        <w:rFonts w:ascii="Cambria Math" w:hAnsi="Cambria Math" w:cs="Arial"/>
                        <w:bCs/>
                        <w:i/>
                      </w:rPr>
                    </m:ctrlPr>
                  </m:sSubPr>
                  <m:e>
                    <m:r>
                      <w:rPr>
                        <w:rFonts w:ascii="Cambria Math" w:hAnsi="Cambria Math" w:cs="Arial"/>
                      </w:rPr>
                      <m:t>A</m:t>
                    </m:r>
                  </m:e>
                  <m:sub>
                    <m:r>
                      <w:rPr>
                        <w:rFonts w:ascii="Cambria Math" w:hAnsi="Cambria Math" w:cs="Arial"/>
                      </w:rPr>
                      <m:t>j,m</m:t>
                    </m:r>
                  </m:sub>
                </m:sSub>
                <m:r>
                  <w:rPr>
                    <w:rFonts w:ascii="Cambria Math" w:hAnsi="Cambria Math" w:cs="Arial"/>
                  </w:rPr>
                  <m:t>:</m:t>
                </m:r>
              </m:oMath>
            </m:oMathPara>
          </w:p>
        </w:tc>
        <w:tc>
          <w:tcPr>
            <w:tcW w:w="7902" w:type="dxa"/>
            <w:hideMark/>
          </w:tcPr>
          <w:p w14:paraId="4D03D8D0" w14:textId="77777777" w:rsidR="00B317E5" w:rsidRPr="00B317E5" w:rsidRDefault="00B317E5" w:rsidP="00422B35">
            <w:pPr>
              <w:ind w:left="81"/>
              <w:rPr>
                <w:rFonts w:cs="Arial"/>
                <w:bCs/>
                <w:i/>
              </w:rPr>
            </w:pPr>
            <w:r w:rsidRPr="00B317E5">
              <w:rPr>
                <w:rFonts w:cs="Arial"/>
                <w:bCs/>
                <w:iCs/>
              </w:rPr>
              <w:t xml:space="preserve">Consumo mensual ahorrado agregado </w:t>
            </w:r>
            <w:bookmarkStart w:id="7" w:name="_Hlk164095658"/>
            <w:r w:rsidRPr="00B317E5">
              <w:rPr>
                <w:rFonts w:cs="Arial"/>
                <w:bCs/>
                <w:iCs/>
              </w:rPr>
              <w:t>(kWh)</w:t>
            </w:r>
            <w:bookmarkEnd w:id="7"/>
            <w:r w:rsidRPr="00B317E5">
              <w:rPr>
                <w:rFonts w:cs="Arial"/>
                <w:bCs/>
                <w:iCs/>
              </w:rPr>
              <w:t xml:space="preserve"> correspondiente a </w:t>
            </w:r>
            <w:r w:rsidRPr="00B317E5">
              <w:rPr>
                <w:rFonts w:cs="Arial"/>
                <w:bCs/>
              </w:rPr>
              <w:t xml:space="preserve">usuarios regulados que realizaron consumos inferiores a su meta individual de consumo, en el mercado de comercialización </w:t>
            </w:r>
            <w:r w:rsidRPr="00B317E5">
              <w:rPr>
                <w:rFonts w:cs="Arial"/>
                <w:bCs/>
                <w:i/>
                <w:iCs/>
              </w:rPr>
              <w:t>j</w:t>
            </w:r>
            <w:r w:rsidRPr="00B317E5">
              <w:rPr>
                <w:rFonts w:cs="Arial"/>
                <w:bCs/>
                <w:iCs/>
              </w:rPr>
              <w:t xml:space="preserve">, para el mes </w:t>
            </w:r>
            <w:r w:rsidRPr="00B317E5">
              <w:rPr>
                <w:rFonts w:cs="Arial"/>
                <w:bCs/>
                <w:i/>
              </w:rPr>
              <w:t>m.</w:t>
            </w:r>
          </w:p>
          <w:p w14:paraId="27A17A1B" w14:textId="77777777" w:rsidR="00B317E5" w:rsidRPr="00B317E5" w:rsidRDefault="00B317E5" w:rsidP="00422B35">
            <w:pPr>
              <w:ind w:left="81"/>
              <w:rPr>
                <w:rFonts w:cs="Arial"/>
                <w:bCs/>
                <w:i/>
              </w:rPr>
            </w:pPr>
          </w:p>
          <w:p w14:paraId="78D62FC7" w14:textId="77777777" w:rsidR="00B317E5" w:rsidRPr="00B317E5" w:rsidRDefault="00B317E5" w:rsidP="00422B35">
            <w:pPr>
              <w:ind w:left="81"/>
              <w:rPr>
                <w:rFonts w:cs="Arial"/>
                <w:bCs/>
                <w:i/>
              </w:rPr>
            </w:pPr>
          </w:p>
        </w:tc>
      </w:tr>
      <w:tr w:rsidR="00B317E5" w:rsidRPr="00B317E5" w14:paraId="42515E9C" w14:textId="77777777" w:rsidTr="00422B35">
        <w:tc>
          <w:tcPr>
            <w:tcW w:w="1170" w:type="dxa"/>
            <w:hideMark/>
          </w:tcPr>
          <w:p w14:paraId="65145DC3" w14:textId="77777777" w:rsidR="00B317E5" w:rsidRPr="00B317E5" w:rsidRDefault="00B317E5" w:rsidP="00422B35">
            <w:pPr>
              <w:ind w:left="34"/>
              <w:rPr>
                <w:rFonts w:cs="Arial"/>
                <w:bCs/>
                <w:i/>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Ma</m:t>
                    </m:r>
                  </m:e>
                  <m:sub>
                    <m:r>
                      <w:rPr>
                        <w:rFonts w:ascii="Cambria Math" w:hAnsi="Cambria Math" w:cs="Arial"/>
                      </w:rPr>
                      <m:t>i,j,m</m:t>
                    </m:r>
                  </m:sub>
                </m:sSub>
                <m:r>
                  <w:rPr>
                    <w:rFonts w:ascii="Cambria Math" w:hAnsi="Cambria Math" w:cs="Arial"/>
                  </w:rPr>
                  <m:t>:</m:t>
                </m:r>
              </m:oMath>
            </m:oMathPara>
          </w:p>
        </w:tc>
        <w:tc>
          <w:tcPr>
            <w:tcW w:w="7902" w:type="dxa"/>
            <w:hideMark/>
          </w:tcPr>
          <w:p w14:paraId="595DFC6C" w14:textId="77777777" w:rsidR="00B317E5" w:rsidRPr="00B317E5" w:rsidRDefault="00B317E5" w:rsidP="00422B35">
            <w:pPr>
              <w:ind w:left="81"/>
              <w:rPr>
                <w:rFonts w:cs="Arial"/>
                <w:bCs/>
                <w:iCs/>
              </w:rPr>
            </w:pPr>
            <w:r w:rsidRPr="00B317E5">
              <w:rPr>
                <w:rFonts w:cs="Arial"/>
                <w:bCs/>
                <w:iCs/>
              </w:rPr>
              <w:t xml:space="preserve">Consumo mensual ahorrado (kWh) por el usuario </w:t>
            </w:r>
            <w:r w:rsidRPr="00B317E5">
              <w:rPr>
                <w:rFonts w:cs="Arial"/>
                <w:bCs/>
                <w:i/>
              </w:rPr>
              <w:t>i</w:t>
            </w:r>
            <w:r w:rsidRPr="00B317E5">
              <w:rPr>
                <w:rFonts w:cs="Arial"/>
                <w:bCs/>
                <w:iCs/>
              </w:rPr>
              <w:t xml:space="preserve">, perteneciente al mercado de comercialización </w:t>
            </w:r>
            <w:r w:rsidRPr="00B317E5">
              <w:rPr>
                <w:rFonts w:cs="Arial"/>
                <w:bCs/>
                <w:i/>
              </w:rPr>
              <w:t>j</w:t>
            </w:r>
            <w:r w:rsidRPr="00B317E5">
              <w:rPr>
                <w:rFonts w:cs="Arial"/>
                <w:bCs/>
                <w:iCs/>
              </w:rPr>
              <w:t xml:space="preserve">, por </w:t>
            </w:r>
            <w:r w:rsidRPr="00B317E5">
              <w:rPr>
                <w:rFonts w:cs="Arial"/>
                <w:bCs/>
              </w:rPr>
              <w:t xml:space="preserve">consumos inferiores a su meta individual de consumo, para el mes </w:t>
            </w:r>
            <w:r w:rsidRPr="00B317E5">
              <w:rPr>
                <w:rFonts w:cs="Arial"/>
                <w:bCs/>
                <w:i/>
                <w:iCs/>
              </w:rPr>
              <w:t>m</w:t>
            </w:r>
            <w:r w:rsidRPr="00B317E5">
              <w:rPr>
                <w:rFonts w:cs="Arial"/>
                <w:bCs/>
                <w:iCs/>
              </w:rPr>
              <w:t>.</w:t>
            </w:r>
          </w:p>
          <w:p w14:paraId="05A99B5F" w14:textId="77777777" w:rsidR="00B317E5" w:rsidRPr="00B317E5" w:rsidRDefault="00B317E5" w:rsidP="00422B35">
            <w:pPr>
              <w:ind w:left="81"/>
              <w:rPr>
                <w:rFonts w:cs="Arial"/>
                <w:bCs/>
                <w:iCs/>
              </w:rPr>
            </w:pPr>
          </w:p>
          <w:p w14:paraId="56BA40B6" w14:textId="77777777" w:rsidR="00B317E5" w:rsidRPr="00B317E5" w:rsidRDefault="00B317E5" w:rsidP="00422B35">
            <w:pPr>
              <w:ind w:left="81"/>
              <w:rPr>
                <w:rFonts w:cs="Arial"/>
                <w:bCs/>
                <w:i/>
              </w:rPr>
            </w:pPr>
          </w:p>
        </w:tc>
      </w:tr>
      <w:tr w:rsidR="00B317E5" w:rsidRPr="00B317E5" w14:paraId="0C4CDFBD" w14:textId="77777777" w:rsidTr="00422B35">
        <w:tc>
          <w:tcPr>
            <w:tcW w:w="1170" w:type="dxa"/>
          </w:tcPr>
          <w:p w14:paraId="46A74E01" w14:textId="77777777" w:rsidR="00B317E5" w:rsidRPr="00B317E5" w:rsidRDefault="00B317E5" w:rsidP="00422B35">
            <w:pPr>
              <w:ind w:left="34"/>
              <w:jc w:val="right"/>
              <w:rPr>
                <w:rFonts w:cs="Arial"/>
              </w:rPr>
            </w:pPr>
            <m:oMathPara>
              <m:oMathParaPr>
                <m:jc m:val="right"/>
              </m:oMathParaPr>
              <m:oMath>
                <m:r>
                  <w:rPr>
                    <w:rFonts w:ascii="Cambria Math" w:hAnsi="Cambria Math" w:cs="Arial"/>
                  </w:rPr>
                  <w:lastRenderedPageBreak/>
                  <m:t>NAj,m:</m:t>
                </m:r>
              </m:oMath>
            </m:oMathPara>
          </w:p>
        </w:tc>
        <w:tc>
          <w:tcPr>
            <w:tcW w:w="7902" w:type="dxa"/>
          </w:tcPr>
          <w:p w14:paraId="1B685335" w14:textId="77777777" w:rsidR="00B317E5" w:rsidRPr="00B317E5" w:rsidRDefault="00B317E5" w:rsidP="00422B35">
            <w:pPr>
              <w:ind w:left="81"/>
              <w:rPr>
                <w:rFonts w:cs="Arial"/>
                <w:bCs/>
                <w:iCs/>
              </w:rPr>
            </w:pPr>
            <w:r w:rsidRPr="00B317E5">
              <w:rPr>
                <w:rFonts w:cs="Arial"/>
                <w:bCs/>
                <w:iCs/>
              </w:rPr>
              <w:t xml:space="preserve">Número de usuarios pertenecientes al mercado </w:t>
            </w:r>
            <w:r w:rsidRPr="00B317E5">
              <w:rPr>
                <w:rFonts w:cs="Arial"/>
                <w:bCs/>
                <w:i/>
              </w:rPr>
              <w:t>j</w:t>
            </w:r>
            <w:r w:rsidRPr="00B317E5">
              <w:rPr>
                <w:rFonts w:cs="Arial"/>
                <w:bCs/>
                <w:iCs/>
              </w:rPr>
              <w:t xml:space="preserve"> a que presentaron </w:t>
            </w:r>
            <w:r w:rsidRPr="00B317E5">
              <w:rPr>
                <w:rFonts w:cs="Arial"/>
                <w:bCs/>
              </w:rPr>
              <w:t xml:space="preserve">consumos inferiores a su meta individual de consumo, para el mes </w:t>
            </w:r>
            <w:r w:rsidRPr="00B317E5">
              <w:rPr>
                <w:rFonts w:cs="Arial"/>
                <w:bCs/>
                <w:i/>
                <w:iCs/>
              </w:rPr>
              <w:t>m</w:t>
            </w:r>
            <w:r w:rsidRPr="00B317E5">
              <w:rPr>
                <w:rFonts w:cs="Arial"/>
                <w:bCs/>
                <w:iCs/>
              </w:rPr>
              <w:t>.</w:t>
            </w:r>
          </w:p>
        </w:tc>
      </w:tr>
    </w:tbl>
    <w:p w14:paraId="7C301412" w14:textId="77777777" w:rsidR="00B317E5" w:rsidRPr="00B317E5" w:rsidRDefault="00B317E5" w:rsidP="00B317E5">
      <w:pPr>
        <w:pStyle w:val="Prrafodelista"/>
        <w:ind w:left="3402" w:hanging="2694"/>
        <w:rPr>
          <w:rFonts w:cs="Arial"/>
          <w:bCs/>
          <w:szCs w:val="24"/>
        </w:rPr>
      </w:pPr>
    </w:p>
    <w:p w14:paraId="5B7F0281" w14:textId="77777777" w:rsidR="00B317E5" w:rsidRPr="00B317E5" w:rsidRDefault="00B317E5" w:rsidP="00B317E5">
      <w:pPr>
        <w:pStyle w:val="Prrafodelista"/>
        <w:numPr>
          <w:ilvl w:val="0"/>
          <w:numId w:val="17"/>
        </w:numPr>
        <w:ind w:left="284" w:hanging="284"/>
        <w:rPr>
          <w:rFonts w:cs="Arial"/>
          <w:bCs/>
          <w:szCs w:val="24"/>
        </w:rPr>
      </w:pPr>
      <w:r w:rsidRPr="00B317E5">
        <w:rPr>
          <w:rFonts w:cs="Arial"/>
          <w:bCs/>
          <w:szCs w:val="24"/>
        </w:rPr>
        <w:t>Estimar el consumo total ahorrado (kWh) correspondiente a los usuarios regulados que realizaron consumos inferiores a su meta individual de consumo, por mercado de comercialización, durante la ejecución del programa de incentivos al uso eficiente de energía.</w:t>
      </w:r>
    </w:p>
    <w:p w14:paraId="328FF464" w14:textId="77777777" w:rsidR="00B317E5" w:rsidRPr="00B317E5" w:rsidRDefault="00B317E5" w:rsidP="00B317E5">
      <w:pPr>
        <w:pStyle w:val="Prrafodelista"/>
        <w:ind w:left="3402" w:hanging="2694"/>
        <w:rPr>
          <w:rFonts w:cs="Arial"/>
          <w:bCs/>
          <w:szCs w:val="24"/>
        </w:rPr>
      </w:pPr>
    </w:p>
    <w:p w14:paraId="579F7EE3" w14:textId="77777777" w:rsidR="00B317E5" w:rsidRPr="00B317E5" w:rsidRDefault="00B317E5" w:rsidP="00B317E5">
      <w:pPr>
        <w:pStyle w:val="Prrafodelista"/>
        <w:ind w:left="720"/>
        <w:rPr>
          <w:rFonts w:cs="Arial"/>
          <w:bCs/>
          <w:szCs w:val="24"/>
        </w:rPr>
      </w:pPr>
      <m:oMathPara>
        <m:oMath>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t>
              </m:r>
            </m:sub>
          </m:sSub>
          <m:r>
            <w:rPr>
              <w:rFonts w:ascii="Cambria Math" w:hAnsi="Cambria Math" w:cs="Arial"/>
              <w:szCs w:val="24"/>
            </w:rPr>
            <m:t xml:space="preserve">= </m:t>
          </m:r>
          <m:nary>
            <m:naryPr>
              <m:chr m:val="∑"/>
              <m:limLoc m:val="undOvr"/>
              <m:ctrlPr>
                <w:rPr>
                  <w:rFonts w:ascii="Cambria Math" w:hAnsi="Cambria Math" w:cs="Arial"/>
                  <w:bCs/>
                  <w:i/>
                  <w:szCs w:val="24"/>
                </w:rPr>
              </m:ctrlPr>
            </m:naryPr>
            <m:sub>
              <m:r>
                <w:rPr>
                  <w:rFonts w:ascii="Cambria Math" w:hAnsi="Cambria Math" w:cs="Arial"/>
                  <w:szCs w:val="24"/>
                </w:rPr>
                <m:t>m=1</m:t>
              </m:r>
            </m:sub>
            <m:sup>
              <m:r>
                <w:rPr>
                  <w:rFonts w:ascii="Cambria Math" w:hAnsi="Cambria Math" w:cs="Arial"/>
                  <w:szCs w:val="24"/>
                </w:rPr>
                <m:t>M</m:t>
              </m:r>
            </m:sup>
            <m:e>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MA</m:t>
                  </m:r>
                </m:e>
                <m:sub>
                  <m:r>
                    <w:rPr>
                      <w:rFonts w:ascii="Cambria Math" w:hAnsi="Cambria Math" w:cs="Arial"/>
                      <w:szCs w:val="24"/>
                    </w:rPr>
                    <m:t>j,m</m:t>
                  </m:r>
                </m:sub>
              </m:sSub>
            </m:e>
          </m:nary>
        </m:oMath>
      </m:oMathPara>
    </w:p>
    <w:p w14:paraId="1CD3AD26" w14:textId="77777777" w:rsidR="00B317E5" w:rsidRPr="00B317E5" w:rsidRDefault="00B317E5" w:rsidP="00B317E5">
      <w:pPr>
        <w:pStyle w:val="Prrafodelista"/>
        <w:ind w:left="3402" w:hanging="2694"/>
        <w:rPr>
          <w:rFonts w:cs="Arial"/>
          <w:bCs/>
          <w:szCs w:val="24"/>
        </w:rPr>
      </w:pPr>
    </w:p>
    <w:p w14:paraId="7FA646BE" w14:textId="77777777" w:rsidR="00B317E5" w:rsidRPr="00B317E5" w:rsidRDefault="00B317E5" w:rsidP="00B317E5">
      <w:pPr>
        <w:pStyle w:val="Prrafodelista"/>
        <w:ind w:left="284"/>
        <w:rPr>
          <w:rFonts w:cs="Arial"/>
          <w:bCs/>
          <w:szCs w:val="24"/>
        </w:rPr>
      </w:pPr>
      <w:r w:rsidRPr="00B317E5">
        <w:rPr>
          <w:rFonts w:cs="Arial"/>
          <w:bCs/>
          <w:szCs w:val="24"/>
        </w:rPr>
        <w:t>Donde:</w:t>
      </w:r>
    </w:p>
    <w:p w14:paraId="28F4F337" w14:textId="77777777" w:rsidR="00B317E5" w:rsidRPr="00B317E5" w:rsidRDefault="00B317E5" w:rsidP="00B317E5">
      <w:pPr>
        <w:pStyle w:val="Prrafodelista"/>
        <w:ind w:left="3402" w:hanging="2694"/>
        <w:rPr>
          <w:rFonts w:cs="Arial"/>
          <w:bCs/>
          <w:szCs w:val="24"/>
        </w:rPr>
      </w:pPr>
    </w:p>
    <w:tbl>
      <w:tblPr>
        <w:tblStyle w:val="Tablaconcuadrcula"/>
        <w:tblW w:w="88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7831"/>
      </w:tblGrid>
      <w:tr w:rsidR="00B317E5" w:rsidRPr="00B317E5" w14:paraId="4BDB4619" w14:textId="77777777" w:rsidTr="00422B35">
        <w:tc>
          <w:tcPr>
            <w:tcW w:w="992" w:type="dxa"/>
            <w:hideMark/>
          </w:tcPr>
          <w:p w14:paraId="58235920" w14:textId="77777777" w:rsidR="00B317E5" w:rsidRPr="00B317E5" w:rsidRDefault="00B317E5" w:rsidP="00422B35">
            <w:pPr>
              <w:ind w:left="34"/>
              <w:rPr>
                <w:rFonts w:cs="Arial"/>
                <w:bCs/>
                <w:i/>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r>
                  <w:rPr>
                    <w:rFonts w:ascii="Cambria Math" w:hAnsi="Cambria Math" w:cs="Arial"/>
                  </w:rPr>
                  <m:t>:</m:t>
                </m:r>
              </m:oMath>
            </m:oMathPara>
          </w:p>
        </w:tc>
        <w:tc>
          <w:tcPr>
            <w:tcW w:w="7902" w:type="dxa"/>
            <w:hideMark/>
          </w:tcPr>
          <w:p w14:paraId="5F1EF9CA" w14:textId="77777777" w:rsidR="00B317E5" w:rsidRPr="00B317E5" w:rsidRDefault="00B317E5" w:rsidP="00422B35">
            <w:pPr>
              <w:ind w:left="81"/>
              <w:rPr>
                <w:rFonts w:cs="Arial"/>
                <w:bCs/>
                <w:iCs/>
              </w:rPr>
            </w:pPr>
            <w:r w:rsidRPr="00B317E5">
              <w:rPr>
                <w:rFonts w:cs="Arial"/>
                <w:bCs/>
                <w:iCs/>
              </w:rPr>
              <w:t xml:space="preserve">Consumo total ahorrado (kWh) por </w:t>
            </w:r>
            <w:r w:rsidRPr="00B317E5">
              <w:rPr>
                <w:rFonts w:cs="Arial"/>
                <w:bCs/>
              </w:rPr>
              <w:t xml:space="preserve">usuarios regulados que, </w:t>
            </w:r>
            <w:r w:rsidRPr="00B317E5">
              <w:rPr>
                <w:rFonts w:cs="Arial"/>
                <w:bCs/>
                <w:iCs/>
              </w:rPr>
              <w:t xml:space="preserve">durante la </w:t>
            </w:r>
            <w:r w:rsidRPr="00B317E5">
              <w:rPr>
                <w:rFonts w:cs="Arial"/>
                <w:bCs/>
              </w:rPr>
              <w:t xml:space="preserve">ejecución del programa de incentivos al uso eficiente de energía, realizaron consumos inferiores a su meta individual de consumo, en el mercado de comercialización </w:t>
            </w:r>
            <w:r w:rsidRPr="00B317E5">
              <w:rPr>
                <w:rFonts w:cs="Arial"/>
                <w:bCs/>
                <w:i/>
                <w:iCs/>
              </w:rPr>
              <w:t>j</w:t>
            </w:r>
            <w:r w:rsidRPr="00B317E5">
              <w:rPr>
                <w:rFonts w:cs="Arial"/>
                <w:bCs/>
                <w:iCs/>
              </w:rPr>
              <w:t>.</w:t>
            </w:r>
          </w:p>
          <w:p w14:paraId="42619A11" w14:textId="77777777" w:rsidR="00B317E5" w:rsidRPr="00B317E5" w:rsidRDefault="00B317E5" w:rsidP="00422B35">
            <w:pPr>
              <w:ind w:left="81"/>
              <w:rPr>
                <w:rFonts w:cs="Arial"/>
                <w:bCs/>
                <w:iCs/>
              </w:rPr>
            </w:pPr>
          </w:p>
          <w:p w14:paraId="3560564B" w14:textId="77777777" w:rsidR="00B317E5" w:rsidRPr="00B317E5" w:rsidRDefault="00B317E5" w:rsidP="00422B35">
            <w:pPr>
              <w:ind w:left="81"/>
              <w:rPr>
                <w:rFonts w:cs="Arial"/>
                <w:bCs/>
                <w:i/>
              </w:rPr>
            </w:pPr>
          </w:p>
        </w:tc>
      </w:tr>
      <w:tr w:rsidR="00B317E5" w:rsidRPr="00B317E5" w14:paraId="04F59D16" w14:textId="77777777" w:rsidTr="00422B35">
        <w:tc>
          <w:tcPr>
            <w:tcW w:w="992" w:type="dxa"/>
            <w:hideMark/>
          </w:tcPr>
          <w:p w14:paraId="361D1888" w14:textId="77777777" w:rsidR="00B317E5" w:rsidRPr="00B317E5" w:rsidRDefault="00B317E5" w:rsidP="00422B35">
            <w:pPr>
              <w:ind w:left="34"/>
              <w:rPr>
                <w:rFonts w:cs="Arial"/>
                <w:bCs/>
                <w:i/>
              </w:rPr>
            </w:pPr>
            <m:oMathPara>
              <m:oMathParaPr>
                <m:jc m:val="right"/>
              </m:oMathParaPr>
              <m:oMath>
                <m:r>
                  <w:rPr>
                    <w:rFonts w:ascii="Cambria Math" w:hAnsi="Cambria Math" w:cs="Arial"/>
                  </w:rPr>
                  <m:t>EM</m:t>
                </m:r>
                <m:sSub>
                  <m:sSubPr>
                    <m:ctrlPr>
                      <w:rPr>
                        <w:rFonts w:ascii="Cambria Math" w:hAnsi="Cambria Math" w:cs="Arial"/>
                        <w:bCs/>
                        <w:i/>
                      </w:rPr>
                    </m:ctrlPr>
                  </m:sSubPr>
                  <m:e>
                    <m:r>
                      <w:rPr>
                        <w:rFonts w:ascii="Cambria Math" w:hAnsi="Cambria Math" w:cs="Arial"/>
                      </w:rPr>
                      <m:t>A</m:t>
                    </m:r>
                  </m:e>
                  <m:sub>
                    <m:r>
                      <w:rPr>
                        <w:rFonts w:ascii="Cambria Math" w:hAnsi="Cambria Math" w:cs="Arial"/>
                      </w:rPr>
                      <m:t>j,m</m:t>
                    </m:r>
                  </m:sub>
                </m:sSub>
                <m:r>
                  <w:rPr>
                    <w:rFonts w:ascii="Cambria Math" w:hAnsi="Cambria Math" w:cs="Arial"/>
                  </w:rPr>
                  <m:t>:</m:t>
                </m:r>
              </m:oMath>
            </m:oMathPara>
          </w:p>
        </w:tc>
        <w:tc>
          <w:tcPr>
            <w:tcW w:w="7902" w:type="dxa"/>
            <w:hideMark/>
          </w:tcPr>
          <w:p w14:paraId="1542DF04" w14:textId="77777777" w:rsidR="00B317E5" w:rsidRPr="00B317E5" w:rsidRDefault="00B317E5" w:rsidP="00422B35">
            <w:pPr>
              <w:ind w:left="81"/>
              <w:rPr>
                <w:rFonts w:cs="Arial"/>
                <w:bCs/>
                <w:i/>
              </w:rPr>
            </w:pPr>
            <w:r w:rsidRPr="00B317E5">
              <w:rPr>
                <w:rFonts w:cs="Arial"/>
                <w:bCs/>
                <w:iCs/>
              </w:rPr>
              <w:t xml:space="preserve">Consumo mensual ahorrado agregado (kWh) correspondiente a </w:t>
            </w:r>
            <w:r w:rsidRPr="00B317E5">
              <w:rPr>
                <w:rFonts w:cs="Arial"/>
                <w:bCs/>
              </w:rPr>
              <w:t xml:space="preserve">usuarios regulados que realizaron consumos inferiores a su meta individual de consumo, en el mercado de comercialización </w:t>
            </w:r>
            <w:r w:rsidRPr="00B317E5">
              <w:rPr>
                <w:rFonts w:cs="Arial"/>
                <w:bCs/>
                <w:i/>
                <w:iCs/>
              </w:rPr>
              <w:t>j</w:t>
            </w:r>
            <w:r w:rsidRPr="00B317E5">
              <w:rPr>
                <w:rFonts w:cs="Arial"/>
                <w:bCs/>
                <w:iCs/>
              </w:rPr>
              <w:t xml:space="preserve">, para el mes </w:t>
            </w:r>
            <w:r w:rsidRPr="00B317E5">
              <w:rPr>
                <w:rFonts w:cs="Arial"/>
                <w:bCs/>
                <w:i/>
              </w:rPr>
              <w:t>m.</w:t>
            </w:r>
          </w:p>
          <w:p w14:paraId="41726C7A" w14:textId="77777777" w:rsidR="00B317E5" w:rsidRPr="00B317E5" w:rsidRDefault="00B317E5" w:rsidP="00422B35">
            <w:pPr>
              <w:ind w:left="81"/>
              <w:rPr>
                <w:rFonts w:cs="Arial"/>
                <w:bCs/>
                <w:iCs/>
              </w:rPr>
            </w:pPr>
          </w:p>
          <w:p w14:paraId="5DB85DDC" w14:textId="77777777" w:rsidR="00B317E5" w:rsidRPr="00B317E5" w:rsidRDefault="00B317E5" w:rsidP="00422B35">
            <w:pPr>
              <w:ind w:left="81"/>
              <w:rPr>
                <w:rFonts w:cs="Arial"/>
                <w:bCs/>
                <w:i/>
              </w:rPr>
            </w:pPr>
          </w:p>
        </w:tc>
      </w:tr>
      <w:tr w:rsidR="00B317E5" w:rsidRPr="00B317E5" w14:paraId="68D84FB1" w14:textId="77777777" w:rsidTr="00422B35">
        <w:tc>
          <w:tcPr>
            <w:tcW w:w="992" w:type="dxa"/>
          </w:tcPr>
          <w:p w14:paraId="5D981880" w14:textId="77777777" w:rsidR="00B317E5" w:rsidRPr="00B317E5" w:rsidRDefault="00B317E5" w:rsidP="00422B35">
            <w:pPr>
              <w:ind w:left="34"/>
              <w:jc w:val="right"/>
              <w:rPr>
                <w:rFonts w:cs="Arial"/>
              </w:rPr>
            </w:pPr>
            <m:oMathPara>
              <m:oMathParaPr>
                <m:jc m:val="right"/>
              </m:oMathParaPr>
              <m:oMath>
                <m:r>
                  <w:rPr>
                    <w:rFonts w:ascii="Cambria Math" w:hAnsi="Cambria Math" w:cs="Arial"/>
                  </w:rPr>
                  <m:t>M:</m:t>
                </m:r>
              </m:oMath>
            </m:oMathPara>
          </w:p>
        </w:tc>
        <w:tc>
          <w:tcPr>
            <w:tcW w:w="7902" w:type="dxa"/>
          </w:tcPr>
          <w:p w14:paraId="2EF0D997" w14:textId="77777777" w:rsidR="00B317E5" w:rsidRPr="00B317E5" w:rsidRDefault="00B317E5" w:rsidP="00422B35">
            <w:pPr>
              <w:ind w:left="81"/>
              <w:rPr>
                <w:rFonts w:cs="Arial"/>
                <w:bCs/>
                <w:iCs/>
              </w:rPr>
            </w:pPr>
            <w:r w:rsidRPr="00B317E5">
              <w:rPr>
                <w:rFonts w:cs="Arial"/>
                <w:bCs/>
                <w:iCs/>
              </w:rPr>
              <w:t>Número de meses que duró la ejecución del programa de incentivos al uso eficiente de energía.</w:t>
            </w:r>
          </w:p>
        </w:tc>
      </w:tr>
    </w:tbl>
    <w:p w14:paraId="4D763156" w14:textId="77777777" w:rsidR="00B317E5" w:rsidRPr="00B317E5" w:rsidRDefault="00B317E5" w:rsidP="00B317E5">
      <w:pPr>
        <w:pStyle w:val="Prrafodelista"/>
        <w:ind w:left="720"/>
        <w:rPr>
          <w:rFonts w:cs="Arial"/>
          <w:bCs/>
          <w:szCs w:val="24"/>
        </w:rPr>
      </w:pPr>
    </w:p>
    <w:p w14:paraId="4A4F89A2" w14:textId="77777777" w:rsidR="00B317E5" w:rsidRPr="00B317E5" w:rsidRDefault="00B317E5" w:rsidP="00B317E5">
      <w:pPr>
        <w:pStyle w:val="Prrafodelista"/>
        <w:numPr>
          <w:ilvl w:val="0"/>
          <w:numId w:val="17"/>
        </w:numPr>
        <w:ind w:left="284" w:hanging="284"/>
        <w:rPr>
          <w:rFonts w:cs="Arial"/>
          <w:bCs/>
          <w:szCs w:val="24"/>
        </w:rPr>
      </w:pPr>
      <w:r w:rsidRPr="00B317E5">
        <w:rPr>
          <w:rFonts w:cs="Arial"/>
          <w:bCs/>
          <w:szCs w:val="24"/>
        </w:rPr>
        <w:t>Estimar la proporción de consumo ahorrado por cada usuario durante la ejecución del programa de incentivos al uso eficiente de energía, por mercado de comercialización, respecto del consumo agregado estimado en el paso 4.</w:t>
      </w:r>
    </w:p>
    <w:p w14:paraId="685FDA13" w14:textId="77777777" w:rsidR="00B317E5" w:rsidRPr="00B317E5" w:rsidRDefault="00B317E5" w:rsidP="00B317E5">
      <w:pPr>
        <w:pStyle w:val="Prrafodelista"/>
        <w:ind w:left="720"/>
        <w:rPr>
          <w:rFonts w:cs="Arial"/>
          <w:bCs/>
          <w:szCs w:val="24"/>
        </w:rPr>
      </w:pPr>
    </w:p>
    <w:p w14:paraId="403DFD05" w14:textId="77777777" w:rsidR="00B317E5" w:rsidRPr="00B317E5" w:rsidRDefault="0086615C" w:rsidP="00B317E5">
      <w:pPr>
        <w:pStyle w:val="Prrafodelista"/>
        <w:ind w:left="720"/>
        <w:rPr>
          <w:rFonts w:cs="Arial"/>
          <w:bCs/>
          <w:szCs w:val="24"/>
        </w:rPr>
      </w:pPr>
      <m:oMathPara>
        <m:oMath>
          <m:sSub>
            <m:sSubPr>
              <m:ctrlPr>
                <w:rPr>
                  <w:rFonts w:ascii="Cambria Math" w:hAnsi="Cambria Math" w:cs="Arial"/>
                  <w:bCs/>
                  <w:i/>
                  <w:szCs w:val="24"/>
                </w:rPr>
              </m:ctrlPr>
            </m:sSubPr>
            <m:e>
              <m:r>
                <w:rPr>
                  <w:rFonts w:ascii="Cambria Math" w:hAnsi="Cambria Math" w:cs="Arial"/>
                  <w:szCs w:val="24"/>
                </w:rPr>
                <m:t>%Ahorro</m:t>
              </m:r>
            </m:e>
            <m:sub>
              <m:r>
                <w:rPr>
                  <w:rFonts w:ascii="Cambria Math" w:hAnsi="Cambria Math" w:cs="Arial"/>
                  <w:szCs w:val="24"/>
                </w:rPr>
                <m:t>i,j</m:t>
              </m:r>
            </m:sub>
          </m:sSub>
          <m:r>
            <w:rPr>
              <w:rFonts w:ascii="Cambria Math" w:hAnsi="Cambria Math" w:cs="Arial"/>
              <w:szCs w:val="24"/>
            </w:rPr>
            <m:t xml:space="preserve">= </m:t>
          </m:r>
          <m:f>
            <m:fPr>
              <m:ctrlPr>
                <w:rPr>
                  <w:rFonts w:ascii="Cambria Math" w:hAnsi="Cambria Math" w:cs="Arial"/>
                  <w:bCs/>
                  <w:i/>
                  <w:szCs w:val="24"/>
                </w:rPr>
              </m:ctrlPr>
            </m:fPr>
            <m:num>
              <m:nary>
                <m:naryPr>
                  <m:chr m:val="∑"/>
                  <m:limLoc m:val="undOvr"/>
                  <m:ctrlPr>
                    <w:rPr>
                      <w:rFonts w:ascii="Cambria Math" w:hAnsi="Cambria Math" w:cs="Arial"/>
                      <w:bCs/>
                      <w:i/>
                      <w:szCs w:val="24"/>
                    </w:rPr>
                  </m:ctrlPr>
                </m:naryPr>
                <m:sub>
                  <m:r>
                    <w:rPr>
                      <w:rFonts w:ascii="Cambria Math" w:hAnsi="Cambria Math" w:cs="Arial"/>
                      <w:szCs w:val="24"/>
                    </w:rPr>
                    <m:t>m=1</m:t>
                  </m:r>
                </m:sub>
                <m:sup>
                  <m:r>
                    <w:rPr>
                      <w:rFonts w:ascii="Cambria Math" w:hAnsi="Cambria Math" w:cs="Arial"/>
                      <w:szCs w:val="24"/>
                    </w:rPr>
                    <m:t>M</m:t>
                  </m:r>
                </m:sup>
                <m:e>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Ma</m:t>
                      </m:r>
                    </m:e>
                    <m:sub>
                      <m:r>
                        <w:rPr>
                          <w:rFonts w:ascii="Cambria Math" w:hAnsi="Cambria Math" w:cs="Arial"/>
                          <w:szCs w:val="24"/>
                        </w:rPr>
                        <m:t>i,j,m</m:t>
                      </m:r>
                    </m:sub>
                  </m:sSub>
                </m:e>
              </m:nary>
            </m:num>
            <m:den>
              <m:r>
                <w:rPr>
                  <w:rFonts w:ascii="Cambria Math" w:hAnsi="Cambria Math" w:cs="Arial"/>
                  <w:szCs w:val="24"/>
                </w:rPr>
                <m:t>E</m:t>
              </m:r>
              <m:sSub>
                <m:sSubPr>
                  <m:ctrlPr>
                    <w:rPr>
                      <w:rFonts w:ascii="Cambria Math" w:hAnsi="Cambria Math" w:cs="Arial"/>
                      <w:bCs/>
                      <w:i/>
                      <w:szCs w:val="24"/>
                    </w:rPr>
                  </m:ctrlPr>
                </m:sSubPr>
                <m:e>
                  <m:r>
                    <w:rPr>
                      <w:rFonts w:ascii="Cambria Math" w:hAnsi="Cambria Math" w:cs="Arial"/>
                      <w:szCs w:val="24"/>
                    </w:rPr>
                    <m:t>A</m:t>
                  </m:r>
                </m:e>
                <m:sub>
                  <m:r>
                    <w:rPr>
                      <w:rFonts w:ascii="Cambria Math" w:hAnsi="Cambria Math" w:cs="Arial"/>
                      <w:szCs w:val="24"/>
                    </w:rPr>
                    <m:t>J</m:t>
                  </m:r>
                </m:sub>
              </m:sSub>
            </m:den>
          </m:f>
          <m:r>
            <w:rPr>
              <w:rFonts w:ascii="Cambria Math" w:hAnsi="Cambria Math" w:cs="Arial"/>
              <w:szCs w:val="24"/>
            </w:rPr>
            <m:t>*100</m:t>
          </m:r>
        </m:oMath>
      </m:oMathPara>
    </w:p>
    <w:p w14:paraId="252074CC" w14:textId="77777777" w:rsidR="00B317E5" w:rsidRPr="00B317E5" w:rsidRDefault="00B317E5" w:rsidP="00B317E5">
      <w:pPr>
        <w:ind w:left="284"/>
        <w:rPr>
          <w:rFonts w:cs="Arial"/>
          <w:bCs/>
        </w:rPr>
      </w:pPr>
    </w:p>
    <w:p w14:paraId="692D70A0" w14:textId="77777777" w:rsidR="00B317E5" w:rsidRPr="00B317E5" w:rsidRDefault="00B317E5" w:rsidP="00B317E5">
      <w:pPr>
        <w:ind w:left="284"/>
        <w:rPr>
          <w:rFonts w:cs="Arial"/>
          <w:bCs/>
        </w:rPr>
      </w:pPr>
      <w:r w:rsidRPr="00B317E5">
        <w:rPr>
          <w:rFonts w:cs="Arial"/>
          <w:bCs/>
        </w:rPr>
        <w:t>Donde:</w:t>
      </w:r>
    </w:p>
    <w:p w14:paraId="0F46A503" w14:textId="77777777" w:rsidR="00B317E5" w:rsidRPr="00B317E5" w:rsidRDefault="00B317E5" w:rsidP="00B317E5">
      <w:pPr>
        <w:ind w:left="284"/>
        <w:rPr>
          <w:rFonts w:cs="Arial"/>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7621"/>
      </w:tblGrid>
      <w:tr w:rsidR="00B317E5" w:rsidRPr="00B317E5" w14:paraId="05716E15" w14:textId="77777777" w:rsidTr="00422B35">
        <w:tc>
          <w:tcPr>
            <w:tcW w:w="1451" w:type="dxa"/>
          </w:tcPr>
          <w:p w14:paraId="2435135F" w14:textId="77777777" w:rsidR="00B317E5" w:rsidRPr="00B317E5" w:rsidRDefault="0086615C" w:rsidP="00422B35">
            <w:pPr>
              <w:ind w:left="34"/>
              <w:rPr>
                <w:rFonts w:cs="Arial"/>
                <w:bCs/>
                <w:i/>
              </w:rPr>
            </w:pPr>
            <m:oMathPara>
              <m:oMathParaPr>
                <m:jc m:val="right"/>
              </m:oMathParaPr>
              <m:oMath>
                <m:sSub>
                  <m:sSubPr>
                    <m:ctrlPr>
                      <w:rPr>
                        <w:rFonts w:ascii="Cambria Math" w:hAnsi="Cambria Math" w:cs="Arial"/>
                        <w:bCs/>
                        <w:i/>
                      </w:rPr>
                    </m:ctrlPr>
                  </m:sSubPr>
                  <m:e>
                    <m:r>
                      <w:rPr>
                        <w:rFonts w:ascii="Cambria Math" w:hAnsi="Cambria Math" w:cs="Arial"/>
                      </w:rPr>
                      <m:t>%Ahorro</m:t>
                    </m:r>
                  </m:e>
                  <m:sub>
                    <m:r>
                      <w:rPr>
                        <w:rFonts w:ascii="Cambria Math" w:hAnsi="Cambria Math" w:cs="Arial"/>
                      </w:rPr>
                      <m:t>i,j</m:t>
                    </m:r>
                  </m:sub>
                </m:sSub>
                <m:r>
                  <w:rPr>
                    <w:rFonts w:ascii="Cambria Math" w:hAnsi="Cambria Math" w:cs="Arial"/>
                  </w:rPr>
                  <m:t>:</m:t>
                </m:r>
              </m:oMath>
            </m:oMathPara>
          </w:p>
        </w:tc>
        <w:tc>
          <w:tcPr>
            <w:tcW w:w="7621" w:type="dxa"/>
          </w:tcPr>
          <w:p w14:paraId="2334EE98" w14:textId="77777777" w:rsidR="00B317E5" w:rsidRPr="00B317E5" w:rsidRDefault="00B317E5" w:rsidP="00422B35">
            <w:pPr>
              <w:ind w:left="81"/>
              <w:rPr>
                <w:rFonts w:cs="Arial"/>
                <w:bCs/>
              </w:rPr>
            </w:pPr>
            <w:r w:rsidRPr="00B317E5">
              <w:rPr>
                <w:rFonts w:cs="Arial"/>
                <w:bCs/>
              </w:rPr>
              <w:t xml:space="preserve">Proporción de consumo ahorrado por el usuario </w:t>
            </w:r>
            <w:r w:rsidRPr="00B317E5">
              <w:rPr>
                <w:rFonts w:cs="Arial"/>
                <w:bCs/>
                <w:i/>
                <w:iCs/>
              </w:rPr>
              <w:t>i</w:t>
            </w:r>
            <w:r w:rsidRPr="00B317E5">
              <w:rPr>
                <w:rFonts w:cs="Arial"/>
                <w:bCs/>
              </w:rPr>
              <w:t xml:space="preserve"> en relación con el consumo total ahorrado en el mercado de comercialización </w:t>
            </w:r>
            <w:r w:rsidRPr="00B317E5">
              <w:rPr>
                <w:rFonts w:cs="Arial"/>
                <w:bCs/>
                <w:i/>
                <w:iCs/>
              </w:rPr>
              <w:t>j</w:t>
            </w:r>
            <w:r w:rsidRPr="00B317E5">
              <w:rPr>
                <w:rFonts w:cs="Arial"/>
                <w:bCs/>
              </w:rPr>
              <w:t>, durante la ejecución del programa de incentivos al uso eficiente de energía.</w:t>
            </w:r>
          </w:p>
          <w:p w14:paraId="40B1F0D8" w14:textId="77777777" w:rsidR="00B317E5" w:rsidRPr="00B317E5" w:rsidRDefault="00B317E5" w:rsidP="00422B35">
            <w:pPr>
              <w:ind w:left="81"/>
              <w:rPr>
                <w:rFonts w:cs="Arial"/>
                <w:bCs/>
              </w:rPr>
            </w:pPr>
          </w:p>
        </w:tc>
      </w:tr>
      <w:tr w:rsidR="00B317E5" w:rsidRPr="00B317E5" w14:paraId="4AA8C759" w14:textId="77777777" w:rsidTr="00422B35">
        <w:tc>
          <w:tcPr>
            <w:tcW w:w="1451" w:type="dxa"/>
          </w:tcPr>
          <w:p w14:paraId="6B98C669" w14:textId="77777777" w:rsidR="00B317E5" w:rsidRPr="00B317E5" w:rsidRDefault="00B317E5" w:rsidP="00422B35">
            <w:pPr>
              <w:ind w:left="34"/>
              <w:rPr>
                <w:rFonts w:cs="Arial"/>
                <w:bCs/>
                <w:i/>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r>
                  <w:rPr>
                    <w:rFonts w:ascii="Cambria Math" w:hAnsi="Cambria Math" w:cs="Arial"/>
                  </w:rPr>
                  <m:t>:</m:t>
                </m:r>
              </m:oMath>
            </m:oMathPara>
          </w:p>
        </w:tc>
        <w:tc>
          <w:tcPr>
            <w:tcW w:w="7621" w:type="dxa"/>
          </w:tcPr>
          <w:p w14:paraId="5F009F7B" w14:textId="77777777" w:rsidR="00B317E5" w:rsidRPr="00B317E5" w:rsidRDefault="00B317E5" w:rsidP="00422B35">
            <w:pPr>
              <w:ind w:left="81"/>
              <w:rPr>
                <w:rFonts w:cs="Arial"/>
                <w:bCs/>
                <w:iCs/>
              </w:rPr>
            </w:pPr>
            <w:r w:rsidRPr="00B317E5">
              <w:rPr>
                <w:rFonts w:cs="Arial"/>
                <w:bCs/>
                <w:iCs/>
              </w:rPr>
              <w:t xml:space="preserve">Consumo total ahorrado (kWh) por </w:t>
            </w:r>
            <w:r w:rsidRPr="00B317E5">
              <w:rPr>
                <w:rFonts w:cs="Arial"/>
                <w:bCs/>
              </w:rPr>
              <w:t xml:space="preserve">usuarios regulados que, </w:t>
            </w:r>
            <w:r w:rsidRPr="00B317E5">
              <w:rPr>
                <w:rFonts w:cs="Arial"/>
                <w:bCs/>
                <w:iCs/>
              </w:rPr>
              <w:t xml:space="preserve">durante la </w:t>
            </w:r>
            <w:r w:rsidRPr="00B317E5">
              <w:rPr>
                <w:rFonts w:cs="Arial"/>
                <w:bCs/>
              </w:rPr>
              <w:t xml:space="preserve">ejecución del programa de incentivos al uso eficiente de energía, realizaron consumos inferiores a su meta individual de consumo, en el mercado de comercialización </w:t>
            </w:r>
            <w:r w:rsidRPr="00B317E5">
              <w:rPr>
                <w:rFonts w:cs="Arial"/>
                <w:bCs/>
                <w:i/>
                <w:iCs/>
              </w:rPr>
              <w:t>j</w:t>
            </w:r>
            <w:r w:rsidRPr="00B317E5">
              <w:rPr>
                <w:rFonts w:cs="Arial"/>
                <w:bCs/>
                <w:iCs/>
              </w:rPr>
              <w:t>.</w:t>
            </w:r>
          </w:p>
          <w:p w14:paraId="35F31CE8" w14:textId="77777777" w:rsidR="00B317E5" w:rsidRPr="00B317E5" w:rsidRDefault="00B317E5" w:rsidP="00422B35">
            <w:pPr>
              <w:ind w:left="81"/>
              <w:rPr>
                <w:rFonts w:cs="Arial"/>
                <w:bCs/>
                <w:i/>
              </w:rPr>
            </w:pPr>
          </w:p>
        </w:tc>
      </w:tr>
      <w:tr w:rsidR="00B317E5" w:rsidRPr="00B317E5" w14:paraId="4394AA5B" w14:textId="77777777" w:rsidTr="00422B35">
        <w:tc>
          <w:tcPr>
            <w:tcW w:w="1451" w:type="dxa"/>
          </w:tcPr>
          <w:p w14:paraId="47F47DB8" w14:textId="77777777" w:rsidR="00B317E5" w:rsidRPr="00B317E5" w:rsidRDefault="00B317E5" w:rsidP="00422B35">
            <w:pPr>
              <w:ind w:left="34"/>
              <w:jc w:val="right"/>
              <w:rPr>
                <w:rFonts w:cs="Arial"/>
              </w:rPr>
            </w:pPr>
            <m:oMathPara>
              <m:oMathParaPr>
                <m:jc m:val="right"/>
              </m:oMathParaPr>
              <m:oMath>
                <m:r>
                  <w:rPr>
                    <w:rFonts w:ascii="Cambria Math" w:hAnsi="Cambria Math" w:cs="Arial"/>
                  </w:rPr>
                  <w:lastRenderedPageBreak/>
                  <m:t>E</m:t>
                </m:r>
                <m:sSub>
                  <m:sSubPr>
                    <m:ctrlPr>
                      <w:rPr>
                        <w:rFonts w:ascii="Cambria Math" w:hAnsi="Cambria Math" w:cs="Arial"/>
                        <w:bCs/>
                        <w:i/>
                      </w:rPr>
                    </m:ctrlPr>
                  </m:sSubPr>
                  <m:e>
                    <m:r>
                      <w:rPr>
                        <w:rFonts w:ascii="Cambria Math" w:hAnsi="Cambria Math" w:cs="Arial"/>
                      </w:rPr>
                      <m:t>Ma</m:t>
                    </m:r>
                  </m:e>
                  <m:sub>
                    <m:r>
                      <w:rPr>
                        <w:rFonts w:ascii="Cambria Math" w:hAnsi="Cambria Math" w:cs="Arial"/>
                      </w:rPr>
                      <m:t>i,j,m</m:t>
                    </m:r>
                  </m:sub>
                </m:sSub>
                <m:r>
                  <w:rPr>
                    <w:rFonts w:ascii="Cambria Math" w:hAnsi="Cambria Math" w:cs="Arial"/>
                  </w:rPr>
                  <m:t>:</m:t>
                </m:r>
              </m:oMath>
            </m:oMathPara>
          </w:p>
        </w:tc>
        <w:tc>
          <w:tcPr>
            <w:tcW w:w="7621" w:type="dxa"/>
          </w:tcPr>
          <w:p w14:paraId="0987D443" w14:textId="77777777" w:rsidR="00B317E5" w:rsidRPr="00B317E5" w:rsidRDefault="00B317E5" w:rsidP="00422B35">
            <w:pPr>
              <w:ind w:left="81"/>
              <w:rPr>
                <w:rFonts w:cs="Arial"/>
                <w:bCs/>
                <w:iCs/>
              </w:rPr>
            </w:pPr>
            <w:r w:rsidRPr="00B317E5">
              <w:rPr>
                <w:rFonts w:cs="Arial"/>
                <w:bCs/>
                <w:iCs/>
              </w:rPr>
              <w:t xml:space="preserve">Consumo mensual ahorrado (kWh) por el usuario </w:t>
            </w:r>
            <w:r w:rsidRPr="00B317E5">
              <w:rPr>
                <w:rFonts w:cs="Arial"/>
                <w:bCs/>
                <w:i/>
              </w:rPr>
              <w:t>i</w:t>
            </w:r>
            <w:r w:rsidRPr="00B317E5">
              <w:rPr>
                <w:rFonts w:cs="Arial"/>
                <w:bCs/>
                <w:iCs/>
              </w:rPr>
              <w:t xml:space="preserve">, perteneciente al mercado de comercialización </w:t>
            </w:r>
            <w:r w:rsidRPr="00B317E5">
              <w:rPr>
                <w:rFonts w:cs="Arial"/>
                <w:bCs/>
                <w:i/>
              </w:rPr>
              <w:t>j</w:t>
            </w:r>
            <w:r w:rsidRPr="00B317E5">
              <w:rPr>
                <w:rFonts w:cs="Arial"/>
                <w:bCs/>
                <w:iCs/>
              </w:rPr>
              <w:t xml:space="preserve">, por </w:t>
            </w:r>
            <w:r w:rsidRPr="00B317E5">
              <w:rPr>
                <w:rFonts w:cs="Arial"/>
                <w:bCs/>
              </w:rPr>
              <w:t xml:space="preserve">consumos inferiores a su meta individual de consumo, para el mes </w:t>
            </w:r>
            <w:r w:rsidRPr="00B317E5">
              <w:rPr>
                <w:rFonts w:cs="Arial"/>
                <w:bCs/>
                <w:i/>
                <w:iCs/>
              </w:rPr>
              <w:t>m</w:t>
            </w:r>
            <w:r w:rsidRPr="00B317E5">
              <w:rPr>
                <w:rFonts w:cs="Arial"/>
                <w:bCs/>
                <w:iCs/>
              </w:rPr>
              <w:t>.</w:t>
            </w:r>
          </w:p>
          <w:p w14:paraId="3AE6CEB4" w14:textId="77777777" w:rsidR="00B317E5" w:rsidRPr="00B317E5" w:rsidRDefault="00B317E5" w:rsidP="00422B35">
            <w:pPr>
              <w:ind w:left="81"/>
              <w:rPr>
                <w:rFonts w:cs="Arial"/>
                <w:bCs/>
                <w:iCs/>
              </w:rPr>
            </w:pPr>
          </w:p>
        </w:tc>
      </w:tr>
      <w:tr w:rsidR="00B317E5" w:rsidRPr="00B317E5" w14:paraId="3D6454CB" w14:textId="77777777" w:rsidTr="00422B35">
        <w:tc>
          <w:tcPr>
            <w:tcW w:w="1451" w:type="dxa"/>
          </w:tcPr>
          <w:p w14:paraId="39582C2B" w14:textId="77777777" w:rsidR="00B317E5" w:rsidRPr="00B317E5" w:rsidRDefault="00B317E5" w:rsidP="00422B35">
            <w:pPr>
              <w:ind w:left="34"/>
              <w:jc w:val="right"/>
              <w:rPr>
                <w:rFonts w:cs="Arial"/>
                <w:bCs/>
                <w:i/>
              </w:rPr>
            </w:pPr>
            <m:oMathPara>
              <m:oMathParaPr>
                <m:jc m:val="right"/>
              </m:oMathParaPr>
              <m:oMath>
                <m:r>
                  <w:rPr>
                    <w:rFonts w:ascii="Cambria Math" w:hAnsi="Cambria Math" w:cs="Arial"/>
                  </w:rPr>
                  <m:t>M:</m:t>
                </m:r>
              </m:oMath>
            </m:oMathPara>
          </w:p>
        </w:tc>
        <w:tc>
          <w:tcPr>
            <w:tcW w:w="7621" w:type="dxa"/>
          </w:tcPr>
          <w:p w14:paraId="06A32F90" w14:textId="77777777" w:rsidR="00B317E5" w:rsidRPr="00B317E5" w:rsidRDefault="00B317E5" w:rsidP="00422B35">
            <w:pPr>
              <w:ind w:left="81"/>
              <w:rPr>
                <w:rFonts w:cs="Arial"/>
                <w:bCs/>
                <w:iCs/>
              </w:rPr>
            </w:pPr>
            <w:r w:rsidRPr="00B317E5">
              <w:rPr>
                <w:rFonts w:cs="Arial"/>
                <w:bCs/>
                <w:iCs/>
              </w:rPr>
              <w:t>Número de meses que duró la ejecución del programa de incentivos al uso eficiente de energía.</w:t>
            </w:r>
          </w:p>
        </w:tc>
      </w:tr>
    </w:tbl>
    <w:p w14:paraId="4D15D366" w14:textId="77777777" w:rsidR="00B317E5" w:rsidRPr="00B317E5" w:rsidRDefault="00B317E5" w:rsidP="00B317E5">
      <w:pPr>
        <w:rPr>
          <w:rFonts w:cs="Arial"/>
          <w:bCs/>
        </w:rPr>
      </w:pPr>
    </w:p>
    <w:p w14:paraId="595BE039" w14:textId="77777777" w:rsidR="00B317E5" w:rsidRPr="00B317E5" w:rsidRDefault="00B317E5" w:rsidP="00B317E5">
      <w:pPr>
        <w:pStyle w:val="Prrafodelista"/>
        <w:numPr>
          <w:ilvl w:val="0"/>
          <w:numId w:val="17"/>
        </w:numPr>
        <w:ind w:left="284" w:hanging="284"/>
        <w:rPr>
          <w:rFonts w:cs="Arial"/>
          <w:bCs/>
          <w:szCs w:val="24"/>
        </w:rPr>
      </w:pPr>
      <w:r w:rsidRPr="00B317E5">
        <w:rPr>
          <w:rFonts w:cs="Arial"/>
          <w:bCs/>
          <w:szCs w:val="24"/>
        </w:rPr>
        <w:t xml:space="preserve">Repartir el valor resultante del paso 2 entre los usuarios regulados que, </w:t>
      </w:r>
      <w:r w:rsidRPr="00B317E5">
        <w:rPr>
          <w:rFonts w:cs="Arial"/>
          <w:bCs/>
          <w:iCs/>
          <w:szCs w:val="24"/>
        </w:rPr>
        <w:t xml:space="preserve">durante la </w:t>
      </w:r>
      <w:r w:rsidRPr="00B317E5">
        <w:rPr>
          <w:rFonts w:cs="Arial"/>
          <w:bCs/>
          <w:szCs w:val="24"/>
        </w:rPr>
        <w:t>ejecución del programa de incentivos al uso eficiente de energía, realizaron consumos inferiores a su meta individual de consumo, por mercado de comercialización y a prorrata de su proporción de reducción de consumo estimada en el paso 5.</w:t>
      </w:r>
    </w:p>
    <w:p w14:paraId="34B5C153" w14:textId="77777777" w:rsidR="00B317E5" w:rsidRPr="00B317E5" w:rsidRDefault="00B317E5" w:rsidP="00B317E5">
      <w:pPr>
        <w:rPr>
          <w:rFonts w:cs="Arial"/>
          <w:bCs/>
        </w:rPr>
      </w:pPr>
    </w:p>
    <w:p w14:paraId="3BC66618" w14:textId="77777777" w:rsidR="00B317E5" w:rsidRPr="00B317E5" w:rsidRDefault="0086615C" w:rsidP="00B317E5">
      <w:pPr>
        <w:rPr>
          <w:rFonts w:cs="Arial"/>
          <w:bCs/>
        </w:rPr>
      </w:pPr>
      <m:oMathPara>
        <m:oMath>
          <m:sSub>
            <m:sSubPr>
              <m:ctrlPr>
                <w:rPr>
                  <w:rFonts w:ascii="Cambria Math" w:hAnsi="Cambria Math" w:cs="Arial"/>
                  <w:bCs/>
                  <w:i/>
                </w:rPr>
              </m:ctrlPr>
            </m:sSubPr>
            <m:e>
              <m:r>
                <w:rPr>
                  <w:rFonts w:ascii="Cambria Math" w:hAnsi="Cambria Math" w:cs="Arial"/>
                </w:rPr>
                <m:t>Beneficio</m:t>
              </m:r>
            </m:e>
            <m:sub>
              <m:r>
                <w:rPr>
                  <w:rFonts w:ascii="Cambria Math" w:hAnsi="Cambria Math" w:cs="Arial"/>
                </w:rPr>
                <m:t>i,j</m:t>
              </m:r>
            </m:sub>
          </m:sSub>
          <m:r>
            <w:rPr>
              <w:rFonts w:ascii="Cambria Math" w:hAnsi="Cambria Math" w:cs="Arial"/>
            </w:rPr>
            <m:t>= %Ahorro*E</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oMath>
      </m:oMathPara>
    </w:p>
    <w:p w14:paraId="4547717F" w14:textId="77777777" w:rsidR="00B317E5" w:rsidRPr="00B317E5" w:rsidRDefault="00B317E5" w:rsidP="00B317E5">
      <w:pPr>
        <w:rPr>
          <w:rFonts w:cs="Arial"/>
          <w:bCs/>
        </w:rPr>
      </w:pPr>
    </w:p>
    <w:p w14:paraId="60D9F99D" w14:textId="77777777" w:rsidR="00B317E5" w:rsidRPr="00B317E5" w:rsidRDefault="00B317E5" w:rsidP="00B317E5">
      <w:pPr>
        <w:pStyle w:val="Prrafodelista"/>
        <w:ind w:left="284"/>
        <w:rPr>
          <w:rFonts w:cs="Arial"/>
          <w:bCs/>
          <w:szCs w:val="24"/>
        </w:rPr>
      </w:pPr>
      <w:r w:rsidRPr="00B317E5">
        <w:rPr>
          <w:rFonts w:cs="Arial"/>
          <w:bCs/>
          <w:szCs w:val="24"/>
        </w:rPr>
        <w:t>Donde:</w:t>
      </w:r>
    </w:p>
    <w:p w14:paraId="2549EC21" w14:textId="77777777" w:rsidR="00B317E5" w:rsidRPr="00B317E5" w:rsidRDefault="00B317E5" w:rsidP="00B317E5">
      <w:pPr>
        <w:rPr>
          <w:rFonts w:cs="Arial"/>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7612"/>
      </w:tblGrid>
      <w:tr w:rsidR="00B317E5" w:rsidRPr="00B317E5" w14:paraId="2342E72B" w14:textId="77777777" w:rsidTr="00422B35">
        <w:tc>
          <w:tcPr>
            <w:tcW w:w="1460" w:type="dxa"/>
          </w:tcPr>
          <w:p w14:paraId="1FF47DA4" w14:textId="77777777" w:rsidR="00B317E5" w:rsidRPr="00B317E5" w:rsidRDefault="0086615C" w:rsidP="00422B35">
            <w:pPr>
              <w:ind w:left="34"/>
              <w:rPr>
                <w:rFonts w:cs="Arial"/>
                <w:bCs/>
                <w:i/>
              </w:rPr>
            </w:pPr>
            <m:oMathPara>
              <m:oMathParaPr>
                <m:jc m:val="right"/>
              </m:oMathParaPr>
              <m:oMath>
                <m:sSub>
                  <m:sSubPr>
                    <m:ctrlPr>
                      <w:rPr>
                        <w:rFonts w:ascii="Cambria Math" w:hAnsi="Cambria Math" w:cs="Arial"/>
                        <w:bCs/>
                        <w:i/>
                      </w:rPr>
                    </m:ctrlPr>
                  </m:sSubPr>
                  <m:e>
                    <m:r>
                      <w:rPr>
                        <w:rFonts w:ascii="Cambria Math" w:hAnsi="Cambria Math" w:cs="Arial"/>
                      </w:rPr>
                      <m:t>Beneficio</m:t>
                    </m:r>
                  </m:e>
                  <m:sub>
                    <m:r>
                      <w:rPr>
                        <w:rFonts w:ascii="Cambria Math" w:hAnsi="Cambria Math" w:cs="Arial"/>
                      </w:rPr>
                      <m:t>i,j</m:t>
                    </m:r>
                  </m:sub>
                </m:sSub>
              </m:oMath>
            </m:oMathPara>
          </w:p>
        </w:tc>
        <w:tc>
          <w:tcPr>
            <w:tcW w:w="7612" w:type="dxa"/>
          </w:tcPr>
          <w:p w14:paraId="0184B348" w14:textId="77777777" w:rsidR="00B317E5" w:rsidRPr="00B317E5" w:rsidRDefault="00B317E5" w:rsidP="00422B35">
            <w:pPr>
              <w:ind w:left="81"/>
              <w:rPr>
                <w:rFonts w:cs="Arial"/>
                <w:bCs/>
              </w:rPr>
            </w:pPr>
            <w:r w:rsidRPr="00B317E5">
              <w:rPr>
                <w:rFonts w:cs="Arial"/>
                <w:bCs/>
              </w:rPr>
              <w:t xml:space="preserve">Beneficio en pesos para el usuario </w:t>
            </w:r>
            <w:r w:rsidRPr="00B317E5">
              <w:rPr>
                <w:rFonts w:cs="Arial"/>
                <w:bCs/>
                <w:i/>
                <w:iCs/>
              </w:rPr>
              <w:t>i,</w:t>
            </w:r>
            <w:r w:rsidRPr="00B317E5">
              <w:rPr>
                <w:rFonts w:cs="Arial"/>
                <w:bCs/>
              </w:rPr>
              <w:t xml:space="preserve"> perteneciente al mercado de comercialización </w:t>
            </w:r>
            <w:r w:rsidRPr="00B317E5">
              <w:rPr>
                <w:rFonts w:cs="Arial"/>
                <w:bCs/>
                <w:i/>
                <w:iCs/>
              </w:rPr>
              <w:t>j</w:t>
            </w:r>
            <w:r w:rsidRPr="00B317E5">
              <w:rPr>
                <w:rFonts w:cs="Arial"/>
                <w:bCs/>
              </w:rPr>
              <w:t>, por realizar consumos inferiores a su meta individual de consumo durante la ejecución del programa de incentivos al uso eficiente de energía.</w:t>
            </w:r>
          </w:p>
          <w:p w14:paraId="5ADE7532" w14:textId="77777777" w:rsidR="00B317E5" w:rsidRPr="00B317E5" w:rsidRDefault="00B317E5" w:rsidP="00422B35">
            <w:pPr>
              <w:ind w:left="81"/>
              <w:rPr>
                <w:rFonts w:cs="Arial"/>
                <w:bCs/>
              </w:rPr>
            </w:pPr>
          </w:p>
        </w:tc>
      </w:tr>
      <w:tr w:rsidR="00B317E5" w:rsidRPr="00B317E5" w14:paraId="6531CF47" w14:textId="77777777" w:rsidTr="00422B35">
        <w:tc>
          <w:tcPr>
            <w:tcW w:w="1460" w:type="dxa"/>
          </w:tcPr>
          <w:p w14:paraId="58AB200E" w14:textId="77777777" w:rsidR="00B317E5" w:rsidRPr="00B317E5" w:rsidRDefault="00B317E5" w:rsidP="00422B35">
            <w:pPr>
              <w:ind w:left="34"/>
              <w:rPr>
                <w:rFonts w:cs="Arial"/>
                <w:bCs/>
                <w:i/>
              </w:rPr>
            </w:pPr>
            <m:oMathPara>
              <m:oMathParaPr>
                <m:jc m:val="right"/>
              </m:oMathParaPr>
              <m:oMath>
                <m:r>
                  <w:rPr>
                    <w:rFonts w:ascii="Cambria Math" w:hAnsi="Cambria Math" w:cs="Arial"/>
                  </w:rPr>
                  <m:t>E</m:t>
                </m:r>
                <m:sSub>
                  <m:sSubPr>
                    <m:ctrlPr>
                      <w:rPr>
                        <w:rFonts w:ascii="Cambria Math" w:hAnsi="Cambria Math" w:cs="Arial"/>
                        <w:bCs/>
                        <w:i/>
                      </w:rPr>
                    </m:ctrlPr>
                  </m:sSubPr>
                  <m:e>
                    <m:r>
                      <w:rPr>
                        <w:rFonts w:ascii="Cambria Math" w:hAnsi="Cambria Math" w:cs="Arial"/>
                      </w:rPr>
                      <m:t>A</m:t>
                    </m:r>
                  </m:e>
                  <m:sub>
                    <m:r>
                      <w:rPr>
                        <w:rFonts w:ascii="Cambria Math" w:hAnsi="Cambria Math" w:cs="Arial"/>
                      </w:rPr>
                      <m:t>j</m:t>
                    </m:r>
                  </m:sub>
                </m:sSub>
                <m:r>
                  <w:rPr>
                    <w:rFonts w:ascii="Cambria Math" w:hAnsi="Cambria Math" w:cs="Arial"/>
                  </w:rPr>
                  <m:t>:</m:t>
                </m:r>
              </m:oMath>
            </m:oMathPara>
          </w:p>
        </w:tc>
        <w:tc>
          <w:tcPr>
            <w:tcW w:w="7612" w:type="dxa"/>
          </w:tcPr>
          <w:p w14:paraId="37F9A535" w14:textId="77777777" w:rsidR="00B317E5" w:rsidRPr="00B317E5" w:rsidRDefault="00B317E5" w:rsidP="00422B35">
            <w:pPr>
              <w:ind w:left="81"/>
              <w:rPr>
                <w:rFonts w:cs="Arial"/>
                <w:bCs/>
                <w:iCs/>
              </w:rPr>
            </w:pPr>
            <w:r w:rsidRPr="00B317E5">
              <w:rPr>
                <w:rFonts w:cs="Arial"/>
                <w:bCs/>
                <w:iCs/>
              </w:rPr>
              <w:t xml:space="preserve">Consumo total ahorrado (kWh) por </w:t>
            </w:r>
            <w:r w:rsidRPr="00B317E5">
              <w:rPr>
                <w:rFonts w:cs="Arial"/>
                <w:bCs/>
              </w:rPr>
              <w:t xml:space="preserve">usuarios regulados que, </w:t>
            </w:r>
            <w:r w:rsidRPr="00B317E5">
              <w:rPr>
                <w:rFonts w:cs="Arial"/>
                <w:bCs/>
                <w:iCs/>
              </w:rPr>
              <w:t xml:space="preserve">durante la </w:t>
            </w:r>
            <w:r w:rsidRPr="00B317E5">
              <w:rPr>
                <w:rFonts w:cs="Arial"/>
                <w:bCs/>
              </w:rPr>
              <w:t xml:space="preserve">ejecución del programa de incentivos al uso eficiente de energía, realizaron consumos inferiores a su meta individual de consumo, en el mercado de comercialización </w:t>
            </w:r>
            <w:r w:rsidRPr="00B317E5">
              <w:rPr>
                <w:rFonts w:cs="Arial"/>
                <w:bCs/>
                <w:i/>
                <w:iCs/>
              </w:rPr>
              <w:t>j</w:t>
            </w:r>
            <w:r w:rsidRPr="00B317E5">
              <w:rPr>
                <w:rFonts w:cs="Arial"/>
                <w:bCs/>
                <w:iCs/>
              </w:rPr>
              <w:t>.</w:t>
            </w:r>
          </w:p>
          <w:p w14:paraId="7F43C036" w14:textId="77777777" w:rsidR="00B317E5" w:rsidRPr="00B317E5" w:rsidRDefault="00B317E5" w:rsidP="00422B35">
            <w:pPr>
              <w:ind w:left="81"/>
              <w:rPr>
                <w:rFonts w:cs="Arial"/>
                <w:bCs/>
                <w:i/>
              </w:rPr>
            </w:pPr>
          </w:p>
        </w:tc>
      </w:tr>
      <w:tr w:rsidR="00B317E5" w:rsidRPr="00B317E5" w14:paraId="71233579" w14:textId="77777777" w:rsidTr="00422B35">
        <w:tc>
          <w:tcPr>
            <w:tcW w:w="1460" w:type="dxa"/>
          </w:tcPr>
          <w:p w14:paraId="42E9B3C7" w14:textId="77777777" w:rsidR="00B317E5" w:rsidRPr="00B317E5" w:rsidRDefault="0086615C" w:rsidP="00422B35">
            <w:pPr>
              <w:ind w:left="34"/>
              <w:jc w:val="right"/>
              <w:rPr>
                <w:rFonts w:cs="Arial"/>
              </w:rPr>
            </w:pPr>
            <m:oMathPara>
              <m:oMathParaPr>
                <m:jc m:val="right"/>
              </m:oMathParaPr>
              <m:oMath>
                <m:sSub>
                  <m:sSubPr>
                    <m:ctrlPr>
                      <w:rPr>
                        <w:rFonts w:ascii="Cambria Math" w:hAnsi="Cambria Math" w:cs="Arial"/>
                        <w:bCs/>
                        <w:i/>
                      </w:rPr>
                    </m:ctrlPr>
                  </m:sSubPr>
                  <m:e>
                    <m:r>
                      <w:rPr>
                        <w:rFonts w:ascii="Cambria Math" w:hAnsi="Cambria Math" w:cs="Arial"/>
                      </w:rPr>
                      <m:t>%Ahorro</m:t>
                    </m:r>
                  </m:e>
                  <m:sub>
                    <m:r>
                      <w:rPr>
                        <w:rFonts w:ascii="Cambria Math" w:hAnsi="Cambria Math" w:cs="Arial"/>
                      </w:rPr>
                      <m:t>i,j</m:t>
                    </m:r>
                  </m:sub>
                </m:sSub>
                <m:r>
                  <w:rPr>
                    <w:rFonts w:ascii="Cambria Math" w:hAnsi="Cambria Math" w:cs="Arial"/>
                  </w:rPr>
                  <m:t>:</m:t>
                </m:r>
              </m:oMath>
            </m:oMathPara>
          </w:p>
        </w:tc>
        <w:tc>
          <w:tcPr>
            <w:tcW w:w="7612" w:type="dxa"/>
          </w:tcPr>
          <w:p w14:paraId="1AA2C318" w14:textId="77777777" w:rsidR="00B317E5" w:rsidRPr="00B317E5" w:rsidRDefault="00B317E5" w:rsidP="00422B35">
            <w:pPr>
              <w:ind w:left="81"/>
              <w:rPr>
                <w:rFonts w:cs="Arial"/>
                <w:bCs/>
                <w:iCs/>
              </w:rPr>
            </w:pPr>
            <w:r w:rsidRPr="00B317E5">
              <w:rPr>
                <w:rFonts w:cs="Arial"/>
                <w:bCs/>
              </w:rPr>
              <w:t xml:space="preserve">Proporción de consumo ahorrado por el usuario </w:t>
            </w:r>
            <w:r w:rsidRPr="00B317E5">
              <w:rPr>
                <w:rFonts w:cs="Arial"/>
                <w:bCs/>
                <w:i/>
                <w:iCs/>
              </w:rPr>
              <w:t>i</w:t>
            </w:r>
            <w:r w:rsidRPr="00B317E5">
              <w:rPr>
                <w:rFonts w:cs="Arial"/>
                <w:bCs/>
              </w:rPr>
              <w:t xml:space="preserve"> en relación con el consumo total ahorrado en el mercado de comercialización </w:t>
            </w:r>
            <w:r w:rsidRPr="00B317E5">
              <w:rPr>
                <w:rFonts w:cs="Arial"/>
                <w:bCs/>
                <w:i/>
                <w:iCs/>
              </w:rPr>
              <w:t>j</w:t>
            </w:r>
            <w:r w:rsidRPr="00B317E5">
              <w:rPr>
                <w:rFonts w:cs="Arial"/>
                <w:bCs/>
              </w:rPr>
              <w:t>, durante la ejecución del programa de incentivos al uso eficiente de energía.</w:t>
            </w:r>
          </w:p>
        </w:tc>
      </w:tr>
    </w:tbl>
    <w:p w14:paraId="6EC76747" w14:textId="77777777" w:rsidR="00B317E5" w:rsidRPr="00B317E5" w:rsidRDefault="00B317E5" w:rsidP="00B317E5">
      <w:pPr>
        <w:rPr>
          <w:rFonts w:cs="Arial"/>
          <w:bCs/>
        </w:rPr>
      </w:pPr>
    </w:p>
    <w:p w14:paraId="72D2069A" w14:textId="77777777" w:rsidR="00B317E5" w:rsidRPr="00B317E5" w:rsidRDefault="00B317E5" w:rsidP="00B317E5">
      <w:pPr>
        <w:rPr>
          <w:rFonts w:cs="Arial"/>
          <w:bCs/>
        </w:rPr>
      </w:pPr>
      <w:r w:rsidRPr="00B317E5">
        <w:rPr>
          <w:rFonts w:cs="Arial"/>
          <w:bCs/>
        </w:rPr>
        <w:t>El beneficio resultante del paso 4 será otorgado como un saldo a favor del usuario en su siguiente factura. Si el beneficio supera el valor de la factura, el saldo restante será acumulado para la siguiente factura y así sucesivamente hasta agotar el saldo a favor del usuario beneficiado.</w:t>
      </w:r>
    </w:p>
    <w:p w14:paraId="7E542CDD" w14:textId="77777777" w:rsidR="00B317E5" w:rsidRPr="00B317E5" w:rsidRDefault="00B317E5" w:rsidP="00B317E5">
      <w:pPr>
        <w:rPr>
          <w:rFonts w:cs="Arial"/>
          <w:bCs/>
        </w:rPr>
      </w:pPr>
    </w:p>
    <w:p w14:paraId="7E4A2247" w14:textId="0C8CA7AC" w:rsidR="00B317E5" w:rsidRPr="00B317E5" w:rsidRDefault="004F5A92" w:rsidP="00B317E5">
      <w:pPr>
        <w:rPr>
          <w:rFonts w:cs="Arial"/>
          <w:bCs/>
        </w:rPr>
      </w:pPr>
      <w:r w:rsidRPr="004F5A92">
        <w:rPr>
          <w:rFonts w:cs="Arial"/>
          <w:bCs/>
        </w:rPr>
        <w:t>Dado</w:t>
      </w:r>
      <w:r>
        <w:rPr>
          <w:rFonts w:cs="Arial"/>
          <w:bCs/>
        </w:rPr>
        <w:t xml:space="preserve"> que este beneficio se otorgará como un saldo a favor en las facturas, p</w:t>
      </w:r>
      <w:r w:rsidR="00B317E5" w:rsidRPr="00B317E5">
        <w:rPr>
          <w:rFonts w:cs="Arial"/>
          <w:bCs/>
        </w:rPr>
        <w:t>ara aquellos usuarios que se encuentren en mora y no se les haya suspendido el servicio, el menor pago por uso eficiente de energía solo les será reconocido cuando se pongan a paz y salvo en el pago de la factura.</w:t>
      </w:r>
    </w:p>
    <w:p w14:paraId="36107C7E" w14:textId="77777777" w:rsidR="00BA70A7" w:rsidRDefault="00BA70A7" w:rsidP="007D3DDC">
      <w:pPr>
        <w:rPr>
          <w:rFonts w:cs="Arial"/>
        </w:rPr>
      </w:pPr>
    </w:p>
    <w:p w14:paraId="15BC3B36" w14:textId="04688FDE" w:rsidR="0038730D" w:rsidRPr="00B317E5" w:rsidRDefault="0038730D" w:rsidP="0038730D">
      <w:pPr>
        <w:rPr>
          <w:rFonts w:cs="Arial"/>
          <w:b/>
          <w:bCs/>
        </w:rPr>
      </w:pPr>
      <w:r>
        <w:rPr>
          <w:rFonts w:cs="Arial"/>
          <w:b/>
          <w:bCs/>
        </w:rPr>
        <w:t>2</w:t>
      </w:r>
      <w:r w:rsidRPr="00B317E5">
        <w:rPr>
          <w:rFonts w:cs="Arial"/>
          <w:b/>
          <w:bCs/>
        </w:rPr>
        <w:t>.</w:t>
      </w:r>
      <w:r>
        <w:rPr>
          <w:rFonts w:cs="Arial"/>
          <w:b/>
          <w:bCs/>
        </w:rPr>
        <w:t>4</w:t>
      </w:r>
      <w:r w:rsidRPr="00B317E5">
        <w:rPr>
          <w:rFonts w:cs="Arial"/>
          <w:b/>
          <w:bCs/>
        </w:rPr>
        <w:t xml:space="preserve">. </w:t>
      </w:r>
      <w:r>
        <w:rPr>
          <w:rFonts w:cs="Arial"/>
          <w:b/>
          <w:bCs/>
        </w:rPr>
        <w:t>Campañas</w:t>
      </w:r>
      <w:r w:rsidR="009A45FA">
        <w:rPr>
          <w:rFonts w:cs="Arial"/>
          <w:b/>
          <w:bCs/>
        </w:rPr>
        <w:t xml:space="preserve"> informativas y</w:t>
      </w:r>
      <w:r>
        <w:rPr>
          <w:rFonts w:cs="Arial"/>
          <w:b/>
          <w:bCs/>
        </w:rPr>
        <w:t xml:space="preserve"> </w:t>
      </w:r>
      <w:r w:rsidR="009A45FA">
        <w:rPr>
          <w:rFonts w:cs="Arial"/>
          <w:b/>
          <w:bCs/>
        </w:rPr>
        <w:t>de divulgación</w:t>
      </w:r>
    </w:p>
    <w:p w14:paraId="77D3DC6D" w14:textId="77777777" w:rsidR="0038730D" w:rsidRDefault="0038730D" w:rsidP="007D3DDC">
      <w:pPr>
        <w:rPr>
          <w:rFonts w:cs="Arial"/>
        </w:rPr>
      </w:pPr>
    </w:p>
    <w:p w14:paraId="26A61EC4" w14:textId="0D7E63DB" w:rsidR="00B05A7A" w:rsidRDefault="00B05A7A" w:rsidP="007D3DDC">
      <w:pPr>
        <w:rPr>
          <w:rFonts w:cs="Arial"/>
        </w:rPr>
      </w:pPr>
      <w:r>
        <w:rPr>
          <w:rFonts w:cs="Arial"/>
        </w:rPr>
        <w:lastRenderedPageBreak/>
        <w:t>Los comercializadores serán los encargados de realizar la respectiva difusión</w:t>
      </w:r>
      <w:r w:rsidR="00690751">
        <w:rPr>
          <w:rFonts w:cs="Arial"/>
        </w:rPr>
        <w:t xml:space="preserve"> entre sus usuarios regulados</w:t>
      </w:r>
      <w:r>
        <w:rPr>
          <w:rFonts w:cs="Arial"/>
        </w:rPr>
        <w:t xml:space="preserve"> de las </w:t>
      </w:r>
      <w:r w:rsidR="00690751">
        <w:rPr>
          <w:rFonts w:cs="Arial"/>
        </w:rPr>
        <w:t>condiciones del programa de incentivos al uso eficiente de la energía.</w:t>
      </w:r>
    </w:p>
    <w:p w14:paraId="7FC80106" w14:textId="77777777" w:rsidR="00F13E41" w:rsidRDefault="00F13E41" w:rsidP="007D3DDC">
      <w:pPr>
        <w:rPr>
          <w:rFonts w:cs="Arial"/>
        </w:rPr>
      </w:pPr>
    </w:p>
    <w:p w14:paraId="3D2E4009" w14:textId="75049EA3" w:rsidR="00F13E41" w:rsidRDefault="00B76BB2" w:rsidP="18D82EF9">
      <w:pPr>
        <w:rPr>
          <w:rFonts w:cs="Arial"/>
          <w:lang w:val="es-ES"/>
        </w:rPr>
      </w:pPr>
      <w:r w:rsidRPr="18D82EF9">
        <w:rPr>
          <w:rFonts w:cs="Arial"/>
          <w:lang w:val="es-ES"/>
        </w:rPr>
        <w:t>Con el fin de involucrar a la demanda no regulada en el presente programa, se propone que los comercializadores realicen campañas informativas con consejos prácticos para este tipo de usuarios sobre las medidas que pueden tomar para realizar un uso eficiente de la energía</w:t>
      </w:r>
      <w:r w:rsidR="000F1017" w:rsidRPr="18D82EF9">
        <w:rPr>
          <w:rFonts w:cs="Arial"/>
          <w:lang w:val="es-ES"/>
        </w:rPr>
        <w:t>.</w:t>
      </w:r>
    </w:p>
    <w:p w14:paraId="722F0157" w14:textId="77777777" w:rsidR="00690751" w:rsidRDefault="00690751" w:rsidP="007D3DDC">
      <w:pPr>
        <w:rPr>
          <w:rFonts w:cs="Arial"/>
        </w:rPr>
      </w:pPr>
    </w:p>
    <w:p w14:paraId="28AC0BE4" w14:textId="010C9E3E" w:rsidR="000F1017" w:rsidRPr="00B317E5" w:rsidRDefault="000F1017" w:rsidP="000F1017">
      <w:pPr>
        <w:rPr>
          <w:rFonts w:cs="Arial"/>
          <w:b/>
          <w:bCs/>
        </w:rPr>
      </w:pPr>
      <w:r>
        <w:rPr>
          <w:rFonts w:cs="Arial"/>
          <w:b/>
          <w:bCs/>
        </w:rPr>
        <w:t>2</w:t>
      </w:r>
      <w:r w:rsidRPr="00B317E5">
        <w:rPr>
          <w:rFonts w:cs="Arial"/>
          <w:b/>
          <w:bCs/>
        </w:rPr>
        <w:t>.</w:t>
      </w:r>
      <w:r>
        <w:rPr>
          <w:rFonts w:cs="Arial"/>
          <w:b/>
          <w:bCs/>
        </w:rPr>
        <w:t>5</w:t>
      </w:r>
      <w:r w:rsidRPr="00B317E5">
        <w:rPr>
          <w:rFonts w:cs="Arial"/>
          <w:b/>
          <w:bCs/>
        </w:rPr>
        <w:t xml:space="preserve">. </w:t>
      </w:r>
      <w:r w:rsidR="00C9593A">
        <w:rPr>
          <w:rFonts w:cs="Arial"/>
          <w:b/>
          <w:bCs/>
        </w:rPr>
        <w:t>Apoyo del ASIC para el seguimiento del programa</w:t>
      </w:r>
    </w:p>
    <w:p w14:paraId="6F9B0216" w14:textId="77777777" w:rsidR="000F1017" w:rsidRDefault="000F1017" w:rsidP="007D3DDC">
      <w:pPr>
        <w:rPr>
          <w:rFonts w:cs="Arial"/>
        </w:rPr>
      </w:pPr>
    </w:p>
    <w:p w14:paraId="3CE5407B" w14:textId="7E2073D7" w:rsidR="00C9593A" w:rsidRDefault="00C9593A" w:rsidP="00281444">
      <w:pPr>
        <w:spacing w:line="276" w:lineRule="auto"/>
        <w:rPr>
          <w:rFonts w:cs="Arial"/>
        </w:rPr>
      </w:pPr>
      <w:r w:rsidRPr="00C9593A">
        <w:rPr>
          <w:rFonts w:cs="Arial"/>
        </w:rPr>
        <w:t xml:space="preserve">El </w:t>
      </w:r>
      <w:r>
        <w:rPr>
          <w:rFonts w:cs="Arial"/>
        </w:rPr>
        <w:t>Administrador del Sistema de Intercambios Comerciales -</w:t>
      </w:r>
      <w:r w:rsidRPr="00C9593A">
        <w:rPr>
          <w:rFonts w:cs="Arial"/>
        </w:rPr>
        <w:t>ASIC</w:t>
      </w:r>
      <w:r>
        <w:rPr>
          <w:rFonts w:cs="Arial"/>
        </w:rPr>
        <w:t>,</w:t>
      </w:r>
      <w:r w:rsidRPr="00C9593A">
        <w:rPr>
          <w:rFonts w:cs="Arial"/>
        </w:rPr>
        <w:t xml:space="preserve"> con base en la información reportada por los comercializadores y aquella que tiene disponible en calidad de operador del sistema, deberá informar semanalmente al Ministerio de Minas y Energía, a la CREG y a la Superintendencia de Servicios Públicos Domiciliarios – SSPD, la demanda real regulada diaria y la reducción de consumo efectiva por parte de la demanda, en relación con las proyecciones presentadas por los comercializadores.</w:t>
      </w:r>
    </w:p>
    <w:p w14:paraId="69E3ED38" w14:textId="77777777" w:rsidR="00690751" w:rsidRPr="00B317E5" w:rsidRDefault="00690751" w:rsidP="007D3DDC">
      <w:pPr>
        <w:rPr>
          <w:rFonts w:cs="Arial"/>
        </w:rPr>
      </w:pPr>
    </w:p>
    <w:p w14:paraId="6411D8EA" w14:textId="2DC3DB3E" w:rsidR="007D3DDC" w:rsidRPr="00B317E5" w:rsidRDefault="007D3DDC" w:rsidP="007D3DDC">
      <w:pPr>
        <w:pStyle w:val="Ttulo1"/>
        <w:numPr>
          <w:ilvl w:val="0"/>
          <w:numId w:val="14"/>
        </w:numPr>
        <w:rPr>
          <w:rFonts w:cs="Arial"/>
        </w:rPr>
      </w:pPr>
      <w:r w:rsidRPr="00B317E5">
        <w:rPr>
          <w:rFonts w:cs="Arial"/>
        </w:rPr>
        <w:t>CONSULTA PÚBLICA</w:t>
      </w:r>
    </w:p>
    <w:p w14:paraId="0E5D121A" w14:textId="1CAD56BB" w:rsidR="00E7209B" w:rsidRPr="00281444" w:rsidRDefault="007D3DDC" w:rsidP="00281444">
      <w:pPr>
        <w:spacing w:line="276" w:lineRule="auto"/>
        <w:rPr>
          <w:rFonts w:cs="Arial"/>
          <w:szCs w:val="24"/>
        </w:rPr>
      </w:pPr>
      <w:r w:rsidRPr="00281444">
        <w:rPr>
          <w:rFonts w:cs="Arial"/>
          <w:szCs w:val="24"/>
        </w:rPr>
        <w:t>La Comisión de Regulación de Energía y Gas, en su sesión 1308 del 13 de abril de 2024, aprobó someter a consulta pública el presente proyecto de resolución por el término de dos (2) días hábiles, contados a partir del día siguiente a su publicación en el portal web de la CREG, en aplicación a lo dispuesto en el numeral 1 del artículo 34 de la Resolución 105 003 del 14 de septiembre de 2023 , que permite publicar, excepcionalmente, en un término menor al tradicional, cuando se requiera tomar medidas urgentes para garantizar el abastecimiento del producto o la continuidad y confiabilidad del servicio.</w:t>
      </w:r>
    </w:p>
    <w:sectPr w:rsidR="00E7209B" w:rsidRPr="00281444" w:rsidSect="007A50C9">
      <w:headerReference w:type="default" r:id="rId9"/>
      <w:footerReference w:type="default" r:id="rId10"/>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BF803" w14:textId="77777777" w:rsidR="007A50C9" w:rsidRDefault="007A50C9">
      <w:r>
        <w:separator/>
      </w:r>
    </w:p>
  </w:endnote>
  <w:endnote w:type="continuationSeparator" w:id="0">
    <w:p w14:paraId="7FC61FDA" w14:textId="77777777" w:rsidR="007A50C9" w:rsidRDefault="007A50C9">
      <w:r>
        <w:continuationSeparator/>
      </w:r>
    </w:p>
  </w:endnote>
  <w:endnote w:type="continuationNotice" w:id="1">
    <w:p w14:paraId="7861896D" w14:textId="77777777" w:rsidR="007A50C9" w:rsidRDefault="007A5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607A" w14:textId="77777777" w:rsidR="000F36FA" w:rsidRDefault="000F36FA" w:rsidP="0077100C">
    <w:pPr>
      <w:pStyle w:val="Piedepgina"/>
      <w:rPr>
        <w:sz w:val="16"/>
        <w:lang w:val="es-CO"/>
      </w:rPr>
    </w:pPr>
  </w:p>
  <w:p w14:paraId="3C26D0A9" w14:textId="3FAA8C70" w:rsidR="0077100C" w:rsidRDefault="0086615C" w:rsidP="0077100C">
    <w:pPr>
      <w:pStyle w:val="Piedepgina"/>
      <w:rPr>
        <w:b/>
        <w:sz w:val="16"/>
        <w:lang w:val="es-CO"/>
      </w:rPr>
    </w:pPr>
    <w:r>
      <w:rPr>
        <w:sz w:val="16"/>
        <w:lang w:val="es-CO"/>
      </w:rPr>
      <w:t xml:space="preserve">D – 901 063 DE 2024 </w:t>
    </w:r>
    <w:r w:rsidR="000F36FA" w:rsidRPr="000F36FA">
      <w:rPr>
        <w:sz w:val="16"/>
        <w:lang w:val="es-CO"/>
      </w:rPr>
      <w:t>PROGRAMA TRANSITORIO DE INCENTIVOS AL USO EFICIENTE DE LA ENERGÍA ELÉCTRICA POR PARTE DE LA DEMANDA</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sz w:val="14"/>
              <w:szCs w:val="14"/>
              <w:lang w:val="es-ES"/>
            </w:rPr>
          </w:pPr>
          <w:r w:rsidRPr="030AF84E">
            <w:rPr>
              <w:rFonts w:cs="Arial"/>
              <w:sz w:val="14"/>
              <w:szCs w:val="14"/>
              <w:lang w:val="es-ES"/>
            </w:rPr>
            <w:t xml:space="preserve">Documento   </w:t>
          </w:r>
          <w:proofErr w:type="spellStart"/>
          <w:r w:rsidRPr="030AF84E">
            <w:rPr>
              <w:rFonts w:cs="Arial"/>
              <w:b/>
              <w:sz w:val="14"/>
              <w:szCs w:val="14"/>
              <w:lang w:val="es-ES"/>
            </w:rPr>
            <w:t>DOCUMENTO</w:t>
          </w:r>
          <w:proofErr w:type="spellEnd"/>
          <w:r w:rsidRPr="030AF84E">
            <w:rPr>
              <w:rFonts w:cs="Arial"/>
              <w:b/>
              <w:sz w:val="14"/>
              <w:szCs w:val="14"/>
              <w:lang w:val="es-ES"/>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42EF1" w14:textId="77777777" w:rsidR="007A50C9" w:rsidRDefault="007A50C9">
      <w:r>
        <w:separator/>
      </w:r>
    </w:p>
  </w:footnote>
  <w:footnote w:type="continuationSeparator" w:id="0">
    <w:p w14:paraId="176C8723" w14:textId="77777777" w:rsidR="007A50C9" w:rsidRDefault="007A50C9">
      <w:r>
        <w:continuationSeparator/>
      </w:r>
    </w:p>
  </w:footnote>
  <w:footnote w:type="continuationNotice" w:id="1">
    <w:p w14:paraId="586BA6B4" w14:textId="77777777" w:rsidR="007A50C9" w:rsidRDefault="007A5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6255AFC2" w:rsidR="00020441" w:rsidRDefault="00020441">
    <w:pPr>
      <w:pStyle w:val="Encabezado"/>
    </w:pPr>
    <w:r>
      <w:rPr>
        <w:rFonts w:cs="Arial"/>
        <w:b/>
        <w:i/>
        <w:color w:val="808080"/>
        <w:sz w:val="16"/>
      </w:rPr>
      <w:t>Sesión No.</w:t>
    </w:r>
    <w:r w:rsidR="0086615C">
      <w:rPr>
        <w:rFonts w:cs="Arial"/>
        <w:b/>
        <w:i/>
        <w:color w:val="808080"/>
        <w:sz w:val="16"/>
      </w:rPr>
      <w:t xml:space="preserve"> 1308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56DD2BD3"/>
    <w:multiLevelType w:val="hybridMultilevel"/>
    <w:tmpl w:val="BA528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8"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909227231">
    <w:abstractNumId w:val="7"/>
  </w:num>
  <w:num w:numId="8" w16cid:durableId="467629627">
    <w:abstractNumId w:val="5"/>
  </w:num>
  <w:num w:numId="9" w16cid:durableId="959071692">
    <w:abstractNumId w:val="8"/>
  </w:num>
  <w:num w:numId="10" w16cid:durableId="2118718905">
    <w:abstractNumId w:val="9"/>
  </w:num>
  <w:num w:numId="11" w16cid:durableId="811794889">
    <w:abstractNumId w:val="6"/>
  </w:num>
  <w:num w:numId="12" w16cid:durableId="196089711">
    <w:abstractNumId w:val="4"/>
  </w:num>
  <w:num w:numId="13" w16cid:durableId="983437049">
    <w:abstractNumId w:val="0"/>
  </w:num>
  <w:num w:numId="14" w16cid:durableId="1867281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2"/>
  </w:num>
  <w:num w:numId="16" w16cid:durableId="1537814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2542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22CA"/>
    <w:rsid w:val="00012759"/>
    <w:rsid w:val="000144D8"/>
    <w:rsid w:val="00016005"/>
    <w:rsid w:val="00020441"/>
    <w:rsid w:val="00020C77"/>
    <w:rsid w:val="00023770"/>
    <w:rsid w:val="000248CD"/>
    <w:rsid w:val="0002717A"/>
    <w:rsid w:val="00031D31"/>
    <w:rsid w:val="00032061"/>
    <w:rsid w:val="00033CD2"/>
    <w:rsid w:val="000371D4"/>
    <w:rsid w:val="00040E3E"/>
    <w:rsid w:val="00041B12"/>
    <w:rsid w:val="00045627"/>
    <w:rsid w:val="00047C8D"/>
    <w:rsid w:val="00050230"/>
    <w:rsid w:val="00052C88"/>
    <w:rsid w:val="00053000"/>
    <w:rsid w:val="00053566"/>
    <w:rsid w:val="00056DFC"/>
    <w:rsid w:val="00057B7A"/>
    <w:rsid w:val="00057D4A"/>
    <w:rsid w:val="00065F1A"/>
    <w:rsid w:val="00065FCC"/>
    <w:rsid w:val="00066421"/>
    <w:rsid w:val="00071814"/>
    <w:rsid w:val="00075E7E"/>
    <w:rsid w:val="00082356"/>
    <w:rsid w:val="00090242"/>
    <w:rsid w:val="00094A32"/>
    <w:rsid w:val="00095731"/>
    <w:rsid w:val="000A4107"/>
    <w:rsid w:val="000B0A0A"/>
    <w:rsid w:val="000B1B1B"/>
    <w:rsid w:val="000B5AD2"/>
    <w:rsid w:val="000B6BB5"/>
    <w:rsid w:val="000C0F20"/>
    <w:rsid w:val="000C1E97"/>
    <w:rsid w:val="000C327B"/>
    <w:rsid w:val="000C53CD"/>
    <w:rsid w:val="000D243B"/>
    <w:rsid w:val="000D25BE"/>
    <w:rsid w:val="000D2CD9"/>
    <w:rsid w:val="000E0DE9"/>
    <w:rsid w:val="000E224F"/>
    <w:rsid w:val="000E2A81"/>
    <w:rsid w:val="000E4D7E"/>
    <w:rsid w:val="000E6561"/>
    <w:rsid w:val="000E6A9D"/>
    <w:rsid w:val="000E7B12"/>
    <w:rsid w:val="000F1017"/>
    <w:rsid w:val="000F36FA"/>
    <w:rsid w:val="000F3A43"/>
    <w:rsid w:val="000F4218"/>
    <w:rsid w:val="000F649F"/>
    <w:rsid w:val="0010102A"/>
    <w:rsid w:val="00101087"/>
    <w:rsid w:val="0010544E"/>
    <w:rsid w:val="00111514"/>
    <w:rsid w:val="0011211E"/>
    <w:rsid w:val="00113326"/>
    <w:rsid w:val="00114D9C"/>
    <w:rsid w:val="001221EF"/>
    <w:rsid w:val="00123ACC"/>
    <w:rsid w:val="0013141A"/>
    <w:rsid w:val="0013210B"/>
    <w:rsid w:val="00137278"/>
    <w:rsid w:val="00141767"/>
    <w:rsid w:val="001457C6"/>
    <w:rsid w:val="00145ABF"/>
    <w:rsid w:val="0015060B"/>
    <w:rsid w:val="0015231C"/>
    <w:rsid w:val="001611CE"/>
    <w:rsid w:val="00164BBF"/>
    <w:rsid w:val="00165C75"/>
    <w:rsid w:val="001700C2"/>
    <w:rsid w:val="00170766"/>
    <w:rsid w:val="00172DD4"/>
    <w:rsid w:val="001759A1"/>
    <w:rsid w:val="00182B8B"/>
    <w:rsid w:val="00186477"/>
    <w:rsid w:val="001902E4"/>
    <w:rsid w:val="00194F02"/>
    <w:rsid w:val="001A07E7"/>
    <w:rsid w:val="001B2EAE"/>
    <w:rsid w:val="001B3458"/>
    <w:rsid w:val="001B4C76"/>
    <w:rsid w:val="001C0624"/>
    <w:rsid w:val="001C6B3B"/>
    <w:rsid w:val="001D2E23"/>
    <w:rsid w:val="001D2EBF"/>
    <w:rsid w:val="001D3011"/>
    <w:rsid w:val="001D6B8B"/>
    <w:rsid w:val="001E0DB3"/>
    <w:rsid w:val="001E212F"/>
    <w:rsid w:val="001E3009"/>
    <w:rsid w:val="001E5D8C"/>
    <w:rsid w:val="001E72D4"/>
    <w:rsid w:val="001F3914"/>
    <w:rsid w:val="001F39C3"/>
    <w:rsid w:val="001F7231"/>
    <w:rsid w:val="00202B71"/>
    <w:rsid w:val="002042C8"/>
    <w:rsid w:val="002043A7"/>
    <w:rsid w:val="00204476"/>
    <w:rsid w:val="002103B8"/>
    <w:rsid w:val="00211756"/>
    <w:rsid w:val="00212379"/>
    <w:rsid w:val="00215C27"/>
    <w:rsid w:val="00220D0D"/>
    <w:rsid w:val="002332B5"/>
    <w:rsid w:val="00235BC0"/>
    <w:rsid w:val="00236847"/>
    <w:rsid w:val="002406B4"/>
    <w:rsid w:val="00242826"/>
    <w:rsid w:val="0024400D"/>
    <w:rsid w:val="0024636A"/>
    <w:rsid w:val="00246BE7"/>
    <w:rsid w:val="002503D1"/>
    <w:rsid w:val="002531B2"/>
    <w:rsid w:val="0025326A"/>
    <w:rsid w:val="00266E8A"/>
    <w:rsid w:val="00272A62"/>
    <w:rsid w:val="00277DD8"/>
    <w:rsid w:val="00277E3C"/>
    <w:rsid w:val="00281444"/>
    <w:rsid w:val="002821D5"/>
    <w:rsid w:val="0028466C"/>
    <w:rsid w:val="00290849"/>
    <w:rsid w:val="00295F4A"/>
    <w:rsid w:val="00297CF3"/>
    <w:rsid w:val="002A08D8"/>
    <w:rsid w:val="002A18E7"/>
    <w:rsid w:val="002A4E89"/>
    <w:rsid w:val="002B1EC0"/>
    <w:rsid w:val="002B443B"/>
    <w:rsid w:val="002C0390"/>
    <w:rsid w:val="002C39E0"/>
    <w:rsid w:val="002C4163"/>
    <w:rsid w:val="002C6713"/>
    <w:rsid w:val="002C7473"/>
    <w:rsid w:val="002D2657"/>
    <w:rsid w:val="002D3A5C"/>
    <w:rsid w:val="002D5CE1"/>
    <w:rsid w:val="002D7288"/>
    <w:rsid w:val="002E19C4"/>
    <w:rsid w:val="002E361C"/>
    <w:rsid w:val="002F1FE5"/>
    <w:rsid w:val="002F22B1"/>
    <w:rsid w:val="002F2D1F"/>
    <w:rsid w:val="002F3652"/>
    <w:rsid w:val="002F6492"/>
    <w:rsid w:val="0030066D"/>
    <w:rsid w:val="0030599A"/>
    <w:rsid w:val="003102C6"/>
    <w:rsid w:val="00311A9C"/>
    <w:rsid w:val="00313109"/>
    <w:rsid w:val="003200AF"/>
    <w:rsid w:val="003310A8"/>
    <w:rsid w:val="003320D3"/>
    <w:rsid w:val="00334AEB"/>
    <w:rsid w:val="003371DA"/>
    <w:rsid w:val="00342D19"/>
    <w:rsid w:val="00343B4B"/>
    <w:rsid w:val="00345F71"/>
    <w:rsid w:val="00346BC3"/>
    <w:rsid w:val="00353DDF"/>
    <w:rsid w:val="00353DFE"/>
    <w:rsid w:val="003573BB"/>
    <w:rsid w:val="00362561"/>
    <w:rsid w:val="00362F33"/>
    <w:rsid w:val="003642B0"/>
    <w:rsid w:val="0037233B"/>
    <w:rsid w:val="00373EE4"/>
    <w:rsid w:val="0038050C"/>
    <w:rsid w:val="00380E63"/>
    <w:rsid w:val="0038730D"/>
    <w:rsid w:val="00387921"/>
    <w:rsid w:val="00395422"/>
    <w:rsid w:val="0039713B"/>
    <w:rsid w:val="003A0D52"/>
    <w:rsid w:val="003B1D87"/>
    <w:rsid w:val="003B6DA8"/>
    <w:rsid w:val="003C1825"/>
    <w:rsid w:val="003C2E17"/>
    <w:rsid w:val="003C48D4"/>
    <w:rsid w:val="003C55ED"/>
    <w:rsid w:val="003C7E7F"/>
    <w:rsid w:val="003E1118"/>
    <w:rsid w:val="003E3C52"/>
    <w:rsid w:val="003E56A7"/>
    <w:rsid w:val="003F390F"/>
    <w:rsid w:val="003F6984"/>
    <w:rsid w:val="00401BA1"/>
    <w:rsid w:val="00404941"/>
    <w:rsid w:val="0040539F"/>
    <w:rsid w:val="00406E92"/>
    <w:rsid w:val="004103BE"/>
    <w:rsid w:val="00411185"/>
    <w:rsid w:val="00420F87"/>
    <w:rsid w:val="00422C7A"/>
    <w:rsid w:val="0042349E"/>
    <w:rsid w:val="00424146"/>
    <w:rsid w:val="0042745D"/>
    <w:rsid w:val="00430103"/>
    <w:rsid w:val="0043472F"/>
    <w:rsid w:val="00435A86"/>
    <w:rsid w:val="00440D4B"/>
    <w:rsid w:val="00446983"/>
    <w:rsid w:val="004477F7"/>
    <w:rsid w:val="00451F93"/>
    <w:rsid w:val="0045268A"/>
    <w:rsid w:val="00452C63"/>
    <w:rsid w:val="00456730"/>
    <w:rsid w:val="004575FD"/>
    <w:rsid w:val="004627EF"/>
    <w:rsid w:val="00462D96"/>
    <w:rsid w:val="004656FC"/>
    <w:rsid w:val="00467320"/>
    <w:rsid w:val="00472D71"/>
    <w:rsid w:val="0048549A"/>
    <w:rsid w:val="00486617"/>
    <w:rsid w:val="004914CA"/>
    <w:rsid w:val="00491939"/>
    <w:rsid w:val="00492516"/>
    <w:rsid w:val="00492FA9"/>
    <w:rsid w:val="004943D6"/>
    <w:rsid w:val="00495219"/>
    <w:rsid w:val="004A0424"/>
    <w:rsid w:val="004A4FFD"/>
    <w:rsid w:val="004A733B"/>
    <w:rsid w:val="004B0F48"/>
    <w:rsid w:val="004B0F92"/>
    <w:rsid w:val="004B15DA"/>
    <w:rsid w:val="004B377B"/>
    <w:rsid w:val="004C3917"/>
    <w:rsid w:val="004C3B1C"/>
    <w:rsid w:val="004D003F"/>
    <w:rsid w:val="004D0A49"/>
    <w:rsid w:val="004D0BC3"/>
    <w:rsid w:val="004D1253"/>
    <w:rsid w:val="004E3965"/>
    <w:rsid w:val="004E4022"/>
    <w:rsid w:val="004E44CD"/>
    <w:rsid w:val="004E4E26"/>
    <w:rsid w:val="004F0E6A"/>
    <w:rsid w:val="004F5A92"/>
    <w:rsid w:val="005014E0"/>
    <w:rsid w:val="00502D53"/>
    <w:rsid w:val="005042D3"/>
    <w:rsid w:val="00506D8A"/>
    <w:rsid w:val="005074C3"/>
    <w:rsid w:val="005123CC"/>
    <w:rsid w:val="00517002"/>
    <w:rsid w:val="005214DE"/>
    <w:rsid w:val="00525D19"/>
    <w:rsid w:val="00527562"/>
    <w:rsid w:val="005308DA"/>
    <w:rsid w:val="00531B47"/>
    <w:rsid w:val="00532A5A"/>
    <w:rsid w:val="00532AAB"/>
    <w:rsid w:val="00536959"/>
    <w:rsid w:val="0053704A"/>
    <w:rsid w:val="0054039F"/>
    <w:rsid w:val="00543BBC"/>
    <w:rsid w:val="00551773"/>
    <w:rsid w:val="00554239"/>
    <w:rsid w:val="005579BC"/>
    <w:rsid w:val="00561933"/>
    <w:rsid w:val="005728F3"/>
    <w:rsid w:val="00572C20"/>
    <w:rsid w:val="00573C3F"/>
    <w:rsid w:val="005748FD"/>
    <w:rsid w:val="00574DCB"/>
    <w:rsid w:val="005753EF"/>
    <w:rsid w:val="00581FB2"/>
    <w:rsid w:val="005829DE"/>
    <w:rsid w:val="00585603"/>
    <w:rsid w:val="00585661"/>
    <w:rsid w:val="00587047"/>
    <w:rsid w:val="0058723B"/>
    <w:rsid w:val="00590CC8"/>
    <w:rsid w:val="00592628"/>
    <w:rsid w:val="005944A6"/>
    <w:rsid w:val="0059726B"/>
    <w:rsid w:val="005A0130"/>
    <w:rsid w:val="005A4F42"/>
    <w:rsid w:val="005A6522"/>
    <w:rsid w:val="005B2EE7"/>
    <w:rsid w:val="005B52BF"/>
    <w:rsid w:val="005C6D29"/>
    <w:rsid w:val="005C6D86"/>
    <w:rsid w:val="005D0FA4"/>
    <w:rsid w:val="005D26BC"/>
    <w:rsid w:val="005D6B4F"/>
    <w:rsid w:val="005E21FD"/>
    <w:rsid w:val="005E2C4B"/>
    <w:rsid w:val="005E43E9"/>
    <w:rsid w:val="005E74BA"/>
    <w:rsid w:val="005E7DF0"/>
    <w:rsid w:val="005F1144"/>
    <w:rsid w:val="0060144B"/>
    <w:rsid w:val="0060207B"/>
    <w:rsid w:val="00604B1A"/>
    <w:rsid w:val="00613EA0"/>
    <w:rsid w:val="00615967"/>
    <w:rsid w:val="00616F4D"/>
    <w:rsid w:val="00621686"/>
    <w:rsid w:val="0063242C"/>
    <w:rsid w:val="00637A98"/>
    <w:rsid w:val="00637E3E"/>
    <w:rsid w:val="00640798"/>
    <w:rsid w:val="00640D13"/>
    <w:rsid w:val="00641323"/>
    <w:rsid w:val="0064227D"/>
    <w:rsid w:val="006431BB"/>
    <w:rsid w:val="00643664"/>
    <w:rsid w:val="00646D81"/>
    <w:rsid w:val="00650478"/>
    <w:rsid w:val="006520B5"/>
    <w:rsid w:val="006537EF"/>
    <w:rsid w:val="00654CFC"/>
    <w:rsid w:val="00655128"/>
    <w:rsid w:val="0065547F"/>
    <w:rsid w:val="00661318"/>
    <w:rsid w:val="00661ACC"/>
    <w:rsid w:val="00662475"/>
    <w:rsid w:val="0066453F"/>
    <w:rsid w:val="00666D8F"/>
    <w:rsid w:val="00670208"/>
    <w:rsid w:val="006735DC"/>
    <w:rsid w:val="00673C2B"/>
    <w:rsid w:val="006749E2"/>
    <w:rsid w:val="00675F61"/>
    <w:rsid w:val="00676268"/>
    <w:rsid w:val="006843DF"/>
    <w:rsid w:val="00684DDA"/>
    <w:rsid w:val="0068581D"/>
    <w:rsid w:val="00685C93"/>
    <w:rsid w:val="006864FD"/>
    <w:rsid w:val="00690751"/>
    <w:rsid w:val="0069079D"/>
    <w:rsid w:val="00693604"/>
    <w:rsid w:val="0069628A"/>
    <w:rsid w:val="00696982"/>
    <w:rsid w:val="006A000C"/>
    <w:rsid w:val="006A2AE1"/>
    <w:rsid w:val="006A536F"/>
    <w:rsid w:val="006B6733"/>
    <w:rsid w:val="006B7DBA"/>
    <w:rsid w:val="006C14A4"/>
    <w:rsid w:val="006C190E"/>
    <w:rsid w:val="006D59A7"/>
    <w:rsid w:val="006D7ED1"/>
    <w:rsid w:val="006E1029"/>
    <w:rsid w:val="006E1AB3"/>
    <w:rsid w:val="006E7A53"/>
    <w:rsid w:val="006F27F0"/>
    <w:rsid w:val="006F2919"/>
    <w:rsid w:val="006F5383"/>
    <w:rsid w:val="006F58B5"/>
    <w:rsid w:val="006F6017"/>
    <w:rsid w:val="0070305A"/>
    <w:rsid w:val="00704CCC"/>
    <w:rsid w:val="007078AA"/>
    <w:rsid w:val="00707C27"/>
    <w:rsid w:val="007105D6"/>
    <w:rsid w:val="0071095F"/>
    <w:rsid w:val="00711E28"/>
    <w:rsid w:val="007120AA"/>
    <w:rsid w:val="00712345"/>
    <w:rsid w:val="00715F66"/>
    <w:rsid w:val="00716E75"/>
    <w:rsid w:val="00717554"/>
    <w:rsid w:val="0072026E"/>
    <w:rsid w:val="007319DB"/>
    <w:rsid w:val="00731B68"/>
    <w:rsid w:val="007400B8"/>
    <w:rsid w:val="0074297C"/>
    <w:rsid w:val="00742F6A"/>
    <w:rsid w:val="00750C5F"/>
    <w:rsid w:val="0075388F"/>
    <w:rsid w:val="00761EAC"/>
    <w:rsid w:val="0076251A"/>
    <w:rsid w:val="00765B90"/>
    <w:rsid w:val="0076610E"/>
    <w:rsid w:val="0077100C"/>
    <w:rsid w:val="00772BB8"/>
    <w:rsid w:val="00774483"/>
    <w:rsid w:val="00780AAC"/>
    <w:rsid w:val="00784B6D"/>
    <w:rsid w:val="00785504"/>
    <w:rsid w:val="007864F4"/>
    <w:rsid w:val="007A50C9"/>
    <w:rsid w:val="007B4089"/>
    <w:rsid w:val="007B4F04"/>
    <w:rsid w:val="007B7570"/>
    <w:rsid w:val="007B7596"/>
    <w:rsid w:val="007C0589"/>
    <w:rsid w:val="007C09BB"/>
    <w:rsid w:val="007C30CB"/>
    <w:rsid w:val="007C3FB8"/>
    <w:rsid w:val="007C55CF"/>
    <w:rsid w:val="007C6CF6"/>
    <w:rsid w:val="007D3DDC"/>
    <w:rsid w:val="007D4C0B"/>
    <w:rsid w:val="007D5082"/>
    <w:rsid w:val="007E0711"/>
    <w:rsid w:val="007F102F"/>
    <w:rsid w:val="007F50FA"/>
    <w:rsid w:val="008014EA"/>
    <w:rsid w:val="00801F63"/>
    <w:rsid w:val="00806C14"/>
    <w:rsid w:val="0081172F"/>
    <w:rsid w:val="00815DA6"/>
    <w:rsid w:val="00821FC2"/>
    <w:rsid w:val="00836DB7"/>
    <w:rsid w:val="0084006D"/>
    <w:rsid w:val="00841F2F"/>
    <w:rsid w:val="00842447"/>
    <w:rsid w:val="00842E1C"/>
    <w:rsid w:val="00844067"/>
    <w:rsid w:val="00844876"/>
    <w:rsid w:val="0084497D"/>
    <w:rsid w:val="00846BA9"/>
    <w:rsid w:val="00847AA9"/>
    <w:rsid w:val="00855D44"/>
    <w:rsid w:val="008571E9"/>
    <w:rsid w:val="008611E8"/>
    <w:rsid w:val="00862058"/>
    <w:rsid w:val="0086615C"/>
    <w:rsid w:val="0086633E"/>
    <w:rsid w:val="008677BC"/>
    <w:rsid w:val="00874693"/>
    <w:rsid w:val="0088148F"/>
    <w:rsid w:val="00884A09"/>
    <w:rsid w:val="008905C6"/>
    <w:rsid w:val="00895AFA"/>
    <w:rsid w:val="008966BF"/>
    <w:rsid w:val="008A2469"/>
    <w:rsid w:val="008A3820"/>
    <w:rsid w:val="008A4F95"/>
    <w:rsid w:val="008B074D"/>
    <w:rsid w:val="008B3AA1"/>
    <w:rsid w:val="008B420F"/>
    <w:rsid w:val="008B4B40"/>
    <w:rsid w:val="008B734F"/>
    <w:rsid w:val="008C2761"/>
    <w:rsid w:val="008C3467"/>
    <w:rsid w:val="008C3F99"/>
    <w:rsid w:val="008C556E"/>
    <w:rsid w:val="008C5A98"/>
    <w:rsid w:val="008D40BB"/>
    <w:rsid w:val="008D49B8"/>
    <w:rsid w:val="008D515F"/>
    <w:rsid w:val="008E1C5F"/>
    <w:rsid w:val="008E4B18"/>
    <w:rsid w:val="008E577C"/>
    <w:rsid w:val="008E7F36"/>
    <w:rsid w:val="008F2DCC"/>
    <w:rsid w:val="008F354F"/>
    <w:rsid w:val="008F3FFE"/>
    <w:rsid w:val="008F5A0E"/>
    <w:rsid w:val="008F707B"/>
    <w:rsid w:val="008F7330"/>
    <w:rsid w:val="008F7D49"/>
    <w:rsid w:val="00900303"/>
    <w:rsid w:val="00901A9F"/>
    <w:rsid w:val="009065DE"/>
    <w:rsid w:val="0091131A"/>
    <w:rsid w:val="00915408"/>
    <w:rsid w:val="0091734D"/>
    <w:rsid w:val="00917787"/>
    <w:rsid w:val="00921006"/>
    <w:rsid w:val="00921FD7"/>
    <w:rsid w:val="00930048"/>
    <w:rsid w:val="00931B64"/>
    <w:rsid w:val="009324E2"/>
    <w:rsid w:val="00933069"/>
    <w:rsid w:val="00935705"/>
    <w:rsid w:val="009406C2"/>
    <w:rsid w:val="00944239"/>
    <w:rsid w:val="00950A1F"/>
    <w:rsid w:val="0095116B"/>
    <w:rsid w:val="00954B4E"/>
    <w:rsid w:val="00955545"/>
    <w:rsid w:val="00956F71"/>
    <w:rsid w:val="0096174F"/>
    <w:rsid w:val="00961858"/>
    <w:rsid w:val="00963439"/>
    <w:rsid w:val="00963FA4"/>
    <w:rsid w:val="009640AD"/>
    <w:rsid w:val="009703AE"/>
    <w:rsid w:val="0098175C"/>
    <w:rsid w:val="00982F9F"/>
    <w:rsid w:val="00984934"/>
    <w:rsid w:val="00986096"/>
    <w:rsid w:val="00992567"/>
    <w:rsid w:val="0099759C"/>
    <w:rsid w:val="009A45FA"/>
    <w:rsid w:val="009B2430"/>
    <w:rsid w:val="009C0606"/>
    <w:rsid w:val="009C08C1"/>
    <w:rsid w:val="009C20C9"/>
    <w:rsid w:val="009C4323"/>
    <w:rsid w:val="009D360F"/>
    <w:rsid w:val="009D52EB"/>
    <w:rsid w:val="009D5455"/>
    <w:rsid w:val="009E0098"/>
    <w:rsid w:val="009E326E"/>
    <w:rsid w:val="009F239A"/>
    <w:rsid w:val="009F38D3"/>
    <w:rsid w:val="009F3B85"/>
    <w:rsid w:val="009F43E3"/>
    <w:rsid w:val="009F44D1"/>
    <w:rsid w:val="009F7616"/>
    <w:rsid w:val="00A036A2"/>
    <w:rsid w:val="00A15852"/>
    <w:rsid w:val="00A1598D"/>
    <w:rsid w:val="00A16150"/>
    <w:rsid w:val="00A2276C"/>
    <w:rsid w:val="00A22816"/>
    <w:rsid w:val="00A24405"/>
    <w:rsid w:val="00A24D78"/>
    <w:rsid w:val="00A30D43"/>
    <w:rsid w:val="00A31E2F"/>
    <w:rsid w:val="00A32BFA"/>
    <w:rsid w:val="00A34D53"/>
    <w:rsid w:val="00A409EC"/>
    <w:rsid w:val="00A41255"/>
    <w:rsid w:val="00A50380"/>
    <w:rsid w:val="00A518B5"/>
    <w:rsid w:val="00A55877"/>
    <w:rsid w:val="00A628DC"/>
    <w:rsid w:val="00A67834"/>
    <w:rsid w:val="00A72F7D"/>
    <w:rsid w:val="00A7438C"/>
    <w:rsid w:val="00A744BF"/>
    <w:rsid w:val="00A75117"/>
    <w:rsid w:val="00A81B74"/>
    <w:rsid w:val="00A83BAF"/>
    <w:rsid w:val="00A92435"/>
    <w:rsid w:val="00A96199"/>
    <w:rsid w:val="00AA47DF"/>
    <w:rsid w:val="00AB0A16"/>
    <w:rsid w:val="00AB27D4"/>
    <w:rsid w:val="00AB481D"/>
    <w:rsid w:val="00AB6F89"/>
    <w:rsid w:val="00AC0257"/>
    <w:rsid w:val="00AC2217"/>
    <w:rsid w:val="00AC24D3"/>
    <w:rsid w:val="00AC6BAE"/>
    <w:rsid w:val="00AD41A0"/>
    <w:rsid w:val="00AE1499"/>
    <w:rsid w:val="00AE4628"/>
    <w:rsid w:val="00AE7248"/>
    <w:rsid w:val="00AF242D"/>
    <w:rsid w:val="00AF7A11"/>
    <w:rsid w:val="00B007A6"/>
    <w:rsid w:val="00B04503"/>
    <w:rsid w:val="00B04861"/>
    <w:rsid w:val="00B05A7A"/>
    <w:rsid w:val="00B13476"/>
    <w:rsid w:val="00B1349C"/>
    <w:rsid w:val="00B15D98"/>
    <w:rsid w:val="00B165C0"/>
    <w:rsid w:val="00B16C7B"/>
    <w:rsid w:val="00B225D3"/>
    <w:rsid w:val="00B25585"/>
    <w:rsid w:val="00B27FC1"/>
    <w:rsid w:val="00B317E5"/>
    <w:rsid w:val="00B425AB"/>
    <w:rsid w:val="00B42731"/>
    <w:rsid w:val="00B43292"/>
    <w:rsid w:val="00B43C98"/>
    <w:rsid w:val="00B457A4"/>
    <w:rsid w:val="00B465B5"/>
    <w:rsid w:val="00B47D21"/>
    <w:rsid w:val="00B47E26"/>
    <w:rsid w:val="00B514F1"/>
    <w:rsid w:val="00B54A85"/>
    <w:rsid w:val="00B60742"/>
    <w:rsid w:val="00B60C56"/>
    <w:rsid w:val="00B64108"/>
    <w:rsid w:val="00B65ECD"/>
    <w:rsid w:val="00B676D4"/>
    <w:rsid w:val="00B71546"/>
    <w:rsid w:val="00B76BB2"/>
    <w:rsid w:val="00B76BC3"/>
    <w:rsid w:val="00B76FB3"/>
    <w:rsid w:val="00B8081C"/>
    <w:rsid w:val="00B81048"/>
    <w:rsid w:val="00B81BF9"/>
    <w:rsid w:val="00B83D4E"/>
    <w:rsid w:val="00B846A4"/>
    <w:rsid w:val="00B86CA4"/>
    <w:rsid w:val="00B91D95"/>
    <w:rsid w:val="00B94CF0"/>
    <w:rsid w:val="00B97C93"/>
    <w:rsid w:val="00BA70A7"/>
    <w:rsid w:val="00BB15A2"/>
    <w:rsid w:val="00BB5D0F"/>
    <w:rsid w:val="00BC625D"/>
    <w:rsid w:val="00BD5D7E"/>
    <w:rsid w:val="00BE05CE"/>
    <w:rsid w:val="00BE2C84"/>
    <w:rsid w:val="00BF0BB1"/>
    <w:rsid w:val="00BF37E5"/>
    <w:rsid w:val="00BF44DD"/>
    <w:rsid w:val="00BF7095"/>
    <w:rsid w:val="00C00A0C"/>
    <w:rsid w:val="00C05950"/>
    <w:rsid w:val="00C06E26"/>
    <w:rsid w:val="00C06E71"/>
    <w:rsid w:val="00C10CEF"/>
    <w:rsid w:val="00C13E7D"/>
    <w:rsid w:val="00C16056"/>
    <w:rsid w:val="00C2790D"/>
    <w:rsid w:val="00C30A2B"/>
    <w:rsid w:val="00C359FA"/>
    <w:rsid w:val="00C3681E"/>
    <w:rsid w:val="00C372FF"/>
    <w:rsid w:val="00C40736"/>
    <w:rsid w:val="00C40E3B"/>
    <w:rsid w:val="00C4524B"/>
    <w:rsid w:val="00C60B73"/>
    <w:rsid w:val="00C658CE"/>
    <w:rsid w:val="00C704C6"/>
    <w:rsid w:val="00C803AB"/>
    <w:rsid w:val="00C815F1"/>
    <w:rsid w:val="00C865E0"/>
    <w:rsid w:val="00C9593A"/>
    <w:rsid w:val="00CA07FF"/>
    <w:rsid w:val="00CA4AF3"/>
    <w:rsid w:val="00CA5CE2"/>
    <w:rsid w:val="00CB51E4"/>
    <w:rsid w:val="00CB67B8"/>
    <w:rsid w:val="00CB7AD8"/>
    <w:rsid w:val="00CD3AA7"/>
    <w:rsid w:val="00CD3DF0"/>
    <w:rsid w:val="00CE1F58"/>
    <w:rsid w:val="00CE3B02"/>
    <w:rsid w:val="00CE3EB3"/>
    <w:rsid w:val="00CE4840"/>
    <w:rsid w:val="00CE7E34"/>
    <w:rsid w:val="00CF0C6A"/>
    <w:rsid w:val="00CF125C"/>
    <w:rsid w:val="00CF3ED8"/>
    <w:rsid w:val="00CF7A9A"/>
    <w:rsid w:val="00D0255A"/>
    <w:rsid w:val="00D07835"/>
    <w:rsid w:val="00D07F5F"/>
    <w:rsid w:val="00D13444"/>
    <w:rsid w:val="00D15CD1"/>
    <w:rsid w:val="00D16CD3"/>
    <w:rsid w:val="00D23770"/>
    <w:rsid w:val="00D26E27"/>
    <w:rsid w:val="00D272E6"/>
    <w:rsid w:val="00D27311"/>
    <w:rsid w:val="00D3057B"/>
    <w:rsid w:val="00D3123C"/>
    <w:rsid w:val="00D31D70"/>
    <w:rsid w:val="00D322ED"/>
    <w:rsid w:val="00D443DC"/>
    <w:rsid w:val="00D45984"/>
    <w:rsid w:val="00D45BE7"/>
    <w:rsid w:val="00D64520"/>
    <w:rsid w:val="00D6652C"/>
    <w:rsid w:val="00D707B6"/>
    <w:rsid w:val="00D70E20"/>
    <w:rsid w:val="00D7762A"/>
    <w:rsid w:val="00D80A74"/>
    <w:rsid w:val="00D82B2D"/>
    <w:rsid w:val="00D92601"/>
    <w:rsid w:val="00D941E4"/>
    <w:rsid w:val="00D9494C"/>
    <w:rsid w:val="00DA0C8E"/>
    <w:rsid w:val="00DA4C4D"/>
    <w:rsid w:val="00DB11D1"/>
    <w:rsid w:val="00DB1902"/>
    <w:rsid w:val="00DB4FB4"/>
    <w:rsid w:val="00DB5FB9"/>
    <w:rsid w:val="00DB6372"/>
    <w:rsid w:val="00DB7C5D"/>
    <w:rsid w:val="00DC4CA3"/>
    <w:rsid w:val="00DC75BB"/>
    <w:rsid w:val="00DD12AF"/>
    <w:rsid w:val="00DD1C56"/>
    <w:rsid w:val="00DD224C"/>
    <w:rsid w:val="00DD342A"/>
    <w:rsid w:val="00DD4E63"/>
    <w:rsid w:val="00DD7346"/>
    <w:rsid w:val="00DD7A97"/>
    <w:rsid w:val="00DE0DC2"/>
    <w:rsid w:val="00DE304C"/>
    <w:rsid w:val="00DE3B9C"/>
    <w:rsid w:val="00DE3BCD"/>
    <w:rsid w:val="00DF25B4"/>
    <w:rsid w:val="00DF6F29"/>
    <w:rsid w:val="00E00F67"/>
    <w:rsid w:val="00E07313"/>
    <w:rsid w:val="00E10F7B"/>
    <w:rsid w:val="00E1487F"/>
    <w:rsid w:val="00E14B11"/>
    <w:rsid w:val="00E14B4C"/>
    <w:rsid w:val="00E1605F"/>
    <w:rsid w:val="00E166D7"/>
    <w:rsid w:val="00E17508"/>
    <w:rsid w:val="00E22ED1"/>
    <w:rsid w:val="00E278CF"/>
    <w:rsid w:val="00E27AED"/>
    <w:rsid w:val="00E3074D"/>
    <w:rsid w:val="00E31EF3"/>
    <w:rsid w:val="00E3505B"/>
    <w:rsid w:val="00E4572D"/>
    <w:rsid w:val="00E46A6B"/>
    <w:rsid w:val="00E47876"/>
    <w:rsid w:val="00E47A91"/>
    <w:rsid w:val="00E523F6"/>
    <w:rsid w:val="00E528E4"/>
    <w:rsid w:val="00E53F05"/>
    <w:rsid w:val="00E5451A"/>
    <w:rsid w:val="00E56C72"/>
    <w:rsid w:val="00E6080B"/>
    <w:rsid w:val="00E63379"/>
    <w:rsid w:val="00E660AB"/>
    <w:rsid w:val="00E67E7B"/>
    <w:rsid w:val="00E703FA"/>
    <w:rsid w:val="00E7209B"/>
    <w:rsid w:val="00E739C0"/>
    <w:rsid w:val="00E8522C"/>
    <w:rsid w:val="00E857B4"/>
    <w:rsid w:val="00E87C8F"/>
    <w:rsid w:val="00E90F5C"/>
    <w:rsid w:val="00E9205D"/>
    <w:rsid w:val="00E93482"/>
    <w:rsid w:val="00E9398E"/>
    <w:rsid w:val="00EA157D"/>
    <w:rsid w:val="00EA2448"/>
    <w:rsid w:val="00EA424C"/>
    <w:rsid w:val="00EA6A61"/>
    <w:rsid w:val="00EA6C1E"/>
    <w:rsid w:val="00EB49D3"/>
    <w:rsid w:val="00EB5413"/>
    <w:rsid w:val="00EB5F6F"/>
    <w:rsid w:val="00EB64AC"/>
    <w:rsid w:val="00EB7D8A"/>
    <w:rsid w:val="00EC1694"/>
    <w:rsid w:val="00EC551B"/>
    <w:rsid w:val="00EC63B2"/>
    <w:rsid w:val="00EC7E3C"/>
    <w:rsid w:val="00ED1140"/>
    <w:rsid w:val="00ED23C8"/>
    <w:rsid w:val="00EE3F1B"/>
    <w:rsid w:val="00EE5592"/>
    <w:rsid w:val="00EE6AA9"/>
    <w:rsid w:val="00EF2F65"/>
    <w:rsid w:val="00EF3337"/>
    <w:rsid w:val="00EF4D24"/>
    <w:rsid w:val="00EF623C"/>
    <w:rsid w:val="00EF7184"/>
    <w:rsid w:val="00F01E52"/>
    <w:rsid w:val="00F03A5A"/>
    <w:rsid w:val="00F03E74"/>
    <w:rsid w:val="00F12D6B"/>
    <w:rsid w:val="00F130E8"/>
    <w:rsid w:val="00F13E41"/>
    <w:rsid w:val="00F16BF1"/>
    <w:rsid w:val="00F17084"/>
    <w:rsid w:val="00F22B60"/>
    <w:rsid w:val="00F24455"/>
    <w:rsid w:val="00F3355E"/>
    <w:rsid w:val="00F35D08"/>
    <w:rsid w:val="00F3657E"/>
    <w:rsid w:val="00F40D91"/>
    <w:rsid w:val="00F42DCB"/>
    <w:rsid w:val="00F4335F"/>
    <w:rsid w:val="00F47DAF"/>
    <w:rsid w:val="00F569BD"/>
    <w:rsid w:val="00F56C9C"/>
    <w:rsid w:val="00F57719"/>
    <w:rsid w:val="00F614FC"/>
    <w:rsid w:val="00F66D0B"/>
    <w:rsid w:val="00F70C53"/>
    <w:rsid w:val="00F7151C"/>
    <w:rsid w:val="00F749C4"/>
    <w:rsid w:val="00F75767"/>
    <w:rsid w:val="00F80879"/>
    <w:rsid w:val="00F80EB2"/>
    <w:rsid w:val="00F83DE5"/>
    <w:rsid w:val="00F8448D"/>
    <w:rsid w:val="00F858C8"/>
    <w:rsid w:val="00F85A69"/>
    <w:rsid w:val="00F87292"/>
    <w:rsid w:val="00F904BF"/>
    <w:rsid w:val="00F94EDC"/>
    <w:rsid w:val="00F97F19"/>
    <w:rsid w:val="00FA02EE"/>
    <w:rsid w:val="00FA063A"/>
    <w:rsid w:val="00FA61B5"/>
    <w:rsid w:val="00FB0D74"/>
    <w:rsid w:val="00FB1F4D"/>
    <w:rsid w:val="00FB3032"/>
    <w:rsid w:val="00FB380C"/>
    <w:rsid w:val="00FB4AFF"/>
    <w:rsid w:val="00FB65F9"/>
    <w:rsid w:val="00FB7ABC"/>
    <w:rsid w:val="00FC3737"/>
    <w:rsid w:val="00FE5A7D"/>
    <w:rsid w:val="00FF077B"/>
    <w:rsid w:val="00FF45F0"/>
    <w:rsid w:val="030AF84E"/>
    <w:rsid w:val="18D82EF9"/>
    <w:rsid w:val="1C6FBF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semiHidden/>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character" w:styleId="Mencinsinresolver">
    <w:name w:val="Unresolved Mention"/>
    <w:basedOn w:val="Fuentedeprrafopredeter"/>
    <w:uiPriority w:val="99"/>
    <w:semiHidden/>
    <w:unhideWhenUsed/>
    <w:rsid w:val="00313109"/>
    <w:rPr>
      <w:color w:val="605E5C"/>
      <w:shd w:val="clear" w:color="auto" w:fill="E1DFDD"/>
    </w:rPr>
  </w:style>
  <w:style w:type="table" w:styleId="Tablaconcuadrcula">
    <w:name w:val="Table Grid"/>
    <w:basedOn w:val="Tablanormal"/>
    <w:uiPriority w:val="59"/>
    <w:rsid w:val="00A34D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rsid w:val="00B317E5"/>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3061</Words>
  <Characters>16919</Characters>
  <Application>Microsoft Office Word</Application>
  <DocSecurity>0</DocSecurity>
  <Lines>140</Lines>
  <Paragraphs>39</Paragraphs>
  <ScaleCrop>false</ScaleCrop>
  <Company>CREG</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2</cp:revision>
  <cp:lastPrinted>2021-11-22T22:07:00Z</cp:lastPrinted>
  <dcterms:created xsi:type="dcterms:W3CDTF">2024-04-17T19:25:00Z</dcterms:created>
  <dcterms:modified xsi:type="dcterms:W3CDTF">2024-04-17T19:25:00Z</dcterms:modified>
</cp:coreProperties>
</file>