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171A" w14:textId="77777777" w:rsidR="006B78AA" w:rsidRPr="00FF1431" w:rsidRDefault="006B78AA" w:rsidP="00A8694A">
      <w:pPr>
        <w:rPr>
          <w:rFonts w:cs="Arial"/>
        </w:rPr>
      </w:pPr>
    </w:p>
    <w:p w14:paraId="0CB71831" w14:textId="77777777" w:rsidR="006B78AA" w:rsidRPr="00FF1431" w:rsidRDefault="006B78AA" w:rsidP="00A8694A">
      <w:pPr>
        <w:rPr>
          <w:rFonts w:cs="Arial"/>
        </w:rPr>
      </w:pPr>
    </w:p>
    <w:p w14:paraId="6727B7CF" w14:textId="77777777" w:rsidR="00020441" w:rsidRPr="00FF1431" w:rsidRDefault="00000520" w:rsidP="00A8694A">
      <w:pPr>
        <w:rPr>
          <w:rFonts w:cs="Arial"/>
        </w:rPr>
      </w:pPr>
      <w:r w:rsidRPr="00FF1431">
        <w:rPr>
          <w:rFonts w:cs="Arial"/>
          <w:noProof/>
          <w:sz w:val="20"/>
          <w:lang w:eastAsia="es-CO"/>
        </w:rPr>
        <w:drawing>
          <wp:anchor distT="0" distB="0" distL="114300" distR="114300" simplePos="0" relativeHeight="251658240" behindDoc="0" locked="0" layoutInCell="1" allowOverlap="1" wp14:anchorId="39AB8F77" wp14:editId="05AB97BC">
            <wp:simplePos x="0" y="0"/>
            <wp:positionH relativeFrom="column">
              <wp:posOffset>1714500</wp:posOffset>
            </wp:positionH>
            <wp:positionV relativeFrom="paragraph">
              <wp:posOffset>215265</wp:posOffset>
            </wp:positionV>
            <wp:extent cx="2377440" cy="109283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744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C38040" w14:textId="77777777" w:rsidR="00020441" w:rsidRPr="00FF1431" w:rsidRDefault="00020441" w:rsidP="00A8694A">
      <w:pPr>
        <w:rPr>
          <w:rFonts w:cs="Arial"/>
        </w:rPr>
      </w:pPr>
    </w:p>
    <w:p w14:paraId="5C1C0159" w14:textId="77777777" w:rsidR="00020441" w:rsidRPr="00FF1431" w:rsidRDefault="00020441" w:rsidP="002A3F8D">
      <w:pPr>
        <w:pStyle w:val="TDC1"/>
      </w:pPr>
    </w:p>
    <w:p w14:paraId="396C94F7" w14:textId="008A6512" w:rsidR="00020441" w:rsidRPr="00FF1431" w:rsidRDefault="00020441" w:rsidP="00A8694A">
      <w:pPr>
        <w:rPr>
          <w:rFonts w:cs="Arial"/>
        </w:rPr>
      </w:pPr>
    </w:p>
    <w:p w14:paraId="4677175C" w14:textId="4AFB1475" w:rsidR="001B5253" w:rsidRPr="00FF1431" w:rsidRDefault="00AF2F01" w:rsidP="001B5253">
      <w:pPr>
        <w:pStyle w:val="Textoindependiente"/>
        <w:rPr>
          <w:rFonts w:cs="Arial"/>
          <w:sz w:val="44"/>
          <w:szCs w:val="44"/>
        </w:rPr>
      </w:pPr>
      <w:r w:rsidRPr="00FF1431">
        <w:rPr>
          <w:rFonts w:cs="Arial"/>
          <w:sz w:val="44"/>
          <w:szCs w:val="44"/>
        </w:rPr>
        <w:t xml:space="preserve">DISPOSICIONES TRANSITORIAS </w:t>
      </w:r>
      <w:r w:rsidRPr="003E5C76">
        <w:rPr>
          <w:rFonts w:cs="Arial"/>
          <w:sz w:val="44"/>
          <w:szCs w:val="44"/>
        </w:rPr>
        <w:t>SOBRE LOS MECANISMOS DE CUBRIMIENTO PARA LAS TRANSACCIONES DE ENERGÍA MAYORISTA</w:t>
      </w:r>
    </w:p>
    <w:p w14:paraId="70760811" w14:textId="1BEDCF4E" w:rsidR="00020441" w:rsidRPr="00FF1431" w:rsidRDefault="00020441" w:rsidP="002A3F8D">
      <w:pPr>
        <w:pStyle w:val="TDC1"/>
      </w:pPr>
    </w:p>
    <w:p w14:paraId="0D36947E" w14:textId="77777777" w:rsidR="00A20F27" w:rsidRPr="00FF1431" w:rsidRDefault="00A20F27" w:rsidP="00A20F27">
      <w:pPr>
        <w:rPr>
          <w:rFonts w:cs="Arial"/>
        </w:rPr>
      </w:pPr>
    </w:p>
    <w:p w14:paraId="0865745E" w14:textId="77777777" w:rsidR="006C35D5" w:rsidRPr="00FF1431" w:rsidRDefault="006C35D5" w:rsidP="00A8694A">
      <w:pPr>
        <w:rPr>
          <w:rFonts w:cs="Arial"/>
        </w:rPr>
      </w:pPr>
    </w:p>
    <w:p w14:paraId="27261EAD" w14:textId="77777777" w:rsidR="00020441" w:rsidRPr="00FF1431" w:rsidRDefault="00020441" w:rsidP="00A8694A">
      <w:pPr>
        <w:rPr>
          <w:rFonts w:cs="Arial"/>
        </w:rPr>
      </w:pPr>
    </w:p>
    <w:p w14:paraId="1207E972" w14:textId="77777777" w:rsidR="00020441" w:rsidRPr="00FF1431" w:rsidRDefault="00020441" w:rsidP="00A8694A">
      <w:pPr>
        <w:rPr>
          <w:rFonts w:cs="Arial"/>
        </w:rPr>
      </w:pPr>
    </w:p>
    <w:p w14:paraId="54937648" w14:textId="60862155" w:rsidR="00020441" w:rsidRPr="00FF1431" w:rsidRDefault="00020441" w:rsidP="00A8694A">
      <w:pPr>
        <w:rPr>
          <w:rFonts w:cs="Arial"/>
          <w:b/>
          <w:caps/>
          <w:sz w:val="36"/>
          <w:lang w:val="es-ES"/>
        </w:rPr>
      </w:pPr>
      <w:r w:rsidRPr="00FF1431">
        <w:rPr>
          <w:rFonts w:cs="Arial"/>
          <w:b/>
          <w:caps/>
          <w:sz w:val="28"/>
          <w:lang w:val="es-ES"/>
        </w:rPr>
        <w:t xml:space="preserve">DOCUMENTO </w:t>
      </w:r>
      <w:r w:rsidRPr="00FF1431">
        <w:rPr>
          <w:rFonts w:cs="Arial"/>
          <w:b/>
          <w:caps/>
          <w:sz w:val="40"/>
          <w:lang w:val="es-ES"/>
        </w:rPr>
        <w:t>CREG</w:t>
      </w:r>
      <w:r w:rsidR="005616BE">
        <w:rPr>
          <w:rFonts w:cs="Arial"/>
          <w:b/>
          <w:caps/>
          <w:sz w:val="40"/>
          <w:lang w:val="es-ES"/>
        </w:rPr>
        <w:t xml:space="preserve">- </w:t>
      </w:r>
      <w:r w:rsidR="00AF2F01">
        <w:rPr>
          <w:rFonts w:cs="Arial"/>
          <w:b/>
          <w:caps/>
          <w:sz w:val="40"/>
          <w:lang w:val="es-ES"/>
        </w:rPr>
        <w:t>901 061</w:t>
      </w:r>
    </w:p>
    <w:p w14:paraId="382D8704" w14:textId="1E3E658D" w:rsidR="00020441" w:rsidRPr="00C638AD" w:rsidRDefault="00AF2F01" w:rsidP="00A8694A">
      <w:pPr>
        <w:tabs>
          <w:tab w:val="left" w:pos="9142"/>
        </w:tabs>
        <w:rPr>
          <w:rFonts w:cs="Arial"/>
          <w:b/>
          <w:caps/>
          <w:sz w:val="28"/>
          <w:lang w:val="es-ES"/>
        </w:rPr>
      </w:pPr>
      <w:r>
        <w:rPr>
          <w:rFonts w:cs="Arial"/>
          <w:b/>
          <w:caps/>
          <w:sz w:val="28"/>
          <w:lang w:val="es-ES"/>
        </w:rPr>
        <w:t>15</w:t>
      </w:r>
      <w:r w:rsidR="003F1EC5">
        <w:rPr>
          <w:rFonts w:cs="Arial"/>
          <w:b/>
          <w:caps/>
          <w:sz w:val="28"/>
          <w:lang w:val="es-ES"/>
        </w:rPr>
        <w:t xml:space="preserve"> </w:t>
      </w:r>
      <w:r w:rsidR="00C638AD">
        <w:rPr>
          <w:rFonts w:cs="Arial"/>
          <w:b/>
          <w:caps/>
          <w:sz w:val="28"/>
          <w:lang w:val="es-ES"/>
        </w:rPr>
        <w:t xml:space="preserve">de </w:t>
      </w:r>
      <w:r w:rsidR="003F1EC5">
        <w:rPr>
          <w:rFonts w:cs="Arial"/>
          <w:b/>
          <w:caps/>
          <w:sz w:val="28"/>
          <w:lang w:val="es-ES"/>
        </w:rPr>
        <w:t xml:space="preserve">abril </w:t>
      </w:r>
      <w:r w:rsidR="00C638AD">
        <w:rPr>
          <w:rFonts w:cs="Arial"/>
          <w:b/>
          <w:caps/>
          <w:sz w:val="28"/>
          <w:lang w:val="es-ES"/>
        </w:rPr>
        <w:t xml:space="preserve">de </w:t>
      </w:r>
      <w:r w:rsidR="003F1EC5" w:rsidRPr="00FF1431">
        <w:rPr>
          <w:rFonts w:cs="Arial"/>
          <w:b/>
          <w:caps/>
          <w:sz w:val="28"/>
          <w:lang w:val="es-ES"/>
        </w:rPr>
        <w:t>202</w:t>
      </w:r>
      <w:r w:rsidR="003F1EC5">
        <w:rPr>
          <w:rFonts w:cs="Arial"/>
          <w:b/>
          <w:caps/>
          <w:sz w:val="28"/>
          <w:lang w:val="es-ES"/>
        </w:rPr>
        <w:t>4</w:t>
      </w:r>
    </w:p>
    <w:p w14:paraId="45A17CA5" w14:textId="77777777" w:rsidR="00D14099" w:rsidRPr="00FF1431" w:rsidRDefault="00D14099" w:rsidP="00A8694A">
      <w:pPr>
        <w:rPr>
          <w:rFonts w:cs="Arial"/>
          <w:lang w:val="es-ES"/>
        </w:rPr>
      </w:pPr>
    </w:p>
    <w:p w14:paraId="5F3797C3" w14:textId="77777777" w:rsidR="00020441" w:rsidRPr="00FF1431" w:rsidRDefault="00020441" w:rsidP="00A8694A">
      <w:pPr>
        <w:ind w:left="4956"/>
        <w:rPr>
          <w:rFonts w:cs="Arial"/>
        </w:rPr>
      </w:pPr>
    </w:p>
    <w:p w14:paraId="72C5FB2A" w14:textId="77777777" w:rsidR="00020441" w:rsidRPr="00FF1431" w:rsidRDefault="00020441" w:rsidP="00A8694A">
      <w:pPr>
        <w:ind w:left="4956"/>
        <w:rPr>
          <w:rFonts w:cs="Arial"/>
          <w:b/>
        </w:rPr>
      </w:pPr>
    </w:p>
    <w:tbl>
      <w:tblPr>
        <w:tblW w:w="0" w:type="auto"/>
        <w:tblInd w:w="4678" w:type="dxa"/>
        <w:tblCellMar>
          <w:left w:w="70" w:type="dxa"/>
          <w:right w:w="70" w:type="dxa"/>
        </w:tblCellMar>
        <w:tblLook w:val="0000" w:firstRow="0" w:lastRow="0" w:firstColumn="0" w:lastColumn="0" w:noHBand="0" w:noVBand="0"/>
      </w:tblPr>
      <w:tblGrid>
        <w:gridCol w:w="4394"/>
      </w:tblGrid>
      <w:tr w:rsidR="00020441" w:rsidRPr="007256E5" w14:paraId="58F09DF4" w14:textId="77777777" w:rsidTr="00F47571">
        <w:tc>
          <w:tcPr>
            <w:tcW w:w="4394" w:type="dxa"/>
          </w:tcPr>
          <w:p w14:paraId="3041669B" w14:textId="77777777" w:rsidR="0077100C" w:rsidRPr="00FF1431" w:rsidRDefault="0077100C" w:rsidP="00A8694A">
            <w:pPr>
              <w:rPr>
                <w:rFonts w:cs="Arial"/>
                <w:b/>
              </w:rPr>
            </w:pPr>
          </w:p>
          <w:p w14:paraId="580A14F6" w14:textId="77777777" w:rsidR="0077100C" w:rsidRPr="00FF1431" w:rsidRDefault="0077100C" w:rsidP="00A8694A">
            <w:pPr>
              <w:rPr>
                <w:rFonts w:cs="Arial"/>
                <w:b/>
              </w:rPr>
            </w:pPr>
          </w:p>
          <w:p w14:paraId="15D2F43E" w14:textId="77777777" w:rsidR="00020441" w:rsidRPr="00FF1431" w:rsidRDefault="00020441" w:rsidP="00A8694A">
            <w:pPr>
              <w:rPr>
                <w:rFonts w:cs="Arial"/>
                <w:b/>
              </w:rPr>
            </w:pPr>
            <w:r w:rsidRPr="00FF1431">
              <w:rPr>
                <w:rFonts w:cs="Arial"/>
                <w:b/>
              </w:rPr>
              <w:t>CIRCULACIÓN:</w:t>
            </w:r>
          </w:p>
        </w:tc>
      </w:tr>
      <w:tr w:rsidR="00020441" w:rsidRPr="007256E5" w14:paraId="6D8368C7" w14:textId="77777777" w:rsidTr="00F47571">
        <w:tc>
          <w:tcPr>
            <w:tcW w:w="4394" w:type="dxa"/>
          </w:tcPr>
          <w:p w14:paraId="21E872A8" w14:textId="77777777" w:rsidR="00020441" w:rsidRPr="00FF1431" w:rsidRDefault="00020441" w:rsidP="00A8694A">
            <w:pPr>
              <w:rPr>
                <w:rFonts w:cs="Arial"/>
                <w:b/>
              </w:rPr>
            </w:pPr>
            <w:r w:rsidRPr="00FF1431">
              <w:rPr>
                <w:rFonts w:cs="Arial"/>
                <w:b/>
              </w:rPr>
              <w:t>MIEMBROS DE LA COMISIÓN DE</w:t>
            </w:r>
          </w:p>
        </w:tc>
      </w:tr>
      <w:tr w:rsidR="00020441" w:rsidRPr="007256E5" w14:paraId="680922EB" w14:textId="77777777" w:rsidTr="00F47571">
        <w:tc>
          <w:tcPr>
            <w:tcW w:w="4394" w:type="dxa"/>
          </w:tcPr>
          <w:p w14:paraId="65577AA6" w14:textId="77777777" w:rsidR="00020441" w:rsidRPr="00FF1431" w:rsidRDefault="00020441" w:rsidP="00A8694A">
            <w:pPr>
              <w:tabs>
                <w:tab w:val="left" w:pos="4606"/>
                <w:tab w:val="left" w:pos="9142"/>
              </w:tabs>
              <w:rPr>
                <w:rFonts w:cs="Arial"/>
                <w:b/>
              </w:rPr>
            </w:pPr>
            <w:r w:rsidRPr="00FF1431">
              <w:rPr>
                <w:rFonts w:cs="Arial"/>
                <w:b/>
              </w:rPr>
              <w:t>REGULACIÓN DE ENERGÍA Y GAS</w:t>
            </w:r>
          </w:p>
        </w:tc>
      </w:tr>
    </w:tbl>
    <w:p w14:paraId="6F1F25AF" w14:textId="323A3C95" w:rsidR="00E7209B" w:rsidRPr="00FF1431" w:rsidRDefault="00020441" w:rsidP="00CE28EB">
      <w:pPr>
        <w:pStyle w:val="Ttulo1"/>
        <w:keepNext w:val="0"/>
        <w:numPr>
          <w:ilvl w:val="0"/>
          <w:numId w:val="0"/>
        </w:numPr>
        <w:ind w:left="431"/>
        <w:rPr>
          <w:rFonts w:cs="Arial"/>
        </w:rPr>
      </w:pPr>
      <w:r w:rsidRPr="00FF1431">
        <w:rPr>
          <w:rFonts w:cs="Arial"/>
        </w:rPr>
        <w:br w:type="page"/>
      </w:r>
      <w:bookmarkStart w:id="0" w:name="_Toc417034533"/>
      <w:bookmarkStart w:id="1" w:name="_Toc429486657"/>
    </w:p>
    <w:p w14:paraId="21B9DC15" w14:textId="77777777" w:rsidR="00E7209B" w:rsidRPr="00FF1431" w:rsidRDefault="00E7209B" w:rsidP="00A8694A">
      <w:pPr>
        <w:rPr>
          <w:rFonts w:cs="Arial"/>
        </w:rPr>
      </w:pPr>
    </w:p>
    <w:p w14:paraId="723CD2D0" w14:textId="77777777" w:rsidR="004E3965" w:rsidRPr="00FF1431" w:rsidRDefault="004E3965" w:rsidP="001825B5">
      <w:pPr>
        <w:jc w:val="center"/>
        <w:rPr>
          <w:rFonts w:cs="Arial"/>
          <w:b/>
          <w:sz w:val="28"/>
          <w:szCs w:val="28"/>
        </w:rPr>
      </w:pPr>
      <w:r w:rsidRPr="00FF1431">
        <w:rPr>
          <w:rFonts w:cs="Arial"/>
          <w:b/>
          <w:sz w:val="28"/>
          <w:szCs w:val="28"/>
        </w:rPr>
        <w:t>C</w:t>
      </w:r>
      <w:r w:rsidR="003C55ED" w:rsidRPr="00FF1431">
        <w:rPr>
          <w:rFonts w:cs="Arial"/>
          <w:b/>
          <w:sz w:val="28"/>
          <w:szCs w:val="28"/>
        </w:rPr>
        <w:t>ONTENIDO</w:t>
      </w:r>
      <w:bookmarkEnd w:id="0"/>
      <w:bookmarkEnd w:id="1"/>
    </w:p>
    <w:sdt>
      <w:sdtPr>
        <w:rPr>
          <w:rFonts w:cs="Arial"/>
          <w:lang w:val="es-ES"/>
        </w:rPr>
        <w:id w:val="-2028864548"/>
        <w:docPartObj>
          <w:docPartGallery w:val="Table of Contents"/>
          <w:docPartUnique/>
        </w:docPartObj>
      </w:sdtPr>
      <w:sdtEndPr>
        <w:rPr>
          <w:b/>
        </w:rPr>
      </w:sdtEndPr>
      <w:sdtContent>
        <w:p w14:paraId="227076D1" w14:textId="77777777" w:rsidR="006810E6" w:rsidRPr="00FF1431" w:rsidRDefault="006810E6" w:rsidP="00A8694A">
          <w:pPr>
            <w:rPr>
              <w:rFonts w:cs="Arial"/>
            </w:rPr>
          </w:pPr>
        </w:p>
        <w:p w14:paraId="5A690725" w14:textId="51AAD332" w:rsidR="00F1461A" w:rsidRDefault="006810E6">
          <w:pPr>
            <w:pStyle w:val="TDC1"/>
            <w:rPr>
              <w:rFonts w:asciiTheme="minorHAnsi" w:eastAsiaTheme="minorEastAsia" w:hAnsiTheme="minorHAnsi" w:cstheme="minorBidi"/>
              <w:kern w:val="2"/>
              <w:sz w:val="22"/>
              <w:szCs w:val="22"/>
              <w:lang w:val="es-CO" w:eastAsia="es-CO"/>
              <w14:ligatures w14:val="standardContextual"/>
            </w:rPr>
          </w:pPr>
          <w:r w:rsidRPr="00FF1431">
            <w:rPr>
              <w:rFonts w:cs="Arial"/>
              <w:b/>
            </w:rPr>
            <w:fldChar w:fldCharType="begin"/>
          </w:r>
          <w:r w:rsidRPr="00FF1431">
            <w:rPr>
              <w:rFonts w:cs="Arial"/>
              <w:b/>
            </w:rPr>
            <w:instrText xml:space="preserve"> TOC \o "1-3" \h \z \u </w:instrText>
          </w:r>
          <w:r w:rsidRPr="00FF1431">
            <w:rPr>
              <w:rFonts w:cs="Arial"/>
              <w:b/>
            </w:rPr>
            <w:fldChar w:fldCharType="separate"/>
          </w:r>
          <w:hyperlink w:anchor="_Toc150524980" w:history="1">
            <w:r w:rsidR="00F1461A" w:rsidRPr="00237F26">
              <w:rPr>
                <w:rStyle w:val="Hipervnculo"/>
                <w:rFonts w:cs="Arial"/>
                <w:lang w:val="es-ES_tradnl"/>
              </w:rPr>
              <w:t>1.</w:t>
            </w:r>
            <w:r w:rsidR="00F1461A">
              <w:rPr>
                <w:rFonts w:asciiTheme="minorHAnsi" w:eastAsiaTheme="minorEastAsia" w:hAnsiTheme="minorHAnsi" w:cstheme="minorBidi"/>
                <w:kern w:val="2"/>
                <w:sz w:val="22"/>
                <w:szCs w:val="22"/>
                <w:lang w:val="es-CO" w:eastAsia="es-CO"/>
                <w14:ligatures w14:val="standardContextual"/>
              </w:rPr>
              <w:tab/>
            </w:r>
            <w:r w:rsidR="00F1461A" w:rsidRPr="00237F26">
              <w:rPr>
                <w:rStyle w:val="Hipervnculo"/>
                <w:rFonts w:cs="Arial"/>
              </w:rPr>
              <w:t>ANTECEDENTES</w:t>
            </w:r>
            <w:r w:rsidR="00F1461A">
              <w:rPr>
                <w:webHidden/>
              </w:rPr>
              <w:tab/>
            </w:r>
            <w:r w:rsidR="00F1461A">
              <w:rPr>
                <w:webHidden/>
              </w:rPr>
              <w:fldChar w:fldCharType="begin"/>
            </w:r>
            <w:r w:rsidR="00F1461A">
              <w:rPr>
                <w:webHidden/>
              </w:rPr>
              <w:instrText xml:space="preserve"> PAGEREF _Toc150524980 \h </w:instrText>
            </w:r>
            <w:r w:rsidR="00F1461A">
              <w:rPr>
                <w:webHidden/>
              </w:rPr>
            </w:r>
            <w:r w:rsidR="00F1461A">
              <w:rPr>
                <w:webHidden/>
              </w:rPr>
              <w:fldChar w:fldCharType="separate"/>
            </w:r>
            <w:r w:rsidR="00022C18">
              <w:rPr>
                <w:webHidden/>
              </w:rPr>
              <w:t>3</w:t>
            </w:r>
            <w:r w:rsidR="00F1461A">
              <w:rPr>
                <w:webHidden/>
              </w:rPr>
              <w:fldChar w:fldCharType="end"/>
            </w:r>
          </w:hyperlink>
        </w:p>
        <w:p w14:paraId="0A43F9BA" w14:textId="5FEF4F73" w:rsidR="00F1461A" w:rsidRDefault="00000000">
          <w:pPr>
            <w:pStyle w:val="TDC1"/>
            <w:rPr>
              <w:rFonts w:asciiTheme="minorHAnsi" w:eastAsiaTheme="minorEastAsia" w:hAnsiTheme="minorHAnsi" w:cstheme="minorBidi"/>
              <w:kern w:val="2"/>
              <w:sz w:val="22"/>
              <w:szCs w:val="22"/>
              <w:lang w:val="es-CO" w:eastAsia="es-CO"/>
              <w14:ligatures w14:val="standardContextual"/>
            </w:rPr>
          </w:pPr>
          <w:hyperlink w:anchor="_Toc150524981" w:history="1">
            <w:r w:rsidR="00F1461A" w:rsidRPr="00237F26">
              <w:rPr>
                <w:rStyle w:val="Hipervnculo"/>
                <w:rFonts w:cs="Arial"/>
                <w:lang w:val="es-ES_tradnl"/>
              </w:rPr>
              <w:t>2.</w:t>
            </w:r>
            <w:r w:rsidR="00F1461A">
              <w:rPr>
                <w:rFonts w:asciiTheme="minorHAnsi" w:eastAsiaTheme="minorEastAsia" w:hAnsiTheme="minorHAnsi" w:cstheme="minorBidi"/>
                <w:kern w:val="2"/>
                <w:sz w:val="22"/>
                <w:szCs w:val="22"/>
                <w:lang w:val="es-CO" w:eastAsia="es-CO"/>
                <w14:ligatures w14:val="standardContextual"/>
              </w:rPr>
              <w:tab/>
            </w:r>
            <w:r w:rsidR="00F1461A" w:rsidRPr="00237F26">
              <w:rPr>
                <w:rStyle w:val="Hipervnculo"/>
                <w:rFonts w:cs="Arial"/>
              </w:rPr>
              <w:t>ANÁLISIS DE LA SITUACIÓN</w:t>
            </w:r>
            <w:r w:rsidR="00F1461A">
              <w:rPr>
                <w:webHidden/>
              </w:rPr>
              <w:tab/>
            </w:r>
            <w:r w:rsidR="00F1461A">
              <w:rPr>
                <w:webHidden/>
              </w:rPr>
              <w:fldChar w:fldCharType="begin"/>
            </w:r>
            <w:r w:rsidR="00F1461A">
              <w:rPr>
                <w:webHidden/>
              </w:rPr>
              <w:instrText xml:space="preserve"> PAGEREF _Toc150524981 \h </w:instrText>
            </w:r>
            <w:r w:rsidR="00F1461A">
              <w:rPr>
                <w:webHidden/>
              </w:rPr>
            </w:r>
            <w:r w:rsidR="00F1461A">
              <w:rPr>
                <w:webHidden/>
              </w:rPr>
              <w:fldChar w:fldCharType="separate"/>
            </w:r>
            <w:r w:rsidR="00022C18">
              <w:rPr>
                <w:webHidden/>
              </w:rPr>
              <w:t>6</w:t>
            </w:r>
            <w:r w:rsidR="00F1461A">
              <w:rPr>
                <w:webHidden/>
              </w:rPr>
              <w:fldChar w:fldCharType="end"/>
            </w:r>
          </w:hyperlink>
        </w:p>
        <w:p w14:paraId="6CCFFB88" w14:textId="5FE08A9E" w:rsidR="00F1461A" w:rsidRDefault="00000000">
          <w:pPr>
            <w:pStyle w:val="TDC1"/>
            <w:rPr>
              <w:rFonts w:asciiTheme="minorHAnsi" w:eastAsiaTheme="minorEastAsia" w:hAnsiTheme="minorHAnsi" w:cstheme="minorBidi"/>
              <w:kern w:val="2"/>
              <w:sz w:val="22"/>
              <w:szCs w:val="22"/>
              <w:lang w:val="es-CO" w:eastAsia="es-CO"/>
              <w14:ligatures w14:val="standardContextual"/>
            </w:rPr>
          </w:pPr>
          <w:hyperlink w:anchor="_Toc150524982" w:history="1">
            <w:r w:rsidR="00F1461A" w:rsidRPr="00237F26">
              <w:rPr>
                <w:rStyle w:val="Hipervnculo"/>
                <w:rFonts w:cs="Arial"/>
                <w:lang w:val="es-ES_tradnl"/>
              </w:rPr>
              <w:t>3.</w:t>
            </w:r>
            <w:r w:rsidR="00F1461A">
              <w:rPr>
                <w:rFonts w:asciiTheme="minorHAnsi" w:eastAsiaTheme="minorEastAsia" w:hAnsiTheme="minorHAnsi" w:cstheme="minorBidi"/>
                <w:kern w:val="2"/>
                <w:sz w:val="22"/>
                <w:szCs w:val="22"/>
                <w:lang w:val="es-CO" w:eastAsia="es-CO"/>
                <w14:ligatures w14:val="standardContextual"/>
              </w:rPr>
              <w:tab/>
            </w:r>
            <w:r w:rsidR="00F1461A" w:rsidRPr="00237F26">
              <w:rPr>
                <w:rStyle w:val="Hipervnculo"/>
                <w:rFonts w:cs="Arial"/>
              </w:rPr>
              <w:t>PROBLEMA</w:t>
            </w:r>
            <w:r w:rsidR="00F1461A">
              <w:rPr>
                <w:webHidden/>
              </w:rPr>
              <w:tab/>
            </w:r>
            <w:r w:rsidR="00F1461A">
              <w:rPr>
                <w:webHidden/>
              </w:rPr>
              <w:fldChar w:fldCharType="begin"/>
            </w:r>
            <w:r w:rsidR="00F1461A">
              <w:rPr>
                <w:webHidden/>
              </w:rPr>
              <w:instrText xml:space="preserve"> PAGEREF _Toc150524982 \h </w:instrText>
            </w:r>
            <w:r w:rsidR="00F1461A">
              <w:rPr>
                <w:webHidden/>
              </w:rPr>
            </w:r>
            <w:r w:rsidR="00F1461A">
              <w:rPr>
                <w:webHidden/>
              </w:rPr>
              <w:fldChar w:fldCharType="separate"/>
            </w:r>
            <w:r w:rsidR="00022C18">
              <w:rPr>
                <w:webHidden/>
              </w:rPr>
              <w:t>10</w:t>
            </w:r>
            <w:r w:rsidR="00F1461A">
              <w:rPr>
                <w:webHidden/>
              </w:rPr>
              <w:fldChar w:fldCharType="end"/>
            </w:r>
          </w:hyperlink>
        </w:p>
        <w:p w14:paraId="01F17BA2" w14:textId="68A44309" w:rsidR="00F1461A" w:rsidRDefault="00000000">
          <w:pPr>
            <w:pStyle w:val="TDC1"/>
            <w:rPr>
              <w:rFonts w:asciiTheme="minorHAnsi" w:eastAsiaTheme="minorEastAsia" w:hAnsiTheme="minorHAnsi" w:cstheme="minorBidi"/>
              <w:kern w:val="2"/>
              <w:sz w:val="22"/>
              <w:szCs w:val="22"/>
              <w:lang w:val="es-CO" w:eastAsia="es-CO"/>
              <w14:ligatures w14:val="standardContextual"/>
            </w:rPr>
          </w:pPr>
          <w:hyperlink w:anchor="_Toc150524983" w:history="1">
            <w:r w:rsidR="00F1461A" w:rsidRPr="00237F26">
              <w:rPr>
                <w:rStyle w:val="Hipervnculo"/>
                <w:rFonts w:cs="Arial"/>
                <w:lang w:val="es-ES_tradnl"/>
              </w:rPr>
              <w:t>4.</w:t>
            </w:r>
            <w:r w:rsidR="00F1461A">
              <w:rPr>
                <w:rFonts w:asciiTheme="minorHAnsi" w:eastAsiaTheme="minorEastAsia" w:hAnsiTheme="minorHAnsi" w:cstheme="minorBidi"/>
                <w:kern w:val="2"/>
                <w:sz w:val="22"/>
                <w:szCs w:val="22"/>
                <w:lang w:val="es-CO" w:eastAsia="es-CO"/>
                <w14:ligatures w14:val="standardContextual"/>
              </w:rPr>
              <w:tab/>
            </w:r>
            <w:r w:rsidR="00F1461A" w:rsidRPr="00237F26">
              <w:rPr>
                <w:rStyle w:val="Hipervnculo"/>
                <w:rFonts w:cs="Arial"/>
              </w:rPr>
              <w:t>OBJETIVOS</w:t>
            </w:r>
            <w:r w:rsidR="00F1461A">
              <w:rPr>
                <w:webHidden/>
              </w:rPr>
              <w:tab/>
            </w:r>
            <w:r w:rsidR="00F1461A">
              <w:rPr>
                <w:webHidden/>
              </w:rPr>
              <w:fldChar w:fldCharType="begin"/>
            </w:r>
            <w:r w:rsidR="00F1461A">
              <w:rPr>
                <w:webHidden/>
              </w:rPr>
              <w:instrText xml:space="preserve"> PAGEREF _Toc150524983 \h </w:instrText>
            </w:r>
            <w:r w:rsidR="00F1461A">
              <w:rPr>
                <w:webHidden/>
              </w:rPr>
            </w:r>
            <w:r w:rsidR="00F1461A">
              <w:rPr>
                <w:webHidden/>
              </w:rPr>
              <w:fldChar w:fldCharType="separate"/>
            </w:r>
            <w:r w:rsidR="00022C18">
              <w:rPr>
                <w:webHidden/>
              </w:rPr>
              <w:t>10</w:t>
            </w:r>
            <w:r w:rsidR="00F1461A">
              <w:rPr>
                <w:webHidden/>
              </w:rPr>
              <w:fldChar w:fldCharType="end"/>
            </w:r>
          </w:hyperlink>
        </w:p>
        <w:p w14:paraId="2820A6A2" w14:textId="7782D719" w:rsidR="00F1461A" w:rsidRDefault="00000000">
          <w:pPr>
            <w:pStyle w:val="TDC1"/>
            <w:rPr>
              <w:rFonts w:asciiTheme="minorHAnsi" w:eastAsiaTheme="minorEastAsia" w:hAnsiTheme="minorHAnsi" w:cstheme="minorBidi"/>
              <w:kern w:val="2"/>
              <w:sz w:val="22"/>
              <w:szCs w:val="22"/>
              <w:lang w:val="es-CO" w:eastAsia="es-CO"/>
              <w14:ligatures w14:val="standardContextual"/>
            </w:rPr>
          </w:pPr>
          <w:hyperlink w:anchor="_Toc150524984" w:history="1">
            <w:r w:rsidR="00F1461A" w:rsidRPr="00237F26">
              <w:rPr>
                <w:rStyle w:val="Hipervnculo"/>
                <w:rFonts w:cs="Arial"/>
                <w:lang w:val="es-ES_tradnl"/>
              </w:rPr>
              <w:t>5.</w:t>
            </w:r>
            <w:r w:rsidR="00F1461A">
              <w:rPr>
                <w:rFonts w:asciiTheme="minorHAnsi" w:eastAsiaTheme="minorEastAsia" w:hAnsiTheme="minorHAnsi" w:cstheme="minorBidi"/>
                <w:kern w:val="2"/>
                <w:sz w:val="22"/>
                <w:szCs w:val="22"/>
                <w:lang w:val="es-CO" w:eastAsia="es-CO"/>
                <w14:ligatures w14:val="standardContextual"/>
              </w:rPr>
              <w:tab/>
            </w:r>
            <w:r w:rsidR="00F1461A" w:rsidRPr="00237F26">
              <w:rPr>
                <w:rStyle w:val="Hipervnculo"/>
                <w:rFonts w:cs="Arial"/>
              </w:rPr>
              <w:t>ALTERNATIVAS</w:t>
            </w:r>
            <w:r w:rsidR="00F1461A">
              <w:rPr>
                <w:webHidden/>
              </w:rPr>
              <w:tab/>
            </w:r>
            <w:r w:rsidR="00F1461A">
              <w:rPr>
                <w:webHidden/>
              </w:rPr>
              <w:fldChar w:fldCharType="begin"/>
            </w:r>
            <w:r w:rsidR="00F1461A">
              <w:rPr>
                <w:webHidden/>
              </w:rPr>
              <w:instrText xml:space="preserve"> PAGEREF _Toc150524984 \h </w:instrText>
            </w:r>
            <w:r w:rsidR="00F1461A">
              <w:rPr>
                <w:webHidden/>
              </w:rPr>
            </w:r>
            <w:r w:rsidR="00F1461A">
              <w:rPr>
                <w:webHidden/>
              </w:rPr>
              <w:fldChar w:fldCharType="separate"/>
            </w:r>
            <w:r w:rsidR="00022C18">
              <w:rPr>
                <w:webHidden/>
              </w:rPr>
              <w:t>10</w:t>
            </w:r>
            <w:r w:rsidR="00F1461A">
              <w:rPr>
                <w:webHidden/>
              </w:rPr>
              <w:fldChar w:fldCharType="end"/>
            </w:r>
          </w:hyperlink>
        </w:p>
        <w:p w14:paraId="07A551D9" w14:textId="428190E0" w:rsidR="00F1461A" w:rsidRDefault="00000000">
          <w:pPr>
            <w:pStyle w:val="TDC1"/>
            <w:rPr>
              <w:rFonts w:asciiTheme="minorHAnsi" w:eastAsiaTheme="minorEastAsia" w:hAnsiTheme="minorHAnsi" w:cstheme="minorBidi"/>
              <w:kern w:val="2"/>
              <w:sz w:val="22"/>
              <w:szCs w:val="22"/>
              <w:lang w:val="es-CO" w:eastAsia="es-CO"/>
              <w14:ligatures w14:val="standardContextual"/>
            </w:rPr>
          </w:pPr>
          <w:hyperlink w:anchor="_Toc150524985" w:history="1">
            <w:r w:rsidR="00F1461A" w:rsidRPr="00237F26">
              <w:rPr>
                <w:rStyle w:val="Hipervnculo"/>
                <w:rFonts w:cs="Arial"/>
                <w:lang w:val="es-ES_tradnl"/>
              </w:rPr>
              <w:t>6.</w:t>
            </w:r>
            <w:r w:rsidR="00F1461A">
              <w:rPr>
                <w:rFonts w:asciiTheme="minorHAnsi" w:eastAsiaTheme="minorEastAsia" w:hAnsiTheme="minorHAnsi" w:cstheme="minorBidi"/>
                <w:kern w:val="2"/>
                <w:sz w:val="22"/>
                <w:szCs w:val="22"/>
                <w:lang w:val="es-CO" w:eastAsia="es-CO"/>
                <w14:ligatures w14:val="standardContextual"/>
              </w:rPr>
              <w:tab/>
            </w:r>
            <w:r w:rsidR="00F1461A" w:rsidRPr="00237F26">
              <w:rPr>
                <w:rStyle w:val="Hipervnculo"/>
                <w:rFonts w:cs="Arial"/>
              </w:rPr>
              <w:t>ANÁLISIS DE LAS ALTERNATIVAS</w:t>
            </w:r>
            <w:r w:rsidR="00F1461A">
              <w:rPr>
                <w:webHidden/>
              </w:rPr>
              <w:tab/>
            </w:r>
            <w:r w:rsidR="00F1461A">
              <w:rPr>
                <w:webHidden/>
              </w:rPr>
              <w:fldChar w:fldCharType="begin"/>
            </w:r>
            <w:r w:rsidR="00F1461A">
              <w:rPr>
                <w:webHidden/>
              </w:rPr>
              <w:instrText xml:space="preserve"> PAGEREF _Toc150524985 \h </w:instrText>
            </w:r>
            <w:r w:rsidR="00F1461A">
              <w:rPr>
                <w:webHidden/>
              </w:rPr>
            </w:r>
            <w:r w:rsidR="00F1461A">
              <w:rPr>
                <w:webHidden/>
              </w:rPr>
              <w:fldChar w:fldCharType="separate"/>
            </w:r>
            <w:r w:rsidR="00022C18">
              <w:rPr>
                <w:webHidden/>
              </w:rPr>
              <w:t>11</w:t>
            </w:r>
            <w:r w:rsidR="00F1461A">
              <w:rPr>
                <w:webHidden/>
              </w:rPr>
              <w:fldChar w:fldCharType="end"/>
            </w:r>
          </w:hyperlink>
        </w:p>
        <w:p w14:paraId="6C41B6C4" w14:textId="2FBB292F" w:rsidR="00F1461A" w:rsidRDefault="00000000">
          <w:pPr>
            <w:pStyle w:val="TDC1"/>
            <w:rPr>
              <w:rFonts w:asciiTheme="minorHAnsi" w:eastAsiaTheme="minorEastAsia" w:hAnsiTheme="minorHAnsi" w:cstheme="minorBidi"/>
              <w:kern w:val="2"/>
              <w:sz w:val="22"/>
              <w:szCs w:val="22"/>
              <w:lang w:val="es-CO" w:eastAsia="es-CO"/>
              <w14:ligatures w14:val="standardContextual"/>
            </w:rPr>
          </w:pPr>
          <w:hyperlink w:anchor="_Toc150524986" w:history="1">
            <w:r w:rsidR="00F1461A" w:rsidRPr="00237F26">
              <w:rPr>
                <w:rStyle w:val="Hipervnculo"/>
                <w:rFonts w:cs="Arial"/>
                <w:lang w:val="es-ES_tradnl"/>
              </w:rPr>
              <w:t>7.</w:t>
            </w:r>
            <w:r w:rsidR="00F1461A">
              <w:rPr>
                <w:rFonts w:asciiTheme="minorHAnsi" w:eastAsiaTheme="minorEastAsia" w:hAnsiTheme="minorHAnsi" w:cstheme="minorBidi"/>
                <w:kern w:val="2"/>
                <w:sz w:val="22"/>
                <w:szCs w:val="22"/>
                <w:lang w:val="es-CO" w:eastAsia="es-CO"/>
                <w14:ligatures w14:val="standardContextual"/>
              </w:rPr>
              <w:tab/>
            </w:r>
            <w:r w:rsidR="00F1461A" w:rsidRPr="00237F26">
              <w:rPr>
                <w:rStyle w:val="Hipervnculo"/>
                <w:rFonts w:cs="Arial"/>
              </w:rPr>
              <w:t>CONSULTA PÚBLICA</w:t>
            </w:r>
            <w:r w:rsidR="00F1461A">
              <w:rPr>
                <w:webHidden/>
              </w:rPr>
              <w:tab/>
            </w:r>
            <w:r w:rsidR="00F1461A">
              <w:rPr>
                <w:webHidden/>
              </w:rPr>
              <w:fldChar w:fldCharType="begin"/>
            </w:r>
            <w:r w:rsidR="00F1461A">
              <w:rPr>
                <w:webHidden/>
              </w:rPr>
              <w:instrText xml:space="preserve"> PAGEREF _Toc150524986 \h </w:instrText>
            </w:r>
            <w:r w:rsidR="00F1461A">
              <w:rPr>
                <w:webHidden/>
              </w:rPr>
            </w:r>
            <w:r w:rsidR="00F1461A">
              <w:rPr>
                <w:webHidden/>
              </w:rPr>
              <w:fldChar w:fldCharType="separate"/>
            </w:r>
            <w:r w:rsidR="00022C18">
              <w:rPr>
                <w:webHidden/>
              </w:rPr>
              <w:t>12</w:t>
            </w:r>
            <w:r w:rsidR="00F1461A">
              <w:rPr>
                <w:webHidden/>
              </w:rPr>
              <w:fldChar w:fldCharType="end"/>
            </w:r>
          </w:hyperlink>
        </w:p>
        <w:p w14:paraId="300D5B3D" w14:textId="245FDD56" w:rsidR="00F1461A" w:rsidRDefault="00000000">
          <w:pPr>
            <w:pStyle w:val="TDC2"/>
            <w:rPr>
              <w:rFonts w:asciiTheme="minorHAnsi" w:eastAsiaTheme="minorEastAsia" w:hAnsiTheme="minorHAnsi" w:cstheme="minorBidi"/>
              <w:kern w:val="2"/>
              <w:sz w:val="22"/>
              <w:szCs w:val="22"/>
              <w:lang w:val="es-CO" w:eastAsia="es-CO"/>
              <w14:ligatures w14:val="standardContextual"/>
            </w:rPr>
          </w:pPr>
          <w:hyperlink w:anchor="_Toc150524987" w:history="1">
            <w:r w:rsidR="00F1461A" w:rsidRPr="00237F26">
              <w:rPr>
                <w:rStyle w:val="Hipervnculo"/>
                <w:rFonts w:cs="Arial"/>
                <w:bCs/>
              </w:rPr>
              <w:t>7.1</w:t>
            </w:r>
            <w:r w:rsidR="00F1461A">
              <w:rPr>
                <w:rFonts w:asciiTheme="minorHAnsi" w:eastAsiaTheme="minorEastAsia" w:hAnsiTheme="minorHAnsi" w:cstheme="minorBidi"/>
                <w:kern w:val="2"/>
                <w:sz w:val="22"/>
                <w:szCs w:val="22"/>
                <w:lang w:val="es-CO" w:eastAsia="es-CO"/>
                <w14:ligatures w14:val="standardContextual"/>
              </w:rPr>
              <w:tab/>
            </w:r>
            <w:r w:rsidR="00F1461A" w:rsidRPr="00237F26">
              <w:rPr>
                <w:rStyle w:val="Hipervnculo"/>
                <w:bCs/>
              </w:rPr>
              <w:t>Á</w:t>
            </w:r>
            <w:r w:rsidR="00F1461A" w:rsidRPr="00237F26">
              <w:rPr>
                <w:rStyle w:val="Hipervnculo"/>
                <w:rFonts w:cs="Arial"/>
                <w:bCs/>
              </w:rPr>
              <w:t>mbito de aplicación.</w:t>
            </w:r>
            <w:r w:rsidR="00F1461A">
              <w:rPr>
                <w:webHidden/>
              </w:rPr>
              <w:tab/>
            </w:r>
            <w:r w:rsidR="00F1461A">
              <w:rPr>
                <w:webHidden/>
              </w:rPr>
              <w:fldChar w:fldCharType="begin"/>
            </w:r>
            <w:r w:rsidR="00F1461A">
              <w:rPr>
                <w:webHidden/>
              </w:rPr>
              <w:instrText xml:space="preserve"> PAGEREF _Toc150524987 \h </w:instrText>
            </w:r>
            <w:r w:rsidR="00F1461A">
              <w:rPr>
                <w:webHidden/>
              </w:rPr>
            </w:r>
            <w:r w:rsidR="00F1461A">
              <w:rPr>
                <w:webHidden/>
              </w:rPr>
              <w:fldChar w:fldCharType="separate"/>
            </w:r>
            <w:r w:rsidR="00022C18">
              <w:rPr>
                <w:webHidden/>
              </w:rPr>
              <w:t>13</w:t>
            </w:r>
            <w:r w:rsidR="00F1461A">
              <w:rPr>
                <w:webHidden/>
              </w:rPr>
              <w:fldChar w:fldCharType="end"/>
            </w:r>
          </w:hyperlink>
        </w:p>
        <w:p w14:paraId="0B720B81" w14:textId="7A6A0D63" w:rsidR="00F1461A" w:rsidRDefault="00000000">
          <w:pPr>
            <w:pStyle w:val="TDC2"/>
            <w:rPr>
              <w:rFonts w:asciiTheme="minorHAnsi" w:eastAsiaTheme="minorEastAsia" w:hAnsiTheme="minorHAnsi" w:cstheme="minorBidi"/>
              <w:kern w:val="2"/>
              <w:sz w:val="22"/>
              <w:szCs w:val="22"/>
              <w:lang w:val="es-CO" w:eastAsia="es-CO"/>
              <w14:ligatures w14:val="standardContextual"/>
            </w:rPr>
          </w:pPr>
          <w:hyperlink w:anchor="_Toc150524988" w:history="1">
            <w:r w:rsidR="00F1461A" w:rsidRPr="00237F26">
              <w:rPr>
                <w:rStyle w:val="Hipervnculo"/>
                <w:rFonts w:cs="Arial"/>
                <w:bCs/>
              </w:rPr>
              <w:t>7.2</w:t>
            </w:r>
            <w:r w:rsidR="00F1461A">
              <w:rPr>
                <w:rFonts w:asciiTheme="minorHAnsi" w:eastAsiaTheme="minorEastAsia" w:hAnsiTheme="minorHAnsi" w:cstheme="minorBidi"/>
                <w:kern w:val="2"/>
                <w:sz w:val="22"/>
                <w:szCs w:val="22"/>
                <w:lang w:val="es-CO" w:eastAsia="es-CO"/>
                <w14:ligatures w14:val="standardContextual"/>
              </w:rPr>
              <w:tab/>
            </w:r>
            <w:r w:rsidR="00F1461A" w:rsidRPr="00237F26">
              <w:rPr>
                <w:rStyle w:val="Hipervnculo"/>
              </w:rPr>
              <w:t>R</w:t>
            </w:r>
            <w:r w:rsidR="00F1461A" w:rsidRPr="00237F26">
              <w:rPr>
                <w:rStyle w:val="Hipervnculo"/>
                <w:rFonts w:cs="Arial"/>
              </w:rPr>
              <w:t>iesgo en el mercado debido al valor de referencia en el cálculo del monto de las garantías que cubren las transacciones en la bolsa.</w:t>
            </w:r>
            <w:r w:rsidR="00F1461A">
              <w:rPr>
                <w:webHidden/>
              </w:rPr>
              <w:tab/>
            </w:r>
            <w:r w:rsidR="00F1461A">
              <w:rPr>
                <w:webHidden/>
              </w:rPr>
              <w:fldChar w:fldCharType="begin"/>
            </w:r>
            <w:r w:rsidR="00F1461A">
              <w:rPr>
                <w:webHidden/>
              </w:rPr>
              <w:instrText xml:space="preserve"> PAGEREF _Toc150524988 \h </w:instrText>
            </w:r>
            <w:r w:rsidR="00F1461A">
              <w:rPr>
                <w:webHidden/>
              </w:rPr>
            </w:r>
            <w:r w:rsidR="00F1461A">
              <w:rPr>
                <w:webHidden/>
              </w:rPr>
              <w:fldChar w:fldCharType="separate"/>
            </w:r>
            <w:r w:rsidR="00022C18">
              <w:rPr>
                <w:webHidden/>
              </w:rPr>
              <w:t>13</w:t>
            </w:r>
            <w:r w:rsidR="00F1461A">
              <w:rPr>
                <w:webHidden/>
              </w:rPr>
              <w:fldChar w:fldCharType="end"/>
            </w:r>
          </w:hyperlink>
        </w:p>
        <w:p w14:paraId="31300D42" w14:textId="337AA33B" w:rsidR="00F1461A" w:rsidRDefault="00000000">
          <w:pPr>
            <w:pStyle w:val="TDC2"/>
            <w:rPr>
              <w:rFonts w:asciiTheme="minorHAnsi" w:eastAsiaTheme="minorEastAsia" w:hAnsiTheme="minorHAnsi" w:cstheme="minorBidi"/>
              <w:kern w:val="2"/>
              <w:sz w:val="22"/>
              <w:szCs w:val="22"/>
              <w:lang w:val="es-CO" w:eastAsia="es-CO"/>
              <w14:ligatures w14:val="standardContextual"/>
            </w:rPr>
          </w:pPr>
          <w:hyperlink w:anchor="_Toc150524989" w:history="1">
            <w:r w:rsidR="00F1461A" w:rsidRPr="00237F26">
              <w:rPr>
                <w:rStyle w:val="Hipervnculo"/>
                <w:bCs/>
              </w:rPr>
              <w:t>7.3</w:t>
            </w:r>
            <w:r w:rsidR="00F1461A">
              <w:rPr>
                <w:rFonts w:asciiTheme="minorHAnsi" w:eastAsiaTheme="minorEastAsia" w:hAnsiTheme="minorHAnsi" w:cstheme="minorBidi"/>
                <w:kern w:val="2"/>
                <w:sz w:val="22"/>
                <w:szCs w:val="22"/>
                <w:lang w:val="es-CO" w:eastAsia="es-CO"/>
                <w14:ligatures w14:val="standardContextual"/>
              </w:rPr>
              <w:tab/>
            </w:r>
            <w:r w:rsidR="00F1461A" w:rsidRPr="00237F26">
              <w:rPr>
                <w:rStyle w:val="Hipervnculo"/>
              </w:rPr>
              <w:t xml:space="preserve">Implementación </w:t>
            </w:r>
            <w:r w:rsidR="00F1461A" w:rsidRPr="00237F26">
              <w:rPr>
                <w:rStyle w:val="Hipervnculo"/>
                <w:bCs/>
              </w:rPr>
              <w:t>de otras medidas</w:t>
            </w:r>
            <w:r w:rsidR="00F1461A">
              <w:rPr>
                <w:webHidden/>
              </w:rPr>
              <w:tab/>
            </w:r>
            <w:r w:rsidR="00F1461A">
              <w:rPr>
                <w:webHidden/>
              </w:rPr>
              <w:fldChar w:fldCharType="begin"/>
            </w:r>
            <w:r w:rsidR="00F1461A">
              <w:rPr>
                <w:webHidden/>
              </w:rPr>
              <w:instrText xml:space="preserve"> PAGEREF _Toc150524989 \h </w:instrText>
            </w:r>
            <w:r w:rsidR="00F1461A">
              <w:rPr>
                <w:webHidden/>
              </w:rPr>
            </w:r>
            <w:r w:rsidR="00F1461A">
              <w:rPr>
                <w:webHidden/>
              </w:rPr>
              <w:fldChar w:fldCharType="separate"/>
            </w:r>
            <w:r w:rsidR="00022C18">
              <w:rPr>
                <w:webHidden/>
              </w:rPr>
              <w:t>14</w:t>
            </w:r>
            <w:r w:rsidR="00F1461A">
              <w:rPr>
                <w:webHidden/>
              </w:rPr>
              <w:fldChar w:fldCharType="end"/>
            </w:r>
          </w:hyperlink>
        </w:p>
        <w:p w14:paraId="1B797C10" w14:textId="38AF6757" w:rsidR="00F1461A" w:rsidRDefault="00000000">
          <w:pPr>
            <w:pStyle w:val="TDC1"/>
            <w:rPr>
              <w:rFonts w:asciiTheme="minorHAnsi" w:eastAsiaTheme="minorEastAsia" w:hAnsiTheme="minorHAnsi" w:cstheme="minorBidi"/>
              <w:kern w:val="2"/>
              <w:sz w:val="22"/>
              <w:szCs w:val="22"/>
              <w:lang w:val="es-CO" w:eastAsia="es-CO"/>
              <w14:ligatures w14:val="standardContextual"/>
            </w:rPr>
          </w:pPr>
          <w:hyperlink w:anchor="_Toc150524990" w:history="1">
            <w:r w:rsidR="00F1461A" w:rsidRPr="00237F26">
              <w:rPr>
                <w:rStyle w:val="Hipervnculo"/>
                <w:rFonts w:cs="Arial"/>
                <w:lang w:val="es-ES_tradnl"/>
              </w:rPr>
              <w:t>8.</w:t>
            </w:r>
            <w:r w:rsidR="00F1461A">
              <w:rPr>
                <w:rFonts w:asciiTheme="minorHAnsi" w:eastAsiaTheme="minorEastAsia" w:hAnsiTheme="minorHAnsi" w:cstheme="minorBidi"/>
                <w:kern w:val="2"/>
                <w:sz w:val="22"/>
                <w:szCs w:val="22"/>
                <w:lang w:val="es-CO" w:eastAsia="es-CO"/>
                <w14:ligatures w14:val="standardContextual"/>
              </w:rPr>
              <w:tab/>
            </w:r>
            <w:r w:rsidR="00F1461A" w:rsidRPr="00237F26">
              <w:rPr>
                <w:rStyle w:val="Hipervnculo"/>
                <w:rFonts w:cs="Arial"/>
              </w:rPr>
              <w:t>PROPUESTA REGULATORIA</w:t>
            </w:r>
            <w:r w:rsidR="00F1461A">
              <w:rPr>
                <w:webHidden/>
              </w:rPr>
              <w:tab/>
            </w:r>
            <w:r w:rsidR="00F1461A">
              <w:rPr>
                <w:webHidden/>
              </w:rPr>
              <w:fldChar w:fldCharType="begin"/>
            </w:r>
            <w:r w:rsidR="00F1461A">
              <w:rPr>
                <w:webHidden/>
              </w:rPr>
              <w:instrText xml:space="preserve"> PAGEREF _Toc150524990 \h </w:instrText>
            </w:r>
            <w:r w:rsidR="00F1461A">
              <w:rPr>
                <w:webHidden/>
              </w:rPr>
            </w:r>
            <w:r w:rsidR="00F1461A">
              <w:rPr>
                <w:webHidden/>
              </w:rPr>
              <w:fldChar w:fldCharType="separate"/>
            </w:r>
            <w:r w:rsidR="00022C18">
              <w:rPr>
                <w:webHidden/>
              </w:rPr>
              <w:t>14</w:t>
            </w:r>
            <w:r w:rsidR="00F1461A">
              <w:rPr>
                <w:webHidden/>
              </w:rPr>
              <w:fldChar w:fldCharType="end"/>
            </w:r>
          </w:hyperlink>
        </w:p>
        <w:p w14:paraId="1E99388C" w14:textId="254DB057" w:rsidR="00F1461A" w:rsidRDefault="00000000">
          <w:pPr>
            <w:pStyle w:val="TDC2"/>
            <w:rPr>
              <w:rFonts w:asciiTheme="minorHAnsi" w:eastAsiaTheme="minorEastAsia" w:hAnsiTheme="minorHAnsi" w:cstheme="minorBidi"/>
              <w:kern w:val="2"/>
              <w:sz w:val="22"/>
              <w:szCs w:val="22"/>
              <w:lang w:val="es-CO" w:eastAsia="es-CO"/>
              <w14:ligatures w14:val="standardContextual"/>
            </w:rPr>
          </w:pPr>
          <w:hyperlink w:anchor="_Toc150524991" w:history="1">
            <w:r w:rsidR="00F1461A" w:rsidRPr="00237F26">
              <w:rPr>
                <w:rStyle w:val="Hipervnculo"/>
                <w:bCs/>
              </w:rPr>
              <w:t>8.1</w:t>
            </w:r>
            <w:r w:rsidR="00F1461A">
              <w:rPr>
                <w:rFonts w:asciiTheme="minorHAnsi" w:eastAsiaTheme="minorEastAsia" w:hAnsiTheme="minorHAnsi" w:cstheme="minorBidi"/>
                <w:kern w:val="2"/>
                <w:sz w:val="22"/>
                <w:szCs w:val="22"/>
                <w:lang w:val="es-CO" w:eastAsia="es-CO"/>
                <w14:ligatures w14:val="standardContextual"/>
              </w:rPr>
              <w:tab/>
            </w:r>
            <w:r w:rsidR="00F1461A" w:rsidRPr="00237F26">
              <w:rPr>
                <w:rStyle w:val="Hipervnculo"/>
              </w:rPr>
              <w:t>Ámbito de aplicación</w:t>
            </w:r>
            <w:r w:rsidR="00F1461A">
              <w:rPr>
                <w:webHidden/>
              </w:rPr>
              <w:tab/>
            </w:r>
            <w:r w:rsidR="00F1461A">
              <w:rPr>
                <w:webHidden/>
              </w:rPr>
              <w:fldChar w:fldCharType="begin"/>
            </w:r>
            <w:r w:rsidR="00F1461A">
              <w:rPr>
                <w:webHidden/>
              </w:rPr>
              <w:instrText xml:space="preserve"> PAGEREF _Toc150524991 \h </w:instrText>
            </w:r>
            <w:r w:rsidR="00F1461A">
              <w:rPr>
                <w:webHidden/>
              </w:rPr>
            </w:r>
            <w:r w:rsidR="00F1461A">
              <w:rPr>
                <w:webHidden/>
              </w:rPr>
              <w:fldChar w:fldCharType="separate"/>
            </w:r>
            <w:r w:rsidR="00022C18">
              <w:rPr>
                <w:webHidden/>
              </w:rPr>
              <w:t>14</w:t>
            </w:r>
            <w:r w:rsidR="00F1461A">
              <w:rPr>
                <w:webHidden/>
              </w:rPr>
              <w:fldChar w:fldCharType="end"/>
            </w:r>
          </w:hyperlink>
        </w:p>
        <w:p w14:paraId="771B1851" w14:textId="3E0FE624" w:rsidR="00F1461A" w:rsidRDefault="00000000">
          <w:pPr>
            <w:pStyle w:val="TDC2"/>
            <w:rPr>
              <w:rFonts w:asciiTheme="minorHAnsi" w:eastAsiaTheme="minorEastAsia" w:hAnsiTheme="minorHAnsi" w:cstheme="minorBidi"/>
              <w:kern w:val="2"/>
              <w:sz w:val="22"/>
              <w:szCs w:val="22"/>
              <w:lang w:val="es-CO" w:eastAsia="es-CO"/>
              <w14:ligatures w14:val="standardContextual"/>
            </w:rPr>
          </w:pPr>
          <w:hyperlink w:anchor="_Toc150524992" w:history="1">
            <w:r w:rsidR="00F1461A" w:rsidRPr="00237F26">
              <w:rPr>
                <w:rStyle w:val="Hipervnculo"/>
                <w:bCs/>
              </w:rPr>
              <w:t>8.2</w:t>
            </w:r>
            <w:r w:rsidR="00F1461A">
              <w:rPr>
                <w:rFonts w:asciiTheme="minorHAnsi" w:eastAsiaTheme="minorEastAsia" w:hAnsiTheme="minorHAnsi" w:cstheme="minorBidi"/>
                <w:kern w:val="2"/>
                <w:sz w:val="22"/>
                <w:szCs w:val="22"/>
                <w:lang w:val="es-CO" w:eastAsia="es-CO"/>
                <w14:ligatures w14:val="standardContextual"/>
              </w:rPr>
              <w:tab/>
            </w:r>
            <w:r w:rsidR="00F1461A" w:rsidRPr="00237F26">
              <w:rPr>
                <w:rStyle w:val="Hipervnculo"/>
              </w:rPr>
              <w:t>Cálculo de valor de cobertura</w:t>
            </w:r>
            <w:r w:rsidR="00F1461A">
              <w:rPr>
                <w:webHidden/>
              </w:rPr>
              <w:tab/>
            </w:r>
            <w:r w:rsidR="00F1461A">
              <w:rPr>
                <w:webHidden/>
              </w:rPr>
              <w:fldChar w:fldCharType="begin"/>
            </w:r>
            <w:r w:rsidR="00F1461A">
              <w:rPr>
                <w:webHidden/>
              </w:rPr>
              <w:instrText xml:space="preserve"> PAGEREF _Toc150524992 \h </w:instrText>
            </w:r>
            <w:r w:rsidR="00F1461A">
              <w:rPr>
                <w:webHidden/>
              </w:rPr>
            </w:r>
            <w:r w:rsidR="00F1461A">
              <w:rPr>
                <w:webHidden/>
              </w:rPr>
              <w:fldChar w:fldCharType="separate"/>
            </w:r>
            <w:r w:rsidR="00022C18">
              <w:rPr>
                <w:webHidden/>
              </w:rPr>
              <w:t>15</w:t>
            </w:r>
            <w:r w:rsidR="00F1461A">
              <w:rPr>
                <w:webHidden/>
              </w:rPr>
              <w:fldChar w:fldCharType="end"/>
            </w:r>
          </w:hyperlink>
        </w:p>
        <w:p w14:paraId="6580C3E0" w14:textId="3720271D" w:rsidR="00F1461A" w:rsidRDefault="00000000">
          <w:pPr>
            <w:pStyle w:val="TDC1"/>
            <w:rPr>
              <w:rFonts w:asciiTheme="minorHAnsi" w:eastAsiaTheme="minorEastAsia" w:hAnsiTheme="minorHAnsi" w:cstheme="minorBidi"/>
              <w:kern w:val="2"/>
              <w:sz w:val="22"/>
              <w:szCs w:val="22"/>
              <w:lang w:val="es-CO" w:eastAsia="es-CO"/>
              <w14:ligatures w14:val="standardContextual"/>
            </w:rPr>
          </w:pPr>
          <w:hyperlink w:anchor="_Toc150524993" w:history="1">
            <w:r w:rsidR="00F1461A" w:rsidRPr="00237F26">
              <w:rPr>
                <w:rStyle w:val="Hipervnculo"/>
                <w:rFonts w:cs="Arial"/>
                <w:lang w:val="es-ES_tradnl"/>
              </w:rPr>
              <w:t>9.</w:t>
            </w:r>
            <w:r w:rsidR="00F1461A">
              <w:rPr>
                <w:rFonts w:asciiTheme="minorHAnsi" w:eastAsiaTheme="minorEastAsia" w:hAnsiTheme="minorHAnsi" w:cstheme="minorBidi"/>
                <w:kern w:val="2"/>
                <w:sz w:val="22"/>
                <w:szCs w:val="22"/>
                <w:lang w:val="es-CO" w:eastAsia="es-CO"/>
                <w14:ligatures w14:val="standardContextual"/>
              </w:rPr>
              <w:tab/>
            </w:r>
            <w:r w:rsidR="00F1461A" w:rsidRPr="00237F26">
              <w:rPr>
                <w:rStyle w:val="Hipervnculo"/>
                <w:rFonts w:cs="Arial"/>
              </w:rPr>
              <w:t>CONCLUSIONES</w:t>
            </w:r>
            <w:r w:rsidR="00F1461A">
              <w:rPr>
                <w:webHidden/>
              </w:rPr>
              <w:tab/>
            </w:r>
            <w:r w:rsidR="00F1461A">
              <w:rPr>
                <w:webHidden/>
              </w:rPr>
              <w:fldChar w:fldCharType="begin"/>
            </w:r>
            <w:r w:rsidR="00F1461A">
              <w:rPr>
                <w:webHidden/>
              </w:rPr>
              <w:instrText xml:space="preserve"> PAGEREF _Toc150524993 \h </w:instrText>
            </w:r>
            <w:r w:rsidR="00F1461A">
              <w:rPr>
                <w:webHidden/>
              </w:rPr>
            </w:r>
            <w:r w:rsidR="00F1461A">
              <w:rPr>
                <w:webHidden/>
              </w:rPr>
              <w:fldChar w:fldCharType="separate"/>
            </w:r>
            <w:r w:rsidR="00022C18">
              <w:rPr>
                <w:webHidden/>
              </w:rPr>
              <w:t>15</w:t>
            </w:r>
            <w:r w:rsidR="00F1461A">
              <w:rPr>
                <w:webHidden/>
              </w:rPr>
              <w:fldChar w:fldCharType="end"/>
            </w:r>
          </w:hyperlink>
        </w:p>
        <w:p w14:paraId="17E74A4F" w14:textId="1A20E7F4" w:rsidR="00F1461A" w:rsidRDefault="00000000">
          <w:pPr>
            <w:pStyle w:val="TDC1"/>
            <w:rPr>
              <w:rFonts w:asciiTheme="minorHAnsi" w:eastAsiaTheme="minorEastAsia" w:hAnsiTheme="minorHAnsi" w:cstheme="minorBidi"/>
              <w:kern w:val="2"/>
              <w:sz w:val="22"/>
              <w:szCs w:val="22"/>
              <w:lang w:val="es-CO" w:eastAsia="es-CO"/>
              <w14:ligatures w14:val="standardContextual"/>
            </w:rPr>
          </w:pPr>
          <w:hyperlink w:anchor="_Toc150524994" w:history="1">
            <w:r w:rsidR="00F1461A" w:rsidRPr="00237F26">
              <w:rPr>
                <w:rStyle w:val="Hipervnculo"/>
                <w:rFonts w:cs="Arial"/>
                <w:lang w:val="es-ES_tradnl"/>
              </w:rPr>
              <w:t>10.</w:t>
            </w:r>
            <w:r w:rsidR="00F1461A">
              <w:rPr>
                <w:rFonts w:asciiTheme="minorHAnsi" w:eastAsiaTheme="minorEastAsia" w:hAnsiTheme="minorHAnsi" w:cstheme="minorBidi"/>
                <w:kern w:val="2"/>
                <w:sz w:val="22"/>
                <w:szCs w:val="22"/>
                <w:lang w:val="es-CO" w:eastAsia="es-CO"/>
                <w14:ligatures w14:val="standardContextual"/>
              </w:rPr>
              <w:tab/>
            </w:r>
            <w:r w:rsidR="00F1461A" w:rsidRPr="00237F26">
              <w:rPr>
                <w:rStyle w:val="Hipervnculo"/>
                <w:rFonts w:cs="Arial"/>
              </w:rPr>
              <w:t>CUESTIONARIO SIC</w:t>
            </w:r>
            <w:r w:rsidR="00F1461A">
              <w:rPr>
                <w:webHidden/>
              </w:rPr>
              <w:tab/>
            </w:r>
            <w:r w:rsidR="00F1461A">
              <w:rPr>
                <w:webHidden/>
              </w:rPr>
              <w:fldChar w:fldCharType="begin"/>
            </w:r>
            <w:r w:rsidR="00F1461A">
              <w:rPr>
                <w:webHidden/>
              </w:rPr>
              <w:instrText xml:space="preserve"> PAGEREF _Toc150524994 \h </w:instrText>
            </w:r>
            <w:r w:rsidR="00F1461A">
              <w:rPr>
                <w:webHidden/>
              </w:rPr>
            </w:r>
            <w:r w:rsidR="00F1461A">
              <w:rPr>
                <w:webHidden/>
              </w:rPr>
              <w:fldChar w:fldCharType="separate"/>
            </w:r>
            <w:r w:rsidR="00022C18">
              <w:rPr>
                <w:webHidden/>
              </w:rPr>
              <w:t>15</w:t>
            </w:r>
            <w:r w:rsidR="00F1461A">
              <w:rPr>
                <w:webHidden/>
              </w:rPr>
              <w:fldChar w:fldCharType="end"/>
            </w:r>
          </w:hyperlink>
        </w:p>
        <w:p w14:paraId="1F1A7BB0" w14:textId="72A90C7E" w:rsidR="00F1461A" w:rsidRDefault="00000000">
          <w:pPr>
            <w:pStyle w:val="TDC1"/>
            <w:rPr>
              <w:rFonts w:asciiTheme="minorHAnsi" w:eastAsiaTheme="minorEastAsia" w:hAnsiTheme="minorHAnsi" w:cstheme="minorBidi"/>
              <w:kern w:val="2"/>
              <w:sz w:val="22"/>
              <w:szCs w:val="22"/>
              <w:lang w:val="es-CO" w:eastAsia="es-CO"/>
              <w14:ligatures w14:val="standardContextual"/>
            </w:rPr>
          </w:pPr>
          <w:hyperlink w:anchor="_Toc150524995" w:history="1">
            <w:r w:rsidR="00F1461A" w:rsidRPr="00237F26">
              <w:rPr>
                <w:rStyle w:val="Hipervnculo"/>
                <w:lang w:val="es-ES_tradnl"/>
              </w:rPr>
              <w:t>11.</w:t>
            </w:r>
            <w:r w:rsidR="00F1461A">
              <w:rPr>
                <w:rFonts w:asciiTheme="minorHAnsi" w:eastAsiaTheme="minorEastAsia" w:hAnsiTheme="minorHAnsi" w:cstheme="minorBidi"/>
                <w:kern w:val="2"/>
                <w:sz w:val="22"/>
                <w:szCs w:val="22"/>
                <w:lang w:val="es-CO" w:eastAsia="es-CO"/>
                <w14:ligatures w14:val="standardContextual"/>
              </w:rPr>
              <w:tab/>
            </w:r>
            <w:r w:rsidR="00F1461A" w:rsidRPr="00237F26">
              <w:rPr>
                <w:rStyle w:val="Hipervnculo"/>
              </w:rPr>
              <w:t>RESPUESTA A COMENTARIOS</w:t>
            </w:r>
            <w:r w:rsidR="00F1461A">
              <w:rPr>
                <w:webHidden/>
              </w:rPr>
              <w:tab/>
            </w:r>
            <w:r w:rsidR="00F1461A">
              <w:rPr>
                <w:webHidden/>
              </w:rPr>
              <w:fldChar w:fldCharType="begin"/>
            </w:r>
            <w:r w:rsidR="00F1461A">
              <w:rPr>
                <w:webHidden/>
              </w:rPr>
              <w:instrText xml:space="preserve"> PAGEREF _Toc150524995 \h </w:instrText>
            </w:r>
            <w:r w:rsidR="00F1461A">
              <w:rPr>
                <w:webHidden/>
              </w:rPr>
            </w:r>
            <w:r w:rsidR="00F1461A">
              <w:rPr>
                <w:webHidden/>
              </w:rPr>
              <w:fldChar w:fldCharType="separate"/>
            </w:r>
            <w:r w:rsidR="00022C18">
              <w:rPr>
                <w:webHidden/>
              </w:rPr>
              <w:t>18</w:t>
            </w:r>
            <w:r w:rsidR="00F1461A">
              <w:rPr>
                <w:webHidden/>
              </w:rPr>
              <w:fldChar w:fldCharType="end"/>
            </w:r>
          </w:hyperlink>
        </w:p>
        <w:p w14:paraId="088AF03C" w14:textId="5607D13F" w:rsidR="006810E6" w:rsidRPr="00FF1431" w:rsidRDefault="006810E6" w:rsidP="00A8694A">
          <w:pPr>
            <w:rPr>
              <w:rFonts w:cs="Arial"/>
            </w:rPr>
          </w:pPr>
          <w:r w:rsidRPr="00FF1431">
            <w:rPr>
              <w:rFonts w:cs="Arial"/>
              <w:b/>
              <w:lang w:val="es-ES"/>
            </w:rPr>
            <w:fldChar w:fldCharType="end"/>
          </w:r>
        </w:p>
      </w:sdtContent>
    </w:sdt>
    <w:p w14:paraId="552EF5CD" w14:textId="77777777" w:rsidR="00346BC3" w:rsidRPr="00FF1431" w:rsidRDefault="00346BC3" w:rsidP="00A8694A">
      <w:pPr>
        <w:rPr>
          <w:rFonts w:cs="Arial"/>
          <w:sz w:val="22"/>
        </w:rPr>
      </w:pPr>
    </w:p>
    <w:p w14:paraId="0598A8AC" w14:textId="77777777" w:rsidR="006810E6" w:rsidRPr="00FF1431" w:rsidRDefault="006810E6" w:rsidP="00A8694A">
      <w:pPr>
        <w:rPr>
          <w:rFonts w:cs="Arial"/>
          <w:sz w:val="22"/>
        </w:rPr>
      </w:pPr>
      <w:r w:rsidRPr="00FF1431">
        <w:rPr>
          <w:rFonts w:cs="Arial"/>
          <w:sz w:val="22"/>
        </w:rPr>
        <w:br w:type="page"/>
      </w:r>
    </w:p>
    <w:p w14:paraId="1C762987" w14:textId="77777777" w:rsidR="006810E6" w:rsidRPr="00FF1431" w:rsidRDefault="006810E6" w:rsidP="00A8694A">
      <w:pPr>
        <w:rPr>
          <w:rFonts w:cs="Arial"/>
          <w:sz w:val="22"/>
        </w:rPr>
      </w:pPr>
    </w:p>
    <w:p w14:paraId="47A42BA4" w14:textId="11DE5410" w:rsidR="00B32FDB" w:rsidRPr="00401C69" w:rsidRDefault="00401C69" w:rsidP="00B32FDB">
      <w:pPr>
        <w:pStyle w:val="Ttulo"/>
        <w:rPr>
          <w:rFonts w:cs="Arial"/>
          <w:sz w:val="28"/>
          <w:szCs w:val="28"/>
          <w:lang w:eastAsia="es-CO"/>
        </w:rPr>
      </w:pPr>
      <w:r w:rsidRPr="00401C69">
        <w:rPr>
          <w:rFonts w:cs="Arial"/>
          <w:lang w:eastAsia="es-CO"/>
        </w:rPr>
        <w:t>DISPOSICIONES TRANSITORIAS SOBRE LOS MECANISMOS DE CUBRIMIENTO PARA LAS TRANSACCIONES DE ENERGÍA MAYORISTA</w:t>
      </w:r>
    </w:p>
    <w:p w14:paraId="5E2CA535" w14:textId="77777777" w:rsidR="00494621" w:rsidRPr="00FF1431" w:rsidRDefault="00494621" w:rsidP="00CE28EB">
      <w:pPr>
        <w:pStyle w:val="Ttulo"/>
        <w:rPr>
          <w:rFonts w:cs="Arial"/>
          <w:sz w:val="22"/>
          <w:szCs w:val="22"/>
          <w:lang w:val="es-ES_tradnl" w:eastAsia="es-CO"/>
        </w:rPr>
      </w:pPr>
    </w:p>
    <w:p w14:paraId="079EEC98" w14:textId="3FB29DAA" w:rsidR="00B32FDB" w:rsidRPr="006D7B76" w:rsidRDefault="00E7209B" w:rsidP="006D7B76">
      <w:pPr>
        <w:pStyle w:val="Ttulo1"/>
        <w:spacing w:after="0"/>
        <w:ind w:left="431" w:hanging="431"/>
        <w:rPr>
          <w:rFonts w:cs="Arial"/>
        </w:rPr>
      </w:pPr>
      <w:bookmarkStart w:id="2" w:name="_Toc41901972"/>
      <w:bookmarkStart w:id="3" w:name="_Toc506979468"/>
      <w:bookmarkStart w:id="4" w:name="_Toc494863466"/>
      <w:bookmarkStart w:id="5" w:name="_Toc150524980"/>
      <w:r w:rsidRPr="006D7B76">
        <w:rPr>
          <w:rFonts w:cs="Arial"/>
        </w:rPr>
        <w:t>ANTECEDENTES</w:t>
      </w:r>
      <w:bookmarkEnd w:id="2"/>
      <w:bookmarkEnd w:id="3"/>
      <w:bookmarkEnd w:id="4"/>
      <w:bookmarkEnd w:id="5"/>
    </w:p>
    <w:p w14:paraId="508AA709" w14:textId="021F8F41" w:rsidR="00854161" w:rsidRDefault="00500D0B" w:rsidP="006D7B76">
      <w:pPr>
        <w:spacing w:before="240" w:after="0"/>
        <w:rPr>
          <w:rFonts w:cs="Arial"/>
        </w:rPr>
      </w:pPr>
      <w:r w:rsidRPr="0E237B42">
        <w:rPr>
          <w:rFonts w:cs="Arial"/>
        </w:rPr>
        <w:t xml:space="preserve">En los últimos cuatro años, el funcionamiento del sector de energía eléctrica en Colombia ha enfrentado desafíos importantes en términos de </w:t>
      </w:r>
      <w:r w:rsidR="005F0AA6" w:rsidRPr="0E237B42">
        <w:rPr>
          <w:rFonts w:cs="Arial"/>
        </w:rPr>
        <w:t xml:space="preserve">eventos externos que han afectado </w:t>
      </w:r>
      <w:r w:rsidRPr="0E237B42">
        <w:rPr>
          <w:rFonts w:cs="Arial"/>
        </w:rPr>
        <w:t>la prestación del se</w:t>
      </w:r>
      <w:r w:rsidR="005F0AA6" w:rsidRPr="0E237B42">
        <w:rPr>
          <w:rFonts w:cs="Arial"/>
        </w:rPr>
        <w:t xml:space="preserve">rvicio público domiciliario de energía eléctrica. </w:t>
      </w:r>
      <w:r w:rsidR="00FE549D" w:rsidRPr="0E237B42">
        <w:rPr>
          <w:rFonts w:cs="Arial"/>
        </w:rPr>
        <w:t>En</w:t>
      </w:r>
      <w:r w:rsidR="005F0AA6" w:rsidRPr="0E237B42">
        <w:rPr>
          <w:rFonts w:cs="Arial"/>
        </w:rPr>
        <w:t xml:space="preserve"> el primer trimestre de</w:t>
      </w:r>
      <w:r w:rsidR="00FE549D" w:rsidRPr="0E237B42">
        <w:rPr>
          <w:rFonts w:cs="Arial"/>
        </w:rPr>
        <w:t xml:space="preserve"> 2020, la pa</w:t>
      </w:r>
      <w:r w:rsidR="00B8445C" w:rsidRPr="0E237B42">
        <w:rPr>
          <w:rFonts w:cs="Arial"/>
        </w:rPr>
        <w:t>n</w:t>
      </w:r>
      <w:r w:rsidR="00FE549D" w:rsidRPr="0E237B42">
        <w:rPr>
          <w:rFonts w:cs="Arial"/>
        </w:rPr>
        <w:t xml:space="preserve">demia </w:t>
      </w:r>
      <w:r w:rsidR="00B8445C" w:rsidRPr="0E237B42">
        <w:rPr>
          <w:rFonts w:cs="Arial"/>
        </w:rPr>
        <w:t>por Covid</w:t>
      </w:r>
      <w:r w:rsidR="4B662C33" w:rsidRPr="0E237B42">
        <w:rPr>
          <w:rFonts w:cs="Arial"/>
        </w:rPr>
        <w:t xml:space="preserve"> – 19 </w:t>
      </w:r>
      <w:r w:rsidR="008223C7" w:rsidRPr="0E237B42">
        <w:rPr>
          <w:rFonts w:cs="Arial"/>
        </w:rPr>
        <w:t>se con</w:t>
      </w:r>
      <w:r w:rsidR="00DA6058" w:rsidRPr="0E237B42">
        <w:rPr>
          <w:rFonts w:cs="Arial"/>
        </w:rPr>
        <w:t>stituy</w:t>
      </w:r>
      <w:r w:rsidR="008223C7" w:rsidRPr="0E237B42">
        <w:rPr>
          <w:rFonts w:cs="Arial"/>
        </w:rPr>
        <w:t>ó</w:t>
      </w:r>
      <w:r w:rsidR="00FE549D" w:rsidRPr="0E237B42">
        <w:rPr>
          <w:rFonts w:cs="Arial"/>
        </w:rPr>
        <w:t xml:space="preserve"> </w:t>
      </w:r>
      <w:r w:rsidR="00DA6058" w:rsidRPr="0E237B42">
        <w:rPr>
          <w:rFonts w:cs="Arial"/>
        </w:rPr>
        <w:t>en</w:t>
      </w:r>
      <w:r w:rsidR="00B8445C" w:rsidRPr="0E237B42">
        <w:rPr>
          <w:rFonts w:cs="Arial"/>
        </w:rPr>
        <w:t xml:space="preserve"> </w:t>
      </w:r>
      <w:r w:rsidR="00FE549D" w:rsidRPr="0E237B42">
        <w:rPr>
          <w:rFonts w:cs="Arial"/>
        </w:rPr>
        <w:t>una situación atípica en el desarrollo de la prestación</w:t>
      </w:r>
      <w:r w:rsidR="00B8445C" w:rsidRPr="0E237B42">
        <w:rPr>
          <w:rFonts w:cs="Arial"/>
        </w:rPr>
        <w:t xml:space="preserve"> de</w:t>
      </w:r>
      <w:r w:rsidR="005F0AA6" w:rsidRPr="0E237B42">
        <w:rPr>
          <w:rFonts w:cs="Arial"/>
        </w:rPr>
        <w:t xml:space="preserve"> este</w:t>
      </w:r>
      <w:r w:rsidR="00B8445C" w:rsidRPr="0E237B42">
        <w:rPr>
          <w:rFonts w:cs="Arial"/>
        </w:rPr>
        <w:t xml:space="preserve"> servicio público</w:t>
      </w:r>
      <w:r w:rsidR="005F0AA6" w:rsidRPr="0E237B42">
        <w:rPr>
          <w:rFonts w:cs="Arial"/>
        </w:rPr>
        <w:t xml:space="preserve"> en el país</w:t>
      </w:r>
      <w:r w:rsidR="006261A3" w:rsidRPr="0E237B42">
        <w:rPr>
          <w:rFonts w:cs="Arial"/>
        </w:rPr>
        <w:t xml:space="preserve">, que llevó a </w:t>
      </w:r>
      <w:r w:rsidR="00854161" w:rsidRPr="0E237B42">
        <w:rPr>
          <w:rFonts w:cs="Arial"/>
        </w:rPr>
        <w:t xml:space="preserve">la Comisión a </w:t>
      </w:r>
      <w:r w:rsidR="00A029AF" w:rsidRPr="0E237B42">
        <w:rPr>
          <w:rFonts w:cs="Arial"/>
        </w:rPr>
        <w:t>adoptar</w:t>
      </w:r>
      <w:r w:rsidR="00854161" w:rsidRPr="0E237B42">
        <w:rPr>
          <w:rFonts w:cs="Arial"/>
        </w:rPr>
        <w:t xml:space="preserve"> </w:t>
      </w:r>
      <w:r w:rsidR="006261A3" w:rsidRPr="0E237B42">
        <w:rPr>
          <w:rFonts w:cs="Arial"/>
        </w:rPr>
        <w:t xml:space="preserve">medidas </w:t>
      </w:r>
      <w:r w:rsidR="00854161" w:rsidRPr="0E237B42">
        <w:rPr>
          <w:rFonts w:cs="Arial"/>
        </w:rPr>
        <w:t>acordes con la situación</w:t>
      </w:r>
      <w:r w:rsidR="004854ED" w:rsidRPr="0E237B42">
        <w:rPr>
          <w:rFonts w:cs="Arial"/>
        </w:rPr>
        <w:t xml:space="preserve">. </w:t>
      </w:r>
    </w:p>
    <w:p w14:paraId="0FD3DFB0" w14:textId="25CE1D98" w:rsidR="004854ED" w:rsidRDefault="004854ED" w:rsidP="006D7B76">
      <w:pPr>
        <w:spacing w:before="240" w:after="0"/>
        <w:rPr>
          <w:rFonts w:cs="Arial"/>
        </w:rPr>
      </w:pPr>
      <w:r>
        <w:rPr>
          <w:rFonts w:cs="Arial"/>
        </w:rPr>
        <w:t>De estas medidas hi</w:t>
      </w:r>
      <w:r w:rsidR="00B75783">
        <w:rPr>
          <w:rFonts w:cs="Arial"/>
        </w:rPr>
        <w:t>zo</w:t>
      </w:r>
      <w:r>
        <w:rPr>
          <w:rFonts w:cs="Arial"/>
        </w:rPr>
        <w:t xml:space="preserve"> parte la aplicación obligatoria de la opción tarifaria por parte de </w:t>
      </w:r>
      <w:r w:rsidR="006D36DA">
        <w:rPr>
          <w:rFonts w:cs="Arial"/>
        </w:rPr>
        <w:t xml:space="preserve">los comercializadores </w:t>
      </w:r>
      <w:r w:rsidR="54D0BFFD" w:rsidRPr="00DB0EB4">
        <w:rPr>
          <w:rFonts w:cs="Arial"/>
        </w:rPr>
        <w:t xml:space="preserve">de energía eléctrica </w:t>
      </w:r>
      <w:r w:rsidR="006D36DA">
        <w:rPr>
          <w:rFonts w:cs="Arial"/>
        </w:rPr>
        <w:t>que atendían usuarios finales</w:t>
      </w:r>
      <w:r w:rsidR="00822520">
        <w:rPr>
          <w:rFonts w:cs="Arial"/>
        </w:rPr>
        <w:t>, conforme a lo establecido en la Resolución CREG 058 de 2020</w:t>
      </w:r>
      <w:r w:rsidR="00897B4B">
        <w:rPr>
          <w:rFonts w:cs="Arial"/>
        </w:rPr>
        <w:t>. En este desarrollo regulatorio, se dio prioridad a mantener un</w:t>
      </w:r>
      <w:r w:rsidR="008B4CF0">
        <w:rPr>
          <w:rFonts w:cs="Arial"/>
        </w:rPr>
        <w:t xml:space="preserve"> esquema con menor </w:t>
      </w:r>
      <w:r w:rsidR="009A570B">
        <w:rPr>
          <w:rFonts w:cs="Arial"/>
        </w:rPr>
        <w:t>impacto en las tarifas, estableciendo una recuperación posterior de los saldos por parte de los comercializadores</w:t>
      </w:r>
      <w:r w:rsidR="00F71194">
        <w:rPr>
          <w:rFonts w:cs="Arial"/>
        </w:rPr>
        <w:t xml:space="preserve">. </w:t>
      </w:r>
    </w:p>
    <w:p w14:paraId="5212F0A6" w14:textId="5552B4D8" w:rsidR="00E73F1A" w:rsidRDefault="000D7990" w:rsidP="006D7B76">
      <w:pPr>
        <w:spacing w:before="240" w:after="0"/>
        <w:rPr>
          <w:rFonts w:cs="Arial"/>
        </w:rPr>
      </w:pPr>
      <w:r>
        <w:rPr>
          <w:rFonts w:cs="Arial"/>
        </w:rPr>
        <w:t xml:space="preserve">Adicionalmente, otro evento externo, la guerra entre Rusia y Ucrania </w:t>
      </w:r>
      <w:r w:rsidR="0E1E8AB7" w:rsidRPr="57D28409">
        <w:rPr>
          <w:rFonts w:cs="Arial"/>
        </w:rPr>
        <w:t>trajo</w:t>
      </w:r>
      <w:r w:rsidR="00907394">
        <w:rPr>
          <w:rFonts w:cs="Arial"/>
        </w:rPr>
        <w:t xml:space="preserve"> consecuencias </w:t>
      </w:r>
      <w:r>
        <w:rPr>
          <w:rFonts w:cs="Arial"/>
        </w:rPr>
        <w:t>a nivel global</w:t>
      </w:r>
      <w:r w:rsidR="006434A1">
        <w:rPr>
          <w:rFonts w:cs="Arial"/>
        </w:rPr>
        <w:t>,</w:t>
      </w:r>
      <w:r>
        <w:rPr>
          <w:rFonts w:cs="Arial"/>
        </w:rPr>
        <w:t xml:space="preserve"> con impactos significativos en los precios de </w:t>
      </w:r>
      <w:r w:rsidR="00B5541A">
        <w:rPr>
          <w:rFonts w:cs="Arial"/>
        </w:rPr>
        <w:t xml:space="preserve">algunos insumos que se reflejaron a su vez en </w:t>
      </w:r>
      <w:r>
        <w:rPr>
          <w:rFonts w:cs="Arial"/>
        </w:rPr>
        <w:t xml:space="preserve">los componentes del costo unitario de prestación del servicio, en particular </w:t>
      </w:r>
      <w:r w:rsidR="00B5541A">
        <w:rPr>
          <w:rFonts w:cs="Arial"/>
        </w:rPr>
        <w:t xml:space="preserve">aquellos </w:t>
      </w:r>
      <w:r w:rsidR="00B96BD9">
        <w:rPr>
          <w:rFonts w:cs="Arial"/>
        </w:rPr>
        <w:t>actualiz</w:t>
      </w:r>
      <w:r w:rsidR="00B5541A">
        <w:rPr>
          <w:rFonts w:cs="Arial"/>
        </w:rPr>
        <w:t xml:space="preserve">ados </w:t>
      </w:r>
      <w:r w:rsidR="00B96BD9">
        <w:rPr>
          <w:rFonts w:cs="Arial"/>
        </w:rPr>
        <w:t xml:space="preserve">con el </w:t>
      </w:r>
      <w:r>
        <w:rPr>
          <w:rFonts w:cs="Arial"/>
        </w:rPr>
        <w:t xml:space="preserve">índice de precios </w:t>
      </w:r>
      <w:r w:rsidR="009F49BA">
        <w:rPr>
          <w:rFonts w:cs="Arial"/>
        </w:rPr>
        <w:t xml:space="preserve">del </w:t>
      </w:r>
      <w:r>
        <w:rPr>
          <w:rFonts w:cs="Arial"/>
        </w:rPr>
        <w:t>productor, IPP</w:t>
      </w:r>
      <w:r w:rsidR="002171F1">
        <w:rPr>
          <w:rFonts w:cs="Arial"/>
        </w:rPr>
        <w:t>. El</w:t>
      </w:r>
      <w:r w:rsidR="00583E28">
        <w:rPr>
          <w:rFonts w:cs="Arial"/>
        </w:rPr>
        <w:t xml:space="preserve"> incremento </w:t>
      </w:r>
      <w:r w:rsidR="005F0252">
        <w:rPr>
          <w:rFonts w:cs="Arial"/>
        </w:rPr>
        <w:t xml:space="preserve">de este índice </w:t>
      </w:r>
      <w:r w:rsidR="00B22A79">
        <w:rPr>
          <w:rFonts w:cs="Arial"/>
        </w:rPr>
        <w:t>impact</w:t>
      </w:r>
      <w:r w:rsidR="00583E28">
        <w:rPr>
          <w:rFonts w:cs="Arial"/>
        </w:rPr>
        <w:t>ó</w:t>
      </w:r>
      <w:r w:rsidR="00B22A79">
        <w:rPr>
          <w:rFonts w:cs="Arial"/>
        </w:rPr>
        <w:t xml:space="preserve"> de manera </w:t>
      </w:r>
      <w:r w:rsidR="1B07BFC9" w:rsidRPr="00DB0EB4">
        <w:rPr>
          <w:rFonts w:cs="Arial"/>
        </w:rPr>
        <w:t>importante</w:t>
      </w:r>
      <w:r w:rsidR="00B22A79">
        <w:rPr>
          <w:rFonts w:cs="Arial"/>
        </w:rPr>
        <w:t xml:space="preserve"> las tarifas de los usuarios finales</w:t>
      </w:r>
      <w:r w:rsidR="00C50AAA">
        <w:rPr>
          <w:rFonts w:cs="Arial"/>
        </w:rPr>
        <w:t xml:space="preserve">, por lo que se adoptaron </w:t>
      </w:r>
      <w:r>
        <w:rPr>
          <w:rFonts w:cs="Arial"/>
        </w:rPr>
        <w:t xml:space="preserve">medidas </w:t>
      </w:r>
      <w:r w:rsidR="00791B0A">
        <w:rPr>
          <w:rFonts w:cs="Arial"/>
        </w:rPr>
        <w:t xml:space="preserve">que permitieran aliviar las presiones sobre </w:t>
      </w:r>
      <w:r w:rsidR="00583E28">
        <w:rPr>
          <w:rFonts w:cs="Arial"/>
        </w:rPr>
        <w:t xml:space="preserve">las tarifas a </w:t>
      </w:r>
      <w:r w:rsidR="00791B0A">
        <w:rPr>
          <w:rFonts w:cs="Arial"/>
        </w:rPr>
        <w:t xml:space="preserve">los usuarios finales </w:t>
      </w:r>
      <w:r>
        <w:rPr>
          <w:rFonts w:cs="Arial"/>
        </w:rPr>
        <w:t xml:space="preserve">y otras adicionales </w:t>
      </w:r>
      <w:r w:rsidR="00583E28">
        <w:rPr>
          <w:rFonts w:cs="Arial"/>
        </w:rPr>
        <w:t xml:space="preserve">para establecer un </w:t>
      </w:r>
      <w:r w:rsidR="00E73F1A">
        <w:rPr>
          <w:rFonts w:cs="Arial"/>
        </w:rPr>
        <w:t xml:space="preserve">balance para los agentes que </w:t>
      </w:r>
      <w:r w:rsidR="00950F3D">
        <w:rPr>
          <w:rFonts w:cs="Arial"/>
        </w:rPr>
        <w:t xml:space="preserve">hacían </w:t>
      </w:r>
      <w:r w:rsidR="00E73F1A">
        <w:rPr>
          <w:rFonts w:cs="Arial"/>
        </w:rPr>
        <w:t>parte de la cadena de prestación del servicio</w:t>
      </w:r>
      <w:r>
        <w:rPr>
          <w:rFonts w:cs="Arial"/>
        </w:rPr>
        <w:t>.</w:t>
      </w:r>
      <w:r w:rsidR="00E73F1A">
        <w:rPr>
          <w:rFonts w:cs="Arial"/>
        </w:rPr>
        <w:t xml:space="preserve"> </w:t>
      </w:r>
    </w:p>
    <w:p w14:paraId="579CA1CA" w14:textId="267AB20F" w:rsidR="000D7990" w:rsidRDefault="00E73F1A" w:rsidP="006D7B76">
      <w:pPr>
        <w:spacing w:before="240" w:after="0"/>
        <w:rPr>
          <w:rFonts w:cs="Arial"/>
        </w:rPr>
      </w:pPr>
      <w:r>
        <w:rPr>
          <w:rFonts w:cs="Arial"/>
        </w:rPr>
        <w:t xml:space="preserve">Dentro de estas medidas se </w:t>
      </w:r>
      <w:r w:rsidRPr="00DB0EB4">
        <w:rPr>
          <w:rFonts w:cs="Arial"/>
        </w:rPr>
        <w:t>destaca</w:t>
      </w:r>
      <w:r w:rsidR="009F50FF">
        <w:rPr>
          <w:rFonts w:cs="Arial"/>
        </w:rPr>
        <w:t xml:space="preserve"> la Resolución CREG 101 027 de 2022, </w:t>
      </w:r>
      <w:r w:rsidR="00C52440">
        <w:rPr>
          <w:rFonts w:cs="Arial"/>
        </w:rPr>
        <w:t xml:space="preserve">modificada por la </w:t>
      </w:r>
      <w:r w:rsidR="00C52440" w:rsidRPr="00666F01">
        <w:rPr>
          <w:rFonts w:cs="Arial"/>
        </w:rPr>
        <w:t xml:space="preserve">Resolución CREG </w:t>
      </w:r>
      <w:r w:rsidR="00C52440">
        <w:rPr>
          <w:rFonts w:cs="Arial"/>
        </w:rPr>
        <w:t xml:space="preserve">101 </w:t>
      </w:r>
      <w:r w:rsidR="00C52440" w:rsidRPr="00666F01">
        <w:rPr>
          <w:rFonts w:cs="Arial"/>
        </w:rPr>
        <w:t>0</w:t>
      </w:r>
      <w:r w:rsidR="00C52440">
        <w:rPr>
          <w:rFonts w:cs="Arial"/>
        </w:rPr>
        <w:t>31</w:t>
      </w:r>
      <w:r w:rsidR="00C52440" w:rsidRPr="00666F01">
        <w:rPr>
          <w:rFonts w:cs="Arial"/>
        </w:rPr>
        <w:t xml:space="preserve"> de 202</w:t>
      </w:r>
      <w:r w:rsidR="00C52440">
        <w:rPr>
          <w:rFonts w:cs="Arial"/>
        </w:rPr>
        <w:t xml:space="preserve">2, </w:t>
      </w:r>
      <w:r w:rsidR="00C37231">
        <w:rPr>
          <w:rFonts w:cs="Arial"/>
        </w:rPr>
        <w:t xml:space="preserve">que estableció la posibilidad de cambiar temporalmente el indexador al que </w:t>
      </w:r>
      <w:r w:rsidR="007B2799">
        <w:rPr>
          <w:rFonts w:cs="Arial"/>
        </w:rPr>
        <w:t>estaba</w:t>
      </w:r>
      <w:r w:rsidR="00173EC3">
        <w:rPr>
          <w:rFonts w:cs="Arial"/>
        </w:rPr>
        <w:t>n</w:t>
      </w:r>
      <w:r w:rsidR="007B2799">
        <w:rPr>
          <w:rFonts w:cs="Arial"/>
        </w:rPr>
        <w:t xml:space="preserve"> referenciado</w:t>
      </w:r>
      <w:r w:rsidR="00173EC3">
        <w:rPr>
          <w:rFonts w:cs="Arial"/>
        </w:rPr>
        <w:t>s</w:t>
      </w:r>
      <w:r w:rsidR="007B2799">
        <w:rPr>
          <w:rFonts w:cs="Arial"/>
        </w:rPr>
        <w:t xml:space="preserve"> </w:t>
      </w:r>
      <w:r w:rsidR="00173EC3">
        <w:rPr>
          <w:rFonts w:cs="Arial"/>
        </w:rPr>
        <w:t>los</w:t>
      </w:r>
      <w:r w:rsidR="007B2799">
        <w:rPr>
          <w:rFonts w:cs="Arial"/>
        </w:rPr>
        <w:t xml:space="preserve"> componente</w:t>
      </w:r>
      <w:r w:rsidR="00173EC3">
        <w:rPr>
          <w:rFonts w:cs="Arial"/>
        </w:rPr>
        <w:t>s</w:t>
      </w:r>
      <w:r w:rsidR="007B2799">
        <w:rPr>
          <w:rFonts w:cs="Arial"/>
        </w:rPr>
        <w:t xml:space="preserve"> </w:t>
      </w:r>
      <w:r w:rsidR="00173EC3">
        <w:rPr>
          <w:rFonts w:cs="Arial"/>
        </w:rPr>
        <w:t xml:space="preserve">de transmisión y </w:t>
      </w:r>
      <w:r w:rsidR="007B2799">
        <w:rPr>
          <w:rFonts w:cs="Arial"/>
        </w:rPr>
        <w:t xml:space="preserve">distribución que se </w:t>
      </w:r>
      <w:r w:rsidR="007B2799" w:rsidRPr="00DB0EB4">
        <w:rPr>
          <w:rFonts w:cs="Arial"/>
        </w:rPr>
        <w:t>traslada</w:t>
      </w:r>
      <w:r w:rsidR="68A850DF" w:rsidRPr="00DB0EB4">
        <w:rPr>
          <w:rFonts w:cs="Arial"/>
        </w:rPr>
        <w:t>n</w:t>
      </w:r>
      <w:r w:rsidR="007B2799">
        <w:rPr>
          <w:rFonts w:cs="Arial"/>
        </w:rPr>
        <w:t xml:space="preserve"> al usuario final. </w:t>
      </w:r>
      <w:r w:rsidR="00184DEE">
        <w:rPr>
          <w:rFonts w:cs="Arial"/>
        </w:rPr>
        <w:t xml:space="preserve">En esta </w:t>
      </w:r>
      <w:r w:rsidR="007F73CE">
        <w:rPr>
          <w:rFonts w:cs="Arial"/>
        </w:rPr>
        <w:t>norma</w:t>
      </w:r>
      <w:r w:rsidR="00184DEE">
        <w:rPr>
          <w:rFonts w:cs="Arial"/>
        </w:rPr>
        <w:t xml:space="preserve">, los </w:t>
      </w:r>
      <w:r w:rsidR="00B974EC">
        <w:rPr>
          <w:rFonts w:cs="Arial"/>
        </w:rPr>
        <w:t>agentes</w:t>
      </w:r>
      <w:r w:rsidR="00184DEE">
        <w:rPr>
          <w:rFonts w:cs="Arial"/>
        </w:rPr>
        <w:t xml:space="preserve"> que se acogieron a </w:t>
      </w:r>
      <w:r w:rsidR="00413A0E">
        <w:rPr>
          <w:rFonts w:cs="Arial"/>
        </w:rPr>
        <w:t xml:space="preserve">lo </w:t>
      </w:r>
      <w:r w:rsidR="00184DEE">
        <w:rPr>
          <w:rFonts w:cs="Arial"/>
        </w:rPr>
        <w:t>dispue</w:t>
      </w:r>
      <w:r w:rsidR="00413A0E">
        <w:rPr>
          <w:rFonts w:cs="Arial"/>
        </w:rPr>
        <w:t>sto</w:t>
      </w:r>
      <w:r w:rsidR="00184DEE">
        <w:rPr>
          <w:rFonts w:cs="Arial"/>
        </w:rPr>
        <w:t xml:space="preserve"> en </w:t>
      </w:r>
      <w:r w:rsidR="009D7D67">
        <w:rPr>
          <w:rFonts w:cs="Arial"/>
        </w:rPr>
        <w:t xml:space="preserve">la </w:t>
      </w:r>
      <w:r w:rsidR="00184DEE">
        <w:rPr>
          <w:rFonts w:cs="Arial"/>
        </w:rPr>
        <w:t xml:space="preserve">resolución </w:t>
      </w:r>
      <w:r w:rsidR="000369BC">
        <w:rPr>
          <w:rFonts w:cs="Arial"/>
        </w:rPr>
        <w:t>redujeron en alguna medi</w:t>
      </w:r>
      <w:r w:rsidR="008E2C29">
        <w:rPr>
          <w:rFonts w:cs="Arial"/>
        </w:rPr>
        <w:t>d</w:t>
      </w:r>
      <w:r w:rsidR="000369BC">
        <w:rPr>
          <w:rFonts w:cs="Arial"/>
        </w:rPr>
        <w:t>a los ingresos por la adopción temporal de un nuevo indexador.</w:t>
      </w:r>
      <w:r w:rsidR="0070549D">
        <w:rPr>
          <w:rFonts w:cs="Arial"/>
        </w:rPr>
        <w:t xml:space="preserve"> </w:t>
      </w:r>
    </w:p>
    <w:p w14:paraId="0E7FF094" w14:textId="094BE845" w:rsidR="00D24A62" w:rsidRDefault="00AB6AD3" w:rsidP="006D7B76">
      <w:pPr>
        <w:spacing w:before="240" w:after="0"/>
        <w:rPr>
          <w:rFonts w:cs="Arial"/>
        </w:rPr>
      </w:pPr>
      <w:r>
        <w:rPr>
          <w:rFonts w:cs="Arial"/>
        </w:rPr>
        <w:t>Por otro lado</w:t>
      </w:r>
      <w:r w:rsidR="00F51884">
        <w:rPr>
          <w:rFonts w:cs="Arial"/>
        </w:rPr>
        <w:t xml:space="preserve">, </w:t>
      </w:r>
      <w:r w:rsidR="000369BC">
        <w:rPr>
          <w:rFonts w:cs="Arial"/>
        </w:rPr>
        <w:t xml:space="preserve">la Comisión </w:t>
      </w:r>
      <w:r w:rsidR="0027704D">
        <w:rPr>
          <w:rFonts w:cs="Arial"/>
        </w:rPr>
        <w:t>ha esta</w:t>
      </w:r>
      <w:r w:rsidR="00BF42A2">
        <w:rPr>
          <w:rFonts w:cs="Arial"/>
        </w:rPr>
        <w:t>bleci</w:t>
      </w:r>
      <w:r w:rsidR="0027704D">
        <w:rPr>
          <w:rFonts w:cs="Arial"/>
        </w:rPr>
        <w:t xml:space="preserve">do </w:t>
      </w:r>
      <w:r w:rsidR="00EF6E8F">
        <w:rPr>
          <w:rFonts w:cs="Arial"/>
        </w:rPr>
        <w:t xml:space="preserve">reglas </w:t>
      </w:r>
      <w:r w:rsidR="0027704D">
        <w:rPr>
          <w:rFonts w:cs="Arial"/>
        </w:rPr>
        <w:t>asociadas a la mitigación de riesgos, en aras de mantener</w:t>
      </w:r>
      <w:r w:rsidR="00EF6E8F">
        <w:rPr>
          <w:rFonts w:cs="Arial"/>
        </w:rPr>
        <w:t xml:space="preserve"> el buen funcionamiento del mercado</w:t>
      </w:r>
      <w:r w:rsidR="0027704D">
        <w:rPr>
          <w:rFonts w:cs="Arial"/>
        </w:rPr>
        <w:t xml:space="preserve">. Para ello, se han adoptado diferentes resoluciones </w:t>
      </w:r>
      <w:r>
        <w:rPr>
          <w:rFonts w:cs="Arial"/>
        </w:rPr>
        <w:t xml:space="preserve">asociadas a los mecanismos de cobertura que tienen que </w:t>
      </w:r>
      <w:r w:rsidR="008E2C29">
        <w:rPr>
          <w:rFonts w:cs="Arial"/>
        </w:rPr>
        <w:t xml:space="preserve">entregar </w:t>
      </w:r>
      <w:r>
        <w:rPr>
          <w:rFonts w:cs="Arial"/>
        </w:rPr>
        <w:t>l</w:t>
      </w:r>
      <w:r w:rsidR="009B0691">
        <w:rPr>
          <w:rFonts w:cs="Arial"/>
        </w:rPr>
        <w:t xml:space="preserve">os agentes para </w:t>
      </w:r>
      <w:r w:rsidR="008E2C29">
        <w:rPr>
          <w:rFonts w:cs="Arial"/>
        </w:rPr>
        <w:t xml:space="preserve">garantizar el </w:t>
      </w:r>
      <w:r w:rsidR="009B0691">
        <w:rPr>
          <w:rFonts w:cs="Arial"/>
        </w:rPr>
        <w:t>cumpli</w:t>
      </w:r>
      <w:r w:rsidR="008E2C29">
        <w:rPr>
          <w:rFonts w:cs="Arial"/>
        </w:rPr>
        <w:t>miento de su</w:t>
      </w:r>
      <w:r>
        <w:rPr>
          <w:rFonts w:cs="Arial"/>
        </w:rPr>
        <w:t xml:space="preserve">s obligaciones </w:t>
      </w:r>
      <w:r w:rsidR="008E2C29">
        <w:rPr>
          <w:rFonts w:cs="Arial"/>
        </w:rPr>
        <w:t xml:space="preserve">con el </w:t>
      </w:r>
      <w:r w:rsidR="009B0691">
        <w:rPr>
          <w:rFonts w:cs="Arial"/>
        </w:rPr>
        <w:t xml:space="preserve">mercado </w:t>
      </w:r>
      <w:r>
        <w:rPr>
          <w:rFonts w:cs="Arial"/>
        </w:rPr>
        <w:t>de las que son responsables</w:t>
      </w:r>
      <w:r w:rsidR="009B0691">
        <w:rPr>
          <w:rFonts w:cs="Arial"/>
        </w:rPr>
        <w:t xml:space="preserve">. En este sentido, se destaca lo establecido en el Anexo </w:t>
      </w:r>
      <w:r w:rsidR="004E0715">
        <w:rPr>
          <w:rFonts w:cs="Arial"/>
        </w:rPr>
        <w:t>C d</w:t>
      </w:r>
      <w:r w:rsidR="00476A24">
        <w:rPr>
          <w:rFonts w:cs="Arial"/>
        </w:rPr>
        <w:t>e la Resolución CREG 024 de 199</w:t>
      </w:r>
      <w:r w:rsidR="00A66DB0">
        <w:rPr>
          <w:rFonts w:cs="Arial"/>
        </w:rPr>
        <w:t>5</w:t>
      </w:r>
      <w:r w:rsidR="00476A24">
        <w:rPr>
          <w:rFonts w:cs="Arial"/>
        </w:rPr>
        <w:t xml:space="preserve">, donde se </w:t>
      </w:r>
      <w:r w:rsidR="009B18CF">
        <w:rPr>
          <w:rFonts w:cs="Arial"/>
        </w:rPr>
        <w:t xml:space="preserve">determinó </w:t>
      </w:r>
      <w:r w:rsidR="00D24A62">
        <w:rPr>
          <w:rFonts w:cs="Arial"/>
        </w:rPr>
        <w:t xml:space="preserve">lo siguiente: </w:t>
      </w:r>
    </w:p>
    <w:p w14:paraId="271267BF" w14:textId="5D3D1BBB" w:rsidR="009A41CC" w:rsidRPr="009F5DFC" w:rsidRDefault="00D24A62" w:rsidP="006D7B76">
      <w:pPr>
        <w:spacing w:before="240" w:after="0"/>
        <w:ind w:left="426"/>
        <w:rPr>
          <w:rFonts w:cs="Arial"/>
          <w:i/>
          <w:iCs/>
        </w:rPr>
      </w:pPr>
      <w:r w:rsidRPr="009F5DFC">
        <w:rPr>
          <w:rFonts w:cs="Arial"/>
          <w:i/>
          <w:iCs/>
        </w:rPr>
        <w:lastRenderedPageBreak/>
        <w:t>“</w:t>
      </w:r>
      <w:r w:rsidR="009A41CC" w:rsidRPr="009F5DFC">
        <w:rPr>
          <w:rFonts w:cs="Arial"/>
          <w:i/>
          <w:iCs/>
        </w:rPr>
        <w:t>El cumplimiento de todas aquellas obligaciones de generadores y comercializadores, que se formen en el mercado mayorista a través de la Bolsa de Energía, entre sí o respecto de los transportadores, será objeto de garantías a favor del Administrador del SIC.</w:t>
      </w:r>
    </w:p>
    <w:p w14:paraId="2C714CA5" w14:textId="035F3478" w:rsidR="009A41CC" w:rsidRPr="009F5DFC" w:rsidRDefault="009A41CC" w:rsidP="006D7B76">
      <w:pPr>
        <w:spacing w:before="240" w:after="0"/>
        <w:ind w:left="426"/>
        <w:rPr>
          <w:rFonts w:cs="Arial"/>
          <w:i/>
          <w:iCs/>
        </w:rPr>
      </w:pPr>
      <w:r w:rsidRPr="009F5DFC">
        <w:rPr>
          <w:rFonts w:cs="Arial"/>
          <w:i/>
          <w:iCs/>
        </w:rPr>
        <w:t>Las garantías tienen como finalidad asegurar el cumplimiento de las obligaciones que surjan a cargo de generadores y comercializadores en el mercado mayorista, correspondientes a las transacciones en la bolsa de energía, por un monto no inferior al valor esperado de las compras del generador o comercializador en esta bolsa.</w:t>
      </w:r>
      <w:r w:rsidR="009F5DFC" w:rsidRPr="009F5DFC">
        <w:rPr>
          <w:rFonts w:cs="Arial"/>
          <w:i/>
          <w:iCs/>
        </w:rPr>
        <w:t>”</w:t>
      </w:r>
    </w:p>
    <w:p w14:paraId="18555DE6" w14:textId="46128AAD" w:rsidR="00F9074E" w:rsidRDefault="00AA3C9C" w:rsidP="006D7B76">
      <w:pPr>
        <w:spacing w:before="240" w:after="0"/>
        <w:rPr>
          <w:rFonts w:cs="Arial"/>
        </w:rPr>
      </w:pPr>
      <w:r w:rsidRPr="0E237B42">
        <w:rPr>
          <w:rFonts w:cs="Arial"/>
        </w:rPr>
        <w:t>Mediante</w:t>
      </w:r>
      <w:r w:rsidR="00A86A38" w:rsidRPr="0E237B42">
        <w:rPr>
          <w:rFonts w:cs="Arial"/>
        </w:rPr>
        <w:t xml:space="preserve"> la Resolución CREG 019 de 2006 se modifican algunas disposiciones en materia de garantías y pagos anticipados de los agentes participantes en el </w:t>
      </w:r>
      <w:r w:rsidR="00347937" w:rsidRPr="0E237B42">
        <w:rPr>
          <w:rFonts w:cs="Arial"/>
        </w:rPr>
        <w:t>m</w:t>
      </w:r>
      <w:r w:rsidR="00A86A38" w:rsidRPr="0E237B42">
        <w:rPr>
          <w:rFonts w:cs="Arial"/>
        </w:rPr>
        <w:t xml:space="preserve">ercado de </w:t>
      </w:r>
      <w:r w:rsidR="00347937" w:rsidRPr="0E237B42">
        <w:rPr>
          <w:rFonts w:cs="Arial"/>
        </w:rPr>
        <w:t>e</w:t>
      </w:r>
      <w:r w:rsidR="00A86A38" w:rsidRPr="0E237B42">
        <w:rPr>
          <w:rFonts w:cs="Arial"/>
        </w:rPr>
        <w:t xml:space="preserve">nergía </w:t>
      </w:r>
      <w:r w:rsidR="00347937" w:rsidRPr="0E237B42">
        <w:rPr>
          <w:rFonts w:cs="Arial"/>
        </w:rPr>
        <w:t>m</w:t>
      </w:r>
      <w:r w:rsidR="00A86A38" w:rsidRPr="0E237B42">
        <w:rPr>
          <w:rFonts w:cs="Arial"/>
        </w:rPr>
        <w:t>ayorista</w:t>
      </w:r>
      <w:r w:rsidR="008E2C29" w:rsidRPr="0E237B42">
        <w:rPr>
          <w:rFonts w:cs="Arial"/>
        </w:rPr>
        <w:t>, MEM</w:t>
      </w:r>
      <w:r w:rsidR="00A86A38" w:rsidRPr="0E237B42">
        <w:rPr>
          <w:rFonts w:cs="Arial"/>
        </w:rPr>
        <w:t xml:space="preserve">. En esta norma, se definen los mecanismos de cubrimiento para las transacciones </w:t>
      </w:r>
      <w:r w:rsidR="009F7CB1">
        <w:rPr>
          <w:rFonts w:cs="Arial"/>
        </w:rPr>
        <w:t>en el MEM</w:t>
      </w:r>
      <w:r w:rsidR="00A86A38" w:rsidRPr="0E237B42">
        <w:rPr>
          <w:rFonts w:cs="Arial"/>
        </w:rPr>
        <w:t xml:space="preserve"> </w:t>
      </w:r>
      <w:r w:rsidR="008C5BFB" w:rsidRPr="0E237B42">
        <w:rPr>
          <w:rFonts w:cs="Arial"/>
        </w:rPr>
        <w:t>(</w:t>
      </w:r>
      <w:r w:rsidR="00A86A38" w:rsidRPr="0E237B42">
        <w:rPr>
          <w:rFonts w:cs="Arial"/>
        </w:rPr>
        <w:t>dentro de los cuales se consideran</w:t>
      </w:r>
      <w:r w:rsidR="00C4617C" w:rsidRPr="0E237B42">
        <w:rPr>
          <w:rFonts w:cs="Arial"/>
        </w:rPr>
        <w:t>, entre otros,</w:t>
      </w:r>
      <w:r w:rsidR="00A86A38" w:rsidRPr="0E237B42">
        <w:rPr>
          <w:rFonts w:cs="Arial"/>
        </w:rPr>
        <w:t xml:space="preserve"> el otorgamiento de garantías bancarias, prepagos o pagos anticipados</w:t>
      </w:r>
      <w:r w:rsidR="000C5C64" w:rsidRPr="0E237B42">
        <w:rPr>
          <w:rFonts w:cs="Arial"/>
        </w:rPr>
        <w:t xml:space="preserve"> y</w:t>
      </w:r>
      <w:r w:rsidR="00A86A38" w:rsidRPr="0E237B42">
        <w:rPr>
          <w:rFonts w:cs="Arial"/>
        </w:rPr>
        <w:t xml:space="preserve"> cesión de los créditos existentes en e</w:t>
      </w:r>
      <w:r w:rsidR="001B2355" w:rsidRPr="0E237B42">
        <w:rPr>
          <w:rFonts w:cs="Arial"/>
        </w:rPr>
        <w:t>l</w:t>
      </w:r>
      <w:r w:rsidR="00A86A38" w:rsidRPr="0E237B42">
        <w:rPr>
          <w:rFonts w:cs="Arial"/>
        </w:rPr>
        <w:t xml:space="preserve"> mercado</w:t>
      </w:r>
      <w:r w:rsidR="008C5BFB" w:rsidRPr="0E237B42">
        <w:rPr>
          <w:rFonts w:cs="Arial"/>
        </w:rPr>
        <w:t>)</w:t>
      </w:r>
      <w:r w:rsidR="00066F65" w:rsidRPr="0E237B42">
        <w:rPr>
          <w:rFonts w:cs="Arial"/>
        </w:rPr>
        <w:t>,</w:t>
      </w:r>
      <w:r w:rsidR="00A86A38" w:rsidRPr="0E237B42">
        <w:rPr>
          <w:rFonts w:cs="Arial"/>
        </w:rPr>
        <w:t xml:space="preserve"> </w:t>
      </w:r>
      <w:r w:rsidR="00066F65" w:rsidRPr="0E237B42">
        <w:rPr>
          <w:rFonts w:cs="Arial"/>
        </w:rPr>
        <w:t>la forma de c</w:t>
      </w:r>
      <w:r w:rsidR="007C557B" w:rsidRPr="0E237B42">
        <w:rPr>
          <w:rFonts w:cs="Arial"/>
        </w:rPr>
        <w:t>á</w:t>
      </w:r>
      <w:r w:rsidR="00066F65" w:rsidRPr="0E237B42">
        <w:rPr>
          <w:rFonts w:cs="Arial"/>
        </w:rPr>
        <w:t>lculo del</w:t>
      </w:r>
      <w:r w:rsidR="00A86A38" w:rsidRPr="0E237B42">
        <w:rPr>
          <w:rFonts w:cs="Arial"/>
        </w:rPr>
        <w:t xml:space="preserve"> </w:t>
      </w:r>
      <w:r w:rsidR="00066F65" w:rsidRPr="0E237B42">
        <w:rPr>
          <w:rFonts w:cs="Arial"/>
        </w:rPr>
        <w:t>v</w:t>
      </w:r>
      <w:r w:rsidR="00A86A38" w:rsidRPr="0E237B42">
        <w:rPr>
          <w:rFonts w:cs="Arial"/>
        </w:rPr>
        <w:t xml:space="preserve">alor de </w:t>
      </w:r>
      <w:r w:rsidR="00066F65" w:rsidRPr="0E237B42">
        <w:rPr>
          <w:rFonts w:cs="Arial"/>
        </w:rPr>
        <w:t>c</w:t>
      </w:r>
      <w:r w:rsidR="00A86A38" w:rsidRPr="0E237B42">
        <w:rPr>
          <w:rFonts w:cs="Arial"/>
        </w:rPr>
        <w:t>obertura</w:t>
      </w:r>
      <w:r w:rsidR="003F3AD6" w:rsidRPr="0E237B42">
        <w:rPr>
          <w:rFonts w:cs="Arial"/>
        </w:rPr>
        <w:t xml:space="preserve"> y </w:t>
      </w:r>
      <w:r w:rsidR="00A86A38" w:rsidRPr="0E237B42">
        <w:rPr>
          <w:rFonts w:cs="Arial"/>
        </w:rPr>
        <w:t xml:space="preserve">que </w:t>
      </w:r>
      <w:r w:rsidR="003532DD" w:rsidRPr="0E237B42">
        <w:rPr>
          <w:rFonts w:cs="Arial"/>
        </w:rPr>
        <w:t>este</w:t>
      </w:r>
      <w:r w:rsidR="00A86A38" w:rsidRPr="0E237B42">
        <w:rPr>
          <w:rFonts w:cs="Arial"/>
        </w:rPr>
        <w:t xml:space="preserve"> </w:t>
      </w:r>
      <w:r w:rsidR="003532DD" w:rsidRPr="0E237B42">
        <w:rPr>
          <w:rFonts w:cs="Arial"/>
        </w:rPr>
        <w:t xml:space="preserve">cálculo </w:t>
      </w:r>
      <w:r w:rsidR="00A86A38" w:rsidRPr="0E237B42">
        <w:rPr>
          <w:rFonts w:cs="Arial"/>
        </w:rPr>
        <w:t xml:space="preserve">será </w:t>
      </w:r>
      <w:r w:rsidR="008E2C29" w:rsidRPr="0E237B42">
        <w:rPr>
          <w:rFonts w:cs="Arial"/>
        </w:rPr>
        <w:t xml:space="preserve">estimado </w:t>
      </w:r>
      <w:r w:rsidR="00A86A38" w:rsidRPr="0E237B42">
        <w:rPr>
          <w:rFonts w:cs="Arial"/>
        </w:rPr>
        <w:t xml:space="preserve">por el ASIC con sujeción al Reglamento de Mecanismos de Cubrimiento para las Transacciones en el </w:t>
      </w:r>
      <w:r w:rsidR="008E2C29" w:rsidRPr="0E237B42">
        <w:rPr>
          <w:rFonts w:cs="Arial"/>
        </w:rPr>
        <w:t>MEM</w:t>
      </w:r>
      <w:r w:rsidR="00A86A38" w:rsidRPr="0E237B42">
        <w:rPr>
          <w:rFonts w:cs="Arial"/>
        </w:rPr>
        <w:t>.</w:t>
      </w:r>
      <w:r w:rsidR="002138A5" w:rsidRPr="0E237B42">
        <w:rPr>
          <w:rFonts w:cs="Arial"/>
        </w:rPr>
        <w:t xml:space="preserve"> </w:t>
      </w:r>
      <w:r w:rsidR="00F9074E" w:rsidRPr="0E237B42">
        <w:rPr>
          <w:rFonts w:cs="Arial"/>
        </w:rPr>
        <w:t>E</w:t>
      </w:r>
      <w:r w:rsidR="00883CBC" w:rsidRPr="0E237B42">
        <w:rPr>
          <w:rFonts w:cs="Arial"/>
        </w:rPr>
        <w:t>ste reglamento</w:t>
      </w:r>
      <w:r w:rsidR="00F9074E" w:rsidRPr="0E237B42">
        <w:rPr>
          <w:rFonts w:cs="Arial"/>
        </w:rPr>
        <w:t xml:space="preserve"> fue modificado </w:t>
      </w:r>
      <w:r w:rsidR="00F8696B" w:rsidRPr="0E237B42">
        <w:rPr>
          <w:rFonts w:cs="Arial"/>
        </w:rPr>
        <w:t>con</w:t>
      </w:r>
      <w:r w:rsidR="00F9074E" w:rsidRPr="0E237B42">
        <w:rPr>
          <w:rFonts w:cs="Arial"/>
        </w:rPr>
        <w:t xml:space="preserve"> la Resolución CREG 087 de 2006</w:t>
      </w:r>
      <w:r w:rsidR="002138A5" w:rsidRPr="0E237B42">
        <w:rPr>
          <w:rFonts w:cs="Arial"/>
        </w:rPr>
        <w:t>.</w:t>
      </w:r>
      <w:r w:rsidR="001F35D9" w:rsidRPr="0E237B42">
        <w:rPr>
          <w:rFonts w:cs="Arial"/>
        </w:rPr>
        <w:t xml:space="preserve"> </w:t>
      </w:r>
    </w:p>
    <w:p w14:paraId="6BF6014C" w14:textId="70FC3F94" w:rsidR="000D7990" w:rsidRDefault="005F3631" w:rsidP="006D7B76">
      <w:pPr>
        <w:spacing w:before="240" w:after="0"/>
        <w:rPr>
          <w:rFonts w:cs="Arial"/>
        </w:rPr>
      </w:pPr>
      <w:r>
        <w:rPr>
          <w:rFonts w:cs="Arial"/>
        </w:rPr>
        <w:t>Este esquema de garantías hace parte de los mecanismos que permiten la mitigación de los riesgos que corren los agentes y que lo anterior no se extienda a eventos de riesgo sistémico en el mercado.</w:t>
      </w:r>
    </w:p>
    <w:p w14:paraId="59DCE8E3" w14:textId="558F92A0" w:rsidR="005F7967" w:rsidRDefault="00765732" w:rsidP="6D4EC1AC">
      <w:pPr>
        <w:spacing w:before="240" w:after="0"/>
        <w:rPr>
          <w:rFonts w:cs="Arial"/>
        </w:rPr>
      </w:pPr>
      <w:r>
        <w:rPr>
          <w:rFonts w:cs="Arial"/>
        </w:rPr>
        <w:t>De otra parte, l</w:t>
      </w:r>
      <w:r w:rsidR="002F6B69" w:rsidRPr="002F6B69">
        <w:rPr>
          <w:rFonts w:cs="Arial"/>
        </w:rPr>
        <w:t xml:space="preserve">a Comisión </w:t>
      </w:r>
      <w:r w:rsidR="00437783">
        <w:rPr>
          <w:rFonts w:cs="Arial"/>
        </w:rPr>
        <w:t>recibió</w:t>
      </w:r>
      <w:r w:rsidR="002F6B69" w:rsidRPr="002F6B69">
        <w:rPr>
          <w:rFonts w:cs="Arial"/>
        </w:rPr>
        <w:t xml:space="preserve"> comunicaciones por parte de diferentes empresas en las que </w:t>
      </w:r>
      <w:r w:rsidR="00F031C7">
        <w:rPr>
          <w:rFonts w:cs="Arial"/>
        </w:rPr>
        <w:t>señalan</w:t>
      </w:r>
      <w:r w:rsidR="002F6B69" w:rsidRPr="002F6B69">
        <w:rPr>
          <w:rFonts w:cs="Arial"/>
        </w:rPr>
        <w:t xml:space="preserve"> </w:t>
      </w:r>
      <w:r w:rsidR="5C68FB5A" w:rsidRPr="002F6B69">
        <w:rPr>
          <w:rFonts w:cs="Arial"/>
        </w:rPr>
        <w:t xml:space="preserve">que vienen presentando </w:t>
      </w:r>
      <w:r w:rsidR="002F6B69" w:rsidRPr="002F6B69">
        <w:rPr>
          <w:rFonts w:cs="Arial"/>
        </w:rPr>
        <w:t xml:space="preserve">una situación de </w:t>
      </w:r>
      <w:r w:rsidR="00E76818">
        <w:rPr>
          <w:rFonts w:cs="Arial"/>
        </w:rPr>
        <w:t>estrés</w:t>
      </w:r>
      <w:r w:rsidR="002F6B69" w:rsidRPr="002F6B69">
        <w:rPr>
          <w:rFonts w:cs="Arial"/>
        </w:rPr>
        <w:t xml:space="preserve"> </w:t>
      </w:r>
      <w:r w:rsidR="21B64DF7" w:rsidRPr="002F6B69">
        <w:rPr>
          <w:rFonts w:cs="Arial"/>
        </w:rPr>
        <w:t>financiero en el flujo de caja</w:t>
      </w:r>
      <w:r w:rsidR="00E76818">
        <w:rPr>
          <w:rFonts w:cs="Arial"/>
        </w:rPr>
        <w:t>,</w:t>
      </w:r>
      <w:r w:rsidR="009B230A">
        <w:rPr>
          <w:rFonts w:cs="Arial"/>
        </w:rPr>
        <w:t xml:space="preserve"> </w:t>
      </w:r>
      <w:r w:rsidR="004213E6">
        <w:rPr>
          <w:rFonts w:cs="Arial"/>
        </w:rPr>
        <w:t xml:space="preserve">situación </w:t>
      </w:r>
      <w:r w:rsidR="2055C097">
        <w:rPr>
          <w:rFonts w:cs="Arial"/>
        </w:rPr>
        <w:t xml:space="preserve">que </w:t>
      </w:r>
      <w:r w:rsidR="004213E6">
        <w:rPr>
          <w:rFonts w:cs="Arial"/>
        </w:rPr>
        <w:t xml:space="preserve">es </w:t>
      </w:r>
      <w:r w:rsidR="00E76818">
        <w:rPr>
          <w:rFonts w:cs="Arial"/>
        </w:rPr>
        <w:t xml:space="preserve">extraordinaria y atípica </w:t>
      </w:r>
      <w:r w:rsidR="004213E6">
        <w:rPr>
          <w:rFonts w:cs="Arial"/>
        </w:rPr>
        <w:t>en e</w:t>
      </w:r>
      <w:r w:rsidR="00E76818">
        <w:rPr>
          <w:rFonts w:cs="Arial"/>
        </w:rPr>
        <w:t xml:space="preserve">l funcionamiento normal </w:t>
      </w:r>
      <w:r w:rsidR="698AAEE9">
        <w:rPr>
          <w:rFonts w:cs="Arial"/>
        </w:rPr>
        <w:t xml:space="preserve">de las compañías. </w:t>
      </w:r>
      <w:r w:rsidR="428E4CF1" w:rsidRPr="002F6B69">
        <w:rPr>
          <w:rFonts w:cs="Arial"/>
        </w:rPr>
        <w:t xml:space="preserve">Asimismo, solicitaron </w:t>
      </w:r>
      <w:r w:rsidR="6CC24FAB" w:rsidRPr="6D4EC1AC">
        <w:rPr>
          <w:rFonts w:cs="Arial"/>
        </w:rPr>
        <w:t xml:space="preserve">a la Comisión la suspensión temporal de la aplicación del procedimiento de limitación de suministro y modificación del esquema de garantías vigentes ante el MEM, para aquellos Operadores de Red que se acogieron a la Resolución CREG 101 027 de 2022 y que tuvieran saldos a su favor por aplicación de la opción tarifaria de las </w:t>
      </w:r>
      <w:r w:rsidR="6CC24FAB">
        <w:t>Resoluciones CREG 012</w:t>
      </w:r>
      <w:r w:rsidR="6CC24FAB" w:rsidRPr="6D4EC1AC">
        <w:rPr>
          <w:rFonts w:cs="Arial"/>
        </w:rPr>
        <w:t xml:space="preserve"> y 058 de </w:t>
      </w:r>
      <w:r w:rsidR="6CC24FAB">
        <w:t>2020.</w:t>
      </w:r>
    </w:p>
    <w:p w14:paraId="045AB3E3" w14:textId="5C50AD30" w:rsidR="005F3631" w:rsidRDefault="00A25C06" w:rsidP="006D7B76">
      <w:pPr>
        <w:spacing w:before="240" w:after="0"/>
        <w:rPr>
          <w:rFonts w:cs="Arial"/>
        </w:rPr>
      </w:pPr>
      <w:r>
        <w:rPr>
          <w:rFonts w:cs="Arial"/>
        </w:rPr>
        <w:t>L</w:t>
      </w:r>
      <w:r w:rsidR="000C7850" w:rsidRPr="000C7850">
        <w:rPr>
          <w:rFonts w:cs="Arial"/>
        </w:rPr>
        <w:t xml:space="preserve">a Comisión consideró conveniente </w:t>
      </w:r>
      <w:r w:rsidR="00C073FA">
        <w:rPr>
          <w:rFonts w:cs="Arial"/>
        </w:rPr>
        <w:t xml:space="preserve">adoptar </w:t>
      </w:r>
      <w:r w:rsidR="005F3631">
        <w:rPr>
          <w:rFonts w:cs="Arial"/>
        </w:rPr>
        <w:t>la</w:t>
      </w:r>
      <w:r w:rsidR="000C7850" w:rsidRPr="000C7850">
        <w:rPr>
          <w:rFonts w:cs="Arial"/>
        </w:rPr>
        <w:t xml:space="preserve"> </w:t>
      </w:r>
      <w:r w:rsidR="005F3631">
        <w:rPr>
          <w:rFonts w:cs="Arial"/>
        </w:rPr>
        <w:t>R</w:t>
      </w:r>
      <w:r w:rsidR="000C7850" w:rsidRPr="000C7850">
        <w:rPr>
          <w:rFonts w:cs="Arial"/>
        </w:rPr>
        <w:t xml:space="preserve">esolución </w:t>
      </w:r>
      <w:r w:rsidR="005F3631">
        <w:rPr>
          <w:rFonts w:cs="Arial"/>
        </w:rPr>
        <w:t xml:space="preserve">CREG 101 016 </w:t>
      </w:r>
      <w:r w:rsidR="000C7850" w:rsidRPr="000C7850">
        <w:rPr>
          <w:rFonts w:cs="Arial"/>
        </w:rPr>
        <w:t xml:space="preserve">de 2023 donde </w:t>
      </w:r>
      <w:r w:rsidR="005F3631">
        <w:rPr>
          <w:rFonts w:cs="Arial"/>
        </w:rPr>
        <w:t xml:space="preserve">se establecieron </w:t>
      </w:r>
      <w:r w:rsidR="000C7850" w:rsidRPr="000C7850">
        <w:rPr>
          <w:rFonts w:cs="Arial"/>
        </w:rPr>
        <w:t>medidas transitorias sobre los mecanismos de cubrimiento para las transacciones del mercado de energía mayorista</w:t>
      </w:r>
      <w:r w:rsidR="00EE005D">
        <w:rPr>
          <w:rFonts w:cs="Arial"/>
        </w:rPr>
        <w:t xml:space="preserve"> que se aplicaron</w:t>
      </w:r>
      <w:r w:rsidR="005F3631">
        <w:rPr>
          <w:rFonts w:cs="Arial"/>
        </w:rPr>
        <w:t xml:space="preserve"> hasta el 30 de septiembre de 2023. No obstante, la Comisión dispuso dentro de la resolución mencionada la posibilidad de revisión de la vigencia de la misma una vez terminado el periodo de aplicación definido.</w:t>
      </w:r>
    </w:p>
    <w:p w14:paraId="175AFFE2" w14:textId="08BD9EFB" w:rsidR="000E6155" w:rsidRPr="000E6155" w:rsidRDefault="00EE005D" w:rsidP="000E6155">
      <w:pPr>
        <w:spacing w:before="240" w:after="0"/>
        <w:rPr>
          <w:rFonts w:cs="Arial"/>
        </w:rPr>
      </w:pPr>
      <w:r>
        <w:rPr>
          <w:rFonts w:cs="Arial"/>
        </w:rPr>
        <w:t xml:space="preserve">En el contexto de </w:t>
      </w:r>
      <w:r w:rsidR="000E6155">
        <w:rPr>
          <w:rFonts w:cs="Arial"/>
        </w:rPr>
        <w:t xml:space="preserve">la revisión </w:t>
      </w:r>
      <w:r>
        <w:rPr>
          <w:rFonts w:cs="Arial"/>
        </w:rPr>
        <w:t>prevista</w:t>
      </w:r>
      <w:r w:rsidR="0039575C">
        <w:rPr>
          <w:rFonts w:cs="Arial"/>
        </w:rPr>
        <w:t>,</w:t>
      </w:r>
      <w:r>
        <w:rPr>
          <w:rFonts w:cs="Arial"/>
        </w:rPr>
        <w:t xml:space="preserve"> </w:t>
      </w:r>
      <w:r w:rsidR="000E6155">
        <w:rPr>
          <w:rFonts w:cs="Arial"/>
        </w:rPr>
        <w:t xml:space="preserve">la Comisión </w:t>
      </w:r>
      <w:r w:rsidR="0039575C">
        <w:rPr>
          <w:rFonts w:cs="Arial"/>
        </w:rPr>
        <w:t xml:space="preserve">tuvo en cuenta </w:t>
      </w:r>
      <w:r w:rsidR="000E6155">
        <w:rPr>
          <w:rFonts w:cs="Arial"/>
        </w:rPr>
        <w:t>que, s</w:t>
      </w:r>
      <w:r w:rsidR="000E6155" w:rsidRPr="000E6155">
        <w:rPr>
          <w:rFonts w:cs="Arial"/>
        </w:rPr>
        <w:t xml:space="preserve">egún el informe para el mes de septiembre de 2023 de la  Oficina Nacional de Administración Oceánica </w:t>
      </w:r>
      <w:r w:rsidR="000E6155" w:rsidRPr="000E6155">
        <w:rPr>
          <w:rFonts w:cs="Arial"/>
        </w:rPr>
        <w:lastRenderedPageBreak/>
        <w:t xml:space="preserve">y Atmosférica (en sus siglas en inglés NOAA), las probabilidades de ocurrencia del Fenómeno de El Niño </w:t>
      </w:r>
      <w:r w:rsidR="00CB2E0F">
        <w:rPr>
          <w:rFonts w:cs="Arial"/>
        </w:rPr>
        <w:t>era</w:t>
      </w:r>
      <w:r w:rsidR="000E6155" w:rsidRPr="000E6155">
        <w:rPr>
          <w:rFonts w:cs="Arial"/>
        </w:rPr>
        <w:t>n del 100% para los meses restantes de</w:t>
      </w:r>
      <w:r w:rsidR="00CB2E0F">
        <w:rPr>
          <w:rFonts w:cs="Arial"/>
        </w:rPr>
        <w:t xml:space="preserve"> 2023</w:t>
      </w:r>
      <w:r w:rsidR="000E6155" w:rsidRPr="000E6155">
        <w:rPr>
          <w:rFonts w:cs="Arial"/>
        </w:rPr>
        <w:t xml:space="preserve"> y un 95% para el primer trimestre de 2024, situación que p</w:t>
      </w:r>
      <w:r w:rsidR="0084301C">
        <w:rPr>
          <w:rFonts w:cs="Arial"/>
        </w:rPr>
        <w:t>odría</w:t>
      </w:r>
      <w:r w:rsidR="000E6155" w:rsidRPr="000E6155">
        <w:rPr>
          <w:rFonts w:cs="Arial"/>
        </w:rPr>
        <w:t xml:space="preserve"> llevar a </w:t>
      </w:r>
      <w:r w:rsidR="00946BA2">
        <w:rPr>
          <w:rFonts w:cs="Arial"/>
        </w:rPr>
        <w:t>que se mant</w:t>
      </w:r>
      <w:r w:rsidR="0084301C">
        <w:rPr>
          <w:rFonts w:cs="Arial"/>
        </w:rPr>
        <w:t>uvier</w:t>
      </w:r>
      <w:r w:rsidR="00946BA2">
        <w:rPr>
          <w:rFonts w:cs="Arial"/>
        </w:rPr>
        <w:t>a</w:t>
      </w:r>
      <w:r w:rsidR="00A27B63">
        <w:rPr>
          <w:rFonts w:cs="Arial"/>
        </w:rPr>
        <w:t xml:space="preserve"> una situación</w:t>
      </w:r>
      <w:r w:rsidR="000E6155" w:rsidRPr="000E6155">
        <w:rPr>
          <w:rFonts w:cs="Arial"/>
        </w:rPr>
        <w:t xml:space="preserve"> de precios en bolsa </w:t>
      </w:r>
      <w:r w:rsidR="00C6272F">
        <w:rPr>
          <w:rFonts w:cs="Arial"/>
        </w:rPr>
        <w:t xml:space="preserve">altos </w:t>
      </w:r>
      <w:r w:rsidR="000E6155" w:rsidRPr="000E6155">
        <w:rPr>
          <w:rFonts w:cs="Arial"/>
        </w:rPr>
        <w:t>debido a un mayor uso de la generación térmica, con un mayor costo de generación, para atender la demanda del sistema interconectado nacional, SIN.</w:t>
      </w:r>
    </w:p>
    <w:p w14:paraId="0D529C36" w14:textId="447C0CB2" w:rsidR="00174C6B" w:rsidRPr="000E6155" w:rsidRDefault="00174C6B" w:rsidP="00174C6B">
      <w:pPr>
        <w:spacing w:before="240" w:after="0"/>
        <w:rPr>
          <w:rFonts w:cs="Arial"/>
        </w:rPr>
      </w:pPr>
      <w:r w:rsidRPr="000E6155">
        <w:rPr>
          <w:rFonts w:cs="Arial"/>
        </w:rPr>
        <w:t xml:space="preserve">Conforme a lo anterior, la Comisión </w:t>
      </w:r>
      <w:r w:rsidR="00971924">
        <w:rPr>
          <w:rFonts w:cs="Arial"/>
        </w:rPr>
        <w:t>expidi</w:t>
      </w:r>
      <w:r>
        <w:rPr>
          <w:rFonts w:cs="Arial"/>
        </w:rPr>
        <w:t>ó</w:t>
      </w:r>
      <w:r w:rsidRPr="000E6155">
        <w:rPr>
          <w:rFonts w:cs="Arial"/>
        </w:rPr>
        <w:t xml:space="preserve"> </w:t>
      </w:r>
      <w:r w:rsidR="00971924">
        <w:rPr>
          <w:rFonts w:cs="Arial"/>
        </w:rPr>
        <w:t xml:space="preserve">la </w:t>
      </w:r>
      <w:r w:rsidRPr="000E6155">
        <w:rPr>
          <w:rFonts w:cs="Arial"/>
        </w:rPr>
        <w:t xml:space="preserve">resolución </w:t>
      </w:r>
      <w:r w:rsidR="00971924">
        <w:rPr>
          <w:rFonts w:cs="Arial"/>
        </w:rPr>
        <w:t>1</w:t>
      </w:r>
      <w:r w:rsidRPr="000E6155">
        <w:rPr>
          <w:rFonts w:cs="Arial"/>
        </w:rPr>
        <w:t>01 02</w:t>
      </w:r>
      <w:r w:rsidR="00971924">
        <w:rPr>
          <w:rFonts w:cs="Arial"/>
        </w:rPr>
        <w:t>4</w:t>
      </w:r>
      <w:r w:rsidRPr="000E6155">
        <w:rPr>
          <w:rFonts w:cs="Arial"/>
        </w:rPr>
        <w:t xml:space="preserve"> de 2023</w:t>
      </w:r>
      <w:r>
        <w:rPr>
          <w:rFonts w:cs="Arial"/>
        </w:rPr>
        <w:t xml:space="preserve">, </w:t>
      </w:r>
      <w:r w:rsidRPr="000E6155">
        <w:rPr>
          <w:rFonts w:cs="Arial"/>
        </w:rPr>
        <w:t>amplia</w:t>
      </w:r>
      <w:r>
        <w:rPr>
          <w:rFonts w:cs="Arial"/>
        </w:rPr>
        <w:t>ndo</w:t>
      </w:r>
      <w:r w:rsidRPr="000E6155">
        <w:rPr>
          <w:rFonts w:cs="Arial"/>
        </w:rPr>
        <w:t xml:space="preserve"> el ámbito de aplicación de la disposición transitoria adoptada en el artículo 2 de la Resolución CREG 101 016 de 2023 en materia de garantías para el cubrimiento de las transacciones en el MEM, con el fin de mejorar la disponibilidad de capital de trabajo y el flujo de caja de todos los comercializadores que atienden a usuarios finales regulados afectados por </w:t>
      </w:r>
      <w:r w:rsidR="00085B2C">
        <w:rPr>
          <w:rFonts w:cs="Arial"/>
        </w:rPr>
        <w:t>tener saldos pendientes por la aplicación de la opción tarifaria</w:t>
      </w:r>
      <w:r w:rsidR="007F2BD6">
        <w:rPr>
          <w:rFonts w:cs="Arial"/>
        </w:rPr>
        <w:t xml:space="preserve"> y por</w:t>
      </w:r>
      <w:r w:rsidR="00085B2C">
        <w:rPr>
          <w:rFonts w:cs="Arial"/>
        </w:rPr>
        <w:t xml:space="preserve"> </w:t>
      </w:r>
      <w:r w:rsidRPr="000E6155">
        <w:rPr>
          <w:rFonts w:cs="Arial"/>
        </w:rPr>
        <w:t>la mayor exposición a los precios de bolsa</w:t>
      </w:r>
      <w:r w:rsidR="007F2BD6">
        <w:rPr>
          <w:rFonts w:cs="Arial"/>
        </w:rPr>
        <w:t>. De esta manera, se buscaba</w:t>
      </w:r>
      <w:r w:rsidRPr="000E6155">
        <w:rPr>
          <w:rFonts w:cs="Arial"/>
        </w:rPr>
        <w:t xml:space="preserve"> facilitar el cumplimiento de sus obligaciones con el mercado y garantizar la continuidad del servicio a los usuarios durante el período de </w:t>
      </w:r>
      <w:r w:rsidR="00247AAC">
        <w:rPr>
          <w:rFonts w:cs="Arial"/>
        </w:rPr>
        <w:t xml:space="preserve">el fenómeno de </w:t>
      </w:r>
      <w:r w:rsidRPr="000E6155">
        <w:rPr>
          <w:rFonts w:cs="Arial"/>
        </w:rPr>
        <w:t>El Niño</w:t>
      </w:r>
      <w:r w:rsidR="0077772D">
        <w:rPr>
          <w:rFonts w:cs="Arial"/>
        </w:rPr>
        <w:t xml:space="preserve">. Está medida tendría vigencia </w:t>
      </w:r>
      <w:r w:rsidR="001E18E2">
        <w:rPr>
          <w:rFonts w:cs="Arial"/>
        </w:rPr>
        <w:t>para los periodos por cubrir hasta el 30</w:t>
      </w:r>
      <w:r w:rsidR="00BD7E93">
        <w:rPr>
          <w:rFonts w:cs="Arial"/>
        </w:rPr>
        <w:t xml:space="preserve"> </w:t>
      </w:r>
      <w:r w:rsidR="001E18E2">
        <w:rPr>
          <w:rFonts w:cs="Arial"/>
        </w:rPr>
        <w:t xml:space="preserve">de abril de 2024, y se estableció una revisión antes de terminar </w:t>
      </w:r>
      <w:r w:rsidR="00BD7E93">
        <w:rPr>
          <w:rFonts w:cs="Arial"/>
        </w:rPr>
        <w:t>la aplicación de la medida</w:t>
      </w:r>
      <w:r w:rsidRPr="000E6155">
        <w:rPr>
          <w:rFonts w:cs="Arial"/>
        </w:rPr>
        <w:t>.</w:t>
      </w:r>
    </w:p>
    <w:p w14:paraId="2990EBB7" w14:textId="304A1FDF" w:rsidR="000E6155" w:rsidRPr="000E6155" w:rsidRDefault="001D390E" w:rsidP="000E6155">
      <w:pPr>
        <w:spacing w:before="240" w:after="0"/>
        <w:rPr>
          <w:rFonts w:cs="Arial"/>
        </w:rPr>
      </w:pPr>
      <w:r>
        <w:rPr>
          <w:rFonts w:cs="Arial"/>
        </w:rPr>
        <w:t>En la</w:t>
      </w:r>
      <w:r w:rsidR="001F6819">
        <w:rPr>
          <w:rFonts w:cs="Arial"/>
        </w:rPr>
        <w:t xml:space="preserve"> </w:t>
      </w:r>
      <w:r>
        <w:rPr>
          <w:rFonts w:cs="Arial"/>
        </w:rPr>
        <w:t>revisión desarrollada por la Comisión se consider</w:t>
      </w:r>
      <w:r w:rsidR="00F66DEC">
        <w:rPr>
          <w:rFonts w:cs="Arial"/>
        </w:rPr>
        <w:t>aron</w:t>
      </w:r>
      <w:r w:rsidR="00247AAC">
        <w:rPr>
          <w:rFonts w:cs="Arial"/>
        </w:rPr>
        <w:t>,</w:t>
      </w:r>
      <w:r w:rsidR="00F66DEC">
        <w:rPr>
          <w:rFonts w:cs="Arial"/>
        </w:rPr>
        <w:t xml:space="preserve"> entre otros</w:t>
      </w:r>
      <w:r w:rsidR="00247AAC">
        <w:rPr>
          <w:rFonts w:cs="Arial"/>
        </w:rPr>
        <w:t>,</w:t>
      </w:r>
      <w:r w:rsidR="00F66DEC">
        <w:rPr>
          <w:rFonts w:cs="Arial"/>
        </w:rPr>
        <w:t xml:space="preserve"> que se mantiene la</w:t>
      </w:r>
      <w:r w:rsidR="00A10623">
        <w:rPr>
          <w:rFonts w:cs="Arial"/>
        </w:rPr>
        <w:t xml:space="preserve"> situación de </w:t>
      </w:r>
      <w:r w:rsidR="00F66DEC">
        <w:rPr>
          <w:rFonts w:cs="Arial"/>
        </w:rPr>
        <w:t xml:space="preserve">variación de </w:t>
      </w:r>
      <w:r w:rsidR="00A10623">
        <w:rPr>
          <w:rFonts w:cs="Arial"/>
        </w:rPr>
        <w:t xml:space="preserve">precio </w:t>
      </w:r>
      <w:r w:rsidR="000E6155" w:rsidRPr="000E6155">
        <w:rPr>
          <w:rFonts w:cs="Arial"/>
        </w:rPr>
        <w:t>en la bolsa</w:t>
      </w:r>
      <w:r w:rsidR="00637E49">
        <w:rPr>
          <w:rFonts w:cs="Arial"/>
        </w:rPr>
        <w:t xml:space="preserve">, los niveles de embalse actuales se encuentran </w:t>
      </w:r>
      <w:r w:rsidR="001A05B6">
        <w:rPr>
          <w:rFonts w:cs="Arial"/>
        </w:rPr>
        <w:t>cerca de niveles mínimos y en el país se ha incrementado la demanda de energía como efecto del incremento en temperaturas</w:t>
      </w:r>
      <w:r w:rsidR="008B4E50">
        <w:rPr>
          <w:rFonts w:cs="Arial"/>
        </w:rPr>
        <w:t>.</w:t>
      </w:r>
    </w:p>
    <w:p w14:paraId="679CD583" w14:textId="3CDF3C1B" w:rsidR="000E6155" w:rsidRPr="000E6155" w:rsidRDefault="000E6155" w:rsidP="000E6155">
      <w:pPr>
        <w:spacing w:before="240" w:after="0"/>
        <w:rPr>
          <w:rFonts w:cs="Arial"/>
        </w:rPr>
      </w:pPr>
      <w:r w:rsidRPr="000E6155">
        <w:rPr>
          <w:rFonts w:cs="Arial"/>
        </w:rPr>
        <w:t xml:space="preserve">De esta manera, frente a la materialización </w:t>
      </w:r>
      <w:r w:rsidR="008B4E50">
        <w:rPr>
          <w:rFonts w:cs="Arial"/>
        </w:rPr>
        <w:t xml:space="preserve">e impactos </w:t>
      </w:r>
      <w:r w:rsidRPr="000E6155">
        <w:rPr>
          <w:rFonts w:cs="Arial"/>
        </w:rPr>
        <w:t xml:space="preserve">del fenómeno de El Niño, junto a los aumentos en el precio de bolsa, para las compras de energía no cubiertas en contratos de los comercializadores que atienden usuarios regulados se tendría como efecto un incremento en el monto del valor a garantizar </w:t>
      </w:r>
      <w:r w:rsidR="00BE5135">
        <w:rPr>
          <w:rFonts w:cs="Arial"/>
        </w:rPr>
        <w:t>por</w:t>
      </w:r>
      <w:r w:rsidR="00BE5135" w:rsidRPr="000E6155">
        <w:rPr>
          <w:rFonts w:cs="Arial"/>
        </w:rPr>
        <w:t xml:space="preserve"> </w:t>
      </w:r>
      <w:r w:rsidRPr="000E6155">
        <w:rPr>
          <w:rFonts w:cs="Arial"/>
        </w:rPr>
        <w:t xml:space="preserve">las compras en bolsa, situación que se podría </w:t>
      </w:r>
      <w:r w:rsidR="00A34CEA">
        <w:rPr>
          <w:rFonts w:cs="Arial"/>
        </w:rPr>
        <w:t>extender</w:t>
      </w:r>
      <w:r w:rsidRPr="000E6155">
        <w:rPr>
          <w:rFonts w:cs="Arial"/>
        </w:rPr>
        <w:t xml:space="preserve"> de manera sostenida </w:t>
      </w:r>
      <w:r w:rsidR="00A34CEA">
        <w:rPr>
          <w:rFonts w:cs="Arial"/>
        </w:rPr>
        <w:t>en los siguientes meses</w:t>
      </w:r>
      <w:r w:rsidRPr="000E6155">
        <w:rPr>
          <w:rFonts w:cs="Arial"/>
        </w:rPr>
        <w:t>.</w:t>
      </w:r>
    </w:p>
    <w:p w14:paraId="606455C5" w14:textId="0F97A29A" w:rsidR="00731BC6" w:rsidRDefault="00A03983" w:rsidP="000E6155">
      <w:pPr>
        <w:spacing w:before="240" w:after="0"/>
        <w:rPr>
          <w:rFonts w:cs="Arial"/>
        </w:rPr>
      </w:pPr>
      <w:r>
        <w:rPr>
          <w:rFonts w:cs="Arial"/>
        </w:rPr>
        <w:t>En consecuencia, se</w:t>
      </w:r>
      <w:r w:rsidRPr="000E6155">
        <w:rPr>
          <w:rFonts w:cs="Arial"/>
        </w:rPr>
        <w:t xml:space="preserve"> consider</w:t>
      </w:r>
      <w:r>
        <w:rPr>
          <w:rFonts w:cs="Arial"/>
        </w:rPr>
        <w:t>ó</w:t>
      </w:r>
      <w:r w:rsidRPr="000E6155">
        <w:rPr>
          <w:rFonts w:cs="Arial"/>
        </w:rPr>
        <w:t xml:space="preserve"> conveniente </w:t>
      </w:r>
      <w:r>
        <w:rPr>
          <w:rFonts w:cs="Arial"/>
        </w:rPr>
        <w:t xml:space="preserve">publicar </w:t>
      </w:r>
      <w:r w:rsidRPr="000E6155">
        <w:rPr>
          <w:rFonts w:cs="Arial"/>
        </w:rPr>
        <w:t>el proyecto de resolución 701 0</w:t>
      </w:r>
      <w:r>
        <w:rPr>
          <w:rFonts w:cs="Arial"/>
        </w:rPr>
        <w:t>36</w:t>
      </w:r>
      <w:r w:rsidRPr="000E6155">
        <w:rPr>
          <w:rFonts w:cs="Arial"/>
        </w:rPr>
        <w:t xml:space="preserve"> de 202</w:t>
      </w:r>
      <w:r>
        <w:rPr>
          <w:rFonts w:cs="Arial"/>
        </w:rPr>
        <w:t xml:space="preserve">4 para conocimiento de los interesados, </w:t>
      </w:r>
      <w:r w:rsidRPr="000E6155">
        <w:rPr>
          <w:rFonts w:cs="Arial"/>
        </w:rPr>
        <w:t>amplia</w:t>
      </w:r>
      <w:r>
        <w:rPr>
          <w:rFonts w:cs="Arial"/>
        </w:rPr>
        <w:t>ndo</w:t>
      </w:r>
      <w:r w:rsidRPr="000E6155">
        <w:rPr>
          <w:rFonts w:cs="Arial"/>
        </w:rPr>
        <w:t xml:space="preserve"> el ámbito de aplicación </w:t>
      </w:r>
      <w:r w:rsidR="79980DC1" w:rsidRPr="22E57F19">
        <w:rPr>
          <w:rFonts w:cs="Arial"/>
        </w:rPr>
        <w:t>y la vigencia</w:t>
      </w:r>
      <w:r w:rsidRPr="22E57F19">
        <w:rPr>
          <w:rFonts w:cs="Arial"/>
        </w:rPr>
        <w:t xml:space="preserve"> </w:t>
      </w:r>
      <w:r w:rsidRPr="000E6155">
        <w:rPr>
          <w:rFonts w:cs="Arial"/>
        </w:rPr>
        <w:t xml:space="preserve">de la disposición transitoria adoptada en el artículo 2 de la Resolución CREG 101 016 de 2023 en materia de garantías para el cubrimiento de las transacciones en el MEM, </w:t>
      </w:r>
      <w:r w:rsidR="00634539">
        <w:rPr>
          <w:rFonts w:cs="Arial"/>
        </w:rPr>
        <w:t xml:space="preserve">y así </w:t>
      </w:r>
      <w:r w:rsidR="005F6D70">
        <w:rPr>
          <w:rFonts w:cs="Arial"/>
        </w:rPr>
        <w:t>mantener las condiciones para facilitar que</w:t>
      </w:r>
      <w:r w:rsidR="00634539">
        <w:rPr>
          <w:rFonts w:cs="Arial"/>
        </w:rPr>
        <w:t xml:space="preserve"> </w:t>
      </w:r>
      <w:r w:rsidR="001C3560">
        <w:rPr>
          <w:rFonts w:cs="Arial"/>
        </w:rPr>
        <w:t xml:space="preserve">los comercializadores </w:t>
      </w:r>
      <w:r w:rsidRPr="000E6155">
        <w:rPr>
          <w:rFonts w:cs="Arial"/>
        </w:rPr>
        <w:t>cumpl</w:t>
      </w:r>
      <w:r w:rsidR="00391EFF">
        <w:rPr>
          <w:rFonts w:cs="Arial"/>
        </w:rPr>
        <w:t>an</w:t>
      </w:r>
      <w:r w:rsidRPr="000E6155">
        <w:rPr>
          <w:rFonts w:cs="Arial"/>
        </w:rPr>
        <w:t xml:space="preserve"> </w:t>
      </w:r>
      <w:r w:rsidR="00391EFF">
        <w:rPr>
          <w:rFonts w:cs="Arial"/>
        </w:rPr>
        <w:t>con</w:t>
      </w:r>
      <w:r w:rsidRPr="000E6155">
        <w:rPr>
          <w:rFonts w:cs="Arial"/>
        </w:rPr>
        <w:t xml:space="preserve"> sus obligaciones con el mercado y </w:t>
      </w:r>
      <w:r w:rsidR="000F372B">
        <w:rPr>
          <w:rFonts w:cs="Arial"/>
        </w:rPr>
        <w:t xml:space="preserve">puedan </w:t>
      </w:r>
      <w:r w:rsidRPr="000E6155">
        <w:rPr>
          <w:rFonts w:cs="Arial"/>
        </w:rPr>
        <w:t>garantizar la continuidad del servicio a los usuarios</w:t>
      </w:r>
      <w:r w:rsidR="000F372B">
        <w:rPr>
          <w:rFonts w:cs="Arial"/>
        </w:rPr>
        <w:t>.</w:t>
      </w:r>
    </w:p>
    <w:p w14:paraId="7503E055" w14:textId="6D88AEDD" w:rsidR="00C640DE" w:rsidRPr="00C640DE" w:rsidRDefault="000E6155" w:rsidP="000E6155">
      <w:pPr>
        <w:spacing w:before="240" w:after="0"/>
      </w:pPr>
      <w:r w:rsidRPr="000E6155">
        <w:rPr>
          <w:rFonts w:cs="Arial"/>
        </w:rPr>
        <w:t xml:space="preserve">Surtido el período de consulta y dentro del plazo establecido, se recibieron los comentarios de </w:t>
      </w:r>
      <w:r w:rsidR="00B97C16" w:rsidRPr="00B97C16">
        <w:rPr>
          <w:rFonts w:cs="Arial"/>
        </w:rPr>
        <w:t>Emsa, Epm, Tebsa, Cac, Andesco, Air-e, XM</w:t>
      </w:r>
      <w:r w:rsidR="00C307FE">
        <w:rPr>
          <w:rFonts w:cs="Arial"/>
        </w:rPr>
        <w:t xml:space="preserve">, Acolgen, </w:t>
      </w:r>
      <w:r w:rsidR="00C307FE" w:rsidRPr="000E6155">
        <w:rPr>
          <w:rFonts w:cs="Arial"/>
        </w:rPr>
        <w:t>Asocodis</w:t>
      </w:r>
      <w:r w:rsidR="00C307FE">
        <w:rPr>
          <w:rFonts w:cs="Arial"/>
        </w:rPr>
        <w:t xml:space="preserve">, </w:t>
      </w:r>
      <w:r w:rsidR="00B97C16" w:rsidRPr="00B97C16">
        <w:rPr>
          <w:rFonts w:cs="Arial"/>
        </w:rPr>
        <w:t xml:space="preserve">Codisgen, Vatia, Enel, </w:t>
      </w:r>
      <w:r w:rsidR="00F72AE9">
        <w:rPr>
          <w:rFonts w:cs="Arial"/>
        </w:rPr>
        <w:t xml:space="preserve">Gecelca, </w:t>
      </w:r>
      <w:r w:rsidR="00B97C16" w:rsidRPr="00B97C16">
        <w:rPr>
          <w:rFonts w:cs="Arial"/>
        </w:rPr>
        <w:t>EEP y Andeg,</w:t>
      </w:r>
      <w:r w:rsidR="002C3644">
        <w:rPr>
          <w:rFonts w:cs="Arial"/>
        </w:rPr>
        <w:t xml:space="preserve"> </w:t>
      </w:r>
      <w:r w:rsidRPr="000E6155">
        <w:rPr>
          <w:rFonts w:cs="Arial"/>
        </w:rPr>
        <w:t>los cuales se analizan y se responden.</w:t>
      </w:r>
      <w:r>
        <w:rPr>
          <w:rFonts w:cs="Arial"/>
        </w:rPr>
        <w:t xml:space="preserve"> </w:t>
      </w:r>
    </w:p>
    <w:p w14:paraId="4665B0F7" w14:textId="01590BBC" w:rsidR="00E757BB" w:rsidRPr="00CC4619" w:rsidRDefault="00BC6944" w:rsidP="006D7B76">
      <w:pPr>
        <w:pStyle w:val="Ttulo1"/>
        <w:spacing w:after="0"/>
        <w:ind w:left="431" w:hanging="431"/>
        <w:rPr>
          <w:rFonts w:cs="Arial"/>
        </w:rPr>
      </w:pPr>
      <w:bookmarkStart w:id="6" w:name="_Toc150524981"/>
      <w:r>
        <w:rPr>
          <w:rFonts w:cs="Arial"/>
        </w:rPr>
        <w:lastRenderedPageBreak/>
        <w:t>ANÁLISIS DE LA SITUACIÓN</w:t>
      </w:r>
      <w:bookmarkEnd w:id="6"/>
    </w:p>
    <w:p w14:paraId="3990CE82" w14:textId="60D82658" w:rsidR="009F6F1E" w:rsidRDefault="00CC4619" w:rsidP="006D7B76">
      <w:pPr>
        <w:spacing w:before="240" w:after="0"/>
        <w:rPr>
          <w:rFonts w:cs="Arial"/>
        </w:rPr>
      </w:pPr>
      <w:bookmarkStart w:id="7" w:name="_Toc86260311"/>
      <w:r>
        <w:rPr>
          <w:rFonts w:cs="Arial"/>
        </w:rPr>
        <w:t xml:space="preserve">Como se mencionó en </w:t>
      </w:r>
      <w:r w:rsidR="00731DA3">
        <w:rPr>
          <w:rFonts w:cs="Arial"/>
        </w:rPr>
        <w:t xml:space="preserve">los </w:t>
      </w:r>
      <w:r w:rsidR="00247AAC">
        <w:rPr>
          <w:rFonts w:cs="Arial"/>
        </w:rPr>
        <w:t>a</w:t>
      </w:r>
      <w:r>
        <w:rPr>
          <w:rFonts w:cs="Arial"/>
        </w:rPr>
        <w:t>ntecedentes, los eventos internacionales presentados llevaron a la aplicación de medidas regulatorias en favor de los usuarios finales para evitar incrementos desmedidos en la tarifa del servicio público domiciliario de energía eléctrica. No obstante, algunas consecuencias de la aplicación de estas medidas</w:t>
      </w:r>
      <w:r w:rsidR="00BF4A01">
        <w:rPr>
          <w:rFonts w:cs="Arial"/>
        </w:rPr>
        <w:t xml:space="preserve"> </w:t>
      </w:r>
      <w:r w:rsidR="00AF4DC5">
        <w:rPr>
          <w:rFonts w:cs="Arial"/>
        </w:rPr>
        <w:t>fueron</w:t>
      </w:r>
      <w:r w:rsidR="00BF4A01">
        <w:rPr>
          <w:rFonts w:cs="Arial"/>
        </w:rPr>
        <w:t xml:space="preserve"> la reducción de los </w:t>
      </w:r>
      <w:r w:rsidR="007E0C93">
        <w:rPr>
          <w:rFonts w:cs="Arial"/>
        </w:rPr>
        <w:t xml:space="preserve">ingresos de los </w:t>
      </w:r>
      <w:r w:rsidR="007A463F">
        <w:rPr>
          <w:rFonts w:cs="Arial"/>
        </w:rPr>
        <w:t>comercializadores</w:t>
      </w:r>
      <w:r w:rsidR="004F4A25">
        <w:rPr>
          <w:rFonts w:cs="Arial"/>
        </w:rPr>
        <w:t xml:space="preserve"> en el corto plazo</w:t>
      </w:r>
      <w:r w:rsidR="007A463F">
        <w:rPr>
          <w:rFonts w:cs="Arial"/>
        </w:rPr>
        <w:t xml:space="preserve">, </w:t>
      </w:r>
      <w:r w:rsidR="002B1333">
        <w:rPr>
          <w:rFonts w:cs="Arial"/>
        </w:rPr>
        <w:t>con un reconocimiento en la</w:t>
      </w:r>
      <w:r w:rsidR="007A463F">
        <w:rPr>
          <w:rFonts w:cs="Arial"/>
        </w:rPr>
        <w:t xml:space="preserve"> recupera</w:t>
      </w:r>
      <w:r w:rsidR="002B1333">
        <w:rPr>
          <w:rFonts w:cs="Arial"/>
        </w:rPr>
        <w:t>ción de estos rec</w:t>
      </w:r>
      <w:r w:rsidR="00182901">
        <w:rPr>
          <w:rFonts w:cs="Arial"/>
        </w:rPr>
        <w:t>ursos en el</w:t>
      </w:r>
      <w:r w:rsidR="007A463F">
        <w:rPr>
          <w:rFonts w:cs="Arial"/>
        </w:rPr>
        <w:t xml:space="preserve"> mediano plazo</w:t>
      </w:r>
      <w:r w:rsidR="00182901">
        <w:rPr>
          <w:rFonts w:cs="Arial"/>
        </w:rPr>
        <w:t>.</w:t>
      </w:r>
      <w:r w:rsidR="009F6F1E">
        <w:rPr>
          <w:rFonts w:cs="Arial"/>
        </w:rPr>
        <w:t xml:space="preserve"> </w:t>
      </w:r>
    </w:p>
    <w:p w14:paraId="2992E8FE" w14:textId="4B61535A" w:rsidR="00BE675E" w:rsidRDefault="008140B9" w:rsidP="006D7B76">
      <w:pPr>
        <w:spacing w:before="240" w:after="0"/>
        <w:rPr>
          <w:rFonts w:cs="Arial"/>
        </w:rPr>
      </w:pPr>
      <w:r w:rsidRPr="6D4EC1AC">
        <w:rPr>
          <w:rFonts w:cs="Arial"/>
        </w:rPr>
        <w:t xml:space="preserve">Con respecto al funcionamiento de las medidas regulatorias </w:t>
      </w:r>
      <w:r w:rsidR="000B7F3C" w:rsidRPr="6D4EC1AC">
        <w:rPr>
          <w:rFonts w:cs="Arial"/>
        </w:rPr>
        <w:t xml:space="preserve">que se han implementado </w:t>
      </w:r>
      <w:r w:rsidR="00202638" w:rsidRPr="6D4EC1AC">
        <w:rPr>
          <w:rFonts w:cs="Arial"/>
        </w:rPr>
        <w:t xml:space="preserve">con </w:t>
      </w:r>
      <w:r w:rsidR="00763FD9" w:rsidRPr="6D4EC1AC">
        <w:rPr>
          <w:rFonts w:cs="Arial"/>
        </w:rPr>
        <w:t xml:space="preserve">el </w:t>
      </w:r>
      <w:r w:rsidR="00202638" w:rsidRPr="6D4EC1AC">
        <w:rPr>
          <w:rFonts w:cs="Arial"/>
        </w:rPr>
        <w:t>objeto de mitiga</w:t>
      </w:r>
      <w:r w:rsidR="00EA4F36" w:rsidRPr="6D4EC1AC">
        <w:rPr>
          <w:rFonts w:cs="Arial"/>
        </w:rPr>
        <w:t>r los</w:t>
      </w:r>
      <w:r w:rsidRPr="6D4EC1AC">
        <w:rPr>
          <w:rFonts w:cs="Arial"/>
        </w:rPr>
        <w:t xml:space="preserve"> riesgos</w:t>
      </w:r>
      <w:r w:rsidR="00A25105" w:rsidRPr="6D4EC1AC">
        <w:rPr>
          <w:rFonts w:cs="Arial"/>
        </w:rPr>
        <w:t xml:space="preserve"> </w:t>
      </w:r>
      <w:r w:rsidR="1A969E83" w:rsidRPr="6D4EC1AC">
        <w:rPr>
          <w:rFonts w:cs="Arial"/>
        </w:rPr>
        <w:t xml:space="preserve">por el no pago de las obligaciones </w:t>
      </w:r>
      <w:r w:rsidR="00A25105" w:rsidRPr="6D4EC1AC">
        <w:rPr>
          <w:rFonts w:cs="Arial"/>
        </w:rPr>
        <w:t>en el mercado</w:t>
      </w:r>
      <w:r w:rsidR="00F628C4" w:rsidRPr="6D4EC1AC">
        <w:rPr>
          <w:rFonts w:cs="Arial"/>
        </w:rPr>
        <w:t xml:space="preserve"> de energía mayorista</w:t>
      </w:r>
      <w:r w:rsidR="001E1176" w:rsidRPr="6D4EC1AC">
        <w:rPr>
          <w:rFonts w:cs="Arial"/>
        </w:rPr>
        <w:t xml:space="preserve">, </w:t>
      </w:r>
      <w:r w:rsidR="00202638" w:rsidRPr="6D4EC1AC">
        <w:rPr>
          <w:rFonts w:cs="Arial"/>
        </w:rPr>
        <w:t xml:space="preserve">se </w:t>
      </w:r>
      <w:r w:rsidR="00F03B42" w:rsidRPr="6D4EC1AC">
        <w:rPr>
          <w:rFonts w:cs="Arial"/>
        </w:rPr>
        <w:t>observa</w:t>
      </w:r>
      <w:r w:rsidR="00202638" w:rsidRPr="6D4EC1AC">
        <w:rPr>
          <w:rFonts w:cs="Arial"/>
        </w:rPr>
        <w:t xml:space="preserve"> que </w:t>
      </w:r>
      <w:r w:rsidR="2F712A4C" w:rsidRPr="6D4EC1AC">
        <w:rPr>
          <w:rFonts w:cs="Arial"/>
        </w:rPr>
        <w:t>el esquema de</w:t>
      </w:r>
      <w:r w:rsidR="49B8214F" w:rsidRPr="6D4EC1AC">
        <w:rPr>
          <w:rFonts w:cs="Arial"/>
        </w:rPr>
        <w:t xml:space="preserve"> garantías </w:t>
      </w:r>
      <w:r w:rsidRPr="6D4EC1AC">
        <w:rPr>
          <w:rFonts w:cs="Arial"/>
        </w:rPr>
        <w:t xml:space="preserve">ha </w:t>
      </w:r>
      <w:r w:rsidR="7EC4F7BC" w:rsidRPr="6D4EC1AC">
        <w:rPr>
          <w:rFonts w:cs="Arial"/>
        </w:rPr>
        <w:t>logrado este objetivo</w:t>
      </w:r>
      <w:r w:rsidR="6C43B5B0" w:rsidRPr="6D4EC1AC">
        <w:rPr>
          <w:rFonts w:cs="Arial"/>
        </w:rPr>
        <w:t>,</w:t>
      </w:r>
      <w:r w:rsidR="7EC4F7BC" w:rsidRPr="6D4EC1AC">
        <w:rPr>
          <w:rFonts w:cs="Arial"/>
        </w:rPr>
        <w:t xml:space="preserve"> en especial </w:t>
      </w:r>
      <w:r w:rsidR="002F39CE">
        <w:rPr>
          <w:rFonts w:cs="Arial"/>
        </w:rPr>
        <w:t xml:space="preserve">en relación con el riesgo </w:t>
      </w:r>
      <w:r w:rsidR="7EC4F7BC" w:rsidRPr="6D4EC1AC">
        <w:rPr>
          <w:rFonts w:cs="Arial"/>
        </w:rPr>
        <w:t xml:space="preserve">derivado de </w:t>
      </w:r>
      <w:r w:rsidR="772BD2C2" w:rsidRPr="6D4EC1AC">
        <w:rPr>
          <w:rFonts w:cs="Arial"/>
        </w:rPr>
        <w:t xml:space="preserve">la volatilidad </w:t>
      </w:r>
      <w:r w:rsidR="7EC4F7BC" w:rsidRPr="6D4EC1AC">
        <w:rPr>
          <w:rFonts w:cs="Arial"/>
        </w:rPr>
        <w:t>del precio de bolsa.</w:t>
      </w:r>
      <w:r w:rsidR="00DC3C1A" w:rsidRPr="6D4EC1AC">
        <w:rPr>
          <w:rFonts w:cs="Arial"/>
        </w:rPr>
        <w:t xml:space="preserve"> </w:t>
      </w:r>
      <w:r w:rsidR="00061252" w:rsidRPr="00D70C39">
        <w:rPr>
          <w:rFonts w:cs="Arial"/>
        </w:rPr>
        <w:t xml:space="preserve">En condiciones normales, </w:t>
      </w:r>
      <w:r w:rsidR="152A3349" w:rsidRPr="00D70C39">
        <w:rPr>
          <w:rFonts w:cs="Arial"/>
        </w:rPr>
        <w:t>la</w:t>
      </w:r>
      <w:r w:rsidR="00061252" w:rsidRPr="00D70C39">
        <w:rPr>
          <w:rFonts w:cs="Arial"/>
        </w:rPr>
        <w:t xml:space="preserve"> estructura de garantías </w:t>
      </w:r>
      <w:r w:rsidR="00D70C39" w:rsidRPr="00D70C39">
        <w:rPr>
          <w:rFonts w:cs="Arial"/>
        </w:rPr>
        <w:t xml:space="preserve">en conjunto con otros mecanismos regulatorios </w:t>
      </w:r>
      <w:r w:rsidR="4D688216" w:rsidRPr="00D70C39">
        <w:rPr>
          <w:rFonts w:cs="Arial"/>
        </w:rPr>
        <w:t>son</w:t>
      </w:r>
      <w:r w:rsidR="00FC74AB" w:rsidRPr="00D70C39">
        <w:rPr>
          <w:rFonts w:cs="Arial"/>
        </w:rPr>
        <w:t xml:space="preserve"> </w:t>
      </w:r>
      <w:r w:rsidR="00502C92">
        <w:rPr>
          <w:rFonts w:cs="Arial"/>
        </w:rPr>
        <w:t>i</w:t>
      </w:r>
      <w:r w:rsidR="00061252" w:rsidRPr="00D70C39">
        <w:rPr>
          <w:rFonts w:cs="Arial"/>
        </w:rPr>
        <w:t>nstrumento</w:t>
      </w:r>
      <w:r w:rsidR="33CC5897" w:rsidRPr="00D70C39">
        <w:rPr>
          <w:rFonts w:cs="Arial"/>
        </w:rPr>
        <w:t>s</w:t>
      </w:r>
      <w:r w:rsidR="00061252" w:rsidRPr="00D70C39">
        <w:rPr>
          <w:rFonts w:cs="Arial"/>
        </w:rPr>
        <w:t xml:space="preserve"> </w:t>
      </w:r>
      <w:r w:rsidR="26D8906D" w:rsidRPr="00D70C39">
        <w:rPr>
          <w:rFonts w:cs="Arial"/>
        </w:rPr>
        <w:t xml:space="preserve">diseñados para </w:t>
      </w:r>
      <w:r w:rsidR="6BE40C02" w:rsidRPr="00D70C39">
        <w:rPr>
          <w:rFonts w:cs="Arial"/>
        </w:rPr>
        <w:t xml:space="preserve">prevenir un riesgo sistémico y </w:t>
      </w:r>
      <w:r w:rsidR="00061252" w:rsidRPr="00D70C39">
        <w:rPr>
          <w:rFonts w:cs="Arial"/>
        </w:rPr>
        <w:t>limita</w:t>
      </w:r>
      <w:r w:rsidR="6B5FD9E0" w:rsidRPr="00D70C39">
        <w:rPr>
          <w:rFonts w:cs="Arial"/>
        </w:rPr>
        <w:t xml:space="preserve">r </w:t>
      </w:r>
      <w:r w:rsidR="00061252" w:rsidRPr="00D70C39">
        <w:rPr>
          <w:rFonts w:cs="Arial"/>
        </w:rPr>
        <w:t xml:space="preserve">las pérdidas </w:t>
      </w:r>
      <w:r w:rsidR="001435A6">
        <w:rPr>
          <w:rFonts w:cs="Arial"/>
        </w:rPr>
        <w:t xml:space="preserve">para quienes participan </w:t>
      </w:r>
      <w:r w:rsidR="298EC60A" w:rsidRPr="00D70C39">
        <w:rPr>
          <w:rFonts w:cs="Arial"/>
        </w:rPr>
        <w:t>en el mercado de energía mayorista</w:t>
      </w:r>
      <w:r w:rsidR="3EED83F5" w:rsidRPr="00D70C39">
        <w:rPr>
          <w:rFonts w:cs="Arial"/>
        </w:rPr>
        <w:t>.</w:t>
      </w:r>
      <w:r w:rsidR="3EED83F5" w:rsidRPr="6D4EC1AC">
        <w:rPr>
          <w:rFonts w:cs="Arial"/>
        </w:rPr>
        <w:t xml:space="preserve"> </w:t>
      </w:r>
    </w:p>
    <w:p w14:paraId="6BAD0746" w14:textId="51111A7F" w:rsidR="00BB3EF3" w:rsidRDefault="00502C92" w:rsidP="00EF40C0">
      <w:pPr>
        <w:spacing w:before="240" w:after="0"/>
        <w:rPr>
          <w:rFonts w:cs="Arial"/>
        </w:rPr>
      </w:pPr>
      <w:r>
        <w:rPr>
          <w:rFonts w:cs="Arial"/>
        </w:rPr>
        <w:t xml:space="preserve">Ahora bien, los precios de la energía en Colombia dependen de los aportes hídricos </w:t>
      </w:r>
      <w:r w:rsidR="00801520">
        <w:rPr>
          <w:rFonts w:cs="Arial"/>
        </w:rPr>
        <w:t xml:space="preserve">de las plantas hidráulicas, razón por la cual </w:t>
      </w:r>
      <w:r w:rsidR="00AC3269">
        <w:rPr>
          <w:rFonts w:cs="Arial"/>
        </w:rPr>
        <w:t>es habitual que</w:t>
      </w:r>
      <w:r w:rsidR="00244AB7">
        <w:rPr>
          <w:rFonts w:cs="Arial"/>
        </w:rPr>
        <w:t>,</w:t>
      </w:r>
      <w:r w:rsidR="00AC3269">
        <w:rPr>
          <w:rFonts w:cs="Arial"/>
        </w:rPr>
        <w:t xml:space="preserve"> </w:t>
      </w:r>
      <w:r w:rsidR="00933EDC">
        <w:rPr>
          <w:rFonts w:cs="Arial"/>
        </w:rPr>
        <w:t xml:space="preserve">en </w:t>
      </w:r>
      <w:r w:rsidR="00116546">
        <w:rPr>
          <w:rFonts w:cs="Arial"/>
        </w:rPr>
        <w:t>el</w:t>
      </w:r>
      <w:r w:rsidR="00AC3269">
        <w:rPr>
          <w:rFonts w:cs="Arial"/>
        </w:rPr>
        <w:t xml:space="preserve"> periodo seco que regularmente inicia en el mes de diciembre </w:t>
      </w:r>
      <w:r w:rsidR="00933EDC">
        <w:rPr>
          <w:rFonts w:cs="Arial"/>
        </w:rPr>
        <w:t>y se extiende hasta el mes de abril del año siguiente, los precios en bolsa</w:t>
      </w:r>
      <w:r w:rsidR="00EE70A1">
        <w:rPr>
          <w:rFonts w:cs="Arial"/>
        </w:rPr>
        <w:t xml:space="preserve"> presenten valores más altos con respecto a los demás meses de</w:t>
      </w:r>
      <w:r w:rsidR="00A6292E">
        <w:rPr>
          <w:rFonts w:cs="Arial"/>
        </w:rPr>
        <w:t>l</w:t>
      </w:r>
      <w:r w:rsidR="00EE70A1">
        <w:rPr>
          <w:rFonts w:cs="Arial"/>
        </w:rPr>
        <w:t xml:space="preserve"> año</w:t>
      </w:r>
      <w:r w:rsidR="007E197C">
        <w:rPr>
          <w:rFonts w:cs="Arial"/>
        </w:rPr>
        <w:t xml:space="preserve"> (mayo a noviembre)</w:t>
      </w:r>
      <w:r w:rsidR="00E53698">
        <w:rPr>
          <w:rFonts w:cs="Arial"/>
        </w:rPr>
        <w:t xml:space="preserve">. </w:t>
      </w:r>
      <w:r w:rsidR="00BB3EF3">
        <w:rPr>
          <w:rFonts w:cs="Arial"/>
        </w:rPr>
        <w:t>Particularmente, como se muestra en la figura 1, el nivel útil de</w:t>
      </w:r>
      <w:r w:rsidR="00143D5F">
        <w:rPr>
          <w:rFonts w:cs="Arial"/>
        </w:rPr>
        <w:t xml:space="preserve"> </w:t>
      </w:r>
      <w:r w:rsidR="00BB3EF3">
        <w:rPr>
          <w:rFonts w:cs="Arial"/>
        </w:rPr>
        <w:t xml:space="preserve">los embalses ha disminuido hasta niveles </w:t>
      </w:r>
      <w:r w:rsidR="00534BDA">
        <w:rPr>
          <w:rFonts w:cs="Arial"/>
        </w:rPr>
        <w:t>cercanos a 30%</w:t>
      </w:r>
      <w:r w:rsidR="00371A05">
        <w:rPr>
          <w:rFonts w:cs="Arial"/>
        </w:rPr>
        <w:t xml:space="preserve">, </w:t>
      </w:r>
      <w:r w:rsidR="006A4AD9">
        <w:rPr>
          <w:rFonts w:cs="Arial"/>
        </w:rPr>
        <w:t>similares a niveles mínimos históricos</w:t>
      </w:r>
      <w:r w:rsidR="00534BDA">
        <w:rPr>
          <w:rFonts w:cs="Arial"/>
        </w:rPr>
        <w:t>.</w:t>
      </w:r>
    </w:p>
    <w:p w14:paraId="794FC3EA" w14:textId="77777777" w:rsidR="00F02E2D" w:rsidRDefault="002F076A" w:rsidP="00F02E2D">
      <w:pPr>
        <w:keepNext/>
        <w:spacing w:before="240" w:after="0"/>
        <w:jc w:val="center"/>
      </w:pPr>
      <w:r w:rsidRPr="002F076A">
        <w:rPr>
          <w:rFonts w:cs="Arial"/>
          <w:noProof/>
        </w:rPr>
        <w:lastRenderedPageBreak/>
        <w:drawing>
          <wp:inline distT="0" distB="0" distL="0" distR="0" wp14:anchorId="037F5335" wp14:editId="19BA5FBB">
            <wp:extent cx="4400550" cy="1962150"/>
            <wp:effectExtent l="0" t="0" r="0" b="0"/>
            <wp:docPr id="9484552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455269" name=""/>
                    <pic:cNvPicPr/>
                  </pic:nvPicPr>
                  <pic:blipFill>
                    <a:blip r:embed="rId12"/>
                    <a:stretch>
                      <a:fillRect/>
                    </a:stretch>
                  </pic:blipFill>
                  <pic:spPr>
                    <a:xfrm>
                      <a:off x="0" y="0"/>
                      <a:ext cx="4401169" cy="1962426"/>
                    </a:xfrm>
                    <a:prstGeom prst="rect">
                      <a:avLst/>
                    </a:prstGeom>
                  </pic:spPr>
                </pic:pic>
              </a:graphicData>
            </a:graphic>
          </wp:inline>
        </w:drawing>
      </w:r>
    </w:p>
    <w:p w14:paraId="219F8720" w14:textId="48F566C4" w:rsidR="00534BDA" w:rsidRDefault="007F35CB" w:rsidP="00F02E2D">
      <w:pPr>
        <w:pStyle w:val="Descripcin"/>
        <w:rPr>
          <w:rFonts w:cs="Arial"/>
        </w:rPr>
      </w:pPr>
      <w:r>
        <w:t xml:space="preserve">Figura </w:t>
      </w:r>
      <w:r>
        <w:fldChar w:fldCharType="begin"/>
      </w:r>
      <w:r w:rsidRPr="00CF7DA0">
        <w:rPr>
          <w:sz w:val="24"/>
          <w:szCs w:val="22"/>
        </w:rPr>
        <w:instrText xml:space="preserve"> SEQ Figura \* ARABIC </w:instrText>
      </w:r>
      <w:r>
        <w:fldChar w:fldCharType="separate"/>
      </w:r>
      <w:r w:rsidR="00022C18">
        <w:rPr>
          <w:noProof/>
          <w:sz w:val="24"/>
          <w:szCs w:val="22"/>
        </w:rPr>
        <w:t>1</w:t>
      </w:r>
      <w:r>
        <w:fldChar w:fldCharType="end"/>
      </w:r>
      <w:r w:rsidR="00F02E2D">
        <w:t xml:space="preserve"> Evolución reservas hídricas</w:t>
      </w:r>
      <w:r w:rsidR="00485C74">
        <w:rPr>
          <w:rStyle w:val="Refdenotaalpie"/>
        </w:rPr>
        <w:footnoteReference w:id="2"/>
      </w:r>
    </w:p>
    <w:p w14:paraId="4B5A4EB1" w14:textId="6897BCBC" w:rsidR="00C502CD" w:rsidRDefault="00C502CD" w:rsidP="00EF40C0">
      <w:pPr>
        <w:spacing w:before="240" w:after="0"/>
        <w:rPr>
          <w:rFonts w:cs="Arial"/>
        </w:rPr>
      </w:pPr>
      <w:r>
        <w:rPr>
          <w:rFonts w:cs="Arial"/>
        </w:rPr>
        <w:t xml:space="preserve">Además, se ha presentado un incremento en la demanda de </w:t>
      </w:r>
      <w:r w:rsidR="00950939">
        <w:rPr>
          <w:rFonts w:cs="Arial"/>
        </w:rPr>
        <w:t>energía en el país, producto</w:t>
      </w:r>
      <w:r w:rsidR="00061383">
        <w:rPr>
          <w:rFonts w:cs="Arial"/>
        </w:rPr>
        <w:t>,</w:t>
      </w:r>
      <w:r w:rsidR="00950939">
        <w:rPr>
          <w:rFonts w:cs="Arial"/>
        </w:rPr>
        <w:t xml:space="preserve"> entre otros factores</w:t>
      </w:r>
      <w:r w:rsidR="00061383">
        <w:rPr>
          <w:rFonts w:cs="Arial"/>
        </w:rPr>
        <w:t>,</w:t>
      </w:r>
      <w:r w:rsidR="00950939">
        <w:rPr>
          <w:rFonts w:cs="Arial"/>
        </w:rPr>
        <w:t xml:space="preserve"> del incremento en las temperaturas en gran parte de Colombia</w:t>
      </w:r>
      <w:r w:rsidR="00CE6898">
        <w:rPr>
          <w:rFonts w:cs="Arial"/>
        </w:rPr>
        <w:t xml:space="preserve"> por la presencia del </w:t>
      </w:r>
      <w:r w:rsidR="00CF7DA0">
        <w:rPr>
          <w:rFonts w:cs="Arial"/>
        </w:rPr>
        <w:t>fenómeno de El Niño</w:t>
      </w:r>
      <w:r w:rsidR="00CE6898">
        <w:rPr>
          <w:rFonts w:cs="Arial"/>
        </w:rPr>
        <w:t xml:space="preserve">. </w:t>
      </w:r>
      <w:r w:rsidR="0000176B">
        <w:rPr>
          <w:rFonts w:cs="Arial"/>
        </w:rPr>
        <w:t xml:space="preserve">La variación </w:t>
      </w:r>
      <w:r w:rsidR="00CE6898">
        <w:rPr>
          <w:rFonts w:cs="Arial"/>
        </w:rPr>
        <w:t xml:space="preserve">en la demanda </w:t>
      </w:r>
      <w:r w:rsidR="002C61E0">
        <w:rPr>
          <w:rFonts w:cs="Arial"/>
        </w:rPr>
        <w:t xml:space="preserve">nacional </w:t>
      </w:r>
      <w:r w:rsidR="0000176B">
        <w:rPr>
          <w:rFonts w:cs="Arial"/>
        </w:rPr>
        <w:t xml:space="preserve">comercial </w:t>
      </w:r>
      <w:r w:rsidR="002C61E0">
        <w:rPr>
          <w:rFonts w:cs="Arial"/>
        </w:rPr>
        <w:t>en marzo fue</w:t>
      </w:r>
      <w:r w:rsidR="00CF7DA0">
        <w:rPr>
          <w:rFonts w:cs="Arial"/>
        </w:rPr>
        <w:t xml:space="preserve"> de </w:t>
      </w:r>
      <w:r w:rsidR="002C61E0">
        <w:rPr>
          <w:rFonts w:cs="Arial"/>
        </w:rPr>
        <w:t>7,5%</w:t>
      </w:r>
      <w:r w:rsidR="0000176B">
        <w:rPr>
          <w:rFonts w:cs="Arial"/>
        </w:rPr>
        <w:t xml:space="preserve">, y </w:t>
      </w:r>
      <w:r w:rsidR="000A25B9">
        <w:rPr>
          <w:rFonts w:cs="Arial"/>
        </w:rPr>
        <w:t xml:space="preserve">para el mercado regulado fue </w:t>
      </w:r>
      <w:r w:rsidR="0000176B">
        <w:rPr>
          <w:rFonts w:cs="Arial"/>
        </w:rPr>
        <w:t>de 12</w:t>
      </w:r>
      <w:r w:rsidR="000A25B9">
        <w:rPr>
          <w:rFonts w:cs="Arial"/>
        </w:rPr>
        <w:t>,1%</w:t>
      </w:r>
      <w:r w:rsidR="009E3C77">
        <w:rPr>
          <w:rFonts w:cs="Arial"/>
        </w:rPr>
        <w:t xml:space="preserve"> según cálculos realizados por XM</w:t>
      </w:r>
      <w:r w:rsidR="004E546E">
        <w:rPr>
          <w:rFonts w:cs="Arial"/>
        </w:rPr>
        <w:t>.</w:t>
      </w:r>
      <w:r w:rsidR="00CC2701">
        <w:rPr>
          <w:rFonts w:cs="Arial"/>
        </w:rPr>
        <w:t xml:space="preserve"> </w:t>
      </w:r>
      <w:r w:rsidR="0041076D">
        <w:rPr>
          <w:rFonts w:cs="Arial"/>
        </w:rPr>
        <w:t xml:space="preserve">Teniendo variaciones </w:t>
      </w:r>
      <w:r w:rsidR="00CC2701">
        <w:rPr>
          <w:rFonts w:cs="Arial"/>
        </w:rPr>
        <w:t xml:space="preserve">en el mercado </w:t>
      </w:r>
      <w:r w:rsidR="0041076D">
        <w:rPr>
          <w:rFonts w:cs="Arial"/>
        </w:rPr>
        <w:t xml:space="preserve">en las regiones </w:t>
      </w:r>
      <w:r w:rsidR="00CC2701">
        <w:rPr>
          <w:rFonts w:cs="Arial"/>
        </w:rPr>
        <w:t xml:space="preserve">definidas por XM </w:t>
      </w:r>
      <w:r w:rsidR="0041076D">
        <w:rPr>
          <w:rFonts w:cs="Arial"/>
        </w:rPr>
        <w:t xml:space="preserve">entre </w:t>
      </w:r>
      <w:r w:rsidR="005847A4">
        <w:rPr>
          <w:rFonts w:cs="Arial"/>
        </w:rPr>
        <w:t>4,5%</w:t>
      </w:r>
      <w:r w:rsidR="00CF7DA0">
        <w:rPr>
          <w:rFonts w:cs="Arial"/>
        </w:rPr>
        <w:t xml:space="preserve"> y </w:t>
      </w:r>
      <w:r w:rsidR="005847A4">
        <w:rPr>
          <w:rFonts w:cs="Arial"/>
        </w:rPr>
        <w:t>21,2%</w:t>
      </w:r>
      <w:r w:rsidR="009C1EEC">
        <w:rPr>
          <w:rStyle w:val="Refdenotaalpie"/>
          <w:rFonts w:cs="Arial"/>
        </w:rPr>
        <w:footnoteReference w:id="3"/>
      </w:r>
      <w:r w:rsidR="005847A4">
        <w:rPr>
          <w:rFonts w:cs="Arial"/>
        </w:rPr>
        <w:t>.</w:t>
      </w:r>
    </w:p>
    <w:p w14:paraId="6B1272AC" w14:textId="7E019E60" w:rsidR="00CF7DA0" w:rsidRDefault="00E53698" w:rsidP="00CF7DA0">
      <w:pPr>
        <w:spacing w:before="240" w:after="0"/>
        <w:rPr>
          <w:rFonts w:cs="Arial"/>
        </w:rPr>
      </w:pPr>
      <w:r>
        <w:rPr>
          <w:rFonts w:cs="Arial"/>
        </w:rPr>
        <w:t xml:space="preserve">Adicionalmente, </w:t>
      </w:r>
      <w:r w:rsidR="00116546">
        <w:rPr>
          <w:rFonts w:cs="Arial"/>
        </w:rPr>
        <w:t xml:space="preserve">el </w:t>
      </w:r>
      <w:r w:rsidR="007E197C">
        <w:rPr>
          <w:rFonts w:cs="Arial"/>
        </w:rPr>
        <w:t>periodo de verano</w:t>
      </w:r>
      <w:r w:rsidR="00BE5135">
        <w:rPr>
          <w:rFonts w:cs="Arial"/>
        </w:rPr>
        <w:t>,</w:t>
      </w:r>
      <w:r w:rsidR="007E197C">
        <w:rPr>
          <w:rFonts w:cs="Arial"/>
        </w:rPr>
        <w:t xml:space="preserve"> de dic</w:t>
      </w:r>
      <w:r w:rsidR="00524831">
        <w:rPr>
          <w:rFonts w:cs="Arial"/>
        </w:rPr>
        <w:t xml:space="preserve">-2023 a abril-2024, </w:t>
      </w:r>
      <w:r w:rsidR="00EF40C0">
        <w:rPr>
          <w:rFonts w:cs="Arial"/>
        </w:rPr>
        <w:t>ha sido</w:t>
      </w:r>
      <w:r w:rsidR="00060C4E">
        <w:rPr>
          <w:rFonts w:cs="Arial"/>
        </w:rPr>
        <w:t xml:space="preserve"> </w:t>
      </w:r>
      <w:r w:rsidR="004E5110">
        <w:rPr>
          <w:rFonts w:cs="Arial"/>
        </w:rPr>
        <w:t>afectado</w:t>
      </w:r>
      <w:r w:rsidR="00060C4E">
        <w:rPr>
          <w:rFonts w:cs="Arial"/>
        </w:rPr>
        <w:t xml:space="preserve"> por un histórico de aportes </w:t>
      </w:r>
      <w:r w:rsidR="00F8093E">
        <w:rPr>
          <w:rFonts w:cs="Arial"/>
        </w:rPr>
        <w:t>hídricos</w:t>
      </w:r>
      <w:r w:rsidR="00060C4E">
        <w:rPr>
          <w:rFonts w:cs="Arial"/>
        </w:rPr>
        <w:t xml:space="preserve"> por debajo de lo us</w:t>
      </w:r>
      <w:r w:rsidR="00A6292E">
        <w:rPr>
          <w:rFonts w:cs="Arial"/>
        </w:rPr>
        <w:t>u</w:t>
      </w:r>
      <w:r w:rsidR="00060C4E">
        <w:rPr>
          <w:rFonts w:cs="Arial"/>
        </w:rPr>
        <w:t xml:space="preserve">al debido </w:t>
      </w:r>
      <w:r w:rsidR="00F8093E">
        <w:rPr>
          <w:rFonts w:cs="Arial"/>
        </w:rPr>
        <w:t>al fenómeno de El Niño por</w:t>
      </w:r>
      <w:r w:rsidR="00DE1613">
        <w:rPr>
          <w:rFonts w:cs="Arial"/>
        </w:rPr>
        <w:t xml:space="preserve"> el</w:t>
      </w:r>
      <w:r w:rsidR="00F8093E">
        <w:rPr>
          <w:rFonts w:cs="Arial"/>
        </w:rPr>
        <w:t xml:space="preserve"> que </w:t>
      </w:r>
      <w:r w:rsidR="00F42BAA">
        <w:rPr>
          <w:rFonts w:cs="Arial"/>
        </w:rPr>
        <w:t>está</w:t>
      </w:r>
      <w:r w:rsidR="00F8093E">
        <w:rPr>
          <w:rFonts w:cs="Arial"/>
        </w:rPr>
        <w:t xml:space="preserve"> atravesando</w:t>
      </w:r>
      <w:r w:rsidR="00B67F32">
        <w:rPr>
          <w:rFonts w:cs="Arial"/>
        </w:rPr>
        <w:t xml:space="preserve"> el país</w:t>
      </w:r>
      <w:r w:rsidR="00A6292E">
        <w:rPr>
          <w:rFonts w:cs="Arial"/>
        </w:rPr>
        <w:t>.</w:t>
      </w:r>
      <w:r w:rsidR="00CA3AB6">
        <w:rPr>
          <w:rFonts w:cs="Arial"/>
        </w:rPr>
        <w:t xml:space="preserve"> </w:t>
      </w:r>
      <w:r w:rsidR="00CF7DA0">
        <w:rPr>
          <w:rFonts w:cs="Arial"/>
        </w:rPr>
        <w:t xml:space="preserve">El Niño declarado por la agencia internacional NOAA, continuaría </w:t>
      </w:r>
      <w:r w:rsidR="00EF40C0">
        <w:rPr>
          <w:rFonts w:cs="Arial"/>
        </w:rPr>
        <w:t xml:space="preserve">con alta probabilidad </w:t>
      </w:r>
      <w:r w:rsidR="00CF7DA0">
        <w:rPr>
          <w:rFonts w:cs="Arial"/>
        </w:rPr>
        <w:t xml:space="preserve">hasta el trimestre </w:t>
      </w:r>
      <w:r w:rsidR="00EF40C0">
        <w:rPr>
          <w:rFonts w:cs="Arial"/>
        </w:rPr>
        <w:t xml:space="preserve">móvil que culmina en mayo </w:t>
      </w:r>
      <w:r w:rsidR="00CF7DA0">
        <w:rPr>
          <w:rFonts w:cs="Arial"/>
        </w:rPr>
        <w:t xml:space="preserve">de 2024 </w:t>
      </w:r>
      <w:r w:rsidR="00971A0D">
        <w:rPr>
          <w:rFonts w:cs="Arial"/>
        </w:rPr>
        <w:t>e incluso podría extenderse hasta el trimestre que termina en ju</w:t>
      </w:r>
      <w:r w:rsidR="00B35F79">
        <w:rPr>
          <w:rFonts w:cs="Arial"/>
        </w:rPr>
        <w:t>ni</w:t>
      </w:r>
      <w:r w:rsidR="0038358B">
        <w:rPr>
          <w:rFonts w:cs="Arial"/>
        </w:rPr>
        <w:t>o</w:t>
      </w:r>
      <w:r w:rsidR="00CF7DA0">
        <w:rPr>
          <w:rFonts w:cs="Arial"/>
        </w:rPr>
        <w:t xml:space="preserve"> con una probabilidad del </w:t>
      </w:r>
      <w:r w:rsidR="0038358B">
        <w:rPr>
          <w:rFonts w:cs="Arial"/>
        </w:rPr>
        <w:t>1</w:t>
      </w:r>
      <w:r w:rsidR="00CF7DA0">
        <w:rPr>
          <w:rFonts w:cs="Arial"/>
        </w:rPr>
        <w:t>5%, tal como se presenta en la Figura 2.</w:t>
      </w:r>
    </w:p>
    <w:p w14:paraId="193E7501" w14:textId="53B6E84E" w:rsidR="00283613" w:rsidRDefault="00334E8E" w:rsidP="00022B06">
      <w:pPr>
        <w:keepNext/>
        <w:spacing w:before="240" w:after="0"/>
        <w:jc w:val="center"/>
      </w:pPr>
      <w:r w:rsidRPr="00334E8E">
        <w:rPr>
          <w:noProof/>
        </w:rPr>
        <w:lastRenderedPageBreak/>
        <w:drawing>
          <wp:inline distT="0" distB="0" distL="0" distR="0" wp14:anchorId="65721746" wp14:editId="62E9B8CD">
            <wp:extent cx="4048648" cy="2364410"/>
            <wp:effectExtent l="0" t="0" r="9525" b="0"/>
            <wp:docPr id="60426" name="Picture 1">
              <a:extLst xmlns:a="http://schemas.openxmlformats.org/drawingml/2006/main">
                <a:ext uri="{FF2B5EF4-FFF2-40B4-BE49-F238E27FC236}">
                  <a16:creationId xmlns:a16="http://schemas.microsoft.com/office/drawing/2014/main" id="{5865A045-B2F2-CFE7-EC07-A1955611D2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26" name="Picture 1">
                      <a:extLst>
                        <a:ext uri="{FF2B5EF4-FFF2-40B4-BE49-F238E27FC236}">
                          <a16:creationId xmlns:a16="http://schemas.microsoft.com/office/drawing/2014/main" id="{5865A045-B2F2-CFE7-EC07-A1955611D25A}"/>
                        </a:ext>
                      </a:extLst>
                    </pic:cNvPr>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7614" cy="2381326"/>
                    </a:xfrm>
                    <a:prstGeom prst="rect">
                      <a:avLst/>
                    </a:prstGeom>
                    <a:noFill/>
                    <a:ln>
                      <a:noFill/>
                    </a:ln>
                  </pic:spPr>
                </pic:pic>
              </a:graphicData>
            </a:graphic>
          </wp:inline>
        </w:drawing>
      </w:r>
    </w:p>
    <w:p w14:paraId="3400D6B4" w14:textId="1878A0F9" w:rsidR="006245DB" w:rsidRPr="00C947B0" w:rsidRDefault="00283613" w:rsidP="00022B06">
      <w:pPr>
        <w:pStyle w:val="Descripcin"/>
        <w:spacing w:before="0" w:after="0"/>
        <w:rPr>
          <w:rFonts w:cs="Arial"/>
          <w:sz w:val="16"/>
        </w:rPr>
      </w:pPr>
      <w:r w:rsidRPr="00C947B0">
        <w:t xml:space="preserve">Figura </w:t>
      </w:r>
      <w:r w:rsidRPr="00C947B0">
        <w:fldChar w:fldCharType="begin"/>
      </w:r>
      <w:r w:rsidRPr="00C947B0">
        <w:instrText xml:space="preserve"> SEQ Figura \* ARABIC </w:instrText>
      </w:r>
      <w:r w:rsidRPr="00C947B0">
        <w:fldChar w:fldCharType="separate"/>
      </w:r>
      <w:r w:rsidR="00022C18">
        <w:rPr>
          <w:noProof/>
        </w:rPr>
        <w:t>2</w:t>
      </w:r>
      <w:r w:rsidRPr="00C947B0">
        <w:fldChar w:fldCharType="end"/>
      </w:r>
      <w:r w:rsidRPr="00C947B0">
        <w:t xml:space="preserve">. Pronóstico fenómeno de El Niño. Informe de </w:t>
      </w:r>
      <w:r w:rsidR="00F40DF8">
        <w:t>abr</w:t>
      </w:r>
      <w:r w:rsidRPr="00C947B0">
        <w:t>-202</w:t>
      </w:r>
      <w:r w:rsidR="00F40DF8">
        <w:t>4</w:t>
      </w:r>
      <w:r w:rsidRPr="00C947B0">
        <w:rPr>
          <w:rStyle w:val="Refdenotaalpie"/>
        </w:rPr>
        <w:footnoteReference w:id="4"/>
      </w:r>
      <w:r w:rsidRPr="00C947B0">
        <w:t xml:space="preserve">  </w:t>
      </w:r>
    </w:p>
    <w:p w14:paraId="54F64316" w14:textId="3E12FA5A" w:rsidR="008908D5" w:rsidRDefault="00575CA3" w:rsidP="006D7B76">
      <w:pPr>
        <w:spacing w:before="240" w:after="0"/>
        <w:rPr>
          <w:rFonts w:cs="Arial"/>
        </w:rPr>
      </w:pPr>
      <w:r>
        <w:rPr>
          <w:rFonts w:cs="Arial"/>
        </w:rPr>
        <w:t xml:space="preserve">Por otro lado, </w:t>
      </w:r>
      <w:r w:rsidR="00EA298F">
        <w:rPr>
          <w:rFonts w:cs="Arial"/>
        </w:rPr>
        <w:t>en la Figura 3 se muestra</w:t>
      </w:r>
      <w:r w:rsidR="008908D5">
        <w:rPr>
          <w:rFonts w:cs="Arial"/>
        </w:rPr>
        <w:t xml:space="preserve"> el precio </w:t>
      </w:r>
      <w:r w:rsidR="00470662">
        <w:rPr>
          <w:rFonts w:cs="Arial"/>
        </w:rPr>
        <w:t>de</w:t>
      </w:r>
      <w:r w:rsidR="008908D5">
        <w:rPr>
          <w:rFonts w:cs="Arial"/>
        </w:rPr>
        <w:t xml:space="preserve"> bolsa ponderado semanal (de sábado a viernes de la siguiente semana)</w:t>
      </w:r>
      <w:r w:rsidR="002A2D85">
        <w:rPr>
          <w:rFonts w:cs="Arial"/>
        </w:rPr>
        <w:t>,</w:t>
      </w:r>
      <w:r w:rsidR="008908D5">
        <w:rPr>
          <w:rFonts w:cs="Arial"/>
        </w:rPr>
        <w:t xml:space="preserve"> </w:t>
      </w:r>
      <w:r w:rsidR="00EA298F">
        <w:rPr>
          <w:rFonts w:cs="Arial"/>
        </w:rPr>
        <w:t xml:space="preserve">para el periodo desde enero del año 2021 hasta </w:t>
      </w:r>
      <w:r w:rsidR="00EA298F" w:rsidRPr="00E23094">
        <w:rPr>
          <w:rFonts w:cs="Arial"/>
        </w:rPr>
        <w:t xml:space="preserve">el </w:t>
      </w:r>
      <w:r w:rsidR="009F735C">
        <w:rPr>
          <w:rFonts w:cs="Arial"/>
        </w:rPr>
        <w:t>1</w:t>
      </w:r>
      <w:r w:rsidR="00EA298F" w:rsidRPr="00E23094">
        <w:rPr>
          <w:rFonts w:cs="Arial"/>
        </w:rPr>
        <w:t xml:space="preserve">2 de </w:t>
      </w:r>
      <w:r w:rsidR="009F735C">
        <w:rPr>
          <w:rFonts w:cs="Arial"/>
        </w:rPr>
        <w:t>abril</w:t>
      </w:r>
      <w:r w:rsidR="00EA298F" w:rsidRPr="00E23094">
        <w:rPr>
          <w:rFonts w:cs="Arial"/>
        </w:rPr>
        <w:t xml:space="preserve"> de 202</w:t>
      </w:r>
      <w:r w:rsidR="009F735C">
        <w:rPr>
          <w:rFonts w:cs="Arial"/>
        </w:rPr>
        <w:t>4</w:t>
      </w:r>
      <w:r w:rsidR="00EA298F">
        <w:rPr>
          <w:rFonts w:cs="Arial"/>
        </w:rPr>
        <w:t xml:space="preserve">, </w:t>
      </w:r>
      <w:r w:rsidR="008908D5">
        <w:rPr>
          <w:rFonts w:cs="Arial"/>
        </w:rPr>
        <w:t>variable que es utilizada para calcular los montos de las garantías que respaldan las futuras compras en bolsas de los agentes en el MEM</w:t>
      </w:r>
      <w:r w:rsidR="00EA298F">
        <w:rPr>
          <w:rFonts w:cs="Arial"/>
        </w:rPr>
        <w:t>. Como</w:t>
      </w:r>
      <w:r w:rsidR="00682143">
        <w:rPr>
          <w:rFonts w:cs="Arial"/>
        </w:rPr>
        <w:t xml:space="preserve"> s</w:t>
      </w:r>
      <w:r w:rsidR="008908D5">
        <w:rPr>
          <w:rFonts w:cs="Arial"/>
        </w:rPr>
        <w:t>e observa, los precios en bolsa en el primer año no presentaron un</w:t>
      </w:r>
      <w:r w:rsidR="00350BB6">
        <w:rPr>
          <w:rFonts w:cs="Arial"/>
        </w:rPr>
        <w:t>a</w:t>
      </w:r>
      <w:r w:rsidR="008908D5">
        <w:rPr>
          <w:rFonts w:cs="Arial"/>
        </w:rPr>
        <w:t xml:space="preserve"> gran variación </w:t>
      </w:r>
      <w:r w:rsidR="00350BB6">
        <w:rPr>
          <w:rFonts w:cs="Arial"/>
        </w:rPr>
        <w:t>al alza</w:t>
      </w:r>
      <w:r w:rsidR="008908D5">
        <w:rPr>
          <w:rFonts w:cs="Arial"/>
        </w:rPr>
        <w:t xml:space="preserve"> de un mes a otro, sin embargo, durante l</w:t>
      </w:r>
      <w:r w:rsidR="009F735C">
        <w:rPr>
          <w:rFonts w:cs="Arial"/>
        </w:rPr>
        <w:t>os</w:t>
      </w:r>
      <w:r w:rsidR="008908D5">
        <w:rPr>
          <w:rFonts w:cs="Arial"/>
        </w:rPr>
        <w:t xml:space="preserve"> año</w:t>
      </w:r>
      <w:r w:rsidR="009F735C">
        <w:rPr>
          <w:rFonts w:cs="Arial"/>
        </w:rPr>
        <w:t>s</w:t>
      </w:r>
      <w:r w:rsidR="008908D5">
        <w:rPr>
          <w:rFonts w:cs="Arial"/>
        </w:rPr>
        <w:t xml:space="preserve"> 2022</w:t>
      </w:r>
      <w:r w:rsidR="009F735C">
        <w:rPr>
          <w:rFonts w:cs="Arial"/>
        </w:rPr>
        <w:t>,</w:t>
      </w:r>
      <w:r w:rsidR="00350BB6">
        <w:rPr>
          <w:rFonts w:cs="Arial"/>
        </w:rPr>
        <w:t xml:space="preserve"> 2023</w:t>
      </w:r>
      <w:r w:rsidR="00594E63">
        <w:rPr>
          <w:rFonts w:cs="Arial"/>
        </w:rPr>
        <w:t xml:space="preserve">, </w:t>
      </w:r>
      <w:r w:rsidR="008908D5">
        <w:rPr>
          <w:rFonts w:cs="Arial"/>
        </w:rPr>
        <w:t xml:space="preserve">y </w:t>
      </w:r>
      <w:r w:rsidR="00350BB6">
        <w:rPr>
          <w:rFonts w:cs="Arial"/>
        </w:rPr>
        <w:t xml:space="preserve">en </w:t>
      </w:r>
      <w:r w:rsidR="009F735C">
        <w:rPr>
          <w:rFonts w:cs="Arial"/>
        </w:rPr>
        <w:t>lo corrido de 2024</w:t>
      </w:r>
      <w:r w:rsidR="00594E63">
        <w:rPr>
          <w:rFonts w:cs="Arial"/>
        </w:rPr>
        <w:t xml:space="preserve"> la </w:t>
      </w:r>
      <w:r w:rsidR="0067226C">
        <w:rPr>
          <w:rFonts w:cs="Arial"/>
        </w:rPr>
        <w:t xml:space="preserve">variabilidad </w:t>
      </w:r>
      <w:r w:rsidR="006A0FAF">
        <w:rPr>
          <w:rFonts w:cs="Arial"/>
        </w:rPr>
        <w:t>de los precios de un mes a otro</w:t>
      </w:r>
      <w:r w:rsidR="005E6A82">
        <w:rPr>
          <w:rFonts w:cs="Arial"/>
        </w:rPr>
        <w:t>,</w:t>
      </w:r>
      <w:r w:rsidR="006A0FAF">
        <w:rPr>
          <w:rFonts w:cs="Arial"/>
        </w:rPr>
        <w:t xml:space="preserve"> </w:t>
      </w:r>
      <w:r w:rsidR="006A0FAF" w:rsidRPr="00022B06">
        <w:rPr>
          <w:rFonts w:cs="Arial"/>
        </w:rPr>
        <w:t xml:space="preserve">e inclusive de </w:t>
      </w:r>
      <w:r w:rsidR="00352DB1" w:rsidRPr="00022B06">
        <w:rPr>
          <w:rFonts w:cs="Arial"/>
        </w:rPr>
        <w:t xml:space="preserve">una </w:t>
      </w:r>
      <w:r w:rsidR="006A0FAF" w:rsidRPr="00022B06">
        <w:rPr>
          <w:rFonts w:cs="Arial"/>
        </w:rPr>
        <w:t>sema</w:t>
      </w:r>
      <w:r w:rsidR="00352DB1" w:rsidRPr="00022B06">
        <w:rPr>
          <w:rFonts w:cs="Arial"/>
        </w:rPr>
        <w:t>na</w:t>
      </w:r>
      <w:r w:rsidR="006A0FAF" w:rsidRPr="00022B06">
        <w:rPr>
          <w:rFonts w:cs="Arial"/>
        </w:rPr>
        <w:t xml:space="preserve"> a </w:t>
      </w:r>
      <w:r w:rsidR="009B7682" w:rsidRPr="00022B06">
        <w:rPr>
          <w:rFonts w:cs="Arial"/>
        </w:rPr>
        <w:t xml:space="preserve">la siguiente, ha </w:t>
      </w:r>
      <w:r w:rsidR="00C253B4" w:rsidRPr="00022B06">
        <w:rPr>
          <w:rFonts w:cs="Arial"/>
        </w:rPr>
        <w:t>presentado</w:t>
      </w:r>
      <w:r w:rsidR="00CA4F12" w:rsidRPr="00022B06">
        <w:rPr>
          <w:rFonts w:cs="Arial"/>
        </w:rPr>
        <w:t xml:space="preserve"> </w:t>
      </w:r>
      <w:r w:rsidR="001D5F19" w:rsidRPr="00022B06">
        <w:rPr>
          <w:rFonts w:cs="Arial"/>
        </w:rPr>
        <w:t>una volat</w:t>
      </w:r>
      <w:r w:rsidR="00B12A76" w:rsidRPr="00022B06">
        <w:rPr>
          <w:rFonts w:cs="Arial"/>
        </w:rPr>
        <w:t xml:space="preserve">ilidad que se traduce </w:t>
      </w:r>
      <w:r w:rsidR="16B1B650" w:rsidRPr="00022B06">
        <w:rPr>
          <w:rFonts w:cs="Arial"/>
        </w:rPr>
        <w:t>en</w:t>
      </w:r>
      <w:r w:rsidR="00B12A76" w:rsidRPr="00022B06">
        <w:rPr>
          <w:rFonts w:cs="Arial"/>
        </w:rPr>
        <w:t xml:space="preserve"> </w:t>
      </w:r>
      <w:r w:rsidR="00254525" w:rsidRPr="00022B06">
        <w:rPr>
          <w:rFonts w:cs="Arial"/>
        </w:rPr>
        <w:t xml:space="preserve">cambios </w:t>
      </w:r>
      <w:r w:rsidR="00924EB0" w:rsidRPr="00022B06">
        <w:rPr>
          <w:rFonts w:cs="Arial"/>
        </w:rPr>
        <w:t xml:space="preserve">considerables </w:t>
      </w:r>
      <w:r w:rsidR="01232119" w:rsidRPr="00022B06">
        <w:rPr>
          <w:rFonts w:cs="Arial"/>
        </w:rPr>
        <w:t>de</w:t>
      </w:r>
      <w:r w:rsidR="00924EB0" w:rsidRPr="00022B06">
        <w:rPr>
          <w:rFonts w:cs="Arial"/>
        </w:rPr>
        <w:t xml:space="preserve"> los montos que deberían garantizar </w:t>
      </w:r>
      <w:r w:rsidR="00194AC7" w:rsidRPr="00022B06">
        <w:rPr>
          <w:rFonts w:cs="Arial"/>
        </w:rPr>
        <w:t>los agentes</w:t>
      </w:r>
      <w:r w:rsidR="00911768" w:rsidRPr="00022B06">
        <w:rPr>
          <w:rFonts w:cs="Arial"/>
        </w:rPr>
        <w:t xml:space="preserve"> </w:t>
      </w:r>
      <w:r w:rsidR="00450D43" w:rsidRPr="00022B06">
        <w:rPr>
          <w:rFonts w:cs="Arial"/>
        </w:rPr>
        <w:t xml:space="preserve">para respaldar </w:t>
      </w:r>
      <w:r w:rsidR="00911768" w:rsidRPr="00022B06">
        <w:rPr>
          <w:rFonts w:cs="Arial"/>
        </w:rPr>
        <w:t>sus fut</w:t>
      </w:r>
      <w:r w:rsidR="00352DB1" w:rsidRPr="00022B06">
        <w:rPr>
          <w:rFonts w:cs="Arial"/>
        </w:rPr>
        <w:t>u</w:t>
      </w:r>
      <w:r w:rsidR="00911768" w:rsidRPr="00022B06">
        <w:rPr>
          <w:rFonts w:cs="Arial"/>
        </w:rPr>
        <w:t xml:space="preserve">ras compras </w:t>
      </w:r>
      <w:r w:rsidR="00311532" w:rsidRPr="00022B06">
        <w:rPr>
          <w:rFonts w:cs="Arial"/>
        </w:rPr>
        <w:t>en la bolsa de energía</w:t>
      </w:r>
      <w:r w:rsidR="00311532">
        <w:rPr>
          <w:rFonts w:cs="Arial"/>
        </w:rPr>
        <w:t>.</w:t>
      </w:r>
      <w:r w:rsidR="00AB61E7">
        <w:rPr>
          <w:rFonts w:cs="Arial"/>
        </w:rPr>
        <w:t xml:space="preserve"> </w:t>
      </w:r>
    </w:p>
    <w:p w14:paraId="05EDA26E" w14:textId="24E29DE7" w:rsidR="00575CA3" w:rsidRDefault="001F7229" w:rsidP="00505866">
      <w:pPr>
        <w:pStyle w:val="Descripcin"/>
        <w:keepNext/>
        <w:spacing w:after="0"/>
      </w:pPr>
      <w:r>
        <w:rPr>
          <w:noProof/>
        </w:rPr>
        <w:lastRenderedPageBreak/>
        <w:drawing>
          <wp:inline distT="0" distB="0" distL="0" distR="0" wp14:anchorId="24D07D50" wp14:editId="6D642A18">
            <wp:extent cx="4572000" cy="2743200"/>
            <wp:effectExtent l="0" t="0" r="0" b="0"/>
            <wp:docPr id="49603166" name="Gráfico 1">
              <a:extLst xmlns:a="http://schemas.openxmlformats.org/drawingml/2006/main">
                <a:ext uri="{FF2B5EF4-FFF2-40B4-BE49-F238E27FC236}">
                  <a16:creationId xmlns:a16="http://schemas.microsoft.com/office/drawing/2014/main" id="{3C014D05-2723-8A7D-8FA9-17E60BFC09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9A6BD65" w14:textId="1DCC8964" w:rsidR="00575CA3" w:rsidRPr="00B92C39" w:rsidRDefault="00CF140E" w:rsidP="00505866">
      <w:pPr>
        <w:pStyle w:val="Descripcin"/>
        <w:spacing w:before="0" w:after="0"/>
      </w:pPr>
      <w:r>
        <w:t xml:space="preserve">Figura </w:t>
      </w:r>
      <w:r w:rsidR="002B2D75">
        <w:fldChar w:fldCharType="begin"/>
      </w:r>
      <w:r w:rsidR="002B2D75">
        <w:instrText xml:space="preserve"> SEQ Figura \* ARABIC </w:instrText>
      </w:r>
      <w:r w:rsidR="002B2D75">
        <w:fldChar w:fldCharType="separate"/>
      </w:r>
      <w:r w:rsidR="00022C18">
        <w:rPr>
          <w:noProof/>
        </w:rPr>
        <w:t>3</w:t>
      </w:r>
      <w:r w:rsidR="002B2D75">
        <w:rPr>
          <w:noProof/>
        </w:rPr>
        <w:fldChar w:fldCharType="end"/>
      </w:r>
      <w:r>
        <w:t>.</w:t>
      </w:r>
      <w:r w:rsidR="00575CA3">
        <w:t xml:space="preserve"> </w:t>
      </w:r>
      <w:r w:rsidR="00575CA3" w:rsidRPr="00924462">
        <w:rPr>
          <w:rFonts w:cs="Arial"/>
        </w:rPr>
        <w:t>Precio de bolsa ponderado semanal desde ene</w:t>
      </w:r>
      <w:r w:rsidR="00053A4A">
        <w:rPr>
          <w:rFonts w:cs="Arial"/>
        </w:rPr>
        <w:t xml:space="preserve"> </w:t>
      </w:r>
      <w:r w:rsidR="00575CA3" w:rsidRPr="00924462">
        <w:rPr>
          <w:rFonts w:cs="Arial"/>
        </w:rPr>
        <w:t>2021-</w:t>
      </w:r>
      <w:r w:rsidR="00053A4A">
        <w:rPr>
          <w:rFonts w:cs="Arial"/>
        </w:rPr>
        <w:t xml:space="preserve"> abr </w:t>
      </w:r>
      <w:r w:rsidR="00575CA3" w:rsidRPr="00924462">
        <w:rPr>
          <w:rFonts w:cs="Arial"/>
        </w:rPr>
        <w:t>202</w:t>
      </w:r>
      <w:r w:rsidR="00053A4A">
        <w:rPr>
          <w:rFonts w:cs="Arial"/>
        </w:rPr>
        <w:t>4</w:t>
      </w:r>
      <w:r w:rsidR="00575CA3">
        <w:t xml:space="preserve">. </w:t>
      </w:r>
    </w:p>
    <w:p w14:paraId="190EE902" w14:textId="1EF6E2EA" w:rsidR="008B1E09" w:rsidRPr="00DB0EB4" w:rsidRDefault="00475056" w:rsidP="00505866">
      <w:pPr>
        <w:ind w:firstLine="142"/>
        <w:jc w:val="center"/>
        <w:rPr>
          <w:rFonts w:cs="Arial"/>
          <w:sz w:val="18"/>
          <w:szCs w:val="16"/>
        </w:rPr>
      </w:pPr>
      <w:r w:rsidRPr="00DB0EB4">
        <w:rPr>
          <w:rFonts w:cs="Arial"/>
          <w:sz w:val="18"/>
          <w:szCs w:val="16"/>
        </w:rPr>
        <w:t>Fuente</w:t>
      </w:r>
      <w:r w:rsidR="002D6530" w:rsidRPr="00DB0EB4">
        <w:rPr>
          <w:rFonts w:cs="Arial"/>
          <w:sz w:val="18"/>
          <w:szCs w:val="16"/>
        </w:rPr>
        <w:t xml:space="preserve">: Datos de XM </w:t>
      </w:r>
      <w:r w:rsidR="002D6530" w:rsidRPr="00DB0EB4">
        <w:rPr>
          <w:rFonts w:cs="Arial"/>
          <w:sz w:val="18"/>
          <w:szCs w:val="16"/>
          <w:shd w:val="clear" w:color="auto" w:fill="FFFFFF"/>
        </w:rPr>
        <w:t xml:space="preserve">S.A. E.S.P. </w:t>
      </w:r>
      <w:r w:rsidR="00BF6421" w:rsidRPr="00DB0EB4">
        <w:rPr>
          <w:rFonts w:cs="Arial"/>
          <w:sz w:val="18"/>
          <w:szCs w:val="16"/>
        </w:rPr>
        <w:t>y cálculos CREG</w:t>
      </w:r>
    </w:p>
    <w:p w14:paraId="5D9B8573" w14:textId="5D9E718F" w:rsidR="00FC74AB" w:rsidRPr="00DB0EB4" w:rsidRDefault="62E3042C" w:rsidP="006D7B76">
      <w:pPr>
        <w:spacing w:before="240" w:after="0"/>
        <w:rPr>
          <w:rFonts w:cs="Arial"/>
        </w:rPr>
      </w:pPr>
      <w:r w:rsidRPr="00505866">
        <w:rPr>
          <w:rFonts w:cs="Arial"/>
        </w:rPr>
        <w:t xml:space="preserve">Es de esta manera que, </w:t>
      </w:r>
      <w:r w:rsidR="475DB0A8" w:rsidRPr="00505866">
        <w:rPr>
          <w:rFonts w:cs="Arial"/>
        </w:rPr>
        <w:t>e</w:t>
      </w:r>
      <w:r w:rsidR="0087296E" w:rsidRPr="00505866">
        <w:rPr>
          <w:rFonts w:cs="Arial"/>
        </w:rPr>
        <w:t xml:space="preserve">n momentos donde se presenta </w:t>
      </w:r>
      <w:r w:rsidR="00E134BB">
        <w:rPr>
          <w:rFonts w:cs="Arial"/>
        </w:rPr>
        <w:t>un incremento en la demanda de energía</w:t>
      </w:r>
      <w:r w:rsidR="0087296E" w:rsidRPr="00505866">
        <w:rPr>
          <w:rFonts w:cs="Arial"/>
        </w:rPr>
        <w:t xml:space="preserve"> </w:t>
      </w:r>
      <w:r w:rsidR="003F50A3">
        <w:rPr>
          <w:rFonts w:cs="Arial"/>
        </w:rPr>
        <w:t>y un alto n</w:t>
      </w:r>
      <w:r w:rsidR="00F75510">
        <w:rPr>
          <w:rFonts w:cs="Arial"/>
        </w:rPr>
        <w:t xml:space="preserve">ivel </w:t>
      </w:r>
      <w:r w:rsidR="00DD614F">
        <w:rPr>
          <w:rFonts w:cs="Arial"/>
        </w:rPr>
        <w:t xml:space="preserve">y </w:t>
      </w:r>
      <w:r w:rsidR="00DD614F" w:rsidRPr="00505866">
        <w:rPr>
          <w:rFonts w:cs="Arial"/>
        </w:rPr>
        <w:t xml:space="preserve">volatilidad </w:t>
      </w:r>
      <w:r w:rsidR="0087296E" w:rsidRPr="00505866">
        <w:rPr>
          <w:rFonts w:cs="Arial"/>
        </w:rPr>
        <w:t>en los precios de bolsa</w:t>
      </w:r>
      <w:r w:rsidR="0087296E" w:rsidRPr="002C444D">
        <w:rPr>
          <w:rFonts w:cs="Arial"/>
        </w:rPr>
        <w:t>,</w:t>
      </w:r>
      <w:r w:rsidR="0087296E">
        <w:rPr>
          <w:rFonts w:cs="Arial"/>
        </w:rPr>
        <w:t xml:space="preserve"> los valores de cobertura</w:t>
      </w:r>
      <w:r w:rsidR="00CD3B0A">
        <w:rPr>
          <w:rFonts w:cs="Arial"/>
        </w:rPr>
        <w:t xml:space="preserve"> </w:t>
      </w:r>
      <w:r w:rsidR="00DC525E">
        <w:rPr>
          <w:rFonts w:cs="Arial"/>
        </w:rPr>
        <w:t xml:space="preserve">de las garantías </w:t>
      </w:r>
      <w:r w:rsidR="00CD3B0A">
        <w:rPr>
          <w:rFonts w:cs="Arial"/>
        </w:rPr>
        <w:t xml:space="preserve">se incrementan de </w:t>
      </w:r>
      <w:r w:rsidR="009B6E7A">
        <w:rPr>
          <w:rFonts w:cs="Arial"/>
        </w:rPr>
        <w:t xml:space="preserve">forma </w:t>
      </w:r>
      <w:r w:rsidR="00CD3B0A">
        <w:rPr>
          <w:rFonts w:cs="Arial"/>
        </w:rPr>
        <w:t xml:space="preserve">significativa para cubrir </w:t>
      </w:r>
      <w:r w:rsidR="009622CD">
        <w:rPr>
          <w:rFonts w:cs="Arial"/>
        </w:rPr>
        <w:t xml:space="preserve">las obligaciones </w:t>
      </w:r>
      <w:r w:rsidR="00EF0152">
        <w:rPr>
          <w:rFonts w:cs="Arial"/>
        </w:rPr>
        <w:t>que son responsabilidad de</w:t>
      </w:r>
      <w:r w:rsidR="009622CD">
        <w:rPr>
          <w:rFonts w:cs="Arial"/>
        </w:rPr>
        <w:t xml:space="preserve"> los agentes con el mercado. </w:t>
      </w:r>
    </w:p>
    <w:p w14:paraId="22B06F56" w14:textId="7CCEE63F" w:rsidR="00FC74AB" w:rsidRDefault="416E9525" w:rsidP="006D7B76">
      <w:pPr>
        <w:spacing w:before="240" w:after="0"/>
        <w:jc w:val="both"/>
        <w:rPr>
          <w:rFonts w:cs="Arial"/>
        </w:rPr>
      </w:pPr>
      <w:r w:rsidRPr="6D4EC1AC">
        <w:rPr>
          <w:rFonts w:eastAsia="Arial" w:cs="Arial"/>
          <w:color w:val="000000" w:themeColor="text1"/>
          <w:lang w:val="es"/>
        </w:rPr>
        <w:t>A lo anterior</w:t>
      </w:r>
      <w:r w:rsidR="76E10E0E" w:rsidRPr="6D4EC1AC">
        <w:rPr>
          <w:rFonts w:eastAsia="Arial" w:cs="Arial"/>
          <w:color w:val="000000" w:themeColor="text1"/>
          <w:lang w:val="es"/>
        </w:rPr>
        <w:t>,</w:t>
      </w:r>
      <w:r w:rsidR="7BDA1CD3" w:rsidRPr="6D4EC1AC">
        <w:rPr>
          <w:rFonts w:eastAsia="Arial" w:cs="Arial"/>
          <w:color w:val="000000" w:themeColor="text1"/>
          <w:lang w:val="es"/>
        </w:rPr>
        <w:t xml:space="preserve"> se suma </w:t>
      </w:r>
      <w:r w:rsidR="054EE283" w:rsidRPr="6D4EC1AC">
        <w:rPr>
          <w:rFonts w:eastAsia="Arial" w:cs="Arial"/>
          <w:color w:val="000000" w:themeColor="text1"/>
          <w:lang w:val="es"/>
        </w:rPr>
        <w:t>el requ</w:t>
      </w:r>
      <w:r w:rsidR="002E5DC5" w:rsidRPr="6D4EC1AC">
        <w:rPr>
          <w:rFonts w:eastAsia="Arial" w:cs="Arial"/>
          <w:color w:val="000000" w:themeColor="text1"/>
          <w:lang w:val="es"/>
        </w:rPr>
        <w:t>e</w:t>
      </w:r>
      <w:r w:rsidR="054EE283" w:rsidRPr="6D4EC1AC">
        <w:rPr>
          <w:rFonts w:eastAsia="Arial" w:cs="Arial"/>
          <w:color w:val="000000" w:themeColor="text1"/>
          <w:lang w:val="es"/>
        </w:rPr>
        <w:t xml:space="preserve">rimiento de capital de trabajo para asumir los saldos por recaudar de </w:t>
      </w:r>
      <w:r w:rsidR="00754DD6" w:rsidRPr="6D4EC1AC">
        <w:rPr>
          <w:rFonts w:eastAsia="Arial" w:cs="Arial"/>
          <w:color w:val="000000" w:themeColor="text1"/>
          <w:lang w:val="es"/>
        </w:rPr>
        <w:t xml:space="preserve">la </w:t>
      </w:r>
      <w:r w:rsidR="054EE283" w:rsidRPr="6D4EC1AC">
        <w:rPr>
          <w:rFonts w:eastAsia="Arial" w:cs="Arial"/>
          <w:color w:val="000000" w:themeColor="text1"/>
          <w:lang w:val="es"/>
        </w:rPr>
        <w:t>opción tarifaria</w:t>
      </w:r>
      <w:r w:rsidR="20A579DA" w:rsidRPr="6D4EC1AC">
        <w:rPr>
          <w:rFonts w:eastAsia="Arial" w:cs="Arial"/>
          <w:color w:val="000000" w:themeColor="text1"/>
          <w:lang w:val="es"/>
        </w:rPr>
        <w:t xml:space="preserve">, lo que </w:t>
      </w:r>
      <w:r w:rsidR="00B70E72">
        <w:rPr>
          <w:rFonts w:eastAsia="Arial" w:cs="Arial"/>
          <w:color w:val="000000" w:themeColor="text1"/>
          <w:lang w:val="es"/>
        </w:rPr>
        <w:t xml:space="preserve">ha </w:t>
      </w:r>
      <w:r w:rsidR="20A579DA" w:rsidRPr="6D4EC1AC">
        <w:rPr>
          <w:rFonts w:eastAsia="Arial" w:cs="Arial"/>
          <w:color w:val="000000" w:themeColor="text1"/>
          <w:lang w:val="es"/>
        </w:rPr>
        <w:t>genera</w:t>
      </w:r>
      <w:r w:rsidR="00B70E72">
        <w:rPr>
          <w:rFonts w:eastAsia="Arial" w:cs="Arial"/>
          <w:color w:val="000000" w:themeColor="text1"/>
          <w:lang w:val="es"/>
        </w:rPr>
        <w:t>do</w:t>
      </w:r>
      <w:r w:rsidR="00AB4C8C" w:rsidRPr="6D4EC1AC">
        <w:rPr>
          <w:rFonts w:eastAsia="Arial" w:cs="Arial"/>
          <w:color w:val="000000" w:themeColor="text1"/>
          <w:lang w:val="es"/>
        </w:rPr>
        <w:t xml:space="preserve"> </w:t>
      </w:r>
      <w:r w:rsidR="00AB4C8C" w:rsidRPr="6D4EC1AC">
        <w:rPr>
          <w:rFonts w:cs="Arial"/>
        </w:rPr>
        <w:t xml:space="preserve">una situación de estrés en el flujo de caja de </w:t>
      </w:r>
      <w:r w:rsidR="00B70E72">
        <w:rPr>
          <w:rFonts w:cs="Arial"/>
        </w:rPr>
        <w:t>algun</w:t>
      </w:r>
      <w:r w:rsidR="00AB4C8C" w:rsidRPr="6D4EC1AC">
        <w:rPr>
          <w:rFonts w:cs="Arial"/>
        </w:rPr>
        <w:t>os comercializadores</w:t>
      </w:r>
      <w:r w:rsidR="00EF0152" w:rsidRPr="6D4EC1AC">
        <w:rPr>
          <w:rFonts w:cs="Arial"/>
        </w:rPr>
        <w:t xml:space="preserve">, </w:t>
      </w:r>
      <w:r w:rsidR="541B94E9" w:rsidRPr="6D4EC1AC">
        <w:rPr>
          <w:rFonts w:cs="Arial"/>
        </w:rPr>
        <w:t>producto de</w:t>
      </w:r>
      <w:r w:rsidR="00EF0152" w:rsidRPr="6D4EC1AC">
        <w:rPr>
          <w:rFonts w:cs="Arial"/>
        </w:rPr>
        <w:t xml:space="preserve"> </w:t>
      </w:r>
      <w:r w:rsidR="5B915CB0" w:rsidRPr="6D4EC1AC">
        <w:rPr>
          <w:rFonts w:cs="Arial"/>
        </w:rPr>
        <w:t xml:space="preserve">una disminución de </w:t>
      </w:r>
      <w:r w:rsidR="1C1301B7" w:rsidRPr="6D4EC1AC">
        <w:rPr>
          <w:rFonts w:cs="Arial"/>
        </w:rPr>
        <w:t>los</w:t>
      </w:r>
      <w:r w:rsidR="00EF0152" w:rsidRPr="6D4EC1AC">
        <w:rPr>
          <w:rFonts w:cs="Arial"/>
        </w:rPr>
        <w:t xml:space="preserve"> ingresos de recursos en el corto plazo </w:t>
      </w:r>
      <w:r w:rsidR="48A00F40" w:rsidRPr="6D4EC1AC">
        <w:rPr>
          <w:rFonts w:cs="Arial"/>
        </w:rPr>
        <w:t>y la</w:t>
      </w:r>
      <w:r w:rsidR="001935B3" w:rsidRPr="6D4EC1AC">
        <w:rPr>
          <w:rFonts w:cs="Arial"/>
        </w:rPr>
        <w:t xml:space="preserve"> complej</w:t>
      </w:r>
      <w:r w:rsidR="1C5F5964" w:rsidRPr="6D4EC1AC">
        <w:rPr>
          <w:rFonts w:cs="Arial"/>
        </w:rPr>
        <w:t xml:space="preserve">idad </w:t>
      </w:r>
      <w:r w:rsidR="23D30251" w:rsidRPr="6D4EC1AC">
        <w:rPr>
          <w:rFonts w:cs="Arial"/>
        </w:rPr>
        <w:t>para</w:t>
      </w:r>
      <w:r w:rsidR="001935B3" w:rsidRPr="6D4EC1AC">
        <w:rPr>
          <w:rFonts w:cs="Arial"/>
        </w:rPr>
        <w:t xml:space="preserve"> c</w:t>
      </w:r>
      <w:r w:rsidR="00C354CE" w:rsidRPr="6D4EC1AC">
        <w:rPr>
          <w:rFonts w:cs="Arial"/>
        </w:rPr>
        <w:t xml:space="preserve">onseguir </w:t>
      </w:r>
      <w:r w:rsidR="3FBE889D" w:rsidRPr="6D4EC1AC">
        <w:rPr>
          <w:rFonts w:cs="Arial"/>
        </w:rPr>
        <w:t>el capital de trabajo</w:t>
      </w:r>
      <w:r w:rsidR="00C354CE" w:rsidRPr="6D4EC1AC">
        <w:rPr>
          <w:rFonts w:cs="Arial"/>
        </w:rPr>
        <w:t xml:space="preserve"> o los instrumentos </w:t>
      </w:r>
      <w:r w:rsidR="00152498" w:rsidRPr="6D4EC1AC">
        <w:rPr>
          <w:rFonts w:cs="Arial"/>
        </w:rPr>
        <w:t>de cobertura</w:t>
      </w:r>
      <w:r w:rsidR="00C354CE" w:rsidRPr="6D4EC1AC">
        <w:rPr>
          <w:rFonts w:cs="Arial"/>
        </w:rPr>
        <w:t xml:space="preserve"> </w:t>
      </w:r>
      <w:r w:rsidR="00F77D03" w:rsidRPr="6D4EC1AC">
        <w:rPr>
          <w:rFonts w:cs="Arial"/>
        </w:rPr>
        <w:t>en e</w:t>
      </w:r>
      <w:r w:rsidR="00C354CE" w:rsidRPr="6D4EC1AC">
        <w:rPr>
          <w:rFonts w:cs="Arial"/>
        </w:rPr>
        <w:t>l sector financiero</w:t>
      </w:r>
      <w:r w:rsidR="00F77D03" w:rsidRPr="6D4EC1AC">
        <w:rPr>
          <w:rFonts w:cs="Arial"/>
        </w:rPr>
        <w:t>,</w:t>
      </w:r>
      <w:r w:rsidR="0A919762" w:rsidRPr="6D4EC1AC">
        <w:rPr>
          <w:rFonts w:cs="Arial"/>
        </w:rPr>
        <w:t xml:space="preserve"> necesarios</w:t>
      </w:r>
      <w:r w:rsidR="00C354CE" w:rsidRPr="6D4EC1AC">
        <w:rPr>
          <w:rFonts w:cs="Arial"/>
        </w:rPr>
        <w:t xml:space="preserve"> para cumplir con la</w:t>
      </w:r>
      <w:r w:rsidR="002C3CB2" w:rsidRPr="6D4EC1AC">
        <w:rPr>
          <w:rFonts w:cs="Arial"/>
        </w:rPr>
        <w:t xml:space="preserve"> entrega y aprobación de los </w:t>
      </w:r>
      <w:r w:rsidR="5F142BC3" w:rsidRPr="6D4EC1AC">
        <w:rPr>
          <w:rFonts w:cs="Arial"/>
        </w:rPr>
        <w:t>mecanismos</w:t>
      </w:r>
      <w:r w:rsidR="002C3CB2" w:rsidRPr="6D4EC1AC">
        <w:rPr>
          <w:rFonts w:cs="Arial"/>
        </w:rPr>
        <w:t xml:space="preserve"> de cobertura definidos en la regulación.</w:t>
      </w:r>
    </w:p>
    <w:p w14:paraId="4D155D65" w14:textId="5B0D2C3D" w:rsidR="00CC4619" w:rsidRPr="00E86175" w:rsidRDefault="729EA54A" w:rsidP="006D7B76">
      <w:pPr>
        <w:spacing w:before="240" w:after="0"/>
        <w:rPr>
          <w:rFonts w:cs="Arial"/>
        </w:rPr>
      </w:pPr>
      <w:r w:rsidRPr="00C544E6">
        <w:rPr>
          <w:rFonts w:cs="Arial"/>
        </w:rPr>
        <w:t>Es decir</w:t>
      </w:r>
      <w:r w:rsidR="00547D1E" w:rsidRPr="00C544E6">
        <w:rPr>
          <w:rFonts w:cs="Arial"/>
        </w:rPr>
        <w:t xml:space="preserve">, los comercializadores </w:t>
      </w:r>
      <w:r w:rsidR="483FFD69" w:rsidRPr="00C544E6">
        <w:rPr>
          <w:rFonts w:cs="Arial"/>
        </w:rPr>
        <w:t>con</w:t>
      </w:r>
      <w:r w:rsidR="00547D1E" w:rsidRPr="00C544E6">
        <w:rPr>
          <w:rFonts w:cs="Arial"/>
        </w:rPr>
        <w:t xml:space="preserve"> saldos acumulados por cobrar a los usuarios </w:t>
      </w:r>
      <w:r w:rsidR="00BE5C39" w:rsidRPr="00C544E6">
        <w:rPr>
          <w:rFonts w:cs="Arial"/>
        </w:rPr>
        <w:t>finales</w:t>
      </w:r>
      <w:r w:rsidR="00766287" w:rsidRPr="00C544E6">
        <w:rPr>
          <w:rFonts w:cs="Arial"/>
        </w:rPr>
        <w:t>, por aplicación de la opción tarifaria</w:t>
      </w:r>
      <w:r w:rsidR="00BE5C39" w:rsidRPr="00C544E6">
        <w:rPr>
          <w:rFonts w:cs="Arial"/>
        </w:rPr>
        <w:t xml:space="preserve">, tendrán una situación </w:t>
      </w:r>
      <w:r w:rsidR="00053DCC" w:rsidRPr="00C544E6">
        <w:rPr>
          <w:rFonts w:cs="Arial"/>
        </w:rPr>
        <w:t>más ajustada en términos de</w:t>
      </w:r>
      <w:r w:rsidR="0032047C" w:rsidRPr="00C544E6">
        <w:rPr>
          <w:rFonts w:cs="Arial"/>
        </w:rPr>
        <w:t xml:space="preserve"> </w:t>
      </w:r>
      <w:r w:rsidR="00053DCC" w:rsidRPr="00C544E6">
        <w:rPr>
          <w:rFonts w:cs="Arial"/>
        </w:rPr>
        <w:t>liquidez</w:t>
      </w:r>
      <w:r w:rsidR="00F1361A" w:rsidRPr="00C544E6">
        <w:rPr>
          <w:rFonts w:cs="Arial"/>
        </w:rPr>
        <w:t xml:space="preserve">, situación que se </w:t>
      </w:r>
      <w:r w:rsidR="006D7905" w:rsidRPr="00C544E6">
        <w:rPr>
          <w:rFonts w:cs="Arial"/>
        </w:rPr>
        <w:t>incrementa</w:t>
      </w:r>
      <w:r w:rsidR="00F1361A" w:rsidRPr="00C544E6">
        <w:rPr>
          <w:rFonts w:cs="Arial"/>
        </w:rPr>
        <w:t xml:space="preserve">rá </w:t>
      </w:r>
      <w:r w:rsidR="0052335A" w:rsidRPr="00C544E6">
        <w:rPr>
          <w:rFonts w:cs="Arial"/>
        </w:rPr>
        <w:t xml:space="preserve">si se presenta de manera simultánea una situación de </w:t>
      </w:r>
      <w:r w:rsidR="004C5480">
        <w:rPr>
          <w:rFonts w:cs="Arial"/>
        </w:rPr>
        <w:t xml:space="preserve">(i) </w:t>
      </w:r>
      <w:r w:rsidR="00137F51">
        <w:rPr>
          <w:rFonts w:cs="Arial"/>
        </w:rPr>
        <w:t>incremento de la demanda de energía</w:t>
      </w:r>
      <w:r w:rsidR="004C5480">
        <w:rPr>
          <w:rFonts w:cs="Arial"/>
        </w:rPr>
        <w:t>;</w:t>
      </w:r>
      <w:r w:rsidR="00137F51">
        <w:rPr>
          <w:rFonts w:cs="Arial"/>
        </w:rPr>
        <w:t xml:space="preserve"> </w:t>
      </w:r>
      <w:r w:rsidR="004C5480">
        <w:rPr>
          <w:rFonts w:cs="Arial"/>
        </w:rPr>
        <w:t xml:space="preserve">(ii) </w:t>
      </w:r>
      <w:r w:rsidR="00137F51">
        <w:rPr>
          <w:rFonts w:cs="Arial"/>
        </w:rPr>
        <w:t xml:space="preserve">un </w:t>
      </w:r>
      <w:r w:rsidR="0B07268F" w:rsidRPr="00C544E6">
        <w:rPr>
          <w:rFonts w:cs="Arial"/>
        </w:rPr>
        <w:t>aumento</w:t>
      </w:r>
      <w:r w:rsidR="00766287" w:rsidRPr="00C544E6">
        <w:rPr>
          <w:rFonts w:cs="Arial"/>
        </w:rPr>
        <w:t xml:space="preserve"> </w:t>
      </w:r>
      <w:r w:rsidR="0052335A" w:rsidRPr="00C544E6">
        <w:rPr>
          <w:rFonts w:cs="Arial"/>
        </w:rPr>
        <w:t>significativ</w:t>
      </w:r>
      <w:r w:rsidR="00766287" w:rsidRPr="00C544E6">
        <w:rPr>
          <w:rFonts w:cs="Arial"/>
        </w:rPr>
        <w:t>o</w:t>
      </w:r>
      <w:r w:rsidR="00BA7903" w:rsidRPr="00C544E6">
        <w:rPr>
          <w:rFonts w:cs="Arial"/>
        </w:rPr>
        <w:t xml:space="preserve"> </w:t>
      </w:r>
      <w:r w:rsidR="0052335A" w:rsidRPr="00C544E6">
        <w:rPr>
          <w:rFonts w:cs="Arial"/>
        </w:rPr>
        <w:t>en los precios de bolsa</w:t>
      </w:r>
      <w:r w:rsidR="00F75510" w:rsidRPr="00022B06">
        <w:rPr>
          <w:rFonts w:cs="Arial"/>
        </w:rPr>
        <w:t xml:space="preserve"> y de manera sostenida</w:t>
      </w:r>
      <w:r w:rsidR="004C5480">
        <w:rPr>
          <w:rFonts w:cs="Arial"/>
        </w:rPr>
        <w:t>;</w:t>
      </w:r>
      <w:r w:rsidR="00F75510" w:rsidRPr="00022B06">
        <w:rPr>
          <w:rFonts w:cs="Arial"/>
        </w:rPr>
        <w:t xml:space="preserve"> </w:t>
      </w:r>
      <w:r w:rsidR="003232C5">
        <w:rPr>
          <w:rFonts w:cs="Arial"/>
        </w:rPr>
        <w:t>y (iii) niveles reducidos de las reservas hídricas disponibles;</w:t>
      </w:r>
      <w:r w:rsidR="003232C5" w:rsidRPr="00022B06">
        <w:rPr>
          <w:rFonts w:cs="Arial"/>
        </w:rPr>
        <w:t xml:space="preserve"> </w:t>
      </w:r>
      <w:r w:rsidR="003232C5">
        <w:rPr>
          <w:rFonts w:cs="Arial"/>
        </w:rPr>
        <w:t>todo lo anterior como</w:t>
      </w:r>
      <w:r w:rsidR="00F75510" w:rsidRPr="00022B06">
        <w:rPr>
          <w:rFonts w:cs="Arial"/>
        </w:rPr>
        <w:t xml:space="preserve"> producto del </w:t>
      </w:r>
      <w:r w:rsidR="00C544E6" w:rsidRPr="00022B06">
        <w:rPr>
          <w:rFonts w:cs="Arial"/>
        </w:rPr>
        <w:t>fenómeno de El Niño</w:t>
      </w:r>
      <w:r w:rsidR="0052335A" w:rsidRPr="00C544E6">
        <w:rPr>
          <w:rFonts w:cs="Arial"/>
        </w:rPr>
        <w:t>.</w:t>
      </w:r>
      <w:r w:rsidR="00BB3A0F" w:rsidRPr="00C544E6">
        <w:rPr>
          <w:rFonts w:cs="Arial"/>
        </w:rPr>
        <w:t xml:space="preserve"> En esta medida, </w:t>
      </w:r>
      <w:r w:rsidR="00784AAB" w:rsidRPr="00C544E6">
        <w:rPr>
          <w:rFonts w:cs="Arial"/>
        </w:rPr>
        <w:t xml:space="preserve">hasta el momento </w:t>
      </w:r>
      <w:r w:rsidR="1FE78681" w:rsidRPr="00C544E6">
        <w:rPr>
          <w:rFonts w:cs="Arial"/>
        </w:rPr>
        <w:t>en el que</w:t>
      </w:r>
      <w:r w:rsidR="00784AAB" w:rsidRPr="00C544E6">
        <w:rPr>
          <w:rFonts w:cs="Arial"/>
        </w:rPr>
        <w:t xml:space="preserve"> los comercializadores </w:t>
      </w:r>
      <w:r w:rsidR="0050172C" w:rsidRPr="00C544E6">
        <w:rPr>
          <w:rFonts w:cs="Arial"/>
        </w:rPr>
        <w:t xml:space="preserve">normalicen sus flujos </w:t>
      </w:r>
      <w:r w:rsidR="00543922" w:rsidRPr="00C544E6">
        <w:rPr>
          <w:rFonts w:cs="Arial"/>
        </w:rPr>
        <w:t xml:space="preserve">en el corto plazo </w:t>
      </w:r>
      <w:r w:rsidR="00397488">
        <w:rPr>
          <w:rFonts w:cs="Arial"/>
        </w:rPr>
        <w:t xml:space="preserve">y </w:t>
      </w:r>
      <w:r w:rsidR="00C502CD">
        <w:rPr>
          <w:rFonts w:cs="Arial"/>
        </w:rPr>
        <w:t>comience a consolidarse la</w:t>
      </w:r>
      <w:r w:rsidR="00784AAB" w:rsidRPr="00C544E6">
        <w:rPr>
          <w:rFonts w:cs="Arial"/>
        </w:rPr>
        <w:t xml:space="preserve"> recuperación de los saldos pendientes</w:t>
      </w:r>
      <w:r w:rsidR="00543922" w:rsidRPr="00C544E6">
        <w:rPr>
          <w:rFonts w:cs="Arial"/>
        </w:rPr>
        <w:t xml:space="preserve">, </w:t>
      </w:r>
      <w:r w:rsidR="00543922" w:rsidRPr="00022B06">
        <w:rPr>
          <w:rFonts w:cs="Arial"/>
        </w:rPr>
        <w:t>es necesario ajustar de manera transitoria las medidas</w:t>
      </w:r>
      <w:r w:rsidR="000D48CE" w:rsidRPr="00022B06">
        <w:rPr>
          <w:rFonts w:cs="Arial"/>
        </w:rPr>
        <w:t xml:space="preserve"> de cobertura establecidas en la regulación</w:t>
      </w:r>
      <w:r w:rsidR="000D48CE" w:rsidRPr="00C544E6">
        <w:rPr>
          <w:rFonts w:cs="Arial"/>
        </w:rPr>
        <w:t>.</w:t>
      </w:r>
      <w:r w:rsidR="00784AAB">
        <w:rPr>
          <w:rFonts w:cs="Arial"/>
        </w:rPr>
        <w:t xml:space="preserve"> </w:t>
      </w:r>
    </w:p>
    <w:p w14:paraId="2F42908F" w14:textId="410A727C" w:rsidR="001C0AC7" w:rsidRDefault="00C13DAE" w:rsidP="006D7B76">
      <w:pPr>
        <w:pStyle w:val="Ttulo1"/>
        <w:spacing w:after="0"/>
        <w:ind w:left="431" w:hanging="431"/>
        <w:rPr>
          <w:rFonts w:cs="Arial"/>
        </w:rPr>
      </w:pPr>
      <w:bookmarkStart w:id="8" w:name="_Toc150524982"/>
      <w:r>
        <w:rPr>
          <w:rFonts w:cs="Arial"/>
        </w:rPr>
        <w:lastRenderedPageBreak/>
        <w:t>PROBLEMA</w:t>
      </w:r>
      <w:bookmarkEnd w:id="8"/>
      <w:r>
        <w:rPr>
          <w:rFonts w:cs="Arial"/>
        </w:rPr>
        <w:t xml:space="preserve"> </w:t>
      </w:r>
    </w:p>
    <w:p w14:paraId="1DCEFE06" w14:textId="71B39949" w:rsidR="004A6825" w:rsidRDefault="00F66E4D" w:rsidP="006D7B76">
      <w:pPr>
        <w:spacing w:before="240" w:after="0"/>
        <w:jc w:val="both"/>
        <w:rPr>
          <w:rFonts w:cs="Arial"/>
        </w:rPr>
      </w:pPr>
      <w:r w:rsidRPr="0E237B42">
        <w:rPr>
          <w:rFonts w:cs="Arial"/>
        </w:rPr>
        <w:t>La aplicación de a</w:t>
      </w:r>
      <w:r w:rsidR="004F29DE" w:rsidRPr="0E237B42">
        <w:rPr>
          <w:rFonts w:cs="Arial"/>
        </w:rPr>
        <w:t xml:space="preserve">lgunas medidas regulatorias </w:t>
      </w:r>
      <w:r w:rsidR="47F78130" w:rsidRPr="0E237B42">
        <w:rPr>
          <w:rFonts w:cs="Arial"/>
        </w:rPr>
        <w:t>temporales</w:t>
      </w:r>
      <w:r w:rsidR="00B77914">
        <w:rPr>
          <w:rFonts w:cs="Arial"/>
        </w:rPr>
        <w:t>,</w:t>
      </w:r>
      <w:r w:rsidR="000A388F">
        <w:rPr>
          <w:rFonts w:cs="Arial"/>
        </w:rPr>
        <w:t xml:space="preserve"> como respuesta a la pandemia y al </w:t>
      </w:r>
      <w:r w:rsidR="00C26589">
        <w:rPr>
          <w:rFonts w:cs="Arial"/>
        </w:rPr>
        <w:t>efecto imprevisible del aumento del IPP</w:t>
      </w:r>
      <w:r w:rsidR="00B77914">
        <w:rPr>
          <w:rFonts w:cs="Arial"/>
        </w:rPr>
        <w:t>,</w:t>
      </w:r>
      <w:r w:rsidR="47F78130" w:rsidRPr="0E237B42">
        <w:rPr>
          <w:rFonts w:cs="Arial"/>
        </w:rPr>
        <w:t xml:space="preserve"> </w:t>
      </w:r>
      <w:r w:rsidR="001235A7" w:rsidRPr="0E237B42">
        <w:rPr>
          <w:rFonts w:cs="Arial"/>
        </w:rPr>
        <w:t xml:space="preserve">ha ocasionado una disminución en los </w:t>
      </w:r>
      <w:r w:rsidR="00D436F2" w:rsidRPr="0E237B42">
        <w:rPr>
          <w:rFonts w:cs="Arial"/>
        </w:rPr>
        <w:t xml:space="preserve">recursos </w:t>
      </w:r>
      <w:r w:rsidR="00DE61A5" w:rsidRPr="0E237B42">
        <w:rPr>
          <w:rFonts w:cs="Arial"/>
        </w:rPr>
        <w:t>disponibles en</w:t>
      </w:r>
      <w:r w:rsidR="003208BA" w:rsidRPr="0E237B42">
        <w:rPr>
          <w:rFonts w:cs="Arial"/>
        </w:rPr>
        <w:t xml:space="preserve"> </w:t>
      </w:r>
      <w:r w:rsidR="00DE61A5" w:rsidRPr="0E237B42">
        <w:rPr>
          <w:rFonts w:cs="Arial"/>
        </w:rPr>
        <w:t>el corto plazo</w:t>
      </w:r>
      <w:r w:rsidR="001235A7" w:rsidRPr="0E237B42">
        <w:rPr>
          <w:rFonts w:cs="Arial"/>
        </w:rPr>
        <w:t xml:space="preserve"> </w:t>
      </w:r>
      <w:r w:rsidR="00CD79BF" w:rsidRPr="0E237B42">
        <w:rPr>
          <w:rFonts w:cs="Arial"/>
        </w:rPr>
        <w:t>para</w:t>
      </w:r>
      <w:r w:rsidR="00DE61A5" w:rsidRPr="0E237B42">
        <w:rPr>
          <w:rFonts w:cs="Arial"/>
        </w:rPr>
        <w:t xml:space="preserve"> algunos agentes </w:t>
      </w:r>
      <w:r w:rsidR="00CD79BF" w:rsidRPr="0E237B42">
        <w:rPr>
          <w:rFonts w:cs="Arial"/>
        </w:rPr>
        <w:t>qu</w:t>
      </w:r>
      <w:r w:rsidR="009B0A6C" w:rsidRPr="0E237B42">
        <w:rPr>
          <w:rFonts w:cs="Arial"/>
        </w:rPr>
        <w:t>e</w:t>
      </w:r>
      <w:r w:rsidR="28B5FB70" w:rsidRPr="0E237B42">
        <w:rPr>
          <w:rFonts w:cs="Arial"/>
        </w:rPr>
        <w:t>,</w:t>
      </w:r>
      <w:r w:rsidR="00CD79BF" w:rsidRPr="0E237B42">
        <w:rPr>
          <w:rFonts w:cs="Arial"/>
        </w:rPr>
        <w:t xml:space="preserve"> a su vez</w:t>
      </w:r>
      <w:r w:rsidR="3B3F220B" w:rsidRPr="0E237B42">
        <w:rPr>
          <w:rFonts w:cs="Arial"/>
        </w:rPr>
        <w:t>,</w:t>
      </w:r>
      <w:r w:rsidR="00CD79BF" w:rsidRPr="0E237B42">
        <w:rPr>
          <w:rFonts w:cs="Arial"/>
        </w:rPr>
        <w:t xml:space="preserve"> se ve</w:t>
      </w:r>
      <w:r w:rsidR="002C4D62" w:rsidRPr="0E237B42">
        <w:rPr>
          <w:rFonts w:cs="Arial"/>
        </w:rPr>
        <w:t>n afectados</w:t>
      </w:r>
      <w:r w:rsidR="00DE61A5" w:rsidRPr="0E237B42">
        <w:rPr>
          <w:rFonts w:cs="Arial"/>
        </w:rPr>
        <w:t xml:space="preserve"> </w:t>
      </w:r>
      <w:r w:rsidR="008A7C78" w:rsidRPr="0E237B42">
        <w:rPr>
          <w:rFonts w:cs="Arial"/>
        </w:rPr>
        <w:t>por la variación del precio de bolsa</w:t>
      </w:r>
      <w:r w:rsidR="00B77914">
        <w:rPr>
          <w:rFonts w:cs="Arial"/>
        </w:rPr>
        <w:t>,</w:t>
      </w:r>
      <w:r w:rsidR="00031135">
        <w:rPr>
          <w:rFonts w:cs="Arial"/>
        </w:rPr>
        <w:t xml:space="preserve"> ante la materialización del fenómeno de “El Niño”</w:t>
      </w:r>
      <w:r w:rsidR="00211968">
        <w:rPr>
          <w:rFonts w:cs="Arial"/>
        </w:rPr>
        <w:t>,</w:t>
      </w:r>
      <w:r w:rsidR="008A7C78" w:rsidRPr="0E237B42">
        <w:rPr>
          <w:rFonts w:cs="Arial"/>
        </w:rPr>
        <w:t xml:space="preserve"> y los efectos que </w:t>
      </w:r>
      <w:r w:rsidR="58AF923E" w:rsidRPr="0E237B42">
        <w:rPr>
          <w:rFonts w:cs="Arial"/>
        </w:rPr>
        <w:t>ésta</w:t>
      </w:r>
      <w:r w:rsidR="008A7C78" w:rsidRPr="0E237B42">
        <w:rPr>
          <w:rFonts w:cs="Arial"/>
        </w:rPr>
        <w:t xml:space="preserve"> tiene en l</w:t>
      </w:r>
      <w:r w:rsidR="002E584F" w:rsidRPr="0E237B42">
        <w:rPr>
          <w:rFonts w:cs="Arial"/>
        </w:rPr>
        <w:t xml:space="preserve">os valores de las garantías </w:t>
      </w:r>
      <w:r w:rsidR="00343594" w:rsidRPr="0E237B42">
        <w:rPr>
          <w:rFonts w:cs="Arial"/>
        </w:rPr>
        <w:t xml:space="preserve">exigidas en el MEM y en los </w:t>
      </w:r>
      <w:r w:rsidR="002367A0" w:rsidRPr="0E237B42">
        <w:rPr>
          <w:rFonts w:cs="Arial"/>
        </w:rPr>
        <w:t>ajustes</w:t>
      </w:r>
      <w:r w:rsidR="00343594" w:rsidRPr="0E237B42">
        <w:rPr>
          <w:rFonts w:cs="Arial"/>
        </w:rPr>
        <w:t xml:space="preserve"> semanales</w:t>
      </w:r>
      <w:r w:rsidR="004A6825" w:rsidRPr="0E237B42">
        <w:rPr>
          <w:rFonts w:cs="Arial"/>
        </w:rPr>
        <w:t>.</w:t>
      </w:r>
    </w:p>
    <w:p w14:paraId="6AEAEAC7" w14:textId="77777777" w:rsidR="00E757BB" w:rsidRPr="00766287" w:rsidRDefault="00E757BB" w:rsidP="006D7B76">
      <w:pPr>
        <w:pStyle w:val="Ttulo1"/>
        <w:spacing w:after="0"/>
        <w:ind w:left="431" w:hanging="431"/>
        <w:rPr>
          <w:rFonts w:cs="Arial"/>
        </w:rPr>
      </w:pPr>
      <w:bookmarkStart w:id="9" w:name="_Toc150524983"/>
      <w:r w:rsidRPr="00766287">
        <w:rPr>
          <w:rFonts w:cs="Arial"/>
        </w:rPr>
        <w:t>OBJETIVOS</w:t>
      </w:r>
      <w:bookmarkEnd w:id="7"/>
      <w:bookmarkEnd w:id="9"/>
    </w:p>
    <w:p w14:paraId="3E98F373" w14:textId="61DF6AF7" w:rsidR="00C11E11" w:rsidRPr="00377A6C" w:rsidRDefault="00C11E11" w:rsidP="006D7B76">
      <w:pPr>
        <w:spacing w:before="240" w:after="0"/>
        <w:rPr>
          <w:rFonts w:cs="Arial"/>
        </w:rPr>
      </w:pPr>
      <w:bookmarkStart w:id="10" w:name="_Toc86260312"/>
      <w:r w:rsidRPr="6D4EC1AC">
        <w:rPr>
          <w:rFonts w:cs="Arial"/>
        </w:rPr>
        <w:t xml:space="preserve">El objetivo general de esta propuesta es, </w:t>
      </w:r>
      <w:r w:rsidR="00766287" w:rsidRPr="6D4EC1AC">
        <w:rPr>
          <w:rFonts w:cs="Arial"/>
        </w:rPr>
        <w:t>de manera transitoria</w:t>
      </w:r>
      <w:r w:rsidRPr="6D4EC1AC">
        <w:rPr>
          <w:rFonts w:cs="Arial"/>
        </w:rPr>
        <w:t xml:space="preserve">, </w:t>
      </w:r>
      <w:r w:rsidR="00766287" w:rsidRPr="6D4EC1AC">
        <w:rPr>
          <w:rFonts w:cs="Arial"/>
        </w:rPr>
        <w:t>mitigar la presión sobre</w:t>
      </w:r>
      <w:r w:rsidRPr="6D4EC1AC">
        <w:rPr>
          <w:rFonts w:cs="Arial"/>
        </w:rPr>
        <w:t xml:space="preserve"> </w:t>
      </w:r>
      <w:r w:rsidR="00766287" w:rsidRPr="6D4EC1AC">
        <w:rPr>
          <w:rFonts w:cs="Arial"/>
        </w:rPr>
        <w:t xml:space="preserve">el </w:t>
      </w:r>
      <w:r w:rsidRPr="6D4EC1AC">
        <w:rPr>
          <w:rFonts w:cs="Arial"/>
        </w:rPr>
        <w:t xml:space="preserve">flujo de caja </w:t>
      </w:r>
      <w:r w:rsidR="00766287" w:rsidRPr="6D4EC1AC">
        <w:rPr>
          <w:rFonts w:cs="Arial"/>
        </w:rPr>
        <w:t>de</w:t>
      </w:r>
      <w:r w:rsidRPr="6D4EC1AC">
        <w:rPr>
          <w:rFonts w:cs="Arial"/>
        </w:rPr>
        <w:t xml:space="preserve"> </w:t>
      </w:r>
      <w:r w:rsidR="00D70C39">
        <w:rPr>
          <w:rFonts w:cs="Arial"/>
        </w:rPr>
        <w:t>los</w:t>
      </w:r>
      <w:r w:rsidRPr="6D4EC1AC">
        <w:rPr>
          <w:rFonts w:cs="Arial"/>
        </w:rPr>
        <w:t xml:space="preserve"> prestadores del servicio de energía eléctrica</w:t>
      </w:r>
      <w:r w:rsidR="00D70C39">
        <w:rPr>
          <w:rFonts w:cs="Arial"/>
        </w:rPr>
        <w:t xml:space="preserve"> </w:t>
      </w:r>
      <w:r w:rsidR="00211968">
        <w:rPr>
          <w:rFonts w:cs="Arial"/>
        </w:rPr>
        <w:t xml:space="preserve">que atienden </w:t>
      </w:r>
      <w:r w:rsidR="00D70C39">
        <w:rPr>
          <w:rFonts w:cs="Arial"/>
        </w:rPr>
        <w:t>a usuarios finales regulados</w:t>
      </w:r>
      <w:r w:rsidRPr="6D4EC1AC">
        <w:rPr>
          <w:rFonts w:cs="Arial"/>
        </w:rPr>
        <w:t>.</w:t>
      </w:r>
    </w:p>
    <w:p w14:paraId="0CC05128" w14:textId="77777777" w:rsidR="00C11E11" w:rsidRPr="00377A6C" w:rsidRDefault="00C11E11" w:rsidP="006D7B76">
      <w:pPr>
        <w:spacing w:before="240" w:after="0"/>
        <w:rPr>
          <w:rFonts w:cs="Arial"/>
        </w:rPr>
      </w:pPr>
      <w:r w:rsidRPr="00377A6C">
        <w:rPr>
          <w:rFonts w:cs="Arial"/>
        </w:rPr>
        <w:t>Con este propósito se plantean los siguientes objetivos particulares:</w:t>
      </w:r>
    </w:p>
    <w:p w14:paraId="48F635DC" w14:textId="179610FE" w:rsidR="00C11E11" w:rsidRPr="00F50FB7" w:rsidRDefault="00766287" w:rsidP="004C7DEE">
      <w:pPr>
        <w:pStyle w:val="Texto"/>
        <w:numPr>
          <w:ilvl w:val="0"/>
          <w:numId w:val="9"/>
        </w:numPr>
        <w:spacing w:before="120" w:after="0"/>
        <w:ind w:left="714" w:hanging="357"/>
        <w:jc w:val="both"/>
        <w:rPr>
          <w:sz w:val="24"/>
        </w:rPr>
      </w:pPr>
      <w:r w:rsidRPr="00F50FB7">
        <w:rPr>
          <w:sz w:val="24"/>
        </w:rPr>
        <w:t>Acot</w:t>
      </w:r>
      <w:r w:rsidR="00C11E11" w:rsidRPr="00F50FB7">
        <w:rPr>
          <w:sz w:val="24"/>
        </w:rPr>
        <w:t xml:space="preserve">ar </w:t>
      </w:r>
      <w:r w:rsidRPr="00F50FB7">
        <w:rPr>
          <w:sz w:val="24"/>
        </w:rPr>
        <w:t xml:space="preserve">la aplicación de </w:t>
      </w:r>
      <w:r w:rsidR="00C11E11" w:rsidRPr="00F50FB7">
        <w:rPr>
          <w:sz w:val="24"/>
        </w:rPr>
        <w:t xml:space="preserve">la propuesta a los </w:t>
      </w:r>
      <w:r w:rsidR="008541B0" w:rsidRPr="00F50FB7">
        <w:rPr>
          <w:sz w:val="24"/>
        </w:rPr>
        <w:t xml:space="preserve">comercializadores que atienden usuarios finales regulados.  </w:t>
      </w:r>
    </w:p>
    <w:p w14:paraId="287D19F5" w14:textId="39CCAED4" w:rsidR="00C11E11" w:rsidRPr="00377A6C" w:rsidRDefault="00C11E11" w:rsidP="004C7DEE">
      <w:pPr>
        <w:pStyle w:val="Texto"/>
        <w:numPr>
          <w:ilvl w:val="0"/>
          <w:numId w:val="9"/>
        </w:numPr>
        <w:spacing w:before="120" w:after="0"/>
        <w:ind w:left="714" w:hanging="357"/>
        <w:jc w:val="both"/>
        <w:rPr>
          <w:sz w:val="24"/>
        </w:rPr>
      </w:pPr>
      <w:r w:rsidRPr="00377A6C">
        <w:rPr>
          <w:sz w:val="24"/>
        </w:rPr>
        <w:t>Permitir que las garantías para las transacciones del MEM y sus ajustes no se tengan que modificar cada vez que cambie el precio de bolsa.</w:t>
      </w:r>
    </w:p>
    <w:p w14:paraId="1FC6F47C" w14:textId="4E200971" w:rsidR="00C11E11" w:rsidRPr="00377A6C" w:rsidRDefault="00C11E11" w:rsidP="004C7DEE">
      <w:pPr>
        <w:pStyle w:val="Texto"/>
        <w:numPr>
          <w:ilvl w:val="0"/>
          <w:numId w:val="9"/>
        </w:numPr>
        <w:spacing w:before="120" w:after="0"/>
        <w:ind w:left="714" w:hanging="357"/>
        <w:jc w:val="both"/>
        <w:rPr>
          <w:sz w:val="24"/>
        </w:rPr>
      </w:pPr>
      <w:r w:rsidRPr="00377A6C">
        <w:rPr>
          <w:sz w:val="24"/>
        </w:rPr>
        <w:t>Definir la temporalidad para la aplicación de esta medid</w:t>
      </w:r>
      <w:r w:rsidR="00C166B6">
        <w:rPr>
          <w:sz w:val="24"/>
        </w:rPr>
        <w:t>a</w:t>
      </w:r>
      <w:r w:rsidRPr="00377A6C">
        <w:rPr>
          <w:sz w:val="24"/>
        </w:rPr>
        <w:t>.</w:t>
      </w:r>
    </w:p>
    <w:p w14:paraId="3BF72A7B" w14:textId="77777777" w:rsidR="006570D7" w:rsidRPr="006570D7" w:rsidRDefault="006570D7" w:rsidP="006D7B76">
      <w:pPr>
        <w:pStyle w:val="Ttulo1"/>
        <w:spacing w:after="0"/>
        <w:ind w:left="431" w:hanging="431"/>
        <w:rPr>
          <w:rFonts w:cs="Arial"/>
        </w:rPr>
      </w:pPr>
      <w:bookmarkStart w:id="11" w:name="_Toc115802790"/>
      <w:bookmarkStart w:id="12" w:name="_Toc150524984"/>
      <w:bookmarkEnd w:id="10"/>
      <w:r w:rsidRPr="006570D7">
        <w:rPr>
          <w:rFonts w:cs="Arial"/>
        </w:rPr>
        <w:t>ALTERNATIVAS</w:t>
      </w:r>
      <w:bookmarkEnd w:id="11"/>
      <w:bookmarkEnd w:id="12"/>
    </w:p>
    <w:p w14:paraId="56EC30C4" w14:textId="5D330F0F" w:rsidR="00B234B9" w:rsidRPr="00924462" w:rsidRDefault="00C166B6" w:rsidP="006D7B76">
      <w:pPr>
        <w:keepNext/>
        <w:spacing w:before="240" w:after="0"/>
        <w:rPr>
          <w:rFonts w:cs="Arial"/>
        </w:rPr>
      </w:pPr>
      <w:r>
        <w:rPr>
          <w:rFonts w:cs="Arial"/>
        </w:rPr>
        <w:t>De acuerdo con la definición del problema y los objetivos planteados,</w:t>
      </w:r>
      <w:r w:rsidR="00116C09" w:rsidRPr="6D4EC1AC">
        <w:rPr>
          <w:rFonts w:cs="Arial"/>
        </w:rPr>
        <w:t xml:space="preserve"> se identificaron las siguientes alternativas: </w:t>
      </w:r>
    </w:p>
    <w:p w14:paraId="14258DF9" w14:textId="0617B7A0" w:rsidR="006570D7" w:rsidRPr="006570D7" w:rsidRDefault="006570D7" w:rsidP="006D7B76">
      <w:pPr>
        <w:keepNext/>
        <w:spacing w:before="240" w:after="0"/>
        <w:rPr>
          <w:rFonts w:cs="Arial"/>
        </w:rPr>
      </w:pPr>
      <w:r w:rsidRPr="006570D7">
        <w:rPr>
          <w:rFonts w:cs="Arial"/>
          <w:b/>
          <w:bCs/>
        </w:rPr>
        <w:t>Alternativa 1:</w:t>
      </w:r>
      <w:r w:rsidRPr="006570D7">
        <w:rPr>
          <w:rFonts w:cs="Arial"/>
        </w:rPr>
        <w:t xml:space="preserve"> No modificar las disposiciones regulatorias.</w:t>
      </w:r>
    </w:p>
    <w:p w14:paraId="7FC44266" w14:textId="50B0EE51" w:rsidR="006570D7" w:rsidRPr="006570D7" w:rsidRDefault="006570D7" w:rsidP="006D7B76">
      <w:pPr>
        <w:spacing w:before="240" w:after="0"/>
        <w:rPr>
          <w:rFonts w:cs="Arial"/>
        </w:rPr>
      </w:pPr>
      <w:r w:rsidRPr="006570D7">
        <w:rPr>
          <w:rFonts w:cs="Arial"/>
        </w:rPr>
        <w:t>Esta alternativa implica continuar con lo establecido en la Resolución CREG 019 de 2006 y sus modificaciones, en cuanto al cálculo del valor de las garantías y de los ajustes semanales de estas</w:t>
      </w:r>
      <w:r w:rsidR="00860742">
        <w:rPr>
          <w:rFonts w:cs="Arial"/>
        </w:rPr>
        <w:t>, l</w:t>
      </w:r>
      <w:r w:rsidRPr="006570D7">
        <w:rPr>
          <w:rFonts w:cs="Arial"/>
        </w:rPr>
        <w:t xml:space="preserve">o </w:t>
      </w:r>
      <w:r w:rsidR="00860742">
        <w:rPr>
          <w:rFonts w:cs="Arial"/>
        </w:rPr>
        <w:t xml:space="preserve">cual </w:t>
      </w:r>
      <w:r w:rsidRPr="006570D7">
        <w:rPr>
          <w:rFonts w:cs="Arial"/>
        </w:rPr>
        <w:t xml:space="preserve">conllevaría a que en estos ajustes se incluyan las variaciones que se presenten en el precio de bolsa. </w:t>
      </w:r>
    </w:p>
    <w:p w14:paraId="1F868EFD" w14:textId="19F4DE3D" w:rsidR="006570D7" w:rsidRPr="006570D7" w:rsidRDefault="006570D7" w:rsidP="006D7B76">
      <w:pPr>
        <w:spacing w:before="240" w:after="0"/>
        <w:rPr>
          <w:rFonts w:cs="Arial"/>
        </w:rPr>
      </w:pPr>
      <w:r w:rsidRPr="006570D7">
        <w:rPr>
          <w:rFonts w:cs="Arial"/>
          <w:b/>
          <w:bCs/>
        </w:rPr>
        <w:t>Alternativa 2:</w:t>
      </w:r>
      <w:r w:rsidRPr="006570D7">
        <w:rPr>
          <w:rFonts w:cs="Arial"/>
        </w:rPr>
        <w:t xml:space="preserve"> </w:t>
      </w:r>
      <w:r w:rsidR="00FC2253">
        <w:rPr>
          <w:rFonts w:cs="Arial"/>
        </w:rPr>
        <w:t xml:space="preserve">Ampliar </w:t>
      </w:r>
      <w:r w:rsidR="00857135">
        <w:rPr>
          <w:rFonts w:cs="Arial"/>
        </w:rPr>
        <w:t>el</w:t>
      </w:r>
      <w:r w:rsidR="00FC2253">
        <w:rPr>
          <w:rFonts w:cs="Arial"/>
        </w:rPr>
        <w:t xml:space="preserve"> ámbito de aplicación y </w:t>
      </w:r>
      <w:r w:rsidR="00857135">
        <w:rPr>
          <w:rFonts w:cs="Arial"/>
        </w:rPr>
        <w:t xml:space="preserve">la </w:t>
      </w:r>
      <w:r w:rsidR="00FC2253">
        <w:rPr>
          <w:rFonts w:cs="Arial"/>
        </w:rPr>
        <w:t xml:space="preserve">vigencia de la disposición contenida en la Resolución CREG 101 016 de 2023- </w:t>
      </w:r>
      <w:r w:rsidRPr="006570D7">
        <w:rPr>
          <w:rFonts w:cs="Arial"/>
        </w:rPr>
        <w:t>Modificar temporalmente algunas disposiciones relacionadas con las garantías</w:t>
      </w:r>
      <w:r w:rsidR="00F96965">
        <w:rPr>
          <w:rFonts w:cs="Arial"/>
        </w:rPr>
        <w:t>.</w:t>
      </w:r>
    </w:p>
    <w:p w14:paraId="2CB379A3" w14:textId="2F8B1D59" w:rsidR="00073D3D" w:rsidRDefault="00977A12" w:rsidP="006D7B76">
      <w:pPr>
        <w:spacing w:before="240" w:after="0"/>
        <w:rPr>
          <w:rFonts w:cs="Arial"/>
        </w:rPr>
      </w:pPr>
      <w:r>
        <w:rPr>
          <w:rFonts w:cs="Arial"/>
        </w:rPr>
        <w:t xml:space="preserve">De acuerdo </w:t>
      </w:r>
      <w:r w:rsidR="00C90129">
        <w:rPr>
          <w:rFonts w:cs="Arial"/>
        </w:rPr>
        <w:t>con</w:t>
      </w:r>
      <w:r>
        <w:rPr>
          <w:rFonts w:cs="Arial"/>
        </w:rPr>
        <w:t xml:space="preserve"> la situación </w:t>
      </w:r>
      <w:r w:rsidR="00D65749">
        <w:rPr>
          <w:rFonts w:cs="Arial"/>
        </w:rPr>
        <w:t>de estrechez en el flujo de caja de los comercializadores</w:t>
      </w:r>
      <w:r w:rsidR="00C90129">
        <w:rPr>
          <w:rFonts w:cs="Arial"/>
        </w:rPr>
        <w:t>,</w:t>
      </w:r>
      <w:r w:rsidR="00D65749">
        <w:rPr>
          <w:rFonts w:cs="Arial"/>
        </w:rPr>
        <w:t xml:space="preserve"> </w:t>
      </w:r>
      <w:r>
        <w:rPr>
          <w:rFonts w:cs="Arial"/>
        </w:rPr>
        <w:t>descrita en las secciones anteriores de este documento y los impactos que podría tener en la correcta prestación del servicio público domiciliario de energía eléctrica</w:t>
      </w:r>
      <w:r w:rsidR="00D65749">
        <w:rPr>
          <w:rFonts w:cs="Arial"/>
        </w:rPr>
        <w:t xml:space="preserve">, se </w:t>
      </w:r>
      <w:r w:rsidR="00D65749">
        <w:rPr>
          <w:rFonts w:cs="Arial"/>
        </w:rPr>
        <w:lastRenderedPageBreak/>
        <w:t>considera pertinente establecer medidas transitorias con referencia al e</w:t>
      </w:r>
      <w:r w:rsidR="00D40245">
        <w:rPr>
          <w:rFonts w:cs="Arial"/>
        </w:rPr>
        <w:t>squema de cobertura</w:t>
      </w:r>
      <w:r w:rsidR="005553F0">
        <w:rPr>
          <w:rFonts w:cs="Arial"/>
        </w:rPr>
        <w:t xml:space="preserve"> que </w:t>
      </w:r>
      <w:r w:rsidR="00275693">
        <w:rPr>
          <w:rFonts w:cs="Arial"/>
        </w:rPr>
        <w:t>aplique</w:t>
      </w:r>
      <w:r w:rsidR="005553F0">
        <w:rPr>
          <w:rFonts w:cs="Arial"/>
        </w:rPr>
        <w:t>n a todos los comercializadores que atiendan usuarios finales regulados</w:t>
      </w:r>
      <w:r w:rsidR="00EA004C">
        <w:rPr>
          <w:rFonts w:cs="Arial"/>
        </w:rPr>
        <w:t xml:space="preserve">, en la medida de que algunos de estos comercializadores tienen </w:t>
      </w:r>
      <w:r w:rsidR="009870F8">
        <w:rPr>
          <w:rFonts w:cs="Arial"/>
        </w:rPr>
        <w:t>saldos pendientes de recuperación por la aplicación de la opción tarifaria</w:t>
      </w:r>
      <w:r w:rsidR="00275693">
        <w:rPr>
          <w:rFonts w:cs="Arial"/>
        </w:rPr>
        <w:t>.</w:t>
      </w:r>
    </w:p>
    <w:p w14:paraId="025FE2F2" w14:textId="78661C4A" w:rsidR="006570D7" w:rsidRPr="006570D7" w:rsidRDefault="009870F8" w:rsidP="006D7B76">
      <w:pPr>
        <w:spacing w:before="240" w:after="0"/>
        <w:rPr>
          <w:rFonts w:cs="Arial"/>
        </w:rPr>
      </w:pPr>
      <w:r>
        <w:rPr>
          <w:rFonts w:cs="Arial"/>
        </w:rPr>
        <w:t xml:space="preserve">En este sentido, la alternativa </w:t>
      </w:r>
      <w:r w:rsidR="00380877">
        <w:rPr>
          <w:rFonts w:cs="Arial"/>
        </w:rPr>
        <w:t>prop</w:t>
      </w:r>
      <w:r w:rsidR="00632572">
        <w:rPr>
          <w:rFonts w:cs="Arial"/>
        </w:rPr>
        <w:t>one</w:t>
      </w:r>
      <w:r w:rsidR="00380877">
        <w:rPr>
          <w:rFonts w:cs="Arial"/>
        </w:rPr>
        <w:t xml:space="preserve"> </w:t>
      </w:r>
      <w:r w:rsidR="00632572">
        <w:rPr>
          <w:rFonts w:cs="Arial"/>
        </w:rPr>
        <w:t xml:space="preserve">la </w:t>
      </w:r>
      <w:r w:rsidR="00380877">
        <w:rPr>
          <w:rFonts w:cs="Arial"/>
        </w:rPr>
        <w:t>aplica</w:t>
      </w:r>
      <w:r w:rsidR="00632572">
        <w:rPr>
          <w:rFonts w:cs="Arial"/>
        </w:rPr>
        <w:t>ción de las siguientes medidas</w:t>
      </w:r>
      <w:r w:rsidR="00380877">
        <w:rPr>
          <w:rFonts w:cs="Arial"/>
        </w:rPr>
        <w:t xml:space="preserve"> p</w:t>
      </w:r>
      <w:r w:rsidR="3E7365AE" w:rsidRPr="00DB0EB4">
        <w:rPr>
          <w:rFonts w:cs="Arial"/>
        </w:rPr>
        <w:t>ara</w:t>
      </w:r>
      <w:r w:rsidR="3E7365AE" w:rsidRPr="00DB0EB4">
        <w:rPr>
          <w:rFonts w:cs="Arial"/>
          <w:lang w:val="es"/>
        </w:rPr>
        <w:t xml:space="preserve"> aquellos agentes que desarrollan la actividad de comercialización </w:t>
      </w:r>
      <w:r w:rsidR="00531EAF">
        <w:rPr>
          <w:rFonts w:cs="Arial"/>
          <w:lang w:val="es"/>
        </w:rPr>
        <w:t>y atienden usuarios finales regulados</w:t>
      </w:r>
      <w:r w:rsidR="006570D7" w:rsidRPr="00DB0EB4">
        <w:rPr>
          <w:rFonts w:cs="Arial"/>
        </w:rPr>
        <w:t>:</w:t>
      </w:r>
    </w:p>
    <w:p w14:paraId="33920AA6" w14:textId="4FE12688" w:rsidR="006570D7" w:rsidRPr="006570D7" w:rsidRDefault="006570D7" w:rsidP="004C7DEE">
      <w:pPr>
        <w:pStyle w:val="Prrafodelista"/>
        <w:numPr>
          <w:ilvl w:val="0"/>
          <w:numId w:val="7"/>
        </w:numPr>
        <w:spacing w:before="120" w:after="0"/>
        <w:ind w:left="714" w:hanging="357"/>
        <w:rPr>
          <w:rFonts w:cs="Arial"/>
        </w:rPr>
      </w:pPr>
      <w:r w:rsidRPr="6D4EC1AC">
        <w:rPr>
          <w:rFonts w:cs="Arial"/>
        </w:rPr>
        <w:t xml:space="preserve">Cambiar la referencia del precio utilizado para estimar los valores de las garantías y de los ajustes semanales. Hoy se toma el mínimo entre el precio de bolsa ponderado de la última semana y el precio de escasez ponderado. Se propone que para escoger el valor mínimo también se incluya el Costo Promedio ponderado por energía de todos los contratos bilaterales </w:t>
      </w:r>
      <w:r w:rsidR="7BF02059" w:rsidRPr="6D4EC1AC">
        <w:rPr>
          <w:rFonts w:cs="Arial"/>
        </w:rPr>
        <w:t xml:space="preserve">con destino al mercado regulado </w:t>
      </w:r>
      <w:r w:rsidRPr="6D4EC1AC">
        <w:rPr>
          <w:rFonts w:cs="Arial"/>
        </w:rPr>
        <w:t>liquidados en el MEM</w:t>
      </w:r>
      <w:r w:rsidR="18A98B01" w:rsidRPr="6D4EC1AC">
        <w:rPr>
          <w:rFonts w:cs="Arial"/>
        </w:rPr>
        <w:t xml:space="preserve"> (Mc)</w:t>
      </w:r>
      <w:r w:rsidRPr="6D4EC1AC">
        <w:rPr>
          <w:rFonts w:cs="Arial"/>
        </w:rPr>
        <w:t>, tal como se define en la Resolución CREG 119 de 2007 y sus modificaciones.</w:t>
      </w:r>
    </w:p>
    <w:p w14:paraId="3BD564BF" w14:textId="36A810CC" w:rsidR="008A6B16" w:rsidRPr="008A6B16" w:rsidRDefault="008A6B16" w:rsidP="008A6B16">
      <w:pPr>
        <w:pStyle w:val="Prrafodelista"/>
        <w:numPr>
          <w:ilvl w:val="0"/>
          <w:numId w:val="7"/>
        </w:numPr>
        <w:spacing w:before="240" w:after="0"/>
        <w:rPr>
          <w:lang w:val="es-MX"/>
        </w:rPr>
      </w:pPr>
      <w:r>
        <w:rPr>
          <w:lang w:val="es-MX"/>
        </w:rPr>
        <w:t>Se realiza el ajuste de las garantías e</w:t>
      </w:r>
      <w:r w:rsidRPr="008A6B16">
        <w:rPr>
          <w:lang w:val="es-MX"/>
        </w:rPr>
        <w:t>n el momento en el que se tiene información para el cálculo del valor real de la factura, una vez conocidos los consumos y los precios de bolsa que tiene que asumir el comercializador en el pago de sus obligaciones</w:t>
      </w:r>
      <w:r>
        <w:rPr>
          <w:lang w:val="es-MX"/>
        </w:rPr>
        <w:t xml:space="preserve">. </w:t>
      </w:r>
    </w:p>
    <w:p w14:paraId="55A7F89A" w14:textId="5A642FAC" w:rsidR="006570D7" w:rsidRPr="006570D7" w:rsidRDefault="0415CC50" w:rsidP="006D7B76">
      <w:pPr>
        <w:spacing w:before="240" w:after="0"/>
        <w:rPr>
          <w:rFonts w:cs="Arial"/>
        </w:rPr>
      </w:pPr>
      <w:r w:rsidRPr="00DB0EB4">
        <w:rPr>
          <w:rFonts w:cs="Arial"/>
        </w:rPr>
        <w:t xml:space="preserve">Respecto de la temporalidad de estas medidas, </w:t>
      </w:r>
      <w:r w:rsidR="047AEFAB" w:rsidRPr="00DB0EB4">
        <w:rPr>
          <w:rFonts w:cs="Arial"/>
        </w:rPr>
        <w:t>se prop</w:t>
      </w:r>
      <w:r w:rsidR="00301689">
        <w:rPr>
          <w:rFonts w:cs="Arial"/>
        </w:rPr>
        <w:t>one</w:t>
      </w:r>
      <w:r w:rsidR="00697DFD">
        <w:rPr>
          <w:rFonts w:cs="Arial"/>
        </w:rPr>
        <w:t xml:space="preserve"> </w:t>
      </w:r>
      <w:r w:rsidR="00BD2DAE" w:rsidRPr="00DB0EB4">
        <w:rPr>
          <w:rFonts w:cs="Arial"/>
        </w:rPr>
        <w:t xml:space="preserve">que </w:t>
      </w:r>
      <w:r w:rsidR="047AEFAB" w:rsidRPr="00DB0EB4">
        <w:rPr>
          <w:rFonts w:cs="Arial"/>
        </w:rPr>
        <w:t>se extiendan</w:t>
      </w:r>
      <w:r w:rsidR="006570D7" w:rsidRPr="00DB0EB4">
        <w:rPr>
          <w:rFonts w:cs="Arial"/>
        </w:rPr>
        <w:t xml:space="preserve"> </w:t>
      </w:r>
      <w:r w:rsidR="008A6B16">
        <w:rPr>
          <w:rFonts w:cs="Arial"/>
        </w:rPr>
        <w:t xml:space="preserve">a los periodos que cubren hasta </w:t>
      </w:r>
      <w:r w:rsidR="006570D7" w:rsidRPr="00DB0EB4">
        <w:rPr>
          <w:rFonts w:cs="Arial"/>
        </w:rPr>
        <w:t>el 3</w:t>
      </w:r>
      <w:r w:rsidR="00C60878">
        <w:rPr>
          <w:rFonts w:cs="Arial"/>
        </w:rPr>
        <w:t>1</w:t>
      </w:r>
      <w:r w:rsidR="006570D7" w:rsidRPr="00DB0EB4">
        <w:rPr>
          <w:rFonts w:cs="Arial"/>
        </w:rPr>
        <w:t xml:space="preserve"> de </w:t>
      </w:r>
      <w:r w:rsidR="00C60878">
        <w:rPr>
          <w:rFonts w:cs="Arial"/>
        </w:rPr>
        <w:t>julio</w:t>
      </w:r>
      <w:r w:rsidR="008A6B16">
        <w:rPr>
          <w:rFonts w:cs="Arial"/>
        </w:rPr>
        <w:t xml:space="preserve"> </w:t>
      </w:r>
      <w:r w:rsidR="006570D7" w:rsidRPr="00DB0EB4">
        <w:rPr>
          <w:rFonts w:cs="Arial"/>
        </w:rPr>
        <w:t>de 202</w:t>
      </w:r>
      <w:r w:rsidR="008A6B16">
        <w:rPr>
          <w:rFonts w:cs="Arial"/>
        </w:rPr>
        <w:t>4</w:t>
      </w:r>
      <w:r w:rsidR="006570D7" w:rsidRPr="00DB0EB4">
        <w:rPr>
          <w:rFonts w:cs="Arial"/>
        </w:rPr>
        <w:t>.</w:t>
      </w:r>
    </w:p>
    <w:p w14:paraId="16E42741" w14:textId="77777777" w:rsidR="006570D7" w:rsidRPr="006570D7" w:rsidRDefault="006570D7" w:rsidP="006570D7">
      <w:pPr>
        <w:pStyle w:val="Ttulo1"/>
        <w:spacing w:after="0"/>
        <w:ind w:left="431" w:hanging="431"/>
        <w:rPr>
          <w:rFonts w:cs="Arial"/>
        </w:rPr>
      </w:pPr>
      <w:bookmarkStart w:id="13" w:name="_Toc150524985"/>
      <w:r w:rsidRPr="006570D7">
        <w:rPr>
          <w:rFonts w:cs="Arial"/>
        </w:rPr>
        <w:t>ANÁLISIS DE LAS ALTERNATIVAS</w:t>
      </w:r>
      <w:bookmarkEnd w:id="13"/>
    </w:p>
    <w:p w14:paraId="49C2B364" w14:textId="77777777" w:rsidR="006570D7" w:rsidRPr="006570D7" w:rsidRDefault="006570D7" w:rsidP="006D7B76">
      <w:pPr>
        <w:keepNext/>
        <w:spacing w:before="240" w:after="0"/>
        <w:rPr>
          <w:rFonts w:cs="Arial"/>
        </w:rPr>
      </w:pPr>
      <w:r w:rsidRPr="006570D7">
        <w:rPr>
          <w:rFonts w:cs="Arial"/>
          <w:b/>
          <w:bCs/>
        </w:rPr>
        <w:t>Alternativa 1:</w:t>
      </w:r>
      <w:r w:rsidRPr="006570D7">
        <w:rPr>
          <w:rFonts w:cs="Arial"/>
        </w:rPr>
        <w:t xml:space="preserve"> No modificar las disposiciones regulatorias.</w:t>
      </w:r>
    </w:p>
    <w:p w14:paraId="4D68E7CE" w14:textId="0BE004BC" w:rsidR="006570D7" w:rsidRPr="006570D7" w:rsidRDefault="004B56EE" w:rsidP="006D7B76">
      <w:pPr>
        <w:spacing w:before="240" w:after="0"/>
        <w:rPr>
          <w:rFonts w:cs="Arial"/>
        </w:rPr>
      </w:pPr>
      <w:r>
        <w:rPr>
          <w:rFonts w:cs="Arial"/>
        </w:rPr>
        <w:t xml:space="preserve">Dada la terminación de la vigencia de la medida contenida en la Resolución CREG 101 </w:t>
      </w:r>
      <w:r w:rsidR="0048075E">
        <w:rPr>
          <w:rFonts w:cs="Arial"/>
        </w:rPr>
        <w:t xml:space="preserve">024 de 2023, que a su vez amplió las medidas establecidas en el artículo 2 de la Resolución CREG 101 </w:t>
      </w:r>
      <w:r>
        <w:rPr>
          <w:rFonts w:cs="Arial"/>
        </w:rPr>
        <w:t xml:space="preserve">016 de 2023, </w:t>
      </w:r>
      <w:r w:rsidR="00955455">
        <w:rPr>
          <w:rFonts w:cs="Arial"/>
        </w:rPr>
        <w:t xml:space="preserve">para el cálculo de </w:t>
      </w:r>
      <w:r w:rsidR="006570D7" w:rsidRPr="00022B06">
        <w:rPr>
          <w:rFonts w:cs="Arial"/>
        </w:rPr>
        <w:t xml:space="preserve">las garantías correspondientes </w:t>
      </w:r>
      <w:r w:rsidR="00000F73" w:rsidRPr="00022B06">
        <w:rPr>
          <w:rFonts w:cs="Arial"/>
        </w:rPr>
        <w:t xml:space="preserve">a los próximos periodos aplicaría el valor de referencia el precio de bolsa. Es importante señalar que con la última información disponible el precio de bolsa de </w:t>
      </w:r>
      <w:r w:rsidR="0048075E">
        <w:rPr>
          <w:rFonts w:cs="Arial"/>
        </w:rPr>
        <w:t>abril</w:t>
      </w:r>
      <w:r w:rsidR="00000F73" w:rsidRPr="00022B06">
        <w:rPr>
          <w:rFonts w:cs="Arial"/>
        </w:rPr>
        <w:t xml:space="preserve"> fue de </w:t>
      </w:r>
      <w:r w:rsidR="001F707B">
        <w:rPr>
          <w:rFonts w:cs="Arial"/>
        </w:rPr>
        <w:t>893</w:t>
      </w:r>
      <w:r w:rsidR="009E2032" w:rsidRPr="008A020E">
        <w:rPr>
          <w:rFonts w:cs="Arial"/>
        </w:rPr>
        <w:t xml:space="preserve"> $/kWh</w:t>
      </w:r>
      <w:r w:rsidR="008A020E" w:rsidRPr="008A020E">
        <w:rPr>
          <w:rFonts w:cs="Arial"/>
        </w:rPr>
        <w:t>,</w:t>
      </w:r>
      <w:r w:rsidR="009E2032" w:rsidRPr="00022B06" w:rsidDel="009E2032">
        <w:rPr>
          <w:rFonts w:cs="Arial"/>
        </w:rPr>
        <w:t xml:space="preserve"> </w:t>
      </w:r>
      <w:r w:rsidR="00000F73" w:rsidRPr="008A020E">
        <w:rPr>
          <w:rFonts w:cs="Arial"/>
        </w:rPr>
        <w:t>lo cual</w:t>
      </w:r>
      <w:r w:rsidR="00000F73">
        <w:rPr>
          <w:rFonts w:cs="Arial"/>
        </w:rPr>
        <w:t xml:space="preserve"> representa unos montos a cubrir significativos para los comercializadores que se encuentran en una situación de estrechez de liquidez.</w:t>
      </w:r>
    </w:p>
    <w:p w14:paraId="3BF77066" w14:textId="46F28440" w:rsidR="006570D7" w:rsidRPr="006570D7" w:rsidRDefault="00000F73" w:rsidP="6D4EC1AC">
      <w:pPr>
        <w:spacing w:before="240" w:after="0"/>
        <w:rPr>
          <w:rFonts w:cs="Arial"/>
        </w:rPr>
      </w:pPr>
      <w:r>
        <w:rPr>
          <w:rFonts w:cs="Arial"/>
        </w:rPr>
        <w:t xml:space="preserve">Lo anterior, </w:t>
      </w:r>
      <w:r w:rsidR="5CB2B724" w:rsidRPr="6D4EC1AC">
        <w:rPr>
          <w:rFonts w:cs="Arial"/>
        </w:rPr>
        <w:t xml:space="preserve">presionaría </w:t>
      </w:r>
      <w:r w:rsidR="00B80C1F" w:rsidRPr="6D4EC1AC">
        <w:rPr>
          <w:rFonts w:cs="Arial"/>
        </w:rPr>
        <w:t>el flujo de caja de lo</w:t>
      </w:r>
      <w:r w:rsidR="009A42D4" w:rsidRPr="6D4EC1AC">
        <w:rPr>
          <w:rFonts w:cs="Arial"/>
        </w:rPr>
        <w:t xml:space="preserve">s </w:t>
      </w:r>
      <w:r>
        <w:rPr>
          <w:rFonts w:cs="Arial"/>
        </w:rPr>
        <w:t>comercializadores que atienden usuarios finales regulados</w:t>
      </w:r>
      <w:r w:rsidR="009A42D4" w:rsidRPr="6D4EC1AC">
        <w:rPr>
          <w:rFonts w:cs="Arial"/>
        </w:rPr>
        <w:t xml:space="preserve"> </w:t>
      </w:r>
      <w:r w:rsidR="7D506884" w:rsidRPr="6D4EC1AC">
        <w:rPr>
          <w:rFonts w:cs="Arial"/>
        </w:rPr>
        <w:t xml:space="preserve">y con </w:t>
      </w:r>
      <w:r w:rsidR="26A66BD2" w:rsidRPr="6D4EC1AC">
        <w:rPr>
          <w:rFonts w:cs="Arial"/>
        </w:rPr>
        <w:t xml:space="preserve">ello </w:t>
      </w:r>
      <w:r w:rsidR="1FB1EEF4" w:rsidRPr="6D4EC1AC">
        <w:rPr>
          <w:rFonts w:cs="Arial"/>
        </w:rPr>
        <w:t>el riesgo</w:t>
      </w:r>
      <w:r w:rsidR="26A66BD2" w:rsidRPr="6D4EC1AC">
        <w:rPr>
          <w:rFonts w:cs="Arial"/>
        </w:rPr>
        <w:t xml:space="preserve"> de afectar la continuidad </w:t>
      </w:r>
      <w:r w:rsidR="1E0DD1F3" w:rsidRPr="6D4EC1AC">
        <w:rPr>
          <w:rFonts w:cs="Arial"/>
        </w:rPr>
        <w:t>en</w:t>
      </w:r>
      <w:r w:rsidR="26A66BD2" w:rsidRPr="6D4EC1AC">
        <w:rPr>
          <w:rFonts w:cs="Arial"/>
        </w:rPr>
        <w:t xml:space="preserve"> la prestación del servicio </w:t>
      </w:r>
      <w:r w:rsidR="3E372D38" w:rsidRPr="6D4EC1AC">
        <w:rPr>
          <w:rFonts w:cs="Arial"/>
        </w:rPr>
        <w:t>al verse comprometido el capital de trabajo para suscribir las garantías que se requier</w:t>
      </w:r>
      <w:r w:rsidR="7D60448B" w:rsidRPr="6D4EC1AC">
        <w:rPr>
          <w:rFonts w:cs="Arial"/>
        </w:rPr>
        <w:t>a</w:t>
      </w:r>
      <w:r w:rsidR="3E372D38" w:rsidRPr="6D4EC1AC">
        <w:rPr>
          <w:rFonts w:cs="Arial"/>
        </w:rPr>
        <w:t xml:space="preserve">n. </w:t>
      </w:r>
    </w:p>
    <w:p w14:paraId="0D96AF1D" w14:textId="40E761C6" w:rsidR="006570D7" w:rsidRPr="006570D7" w:rsidRDefault="006570D7" w:rsidP="006D7B76">
      <w:pPr>
        <w:spacing w:before="240" w:after="0"/>
        <w:rPr>
          <w:rFonts w:cs="Arial"/>
        </w:rPr>
      </w:pPr>
      <w:r w:rsidRPr="006570D7">
        <w:rPr>
          <w:rFonts w:cs="Arial"/>
          <w:b/>
          <w:bCs/>
        </w:rPr>
        <w:lastRenderedPageBreak/>
        <w:t>Alternativa 2:</w:t>
      </w:r>
      <w:r w:rsidRPr="006570D7">
        <w:rPr>
          <w:rFonts w:cs="Arial"/>
        </w:rPr>
        <w:t xml:space="preserve"> </w:t>
      </w:r>
      <w:r w:rsidR="000A5922">
        <w:rPr>
          <w:rFonts w:cs="Arial"/>
        </w:rPr>
        <w:t xml:space="preserve">Ampliar </w:t>
      </w:r>
      <w:r w:rsidR="00CF140E">
        <w:rPr>
          <w:rFonts w:cs="Arial"/>
        </w:rPr>
        <w:t>el</w:t>
      </w:r>
      <w:r w:rsidR="000A5922">
        <w:rPr>
          <w:rFonts w:cs="Arial"/>
        </w:rPr>
        <w:t xml:space="preserve"> ámbito de aplicación y vigencia de la disposición contenida en la Resolución CREG 101 016 de 2023- </w:t>
      </w:r>
      <w:r w:rsidRPr="006570D7">
        <w:rPr>
          <w:rFonts w:cs="Arial"/>
        </w:rPr>
        <w:t>Modificar temporalmente algunas disposiciones relacionadas con las garantías.</w:t>
      </w:r>
    </w:p>
    <w:p w14:paraId="32614E82" w14:textId="2854DC06" w:rsidR="00D604B6" w:rsidRDefault="00B7169A" w:rsidP="00BB382A">
      <w:pPr>
        <w:keepNext/>
        <w:spacing w:before="240" w:after="0"/>
        <w:jc w:val="center"/>
      </w:pPr>
      <w:r>
        <w:rPr>
          <w:noProof/>
        </w:rPr>
        <w:drawing>
          <wp:inline distT="0" distB="0" distL="0" distR="0" wp14:anchorId="400A03CA" wp14:editId="6DB7340E">
            <wp:extent cx="4578350" cy="2755900"/>
            <wp:effectExtent l="0" t="0" r="0" b="6350"/>
            <wp:docPr id="16348873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4F21B94E" w14:textId="1AA7AC36" w:rsidR="00D604B6" w:rsidRPr="00DB0EB4" w:rsidRDefault="00D604B6" w:rsidP="00BB382A">
      <w:pPr>
        <w:pStyle w:val="Descripcin"/>
        <w:spacing w:before="0" w:after="0"/>
        <w:rPr>
          <w:rFonts w:cs="Arial"/>
          <w:sz w:val="18"/>
          <w:szCs w:val="16"/>
        </w:rPr>
      </w:pPr>
      <w:r>
        <w:t xml:space="preserve">Figura </w:t>
      </w:r>
      <w:r w:rsidR="002B2D75">
        <w:fldChar w:fldCharType="begin"/>
      </w:r>
      <w:r w:rsidR="002B2D75">
        <w:instrText xml:space="preserve"> SEQ Figura \* ARABIC </w:instrText>
      </w:r>
      <w:r w:rsidR="002B2D75">
        <w:fldChar w:fldCharType="separate"/>
      </w:r>
      <w:r w:rsidR="00022C18">
        <w:rPr>
          <w:noProof/>
        </w:rPr>
        <w:t>4</w:t>
      </w:r>
      <w:r w:rsidR="002B2D75">
        <w:rPr>
          <w:noProof/>
        </w:rPr>
        <w:fldChar w:fldCharType="end"/>
      </w:r>
      <w:r>
        <w:t>.</w:t>
      </w:r>
      <w:r w:rsidRPr="00D604B6">
        <w:rPr>
          <w:rFonts w:cs="Arial"/>
          <w:szCs w:val="20"/>
        </w:rPr>
        <w:t xml:space="preserve"> </w:t>
      </w:r>
      <w:r w:rsidRPr="00ED1DD6">
        <w:rPr>
          <w:rFonts w:cs="Arial"/>
          <w:szCs w:val="20"/>
        </w:rPr>
        <w:t>Comparación de precios</w:t>
      </w:r>
      <w:r w:rsidR="00392FC0">
        <w:rPr>
          <w:rFonts w:cs="Arial"/>
          <w:szCs w:val="20"/>
        </w:rPr>
        <w:t xml:space="preserve">. </w:t>
      </w:r>
      <w:r w:rsidRPr="00DB0EB4">
        <w:rPr>
          <w:rFonts w:cs="Arial"/>
          <w:sz w:val="18"/>
          <w:szCs w:val="16"/>
        </w:rPr>
        <w:t xml:space="preserve">Fuente: Datos de XM </w:t>
      </w:r>
      <w:r w:rsidRPr="00DB0EB4">
        <w:rPr>
          <w:rFonts w:cs="Arial"/>
          <w:sz w:val="18"/>
          <w:szCs w:val="16"/>
          <w:shd w:val="clear" w:color="auto" w:fill="FFFFFF"/>
        </w:rPr>
        <w:t xml:space="preserve">S.A. E.S.P. </w:t>
      </w:r>
      <w:r w:rsidRPr="00DB0EB4">
        <w:rPr>
          <w:rFonts w:cs="Arial"/>
          <w:sz w:val="18"/>
          <w:szCs w:val="16"/>
        </w:rPr>
        <w:t>y cálculos CREG</w:t>
      </w:r>
    </w:p>
    <w:p w14:paraId="5F9D2760" w14:textId="061921D9" w:rsidR="006570D7" w:rsidRDefault="006570D7" w:rsidP="006D7B76">
      <w:pPr>
        <w:spacing w:before="240" w:after="0"/>
        <w:rPr>
          <w:rFonts w:cs="Arial"/>
        </w:rPr>
      </w:pPr>
      <w:r w:rsidRPr="006570D7">
        <w:rPr>
          <w:rFonts w:cs="Arial"/>
        </w:rPr>
        <w:t xml:space="preserve">Como se observa en la </w:t>
      </w:r>
      <w:r w:rsidR="00392FC0">
        <w:rPr>
          <w:rFonts w:cs="Arial"/>
        </w:rPr>
        <w:t xml:space="preserve">Figura </w:t>
      </w:r>
      <w:r w:rsidR="00CF140E">
        <w:rPr>
          <w:rFonts w:cs="Arial"/>
        </w:rPr>
        <w:t>4</w:t>
      </w:r>
      <w:r w:rsidRPr="006570D7">
        <w:rPr>
          <w:rFonts w:cs="Arial"/>
        </w:rPr>
        <w:t xml:space="preserve">, el </w:t>
      </w:r>
      <w:r w:rsidR="00EB5B32">
        <w:rPr>
          <w:rFonts w:cs="Arial"/>
        </w:rPr>
        <w:t>c</w:t>
      </w:r>
      <w:r w:rsidRPr="006570D7">
        <w:rPr>
          <w:rFonts w:cs="Arial"/>
        </w:rPr>
        <w:t xml:space="preserve">osto </w:t>
      </w:r>
      <w:r w:rsidR="00EB5B32">
        <w:rPr>
          <w:rFonts w:cs="Arial"/>
        </w:rPr>
        <w:t>p</w:t>
      </w:r>
      <w:r w:rsidRPr="006570D7">
        <w:rPr>
          <w:rFonts w:cs="Arial"/>
        </w:rPr>
        <w:t xml:space="preserve">romedio ponderado por energía de los contratos bilaterales, Mc, es un valor estable </w:t>
      </w:r>
      <w:r w:rsidR="00F31003">
        <w:rPr>
          <w:rFonts w:cs="Arial"/>
        </w:rPr>
        <w:t>comparado con</w:t>
      </w:r>
      <w:r w:rsidRPr="006570D7">
        <w:rPr>
          <w:rFonts w:cs="Arial"/>
        </w:rPr>
        <w:t xml:space="preserve"> el </w:t>
      </w:r>
      <w:r w:rsidR="00EB5B32">
        <w:rPr>
          <w:rFonts w:cs="Arial"/>
        </w:rPr>
        <w:t>p</w:t>
      </w:r>
      <w:r w:rsidRPr="006570D7">
        <w:rPr>
          <w:rFonts w:cs="Arial"/>
        </w:rPr>
        <w:t xml:space="preserve">recio de </w:t>
      </w:r>
      <w:r w:rsidR="00EB5B32">
        <w:rPr>
          <w:rFonts w:cs="Arial"/>
        </w:rPr>
        <w:t>b</w:t>
      </w:r>
      <w:r w:rsidRPr="006570D7">
        <w:rPr>
          <w:rFonts w:cs="Arial"/>
        </w:rPr>
        <w:t>olsa.</w:t>
      </w:r>
      <w:r w:rsidR="00380123">
        <w:rPr>
          <w:rFonts w:cs="Arial"/>
        </w:rPr>
        <w:t xml:space="preserve"> </w:t>
      </w:r>
      <w:r w:rsidRPr="006570D7">
        <w:rPr>
          <w:rFonts w:cs="Arial"/>
        </w:rPr>
        <w:t>La utilización del Mc como referencia para la estimación de los valores a garantizar disminuye los cambios en los ajustes semanales positivos y negativos. Además, para la situación analizada en este documento, relacionada con empresas que tienen una disminución en sus recursos de caja ocasionada por los saldos pendientes de la opción tarifaria, tendrían una menor exigencia en cuanto a los requerimientos de esos ajustes cuando incremente el precio de bolsa.</w:t>
      </w:r>
    </w:p>
    <w:p w14:paraId="5D27AC96" w14:textId="2EB7F360" w:rsidR="00000F73" w:rsidRPr="006570D7" w:rsidRDefault="00000F73" w:rsidP="00000F73">
      <w:pPr>
        <w:spacing w:before="240" w:after="0"/>
        <w:rPr>
          <w:rFonts w:cs="Arial"/>
        </w:rPr>
      </w:pPr>
      <w:r>
        <w:rPr>
          <w:rFonts w:cs="Arial"/>
        </w:rPr>
        <w:t xml:space="preserve">Lo anterior, con el objeto de contribuir a </w:t>
      </w:r>
      <w:r w:rsidRPr="6D4EC1AC">
        <w:rPr>
          <w:rFonts w:cs="Arial"/>
        </w:rPr>
        <w:t xml:space="preserve">la continuidad en la prestación del servicio </w:t>
      </w:r>
      <w:r>
        <w:rPr>
          <w:rFonts w:cs="Arial"/>
        </w:rPr>
        <w:t>y aliviar</w:t>
      </w:r>
      <w:r w:rsidRPr="6D4EC1AC">
        <w:rPr>
          <w:rFonts w:cs="Arial"/>
        </w:rPr>
        <w:t xml:space="preserve"> el capital de trabajo para suscribir las garantías que requieran</w:t>
      </w:r>
      <w:r>
        <w:rPr>
          <w:rFonts w:cs="Arial"/>
        </w:rPr>
        <w:t xml:space="preserve"> los comercializadores que atienden usuarios finales regulados.</w:t>
      </w:r>
    </w:p>
    <w:p w14:paraId="0541E1D4" w14:textId="5614EB28" w:rsidR="00000F73" w:rsidRPr="006570D7" w:rsidRDefault="00000F73" w:rsidP="006D7B76">
      <w:pPr>
        <w:spacing w:before="240" w:after="0"/>
        <w:rPr>
          <w:rFonts w:cs="Arial"/>
        </w:rPr>
      </w:pPr>
    </w:p>
    <w:p w14:paraId="2B41CEFC" w14:textId="1246C269" w:rsidR="00030823" w:rsidRPr="006D7B76" w:rsidRDefault="000A69F8" w:rsidP="00ED1DD6">
      <w:pPr>
        <w:pStyle w:val="Ttulo1"/>
        <w:spacing w:after="0"/>
        <w:ind w:left="431" w:hanging="431"/>
        <w:rPr>
          <w:rFonts w:cs="Arial"/>
        </w:rPr>
      </w:pPr>
      <w:bookmarkStart w:id="14" w:name="_Toc150524986"/>
      <w:r w:rsidRPr="006D7B76">
        <w:rPr>
          <w:rFonts w:cs="Arial"/>
        </w:rPr>
        <w:t>CONSULTA PÚBLICA</w:t>
      </w:r>
      <w:bookmarkEnd w:id="14"/>
    </w:p>
    <w:p w14:paraId="4A9713AF" w14:textId="4C0BA366" w:rsidR="00646491" w:rsidRDefault="0064221F" w:rsidP="00ED1DD6">
      <w:pPr>
        <w:spacing w:before="240" w:after="240"/>
      </w:pPr>
      <w:r>
        <w:t>La alternativa de ampliar la aplicación y vigencia de la medida definida en la Resolución CREG 101 016 de 2023 s</w:t>
      </w:r>
      <w:r w:rsidR="00EE6FD1">
        <w:t xml:space="preserve">e publicó </w:t>
      </w:r>
      <w:r w:rsidR="009543FF">
        <w:t xml:space="preserve">en </w:t>
      </w:r>
      <w:r w:rsidR="00EE6FD1">
        <w:t>el proyecto de resolución 701 0</w:t>
      </w:r>
      <w:r w:rsidR="0037089C">
        <w:t>36</w:t>
      </w:r>
      <w:r w:rsidR="00EE6FD1">
        <w:t xml:space="preserve"> </w:t>
      </w:r>
      <w:r>
        <w:t>de 202</w:t>
      </w:r>
      <w:r w:rsidR="0037089C">
        <w:t>4</w:t>
      </w:r>
      <w:r>
        <w:t xml:space="preserve">. </w:t>
      </w:r>
      <w:r w:rsidR="002601A2">
        <w:t>Durante el período de consulta s</w:t>
      </w:r>
      <w:r w:rsidR="00646491">
        <w:t xml:space="preserve">e recibieron comentarios de los siguientes remitentes: </w:t>
      </w:r>
    </w:p>
    <w:tbl>
      <w:tblPr>
        <w:tblW w:w="5064" w:type="dxa"/>
        <w:jc w:val="center"/>
        <w:tblCellMar>
          <w:left w:w="70" w:type="dxa"/>
          <w:right w:w="70" w:type="dxa"/>
        </w:tblCellMar>
        <w:tblLook w:val="04A0" w:firstRow="1" w:lastRow="0" w:firstColumn="1" w:lastColumn="0" w:noHBand="0" w:noVBand="1"/>
      </w:tblPr>
      <w:tblGrid>
        <w:gridCol w:w="896"/>
        <w:gridCol w:w="1769"/>
        <w:gridCol w:w="2399"/>
      </w:tblGrid>
      <w:tr w:rsidR="00646491" w:rsidRPr="00646491" w14:paraId="4CCCCA25" w14:textId="77777777" w:rsidTr="00AF3A31">
        <w:trPr>
          <w:trHeight w:val="290"/>
          <w:tblHeader/>
          <w:jc w:val="center"/>
        </w:trPr>
        <w:tc>
          <w:tcPr>
            <w:tcW w:w="896" w:type="dxa"/>
            <w:tcBorders>
              <w:top w:val="nil"/>
              <w:left w:val="nil"/>
              <w:bottom w:val="nil"/>
              <w:right w:val="nil"/>
            </w:tcBorders>
            <w:shd w:val="clear" w:color="000000" w:fill="2F75B5"/>
            <w:vAlign w:val="center"/>
            <w:hideMark/>
          </w:tcPr>
          <w:p w14:paraId="45C292E5" w14:textId="77777777" w:rsidR="00646491" w:rsidRPr="00646491" w:rsidRDefault="00646491" w:rsidP="00646491">
            <w:pPr>
              <w:spacing w:after="0"/>
              <w:jc w:val="center"/>
              <w:rPr>
                <w:rFonts w:cs="Arial"/>
                <w:b/>
                <w:bCs/>
                <w:color w:val="FFFFFF"/>
                <w:sz w:val="20"/>
                <w:szCs w:val="20"/>
                <w:lang w:eastAsia="es-CO"/>
              </w:rPr>
            </w:pPr>
            <w:r w:rsidRPr="00646491">
              <w:rPr>
                <w:rFonts w:cs="Arial"/>
                <w:b/>
                <w:bCs/>
                <w:color w:val="FFFFFF"/>
                <w:sz w:val="20"/>
                <w:szCs w:val="20"/>
                <w:lang w:eastAsia="es-CO"/>
              </w:rPr>
              <w:lastRenderedPageBreak/>
              <w:t>Número</w:t>
            </w:r>
          </w:p>
        </w:tc>
        <w:tc>
          <w:tcPr>
            <w:tcW w:w="1769" w:type="dxa"/>
            <w:tcBorders>
              <w:top w:val="nil"/>
              <w:left w:val="nil"/>
              <w:bottom w:val="nil"/>
              <w:right w:val="nil"/>
            </w:tcBorders>
            <w:shd w:val="clear" w:color="000000" w:fill="2F75B5"/>
            <w:vAlign w:val="center"/>
            <w:hideMark/>
          </w:tcPr>
          <w:p w14:paraId="548A42BE" w14:textId="15653729" w:rsidR="00646491" w:rsidRPr="00646491" w:rsidRDefault="00646491" w:rsidP="00646491">
            <w:pPr>
              <w:spacing w:after="0"/>
              <w:jc w:val="center"/>
              <w:rPr>
                <w:rFonts w:cs="Arial"/>
                <w:b/>
                <w:bCs/>
                <w:color w:val="FFFFFF"/>
                <w:sz w:val="20"/>
                <w:szCs w:val="20"/>
                <w:lang w:eastAsia="es-CO"/>
              </w:rPr>
            </w:pPr>
            <w:r>
              <w:rPr>
                <w:rFonts w:cs="Arial"/>
                <w:b/>
                <w:bCs/>
                <w:color w:val="FFFFFF"/>
                <w:sz w:val="20"/>
                <w:szCs w:val="20"/>
                <w:lang w:eastAsia="es-CO"/>
              </w:rPr>
              <w:t>R</w:t>
            </w:r>
            <w:r w:rsidR="00AF3A31">
              <w:rPr>
                <w:rFonts w:cs="Arial"/>
                <w:b/>
                <w:bCs/>
                <w:color w:val="FFFFFF"/>
                <w:sz w:val="20"/>
                <w:szCs w:val="20"/>
                <w:lang w:eastAsia="es-CO"/>
              </w:rPr>
              <w:t>adicado</w:t>
            </w:r>
          </w:p>
        </w:tc>
        <w:tc>
          <w:tcPr>
            <w:tcW w:w="2399" w:type="dxa"/>
            <w:tcBorders>
              <w:top w:val="nil"/>
              <w:left w:val="nil"/>
              <w:bottom w:val="nil"/>
              <w:right w:val="nil"/>
            </w:tcBorders>
            <w:shd w:val="clear" w:color="000000" w:fill="2F75B5"/>
            <w:vAlign w:val="center"/>
            <w:hideMark/>
          </w:tcPr>
          <w:p w14:paraId="572F4DE9" w14:textId="540F7658" w:rsidR="00646491" w:rsidRPr="00646491" w:rsidRDefault="00457469" w:rsidP="00B330C2">
            <w:pPr>
              <w:spacing w:after="0"/>
              <w:jc w:val="center"/>
              <w:rPr>
                <w:rFonts w:cs="Arial"/>
                <w:b/>
                <w:bCs/>
                <w:color w:val="FFFFFF"/>
                <w:sz w:val="20"/>
                <w:szCs w:val="20"/>
                <w:lang w:eastAsia="es-CO"/>
              </w:rPr>
            </w:pPr>
            <w:r>
              <w:rPr>
                <w:rFonts w:cs="Arial"/>
                <w:b/>
                <w:bCs/>
                <w:color w:val="FFFFFF"/>
                <w:sz w:val="20"/>
                <w:szCs w:val="20"/>
                <w:lang w:eastAsia="es-CO"/>
              </w:rPr>
              <w:t>Entidad</w:t>
            </w:r>
          </w:p>
        </w:tc>
      </w:tr>
      <w:tr w:rsidR="003800F9" w:rsidRPr="00646491" w14:paraId="2166124B" w14:textId="77777777" w:rsidTr="00AF3A31">
        <w:trPr>
          <w:trHeight w:val="290"/>
          <w:tblHeader/>
          <w:jc w:val="center"/>
        </w:trPr>
        <w:tc>
          <w:tcPr>
            <w:tcW w:w="896" w:type="dxa"/>
            <w:tcBorders>
              <w:top w:val="nil"/>
              <w:left w:val="nil"/>
              <w:bottom w:val="nil"/>
              <w:right w:val="nil"/>
            </w:tcBorders>
            <w:shd w:val="clear" w:color="auto" w:fill="auto"/>
            <w:noWrap/>
            <w:hideMark/>
          </w:tcPr>
          <w:p w14:paraId="6773D9DC" w14:textId="00F93434" w:rsidR="003800F9" w:rsidRPr="00E8487C" w:rsidRDefault="003800F9" w:rsidP="003800F9">
            <w:pPr>
              <w:spacing w:after="0"/>
              <w:jc w:val="center"/>
              <w:rPr>
                <w:rFonts w:cs="Arial"/>
                <w:color w:val="000000"/>
                <w:sz w:val="20"/>
                <w:szCs w:val="20"/>
                <w:highlight w:val="yellow"/>
                <w:lang w:eastAsia="es-CO"/>
              </w:rPr>
            </w:pPr>
            <w:r w:rsidRPr="00D7762E">
              <w:t>1</w:t>
            </w:r>
          </w:p>
        </w:tc>
        <w:tc>
          <w:tcPr>
            <w:tcW w:w="1769" w:type="dxa"/>
            <w:tcBorders>
              <w:top w:val="nil"/>
              <w:left w:val="nil"/>
              <w:bottom w:val="nil"/>
              <w:right w:val="nil"/>
            </w:tcBorders>
            <w:shd w:val="clear" w:color="auto" w:fill="auto"/>
            <w:hideMark/>
          </w:tcPr>
          <w:p w14:paraId="6279C6C1" w14:textId="63CE86C5" w:rsidR="003800F9" w:rsidRPr="00E8487C" w:rsidRDefault="003D434A" w:rsidP="003800F9">
            <w:pPr>
              <w:spacing w:after="0"/>
              <w:rPr>
                <w:rFonts w:cs="Arial"/>
                <w:color w:val="000000"/>
                <w:sz w:val="20"/>
                <w:szCs w:val="20"/>
                <w:highlight w:val="yellow"/>
                <w:lang w:eastAsia="es-CO"/>
              </w:rPr>
            </w:pPr>
            <w:r w:rsidRPr="00340100">
              <w:t>E2024005018</w:t>
            </w:r>
          </w:p>
        </w:tc>
        <w:tc>
          <w:tcPr>
            <w:tcW w:w="2399" w:type="dxa"/>
            <w:tcBorders>
              <w:top w:val="nil"/>
              <w:left w:val="nil"/>
              <w:bottom w:val="nil"/>
              <w:right w:val="nil"/>
            </w:tcBorders>
            <w:shd w:val="clear" w:color="auto" w:fill="auto"/>
            <w:hideMark/>
          </w:tcPr>
          <w:p w14:paraId="74CAC149" w14:textId="0B9D0248" w:rsidR="003800F9" w:rsidRPr="00E8487C" w:rsidRDefault="00AF3A31" w:rsidP="003800F9">
            <w:pPr>
              <w:spacing w:after="0"/>
              <w:jc w:val="center"/>
              <w:rPr>
                <w:rFonts w:cs="Arial"/>
                <w:color w:val="000000"/>
                <w:sz w:val="20"/>
                <w:szCs w:val="20"/>
                <w:highlight w:val="yellow"/>
                <w:lang w:eastAsia="es-CO"/>
              </w:rPr>
            </w:pPr>
            <w:r w:rsidRPr="00340100">
              <w:t>EMSA</w:t>
            </w:r>
          </w:p>
        </w:tc>
      </w:tr>
      <w:tr w:rsidR="003800F9" w:rsidRPr="00646491" w14:paraId="741E433D" w14:textId="77777777" w:rsidTr="00AF3A31">
        <w:trPr>
          <w:trHeight w:val="290"/>
          <w:tblHeader/>
          <w:jc w:val="center"/>
        </w:trPr>
        <w:tc>
          <w:tcPr>
            <w:tcW w:w="896" w:type="dxa"/>
            <w:tcBorders>
              <w:top w:val="nil"/>
              <w:left w:val="nil"/>
              <w:bottom w:val="nil"/>
              <w:right w:val="nil"/>
            </w:tcBorders>
            <w:shd w:val="clear" w:color="auto" w:fill="auto"/>
            <w:noWrap/>
            <w:hideMark/>
          </w:tcPr>
          <w:p w14:paraId="63D89BFD" w14:textId="72E77201" w:rsidR="003800F9" w:rsidRPr="00E8487C" w:rsidRDefault="003800F9" w:rsidP="003800F9">
            <w:pPr>
              <w:spacing w:after="0"/>
              <w:jc w:val="center"/>
              <w:rPr>
                <w:rFonts w:cs="Arial"/>
                <w:color w:val="000000"/>
                <w:sz w:val="20"/>
                <w:szCs w:val="20"/>
                <w:highlight w:val="yellow"/>
                <w:lang w:eastAsia="es-CO"/>
              </w:rPr>
            </w:pPr>
            <w:r w:rsidRPr="00D7762E">
              <w:t>2</w:t>
            </w:r>
          </w:p>
        </w:tc>
        <w:tc>
          <w:tcPr>
            <w:tcW w:w="1769" w:type="dxa"/>
            <w:tcBorders>
              <w:top w:val="nil"/>
              <w:left w:val="nil"/>
              <w:bottom w:val="nil"/>
              <w:right w:val="nil"/>
            </w:tcBorders>
            <w:shd w:val="clear" w:color="auto" w:fill="auto"/>
            <w:hideMark/>
          </w:tcPr>
          <w:p w14:paraId="07E52376" w14:textId="13B3E191" w:rsidR="003800F9" w:rsidRPr="00E8487C" w:rsidRDefault="003D434A" w:rsidP="003800F9">
            <w:pPr>
              <w:spacing w:after="0"/>
              <w:rPr>
                <w:rFonts w:cs="Arial"/>
                <w:color w:val="000000"/>
                <w:sz w:val="20"/>
                <w:szCs w:val="20"/>
                <w:highlight w:val="yellow"/>
                <w:lang w:eastAsia="es-CO"/>
              </w:rPr>
            </w:pPr>
            <w:r w:rsidRPr="00340100">
              <w:t>E2024005022</w:t>
            </w:r>
          </w:p>
        </w:tc>
        <w:tc>
          <w:tcPr>
            <w:tcW w:w="2399" w:type="dxa"/>
            <w:tcBorders>
              <w:top w:val="nil"/>
              <w:left w:val="nil"/>
              <w:bottom w:val="nil"/>
              <w:right w:val="nil"/>
            </w:tcBorders>
            <w:shd w:val="clear" w:color="auto" w:fill="auto"/>
            <w:noWrap/>
            <w:hideMark/>
          </w:tcPr>
          <w:p w14:paraId="7C8E2494" w14:textId="75D6B534" w:rsidR="003800F9" w:rsidRPr="00E8487C" w:rsidRDefault="00AF3A31" w:rsidP="003800F9">
            <w:pPr>
              <w:spacing w:after="0"/>
              <w:jc w:val="center"/>
              <w:rPr>
                <w:rFonts w:cs="Arial"/>
                <w:color w:val="000000"/>
                <w:sz w:val="20"/>
                <w:szCs w:val="20"/>
                <w:highlight w:val="yellow"/>
                <w:lang w:eastAsia="es-CO"/>
              </w:rPr>
            </w:pPr>
            <w:r w:rsidRPr="00340100">
              <w:t>EPM</w:t>
            </w:r>
          </w:p>
        </w:tc>
      </w:tr>
      <w:tr w:rsidR="003800F9" w:rsidRPr="00646491" w14:paraId="7387A954" w14:textId="77777777" w:rsidTr="00AF3A31">
        <w:trPr>
          <w:trHeight w:val="290"/>
          <w:tblHeader/>
          <w:jc w:val="center"/>
        </w:trPr>
        <w:tc>
          <w:tcPr>
            <w:tcW w:w="896" w:type="dxa"/>
            <w:tcBorders>
              <w:top w:val="nil"/>
              <w:left w:val="nil"/>
              <w:bottom w:val="nil"/>
              <w:right w:val="nil"/>
            </w:tcBorders>
            <w:shd w:val="clear" w:color="auto" w:fill="auto"/>
            <w:noWrap/>
            <w:hideMark/>
          </w:tcPr>
          <w:p w14:paraId="48067691" w14:textId="7B027497" w:rsidR="003800F9" w:rsidRPr="00E8487C" w:rsidRDefault="003800F9" w:rsidP="003800F9">
            <w:pPr>
              <w:spacing w:after="0"/>
              <w:jc w:val="center"/>
              <w:rPr>
                <w:rFonts w:cs="Arial"/>
                <w:color w:val="000000"/>
                <w:sz w:val="20"/>
                <w:szCs w:val="20"/>
                <w:highlight w:val="yellow"/>
                <w:lang w:eastAsia="es-CO"/>
              </w:rPr>
            </w:pPr>
            <w:r w:rsidRPr="00D7762E">
              <w:t>3</w:t>
            </w:r>
          </w:p>
        </w:tc>
        <w:tc>
          <w:tcPr>
            <w:tcW w:w="1769" w:type="dxa"/>
            <w:tcBorders>
              <w:top w:val="nil"/>
              <w:left w:val="nil"/>
              <w:bottom w:val="nil"/>
              <w:right w:val="nil"/>
            </w:tcBorders>
            <w:shd w:val="clear" w:color="auto" w:fill="auto"/>
            <w:hideMark/>
          </w:tcPr>
          <w:p w14:paraId="3AFF78CF" w14:textId="0BDB845C" w:rsidR="003800F9" w:rsidRPr="00E8487C" w:rsidRDefault="003D434A" w:rsidP="003800F9">
            <w:pPr>
              <w:spacing w:after="0"/>
              <w:rPr>
                <w:rFonts w:cs="Arial"/>
                <w:color w:val="000000"/>
                <w:sz w:val="20"/>
                <w:szCs w:val="20"/>
                <w:highlight w:val="yellow"/>
                <w:lang w:eastAsia="es-CO"/>
              </w:rPr>
            </w:pPr>
            <w:r w:rsidRPr="00340100">
              <w:t>E2024005023</w:t>
            </w:r>
          </w:p>
        </w:tc>
        <w:tc>
          <w:tcPr>
            <w:tcW w:w="2399" w:type="dxa"/>
            <w:tcBorders>
              <w:top w:val="nil"/>
              <w:left w:val="nil"/>
              <w:bottom w:val="nil"/>
              <w:right w:val="nil"/>
            </w:tcBorders>
            <w:shd w:val="clear" w:color="auto" w:fill="auto"/>
            <w:noWrap/>
            <w:hideMark/>
          </w:tcPr>
          <w:p w14:paraId="75CA78C2" w14:textId="186BCF22" w:rsidR="003800F9" w:rsidRPr="00E8487C" w:rsidRDefault="00AF3A31" w:rsidP="003800F9">
            <w:pPr>
              <w:spacing w:after="0"/>
              <w:jc w:val="center"/>
              <w:rPr>
                <w:rFonts w:cs="Arial"/>
                <w:color w:val="000000"/>
                <w:sz w:val="20"/>
                <w:szCs w:val="20"/>
                <w:highlight w:val="yellow"/>
                <w:lang w:eastAsia="es-CO"/>
              </w:rPr>
            </w:pPr>
            <w:r w:rsidRPr="00340100">
              <w:t>TEBSA</w:t>
            </w:r>
          </w:p>
        </w:tc>
      </w:tr>
      <w:tr w:rsidR="003800F9" w:rsidRPr="00646491" w14:paraId="7EC63E33" w14:textId="77777777" w:rsidTr="00AF3A31">
        <w:trPr>
          <w:trHeight w:val="290"/>
          <w:tblHeader/>
          <w:jc w:val="center"/>
        </w:trPr>
        <w:tc>
          <w:tcPr>
            <w:tcW w:w="896" w:type="dxa"/>
            <w:tcBorders>
              <w:top w:val="nil"/>
              <w:left w:val="nil"/>
              <w:bottom w:val="nil"/>
              <w:right w:val="nil"/>
            </w:tcBorders>
            <w:shd w:val="clear" w:color="auto" w:fill="auto"/>
            <w:noWrap/>
            <w:hideMark/>
          </w:tcPr>
          <w:p w14:paraId="3677E949" w14:textId="37D7B87F" w:rsidR="003800F9" w:rsidRPr="00E8487C" w:rsidRDefault="003800F9" w:rsidP="003800F9">
            <w:pPr>
              <w:spacing w:after="0"/>
              <w:jc w:val="center"/>
              <w:rPr>
                <w:rFonts w:cs="Arial"/>
                <w:color w:val="000000"/>
                <w:sz w:val="20"/>
                <w:szCs w:val="20"/>
                <w:highlight w:val="yellow"/>
                <w:lang w:eastAsia="es-CO"/>
              </w:rPr>
            </w:pPr>
            <w:r w:rsidRPr="00D7762E">
              <w:t>4</w:t>
            </w:r>
          </w:p>
        </w:tc>
        <w:tc>
          <w:tcPr>
            <w:tcW w:w="1769" w:type="dxa"/>
            <w:tcBorders>
              <w:top w:val="nil"/>
              <w:left w:val="nil"/>
              <w:bottom w:val="nil"/>
              <w:right w:val="nil"/>
            </w:tcBorders>
            <w:shd w:val="clear" w:color="auto" w:fill="auto"/>
            <w:hideMark/>
          </w:tcPr>
          <w:p w14:paraId="313D7368" w14:textId="6361690D" w:rsidR="003800F9" w:rsidRPr="00E8487C" w:rsidRDefault="003D434A" w:rsidP="003800F9">
            <w:pPr>
              <w:spacing w:after="0"/>
              <w:rPr>
                <w:rFonts w:cs="Arial"/>
                <w:color w:val="000000"/>
                <w:sz w:val="20"/>
                <w:szCs w:val="20"/>
                <w:highlight w:val="yellow"/>
                <w:lang w:eastAsia="es-CO"/>
              </w:rPr>
            </w:pPr>
            <w:r w:rsidRPr="00340100">
              <w:t>E2024005024</w:t>
            </w:r>
          </w:p>
        </w:tc>
        <w:tc>
          <w:tcPr>
            <w:tcW w:w="2399" w:type="dxa"/>
            <w:tcBorders>
              <w:top w:val="nil"/>
              <w:left w:val="nil"/>
              <w:bottom w:val="nil"/>
              <w:right w:val="nil"/>
            </w:tcBorders>
            <w:shd w:val="clear" w:color="auto" w:fill="auto"/>
            <w:noWrap/>
            <w:hideMark/>
          </w:tcPr>
          <w:p w14:paraId="1D81271D" w14:textId="493E0832" w:rsidR="003800F9" w:rsidRPr="00E8487C" w:rsidRDefault="00AF3A31" w:rsidP="003800F9">
            <w:pPr>
              <w:spacing w:after="0"/>
              <w:jc w:val="center"/>
              <w:rPr>
                <w:rFonts w:cs="Arial"/>
                <w:color w:val="000000"/>
                <w:sz w:val="20"/>
                <w:szCs w:val="20"/>
                <w:highlight w:val="yellow"/>
                <w:lang w:eastAsia="es-CO"/>
              </w:rPr>
            </w:pPr>
            <w:r w:rsidRPr="00340100">
              <w:t>CAC</w:t>
            </w:r>
          </w:p>
        </w:tc>
      </w:tr>
      <w:tr w:rsidR="003800F9" w:rsidRPr="00646491" w14:paraId="6307045A" w14:textId="77777777" w:rsidTr="00AF3A31">
        <w:trPr>
          <w:trHeight w:val="290"/>
          <w:tblHeader/>
          <w:jc w:val="center"/>
        </w:trPr>
        <w:tc>
          <w:tcPr>
            <w:tcW w:w="896" w:type="dxa"/>
            <w:tcBorders>
              <w:top w:val="nil"/>
              <w:left w:val="nil"/>
              <w:bottom w:val="nil"/>
              <w:right w:val="nil"/>
            </w:tcBorders>
            <w:shd w:val="clear" w:color="auto" w:fill="auto"/>
            <w:noWrap/>
            <w:hideMark/>
          </w:tcPr>
          <w:p w14:paraId="164D3359" w14:textId="4163D526" w:rsidR="003800F9" w:rsidRPr="00E8487C" w:rsidRDefault="003800F9" w:rsidP="003800F9">
            <w:pPr>
              <w:spacing w:after="0"/>
              <w:jc w:val="center"/>
              <w:rPr>
                <w:rFonts w:cs="Arial"/>
                <w:color w:val="000000"/>
                <w:sz w:val="20"/>
                <w:szCs w:val="20"/>
                <w:highlight w:val="yellow"/>
                <w:lang w:eastAsia="es-CO"/>
              </w:rPr>
            </w:pPr>
            <w:r w:rsidRPr="00D7762E">
              <w:t>5</w:t>
            </w:r>
          </w:p>
        </w:tc>
        <w:tc>
          <w:tcPr>
            <w:tcW w:w="1769" w:type="dxa"/>
            <w:tcBorders>
              <w:top w:val="nil"/>
              <w:left w:val="nil"/>
              <w:bottom w:val="nil"/>
              <w:right w:val="nil"/>
            </w:tcBorders>
            <w:shd w:val="clear" w:color="auto" w:fill="auto"/>
            <w:hideMark/>
          </w:tcPr>
          <w:p w14:paraId="2AB7AAE2" w14:textId="5373DCD0" w:rsidR="003800F9" w:rsidRPr="00E8487C" w:rsidRDefault="003D434A" w:rsidP="003800F9">
            <w:pPr>
              <w:spacing w:after="0"/>
              <w:rPr>
                <w:rFonts w:cs="Arial"/>
                <w:color w:val="000000"/>
                <w:sz w:val="20"/>
                <w:szCs w:val="20"/>
                <w:highlight w:val="yellow"/>
                <w:lang w:eastAsia="es-CO"/>
              </w:rPr>
            </w:pPr>
            <w:r w:rsidRPr="00340100">
              <w:t>E2024005025</w:t>
            </w:r>
          </w:p>
        </w:tc>
        <w:tc>
          <w:tcPr>
            <w:tcW w:w="2399" w:type="dxa"/>
            <w:tcBorders>
              <w:top w:val="nil"/>
              <w:left w:val="nil"/>
              <w:bottom w:val="nil"/>
              <w:right w:val="nil"/>
            </w:tcBorders>
            <w:shd w:val="clear" w:color="auto" w:fill="auto"/>
            <w:noWrap/>
            <w:hideMark/>
          </w:tcPr>
          <w:p w14:paraId="632379DD" w14:textId="3F47D391" w:rsidR="003800F9" w:rsidRPr="00E8487C" w:rsidRDefault="00AF3A31" w:rsidP="003800F9">
            <w:pPr>
              <w:spacing w:after="0"/>
              <w:jc w:val="center"/>
              <w:rPr>
                <w:rFonts w:cs="Arial"/>
                <w:color w:val="000000"/>
                <w:sz w:val="20"/>
                <w:szCs w:val="20"/>
                <w:highlight w:val="yellow"/>
                <w:lang w:eastAsia="es-CO"/>
              </w:rPr>
            </w:pPr>
            <w:r w:rsidRPr="00340100">
              <w:t>ANDESCO</w:t>
            </w:r>
          </w:p>
        </w:tc>
      </w:tr>
      <w:tr w:rsidR="003800F9" w:rsidRPr="00646491" w14:paraId="7D289235" w14:textId="77777777" w:rsidTr="00AF3A31">
        <w:trPr>
          <w:trHeight w:val="290"/>
          <w:tblHeader/>
          <w:jc w:val="center"/>
        </w:trPr>
        <w:tc>
          <w:tcPr>
            <w:tcW w:w="896" w:type="dxa"/>
            <w:tcBorders>
              <w:top w:val="nil"/>
              <w:left w:val="nil"/>
              <w:bottom w:val="nil"/>
              <w:right w:val="nil"/>
            </w:tcBorders>
            <w:shd w:val="clear" w:color="auto" w:fill="auto"/>
            <w:noWrap/>
            <w:hideMark/>
          </w:tcPr>
          <w:p w14:paraId="1F3ECE35" w14:textId="229BC58B" w:rsidR="003800F9" w:rsidRPr="00E8487C" w:rsidRDefault="003800F9" w:rsidP="003800F9">
            <w:pPr>
              <w:spacing w:after="0"/>
              <w:jc w:val="center"/>
              <w:rPr>
                <w:rFonts w:cs="Arial"/>
                <w:color w:val="000000"/>
                <w:sz w:val="20"/>
                <w:szCs w:val="20"/>
                <w:highlight w:val="yellow"/>
                <w:lang w:eastAsia="es-CO"/>
              </w:rPr>
            </w:pPr>
            <w:r w:rsidRPr="00D7762E">
              <w:t>6</w:t>
            </w:r>
          </w:p>
        </w:tc>
        <w:tc>
          <w:tcPr>
            <w:tcW w:w="1769" w:type="dxa"/>
            <w:tcBorders>
              <w:top w:val="nil"/>
              <w:left w:val="nil"/>
              <w:bottom w:val="nil"/>
              <w:right w:val="nil"/>
            </w:tcBorders>
            <w:shd w:val="clear" w:color="auto" w:fill="auto"/>
            <w:hideMark/>
          </w:tcPr>
          <w:p w14:paraId="4779951B" w14:textId="3094580D" w:rsidR="003800F9" w:rsidRPr="00E8487C" w:rsidRDefault="003D434A" w:rsidP="003800F9">
            <w:pPr>
              <w:spacing w:after="0"/>
              <w:rPr>
                <w:rFonts w:cs="Arial"/>
                <w:color w:val="000000"/>
                <w:sz w:val="20"/>
                <w:szCs w:val="20"/>
                <w:highlight w:val="yellow"/>
                <w:lang w:eastAsia="es-CO"/>
              </w:rPr>
            </w:pPr>
            <w:r w:rsidRPr="00340100">
              <w:t>E2024005026</w:t>
            </w:r>
          </w:p>
        </w:tc>
        <w:tc>
          <w:tcPr>
            <w:tcW w:w="2399" w:type="dxa"/>
            <w:tcBorders>
              <w:top w:val="nil"/>
              <w:left w:val="nil"/>
              <w:bottom w:val="nil"/>
              <w:right w:val="nil"/>
            </w:tcBorders>
            <w:shd w:val="clear" w:color="auto" w:fill="auto"/>
            <w:noWrap/>
            <w:hideMark/>
          </w:tcPr>
          <w:p w14:paraId="1E59FC16" w14:textId="3A139CCD" w:rsidR="003800F9" w:rsidRPr="00E8487C" w:rsidRDefault="00AF3A31" w:rsidP="003800F9">
            <w:pPr>
              <w:spacing w:after="0"/>
              <w:jc w:val="center"/>
              <w:rPr>
                <w:rFonts w:cs="Arial"/>
                <w:color w:val="000000"/>
                <w:sz w:val="20"/>
                <w:szCs w:val="20"/>
                <w:highlight w:val="yellow"/>
                <w:lang w:eastAsia="es-CO"/>
              </w:rPr>
            </w:pPr>
            <w:r w:rsidRPr="00340100">
              <w:t>AIR-E S.A.S. E.S.P.</w:t>
            </w:r>
          </w:p>
        </w:tc>
      </w:tr>
      <w:tr w:rsidR="003800F9" w:rsidRPr="00646491" w14:paraId="5E172AE0" w14:textId="77777777" w:rsidTr="00AF3A31">
        <w:trPr>
          <w:trHeight w:val="290"/>
          <w:tblHeader/>
          <w:jc w:val="center"/>
        </w:trPr>
        <w:tc>
          <w:tcPr>
            <w:tcW w:w="896" w:type="dxa"/>
            <w:tcBorders>
              <w:top w:val="nil"/>
              <w:left w:val="nil"/>
              <w:bottom w:val="nil"/>
              <w:right w:val="nil"/>
            </w:tcBorders>
            <w:shd w:val="clear" w:color="auto" w:fill="auto"/>
            <w:noWrap/>
            <w:hideMark/>
          </w:tcPr>
          <w:p w14:paraId="187E00A1" w14:textId="79641934" w:rsidR="003800F9" w:rsidRPr="00E8487C" w:rsidRDefault="003800F9" w:rsidP="003800F9">
            <w:pPr>
              <w:spacing w:after="0"/>
              <w:jc w:val="center"/>
              <w:rPr>
                <w:rFonts w:cs="Arial"/>
                <w:color w:val="000000"/>
                <w:sz w:val="20"/>
                <w:szCs w:val="20"/>
                <w:highlight w:val="yellow"/>
                <w:lang w:eastAsia="es-CO"/>
              </w:rPr>
            </w:pPr>
            <w:r w:rsidRPr="00D7762E">
              <w:t>7</w:t>
            </w:r>
          </w:p>
        </w:tc>
        <w:tc>
          <w:tcPr>
            <w:tcW w:w="1769" w:type="dxa"/>
            <w:tcBorders>
              <w:top w:val="nil"/>
              <w:left w:val="nil"/>
              <w:bottom w:val="nil"/>
              <w:right w:val="nil"/>
            </w:tcBorders>
            <w:shd w:val="clear" w:color="auto" w:fill="auto"/>
            <w:hideMark/>
          </w:tcPr>
          <w:p w14:paraId="34EAE041" w14:textId="6DC26F8E" w:rsidR="003800F9" w:rsidRPr="00E8487C" w:rsidRDefault="003D434A" w:rsidP="003800F9">
            <w:pPr>
              <w:spacing w:after="0"/>
              <w:rPr>
                <w:rFonts w:cs="Arial"/>
                <w:color w:val="000000"/>
                <w:sz w:val="20"/>
                <w:szCs w:val="20"/>
                <w:highlight w:val="yellow"/>
                <w:lang w:eastAsia="es-CO"/>
              </w:rPr>
            </w:pPr>
            <w:r w:rsidRPr="00340100">
              <w:t>E2024005028</w:t>
            </w:r>
          </w:p>
        </w:tc>
        <w:tc>
          <w:tcPr>
            <w:tcW w:w="2399" w:type="dxa"/>
            <w:tcBorders>
              <w:top w:val="nil"/>
              <w:left w:val="nil"/>
              <w:bottom w:val="nil"/>
              <w:right w:val="nil"/>
            </w:tcBorders>
            <w:shd w:val="clear" w:color="auto" w:fill="auto"/>
            <w:noWrap/>
            <w:hideMark/>
          </w:tcPr>
          <w:p w14:paraId="31A9E732" w14:textId="67B4A58B" w:rsidR="003800F9" w:rsidRPr="00E8487C" w:rsidRDefault="00AF3A31" w:rsidP="003800F9">
            <w:pPr>
              <w:spacing w:after="0"/>
              <w:jc w:val="center"/>
              <w:rPr>
                <w:rFonts w:cs="Arial"/>
                <w:color w:val="000000"/>
                <w:sz w:val="20"/>
                <w:szCs w:val="20"/>
                <w:highlight w:val="yellow"/>
                <w:lang w:eastAsia="es-CO"/>
              </w:rPr>
            </w:pPr>
            <w:r w:rsidRPr="00340100">
              <w:t>XM</w:t>
            </w:r>
          </w:p>
        </w:tc>
      </w:tr>
      <w:tr w:rsidR="003800F9" w:rsidRPr="00646491" w14:paraId="6F9884B2" w14:textId="77777777" w:rsidTr="00AF3A31">
        <w:trPr>
          <w:trHeight w:val="290"/>
          <w:tblHeader/>
          <w:jc w:val="center"/>
        </w:trPr>
        <w:tc>
          <w:tcPr>
            <w:tcW w:w="896" w:type="dxa"/>
            <w:tcBorders>
              <w:top w:val="nil"/>
              <w:left w:val="nil"/>
              <w:bottom w:val="nil"/>
              <w:right w:val="nil"/>
            </w:tcBorders>
            <w:shd w:val="clear" w:color="auto" w:fill="auto"/>
            <w:noWrap/>
            <w:hideMark/>
          </w:tcPr>
          <w:p w14:paraId="39D4B8AE" w14:textId="4B2785BA" w:rsidR="003800F9" w:rsidRPr="00E8487C" w:rsidRDefault="003800F9" w:rsidP="003800F9">
            <w:pPr>
              <w:spacing w:after="0"/>
              <w:jc w:val="center"/>
              <w:rPr>
                <w:rFonts w:cs="Arial"/>
                <w:color w:val="000000"/>
                <w:sz w:val="20"/>
                <w:szCs w:val="20"/>
                <w:highlight w:val="yellow"/>
                <w:lang w:eastAsia="es-CO"/>
              </w:rPr>
            </w:pPr>
            <w:r w:rsidRPr="00D7762E">
              <w:t>8</w:t>
            </w:r>
          </w:p>
        </w:tc>
        <w:tc>
          <w:tcPr>
            <w:tcW w:w="1769" w:type="dxa"/>
            <w:tcBorders>
              <w:top w:val="nil"/>
              <w:left w:val="nil"/>
              <w:bottom w:val="nil"/>
              <w:right w:val="nil"/>
            </w:tcBorders>
            <w:shd w:val="clear" w:color="auto" w:fill="auto"/>
            <w:hideMark/>
          </w:tcPr>
          <w:p w14:paraId="30BDB4DE" w14:textId="62ADBF26" w:rsidR="003800F9" w:rsidRPr="00E8487C" w:rsidRDefault="003D434A" w:rsidP="003800F9">
            <w:pPr>
              <w:spacing w:after="0"/>
              <w:rPr>
                <w:rFonts w:cs="Arial"/>
                <w:color w:val="000000"/>
                <w:sz w:val="20"/>
                <w:szCs w:val="20"/>
                <w:highlight w:val="yellow"/>
                <w:lang w:eastAsia="es-CO"/>
              </w:rPr>
            </w:pPr>
            <w:r w:rsidRPr="00340100">
              <w:t>E2024005029</w:t>
            </w:r>
          </w:p>
        </w:tc>
        <w:tc>
          <w:tcPr>
            <w:tcW w:w="2399" w:type="dxa"/>
            <w:tcBorders>
              <w:top w:val="nil"/>
              <w:left w:val="nil"/>
              <w:bottom w:val="nil"/>
              <w:right w:val="nil"/>
            </w:tcBorders>
            <w:shd w:val="clear" w:color="auto" w:fill="auto"/>
            <w:noWrap/>
            <w:hideMark/>
          </w:tcPr>
          <w:p w14:paraId="78D07153" w14:textId="614B38CD" w:rsidR="003800F9" w:rsidRPr="00E8487C" w:rsidRDefault="00AF3A31" w:rsidP="003800F9">
            <w:pPr>
              <w:spacing w:after="0"/>
              <w:jc w:val="center"/>
              <w:rPr>
                <w:rFonts w:cs="Arial"/>
                <w:color w:val="000000"/>
                <w:sz w:val="20"/>
                <w:szCs w:val="20"/>
                <w:highlight w:val="yellow"/>
                <w:lang w:eastAsia="es-CO"/>
              </w:rPr>
            </w:pPr>
            <w:r w:rsidRPr="00340100">
              <w:t>ACOLGEN</w:t>
            </w:r>
          </w:p>
        </w:tc>
      </w:tr>
      <w:tr w:rsidR="003800F9" w:rsidRPr="00646491" w14:paraId="72476F3E" w14:textId="77777777" w:rsidTr="00AF3A31">
        <w:trPr>
          <w:trHeight w:val="290"/>
          <w:tblHeader/>
          <w:jc w:val="center"/>
        </w:trPr>
        <w:tc>
          <w:tcPr>
            <w:tcW w:w="896" w:type="dxa"/>
            <w:tcBorders>
              <w:top w:val="nil"/>
              <w:left w:val="nil"/>
              <w:bottom w:val="nil"/>
              <w:right w:val="nil"/>
            </w:tcBorders>
            <w:shd w:val="clear" w:color="auto" w:fill="auto"/>
            <w:noWrap/>
            <w:hideMark/>
          </w:tcPr>
          <w:p w14:paraId="49279122" w14:textId="366E0E66" w:rsidR="003800F9" w:rsidRPr="00E8487C" w:rsidRDefault="003800F9" w:rsidP="003800F9">
            <w:pPr>
              <w:spacing w:after="0"/>
              <w:jc w:val="center"/>
              <w:rPr>
                <w:rFonts w:cs="Arial"/>
                <w:color w:val="000000"/>
                <w:sz w:val="20"/>
                <w:szCs w:val="20"/>
                <w:highlight w:val="yellow"/>
                <w:lang w:eastAsia="es-CO"/>
              </w:rPr>
            </w:pPr>
            <w:r w:rsidRPr="00D7762E">
              <w:t>9</w:t>
            </w:r>
          </w:p>
        </w:tc>
        <w:tc>
          <w:tcPr>
            <w:tcW w:w="1769" w:type="dxa"/>
            <w:tcBorders>
              <w:top w:val="nil"/>
              <w:left w:val="nil"/>
              <w:bottom w:val="nil"/>
              <w:right w:val="nil"/>
            </w:tcBorders>
            <w:shd w:val="clear" w:color="auto" w:fill="auto"/>
            <w:hideMark/>
          </w:tcPr>
          <w:p w14:paraId="0DF7918F" w14:textId="6BFAA21D" w:rsidR="003800F9" w:rsidRPr="00E8487C" w:rsidRDefault="003D434A" w:rsidP="003800F9">
            <w:pPr>
              <w:spacing w:after="0"/>
              <w:rPr>
                <w:rFonts w:cs="Arial"/>
                <w:color w:val="000000"/>
                <w:sz w:val="20"/>
                <w:szCs w:val="20"/>
                <w:highlight w:val="yellow"/>
                <w:lang w:eastAsia="es-CO"/>
              </w:rPr>
            </w:pPr>
            <w:r w:rsidRPr="00340100">
              <w:t>E2024005030</w:t>
            </w:r>
          </w:p>
        </w:tc>
        <w:tc>
          <w:tcPr>
            <w:tcW w:w="2399" w:type="dxa"/>
            <w:tcBorders>
              <w:top w:val="nil"/>
              <w:left w:val="nil"/>
              <w:bottom w:val="nil"/>
              <w:right w:val="nil"/>
            </w:tcBorders>
            <w:shd w:val="clear" w:color="auto" w:fill="auto"/>
            <w:noWrap/>
            <w:hideMark/>
          </w:tcPr>
          <w:p w14:paraId="6D97C402" w14:textId="29416B3B" w:rsidR="003800F9" w:rsidRPr="00E8487C" w:rsidRDefault="00AF3A31" w:rsidP="003800F9">
            <w:pPr>
              <w:spacing w:after="0"/>
              <w:jc w:val="center"/>
              <w:rPr>
                <w:rFonts w:cs="Arial"/>
                <w:color w:val="000000"/>
                <w:sz w:val="20"/>
                <w:szCs w:val="20"/>
                <w:highlight w:val="yellow"/>
                <w:lang w:eastAsia="es-CO"/>
              </w:rPr>
            </w:pPr>
            <w:r w:rsidRPr="00340100">
              <w:t>CODISGEN</w:t>
            </w:r>
          </w:p>
        </w:tc>
      </w:tr>
      <w:tr w:rsidR="003800F9" w:rsidRPr="00646491" w14:paraId="6BA08203" w14:textId="77777777" w:rsidTr="00AF3A31">
        <w:trPr>
          <w:trHeight w:val="290"/>
          <w:tblHeader/>
          <w:jc w:val="center"/>
        </w:trPr>
        <w:tc>
          <w:tcPr>
            <w:tcW w:w="896" w:type="dxa"/>
            <w:tcBorders>
              <w:top w:val="nil"/>
              <w:left w:val="nil"/>
              <w:bottom w:val="nil"/>
              <w:right w:val="nil"/>
            </w:tcBorders>
            <w:shd w:val="clear" w:color="auto" w:fill="auto"/>
            <w:noWrap/>
            <w:hideMark/>
          </w:tcPr>
          <w:p w14:paraId="39839ABB" w14:textId="2ADA2599" w:rsidR="003800F9" w:rsidRPr="00E8487C" w:rsidRDefault="003800F9" w:rsidP="003800F9">
            <w:pPr>
              <w:spacing w:after="0"/>
              <w:jc w:val="center"/>
              <w:rPr>
                <w:rFonts w:cs="Arial"/>
                <w:color w:val="000000"/>
                <w:sz w:val="20"/>
                <w:szCs w:val="20"/>
                <w:highlight w:val="yellow"/>
                <w:lang w:eastAsia="es-CO"/>
              </w:rPr>
            </w:pPr>
            <w:r w:rsidRPr="00D7762E">
              <w:t>10</w:t>
            </w:r>
          </w:p>
        </w:tc>
        <w:tc>
          <w:tcPr>
            <w:tcW w:w="1769" w:type="dxa"/>
            <w:tcBorders>
              <w:top w:val="nil"/>
              <w:left w:val="nil"/>
              <w:bottom w:val="nil"/>
              <w:right w:val="nil"/>
            </w:tcBorders>
            <w:shd w:val="clear" w:color="auto" w:fill="auto"/>
            <w:hideMark/>
          </w:tcPr>
          <w:p w14:paraId="08D3BF7E" w14:textId="002A853E" w:rsidR="003800F9" w:rsidRPr="00E8487C" w:rsidRDefault="003D434A" w:rsidP="003800F9">
            <w:pPr>
              <w:spacing w:after="0"/>
              <w:rPr>
                <w:rFonts w:cs="Arial"/>
                <w:color w:val="000000"/>
                <w:sz w:val="20"/>
                <w:szCs w:val="20"/>
                <w:highlight w:val="yellow"/>
                <w:lang w:eastAsia="es-CO"/>
              </w:rPr>
            </w:pPr>
            <w:r w:rsidRPr="00340100">
              <w:t>E2024005032</w:t>
            </w:r>
          </w:p>
        </w:tc>
        <w:tc>
          <w:tcPr>
            <w:tcW w:w="2399" w:type="dxa"/>
            <w:tcBorders>
              <w:top w:val="nil"/>
              <w:left w:val="nil"/>
              <w:bottom w:val="nil"/>
              <w:right w:val="nil"/>
            </w:tcBorders>
            <w:shd w:val="clear" w:color="auto" w:fill="auto"/>
            <w:noWrap/>
            <w:hideMark/>
          </w:tcPr>
          <w:p w14:paraId="3E660A28" w14:textId="2EA929F7" w:rsidR="003800F9" w:rsidRPr="00E8487C" w:rsidRDefault="00AF3A31" w:rsidP="003800F9">
            <w:pPr>
              <w:spacing w:after="0"/>
              <w:jc w:val="center"/>
              <w:rPr>
                <w:rFonts w:cs="Arial"/>
                <w:color w:val="000000"/>
                <w:sz w:val="20"/>
                <w:szCs w:val="20"/>
                <w:highlight w:val="yellow"/>
                <w:lang w:eastAsia="es-CO"/>
              </w:rPr>
            </w:pPr>
            <w:r w:rsidRPr="00340100">
              <w:t>VATIA</w:t>
            </w:r>
          </w:p>
        </w:tc>
      </w:tr>
      <w:tr w:rsidR="003800F9" w:rsidRPr="00646491" w14:paraId="170A3EE6" w14:textId="77777777" w:rsidTr="00AF3A31">
        <w:trPr>
          <w:trHeight w:val="290"/>
          <w:tblHeader/>
          <w:jc w:val="center"/>
        </w:trPr>
        <w:tc>
          <w:tcPr>
            <w:tcW w:w="896" w:type="dxa"/>
            <w:tcBorders>
              <w:top w:val="nil"/>
              <w:left w:val="nil"/>
              <w:bottom w:val="nil"/>
              <w:right w:val="nil"/>
            </w:tcBorders>
            <w:shd w:val="clear" w:color="auto" w:fill="auto"/>
            <w:noWrap/>
            <w:hideMark/>
          </w:tcPr>
          <w:p w14:paraId="07A892FF" w14:textId="5E64C43B" w:rsidR="003800F9" w:rsidRPr="00E8487C" w:rsidRDefault="003800F9" w:rsidP="003800F9">
            <w:pPr>
              <w:spacing w:after="0"/>
              <w:jc w:val="center"/>
              <w:rPr>
                <w:rFonts w:cs="Arial"/>
                <w:color w:val="000000"/>
                <w:sz w:val="20"/>
                <w:szCs w:val="20"/>
                <w:highlight w:val="yellow"/>
                <w:lang w:eastAsia="es-CO"/>
              </w:rPr>
            </w:pPr>
            <w:r w:rsidRPr="00D7762E">
              <w:t>11</w:t>
            </w:r>
          </w:p>
        </w:tc>
        <w:tc>
          <w:tcPr>
            <w:tcW w:w="1769" w:type="dxa"/>
            <w:tcBorders>
              <w:top w:val="nil"/>
              <w:left w:val="nil"/>
              <w:bottom w:val="nil"/>
              <w:right w:val="nil"/>
            </w:tcBorders>
            <w:shd w:val="clear" w:color="auto" w:fill="auto"/>
            <w:hideMark/>
          </w:tcPr>
          <w:p w14:paraId="691BF54F" w14:textId="3345E468" w:rsidR="003800F9" w:rsidRPr="00E8487C" w:rsidRDefault="003D434A" w:rsidP="003800F9">
            <w:pPr>
              <w:spacing w:after="0"/>
              <w:rPr>
                <w:rFonts w:cs="Arial"/>
                <w:color w:val="000000"/>
                <w:sz w:val="20"/>
                <w:szCs w:val="20"/>
                <w:highlight w:val="yellow"/>
                <w:lang w:eastAsia="es-CO"/>
              </w:rPr>
            </w:pPr>
            <w:r w:rsidRPr="00340100">
              <w:t>E2024005039</w:t>
            </w:r>
          </w:p>
        </w:tc>
        <w:tc>
          <w:tcPr>
            <w:tcW w:w="2399" w:type="dxa"/>
            <w:tcBorders>
              <w:top w:val="nil"/>
              <w:left w:val="nil"/>
              <w:bottom w:val="nil"/>
              <w:right w:val="nil"/>
            </w:tcBorders>
            <w:shd w:val="clear" w:color="auto" w:fill="auto"/>
            <w:noWrap/>
            <w:hideMark/>
          </w:tcPr>
          <w:p w14:paraId="709ECC23" w14:textId="00356BF0" w:rsidR="003800F9" w:rsidRPr="00E8487C" w:rsidRDefault="00AF3A31" w:rsidP="003800F9">
            <w:pPr>
              <w:spacing w:after="0"/>
              <w:jc w:val="center"/>
              <w:rPr>
                <w:rFonts w:cs="Arial"/>
                <w:color w:val="000000"/>
                <w:sz w:val="20"/>
                <w:szCs w:val="20"/>
                <w:highlight w:val="yellow"/>
                <w:lang w:eastAsia="es-CO"/>
              </w:rPr>
            </w:pPr>
            <w:r w:rsidRPr="00340100">
              <w:t>ENEL</w:t>
            </w:r>
          </w:p>
        </w:tc>
      </w:tr>
      <w:tr w:rsidR="003800F9" w:rsidRPr="00646491" w14:paraId="5B1FE768" w14:textId="77777777" w:rsidTr="00AF3A31">
        <w:trPr>
          <w:trHeight w:val="300"/>
          <w:tblHeader/>
          <w:jc w:val="center"/>
        </w:trPr>
        <w:tc>
          <w:tcPr>
            <w:tcW w:w="896" w:type="dxa"/>
            <w:tcBorders>
              <w:top w:val="nil"/>
              <w:left w:val="nil"/>
              <w:right w:val="nil"/>
            </w:tcBorders>
            <w:shd w:val="clear" w:color="auto" w:fill="auto"/>
            <w:noWrap/>
            <w:hideMark/>
          </w:tcPr>
          <w:p w14:paraId="49231DB8" w14:textId="10B714E4" w:rsidR="003800F9" w:rsidRPr="00E8487C" w:rsidRDefault="003800F9" w:rsidP="003800F9">
            <w:pPr>
              <w:spacing w:after="0"/>
              <w:jc w:val="center"/>
              <w:rPr>
                <w:rFonts w:cs="Arial"/>
                <w:color w:val="000000"/>
                <w:sz w:val="20"/>
                <w:szCs w:val="20"/>
                <w:highlight w:val="yellow"/>
                <w:lang w:eastAsia="es-CO"/>
              </w:rPr>
            </w:pPr>
            <w:r w:rsidRPr="00D7762E">
              <w:t>12</w:t>
            </w:r>
          </w:p>
        </w:tc>
        <w:tc>
          <w:tcPr>
            <w:tcW w:w="1769" w:type="dxa"/>
            <w:tcBorders>
              <w:top w:val="nil"/>
              <w:left w:val="nil"/>
              <w:right w:val="nil"/>
            </w:tcBorders>
            <w:shd w:val="clear" w:color="auto" w:fill="auto"/>
            <w:hideMark/>
          </w:tcPr>
          <w:p w14:paraId="6337FFDF" w14:textId="5CD43B2E" w:rsidR="003800F9" w:rsidRPr="00E8487C" w:rsidRDefault="003D434A" w:rsidP="003800F9">
            <w:pPr>
              <w:spacing w:after="0"/>
              <w:rPr>
                <w:rFonts w:cs="Arial"/>
                <w:color w:val="000000"/>
                <w:sz w:val="20"/>
                <w:szCs w:val="20"/>
                <w:highlight w:val="yellow"/>
                <w:lang w:eastAsia="es-CO"/>
              </w:rPr>
            </w:pPr>
            <w:r w:rsidRPr="00340100">
              <w:t>E2024005040</w:t>
            </w:r>
          </w:p>
        </w:tc>
        <w:tc>
          <w:tcPr>
            <w:tcW w:w="2399" w:type="dxa"/>
            <w:tcBorders>
              <w:top w:val="nil"/>
              <w:left w:val="nil"/>
              <w:right w:val="nil"/>
            </w:tcBorders>
            <w:shd w:val="clear" w:color="auto" w:fill="auto"/>
            <w:noWrap/>
            <w:hideMark/>
          </w:tcPr>
          <w:p w14:paraId="765FFAA8" w14:textId="25F9F9AC" w:rsidR="003800F9" w:rsidRPr="00E8487C" w:rsidRDefault="00AF3A31" w:rsidP="003800F9">
            <w:pPr>
              <w:spacing w:after="0"/>
              <w:jc w:val="center"/>
              <w:rPr>
                <w:rFonts w:cs="Arial"/>
                <w:color w:val="000000"/>
                <w:sz w:val="20"/>
                <w:szCs w:val="20"/>
                <w:highlight w:val="yellow"/>
                <w:lang w:eastAsia="es-CO"/>
              </w:rPr>
            </w:pPr>
            <w:r w:rsidRPr="00340100">
              <w:t xml:space="preserve">GECELCA SA ESP </w:t>
            </w:r>
          </w:p>
        </w:tc>
      </w:tr>
      <w:tr w:rsidR="003D434A" w:rsidRPr="00646491" w14:paraId="01AA5675" w14:textId="77777777" w:rsidTr="00AF3A31">
        <w:trPr>
          <w:trHeight w:val="300"/>
          <w:tblHeader/>
          <w:jc w:val="center"/>
        </w:trPr>
        <w:tc>
          <w:tcPr>
            <w:tcW w:w="896" w:type="dxa"/>
            <w:tcBorders>
              <w:top w:val="nil"/>
              <w:left w:val="nil"/>
              <w:right w:val="nil"/>
            </w:tcBorders>
            <w:shd w:val="clear" w:color="auto" w:fill="auto"/>
            <w:noWrap/>
          </w:tcPr>
          <w:p w14:paraId="3222875D" w14:textId="4E6F7A27" w:rsidR="003D434A" w:rsidRPr="00D7762E" w:rsidRDefault="00AF3A31" w:rsidP="003D434A">
            <w:pPr>
              <w:spacing w:after="0"/>
              <w:jc w:val="center"/>
            </w:pPr>
            <w:r>
              <w:t>13</w:t>
            </w:r>
          </w:p>
        </w:tc>
        <w:tc>
          <w:tcPr>
            <w:tcW w:w="1769" w:type="dxa"/>
            <w:tcBorders>
              <w:top w:val="nil"/>
              <w:left w:val="nil"/>
              <w:right w:val="nil"/>
            </w:tcBorders>
            <w:shd w:val="clear" w:color="auto" w:fill="auto"/>
          </w:tcPr>
          <w:p w14:paraId="71AFB680" w14:textId="5F2E16F1" w:rsidR="003D434A" w:rsidRPr="002678F0" w:rsidRDefault="003D434A" w:rsidP="003D434A">
            <w:pPr>
              <w:spacing w:after="0"/>
            </w:pPr>
            <w:r w:rsidRPr="00340100">
              <w:t>E2024005041</w:t>
            </w:r>
          </w:p>
        </w:tc>
        <w:tc>
          <w:tcPr>
            <w:tcW w:w="2399" w:type="dxa"/>
            <w:tcBorders>
              <w:top w:val="nil"/>
              <w:left w:val="nil"/>
              <w:right w:val="nil"/>
            </w:tcBorders>
            <w:shd w:val="clear" w:color="auto" w:fill="auto"/>
            <w:noWrap/>
          </w:tcPr>
          <w:p w14:paraId="7CF943C8" w14:textId="55DBC6C7" w:rsidR="003D434A" w:rsidRPr="002678F0" w:rsidRDefault="00AF3A31" w:rsidP="003D434A">
            <w:pPr>
              <w:spacing w:after="0"/>
              <w:jc w:val="center"/>
            </w:pPr>
            <w:r w:rsidRPr="00340100">
              <w:t>EEP</w:t>
            </w:r>
          </w:p>
        </w:tc>
      </w:tr>
      <w:tr w:rsidR="003D434A" w:rsidRPr="00646491" w14:paraId="0376BAA2" w14:textId="77777777" w:rsidTr="00AF3A31">
        <w:trPr>
          <w:trHeight w:val="300"/>
          <w:tblHeader/>
          <w:jc w:val="center"/>
        </w:trPr>
        <w:tc>
          <w:tcPr>
            <w:tcW w:w="896" w:type="dxa"/>
            <w:tcBorders>
              <w:top w:val="nil"/>
              <w:left w:val="nil"/>
              <w:right w:val="nil"/>
            </w:tcBorders>
            <w:shd w:val="clear" w:color="auto" w:fill="auto"/>
            <w:noWrap/>
          </w:tcPr>
          <w:p w14:paraId="45EFA150" w14:textId="22F30ED6" w:rsidR="003D434A" w:rsidRPr="00D7762E" w:rsidRDefault="00AF3A31" w:rsidP="003D434A">
            <w:pPr>
              <w:spacing w:after="0"/>
              <w:jc w:val="center"/>
            </w:pPr>
            <w:r>
              <w:t>14</w:t>
            </w:r>
          </w:p>
        </w:tc>
        <w:tc>
          <w:tcPr>
            <w:tcW w:w="1769" w:type="dxa"/>
            <w:tcBorders>
              <w:top w:val="nil"/>
              <w:left w:val="nil"/>
              <w:right w:val="nil"/>
            </w:tcBorders>
            <w:shd w:val="clear" w:color="auto" w:fill="auto"/>
          </w:tcPr>
          <w:p w14:paraId="150C4332" w14:textId="6EAEAFF6" w:rsidR="003D434A" w:rsidRPr="002678F0" w:rsidRDefault="003D434A" w:rsidP="003D434A">
            <w:pPr>
              <w:spacing w:after="0"/>
            </w:pPr>
            <w:r w:rsidRPr="00340100">
              <w:t>E2024005064</w:t>
            </w:r>
          </w:p>
        </w:tc>
        <w:tc>
          <w:tcPr>
            <w:tcW w:w="2399" w:type="dxa"/>
            <w:tcBorders>
              <w:top w:val="nil"/>
              <w:left w:val="nil"/>
              <w:right w:val="nil"/>
            </w:tcBorders>
            <w:shd w:val="clear" w:color="auto" w:fill="auto"/>
            <w:noWrap/>
          </w:tcPr>
          <w:p w14:paraId="127A936F" w14:textId="32FC7CDB" w:rsidR="003D434A" w:rsidRPr="002678F0" w:rsidRDefault="00AF3A31" w:rsidP="003D434A">
            <w:pPr>
              <w:spacing w:after="0"/>
              <w:jc w:val="center"/>
            </w:pPr>
            <w:r w:rsidRPr="00340100">
              <w:t>ANDEG</w:t>
            </w:r>
          </w:p>
        </w:tc>
      </w:tr>
      <w:tr w:rsidR="003D434A" w:rsidRPr="00646491" w14:paraId="53B41D24" w14:textId="77777777" w:rsidTr="00AF3A31">
        <w:trPr>
          <w:trHeight w:val="300"/>
          <w:tblHeader/>
          <w:jc w:val="center"/>
        </w:trPr>
        <w:tc>
          <w:tcPr>
            <w:tcW w:w="896" w:type="dxa"/>
            <w:tcBorders>
              <w:left w:val="nil"/>
              <w:bottom w:val="single" w:sz="8" w:space="0" w:color="auto"/>
              <w:right w:val="nil"/>
            </w:tcBorders>
            <w:shd w:val="clear" w:color="auto" w:fill="auto"/>
            <w:noWrap/>
          </w:tcPr>
          <w:p w14:paraId="13384A3A" w14:textId="76550766" w:rsidR="003D434A" w:rsidRPr="00D7762E" w:rsidRDefault="00AF3A31" w:rsidP="003D434A">
            <w:pPr>
              <w:spacing w:after="0"/>
              <w:jc w:val="center"/>
            </w:pPr>
            <w:r>
              <w:t>15</w:t>
            </w:r>
          </w:p>
        </w:tc>
        <w:tc>
          <w:tcPr>
            <w:tcW w:w="1769" w:type="dxa"/>
            <w:tcBorders>
              <w:left w:val="nil"/>
              <w:bottom w:val="single" w:sz="8" w:space="0" w:color="auto"/>
              <w:right w:val="nil"/>
            </w:tcBorders>
            <w:shd w:val="clear" w:color="auto" w:fill="auto"/>
          </w:tcPr>
          <w:p w14:paraId="71844D36" w14:textId="4DD9574B" w:rsidR="003D434A" w:rsidRPr="002678F0" w:rsidRDefault="003D434A" w:rsidP="003D434A">
            <w:pPr>
              <w:spacing w:after="0"/>
            </w:pPr>
            <w:r w:rsidRPr="00340100">
              <w:t>E2024005082</w:t>
            </w:r>
          </w:p>
        </w:tc>
        <w:tc>
          <w:tcPr>
            <w:tcW w:w="2399" w:type="dxa"/>
            <w:tcBorders>
              <w:left w:val="nil"/>
              <w:bottom w:val="single" w:sz="8" w:space="0" w:color="auto"/>
              <w:right w:val="nil"/>
            </w:tcBorders>
            <w:shd w:val="clear" w:color="auto" w:fill="auto"/>
            <w:noWrap/>
          </w:tcPr>
          <w:p w14:paraId="7B930F05" w14:textId="3565DB29" w:rsidR="003D434A" w:rsidRPr="002678F0" w:rsidRDefault="00AF3A31" w:rsidP="003D434A">
            <w:pPr>
              <w:spacing w:after="0"/>
              <w:jc w:val="center"/>
            </w:pPr>
            <w:r w:rsidRPr="00340100">
              <w:t>ASOCODIS</w:t>
            </w:r>
          </w:p>
        </w:tc>
      </w:tr>
    </w:tbl>
    <w:p w14:paraId="2FA76D81" w14:textId="06E2E276" w:rsidR="00107062" w:rsidRDefault="00E905A7" w:rsidP="00107062">
      <w:pPr>
        <w:spacing w:before="240" w:after="0"/>
      </w:pPr>
      <w:r>
        <w:t>L</w:t>
      </w:r>
      <w:r w:rsidR="00107062">
        <w:t xml:space="preserve">os </w:t>
      </w:r>
      <w:r>
        <w:t>comentarios recibidos</w:t>
      </w:r>
      <w:r w:rsidR="00107062">
        <w:t xml:space="preserve"> </w:t>
      </w:r>
      <w:r w:rsidR="00E56DCF">
        <w:t>y sus respuesta</w:t>
      </w:r>
      <w:r w:rsidR="00772C29">
        <w:t>s</w:t>
      </w:r>
      <w:r w:rsidR="00E56DCF">
        <w:t xml:space="preserve"> se presentan</w:t>
      </w:r>
      <w:r w:rsidR="00107062">
        <w:t xml:space="preserve"> </w:t>
      </w:r>
      <w:r w:rsidR="003519E2">
        <w:t xml:space="preserve">en forma detallada </w:t>
      </w:r>
      <w:r w:rsidR="00D05E4B">
        <w:t>al final del documento</w:t>
      </w:r>
      <w:r w:rsidR="00107062">
        <w:t>.</w:t>
      </w:r>
    </w:p>
    <w:p w14:paraId="0605B7E3" w14:textId="3777E417" w:rsidR="000F656E" w:rsidRDefault="00CF140E" w:rsidP="006D7B76">
      <w:pPr>
        <w:spacing w:before="240" w:after="0"/>
      </w:pPr>
      <w:r>
        <w:t>Se</w:t>
      </w:r>
      <w:r w:rsidR="00294FC9">
        <w:t xml:space="preserve"> </w:t>
      </w:r>
      <w:r w:rsidR="005D7412">
        <w:t>presentaron</w:t>
      </w:r>
      <w:r w:rsidR="00983D3E">
        <w:t xml:space="preserve"> comentarios sobre los puntos planteados</w:t>
      </w:r>
      <w:r w:rsidR="005D7412">
        <w:t xml:space="preserve"> en la propuesta y t</w:t>
      </w:r>
      <w:r w:rsidR="00983D3E">
        <w:t xml:space="preserve">ambién sobre </w:t>
      </w:r>
      <w:r w:rsidR="005D7412">
        <w:t xml:space="preserve">otros </w:t>
      </w:r>
      <w:r w:rsidR="00983D3E">
        <w:t>temas generales</w:t>
      </w:r>
      <w:r w:rsidR="00772C29">
        <w:t>. En ellos</w:t>
      </w:r>
      <w:r w:rsidR="00294FC9">
        <w:t xml:space="preserve"> expusieron sus preocupaciones </w:t>
      </w:r>
      <w:r w:rsidR="00772C29">
        <w:t>y sugerencias</w:t>
      </w:r>
      <w:r w:rsidR="00294FC9">
        <w:t xml:space="preserve"> frente a</w:t>
      </w:r>
      <w:r>
        <w:t xml:space="preserve"> la</w:t>
      </w:r>
      <w:r w:rsidR="00294FC9">
        <w:t xml:space="preserve"> </w:t>
      </w:r>
      <w:r w:rsidR="00684022">
        <w:t>propuesta</w:t>
      </w:r>
      <w:r w:rsidR="0065436C">
        <w:t>, la</w:t>
      </w:r>
      <w:r w:rsidR="005E0BC5">
        <w:t>s</w:t>
      </w:r>
      <w:r w:rsidR="0065436C">
        <w:t xml:space="preserve"> cu</w:t>
      </w:r>
      <w:r w:rsidR="004B08DC">
        <w:t xml:space="preserve">ales </w:t>
      </w:r>
      <w:r w:rsidR="00A17246">
        <w:t xml:space="preserve">se resumen </w:t>
      </w:r>
      <w:r w:rsidR="000F656E">
        <w:t xml:space="preserve">en </w:t>
      </w:r>
      <w:r w:rsidR="0050260F">
        <w:t>tres</w:t>
      </w:r>
      <w:r w:rsidR="000F656E">
        <w:t xml:space="preserve"> puntos:</w:t>
      </w:r>
    </w:p>
    <w:p w14:paraId="4613DAD2" w14:textId="7A69DD63" w:rsidR="00AE1F7B" w:rsidRDefault="000F656E" w:rsidP="004C7DEE">
      <w:pPr>
        <w:pStyle w:val="Prrafodelista"/>
        <w:numPr>
          <w:ilvl w:val="0"/>
          <w:numId w:val="13"/>
        </w:numPr>
        <w:spacing w:before="120" w:after="0"/>
        <w:ind w:left="788" w:hanging="357"/>
      </w:pPr>
      <w:r>
        <w:t>Ámbito de aplicación</w:t>
      </w:r>
      <w:r w:rsidR="5D79A610">
        <w:t>.</w:t>
      </w:r>
    </w:p>
    <w:p w14:paraId="63672A08" w14:textId="729F15AF" w:rsidR="000F656E" w:rsidRDefault="005831C0" w:rsidP="004C7DEE">
      <w:pPr>
        <w:pStyle w:val="Prrafodelista"/>
        <w:numPr>
          <w:ilvl w:val="0"/>
          <w:numId w:val="13"/>
        </w:numPr>
        <w:spacing w:before="120" w:after="0"/>
        <w:ind w:left="788" w:hanging="357"/>
      </w:pPr>
      <w:r>
        <w:t xml:space="preserve">Riesgo </w:t>
      </w:r>
      <w:r w:rsidR="002719C5">
        <w:t xml:space="preserve">en el mercado debido al valor de referencia </w:t>
      </w:r>
      <w:r w:rsidR="00935EEB">
        <w:t>en el cálculo de gar</w:t>
      </w:r>
      <w:r w:rsidR="00A60633">
        <w:t>antías</w:t>
      </w:r>
      <w:r w:rsidR="2AB09A2E">
        <w:t>.</w:t>
      </w:r>
    </w:p>
    <w:p w14:paraId="4554C5A6" w14:textId="553A6225" w:rsidR="00BC2453" w:rsidRDefault="00BC2453" w:rsidP="004C7DEE">
      <w:pPr>
        <w:pStyle w:val="Prrafodelista"/>
        <w:numPr>
          <w:ilvl w:val="0"/>
          <w:numId w:val="13"/>
        </w:numPr>
        <w:spacing w:before="120" w:after="0"/>
        <w:ind w:left="788" w:hanging="357"/>
      </w:pPr>
      <w:r>
        <w:t xml:space="preserve">Implementación de otras medidas </w:t>
      </w:r>
    </w:p>
    <w:p w14:paraId="37D33B4B" w14:textId="672FFE13" w:rsidR="00B330C2" w:rsidRPr="00D31018" w:rsidRDefault="00B330C2" w:rsidP="00CB21AC">
      <w:pPr>
        <w:pStyle w:val="Ttulo2"/>
        <w:spacing w:before="360" w:after="0"/>
        <w:ind w:left="578" w:hanging="578"/>
        <w:rPr>
          <w:rFonts w:cs="Arial"/>
          <w:b w:val="0"/>
          <w:bCs/>
          <w:sz w:val="24"/>
          <w:szCs w:val="28"/>
          <w:lang w:val="es-ES"/>
        </w:rPr>
      </w:pPr>
      <w:bookmarkStart w:id="15" w:name="_Toc150524987"/>
      <w:r>
        <w:rPr>
          <w:rFonts w:cs="Arial"/>
          <w:b w:val="0"/>
          <w:sz w:val="24"/>
          <w:szCs w:val="28"/>
          <w:lang w:val="es-ES"/>
        </w:rPr>
        <w:t>Á</w:t>
      </w:r>
      <w:r w:rsidRPr="00D31018">
        <w:rPr>
          <w:rFonts w:cs="Arial"/>
          <w:b w:val="0"/>
          <w:bCs/>
          <w:sz w:val="24"/>
          <w:szCs w:val="28"/>
          <w:lang w:val="es-ES"/>
        </w:rPr>
        <w:t>mbito de aplicación.</w:t>
      </w:r>
      <w:bookmarkEnd w:id="15"/>
    </w:p>
    <w:p w14:paraId="3D96893C" w14:textId="335558BC" w:rsidR="00B330C2" w:rsidRPr="00236DCD" w:rsidRDefault="00B330C2" w:rsidP="006D7B76">
      <w:pPr>
        <w:spacing w:before="240" w:after="0"/>
        <w:rPr>
          <w:rFonts w:cs="Arial"/>
          <w:lang w:val="es-ES"/>
        </w:rPr>
      </w:pPr>
      <w:r w:rsidRPr="6D4EC1AC">
        <w:rPr>
          <w:rFonts w:cs="Arial"/>
          <w:lang w:val="es-ES"/>
        </w:rPr>
        <w:t xml:space="preserve">Se recibieron comentarios o solicitudes </w:t>
      </w:r>
      <w:r w:rsidR="00BC2453">
        <w:rPr>
          <w:rFonts w:cs="Arial"/>
          <w:lang w:val="es-ES"/>
        </w:rPr>
        <w:t xml:space="preserve">sobre </w:t>
      </w:r>
      <w:r w:rsidR="79BC25A6" w:rsidRPr="6D4EC1AC">
        <w:rPr>
          <w:rFonts w:cs="Arial"/>
          <w:lang w:val="es-ES"/>
        </w:rPr>
        <w:t>la</w:t>
      </w:r>
      <w:r w:rsidRPr="6D4EC1AC">
        <w:rPr>
          <w:rFonts w:cs="Arial"/>
          <w:lang w:val="es-ES"/>
        </w:rPr>
        <w:t xml:space="preserve"> aplicación de la medida</w:t>
      </w:r>
      <w:r w:rsidR="00BC2453">
        <w:rPr>
          <w:rFonts w:cs="Arial"/>
          <w:lang w:val="es-ES"/>
        </w:rPr>
        <w:t>. Proponen que la medida se extienda a agentes generadores y a otros comercializadores que no están dentro del ámbito de aplicación.</w:t>
      </w:r>
    </w:p>
    <w:p w14:paraId="3986328C" w14:textId="73FF12BD" w:rsidR="00B330C2" w:rsidRPr="00D31018" w:rsidRDefault="00B330C2" w:rsidP="0E237B42">
      <w:pPr>
        <w:pStyle w:val="Ttulo2"/>
        <w:spacing w:before="360" w:after="0"/>
        <w:ind w:left="578" w:hanging="578"/>
        <w:rPr>
          <w:rFonts w:cs="Arial"/>
          <w:b w:val="0"/>
          <w:sz w:val="24"/>
          <w:lang w:val="es-ES"/>
        </w:rPr>
      </w:pPr>
      <w:bookmarkStart w:id="16" w:name="_Toc150524988"/>
      <w:r>
        <w:rPr>
          <w:b w:val="0"/>
          <w:sz w:val="24"/>
          <w:lang w:val="es-ES"/>
        </w:rPr>
        <w:t>Ri</w:t>
      </w:r>
      <w:r w:rsidRPr="0E237B42">
        <w:rPr>
          <w:rFonts w:cs="Arial"/>
          <w:b w:val="0"/>
          <w:sz w:val="24"/>
          <w:lang w:val="es-ES"/>
        </w:rPr>
        <w:t>esgo en el mercado debido al valor de referencia en el cálculo del monto de las garantías qu</w:t>
      </w:r>
      <w:r w:rsidR="00BC2453">
        <w:rPr>
          <w:rFonts w:cs="Arial"/>
          <w:b w:val="0"/>
          <w:sz w:val="24"/>
          <w:lang w:val="es-ES"/>
        </w:rPr>
        <w:t>e</w:t>
      </w:r>
      <w:r w:rsidRPr="0E237B42">
        <w:rPr>
          <w:rFonts w:cs="Arial"/>
          <w:b w:val="0"/>
          <w:sz w:val="24"/>
          <w:lang w:val="es-ES"/>
        </w:rPr>
        <w:t xml:space="preserve"> cubren las transacciones en la bolsa</w:t>
      </w:r>
      <w:r w:rsidR="7EAB6599" w:rsidRPr="0E237B42">
        <w:rPr>
          <w:rFonts w:cs="Arial"/>
          <w:b w:val="0"/>
          <w:sz w:val="24"/>
          <w:lang w:val="es-ES"/>
        </w:rPr>
        <w:t>.</w:t>
      </w:r>
      <w:bookmarkEnd w:id="16"/>
    </w:p>
    <w:p w14:paraId="6C4DF627" w14:textId="4790B6E6" w:rsidR="00B330C2" w:rsidRPr="00236DCD" w:rsidRDefault="00B330C2" w:rsidP="006D7B76">
      <w:pPr>
        <w:spacing w:before="240" w:after="0"/>
        <w:rPr>
          <w:rFonts w:cs="Arial"/>
          <w:lang w:val="es-ES"/>
        </w:rPr>
      </w:pPr>
      <w:r w:rsidRPr="00236DCD">
        <w:rPr>
          <w:rFonts w:cs="Arial"/>
          <w:lang w:val="es-ES"/>
        </w:rPr>
        <w:t xml:space="preserve">Respecto a este particular, se recibieron comentarios en términos de que la disminución del valor de la garantía que cubre las compras en bolsa de los </w:t>
      </w:r>
      <w:r w:rsidR="002A2590" w:rsidRPr="00236DCD">
        <w:rPr>
          <w:rFonts w:cs="Arial"/>
          <w:lang w:val="es-ES"/>
        </w:rPr>
        <w:t>agentes</w:t>
      </w:r>
      <w:r w:rsidRPr="00236DCD">
        <w:rPr>
          <w:rFonts w:cs="Arial"/>
          <w:lang w:val="es-ES"/>
        </w:rPr>
        <w:t xml:space="preserve"> podría generar un riesgo de cartera y eventualmente un riesgo sistémico en el MEM y </w:t>
      </w:r>
      <w:r w:rsidR="00625E8B" w:rsidRPr="00236DCD">
        <w:rPr>
          <w:rFonts w:cs="Arial"/>
          <w:lang w:val="es-ES"/>
        </w:rPr>
        <w:t>que,</w:t>
      </w:r>
      <w:r w:rsidRPr="00236DCD">
        <w:rPr>
          <w:rFonts w:cs="Arial"/>
          <w:lang w:val="es-ES"/>
        </w:rPr>
        <w:t xml:space="preserve"> por tal </w:t>
      </w:r>
      <w:r w:rsidRPr="00236DCD">
        <w:rPr>
          <w:rFonts w:cs="Arial"/>
          <w:lang w:val="es-ES"/>
        </w:rPr>
        <w:lastRenderedPageBreak/>
        <w:t xml:space="preserve">razón, no debería ajustarse el mecanismo de garantías que ha equilibrado el flujo de capital necesario para respaldar las obligaciones de las compras en bolsa. </w:t>
      </w:r>
    </w:p>
    <w:p w14:paraId="05E93972" w14:textId="0D762A03" w:rsidR="00B330C2" w:rsidRDefault="00B330C2" w:rsidP="006D7B76">
      <w:pPr>
        <w:spacing w:before="240" w:after="0"/>
        <w:rPr>
          <w:rFonts w:cs="Arial"/>
          <w:lang w:val="es-ES"/>
        </w:rPr>
      </w:pPr>
      <w:r w:rsidRPr="6D4EC1AC">
        <w:rPr>
          <w:rFonts w:cs="Arial"/>
          <w:lang w:val="es-ES"/>
        </w:rPr>
        <w:t>A</w:t>
      </w:r>
      <w:r w:rsidR="00EF522A" w:rsidRPr="6D4EC1AC">
        <w:rPr>
          <w:rFonts w:cs="Arial"/>
          <w:lang w:val="es-ES"/>
        </w:rPr>
        <w:t xml:space="preserve">l </w:t>
      </w:r>
      <w:r w:rsidR="008C1CE5" w:rsidRPr="6D4EC1AC">
        <w:rPr>
          <w:rFonts w:cs="Arial"/>
          <w:lang w:val="es-ES"/>
        </w:rPr>
        <w:t>respecto</w:t>
      </w:r>
      <w:r w:rsidRPr="6D4EC1AC">
        <w:rPr>
          <w:rFonts w:cs="Arial"/>
          <w:lang w:val="es-ES"/>
        </w:rPr>
        <w:t>, la Comisión aclara en primer lugar, que la medi</w:t>
      </w:r>
      <w:r w:rsidR="00BC2453">
        <w:rPr>
          <w:rFonts w:cs="Arial"/>
          <w:lang w:val="es-ES"/>
        </w:rPr>
        <w:t>d</w:t>
      </w:r>
      <w:r w:rsidRPr="6D4EC1AC">
        <w:rPr>
          <w:rFonts w:cs="Arial"/>
          <w:lang w:val="es-ES"/>
        </w:rPr>
        <w:t>a aplica de manera genera</w:t>
      </w:r>
      <w:r w:rsidR="00883BC5" w:rsidRPr="6D4EC1AC">
        <w:rPr>
          <w:rFonts w:cs="Arial"/>
          <w:lang w:val="es-ES"/>
        </w:rPr>
        <w:t>l</w:t>
      </w:r>
      <w:r w:rsidRPr="6D4EC1AC">
        <w:rPr>
          <w:rFonts w:cs="Arial"/>
          <w:lang w:val="es-ES"/>
        </w:rPr>
        <w:t xml:space="preserve"> a un grupo de prestadores o agentes que se encuentran en una situación coyuntural o de escasez de capital de trabajo debido a los saldos pendientes por recuperar de la opción tarifaria. Por lo cual, esta propuesta pretende </w:t>
      </w:r>
      <w:r w:rsidR="00ED1F2E">
        <w:rPr>
          <w:rFonts w:cs="Arial"/>
          <w:lang w:val="es-ES"/>
        </w:rPr>
        <w:t>disminuir</w:t>
      </w:r>
      <w:r w:rsidRPr="6D4EC1AC">
        <w:rPr>
          <w:rFonts w:cs="Arial"/>
          <w:lang w:val="es-ES"/>
        </w:rPr>
        <w:t xml:space="preserve"> el valor de las garantías que estos agentes deben respaldar</w:t>
      </w:r>
      <w:r w:rsidR="008C1CE5" w:rsidRPr="6D4EC1AC">
        <w:rPr>
          <w:rFonts w:cs="Arial"/>
          <w:lang w:val="es-ES"/>
        </w:rPr>
        <w:t xml:space="preserve">, manteniendo condiciones </w:t>
      </w:r>
      <w:r w:rsidR="004942E6" w:rsidRPr="6D4EC1AC">
        <w:rPr>
          <w:rFonts w:cs="Arial"/>
          <w:lang w:val="es-ES"/>
        </w:rPr>
        <w:t>de cobertura en el mercado</w:t>
      </w:r>
      <w:r w:rsidRPr="6D4EC1AC">
        <w:rPr>
          <w:rFonts w:cs="Arial"/>
          <w:lang w:val="es-ES"/>
        </w:rPr>
        <w:t>. En segundo lugar, no se están modificando o flexibilizando</w:t>
      </w:r>
      <w:r w:rsidR="004942E6" w:rsidRPr="6D4EC1AC">
        <w:rPr>
          <w:rFonts w:cs="Arial"/>
          <w:lang w:val="es-ES"/>
        </w:rPr>
        <w:t xml:space="preserve"> el cumplimiento de</w:t>
      </w:r>
      <w:r w:rsidRPr="6D4EC1AC">
        <w:rPr>
          <w:rFonts w:cs="Arial"/>
          <w:lang w:val="es-ES"/>
        </w:rPr>
        <w:t xml:space="preserve"> las obligaciones que tienen estos agentes frente al MEM</w:t>
      </w:r>
      <w:r w:rsidR="6BBE2949" w:rsidRPr="6D4EC1AC">
        <w:rPr>
          <w:rFonts w:cs="Arial"/>
          <w:lang w:val="es-ES"/>
        </w:rPr>
        <w:t>, pues las obligaciones</w:t>
      </w:r>
      <w:r w:rsidR="3A253D6F" w:rsidRPr="6D4EC1AC">
        <w:rPr>
          <w:rFonts w:cs="Arial"/>
          <w:lang w:val="es-ES"/>
        </w:rPr>
        <w:t xml:space="preserve"> de</w:t>
      </w:r>
      <w:r w:rsidRPr="6D4EC1AC">
        <w:rPr>
          <w:rFonts w:cs="Arial"/>
          <w:lang w:val="es-ES"/>
        </w:rPr>
        <w:t xml:space="preserve"> pago de las correspondientes facturas del mercado</w:t>
      </w:r>
      <w:r w:rsidR="23B420BA" w:rsidRPr="6D4EC1AC">
        <w:rPr>
          <w:rFonts w:cs="Arial"/>
          <w:lang w:val="es-ES"/>
        </w:rPr>
        <w:t xml:space="preserve">, no se </w:t>
      </w:r>
      <w:r w:rsidR="00BE675E" w:rsidRPr="6D4EC1AC">
        <w:rPr>
          <w:rFonts w:cs="Arial"/>
          <w:lang w:val="es-ES"/>
        </w:rPr>
        <w:t>modifican</w:t>
      </w:r>
      <w:r w:rsidR="23B420BA" w:rsidRPr="6D4EC1AC">
        <w:rPr>
          <w:rFonts w:cs="Arial"/>
          <w:lang w:val="es-ES"/>
        </w:rPr>
        <w:t xml:space="preserve">. </w:t>
      </w:r>
    </w:p>
    <w:p w14:paraId="5A19FB59" w14:textId="77777777" w:rsidR="00BD2A72" w:rsidRDefault="00BD2A72" w:rsidP="00BD2A72">
      <w:pPr>
        <w:pStyle w:val="Ttulo2"/>
        <w:spacing w:before="360" w:after="0"/>
        <w:ind w:left="578" w:hanging="578"/>
      </w:pPr>
      <w:bookmarkStart w:id="17" w:name="_Toc150524989"/>
      <w:r w:rsidRPr="00BD2A72">
        <w:rPr>
          <w:b w:val="0"/>
          <w:sz w:val="24"/>
        </w:rPr>
        <w:t>Implementación</w:t>
      </w:r>
      <w:r>
        <w:t xml:space="preserve"> </w:t>
      </w:r>
      <w:r w:rsidRPr="00BD2A72">
        <w:rPr>
          <w:b w:val="0"/>
          <w:bCs/>
          <w:sz w:val="24"/>
          <w:szCs w:val="28"/>
        </w:rPr>
        <w:t>de otras medidas</w:t>
      </w:r>
      <w:bookmarkEnd w:id="17"/>
      <w:r w:rsidRPr="00BD2A72">
        <w:rPr>
          <w:sz w:val="24"/>
          <w:szCs w:val="28"/>
        </w:rPr>
        <w:t xml:space="preserve"> </w:t>
      </w:r>
    </w:p>
    <w:p w14:paraId="6C5B31B0" w14:textId="2B799589" w:rsidR="00BD2A72" w:rsidRDefault="00BD2A72" w:rsidP="006D7B76">
      <w:pPr>
        <w:spacing w:before="240" w:after="0"/>
        <w:rPr>
          <w:rFonts w:cs="Arial"/>
          <w:lang w:val="es-ES"/>
        </w:rPr>
      </w:pPr>
      <w:r>
        <w:rPr>
          <w:rFonts w:cs="Arial"/>
          <w:lang w:val="es-ES"/>
        </w:rPr>
        <w:t>Se hacen requerimientos para la revisión del esquema de garantías en términos de: instrumentos admisibles de cobertura, valores de referencia y variables para el cálculo de montos a cubrir.</w:t>
      </w:r>
    </w:p>
    <w:p w14:paraId="65D6131E" w14:textId="5264A295" w:rsidR="00BD2A72" w:rsidRDefault="00BD2A72" w:rsidP="006D7B76">
      <w:pPr>
        <w:spacing w:before="240" w:after="0"/>
        <w:rPr>
          <w:rFonts w:cs="Arial"/>
          <w:lang w:val="es-ES"/>
        </w:rPr>
      </w:pPr>
      <w:r>
        <w:rPr>
          <w:rFonts w:cs="Arial"/>
          <w:lang w:val="es-ES"/>
        </w:rPr>
        <w:t xml:space="preserve">Frente a estas solicitudes la Comisión informa que </w:t>
      </w:r>
      <w:r w:rsidR="00E60D5F">
        <w:rPr>
          <w:rFonts w:cs="Arial"/>
          <w:lang w:val="es-ES"/>
        </w:rPr>
        <w:t xml:space="preserve">se encuentra </w:t>
      </w:r>
      <w:r>
        <w:rPr>
          <w:rFonts w:cs="Arial"/>
          <w:lang w:val="es-ES"/>
        </w:rPr>
        <w:t>revisa</w:t>
      </w:r>
      <w:r w:rsidR="00B97F4B">
        <w:rPr>
          <w:rFonts w:cs="Arial"/>
          <w:lang w:val="es-ES"/>
        </w:rPr>
        <w:t>ndo</w:t>
      </w:r>
      <w:r>
        <w:rPr>
          <w:rFonts w:cs="Arial"/>
          <w:lang w:val="es-ES"/>
        </w:rPr>
        <w:t xml:space="preserve"> el esquema de garantías donde se consideran para el análisis los puntos planteados por los agentes.</w:t>
      </w:r>
    </w:p>
    <w:p w14:paraId="187808FD" w14:textId="2E031908" w:rsidR="00381D3F" w:rsidRDefault="0018199E" w:rsidP="006D7B76">
      <w:pPr>
        <w:pStyle w:val="Ttulo1"/>
        <w:spacing w:after="0"/>
        <w:ind w:left="431" w:hanging="431"/>
        <w:rPr>
          <w:rFonts w:cs="Arial"/>
        </w:rPr>
      </w:pPr>
      <w:bookmarkStart w:id="18" w:name="_Ref136417956"/>
      <w:bookmarkStart w:id="19" w:name="_Toc150524990"/>
      <w:r w:rsidRPr="006D7B76">
        <w:rPr>
          <w:rFonts w:cs="Arial"/>
        </w:rPr>
        <w:t>PROPUESTA</w:t>
      </w:r>
      <w:r w:rsidR="005F381C" w:rsidRPr="006D7B76">
        <w:rPr>
          <w:rFonts w:cs="Arial"/>
        </w:rPr>
        <w:t xml:space="preserve"> REGULATORIA</w:t>
      </w:r>
      <w:bookmarkEnd w:id="18"/>
      <w:bookmarkEnd w:id="19"/>
    </w:p>
    <w:p w14:paraId="0C809440" w14:textId="683A7B0F" w:rsidR="0090077A" w:rsidRDefault="0090077A" w:rsidP="0090077A">
      <w:pPr>
        <w:spacing w:before="240" w:after="0"/>
      </w:pPr>
      <w:r>
        <w:t>Tal como se presentó en el proyecto de resolución CREG 701 0</w:t>
      </w:r>
      <w:r w:rsidR="00B97F4B">
        <w:t>36</w:t>
      </w:r>
      <w:r>
        <w:t xml:space="preserve"> de 202</w:t>
      </w:r>
      <w:r w:rsidR="00B97F4B">
        <w:t>4</w:t>
      </w:r>
      <w:r>
        <w:t>, se amplía la aplicación del artículo 2 de la Resolución CREG 101 016 de 2023 de la siguiente manera:</w:t>
      </w:r>
    </w:p>
    <w:p w14:paraId="299EECC2" w14:textId="7F42AE12" w:rsidR="0090077A" w:rsidRDefault="0090077A" w:rsidP="0090077A">
      <w:pPr>
        <w:pStyle w:val="Prrafodelista"/>
        <w:numPr>
          <w:ilvl w:val="0"/>
          <w:numId w:val="17"/>
        </w:numPr>
        <w:spacing w:before="240" w:after="0"/>
      </w:pPr>
      <w:r>
        <w:t xml:space="preserve">El ámbito de aplicación queda establecido para </w:t>
      </w:r>
      <w:r w:rsidR="00614655">
        <w:t xml:space="preserve">todos </w:t>
      </w:r>
      <w:r>
        <w:t>los comercializadores que atienden usuarios finales regulados</w:t>
      </w:r>
      <w:r w:rsidR="00614655">
        <w:t>.</w:t>
      </w:r>
    </w:p>
    <w:p w14:paraId="3270BD7C" w14:textId="7B7222D9" w:rsidR="0090077A" w:rsidRDefault="0090077A" w:rsidP="0090077A">
      <w:pPr>
        <w:pStyle w:val="Prrafodelista"/>
        <w:numPr>
          <w:ilvl w:val="0"/>
          <w:numId w:val="17"/>
        </w:numPr>
        <w:spacing w:before="240" w:after="0"/>
      </w:pPr>
      <w:r>
        <w:t>La vigencia de esta medida aplicaría para la totalidad de los periodos a cubrir hasta el 3</w:t>
      </w:r>
      <w:r w:rsidR="00563F17">
        <w:t>1</w:t>
      </w:r>
      <w:r>
        <w:t xml:space="preserve"> de </w:t>
      </w:r>
      <w:r w:rsidR="00563F17">
        <w:t>julio</w:t>
      </w:r>
      <w:r>
        <w:t xml:space="preserve"> de 2024.</w:t>
      </w:r>
    </w:p>
    <w:p w14:paraId="766698A6" w14:textId="2320F60E" w:rsidR="00381D3F" w:rsidRPr="00847DDB" w:rsidRDefault="00CB21AC" w:rsidP="00CB21AC">
      <w:pPr>
        <w:pStyle w:val="Ttulo2"/>
        <w:spacing w:before="360" w:after="0"/>
        <w:ind w:left="578" w:hanging="578"/>
        <w:rPr>
          <w:sz w:val="24"/>
          <w:szCs w:val="28"/>
        </w:rPr>
      </w:pPr>
      <w:bookmarkStart w:id="20" w:name="_Toc150524991"/>
      <w:r w:rsidRPr="00847DDB">
        <w:rPr>
          <w:sz w:val="24"/>
          <w:szCs w:val="28"/>
        </w:rPr>
        <w:t>Ámbito de aplicación</w:t>
      </w:r>
      <w:bookmarkEnd w:id="20"/>
    </w:p>
    <w:p w14:paraId="151A507B" w14:textId="435D6F38" w:rsidR="00694E6D" w:rsidRDefault="00E33203" w:rsidP="006D7B76">
      <w:pPr>
        <w:spacing w:before="240" w:after="0"/>
      </w:pPr>
      <w:r>
        <w:t xml:space="preserve">Las medidas definidas en la </w:t>
      </w:r>
      <w:r w:rsidR="26B8CEA5">
        <w:t>propuesta regulatoria</w:t>
      </w:r>
      <w:r>
        <w:t xml:space="preserve"> son de carácter transitorio y buscan atender una situación de corto plazo</w:t>
      </w:r>
      <w:r w:rsidR="00B068C9">
        <w:t xml:space="preserve">. En consecuencia, </w:t>
      </w:r>
      <w:r w:rsidR="008E4355">
        <w:t xml:space="preserve">la Comisión </w:t>
      </w:r>
      <w:r w:rsidR="004B5E4B">
        <w:t xml:space="preserve">estima conveniente mantener el ámbito </w:t>
      </w:r>
      <w:r w:rsidR="00D7681C">
        <w:t>de la</w:t>
      </w:r>
      <w:r w:rsidR="004B5E4B">
        <w:t xml:space="preserve"> aplicación</w:t>
      </w:r>
      <w:r w:rsidR="0090077A">
        <w:t xml:space="preserve"> consultado en el proyecto resolución 701 0</w:t>
      </w:r>
      <w:r w:rsidR="00C15BDB">
        <w:t>36</w:t>
      </w:r>
      <w:r w:rsidR="0090077A">
        <w:t xml:space="preserve"> de 202</w:t>
      </w:r>
      <w:r w:rsidR="00C15BDB">
        <w:t>4</w:t>
      </w:r>
      <w:r w:rsidR="00B30015">
        <w:t xml:space="preserve">, donde los comercializadores </w:t>
      </w:r>
      <w:r w:rsidR="0090077A">
        <w:t>que atienden usuarios finales regulados</w:t>
      </w:r>
      <w:r w:rsidR="00B30015">
        <w:t xml:space="preserve"> </w:t>
      </w:r>
      <w:r w:rsidR="0090077A">
        <w:t>mantienen su estrechez de</w:t>
      </w:r>
      <w:r w:rsidR="003B0219">
        <w:t xml:space="preserve"> flujo de caja,</w:t>
      </w:r>
      <w:r w:rsidR="0003677A">
        <w:t xml:space="preserve"> </w:t>
      </w:r>
      <w:r w:rsidR="0090077A">
        <w:t xml:space="preserve">dado el monto adeudado como resultado </w:t>
      </w:r>
      <w:r w:rsidR="000C62CF">
        <w:t>de la aplicación de la opción tarifaria</w:t>
      </w:r>
      <w:r w:rsidR="00A73149">
        <w:t>.</w:t>
      </w:r>
      <w:r w:rsidR="00D7681C">
        <w:t xml:space="preserve"> </w:t>
      </w:r>
    </w:p>
    <w:p w14:paraId="10D92B80" w14:textId="58B28D57" w:rsidR="00381D3F" w:rsidRDefault="00D7681C" w:rsidP="006D7B76">
      <w:pPr>
        <w:spacing w:before="240" w:after="0"/>
      </w:pPr>
      <w:r>
        <w:lastRenderedPageBreak/>
        <w:t xml:space="preserve">En todo caso, </w:t>
      </w:r>
      <w:r w:rsidR="00A73149">
        <w:t xml:space="preserve">se </w:t>
      </w:r>
      <w:r w:rsidR="005C280A">
        <w:t xml:space="preserve">señala que estas medidas </w:t>
      </w:r>
      <w:r w:rsidR="00C15BDB">
        <w:t>est</w:t>
      </w:r>
      <w:r w:rsidR="005C280A">
        <w:t>án</w:t>
      </w:r>
      <w:r w:rsidR="00E33203">
        <w:t xml:space="preserve"> s</w:t>
      </w:r>
      <w:r w:rsidR="00C15BDB">
        <w:t>iendo</w:t>
      </w:r>
      <w:r w:rsidR="00E33203">
        <w:t xml:space="preserve"> evaluada</w:t>
      </w:r>
      <w:r w:rsidR="009A5BC9">
        <w:t>s</w:t>
      </w:r>
      <w:r w:rsidR="00E33203">
        <w:t xml:space="preserve"> con </w:t>
      </w:r>
      <w:r w:rsidR="00D2274F">
        <w:t xml:space="preserve">nuevos </w:t>
      </w:r>
      <w:r w:rsidR="00E33203">
        <w:t xml:space="preserve">elementos de análisis y de forma integral </w:t>
      </w:r>
      <w:r w:rsidR="009A5BC9">
        <w:t>dentro de la estructura de</w:t>
      </w:r>
      <w:r w:rsidR="00E33203">
        <w:t xml:space="preserve"> los esquemas de cobertura y de seguimiento de riesgo establecidos en la regula</w:t>
      </w:r>
      <w:r w:rsidR="00776D9C">
        <w:t>ción.</w:t>
      </w:r>
    </w:p>
    <w:p w14:paraId="136B8B08" w14:textId="4CC0E9EB" w:rsidR="005F381C" w:rsidRPr="004670B2" w:rsidRDefault="004C7DEE" w:rsidP="00CB21AC">
      <w:pPr>
        <w:pStyle w:val="Ttulo2"/>
        <w:spacing w:before="360" w:after="0"/>
        <w:ind w:left="578" w:hanging="578"/>
        <w:rPr>
          <w:sz w:val="24"/>
          <w:szCs w:val="28"/>
        </w:rPr>
      </w:pPr>
      <w:bookmarkStart w:id="21" w:name="_Toc150524992"/>
      <w:bookmarkStart w:id="22" w:name="_Hlk136416831"/>
      <w:r w:rsidRPr="004670B2">
        <w:rPr>
          <w:sz w:val="24"/>
          <w:szCs w:val="28"/>
        </w:rPr>
        <w:t>Cálculo de valor de cobertura</w:t>
      </w:r>
      <w:bookmarkEnd w:id="21"/>
    </w:p>
    <w:bookmarkEnd w:id="22"/>
    <w:p w14:paraId="48CBE35C" w14:textId="5FFF3225" w:rsidR="00937C5D" w:rsidRDefault="000C5014" w:rsidP="006D7B76">
      <w:pPr>
        <w:spacing w:before="240" w:after="0"/>
      </w:pPr>
      <w:r>
        <w:t>Con referencia a</w:t>
      </w:r>
      <w:r w:rsidR="00151EA5">
        <w:t>l cálculo de</w:t>
      </w:r>
      <w:r>
        <w:t xml:space="preserve"> los valores de cobertura </w:t>
      </w:r>
      <w:r w:rsidR="006B1F46">
        <w:t>es importante señalar</w:t>
      </w:r>
      <w:r w:rsidR="009A22F7">
        <w:t>,</w:t>
      </w:r>
      <w:r w:rsidR="006B1F46">
        <w:t xml:space="preserve"> como se mencionó en un apartado anterior, que el esquema </w:t>
      </w:r>
      <w:r w:rsidR="009A22F7">
        <w:t>vigente</w:t>
      </w:r>
      <w:r w:rsidR="006B1F46">
        <w:t xml:space="preserve"> ha funcionado de manera adecuada en condiciones normales, mitigando los riesgos de pago de las transacciones que se efectúan a través del mercado mayorista. Ahora bien, en </w:t>
      </w:r>
      <w:r w:rsidR="00937C5D">
        <w:t>un contexto como el actual, el análisis de riesgo tiene que ampliarse un poco más para incorporar los efectos de algunas medidas regulatorias sobre unos agentes particulares.</w:t>
      </w:r>
    </w:p>
    <w:p w14:paraId="37864589" w14:textId="32AB49A5" w:rsidR="00D7681C" w:rsidRDefault="00D7681C" w:rsidP="006D7B76">
      <w:pPr>
        <w:spacing w:before="240" w:after="0"/>
      </w:pPr>
      <w:r>
        <w:t>Durante la aplicación de la medida dispuesta en la</w:t>
      </w:r>
      <w:r w:rsidR="005E24E5">
        <w:t>s</w:t>
      </w:r>
      <w:r>
        <w:t xml:space="preserve"> </w:t>
      </w:r>
      <w:r w:rsidR="005E24E5">
        <w:t>r</w:t>
      </w:r>
      <w:r>
        <w:t>esoluci</w:t>
      </w:r>
      <w:r w:rsidR="005E24E5">
        <w:t>o</w:t>
      </w:r>
      <w:r>
        <w:t>n</w:t>
      </w:r>
      <w:r w:rsidR="005E24E5">
        <w:t>es</w:t>
      </w:r>
      <w:r>
        <w:t xml:space="preserve"> CREG 101 016 </w:t>
      </w:r>
      <w:r w:rsidR="005E24E5">
        <w:t>y 101 024</w:t>
      </w:r>
      <w:r>
        <w:t xml:space="preserve"> de 2023, no se han materializado eventos de incumplimiento de las obligaciones por parte de los agentes que han optado por acogerse a las medidas dispuestas.</w:t>
      </w:r>
    </w:p>
    <w:p w14:paraId="1C17D7E1" w14:textId="4B093726" w:rsidR="00D7681C" w:rsidRDefault="00D7681C" w:rsidP="006D7B76">
      <w:pPr>
        <w:spacing w:before="240" w:after="0"/>
      </w:pPr>
      <w:r>
        <w:t xml:space="preserve">Por tanto, se mantiene el valor de referencia del Mc para el cálculo del monto a cubrir en las transacciones en bolsa, tal como se propuso en la consulta del proyecto de resolución. En todo caso, se señala que </w:t>
      </w:r>
      <w:r w:rsidR="00BE20CF">
        <w:t xml:space="preserve">no se modifican las obligaciones </w:t>
      </w:r>
      <w:r w:rsidR="00FC12AC">
        <w:t xml:space="preserve">adquiridas por los agentes, y que </w:t>
      </w:r>
      <w:r>
        <w:t>estas medidas son transitorias y sirven para mitigar la situación coyuntural de estrechez de liquidez de los comercializadores.</w:t>
      </w:r>
    </w:p>
    <w:p w14:paraId="215808F3" w14:textId="5AE501B4" w:rsidR="00C03C29" w:rsidRPr="006D7B76" w:rsidRDefault="00C03C29" w:rsidP="006D7B76">
      <w:pPr>
        <w:pStyle w:val="Ttulo1"/>
        <w:spacing w:after="0"/>
        <w:ind w:left="431" w:hanging="431"/>
        <w:rPr>
          <w:rFonts w:cs="Arial"/>
        </w:rPr>
      </w:pPr>
      <w:bookmarkStart w:id="23" w:name="_Toc150524993"/>
      <w:r w:rsidRPr="006D7B76">
        <w:rPr>
          <w:rFonts w:cs="Arial"/>
        </w:rPr>
        <w:t>CONCLUSIONES</w:t>
      </w:r>
      <w:bookmarkEnd w:id="23"/>
    </w:p>
    <w:p w14:paraId="6FBE811F" w14:textId="12FABA0D" w:rsidR="00081F2C" w:rsidRDefault="00081F2C" w:rsidP="006D7B76">
      <w:pPr>
        <w:spacing w:before="240" w:after="0"/>
        <w:rPr>
          <w:rFonts w:cs="Arial"/>
        </w:rPr>
      </w:pPr>
      <w:r>
        <w:rPr>
          <w:rFonts w:cs="Arial"/>
        </w:rPr>
        <w:t xml:space="preserve">La Comisión considera conveniente establecer </w:t>
      </w:r>
      <w:r w:rsidR="00A841B2">
        <w:rPr>
          <w:rFonts w:cs="Arial"/>
        </w:rPr>
        <w:t>l</w:t>
      </w:r>
      <w:r>
        <w:rPr>
          <w:rFonts w:cs="Arial"/>
        </w:rPr>
        <w:t xml:space="preserve">as medidas transitorias </w:t>
      </w:r>
      <w:r w:rsidR="00A0647D">
        <w:rPr>
          <w:rFonts w:cs="Arial"/>
        </w:rPr>
        <w:t xml:space="preserve">descritas en </w:t>
      </w:r>
      <w:r w:rsidR="00500B30">
        <w:rPr>
          <w:rFonts w:cs="Arial"/>
        </w:rPr>
        <w:t xml:space="preserve">la </w:t>
      </w:r>
      <w:r w:rsidR="00851CB9">
        <w:rPr>
          <w:rFonts w:cs="Arial"/>
        </w:rPr>
        <w:t xml:space="preserve">alternativa desarrollada en el numeral </w:t>
      </w:r>
      <w:r w:rsidR="00FB4940">
        <w:rPr>
          <w:rFonts w:cs="Arial"/>
        </w:rPr>
        <w:fldChar w:fldCharType="begin"/>
      </w:r>
      <w:r w:rsidR="00FB4940">
        <w:rPr>
          <w:rFonts w:cs="Arial"/>
        </w:rPr>
        <w:instrText xml:space="preserve"> REF _Ref136417956 \r \h </w:instrText>
      </w:r>
      <w:r w:rsidR="00FB4940">
        <w:rPr>
          <w:rFonts w:cs="Arial"/>
        </w:rPr>
      </w:r>
      <w:r w:rsidR="00FB4940">
        <w:rPr>
          <w:rFonts w:cs="Arial"/>
        </w:rPr>
        <w:fldChar w:fldCharType="separate"/>
      </w:r>
      <w:r w:rsidR="00022C18">
        <w:rPr>
          <w:rFonts w:cs="Arial"/>
        </w:rPr>
        <w:t>8</w:t>
      </w:r>
      <w:r w:rsidR="00FB4940">
        <w:rPr>
          <w:rFonts w:cs="Arial"/>
        </w:rPr>
        <w:fldChar w:fldCharType="end"/>
      </w:r>
      <w:r w:rsidR="00500B30">
        <w:rPr>
          <w:rFonts w:cs="Arial"/>
        </w:rPr>
        <w:t xml:space="preserve"> </w:t>
      </w:r>
      <w:r w:rsidR="00A841B2">
        <w:rPr>
          <w:rFonts w:cs="Arial"/>
        </w:rPr>
        <w:t xml:space="preserve">de </w:t>
      </w:r>
      <w:r w:rsidR="00A0647D">
        <w:rPr>
          <w:rFonts w:cs="Arial"/>
        </w:rPr>
        <w:t xml:space="preserve">este documento </w:t>
      </w:r>
      <w:r w:rsidR="00E60750">
        <w:rPr>
          <w:rFonts w:cs="Arial"/>
        </w:rPr>
        <w:t xml:space="preserve">para que sean aplicables </w:t>
      </w:r>
      <w:r w:rsidR="00BF73D5">
        <w:rPr>
          <w:rFonts w:cs="Arial"/>
        </w:rPr>
        <w:t xml:space="preserve">a aquellos </w:t>
      </w:r>
      <w:r w:rsidR="00806169">
        <w:rPr>
          <w:rFonts w:cs="Arial"/>
        </w:rPr>
        <w:t xml:space="preserve">agentes </w:t>
      </w:r>
      <w:r w:rsidR="00D7681C">
        <w:rPr>
          <w:rFonts w:cs="Arial"/>
        </w:rPr>
        <w:t xml:space="preserve">comercializadores </w:t>
      </w:r>
      <w:r w:rsidR="00BF73D5">
        <w:rPr>
          <w:rFonts w:cs="Arial"/>
        </w:rPr>
        <w:t>que</w:t>
      </w:r>
      <w:r w:rsidR="00806169">
        <w:rPr>
          <w:rFonts w:cs="Arial"/>
        </w:rPr>
        <w:t xml:space="preserve"> </w:t>
      </w:r>
      <w:r w:rsidR="00D7681C">
        <w:rPr>
          <w:rFonts w:cs="Arial"/>
        </w:rPr>
        <w:t xml:space="preserve">atienden usuarios finales regulados que </w:t>
      </w:r>
      <w:r w:rsidR="00806169">
        <w:rPr>
          <w:rFonts w:cs="Arial"/>
        </w:rPr>
        <w:t>están presenta</w:t>
      </w:r>
      <w:r w:rsidR="004A2D4E">
        <w:rPr>
          <w:rFonts w:cs="Arial"/>
        </w:rPr>
        <w:t>n</w:t>
      </w:r>
      <w:r w:rsidR="00806169">
        <w:rPr>
          <w:rFonts w:cs="Arial"/>
        </w:rPr>
        <w:t xml:space="preserve">do </w:t>
      </w:r>
      <w:r w:rsidR="005A197E">
        <w:rPr>
          <w:rFonts w:cs="Arial"/>
        </w:rPr>
        <w:t xml:space="preserve">presiones en su flujo de caja debido </w:t>
      </w:r>
      <w:r w:rsidR="00687993">
        <w:rPr>
          <w:rFonts w:cs="Arial"/>
        </w:rPr>
        <w:t>a l</w:t>
      </w:r>
      <w:r w:rsidR="00D33658">
        <w:rPr>
          <w:rFonts w:cs="Arial"/>
        </w:rPr>
        <w:t xml:space="preserve">os saldos positivos sin recaudar </w:t>
      </w:r>
      <w:r w:rsidR="00FD0BB3">
        <w:rPr>
          <w:rFonts w:cs="Arial"/>
        </w:rPr>
        <w:t xml:space="preserve">por la </w:t>
      </w:r>
      <w:r w:rsidR="007D3C1D">
        <w:rPr>
          <w:rFonts w:cs="Arial"/>
        </w:rPr>
        <w:t>aplicación</w:t>
      </w:r>
      <w:r w:rsidR="00FD0BB3">
        <w:rPr>
          <w:rFonts w:cs="Arial"/>
        </w:rPr>
        <w:t xml:space="preserve"> de la opción </w:t>
      </w:r>
      <w:r w:rsidR="00866DE4">
        <w:rPr>
          <w:rFonts w:cs="Arial"/>
        </w:rPr>
        <w:t>tarifaria</w:t>
      </w:r>
      <w:r w:rsidR="00170521">
        <w:rPr>
          <w:rFonts w:cs="Arial"/>
        </w:rPr>
        <w:t>.</w:t>
      </w:r>
    </w:p>
    <w:p w14:paraId="6F099CE8" w14:textId="3FBE3DD6" w:rsidR="00E72989" w:rsidRPr="006D7B76" w:rsidRDefault="00E72989" w:rsidP="006D7B76">
      <w:pPr>
        <w:pStyle w:val="Ttulo1"/>
        <w:spacing w:after="0"/>
        <w:ind w:left="431" w:hanging="431"/>
        <w:rPr>
          <w:rFonts w:cs="Arial"/>
        </w:rPr>
      </w:pPr>
      <w:bookmarkStart w:id="24" w:name="_Toc150524994"/>
      <w:r w:rsidRPr="006D7B76">
        <w:rPr>
          <w:rFonts w:cs="Arial"/>
        </w:rPr>
        <w:t>CUESTIONARIO SIC</w:t>
      </w:r>
      <w:bookmarkEnd w:id="24"/>
    </w:p>
    <w:p w14:paraId="5097FFF1" w14:textId="77777777" w:rsidR="00005B87" w:rsidRDefault="00005B87" w:rsidP="006D7B76">
      <w:pPr>
        <w:pStyle w:val="Texto"/>
        <w:spacing w:before="240" w:after="0"/>
      </w:pPr>
      <w:r w:rsidRPr="008B4AAF">
        <w:t>A continuación, se presentan las repuestas al cuestionario de</w:t>
      </w:r>
      <w:r>
        <w:t xml:space="preserve"> Abogacía de la Competencia de</w:t>
      </w:r>
      <w:r w:rsidRPr="008B4AAF">
        <w:t xml:space="preserve"> la Superintendencia de Industria y Comercio:</w:t>
      </w:r>
    </w:p>
    <w:p w14:paraId="1B2EE057" w14:textId="77777777" w:rsidR="00635825" w:rsidRPr="008B4AAF" w:rsidRDefault="00635825" w:rsidP="006D7B76">
      <w:pPr>
        <w:pStyle w:val="Texto"/>
        <w:spacing w:before="240" w:after="0"/>
      </w:pPr>
    </w:p>
    <w:p w14:paraId="724298F7" w14:textId="77777777" w:rsidR="00005B87" w:rsidRDefault="00005B87" w:rsidP="006D7B76">
      <w:pPr>
        <w:spacing w:before="240" w:after="0"/>
        <w:rPr>
          <w:rFonts w:cs="Arial"/>
          <w:sz w:val="22"/>
          <w:szCs w:val="18"/>
        </w:rPr>
      </w:pPr>
    </w:p>
    <w:tbl>
      <w:tblPr>
        <w:tblW w:w="9634" w:type="dxa"/>
        <w:tblCellMar>
          <w:left w:w="70" w:type="dxa"/>
          <w:right w:w="70" w:type="dxa"/>
        </w:tblCellMar>
        <w:tblLook w:val="04A0" w:firstRow="1" w:lastRow="0" w:firstColumn="1" w:lastColumn="0" w:noHBand="0" w:noVBand="1"/>
      </w:tblPr>
      <w:tblGrid>
        <w:gridCol w:w="3539"/>
        <w:gridCol w:w="3260"/>
        <w:gridCol w:w="2835"/>
      </w:tblGrid>
      <w:tr w:rsidR="00005B87" w:rsidRPr="0050046F" w14:paraId="03ABE418" w14:textId="77777777" w:rsidTr="00723DBE">
        <w:trPr>
          <w:trHeight w:val="1449"/>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DBD8B" w14:textId="5059F0E7" w:rsidR="00005B87" w:rsidRPr="00022B06" w:rsidRDefault="00635825" w:rsidP="00022B06">
            <w:pPr>
              <w:keepLines/>
              <w:spacing w:after="0"/>
              <w:rPr>
                <w:rFonts w:ascii="Calibri" w:hAnsi="Calibri" w:cs="Calibri"/>
                <w:color w:val="000000"/>
                <w:sz w:val="20"/>
                <w:szCs w:val="20"/>
                <w:lang w:eastAsia="es-CO"/>
              </w:rPr>
            </w:pPr>
            <w:r w:rsidRPr="00022B06">
              <w:rPr>
                <w:rFonts w:ascii="Calibri" w:hAnsi="Calibri" w:cs="Calibri"/>
                <w:noProof/>
                <w:color w:val="000000"/>
                <w:sz w:val="20"/>
                <w:szCs w:val="20"/>
                <w:lang w:eastAsia="es-CO"/>
              </w:rPr>
              <w:lastRenderedPageBreak/>
              <w:drawing>
                <wp:anchor distT="0" distB="0" distL="114300" distR="114300" simplePos="0" relativeHeight="251658241" behindDoc="0" locked="0" layoutInCell="1" allowOverlap="1" wp14:anchorId="1FE1AE2C" wp14:editId="1309B520">
                  <wp:simplePos x="0" y="0"/>
                  <wp:positionH relativeFrom="column">
                    <wp:posOffset>127635</wp:posOffset>
                  </wp:positionH>
                  <wp:positionV relativeFrom="page">
                    <wp:posOffset>132715</wp:posOffset>
                  </wp:positionV>
                  <wp:extent cx="1884045" cy="719455"/>
                  <wp:effectExtent l="0" t="0" r="1905" b="444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84045" cy="719455"/>
                          </a:xfrm>
                          <a:prstGeom prst="rect">
                            <a:avLst/>
                          </a:prstGeom>
                          <a:noFill/>
                        </pic:spPr>
                      </pic:pic>
                    </a:graphicData>
                  </a:graphic>
                  <wp14:sizeRelH relativeFrom="margin">
                    <wp14:pctWidth>0</wp14:pctWidth>
                  </wp14:sizeRelH>
                  <wp14:sizeRelV relativeFrom="margin">
                    <wp14:pctHeight>0</wp14:pctHeight>
                  </wp14:sizeRelV>
                </wp:anchor>
              </w:drawing>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DD4BA5" w14:textId="77777777" w:rsidR="00005B87" w:rsidRPr="009E289C" w:rsidRDefault="00005B87" w:rsidP="00723DBE">
            <w:pPr>
              <w:keepLines/>
              <w:jc w:val="center"/>
              <w:rPr>
                <w:rFonts w:ascii="Calibri" w:hAnsi="Calibri" w:cs="Calibri"/>
                <w:b/>
                <w:bCs/>
                <w:color w:val="000000"/>
                <w:sz w:val="28"/>
                <w:szCs w:val="28"/>
                <w:lang w:eastAsia="es-CO"/>
              </w:rPr>
            </w:pPr>
            <w:r w:rsidRPr="009E289C">
              <w:rPr>
                <w:rFonts w:ascii="Calibri" w:hAnsi="Calibri" w:cs="Calibri"/>
                <w:b/>
                <w:bCs/>
                <w:color w:val="000000"/>
                <w:sz w:val="22"/>
                <w:szCs w:val="22"/>
                <w:lang w:eastAsia="es-CO"/>
              </w:rPr>
              <w:t>CUESTIONARIO DE ABOGACÍA DE LA COMPETENCIA - ACTOS ADMINISTRATIVOS EXPEDIDOS CON FINES REGULATORIOS</w:t>
            </w:r>
          </w:p>
        </w:tc>
      </w:tr>
      <w:tr w:rsidR="00005B87" w:rsidRPr="00637FE1" w14:paraId="526F578C" w14:textId="77777777" w:rsidTr="00723DBE">
        <w:trPr>
          <w:trHeight w:val="645"/>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A1673" w14:textId="77777777" w:rsidR="00005B87" w:rsidRPr="009E289C" w:rsidRDefault="00005B87" w:rsidP="00723DBE">
            <w:pPr>
              <w:keepLines/>
              <w:rPr>
                <w:rFonts w:asciiTheme="minorHAnsi" w:hAnsiTheme="minorHAnsi" w:cstheme="minorHAnsi"/>
                <w:b/>
                <w:bCs/>
                <w:color w:val="000000"/>
                <w:sz w:val="18"/>
                <w:szCs w:val="18"/>
                <w:lang w:eastAsia="es-CO"/>
              </w:rPr>
            </w:pPr>
            <w:r w:rsidRPr="009E289C">
              <w:rPr>
                <w:rFonts w:asciiTheme="minorHAnsi" w:hAnsiTheme="minorHAnsi" w:cstheme="minorHAnsi"/>
                <w:b/>
                <w:bCs/>
                <w:color w:val="000000"/>
                <w:sz w:val="18"/>
                <w:szCs w:val="18"/>
                <w:lang w:eastAsia="es-CO"/>
              </w:rPr>
              <w:t>OBJETO DEL PROYECTO DE REGULACIÓN:</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3F1C40A6" w14:textId="77777777" w:rsidR="00005B87" w:rsidRPr="009E289C" w:rsidRDefault="00005B87" w:rsidP="00723DBE">
            <w:pPr>
              <w:keepLines/>
              <w:rPr>
                <w:rFonts w:asciiTheme="minorHAnsi" w:hAnsiTheme="minorHAnsi" w:cstheme="minorHAnsi"/>
                <w:b/>
                <w:bCs/>
                <w:color w:val="000000"/>
                <w:sz w:val="18"/>
                <w:szCs w:val="18"/>
                <w:lang w:eastAsia="es-CO"/>
              </w:rPr>
            </w:pPr>
            <w:r>
              <w:rPr>
                <w:rFonts w:asciiTheme="minorHAnsi" w:hAnsiTheme="minorHAnsi" w:cstheme="minorHAnsi"/>
                <w:b/>
                <w:bCs/>
                <w:color w:val="000000"/>
                <w:sz w:val="18"/>
                <w:szCs w:val="18"/>
                <w:lang w:eastAsia="es-CO"/>
              </w:rPr>
              <w:t>A</w:t>
            </w:r>
            <w:r w:rsidRPr="0037561C">
              <w:rPr>
                <w:rFonts w:asciiTheme="minorHAnsi" w:hAnsiTheme="minorHAnsi" w:cstheme="minorHAnsi"/>
                <w:b/>
                <w:bCs/>
                <w:color w:val="000000"/>
                <w:sz w:val="18"/>
                <w:szCs w:val="18"/>
                <w:lang w:eastAsia="es-CO"/>
              </w:rPr>
              <w:t>dopta</w:t>
            </w:r>
            <w:r>
              <w:rPr>
                <w:rFonts w:asciiTheme="minorHAnsi" w:hAnsiTheme="minorHAnsi" w:cstheme="minorHAnsi"/>
                <w:b/>
                <w:bCs/>
                <w:color w:val="000000"/>
                <w:sz w:val="18"/>
                <w:szCs w:val="18"/>
                <w:lang w:eastAsia="es-CO"/>
              </w:rPr>
              <w:t>r</w:t>
            </w:r>
            <w:r w:rsidRPr="0037561C">
              <w:rPr>
                <w:rFonts w:asciiTheme="minorHAnsi" w:hAnsiTheme="minorHAnsi" w:cstheme="minorHAnsi"/>
                <w:b/>
                <w:bCs/>
                <w:color w:val="000000"/>
                <w:sz w:val="18"/>
                <w:szCs w:val="18"/>
                <w:lang w:eastAsia="es-CO"/>
              </w:rPr>
              <w:t xml:space="preserve"> medidas transitorias sobre los mecanismos de</w:t>
            </w:r>
            <w:r>
              <w:rPr>
                <w:rFonts w:asciiTheme="minorHAnsi" w:hAnsiTheme="minorHAnsi" w:cstheme="minorHAnsi"/>
                <w:b/>
                <w:bCs/>
                <w:color w:val="000000"/>
                <w:sz w:val="18"/>
                <w:szCs w:val="18"/>
                <w:lang w:eastAsia="es-CO"/>
              </w:rPr>
              <w:t xml:space="preserve"> </w:t>
            </w:r>
            <w:r w:rsidRPr="0037561C">
              <w:rPr>
                <w:rFonts w:asciiTheme="minorHAnsi" w:hAnsiTheme="minorHAnsi" w:cstheme="minorHAnsi"/>
                <w:b/>
                <w:bCs/>
                <w:color w:val="000000"/>
                <w:sz w:val="18"/>
                <w:szCs w:val="18"/>
                <w:lang w:eastAsia="es-CO"/>
              </w:rPr>
              <w:t>cubrimiento para las transacciones de energía mayorista y sobre aplicación</w:t>
            </w:r>
            <w:r>
              <w:rPr>
                <w:rFonts w:asciiTheme="minorHAnsi" w:hAnsiTheme="minorHAnsi" w:cstheme="minorHAnsi"/>
                <w:b/>
                <w:bCs/>
                <w:color w:val="000000"/>
                <w:sz w:val="18"/>
                <w:szCs w:val="18"/>
                <w:lang w:eastAsia="es-CO"/>
              </w:rPr>
              <w:t xml:space="preserve"> </w:t>
            </w:r>
            <w:r w:rsidRPr="0037561C">
              <w:rPr>
                <w:rFonts w:asciiTheme="minorHAnsi" w:hAnsiTheme="minorHAnsi" w:cstheme="minorHAnsi"/>
                <w:b/>
                <w:bCs/>
                <w:color w:val="000000"/>
                <w:sz w:val="18"/>
                <w:szCs w:val="18"/>
                <w:lang w:eastAsia="es-CO"/>
              </w:rPr>
              <w:t>del procedimiento de limitación de suministro</w:t>
            </w:r>
          </w:p>
        </w:tc>
        <w:tc>
          <w:tcPr>
            <w:tcW w:w="2835" w:type="dxa"/>
            <w:tcBorders>
              <w:top w:val="nil"/>
              <w:left w:val="nil"/>
              <w:bottom w:val="single" w:sz="4" w:space="0" w:color="auto"/>
              <w:right w:val="single" w:sz="4" w:space="0" w:color="auto"/>
            </w:tcBorders>
            <w:shd w:val="clear" w:color="auto" w:fill="auto"/>
            <w:vAlign w:val="center"/>
            <w:hideMark/>
          </w:tcPr>
          <w:p w14:paraId="39E8F859" w14:textId="77777777" w:rsidR="00005B87" w:rsidRDefault="00005B87" w:rsidP="00723DBE">
            <w:pPr>
              <w:keepLines/>
              <w:rPr>
                <w:rFonts w:asciiTheme="minorHAnsi" w:hAnsiTheme="minorHAnsi" w:cstheme="minorHAnsi"/>
                <w:b/>
                <w:bCs/>
                <w:color w:val="000000"/>
                <w:sz w:val="18"/>
                <w:szCs w:val="18"/>
                <w:lang w:eastAsia="es-CO"/>
              </w:rPr>
            </w:pPr>
            <w:r w:rsidRPr="009E289C">
              <w:rPr>
                <w:rFonts w:asciiTheme="minorHAnsi" w:hAnsiTheme="minorHAnsi" w:cstheme="minorHAnsi"/>
                <w:b/>
                <w:bCs/>
                <w:color w:val="000000"/>
                <w:sz w:val="18"/>
                <w:szCs w:val="18"/>
                <w:lang w:eastAsia="es-CO"/>
              </w:rPr>
              <w:t>No. DE RESOLUCIÓN O ACTO:</w:t>
            </w:r>
          </w:p>
          <w:p w14:paraId="398C3238" w14:textId="44804498" w:rsidR="00005B87" w:rsidRPr="009E289C" w:rsidRDefault="00005B87" w:rsidP="00723DBE">
            <w:pPr>
              <w:keepLines/>
              <w:rPr>
                <w:rFonts w:asciiTheme="minorHAnsi" w:hAnsiTheme="minorHAnsi" w:cstheme="minorHAnsi"/>
                <w:b/>
                <w:bCs/>
                <w:color w:val="000000"/>
                <w:sz w:val="18"/>
                <w:szCs w:val="18"/>
                <w:lang w:eastAsia="es-CO"/>
              </w:rPr>
            </w:pPr>
            <w:r>
              <w:rPr>
                <w:rFonts w:asciiTheme="minorHAnsi" w:hAnsiTheme="minorHAnsi" w:cstheme="minorHAnsi"/>
                <w:b/>
                <w:bCs/>
                <w:color w:val="000000"/>
                <w:sz w:val="18"/>
                <w:szCs w:val="18"/>
                <w:lang w:eastAsia="es-CO"/>
              </w:rPr>
              <w:t xml:space="preserve">Resolución CREG 701 </w:t>
            </w:r>
            <w:r w:rsidR="000E5AFB" w:rsidRPr="000E5AFB">
              <w:rPr>
                <w:rFonts w:asciiTheme="minorHAnsi" w:hAnsiTheme="minorHAnsi" w:cstheme="minorHAnsi"/>
                <w:b/>
                <w:bCs/>
                <w:color w:val="000000"/>
                <w:sz w:val="18"/>
                <w:szCs w:val="18"/>
                <w:lang w:eastAsia="es-CO"/>
              </w:rPr>
              <w:t>036 de 2024</w:t>
            </w:r>
            <w:r>
              <w:rPr>
                <w:rFonts w:asciiTheme="minorHAnsi" w:hAnsiTheme="minorHAnsi" w:cstheme="minorHAnsi"/>
                <w:b/>
                <w:bCs/>
                <w:color w:val="000000"/>
                <w:sz w:val="18"/>
                <w:szCs w:val="18"/>
                <w:lang w:eastAsia="es-CO"/>
              </w:rPr>
              <w:t xml:space="preserve"> (consulta)</w:t>
            </w:r>
          </w:p>
        </w:tc>
      </w:tr>
      <w:tr w:rsidR="00005B87" w:rsidRPr="00637FE1" w14:paraId="06188228" w14:textId="77777777" w:rsidTr="00723DBE">
        <w:trPr>
          <w:trHeight w:val="503"/>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E8176" w14:textId="77777777" w:rsidR="00005B87" w:rsidRPr="009E289C" w:rsidRDefault="00005B87" w:rsidP="00723DBE">
            <w:pPr>
              <w:keepLines/>
              <w:rPr>
                <w:rFonts w:asciiTheme="minorHAnsi" w:hAnsiTheme="minorHAnsi" w:cstheme="minorHAnsi"/>
                <w:b/>
                <w:bCs/>
                <w:color w:val="000000"/>
                <w:sz w:val="18"/>
                <w:szCs w:val="18"/>
                <w:lang w:eastAsia="es-CO"/>
              </w:rPr>
            </w:pPr>
            <w:r w:rsidRPr="009E289C">
              <w:rPr>
                <w:rFonts w:asciiTheme="minorHAnsi" w:hAnsiTheme="minorHAnsi" w:cstheme="minorHAnsi"/>
                <w:b/>
                <w:bCs/>
                <w:color w:val="000000"/>
                <w:sz w:val="18"/>
                <w:szCs w:val="18"/>
                <w:lang w:eastAsia="es-CO"/>
              </w:rPr>
              <w:t>ENTIDAD QUE REMITE:</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5439390C" w14:textId="77777777" w:rsidR="00005B87" w:rsidRPr="009E289C" w:rsidRDefault="00005B87" w:rsidP="00723DBE">
            <w:pPr>
              <w:keepLines/>
              <w:rPr>
                <w:rFonts w:asciiTheme="minorHAnsi" w:hAnsiTheme="minorHAnsi" w:cstheme="minorHAnsi"/>
                <w:b/>
                <w:bCs/>
                <w:color w:val="000000"/>
                <w:sz w:val="18"/>
                <w:szCs w:val="18"/>
                <w:lang w:eastAsia="es-CO"/>
              </w:rPr>
            </w:pPr>
            <w:r w:rsidRPr="008F585C">
              <w:rPr>
                <w:rFonts w:asciiTheme="minorHAnsi" w:hAnsiTheme="minorHAnsi" w:cstheme="minorHAnsi"/>
                <w:b/>
                <w:bCs/>
                <w:color w:val="000000"/>
                <w:sz w:val="18"/>
                <w:szCs w:val="18"/>
                <w:lang w:eastAsia="es-CO"/>
              </w:rPr>
              <w:t>Comisión de Regulación de Energía y Gas - CREG</w:t>
            </w:r>
            <w:r w:rsidRPr="009E289C">
              <w:rPr>
                <w:rFonts w:asciiTheme="minorHAnsi" w:hAnsiTheme="minorHAnsi" w:cstheme="minorHAnsi"/>
                <w:b/>
                <w:bCs/>
                <w:color w:val="000000"/>
                <w:sz w:val="18"/>
                <w:szCs w:val="18"/>
                <w:lang w:eastAsia="es-CO"/>
              </w:rPr>
              <w:t> </w:t>
            </w:r>
          </w:p>
        </w:tc>
        <w:tc>
          <w:tcPr>
            <w:tcW w:w="2835" w:type="dxa"/>
            <w:tcBorders>
              <w:top w:val="nil"/>
              <w:left w:val="nil"/>
              <w:bottom w:val="single" w:sz="4" w:space="0" w:color="auto"/>
              <w:right w:val="single" w:sz="4" w:space="0" w:color="auto"/>
            </w:tcBorders>
            <w:shd w:val="clear" w:color="auto" w:fill="auto"/>
            <w:noWrap/>
            <w:vAlign w:val="center"/>
            <w:hideMark/>
          </w:tcPr>
          <w:p w14:paraId="324E6F81" w14:textId="21F25C29" w:rsidR="00005B87" w:rsidRPr="009E289C" w:rsidRDefault="00005B87" w:rsidP="00723DBE">
            <w:pPr>
              <w:keepLines/>
              <w:rPr>
                <w:rFonts w:asciiTheme="minorHAnsi" w:hAnsiTheme="minorHAnsi" w:cstheme="minorHAnsi"/>
                <w:b/>
                <w:bCs/>
                <w:color w:val="000000"/>
                <w:sz w:val="18"/>
                <w:szCs w:val="18"/>
                <w:lang w:eastAsia="es-CO"/>
              </w:rPr>
            </w:pPr>
            <w:r w:rsidRPr="009E289C">
              <w:rPr>
                <w:rFonts w:asciiTheme="minorHAnsi" w:hAnsiTheme="minorHAnsi" w:cstheme="minorHAnsi"/>
                <w:b/>
                <w:bCs/>
                <w:color w:val="000000"/>
                <w:sz w:val="18"/>
                <w:szCs w:val="18"/>
                <w:lang w:eastAsia="es-CO"/>
              </w:rPr>
              <w:t>FECHA:</w:t>
            </w:r>
            <w:r>
              <w:rPr>
                <w:rFonts w:asciiTheme="minorHAnsi" w:hAnsiTheme="minorHAnsi" w:cstheme="minorHAnsi"/>
                <w:b/>
                <w:bCs/>
                <w:color w:val="000000"/>
                <w:sz w:val="18"/>
                <w:szCs w:val="18"/>
                <w:lang w:eastAsia="es-CO"/>
              </w:rPr>
              <w:t xml:space="preserve"> </w:t>
            </w:r>
            <w:r w:rsidR="00A35513">
              <w:rPr>
                <w:rFonts w:asciiTheme="minorHAnsi" w:hAnsiTheme="minorHAnsi" w:cstheme="minorHAnsi"/>
                <w:b/>
                <w:bCs/>
                <w:color w:val="000000"/>
                <w:sz w:val="18"/>
                <w:szCs w:val="18"/>
                <w:lang w:eastAsia="es-CO"/>
              </w:rPr>
              <w:t>14</w:t>
            </w:r>
            <w:r w:rsidRPr="00F50FB7">
              <w:rPr>
                <w:rFonts w:asciiTheme="minorHAnsi" w:hAnsiTheme="minorHAnsi" w:cstheme="minorHAnsi"/>
                <w:b/>
                <w:bCs/>
                <w:color w:val="000000"/>
                <w:sz w:val="18"/>
                <w:szCs w:val="18"/>
                <w:lang w:eastAsia="es-CO"/>
              </w:rPr>
              <w:t>-</w:t>
            </w:r>
            <w:r w:rsidR="00A35513">
              <w:rPr>
                <w:rFonts w:asciiTheme="minorHAnsi" w:hAnsiTheme="minorHAnsi" w:cstheme="minorHAnsi"/>
                <w:b/>
                <w:bCs/>
                <w:color w:val="000000"/>
                <w:sz w:val="18"/>
                <w:szCs w:val="18"/>
                <w:lang w:eastAsia="es-CO"/>
              </w:rPr>
              <w:t>abr</w:t>
            </w:r>
            <w:r>
              <w:rPr>
                <w:rFonts w:asciiTheme="minorHAnsi" w:hAnsiTheme="minorHAnsi" w:cstheme="minorHAnsi"/>
                <w:b/>
                <w:bCs/>
                <w:color w:val="000000"/>
                <w:sz w:val="18"/>
                <w:szCs w:val="18"/>
                <w:lang w:eastAsia="es-CO"/>
              </w:rPr>
              <w:t>-</w:t>
            </w:r>
            <w:r w:rsidR="00A35513">
              <w:rPr>
                <w:rFonts w:asciiTheme="minorHAnsi" w:hAnsiTheme="minorHAnsi" w:cstheme="minorHAnsi"/>
                <w:b/>
                <w:bCs/>
                <w:color w:val="000000"/>
                <w:sz w:val="18"/>
                <w:szCs w:val="18"/>
                <w:lang w:eastAsia="es-CO"/>
              </w:rPr>
              <w:t>2024</w:t>
            </w:r>
          </w:p>
        </w:tc>
      </w:tr>
    </w:tbl>
    <w:p w14:paraId="7545E749" w14:textId="77777777" w:rsidR="00005B87" w:rsidRPr="00DA777C" w:rsidRDefault="00005B87" w:rsidP="00005B87">
      <w:pPr>
        <w:spacing w:before="120"/>
        <w:jc w:val="center"/>
        <w:rPr>
          <w:rFonts w:asciiTheme="minorHAnsi" w:hAnsiTheme="minorHAnsi" w:cstheme="minorHAnsi"/>
          <w:b/>
          <w:bCs/>
          <w:sz w:val="18"/>
          <w:szCs w:val="18"/>
        </w:rPr>
      </w:pPr>
      <w:r w:rsidRPr="00DA777C">
        <w:rPr>
          <w:rFonts w:asciiTheme="minorHAnsi" w:hAnsiTheme="minorHAnsi" w:cstheme="minorHAnsi"/>
          <w:b/>
          <w:bCs/>
          <w:sz w:val="18"/>
          <w:szCs w:val="18"/>
        </w:rPr>
        <w:t>CUESTIONARIO</w:t>
      </w:r>
    </w:p>
    <w:p w14:paraId="15C6C28D" w14:textId="77777777" w:rsidR="00005B87" w:rsidRPr="00637FE1" w:rsidRDefault="00005B87" w:rsidP="00005B87">
      <w:pPr>
        <w:keepLines/>
        <w:rPr>
          <w:rFonts w:asciiTheme="minorHAnsi" w:hAnsiTheme="minorHAnsi" w:cstheme="minorHAnsi"/>
          <w:sz w:val="2"/>
          <w:szCs w:val="2"/>
        </w:rPr>
      </w:pPr>
    </w:p>
    <w:tbl>
      <w:tblPr>
        <w:tblW w:w="11945" w:type="dxa"/>
        <w:tblCellMar>
          <w:left w:w="70" w:type="dxa"/>
          <w:right w:w="70" w:type="dxa"/>
        </w:tblCellMar>
        <w:tblLook w:val="04A0" w:firstRow="1" w:lastRow="0" w:firstColumn="1" w:lastColumn="0" w:noHBand="0" w:noVBand="1"/>
      </w:tblPr>
      <w:tblGrid>
        <w:gridCol w:w="274"/>
        <w:gridCol w:w="293"/>
        <w:gridCol w:w="2972"/>
        <w:gridCol w:w="425"/>
        <w:gridCol w:w="426"/>
        <w:gridCol w:w="2409"/>
        <w:gridCol w:w="2835"/>
        <w:gridCol w:w="2311"/>
      </w:tblGrid>
      <w:tr w:rsidR="00005B87" w:rsidRPr="00637FE1" w14:paraId="2F0BDC52" w14:textId="77777777" w:rsidTr="00723DBE">
        <w:trPr>
          <w:gridAfter w:val="1"/>
          <w:wAfter w:w="2311" w:type="dxa"/>
          <w:trHeight w:val="525"/>
          <w:tblHeader/>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24569" w14:textId="77777777" w:rsidR="00005B87" w:rsidRPr="009E289C" w:rsidRDefault="00005B87" w:rsidP="00723DBE">
            <w:pPr>
              <w:keepLines/>
              <w:jc w:val="center"/>
              <w:rPr>
                <w:rFonts w:asciiTheme="minorHAnsi" w:hAnsiTheme="minorHAnsi" w:cstheme="minorHAnsi"/>
                <w:b/>
                <w:bCs/>
                <w:color w:val="000000"/>
                <w:sz w:val="18"/>
                <w:szCs w:val="18"/>
                <w:lang w:eastAsia="es-CO"/>
              </w:rPr>
            </w:pPr>
            <w:r w:rsidRPr="009E289C">
              <w:rPr>
                <w:rFonts w:asciiTheme="minorHAnsi" w:hAnsiTheme="minorHAnsi" w:cstheme="minorHAnsi"/>
                <w:b/>
                <w:bCs/>
                <w:color w:val="000000"/>
                <w:sz w:val="18"/>
                <w:szCs w:val="18"/>
                <w:lang w:eastAsia="es-CO"/>
              </w:rPr>
              <w:t>PREGUNTA</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0ECD8ABD" w14:textId="77777777" w:rsidR="00005B87" w:rsidRPr="009E289C" w:rsidRDefault="00005B87" w:rsidP="00723DBE">
            <w:pPr>
              <w:keepLines/>
              <w:jc w:val="center"/>
              <w:rPr>
                <w:rFonts w:asciiTheme="minorHAnsi" w:hAnsiTheme="minorHAnsi" w:cstheme="minorHAnsi"/>
                <w:b/>
                <w:bCs/>
                <w:color w:val="000000"/>
                <w:sz w:val="18"/>
                <w:szCs w:val="18"/>
                <w:lang w:eastAsia="es-CO"/>
              </w:rPr>
            </w:pPr>
            <w:r w:rsidRPr="009E289C">
              <w:rPr>
                <w:rFonts w:asciiTheme="minorHAnsi" w:hAnsiTheme="minorHAnsi" w:cstheme="minorHAnsi"/>
                <w:b/>
                <w:bCs/>
                <w:color w:val="000000"/>
                <w:sz w:val="18"/>
                <w:szCs w:val="18"/>
                <w:lang w:eastAsia="es-CO"/>
              </w:rPr>
              <w:t>SI</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7E5033F9" w14:textId="77777777" w:rsidR="00005B87" w:rsidRPr="009E289C" w:rsidRDefault="00005B87" w:rsidP="00723DBE">
            <w:pPr>
              <w:keepLines/>
              <w:jc w:val="center"/>
              <w:rPr>
                <w:rFonts w:asciiTheme="minorHAnsi" w:hAnsiTheme="minorHAnsi" w:cstheme="minorHAnsi"/>
                <w:b/>
                <w:bCs/>
                <w:color w:val="000000"/>
                <w:sz w:val="18"/>
                <w:szCs w:val="18"/>
                <w:lang w:eastAsia="es-CO"/>
              </w:rPr>
            </w:pPr>
            <w:r w:rsidRPr="009E289C">
              <w:rPr>
                <w:rFonts w:asciiTheme="minorHAnsi" w:hAnsiTheme="minorHAnsi" w:cstheme="minorHAnsi"/>
                <w:b/>
                <w:bCs/>
                <w:color w:val="000000"/>
                <w:sz w:val="18"/>
                <w:szCs w:val="18"/>
                <w:lang w:eastAsia="es-CO"/>
              </w:rPr>
              <w:t>NO</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65E6C3F4" w14:textId="77777777" w:rsidR="00005B87" w:rsidRPr="009E289C" w:rsidRDefault="00005B87" w:rsidP="00723DBE">
            <w:pPr>
              <w:keepLines/>
              <w:jc w:val="center"/>
              <w:rPr>
                <w:rFonts w:asciiTheme="minorHAnsi" w:hAnsiTheme="minorHAnsi" w:cstheme="minorHAnsi"/>
                <w:b/>
                <w:bCs/>
                <w:color w:val="000000"/>
                <w:sz w:val="18"/>
                <w:szCs w:val="18"/>
                <w:lang w:eastAsia="es-CO"/>
              </w:rPr>
            </w:pPr>
            <w:r w:rsidRPr="009E289C">
              <w:rPr>
                <w:rFonts w:asciiTheme="minorHAnsi" w:hAnsiTheme="minorHAnsi" w:cstheme="minorHAnsi"/>
                <w:b/>
                <w:bCs/>
                <w:color w:val="000000"/>
                <w:sz w:val="18"/>
                <w:szCs w:val="18"/>
                <w:lang w:eastAsia="es-CO"/>
              </w:rPr>
              <w:t xml:space="preserve">EXPLICACIÓN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60F84214" w14:textId="77777777" w:rsidR="00005B87" w:rsidRPr="009E289C" w:rsidRDefault="00005B87" w:rsidP="00723DBE">
            <w:pPr>
              <w:keepLines/>
              <w:jc w:val="center"/>
              <w:rPr>
                <w:rFonts w:asciiTheme="minorHAnsi" w:hAnsiTheme="minorHAnsi" w:cstheme="minorHAnsi"/>
                <w:b/>
                <w:bCs/>
                <w:color w:val="000000"/>
                <w:sz w:val="18"/>
                <w:szCs w:val="18"/>
                <w:lang w:eastAsia="es-CO"/>
              </w:rPr>
            </w:pPr>
            <w:r w:rsidRPr="009E289C">
              <w:rPr>
                <w:rFonts w:asciiTheme="minorHAnsi" w:hAnsiTheme="minorHAnsi" w:cstheme="minorHAnsi"/>
                <w:b/>
                <w:bCs/>
                <w:color w:val="000000"/>
                <w:sz w:val="18"/>
                <w:szCs w:val="18"/>
                <w:lang w:eastAsia="es-CO"/>
              </w:rPr>
              <w:t>OBSERVACIONES</w:t>
            </w:r>
          </w:p>
        </w:tc>
      </w:tr>
      <w:tr w:rsidR="00005B87" w:rsidRPr="00637FE1" w14:paraId="5740FC11" w14:textId="77777777" w:rsidTr="316C13B2">
        <w:trPr>
          <w:gridAfter w:val="1"/>
          <w:wAfter w:w="2311" w:type="dxa"/>
          <w:cantSplit/>
          <w:trHeight w:val="655"/>
        </w:trPr>
        <w:tc>
          <w:tcPr>
            <w:tcW w:w="567"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75101492" w14:textId="77777777" w:rsidR="00005B87" w:rsidRPr="009E289C" w:rsidRDefault="00005B87" w:rsidP="00723DBE">
            <w:pPr>
              <w:jc w:val="center"/>
              <w:rPr>
                <w:rFonts w:asciiTheme="minorHAnsi" w:hAnsiTheme="minorHAnsi" w:cstheme="minorHAnsi"/>
                <w:b/>
                <w:bCs/>
                <w:color w:val="000000"/>
                <w:sz w:val="18"/>
                <w:szCs w:val="18"/>
                <w:lang w:eastAsia="es-CO"/>
              </w:rPr>
            </w:pPr>
            <w:r w:rsidRPr="009E289C">
              <w:rPr>
                <w:rFonts w:asciiTheme="minorHAnsi" w:hAnsiTheme="minorHAnsi" w:cstheme="minorHAnsi"/>
                <w:b/>
                <w:bCs/>
                <w:color w:val="000000"/>
                <w:sz w:val="18"/>
                <w:szCs w:val="18"/>
                <w:lang w:eastAsia="es-CO"/>
              </w:rPr>
              <w:t>1.</w:t>
            </w:r>
          </w:p>
        </w:tc>
        <w:tc>
          <w:tcPr>
            <w:tcW w:w="9067" w:type="dxa"/>
            <w:gridSpan w:val="5"/>
            <w:tcBorders>
              <w:top w:val="single" w:sz="4" w:space="0" w:color="auto"/>
              <w:left w:val="nil"/>
              <w:bottom w:val="single" w:sz="4" w:space="0" w:color="auto"/>
              <w:right w:val="single" w:sz="4" w:space="0" w:color="auto"/>
            </w:tcBorders>
            <w:shd w:val="clear" w:color="auto" w:fill="auto"/>
            <w:vAlign w:val="center"/>
            <w:hideMark/>
          </w:tcPr>
          <w:p w14:paraId="04F21CA1" w14:textId="77777777" w:rsidR="00005B87" w:rsidRPr="009E289C" w:rsidRDefault="00005B87" w:rsidP="00723DBE">
            <w:pPr>
              <w:rPr>
                <w:rFonts w:asciiTheme="minorHAnsi" w:hAnsiTheme="minorHAnsi" w:cstheme="minorHAnsi"/>
                <w:b/>
                <w:bCs/>
                <w:color w:val="000000"/>
                <w:sz w:val="18"/>
                <w:szCs w:val="18"/>
                <w:lang w:eastAsia="es-CO"/>
              </w:rPr>
            </w:pPr>
            <w:r w:rsidRPr="009E289C">
              <w:rPr>
                <w:rFonts w:asciiTheme="minorHAnsi" w:hAnsiTheme="minorHAnsi" w:cstheme="minorHAnsi"/>
                <w:b/>
                <w:bCs/>
                <w:color w:val="000000"/>
                <w:sz w:val="18"/>
                <w:szCs w:val="18"/>
                <w:lang w:eastAsia="es-CO"/>
              </w:rPr>
              <w:t>¿La regulación limita el número o la variedad de las empresas en uno o varios mercados relevantes relacionados?</w:t>
            </w:r>
            <w:r w:rsidRPr="009E289C">
              <w:rPr>
                <w:rFonts w:asciiTheme="minorHAnsi" w:hAnsiTheme="minorHAnsi" w:cstheme="minorHAnsi"/>
                <w:b/>
                <w:bCs/>
                <w:color w:val="000000"/>
                <w:sz w:val="18"/>
                <w:szCs w:val="18"/>
                <w:lang w:eastAsia="es-CO"/>
              </w:rPr>
              <w:br/>
              <w:t>Es posible que esto suceda, entre otros eventos, cuando el proyecto de acto:</w:t>
            </w:r>
          </w:p>
        </w:tc>
      </w:tr>
      <w:tr w:rsidR="00005B87" w:rsidRPr="00637FE1" w14:paraId="63341D09" w14:textId="77777777" w:rsidTr="316C13B2">
        <w:trPr>
          <w:gridAfter w:val="1"/>
          <w:wAfter w:w="2311" w:type="dxa"/>
          <w:cantSplit/>
          <w:trHeight w:val="624"/>
        </w:trPr>
        <w:tc>
          <w:tcPr>
            <w:tcW w:w="567"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7312FF20" w14:textId="77777777" w:rsidR="00005B87" w:rsidRPr="009E289C" w:rsidRDefault="00005B87" w:rsidP="00723DBE">
            <w:pPr>
              <w:jc w:val="cente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a)</w:t>
            </w:r>
          </w:p>
        </w:tc>
        <w:tc>
          <w:tcPr>
            <w:tcW w:w="2972" w:type="dxa"/>
            <w:tcBorders>
              <w:top w:val="nil"/>
              <w:left w:val="nil"/>
              <w:bottom w:val="single" w:sz="4" w:space="0" w:color="auto"/>
              <w:right w:val="single" w:sz="4" w:space="0" w:color="auto"/>
            </w:tcBorders>
            <w:shd w:val="clear" w:color="auto" w:fill="auto"/>
            <w:vAlign w:val="center"/>
            <w:hideMark/>
          </w:tcPr>
          <w:p w14:paraId="3AD25E7E" w14:textId="76BD8A99"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Otorga derechos exclusivos a una empresa para prestar servicios o para ofrecer bienes.</w:t>
            </w:r>
            <w:r w:rsidR="00A07864">
              <w:rPr>
                <w:rFonts w:asciiTheme="minorHAnsi" w:hAnsiTheme="minorHAnsi" w:cstheme="minorHAnsi"/>
                <w:color w:val="000000"/>
                <w:sz w:val="18"/>
                <w:szCs w:val="18"/>
                <w:lang w:eastAsia="es-CO"/>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337FE8F5" w14:textId="77777777" w:rsidR="00005B87" w:rsidRPr="009E289C" w:rsidRDefault="00005B87" w:rsidP="00723DBE">
            <w:pPr>
              <w:jc w:val="center"/>
              <w:rPr>
                <w:rFonts w:asciiTheme="minorHAnsi" w:hAnsiTheme="minorHAnsi" w:cstheme="minorHAnsi"/>
                <w:color w:val="000000"/>
                <w:sz w:val="18"/>
                <w:szCs w:val="18"/>
                <w:lang w:eastAsia="es-CO"/>
              </w:rPr>
            </w:pPr>
          </w:p>
        </w:tc>
        <w:tc>
          <w:tcPr>
            <w:tcW w:w="426" w:type="dxa"/>
            <w:tcBorders>
              <w:top w:val="nil"/>
              <w:left w:val="nil"/>
              <w:bottom w:val="single" w:sz="4" w:space="0" w:color="auto"/>
              <w:right w:val="single" w:sz="4" w:space="0" w:color="auto"/>
            </w:tcBorders>
            <w:shd w:val="clear" w:color="auto" w:fill="auto"/>
            <w:noWrap/>
            <w:vAlign w:val="center"/>
            <w:hideMark/>
          </w:tcPr>
          <w:p w14:paraId="4D18C908" w14:textId="77777777" w:rsidR="00005B87" w:rsidRPr="009E289C" w:rsidRDefault="00005B87" w:rsidP="00723DBE">
            <w:pPr>
              <w:jc w:val="center"/>
              <w:rPr>
                <w:rFonts w:asciiTheme="minorHAnsi" w:hAnsiTheme="minorHAnsi" w:cstheme="minorHAnsi"/>
                <w:color w:val="000000"/>
                <w:sz w:val="18"/>
                <w:szCs w:val="18"/>
                <w:lang w:eastAsia="es-CO"/>
              </w:rPr>
            </w:pPr>
            <w:r>
              <w:rPr>
                <w:rFonts w:asciiTheme="minorHAnsi" w:hAnsiTheme="minorHAnsi" w:cstheme="minorHAnsi"/>
                <w:color w:val="000000"/>
                <w:sz w:val="18"/>
                <w:szCs w:val="18"/>
                <w:lang w:eastAsia="es-CO"/>
              </w:rPr>
              <w:t>X</w:t>
            </w:r>
          </w:p>
        </w:tc>
        <w:tc>
          <w:tcPr>
            <w:tcW w:w="2409" w:type="dxa"/>
            <w:tcBorders>
              <w:top w:val="nil"/>
              <w:left w:val="nil"/>
              <w:bottom w:val="single" w:sz="4" w:space="0" w:color="auto"/>
              <w:right w:val="single" w:sz="4" w:space="0" w:color="auto"/>
            </w:tcBorders>
            <w:shd w:val="clear" w:color="auto" w:fill="auto"/>
            <w:noWrap/>
            <w:vAlign w:val="center"/>
            <w:hideMark/>
          </w:tcPr>
          <w:p w14:paraId="4AE5236E"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c>
          <w:tcPr>
            <w:tcW w:w="2835" w:type="dxa"/>
            <w:tcBorders>
              <w:top w:val="nil"/>
              <w:left w:val="nil"/>
              <w:bottom w:val="single" w:sz="4" w:space="0" w:color="auto"/>
              <w:right w:val="single" w:sz="4" w:space="0" w:color="auto"/>
            </w:tcBorders>
            <w:shd w:val="clear" w:color="auto" w:fill="auto"/>
            <w:noWrap/>
            <w:vAlign w:val="center"/>
            <w:hideMark/>
          </w:tcPr>
          <w:p w14:paraId="538CFF89"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r>
      <w:tr w:rsidR="00005B87" w:rsidRPr="00637FE1" w14:paraId="6A96E722" w14:textId="77777777" w:rsidTr="316C13B2">
        <w:trPr>
          <w:gridAfter w:val="1"/>
          <w:wAfter w:w="2311" w:type="dxa"/>
          <w:cantSplit/>
          <w:trHeight w:val="624"/>
        </w:trPr>
        <w:tc>
          <w:tcPr>
            <w:tcW w:w="567"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614ABC2F" w14:textId="77777777" w:rsidR="00005B87" w:rsidRPr="009E289C" w:rsidRDefault="00005B87" w:rsidP="00723DBE">
            <w:pPr>
              <w:jc w:val="cente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b)</w:t>
            </w:r>
          </w:p>
        </w:tc>
        <w:tc>
          <w:tcPr>
            <w:tcW w:w="2972" w:type="dxa"/>
            <w:tcBorders>
              <w:top w:val="nil"/>
              <w:left w:val="nil"/>
              <w:bottom w:val="single" w:sz="4" w:space="0" w:color="auto"/>
              <w:right w:val="single" w:sz="4" w:space="0" w:color="auto"/>
            </w:tcBorders>
            <w:shd w:val="clear" w:color="auto" w:fill="auto"/>
            <w:vAlign w:val="center"/>
            <w:hideMark/>
          </w:tcPr>
          <w:p w14:paraId="0B222FB8"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Establece licencias, permisos, autorizaciones para operar o cuotas de producción o de venta.</w:t>
            </w:r>
          </w:p>
        </w:tc>
        <w:tc>
          <w:tcPr>
            <w:tcW w:w="425" w:type="dxa"/>
            <w:tcBorders>
              <w:top w:val="nil"/>
              <w:left w:val="nil"/>
              <w:bottom w:val="single" w:sz="4" w:space="0" w:color="auto"/>
              <w:right w:val="single" w:sz="4" w:space="0" w:color="auto"/>
            </w:tcBorders>
            <w:shd w:val="clear" w:color="auto" w:fill="auto"/>
            <w:noWrap/>
            <w:vAlign w:val="center"/>
            <w:hideMark/>
          </w:tcPr>
          <w:p w14:paraId="398D54C0" w14:textId="77777777" w:rsidR="00005B87" w:rsidRPr="009E289C" w:rsidRDefault="00005B87" w:rsidP="00723DBE">
            <w:pPr>
              <w:jc w:val="center"/>
              <w:rPr>
                <w:rFonts w:asciiTheme="minorHAnsi" w:hAnsiTheme="minorHAnsi" w:cstheme="minorHAnsi"/>
                <w:color w:val="000000"/>
                <w:sz w:val="18"/>
                <w:szCs w:val="18"/>
                <w:lang w:eastAsia="es-CO"/>
              </w:rPr>
            </w:pPr>
          </w:p>
        </w:tc>
        <w:tc>
          <w:tcPr>
            <w:tcW w:w="426" w:type="dxa"/>
            <w:tcBorders>
              <w:top w:val="nil"/>
              <w:left w:val="nil"/>
              <w:bottom w:val="single" w:sz="4" w:space="0" w:color="auto"/>
              <w:right w:val="single" w:sz="4" w:space="0" w:color="auto"/>
            </w:tcBorders>
            <w:shd w:val="clear" w:color="auto" w:fill="auto"/>
            <w:noWrap/>
            <w:vAlign w:val="center"/>
            <w:hideMark/>
          </w:tcPr>
          <w:p w14:paraId="7DF91859" w14:textId="77777777" w:rsidR="00005B87" w:rsidRPr="009E289C" w:rsidRDefault="00005B87" w:rsidP="00723DBE">
            <w:pPr>
              <w:jc w:val="center"/>
              <w:rPr>
                <w:rFonts w:asciiTheme="minorHAnsi" w:hAnsiTheme="minorHAnsi" w:cstheme="minorHAnsi"/>
                <w:color w:val="000000"/>
                <w:sz w:val="18"/>
                <w:szCs w:val="18"/>
                <w:lang w:eastAsia="es-CO"/>
              </w:rPr>
            </w:pPr>
            <w:r>
              <w:rPr>
                <w:rFonts w:asciiTheme="minorHAnsi" w:hAnsiTheme="minorHAnsi" w:cstheme="minorHAnsi"/>
                <w:color w:val="000000"/>
                <w:sz w:val="18"/>
                <w:szCs w:val="18"/>
                <w:lang w:eastAsia="es-CO"/>
              </w:rPr>
              <w:t>X</w:t>
            </w:r>
          </w:p>
        </w:tc>
        <w:tc>
          <w:tcPr>
            <w:tcW w:w="2409" w:type="dxa"/>
            <w:tcBorders>
              <w:top w:val="nil"/>
              <w:left w:val="nil"/>
              <w:bottom w:val="single" w:sz="4" w:space="0" w:color="auto"/>
              <w:right w:val="single" w:sz="4" w:space="0" w:color="auto"/>
            </w:tcBorders>
            <w:shd w:val="clear" w:color="auto" w:fill="auto"/>
            <w:noWrap/>
            <w:vAlign w:val="center"/>
            <w:hideMark/>
          </w:tcPr>
          <w:p w14:paraId="5827FCED"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c>
          <w:tcPr>
            <w:tcW w:w="2835" w:type="dxa"/>
            <w:tcBorders>
              <w:top w:val="nil"/>
              <w:left w:val="nil"/>
              <w:bottom w:val="single" w:sz="4" w:space="0" w:color="auto"/>
              <w:right w:val="single" w:sz="4" w:space="0" w:color="auto"/>
            </w:tcBorders>
            <w:shd w:val="clear" w:color="auto" w:fill="auto"/>
            <w:noWrap/>
            <w:vAlign w:val="center"/>
            <w:hideMark/>
          </w:tcPr>
          <w:p w14:paraId="111EEDD6"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r>
      <w:tr w:rsidR="00005B87" w:rsidRPr="00637FE1" w14:paraId="1F2D11DA" w14:textId="77777777" w:rsidTr="316C13B2">
        <w:trPr>
          <w:gridAfter w:val="1"/>
          <w:wAfter w:w="2311" w:type="dxa"/>
          <w:cantSplit/>
          <w:trHeight w:val="624"/>
        </w:trPr>
        <w:tc>
          <w:tcPr>
            <w:tcW w:w="567"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3A2DECA0" w14:textId="77777777" w:rsidR="00005B87" w:rsidRPr="009E289C" w:rsidRDefault="00005B87" w:rsidP="00723DBE">
            <w:pPr>
              <w:jc w:val="cente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c)</w:t>
            </w:r>
          </w:p>
        </w:tc>
        <w:tc>
          <w:tcPr>
            <w:tcW w:w="2972" w:type="dxa"/>
            <w:tcBorders>
              <w:top w:val="nil"/>
              <w:left w:val="nil"/>
              <w:bottom w:val="single" w:sz="4" w:space="0" w:color="auto"/>
              <w:right w:val="single" w:sz="4" w:space="0" w:color="auto"/>
            </w:tcBorders>
            <w:shd w:val="clear" w:color="auto" w:fill="auto"/>
            <w:vAlign w:val="center"/>
            <w:hideMark/>
          </w:tcPr>
          <w:p w14:paraId="0EDB97D6"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Limita la capacidad de cierto tipo de empresas para ofrecer un bien o prestar un servicio.</w:t>
            </w:r>
          </w:p>
        </w:tc>
        <w:tc>
          <w:tcPr>
            <w:tcW w:w="425" w:type="dxa"/>
            <w:tcBorders>
              <w:top w:val="nil"/>
              <w:left w:val="nil"/>
              <w:bottom w:val="single" w:sz="4" w:space="0" w:color="auto"/>
              <w:right w:val="single" w:sz="4" w:space="0" w:color="auto"/>
            </w:tcBorders>
            <w:shd w:val="clear" w:color="auto" w:fill="auto"/>
            <w:noWrap/>
            <w:vAlign w:val="center"/>
            <w:hideMark/>
          </w:tcPr>
          <w:p w14:paraId="195C9AD3" w14:textId="77777777" w:rsidR="00005B87" w:rsidRPr="009E289C" w:rsidRDefault="00005B87" w:rsidP="00723DBE">
            <w:pPr>
              <w:jc w:val="center"/>
              <w:rPr>
                <w:rFonts w:asciiTheme="minorHAnsi" w:hAnsiTheme="minorHAnsi" w:cstheme="minorHAnsi"/>
                <w:color w:val="000000"/>
                <w:sz w:val="18"/>
                <w:szCs w:val="18"/>
                <w:lang w:eastAsia="es-CO"/>
              </w:rPr>
            </w:pPr>
          </w:p>
        </w:tc>
        <w:tc>
          <w:tcPr>
            <w:tcW w:w="426" w:type="dxa"/>
            <w:tcBorders>
              <w:top w:val="nil"/>
              <w:left w:val="nil"/>
              <w:bottom w:val="single" w:sz="4" w:space="0" w:color="auto"/>
              <w:right w:val="single" w:sz="4" w:space="0" w:color="auto"/>
            </w:tcBorders>
            <w:shd w:val="clear" w:color="auto" w:fill="auto"/>
            <w:noWrap/>
            <w:vAlign w:val="center"/>
            <w:hideMark/>
          </w:tcPr>
          <w:p w14:paraId="10AC5F55" w14:textId="77777777" w:rsidR="00005B87" w:rsidRPr="009E289C" w:rsidRDefault="00005B87" w:rsidP="00723DBE">
            <w:pPr>
              <w:jc w:val="center"/>
              <w:rPr>
                <w:rFonts w:asciiTheme="minorHAnsi" w:hAnsiTheme="minorHAnsi" w:cstheme="minorHAnsi"/>
                <w:color w:val="000000"/>
                <w:sz w:val="18"/>
                <w:szCs w:val="18"/>
                <w:lang w:eastAsia="es-CO"/>
              </w:rPr>
            </w:pPr>
            <w:r>
              <w:rPr>
                <w:rFonts w:asciiTheme="minorHAnsi" w:hAnsiTheme="minorHAnsi" w:cstheme="minorHAnsi"/>
                <w:color w:val="000000"/>
                <w:sz w:val="18"/>
                <w:szCs w:val="18"/>
                <w:lang w:eastAsia="es-CO"/>
              </w:rPr>
              <w:t>X</w:t>
            </w:r>
          </w:p>
        </w:tc>
        <w:tc>
          <w:tcPr>
            <w:tcW w:w="2409" w:type="dxa"/>
            <w:tcBorders>
              <w:top w:val="nil"/>
              <w:left w:val="nil"/>
              <w:bottom w:val="single" w:sz="4" w:space="0" w:color="auto"/>
              <w:right w:val="single" w:sz="4" w:space="0" w:color="auto"/>
            </w:tcBorders>
            <w:shd w:val="clear" w:color="auto" w:fill="auto"/>
            <w:noWrap/>
            <w:vAlign w:val="center"/>
            <w:hideMark/>
          </w:tcPr>
          <w:p w14:paraId="3FD1E8B7"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c>
          <w:tcPr>
            <w:tcW w:w="2835" w:type="dxa"/>
            <w:tcBorders>
              <w:top w:val="nil"/>
              <w:left w:val="nil"/>
              <w:bottom w:val="single" w:sz="4" w:space="0" w:color="auto"/>
              <w:right w:val="single" w:sz="4" w:space="0" w:color="auto"/>
            </w:tcBorders>
            <w:shd w:val="clear" w:color="auto" w:fill="auto"/>
            <w:noWrap/>
            <w:vAlign w:val="center"/>
            <w:hideMark/>
          </w:tcPr>
          <w:p w14:paraId="72D98E18"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r>
      <w:tr w:rsidR="00005B87" w:rsidRPr="00637FE1" w14:paraId="537284C1" w14:textId="77777777" w:rsidTr="316C13B2">
        <w:trPr>
          <w:gridAfter w:val="1"/>
          <w:wAfter w:w="2311" w:type="dxa"/>
          <w:cantSplit/>
          <w:trHeight w:val="624"/>
        </w:trPr>
        <w:tc>
          <w:tcPr>
            <w:tcW w:w="567"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1F1297A9" w14:textId="77777777" w:rsidR="00005B87" w:rsidRPr="009E289C" w:rsidRDefault="00005B87" w:rsidP="00723DBE">
            <w:pPr>
              <w:jc w:val="cente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d)</w:t>
            </w:r>
          </w:p>
        </w:tc>
        <w:tc>
          <w:tcPr>
            <w:tcW w:w="2972" w:type="dxa"/>
            <w:tcBorders>
              <w:top w:val="nil"/>
              <w:left w:val="nil"/>
              <w:bottom w:val="single" w:sz="4" w:space="0" w:color="auto"/>
              <w:right w:val="single" w:sz="4" w:space="0" w:color="auto"/>
            </w:tcBorders>
            <w:shd w:val="clear" w:color="auto" w:fill="auto"/>
            <w:vAlign w:val="center"/>
            <w:hideMark/>
          </w:tcPr>
          <w:p w14:paraId="27510277"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Eleva de manera significativa los costos de entrada o salida del mercado para las empresas.</w:t>
            </w:r>
          </w:p>
        </w:tc>
        <w:tc>
          <w:tcPr>
            <w:tcW w:w="425" w:type="dxa"/>
            <w:tcBorders>
              <w:top w:val="nil"/>
              <w:left w:val="nil"/>
              <w:bottom w:val="single" w:sz="4" w:space="0" w:color="auto"/>
              <w:right w:val="single" w:sz="4" w:space="0" w:color="auto"/>
            </w:tcBorders>
            <w:shd w:val="clear" w:color="auto" w:fill="auto"/>
            <w:noWrap/>
            <w:vAlign w:val="center"/>
            <w:hideMark/>
          </w:tcPr>
          <w:p w14:paraId="69D8616D" w14:textId="77777777" w:rsidR="00005B87" w:rsidRPr="009E289C" w:rsidRDefault="00005B87" w:rsidP="00723DBE">
            <w:pPr>
              <w:jc w:val="center"/>
              <w:rPr>
                <w:rFonts w:asciiTheme="minorHAnsi" w:hAnsiTheme="minorHAnsi" w:cstheme="minorHAnsi"/>
                <w:color w:val="000000"/>
                <w:sz w:val="18"/>
                <w:szCs w:val="18"/>
                <w:lang w:eastAsia="es-CO"/>
              </w:rPr>
            </w:pPr>
          </w:p>
        </w:tc>
        <w:tc>
          <w:tcPr>
            <w:tcW w:w="426" w:type="dxa"/>
            <w:tcBorders>
              <w:top w:val="nil"/>
              <w:left w:val="nil"/>
              <w:bottom w:val="single" w:sz="4" w:space="0" w:color="auto"/>
              <w:right w:val="single" w:sz="4" w:space="0" w:color="auto"/>
            </w:tcBorders>
            <w:shd w:val="clear" w:color="auto" w:fill="auto"/>
            <w:noWrap/>
            <w:vAlign w:val="center"/>
            <w:hideMark/>
          </w:tcPr>
          <w:p w14:paraId="2D1E7667" w14:textId="77777777" w:rsidR="00005B87" w:rsidRPr="009E289C" w:rsidRDefault="00005B87" w:rsidP="00723DBE">
            <w:pPr>
              <w:jc w:val="center"/>
              <w:rPr>
                <w:rFonts w:asciiTheme="minorHAnsi" w:hAnsiTheme="minorHAnsi" w:cstheme="minorHAnsi"/>
                <w:color w:val="000000"/>
                <w:sz w:val="18"/>
                <w:szCs w:val="18"/>
                <w:lang w:eastAsia="es-CO"/>
              </w:rPr>
            </w:pPr>
            <w:r>
              <w:rPr>
                <w:rFonts w:asciiTheme="minorHAnsi" w:hAnsiTheme="minorHAnsi" w:cstheme="minorHAnsi"/>
                <w:color w:val="000000"/>
                <w:sz w:val="18"/>
                <w:szCs w:val="18"/>
                <w:lang w:eastAsia="es-CO"/>
              </w:rPr>
              <w:t>X</w:t>
            </w:r>
          </w:p>
        </w:tc>
        <w:tc>
          <w:tcPr>
            <w:tcW w:w="2409" w:type="dxa"/>
            <w:tcBorders>
              <w:top w:val="nil"/>
              <w:left w:val="nil"/>
              <w:bottom w:val="single" w:sz="4" w:space="0" w:color="auto"/>
              <w:right w:val="single" w:sz="4" w:space="0" w:color="auto"/>
            </w:tcBorders>
            <w:shd w:val="clear" w:color="auto" w:fill="auto"/>
            <w:noWrap/>
            <w:vAlign w:val="center"/>
            <w:hideMark/>
          </w:tcPr>
          <w:p w14:paraId="04B1252A"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c>
          <w:tcPr>
            <w:tcW w:w="2835" w:type="dxa"/>
            <w:tcBorders>
              <w:top w:val="nil"/>
              <w:left w:val="nil"/>
              <w:bottom w:val="single" w:sz="4" w:space="0" w:color="auto"/>
              <w:right w:val="single" w:sz="4" w:space="0" w:color="auto"/>
            </w:tcBorders>
            <w:shd w:val="clear" w:color="auto" w:fill="auto"/>
            <w:noWrap/>
            <w:vAlign w:val="center"/>
            <w:hideMark/>
          </w:tcPr>
          <w:p w14:paraId="1AEB6446"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r>
      <w:tr w:rsidR="00005B87" w:rsidRPr="00637FE1" w14:paraId="15DA29F6" w14:textId="77777777" w:rsidTr="00AF2F01">
        <w:trPr>
          <w:gridAfter w:val="1"/>
          <w:wAfter w:w="2311" w:type="dxa"/>
          <w:cantSplit/>
          <w:trHeight w:val="624"/>
        </w:trPr>
        <w:tc>
          <w:tcPr>
            <w:tcW w:w="567"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6B5BCA36" w14:textId="77777777" w:rsidR="00005B87" w:rsidRPr="009E289C" w:rsidRDefault="00005B87" w:rsidP="00723DBE">
            <w:pPr>
              <w:jc w:val="cente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e)</w:t>
            </w:r>
          </w:p>
        </w:tc>
        <w:tc>
          <w:tcPr>
            <w:tcW w:w="2972" w:type="dxa"/>
            <w:tcBorders>
              <w:top w:val="nil"/>
              <w:left w:val="nil"/>
              <w:bottom w:val="single" w:sz="4" w:space="0" w:color="auto"/>
              <w:right w:val="single" w:sz="4" w:space="0" w:color="auto"/>
            </w:tcBorders>
            <w:shd w:val="clear" w:color="auto" w:fill="auto"/>
            <w:vAlign w:val="center"/>
            <w:hideMark/>
          </w:tcPr>
          <w:p w14:paraId="3B695B40"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xml:space="preserve">Crea una barrera geográfica a la libre circulación de bienes o servicios o a la inversión. </w:t>
            </w:r>
          </w:p>
        </w:tc>
        <w:tc>
          <w:tcPr>
            <w:tcW w:w="425" w:type="dxa"/>
            <w:tcBorders>
              <w:top w:val="nil"/>
              <w:left w:val="nil"/>
              <w:bottom w:val="single" w:sz="4" w:space="0" w:color="auto"/>
              <w:right w:val="single" w:sz="4" w:space="0" w:color="auto"/>
            </w:tcBorders>
            <w:shd w:val="clear" w:color="auto" w:fill="auto"/>
            <w:noWrap/>
            <w:vAlign w:val="center"/>
            <w:hideMark/>
          </w:tcPr>
          <w:p w14:paraId="53DE73CD" w14:textId="77777777" w:rsidR="00005B87" w:rsidRPr="009E289C" w:rsidRDefault="00005B87" w:rsidP="00723DBE">
            <w:pPr>
              <w:jc w:val="center"/>
              <w:rPr>
                <w:rFonts w:asciiTheme="minorHAnsi" w:hAnsiTheme="minorHAnsi" w:cstheme="minorHAnsi"/>
                <w:color w:val="000000"/>
                <w:sz w:val="18"/>
                <w:szCs w:val="18"/>
                <w:lang w:eastAsia="es-CO"/>
              </w:rPr>
            </w:pPr>
          </w:p>
        </w:tc>
        <w:tc>
          <w:tcPr>
            <w:tcW w:w="426" w:type="dxa"/>
            <w:tcBorders>
              <w:top w:val="nil"/>
              <w:left w:val="nil"/>
              <w:bottom w:val="single" w:sz="4" w:space="0" w:color="auto"/>
              <w:right w:val="single" w:sz="4" w:space="0" w:color="auto"/>
            </w:tcBorders>
            <w:shd w:val="clear" w:color="auto" w:fill="auto"/>
            <w:noWrap/>
            <w:vAlign w:val="center"/>
            <w:hideMark/>
          </w:tcPr>
          <w:p w14:paraId="180D593D" w14:textId="77777777" w:rsidR="00005B87" w:rsidRPr="009E289C" w:rsidRDefault="00005B87" w:rsidP="00723DBE">
            <w:pPr>
              <w:jc w:val="center"/>
              <w:rPr>
                <w:rFonts w:asciiTheme="minorHAnsi" w:hAnsiTheme="minorHAnsi" w:cstheme="minorHAnsi"/>
                <w:color w:val="000000"/>
                <w:sz w:val="18"/>
                <w:szCs w:val="18"/>
                <w:lang w:eastAsia="es-CO"/>
              </w:rPr>
            </w:pPr>
            <w:r>
              <w:rPr>
                <w:rFonts w:asciiTheme="minorHAnsi" w:hAnsiTheme="minorHAnsi" w:cstheme="minorHAnsi"/>
                <w:color w:val="000000"/>
                <w:sz w:val="18"/>
                <w:szCs w:val="18"/>
                <w:lang w:eastAsia="es-CO"/>
              </w:rPr>
              <w:t>X</w:t>
            </w:r>
          </w:p>
        </w:tc>
        <w:tc>
          <w:tcPr>
            <w:tcW w:w="2409" w:type="dxa"/>
            <w:tcBorders>
              <w:top w:val="nil"/>
              <w:left w:val="nil"/>
              <w:bottom w:val="single" w:sz="4" w:space="0" w:color="auto"/>
              <w:right w:val="single" w:sz="4" w:space="0" w:color="auto"/>
            </w:tcBorders>
            <w:shd w:val="clear" w:color="auto" w:fill="auto"/>
            <w:noWrap/>
            <w:vAlign w:val="center"/>
            <w:hideMark/>
          </w:tcPr>
          <w:p w14:paraId="532543DD"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c>
          <w:tcPr>
            <w:tcW w:w="2835" w:type="dxa"/>
            <w:tcBorders>
              <w:top w:val="nil"/>
              <w:left w:val="nil"/>
              <w:bottom w:val="single" w:sz="4" w:space="0" w:color="auto"/>
              <w:right w:val="single" w:sz="4" w:space="0" w:color="auto"/>
            </w:tcBorders>
            <w:shd w:val="clear" w:color="auto" w:fill="auto"/>
            <w:noWrap/>
            <w:vAlign w:val="center"/>
            <w:hideMark/>
          </w:tcPr>
          <w:p w14:paraId="57A952CB"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r>
      <w:tr w:rsidR="00005B87" w:rsidRPr="00637FE1" w14:paraId="069D5D82" w14:textId="77777777" w:rsidTr="00AF2F01">
        <w:trPr>
          <w:gridAfter w:val="1"/>
          <w:wAfter w:w="2311" w:type="dxa"/>
          <w:cantSplit/>
          <w:trHeight w:val="446"/>
        </w:trPr>
        <w:tc>
          <w:tcPr>
            <w:tcW w:w="2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891A4" w14:textId="77777777" w:rsidR="00005B87" w:rsidRPr="009E289C" w:rsidRDefault="00005B87" w:rsidP="00723DBE">
            <w:pPr>
              <w:jc w:val="cente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f)</w:t>
            </w:r>
          </w:p>
        </w:tc>
        <w:tc>
          <w:tcPr>
            <w:tcW w:w="293" w:type="dxa"/>
            <w:tcBorders>
              <w:top w:val="single" w:sz="4" w:space="0" w:color="auto"/>
              <w:left w:val="nil"/>
              <w:bottom w:val="single" w:sz="4" w:space="0" w:color="auto"/>
              <w:right w:val="nil"/>
            </w:tcBorders>
            <w:shd w:val="clear" w:color="auto" w:fill="auto"/>
            <w:hideMark/>
          </w:tcPr>
          <w:p w14:paraId="2B48212A"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c>
          <w:tcPr>
            <w:tcW w:w="2972" w:type="dxa"/>
            <w:tcBorders>
              <w:top w:val="single" w:sz="4" w:space="0" w:color="auto"/>
              <w:left w:val="single" w:sz="4" w:space="0" w:color="auto"/>
              <w:bottom w:val="single" w:sz="4" w:space="0" w:color="auto"/>
              <w:right w:val="nil"/>
            </w:tcBorders>
            <w:shd w:val="clear" w:color="auto" w:fill="auto"/>
            <w:vAlign w:val="center"/>
            <w:hideMark/>
          </w:tcPr>
          <w:p w14:paraId="092D00FB"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Incrementa de manera significativa los costos:</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E8B63EB" w14:textId="77777777" w:rsidR="00005B87" w:rsidRPr="009E289C" w:rsidRDefault="00005B87" w:rsidP="00723DBE">
            <w:pPr>
              <w:jc w:val="center"/>
              <w:rPr>
                <w:rFonts w:asciiTheme="minorHAnsi" w:hAnsiTheme="minorHAnsi" w:cstheme="minorHAnsi"/>
                <w:color w:val="000000"/>
                <w:sz w:val="18"/>
                <w:szCs w:val="18"/>
                <w:lang w:eastAsia="es-CO"/>
              </w:rPr>
            </w:pPr>
          </w:p>
        </w:tc>
        <w:tc>
          <w:tcPr>
            <w:tcW w:w="426" w:type="dxa"/>
            <w:tcBorders>
              <w:top w:val="nil"/>
              <w:left w:val="nil"/>
              <w:bottom w:val="single" w:sz="4" w:space="0" w:color="auto"/>
              <w:right w:val="single" w:sz="4" w:space="0" w:color="auto"/>
            </w:tcBorders>
            <w:shd w:val="clear" w:color="auto" w:fill="auto"/>
            <w:noWrap/>
            <w:vAlign w:val="center"/>
            <w:hideMark/>
          </w:tcPr>
          <w:p w14:paraId="6484F3D4" w14:textId="77777777" w:rsidR="00005B87" w:rsidRPr="009E289C" w:rsidRDefault="00005B87" w:rsidP="00723DBE">
            <w:pPr>
              <w:jc w:val="center"/>
              <w:rPr>
                <w:rFonts w:asciiTheme="minorHAnsi" w:hAnsiTheme="minorHAnsi" w:cstheme="minorHAnsi"/>
                <w:color w:val="000000"/>
                <w:sz w:val="18"/>
                <w:szCs w:val="18"/>
                <w:lang w:eastAsia="es-CO"/>
              </w:rPr>
            </w:pPr>
          </w:p>
        </w:tc>
        <w:tc>
          <w:tcPr>
            <w:tcW w:w="2409" w:type="dxa"/>
            <w:tcBorders>
              <w:top w:val="nil"/>
              <w:left w:val="nil"/>
              <w:bottom w:val="single" w:sz="4" w:space="0" w:color="auto"/>
              <w:right w:val="single" w:sz="4" w:space="0" w:color="auto"/>
            </w:tcBorders>
            <w:shd w:val="clear" w:color="auto" w:fill="auto"/>
            <w:noWrap/>
            <w:vAlign w:val="center"/>
            <w:hideMark/>
          </w:tcPr>
          <w:p w14:paraId="5B8AF477"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c>
          <w:tcPr>
            <w:tcW w:w="2835" w:type="dxa"/>
            <w:tcBorders>
              <w:top w:val="nil"/>
              <w:left w:val="nil"/>
              <w:bottom w:val="single" w:sz="4" w:space="0" w:color="auto"/>
              <w:right w:val="single" w:sz="4" w:space="0" w:color="auto"/>
            </w:tcBorders>
            <w:shd w:val="clear" w:color="auto" w:fill="auto"/>
            <w:noWrap/>
            <w:vAlign w:val="center"/>
            <w:hideMark/>
          </w:tcPr>
          <w:p w14:paraId="7CD15B02"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r>
      <w:tr w:rsidR="00005B87" w:rsidRPr="00637FE1" w14:paraId="2A90163B" w14:textId="77777777" w:rsidTr="00AF2F01">
        <w:trPr>
          <w:gridAfter w:val="1"/>
          <w:wAfter w:w="2311" w:type="dxa"/>
          <w:cantSplit/>
          <w:trHeight w:val="835"/>
        </w:trPr>
        <w:tc>
          <w:tcPr>
            <w:tcW w:w="274" w:type="dxa"/>
            <w:vMerge/>
            <w:tcBorders>
              <w:top w:val="single" w:sz="4" w:space="0" w:color="auto"/>
              <w:left w:val="single" w:sz="4" w:space="0" w:color="auto"/>
              <w:bottom w:val="single" w:sz="4" w:space="0" w:color="auto"/>
              <w:right w:val="single" w:sz="4" w:space="0" w:color="auto"/>
            </w:tcBorders>
            <w:vAlign w:val="center"/>
            <w:hideMark/>
          </w:tcPr>
          <w:p w14:paraId="5E18E86A" w14:textId="77777777" w:rsidR="00005B87" w:rsidRPr="009E289C" w:rsidRDefault="00005B87" w:rsidP="00723DBE">
            <w:pPr>
              <w:rPr>
                <w:rFonts w:asciiTheme="minorHAnsi" w:hAnsiTheme="minorHAnsi" w:cstheme="minorHAnsi"/>
                <w:color w:val="000000"/>
                <w:sz w:val="18"/>
                <w:szCs w:val="18"/>
                <w:lang w:eastAsia="es-CO"/>
              </w:rPr>
            </w:pPr>
          </w:p>
        </w:tc>
        <w:tc>
          <w:tcPr>
            <w:tcW w:w="2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92071" w14:textId="77777777" w:rsidR="00005B87" w:rsidRPr="009E289C" w:rsidRDefault="00005B87" w:rsidP="00723DBE">
            <w:pPr>
              <w:jc w:val="cente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i)</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E8B82"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Para nuevas empresas en relación con las empresas que ya operan en un mercado o mercados relevantes relacionados, o</w:t>
            </w:r>
          </w:p>
        </w:tc>
        <w:tc>
          <w:tcPr>
            <w:tcW w:w="425" w:type="dxa"/>
            <w:tcBorders>
              <w:top w:val="nil"/>
              <w:left w:val="nil"/>
              <w:bottom w:val="single" w:sz="4" w:space="0" w:color="auto"/>
              <w:right w:val="single" w:sz="4" w:space="0" w:color="auto"/>
            </w:tcBorders>
            <w:shd w:val="clear" w:color="auto" w:fill="auto"/>
            <w:noWrap/>
            <w:vAlign w:val="center"/>
            <w:hideMark/>
          </w:tcPr>
          <w:p w14:paraId="26BAC8D4" w14:textId="77777777" w:rsidR="00005B87" w:rsidRPr="009E289C" w:rsidRDefault="00005B87" w:rsidP="00723DBE">
            <w:pPr>
              <w:jc w:val="center"/>
              <w:rPr>
                <w:rFonts w:asciiTheme="minorHAnsi" w:hAnsiTheme="minorHAnsi" w:cstheme="minorHAnsi"/>
                <w:color w:val="000000"/>
                <w:sz w:val="18"/>
                <w:szCs w:val="18"/>
                <w:lang w:eastAsia="es-CO"/>
              </w:rPr>
            </w:pPr>
          </w:p>
        </w:tc>
        <w:tc>
          <w:tcPr>
            <w:tcW w:w="426" w:type="dxa"/>
            <w:tcBorders>
              <w:top w:val="nil"/>
              <w:left w:val="nil"/>
              <w:bottom w:val="single" w:sz="4" w:space="0" w:color="auto"/>
              <w:right w:val="single" w:sz="4" w:space="0" w:color="auto"/>
            </w:tcBorders>
            <w:shd w:val="clear" w:color="auto" w:fill="auto"/>
            <w:noWrap/>
            <w:vAlign w:val="center"/>
            <w:hideMark/>
          </w:tcPr>
          <w:p w14:paraId="66B7353F" w14:textId="77777777" w:rsidR="00005B87" w:rsidRPr="009E289C" w:rsidRDefault="00005B87" w:rsidP="00723DBE">
            <w:pPr>
              <w:jc w:val="center"/>
              <w:rPr>
                <w:rFonts w:asciiTheme="minorHAnsi" w:hAnsiTheme="minorHAnsi" w:cstheme="minorHAnsi"/>
                <w:color w:val="000000"/>
                <w:sz w:val="18"/>
                <w:szCs w:val="18"/>
                <w:lang w:eastAsia="es-CO"/>
              </w:rPr>
            </w:pPr>
            <w:r>
              <w:rPr>
                <w:rFonts w:asciiTheme="minorHAnsi" w:hAnsiTheme="minorHAnsi" w:cstheme="minorHAnsi"/>
                <w:color w:val="000000"/>
                <w:sz w:val="18"/>
                <w:szCs w:val="18"/>
                <w:lang w:eastAsia="es-CO"/>
              </w:rPr>
              <w:t>X</w:t>
            </w:r>
          </w:p>
        </w:tc>
        <w:tc>
          <w:tcPr>
            <w:tcW w:w="2409" w:type="dxa"/>
            <w:tcBorders>
              <w:top w:val="nil"/>
              <w:left w:val="nil"/>
              <w:bottom w:val="single" w:sz="4" w:space="0" w:color="auto"/>
              <w:right w:val="single" w:sz="4" w:space="0" w:color="auto"/>
            </w:tcBorders>
            <w:shd w:val="clear" w:color="auto" w:fill="auto"/>
            <w:noWrap/>
            <w:vAlign w:val="center"/>
            <w:hideMark/>
          </w:tcPr>
          <w:p w14:paraId="1D828FA0"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c>
          <w:tcPr>
            <w:tcW w:w="2835" w:type="dxa"/>
            <w:tcBorders>
              <w:top w:val="nil"/>
              <w:left w:val="nil"/>
              <w:bottom w:val="single" w:sz="4" w:space="0" w:color="auto"/>
              <w:right w:val="single" w:sz="4" w:space="0" w:color="auto"/>
            </w:tcBorders>
            <w:shd w:val="clear" w:color="auto" w:fill="auto"/>
            <w:noWrap/>
            <w:vAlign w:val="center"/>
            <w:hideMark/>
          </w:tcPr>
          <w:p w14:paraId="34CCA985"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r>
      <w:tr w:rsidR="00005B87" w:rsidRPr="00637FE1" w14:paraId="01F389A7" w14:textId="77777777" w:rsidTr="00AF2F01">
        <w:trPr>
          <w:gridAfter w:val="1"/>
          <w:wAfter w:w="2311" w:type="dxa"/>
          <w:cantSplit/>
          <w:trHeight w:val="946"/>
        </w:trPr>
        <w:tc>
          <w:tcPr>
            <w:tcW w:w="274" w:type="dxa"/>
            <w:vMerge/>
            <w:tcBorders>
              <w:top w:val="single" w:sz="4" w:space="0" w:color="auto"/>
              <w:left w:val="single" w:sz="4" w:space="0" w:color="auto"/>
              <w:bottom w:val="single" w:sz="4" w:space="0" w:color="auto"/>
              <w:right w:val="single" w:sz="4" w:space="0" w:color="auto"/>
            </w:tcBorders>
            <w:vAlign w:val="center"/>
            <w:hideMark/>
          </w:tcPr>
          <w:p w14:paraId="74B190C6" w14:textId="77777777" w:rsidR="00005B87" w:rsidRPr="009E289C" w:rsidRDefault="00005B87" w:rsidP="00723DBE">
            <w:pPr>
              <w:rPr>
                <w:rFonts w:asciiTheme="minorHAnsi" w:hAnsiTheme="minorHAnsi" w:cstheme="minorHAnsi"/>
                <w:color w:val="000000"/>
                <w:sz w:val="18"/>
                <w:szCs w:val="18"/>
                <w:lang w:eastAsia="es-CO"/>
              </w:rPr>
            </w:pPr>
          </w:p>
        </w:tc>
        <w:tc>
          <w:tcPr>
            <w:tcW w:w="2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BF6BC" w14:textId="77777777" w:rsidR="00005B87" w:rsidRPr="009E289C" w:rsidRDefault="00005B87" w:rsidP="00723DBE">
            <w:pPr>
              <w:jc w:val="cente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ii)</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57F68"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xml:space="preserve">Para unas empresas en relación con otras cuando el conjunto ya opera en uno o varios mercados relevantes relacionados. </w:t>
            </w:r>
          </w:p>
        </w:tc>
        <w:tc>
          <w:tcPr>
            <w:tcW w:w="425" w:type="dxa"/>
            <w:tcBorders>
              <w:top w:val="nil"/>
              <w:left w:val="nil"/>
              <w:bottom w:val="single" w:sz="4" w:space="0" w:color="auto"/>
              <w:right w:val="single" w:sz="4" w:space="0" w:color="auto"/>
            </w:tcBorders>
            <w:shd w:val="clear" w:color="auto" w:fill="auto"/>
            <w:noWrap/>
            <w:vAlign w:val="center"/>
            <w:hideMark/>
          </w:tcPr>
          <w:p w14:paraId="6EF5B54F" w14:textId="77777777" w:rsidR="00005B87" w:rsidRPr="009E289C" w:rsidRDefault="00005B87" w:rsidP="00723DBE">
            <w:pPr>
              <w:jc w:val="center"/>
              <w:rPr>
                <w:rFonts w:asciiTheme="minorHAnsi" w:hAnsiTheme="minorHAnsi" w:cstheme="minorHAnsi"/>
                <w:color w:val="000000"/>
                <w:sz w:val="18"/>
                <w:szCs w:val="18"/>
                <w:lang w:eastAsia="es-CO"/>
              </w:rPr>
            </w:pPr>
          </w:p>
        </w:tc>
        <w:tc>
          <w:tcPr>
            <w:tcW w:w="426" w:type="dxa"/>
            <w:tcBorders>
              <w:top w:val="nil"/>
              <w:left w:val="nil"/>
              <w:bottom w:val="single" w:sz="4" w:space="0" w:color="auto"/>
              <w:right w:val="single" w:sz="4" w:space="0" w:color="auto"/>
            </w:tcBorders>
            <w:shd w:val="clear" w:color="auto" w:fill="auto"/>
            <w:noWrap/>
            <w:vAlign w:val="center"/>
            <w:hideMark/>
          </w:tcPr>
          <w:p w14:paraId="633993B4" w14:textId="77777777" w:rsidR="00005B87" w:rsidRPr="009E289C" w:rsidRDefault="00005B87" w:rsidP="00723DBE">
            <w:pPr>
              <w:jc w:val="center"/>
              <w:rPr>
                <w:rFonts w:asciiTheme="minorHAnsi" w:hAnsiTheme="minorHAnsi" w:cstheme="minorHAnsi"/>
                <w:color w:val="000000"/>
                <w:sz w:val="18"/>
                <w:szCs w:val="18"/>
                <w:lang w:eastAsia="es-CO"/>
              </w:rPr>
            </w:pPr>
            <w:r>
              <w:rPr>
                <w:rFonts w:asciiTheme="minorHAnsi" w:hAnsiTheme="minorHAnsi" w:cstheme="minorHAnsi"/>
                <w:color w:val="000000"/>
                <w:sz w:val="18"/>
                <w:szCs w:val="18"/>
                <w:lang w:eastAsia="es-CO"/>
              </w:rPr>
              <w:t>X</w:t>
            </w:r>
          </w:p>
        </w:tc>
        <w:tc>
          <w:tcPr>
            <w:tcW w:w="2409" w:type="dxa"/>
            <w:tcBorders>
              <w:top w:val="nil"/>
              <w:left w:val="nil"/>
              <w:bottom w:val="single" w:sz="4" w:space="0" w:color="auto"/>
              <w:right w:val="single" w:sz="4" w:space="0" w:color="auto"/>
            </w:tcBorders>
            <w:shd w:val="clear" w:color="auto" w:fill="auto"/>
            <w:noWrap/>
            <w:vAlign w:val="center"/>
            <w:hideMark/>
          </w:tcPr>
          <w:p w14:paraId="32E451E8"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c>
          <w:tcPr>
            <w:tcW w:w="2835" w:type="dxa"/>
            <w:tcBorders>
              <w:top w:val="nil"/>
              <w:left w:val="nil"/>
              <w:bottom w:val="single" w:sz="4" w:space="0" w:color="auto"/>
              <w:right w:val="single" w:sz="4" w:space="0" w:color="auto"/>
            </w:tcBorders>
            <w:shd w:val="clear" w:color="auto" w:fill="auto"/>
            <w:noWrap/>
            <w:vAlign w:val="center"/>
            <w:hideMark/>
          </w:tcPr>
          <w:p w14:paraId="7C27123C"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r>
      <w:tr w:rsidR="00005B87" w:rsidRPr="00637FE1" w14:paraId="71044907" w14:textId="77777777" w:rsidTr="316C13B2">
        <w:trPr>
          <w:gridAfter w:val="1"/>
          <w:wAfter w:w="2311" w:type="dxa"/>
          <w:cantSplit/>
          <w:trHeight w:val="550"/>
        </w:trPr>
        <w:tc>
          <w:tcPr>
            <w:tcW w:w="567"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76F476E6" w14:textId="77777777" w:rsidR="00005B87" w:rsidRPr="009E289C" w:rsidRDefault="00005B87" w:rsidP="00723DBE">
            <w:pPr>
              <w:jc w:val="center"/>
              <w:rPr>
                <w:rFonts w:asciiTheme="minorHAnsi" w:hAnsiTheme="minorHAnsi" w:cstheme="minorHAnsi"/>
                <w:b/>
                <w:bCs/>
                <w:color w:val="000000"/>
                <w:sz w:val="18"/>
                <w:szCs w:val="18"/>
                <w:lang w:eastAsia="es-CO"/>
              </w:rPr>
            </w:pPr>
            <w:r w:rsidRPr="009E289C">
              <w:rPr>
                <w:rFonts w:asciiTheme="minorHAnsi" w:hAnsiTheme="minorHAnsi" w:cstheme="minorHAnsi"/>
                <w:b/>
                <w:bCs/>
                <w:color w:val="000000"/>
                <w:sz w:val="18"/>
                <w:szCs w:val="18"/>
                <w:lang w:eastAsia="es-CO"/>
              </w:rPr>
              <w:lastRenderedPageBreak/>
              <w:t>2.</w:t>
            </w:r>
          </w:p>
        </w:tc>
        <w:tc>
          <w:tcPr>
            <w:tcW w:w="9067" w:type="dxa"/>
            <w:gridSpan w:val="5"/>
            <w:tcBorders>
              <w:top w:val="single" w:sz="4" w:space="0" w:color="auto"/>
              <w:left w:val="nil"/>
              <w:bottom w:val="single" w:sz="4" w:space="0" w:color="auto"/>
              <w:right w:val="single" w:sz="4" w:space="0" w:color="000000" w:themeColor="text1"/>
            </w:tcBorders>
            <w:shd w:val="clear" w:color="auto" w:fill="auto"/>
            <w:hideMark/>
          </w:tcPr>
          <w:p w14:paraId="1B824E58" w14:textId="77777777" w:rsidR="00005B87" w:rsidRPr="009E289C" w:rsidRDefault="00005B87" w:rsidP="00723DBE">
            <w:pPr>
              <w:rPr>
                <w:rFonts w:asciiTheme="minorHAnsi" w:hAnsiTheme="minorHAnsi" w:cstheme="minorHAnsi"/>
                <w:b/>
                <w:bCs/>
                <w:color w:val="000000"/>
                <w:sz w:val="18"/>
                <w:szCs w:val="18"/>
                <w:lang w:eastAsia="es-CO"/>
              </w:rPr>
            </w:pPr>
            <w:r w:rsidRPr="009E289C">
              <w:rPr>
                <w:rFonts w:asciiTheme="minorHAnsi" w:hAnsiTheme="minorHAnsi" w:cstheme="minorHAnsi"/>
                <w:b/>
                <w:bCs/>
                <w:color w:val="000000"/>
                <w:sz w:val="18"/>
                <w:szCs w:val="18"/>
                <w:lang w:eastAsia="es-CO"/>
              </w:rPr>
              <w:t>¿La regulación limita la capacidad de las empresas para competir en uno o varios mercados relevantes relacionados?</w:t>
            </w:r>
            <w:r w:rsidRPr="009E289C">
              <w:rPr>
                <w:rFonts w:asciiTheme="minorHAnsi" w:hAnsiTheme="minorHAnsi" w:cstheme="minorHAnsi"/>
                <w:b/>
                <w:bCs/>
                <w:color w:val="000000"/>
                <w:sz w:val="18"/>
                <w:szCs w:val="18"/>
                <w:lang w:eastAsia="es-CO"/>
              </w:rPr>
              <w:br/>
              <w:t>Es posible que esto suceda, entre otros eventos, cuando el proyecto de acto:</w:t>
            </w:r>
          </w:p>
        </w:tc>
      </w:tr>
      <w:tr w:rsidR="00005B87" w:rsidRPr="00637FE1" w14:paraId="758C17A6" w14:textId="77777777" w:rsidTr="316C13B2">
        <w:trPr>
          <w:gridAfter w:val="1"/>
          <w:wAfter w:w="2311" w:type="dxa"/>
          <w:cantSplit/>
          <w:trHeight w:val="689"/>
        </w:trPr>
        <w:tc>
          <w:tcPr>
            <w:tcW w:w="567"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4C728130" w14:textId="77777777" w:rsidR="00005B87" w:rsidRPr="009E289C" w:rsidRDefault="00005B87" w:rsidP="00723DBE">
            <w:pPr>
              <w:jc w:val="cente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a)</w:t>
            </w:r>
          </w:p>
        </w:tc>
        <w:tc>
          <w:tcPr>
            <w:tcW w:w="2972" w:type="dxa"/>
            <w:tcBorders>
              <w:top w:val="nil"/>
              <w:left w:val="nil"/>
              <w:bottom w:val="single" w:sz="4" w:space="0" w:color="auto"/>
              <w:right w:val="single" w:sz="4" w:space="0" w:color="auto"/>
            </w:tcBorders>
            <w:shd w:val="clear" w:color="auto" w:fill="auto"/>
            <w:vAlign w:val="center"/>
            <w:hideMark/>
          </w:tcPr>
          <w:p w14:paraId="5FD2DACA"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Controla o influye sustancialmente sobre los precios de los bienes o servicios o el nivel de producción.</w:t>
            </w:r>
          </w:p>
        </w:tc>
        <w:tc>
          <w:tcPr>
            <w:tcW w:w="425" w:type="dxa"/>
            <w:tcBorders>
              <w:top w:val="nil"/>
              <w:left w:val="nil"/>
              <w:bottom w:val="single" w:sz="4" w:space="0" w:color="auto"/>
              <w:right w:val="single" w:sz="4" w:space="0" w:color="auto"/>
            </w:tcBorders>
            <w:shd w:val="clear" w:color="auto" w:fill="auto"/>
            <w:noWrap/>
            <w:vAlign w:val="center"/>
            <w:hideMark/>
          </w:tcPr>
          <w:p w14:paraId="372054BF" w14:textId="77777777" w:rsidR="00005B87" w:rsidRPr="009E289C" w:rsidRDefault="00005B87" w:rsidP="00723DBE">
            <w:pPr>
              <w:jc w:val="center"/>
              <w:rPr>
                <w:rFonts w:asciiTheme="minorHAnsi" w:hAnsiTheme="minorHAnsi" w:cstheme="minorHAnsi"/>
                <w:color w:val="000000"/>
                <w:sz w:val="18"/>
                <w:szCs w:val="18"/>
                <w:lang w:eastAsia="es-CO"/>
              </w:rPr>
            </w:pPr>
          </w:p>
        </w:tc>
        <w:tc>
          <w:tcPr>
            <w:tcW w:w="426" w:type="dxa"/>
            <w:tcBorders>
              <w:top w:val="nil"/>
              <w:left w:val="nil"/>
              <w:bottom w:val="single" w:sz="4" w:space="0" w:color="auto"/>
              <w:right w:val="single" w:sz="4" w:space="0" w:color="auto"/>
            </w:tcBorders>
            <w:shd w:val="clear" w:color="auto" w:fill="auto"/>
            <w:noWrap/>
            <w:vAlign w:val="center"/>
            <w:hideMark/>
          </w:tcPr>
          <w:p w14:paraId="6E5FE34C" w14:textId="77777777" w:rsidR="00005B87" w:rsidRPr="009E289C" w:rsidRDefault="00005B87" w:rsidP="00723DBE">
            <w:pPr>
              <w:jc w:val="center"/>
              <w:rPr>
                <w:rFonts w:asciiTheme="minorHAnsi" w:hAnsiTheme="minorHAnsi" w:cstheme="minorHAnsi"/>
                <w:color w:val="000000"/>
                <w:sz w:val="18"/>
                <w:szCs w:val="18"/>
                <w:lang w:eastAsia="es-CO"/>
              </w:rPr>
            </w:pPr>
            <w:r>
              <w:rPr>
                <w:rFonts w:asciiTheme="minorHAnsi" w:hAnsiTheme="minorHAnsi" w:cstheme="minorHAnsi"/>
                <w:color w:val="000000"/>
                <w:sz w:val="18"/>
                <w:szCs w:val="18"/>
                <w:lang w:eastAsia="es-CO"/>
              </w:rPr>
              <w:t>X</w:t>
            </w:r>
          </w:p>
        </w:tc>
        <w:tc>
          <w:tcPr>
            <w:tcW w:w="2409" w:type="dxa"/>
            <w:tcBorders>
              <w:top w:val="nil"/>
              <w:left w:val="nil"/>
              <w:bottom w:val="single" w:sz="4" w:space="0" w:color="auto"/>
              <w:right w:val="single" w:sz="4" w:space="0" w:color="auto"/>
            </w:tcBorders>
            <w:shd w:val="clear" w:color="auto" w:fill="auto"/>
            <w:noWrap/>
            <w:vAlign w:val="center"/>
            <w:hideMark/>
          </w:tcPr>
          <w:p w14:paraId="6F9FD87C"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c>
          <w:tcPr>
            <w:tcW w:w="2835" w:type="dxa"/>
            <w:tcBorders>
              <w:top w:val="nil"/>
              <w:left w:val="nil"/>
              <w:bottom w:val="single" w:sz="4" w:space="0" w:color="auto"/>
              <w:right w:val="single" w:sz="4" w:space="0" w:color="auto"/>
            </w:tcBorders>
            <w:shd w:val="clear" w:color="auto" w:fill="auto"/>
            <w:noWrap/>
            <w:vAlign w:val="center"/>
            <w:hideMark/>
          </w:tcPr>
          <w:p w14:paraId="6241133E"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r>
      <w:tr w:rsidR="00005B87" w:rsidRPr="00637FE1" w14:paraId="76DEBCA4" w14:textId="77777777" w:rsidTr="316C13B2">
        <w:trPr>
          <w:gridAfter w:val="1"/>
          <w:wAfter w:w="2311" w:type="dxa"/>
          <w:cantSplit/>
          <w:trHeight w:val="708"/>
        </w:trPr>
        <w:tc>
          <w:tcPr>
            <w:tcW w:w="567"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1A742B40" w14:textId="77777777" w:rsidR="00005B87" w:rsidRPr="009E289C" w:rsidRDefault="00005B87" w:rsidP="00723DBE">
            <w:pPr>
              <w:jc w:val="cente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b)</w:t>
            </w:r>
          </w:p>
        </w:tc>
        <w:tc>
          <w:tcPr>
            <w:tcW w:w="2972" w:type="dxa"/>
            <w:tcBorders>
              <w:top w:val="nil"/>
              <w:left w:val="nil"/>
              <w:bottom w:val="single" w:sz="4" w:space="0" w:color="auto"/>
              <w:right w:val="single" w:sz="4" w:space="0" w:color="auto"/>
            </w:tcBorders>
            <w:shd w:val="clear" w:color="auto" w:fill="auto"/>
            <w:vAlign w:val="center"/>
            <w:hideMark/>
          </w:tcPr>
          <w:p w14:paraId="75ABF81C" w14:textId="755619AB"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Limita a las empresas la posibilidad de distribuir o comercializar sus productos.</w:t>
            </w:r>
            <w:r w:rsidR="00AB61E7">
              <w:rPr>
                <w:rFonts w:asciiTheme="minorHAnsi" w:hAnsiTheme="minorHAnsi" w:cstheme="minorHAnsi"/>
                <w:color w:val="000000"/>
                <w:sz w:val="18"/>
                <w:szCs w:val="18"/>
                <w:lang w:eastAsia="es-CO"/>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615A3D69" w14:textId="77777777" w:rsidR="00005B87" w:rsidRPr="009E289C" w:rsidRDefault="00005B87" w:rsidP="00723DBE">
            <w:pPr>
              <w:jc w:val="center"/>
              <w:rPr>
                <w:rFonts w:asciiTheme="minorHAnsi" w:hAnsiTheme="minorHAnsi" w:cstheme="minorHAnsi"/>
                <w:color w:val="000000"/>
                <w:sz w:val="18"/>
                <w:szCs w:val="18"/>
                <w:lang w:eastAsia="es-CO"/>
              </w:rPr>
            </w:pPr>
          </w:p>
        </w:tc>
        <w:tc>
          <w:tcPr>
            <w:tcW w:w="426" w:type="dxa"/>
            <w:tcBorders>
              <w:top w:val="nil"/>
              <w:left w:val="nil"/>
              <w:bottom w:val="single" w:sz="4" w:space="0" w:color="auto"/>
              <w:right w:val="single" w:sz="4" w:space="0" w:color="auto"/>
            </w:tcBorders>
            <w:shd w:val="clear" w:color="auto" w:fill="auto"/>
            <w:noWrap/>
            <w:vAlign w:val="center"/>
            <w:hideMark/>
          </w:tcPr>
          <w:p w14:paraId="5DF2CD12" w14:textId="77777777" w:rsidR="00005B87" w:rsidRPr="009E289C" w:rsidRDefault="00005B87" w:rsidP="00723DBE">
            <w:pPr>
              <w:jc w:val="center"/>
              <w:rPr>
                <w:rFonts w:asciiTheme="minorHAnsi" w:hAnsiTheme="minorHAnsi" w:cstheme="minorHAnsi"/>
                <w:color w:val="000000"/>
                <w:sz w:val="18"/>
                <w:szCs w:val="18"/>
                <w:lang w:eastAsia="es-CO"/>
              </w:rPr>
            </w:pPr>
            <w:r>
              <w:rPr>
                <w:rFonts w:asciiTheme="minorHAnsi" w:hAnsiTheme="minorHAnsi" w:cstheme="minorHAnsi"/>
                <w:color w:val="000000"/>
                <w:sz w:val="18"/>
                <w:szCs w:val="18"/>
                <w:lang w:eastAsia="es-CO"/>
              </w:rPr>
              <w:t>X</w:t>
            </w:r>
          </w:p>
        </w:tc>
        <w:tc>
          <w:tcPr>
            <w:tcW w:w="2409" w:type="dxa"/>
            <w:tcBorders>
              <w:top w:val="nil"/>
              <w:left w:val="nil"/>
              <w:bottom w:val="single" w:sz="4" w:space="0" w:color="auto"/>
              <w:right w:val="single" w:sz="4" w:space="0" w:color="auto"/>
            </w:tcBorders>
            <w:shd w:val="clear" w:color="auto" w:fill="auto"/>
            <w:noWrap/>
            <w:vAlign w:val="center"/>
            <w:hideMark/>
          </w:tcPr>
          <w:p w14:paraId="46B202E8"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c>
          <w:tcPr>
            <w:tcW w:w="2835" w:type="dxa"/>
            <w:tcBorders>
              <w:top w:val="nil"/>
              <w:left w:val="nil"/>
              <w:bottom w:val="single" w:sz="4" w:space="0" w:color="auto"/>
              <w:right w:val="single" w:sz="4" w:space="0" w:color="auto"/>
            </w:tcBorders>
            <w:shd w:val="clear" w:color="auto" w:fill="auto"/>
            <w:noWrap/>
            <w:vAlign w:val="center"/>
            <w:hideMark/>
          </w:tcPr>
          <w:p w14:paraId="3626502E"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r>
      <w:tr w:rsidR="00005B87" w:rsidRPr="00637FE1" w14:paraId="5A7EDE25" w14:textId="77777777" w:rsidTr="316C13B2">
        <w:trPr>
          <w:gridAfter w:val="1"/>
          <w:wAfter w:w="2311" w:type="dxa"/>
          <w:cantSplit/>
          <w:trHeight w:val="523"/>
        </w:trPr>
        <w:tc>
          <w:tcPr>
            <w:tcW w:w="567"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59F7C7CD" w14:textId="77777777" w:rsidR="00005B87" w:rsidRPr="009E289C" w:rsidRDefault="00005B87" w:rsidP="00723DBE">
            <w:pPr>
              <w:jc w:val="cente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c)</w:t>
            </w:r>
          </w:p>
        </w:tc>
        <w:tc>
          <w:tcPr>
            <w:tcW w:w="2972" w:type="dxa"/>
            <w:tcBorders>
              <w:top w:val="nil"/>
              <w:left w:val="nil"/>
              <w:bottom w:val="single" w:sz="4" w:space="0" w:color="auto"/>
              <w:right w:val="single" w:sz="4" w:space="0" w:color="auto"/>
            </w:tcBorders>
            <w:shd w:val="clear" w:color="auto" w:fill="auto"/>
            <w:vAlign w:val="center"/>
            <w:hideMark/>
          </w:tcPr>
          <w:p w14:paraId="11B8F6CA"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Limita la libertad de las empresas para promocionar sus productos.</w:t>
            </w:r>
          </w:p>
        </w:tc>
        <w:tc>
          <w:tcPr>
            <w:tcW w:w="425" w:type="dxa"/>
            <w:tcBorders>
              <w:top w:val="nil"/>
              <w:left w:val="nil"/>
              <w:bottom w:val="single" w:sz="4" w:space="0" w:color="auto"/>
              <w:right w:val="single" w:sz="4" w:space="0" w:color="auto"/>
            </w:tcBorders>
            <w:shd w:val="clear" w:color="auto" w:fill="auto"/>
            <w:noWrap/>
            <w:vAlign w:val="center"/>
            <w:hideMark/>
          </w:tcPr>
          <w:p w14:paraId="7FE06BC3" w14:textId="77777777" w:rsidR="00005B87" w:rsidRPr="009E289C" w:rsidRDefault="00005B87" w:rsidP="00723DBE">
            <w:pPr>
              <w:jc w:val="center"/>
              <w:rPr>
                <w:rFonts w:asciiTheme="minorHAnsi" w:hAnsiTheme="minorHAnsi" w:cstheme="minorHAnsi"/>
                <w:color w:val="000000"/>
                <w:sz w:val="18"/>
                <w:szCs w:val="18"/>
                <w:lang w:eastAsia="es-CO"/>
              </w:rPr>
            </w:pPr>
          </w:p>
        </w:tc>
        <w:tc>
          <w:tcPr>
            <w:tcW w:w="426" w:type="dxa"/>
            <w:tcBorders>
              <w:top w:val="nil"/>
              <w:left w:val="nil"/>
              <w:bottom w:val="single" w:sz="4" w:space="0" w:color="auto"/>
              <w:right w:val="single" w:sz="4" w:space="0" w:color="auto"/>
            </w:tcBorders>
            <w:shd w:val="clear" w:color="auto" w:fill="auto"/>
            <w:noWrap/>
            <w:vAlign w:val="center"/>
            <w:hideMark/>
          </w:tcPr>
          <w:p w14:paraId="5F930383" w14:textId="77777777" w:rsidR="00005B87" w:rsidRPr="009E289C" w:rsidRDefault="00005B87" w:rsidP="00723DBE">
            <w:pPr>
              <w:jc w:val="center"/>
              <w:rPr>
                <w:rFonts w:asciiTheme="minorHAnsi" w:hAnsiTheme="minorHAnsi" w:cstheme="minorHAnsi"/>
                <w:color w:val="000000"/>
                <w:sz w:val="18"/>
                <w:szCs w:val="18"/>
                <w:lang w:eastAsia="es-CO"/>
              </w:rPr>
            </w:pPr>
            <w:r>
              <w:rPr>
                <w:rFonts w:asciiTheme="minorHAnsi" w:hAnsiTheme="minorHAnsi" w:cstheme="minorHAnsi"/>
                <w:color w:val="000000"/>
                <w:sz w:val="18"/>
                <w:szCs w:val="18"/>
                <w:lang w:eastAsia="es-CO"/>
              </w:rPr>
              <w:t>X</w:t>
            </w:r>
          </w:p>
        </w:tc>
        <w:tc>
          <w:tcPr>
            <w:tcW w:w="2409" w:type="dxa"/>
            <w:tcBorders>
              <w:top w:val="nil"/>
              <w:left w:val="nil"/>
              <w:bottom w:val="single" w:sz="4" w:space="0" w:color="auto"/>
              <w:right w:val="single" w:sz="4" w:space="0" w:color="auto"/>
            </w:tcBorders>
            <w:shd w:val="clear" w:color="auto" w:fill="auto"/>
            <w:noWrap/>
            <w:vAlign w:val="center"/>
            <w:hideMark/>
          </w:tcPr>
          <w:p w14:paraId="25FA932E"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c>
          <w:tcPr>
            <w:tcW w:w="2835" w:type="dxa"/>
            <w:tcBorders>
              <w:top w:val="nil"/>
              <w:left w:val="nil"/>
              <w:bottom w:val="single" w:sz="4" w:space="0" w:color="auto"/>
              <w:right w:val="single" w:sz="4" w:space="0" w:color="auto"/>
            </w:tcBorders>
            <w:shd w:val="clear" w:color="auto" w:fill="auto"/>
            <w:noWrap/>
            <w:vAlign w:val="center"/>
            <w:hideMark/>
          </w:tcPr>
          <w:p w14:paraId="18ED1658"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r>
      <w:tr w:rsidR="00005B87" w:rsidRPr="00637FE1" w14:paraId="02393826" w14:textId="77777777" w:rsidTr="316C13B2">
        <w:trPr>
          <w:gridAfter w:val="1"/>
          <w:wAfter w:w="2311" w:type="dxa"/>
          <w:cantSplit/>
          <w:trHeight w:val="687"/>
        </w:trPr>
        <w:tc>
          <w:tcPr>
            <w:tcW w:w="567"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501D29C7" w14:textId="77777777" w:rsidR="00005B87" w:rsidRPr="009E289C" w:rsidRDefault="00005B87" w:rsidP="00723DBE">
            <w:pPr>
              <w:jc w:val="cente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d)</w:t>
            </w:r>
          </w:p>
        </w:tc>
        <w:tc>
          <w:tcPr>
            <w:tcW w:w="2972" w:type="dxa"/>
            <w:tcBorders>
              <w:top w:val="nil"/>
              <w:left w:val="nil"/>
              <w:bottom w:val="single" w:sz="4" w:space="0" w:color="auto"/>
              <w:right w:val="single" w:sz="4" w:space="0" w:color="auto"/>
            </w:tcBorders>
            <w:shd w:val="clear" w:color="auto" w:fill="auto"/>
            <w:vAlign w:val="center"/>
            <w:hideMark/>
          </w:tcPr>
          <w:p w14:paraId="09D88632"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Otorga a los operadores actuales en el mercado un trato diferenciado con respecto a las empresas entrantes.</w:t>
            </w:r>
          </w:p>
        </w:tc>
        <w:tc>
          <w:tcPr>
            <w:tcW w:w="425" w:type="dxa"/>
            <w:tcBorders>
              <w:top w:val="nil"/>
              <w:left w:val="nil"/>
              <w:bottom w:val="single" w:sz="4" w:space="0" w:color="auto"/>
              <w:right w:val="single" w:sz="4" w:space="0" w:color="auto"/>
            </w:tcBorders>
            <w:shd w:val="clear" w:color="auto" w:fill="auto"/>
            <w:noWrap/>
            <w:vAlign w:val="center"/>
            <w:hideMark/>
          </w:tcPr>
          <w:p w14:paraId="52A0E9E7" w14:textId="77777777" w:rsidR="00005B87" w:rsidRPr="009E289C" w:rsidRDefault="00005B87" w:rsidP="00723DBE">
            <w:pPr>
              <w:jc w:val="center"/>
              <w:rPr>
                <w:rFonts w:asciiTheme="minorHAnsi" w:hAnsiTheme="minorHAnsi" w:cstheme="minorHAnsi"/>
                <w:color w:val="000000"/>
                <w:sz w:val="18"/>
                <w:szCs w:val="18"/>
                <w:lang w:eastAsia="es-CO"/>
              </w:rPr>
            </w:pPr>
          </w:p>
        </w:tc>
        <w:tc>
          <w:tcPr>
            <w:tcW w:w="426" w:type="dxa"/>
            <w:tcBorders>
              <w:top w:val="nil"/>
              <w:left w:val="nil"/>
              <w:bottom w:val="single" w:sz="4" w:space="0" w:color="auto"/>
              <w:right w:val="single" w:sz="4" w:space="0" w:color="auto"/>
            </w:tcBorders>
            <w:shd w:val="clear" w:color="auto" w:fill="auto"/>
            <w:noWrap/>
            <w:vAlign w:val="center"/>
            <w:hideMark/>
          </w:tcPr>
          <w:p w14:paraId="023A3689" w14:textId="77777777" w:rsidR="00005B87" w:rsidRPr="009E289C" w:rsidRDefault="00005B87" w:rsidP="00723DBE">
            <w:pPr>
              <w:jc w:val="center"/>
              <w:rPr>
                <w:rFonts w:asciiTheme="minorHAnsi" w:hAnsiTheme="minorHAnsi" w:cstheme="minorHAnsi"/>
                <w:color w:val="000000"/>
                <w:sz w:val="18"/>
                <w:szCs w:val="18"/>
                <w:lang w:eastAsia="es-CO"/>
              </w:rPr>
            </w:pPr>
            <w:r>
              <w:rPr>
                <w:rFonts w:asciiTheme="minorHAnsi" w:hAnsiTheme="minorHAnsi" w:cstheme="minorHAnsi"/>
                <w:color w:val="000000"/>
                <w:sz w:val="18"/>
                <w:szCs w:val="18"/>
                <w:lang w:eastAsia="es-CO"/>
              </w:rPr>
              <w:t>X</w:t>
            </w:r>
          </w:p>
        </w:tc>
        <w:tc>
          <w:tcPr>
            <w:tcW w:w="2409" w:type="dxa"/>
            <w:tcBorders>
              <w:top w:val="nil"/>
              <w:left w:val="nil"/>
              <w:bottom w:val="single" w:sz="4" w:space="0" w:color="auto"/>
              <w:right w:val="single" w:sz="4" w:space="0" w:color="auto"/>
            </w:tcBorders>
            <w:shd w:val="clear" w:color="auto" w:fill="auto"/>
            <w:noWrap/>
            <w:vAlign w:val="center"/>
            <w:hideMark/>
          </w:tcPr>
          <w:p w14:paraId="0E4AE3AA"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c>
          <w:tcPr>
            <w:tcW w:w="2835" w:type="dxa"/>
            <w:tcBorders>
              <w:top w:val="nil"/>
              <w:left w:val="nil"/>
              <w:bottom w:val="single" w:sz="4" w:space="0" w:color="auto"/>
              <w:right w:val="single" w:sz="4" w:space="0" w:color="auto"/>
            </w:tcBorders>
            <w:shd w:val="clear" w:color="auto" w:fill="auto"/>
            <w:noWrap/>
            <w:vAlign w:val="center"/>
            <w:hideMark/>
          </w:tcPr>
          <w:p w14:paraId="6A0CA595"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r>
      <w:tr w:rsidR="00005B87" w:rsidRPr="00637FE1" w14:paraId="4636364A" w14:textId="77777777" w:rsidTr="316C13B2">
        <w:trPr>
          <w:gridAfter w:val="1"/>
          <w:wAfter w:w="2311" w:type="dxa"/>
          <w:cantSplit/>
          <w:trHeight w:val="427"/>
        </w:trPr>
        <w:tc>
          <w:tcPr>
            <w:tcW w:w="567"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682BB64F" w14:textId="77777777" w:rsidR="00005B87" w:rsidRPr="009E289C" w:rsidRDefault="00005B87" w:rsidP="00723DBE">
            <w:pPr>
              <w:jc w:val="cente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e)</w:t>
            </w:r>
          </w:p>
        </w:tc>
        <w:tc>
          <w:tcPr>
            <w:tcW w:w="2972" w:type="dxa"/>
            <w:tcBorders>
              <w:top w:val="nil"/>
              <w:left w:val="nil"/>
              <w:bottom w:val="single" w:sz="4" w:space="0" w:color="auto"/>
              <w:right w:val="single" w:sz="4" w:space="0" w:color="auto"/>
            </w:tcBorders>
            <w:shd w:val="clear" w:color="auto" w:fill="auto"/>
            <w:vAlign w:val="center"/>
            <w:hideMark/>
          </w:tcPr>
          <w:p w14:paraId="6FFDF0DB"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xml:space="preserve">Otorga trato diferenciado a unas empresas con respecto a otras. </w:t>
            </w:r>
          </w:p>
        </w:tc>
        <w:tc>
          <w:tcPr>
            <w:tcW w:w="425" w:type="dxa"/>
            <w:tcBorders>
              <w:top w:val="nil"/>
              <w:left w:val="nil"/>
              <w:bottom w:val="single" w:sz="4" w:space="0" w:color="auto"/>
              <w:right w:val="single" w:sz="4" w:space="0" w:color="auto"/>
            </w:tcBorders>
            <w:shd w:val="clear" w:color="auto" w:fill="auto"/>
            <w:noWrap/>
            <w:vAlign w:val="center"/>
            <w:hideMark/>
          </w:tcPr>
          <w:p w14:paraId="7C0DF193" w14:textId="77777777" w:rsidR="00005B87" w:rsidRPr="009E289C" w:rsidRDefault="00005B87" w:rsidP="00723DBE">
            <w:pPr>
              <w:jc w:val="center"/>
              <w:rPr>
                <w:rFonts w:asciiTheme="minorHAnsi" w:hAnsiTheme="minorHAnsi" w:cstheme="minorHAnsi"/>
                <w:color w:val="000000"/>
                <w:sz w:val="18"/>
                <w:szCs w:val="18"/>
                <w:lang w:eastAsia="es-CO"/>
              </w:rPr>
            </w:pPr>
          </w:p>
        </w:tc>
        <w:tc>
          <w:tcPr>
            <w:tcW w:w="426" w:type="dxa"/>
            <w:tcBorders>
              <w:top w:val="nil"/>
              <w:left w:val="nil"/>
              <w:bottom w:val="single" w:sz="4" w:space="0" w:color="auto"/>
              <w:right w:val="single" w:sz="4" w:space="0" w:color="auto"/>
            </w:tcBorders>
            <w:shd w:val="clear" w:color="auto" w:fill="auto"/>
            <w:noWrap/>
            <w:vAlign w:val="center"/>
            <w:hideMark/>
          </w:tcPr>
          <w:p w14:paraId="3DF98385" w14:textId="77777777" w:rsidR="00005B87" w:rsidRPr="009E289C" w:rsidRDefault="00005B87" w:rsidP="00723DBE">
            <w:pPr>
              <w:jc w:val="center"/>
              <w:rPr>
                <w:rFonts w:asciiTheme="minorHAnsi" w:hAnsiTheme="minorHAnsi" w:cstheme="minorHAnsi"/>
                <w:color w:val="000000"/>
                <w:sz w:val="18"/>
                <w:szCs w:val="18"/>
                <w:lang w:eastAsia="es-CO"/>
              </w:rPr>
            </w:pPr>
            <w:r>
              <w:rPr>
                <w:rFonts w:asciiTheme="minorHAnsi" w:hAnsiTheme="minorHAnsi" w:cstheme="minorHAnsi"/>
                <w:color w:val="000000"/>
                <w:sz w:val="18"/>
                <w:szCs w:val="18"/>
                <w:lang w:eastAsia="es-CO"/>
              </w:rPr>
              <w:t>X</w:t>
            </w:r>
          </w:p>
        </w:tc>
        <w:tc>
          <w:tcPr>
            <w:tcW w:w="2409" w:type="dxa"/>
            <w:tcBorders>
              <w:top w:val="nil"/>
              <w:left w:val="nil"/>
              <w:bottom w:val="single" w:sz="4" w:space="0" w:color="auto"/>
              <w:right w:val="single" w:sz="4" w:space="0" w:color="auto"/>
            </w:tcBorders>
            <w:shd w:val="clear" w:color="auto" w:fill="auto"/>
            <w:noWrap/>
            <w:vAlign w:val="center"/>
            <w:hideMark/>
          </w:tcPr>
          <w:p w14:paraId="28376D8B"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c>
          <w:tcPr>
            <w:tcW w:w="2835" w:type="dxa"/>
            <w:tcBorders>
              <w:top w:val="nil"/>
              <w:left w:val="nil"/>
              <w:bottom w:val="single" w:sz="4" w:space="0" w:color="auto"/>
              <w:right w:val="single" w:sz="4" w:space="0" w:color="auto"/>
            </w:tcBorders>
            <w:shd w:val="clear" w:color="auto" w:fill="auto"/>
            <w:noWrap/>
            <w:vAlign w:val="center"/>
            <w:hideMark/>
          </w:tcPr>
          <w:p w14:paraId="71723A5F"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r>
      <w:tr w:rsidR="00005B87" w:rsidRPr="00637FE1" w14:paraId="7199F6D7" w14:textId="77777777" w:rsidTr="316C13B2">
        <w:trPr>
          <w:gridAfter w:val="1"/>
          <w:wAfter w:w="2311" w:type="dxa"/>
          <w:cantSplit/>
          <w:trHeight w:val="688"/>
        </w:trPr>
        <w:tc>
          <w:tcPr>
            <w:tcW w:w="567"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28CD7E64" w14:textId="77777777" w:rsidR="00005B87" w:rsidRPr="009E289C" w:rsidRDefault="00005B87" w:rsidP="00723DBE">
            <w:pPr>
              <w:jc w:val="cente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f)</w:t>
            </w:r>
          </w:p>
        </w:tc>
        <w:tc>
          <w:tcPr>
            <w:tcW w:w="2972" w:type="dxa"/>
            <w:tcBorders>
              <w:top w:val="nil"/>
              <w:left w:val="nil"/>
              <w:bottom w:val="single" w:sz="4" w:space="0" w:color="auto"/>
              <w:right w:val="single" w:sz="4" w:space="0" w:color="auto"/>
            </w:tcBorders>
            <w:shd w:val="clear" w:color="auto" w:fill="auto"/>
            <w:vAlign w:val="center"/>
            <w:hideMark/>
          </w:tcPr>
          <w:p w14:paraId="6E767D12"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Limita la libertad de las empresas para elegir sus procesos de producción o su forma de organización industrial.</w:t>
            </w:r>
          </w:p>
        </w:tc>
        <w:tc>
          <w:tcPr>
            <w:tcW w:w="425" w:type="dxa"/>
            <w:tcBorders>
              <w:top w:val="nil"/>
              <w:left w:val="nil"/>
              <w:bottom w:val="single" w:sz="4" w:space="0" w:color="auto"/>
              <w:right w:val="single" w:sz="4" w:space="0" w:color="auto"/>
            </w:tcBorders>
            <w:shd w:val="clear" w:color="auto" w:fill="auto"/>
            <w:noWrap/>
            <w:vAlign w:val="center"/>
            <w:hideMark/>
          </w:tcPr>
          <w:p w14:paraId="52A904F6" w14:textId="77777777" w:rsidR="00005B87" w:rsidRPr="009E289C" w:rsidRDefault="00005B87" w:rsidP="00723DBE">
            <w:pPr>
              <w:jc w:val="center"/>
              <w:rPr>
                <w:rFonts w:asciiTheme="minorHAnsi" w:hAnsiTheme="minorHAnsi" w:cstheme="minorHAnsi"/>
                <w:color w:val="000000"/>
                <w:sz w:val="18"/>
                <w:szCs w:val="18"/>
                <w:lang w:eastAsia="es-CO"/>
              </w:rPr>
            </w:pPr>
          </w:p>
        </w:tc>
        <w:tc>
          <w:tcPr>
            <w:tcW w:w="426" w:type="dxa"/>
            <w:tcBorders>
              <w:top w:val="nil"/>
              <w:left w:val="nil"/>
              <w:bottom w:val="single" w:sz="4" w:space="0" w:color="auto"/>
              <w:right w:val="single" w:sz="4" w:space="0" w:color="auto"/>
            </w:tcBorders>
            <w:shd w:val="clear" w:color="auto" w:fill="auto"/>
            <w:noWrap/>
            <w:vAlign w:val="center"/>
            <w:hideMark/>
          </w:tcPr>
          <w:p w14:paraId="39304116" w14:textId="77777777" w:rsidR="00005B87" w:rsidRPr="009E289C" w:rsidRDefault="00005B87" w:rsidP="00723DBE">
            <w:pPr>
              <w:jc w:val="center"/>
              <w:rPr>
                <w:rFonts w:asciiTheme="minorHAnsi" w:hAnsiTheme="minorHAnsi" w:cstheme="minorHAnsi"/>
                <w:color w:val="000000"/>
                <w:sz w:val="18"/>
                <w:szCs w:val="18"/>
                <w:lang w:eastAsia="es-CO"/>
              </w:rPr>
            </w:pPr>
            <w:r>
              <w:rPr>
                <w:rFonts w:asciiTheme="minorHAnsi" w:hAnsiTheme="minorHAnsi" w:cstheme="minorHAnsi"/>
                <w:color w:val="000000"/>
                <w:sz w:val="18"/>
                <w:szCs w:val="18"/>
                <w:lang w:eastAsia="es-CO"/>
              </w:rPr>
              <w:t>X</w:t>
            </w:r>
          </w:p>
        </w:tc>
        <w:tc>
          <w:tcPr>
            <w:tcW w:w="2409" w:type="dxa"/>
            <w:tcBorders>
              <w:top w:val="nil"/>
              <w:left w:val="nil"/>
              <w:bottom w:val="single" w:sz="4" w:space="0" w:color="auto"/>
              <w:right w:val="single" w:sz="4" w:space="0" w:color="auto"/>
            </w:tcBorders>
            <w:shd w:val="clear" w:color="auto" w:fill="auto"/>
            <w:noWrap/>
            <w:vAlign w:val="center"/>
            <w:hideMark/>
          </w:tcPr>
          <w:p w14:paraId="0B3DBC2B"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c>
          <w:tcPr>
            <w:tcW w:w="2835" w:type="dxa"/>
            <w:tcBorders>
              <w:top w:val="nil"/>
              <w:left w:val="nil"/>
              <w:bottom w:val="single" w:sz="4" w:space="0" w:color="auto"/>
              <w:right w:val="single" w:sz="4" w:space="0" w:color="auto"/>
            </w:tcBorders>
            <w:shd w:val="clear" w:color="auto" w:fill="auto"/>
            <w:noWrap/>
            <w:vAlign w:val="center"/>
            <w:hideMark/>
          </w:tcPr>
          <w:p w14:paraId="5A68628F"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r>
      <w:tr w:rsidR="00005B87" w:rsidRPr="00637FE1" w14:paraId="021E852B" w14:textId="77777777" w:rsidTr="316C13B2">
        <w:trPr>
          <w:gridAfter w:val="1"/>
          <w:wAfter w:w="2311" w:type="dxa"/>
          <w:cantSplit/>
          <w:trHeight w:val="660"/>
        </w:trPr>
        <w:tc>
          <w:tcPr>
            <w:tcW w:w="567"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3A9F8FB7" w14:textId="77777777" w:rsidR="00005B87" w:rsidRPr="009E289C" w:rsidRDefault="00005B87" w:rsidP="00723DBE">
            <w:pPr>
              <w:jc w:val="cente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g)</w:t>
            </w:r>
          </w:p>
        </w:tc>
        <w:tc>
          <w:tcPr>
            <w:tcW w:w="2972" w:type="dxa"/>
            <w:tcBorders>
              <w:top w:val="nil"/>
              <w:left w:val="nil"/>
              <w:bottom w:val="single" w:sz="4" w:space="0" w:color="auto"/>
              <w:right w:val="single" w:sz="4" w:space="0" w:color="auto"/>
            </w:tcBorders>
            <w:shd w:val="clear" w:color="auto" w:fill="auto"/>
            <w:vAlign w:val="center"/>
            <w:hideMark/>
          </w:tcPr>
          <w:p w14:paraId="165931D4" w14:textId="6A8CB59C"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Limita la innovación para ofrecer nuevos productos o productos existentes pero bajo nuevas formas.</w:t>
            </w:r>
            <w:r w:rsidR="00A07864">
              <w:rPr>
                <w:rFonts w:asciiTheme="minorHAnsi" w:hAnsiTheme="minorHAnsi" w:cstheme="minorHAnsi"/>
                <w:color w:val="000000"/>
                <w:sz w:val="18"/>
                <w:szCs w:val="18"/>
                <w:lang w:eastAsia="es-CO"/>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76D95D64" w14:textId="77777777" w:rsidR="00005B87" w:rsidRPr="009E289C" w:rsidRDefault="00005B87" w:rsidP="00723DBE">
            <w:pPr>
              <w:jc w:val="center"/>
              <w:rPr>
                <w:rFonts w:asciiTheme="minorHAnsi" w:hAnsiTheme="minorHAnsi" w:cstheme="minorHAnsi"/>
                <w:color w:val="000000"/>
                <w:sz w:val="18"/>
                <w:szCs w:val="18"/>
                <w:lang w:eastAsia="es-CO"/>
              </w:rPr>
            </w:pPr>
          </w:p>
        </w:tc>
        <w:tc>
          <w:tcPr>
            <w:tcW w:w="426" w:type="dxa"/>
            <w:tcBorders>
              <w:top w:val="nil"/>
              <w:left w:val="nil"/>
              <w:bottom w:val="single" w:sz="4" w:space="0" w:color="auto"/>
              <w:right w:val="single" w:sz="4" w:space="0" w:color="auto"/>
            </w:tcBorders>
            <w:shd w:val="clear" w:color="auto" w:fill="auto"/>
            <w:noWrap/>
            <w:vAlign w:val="center"/>
            <w:hideMark/>
          </w:tcPr>
          <w:p w14:paraId="0BE0BB32" w14:textId="77777777" w:rsidR="00005B87" w:rsidRPr="009E289C" w:rsidRDefault="00005B87" w:rsidP="00723DBE">
            <w:pPr>
              <w:jc w:val="center"/>
              <w:rPr>
                <w:rFonts w:asciiTheme="minorHAnsi" w:hAnsiTheme="minorHAnsi" w:cstheme="minorHAnsi"/>
                <w:color w:val="000000"/>
                <w:sz w:val="18"/>
                <w:szCs w:val="18"/>
                <w:lang w:eastAsia="es-CO"/>
              </w:rPr>
            </w:pPr>
            <w:r>
              <w:rPr>
                <w:rFonts w:asciiTheme="minorHAnsi" w:hAnsiTheme="minorHAnsi" w:cstheme="minorHAnsi"/>
                <w:color w:val="000000"/>
                <w:sz w:val="18"/>
                <w:szCs w:val="18"/>
                <w:lang w:eastAsia="es-CO"/>
              </w:rPr>
              <w:t>X</w:t>
            </w:r>
          </w:p>
        </w:tc>
        <w:tc>
          <w:tcPr>
            <w:tcW w:w="2409" w:type="dxa"/>
            <w:tcBorders>
              <w:top w:val="nil"/>
              <w:left w:val="nil"/>
              <w:bottom w:val="single" w:sz="4" w:space="0" w:color="auto"/>
              <w:right w:val="single" w:sz="4" w:space="0" w:color="auto"/>
            </w:tcBorders>
            <w:shd w:val="clear" w:color="auto" w:fill="auto"/>
            <w:noWrap/>
            <w:vAlign w:val="center"/>
            <w:hideMark/>
          </w:tcPr>
          <w:p w14:paraId="477A1600"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c>
          <w:tcPr>
            <w:tcW w:w="2835" w:type="dxa"/>
            <w:tcBorders>
              <w:top w:val="nil"/>
              <w:left w:val="nil"/>
              <w:bottom w:val="single" w:sz="4" w:space="0" w:color="auto"/>
              <w:right w:val="single" w:sz="4" w:space="0" w:color="auto"/>
            </w:tcBorders>
            <w:shd w:val="clear" w:color="auto" w:fill="auto"/>
            <w:noWrap/>
            <w:vAlign w:val="center"/>
            <w:hideMark/>
          </w:tcPr>
          <w:p w14:paraId="31AAD79E"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r>
      <w:tr w:rsidR="00005B87" w:rsidRPr="00637FE1" w14:paraId="6423971F" w14:textId="77777777" w:rsidTr="316C13B2">
        <w:trPr>
          <w:gridAfter w:val="1"/>
          <w:wAfter w:w="2311" w:type="dxa"/>
          <w:cantSplit/>
          <w:trHeight w:val="634"/>
        </w:trPr>
        <w:tc>
          <w:tcPr>
            <w:tcW w:w="567"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67E78202" w14:textId="77777777" w:rsidR="00005B87" w:rsidRPr="009E289C" w:rsidRDefault="00005B87" w:rsidP="00723DBE">
            <w:pPr>
              <w:jc w:val="center"/>
              <w:rPr>
                <w:rFonts w:asciiTheme="minorHAnsi" w:hAnsiTheme="minorHAnsi" w:cstheme="minorHAnsi"/>
                <w:b/>
                <w:bCs/>
                <w:color w:val="000000"/>
                <w:sz w:val="18"/>
                <w:szCs w:val="18"/>
                <w:lang w:eastAsia="es-CO"/>
              </w:rPr>
            </w:pPr>
            <w:r w:rsidRPr="009E289C">
              <w:rPr>
                <w:rFonts w:asciiTheme="minorHAnsi" w:hAnsiTheme="minorHAnsi" w:cstheme="minorHAnsi"/>
                <w:b/>
                <w:bCs/>
                <w:color w:val="000000"/>
                <w:sz w:val="18"/>
                <w:szCs w:val="18"/>
                <w:lang w:eastAsia="es-CO"/>
              </w:rPr>
              <w:t>3.</w:t>
            </w:r>
          </w:p>
        </w:tc>
        <w:tc>
          <w:tcPr>
            <w:tcW w:w="9067" w:type="dxa"/>
            <w:gridSpan w:val="5"/>
            <w:tcBorders>
              <w:top w:val="single" w:sz="4" w:space="0" w:color="auto"/>
              <w:left w:val="nil"/>
              <w:bottom w:val="single" w:sz="4" w:space="0" w:color="auto"/>
              <w:right w:val="single" w:sz="4" w:space="0" w:color="000000" w:themeColor="text1"/>
            </w:tcBorders>
            <w:shd w:val="clear" w:color="auto" w:fill="auto"/>
            <w:hideMark/>
          </w:tcPr>
          <w:p w14:paraId="37737A32" w14:textId="77777777" w:rsidR="00005B87" w:rsidRPr="009E289C" w:rsidRDefault="00005B87" w:rsidP="00723DBE">
            <w:pPr>
              <w:rPr>
                <w:rFonts w:asciiTheme="minorHAnsi" w:hAnsiTheme="minorHAnsi" w:cstheme="minorHAnsi"/>
                <w:b/>
                <w:bCs/>
                <w:color w:val="000000"/>
                <w:sz w:val="18"/>
                <w:szCs w:val="18"/>
                <w:lang w:eastAsia="es-CO"/>
              </w:rPr>
            </w:pPr>
            <w:r w:rsidRPr="009E289C">
              <w:rPr>
                <w:rFonts w:asciiTheme="minorHAnsi" w:hAnsiTheme="minorHAnsi" w:cstheme="minorHAnsi"/>
                <w:b/>
                <w:bCs/>
                <w:color w:val="000000"/>
                <w:sz w:val="18"/>
                <w:szCs w:val="18"/>
                <w:lang w:eastAsia="es-CO"/>
              </w:rPr>
              <w:t xml:space="preserve">¿La regulación implica reducir los incentivos de las empresas para competir en uno o varios mercados relevantes relacionados? </w:t>
            </w:r>
            <w:r w:rsidRPr="009E289C">
              <w:rPr>
                <w:rFonts w:asciiTheme="minorHAnsi" w:hAnsiTheme="minorHAnsi" w:cstheme="minorHAnsi"/>
                <w:b/>
                <w:bCs/>
                <w:color w:val="000000"/>
                <w:sz w:val="18"/>
                <w:szCs w:val="18"/>
                <w:lang w:eastAsia="es-CO"/>
              </w:rPr>
              <w:br/>
              <w:t>Es posible que esto suceda, entre otros eventos, cuando el proyecto de acto:</w:t>
            </w:r>
          </w:p>
        </w:tc>
      </w:tr>
      <w:tr w:rsidR="00005B87" w:rsidRPr="00637FE1" w14:paraId="586535DD" w14:textId="77777777" w:rsidTr="316C13B2">
        <w:trPr>
          <w:gridAfter w:val="1"/>
          <w:wAfter w:w="2311" w:type="dxa"/>
          <w:cantSplit/>
          <w:trHeight w:val="460"/>
        </w:trPr>
        <w:tc>
          <w:tcPr>
            <w:tcW w:w="567"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44695AA0" w14:textId="77777777" w:rsidR="00005B87" w:rsidRPr="009E289C" w:rsidRDefault="00005B87" w:rsidP="00723DBE">
            <w:pPr>
              <w:jc w:val="cente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a)</w:t>
            </w:r>
          </w:p>
        </w:tc>
        <w:tc>
          <w:tcPr>
            <w:tcW w:w="2972" w:type="dxa"/>
            <w:tcBorders>
              <w:top w:val="nil"/>
              <w:left w:val="nil"/>
              <w:bottom w:val="single" w:sz="4" w:space="0" w:color="auto"/>
              <w:right w:val="single" w:sz="4" w:space="0" w:color="auto"/>
            </w:tcBorders>
            <w:shd w:val="clear" w:color="auto" w:fill="auto"/>
            <w:vAlign w:val="center"/>
            <w:hideMark/>
          </w:tcPr>
          <w:p w14:paraId="18C68837"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Genera un régimen de autorregulación o corregulación.</w:t>
            </w:r>
          </w:p>
        </w:tc>
        <w:tc>
          <w:tcPr>
            <w:tcW w:w="425" w:type="dxa"/>
            <w:tcBorders>
              <w:top w:val="nil"/>
              <w:left w:val="nil"/>
              <w:bottom w:val="single" w:sz="4" w:space="0" w:color="auto"/>
              <w:right w:val="single" w:sz="4" w:space="0" w:color="auto"/>
            </w:tcBorders>
            <w:shd w:val="clear" w:color="auto" w:fill="auto"/>
            <w:noWrap/>
            <w:vAlign w:val="center"/>
            <w:hideMark/>
          </w:tcPr>
          <w:p w14:paraId="13646287" w14:textId="77777777" w:rsidR="00005B87" w:rsidRPr="009E289C" w:rsidRDefault="00005B87" w:rsidP="00723DBE">
            <w:pPr>
              <w:jc w:val="center"/>
              <w:rPr>
                <w:rFonts w:asciiTheme="minorHAnsi" w:hAnsiTheme="minorHAnsi" w:cstheme="minorHAnsi"/>
                <w:color w:val="000000"/>
                <w:sz w:val="18"/>
                <w:szCs w:val="18"/>
                <w:lang w:eastAsia="es-CO"/>
              </w:rPr>
            </w:pPr>
          </w:p>
        </w:tc>
        <w:tc>
          <w:tcPr>
            <w:tcW w:w="426" w:type="dxa"/>
            <w:tcBorders>
              <w:top w:val="nil"/>
              <w:left w:val="nil"/>
              <w:bottom w:val="single" w:sz="4" w:space="0" w:color="auto"/>
              <w:right w:val="single" w:sz="4" w:space="0" w:color="auto"/>
            </w:tcBorders>
            <w:shd w:val="clear" w:color="auto" w:fill="auto"/>
            <w:noWrap/>
            <w:vAlign w:val="center"/>
            <w:hideMark/>
          </w:tcPr>
          <w:p w14:paraId="0D247F88" w14:textId="77777777" w:rsidR="00005B87" w:rsidRPr="009E289C" w:rsidRDefault="00005B87" w:rsidP="00723DBE">
            <w:pPr>
              <w:jc w:val="center"/>
              <w:rPr>
                <w:rFonts w:asciiTheme="minorHAnsi" w:hAnsiTheme="minorHAnsi" w:cstheme="minorHAnsi"/>
                <w:color w:val="000000"/>
                <w:sz w:val="18"/>
                <w:szCs w:val="18"/>
                <w:lang w:eastAsia="es-CO"/>
              </w:rPr>
            </w:pPr>
            <w:r>
              <w:rPr>
                <w:rFonts w:asciiTheme="minorHAnsi" w:hAnsiTheme="minorHAnsi" w:cstheme="minorHAnsi"/>
                <w:color w:val="000000"/>
                <w:sz w:val="18"/>
                <w:szCs w:val="18"/>
                <w:lang w:eastAsia="es-CO"/>
              </w:rPr>
              <w:t>X</w:t>
            </w:r>
          </w:p>
        </w:tc>
        <w:tc>
          <w:tcPr>
            <w:tcW w:w="2409" w:type="dxa"/>
            <w:tcBorders>
              <w:top w:val="nil"/>
              <w:left w:val="nil"/>
              <w:bottom w:val="single" w:sz="4" w:space="0" w:color="auto"/>
              <w:right w:val="single" w:sz="4" w:space="0" w:color="auto"/>
            </w:tcBorders>
            <w:shd w:val="clear" w:color="auto" w:fill="auto"/>
            <w:noWrap/>
            <w:vAlign w:val="center"/>
            <w:hideMark/>
          </w:tcPr>
          <w:p w14:paraId="4C3D3782"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c>
          <w:tcPr>
            <w:tcW w:w="2835" w:type="dxa"/>
            <w:tcBorders>
              <w:top w:val="nil"/>
              <w:left w:val="nil"/>
              <w:bottom w:val="single" w:sz="4" w:space="0" w:color="auto"/>
              <w:right w:val="single" w:sz="4" w:space="0" w:color="auto"/>
            </w:tcBorders>
            <w:shd w:val="clear" w:color="auto" w:fill="auto"/>
            <w:noWrap/>
            <w:vAlign w:val="center"/>
            <w:hideMark/>
          </w:tcPr>
          <w:p w14:paraId="63874B6B"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r>
      <w:tr w:rsidR="00005B87" w:rsidRPr="00637FE1" w14:paraId="33681FDB" w14:textId="77777777" w:rsidTr="316C13B2">
        <w:trPr>
          <w:gridAfter w:val="1"/>
          <w:wAfter w:w="2311" w:type="dxa"/>
          <w:cantSplit/>
          <w:trHeight w:val="1123"/>
        </w:trPr>
        <w:tc>
          <w:tcPr>
            <w:tcW w:w="567"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3DD05200" w14:textId="77777777" w:rsidR="00005B87" w:rsidRPr="009E289C" w:rsidRDefault="00005B87" w:rsidP="00723DBE">
            <w:pPr>
              <w:jc w:val="cente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b)</w:t>
            </w:r>
          </w:p>
        </w:tc>
        <w:tc>
          <w:tcPr>
            <w:tcW w:w="2972" w:type="dxa"/>
            <w:tcBorders>
              <w:top w:val="nil"/>
              <w:left w:val="nil"/>
              <w:bottom w:val="single" w:sz="4" w:space="0" w:color="auto"/>
              <w:right w:val="single" w:sz="4" w:space="0" w:color="auto"/>
            </w:tcBorders>
            <w:shd w:val="clear" w:color="auto" w:fill="auto"/>
            <w:vAlign w:val="center"/>
            <w:hideMark/>
          </w:tcPr>
          <w:p w14:paraId="7BE6A75B"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Impone la obligación de dar publicidad sobre información sensible para una empresa que podría ser conocida por sus competidores (por ejemplo precios, nivel de ventas, costos, etc.)</w:t>
            </w:r>
          </w:p>
        </w:tc>
        <w:tc>
          <w:tcPr>
            <w:tcW w:w="425" w:type="dxa"/>
            <w:tcBorders>
              <w:top w:val="nil"/>
              <w:left w:val="nil"/>
              <w:bottom w:val="single" w:sz="4" w:space="0" w:color="auto"/>
              <w:right w:val="single" w:sz="4" w:space="0" w:color="auto"/>
            </w:tcBorders>
            <w:shd w:val="clear" w:color="auto" w:fill="auto"/>
            <w:noWrap/>
            <w:vAlign w:val="center"/>
            <w:hideMark/>
          </w:tcPr>
          <w:p w14:paraId="5AAF5AB3" w14:textId="77777777" w:rsidR="00005B87" w:rsidRPr="009E289C" w:rsidRDefault="00005B87" w:rsidP="00723DBE">
            <w:pPr>
              <w:jc w:val="center"/>
              <w:rPr>
                <w:rFonts w:asciiTheme="minorHAnsi" w:hAnsiTheme="minorHAnsi" w:cstheme="minorHAnsi"/>
                <w:color w:val="000000"/>
                <w:sz w:val="18"/>
                <w:szCs w:val="18"/>
                <w:lang w:eastAsia="es-CO"/>
              </w:rPr>
            </w:pPr>
          </w:p>
        </w:tc>
        <w:tc>
          <w:tcPr>
            <w:tcW w:w="426" w:type="dxa"/>
            <w:tcBorders>
              <w:top w:val="nil"/>
              <w:left w:val="nil"/>
              <w:bottom w:val="single" w:sz="4" w:space="0" w:color="auto"/>
              <w:right w:val="single" w:sz="4" w:space="0" w:color="auto"/>
            </w:tcBorders>
            <w:shd w:val="clear" w:color="auto" w:fill="auto"/>
            <w:noWrap/>
            <w:vAlign w:val="center"/>
            <w:hideMark/>
          </w:tcPr>
          <w:p w14:paraId="14375C9F" w14:textId="77777777" w:rsidR="00005B87" w:rsidRPr="009E289C" w:rsidRDefault="00005B87" w:rsidP="00723DBE">
            <w:pPr>
              <w:jc w:val="center"/>
              <w:rPr>
                <w:rFonts w:asciiTheme="minorHAnsi" w:hAnsiTheme="minorHAnsi" w:cstheme="minorHAnsi"/>
                <w:color w:val="000000"/>
                <w:sz w:val="18"/>
                <w:szCs w:val="18"/>
                <w:lang w:eastAsia="es-CO"/>
              </w:rPr>
            </w:pPr>
            <w:r>
              <w:rPr>
                <w:rFonts w:asciiTheme="minorHAnsi" w:hAnsiTheme="minorHAnsi" w:cstheme="minorHAnsi"/>
                <w:color w:val="000000"/>
                <w:sz w:val="18"/>
                <w:szCs w:val="18"/>
                <w:lang w:eastAsia="es-CO"/>
              </w:rPr>
              <w:t>X</w:t>
            </w:r>
          </w:p>
        </w:tc>
        <w:tc>
          <w:tcPr>
            <w:tcW w:w="2409" w:type="dxa"/>
            <w:tcBorders>
              <w:top w:val="nil"/>
              <w:left w:val="nil"/>
              <w:bottom w:val="single" w:sz="4" w:space="0" w:color="auto"/>
              <w:right w:val="single" w:sz="4" w:space="0" w:color="auto"/>
            </w:tcBorders>
            <w:shd w:val="clear" w:color="auto" w:fill="auto"/>
            <w:noWrap/>
            <w:vAlign w:val="center"/>
            <w:hideMark/>
          </w:tcPr>
          <w:p w14:paraId="2AE90034"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c>
          <w:tcPr>
            <w:tcW w:w="2835" w:type="dxa"/>
            <w:tcBorders>
              <w:top w:val="nil"/>
              <w:left w:val="nil"/>
              <w:bottom w:val="single" w:sz="4" w:space="0" w:color="auto"/>
              <w:right w:val="single" w:sz="4" w:space="0" w:color="auto"/>
            </w:tcBorders>
            <w:shd w:val="clear" w:color="auto" w:fill="auto"/>
            <w:noWrap/>
            <w:vAlign w:val="center"/>
            <w:hideMark/>
          </w:tcPr>
          <w:p w14:paraId="47B98675" w14:textId="77777777" w:rsidR="00005B87" w:rsidRPr="009E289C" w:rsidRDefault="00005B87" w:rsidP="00723DBE">
            <w:pPr>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r>
      <w:tr w:rsidR="00005B87" w:rsidRPr="009E289C" w14:paraId="1B31F956" w14:textId="77777777" w:rsidTr="00AF2F01">
        <w:trPr>
          <w:gridAfter w:val="1"/>
          <w:wAfter w:w="2311" w:type="dxa"/>
          <w:trHeight w:val="497"/>
        </w:trPr>
        <w:tc>
          <w:tcPr>
            <w:tcW w:w="963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AD6DF" w14:textId="77777777" w:rsidR="00005B87" w:rsidRPr="009E289C" w:rsidRDefault="00005B87" w:rsidP="00723DBE">
            <w:pPr>
              <w:jc w:val="center"/>
              <w:rPr>
                <w:rFonts w:asciiTheme="minorHAnsi" w:hAnsiTheme="minorHAnsi" w:cstheme="minorHAnsi"/>
                <w:b/>
                <w:bCs/>
                <w:color w:val="000000"/>
                <w:sz w:val="18"/>
                <w:szCs w:val="18"/>
                <w:lang w:eastAsia="es-CO"/>
              </w:rPr>
            </w:pPr>
            <w:r w:rsidRPr="009E289C">
              <w:rPr>
                <w:rFonts w:asciiTheme="minorHAnsi" w:hAnsiTheme="minorHAnsi" w:cstheme="minorHAnsi"/>
                <w:b/>
                <w:bCs/>
                <w:color w:val="000000"/>
                <w:sz w:val="18"/>
                <w:szCs w:val="18"/>
                <w:lang w:eastAsia="es-CO"/>
              </w:rPr>
              <w:t>CONCLUSIONES</w:t>
            </w:r>
          </w:p>
        </w:tc>
      </w:tr>
      <w:tr w:rsidR="00005B87" w:rsidRPr="009E289C" w14:paraId="61C380CF" w14:textId="77777777" w:rsidTr="00723DBE">
        <w:trPr>
          <w:gridAfter w:val="1"/>
          <w:wAfter w:w="2311" w:type="dxa"/>
          <w:trHeight w:val="276"/>
        </w:trPr>
        <w:tc>
          <w:tcPr>
            <w:tcW w:w="9634"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7274A" w14:textId="646C70D4" w:rsidR="00005B87" w:rsidRDefault="00005B87" w:rsidP="00AF2F01">
            <w:pPr>
              <w:pBdr>
                <w:top w:val="single" w:sz="4" w:space="1" w:color="auto"/>
                <w:left w:val="single" w:sz="4" w:space="4" w:color="auto"/>
                <w:bottom w:val="single" w:sz="4" w:space="1" w:color="auto"/>
                <w:right w:val="single" w:sz="4" w:space="4" w:color="auto"/>
              </w:pBdr>
              <w:rPr>
                <w:rFonts w:asciiTheme="minorHAnsi" w:hAnsiTheme="minorHAnsi" w:cstheme="minorHAnsi"/>
                <w:color w:val="000000"/>
                <w:sz w:val="18"/>
                <w:szCs w:val="18"/>
                <w:lang w:eastAsia="es-CO"/>
              </w:rPr>
            </w:pPr>
            <w:r>
              <w:rPr>
                <w:rFonts w:asciiTheme="minorHAnsi" w:hAnsiTheme="minorHAnsi" w:cstheme="minorHAnsi"/>
                <w:color w:val="000000"/>
                <w:sz w:val="18"/>
                <w:szCs w:val="18"/>
                <w:lang w:eastAsia="es-CO"/>
              </w:rPr>
              <w:t>La propuesta p</w:t>
            </w:r>
            <w:r w:rsidRPr="0037561C">
              <w:rPr>
                <w:rFonts w:asciiTheme="minorHAnsi" w:hAnsiTheme="minorHAnsi" w:cstheme="minorHAnsi"/>
                <w:color w:val="000000"/>
                <w:sz w:val="18"/>
                <w:szCs w:val="18"/>
                <w:lang w:eastAsia="es-CO"/>
              </w:rPr>
              <w:t xml:space="preserve">ermite un alivio sobre el valor de </w:t>
            </w:r>
            <w:r>
              <w:rPr>
                <w:rFonts w:asciiTheme="minorHAnsi" w:hAnsiTheme="minorHAnsi" w:cstheme="minorHAnsi"/>
                <w:color w:val="000000"/>
                <w:sz w:val="18"/>
                <w:szCs w:val="18"/>
                <w:lang w:eastAsia="es-CO"/>
              </w:rPr>
              <w:t xml:space="preserve">la cobertura de </w:t>
            </w:r>
            <w:r w:rsidRPr="0037561C">
              <w:rPr>
                <w:rFonts w:asciiTheme="minorHAnsi" w:hAnsiTheme="minorHAnsi" w:cstheme="minorHAnsi"/>
                <w:color w:val="000000"/>
                <w:sz w:val="18"/>
                <w:szCs w:val="18"/>
                <w:lang w:eastAsia="es-CO"/>
              </w:rPr>
              <w:t xml:space="preserve">las garantías </w:t>
            </w:r>
            <w:r>
              <w:rPr>
                <w:rFonts w:asciiTheme="minorHAnsi" w:hAnsiTheme="minorHAnsi" w:cstheme="minorHAnsi"/>
                <w:color w:val="000000"/>
                <w:sz w:val="18"/>
                <w:szCs w:val="18"/>
                <w:lang w:eastAsia="es-CO"/>
              </w:rPr>
              <w:t xml:space="preserve">de las transacciones en el mercado mayorista de energía, para </w:t>
            </w:r>
            <w:r w:rsidR="00516713">
              <w:rPr>
                <w:rFonts w:asciiTheme="minorHAnsi" w:hAnsiTheme="minorHAnsi" w:cstheme="minorHAnsi"/>
                <w:color w:val="000000"/>
                <w:sz w:val="18"/>
                <w:szCs w:val="18"/>
                <w:lang w:eastAsia="es-CO"/>
              </w:rPr>
              <w:t xml:space="preserve">todos </w:t>
            </w:r>
            <w:r>
              <w:rPr>
                <w:rFonts w:asciiTheme="minorHAnsi" w:hAnsiTheme="minorHAnsi" w:cstheme="minorHAnsi"/>
                <w:color w:val="000000"/>
                <w:sz w:val="18"/>
                <w:szCs w:val="18"/>
                <w:lang w:eastAsia="es-CO"/>
              </w:rPr>
              <w:t xml:space="preserve">aquellos agentes que, de acuerdo con la medida regulatoria denominada opción tarifaria, están aplazando el cobro del costo total de prestación del servicio a sus usuarios. </w:t>
            </w:r>
          </w:p>
          <w:p w14:paraId="49EB33EC" w14:textId="2F3173DF" w:rsidR="00005B87" w:rsidRDefault="00005B87" w:rsidP="00AF2F01">
            <w:pPr>
              <w:pBdr>
                <w:top w:val="single" w:sz="4" w:space="1" w:color="auto"/>
                <w:left w:val="single" w:sz="4" w:space="4" w:color="auto"/>
                <w:bottom w:val="single" w:sz="4" w:space="1" w:color="auto"/>
                <w:right w:val="single" w:sz="4" w:space="4" w:color="auto"/>
              </w:pBdr>
              <w:rPr>
                <w:rFonts w:asciiTheme="minorHAnsi" w:hAnsiTheme="minorHAnsi" w:cstheme="minorHAnsi"/>
                <w:color w:val="000000"/>
                <w:sz w:val="18"/>
                <w:szCs w:val="18"/>
                <w:lang w:eastAsia="es-CO"/>
              </w:rPr>
            </w:pPr>
            <w:r>
              <w:rPr>
                <w:rFonts w:asciiTheme="minorHAnsi" w:hAnsiTheme="minorHAnsi" w:cstheme="minorHAnsi"/>
                <w:color w:val="000000"/>
                <w:sz w:val="18"/>
                <w:szCs w:val="18"/>
                <w:lang w:eastAsia="es-CO"/>
              </w:rPr>
              <w:t>La</w:t>
            </w:r>
            <w:r w:rsidR="00D43EBE">
              <w:rPr>
                <w:rFonts w:asciiTheme="minorHAnsi" w:hAnsiTheme="minorHAnsi" w:cstheme="minorHAnsi"/>
                <w:color w:val="000000"/>
                <w:sz w:val="18"/>
                <w:szCs w:val="18"/>
                <w:lang w:eastAsia="es-CO"/>
              </w:rPr>
              <w:t xml:space="preserve"> </w:t>
            </w:r>
            <w:r>
              <w:rPr>
                <w:rFonts w:asciiTheme="minorHAnsi" w:hAnsiTheme="minorHAnsi" w:cstheme="minorHAnsi"/>
                <w:color w:val="000000"/>
                <w:sz w:val="18"/>
                <w:szCs w:val="18"/>
                <w:lang w:eastAsia="es-CO"/>
              </w:rPr>
              <w:t xml:space="preserve">medida </w:t>
            </w:r>
            <w:r w:rsidRPr="0037561C">
              <w:rPr>
                <w:rFonts w:asciiTheme="minorHAnsi" w:hAnsiTheme="minorHAnsi" w:cstheme="minorHAnsi"/>
                <w:color w:val="000000"/>
                <w:sz w:val="18"/>
                <w:szCs w:val="18"/>
                <w:lang w:eastAsia="es-CO"/>
              </w:rPr>
              <w:t xml:space="preserve">propone </w:t>
            </w:r>
            <w:r>
              <w:rPr>
                <w:rFonts w:asciiTheme="minorHAnsi" w:hAnsiTheme="minorHAnsi" w:cstheme="minorHAnsi"/>
                <w:color w:val="000000"/>
                <w:sz w:val="18"/>
                <w:szCs w:val="18"/>
                <w:lang w:eastAsia="es-CO"/>
              </w:rPr>
              <w:t xml:space="preserve">calcular el valor de cobertura </w:t>
            </w:r>
            <w:r w:rsidR="004C3CCE">
              <w:rPr>
                <w:rFonts w:asciiTheme="minorHAnsi" w:hAnsiTheme="minorHAnsi" w:cstheme="minorHAnsi"/>
                <w:color w:val="000000"/>
                <w:sz w:val="18"/>
                <w:szCs w:val="18"/>
                <w:lang w:eastAsia="es-CO"/>
              </w:rPr>
              <w:t xml:space="preserve">de las garantías </w:t>
            </w:r>
            <w:r>
              <w:rPr>
                <w:rFonts w:asciiTheme="minorHAnsi" w:hAnsiTheme="minorHAnsi" w:cstheme="minorHAnsi"/>
                <w:color w:val="000000"/>
                <w:sz w:val="18"/>
                <w:szCs w:val="18"/>
                <w:lang w:eastAsia="es-CO"/>
              </w:rPr>
              <w:t xml:space="preserve">con un precio de referencia diferente al actual e incluye unos </w:t>
            </w:r>
            <w:r w:rsidRPr="0037561C">
              <w:rPr>
                <w:rFonts w:asciiTheme="minorHAnsi" w:hAnsiTheme="minorHAnsi" w:cstheme="minorHAnsi"/>
                <w:color w:val="000000"/>
                <w:sz w:val="18"/>
                <w:szCs w:val="18"/>
                <w:lang w:eastAsia="es-CO"/>
              </w:rPr>
              <w:t>ajustes cuando se cuente con la información real del valor a facturar</w:t>
            </w:r>
            <w:r>
              <w:rPr>
                <w:rFonts w:asciiTheme="minorHAnsi" w:hAnsiTheme="minorHAnsi" w:cstheme="minorHAnsi"/>
                <w:color w:val="000000"/>
                <w:sz w:val="18"/>
                <w:szCs w:val="18"/>
                <w:lang w:eastAsia="es-CO"/>
              </w:rPr>
              <w:t xml:space="preserve">, manteniendo el </w:t>
            </w:r>
            <w:r w:rsidRPr="0037561C">
              <w:rPr>
                <w:rFonts w:asciiTheme="minorHAnsi" w:hAnsiTheme="minorHAnsi" w:cstheme="minorHAnsi"/>
                <w:color w:val="000000"/>
                <w:sz w:val="18"/>
                <w:szCs w:val="18"/>
                <w:lang w:eastAsia="es-CO"/>
              </w:rPr>
              <w:t>cubrimiento sobre el valor de las obligaciones</w:t>
            </w:r>
            <w:r>
              <w:rPr>
                <w:rFonts w:asciiTheme="minorHAnsi" w:hAnsiTheme="minorHAnsi" w:cstheme="minorHAnsi"/>
                <w:color w:val="000000"/>
                <w:sz w:val="18"/>
                <w:szCs w:val="18"/>
                <w:lang w:eastAsia="es-CO"/>
              </w:rPr>
              <w:t xml:space="preserve"> de los agentes en el mercado mayorista.</w:t>
            </w:r>
          </w:p>
          <w:p w14:paraId="5F33D01B" w14:textId="77777777" w:rsidR="00005B87" w:rsidRPr="009E289C" w:rsidRDefault="00005B87" w:rsidP="00723DBE">
            <w:pPr>
              <w:rPr>
                <w:rFonts w:asciiTheme="minorHAnsi" w:hAnsiTheme="minorHAnsi" w:cstheme="minorHAnsi"/>
                <w:color w:val="000000"/>
                <w:sz w:val="18"/>
                <w:szCs w:val="18"/>
                <w:lang w:eastAsia="es-CO"/>
              </w:rPr>
            </w:pPr>
          </w:p>
        </w:tc>
      </w:tr>
      <w:tr w:rsidR="00005B87" w:rsidRPr="009E289C" w14:paraId="1E24E60F" w14:textId="77777777" w:rsidTr="00AF2F01">
        <w:trPr>
          <w:trHeight w:val="300"/>
        </w:trPr>
        <w:tc>
          <w:tcPr>
            <w:tcW w:w="9634" w:type="dxa"/>
            <w:gridSpan w:val="7"/>
            <w:vMerge/>
            <w:tcBorders>
              <w:left w:val="single" w:sz="4" w:space="0" w:color="auto"/>
              <w:bottom w:val="single" w:sz="4" w:space="0" w:color="auto"/>
              <w:right w:val="single" w:sz="4" w:space="0" w:color="auto"/>
            </w:tcBorders>
            <w:vAlign w:val="center"/>
            <w:hideMark/>
          </w:tcPr>
          <w:p w14:paraId="24317FB6" w14:textId="77777777" w:rsidR="00005B87" w:rsidRPr="009E289C" w:rsidRDefault="00005B87" w:rsidP="00723DBE">
            <w:pPr>
              <w:rPr>
                <w:rFonts w:ascii="Calibri" w:hAnsi="Calibri" w:cs="Calibri"/>
                <w:color w:val="000000"/>
                <w:sz w:val="18"/>
                <w:szCs w:val="18"/>
                <w:lang w:eastAsia="es-CO"/>
              </w:rPr>
            </w:pPr>
          </w:p>
        </w:tc>
        <w:tc>
          <w:tcPr>
            <w:tcW w:w="2311" w:type="dxa"/>
            <w:tcBorders>
              <w:top w:val="nil"/>
              <w:left w:val="single" w:sz="4" w:space="0" w:color="auto"/>
              <w:bottom w:val="nil"/>
              <w:right w:val="nil"/>
            </w:tcBorders>
            <w:shd w:val="clear" w:color="auto" w:fill="auto"/>
            <w:noWrap/>
            <w:vAlign w:val="bottom"/>
            <w:hideMark/>
          </w:tcPr>
          <w:p w14:paraId="19FD1BEC" w14:textId="77777777" w:rsidR="00005B87" w:rsidRPr="009E289C" w:rsidRDefault="00005B87" w:rsidP="00723DBE">
            <w:pPr>
              <w:jc w:val="center"/>
              <w:rPr>
                <w:rFonts w:ascii="Calibri" w:hAnsi="Calibri" w:cs="Calibri"/>
                <w:color w:val="000000"/>
                <w:sz w:val="18"/>
                <w:szCs w:val="18"/>
                <w:lang w:eastAsia="es-CO"/>
              </w:rPr>
            </w:pPr>
          </w:p>
        </w:tc>
      </w:tr>
      <w:tr w:rsidR="00005B87" w:rsidRPr="009E289C" w14:paraId="11D23C79" w14:textId="77777777" w:rsidTr="00AF2F01">
        <w:trPr>
          <w:trHeight w:val="300"/>
        </w:trPr>
        <w:tc>
          <w:tcPr>
            <w:tcW w:w="9634" w:type="dxa"/>
            <w:gridSpan w:val="7"/>
            <w:vMerge/>
            <w:tcBorders>
              <w:left w:val="single" w:sz="4" w:space="0" w:color="auto"/>
              <w:bottom w:val="single" w:sz="4" w:space="0" w:color="auto"/>
              <w:right w:val="single" w:sz="4" w:space="0" w:color="auto"/>
            </w:tcBorders>
            <w:vAlign w:val="center"/>
            <w:hideMark/>
          </w:tcPr>
          <w:p w14:paraId="089A7F35" w14:textId="77777777" w:rsidR="00005B87" w:rsidRPr="009E289C" w:rsidRDefault="00005B87" w:rsidP="00723DBE">
            <w:pPr>
              <w:rPr>
                <w:rFonts w:ascii="Calibri" w:hAnsi="Calibri" w:cs="Calibri"/>
                <w:color w:val="000000"/>
                <w:sz w:val="18"/>
                <w:szCs w:val="18"/>
                <w:lang w:eastAsia="es-CO"/>
              </w:rPr>
            </w:pPr>
          </w:p>
        </w:tc>
        <w:tc>
          <w:tcPr>
            <w:tcW w:w="2311" w:type="dxa"/>
            <w:tcBorders>
              <w:top w:val="nil"/>
              <w:left w:val="single" w:sz="4" w:space="0" w:color="auto"/>
              <w:bottom w:val="nil"/>
              <w:right w:val="nil"/>
            </w:tcBorders>
            <w:shd w:val="clear" w:color="auto" w:fill="auto"/>
            <w:noWrap/>
            <w:vAlign w:val="bottom"/>
            <w:hideMark/>
          </w:tcPr>
          <w:p w14:paraId="2A0EB8BF" w14:textId="77777777" w:rsidR="00005B87" w:rsidRPr="009E289C" w:rsidRDefault="00005B87" w:rsidP="00723DBE">
            <w:pPr>
              <w:rPr>
                <w:rFonts w:ascii="Times New Roman" w:hAnsi="Times New Roman"/>
                <w:sz w:val="18"/>
                <w:szCs w:val="18"/>
                <w:lang w:eastAsia="es-CO"/>
              </w:rPr>
            </w:pPr>
          </w:p>
        </w:tc>
      </w:tr>
      <w:tr w:rsidR="00005B87" w:rsidRPr="009E289C" w14:paraId="17F95992" w14:textId="77777777" w:rsidTr="00AF2F01">
        <w:trPr>
          <w:trHeight w:val="300"/>
        </w:trPr>
        <w:tc>
          <w:tcPr>
            <w:tcW w:w="9634" w:type="dxa"/>
            <w:gridSpan w:val="7"/>
            <w:vMerge/>
            <w:tcBorders>
              <w:left w:val="single" w:sz="4" w:space="0" w:color="auto"/>
              <w:bottom w:val="single" w:sz="4" w:space="0" w:color="auto"/>
              <w:right w:val="single" w:sz="4" w:space="0" w:color="auto"/>
            </w:tcBorders>
            <w:vAlign w:val="center"/>
            <w:hideMark/>
          </w:tcPr>
          <w:p w14:paraId="4966B391" w14:textId="77777777" w:rsidR="00005B87" w:rsidRPr="009E289C" w:rsidRDefault="00005B87" w:rsidP="00723DBE">
            <w:pPr>
              <w:rPr>
                <w:rFonts w:ascii="Calibri" w:hAnsi="Calibri" w:cs="Calibri"/>
                <w:color w:val="000000"/>
                <w:sz w:val="18"/>
                <w:szCs w:val="18"/>
                <w:lang w:eastAsia="es-CO"/>
              </w:rPr>
            </w:pPr>
          </w:p>
        </w:tc>
        <w:tc>
          <w:tcPr>
            <w:tcW w:w="2311" w:type="dxa"/>
            <w:tcBorders>
              <w:top w:val="nil"/>
              <w:left w:val="single" w:sz="4" w:space="0" w:color="auto"/>
              <w:bottom w:val="nil"/>
              <w:right w:val="nil"/>
            </w:tcBorders>
            <w:shd w:val="clear" w:color="auto" w:fill="auto"/>
            <w:noWrap/>
            <w:vAlign w:val="bottom"/>
            <w:hideMark/>
          </w:tcPr>
          <w:p w14:paraId="040391B4" w14:textId="77777777" w:rsidR="00005B87" w:rsidRPr="009E289C" w:rsidRDefault="00005B87" w:rsidP="00723DBE">
            <w:pPr>
              <w:rPr>
                <w:rFonts w:ascii="Times New Roman" w:hAnsi="Times New Roman"/>
                <w:sz w:val="18"/>
                <w:szCs w:val="18"/>
                <w:lang w:eastAsia="es-CO"/>
              </w:rPr>
            </w:pPr>
          </w:p>
        </w:tc>
      </w:tr>
      <w:tr w:rsidR="00005B87" w:rsidRPr="009E289C" w14:paraId="090A2C21" w14:textId="77777777" w:rsidTr="00AF2F01">
        <w:trPr>
          <w:trHeight w:val="300"/>
        </w:trPr>
        <w:tc>
          <w:tcPr>
            <w:tcW w:w="9634" w:type="dxa"/>
            <w:gridSpan w:val="7"/>
            <w:vMerge/>
            <w:tcBorders>
              <w:left w:val="single" w:sz="4" w:space="0" w:color="auto"/>
              <w:bottom w:val="single" w:sz="4" w:space="0" w:color="auto"/>
              <w:right w:val="single" w:sz="4" w:space="0" w:color="auto"/>
            </w:tcBorders>
            <w:vAlign w:val="center"/>
            <w:hideMark/>
          </w:tcPr>
          <w:p w14:paraId="53EDEBD6" w14:textId="77777777" w:rsidR="00005B87" w:rsidRPr="009E289C" w:rsidRDefault="00005B87" w:rsidP="00723DBE">
            <w:pPr>
              <w:rPr>
                <w:rFonts w:ascii="Calibri" w:hAnsi="Calibri" w:cs="Calibri"/>
                <w:color w:val="000000"/>
                <w:sz w:val="18"/>
                <w:szCs w:val="18"/>
                <w:lang w:eastAsia="es-CO"/>
              </w:rPr>
            </w:pPr>
          </w:p>
        </w:tc>
        <w:tc>
          <w:tcPr>
            <w:tcW w:w="2311" w:type="dxa"/>
            <w:tcBorders>
              <w:top w:val="nil"/>
              <w:left w:val="single" w:sz="4" w:space="0" w:color="auto"/>
              <w:bottom w:val="nil"/>
              <w:right w:val="nil"/>
            </w:tcBorders>
            <w:shd w:val="clear" w:color="auto" w:fill="auto"/>
            <w:noWrap/>
            <w:vAlign w:val="bottom"/>
            <w:hideMark/>
          </w:tcPr>
          <w:p w14:paraId="697D5A9D" w14:textId="77777777" w:rsidR="00005B87" w:rsidRPr="009E289C" w:rsidRDefault="00005B87" w:rsidP="00723DBE">
            <w:pPr>
              <w:rPr>
                <w:rFonts w:ascii="Times New Roman" w:hAnsi="Times New Roman"/>
                <w:sz w:val="18"/>
                <w:szCs w:val="18"/>
                <w:lang w:eastAsia="es-CO"/>
              </w:rPr>
            </w:pPr>
          </w:p>
        </w:tc>
      </w:tr>
    </w:tbl>
    <w:p w14:paraId="67FC77B5" w14:textId="6C32081B" w:rsidR="316C13B2" w:rsidRDefault="316C13B2"/>
    <w:p w14:paraId="664BA176" w14:textId="77777777" w:rsidR="00005B87" w:rsidRPr="00DA777C" w:rsidRDefault="00005B87" w:rsidP="00005B87">
      <w:pPr>
        <w:spacing w:before="120"/>
        <w:rPr>
          <w:rFonts w:cs="Arial"/>
          <w:sz w:val="4"/>
          <w:szCs w:val="4"/>
        </w:rPr>
      </w:pPr>
    </w:p>
    <w:p w14:paraId="0EF1EFC6" w14:textId="141E691E" w:rsidR="00917C61" w:rsidRDefault="00F11D8C" w:rsidP="00F11D8C">
      <w:pPr>
        <w:pStyle w:val="Ttulo1"/>
      </w:pPr>
      <w:bookmarkStart w:id="25" w:name="_Toc150524995"/>
      <w:r>
        <w:lastRenderedPageBreak/>
        <w:t>RESPUESTA A COMENTARIOS</w:t>
      </w:r>
      <w:bookmarkEnd w:id="25"/>
    </w:p>
    <w:p w14:paraId="0E773593" w14:textId="77777777" w:rsidR="00121AE0" w:rsidRPr="00121AE0" w:rsidRDefault="00121AE0" w:rsidP="00B9598D"/>
    <w:tbl>
      <w:tblPr>
        <w:tblStyle w:val="Tablaconcuadrcula4-nfasis5"/>
        <w:tblW w:w="0" w:type="auto"/>
        <w:tblLayout w:type="fixed"/>
        <w:tblLook w:val="0620" w:firstRow="1" w:lastRow="0" w:firstColumn="0" w:lastColumn="0" w:noHBand="1" w:noVBand="1"/>
      </w:tblPr>
      <w:tblGrid>
        <w:gridCol w:w="1182"/>
        <w:gridCol w:w="4107"/>
        <w:gridCol w:w="4107"/>
      </w:tblGrid>
      <w:tr w:rsidR="00465114" w:rsidRPr="00465114" w14:paraId="7DB2573C" w14:textId="77777777" w:rsidTr="00B9598D">
        <w:trPr>
          <w:cnfStyle w:val="100000000000" w:firstRow="1" w:lastRow="0" w:firstColumn="0" w:lastColumn="0" w:oddVBand="0" w:evenVBand="0" w:oddHBand="0" w:evenHBand="0" w:firstRowFirstColumn="0" w:firstRowLastColumn="0" w:lastRowFirstColumn="0" w:lastRowLastColumn="0"/>
          <w:trHeight w:val="720"/>
          <w:tblHeader/>
        </w:trPr>
        <w:tc>
          <w:tcPr>
            <w:tcW w:w="1182" w:type="dxa"/>
            <w:vAlign w:val="center"/>
            <w:hideMark/>
          </w:tcPr>
          <w:p w14:paraId="011ECD41" w14:textId="77777777" w:rsidR="005D3090" w:rsidRPr="00B9598D" w:rsidRDefault="005D3090" w:rsidP="00465114">
            <w:pPr>
              <w:spacing w:after="0"/>
              <w:jc w:val="center"/>
              <w:rPr>
                <w:rFonts w:ascii="Calibri" w:hAnsi="Calibri"/>
                <w:lang w:eastAsia="es-CO"/>
              </w:rPr>
            </w:pPr>
            <w:r w:rsidRPr="00B9598D">
              <w:rPr>
                <w:rFonts w:ascii="Calibri" w:hAnsi="Calibri"/>
                <w:color w:val="auto"/>
                <w:lang w:eastAsia="es-CO"/>
              </w:rPr>
              <w:t>EMPRESA</w:t>
            </w:r>
          </w:p>
        </w:tc>
        <w:tc>
          <w:tcPr>
            <w:tcW w:w="4107" w:type="dxa"/>
            <w:vAlign w:val="center"/>
            <w:hideMark/>
          </w:tcPr>
          <w:p w14:paraId="15B4F94D" w14:textId="77777777" w:rsidR="005D3090" w:rsidRPr="00B9598D" w:rsidRDefault="005D3090" w:rsidP="00465114">
            <w:pPr>
              <w:spacing w:after="0"/>
              <w:jc w:val="center"/>
              <w:rPr>
                <w:rFonts w:ascii="Calibri" w:hAnsi="Calibri"/>
                <w:lang w:eastAsia="es-CO"/>
              </w:rPr>
            </w:pPr>
            <w:r w:rsidRPr="00B9598D">
              <w:rPr>
                <w:rFonts w:ascii="Calibri" w:hAnsi="Calibri"/>
                <w:color w:val="auto"/>
                <w:lang w:eastAsia="es-CO"/>
              </w:rPr>
              <w:t>COMENTARIO</w:t>
            </w:r>
          </w:p>
        </w:tc>
        <w:tc>
          <w:tcPr>
            <w:tcW w:w="4107" w:type="dxa"/>
            <w:vAlign w:val="center"/>
            <w:hideMark/>
          </w:tcPr>
          <w:p w14:paraId="5ACCCBC6" w14:textId="679842FE" w:rsidR="005D3090" w:rsidRPr="00B9598D" w:rsidRDefault="007B6B0B" w:rsidP="00465114">
            <w:pPr>
              <w:spacing w:after="0"/>
              <w:jc w:val="center"/>
              <w:rPr>
                <w:rFonts w:ascii="Calibri" w:hAnsi="Calibri"/>
                <w:lang w:eastAsia="es-CO"/>
              </w:rPr>
            </w:pPr>
            <w:r w:rsidRPr="00B9598D">
              <w:rPr>
                <w:rFonts w:ascii="Calibri" w:hAnsi="Calibri"/>
                <w:color w:val="auto"/>
                <w:lang w:eastAsia="es-CO"/>
              </w:rPr>
              <w:t>RESPUESTA</w:t>
            </w:r>
          </w:p>
        </w:tc>
      </w:tr>
      <w:tr w:rsidR="006B6A7C" w:rsidRPr="005D3090" w14:paraId="686FC2D1" w14:textId="77777777" w:rsidTr="00B9598D">
        <w:trPr>
          <w:trHeight w:val="720"/>
        </w:trPr>
        <w:tc>
          <w:tcPr>
            <w:tcW w:w="1182" w:type="dxa"/>
            <w:hideMark/>
          </w:tcPr>
          <w:p w14:paraId="3DC99B53" w14:textId="5FF6F50F" w:rsidR="005D3090" w:rsidRPr="005D3090" w:rsidRDefault="005D3090" w:rsidP="00B9598D">
            <w:pPr>
              <w:spacing w:after="0"/>
              <w:rPr>
                <w:rFonts w:ascii="Calibri" w:hAnsi="Calibri"/>
                <w:color w:val="000000"/>
                <w:sz w:val="20"/>
                <w:szCs w:val="20"/>
                <w:lang w:eastAsia="es-CO"/>
              </w:rPr>
            </w:pPr>
            <w:r w:rsidRPr="005D3090">
              <w:rPr>
                <w:rFonts w:ascii="Calibri" w:hAnsi="Calibri"/>
                <w:color w:val="000000" w:themeColor="text1"/>
                <w:sz w:val="20"/>
                <w:szCs w:val="20"/>
                <w:lang w:eastAsia="es-CO"/>
              </w:rPr>
              <w:t>Agente 1</w:t>
            </w:r>
          </w:p>
        </w:tc>
        <w:tc>
          <w:tcPr>
            <w:tcW w:w="4107" w:type="dxa"/>
            <w:hideMark/>
          </w:tcPr>
          <w:p w14:paraId="7A5882CF" w14:textId="2F9A190F"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Se debe tener en cuenta que la propuesta regulatoria implica que un monto significativo de dinero quedará sin cubrir, aumentando el riesgo sistémico y, en caso de incumplimiento en el pago, serán los agentes Generadores quienes asuman las consecuencias.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Es decir, se está trasladando el riesgo de pago de los Comercializadores a los Generadores.</w:t>
            </w:r>
          </w:p>
        </w:tc>
        <w:tc>
          <w:tcPr>
            <w:tcW w:w="4107" w:type="dxa"/>
            <w:hideMark/>
          </w:tcPr>
          <w:p w14:paraId="309F403A"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Es importante resaltar que esta medida propuesta es transitoria y responde a una situación coyuntural de los comercializadores por un estrés de liquidez debido a saldos pendientes de recuperación por la aplicación de la opción tarifaria en su actividad de comercialización.</w:t>
            </w:r>
            <w:r w:rsidRPr="005D3090">
              <w:rPr>
                <w:rFonts w:ascii="Calibri" w:hAnsi="Calibri"/>
                <w:color w:val="000000"/>
                <w:sz w:val="18"/>
                <w:szCs w:val="18"/>
                <w:lang w:eastAsia="es-CO"/>
              </w:rPr>
              <w:br/>
              <w:t>En la resolución ya se considera la actualización de la garantía cuando se tienen valores reales de precio de bolsa y demanda para contar con los recursos suficientes para cumplir con las obligaciones del mercado de energía mayorista en el momento de la facturación.</w:t>
            </w:r>
          </w:p>
        </w:tc>
      </w:tr>
      <w:tr w:rsidR="006B6A7C" w:rsidRPr="005D3090" w14:paraId="3C01DA12" w14:textId="77777777" w:rsidTr="00B9598D">
        <w:trPr>
          <w:trHeight w:val="720"/>
        </w:trPr>
        <w:tc>
          <w:tcPr>
            <w:tcW w:w="1182" w:type="dxa"/>
            <w:hideMark/>
          </w:tcPr>
          <w:p w14:paraId="2291AC49" w14:textId="77777777" w:rsidR="005D3090" w:rsidRPr="005D3090" w:rsidRDefault="005D3090" w:rsidP="00B9598D">
            <w:pPr>
              <w:spacing w:after="0"/>
              <w:rPr>
                <w:rFonts w:ascii="Calibri" w:hAnsi="Calibri"/>
                <w:color w:val="000000"/>
                <w:sz w:val="20"/>
                <w:szCs w:val="20"/>
                <w:lang w:eastAsia="es-CO"/>
              </w:rPr>
            </w:pPr>
            <w:r w:rsidRPr="005D3090">
              <w:rPr>
                <w:rFonts w:ascii="Calibri" w:hAnsi="Calibri"/>
                <w:color w:val="000000"/>
                <w:sz w:val="20"/>
                <w:szCs w:val="20"/>
                <w:lang w:eastAsia="es-CO"/>
              </w:rPr>
              <w:t>Agente 1</w:t>
            </w:r>
          </w:p>
        </w:tc>
        <w:tc>
          <w:tcPr>
            <w:tcW w:w="4107" w:type="dxa"/>
            <w:hideMark/>
          </w:tcPr>
          <w:p w14:paraId="498B36A0" w14:textId="5A684B6A"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Los problemas de liquidez y disponibilidad de capital de trabajo de los Comercializadores son solo una consecuencia, es necesario implementar medidas adicionales encaminadas a solucionar los problemas estructurales y de raíz que los afectan.</w:t>
            </w:r>
            <w:r w:rsidRPr="005D3090">
              <w:rPr>
                <w:rFonts w:ascii="Calibri" w:hAnsi="Calibri"/>
                <w:color w:val="000000"/>
                <w:sz w:val="18"/>
                <w:szCs w:val="18"/>
                <w:lang w:eastAsia="es-CO"/>
              </w:rPr>
              <w:br/>
              <w:t>1.</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Incentivar la mayor contratación de largo plazo bajo las condiciones de precios y cantidades de aquellas tecnologías disponibles, en especial para aquellas plantas que resultaron asignadas en la subasta del Cargo por Confiabilidad de este año.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Lo anterior hará que los Comercializadores disminuyan su exposición a la Bolsa, mejoren su cupo de endeudamiento y disminuyan los costos de expedición de garantías; adicionalmente, beneficiará a los usuarios porque sus tarifas estarán menos expuestas a la volatilidad de la Bolsa de energía.</w:t>
            </w:r>
            <w:r w:rsidRPr="005D3090">
              <w:rPr>
                <w:rFonts w:ascii="Calibri" w:hAnsi="Calibri"/>
                <w:color w:val="000000"/>
                <w:sz w:val="18"/>
                <w:szCs w:val="18"/>
                <w:lang w:eastAsia="es-CO"/>
              </w:rPr>
              <w:br/>
              <w:t>2.</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Implementar ajustes al cubrimiento de las obligaciones en el MEM, tales como:</w:t>
            </w:r>
            <w:r w:rsidRPr="005D3090">
              <w:rPr>
                <w:rFonts w:ascii="Calibri" w:hAnsi="Calibri"/>
                <w:color w:val="000000"/>
                <w:sz w:val="18"/>
                <w:szCs w:val="18"/>
                <w:lang w:eastAsia="es-CO"/>
              </w:rPr>
              <w:br/>
              <w:t>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disminuir los plazos para otorgar garantías, de tal forma que se entreguen lo más cerca posible del periodo que se está garantizando;</w:t>
            </w:r>
            <w:r w:rsidRPr="005D3090">
              <w:rPr>
                <w:rFonts w:ascii="Calibri" w:hAnsi="Calibri"/>
                <w:color w:val="000000"/>
                <w:sz w:val="18"/>
                <w:szCs w:val="18"/>
                <w:lang w:eastAsia="es-CO"/>
              </w:rPr>
              <w:br/>
              <w:t>b. Analizar la posibilidad de que XM realice facturaciones semanales o quincenales;</w:t>
            </w:r>
            <w:r w:rsidRPr="005D3090">
              <w:rPr>
                <w:rFonts w:ascii="Calibri" w:hAnsi="Calibri"/>
                <w:color w:val="000000"/>
                <w:sz w:val="18"/>
                <w:szCs w:val="18"/>
                <w:lang w:eastAsia="es-CO"/>
              </w:rPr>
              <w:br/>
              <w:t>c.</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Ampliar los tipos de garantías admisibles, tales como pólizas de compañías aseguradoras;</w:t>
            </w:r>
            <w:r w:rsidRPr="005D3090">
              <w:rPr>
                <w:rFonts w:ascii="Calibri" w:hAnsi="Calibri"/>
                <w:color w:val="000000"/>
                <w:sz w:val="18"/>
                <w:szCs w:val="18"/>
                <w:lang w:eastAsia="es-CO"/>
              </w:rPr>
              <w:br/>
              <w:t>d.</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Calcular las garantías en el MEM por empresa y no por actividad, de tal forma que los saldos a favor de una actividad puedan cubrir las obligaciones de la otra actividad.</w:t>
            </w:r>
          </w:p>
        </w:tc>
        <w:tc>
          <w:tcPr>
            <w:tcW w:w="4107" w:type="dxa"/>
            <w:hideMark/>
          </w:tcPr>
          <w:p w14:paraId="7CBB6440"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 xml:space="preserve">Estos elementos están siendo analizados como parte de una revisión integral del esquema de garantías vigente. </w:t>
            </w:r>
          </w:p>
        </w:tc>
      </w:tr>
      <w:tr w:rsidR="006B6A7C" w:rsidRPr="005D3090" w14:paraId="6DAA56FF" w14:textId="77777777" w:rsidTr="00B9598D">
        <w:trPr>
          <w:trHeight w:val="720"/>
        </w:trPr>
        <w:tc>
          <w:tcPr>
            <w:tcW w:w="1182" w:type="dxa"/>
            <w:hideMark/>
          </w:tcPr>
          <w:p w14:paraId="2E17B0E4" w14:textId="77777777" w:rsidR="005D3090" w:rsidRPr="005D3090" w:rsidRDefault="005D3090" w:rsidP="00B9598D">
            <w:pPr>
              <w:spacing w:after="0"/>
              <w:rPr>
                <w:rFonts w:ascii="Calibri" w:hAnsi="Calibri"/>
                <w:color w:val="000000"/>
                <w:sz w:val="20"/>
                <w:szCs w:val="20"/>
                <w:lang w:eastAsia="es-CO"/>
              </w:rPr>
            </w:pPr>
            <w:r w:rsidRPr="005D3090">
              <w:rPr>
                <w:rFonts w:ascii="Calibri" w:hAnsi="Calibri"/>
                <w:color w:val="000000"/>
                <w:sz w:val="20"/>
                <w:szCs w:val="20"/>
                <w:lang w:eastAsia="es-CO"/>
              </w:rPr>
              <w:t>Agente 2</w:t>
            </w:r>
          </w:p>
        </w:tc>
        <w:tc>
          <w:tcPr>
            <w:tcW w:w="4107" w:type="dxa"/>
            <w:hideMark/>
          </w:tcPr>
          <w:p w14:paraId="5DE9F830"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 xml:space="preserve">Las disposiciones actuales sobre las garantías establecidas en la Resolución CREG 019 de 2006, que son aplicables a los agentes del sector, evitan posibles afectaciones al mercado mayorista mediante mecanismos de cobertura para las </w:t>
            </w:r>
            <w:r w:rsidRPr="005D3090">
              <w:rPr>
                <w:rFonts w:ascii="Calibri" w:hAnsi="Calibri"/>
                <w:color w:val="000000"/>
                <w:sz w:val="18"/>
                <w:szCs w:val="18"/>
                <w:lang w:eastAsia="es-CO"/>
              </w:rPr>
              <w:lastRenderedPageBreak/>
              <w:t>transacciones en este mercado.</w:t>
            </w:r>
            <w:r w:rsidRPr="005D3090">
              <w:rPr>
                <w:rFonts w:ascii="Calibri" w:hAnsi="Calibri"/>
                <w:color w:val="000000"/>
                <w:sz w:val="18"/>
                <w:szCs w:val="18"/>
                <w:lang w:eastAsia="es-CO"/>
              </w:rPr>
              <w:br/>
            </w:r>
            <w:r w:rsidRPr="005D3090">
              <w:rPr>
                <w:rFonts w:ascii="Calibri" w:hAnsi="Calibri"/>
                <w:color w:val="000000"/>
                <w:sz w:val="18"/>
                <w:szCs w:val="18"/>
                <w:lang w:eastAsia="es-CO"/>
              </w:rPr>
              <w:br/>
              <w:t xml:space="preserve">Por lo tanto, proponer una iniciativa para ampliar la flexibilidad en el esquema de garantías, incluyendo la variable Mc en la fórmula del Valor de la Energía en Bolsa (VEB) hasta el 31 de julio de 2024, iría en contra de asegurar el adecuado funcionamiento del mercado mayorista de energía, colocando en riesgo la atención de la demanda ante posibles incumplimientos por parte de los comercializadores y distribuidores. </w:t>
            </w:r>
          </w:p>
        </w:tc>
        <w:tc>
          <w:tcPr>
            <w:tcW w:w="4107" w:type="dxa"/>
            <w:hideMark/>
          </w:tcPr>
          <w:p w14:paraId="73E32FB6"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lastRenderedPageBreak/>
              <w:t xml:space="preserve">Es importante resaltar que esta medida propuesta es transitoria y responde a una situación coyuntural de los comercializadores por un estrés de liquidez debido a saldos pendientes de recuperación por la aplicación de la opción tarifaria en su actividad de </w:t>
            </w:r>
            <w:r w:rsidRPr="005D3090">
              <w:rPr>
                <w:rFonts w:ascii="Calibri" w:hAnsi="Calibri"/>
                <w:color w:val="000000"/>
                <w:sz w:val="18"/>
                <w:szCs w:val="18"/>
                <w:lang w:eastAsia="es-CO"/>
              </w:rPr>
              <w:lastRenderedPageBreak/>
              <w:t>comercialización.</w:t>
            </w:r>
            <w:r w:rsidRPr="005D3090">
              <w:rPr>
                <w:rFonts w:ascii="Calibri" w:hAnsi="Calibri"/>
                <w:color w:val="000000"/>
                <w:sz w:val="18"/>
                <w:szCs w:val="18"/>
                <w:lang w:eastAsia="es-CO"/>
              </w:rPr>
              <w:br/>
              <w:t>En la resolución ya se considera la actualización de la garantía cuando se tienen valores reales de precio de bolsa y demanda para contar con los recursos suficientes para cumplir con las obligaciones del mercado de energía mayorista en el momento de la facturación.</w:t>
            </w:r>
          </w:p>
        </w:tc>
      </w:tr>
      <w:tr w:rsidR="006B6A7C" w:rsidRPr="005D3090" w14:paraId="56638E18" w14:textId="77777777" w:rsidTr="00B9598D">
        <w:trPr>
          <w:trHeight w:val="720"/>
        </w:trPr>
        <w:tc>
          <w:tcPr>
            <w:tcW w:w="1182" w:type="dxa"/>
            <w:hideMark/>
          </w:tcPr>
          <w:p w14:paraId="3AD85478" w14:textId="77777777" w:rsidR="005D3090" w:rsidRPr="005D3090" w:rsidRDefault="005D3090" w:rsidP="00B9598D">
            <w:pPr>
              <w:spacing w:after="0"/>
              <w:rPr>
                <w:rFonts w:ascii="Calibri" w:hAnsi="Calibri"/>
                <w:color w:val="000000"/>
                <w:sz w:val="20"/>
                <w:szCs w:val="20"/>
                <w:lang w:eastAsia="es-CO"/>
              </w:rPr>
            </w:pPr>
            <w:r w:rsidRPr="005D3090">
              <w:rPr>
                <w:rFonts w:ascii="Calibri" w:hAnsi="Calibri"/>
                <w:color w:val="000000"/>
                <w:sz w:val="20"/>
                <w:szCs w:val="20"/>
                <w:lang w:eastAsia="es-CO"/>
              </w:rPr>
              <w:lastRenderedPageBreak/>
              <w:t>Agente 2</w:t>
            </w:r>
          </w:p>
        </w:tc>
        <w:tc>
          <w:tcPr>
            <w:tcW w:w="4107" w:type="dxa"/>
            <w:hideMark/>
          </w:tcPr>
          <w:p w14:paraId="182D65B9"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 xml:space="preserve">En el artículo 3 "Valor de cobertura" de la Resolución CREG 019 de 2006 se menciona: </w:t>
            </w:r>
            <w:r w:rsidRPr="005D3090">
              <w:rPr>
                <w:rFonts w:ascii="Calibri" w:hAnsi="Calibri"/>
                <w:color w:val="000000"/>
                <w:sz w:val="18"/>
                <w:szCs w:val="18"/>
                <w:lang w:eastAsia="es-CO"/>
              </w:rPr>
              <w:br/>
            </w:r>
            <w:r w:rsidRPr="005D3090">
              <w:rPr>
                <w:rFonts w:ascii="Calibri" w:hAnsi="Calibri"/>
                <w:color w:val="000000"/>
                <w:sz w:val="18"/>
                <w:szCs w:val="18"/>
                <w:lang w:eastAsia="es-CO"/>
              </w:rPr>
              <w:br/>
              <w:t>"Las garantías, los prepagos o pagos anticipados y la cesión de créditos, de que trata la presente resolución, se otorgarán por un valor que garantice o satisfaga el pago de las obligaciones de cada uno de los agentes que participen en el mercado mayorista a través de la Bolsa de Energía (...) " [Resaltado fuera de texto]</w:t>
            </w:r>
            <w:r w:rsidRPr="005D3090">
              <w:rPr>
                <w:rFonts w:ascii="Calibri" w:hAnsi="Calibri"/>
                <w:color w:val="000000"/>
                <w:sz w:val="18"/>
                <w:szCs w:val="18"/>
                <w:lang w:eastAsia="es-CO"/>
              </w:rPr>
              <w:br/>
            </w:r>
            <w:r w:rsidRPr="005D3090">
              <w:rPr>
                <w:rFonts w:ascii="Calibri" w:hAnsi="Calibri"/>
                <w:color w:val="000000"/>
                <w:sz w:val="18"/>
                <w:szCs w:val="18"/>
                <w:lang w:eastAsia="es-CO"/>
              </w:rPr>
              <w:br/>
              <w:t>Por lo anterior, consideramos que la Comisión con la propuesta planteada en la Resolución CREG 701 036 de 2024 coloca en riesgo al mercado por una mayor probabilidad de incumplimientos en los pagos por conceptos de Transacciones en la Bolsa de Energía y por no contar con la suficiente liquidez para cubrir las transacciones. Particularmente la afectación en este sentido a las plantas Termicas que tienen un alto costo de materia prima, y vienen atendiendo del ordel del 50% de la demanda.</w:t>
            </w:r>
          </w:p>
        </w:tc>
        <w:tc>
          <w:tcPr>
            <w:tcW w:w="4107" w:type="dxa"/>
            <w:hideMark/>
          </w:tcPr>
          <w:p w14:paraId="20A433CA"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Es importante resaltar que esta medida propuesta es transitoria y responde a una situación coyuntural de los comercializadores por un estrés de liquidez debido a saldos pendientes de recuperación por la aplicación de la opción tarifaria en su actividad de comercialización.</w:t>
            </w:r>
            <w:r w:rsidRPr="005D3090">
              <w:rPr>
                <w:rFonts w:ascii="Calibri" w:hAnsi="Calibri"/>
                <w:color w:val="000000"/>
                <w:sz w:val="18"/>
                <w:szCs w:val="18"/>
                <w:lang w:eastAsia="es-CO"/>
              </w:rPr>
              <w:br/>
              <w:t>En la resolución ya se considera la actualización de la garantía cuando se tienen valores reales de precio de bolsa y demanda para contar con los recursos suficientes para cumplir con las obligaciones del mercado de energía mayorista en el momento de la facturación.</w:t>
            </w:r>
          </w:p>
        </w:tc>
      </w:tr>
      <w:tr w:rsidR="006B6A7C" w:rsidRPr="005D3090" w14:paraId="24E10D6B" w14:textId="77777777" w:rsidTr="00B9598D">
        <w:trPr>
          <w:trHeight w:val="720"/>
        </w:trPr>
        <w:tc>
          <w:tcPr>
            <w:tcW w:w="1182" w:type="dxa"/>
            <w:hideMark/>
          </w:tcPr>
          <w:p w14:paraId="444F1406" w14:textId="77777777" w:rsidR="005D3090" w:rsidRPr="005D3090" w:rsidRDefault="005D3090" w:rsidP="00B9598D">
            <w:pPr>
              <w:spacing w:after="0"/>
              <w:rPr>
                <w:rFonts w:ascii="Calibri" w:hAnsi="Calibri"/>
                <w:color w:val="000000"/>
                <w:sz w:val="20"/>
                <w:szCs w:val="20"/>
                <w:lang w:eastAsia="es-CO"/>
              </w:rPr>
            </w:pPr>
            <w:r w:rsidRPr="005D3090">
              <w:rPr>
                <w:rFonts w:ascii="Calibri" w:hAnsi="Calibri"/>
                <w:color w:val="000000"/>
                <w:sz w:val="20"/>
                <w:szCs w:val="20"/>
                <w:lang w:eastAsia="es-CO"/>
              </w:rPr>
              <w:t>Agente 2</w:t>
            </w:r>
          </w:p>
        </w:tc>
        <w:tc>
          <w:tcPr>
            <w:tcW w:w="4107" w:type="dxa"/>
            <w:hideMark/>
          </w:tcPr>
          <w:p w14:paraId="28BFF3D6"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La propuesta presentada en la Resolución CREG 701 036 de 2024 no asegura el adecuado funcionamiento del Mercado Mayorista y podría generar un riesgo sistémico a corto, mediano y largo plazo, lo que resultaría en afectaciones en el servicio ofrecido a los usuarios del país.</w:t>
            </w:r>
            <w:r w:rsidRPr="005D3090">
              <w:rPr>
                <w:rFonts w:ascii="Calibri" w:hAnsi="Calibri"/>
                <w:color w:val="000000"/>
                <w:sz w:val="18"/>
                <w:szCs w:val="18"/>
                <w:lang w:eastAsia="es-CO"/>
              </w:rPr>
              <w:br/>
            </w:r>
            <w:r w:rsidRPr="005D3090">
              <w:rPr>
                <w:rFonts w:ascii="Calibri" w:hAnsi="Calibri"/>
                <w:color w:val="000000"/>
                <w:sz w:val="18"/>
                <w:szCs w:val="18"/>
                <w:lang w:eastAsia="es-CO"/>
              </w:rPr>
              <w:br/>
              <w:t>Esto se debe a que este proyecto de resolución, al buscar únicamente flexibilizar las garantías, no analiza los potenciales riesgos asociados a los incumplimientos en los pagos por parte de las empresas comercializadoras y distribuidoras que atienden a los usuarios finales en relación con las transacciones en la Bolsa de Energía, fomentando así la falta de compromiso con el mercado.</w:t>
            </w:r>
          </w:p>
        </w:tc>
        <w:tc>
          <w:tcPr>
            <w:tcW w:w="4107" w:type="dxa"/>
            <w:hideMark/>
          </w:tcPr>
          <w:p w14:paraId="66FA216C"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Es importante resaltar que esta medida propuesta es transitoria y responde a una situación coyuntural de los comercializadores por un estrés de liquidez debido a saldos pendientes de recuperación por la aplicación de la opción tarifaria en su actividad de comercialización.</w:t>
            </w:r>
            <w:r w:rsidRPr="005D3090">
              <w:rPr>
                <w:rFonts w:ascii="Calibri" w:hAnsi="Calibri"/>
                <w:color w:val="000000"/>
                <w:sz w:val="18"/>
                <w:szCs w:val="18"/>
                <w:lang w:eastAsia="es-CO"/>
              </w:rPr>
              <w:br/>
              <w:t>En la resolución ya se considera la actualización de la garantía cuando se tienen valores reales de precio de bolsa y demanda para contar con los recursos suficientes para cumplir con las obligaciones del mercado de energía mayorista en el momento de la facturación.</w:t>
            </w:r>
          </w:p>
        </w:tc>
      </w:tr>
      <w:tr w:rsidR="006B6A7C" w:rsidRPr="005D3090" w14:paraId="62EE5B5F" w14:textId="77777777" w:rsidTr="00B9598D">
        <w:trPr>
          <w:trHeight w:val="720"/>
        </w:trPr>
        <w:tc>
          <w:tcPr>
            <w:tcW w:w="1182" w:type="dxa"/>
            <w:hideMark/>
          </w:tcPr>
          <w:p w14:paraId="68CC8BE6" w14:textId="77777777" w:rsidR="005D3090" w:rsidRPr="005D3090" w:rsidRDefault="005D3090" w:rsidP="00B9598D">
            <w:pPr>
              <w:spacing w:after="0"/>
              <w:rPr>
                <w:rFonts w:ascii="Calibri" w:hAnsi="Calibri"/>
                <w:color w:val="000000"/>
                <w:sz w:val="20"/>
                <w:szCs w:val="20"/>
                <w:lang w:eastAsia="es-CO"/>
              </w:rPr>
            </w:pPr>
            <w:r w:rsidRPr="005D3090">
              <w:rPr>
                <w:rFonts w:ascii="Calibri" w:hAnsi="Calibri"/>
                <w:color w:val="000000"/>
                <w:sz w:val="20"/>
                <w:szCs w:val="20"/>
                <w:lang w:eastAsia="es-CO"/>
              </w:rPr>
              <w:lastRenderedPageBreak/>
              <w:t>Agente 2</w:t>
            </w:r>
          </w:p>
        </w:tc>
        <w:tc>
          <w:tcPr>
            <w:tcW w:w="4107" w:type="dxa"/>
            <w:hideMark/>
          </w:tcPr>
          <w:p w14:paraId="0A1FE215" w14:textId="6E2207A2"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Los ingresos que reciben los generadores térmicos, los cuales han sido un pilar fundamental dadas las condiciones actuales por el paso del Fenómeno de El Niño en el país, provienen de las transacciones en el MEM y de los ingresos por cargo por confiabilidad. Estos ingresos están destinados a cubrir los costos de los contratos de mantenimiento, así como de suministro y transporte de la materia prima necesaria para la operación.</w:t>
            </w:r>
            <w:r w:rsidRPr="005D3090">
              <w:rPr>
                <w:rFonts w:ascii="Calibri" w:hAnsi="Calibri"/>
                <w:color w:val="000000"/>
                <w:sz w:val="18"/>
                <w:szCs w:val="18"/>
                <w:lang w:eastAsia="es-CO"/>
              </w:rPr>
              <w:br/>
            </w:r>
            <w:r w:rsidRPr="005D3090">
              <w:rPr>
                <w:rFonts w:ascii="Calibri" w:hAnsi="Calibri"/>
                <w:color w:val="000000"/>
                <w:sz w:val="18"/>
                <w:szCs w:val="18"/>
                <w:lang w:eastAsia="es-CO"/>
              </w:rPr>
              <w:br/>
              <w:t>Por lo que, un menor ingreso por el no pago de los agentes que atiendan a los usuarios finales o porque las garantías no cubren todos los costos de las transacciones, traerá como consecuencia, debilitar la complementariedad del mercado que aportan las plantas térmicas, afectando sus sostenibilidad, en momentos en los que se ha incrementando su participación en la generación diaria del SIN, ayudando a mantener - aumentar los niveles de embalses del país y garantizando la atención segura y confiable de la demanda.</w:t>
            </w:r>
          </w:p>
        </w:tc>
        <w:tc>
          <w:tcPr>
            <w:tcW w:w="4107" w:type="dxa"/>
            <w:hideMark/>
          </w:tcPr>
          <w:p w14:paraId="0430E5D9"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Es importante resaltar que esta medida propuesta es transitoria y responde a una situación coyuntural de los comercializadores por un estrés de liquidez debido a saldos pendientes de recuperación por la aplicación de la opción tarifaria en su actividad de comercialización.</w:t>
            </w:r>
            <w:r w:rsidRPr="005D3090">
              <w:rPr>
                <w:rFonts w:ascii="Calibri" w:hAnsi="Calibri"/>
                <w:color w:val="000000"/>
                <w:sz w:val="18"/>
                <w:szCs w:val="18"/>
                <w:lang w:eastAsia="es-CO"/>
              </w:rPr>
              <w:br/>
              <w:t>En la resolución ya se considera la actualización de la garantía cuando se tienen valores reales de precio de bolsa y demanda para contar con los recursos suficientes para cumplir con las obligaciones del mercado de energía mayorista en el momento de la facturación.</w:t>
            </w:r>
          </w:p>
        </w:tc>
      </w:tr>
      <w:tr w:rsidR="006B6A7C" w:rsidRPr="005D3090" w14:paraId="39DD766F" w14:textId="77777777" w:rsidTr="00B9598D">
        <w:trPr>
          <w:trHeight w:val="720"/>
        </w:trPr>
        <w:tc>
          <w:tcPr>
            <w:tcW w:w="1182" w:type="dxa"/>
            <w:hideMark/>
          </w:tcPr>
          <w:p w14:paraId="6D34256C" w14:textId="77777777" w:rsidR="005D3090" w:rsidRPr="005D3090" w:rsidRDefault="005D3090" w:rsidP="00B9598D">
            <w:pPr>
              <w:spacing w:after="0"/>
              <w:rPr>
                <w:rFonts w:ascii="Calibri" w:hAnsi="Calibri"/>
                <w:color w:val="000000"/>
                <w:sz w:val="20"/>
                <w:szCs w:val="20"/>
                <w:lang w:eastAsia="es-CO"/>
              </w:rPr>
            </w:pPr>
            <w:r w:rsidRPr="005D3090">
              <w:rPr>
                <w:rFonts w:ascii="Calibri" w:hAnsi="Calibri"/>
                <w:color w:val="000000"/>
                <w:sz w:val="20"/>
                <w:szCs w:val="20"/>
                <w:lang w:eastAsia="es-CO"/>
              </w:rPr>
              <w:t>Agente 2</w:t>
            </w:r>
          </w:p>
        </w:tc>
        <w:tc>
          <w:tcPr>
            <w:tcW w:w="4107" w:type="dxa"/>
            <w:hideMark/>
          </w:tcPr>
          <w:p w14:paraId="048C9F3E"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 xml:space="preserve">Flexibilizar las garantías expone el sistema al riesgo de no contar con abastecimiento de la demanda y vulnera la correcta y continua prestación del servicio. </w:t>
            </w:r>
            <w:r w:rsidRPr="005D3090">
              <w:rPr>
                <w:rFonts w:ascii="Calibri" w:hAnsi="Calibri"/>
                <w:color w:val="000000"/>
                <w:sz w:val="18"/>
                <w:szCs w:val="18"/>
                <w:lang w:eastAsia="es-CO"/>
              </w:rPr>
              <w:br/>
            </w:r>
            <w:r w:rsidRPr="005D3090">
              <w:rPr>
                <w:rFonts w:ascii="Calibri" w:hAnsi="Calibri"/>
                <w:color w:val="000000"/>
                <w:sz w:val="18"/>
                <w:szCs w:val="18"/>
                <w:lang w:eastAsia="es-CO"/>
              </w:rPr>
              <w:br/>
              <w:t xml:space="preserve">En ese sentido, no se debe desconocer la importancia de las garantías en el mercado, dado que son mecanismos para asegurar el cumplimento de una obligación y respaldar las operaciones. Sin embargo, proponer que se disminuya su valor coloca en riesgo los ingresos que deben recibir los agentes ante situaciones de incumplimiento y ejecución de las garantías. </w:t>
            </w:r>
            <w:r w:rsidRPr="005D3090">
              <w:rPr>
                <w:rFonts w:ascii="Calibri" w:hAnsi="Calibri"/>
                <w:color w:val="000000"/>
                <w:sz w:val="18"/>
                <w:szCs w:val="18"/>
                <w:lang w:eastAsia="es-CO"/>
              </w:rPr>
              <w:br/>
              <w:t>Sometemos a consideración de la comisión, que los agentes comercializadores y distribuidores que demuestren inconvenientes financieros suscriban con el gobierno central como garante ante XM, prestamos de la banca multilateral y utilizando como cobertura los montos de los subsidios no girados, incluyendo los correspondientes sistemas de medidas, controles y metas para el seguimiento estricto de estos dineros, y con ello, garantizar el uso adecuado del mismo. Todo esto evitará el deterioro grave de las finanzas de los agentes y asegurará la sostenibilidad de las empresas que prestan el servicio de suministro y transporte de energía eléctrica.</w:t>
            </w:r>
          </w:p>
        </w:tc>
        <w:tc>
          <w:tcPr>
            <w:tcW w:w="4107" w:type="dxa"/>
            <w:hideMark/>
          </w:tcPr>
          <w:p w14:paraId="21C5BC81"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La propuesta realizada por el agente es de la competencia de varias entidades y sobrepasa el alcance del presente proyecto de resolución.</w:t>
            </w:r>
          </w:p>
        </w:tc>
      </w:tr>
      <w:tr w:rsidR="006B6A7C" w:rsidRPr="005D3090" w14:paraId="11340142" w14:textId="77777777" w:rsidTr="00B9598D">
        <w:trPr>
          <w:trHeight w:val="720"/>
        </w:trPr>
        <w:tc>
          <w:tcPr>
            <w:tcW w:w="1182" w:type="dxa"/>
            <w:hideMark/>
          </w:tcPr>
          <w:p w14:paraId="00154470" w14:textId="77777777" w:rsidR="005D3090" w:rsidRPr="005D3090" w:rsidRDefault="005D3090" w:rsidP="00B9598D">
            <w:pPr>
              <w:spacing w:after="0"/>
              <w:rPr>
                <w:rFonts w:ascii="Calibri" w:hAnsi="Calibri"/>
                <w:color w:val="000000"/>
                <w:sz w:val="20"/>
                <w:szCs w:val="20"/>
                <w:lang w:eastAsia="es-CO"/>
              </w:rPr>
            </w:pPr>
            <w:r w:rsidRPr="005D3090">
              <w:rPr>
                <w:rFonts w:ascii="Calibri" w:hAnsi="Calibri"/>
                <w:color w:val="000000"/>
                <w:sz w:val="20"/>
                <w:szCs w:val="20"/>
                <w:lang w:eastAsia="es-CO"/>
              </w:rPr>
              <w:lastRenderedPageBreak/>
              <w:t>Agente 2</w:t>
            </w:r>
          </w:p>
        </w:tc>
        <w:tc>
          <w:tcPr>
            <w:tcW w:w="4107" w:type="dxa"/>
            <w:hideMark/>
          </w:tcPr>
          <w:p w14:paraId="4AEF346F"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En tal sentido, reiteramos nuestras observaciones a esta propuesta, presentadas a la Comisión mediante las comunicaciones con consecutivo COE_202300635 y COE_202301134, y adjuntamos nuestros comentarios en el “Formato para comentarios a la Resolución CREG 701 036 de 2024”</w:t>
            </w:r>
          </w:p>
        </w:tc>
        <w:tc>
          <w:tcPr>
            <w:tcW w:w="4107" w:type="dxa"/>
            <w:hideMark/>
          </w:tcPr>
          <w:p w14:paraId="55BB658F"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Es importante resaltar que esta medida propuesta es transitoria y responde a una situación coyuntural de los comercializadores por un estrés de liquidez debido a saldos pendientes de recuperación por la aplicación de la opción tarifaria en su actividad de comercialización.</w:t>
            </w:r>
            <w:r w:rsidRPr="005D3090">
              <w:rPr>
                <w:rFonts w:ascii="Calibri" w:hAnsi="Calibri"/>
                <w:color w:val="000000"/>
                <w:sz w:val="18"/>
                <w:szCs w:val="18"/>
                <w:lang w:eastAsia="es-CO"/>
              </w:rPr>
              <w:br/>
              <w:t>En la resolución ya se considera la actualización de la garantía cuando se tienen valores reales de precio de bolsa y demanda para contar con los recursos suficientes para cumplir con las obligaciones del mercado de energía mayorista en el momento de la facturación.</w:t>
            </w:r>
          </w:p>
        </w:tc>
      </w:tr>
      <w:tr w:rsidR="006B6A7C" w:rsidRPr="005D3090" w14:paraId="701AC261" w14:textId="77777777" w:rsidTr="00B9598D">
        <w:trPr>
          <w:trHeight w:val="720"/>
        </w:trPr>
        <w:tc>
          <w:tcPr>
            <w:tcW w:w="1182" w:type="dxa"/>
            <w:hideMark/>
          </w:tcPr>
          <w:p w14:paraId="13210072" w14:textId="77777777" w:rsidR="005D3090" w:rsidRPr="005D3090" w:rsidRDefault="005D3090" w:rsidP="00B9598D">
            <w:pPr>
              <w:spacing w:after="0"/>
              <w:rPr>
                <w:rFonts w:ascii="Calibri" w:hAnsi="Calibri"/>
                <w:color w:val="000000"/>
                <w:sz w:val="20"/>
                <w:szCs w:val="20"/>
                <w:lang w:eastAsia="es-CO"/>
              </w:rPr>
            </w:pPr>
            <w:r w:rsidRPr="005D3090">
              <w:rPr>
                <w:rFonts w:ascii="Calibri" w:hAnsi="Calibri"/>
                <w:color w:val="000000"/>
                <w:sz w:val="20"/>
                <w:szCs w:val="20"/>
                <w:lang w:eastAsia="es-CO"/>
              </w:rPr>
              <w:t xml:space="preserve">Agente 3 </w:t>
            </w:r>
          </w:p>
        </w:tc>
        <w:tc>
          <w:tcPr>
            <w:tcW w:w="4107" w:type="dxa"/>
            <w:hideMark/>
          </w:tcPr>
          <w:p w14:paraId="741AC31E" w14:textId="488946B9"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Del seguimiento que el Agente 3 realiza a la aplicación de la Resolución CREG 101_024 de 2023, y que mensualmente se reporta a la Comisión a través de las actas de las Reuniones Ordinarias del Comité, se tiene la siguiente información: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br/>
              <w:t xml:space="preserve">i. 34 de 47 agentes se han acogido a esta medida. </w:t>
            </w:r>
            <w:r w:rsidRPr="005D3090">
              <w:rPr>
                <w:rFonts w:ascii="Calibri" w:hAnsi="Calibri"/>
                <w:color w:val="000000"/>
                <w:sz w:val="18"/>
                <w:szCs w:val="18"/>
                <w:lang w:eastAsia="es-CO"/>
              </w:rPr>
              <w:br/>
              <w:t xml:space="preserve">ii. Para los cálculos de garantías, la diferencia entre aplicar la metodología de la Res CREG 019 de 2006 y la de la Res CREG 101 024 de 2023 mensualmente fue de: </w:t>
            </w:r>
            <w:r w:rsidRPr="005D3090">
              <w:rPr>
                <w:rFonts w:ascii="Calibri" w:hAnsi="Calibri"/>
                <w:color w:val="000000"/>
                <w:sz w:val="18"/>
                <w:szCs w:val="18"/>
                <w:lang w:eastAsia="es-CO"/>
              </w:rPr>
              <w:br/>
              <w:t xml:space="preserve">o Vencimiento el 12 de diciembre: $305.000 millones </w:t>
            </w:r>
            <w:r w:rsidRPr="005D3090">
              <w:rPr>
                <w:rFonts w:ascii="Calibri" w:hAnsi="Calibri"/>
                <w:color w:val="000000"/>
                <w:sz w:val="18"/>
                <w:szCs w:val="18"/>
                <w:lang w:eastAsia="es-CO"/>
              </w:rPr>
              <w:br/>
              <w:t xml:space="preserve">o Vencimiento el 23 de enero: $341.000 millones </w:t>
            </w:r>
            <w:r w:rsidRPr="005D3090">
              <w:rPr>
                <w:rFonts w:ascii="Calibri" w:hAnsi="Calibri"/>
                <w:color w:val="000000"/>
                <w:sz w:val="18"/>
                <w:szCs w:val="18"/>
                <w:lang w:eastAsia="es-CO"/>
              </w:rPr>
              <w:br/>
              <w:t xml:space="preserve">o Vencimiento el 23 de febrero: $278.000 millones </w:t>
            </w:r>
            <w:r w:rsidRPr="005D3090">
              <w:rPr>
                <w:rFonts w:ascii="Calibri" w:hAnsi="Calibri"/>
                <w:color w:val="000000"/>
                <w:sz w:val="18"/>
                <w:szCs w:val="18"/>
                <w:lang w:eastAsia="es-CO"/>
              </w:rPr>
              <w:br/>
              <w:t xml:space="preserve">o Vencimiento el 19 de marzo: $269.000 millones </w:t>
            </w:r>
            <w:r w:rsidRPr="005D3090">
              <w:rPr>
                <w:rFonts w:ascii="Calibri" w:hAnsi="Calibri"/>
                <w:color w:val="000000"/>
                <w:sz w:val="18"/>
                <w:szCs w:val="18"/>
                <w:lang w:eastAsia="es-CO"/>
              </w:rPr>
              <w:br/>
              <w:t>iii. La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suma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los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valores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anteriores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totaliza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aproximadamente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$1,2</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billones.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decir</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que asumiendo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que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se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garantizan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promedio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2,5</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meses,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monto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 xml:space="preserve">no garantizado para los meses mencionados fue cercano a los $3 billones. </w:t>
            </w:r>
            <w:r w:rsidRPr="005D3090">
              <w:rPr>
                <w:rFonts w:ascii="Calibri" w:hAnsi="Calibri"/>
                <w:color w:val="000000"/>
                <w:sz w:val="18"/>
                <w:szCs w:val="18"/>
                <w:lang w:eastAsia="es-CO"/>
              </w:rPr>
              <w:br/>
              <w:t>De la anterior información se deduce que la medida ha sido de utilidad a la mayoría de agentes que se podían acoger a ésta, se ha reducido la presión en el flujo de caja debido a menores valores en los cupos de garantías y en recursos inmovilizados para hacer prepago, y hasta el momento no se han presentado impagos en las facturas SIC.</w:t>
            </w:r>
            <w:r w:rsidRPr="005D3090">
              <w:rPr>
                <w:rFonts w:ascii="Calibri" w:hAnsi="Calibri"/>
                <w:color w:val="000000"/>
                <w:sz w:val="18"/>
                <w:szCs w:val="18"/>
                <w:lang w:eastAsia="es-CO"/>
              </w:rPr>
              <w:br/>
              <w:t>Dado lo anterior, desde el Agente 3 se identifica que es necesario que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se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amplíe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la vigencia del precio transitorio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para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constitución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garantías,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especial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este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momento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que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 xml:space="preserve">sistema financiero ha restringido la ampliación de cupos y el préstamo de recursos para la constitución de prepagos. Sin embargo, debido a la situación bajo la cual se dará la ampliación de vigencia de dicha medida, se sugiere a la CREG evaluar el riesgo de ésta en función del nivel de exposición a bolsa de cada agente, así como el potencial riesgo en el mercado. </w:t>
            </w:r>
          </w:p>
        </w:tc>
        <w:tc>
          <w:tcPr>
            <w:tcW w:w="4107" w:type="dxa"/>
            <w:hideMark/>
          </w:tcPr>
          <w:p w14:paraId="41BC4E75"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Es importante resaltar que esta medida propuesta es transitoria y responde a una situación coyuntural de los comercializadores por un estrés de liquidez debido a saldos pendientes de recuperación por la aplicación de la opción tarifaria en su actividad de comercialización.</w:t>
            </w:r>
            <w:r w:rsidRPr="005D3090">
              <w:rPr>
                <w:rFonts w:ascii="Calibri" w:hAnsi="Calibri"/>
                <w:color w:val="000000"/>
                <w:sz w:val="18"/>
                <w:szCs w:val="18"/>
                <w:lang w:eastAsia="es-CO"/>
              </w:rPr>
              <w:br/>
              <w:t>En la resolución ya se considera la actualización de la garantía cuando se tienen valores reales de precio de bolsa y demanda para contar con los recursos suficientes para cumplir con las obligaciones del mercado de energía mayorista en el momento de la facturación.</w:t>
            </w:r>
            <w:r w:rsidRPr="005D3090">
              <w:rPr>
                <w:rFonts w:ascii="Calibri" w:hAnsi="Calibri"/>
                <w:color w:val="000000"/>
                <w:sz w:val="18"/>
                <w:szCs w:val="18"/>
                <w:lang w:eastAsia="es-CO"/>
              </w:rPr>
              <w:br/>
              <w:t xml:space="preserve">Se mantiene la medida como está propuesta sin modificaciones. </w:t>
            </w:r>
          </w:p>
        </w:tc>
      </w:tr>
      <w:tr w:rsidR="006B6A7C" w:rsidRPr="005D3090" w14:paraId="5580F1FC" w14:textId="77777777" w:rsidTr="00B9598D">
        <w:trPr>
          <w:trHeight w:val="720"/>
        </w:trPr>
        <w:tc>
          <w:tcPr>
            <w:tcW w:w="1182" w:type="dxa"/>
            <w:hideMark/>
          </w:tcPr>
          <w:p w14:paraId="4DA0084F" w14:textId="77777777" w:rsidR="005D3090" w:rsidRPr="005D3090" w:rsidRDefault="005D3090" w:rsidP="00B9598D">
            <w:pPr>
              <w:spacing w:after="0"/>
              <w:rPr>
                <w:rFonts w:ascii="Calibri" w:hAnsi="Calibri"/>
                <w:color w:val="000000"/>
                <w:sz w:val="20"/>
                <w:szCs w:val="20"/>
                <w:lang w:eastAsia="es-CO"/>
              </w:rPr>
            </w:pPr>
            <w:r w:rsidRPr="005D3090">
              <w:rPr>
                <w:rFonts w:ascii="Calibri" w:hAnsi="Calibri"/>
                <w:color w:val="000000"/>
                <w:sz w:val="20"/>
                <w:szCs w:val="20"/>
                <w:lang w:eastAsia="es-CO"/>
              </w:rPr>
              <w:lastRenderedPageBreak/>
              <w:t xml:space="preserve">Agente 3 </w:t>
            </w:r>
          </w:p>
        </w:tc>
        <w:tc>
          <w:tcPr>
            <w:tcW w:w="4107" w:type="dxa"/>
            <w:hideMark/>
          </w:tcPr>
          <w:p w14:paraId="0F6BAF52"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 xml:space="preserve">Además, y con el fin de que XM pueda operativizar la medida, que aplicará para los vencimientos de este viernes 19 de abril, se recomienda que la resolución se expida lo más pronto posible con el fin de garantizar la oportunidad de ésta. </w:t>
            </w:r>
          </w:p>
        </w:tc>
        <w:tc>
          <w:tcPr>
            <w:tcW w:w="4107" w:type="dxa"/>
            <w:hideMark/>
          </w:tcPr>
          <w:p w14:paraId="3131907E"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Se seguirán los procedimientos establecidos para la expedición de la resolución.</w:t>
            </w:r>
          </w:p>
        </w:tc>
      </w:tr>
      <w:tr w:rsidR="006B6A7C" w:rsidRPr="005D3090" w14:paraId="799B3CAD" w14:textId="77777777" w:rsidTr="00B9598D">
        <w:trPr>
          <w:trHeight w:val="720"/>
        </w:trPr>
        <w:tc>
          <w:tcPr>
            <w:tcW w:w="1182" w:type="dxa"/>
            <w:hideMark/>
          </w:tcPr>
          <w:p w14:paraId="4ED043F0" w14:textId="77777777" w:rsidR="005D3090" w:rsidRPr="005D3090" w:rsidRDefault="005D3090" w:rsidP="00B9598D">
            <w:pPr>
              <w:spacing w:after="0"/>
              <w:rPr>
                <w:rFonts w:ascii="Calibri" w:hAnsi="Calibri"/>
                <w:color w:val="000000"/>
                <w:sz w:val="20"/>
                <w:szCs w:val="20"/>
                <w:lang w:eastAsia="es-CO"/>
              </w:rPr>
            </w:pPr>
            <w:r w:rsidRPr="005D3090">
              <w:rPr>
                <w:rFonts w:ascii="Calibri" w:hAnsi="Calibri"/>
                <w:color w:val="000000"/>
                <w:sz w:val="20"/>
                <w:szCs w:val="20"/>
                <w:lang w:eastAsia="es-CO"/>
              </w:rPr>
              <w:t xml:space="preserve">Agente 3 </w:t>
            </w:r>
          </w:p>
        </w:tc>
        <w:tc>
          <w:tcPr>
            <w:tcW w:w="4107" w:type="dxa"/>
            <w:hideMark/>
          </w:tcPr>
          <w:p w14:paraId="26CB1D8A"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Para finalizar, desde el Agente 3 consideramos que urge una revisión estructural del esquema regulatorio de garantías, en los términos establecidos en el Artículo 8 del Decreto MME 0929 de 2023. En dicha revisión es pertinente que se analicen optimizaciones de las coberturas respecto a nuevos mecanismos alternativos admisibles, el precio de referencia para el cálculo de garantías y los valores a cubrir (ej, evitar que se garanticen tres (3) meses de consumos como se dan en algunas semanas, o variaciones significativas en los ajustes semanales)</w:t>
            </w:r>
          </w:p>
        </w:tc>
        <w:tc>
          <w:tcPr>
            <w:tcW w:w="4107" w:type="dxa"/>
            <w:hideMark/>
          </w:tcPr>
          <w:p w14:paraId="5938F852"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 xml:space="preserve">Estos elementos están siendo analizados como parte de una revisión integral del esquema de garantías vigente. </w:t>
            </w:r>
          </w:p>
        </w:tc>
      </w:tr>
      <w:tr w:rsidR="006B6A7C" w:rsidRPr="005D3090" w14:paraId="16798B4F" w14:textId="77777777" w:rsidTr="00B9598D">
        <w:trPr>
          <w:trHeight w:val="720"/>
        </w:trPr>
        <w:tc>
          <w:tcPr>
            <w:tcW w:w="1182" w:type="dxa"/>
            <w:hideMark/>
          </w:tcPr>
          <w:p w14:paraId="53739F59" w14:textId="77777777" w:rsidR="005D3090" w:rsidRPr="005D3090" w:rsidRDefault="005D3090" w:rsidP="00B9598D">
            <w:pPr>
              <w:spacing w:after="0"/>
              <w:rPr>
                <w:rFonts w:ascii="Calibri" w:hAnsi="Calibri"/>
                <w:color w:val="000000"/>
                <w:sz w:val="20"/>
                <w:szCs w:val="20"/>
                <w:lang w:eastAsia="es-CO"/>
              </w:rPr>
            </w:pPr>
            <w:r w:rsidRPr="005D3090">
              <w:rPr>
                <w:rFonts w:ascii="Calibri" w:hAnsi="Calibri"/>
                <w:color w:val="000000"/>
                <w:sz w:val="20"/>
                <w:szCs w:val="20"/>
                <w:lang w:eastAsia="es-CO"/>
              </w:rPr>
              <w:t xml:space="preserve">Agente 4 </w:t>
            </w:r>
          </w:p>
        </w:tc>
        <w:tc>
          <w:tcPr>
            <w:tcW w:w="4107" w:type="dxa"/>
            <w:hideMark/>
          </w:tcPr>
          <w:p w14:paraId="15B505C2" w14:textId="3A72AEA4"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Mediante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presente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comunicación,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desde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Agente 4</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y sus empresas asociadas nos permitimos realizar comentarios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 xml:space="preserve">al proyecto de Resolución del asunto que se relaciona con la propuesta de ampliar la temporalidad de las medidas adoptadas para el cubrimiento de las transacciones en el Mercado de Energía Mayorista – MEM. </w:t>
            </w:r>
            <w:r w:rsidRPr="005D3090">
              <w:rPr>
                <w:rFonts w:ascii="Calibri" w:hAnsi="Calibri"/>
                <w:color w:val="000000"/>
                <w:sz w:val="18"/>
                <w:szCs w:val="18"/>
                <w:lang w:eastAsia="es-CO"/>
              </w:rPr>
              <w:br/>
              <w:t>Al respecto, desde Agente 4</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entendemos los inconvenientes de carácter financiero que pueden estar enfrentando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algunos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agentes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comercializadores,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cual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tiene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una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incidencia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momento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 suscribir</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garantías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para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cubrimiento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sus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transacciones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MEM.</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Sin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embargo,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sugerimos revisar</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pertinencia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aplicar</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estas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medidas,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pues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podrían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no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solucionar</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los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inconvenientes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 liquidez, o si lo hacen, de manera temporal, podría persistir la posibilidad de que tengan un costo para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todo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mercado.</w:t>
            </w:r>
            <w:r w:rsidR="002D6D42">
              <w:rPr>
                <w:rFonts w:ascii="Calibri" w:hAnsi="Calibri"/>
                <w:color w:val="000000"/>
                <w:sz w:val="18"/>
                <w:szCs w:val="18"/>
                <w:lang w:eastAsia="es-CO"/>
              </w:rPr>
              <w:t xml:space="preserve">  </w:t>
            </w:r>
          </w:p>
        </w:tc>
        <w:tc>
          <w:tcPr>
            <w:tcW w:w="4107" w:type="dxa"/>
            <w:hideMark/>
          </w:tcPr>
          <w:p w14:paraId="5CAA9095"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 xml:space="preserve">La aplicación de medidas de mediano plazo ya se encuentra en curso. La recuperación de los saldos seguirá en los próximos meses según lo que acogió cada empresa. </w:t>
            </w:r>
            <w:r w:rsidRPr="005D3090">
              <w:rPr>
                <w:rFonts w:ascii="Calibri" w:hAnsi="Calibri"/>
                <w:color w:val="000000"/>
                <w:sz w:val="18"/>
                <w:szCs w:val="18"/>
                <w:lang w:eastAsia="es-CO"/>
              </w:rPr>
              <w:br/>
              <w:t>Estas medidas transitorias contribuirán a tener una situación de liquidez menos ajustada para los comercializadores que aplicaron la opción tarifaria.</w:t>
            </w:r>
          </w:p>
        </w:tc>
      </w:tr>
      <w:tr w:rsidR="006B6A7C" w:rsidRPr="005D3090" w14:paraId="7208ADD8" w14:textId="77777777" w:rsidTr="00B9598D">
        <w:trPr>
          <w:trHeight w:val="720"/>
        </w:trPr>
        <w:tc>
          <w:tcPr>
            <w:tcW w:w="1182" w:type="dxa"/>
            <w:hideMark/>
          </w:tcPr>
          <w:p w14:paraId="4FE20DBF" w14:textId="77777777" w:rsidR="005D3090" w:rsidRPr="005D3090" w:rsidRDefault="005D3090" w:rsidP="00B9598D">
            <w:pPr>
              <w:spacing w:after="0"/>
              <w:rPr>
                <w:rFonts w:ascii="Calibri" w:hAnsi="Calibri"/>
                <w:color w:val="000000"/>
                <w:sz w:val="20"/>
                <w:szCs w:val="20"/>
                <w:lang w:eastAsia="es-CO"/>
              </w:rPr>
            </w:pPr>
            <w:r w:rsidRPr="005D3090">
              <w:rPr>
                <w:rFonts w:ascii="Calibri" w:hAnsi="Calibri"/>
                <w:color w:val="000000"/>
                <w:sz w:val="20"/>
                <w:szCs w:val="20"/>
                <w:lang w:eastAsia="es-CO"/>
              </w:rPr>
              <w:t xml:space="preserve">Agente 4 </w:t>
            </w:r>
          </w:p>
        </w:tc>
        <w:tc>
          <w:tcPr>
            <w:tcW w:w="4107" w:type="dxa"/>
            <w:hideMark/>
          </w:tcPr>
          <w:p w14:paraId="2E362D22" w14:textId="43C4B884"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Señalamos,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además,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que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ausencia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un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documento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soporte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para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 xml:space="preserve">el proyecto de Resolución en consulta se convierte en una barrera para poder dimensionar los costos de la aplicación de la medida. </w:t>
            </w:r>
            <w:r w:rsidRPr="005D3090">
              <w:rPr>
                <w:rFonts w:ascii="Calibri" w:hAnsi="Calibri"/>
                <w:color w:val="000000"/>
                <w:sz w:val="18"/>
                <w:szCs w:val="18"/>
                <w:lang w:eastAsia="es-CO"/>
              </w:rPr>
              <w:br/>
              <w:t>En este sentido, sea esta la oportunidad para reiterar la necesidad de que los proyectos normativos en consulta adopten las buenas prácticas internacionales y la experiencia acumulada por la OCDE para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formulación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proyectos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regulatorios,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donde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se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realice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un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proceso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decisorio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que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 xml:space="preserve">brinde información ex ante sobre los potenciales resultados de las propuestas gubernamentales haciendo especial énfasis en los potenciales efectos de las decisiones a adoptar por parte de los agentes. En el caso de propuestas como </w:t>
            </w:r>
            <w:r w:rsidRPr="005D3090">
              <w:rPr>
                <w:rFonts w:ascii="Calibri" w:hAnsi="Calibri"/>
                <w:color w:val="000000"/>
                <w:sz w:val="18"/>
                <w:szCs w:val="18"/>
                <w:lang w:eastAsia="es-CO"/>
              </w:rPr>
              <w:lastRenderedPageBreak/>
              <w:t xml:space="preserve">la presentada por la Comisión, la ausencia de un Análisis de Impacto Normativo – AIN impide a los agentes la evaluación de todos los elementos que contiene la norma. </w:t>
            </w:r>
          </w:p>
        </w:tc>
        <w:tc>
          <w:tcPr>
            <w:tcW w:w="4107" w:type="dxa"/>
            <w:hideMark/>
          </w:tcPr>
          <w:p w14:paraId="6F6E3589"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lastRenderedPageBreak/>
              <w:t>En los documentos de las medidas bajo las cuales está soportada la ampliación de la vigencia propuesta en el proyecto 701 036 de 2024 se establecen los principales elementos de análisis que la Comisión ha considerado. Adicionalmente, en los considerandos se detallan los elementos adicionales que se tuvieron en la evaluación de la extensión de la medida conforme quedó establecido en la Resolución CREG 101024 de 2023.</w:t>
            </w:r>
          </w:p>
        </w:tc>
      </w:tr>
      <w:tr w:rsidR="006B6A7C" w:rsidRPr="005D3090" w14:paraId="481EBF80" w14:textId="77777777" w:rsidTr="00B9598D">
        <w:trPr>
          <w:trHeight w:val="720"/>
        </w:trPr>
        <w:tc>
          <w:tcPr>
            <w:tcW w:w="1182" w:type="dxa"/>
            <w:hideMark/>
          </w:tcPr>
          <w:p w14:paraId="52023905" w14:textId="77777777" w:rsidR="005D3090" w:rsidRPr="005D3090" w:rsidRDefault="005D3090" w:rsidP="00B9598D">
            <w:pPr>
              <w:spacing w:after="0"/>
              <w:rPr>
                <w:rFonts w:ascii="Calibri" w:hAnsi="Calibri"/>
                <w:color w:val="000000"/>
                <w:sz w:val="20"/>
                <w:szCs w:val="20"/>
                <w:lang w:eastAsia="es-CO"/>
              </w:rPr>
            </w:pPr>
            <w:r w:rsidRPr="005D3090">
              <w:rPr>
                <w:rFonts w:ascii="Calibri" w:hAnsi="Calibri"/>
                <w:color w:val="000000"/>
                <w:sz w:val="20"/>
                <w:szCs w:val="20"/>
                <w:lang w:eastAsia="es-CO"/>
              </w:rPr>
              <w:t xml:space="preserve">Agente 4 </w:t>
            </w:r>
          </w:p>
        </w:tc>
        <w:tc>
          <w:tcPr>
            <w:tcW w:w="4107" w:type="dxa"/>
            <w:hideMark/>
          </w:tcPr>
          <w:p w14:paraId="3A5250E7" w14:textId="00E9E1B3"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Como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hemos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señalado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antes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Comisión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sobre este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tema,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modificar</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el valor 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las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garantías a suscribir por parte de los agentes comercializadores, implica reducir de forma artificial el valor en riesgo a cubrir de las garantías que se presentan al mercado, pues la diferencia entre el PB y el Mc podría superar el eventual valor garantizado (Mc), quedando expuesta la mayor porción del valor en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riesgo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sin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garantía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pago.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Sugerimos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que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estas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propuestas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consideren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su</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impacto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sobre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el mercado, visto de manera integral, por ejemplo, con la propuesta de la Resolución CREG 701 037 de 2024 de ampliar en un quinto tramo, hasta junio de 2024, el diferimiento del 20% de los pagos al ASIC y el LAC establecido en la Resolución CREG 101 029 de 2022.</w:t>
            </w:r>
            <w:r w:rsidRPr="005D3090">
              <w:rPr>
                <w:rFonts w:ascii="Calibri" w:hAnsi="Calibri"/>
                <w:color w:val="000000"/>
                <w:sz w:val="18"/>
                <w:szCs w:val="18"/>
                <w:lang w:eastAsia="es-CO"/>
              </w:rPr>
              <w:br/>
              <w:t>Dicho esto, si bien entendemos la importancia de asegurar la prestación del servicio en la actividad de comercialización, sugerimos que el análisis integral de la Comisión considere el posible impacto 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medida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flujo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efectivo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necesario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por</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los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demás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agentes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mercado,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cara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al cumplimiento de las obligaciones que han adquirido éstos con terceros.</w:t>
            </w:r>
          </w:p>
        </w:tc>
        <w:tc>
          <w:tcPr>
            <w:tcW w:w="4107" w:type="dxa"/>
            <w:hideMark/>
          </w:tcPr>
          <w:p w14:paraId="02F690D4"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Es importante resaltar que esta medida propuesta es transitoria y responde a una situación coyuntural de los comercializadores por un estrés de liquidez debido a saldos pendientes de recuperación por la aplicación de la opción tarifaria en su actividad de comercialización.</w:t>
            </w:r>
            <w:r w:rsidRPr="005D3090">
              <w:rPr>
                <w:rFonts w:ascii="Calibri" w:hAnsi="Calibri"/>
                <w:color w:val="000000"/>
                <w:sz w:val="18"/>
                <w:szCs w:val="18"/>
                <w:lang w:eastAsia="es-CO"/>
              </w:rPr>
              <w:br/>
              <w:t>En la resolución ya se considera la actualización de la garantía cuando se tienen valores reales de precio de bolsa y demanda para contar con los recursos suficientes para cumplir con las obligaciones del mercado de energía mayorista en el momento de la facturación.</w:t>
            </w:r>
          </w:p>
        </w:tc>
      </w:tr>
      <w:tr w:rsidR="006B6A7C" w:rsidRPr="005D3090" w14:paraId="25ECB7B9" w14:textId="77777777" w:rsidTr="00B9598D">
        <w:trPr>
          <w:trHeight w:val="720"/>
        </w:trPr>
        <w:tc>
          <w:tcPr>
            <w:tcW w:w="1182" w:type="dxa"/>
            <w:hideMark/>
          </w:tcPr>
          <w:p w14:paraId="5EA56AF7" w14:textId="77777777" w:rsidR="005D3090" w:rsidRPr="005D3090" w:rsidRDefault="005D3090" w:rsidP="00B9598D">
            <w:pPr>
              <w:spacing w:after="0"/>
              <w:rPr>
                <w:rFonts w:ascii="Calibri" w:hAnsi="Calibri"/>
                <w:color w:val="000000"/>
                <w:sz w:val="20"/>
                <w:szCs w:val="20"/>
                <w:lang w:eastAsia="es-CO"/>
              </w:rPr>
            </w:pPr>
            <w:r w:rsidRPr="005D3090">
              <w:rPr>
                <w:rFonts w:ascii="Calibri" w:hAnsi="Calibri"/>
                <w:color w:val="000000"/>
                <w:sz w:val="20"/>
                <w:szCs w:val="20"/>
                <w:lang w:eastAsia="es-CO"/>
              </w:rPr>
              <w:t xml:space="preserve">Agente 4 </w:t>
            </w:r>
          </w:p>
        </w:tc>
        <w:tc>
          <w:tcPr>
            <w:tcW w:w="4107" w:type="dxa"/>
            <w:hideMark/>
          </w:tcPr>
          <w:p w14:paraId="0B0571EE" w14:textId="4586FCC5"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La ausencia del documento soporte impide evaluar si la nueva flexibilización del pago de los mecanismos de cubrimiento hasta el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mes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julio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resuelve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los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inconvenientes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actuales,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impide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saber</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cuál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sería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su</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costo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para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el mercado.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Sea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esta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oportunidad</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resaltar</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que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otras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medidas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evaluadas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ampliamente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por</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la Comisión (incluyendo talleres de socialización) y adoptadas en los últimos meses, sí han podido ser efectivas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para el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cumplimiento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objetivo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que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Comisión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se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ha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propuesto en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esta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 xml:space="preserve">Resolución, puntualmente, la posibilidad de recuperar los saldos acumulados de la Opción Tarifaria, mediante la adopción de la Resolución CREG 101 028 de 2023. </w:t>
            </w:r>
          </w:p>
        </w:tc>
        <w:tc>
          <w:tcPr>
            <w:tcW w:w="4107" w:type="dxa"/>
            <w:hideMark/>
          </w:tcPr>
          <w:p w14:paraId="6AF07606"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En los documentos de las medidas bajo las cuales está soportada la ampliación de la vigencia propuesta en el proyecto 701 036 de 2024 se establecen los principales elementos de análisis que la Comisión ha considerado. Adicionalmente, en los considerandos se detallan los elementos adicionales que se tuvieron en la evaluación de la extensión de la medida conforme quedó establecido en la Resolución CREG 101024 de 2023.</w:t>
            </w:r>
          </w:p>
        </w:tc>
      </w:tr>
      <w:tr w:rsidR="006B6A7C" w:rsidRPr="005D3090" w14:paraId="6D4E83C0" w14:textId="77777777" w:rsidTr="00B9598D">
        <w:trPr>
          <w:trHeight w:val="720"/>
        </w:trPr>
        <w:tc>
          <w:tcPr>
            <w:tcW w:w="1182" w:type="dxa"/>
            <w:hideMark/>
          </w:tcPr>
          <w:p w14:paraId="0550EB49" w14:textId="77777777" w:rsidR="005D3090" w:rsidRPr="005D3090" w:rsidRDefault="005D3090" w:rsidP="00B9598D">
            <w:pPr>
              <w:spacing w:after="0"/>
              <w:rPr>
                <w:rFonts w:ascii="Calibri" w:hAnsi="Calibri"/>
                <w:color w:val="000000"/>
                <w:sz w:val="20"/>
                <w:szCs w:val="20"/>
                <w:lang w:eastAsia="es-CO"/>
              </w:rPr>
            </w:pPr>
            <w:r w:rsidRPr="005D3090">
              <w:rPr>
                <w:rFonts w:ascii="Calibri" w:hAnsi="Calibri"/>
                <w:color w:val="000000"/>
                <w:sz w:val="20"/>
                <w:szCs w:val="20"/>
                <w:lang w:eastAsia="es-CO"/>
              </w:rPr>
              <w:t xml:space="preserve">Agente 5 </w:t>
            </w:r>
          </w:p>
        </w:tc>
        <w:tc>
          <w:tcPr>
            <w:tcW w:w="4107" w:type="dxa"/>
            <w:hideMark/>
          </w:tcPr>
          <w:p w14:paraId="0C5EF00B" w14:textId="669BF9B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 xml:space="preserve">Es de conocimiento público que, los eventos eventos económicos y de mercado han ejercido presiones financieras sobre los comercializadores de energía, siendo estos la principal motivación de la medida de alivio para el cubrimiento de las transacciones del mercado de energía mayorista contenida en la Resolución CREG 101 016 de 2023, extendida mediante la Resolución CREG 101 024 de 2023. Ahora bien, los principales desafios y afectaciones </w:t>
            </w:r>
            <w:r w:rsidRPr="005D3090">
              <w:rPr>
                <w:rFonts w:ascii="Calibri" w:hAnsi="Calibri"/>
                <w:color w:val="000000"/>
                <w:sz w:val="18"/>
                <w:szCs w:val="18"/>
                <w:lang w:eastAsia="es-CO"/>
              </w:rPr>
              <w:lastRenderedPageBreak/>
              <w:t xml:space="preserve">que enfrentaban los comercializadores en mayo de 2023 siguen presentes e incluso se han visto agravados. Factores como el aumento en la demanda, los elevados precios de bolsa, que incluso han superado el precio de escasez (ver Gráfica 1), y la activación del componente Aj desde el tercer trimestre de 2023, han resultado en una mayor carga financiera para los comercializadores, al tiempo que deben realizar el debido cubrimiento de las necesidades de su demanda en el Mercado de Energía Mayorista. </w:t>
            </w:r>
            <w:r w:rsidRPr="005D3090">
              <w:rPr>
                <w:rFonts w:ascii="Calibri" w:hAnsi="Calibri"/>
                <w:color w:val="000000"/>
                <w:sz w:val="18"/>
                <w:szCs w:val="18"/>
                <w:lang w:eastAsia="es-CO"/>
              </w:rPr>
              <w:br/>
            </w:r>
            <w:r w:rsidRPr="005D3090">
              <w:rPr>
                <w:rFonts w:ascii="Calibri" w:hAnsi="Calibri"/>
                <w:color w:val="000000"/>
                <w:sz w:val="18"/>
                <w:szCs w:val="18"/>
                <w:lang w:eastAsia="es-CO"/>
              </w:rPr>
              <w:br/>
              <w:t>Lo anterior, sumado a que a la fecha, los comercializadores aun cuentan con elevados saldos de opción tarifaria, cuya recuperación se proyecta a largo plazo, conforme al mecanismo establecido en la Resolución CREG 101 028 de 2023.</w:t>
            </w:r>
            <w:r w:rsidRPr="005D3090">
              <w:rPr>
                <w:rFonts w:ascii="Calibri" w:hAnsi="Calibri"/>
                <w:color w:val="000000"/>
                <w:sz w:val="18"/>
                <w:szCs w:val="18"/>
                <w:lang w:eastAsia="es-CO"/>
              </w:rPr>
              <w:br/>
            </w:r>
            <w:r w:rsidRPr="005D3090">
              <w:rPr>
                <w:rFonts w:ascii="Calibri" w:hAnsi="Calibri"/>
                <w:color w:val="000000"/>
                <w:sz w:val="18"/>
                <w:szCs w:val="18"/>
                <w:lang w:eastAsia="es-CO"/>
              </w:rPr>
              <w:br/>
              <w:t>En este orden de ideas, resulta fundamental para la sostenibilidad financiera, la operación y el aseguramiento de la continuidad de la prestación del servicio público domiciliario, la propuesta contenida en el Proyecto de Resolución CREG 701 036 de 2024,</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 xml:space="preserve">extendiendo la aplicación de una medida que representa un alivio en el flujo de caja en las empresas comercializadoras que atienden usuarios regulados. </w:t>
            </w:r>
          </w:p>
        </w:tc>
        <w:tc>
          <w:tcPr>
            <w:tcW w:w="4107" w:type="dxa"/>
            <w:hideMark/>
          </w:tcPr>
          <w:p w14:paraId="312B8307"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lastRenderedPageBreak/>
              <w:t>Es importante resaltar que esta medida propuesta es transitoria y responde a una situación coyuntural de los comercializadores por un estrés de liquidez debido a saldos pendientes de recuperación por la aplicación de la opción tarifaria en su actividad de comercialización.</w:t>
            </w:r>
            <w:r w:rsidRPr="005D3090">
              <w:rPr>
                <w:rFonts w:ascii="Calibri" w:hAnsi="Calibri"/>
                <w:color w:val="000000"/>
                <w:sz w:val="18"/>
                <w:szCs w:val="18"/>
                <w:lang w:eastAsia="es-CO"/>
              </w:rPr>
              <w:br/>
              <w:t xml:space="preserve">En la resolución ya se considera la actualización de la garantía cuando se tienen valores reales de precio de bolsa y demanda para contar con los recursos </w:t>
            </w:r>
            <w:r w:rsidRPr="005D3090">
              <w:rPr>
                <w:rFonts w:ascii="Calibri" w:hAnsi="Calibri"/>
                <w:color w:val="000000"/>
                <w:sz w:val="18"/>
                <w:szCs w:val="18"/>
                <w:lang w:eastAsia="es-CO"/>
              </w:rPr>
              <w:lastRenderedPageBreak/>
              <w:t>suficientes para cumplir con las obligaciones del mercado de energía mayorista en el momento de la facturación.</w:t>
            </w:r>
          </w:p>
        </w:tc>
      </w:tr>
      <w:tr w:rsidR="006B6A7C" w:rsidRPr="005D3090" w14:paraId="20CBE5D5" w14:textId="77777777" w:rsidTr="00B9598D">
        <w:trPr>
          <w:trHeight w:val="720"/>
        </w:trPr>
        <w:tc>
          <w:tcPr>
            <w:tcW w:w="1182" w:type="dxa"/>
            <w:hideMark/>
          </w:tcPr>
          <w:p w14:paraId="78213F47" w14:textId="77777777" w:rsidR="005D3090" w:rsidRPr="005D3090" w:rsidRDefault="005D3090" w:rsidP="00B9598D">
            <w:pPr>
              <w:spacing w:after="0"/>
              <w:rPr>
                <w:rFonts w:ascii="Calibri" w:hAnsi="Calibri"/>
                <w:color w:val="000000"/>
                <w:sz w:val="20"/>
                <w:szCs w:val="20"/>
                <w:lang w:eastAsia="es-CO"/>
              </w:rPr>
            </w:pPr>
            <w:r w:rsidRPr="005D3090">
              <w:rPr>
                <w:rFonts w:ascii="Calibri" w:hAnsi="Calibri"/>
                <w:color w:val="000000"/>
                <w:sz w:val="20"/>
                <w:szCs w:val="20"/>
                <w:lang w:eastAsia="es-CO"/>
              </w:rPr>
              <w:lastRenderedPageBreak/>
              <w:t xml:space="preserve">Agente 5 </w:t>
            </w:r>
          </w:p>
        </w:tc>
        <w:tc>
          <w:tcPr>
            <w:tcW w:w="4107" w:type="dxa"/>
            <w:hideMark/>
          </w:tcPr>
          <w:p w14:paraId="2E85819A"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Así también, es meritoria la reglamentación del Proyecto de Resolución CREG 701 036 de 2024, dado que, la aplicación de la medida que se pretende extender, ha sido desde sus inicios positiva y sin riesgos en el mercado, confirmado según los informes presentados por XM ante el Comité Asesor de Comercialización -CAC-, en el cual se presenta que:</w:t>
            </w:r>
            <w:r w:rsidRPr="005D3090">
              <w:rPr>
                <w:rFonts w:ascii="Calibri" w:hAnsi="Calibri"/>
                <w:color w:val="000000"/>
                <w:sz w:val="18"/>
                <w:szCs w:val="18"/>
                <w:lang w:eastAsia="es-CO"/>
              </w:rPr>
              <w:br/>
            </w:r>
            <w:r w:rsidRPr="005D3090">
              <w:rPr>
                <w:rFonts w:ascii="Calibri" w:hAnsi="Calibri"/>
                <w:color w:val="000000"/>
                <w:sz w:val="18"/>
                <w:szCs w:val="18"/>
                <w:lang w:eastAsia="es-CO"/>
              </w:rPr>
              <w:br/>
              <w:t>i. 34 de 47 agentes se han acogido a esta medida</w:t>
            </w:r>
            <w:r w:rsidRPr="005D3090">
              <w:rPr>
                <w:rFonts w:ascii="Calibri" w:hAnsi="Calibri"/>
                <w:color w:val="000000"/>
                <w:sz w:val="18"/>
                <w:szCs w:val="18"/>
                <w:lang w:eastAsia="es-CO"/>
              </w:rPr>
              <w:br/>
              <w:t>ii. Para los cálculos de garantías, la diferencia entre aplicar la metodología de la Res CREG 019 de 2006 y la de la Res CREG 101 024 de 2023 mensualmente fue de:</w:t>
            </w:r>
            <w:r w:rsidRPr="005D3090">
              <w:rPr>
                <w:rFonts w:ascii="Calibri" w:hAnsi="Calibri"/>
                <w:color w:val="000000"/>
                <w:sz w:val="18"/>
                <w:szCs w:val="18"/>
                <w:lang w:eastAsia="es-CO"/>
              </w:rPr>
              <w:br/>
              <w:t>• Vencimiento el 12 de diciembre: $305.000 millones</w:t>
            </w:r>
            <w:r w:rsidRPr="005D3090">
              <w:rPr>
                <w:rFonts w:ascii="Calibri" w:hAnsi="Calibri"/>
                <w:color w:val="000000"/>
                <w:sz w:val="18"/>
                <w:szCs w:val="18"/>
                <w:lang w:eastAsia="es-CO"/>
              </w:rPr>
              <w:br/>
              <w:t>• Vencimiento el 23 de enero: $341.000 millones</w:t>
            </w:r>
            <w:r w:rsidRPr="005D3090">
              <w:rPr>
                <w:rFonts w:ascii="Calibri" w:hAnsi="Calibri"/>
                <w:color w:val="000000"/>
                <w:sz w:val="18"/>
                <w:szCs w:val="18"/>
                <w:lang w:eastAsia="es-CO"/>
              </w:rPr>
              <w:br/>
              <w:t>• Vencimiento el 23 de febrero: $278.000 millones</w:t>
            </w:r>
            <w:r w:rsidRPr="005D3090">
              <w:rPr>
                <w:rFonts w:ascii="Calibri" w:hAnsi="Calibri"/>
                <w:color w:val="000000"/>
                <w:sz w:val="18"/>
                <w:szCs w:val="18"/>
                <w:lang w:eastAsia="es-CO"/>
              </w:rPr>
              <w:br/>
              <w:t>• Vencimiento el 19 de marzo: $269.000 millones</w:t>
            </w:r>
            <w:r w:rsidRPr="005D3090">
              <w:rPr>
                <w:rFonts w:ascii="Calibri" w:hAnsi="Calibri"/>
                <w:color w:val="000000"/>
                <w:sz w:val="18"/>
                <w:szCs w:val="18"/>
                <w:lang w:eastAsia="es-CO"/>
              </w:rPr>
              <w:br/>
            </w:r>
            <w:r w:rsidRPr="005D3090">
              <w:rPr>
                <w:rFonts w:ascii="Calibri" w:hAnsi="Calibri"/>
                <w:color w:val="000000"/>
                <w:sz w:val="18"/>
                <w:szCs w:val="18"/>
                <w:lang w:eastAsia="es-CO"/>
              </w:rPr>
              <w:br/>
              <w:t xml:space="preserve">Así, a la fecha los comercializadores que se han acogido al mecanismo, han visto un beneficio cercano a los $1.2 billones, fruto de la diferencia entre la metodología de la Resolución CREG 019 de </w:t>
            </w:r>
            <w:r w:rsidRPr="005D3090">
              <w:rPr>
                <w:rFonts w:ascii="Calibri" w:hAnsi="Calibri"/>
                <w:color w:val="000000"/>
                <w:sz w:val="18"/>
                <w:szCs w:val="18"/>
                <w:lang w:eastAsia="es-CO"/>
              </w:rPr>
              <w:lastRenderedPageBreak/>
              <w:t>2006 y aquella definida en la Resolución CREG 101 016 de 2023.</w:t>
            </w:r>
          </w:p>
        </w:tc>
        <w:tc>
          <w:tcPr>
            <w:tcW w:w="4107" w:type="dxa"/>
            <w:hideMark/>
          </w:tcPr>
          <w:p w14:paraId="52C9BFB2"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lastRenderedPageBreak/>
              <w:t>Es importante resaltar que esta medida propuesta es transitoria y responde a una situación coyuntural de los comercializadores por un estrés de liquidez debido a saldos pendientes de recuperación por la aplicación de la opción tarifaria en su actividad de comercialización.</w:t>
            </w:r>
            <w:r w:rsidRPr="005D3090">
              <w:rPr>
                <w:rFonts w:ascii="Calibri" w:hAnsi="Calibri"/>
                <w:color w:val="000000"/>
                <w:sz w:val="18"/>
                <w:szCs w:val="18"/>
                <w:lang w:eastAsia="es-CO"/>
              </w:rPr>
              <w:br/>
              <w:t>En la resolución ya se considera la actualización de la garantía cuando se tienen valores reales de precio de bolsa y demanda para contar con los recursos suficientes para cumplir con las obligaciones del mercado de energía mayorista en el momento de la facturación.</w:t>
            </w:r>
          </w:p>
        </w:tc>
      </w:tr>
      <w:tr w:rsidR="006B6A7C" w:rsidRPr="005D3090" w14:paraId="35979EEF" w14:textId="77777777" w:rsidTr="00B9598D">
        <w:trPr>
          <w:trHeight w:val="720"/>
        </w:trPr>
        <w:tc>
          <w:tcPr>
            <w:tcW w:w="1182" w:type="dxa"/>
            <w:hideMark/>
          </w:tcPr>
          <w:p w14:paraId="493CF1DF" w14:textId="77777777" w:rsidR="005D3090" w:rsidRPr="005D3090" w:rsidRDefault="005D3090" w:rsidP="00B9598D">
            <w:pPr>
              <w:spacing w:after="0"/>
              <w:rPr>
                <w:rFonts w:ascii="Calibri" w:hAnsi="Calibri"/>
                <w:color w:val="000000"/>
                <w:sz w:val="20"/>
                <w:szCs w:val="20"/>
                <w:lang w:eastAsia="es-CO"/>
              </w:rPr>
            </w:pPr>
            <w:r w:rsidRPr="005D3090">
              <w:rPr>
                <w:rFonts w:ascii="Calibri" w:hAnsi="Calibri"/>
                <w:color w:val="000000"/>
                <w:sz w:val="20"/>
                <w:szCs w:val="20"/>
                <w:lang w:eastAsia="es-CO"/>
              </w:rPr>
              <w:t xml:space="preserve">Agente 5 </w:t>
            </w:r>
          </w:p>
        </w:tc>
        <w:tc>
          <w:tcPr>
            <w:tcW w:w="4107" w:type="dxa"/>
            <w:hideMark/>
          </w:tcPr>
          <w:p w14:paraId="4217DB84" w14:textId="08C7CDC1"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Actualmente, el monto total a cubrir para las transacciones en el Mercado de Energía Mayorista, de acuerdo con lo establecido en el Anexo “PROCEDIMIENTO DE CALCULO DE GARANTIAS FINANCIERAS Y MECANISMOS ALTERNATIVOS PARA CUBRIR TRANSACCIONES EN EL MERCADO DE ENERGIA MAYORISTA”, de la Resolución CREG 087 de 2006, depende del valor de la energía en bolsa. El valor de la energía en bolsa, según el literal B. del mencionado Anexo, tiene en cuenta la variable ddacial, definida como la demanda comercial mensual o semanal, según el caso, en kWh, calculada con las curvas típicas de demanda para cada submercado o frontera comercial obtenidas de acuerdo con la metodología vigente en la fecha de cálculo.</w:t>
            </w:r>
            <w:r w:rsidRPr="005D3090">
              <w:rPr>
                <w:rFonts w:ascii="Calibri" w:hAnsi="Calibri"/>
                <w:color w:val="000000"/>
                <w:sz w:val="18"/>
                <w:szCs w:val="18"/>
                <w:lang w:eastAsia="es-CO"/>
              </w:rPr>
              <w:br/>
            </w:r>
            <w:r w:rsidRPr="005D3090">
              <w:rPr>
                <w:rFonts w:ascii="Calibri" w:hAnsi="Calibri"/>
                <w:color w:val="000000"/>
                <w:sz w:val="18"/>
                <w:szCs w:val="18"/>
                <w:lang w:eastAsia="es-CO"/>
              </w:rPr>
              <w:br/>
              <w:t>Ahora bien, los valores de la demanda comercial a garantizar ha presentado importantes flucutaciones, dado por la diámica de los consumos de los usuarios, que no ha permitido anticipar los montos a garantizar por las transacciones en el mercado de energía mayorista y realizar una planificación financiera mas precisa, asi como dar brindar una estabilidad financiera.</w:t>
            </w:r>
            <w:r w:rsidRPr="005D3090">
              <w:rPr>
                <w:rFonts w:ascii="Calibri" w:hAnsi="Calibri"/>
                <w:color w:val="000000"/>
                <w:sz w:val="18"/>
                <w:szCs w:val="18"/>
                <w:lang w:eastAsia="es-CO"/>
              </w:rPr>
              <w:br/>
            </w:r>
            <w:r w:rsidRPr="005D3090">
              <w:rPr>
                <w:rFonts w:ascii="Calibri" w:hAnsi="Calibri"/>
                <w:color w:val="000000"/>
                <w:sz w:val="18"/>
                <w:szCs w:val="18"/>
                <w:lang w:eastAsia="es-CO"/>
              </w:rPr>
              <w:br/>
              <w:t>Con el objeto de minimizar las fluctuaciones en los valores de la demanda comercial a garantizar,</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así como mejorar la planificación financiera y la estabilidad en el flujo de caja de los agentes comercializadores, Air-e se permite presentar una propuesta para modificar la definición de la variable “ddacial” del literal B. del Anexo “PROCEDIMIENTO DE CÁLCULO DE GARANTÍAS FINANCIERAS Y MECANISMOS ALTERNATIVOS PARA CUBRIR TRANSACCIONES EN EL MERCADO DE ENERGÍA MAYORISTA”, de la Resolución CREG 087 de 2006, de la siguiente manera:</w:t>
            </w:r>
            <w:r w:rsidRPr="005D3090">
              <w:rPr>
                <w:rFonts w:ascii="Calibri" w:hAnsi="Calibri"/>
                <w:color w:val="000000"/>
                <w:sz w:val="18"/>
                <w:szCs w:val="18"/>
                <w:lang w:eastAsia="es-CO"/>
              </w:rPr>
              <w:br/>
            </w:r>
            <w:r w:rsidRPr="005D3090">
              <w:rPr>
                <w:rFonts w:ascii="Calibri" w:hAnsi="Calibri"/>
                <w:color w:val="000000"/>
                <w:sz w:val="18"/>
                <w:szCs w:val="18"/>
                <w:lang w:eastAsia="es-CO"/>
              </w:rPr>
              <w:br/>
              <w:t>“ddacial: Demanda Comercial mensual o semanal, según el caso, en kWh, calculada como mínimo entre el promedio de demanda comercial de los últimos dos meses y la última información disponible de las curvas típicas de demanda para cada submercado o frontera comercial obtenidas de acuerdo con la metodología vigente en la fecha de cálculo.”</w:t>
            </w:r>
          </w:p>
        </w:tc>
        <w:tc>
          <w:tcPr>
            <w:tcW w:w="4107" w:type="dxa"/>
            <w:hideMark/>
          </w:tcPr>
          <w:p w14:paraId="284D3930"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No se considera conveniente realizar el cambio en las medidas transitorias, puesto que la variable debe recoger los cambios en la demanda que impliquen que los agentes tendrán que adquirir mayor cantidad de energía.</w:t>
            </w:r>
            <w:r w:rsidRPr="005D3090">
              <w:rPr>
                <w:rFonts w:ascii="Calibri" w:hAnsi="Calibri"/>
                <w:color w:val="000000"/>
                <w:sz w:val="18"/>
                <w:szCs w:val="18"/>
                <w:lang w:eastAsia="es-CO"/>
              </w:rPr>
              <w:br/>
              <w:t>No obstante, estos elementos podrán ser objeto de análisis en la revisión integral del esquema de garantías.</w:t>
            </w:r>
          </w:p>
        </w:tc>
      </w:tr>
      <w:tr w:rsidR="006B6A7C" w:rsidRPr="005D3090" w14:paraId="3E5E7A76" w14:textId="77777777" w:rsidTr="00B9598D">
        <w:trPr>
          <w:trHeight w:val="720"/>
        </w:trPr>
        <w:tc>
          <w:tcPr>
            <w:tcW w:w="1182" w:type="dxa"/>
            <w:hideMark/>
          </w:tcPr>
          <w:p w14:paraId="14B90F05" w14:textId="77777777" w:rsidR="005D3090" w:rsidRPr="005D3090" w:rsidRDefault="005D3090" w:rsidP="00B9598D">
            <w:pPr>
              <w:spacing w:after="0"/>
              <w:rPr>
                <w:rFonts w:ascii="Calibri" w:hAnsi="Calibri"/>
                <w:color w:val="000000"/>
                <w:sz w:val="20"/>
                <w:szCs w:val="20"/>
                <w:lang w:eastAsia="es-CO"/>
              </w:rPr>
            </w:pPr>
            <w:r w:rsidRPr="005D3090">
              <w:rPr>
                <w:rFonts w:ascii="Calibri" w:hAnsi="Calibri"/>
                <w:color w:val="000000"/>
                <w:sz w:val="20"/>
                <w:szCs w:val="20"/>
                <w:lang w:eastAsia="es-CO"/>
              </w:rPr>
              <w:lastRenderedPageBreak/>
              <w:t xml:space="preserve">Agente 6 </w:t>
            </w:r>
          </w:p>
        </w:tc>
        <w:tc>
          <w:tcPr>
            <w:tcW w:w="4107" w:type="dxa"/>
            <w:hideMark/>
          </w:tcPr>
          <w:p w14:paraId="1A81DE47" w14:textId="78296359"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Con el fin de facilitar los procedimientos operativos que debe aplicar el ASIC frente al cambio propuesto, sugerimos a la Comisión que en el artículo 1 se adicione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un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parágrafo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cual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se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establezca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que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los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 xml:space="preserve">agentes comercializadores que actualmente están acogidos a la Resolución CREG 101 016 de 2023 y que en la actualidad cumplen con las condiciones, no deberán realizar solicitud de acogimiento para la aplicación de esta nueva modificación. En caso de no acogerse a este nuevo ámbito de aplicación o no cumplir con los requisitos deberá informarlo al ASIC. </w:t>
            </w:r>
            <w:r w:rsidRPr="005D3090">
              <w:rPr>
                <w:rFonts w:ascii="Calibri" w:hAnsi="Calibri"/>
                <w:color w:val="000000"/>
                <w:sz w:val="18"/>
                <w:szCs w:val="18"/>
                <w:lang w:eastAsia="es-CO"/>
              </w:rPr>
              <w:br/>
              <w:t xml:space="preserve">Le proponemos a la Comisión el siguiente texto: </w:t>
            </w:r>
            <w:r w:rsidRPr="005D3090">
              <w:rPr>
                <w:rFonts w:ascii="Calibri" w:hAnsi="Calibri"/>
                <w:color w:val="000000"/>
                <w:sz w:val="18"/>
                <w:szCs w:val="18"/>
                <w:lang w:eastAsia="es-CO"/>
              </w:rPr>
              <w:br/>
              <w:t>“Parágrafo 2: Los agentes comercializadores acogidos a la Resolución CREG</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101</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016</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2023</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y</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que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cumplen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con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las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condiciones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acá descritas, no deberán realizar una nueva solicitud de acogimiento para la aplicación de la modificación descrita en este artículo. En caso de no acogerse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este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nuevo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ámbito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aplicación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no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cumplir</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con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los requisitos es responsabilidad del agente comercializador informarlo al ASIC en los términos de la Resolución CREG 080 de 2019.”</w:t>
            </w:r>
          </w:p>
        </w:tc>
        <w:tc>
          <w:tcPr>
            <w:tcW w:w="4107" w:type="dxa"/>
            <w:hideMark/>
          </w:tcPr>
          <w:p w14:paraId="03390AC3"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Se acoge el comentario, haciendo que no sea necesario un nuevo procedimiento de información para acogerse a la medida.</w:t>
            </w:r>
          </w:p>
        </w:tc>
      </w:tr>
      <w:tr w:rsidR="006B6A7C" w:rsidRPr="005D3090" w14:paraId="035B217B" w14:textId="77777777" w:rsidTr="00B9598D">
        <w:trPr>
          <w:trHeight w:val="720"/>
        </w:trPr>
        <w:tc>
          <w:tcPr>
            <w:tcW w:w="1182" w:type="dxa"/>
            <w:hideMark/>
          </w:tcPr>
          <w:p w14:paraId="498CCD5F" w14:textId="77777777" w:rsidR="005D3090" w:rsidRPr="005D3090" w:rsidRDefault="005D3090" w:rsidP="00B9598D">
            <w:pPr>
              <w:spacing w:after="0"/>
              <w:rPr>
                <w:rFonts w:ascii="Calibri" w:hAnsi="Calibri"/>
                <w:color w:val="000000"/>
                <w:sz w:val="20"/>
                <w:szCs w:val="20"/>
                <w:lang w:eastAsia="es-CO"/>
              </w:rPr>
            </w:pPr>
            <w:r w:rsidRPr="005D3090">
              <w:rPr>
                <w:rFonts w:ascii="Calibri" w:hAnsi="Calibri"/>
                <w:color w:val="000000"/>
                <w:sz w:val="20"/>
                <w:szCs w:val="20"/>
                <w:lang w:eastAsia="es-CO"/>
              </w:rPr>
              <w:t xml:space="preserve">Agente 7 </w:t>
            </w:r>
          </w:p>
        </w:tc>
        <w:tc>
          <w:tcPr>
            <w:tcW w:w="4107" w:type="dxa"/>
            <w:hideMark/>
          </w:tcPr>
          <w:p w14:paraId="39AF9173"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De antemano agradecemos a la Comisión, la oportunidad que nos brinda de presentar nuestros comentarios al proyecto de resolución, que corresponde a la ampliación del periodo de aplicación de las resoluciones CREG 101-016 de 2023 (modificada por la 101-024 de 2023), las cuales consideramos ha sido de gran utilidad para los agentes comercializadores que atienden usuarios finales.</w:t>
            </w:r>
            <w:r w:rsidRPr="005D3090">
              <w:rPr>
                <w:rFonts w:ascii="Calibri" w:hAnsi="Calibri"/>
                <w:color w:val="000000"/>
                <w:sz w:val="18"/>
                <w:szCs w:val="18"/>
                <w:lang w:eastAsia="es-CO"/>
              </w:rPr>
              <w:br/>
              <w:t>De acuerdo con lo anterior, la posibilidad de darle continuidad a la flexibilización de las garantías del MEM permite alivianar la presión en el flujo de caja (menores valores en los cupos de garantías y en capital de trabajo inmovilizado), en especial en el actual escenario de precios altos dada la generación térmica requerida.</w:t>
            </w:r>
          </w:p>
        </w:tc>
        <w:tc>
          <w:tcPr>
            <w:tcW w:w="4107" w:type="dxa"/>
            <w:hideMark/>
          </w:tcPr>
          <w:p w14:paraId="1F6BBDC0"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Es importante resaltar que esta medida propuesta es transitoria y responde a una situación coyuntural de los comercializadores por un estrés de liquidez debido a saldos pendientes de recuperación por la aplicación de la opción tarifaria en su actividad de comercialización.</w:t>
            </w:r>
            <w:r w:rsidRPr="005D3090">
              <w:rPr>
                <w:rFonts w:ascii="Calibri" w:hAnsi="Calibri"/>
                <w:color w:val="000000"/>
                <w:sz w:val="18"/>
                <w:szCs w:val="18"/>
                <w:lang w:eastAsia="es-CO"/>
              </w:rPr>
              <w:br/>
              <w:t>En la resolución ya se considera la actualización de la garantía cuando se tienen valores reales de precio de bolsa y demanda para contar con los recursos suficientes para cumplir con las obligaciones del mercado de energía mayorista en el momento de la facturación.</w:t>
            </w:r>
          </w:p>
        </w:tc>
      </w:tr>
      <w:tr w:rsidR="006B6A7C" w:rsidRPr="005D3090" w14:paraId="1A782C5D" w14:textId="77777777" w:rsidTr="00B9598D">
        <w:trPr>
          <w:trHeight w:val="720"/>
        </w:trPr>
        <w:tc>
          <w:tcPr>
            <w:tcW w:w="1182" w:type="dxa"/>
            <w:hideMark/>
          </w:tcPr>
          <w:p w14:paraId="5A201E09" w14:textId="77777777" w:rsidR="005D3090" w:rsidRPr="005D3090" w:rsidRDefault="005D3090" w:rsidP="00B9598D">
            <w:pPr>
              <w:spacing w:after="0"/>
              <w:rPr>
                <w:rFonts w:ascii="Calibri" w:hAnsi="Calibri"/>
                <w:color w:val="000000"/>
                <w:sz w:val="20"/>
                <w:szCs w:val="20"/>
                <w:lang w:eastAsia="es-CO"/>
              </w:rPr>
            </w:pPr>
            <w:r w:rsidRPr="005D3090">
              <w:rPr>
                <w:rFonts w:ascii="Calibri" w:hAnsi="Calibri"/>
                <w:color w:val="000000"/>
                <w:sz w:val="20"/>
                <w:szCs w:val="20"/>
                <w:lang w:eastAsia="es-CO"/>
              </w:rPr>
              <w:t xml:space="preserve">Agente 7 </w:t>
            </w:r>
          </w:p>
        </w:tc>
        <w:tc>
          <w:tcPr>
            <w:tcW w:w="4107" w:type="dxa"/>
            <w:hideMark/>
          </w:tcPr>
          <w:p w14:paraId="1D2D1B82"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Finalmente, en lo concerniente a la implementación de la presente medida, teniendo en cuenta que el administrador del mercado ya ha publicado información relativa al mes de operación de mayo, se recomienda que la publicación de la resolución definitiva se realice en el transcurso de la jornada y de esta forma XM tenga la posibilidad de realizar los ajustes y no se vean comprometidas las empresas a exigencias de cobertura.</w:t>
            </w:r>
          </w:p>
        </w:tc>
        <w:tc>
          <w:tcPr>
            <w:tcW w:w="4107" w:type="dxa"/>
            <w:hideMark/>
          </w:tcPr>
          <w:p w14:paraId="668514B4"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Se considera que XM podrá realizar el ajuste en el valor de garantía en el siguiente periodo de revisión.</w:t>
            </w:r>
          </w:p>
        </w:tc>
      </w:tr>
      <w:tr w:rsidR="006B6A7C" w:rsidRPr="005D3090" w14:paraId="67C540EC" w14:textId="77777777" w:rsidTr="00B9598D">
        <w:trPr>
          <w:trHeight w:val="720"/>
        </w:trPr>
        <w:tc>
          <w:tcPr>
            <w:tcW w:w="1182" w:type="dxa"/>
            <w:hideMark/>
          </w:tcPr>
          <w:p w14:paraId="0F4A9FA4" w14:textId="77777777" w:rsidR="005D3090" w:rsidRPr="005D3090" w:rsidRDefault="005D3090" w:rsidP="00B9598D">
            <w:pPr>
              <w:spacing w:after="0"/>
              <w:rPr>
                <w:rFonts w:ascii="Calibri" w:hAnsi="Calibri"/>
                <w:color w:val="000000"/>
                <w:sz w:val="20"/>
                <w:szCs w:val="20"/>
                <w:lang w:eastAsia="es-CO"/>
              </w:rPr>
            </w:pPr>
            <w:r w:rsidRPr="005D3090">
              <w:rPr>
                <w:rFonts w:ascii="Calibri" w:hAnsi="Calibri"/>
                <w:color w:val="000000"/>
                <w:sz w:val="20"/>
                <w:szCs w:val="20"/>
                <w:lang w:eastAsia="es-CO"/>
              </w:rPr>
              <w:lastRenderedPageBreak/>
              <w:t xml:space="preserve">Agente 8 </w:t>
            </w:r>
          </w:p>
        </w:tc>
        <w:tc>
          <w:tcPr>
            <w:tcW w:w="4107" w:type="dxa"/>
            <w:hideMark/>
          </w:tcPr>
          <w:p w14:paraId="3CDAFE5E"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 xml:space="preserve">Como lo hemos manifestado en reiteradas ocasiones, desde el gremio conocemos y compartimos la preocupación por la afectación que hoy mantienen algunos comercializadores sobre su flujo de caja, principalmente generado por la acumulación de los saldos de la opción tarifa, el incremento de la demanda superior a lo esperado, aumentos del precio de bolsa debido a la situación de sequía generada por el Fenómeno de El Niño y las dificultades para obtener suficientes recursos para garantizar el cumplimiento de sus obligaciones sin dejar de prestar el servicio de energía eléctrica. </w:t>
            </w:r>
          </w:p>
        </w:tc>
        <w:tc>
          <w:tcPr>
            <w:tcW w:w="4107" w:type="dxa"/>
            <w:hideMark/>
          </w:tcPr>
          <w:p w14:paraId="385D20EF"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Es importante resaltar que esta medida propuesta es transitoria y responde a una situación coyuntural de los comercializadores por un estrés de liquidez debido a saldos pendientes de recuperación por la aplicación de la opción tarifaria en su actividad de comercialización.</w:t>
            </w:r>
            <w:r w:rsidRPr="005D3090">
              <w:rPr>
                <w:rFonts w:ascii="Calibri" w:hAnsi="Calibri"/>
                <w:color w:val="000000"/>
                <w:sz w:val="18"/>
                <w:szCs w:val="18"/>
                <w:lang w:eastAsia="es-CO"/>
              </w:rPr>
              <w:br/>
              <w:t>En la resolución ya se considera la actualización de la garantía cuando se tienen valores reales de precio de bolsa y demanda para contar con los recursos suficientes para cumplir con las obligaciones del mercado de energía mayorista en el momento de la facturación.</w:t>
            </w:r>
          </w:p>
        </w:tc>
      </w:tr>
      <w:tr w:rsidR="006B6A7C" w:rsidRPr="005D3090" w14:paraId="76034BAA" w14:textId="77777777" w:rsidTr="00B9598D">
        <w:trPr>
          <w:trHeight w:val="720"/>
        </w:trPr>
        <w:tc>
          <w:tcPr>
            <w:tcW w:w="1182" w:type="dxa"/>
            <w:hideMark/>
          </w:tcPr>
          <w:p w14:paraId="15587E3F" w14:textId="77777777" w:rsidR="005D3090" w:rsidRPr="005D3090" w:rsidRDefault="005D3090" w:rsidP="00B9598D">
            <w:pPr>
              <w:spacing w:after="0"/>
              <w:rPr>
                <w:rFonts w:ascii="Calibri" w:hAnsi="Calibri"/>
                <w:color w:val="000000"/>
                <w:sz w:val="20"/>
                <w:szCs w:val="20"/>
                <w:lang w:eastAsia="es-CO"/>
              </w:rPr>
            </w:pPr>
            <w:r w:rsidRPr="005D3090">
              <w:rPr>
                <w:rFonts w:ascii="Calibri" w:hAnsi="Calibri"/>
                <w:color w:val="000000"/>
                <w:sz w:val="20"/>
                <w:szCs w:val="20"/>
                <w:lang w:eastAsia="es-CO"/>
              </w:rPr>
              <w:t xml:space="preserve">Agente 8 </w:t>
            </w:r>
          </w:p>
        </w:tc>
        <w:tc>
          <w:tcPr>
            <w:tcW w:w="4107" w:type="dxa"/>
            <w:hideMark/>
          </w:tcPr>
          <w:p w14:paraId="7EEFE890"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En este sentido, durante varios meses hemos venido aportando alternativas de solución y medidas temporales para mitigar tanto los riesgos financieros a los comercializadores y demás agentes, como el impacto a los usuarios del servicio. Si bien se han implementado algunos de estos, sugerimos ir analizando, en conjunto con el Ministerio de Minas y Energía, la efectividad de las medidas ya adoptadas para identificar y establecer, de ser necesario, nuevos lineamientos de política pública o reglas, tales como: (a) la asignación de recursos para el alivio a los usuarios de las deudas (reiterando que es un alivio para los usuarios aunque se haga a través de las empresas que son quienes prestan el servicio); y (b) la mayor facilidad y efectividad para el acceso a los créditos dispuestos por el gobierno nacional.</w:t>
            </w:r>
          </w:p>
        </w:tc>
        <w:tc>
          <w:tcPr>
            <w:tcW w:w="4107" w:type="dxa"/>
            <w:hideMark/>
          </w:tcPr>
          <w:p w14:paraId="54B9C68F"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La propuesta realizada por el agente es de la competencia de varias entidades y sobrepasa el alcance del presente proyecto de resolución.</w:t>
            </w:r>
          </w:p>
        </w:tc>
      </w:tr>
      <w:tr w:rsidR="006B6A7C" w:rsidRPr="005D3090" w14:paraId="3DDCDA03" w14:textId="77777777" w:rsidTr="00B9598D">
        <w:trPr>
          <w:trHeight w:val="720"/>
        </w:trPr>
        <w:tc>
          <w:tcPr>
            <w:tcW w:w="1182" w:type="dxa"/>
            <w:hideMark/>
          </w:tcPr>
          <w:p w14:paraId="777AB24A" w14:textId="77777777" w:rsidR="005D3090" w:rsidRPr="005D3090" w:rsidRDefault="005D3090" w:rsidP="00B9598D">
            <w:pPr>
              <w:spacing w:after="0"/>
              <w:rPr>
                <w:rFonts w:ascii="Calibri" w:hAnsi="Calibri"/>
                <w:color w:val="000000"/>
                <w:sz w:val="20"/>
                <w:szCs w:val="20"/>
                <w:lang w:eastAsia="es-CO"/>
              </w:rPr>
            </w:pPr>
            <w:r w:rsidRPr="005D3090">
              <w:rPr>
                <w:rFonts w:ascii="Calibri" w:hAnsi="Calibri"/>
                <w:color w:val="000000"/>
                <w:sz w:val="20"/>
                <w:szCs w:val="20"/>
                <w:lang w:eastAsia="es-CO"/>
              </w:rPr>
              <w:t xml:space="preserve">Agente 8 </w:t>
            </w:r>
          </w:p>
        </w:tc>
        <w:tc>
          <w:tcPr>
            <w:tcW w:w="4107" w:type="dxa"/>
            <w:hideMark/>
          </w:tcPr>
          <w:p w14:paraId="3916B2B3"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Además, reiteramos el mensaje de urgencia y necesidad en torno a campañas de ahorro frente al uso de agua y energía, con el objetivo de mitigar la desatención de la demanda, la cual ha incrementado considerablemente en los últimos meses. En esa misma línea, amablemente solicitamos al Gobierno Nacional que se fortalezca el llamado a todo el país al ahorro de ambos insumos, y que esta campaña se complementa con el establecimiento de incentivos para los usuarios del servicio de energía eléctrica, similar al mecanismo implementado en el Fenómeno del Niño 2015-2016 llamado “Apagar Paga”, que son un paso para habilitar rápidamente medidas efectivas de respuesta de la demanda. Si bien, en repetidas ocasiones hemos elevado esta solicitud a la CREG y al MME, aportando propuestas de ajuste a este mecanismo, al momento no se cuenta con ninguna disposición regulatoria que habilite la respuesta de la demanda en medio de este periodo coyuntural de sequía.</w:t>
            </w:r>
          </w:p>
        </w:tc>
        <w:tc>
          <w:tcPr>
            <w:tcW w:w="4107" w:type="dxa"/>
            <w:hideMark/>
          </w:tcPr>
          <w:p w14:paraId="36D25392"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La Comisión se encuentra trabajando en medidas adicionales que surtiran los debidos procesos de consulta. Lo que se propone está fuera del alcance de esta resolución.</w:t>
            </w:r>
          </w:p>
        </w:tc>
      </w:tr>
      <w:tr w:rsidR="006B6A7C" w:rsidRPr="005D3090" w14:paraId="0D31E8A6" w14:textId="77777777" w:rsidTr="00B9598D">
        <w:trPr>
          <w:trHeight w:val="720"/>
        </w:trPr>
        <w:tc>
          <w:tcPr>
            <w:tcW w:w="1182" w:type="dxa"/>
            <w:hideMark/>
          </w:tcPr>
          <w:p w14:paraId="5CA473FD" w14:textId="77777777" w:rsidR="005D3090" w:rsidRPr="005D3090" w:rsidRDefault="005D3090" w:rsidP="00B9598D">
            <w:pPr>
              <w:spacing w:after="0"/>
              <w:rPr>
                <w:rFonts w:ascii="Calibri" w:hAnsi="Calibri"/>
                <w:color w:val="000000"/>
                <w:sz w:val="20"/>
                <w:szCs w:val="20"/>
                <w:lang w:eastAsia="es-CO"/>
              </w:rPr>
            </w:pPr>
            <w:r w:rsidRPr="005D3090">
              <w:rPr>
                <w:rFonts w:ascii="Calibri" w:hAnsi="Calibri"/>
                <w:color w:val="000000"/>
                <w:sz w:val="20"/>
                <w:szCs w:val="20"/>
                <w:lang w:eastAsia="es-CO"/>
              </w:rPr>
              <w:lastRenderedPageBreak/>
              <w:t xml:space="preserve">Agente 8 </w:t>
            </w:r>
          </w:p>
        </w:tc>
        <w:tc>
          <w:tcPr>
            <w:tcW w:w="4107" w:type="dxa"/>
            <w:hideMark/>
          </w:tcPr>
          <w:p w14:paraId="2C029504"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Sobre la ampliación de la medidas establecidas en la Resolución CREG 101 029 de 2022, de un nuevo tramo de diferimiento de pagos de transacciones de energía, resulta importante manifestar que esta representa un alivio para los comercializadores, y les permitirá garantizar la continuidad en la prestación del servicio público de energía eléctrica.</w:t>
            </w:r>
          </w:p>
        </w:tc>
        <w:tc>
          <w:tcPr>
            <w:tcW w:w="4107" w:type="dxa"/>
            <w:hideMark/>
          </w:tcPr>
          <w:p w14:paraId="7A1B87B3"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Corresponde al análisis del proyecto de resolución 701 037 de 2024</w:t>
            </w:r>
          </w:p>
        </w:tc>
      </w:tr>
      <w:tr w:rsidR="006B6A7C" w:rsidRPr="005D3090" w14:paraId="03420A91" w14:textId="77777777" w:rsidTr="00B9598D">
        <w:trPr>
          <w:trHeight w:val="720"/>
        </w:trPr>
        <w:tc>
          <w:tcPr>
            <w:tcW w:w="1182" w:type="dxa"/>
            <w:hideMark/>
          </w:tcPr>
          <w:p w14:paraId="4EB6DD47" w14:textId="77777777" w:rsidR="005D3090" w:rsidRPr="005D3090" w:rsidRDefault="005D3090" w:rsidP="00B9598D">
            <w:pPr>
              <w:spacing w:after="0"/>
              <w:rPr>
                <w:rFonts w:ascii="Calibri" w:hAnsi="Calibri"/>
                <w:color w:val="000000"/>
                <w:sz w:val="20"/>
                <w:szCs w:val="20"/>
                <w:lang w:eastAsia="es-CO"/>
              </w:rPr>
            </w:pPr>
            <w:r w:rsidRPr="005D3090">
              <w:rPr>
                <w:rFonts w:ascii="Calibri" w:hAnsi="Calibri"/>
                <w:color w:val="000000"/>
                <w:sz w:val="20"/>
                <w:szCs w:val="20"/>
                <w:lang w:eastAsia="es-CO"/>
              </w:rPr>
              <w:t xml:space="preserve">Agente 8 </w:t>
            </w:r>
          </w:p>
        </w:tc>
        <w:tc>
          <w:tcPr>
            <w:tcW w:w="4107" w:type="dxa"/>
            <w:hideMark/>
          </w:tcPr>
          <w:p w14:paraId="5853D6BE"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Como lo hemos indicado en diferentes escenarios, los comercializadores han venido financiando a los usuarios en gran parte del costo de prestación del servicio que llegó a acumular 6 billones de pesos, haciendo grandes esfuerzos para poder mantener el pago de sus obligaciones tanto con los demás agentes del mercado como con los demás proveedores. Por lo tanto, la extensión de esta medida, será una evidente ayuda a este proceso, especialmente en los meses que restan del Fenómeno de El Niño.</w:t>
            </w:r>
          </w:p>
        </w:tc>
        <w:tc>
          <w:tcPr>
            <w:tcW w:w="4107" w:type="dxa"/>
            <w:hideMark/>
          </w:tcPr>
          <w:p w14:paraId="23620AB8"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Es importante resaltar que esta medida propuesta es transitoria y responde a una situación coyuntural de los comercializadores por un estrés de liquidez debido a saldos pendientes de recuperación por la aplicación de la opción tarifaria en su actividad de comercialización.</w:t>
            </w:r>
            <w:r w:rsidRPr="005D3090">
              <w:rPr>
                <w:rFonts w:ascii="Calibri" w:hAnsi="Calibri"/>
                <w:color w:val="000000"/>
                <w:sz w:val="18"/>
                <w:szCs w:val="18"/>
                <w:lang w:eastAsia="es-CO"/>
              </w:rPr>
              <w:br/>
              <w:t>En la resolución ya se considera la actualización de la garantía cuando se tienen valores reales de precio de bolsa y demanda para contar con los recursos suficientes para cumplir con las obligaciones del mercado de energía mayorista en el momento de la facturación.</w:t>
            </w:r>
          </w:p>
        </w:tc>
      </w:tr>
      <w:tr w:rsidR="006B6A7C" w:rsidRPr="005D3090" w14:paraId="096EE793" w14:textId="77777777" w:rsidTr="00B9598D">
        <w:trPr>
          <w:trHeight w:val="720"/>
        </w:trPr>
        <w:tc>
          <w:tcPr>
            <w:tcW w:w="1182" w:type="dxa"/>
            <w:hideMark/>
          </w:tcPr>
          <w:p w14:paraId="179C085D" w14:textId="77777777" w:rsidR="005D3090" w:rsidRPr="005D3090" w:rsidRDefault="005D3090" w:rsidP="00B9598D">
            <w:pPr>
              <w:spacing w:after="0"/>
              <w:rPr>
                <w:rFonts w:ascii="Calibri" w:hAnsi="Calibri"/>
                <w:color w:val="000000"/>
                <w:sz w:val="20"/>
                <w:szCs w:val="20"/>
                <w:lang w:eastAsia="es-CO"/>
              </w:rPr>
            </w:pPr>
            <w:r w:rsidRPr="005D3090">
              <w:rPr>
                <w:rFonts w:ascii="Calibri" w:hAnsi="Calibri"/>
                <w:color w:val="000000"/>
                <w:sz w:val="20"/>
                <w:szCs w:val="20"/>
                <w:lang w:eastAsia="es-CO"/>
              </w:rPr>
              <w:t xml:space="preserve">Agente 8 </w:t>
            </w:r>
          </w:p>
        </w:tc>
        <w:tc>
          <w:tcPr>
            <w:tcW w:w="4107" w:type="dxa"/>
            <w:hideMark/>
          </w:tcPr>
          <w:p w14:paraId="57F9874A"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 xml:space="preserve">Por otro lado, cabe mencionar que la medida genera incertidumbre en los agentes que financiarán el diferimiento de pago por la afectación en su flujo de caja, lo que a su vez genera riesgos para el mercado de energía mayorista. Esto se refiere especialmente a aquellos agentes que deben respaldar sus contratos de combustibles, en algunos casos teniendo que realizar prepagos, cuando sus principales ingresos son las transacciones del ASIC y el LAC; por tanto, la recepción de la totalidad del pago de la energía entregada al sistema se ve afectada por el nuevo plazo de diferimiento. Además, el impacto de esta medida se profundiza por el reciente establecimiento del mínimo de generación térmica donde se está exigiendo que estas plantas entreguen el máximo de energía posible, a pesar de que no salgan despachadas por mérito. </w:t>
            </w:r>
          </w:p>
        </w:tc>
        <w:tc>
          <w:tcPr>
            <w:tcW w:w="4107" w:type="dxa"/>
            <w:hideMark/>
          </w:tcPr>
          <w:p w14:paraId="1AC818DF"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Corresponde al análisis del proyecto de resolución 701 037 de 2024</w:t>
            </w:r>
          </w:p>
        </w:tc>
      </w:tr>
      <w:tr w:rsidR="006B6A7C" w:rsidRPr="005D3090" w14:paraId="198065C1" w14:textId="77777777" w:rsidTr="00B9598D">
        <w:trPr>
          <w:trHeight w:val="720"/>
        </w:trPr>
        <w:tc>
          <w:tcPr>
            <w:tcW w:w="1182" w:type="dxa"/>
            <w:hideMark/>
          </w:tcPr>
          <w:p w14:paraId="7EB6AD98" w14:textId="77777777" w:rsidR="005D3090" w:rsidRPr="005D3090" w:rsidRDefault="005D3090" w:rsidP="00B9598D">
            <w:pPr>
              <w:spacing w:after="0"/>
              <w:rPr>
                <w:rFonts w:ascii="Calibri" w:hAnsi="Calibri"/>
                <w:color w:val="000000"/>
                <w:sz w:val="20"/>
                <w:szCs w:val="20"/>
                <w:lang w:eastAsia="es-CO"/>
              </w:rPr>
            </w:pPr>
            <w:r w:rsidRPr="005D3090">
              <w:rPr>
                <w:rFonts w:ascii="Calibri" w:hAnsi="Calibri"/>
                <w:color w:val="000000"/>
                <w:sz w:val="20"/>
                <w:szCs w:val="20"/>
                <w:lang w:eastAsia="es-CO"/>
              </w:rPr>
              <w:t xml:space="preserve">Agente 8 </w:t>
            </w:r>
          </w:p>
        </w:tc>
        <w:tc>
          <w:tcPr>
            <w:tcW w:w="4107" w:type="dxa"/>
            <w:hideMark/>
          </w:tcPr>
          <w:p w14:paraId="412E8D17"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Esta última medida de generación térmica está incrementando el impacto tarifario en el componente de Restricciones que, como se advirtió en su momento, contribuye al impacto en el flujo de caja de todos los comercializadores, incluyendo los que cuentan con una baja exposición en bolsa para el periodo actual. Por tal razón, hacemos un llamado a evitar sobrecargas adicionales a los usuarios y a su vez a los agentes comercializadores con medidas que generen impactos adversos para los usuarios y para el sector en general.</w:t>
            </w:r>
          </w:p>
        </w:tc>
        <w:tc>
          <w:tcPr>
            <w:tcW w:w="4107" w:type="dxa"/>
            <w:hideMark/>
          </w:tcPr>
          <w:p w14:paraId="31E78259"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Es importante resaltar que esta medida propuesta es transitoria y responde a una situación coyuntural de los comercializadores por un estrés de liquidez debido a saldos pendientes de recuperación por la aplicación de la opción tarifaria en su actividad de comercialización.</w:t>
            </w:r>
            <w:r w:rsidRPr="005D3090">
              <w:rPr>
                <w:rFonts w:ascii="Calibri" w:hAnsi="Calibri"/>
                <w:color w:val="000000"/>
                <w:sz w:val="18"/>
                <w:szCs w:val="18"/>
                <w:lang w:eastAsia="es-CO"/>
              </w:rPr>
              <w:br/>
            </w:r>
          </w:p>
        </w:tc>
      </w:tr>
      <w:tr w:rsidR="006B6A7C" w:rsidRPr="005D3090" w14:paraId="1156CD98" w14:textId="77777777" w:rsidTr="00B9598D">
        <w:trPr>
          <w:trHeight w:val="720"/>
        </w:trPr>
        <w:tc>
          <w:tcPr>
            <w:tcW w:w="1182" w:type="dxa"/>
            <w:hideMark/>
          </w:tcPr>
          <w:p w14:paraId="6DCC5349" w14:textId="77777777" w:rsidR="005D3090" w:rsidRPr="005D3090" w:rsidRDefault="005D3090" w:rsidP="00B9598D">
            <w:pPr>
              <w:spacing w:after="0"/>
              <w:rPr>
                <w:rFonts w:ascii="Calibri" w:hAnsi="Calibri"/>
                <w:color w:val="000000"/>
                <w:sz w:val="20"/>
                <w:szCs w:val="20"/>
                <w:lang w:eastAsia="es-CO"/>
              </w:rPr>
            </w:pPr>
            <w:r w:rsidRPr="005D3090">
              <w:rPr>
                <w:rFonts w:ascii="Calibri" w:hAnsi="Calibri"/>
                <w:color w:val="000000"/>
                <w:sz w:val="20"/>
                <w:szCs w:val="20"/>
                <w:lang w:eastAsia="es-CO"/>
              </w:rPr>
              <w:lastRenderedPageBreak/>
              <w:t xml:space="preserve">Agente 9 </w:t>
            </w:r>
          </w:p>
        </w:tc>
        <w:tc>
          <w:tcPr>
            <w:tcW w:w="4107" w:type="dxa"/>
            <w:hideMark/>
          </w:tcPr>
          <w:p w14:paraId="52A3FDDF"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Como lo señalamos en otra oportunidad, persistir en la extensión de la medida dispuesta por el artículo 2 de la Resolución CREG 101-016 de 2023 continúa dejando expuesto al mercado en un alto porcentaje ante la materialización de riesgos sistémicos. En este sentido, no estamos de acuerdo con lo planteado por la Comisión en relación con la inclusión de la referencia Mc para flexibilizar transitoriamente el precio de referencia para el cálculo de las coberturas de las transacciones financieras en el MEM. A nuestro juicio, esta medida, que sin duda aun merece un análisis más detenido, puede no llegar a ser balanceada, ya que al buscar como beneficio aliviar la situación de los comercializadores, dicho beneficio no compensaría el riesgo sistémico para el mercado mayorista y sus agentes. En ese sentido, este desbalance estaría incluso dirigiéndose en contravía del criterio de suficiencia financiera que adoptó la Ley 142 de 1994.</w:t>
            </w:r>
          </w:p>
        </w:tc>
        <w:tc>
          <w:tcPr>
            <w:tcW w:w="4107" w:type="dxa"/>
            <w:hideMark/>
          </w:tcPr>
          <w:p w14:paraId="784F32A5"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Es importante resaltar que esta medida propuesta es transitoria y responde a una situación coyuntural de los comercializadores por un estrés de liquidez debido a saldos pendientes de recuperación por la aplicación de la opción tarifaria en su actividad de comercialización.</w:t>
            </w:r>
            <w:r w:rsidRPr="005D3090">
              <w:rPr>
                <w:rFonts w:ascii="Calibri" w:hAnsi="Calibri"/>
                <w:color w:val="000000"/>
                <w:sz w:val="18"/>
                <w:szCs w:val="18"/>
                <w:lang w:eastAsia="es-CO"/>
              </w:rPr>
              <w:br/>
              <w:t>En la resolución ya se considera la actualización de la garantía cuando se tienen valores reales de precio de bolsa y demanda para contar con los recursos suficientes para cumplir con las obligaciones del mercado de energía mayorista en el momento de la facturación.</w:t>
            </w:r>
          </w:p>
        </w:tc>
      </w:tr>
      <w:tr w:rsidR="006B6A7C" w:rsidRPr="005D3090" w14:paraId="08AADA3F" w14:textId="77777777" w:rsidTr="00B9598D">
        <w:trPr>
          <w:trHeight w:val="720"/>
        </w:trPr>
        <w:tc>
          <w:tcPr>
            <w:tcW w:w="1182" w:type="dxa"/>
            <w:hideMark/>
          </w:tcPr>
          <w:p w14:paraId="4A19F831" w14:textId="77777777" w:rsidR="005D3090" w:rsidRPr="005D3090" w:rsidRDefault="005D3090" w:rsidP="00B9598D">
            <w:pPr>
              <w:spacing w:after="0"/>
              <w:rPr>
                <w:rFonts w:ascii="Calibri" w:hAnsi="Calibri"/>
                <w:color w:val="000000"/>
                <w:sz w:val="20"/>
                <w:szCs w:val="20"/>
                <w:lang w:eastAsia="es-CO"/>
              </w:rPr>
            </w:pPr>
            <w:r w:rsidRPr="005D3090">
              <w:rPr>
                <w:rFonts w:ascii="Calibri" w:hAnsi="Calibri"/>
                <w:color w:val="000000"/>
                <w:sz w:val="20"/>
                <w:szCs w:val="20"/>
                <w:lang w:eastAsia="es-CO"/>
              </w:rPr>
              <w:t xml:space="preserve">Agente 9 </w:t>
            </w:r>
          </w:p>
        </w:tc>
        <w:tc>
          <w:tcPr>
            <w:tcW w:w="4107" w:type="dxa"/>
            <w:hideMark/>
          </w:tcPr>
          <w:p w14:paraId="61533D93"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Consideramos nuevamente que la regulación y la política energética debería estar enfocada en buscar soluciones estructurales que minimicen el riesgo para el mercado, en este contexto y como propuestas alternativas para atender esta situación, nos permitimos nuevamente plantear lo siguiente:</w:t>
            </w:r>
            <w:r w:rsidRPr="005D3090">
              <w:rPr>
                <w:rFonts w:ascii="Calibri" w:hAnsi="Calibri"/>
                <w:color w:val="000000"/>
                <w:sz w:val="18"/>
                <w:szCs w:val="18"/>
                <w:lang w:eastAsia="es-CO"/>
              </w:rPr>
              <w:br/>
              <w:t>Liquidez de los comercializadores y saldos de opción tarifa: se deben analizar modificaciones al mecanismo regulatorio que recupera los saldos pendientes en la opción tarifaria para que no afecten significativamente la tarifa de los usuarios finales, por ejemplo, la inclusión de topes en el COT, acompañados de mecanismos financieros para los agentes comercializadores como ampliación de préstamos FINDETER y Bonos de Alivio Tarifario.</w:t>
            </w:r>
          </w:p>
        </w:tc>
        <w:tc>
          <w:tcPr>
            <w:tcW w:w="4107" w:type="dxa"/>
            <w:hideMark/>
          </w:tcPr>
          <w:p w14:paraId="516E1F12"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La propuesta realizada por el agente es de la competencia de varias entidades y sobrepasa el alcance del presente proyecto de resolución.</w:t>
            </w:r>
          </w:p>
        </w:tc>
      </w:tr>
      <w:tr w:rsidR="006B6A7C" w:rsidRPr="005D3090" w14:paraId="62F1A064" w14:textId="77777777" w:rsidTr="00B9598D">
        <w:trPr>
          <w:trHeight w:val="720"/>
        </w:trPr>
        <w:tc>
          <w:tcPr>
            <w:tcW w:w="1182" w:type="dxa"/>
            <w:hideMark/>
          </w:tcPr>
          <w:p w14:paraId="1D835B29" w14:textId="77777777" w:rsidR="005D3090" w:rsidRPr="005D3090" w:rsidRDefault="005D3090" w:rsidP="00B9598D">
            <w:pPr>
              <w:spacing w:after="0"/>
              <w:rPr>
                <w:rFonts w:ascii="Calibri" w:hAnsi="Calibri"/>
                <w:color w:val="000000"/>
                <w:sz w:val="20"/>
                <w:szCs w:val="20"/>
                <w:lang w:eastAsia="es-CO"/>
              </w:rPr>
            </w:pPr>
            <w:r w:rsidRPr="005D3090">
              <w:rPr>
                <w:rFonts w:ascii="Calibri" w:hAnsi="Calibri"/>
                <w:color w:val="000000"/>
                <w:sz w:val="20"/>
                <w:szCs w:val="20"/>
                <w:lang w:eastAsia="es-CO"/>
              </w:rPr>
              <w:t xml:space="preserve">Agente 9 </w:t>
            </w:r>
          </w:p>
        </w:tc>
        <w:tc>
          <w:tcPr>
            <w:tcW w:w="4107" w:type="dxa"/>
            <w:hideMark/>
          </w:tcPr>
          <w:p w14:paraId="534CF72E"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Cobertura de agentes comercializadores: insistimos en que el MME debe concentrar sus esfuerzos en la materialización de proyectos de generación y transmisión que mitiguen la estrechez entre la oferta y la demanda, no obstante, sugerimos revisar las siguientes alternativas de solución:</w:t>
            </w:r>
            <w:r w:rsidRPr="005D3090">
              <w:rPr>
                <w:rFonts w:ascii="Calibri" w:hAnsi="Calibri"/>
                <w:color w:val="000000"/>
                <w:sz w:val="18"/>
                <w:szCs w:val="18"/>
                <w:lang w:eastAsia="es-CO"/>
              </w:rPr>
              <w:br/>
              <w:t>Habilitar los mecanismos regulatorios que permitan disminuir el consumo de energía de los usuarios, tales como, eficiencia energética, respuesta de la demanda, entre otros.</w:t>
            </w:r>
            <w:r w:rsidRPr="005D3090">
              <w:rPr>
                <w:rFonts w:ascii="Calibri" w:hAnsi="Calibri"/>
                <w:color w:val="000000"/>
                <w:sz w:val="18"/>
                <w:szCs w:val="18"/>
                <w:lang w:eastAsia="es-CO"/>
              </w:rPr>
              <w:br/>
              <w:t>Habilitar nuevos mecanismos financieros que permitan aumentar la cobertura del mercado, por ejemplo, a través de los mecanismos de la Resolución CREG 114 de 2018.</w:t>
            </w:r>
            <w:r w:rsidRPr="005D3090">
              <w:rPr>
                <w:rFonts w:ascii="Calibri" w:hAnsi="Calibri"/>
                <w:color w:val="000000"/>
                <w:sz w:val="18"/>
                <w:szCs w:val="18"/>
                <w:lang w:eastAsia="es-CO"/>
              </w:rPr>
              <w:br/>
              <w:t xml:space="preserve">Que se cree un mecanismo expedito de compra de energía, por ejemplo, a través de una subasta </w:t>
            </w:r>
            <w:r w:rsidRPr="005D3090">
              <w:rPr>
                <w:rFonts w:ascii="Calibri" w:hAnsi="Calibri"/>
                <w:color w:val="000000"/>
                <w:sz w:val="18"/>
                <w:szCs w:val="18"/>
                <w:lang w:eastAsia="es-CO"/>
              </w:rPr>
              <w:lastRenderedPageBreak/>
              <w:t>centralizada organizada por un ente independiente, prioritariamente para los agentes comercializadores que atienden el mercado regulado y presenten una alta exposición a bolsa.</w:t>
            </w:r>
            <w:r w:rsidRPr="005D3090">
              <w:rPr>
                <w:rFonts w:ascii="Calibri" w:hAnsi="Calibri"/>
                <w:color w:val="000000"/>
                <w:sz w:val="18"/>
                <w:szCs w:val="18"/>
                <w:lang w:eastAsia="es-CO"/>
              </w:rPr>
              <w:br/>
              <w:t>Con lo anterior, es posible crear un mecanismo de cobertura a la demanda del mercado regulado, prioritariamente para los agentes con mayor exposición a bolsa, que mitigue la volatilidad de los precios de corto plazo, lo cual evidentemente permite disminuir el requerimiento de garantías en el mercado (trasladándolo a un análisis contractual) y acota la volatilidad del precio que se traslada en el componente generación de la tarifa.</w:t>
            </w:r>
          </w:p>
        </w:tc>
        <w:tc>
          <w:tcPr>
            <w:tcW w:w="4107" w:type="dxa"/>
            <w:hideMark/>
          </w:tcPr>
          <w:p w14:paraId="4AB37DE5" w14:textId="4E19A8EF" w:rsidR="005D3090" w:rsidRPr="005D3090" w:rsidRDefault="005D3090" w:rsidP="00B9598D">
            <w:pPr>
              <w:spacing w:after="0"/>
              <w:rPr>
                <w:rFonts w:ascii="Calibri" w:hAnsi="Calibri"/>
                <w:color w:val="000000"/>
                <w:sz w:val="18"/>
                <w:szCs w:val="18"/>
                <w:lang w:eastAsia="es-CO"/>
              </w:rPr>
            </w:pPr>
            <w:r w:rsidRPr="22E57F19">
              <w:rPr>
                <w:rFonts w:ascii="Calibri" w:hAnsi="Calibri"/>
                <w:color w:val="000000" w:themeColor="text1"/>
                <w:sz w:val="18"/>
                <w:szCs w:val="18"/>
                <w:lang w:eastAsia="es-CO"/>
              </w:rPr>
              <w:lastRenderedPageBreak/>
              <w:t xml:space="preserve">Algunas de estas medidas se están analizando actualmente. </w:t>
            </w:r>
            <w:r w:rsidR="47BBF18A" w:rsidRPr="22E57F19">
              <w:rPr>
                <w:rFonts w:ascii="Calibri" w:hAnsi="Calibri"/>
                <w:color w:val="000000" w:themeColor="text1"/>
                <w:sz w:val="18"/>
                <w:szCs w:val="18"/>
                <w:lang w:eastAsia="es-CO"/>
              </w:rPr>
              <w:t>En</w:t>
            </w:r>
            <w:r w:rsidR="182D37AF" w:rsidRPr="22E57F19">
              <w:rPr>
                <w:rFonts w:ascii="Calibri" w:hAnsi="Calibri"/>
                <w:color w:val="000000" w:themeColor="text1"/>
                <w:sz w:val="18"/>
                <w:szCs w:val="18"/>
                <w:lang w:eastAsia="es-CO"/>
              </w:rPr>
              <w:t xml:space="preserve"> </w:t>
            </w:r>
            <w:r w:rsidR="47BBF18A" w:rsidRPr="22E57F19">
              <w:rPr>
                <w:rFonts w:ascii="Calibri" w:hAnsi="Calibri"/>
                <w:color w:val="000000" w:themeColor="text1"/>
                <w:sz w:val="18"/>
                <w:szCs w:val="18"/>
                <w:lang w:eastAsia="es-CO"/>
              </w:rPr>
              <w:t>la</w:t>
            </w:r>
            <w:r w:rsidRPr="22E57F19">
              <w:rPr>
                <w:rFonts w:ascii="Calibri" w:hAnsi="Calibri"/>
                <w:color w:val="000000" w:themeColor="text1"/>
                <w:sz w:val="18"/>
                <w:szCs w:val="18"/>
                <w:lang w:eastAsia="es-CO"/>
              </w:rPr>
              <w:t xml:space="preserve"> evaluación de nuevos mecanismos se seguirán los procedimientos establecidos.</w:t>
            </w:r>
          </w:p>
        </w:tc>
      </w:tr>
      <w:tr w:rsidR="006B6A7C" w:rsidRPr="005D3090" w14:paraId="24C8311E" w14:textId="77777777" w:rsidTr="00B9598D">
        <w:trPr>
          <w:trHeight w:val="720"/>
        </w:trPr>
        <w:tc>
          <w:tcPr>
            <w:tcW w:w="1182" w:type="dxa"/>
            <w:hideMark/>
          </w:tcPr>
          <w:p w14:paraId="6AA3133D" w14:textId="77777777" w:rsidR="005D3090" w:rsidRPr="005D3090" w:rsidRDefault="005D3090" w:rsidP="00B9598D">
            <w:pPr>
              <w:spacing w:after="0"/>
              <w:rPr>
                <w:rFonts w:ascii="Calibri" w:hAnsi="Calibri"/>
                <w:color w:val="000000"/>
                <w:sz w:val="20"/>
                <w:szCs w:val="20"/>
                <w:lang w:eastAsia="es-CO"/>
              </w:rPr>
            </w:pPr>
            <w:r w:rsidRPr="005D3090">
              <w:rPr>
                <w:rFonts w:ascii="Calibri" w:hAnsi="Calibri"/>
                <w:color w:val="000000"/>
                <w:sz w:val="20"/>
                <w:szCs w:val="20"/>
                <w:lang w:eastAsia="es-CO"/>
              </w:rPr>
              <w:t xml:space="preserve">Agente 9 </w:t>
            </w:r>
          </w:p>
        </w:tc>
        <w:tc>
          <w:tcPr>
            <w:tcW w:w="4107" w:type="dxa"/>
            <w:hideMark/>
          </w:tcPr>
          <w:p w14:paraId="0D25EF1E"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Flexibilización del cálculo de la cobertura: aunque coincidimos en la necesidad de buscar mecanismos que flexibilicen los mecanismos de cobertura, creemos que esta flexibilización se debe dar cumpliendo con los siguientes principios:</w:t>
            </w:r>
            <w:r w:rsidRPr="005D3090">
              <w:rPr>
                <w:rFonts w:ascii="Calibri" w:hAnsi="Calibri"/>
                <w:color w:val="000000"/>
                <w:sz w:val="18"/>
                <w:szCs w:val="18"/>
                <w:lang w:eastAsia="es-CO"/>
              </w:rPr>
              <w:br/>
              <w:t>En todo momento, debe salvaguardar la integridad del MEM.</w:t>
            </w:r>
            <w:r w:rsidRPr="005D3090">
              <w:rPr>
                <w:rFonts w:ascii="Calibri" w:hAnsi="Calibri"/>
                <w:color w:val="000000"/>
                <w:sz w:val="18"/>
                <w:szCs w:val="18"/>
                <w:lang w:eastAsia="es-CO"/>
              </w:rPr>
              <w:br/>
              <w:t>Buscar una diminución del costo de las garantías sin comprometer el nivel de cobertura bajo los siguientes principios generales.</w:t>
            </w:r>
            <w:r w:rsidRPr="005D3090">
              <w:rPr>
                <w:rFonts w:ascii="Calibri" w:hAnsi="Calibri"/>
                <w:color w:val="000000"/>
                <w:sz w:val="18"/>
                <w:szCs w:val="18"/>
                <w:lang w:eastAsia="es-CO"/>
              </w:rPr>
              <w:br/>
              <w:t>Habilitar otros mecanismos de cobertura que garanticen la liquidez del mercado, tales como: garantías rotativas, Bonos de Alivio Tarifario (BAT), cámaras de riesgo de contraparte, certificados fiduciarios (patrimonios autónomos), pólizas de cumplimiento de pago, el uso de TES, entre otros.</w:t>
            </w:r>
            <w:r w:rsidRPr="005D3090">
              <w:rPr>
                <w:rFonts w:ascii="Calibri" w:hAnsi="Calibri"/>
                <w:color w:val="000000"/>
                <w:sz w:val="18"/>
                <w:szCs w:val="18"/>
                <w:lang w:eastAsia="es-CO"/>
              </w:rPr>
              <w:br/>
              <w:t>Habilitar mecanismos financieros con apoyo de banca local, multilateral o los bonos de la nación.</w:t>
            </w:r>
            <w:r w:rsidRPr="005D3090">
              <w:rPr>
                <w:rFonts w:ascii="Calibri" w:hAnsi="Calibri"/>
                <w:color w:val="000000"/>
                <w:sz w:val="18"/>
                <w:szCs w:val="18"/>
                <w:lang w:eastAsia="es-CO"/>
              </w:rPr>
              <w:br/>
              <w:t>Entendemos la motivación y el contexto que da origen a la propuesta regulatoria, relacionados con la liquidez de algunos agentes del MEM, especialmente, para aquellos que acumularon grandes saldos por la aplicación de la opción tarifaria y presentan una exposición importante en el corto plazo, sin embargo, es fundamental que el gobierno nacional avance rápidamente en el desarrollo de alternativas legales, financieras y/o regulatorias que atiendan estructuralmente las problemáticas del mercado, evitando a toda costa la continuidad de medidas transitorias que impacten el mercado en el mediano plazo.</w:t>
            </w:r>
          </w:p>
        </w:tc>
        <w:tc>
          <w:tcPr>
            <w:tcW w:w="4107" w:type="dxa"/>
            <w:hideMark/>
          </w:tcPr>
          <w:p w14:paraId="03531138"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 xml:space="preserve">Estos elementos están siendo analizados como parte de una revisión integral del esquema de garantías vigente. </w:t>
            </w:r>
          </w:p>
        </w:tc>
      </w:tr>
      <w:tr w:rsidR="006B6A7C" w:rsidRPr="005D3090" w14:paraId="5DF8B688" w14:textId="77777777" w:rsidTr="00B9598D">
        <w:trPr>
          <w:trHeight w:val="720"/>
        </w:trPr>
        <w:tc>
          <w:tcPr>
            <w:tcW w:w="1182" w:type="dxa"/>
            <w:hideMark/>
          </w:tcPr>
          <w:p w14:paraId="2F10FFFA" w14:textId="66D5466A" w:rsidR="005D3090" w:rsidRPr="005D3090" w:rsidRDefault="005D3090" w:rsidP="00B9598D">
            <w:pPr>
              <w:spacing w:after="0"/>
              <w:rPr>
                <w:rFonts w:ascii="Calibri" w:hAnsi="Calibri"/>
                <w:color w:val="000000"/>
                <w:sz w:val="20"/>
                <w:szCs w:val="20"/>
                <w:lang w:eastAsia="es-CO"/>
              </w:rPr>
            </w:pPr>
            <w:r w:rsidRPr="005D3090">
              <w:rPr>
                <w:rFonts w:ascii="Calibri" w:hAnsi="Calibri"/>
                <w:color w:val="000000"/>
                <w:sz w:val="20"/>
                <w:szCs w:val="20"/>
                <w:lang w:eastAsia="es-CO"/>
              </w:rPr>
              <w:t>Agente 10</w:t>
            </w:r>
            <w:r w:rsidR="002D6D42">
              <w:rPr>
                <w:rFonts w:ascii="Calibri" w:hAnsi="Calibri"/>
                <w:color w:val="000000"/>
                <w:sz w:val="20"/>
                <w:szCs w:val="20"/>
                <w:lang w:eastAsia="es-CO"/>
              </w:rPr>
              <w:t xml:space="preserve">  </w:t>
            </w:r>
          </w:p>
        </w:tc>
        <w:tc>
          <w:tcPr>
            <w:tcW w:w="4107" w:type="dxa"/>
            <w:hideMark/>
          </w:tcPr>
          <w:p w14:paraId="3A38ED84" w14:textId="5E141084"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 xml:space="preserve">Entendemos la motivación del proyecto de resolución que tiene como antecedente las medidas tomadas bajo la Resolución CREG 101 016 de 2023, para disminuir la afectación de los agentes comercializadores que atienden demanda regulada ante los incrementos del precio de bolsa de las </w:t>
            </w:r>
            <w:r w:rsidRPr="005D3090">
              <w:rPr>
                <w:rFonts w:ascii="Calibri" w:hAnsi="Calibri"/>
                <w:color w:val="000000"/>
                <w:sz w:val="18"/>
                <w:szCs w:val="18"/>
                <w:lang w:eastAsia="es-CO"/>
              </w:rPr>
              <w:lastRenderedPageBreak/>
              <w:t>últimas semanas producto de la coyuntura energética del país, lo que conlleva a un mayor esfuerzo financiero para garantizar obligaciones ante el MEM de estos agentes.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br/>
            </w:r>
            <w:r w:rsidRPr="005D3090">
              <w:rPr>
                <w:rFonts w:ascii="Calibri" w:hAnsi="Calibri"/>
                <w:color w:val="000000"/>
                <w:sz w:val="18"/>
                <w:szCs w:val="18"/>
                <w:lang w:eastAsia="es-CO"/>
              </w:rPr>
              <w:br/>
              <w:t>Sin embargo, consideramos oportuno manifestar que la coyuntura actual no solo está afectando a los comercializadores que atienden demanda regulada sino en general a todos los comercializadores que llevan meses haciendo un gran esfuerzo financiero para cumplir con las obligaciones del MEM, y que pese a esta condición de precios altos que lleva varios meses presentándose han honrado todas sus obligaciones de forma oportuna.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br/>
              <w:t>Por lo anterior, proponemos lo siguiente respecto al ámbito de aplicación planteado en el artículo 1 del proyecto de resolución: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br/>
            </w:r>
            <w:r w:rsidRPr="005D3090">
              <w:rPr>
                <w:rFonts w:ascii="Calibri" w:hAnsi="Calibri"/>
                <w:color w:val="000000"/>
                <w:sz w:val="18"/>
                <w:szCs w:val="18"/>
                <w:lang w:eastAsia="es-CO"/>
              </w:rPr>
              <w:br/>
              <w:t>Que las medidas planteadas no solo apliquen para aquellos agentes de los que trata ese artículo, sino también a aquellos comercializadores que atienden demanda no regulada y que se encuentran paz y salvo en sus obligaciones con el ASIC.</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br/>
            </w:r>
            <w:r w:rsidRPr="005D3090">
              <w:rPr>
                <w:rFonts w:ascii="Calibri" w:hAnsi="Calibri"/>
                <w:color w:val="000000"/>
                <w:sz w:val="18"/>
                <w:szCs w:val="18"/>
                <w:lang w:eastAsia="es-CO"/>
              </w:rPr>
              <w:br/>
              <w:t>Hoy en día se calculan y se constituyen garantías por agente y no por empresa. Por lo tanto, las empresas que ejercen simultáneamente las actividades de generación y comercialización pueden tener en una actividad excedentes en bolsa (acreedor) y en la otra compras en bolsa (deudor), caso en el cual debe constituir garantías en la actividad donde es deudor, teniendo otra posición, que si se evaluara como empresa los excedentes de una actividad podrían cubrir los requerimientos de la otra.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br/>
            </w:r>
            <w:r w:rsidRPr="005D3090">
              <w:rPr>
                <w:rFonts w:ascii="Calibri" w:hAnsi="Calibri"/>
                <w:color w:val="000000"/>
                <w:sz w:val="18"/>
                <w:szCs w:val="18"/>
                <w:lang w:eastAsia="es-CO"/>
              </w:rPr>
              <w:br/>
              <w:t>Con base en lo antes expuesto, se propone realizar los cálculos para cada actividad (generación, comercialización) y requerir garantías solo en los casos en que la empresa resulte como deudor neto.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 xml:space="preserve"> </w:t>
            </w:r>
          </w:p>
        </w:tc>
        <w:tc>
          <w:tcPr>
            <w:tcW w:w="4107" w:type="dxa"/>
            <w:hideMark/>
          </w:tcPr>
          <w:p w14:paraId="34FCB6AC"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lastRenderedPageBreak/>
              <w:t xml:space="preserve">Es importante resaltar que esta medida propuesta es transitoria y responde a una situación coyuntural de los comercializadores que atienden usuarios finales regulados por un estrés de liquidez debido a saldos pendientes de recuperación por la aplicación de la opción tarifaria en su actividad de comercialización. </w:t>
            </w:r>
            <w:r w:rsidRPr="005D3090">
              <w:rPr>
                <w:rFonts w:ascii="Calibri" w:hAnsi="Calibri"/>
                <w:color w:val="000000"/>
                <w:sz w:val="18"/>
                <w:szCs w:val="18"/>
                <w:lang w:eastAsia="es-CO"/>
              </w:rPr>
              <w:br/>
            </w:r>
            <w:r w:rsidRPr="005D3090">
              <w:rPr>
                <w:rFonts w:ascii="Calibri" w:hAnsi="Calibri"/>
                <w:color w:val="000000"/>
                <w:sz w:val="18"/>
                <w:szCs w:val="18"/>
                <w:lang w:eastAsia="es-CO"/>
              </w:rPr>
              <w:lastRenderedPageBreak/>
              <w:t>Por lo tanto, no se considera conveniente ampliar el ámbito de</w:t>
            </w:r>
          </w:p>
        </w:tc>
      </w:tr>
      <w:tr w:rsidR="006B6A7C" w:rsidRPr="005D3090" w14:paraId="77839715" w14:textId="77777777" w:rsidTr="00B9598D">
        <w:trPr>
          <w:trHeight w:val="720"/>
        </w:trPr>
        <w:tc>
          <w:tcPr>
            <w:tcW w:w="1182" w:type="dxa"/>
            <w:hideMark/>
          </w:tcPr>
          <w:p w14:paraId="297F5547" w14:textId="77777777" w:rsidR="005D3090" w:rsidRPr="005D3090" w:rsidRDefault="005D3090" w:rsidP="00B9598D">
            <w:pPr>
              <w:spacing w:after="0"/>
              <w:rPr>
                <w:rFonts w:ascii="Calibri" w:hAnsi="Calibri"/>
                <w:color w:val="000000"/>
                <w:sz w:val="20"/>
                <w:szCs w:val="20"/>
                <w:lang w:eastAsia="es-CO"/>
              </w:rPr>
            </w:pPr>
            <w:r w:rsidRPr="005D3090">
              <w:rPr>
                <w:rFonts w:ascii="Calibri" w:hAnsi="Calibri"/>
                <w:color w:val="000000"/>
                <w:sz w:val="20"/>
                <w:szCs w:val="20"/>
                <w:lang w:eastAsia="es-CO"/>
              </w:rPr>
              <w:lastRenderedPageBreak/>
              <w:t xml:space="preserve">Agente 11 </w:t>
            </w:r>
          </w:p>
        </w:tc>
        <w:tc>
          <w:tcPr>
            <w:tcW w:w="4107" w:type="dxa"/>
            <w:hideMark/>
          </w:tcPr>
          <w:p w14:paraId="14F73E6A" w14:textId="3FBA631A"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Considerando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complejidad</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contexto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actual,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imperativo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 xml:space="preserve">incorporar ciertas consideraciones al proceso de cálculo de la variable Valor de Energía en Bolsa (VEB), como se estipula en el literal b. del Anexo del Reglamento de Mecanismos de Cubrimiento para las Transacciones en el Mercado de Energía Mayorista contenido en la Resolución CREG 019 de 2006 y sus modificaciones, de la siguiente manera: </w:t>
            </w:r>
            <w:r w:rsidRPr="005D3090">
              <w:rPr>
                <w:rFonts w:ascii="Calibri" w:hAnsi="Calibri"/>
                <w:color w:val="000000"/>
                <w:sz w:val="18"/>
                <w:szCs w:val="18"/>
                <w:lang w:eastAsia="es-CO"/>
              </w:rPr>
              <w:br/>
              <w:t>1.</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Respecto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variable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DDACIAL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(Demanda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Comercial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mensual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o semanal),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proponemos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lastRenderedPageBreak/>
              <w:t>considerar</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menor</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valor</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entre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última información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disponible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las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curvas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típicas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demanda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para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cada</w:t>
            </w:r>
            <w:r w:rsidR="005E0E63">
              <w:rPr>
                <w:rFonts w:ascii="Calibri" w:hAnsi="Calibri"/>
                <w:color w:val="000000"/>
                <w:sz w:val="18"/>
                <w:szCs w:val="18"/>
                <w:lang w:eastAsia="es-CO"/>
              </w:rPr>
              <w:t xml:space="preserve"> </w:t>
            </w:r>
            <w:r w:rsidRPr="005D3090">
              <w:rPr>
                <w:rFonts w:ascii="Calibri" w:hAnsi="Calibri"/>
                <w:color w:val="000000"/>
                <w:sz w:val="18"/>
                <w:szCs w:val="18"/>
                <w:lang w:eastAsia="es-CO"/>
              </w:rPr>
              <w:t>submercado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frontera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comercial,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obtenidas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según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metodología vigente en la fecha de cálculo, y el promedio de la demanda comercial 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los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últimos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2</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meses.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Esto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se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sugiere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con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fin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reducir</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 xml:space="preserve">las volatilidades ante variaciones fuertes en la demanda del comercializado. </w:t>
            </w:r>
            <w:r w:rsidRPr="005D3090">
              <w:rPr>
                <w:rFonts w:ascii="Calibri" w:hAnsi="Calibri"/>
                <w:color w:val="000000"/>
                <w:sz w:val="18"/>
                <w:szCs w:val="18"/>
                <w:lang w:eastAsia="es-CO"/>
              </w:rPr>
              <w:br/>
              <w:t>Dicha sugerencia se basa en las condiciones actuales del fenómeno de El Niño, donde la demanda está mostrando comportamientos atípicos semana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tras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semana,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con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crecimientos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elevados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impredecibles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 xml:space="preserve">que afectan directamente los valores de las garantías. Esta situación está poniendo presión inesperada en los comercializadores, con un margen de ajuste muy ajustado de solo dos días para modificar la garantía. </w:t>
            </w:r>
            <w:r w:rsidRPr="005D3090">
              <w:rPr>
                <w:rFonts w:ascii="Calibri" w:hAnsi="Calibri"/>
                <w:color w:val="000000"/>
                <w:sz w:val="18"/>
                <w:szCs w:val="18"/>
                <w:lang w:eastAsia="es-CO"/>
              </w:rPr>
              <w:br/>
              <w:t xml:space="preserve"> </w:t>
            </w:r>
            <w:r w:rsidRPr="005D3090">
              <w:rPr>
                <w:rFonts w:ascii="Calibri" w:hAnsi="Calibri"/>
                <w:color w:val="000000"/>
                <w:sz w:val="18"/>
                <w:szCs w:val="18"/>
                <w:lang w:eastAsia="es-CO"/>
              </w:rPr>
              <w:br/>
              <w:t>2.</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MODIFICACIÓN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ARTÍCULO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10</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ANEXO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 xml:space="preserve">RESOLUCIÓN CREG 019 DE 2006. </w:t>
            </w:r>
            <w:r w:rsidRPr="005D3090">
              <w:rPr>
                <w:rFonts w:ascii="Calibri" w:hAnsi="Calibri"/>
                <w:color w:val="000000"/>
                <w:sz w:val="18"/>
                <w:szCs w:val="18"/>
                <w:lang w:eastAsia="es-CO"/>
              </w:rPr>
              <w:br/>
              <w:t xml:space="preserve"> </w:t>
            </w:r>
            <w:r w:rsidRPr="005D3090">
              <w:rPr>
                <w:rFonts w:ascii="Calibri" w:hAnsi="Calibri"/>
                <w:color w:val="000000"/>
                <w:sz w:val="18"/>
                <w:szCs w:val="18"/>
                <w:lang w:eastAsia="es-CO"/>
              </w:rPr>
              <w:br/>
              <w:t>“(...) Para el cálculo de los Prepagos Semanales, cada viernes de la semana t, el ASIC dará a conocer el valor del Prepago Semanal 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pagar</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por</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cada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Agente,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correspondiente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las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transacciones esperadas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para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semana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t+2</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Mercado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 xml:space="preserve">Energía Mayorista. La semana a cubrir iniciará el día sábado y terminará el viernes siguiente. El Agente deberá realizar dicho Prepago a más tardar el martes de la semana t+1. </w:t>
            </w:r>
            <w:r w:rsidRPr="005D3090">
              <w:rPr>
                <w:rFonts w:ascii="Calibri" w:hAnsi="Calibri"/>
                <w:color w:val="000000"/>
                <w:sz w:val="18"/>
                <w:szCs w:val="18"/>
                <w:lang w:eastAsia="es-CO"/>
              </w:rPr>
              <w:br/>
              <w:t xml:space="preserve"> </w:t>
            </w:r>
            <w:r w:rsidRPr="005D3090">
              <w:rPr>
                <w:rFonts w:ascii="Calibri" w:hAnsi="Calibri"/>
                <w:color w:val="000000"/>
                <w:sz w:val="18"/>
                <w:szCs w:val="18"/>
                <w:lang w:eastAsia="es-CO"/>
              </w:rPr>
              <w:br/>
              <w:t>PARÁGRAFO. El ASIC incluirá en el valor del Prepago Semanal el correspondiente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las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transacciones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esperadas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para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los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días previos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semana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t+2</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que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no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estén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respaldadas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 xml:space="preserve">por mecanismos de cubrimiento” </w:t>
            </w:r>
            <w:r w:rsidRPr="005D3090">
              <w:rPr>
                <w:rFonts w:ascii="Calibri" w:hAnsi="Calibri"/>
                <w:color w:val="000000"/>
                <w:sz w:val="18"/>
                <w:szCs w:val="18"/>
                <w:lang w:eastAsia="es-CO"/>
              </w:rPr>
              <w:br/>
              <w:t xml:space="preserve"> </w:t>
            </w:r>
            <w:r w:rsidRPr="005D3090">
              <w:rPr>
                <w:rFonts w:ascii="Calibri" w:hAnsi="Calibri"/>
                <w:color w:val="000000"/>
                <w:sz w:val="18"/>
                <w:szCs w:val="18"/>
                <w:lang w:eastAsia="es-CO"/>
              </w:rPr>
              <w:br/>
              <w:t>3.</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Es fundamental destacar la importancia de proteger la semana que está en proceso de finalización (S-1), la cual cuenta con la segunda versión de la liquidación. En este sentido, proponemos que esta semana se asegure con el Mc y no se incluya en el cálculo el Pb. Una vez que se efectúe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pago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correspondiente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mes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operación,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se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 xml:space="preserve">cubre cualquier diferencia o delta que pueda existir. </w:t>
            </w:r>
          </w:p>
        </w:tc>
        <w:tc>
          <w:tcPr>
            <w:tcW w:w="4107" w:type="dxa"/>
            <w:hideMark/>
          </w:tcPr>
          <w:p w14:paraId="6C223622"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lastRenderedPageBreak/>
              <w:t>Las propuestas planteadas requieren de un análisis más profundo y hacen parte de la revisión del esquema general de garantías. Los elementos mencionados se considerarán en los análisis que está realizando la Comisión sobre el esquema de garantías.</w:t>
            </w:r>
          </w:p>
        </w:tc>
      </w:tr>
      <w:tr w:rsidR="006B6A7C" w:rsidRPr="005D3090" w14:paraId="2BC0DDE5" w14:textId="77777777" w:rsidTr="00B9598D">
        <w:trPr>
          <w:trHeight w:val="720"/>
        </w:trPr>
        <w:tc>
          <w:tcPr>
            <w:tcW w:w="1182" w:type="dxa"/>
            <w:hideMark/>
          </w:tcPr>
          <w:p w14:paraId="0E47EDA7" w14:textId="77777777" w:rsidR="005D3090" w:rsidRPr="005D3090" w:rsidRDefault="005D3090" w:rsidP="00B9598D">
            <w:pPr>
              <w:spacing w:after="0"/>
              <w:rPr>
                <w:rFonts w:ascii="Calibri" w:hAnsi="Calibri"/>
                <w:color w:val="000000"/>
                <w:sz w:val="20"/>
                <w:szCs w:val="20"/>
                <w:lang w:eastAsia="es-CO"/>
              </w:rPr>
            </w:pPr>
            <w:r w:rsidRPr="005D3090">
              <w:rPr>
                <w:rFonts w:ascii="Calibri" w:hAnsi="Calibri"/>
                <w:color w:val="000000"/>
                <w:sz w:val="20"/>
                <w:szCs w:val="20"/>
                <w:lang w:eastAsia="es-CO"/>
              </w:rPr>
              <w:t xml:space="preserve">Agente 11 </w:t>
            </w:r>
          </w:p>
        </w:tc>
        <w:tc>
          <w:tcPr>
            <w:tcW w:w="4107" w:type="dxa"/>
            <w:hideMark/>
          </w:tcPr>
          <w:p w14:paraId="7874DE3B" w14:textId="14FA824B"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Debe advertirse que nada de lo expuesto en este documento debe tomarse como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una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renuncia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por</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parte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 xml:space="preserve">Agente 11 para analizar la legalidad de las </w:t>
            </w:r>
            <w:r w:rsidRPr="005D3090">
              <w:rPr>
                <w:rFonts w:ascii="Calibri" w:hAnsi="Calibri"/>
                <w:color w:val="000000"/>
                <w:sz w:val="18"/>
                <w:szCs w:val="18"/>
                <w:lang w:eastAsia="es-CO"/>
              </w:rPr>
              <w:lastRenderedPageBreak/>
              <w:t xml:space="preserve">resoluciones que finalmente decida expedir la CREG, así como de asumir las actuaciones que correspondan como consecuencia de tales análisis. Lo anterior en la medida en que los comentarios formulados por esta empresa se hacen en ejercicio del derecho fundamental de participación ciudadana, por lo que no deberían tomarse como una aceptación de la legalidad de las decisiones finales que adopte la CREG en relación con las resoluciones puestas a consideración del público. </w:t>
            </w:r>
          </w:p>
        </w:tc>
        <w:tc>
          <w:tcPr>
            <w:tcW w:w="4107" w:type="dxa"/>
            <w:hideMark/>
          </w:tcPr>
          <w:p w14:paraId="367E70F9" w14:textId="696526F9" w:rsidR="005D3090" w:rsidRPr="005D3090" w:rsidRDefault="005D3090" w:rsidP="00B9598D">
            <w:pPr>
              <w:spacing w:after="0"/>
              <w:rPr>
                <w:rFonts w:ascii="Calibri" w:hAnsi="Calibri"/>
                <w:color w:val="000000"/>
                <w:sz w:val="18"/>
                <w:szCs w:val="18"/>
                <w:lang w:eastAsia="es-CO"/>
              </w:rPr>
            </w:pPr>
            <w:r w:rsidRPr="22E57F19">
              <w:rPr>
                <w:rFonts w:ascii="Calibri" w:hAnsi="Calibri"/>
                <w:color w:val="000000" w:themeColor="text1"/>
                <w:sz w:val="18"/>
                <w:szCs w:val="18"/>
                <w:lang w:eastAsia="es-CO"/>
              </w:rPr>
              <w:lastRenderedPageBreak/>
              <w:t xml:space="preserve">El artículo 8 de la ley 1437 de 2011 sobre el deber de información al público señala que las autoridades deben mantener a disposición de toda persona </w:t>
            </w:r>
            <w:r w:rsidRPr="22E57F19">
              <w:rPr>
                <w:rFonts w:ascii="Calibri" w:hAnsi="Calibri"/>
                <w:color w:val="000000" w:themeColor="text1"/>
                <w:sz w:val="18"/>
                <w:szCs w:val="18"/>
                <w:lang w:eastAsia="es-CO"/>
              </w:rPr>
              <w:lastRenderedPageBreak/>
              <w:t>información completa y actualizada en el sitio de atención y en la página electrónica (...) sobre los siguientes aspectos: numeral</w:t>
            </w:r>
            <w:r w:rsidR="002D6D42" w:rsidRPr="22E57F19">
              <w:rPr>
                <w:rFonts w:ascii="Calibri" w:hAnsi="Calibri"/>
                <w:color w:val="000000" w:themeColor="text1"/>
                <w:sz w:val="18"/>
                <w:szCs w:val="18"/>
                <w:lang w:eastAsia="es-CO"/>
              </w:rPr>
              <w:t xml:space="preserve">  </w:t>
            </w:r>
            <w:r w:rsidRPr="22E57F19">
              <w:rPr>
                <w:rFonts w:ascii="Calibri" w:hAnsi="Calibri"/>
                <w:color w:val="000000" w:themeColor="text1"/>
                <w:sz w:val="18"/>
                <w:szCs w:val="18"/>
                <w:lang w:eastAsia="es-CO"/>
              </w:rPr>
              <w:t xml:space="preserve">8. Los proyectos específicos de regulación y la información en que se fundamenten, con el objeto de recibir opiniones, sugerencias o propuestas alternativas. Para el efecto, deberán señalar el plazo dentro del cual se podrán presentar observaciones, de las cuales se dejará registro público. En todo caso la autoridad adoptará autónomamente la decisión que a su juicio sirva mejor el interés general. Con fundamento en esta norma, la CREG publica a consulta sus proyectos de regulación, cuyo objetivo no es otro </w:t>
            </w:r>
            <w:r w:rsidR="47BBF18A" w:rsidRPr="22E57F19">
              <w:rPr>
                <w:rFonts w:ascii="Calibri" w:hAnsi="Calibri"/>
                <w:color w:val="000000" w:themeColor="text1"/>
                <w:sz w:val="18"/>
                <w:szCs w:val="18"/>
                <w:lang w:eastAsia="es-CO"/>
              </w:rPr>
              <w:t>distin</w:t>
            </w:r>
            <w:r w:rsidR="33745736" w:rsidRPr="22E57F19">
              <w:rPr>
                <w:rFonts w:ascii="Calibri" w:hAnsi="Calibri"/>
                <w:color w:val="000000" w:themeColor="text1"/>
                <w:sz w:val="18"/>
                <w:szCs w:val="18"/>
                <w:lang w:eastAsia="es-CO"/>
              </w:rPr>
              <w:t>t</w:t>
            </w:r>
            <w:r w:rsidR="47BBF18A" w:rsidRPr="22E57F19">
              <w:rPr>
                <w:rFonts w:ascii="Calibri" w:hAnsi="Calibri"/>
                <w:color w:val="000000" w:themeColor="text1"/>
                <w:sz w:val="18"/>
                <w:szCs w:val="18"/>
                <w:lang w:eastAsia="es-CO"/>
              </w:rPr>
              <w:t>o</w:t>
            </w:r>
            <w:r w:rsidRPr="22E57F19">
              <w:rPr>
                <w:rFonts w:ascii="Calibri" w:hAnsi="Calibri"/>
                <w:color w:val="000000" w:themeColor="text1"/>
                <w:sz w:val="18"/>
                <w:szCs w:val="18"/>
                <w:lang w:eastAsia="es-CO"/>
              </w:rPr>
              <w:t xml:space="preserve"> a recibir comentarios y observaciones de los interesados, los cuales podrán ser tenidos en cuenta o no, al momento de decidir.</w:t>
            </w:r>
          </w:p>
        </w:tc>
      </w:tr>
      <w:tr w:rsidR="006B6A7C" w:rsidRPr="005D3090" w14:paraId="3E437C75" w14:textId="77777777" w:rsidTr="00B9598D">
        <w:trPr>
          <w:trHeight w:val="720"/>
        </w:trPr>
        <w:tc>
          <w:tcPr>
            <w:tcW w:w="1182" w:type="dxa"/>
            <w:hideMark/>
          </w:tcPr>
          <w:p w14:paraId="210D6113" w14:textId="77777777" w:rsidR="005D3090" w:rsidRPr="005D3090" w:rsidRDefault="005D3090" w:rsidP="00B9598D">
            <w:pPr>
              <w:spacing w:after="0"/>
              <w:rPr>
                <w:rFonts w:ascii="Calibri" w:hAnsi="Calibri"/>
                <w:color w:val="000000"/>
                <w:sz w:val="20"/>
                <w:szCs w:val="20"/>
                <w:lang w:eastAsia="es-CO"/>
              </w:rPr>
            </w:pPr>
            <w:r w:rsidRPr="005D3090">
              <w:rPr>
                <w:rFonts w:ascii="Calibri" w:hAnsi="Calibri"/>
                <w:color w:val="000000"/>
                <w:sz w:val="20"/>
                <w:szCs w:val="20"/>
                <w:lang w:eastAsia="es-CO"/>
              </w:rPr>
              <w:lastRenderedPageBreak/>
              <w:t xml:space="preserve">Agente 12 </w:t>
            </w:r>
          </w:p>
        </w:tc>
        <w:tc>
          <w:tcPr>
            <w:tcW w:w="4107" w:type="dxa"/>
            <w:hideMark/>
          </w:tcPr>
          <w:p w14:paraId="1951E94D" w14:textId="7328CB43"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Considerando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complejidad</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contexto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actual,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imperativo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 xml:space="preserve">incorporar ciertas consideraciones al proceso de cálculo de la variable Valor de Energía en Bolsa (VEB), como se estipula en el literal b. del Anexo del Reglamento de Mecanismos de Cubrimiento para las Transacciones en el Mercado de Energía Mayorista contenido en la Resolución CREG 019 de 2006 y sus modificaciones, de la siguiente manera: </w:t>
            </w:r>
            <w:r w:rsidRPr="005D3090">
              <w:rPr>
                <w:rFonts w:ascii="Calibri" w:hAnsi="Calibri"/>
                <w:color w:val="000000"/>
                <w:sz w:val="18"/>
                <w:szCs w:val="18"/>
                <w:lang w:eastAsia="es-CO"/>
              </w:rPr>
              <w:br/>
              <w:t>1.</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Respecto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variable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DDACIAL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(Demanda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Comercial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mensual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o semanal),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proponemos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considerar</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menor</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valor</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entre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última información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disponible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las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curvas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típicas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demanda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para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cada submercado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frontera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comercial,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obtenidas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según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metodología vigente en la fecha de cálculo, y el promedio de la demanda comercial 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los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últimos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2</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meses.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Esto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se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sugiere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con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fin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reducir</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 xml:space="preserve">las volatilidades ante variaciones fuertes en la demanda del comercializado. </w:t>
            </w:r>
            <w:r w:rsidRPr="005D3090">
              <w:rPr>
                <w:rFonts w:ascii="Calibri" w:hAnsi="Calibri"/>
                <w:color w:val="000000"/>
                <w:sz w:val="18"/>
                <w:szCs w:val="18"/>
                <w:lang w:eastAsia="es-CO"/>
              </w:rPr>
              <w:br/>
              <w:t>Dicha sugerencia se basa en las condiciones actuales del fenómeno de El Niño, donde la demanda está mostrando comportamientos atípicos semana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tras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semana,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con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crecimientos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elevados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impredecibles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que afectan directamente los valores de las garantías. Esta situación está poniendo presión inesperada en los comercializadores, con un margen de ajuste muy ajustado de solo dos días para modificar la garantía.</w:t>
            </w:r>
            <w:r w:rsidRPr="005D3090">
              <w:rPr>
                <w:rFonts w:ascii="Calibri" w:hAnsi="Calibri"/>
                <w:color w:val="000000"/>
                <w:sz w:val="18"/>
                <w:szCs w:val="18"/>
                <w:lang w:eastAsia="es-CO"/>
              </w:rPr>
              <w:br/>
              <w:t xml:space="preserve"> </w:t>
            </w:r>
            <w:r w:rsidRPr="005D3090">
              <w:rPr>
                <w:rFonts w:ascii="Calibri" w:hAnsi="Calibri"/>
                <w:color w:val="000000"/>
                <w:sz w:val="18"/>
                <w:szCs w:val="18"/>
                <w:lang w:eastAsia="es-CO"/>
              </w:rPr>
              <w:br/>
              <w:t xml:space="preserve"> 2.</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MODIFICACIÓN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ARTÍCULO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10</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ANEXO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 xml:space="preserve">RESOLUCIÓN CREG 019 DE 2006. </w:t>
            </w:r>
            <w:r w:rsidRPr="005D3090">
              <w:rPr>
                <w:rFonts w:ascii="Calibri" w:hAnsi="Calibri"/>
                <w:color w:val="000000"/>
                <w:sz w:val="18"/>
                <w:szCs w:val="18"/>
                <w:lang w:eastAsia="es-CO"/>
              </w:rPr>
              <w:br/>
              <w:t xml:space="preserve">“(...) Para el cálculo de los Prepagos Semanales, cada viernes de la semana t, el ASIC dará a conocer el </w:t>
            </w:r>
            <w:r w:rsidRPr="005D3090">
              <w:rPr>
                <w:rFonts w:ascii="Calibri" w:hAnsi="Calibri"/>
                <w:color w:val="000000"/>
                <w:sz w:val="18"/>
                <w:szCs w:val="18"/>
                <w:lang w:eastAsia="es-CO"/>
              </w:rPr>
              <w:lastRenderedPageBreak/>
              <w:t>valor del Prepago Semanal 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pagar</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por</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cada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Agente,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correspondiente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las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transacciones esperadas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para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semana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t+2</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Mercado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Energía Mayorista. La semana a cubrir iniciará el día sábado y terminará el viernes siguiente. El Agente deberá realizar dicho Prepago a más tardar el martes de la semana t+1.</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br/>
            </w:r>
            <w:r w:rsidRPr="005D3090">
              <w:rPr>
                <w:rFonts w:ascii="Calibri" w:hAnsi="Calibri"/>
                <w:color w:val="000000"/>
                <w:sz w:val="18"/>
                <w:szCs w:val="18"/>
                <w:lang w:eastAsia="es-CO"/>
              </w:rPr>
              <w:br/>
              <w:t>PARÁGRAFO. El ASIC incluirá en el valor del Prepago Semanal el correspondiente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las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transacciones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esperadas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para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los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días previos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semana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t+2</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que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no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estén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respaldadas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 xml:space="preserve">por mecanismos de cubrimiento” </w:t>
            </w:r>
            <w:r w:rsidRPr="005D3090">
              <w:rPr>
                <w:rFonts w:ascii="Calibri" w:hAnsi="Calibri"/>
                <w:color w:val="000000"/>
                <w:sz w:val="18"/>
                <w:szCs w:val="18"/>
                <w:lang w:eastAsia="es-CO"/>
              </w:rPr>
              <w:br/>
            </w:r>
            <w:r w:rsidRPr="005D3090">
              <w:rPr>
                <w:rFonts w:ascii="Calibri" w:hAnsi="Calibri"/>
                <w:color w:val="000000"/>
                <w:sz w:val="18"/>
                <w:szCs w:val="18"/>
                <w:lang w:eastAsia="es-CO"/>
              </w:rPr>
              <w:br/>
              <w:t>3.</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Es fundamental destacar la importancia de proteger la semana que está en proceso de finalización (S-1), la cual cuenta con la segunda versión de la liquidación. En este sentido, proponemos que esta semana se asegure con el Mc y no se incluya en el cálculo el Pb. Una vez que se efectúe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pago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correspondiente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mes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operación,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se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 xml:space="preserve">cubre cualquier diferencia o delta que pueda existir. </w:t>
            </w:r>
          </w:p>
        </w:tc>
        <w:tc>
          <w:tcPr>
            <w:tcW w:w="4107" w:type="dxa"/>
            <w:hideMark/>
          </w:tcPr>
          <w:p w14:paraId="766FE8D0"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lastRenderedPageBreak/>
              <w:t>Las propuestas planteadas requieren de un análisis más profundo y hacen parte de la revisión del esquema general de garantías. Los elementos mencionados se considerarán en los análisis que está realizando la Comisión sobre el esquema de garantías.</w:t>
            </w:r>
          </w:p>
        </w:tc>
      </w:tr>
      <w:tr w:rsidR="006B6A7C" w:rsidRPr="005D3090" w14:paraId="57A794B8" w14:textId="77777777" w:rsidTr="00B9598D">
        <w:trPr>
          <w:trHeight w:val="720"/>
        </w:trPr>
        <w:tc>
          <w:tcPr>
            <w:tcW w:w="1182" w:type="dxa"/>
            <w:hideMark/>
          </w:tcPr>
          <w:p w14:paraId="3E0A68F3" w14:textId="77777777" w:rsidR="005D3090" w:rsidRPr="005D3090" w:rsidRDefault="005D3090" w:rsidP="00B9598D">
            <w:pPr>
              <w:spacing w:after="0"/>
              <w:rPr>
                <w:rFonts w:ascii="Calibri" w:hAnsi="Calibri"/>
                <w:color w:val="000000"/>
                <w:sz w:val="20"/>
                <w:szCs w:val="20"/>
                <w:lang w:eastAsia="es-CO"/>
              </w:rPr>
            </w:pPr>
            <w:r w:rsidRPr="005D3090">
              <w:rPr>
                <w:rFonts w:ascii="Calibri" w:hAnsi="Calibri"/>
                <w:color w:val="000000"/>
                <w:sz w:val="20"/>
                <w:szCs w:val="20"/>
                <w:lang w:eastAsia="es-CO"/>
              </w:rPr>
              <w:t xml:space="preserve">Agente 13 </w:t>
            </w:r>
          </w:p>
        </w:tc>
        <w:tc>
          <w:tcPr>
            <w:tcW w:w="4107" w:type="dxa"/>
            <w:hideMark/>
          </w:tcPr>
          <w:p w14:paraId="306900F4" w14:textId="1C7E8591"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Con respecto a la Resolución que pretende ampliar el ámbito de aplicación del precio de referencia para el cálculo de las garantías a todos los comercializadores que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atienden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demanda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regulada,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insistimos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inconveniencia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la medida dado el riesgo del efecto de la medida planteada sobre el capital de trabajo de los agentes térmicos, pues al flexibilizar las garantías en la coyuntura actual de Fenómeno de El Niño en donde el parque térmico debe cumplir una Generación Mínima dada por la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resolución MME 40116 de 2024, si los comercializadores no aseguran el pago de sus obligaciones de corto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plazo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con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SIN,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las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plantas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térmicas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materializarían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un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riesgo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 insolvencia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financiera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para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atender</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los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compromisos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con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los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proveedores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 combustible, debido a que la medida planteada por el Regulador afecta el flujo 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caja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las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empresas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generación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permitirle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los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comercializadores incumplir con los compromisos adquiridos para el pago de los obligaciones con el mercado eléctrico.</w:t>
            </w:r>
            <w:r w:rsidR="002D6D42">
              <w:rPr>
                <w:rFonts w:ascii="Calibri" w:hAnsi="Calibri"/>
                <w:color w:val="000000"/>
                <w:sz w:val="18"/>
                <w:szCs w:val="18"/>
                <w:lang w:eastAsia="es-CO"/>
              </w:rPr>
              <w:t xml:space="preserve">  </w:t>
            </w:r>
          </w:p>
        </w:tc>
        <w:tc>
          <w:tcPr>
            <w:tcW w:w="4107" w:type="dxa"/>
            <w:hideMark/>
          </w:tcPr>
          <w:p w14:paraId="47565FD7"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Es importante resaltar que esta medida propuesta es transitoria y responde a una situación coyuntural de los comercializadores por un estrés de liquidez debido a saldos pendientes de recuperación por la aplicación de la opción tarifaria en su actividad de comercialización.</w:t>
            </w:r>
            <w:r w:rsidRPr="005D3090">
              <w:rPr>
                <w:rFonts w:ascii="Calibri" w:hAnsi="Calibri"/>
                <w:color w:val="000000"/>
                <w:sz w:val="18"/>
                <w:szCs w:val="18"/>
                <w:lang w:eastAsia="es-CO"/>
              </w:rPr>
              <w:br/>
              <w:t>En la resolución ya se considera la actualización de la garantía cuando se tienen valores reales de precio de bolsa y demanda para contar con los recursos suficientes para cumplir con las obligaciones del mercado de energía mayorista en el momento de la facturación.</w:t>
            </w:r>
          </w:p>
        </w:tc>
      </w:tr>
      <w:tr w:rsidR="006B6A7C" w:rsidRPr="005D3090" w14:paraId="506FC03C" w14:textId="77777777" w:rsidTr="00B9598D">
        <w:trPr>
          <w:trHeight w:val="720"/>
        </w:trPr>
        <w:tc>
          <w:tcPr>
            <w:tcW w:w="1182" w:type="dxa"/>
            <w:hideMark/>
          </w:tcPr>
          <w:p w14:paraId="530139F9" w14:textId="77777777" w:rsidR="005D3090" w:rsidRPr="005D3090" w:rsidRDefault="005D3090" w:rsidP="00B9598D">
            <w:pPr>
              <w:spacing w:after="0"/>
              <w:rPr>
                <w:rFonts w:ascii="Calibri" w:hAnsi="Calibri"/>
                <w:color w:val="000000"/>
                <w:sz w:val="20"/>
                <w:szCs w:val="20"/>
                <w:lang w:eastAsia="es-CO"/>
              </w:rPr>
            </w:pPr>
            <w:r w:rsidRPr="005D3090">
              <w:rPr>
                <w:rFonts w:ascii="Calibri" w:hAnsi="Calibri"/>
                <w:color w:val="000000"/>
                <w:sz w:val="20"/>
                <w:szCs w:val="20"/>
                <w:lang w:eastAsia="es-CO"/>
              </w:rPr>
              <w:t xml:space="preserve">Agente 13 </w:t>
            </w:r>
          </w:p>
        </w:tc>
        <w:tc>
          <w:tcPr>
            <w:tcW w:w="4107" w:type="dxa"/>
            <w:hideMark/>
          </w:tcPr>
          <w:p w14:paraId="7119EB35" w14:textId="7703BDD6"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En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segunda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medida,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reiteramos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que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utilizar</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MC</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como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parámetro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para constitución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garantías,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no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se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refleja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condición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precios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 xml:space="preserve">energía eléctrica que se presentan en la actualidad con la ocasión de la ocurrencia del Fenómeno de “El Niño”, lo que conlleva a un </w:t>
            </w:r>
            <w:r w:rsidRPr="005D3090">
              <w:rPr>
                <w:rFonts w:ascii="Calibri" w:hAnsi="Calibri"/>
                <w:color w:val="000000"/>
                <w:sz w:val="18"/>
                <w:szCs w:val="18"/>
                <w:lang w:eastAsia="es-CO"/>
              </w:rPr>
              <w:lastRenderedPageBreak/>
              <w:t>desequilibrio en la asignación de riesgos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frente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los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generadores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que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aportan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energía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firme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SIN,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dado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que estos últimos están asumiendo el riesgo de asegurar la confiabilidad del sistema eléctrico sin tener “garantía” del flujo de caja para atender los compromisos de adquisición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combustible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para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afrontar</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condición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hidrología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 xml:space="preserve">crítica producto del Fenómeno de El Niño. </w:t>
            </w:r>
          </w:p>
        </w:tc>
        <w:tc>
          <w:tcPr>
            <w:tcW w:w="4107" w:type="dxa"/>
            <w:hideMark/>
          </w:tcPr>
          <w:p w14:paraId="0A6143B9"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lastRenderedPageBreak/>
              <w:t>Es importante resaltar que esta medida propuesta es transitoria y responde a una situación coyuntural de los comercializadores por un estrés de liquidez debido a saldos pendientes de recuperación por la aplicación de la opción tarifaria en su actividad de comercialización.</w:t>
            </w:r>
            <w:r w:rsidRPr="005D3090">
              <w:rPr>
                <w:rFonts w:ascii="Calibri" w:hAnsi="Calibri"/>
                <w:color w:val="000000"/>
                <w:sz w:val="18"/>
                <w:szCs w:val="18"/>
                <w:lang w:eastAsia="es-CO"/>
              </w:rPr>
              <w:br/>
            </w:r>
            <w:r w:rsidRPr="005D3090">
              <w:rPr>
                <w:rFonts w:ascii="Calibri" w:hAnsi="Calibri"/>
                <w:color w:val="000000"/>
                <w:sz w:val="18"/>
                <w:szCs w:val="18"/>
                <w:lang w:eastAsia="es-CO"/>
              </w:rPr>
              <w:lastRenderedPageBreak/>
              <w:t>En la resolución ya se considera la actualización de la garantía cuando se tienen valores reales de precio de bolsa y demanda para contar con los recursos suficientes para cumplir con las obligaciones del mercado de energía mayorista en el momento de la facturación.</w:t>
            </w:r>
          </w:p>
        </w:tc>
      </w:tr>
      <w:tr w:rsidR="006B6A7C" w:rsidRPr="005D3090" w14:paraId="47C7C698" w14:textId="77777777" w:rsidTr="00B9598D">
        <w:trPr>
          <w:trHeight w:val="720"/>
        </w:trPr>
        <w:tc>
          <w:tcPr>
            <w:tcW w:w="1182" w:type="dxa"/>
            <w:hideMark/>
          </w:tcPr>
          <w:p w14:paraId="6A2EA831" w14:textId="77777777" w:rsidR="005D3090" w:rsidRPr="005D3090" w:rsidRDefault="005D3090" w:rsidP="00B9598D">
            <w:pPr>
              <w:spacing w:after="0"/>
              <w:rPr>
                <w:rFonts w:ascii="Calibri" w:hAnsi="Calibri"/>
                <w:color w:val="000000"/>
                <w:sz w:val="20"/>
                <w:szCs w:val="20"/>
                <w:lang w:eastAsia="es-CO"/>
              </w:rPr>
            </w:pPr>
            <w:r w:rsidRPr="005D3090">
              <w:rPr>
                <w:rFonts w:ascii="Calibri" w:hAnsi="Calibri"/>
                <w:color w:val="000000"/>
                <w:sz w:val="20"/>
                <w:szCs w:val="20"/>
                <w:lang w:eastAsia="es-CO"/>
              </w:rPr>
              <w:lastRenderedPageBreak/>
              <w:t xml:space="preserve">Agente 13 </w:t>
            </w:r>
          </w:p>
        </w:tc>
        <w:tc>
          <w:tcPr>
            <w:tcW w:w="4107" w:type="dxa"/>
            <w:hideMark/>
          </w:tcPr>
          <w:p w14:paraId="1AF75D4F" w14:textId="030A171C"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De otro lado, creemos que el planteamiento del Regulador para flexibilizar las garantías a todos los agentes comercializadores que atienden demanda regulada,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no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acorde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los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planteamientos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CREG</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relación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con aumentar</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los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niveles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contratación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para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limitar</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los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riesgos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exposición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 xml:space="preserve">a bolsa de los comercializadores, con lo cual, frente a la propuesta de flexibilización de garantías, reiteramos que no habría incentivos de los comercializadores a gestionar esquemas de cobertura en el mercado eléctrico para proteger a los usuarios frente a variaciones del precio de bolsa durante el Fenómeno de El Niño. </w:t>
            </w:r>
          </w:p>
        </w:tc>
        <w:tc>
          <w:tcPr>
            <w:tcW w:w="4107" w:type="dxa"/>
            <w:hideMark/>
          </w:tcPr>
          <w:p w14:paraId="1EC35CB1"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Se expidió la resolución CREG 101 036 de 2024 para que los comercializadores tuvieran la oportunidad de disminuir su exposición a bolsa, a la cual se acogieron varios comercializadores.</w:t>
            </w:r>
          </w:p>
        </w:tc>
      </w:tr>
      <w:tr w:rsidR="006B6A7C" w:rsidRPr="005D3090" w14:paraId="299632C9" w14:textId="77777777" w:rsidTr="00B9598D">
        <w:trPr>
          <w:trHeight w:val="720"/>
        </w:trPr>
        <w:tc>
          <w:tcPr>
            <w:tcW w:w="1182" w:type="dxa"/>
            <w:hideMark/>
          </w:tcPr>
          <w:p w14:paraId="561A9C52" w14:textId="77777777" w:rsidR="005D3090" w:rsidRPr="005D3090" w:rsidRDefault="005D3090" w:rsidP="00B9598D">
            <w:pPr>
              <w:spacing w:after="0"/>
              <w:rPr>
                <w:rFonts w:ascii="Calibri" w:hAnsi="Calibri"/>
                <w:color w:val="000000"/>
                <w:sz w:val="20"/>
                <w:szCs w:val="20"/>
                <w:lang w:eastAsia="es-CO"/>
              </w:rPr>
            </w:pPr>
            <w:r w:rsidRPr="005D3090">
              <w:rPr>
                <w:rFonts w:ascii="Calibri" w:hAnsi="Calibri"/>
                <w:color w:val="000000"/>
                <w:sz w:val="20"/>
                <w:szCs w:val="20"/>
                <w:lang w:eastAsia="es-CO"/>
              </w:rPr>
              <w:t xml:space="preserve">Agente 13 </w:t>
            </w:r>
          </w:p>
        </w:tc>
        <w:tc>
          <w:tcPr>
            <w:tcW w:w="4107" w:type="dxa"/>
            <w:hideMark/>
          </w:tcPr>
          <w:p w14:paraId="55EBCD3B" w14:textId="6E599291"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Finalmente, desde Agente 13</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consideramos que el diseño regulatorio debe tener en cuenta un adecuado balance en la gestión de riesgos entre agentes del mercado de energía, en el contexto del diseño de mecanismos e incentivos, que aseguren el cumplimiento de los compromisos de los agentes en el mercado eléctrico de acuerdo con lo expuesto por Jin Luosong, Chen Cheng, Li Yun et.al (2021)</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 xml:space="preserve">y se contribuya a preservar la sostenibilidad del sistema eléctrico colombiano en el contexto de la regulación que establece la CREG. </w:t>
            </w:r>
          </w:p>
        </w:tc>
        <w:tc>
          <w:tcPr>
            <w:tcW w:w="4107" w:type="dxa"/>
            <w:hideMark/>
          </w:tcPr>
          <w:p w14:paraId="522D294C"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Es importante resaltar que esta medida propuesta es transitoria y responde a una situación coyuntural de los comercializadores por un estrés de liquidez debido a saldos pendientes de recuperación por la aplicación de la opción tarifaria en su actividad de comercialización.</w:t>
            </w:r>
            <w:r w:rsidRPr="005D3090">
              <w:rPr>
                <w:rFonts w:ascii="Calibri" w:hAnsi="Calibri"/>
                <w:color w:val="000000"/>
                <w:sz w:val="18"/>
                <w:szCs w:val="18"/>
                <w:lang w:eastAsia="es-CO"/>
              </w:rPr>
              <w:br/>
              <w:t>En la resolución ya se considera la actualización de la garantía cuando se tienen valores reales de precio de bolsa y demanda para contar con los recursos suficientes para cumplir con las obligaciones del mercado de energía mayorista en el momento de la facturación.</w:t>
            </w:r>
          </w:p>
        </w:tc>
      </w:tr>
      <w:tr w:rsidR="006B6A7C" w:rsidRPr="005D3090" w14:paraId="709A3107" w14:textId="77777777" w:rsidTr="00B9598D">
        <w:trPr>
          <w:trHeight w:val="720"/>
        </w:trPr>
        <w:tc>
          <w:tcPr>
            <w:tcW w:w="1182" w:type="dxa"/>
            <w:hideMark/>
          </w:tcPr>
          <w:p w14:paraId="02270B43" w14:textId="77777777" w:rsidR="005D3090" w:rsidRPr="005D3090" w:rsidRDefault="005D3090" w:rsidP="00B9598D">
            <w:pPr>
              <w:spacing w:after="0"/>
              <w:rPr>
                <w:rFonts w:ascii="Calibri" w:hAnsi="Calibri"/>
                <w:color w:val="000000"/>
                <w:sz w:val="20"/>
                <w:szCs w:val="20"/>
                <w:lang w:eastAsia="es-CO"/>
              </w:rPr>
            </w:pPr>
            <w:r w:rsidRPr="005D3090">
              <w:rPr>
                <w:rFonts w:ascii="Calibri" w:hAnsi="Calibri"/>
                <w:color w:val="000000"/>
                <w:sz w:val="20"/>
                <w:szCs w:val="20"/>
                <w:lang w:eastAsia="es-CO"/>
              </w:rPr>
              <w:t xml:space="preserve">Agente 14 </w:t>
            </w:r>
          </w:p>
        </w:tc>
        <w:tc>
          <w:tcPr>
            <w:tcW w:w="4107" w:type="dxa"/>
            <w:hideMark/>
          </w:tcPr>
          <w:p w14:paraId="2EE7AC55"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En la actualidad, las garantías publicadas mensualmente para mayo de 2024 se basaron en los precios de Bolsa de abril de 2024, los cuales, como es de su conocimiento, superaron los 1.000 $/kWh. por ende, las Empresas del sector nos vemos obligadas a constituir dichas garantias hasta el limite de los cupos financieros disponibles, lo que conlleva a un incremento en los costos de comisiones que los bancos establecen. Este incremento se verá reflejado en la componente de comercialización y en última instancia, resultará en un aumento en la tarifa para los usuarios.</w:t>
            </w:r>
            <w:r w:rsidRPr="005D3090">
              <w:rPr>
                <w:rFonts w:ascii="Calibri" w:hAnsi="Calibri"/>
                <w:color w:val="000000"/>
                <w:sz w:val="18"/>
                <w:szCs w:val="18"/>
                <w:lang w:eastAsia="es-CO"/>
              </w:rPr>
              <w:br/>
              <w:t xml:space="preserve">Considerando la instrucción del Gobierno Nacional de minimizar el impacto de los incrementos en los usuarios, resultaría crucial que esta medida se aplique o que se establezca un canal que permita al </w:t>
            </w:r>
            <w:r w:rsidRPr="005D3090">
              <w:rPr>
                <w:rFonts w:ascii="Calibri" w:hAnsi="Calibri"/>
                <w:color w:val="000000"/>
                <w:sz w:val="18"/>
                <w:szCs w:val="18"/>
                <w:lang w:eastAsia="es-CO"/>
              </w:rPr>
              <w:lastRenderedPageBreak/>
              <w:t>Administrador del Sistema de Intercambios Comerciales (ASIC) ajustar las garantías o modificar las fechas de presentación final de las mismas permitiendo así poder incluir este proyecto de resolución.</w:t>
            </w:r>
          </w:p>
        </w:tc>
        <w:tc>
          <w:tcPr>
            <w:tcW w:w="4107" w:type="dxa"/>
            <w:hideMark/>
          </w:tcPr>
          <w:p w14:paraId="08CB0C0E"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lastRenderedPageBreak/>
              <w:t>Con la resolución se amplía el alcance y la vigencia de las medidas transitorias. Las medidas establecidas las podrán aplicar los comercializadores que cumplan con las condiciones establecidas.</w:t>
            </w:r>
          </w:p>
        </w:tc>
      </w:tr>
      <w:tr w:rsidR="006B6A7C" w:rsidRPr="005D3090" w14:paraId="49C6D6D9" w14:textId="77777777" w:rsidTr="00B9598D">
        <w:trPr>
          <w:trHeight w:val="720"/>
        </w:trPr>
        <w:tc>
          <w:tcPr>
            <w:tcW w:w="1182" w:type="dxa"/>
            <w:hideMark/>
          </w:tcPr>
          <w:p w14:paraId="6657BF5E" w14:textId="77777777" w:rsidR="005D3090" w:rsidRPr="005D3090" w:rsidRDefault="005D3090" w:rsidP="00B9598D">
            <w:pPr>
              <w:spacing w:after="0"/>
              <w:rPr>
                <w:rFonts w:ascii="Calibri" w:hAnsi="Calibri"/>
                <w:color w:val="000000"/>
                <w:sz w:val="20"/>
                <w:szCs w:val="20"/>
                <w:lang w:eastAsia="es-CO"/>
              </w:rPr>
            </w:pPr>
            <w:r w:rsidRPr="005D3090">
              <w:rPr>
                <w:rFonts w:ascii="Calibri" w:hAnsi="Calibri"/>
                <w:color w:val="000000"/>
                <w:sz w:val="20"/>
                <w:szCs w:val="20"/>
                <w:lang w:eastAsia="es-CO"/>
              </w:rPr>
              <w:t>Agente 15</w:t>
            </w:r>
          </w:p>
        </w:tc>
        <w:tc>
          <w:tcPr>
            <w:tcW w:w="4107" w:type="dxa"/>
            <w:hideMark/>
          </w:tcPr>
          <w:p w14:paraId="4F5573A8" w14:textId="59E21CCC"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Por otra parte, respecto de la Resolución 701 036 de 2024, si bien es cierto ello reduce el costo de las garantías, es conveniente y necesario, tal como lo manifestamos en anterior oportunidad, garantizar la sostenibilidad del sector.</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 xml:space="preserve"> </w:t>
            </w:r>
            <w:r w:rsidRPr="005D3090">
              <w:rPr>
                <w:rFonts w:ascii="Calibri" w:hAnsi="Calibri"/>
                <w:color w:val="000000"/>
                <w:sz w:val="18"/>
                <w:szCs w:val="18"/>
                <w:lang w:eastAsia="es-CO"/>
              </w:rPr>
              <w:br/>
              <w:t>En resumen, si bien observamos y apoyamos estas medidas que responden a la coyuntura actual,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conveniente,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condiciones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normales,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tal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como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hemos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expresado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en diferentes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ocasiones,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realizar</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un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análisis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integral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y</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detallado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esquema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garantías, orientado a una optimización de estas o a la búsqueda de otros instrumentos financieros que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cumplan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la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misma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función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pero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que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puedan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resultar</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más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económicos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fáciles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 xml:space="preserve">de adquirir, sin afectar la suficiencia y sostenibilidad de todos los eslabones en la cadena de prestación del servicio. De otro lado, la pignoración de subsidios como garantía pueden ser una alternativa a evaluar, así como disminuir el período de facturación de las cuentas del SIN a una (1) semana. </w:t>
            </w:r>
            <w:r w:rsidRPr="005D3090">
              <w:rPr>
                <w:rFonts w:ascii="Calibri" w:hAnsi="Calibri"/>
                <w:color w:val="000000"/>
                <w:sz w:val="18"/>
                <w:szCs w:val="18"/>
                <w:lang w:eastAsia="es-CO"/>
              </w:rPr>
              <w:br/>
              <w:t>Adicionalmente,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consideramos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necesario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que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se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mantenga</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el</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ámbito</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de</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aplicación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a Distribuidores-Comercializadores,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pues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son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ellos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quienes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ofrecen</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menores</w:t>
            </w:r>
            <w:r w:rsidR="002D6D42">
              <w:rPr>
                <w:rFonts w:ascii="Calibri" w:hAnsi="Calibri"/>
                <w:color w:val="000000"/>
                <w:sz w:val="18"/>
                <w:szCs w:val="18"/>
                <w:lang w:eastAsia="es-CO"/>
              </w:rPr>
              <w:t xml:space="preserve">  </w:t>
            </w:r>
            <w:r w:rsidRPr="005D3090">
              <w:rPr>
                <w:rFonts w:ascii="Calibri" w:hAnsi="Calibri"/>
                <w:color w:val="000000"/>
                <w:sz w:val="18"/>
                <w:szCs w:val="18"/>
                <w:lang w:eastAsia="es-CO"/>
              </w:rPr>
              <w:t>riesgos de incumplimiento atendiendo al respaldo que ofrecen sus activos.</w:t>
            </w:r>
          </w:p>
        </w:tc>
        <w:tc>
          <w:tcPr>
            <w:tcW w:w="4107" w:type="dxa"/>
            <w:hideMark/>
          </w:tcPr>
          <w:p w14:paraId="1C42CD33" w14:textId="77777777" w:rsidR="005D3090" w:rsidRPr="005D3090" w:rsidRDefault="005D3090" w:rsidP="00B9598D">
            <w:pPr>
              <w:spacing w:after="0"/>
              <w:rPr>
                <w:rFonts w:ascii="Calibri" w:hAnsi="Calibri"/>
                <w:color w:val="000000"/>
                <w:sz w:val="18"/>
                <w:szCs w:val="18"/>
                <w:lang w:eastAsia="es-CO"/>
              </w:rPr>
            </w:pPr>
            <w:r w:rsidRPr="005D3090">
              <w:rPr>
                <w:rFonts w:ascii="Calibri" w:hAnsi="Calibri"/>
                <w:color w:val="000000"/>
                <w:sz w:val="18"/>
                <w:szCs w:val="18"/>
                <w:lang w:eastAsia="es-CO"/>
              </w:rPr>
              <w:t xml:space="preserve">Estos elementos están siendo analizados como parte de una revisión integral del esquema de garantías vigente. </w:t>
            </w:r>
          </w:p>
        </w:tc>
      </w:tr>
    </w:tbl>
    <w:p w14:paraId="1679150A" w14:textId="77777777" w:rsidR="00F11D8C" w:rsidRPr="00F11D8C" w:rsidRDefault="00F11D8C" w:rsidP="00F11D8C"/>
    <w:sectPr w:rsidR="00F11D8C" w:rsidRPr="00F11D8C" w:rsidSect="000C4989">
      <w:headerReference w:type="default" r:id="rId17"/>
      <w:footerReference w:type="default" r:id="rId18"/>
      <w:pgSz w:w="12242" w:h="15842" w:code="1"/>
      <w:pgMar w:top="1418" w:right="1418" w:bottom="1418" w:left="1418" w:header="851"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46CBC" w14:textId="77777777" w:rsidR="000C4989" w:rsidRDefault="000C4989">
      <w:r>
        <w:separator/>
      </w:r>
    </w:p>
    <w:p w14:paraId="0C2C3EB1" w14:textId="77777777" w:rsidR="000C4989" w:rsidRDefault="000C4989"/>
  </w:endnote>
  <w:endnote w:type="continuationSeparator" w:id="0">
    <w:p w14:paraId="47DE4A62" w14:textId="77777777" w:rsidR="000C4989" w:rsidRDefault="000C4989">
      <w:r>
        <w:continuationSeparator/>
      </w:r>
    </w:p>
    <w:p w14:paraId="35D874F5" w14:textId="77777777" w:rsidR="000C4989" w:rsidRDefault="000C4989"/>
  </w:endnote>
  <w:endnote w:type="continuationNotice" w:id="1">
    <w:p w14:paraId="7750DDB5" w14:textId="77777777" w:rsidR="000C4989" w:rsidRDefault="000C49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A9D4A" w14:textId="5586E51B" w:rsidR="00F41C2B" w:rsidRDefault="00F41C2B" w:rsidP="0077100C">
    <w:pPr>
      <w:pStyle w:val="Piedepgina"/>
      <w:rPr>
        <w:sz w:val="16"/>
      </w:rPr>
    </w:pPr>
  </w:p>
  <w:p w14:paraId="5171BA52" w14:textId="46E05CDE" w:rsidR="00C638AD" w:rsidRPr="00C638AD" w:rsidRDefault="00C638AD" w:rsidP="00C638AD">
    <w:pPr>
      <w:pStyle w:val="Textoindependiente"/>
      <w:jc w:val="left"/>
      <w:rPr>
        <w:rFonts w:cs="Arial"/>
        <w:b w:val="0"/>
        <w:bCs/>
        <w:sz w:val="18"/>
        <w:szCs w:val="18"/>
      </w:rPr>
    </w:pPr>
    <w:r>
      <w:rPr>
        <w:rFonts w:cs="Arial"/>
        <w:b w:val="0"/>
        <w:bCs/>
        <w:sz w:val="18"/>
        <w:szCs w:val="18"/>
      </w:rPr>
      <w:t xml:space="preserve">D – </w:t>
    </w:r>
    <w:r w:rsidR="00AF2F01">
      <w:rPr>
        <w:rFonts w:cs="Arial"/>
        <w:b w:val="0"/>
        <w:bCs/>
        <w:sz w:val="18"/>
        <w:szCs w:val="18"/>
      </w:rPr>
      <w:t xml:space="preserve">901 061 </w:t>
    </w:r>
    <w:r>
      <w:rPr>
        <w:rFonts w:cs="Arial"/>
        <w:b w:val="0"/>
        <w:bCs/>
        <w:sz w:val="18"/>
        <w:szCs w:val="18"/>
      </w:rPr>
      <w:t xml:space="preserve">DE </w:t>
    </w:r>
    <w:r w:rsidR="00A35513">
      <w:rPr>
        <w:rFonts w:cs="Arial"/>
        <w:b w:val="0"/>
        <w:bCs/>
        <w:sz w:val="18"/>
        <w:szCs w:val="18"/>
      </w:rPr>
      <w:t>2024</w:t>
    </w:r>
    <w:r>
      <w:rPr>
        <w:rFonts w:cs="Arial"/>
        <w:b w:val="0"/>
        <w:bCs/>
        <w:sz w:val="18"/>
        <w:szCs w:val="18"/>
      </w:rPr>
      <w:t xml:space="preserve"> - </w:t>
    </w:r>
    <w:r w:rsidRPr="00C638AD">
      <w:rPr>
        <w:rFonts w:cs="Arial"/>
        <w:b w:val="0"/>
        <w:bCs/>
        <w:sz w:val="18"/>
        <w:szCs w:val="18"/>
      </w:rPr>
      <w:t>DISPOSICIONES TRANSITORIAS SOBRE LOS MECANISMOS DE CUBRIMIENTO PARA LAS TRANSACCIONES DE ENERGÍA MAYORISTA</w:t>
    </w:r>
  </w:p>
  <w:p w14:paraId="4388A8DC" w14:textId="035D0550" w:rsidR="00F41C2B" w:rsidRPr="005D268E" w:rsidRDefault="00F41C2B" w:rsidP="00C638AD">
    <w:pPr>
      <w:pStyle w:val="Piedepgina"/>
      <w:rPr>
        <w:rFonts w:cs="Arial"/>
        <w:b/>
        <w:sz w:val="16"/>
      </w:rPr>
    </w:pP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2791"/>
      <w:gridCol w:w="2633"/>
    </w:tblGrid>
    <w:tr w:rsidR="00F41C2B" w:rsidRPr="00456730" w14:paraId="6F95465C" w14:textId="77777777" w:rsidTr="008E4B18">
      <w:trPr>
        <w:cantSplit/>
        <w:trHeight w:val="254"/>
        <w:jc w:val="center"/>
      </w:trPr>
      <w:tc>
        <w:tcPr>
          <w:tcW w:w="2314" w:type="pct"/>
          <w:vAlign w:val="center"/>
        </w:tcPr>
        <w:p w14:paraId="6CC2D4AA" w14:textId="77777777" w:rsidR="00F41C2B" w:rsidRPr="005D268E" w:rsidRDefault="00F41C2B" w:rsidP="00456730">
          <w:pPr>
            <w:contextualSpacing/>
            <w:rPr>
              <w:rFonts w:cs="Arial"/>
              <w:sz w:val="14"/>
            </w:rPr>
          </w:pPr>
          <w:r w:rsidRPr="005D268E">
            <w:rPr>
              <w:rFonts w:cs="Arial"/>
              <w:sz w:val="14"/>
            </w:rPr>
            <w:t xml:space="preserve">Proceso        </w:t>
          </w:r>
          <w:r w:rsidRPr="005D268E">
            <w:rPr>
              <w:rFonts w:cs="Arial"/>
              <w:b/>
              <w:sz w:val="14"/>
            </w:rPr>
            <w:t>REGULACIÓN</w:t>
          </w:r>
        </w:p>
      </w:tc>
      <w:tc>
        <w:tcPr>
          <w:tcW w:w="1382" w:type="pct"/>
          <w:vAlign w:val="center"/>
        </w:tcPr>
        <w:p w14:paraId="0965684F" w14:textId="77777777" w:rsidR="00F41C2B" w:rsidRPr="005D268E" w:rsidRDefault="00F41C2B" w:rsidP="00456730">
          <w:pPr>
            <w:contextualSpacing/>
            <w:rPr>
              <w:rFonts w:cs="Arial"/>
              <w:sz w:val="14"/>
            </w:rPr>
          </w:pPr>
          <w:r w:rsidRPr="005D268E">
            <w:rPr>
              <w:rFonts w:cs="Arial"/>
              <w:b/>
              <w:sz w:val="14"/>
            </w:rPr>
            <w:t xml:space="preserve">Código: </w:t>
          </w:r>
          <w:r w:rsidRPr="005D268E">
            <w:rPr>
              <w:rFonts w:cs="Arial"/>
              <w:sz w:val="14"/>
            </w:rPr>
            <w:t>RG-FT-005</w:t>
          </w:r>
        </w:p>
      </w:tc>
      <w:tc>
        <w:tcPr>
          <w:tcW w:w="1304" w:type="pct"/>
          <w:vAlign w:val="center"/>
        </w:tcPr>
        <w:p w14:paraId="125F5D91" w14:textId="77777777" w:rsidR="00F41C2B" w:rsidRPr="005D268E" w:rsidRDefault="00F41C2B" w:rsidP="00456730">
          <w:pPr>
            <w:contextualSpacing/>
            <w:rPr>
              <w:rFonts w:cs="Arial"/>
              <w:sz w:val="14"/>
            </w:rPr>
          </w:pPr>
          <w:r w:rsidRPr="005D268E">
            <w:rPr>
              <w:rFonts w:cs="Arial"/>
              <w:b/>
              <w:sz w:val="14"/>
            </w:rPr>
            <w:t xml:space="preserve">Versión: </w:t>
          </w:r>
          <w:r w:rsidRPr="005D268E">
            <w:rPr>
              <w:rFonts w:cs="Arial"/>
              <w:sz w:val="14"/>
            </w:rPr>
            <w:t>1</w:t>
          </w:r>
        </w:p>
      </w:tc>
    </w:tr>
    <w:tr w:rsidR="00F41C2B" w:rsidRPr="00456730" w14:paraId="12883856" w14:textId="77777777" w:rsidTr="008E4B18">
      <w:trPr>
        <w:cantSplit/>
        <w:trHeight w:val="261"/>
        <w:jc w:val="center"/>
      </w:trPr>
      <w:tc>
        <w:tcPr>
          <w:tcW w:w="2314" w:type="pct"/>
          <w:vAlign w:val="center"/>
        </w:tcPr>
        <w:p w14:paraId="4CB92A96" w14:textId="77777777" w:rsidR="00F41C2B" w:rsidRPr="005D268E" w:rsidRDefault="00F41C2B" w:rsidP="00456730">
          <w:pPr>
            <w:ind w:left="923" w:hanging="923"/>
            <w:contextualSpacing/>
            <w:rPr>
              <w:rFonts w:cs="Arial"/>
              <w:sz w:val="14"/>
            </w:rPr>
          </w:pPr>
          <w:r w:rsidRPr="005D268E">
            <w:rPr>
              <w:rFonts w:cs="Arial"/>
              <w:sz w:val="14"/>
            </w:rPr>
            <w:t xml:space="preserve">Documento   </w:t>
          </w:r>
          <w:r w:rsidRPr="005D268E">
            <w:rPr>
              <w:rFonts w:cs="Arial"/>
              <w:b/>
              <w:sz w:val="14"/>
            </w:rPr>
            <w:t>DOCUMENTO CREG</w:t>
          </w:r>
        </w:p>
      </w:tc>
      <w:tc>
        <w:tcPr>
          <w:tcW w:w="1382" w:type="pct"/>
          <w:vAlign w:val="center"/>
        </w:tcPr>
        <w:p w14:paraId="76A39D5F" w14:textId="77777777" w:rsidR="00F41C2B" w:rsidRPr="005D268E" w:rsidRDefault="00F41C2B" w:rsidP="008B734F">
          <w:pPr>
            <w:contextualSpacing/>
            <w:rPr>
              <w:rFonts w:cs="Arial"/>
              <w:sz w:val="14"/>
            </w:rPr>
          </w:pPr>
          <w:r w:rsidRPr="005D268E">
            <w:rPr>
              <w:rFonts w:cs="Arial"/>
              <w:b/>
              <w:sz w:val="14"/>
            </w:rPr>
            <w:t>Fecha última revisión: 14/11/2017</w:t>
          </w:r>
        </w:p>
      </w:tc>
      <w:tc>
        <w:tcPr>
          <w:tcW w:w="1304" w:type="pct"/>
          <w:vAlign w:val="center"/>
        </w:tcPr>
        <w:p w14:paraId="7DD94064" w14:textId="3E968799" w:rsidR="00F41C2B" w:rsidRPr="005D268E" w:rsidRDefault="00F41C2B" w:rsidP="00B60742">
          <w:pPr>
            <w:contextualSpacing/>
            <w:rPr>
              <w:rFonts w:cs="Arial"/>
              <w:sz w:val="14"/>
            </w:rPr>
          </w:pPr>
          <w:r w:rsidRPr="005D268E">
            <w:rPr>
              <w:rFonts w:cs="Arial"/>
              <w:b/>
              <w:sz w:val="14"/>
            </w:rPr>
            <w:t>Página:</w:t>
          </w:r>
          <w:r w:rsidRPr="005D268E">
            <w:rPr>
              <w:rFonts w:cs="Arial"/>
              <w:sz w:val="14"/>
            </w:rPr>
            <w:t xml:space="preserve"> </w:t>
          </w:r>
          <w:r w:rsidRPr="005D268E">
            <w:rPr>
              <w:rFonts w:cs="Arial"/>
              <w:sz w:val="14"/>
            </w:rPr>
            <w:fldChar w:fldCharType="begin"/>
          </w:r>
          <w:r w:rsidRPr="005D268E">
            <w:rPr>
              <w:rFonts w:cs="Arial"/>
              <w:sz w:val="14"/>
            </w:rPr>
            <w:instrText xml:space="preserve"> PAGE </w:instrText>
          </w:r>
          <w:r w:rsidRPr="005D268E">
            <w:rPr>
              <w:rFonts w:cs="Arial"/>
              <w:sz w:val="14"/>
            </w:rPr>
            <w:fldChar w:fldCharType="separate"/>
          </w:r>
          <w:r w:rsidR="009C3917" w:rsidRPr="005D268E">
            <w:rPr>
              <w:rFonts w:cs="Arial"/>
              <w:sz w:val="14"/>
            </w:rPr>
            <w:t>8</w:t>
          </w:r>
          <w:r w:rsidRPr="005D268E">
            <w:rPr>
              <w:rFonts w:cs="Arial"/>
              <w:sz w:val="14"/>
            </w:rPr>
            <w:fldChar w:fldCharType="end"/>
          </w:r>
          <w:r w:rsidRPr="005D268E">
            <w:rPr>
              <w:rFonts w:cs="Arial"/>
              <w:sz w:val="14"/>
            </w:rPr>
            <w:t xml:space="preserve"> </w:t>
          </w:r>
        </w:p>
      </w:tc>
    </w:tr>
  </w:tbl>
  <w:p w14:paraId="0EE60666" w14:textId="77777777" w:rsidR="00F41C2B" w:rsidRPr="005D268E" w:rsidRDefault="00F41C2B" w:rsidP="00D14099">
    <w:pPr>
      <w:ind w:right="-449"/>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33B43" w14:textId="77777777" w:rsidR="000C4989" w:rsidRDefault="000C4989">
      <w:r>
        <w:separator/>
      </w:r>
    </w:p>
    <w:p w14:paraId="25555F18" w14:textId="77777777" w:rsidR="000C4989" w:rsidRDefault="000C4989"/>
  </w:footnote>
  <w:footnote w:type="continuationSeparator" w:id="0">
    <w:p w14:paraId="1749969C" w14:textId="77777777" w:rsidR="000C4989" w:rsidRDefault="000C4989">
      <w:r>
        <w:continuationSeparator/>
      </w:r>
    </w:p>
    <w:p w14:paraId="7D239BBC" w14:textId="77777777" w:rsidR="000C4989" w:rsidRDefault="000C4989"/>
  </w:footnote>
  <w:footnote w:type="continuationNotice" w:id="1">
    <w:p w14:paraId="45374CDD" w14:textId="77777777" w:rsidR="000C4989" w:rsidRDefault="000C4989"/>
  </w:footnote>
  <w:footnote w:id="2">
    <w:p w14:paraId="3687D515" w14:textId="69638603" w:rsidR="00485C74" w:rsidRPr="00C947B0" w:rsidRDefault="00485C74">
      <w:pPr>
        <w:pStyle w:val="Textonotapie"/>
        <w:rPr>
          <w:sz w:val="18"/>
          <w:szCs w:val="18"/>
        </w:rPr>
      </w:pPr>
      <w:r w:rsidRPr="00C947B0">
        <w:rPr>
          <w:rStyle w:val="Refdenotaalpie"/>
          <w:sz w:val="18"/>
          <w:szCs w:val="18"/>
        </w:rPr>
        <w:footnoteRef/>
      </w:r>
      <w:r w:rsidRPr="00C947B0">
        <w:rPr>
          <w:sz w:val="18"/>
          <w:szCs w:val="18"/>
        </w:rPr>
        <w:t xml:space="preserve"> </w:t>
      </w:r>
      <w:r w:rsidR="00F807F3" w:rsidRPr="00C947B0">
        <w:rPr>
          <w:sz w:val="18"/>
          <w:szCs w:val="18"/>
        </w:rPr>
        <w:t xml:space="preserve">Tomado de la página de XM. Disponible en la página web: </w:t>
      </w:r>
      <w:hyperlink r:id="rId1" w:history="1">
        <w:r w:rsidR="00F807F3" w:rsidRPr="00C947B0">
          <w:rPr>
            <w:rStyle w:val="Hipervnculo"/>
            <w:sz w:val="18"/>
            <w:szCs w:val="18"/>
          </w:rPr>
          <w:t>https://sinergox.xm.com.co/hdrlg/Paginas/Informes/ReservasHidricasSIN.aspx</w:t>
        </w:r>
      </w:hyperlink>
      <w:r w:rsidR="00F807F3" w:rsidRPr="00C947B0">
        <w:rPr>
          <w:sz w:val="18"/>
          <w:szCs w:val="18"/>
        </w:rPr>
        <w:t xml:space="preserve"> </w:t>
      </w:r>
    </w:p>
  </w:footnote>
  <w:footnote w:id="3">
    <w:p w14:paraId="1623CCA4" w14:textId="6424D2D1" w:rsidR="009C1EEC" w:rsidRPr="009C1EEC" w:rsidRDefault="009C1EEC">
      <w:pPr>
        <w:pStyle w:val="Textonotapie"/>
      </w:pPr>
      <w:r w:rsidRPr="009C1EEC">
        <w:rPr>
          <w:rStyle w:val="Refdenotaalpie"/>
          <w:sz w:val="18"/>
          <w:szCs w:val="22"/>
        </w:rPr>
        <w:footnoteRef/>
      </w:r>
      <w:r w:rsidRPr="009C1EEC">
        <w:rPr>
          <w:sz w:val="18"/>
          <w:szCs w:val="22"/>
        </w:rPr>
        <w:t xml:space="preserve"> Datos consultados para marzo en la página de XM. Disponible en la página web: </w:t>
      </w:r>
      <w:hyperlink r:id="rId2" w:history="1">
        <w:r w:rsidRPr="009C1EEC">
          <w:rPr>
            <w:rStyle w:val="Hipervnculo"/>
            <w:sz w:val="18"/>
            <w:szCs w:val="22"/>
          </w:rPr>
          <w:t>https://sinergox.xm.com.co/dmnd/Paginas/Informes/VariacionDemandaComercial.aspx</w:t>
        </w:r>
      </w:hyperlink>
      <w:r w:rsidRPr="009C1EEC">
        <w:rPr>
          <w:sz w:val="18"/>
          <w:szCs w:val="22"/>
        </w:rPr>
        <w:t xml:space="preserve"> </w:t>
      </w:r>
    </w:p>
  </w:footnote>
  <w:footnote w:id="4">
    <w:p w14:paraId="59CE437C" w14:textId="77777777" w:rsidR="00283613" w:rsidRPr="00C947B0" w:rsidRDefault="00283613" w:rsidP="00283613">
      <w:pPr>
        <w:pStyle w:val="Textonotapie"/>
        <w:rPr>
          <w:sz w:val="18"/>
          <w:szCs w:val="18"/>
        </w:rPr>
      </w:pPr>
      <w:r w:rsidRPr="00C947B0">
        <w:rPr>
          <w:rStyle w:val="Refdenotaalpie"/>
          <w:sz w:val="18"/>
          <w:szCs w:val="18"/>
        </w:rPr>
        <w:footnoteRef/>
      </w:r>
      <w:r w:rsidRPr="00C947B0">
        <w:rPr>
          <w:sz w:val="18"/>
          <w:szCs w:val="18"/>
        </w:rPr>
        <w:t xml:space="preserve"> De la agencia internacional NOAA. Disponible en la página web: https://www.cpc.ncep.noaa.gov/products/analysis_monitoring/enso_advisory/index.shtml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E39D7" w14:textId="2CA93DE2" w:rsidR="00A128F3" w:rsidRPr="005D268E" w:rsidRDefault="00607347">
    <w:pPr>
      <w:pStyle w:val="Encabezado"/>
      <w:rPr>
        <w:rFonts w:cs="Arial"/>
      </w:rPr>
    </w:pPr>
    <w:r w:rsidRPr="005D268E">
      <w:rPr>
        <w:rFonts w:cs="Arial"/>
        <w:b/>
        <w:i/>
        <w:color w:val="808080"/>
        <w:sz w:val="16"/>
      </w:rPr>
      <w:t>Sesión No</w:t>
    </w:r>
    <w:r w:rsidR="00900042" w:rsidRPr="005D268E">
      <w:rPr>
        <w:rFonts w:cs="Arial"/>
        <w:b/>
        <w:i/>
        <w:color w:val="808080"/>
        <w:sz w:val="16"/>
      </w:rPr>
      <w:t>.</w:t>
    </w:r>
    <w:r w:rsidRPr="005D268E">
      <w:rPr>
        <w:rFonts w:cs="Arial"/>
        <w:b/>
        <w:i/>
        <w:color w:val="808080"/>
        <w:sz w:val="16"/>
      </w:rPr>
      <w:t xml:space="preserve"> </w:t>
    </w:r>
    <w:r w:rsidR="00AF2F01">
      <w:rPr>
        <w:rFonts w:cs="Arial"/>
        <w:b/>
        <w:i/>
        <w:color w:val="808080"/>
        <w:sz w:val="16"/>
      </w:rPr>
      <w:t>1309</w:t>
    </w:r>
  </w:p>
</w:hdr>
</file>

<file path=word/intelligence2.xml><?xml version="1.0" encoding="utf-8"?>
<int2:intelligence xmlns:int2="http://schemas.microsoft.com/office/intelligence/2020/intelligence" xmlns:oel="http://schemas.microsoft.com/office/2019/extlst">
  <int2:observations>
    <int2:textHash int2:hashCode="ts7tBB3K5JVRy4" int2:id="9Vt7KeTg">
      <int2:state int2:value="Rejected" int2:type="AugLoop_Text_Critique"/>
    </int2:textHash>
    <int2:textHash int2:hashCode="inh1tdyKMDdh0c" int2:id="CkcnI6p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15:restartNumberingAfterBreak="0">
    <w:nsid w:val="00A14A53"/>
    <w:multiLevelType w:val="hybridMultilevel"/>
    <w:tmpl w:val="25B2641C"/>
    <w:lvl w:ilvl="0" w:tplc="8EF60D62">
      <w:start w:val="1"/>
      <w:numFmt w:val="bullet"/>
      <w:lvlText w:val=""/>
      <w:lvlJc w:val="left"/>
      <w:pPr>
        <w:ind w:left="790" w:hanging="360"/>
      </w:pPr>
      <w:rPr>
        <w:rFonts w:ascii="Symbol" w:hAnsi="Symbol"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E61EF9"/>
    <w:multiLevelType w:val="hybridMultilevel"/>
    <w:tmpl w:val="C20E0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F44159"/>
    <w:multiLevelType w:val="multilevel"/>
    <w:tmpl w:val="FCC81772"/>
    <w:lvl w:ilvl="0">
      <w:start w:val="1"/>
      <w:numFmt w:val="decimal"/>
      <w:pStyle w:val="Ttulo1"/>
      <w:lvlText w:val="%1."/>
      <w:lvlJc w:val="left"/>
      <w:pPr>
        <w:tabs>
          <w:tab w:val="num" w:pos="432"/>
        </w:tabs>
        <w:ind w:left="432" w:hanging="432"/>
      </w:pPr>
      <w:rPr>
        <w:lang w:val="es-ES_tradnl"/>
      </w:rPr>
    </w:lvl>
    <w:lvl w:ilvl="1">
      <w:start w:val="1"/>
      <w:numFmt w:val="decimal"/>
      <w:pStyle w:val="Ttulo2"/>
      <w:lvlText w:val="%1.%2"/>
      <w:lvlJc w:val="left"/>
      <w:pPr>
        <w:tabs>
          <w:tab w:val="num" w:pos="576"/>
        </w:tabs>
        <w:ind w:left="576" w:hanging="576"/>
      </w:pPr>
      <w:rPr>
        <w:b w:val="0"/>
        <w:bCs/>
        <w:sz w:val="24"/>
        <w:szCs w:val="28"/>
      </w:r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 w15:restartNumberingAfterBreak="0">
    <w:nsid w:val="19FE5CA3"/>
    <w:multiLevelType w:val="hybridMultilevel"/>
    <w:tmpl w:val="BFCC6FF0"/>
    <w:lvl w:ilvl="0" w:tplc="FD2C48D6">
      <w:start w:val="18"/>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6976FD"/>
    <w:multiLevelType w:val="hybridMultilevel"/>
    <w:tmpl w:val="214480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EC000C"/>
    <w:multiLevelType w:val="hybridMultilevel"/>
    <w:tmpl w:val="34342C72"/>
    <w:lvl w:ilvl="0" w:tplc="8EF60D62">
      <w:start w:val="1"/>
      <w:numFmt w:val="bullet"/>
      <w:lvlText w:val=""/>
      <w:lvlJc w:val="left"/>
      <w:pPr>
        <w:ind w:left="790" w:hanging="360"/>
      </w:pPr>
      <w:rPr>
        <w:rFonts w:ascii="Symbol" w:hAnsi="Symbol" w:hint="default"/>
        <w:sz w:val="20"/>
        <w:szCs w:val="20"/>
      </w:rPr>
    </w:lvl>
    <w:lvl w:ilvl="1" w:tplc="240A0003" w:tentative="1">
      <w:start w:val="1"/>
      <w:numFmt w:val="bullet"/>
      <w:lvlText w:val="o"/>
      <w:lvlJc w:val="left"/>
      <w:pPr>
        <w:ind w:left="1510" w:hanging="360"/>
      </w:pPr>
      <w:rPr>
        <w:rFonts w:ascii="Courier New" w:hAnsi="Courier New" w:cs="Courier New" w:hint="default"/>
      </w:rPr>
    </w:lvl>
    <w:lvl w:ilvl="2" w:tplc="240A0005" w:tentative="1">
      <w:start w:val="1"/>
      <w:numFmt w:val="bullet"/>
      <w:lvlText w:val=""/>
      <w:lvlJc w:val="left"/>
      <w:pPr>
        <w:ind w:left="2230" w:hanging="360"/>
      </w:pPr>
      <w:rPr>
        <w:rFonts w:ascii="Wingdings" w:hAnsi="Wingdings" w:hint="default"/>
      </w:rPr>
    </w:lvl>
    <w:lvl w:ilvl="3" w:tplc="240A0001" w:tentative="1">
      <w:start w:val="1"/>
      <w:numFmt w:val="bullet"/>
      <w:lvlText w:val=""/>
      <w:lvlJc w:val="left"/>
      <w:pPr>
        <w:ind w:left="2950" w:hanging="360"/>
      </w:pPr>
      <w:rPr>
        <w:rFonts w:ascii="Symbol" w:hAnsi="Symbol" w:hint="default"/>
      </w:rPr>
    </w:lvl>
    <w:lvl w:ilvl="4" w:tplc="240A0003" w:tentative="1">
      <w:start w:val="1"/>
      <w:numFmt w:val="bullet"/>
      <w:lvlText w:val="o"/>
      <w:lvlJc w:val="left"/>
      <w:pPr>
        <w:ind w:left="3670" w:hanging="360"/>
      </w:pPr>
      <w:rPr>
        <w:rFonts w:ascii="Courier New" w:hAnsi="Courier New" w:cs="Courier New" w:hint="default"/>
      </w:rPr>
    </w:lvl>
    <w:lvl w:ilvl="5" w:tplc="240A0005" w:tentative="1">
      <w:start w:val="1"/>
      <w:numFmt w:val="bullet"/>
      <w:lvlText w:val=""/>
      <w:lvlJc w:val="left"/>
      <w:pPr>
        <w:ind w:left="4390" w:hanging="360"/>
      </w:pPr>
      <w:rPr>
        <w:rFonts w:ascii="Wingdings" w:hAnsi="Wingdings" w:hint="default"/>
      </w:rPr>
    </w:lvl>
    <w:lvl w:ilvl="6" w:tplc="240A0001" w:tentative="1">
      <w:start w:val="1"/>
      <w:numFmt w:val="bullet"/>
      <w:lvlText w:val=""/>
      <w:lvlJc w:val="left"/>
      <w:pPr>
        <w:ind w:left="5110" w:hanging="360"/>
      </w:pPr>
      <w:rPr>
        <w:rFonts w:ascii="Symbol" w:hAnsi="Symbol" w:hint="default"/>
      </w:rPr>
    </w:lvl>
    <w:lvl w:ilvl="7" w:tplc="240A0003" w:tentative="1">
      <w:start w:val="1"/>
      <w:numFmt w:val="bullet"/>
      <w:lvlText w:val="o"/>
      <w:lvlJc w:val="left"/>
      <w:pPr>
        <w:ind w:left="5830" w:hanging="360"/>
      </w:pPr>
      <w:rPr>
        <w:rFonts w:ascii="Courier New" w:hAnsi="Courier New" w:cs="Courier New" w:hint="default"/>
      </w:rPr>
    </w:lvl>
    <w:lvl w:ilvl="8" w:tplc="240A0005" w:tentative="1">
      <w:start w:val="1"/>
      <w:numFmt w:val="bullet"/>
      <w:lvlText w:val=""/>
      <w:lvlJc w:val="left"/>
      <w:pPr>
        <w:ind w:left="6550" w:hanging="360"/>
      </w:pPr>
      <w:rPr>
        <w:rFonts w:ascii="Wingdings" w:hAnsi="Wingdings" w:hint="default"/>
      </w:rPr>
    </w:lvl>
  </w:abstractNum>
  <w:abstractNum w:abstractNumId="7" w15:restartNumberingAfterBreak="0">
    <w:nsid w:val="40025AFD"/>
    <w:multiLevelType w:val="hybridMultilevel"/>
    <w:tmpl w:val="748817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3652D3F"/>
    <w:multiLevelType w:val="hybridMultilevel"/>
    <w:tmpl w:val="55B44EB0"/>
    <w:lvl w:ilvl="0" w:tplc="B1DCCFC6">
      <w:start w:val="23"/>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292B89"/>
    <w:multiLevelType w:val="hybridMultilevel"/>
    <w:tmpl w:val="A05682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8204A93"/>
    <w:multiLevelType w:val="hybridMultilevel"/>
    <w:tmpl w:val="59A202A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01F704A"/>
    <w:multiLevelType w:val="hybridMultilevel"/>
    <w:tmpl w:val="1318FD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BC53DCA"/>
    <w:multiLevelType w:val="hybridMultilevel"/>
    <w:tmpl w:val="3CF01DC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80B10EA"/>
    <w:multiLevelType w:val="hybridMultilevel"/>
    <w:tmpl w:val="8B048AE8"/>
    <w:lvl w:ilvl="0" w:tplc="51A0B82C">
      <w:start w:val="1"/>
      <w:numFmt w:val="decimal"/>
      <w:pStyle w:val="Artculo"/>
      <w:lvlText w:val="Artículo %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s-E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EDC2DFC">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456603816">
    <w:abstractNumId w:val="3"/>
  </w:num>
  <w:num w:numId="2" w16cid:durableId="35618209">
    <w:abstractNumId w:val="13"/>
  </w:num>
  <w:num w:numId="3" w16cid:durableId="1037313664">
    <w:abstractNumId w:val="0"/>
  </w:num>
  <w:num w:numId="4" w16cid:durableId="2138794626">
    <w:abstractNumId w:val="8"/>
  </w:num>
  <w:num w:numId="5" w16cid:durableId="295574058">
    <w:abstractNumId w:val="2"/>
  </w:num>
  <w:num w:numId="6" w16cid:durableId="511379290">
    <w:abstractNumId w:val="11"/>
  </w:num>
  <w:num w:numId="7" w16cid:durableId="594824197">
    <w:abstractNumId w:val="12"/>
  </w:num>
  <w:num w:numId="8" w16cid:durableId="897015959">
    <w:abstractNumId w:val="3"/>
  </w:num>
  <w:num w:numId="9" w16cid:durableId="1933320333">
    <w:abstractNumId w:val="4"/>
  </w:num>
  <w:num w:numId="10" w16cid:durableId="338774792">
    <w:abstractNumId w:val="5"/>
  </w:num>
  <w:num w:numId="11" w16cid:durableId="630551516">
    <w:abstractNumId w:val="9"/>
  </w:num>
  <w:num w:numId="12" w16cid:durableId="429665027">
    <w:abstractNumId w:val="7"/>
  </w:num>
  <w:num w:numId="13" w16cid:durableId="72090411">
    <w:abstractNumId w:val="6"/>
  </w:num>
  <w:num w:numId="14" w16cid:durableId="1413433381">
    <w:abstractNumId w:val="1"/>
  </w:num>
  <w:num w:numId="15" w16cid:durableId="1856383573">
    <w:abstractNumId w:val="3"/>
  </w:num>
  <w:num w:numId="16" w16cid:durableId="374625369">
    <w:abstractNumId w:val="3"/>
  </w:num>
  <w:num w:numId="17" w16cid:durableId="135306910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852"/>
    <w:rsid w:val="00000520"/>
    <w:rsid w:val="000005DE"/>
    <w:rsid w:val="00000F73"/>
    <w:rsid w:val="0000176B"/>
    <w:rsid w:val="00001C3C"/>
    <w:rsid w:val="0000217C"/>
    <w:rsid w:val="0000240F"/>
    <w:rsid w:val="00002A0D"/>
    <w:rsid w:val="00002F00"/>
    <w:rsid w:val="000037FD"/>
    <w:rsid w:val="00003D33"/>
    <w:rsid w:val="00005B87"/>
    <w:rsid w:val="00005DC2"/>
    <w:rsid w:val="00006DD9"/>
    <w:rsid w:val="00012104"/>
    <w:rsid w:val="000124EF"/>
    <w:rsid w:val="00012F59"/>
    <w:rsid w:val="00013162"/>
    <w:rsid w:val="000163BC"/>
    <w:rsid w:val="00016751"/>
    <w:rsid w:val="00020441"/>
    <w:rsid w:val="00020984"/>
    <w:rsid w:val="00020E2C"/>
    <w:rsid w:val="00021E9E"/>
    <w:rsid w:val="00022238"/>
    <w:rsid w:val="00022B06"/>
    <w:rsid w:val="00022C18"/>
    <w:rsid w:val="00022EEE"/>
    <w:rsid w:val="00022F7C"/>
    <w:rsid w:val="00023885"/>
    <w:rsid w:val="000238B3"/>
    <w:rsid w:val="00023E93"/>
    <w:rsid w:val="00024A6A"/>
    <w:rsid w:val="00024C89"/>
    <w:rsid w:val="00025A40"/>
    <w:rsid w:val="00026AC2"/>
    <w:rsid w:val="00026FC8"/>
    <w:rsid w:val="00030823"/>
    <w:rsid w:val="00030B15"/>
    <w:rsid w:val="00030F26"/>
    <w:rsid w:val="00031135"/>
    <w:rsid w:val="00031356"/>
    <w:rsid w:val="00031614"/>
    <w:rsid w:val="00031D45"/>
    <w:rsid w:val="000321A1"/>
    <w:rsid w:val="00032C92"/>
    <w:rsid w:val="0003325E"/>
    <w:rsid w:val="00033296"/>
    <w:rsid w:val="00033E88"/>
    <w:rsid w:val="00035D45"/>
    <w:rsid w:val="000363A2"/>
    <w:rsid w:val="000363A9"/>
    <w:rsid w:val="000364E1"/>
    <w:rsid w:val="0003677A"/>
    <w:rsid w:val="000369BC"/>
    <w:rsid w:val="00036E55"/>
    <w:rsid w:val="000377A4"/>
    <w:rsid w:val="00037822"/>
    <w:rsid w:val="00037915"/>
    <w:rsid w:val="000400BA"/>
    <w:rsid w:val="0004057D"/>
    <w:rsid w:val="0004084D"/>
    <w:rsid w:val="000411AB"/>
    <w:rsid w:val="00042179"/>
    <w:rsid w:val="00042A6E"/>
    <w:rsid w:val="00042CC2"/>
    <w:rsid w:val="00042FE2"/>
    <w:rsid w:val="0004301E"/>
    <w:rsid w:val="000431EE"/>
    <w:rsid w:val="00043C24"/>
    <w:rsid w:val="0004401E"/>
    <w:rsid w:val="00044585"/>
    <w:rsid w:val="00044B46"/>
    <w:rsid w:val="00046008"/>
    <w:rsid w:val="000470D2"/>
    <w:rsid w:val="000479A7"/>
    <w:rsid w:val="000503B3"/>
    <w:rsid w:val="00050724"/>
    <w:rsid w:val="000507F0"/>
    <w:rsid w:val="000527A6"/>
    <w:rsid w:val="00052AED"/>
    <w:rsid w:val="00052C88"/>
    <w:rsid w:val="00053A4A"/>
    <w:rsid w:val="00053DCC"/>
    <w:rsid w:val="00054620"/>
    <w:rsid w:val="000549C1"/>
    <w:rsid w:val="0005548C"/>
    <w:rsid w:val="000555B2"/>
    <w:rsid w:val="00055910"/>
    <w:rsid w:val="00055978"/>
    <w:rsid w:val="00055EB9"/>
    <w:rsid w:val="0005667E"/>
    <w:rsid w:val="00056975"/>
    <w:rsid w:val="00056AD5"/>
    <w:rsid w:val="00056DFC"/>
    <w:rsid w:val="00056E9F"/>
    <w:rsid w:val="00056F56"/>
    <w:rsid w:val="00057239"/>
    <w:rsid w:val="0005773E"/>
    <w:rsid w:val="000607C3"/>
    <w:rsid w:val="00060B07"/>
    <w:rsid w:val="00060C4E"/>
    <w:rsid w:val="00061252"/>
    <w:rsid w:val="00061383"/>
    <w:rsid w:val="00062261"/>
    <w:rsid w:val="0006281C"/>
    <w:rsid w:val="0006296A"/>
    <w:rsid w:val="00063B7F"/>
    <w:rsid w:val="000640D8"/>
    <w:rsid w:val="000643A6"/>
    <w:rsid w:val="000643AD"/>
    <w:rsid w:val="0006449C"/>
    <w:rsid w:val="0006456B"/>
    <w:rsid w:val="00064A21"/>
    <w:rsid w:val="00064E99"/>
    <w:rsid w:val="0006551D"/>
    <w:rsid w:val="00065FC2"/>
    <w:rsid w:val="00066A82"/>
    <w:rsid w:val="00066F65"/>
    <w:rsid w:val="00070293"/>
    <w:rsid w:val="00070614"/>
    <w:rsid w:val="00070700"/>
    <w:rsid w:val="00072207"/>
    <w:rsid w:val="00072F9B"/>
    <w:rsid w:val="00073554"/>
    <w:rsid w:val="00073D3D"/>
    <w:rsid w:val="00073E22"/>
    <w:rsid w:val="00074D5B"/>
    <w:rsid w:val="0007525D"/>
    <w:rsid w:val="00075463"/>
    <w:rsid w:val="00075633"/>
    <w:rsid w:val="00075A5E"/>
    <w:rsid w:val="00075DC8"/>
    <w:rsid w:val="0007619A"/>
    <w:rsid w:val="00076A4B"/>
    <w:rsid w:val="000778A1"/>
    <w:rsid w:val="00077BD2"/>
    <w:rsid w:val="00077E6D"/>
    <w:rsid w:val="00080E5C"/>
    <w:rsid w:val="0008111E"/>
    <w:rsid w:val="00081262"/>
    <w:rsid w:val="0008133D"/>
    <w:rsid w:val="00081F2C"/>
    <w:rsid w:val="0008277C"/>
    <w:rsid w:val="00083698"/>
    <w:rsid w:val="00085525"/>
    <w:rsid w:val="00085698"/>
    <w:rsid w:val="00085B2C"/>
    <w:rsid w:val="000870DB"/>
    <w:rsid w:val="00087999"/>
    <w:rsid w:val="000905CD"/>
    <w:rsid w:val="0009100D"/>
    <w:rsid w:val="0009130B"/>
    <w:rsid w:val="00091C72"/>
    <w:rsid w:val="00091C8F"/>
    <w:rsid w:val="00092CF0"/>
    <w:rsid w:val="000935FD"/>
    <w:rsid w:val="000940F7"/>
    <w:rsid w:val="000949B1"/>
    <w:rsid w:val="000951F6"/>
    <w:rsid w:val="00095AA0"/>
    <w:rsid w:val="00095FBF"/>
    <w:rsid w:val="0009601F"/>
    <w:rsid w:val="00096418"/>
    <w:rsid w:val="00096DDF"/>
    <w:rsid w:val="00097019"/>
    <w:rsid w:val="00097C6C"/>
    <w:rsid w:val="00097C75"/>
    <w:rsid w:val="000A0C8A"/>
    <w:rsid w:val="000A11AD"/>
    <w:rsid w:val="000A19BD"/>
    <w:rsid w:val="000A25B9"/>
    <w:rsid w:val="000A25FD"/>
    <w:rsid w:val="000A2A5A"/>
    <w:rsid w:val="000A2E70"/>
    <w:rsid w:val="000A388F"/>
    <w:rsid w:val="000A3E17"/>
    <w:rsid w:val="000A4BB3"/>
    <w:rsid w:val="000A5922"/>
    <w:rsid w:val="000A5F1B"/>
    <w:rsid w:val="000A69F8"/>
    <w:rsid w:val="000A6AE1"/>
    <w:rsid w:val="000A6C70"/>
    <w:rsid w:val="000A73A4"/>
    <w:rsid w:val="000A7A15"/>
    <w:rsid w:val="000A7CD6"/>
    <w:rsid w:val="000A7F52"/>
    <w:rsid w:val="000A7FF0"/>
    <w:rsid w:val="000B17AD"/>
    <w:rsid w:val="000B1989"/>
    <w:rsid w:val="000B19CC"/>
    <w:rsid w:val="000B1DF5"/>
    <w:rsid w:val="000B27FE"/>
    <w:rsid w:val="000B2AA3"/>
    <w:rsid w:val="000B3318"/>
    <w:rsid w:val="000B37FB"/>
    <w:rsid w:val="000B537C"/>
    <w:rsid w:val="000B55FD"/>
    <w:rsid w:val="000B5BC8"/>
    <w:rsid w:val="000B6D11"/>
    <w:rsid w:val="000B7A15"/>
    <w:rsid w:val="000B7BE8"/>
    <w:rsid w:val="000B7F3C"/>
    <w:rsid w:val="000C157F"/>
    <w:rsid w:val="000C22E0"/>
    <w:rsid w:val="000C387C"/>
    <w:rsid w:val="000C3B76"/>
    <w:rsid w:val="000C3DEA"/>
    <w:rsid w:val="000C4098"/>
    <w:rsid w:val="000C4202"/>
    <w:rsid w:val="000C4989"/>
    <w:rsid w:val="000C5014"/>
    <w:rsid w:val="000C5C64"/>
    <w:rsid w:val="000C5FD2"/>
    <w:rsid w:val="000C62CF"/>
    <w:rsid w:val="000C6EE9"/>
    <w:rsid w:val="000C7414"/>
    <w:rsid w:val="000C76E9"/>
    <w:rsid w:val="000C7850"/>
    <w:rsid w:val="000C786D"/>
    <w:rsid w:val="000C798F"/>
    <w:rsid w:val="000D08B2"/>
    <w:rsid w:val="000D0DF5"/>
    <w:rsid w:val="000D0F08"/>
    <w:rsid w:val="000D15B3"/>
    <w:rsid w:val="000D1755"/>
    <w:rsid w:val="000D19AC"/>
    <w:rsid w:val="000D2593"/>
    <w:rsid w:val="000D2BE3"/>
    <w:rsid w:val="000D4092"/>
    <w:rsid w:val="000D40DF"/>
    <w:rsid w:val="000D48CE"/>
    <w:rsid w:val="000D51BE"/>
    <w:rsid w:val="000D7533"/>
    <w:rsid w:val="000D7746"/>
    <w:rsid w:val="000D7794"/>
    <w:rsid w:val="000D7990"/>
    <w:rsid w:val="000D7CC0"/>
    <w:rsid w:val="000E06DC"/>
    <w:rsid w:val="000E0D4D"/>
    <w:rsid w:val="000E1094"/>
    <w:rsid w:val="000E2A6D"/>
    <w:rsid w:val="000E31C3"/>
    <w:rsid w:val="000E5AFB"/>
    <w:rsid w:val="000E6155"/>
    <w:rsid w:val="000E6365"/>
    <w:rsid w:val="000E6426"/>
    <w:rsid w:val="000E67AC"/>
    <w:rsid w:val="000E6A9D"/>
    <w:rsid w:val="000E7647"/>
    <w:rsid w:val="000F0D65"/>
    <w:rsid w:val="000F151E"/>
    <w:rsid w:val="000F372B"/>
    <w:rsid w:val="000F4FD3"/>
    <w:rsid w:val="000F5027"/>
    <w:rsid w:val="000F535B"/>
    <w:rsid w:val="000F5784"/>
    <w:rsid w:val="000F5AAA"/>
    <w:rsid w:val="000F656E"/>
    <w:rsid w:val="000F6CB7"/>
    <w:rsid w:val="000F73BD"/>
    <w:rsid w:val="001002D4"/>
    <w:rsid w:val="0010084D"/>
    <w:rsid w:val="001008A1"/>
    <w:rsid w:val="00100BD0"/>
    <w:rsid w:val="001012B4"/>
    <w:rsid w:val="00101598"/>
    <w:rsid w:val="00101F5F"/>
    <w:rsid w:val="00102E08"/>
    <w:rsid w:val="00102E33"/>
    <w:rsid w:val="0010382B"/>
    <w:rsid w:val="001041CB"/>
    <w:rsid w:val="001047C8"/>
    <w:rsid w:val="0010498F"/>
    <w:rsid w:val="001049B6"/>
    <w:rsid w:val="00104BF1"/>
    <w:rsid w:val="00106F41"/>
    <w:rsid w:val="00107062"/>
    <w:rsid w:val="001071DA"/>
    <w:rsid w:val="00110213"/>
    <w:rsid w:val="00110278"/>
    <w:rsid w:val="0011136E"/>
    <w:rsid w:val="001125E8"/>
    <w:rsid w:val="00112EAE"/>
    <w:rsid w:val="00113060"/>
    <w:rsid w:val="00113386"/>
    <w:rsid w:val="001144FF"/>
    <w:rsid w:val="001147C8"/>
    <w:rsid w:val="00114A98"/>
    <w:rsid w:val="00114AB6"/>
    <w:rsid w:val="0011521E"/>
    <w:rsid w:val="00115446"/>
    <w:rsid w:val="00115552"/>
    <w:rsid w:val="00116546"/>
    <w:rsid w:val="00116A2B"/>
    <w:rsid w:val="00116C09"/>
    <w:rsid w:val="00117912"/>
    <w:rsid w:val="00117995"/>
    <w:rsid w:val="001203F5"/>
    <w:rsid w:val="001209E4"/>
    <w:rsid w:val="00120BE2"/>
    <w:rsid w:val="00121AE0"/>
    <w:rsid w:val="001220CE"/>
    <w:rsid w:val="001226B5"/>
    <w:rsid w:val="00122925"/>
    <w:rsid w:val="001235A7"/>
    <w:rsid w:val="00123958"/>
    <w:rsid w:val="00123D2D"/>
    <w:rsid w:val="00123EE1"/>
    <w:rsid w:val="001249B5"/>
    <w:rsid w:val="00124C24"/>
    <w:rsid w:val="00125442"/>
    <w:rsid w:val="00126129"/>
    <w:rsid w:val="001279F4"/>
    <w:rsid w:val="00130387"/>
    <w:rsid w:val="001306E9"/>
    <w:rsid w:val="00130AF3"/>
    <w:rsid w:val="001315AB"/>
    <w:rsid w:val="00132AC2"/>
    <w:rsid w:val="00132BF6"/>
    <w:rsid w:val="001345C0"/>
    <w:rsid w:val="0013652F"/>
    <w:rsid w:val="0013720F"/>
    <w:rsid w:val="0013734F"/>
    <w:rsid w:val="00137B0B"/>
    <w:rsid w:val="00137F51"/>
    <w:rsid w:val="00137F83"/>
    <w:rsid w:val="0014133A"/>
    <w:rsid w:val="00141611"/>
    <w:rsid w:val="001416A9"/>
    <w:rsid w:val="00142DF9"/>
    <w:rsid w:val="001435A6"/>
    <w:rsid w:val="00143D5F"/>
    <w:rsid w:val="001445D1"/>
    <w:rsid w:val="00144FE6"/>
    <w:rsid w:val="00145690"/>
    <w:rsid w:val="0014581A"/>
    <w:rsid w:val="00145EE1"/>
    <w:rsid w:val="0014739F"/>
    <w:rsid w:val="00147A01"/>
    <w:rsid w:val="00147C3A"/>
    <w:rsid w:val="00150576"/>
    <w:rsid w:val="00150A4B"/>
    <w:rsid w:val="0015121B"/>
    <w:rsid w:val="00151235"/>
    <w:rsid w:val="00151EA5"/>
    <w:rsid w:val="0015231C"/>
    <w:rsid w:val="00152498"/>
    <w:rsid w:val="0015261D"/>
    <w:rsid w:val="0015300A"/>
    <w:rsid w:val="00153C8E"/>
    <w:rsid w:val="00153E40"/>
    <w:rsid w:val="00155706"/>
    <w:rsid w:val="001566C0"/>
    <w:rsid w:val="001574EE"/>
    <w:rsid w:val="00157644"/>
    <w:rsid w:val="0016016D"/>
    <w:rsid w:val="001605D3"/>
    <w:rsid w:val="00160FF9"/>
    <w:rsid w:val="001627EC"/>
    <w:rsid w:val="0016342E"/>
    <w:rsid w:val="00164FB6"/>
    <w:rsid w:val="00164FFF"/>
    <w:rsid w:val="0016747A"/>
    <w:rsid w:val="00167709"/>
    <w:rsid w:val="00167B68"/>
    <w:rsid w:val="001700C2"/>
    <w:rsid w:val="00170521"/>
    <w:rsid w:val="0017134F"/>
    <w:rsid w:val="0017142D"/>
    <w:rsid w:val="0017168D"/>
    <w:rsid w:val="00172421"/>
    <w:rsid w:val="0017249E"/>
    <w:rsid w:val="001727F5"/>
    <w:rsid w:val="00172DD4"/>
    <w:rsid w:val="001737BD"/>
    <w:rsid w:val="00173EC3"/>
    <w:rsid w:val="001744DF"/>
    <w:rsid w:val="001744F2"/>
    <w:rsid w:val="00174C6B"/>
    <w:rsid w:val="00175D6E"/>
    <w:rsid w:val="00175E41"/>
    <w:rsid w:val="00177308"/>
    <w:rsid w:val="00177ABE"/>
    <w:rsid w:val="00177BA1"/>
    <w:rsid w:val="001806A7"/>
    <w:rsid w:val="001807EA"/>
    <w:rsid w:val="001812F0"/>
    <w:rsid w:val="0018199E"/>
    <w:rsid w:val="00181FED"/>
    <w:rsid w:val="001825B5"/>
    <w:rsid w:val="00182901"/>
    <w:rsid w:val="00182BC3"/>
    <w:rsid w:val="001839FE"/>
    <w:rsid w:val="00183FCE"/>
    <w:rsid w:val="001849C4"/>
    <w:rsid w:val="00184DEE"/>
    <w:rsid w:val="00184EA2"/>
    <w:rsid w:val="00186477"/>
    <w:rsid w:val="00187131"/>
    <w:rsid w:val="00187A82"/>
    <w:rsid w:val="00190221"/>
    <w:rsid w:val="00190B35"/>
    <w:rsid w:val="00190C91"/>
    <w:rsid w:val="00191013"/>
    <w:rsid w:val="001911F0"/>
    <w:rsid w:val="00192355"/>
    <w:rsid w:val="001925CA"/>
    <w:rsid w:val="001935B3"/>
    <w:rsid w:val="00193772"/>
    <w:rsid w:val="00193EF6"/>
    <w:rsid w:val="00194421"/>
    <w:rsid w:val="00194AC7"/>
    <w:rsid w:val="001951CA"/>
    <w:rsid w:val="001954F6"/>
    <w:rsid w:val="00195C42"/>
    <w:rsid w:val="00196061"/>
    <w:rsid w:val="00196569"/>
    <w:rsid w:val="00196B21"/>
    <w:rsid w:val="00196FD8"/>
    <w:rsid w:val="001974C9"/>
    <w:rsid w:val="001A0063"/>
    <w:rsid w:val="001A034C"/>
    <w:rsid w:val="001A03BE"/>
    <w:rsid w:val="001A05B6"/>
    <w:rsid w:val="001A0F0F"/>
    <w:rsid w:val="001A1B96"/>
    <w:rsid w:val="001A2422"/>
    <w:rsid w:val="001A2788"/>
    <w:rsid w:val="001A310D"/>
    <w:rsid w:val="001A316C"/>
    <w:rsid w:val="001A48D3"/>
    <w:rsid w:val="001A4B2A"/>
    <w:rsid w:val="001A6B47"/>
    <w:rsid w:val="001A6F02"/>
    <w:rsid w:val="001A71AA"/>
    <w:rsid w:val="001A7E09"/>
    <w:rsid w:val="001B0869"/>
    <w:rsid w:val="001B08CC"/>
    <w:rsid w:val="001B1085"/>
    <w:rsid w:val="001B1724"/>
    <w:rsid w:val="001B2355"/>
    <w:rsid w:val="001B2C62"/>
    <w:rsid w:val="001B34EC"/>
    <w:rsid w:val="001B3EE4"/>
    <w:rsid w:val="001B493A"/>
    <w:rsid w:val="001B4B1A"/>
    <w:rsid w:val="001B4C02"/>
    <w:rsid w:val="001B4F6E"/>
    <w:rsid w:val="001B5253"/>
    <w:rsid w:val="001B545D"/>
    <w:rsid w:val="001B55BC"/>
    <w:rsid w:val="001B5B2D"/>
    <w:rsid w:val="001B60AE"/>
    <w:rsid w:val="001B6D45"/>
    <w:rsid w:val="001C00F5"/>
    <w:rsid w:val="001C0AC7"/>
    <w:rsid w:val="001C15ED"/>
    <w:rsid w:val="001C1D8C"/>
    <w:rsid w:val="001C3560"/>
    <w:rsid w:val="001C3973"/>
    <w:rsid w:val="001C48E0"/>
    <w:rsid w:val="001C5D5D"/>
    <w:rsid w:val="001C5D8F"/>
    <w:rsid w:val="001C6259"/>
    <w:rsid w:val="001C6EBF"/>
    <w:rsid w:val="001C7669"/>
    <w:rsid w:val="001C77EF"/>
    <w:rsid w:val="001C7893"/>
    <w:rsid w:val="001C7EBB"/>
    <w:rsid w:val="001D107E"/>
    <w:rsid w:val="001D1635"/>
    <w:rsid w:val="001D1927"/>
    <w:rsid w:val="001D283C"/>
    <w:rsid w:val="001D2ABC"/>
    <w:rsid w:val="001D390E"/>
    <w:rsid w:val="001D416C"/>
    <w:rsid w:val="001D4D2A"/>
    <w:rsid w:val="001D4F87"/>
    <w:rsid w:val="001D5874"/>
    <w:rsid w:val="001D5F19"/>
    <w:rsid w:val="001D620D"/>
    <w:rsid w:val="001D65F4"/>
    <w:rsid w:val="001D7E18"/>
    <w:rsid w:val="001D7F03"/>
    <w:rsid w:val="001E03F2"/>
    <w:rsid w:val="001E0801"/>
    <w:rsid w:val="001E1176"/>
    <w:rsid w:val="001E1289"/>
    <w:rsid w:val="001E18E2"/>
    <w:rsid w:val="001E1A33"/>
    <w:rsid w:val="001E2B3B"/>
    <w:rsid w:val="001E32AB"/>
    <w:rsid w:val="001E37B2"/>
    <w:rsid w:val="001E46AE"/>
    <w:rsid w:val="001E4D2E"/>
    <w:rsid w:val="001E4D5C"/>
    <w:rsid w:val="001E6213"/>
    <w:rsid w:val="001E6905"/>
    <w:rsid w:val="001E7B59"/>
    <w:rsid w:val="001F1262"/>
    <w:rsid w:val="001F1A39"/>
    <w:rsid w:val="001F28F9"/>
    <w:rsid w:val="001F2A1A"/>
    <w:rsid w:val="001F2BDE"/>
    <w:rsid w:val="001F2E0F"/>
    <w:rsid w:val="001F2EE0"/>
    <w:rsid w:val="001F35D9"/>
    <w:rsid w:val="001F369E"/>
    <w:rsid w:val="001F36FC"/>
    <w:rsid w:val="001F43E6"/>
    <w:rsid w:val="001F4B7E"/>
    <w:rsid w:val="001F530F"/>
    <w:rsid w:val="001F616D"/>
    <w:rsid w:val="001F61A3"/>
    <w:rsid w:val="001F6410"/>
    <w:rsid w:val="001F6819"/>
    <w:rsid w:val="001F6C39"/>
    <w:rsid w:val="001F707B"/>
    <w:rsid w:val="001F7229"/>
    <w:rsid w:val="001F7E4E"/>
    <w:rsid w:val="0020001C"/>
    <w:rsid w:val="00200D12"/>
    <w:rsid w:val="002017A2"/>
    <w:rsid w:val="0020199B"/>
    <w:rsid w:val="0020221C"/>
    <w:rsid w:val="00202638"/>
    <w:rsid w:val="00202BA2"/>
    <w:rsid w:val="00202D53"/>
    <w:rsid w:val="00203668"/>
    <w:rsid w:val="002038A9"/>
    <w:rsid w:val="00203D80"/>
    <w:rsid w:val="00203DCB"/>
    <w:rsid w:val="00205368"/>
    <w:rsid w:val="00205A2D"/>
    <w:rsid w:val="002065B5"/>
    <w:rsid w:val="00206E9B"/>
    <w:rsid w:val="002074B2"/>
    <w:rsid w:val="00210B24"/>
    <w:rsid w:val="00210CAB"/>
    <w:rsid w:val="00210FD3"/>
    <w:rsid w:val="00211968"/>
    <w:rsid w:val="002124C1"/>
    <w:rsid w:val="00212BD7"/>
    <w:rsid w:val="002138A5"/>
    <w:rsid w:val="0021400C"/>
    <w:rsid w:val="002142AD"/>
    <w:rsid w:val="00214347"/>
    <w:rsid w:val="00214CBC"/>
    <w:rsid w:val="00214E89"/>
    <w:rsid w:val="00215D97"/>
    <w:rsid w:val="00216AFB"/>
    <w:rsid w:val="002171F1"/>
    <w:rsid w:val="00217FA2"/>
    <w:rsid w:val="00220D0D"/>
    <w:rsid w:val="0022143E"/>
    <w:rsid w:val="00221649"/>
    <w:rsid w:val="0022205B"/>
    <w:rsid w:val="002220AD"/>
    <w:rsid w:val="00222647"/>
    <w:rsid w:val="002244B5"/>
    <w:rsid w:val="0022478C"/>
    <w:rsid w:val="00224E04"/>
    <w:rsid w:val="00225B07"/>
    <w:rsid w:val="00226A4A"/>
    <w:rsid w:val="00226A5A"/>
    <w:rsid w:val="00226ADC"/>
    <w:rsid w:val="00227398"/>
    <w:rsid w:val="002301BA"/>
    <w:rsid w:val="00230408"/>
    <w:rsid w:val="0023063E"/>
    <w:rsid w:val="002306E5"/>
    <w:rsid w:val="00230BA1"/>
    <w:rsid w:val="00230EC6"/>
    <w:rsid w:val="002318F5"/>
    <w:rsid w:val="00231EFE"/>
    <w:rsid w:val="002322F4"/>
    <w:rsid w:val="00232882"/>
    <w:rsid w:val="00233563"/>
    <w:rsid w:val="0023414B"/>
    <w:rsid w:val="00235173"/>
    <w:rsid w:val="00235307"/>
    <w:rsid w:val="002367A0"/>
    <w:rsid w:val="00236849"/>
    <w:rsid w:val="00236A44"/>
    <w:rsid w:val="00237594"/>
    <w:rsid w:val="002375E4"/>
    <w:rsid w:val="00240259"/>
    <w:rsid w:val="00240A9A"/>
    <w:rsid w:val="002418FB"/>
    <w:rsid w:val="00241FEB"/>
    <w:rsid w:val="002426F4"/>
    <w:rsid w:val="00242FC2"/>
    <w:rsid w:val="00243328"/>
    <w:rsid w:val="002439AE"/>
    <w:rsid w:val="00244352"/>
    <w:rsid w:val="002444C6"/>
    <w:rsid w:val="00244AB7"/>
    <w:rsid w:val="00244AEF"/>
    <w:rsid w:val="0024572B"/>
    <w:rsid w:val="00246596"/>
    <w:rsid w:val="002473F5"/>
    <w:rsid w:val="00247AAC"/>
    <w:rsid w:val="002514B3"/>
    <w:rsid w:val="00251CD7"/>
    <w:rsid w:val="002523EB"/>
    <w:rsid w:val="00252D8F"/>
    <w:rsid w:val="00254054"/>
    <w:rsid w:val="00254269"/>
    <w:rsid w:val="00254375"/>
    <w:rsid w:val="00254525"/>
    <w:rsid w:val="00254B34"/>
    <w:rsid w:val="00254B3D"/>
    <w:rsid w:val="00254E73"/>
    <w:rsid w:val="0025528D"/>
    <w:rsid w:val="00256EBC"/>
    <w:rsid w:val="002570C2"/>
    <w:rsid w:val="0025710A"/>
    <w:rsid w:val="002571AA"/>
    <w:rsid w:val="00260105"/>
    <w:rsid w:val="002601A2"/>
    <w:rsid w:val="00261616"/>
    <w:rsid w:val="00261881"/>
    <w:rsid w:val="00262CE6"/>
    <w:rsid w:val="00262D90"/>
    <w:rsid w:val="00262FAE"/>
    <w:rsid w:val="0026300C"/>
    <w:rsid w:val="00263E59"/>
    <w:rsid w:val="00264F85"/>
    <w:rsid w:val="002656EA"/>
    <w:rsid w:val="00265DFF"/>
    <w:rsid w:val="002669D2"/>
    <w:rsid w:val="00266D78"/>
    <w:rsid w:val="0026788C"/>
    <w:rsid w:val="0026797C"/>
    <w:rsid w:val="00267E30"/>
    <w:rsid w:val="00267E52"/>
    <w:rsid w:val="00270A22"/>
    <w:rsid w:val="0027167E"/>
    <w:rsid w:val="002719C5"/>
    <w:rsid w:val="00271AE9"/>
    <w:rsid w:val="00271F93"/>
    <w:rsid w:val="00272E15"/>
    <w:rsid w:val="002732A5"/>
    <w:rsid w:val="00273AB5"/>
    <w:rsid w:val="00274713"/>
    <w:rsid w:val="00274B1A"/>
    <w:rsid w:val="00274D8E"/>
    <w:rsid w:val="00275693"/>
    <w:rsid w:val="00275AA9"/>
    <w:rsid w:val="00276D2D"/>
    <w:rsid w:val="0027704D"/>
    <w:rsid w:val="00277DD8"/>
    <w:rsid w:val="00280184"/>
    <w:rsid w:val="0028031A"/>
    <w:rsid w:val="00280521"/>
    <w:rsid w:val="00281FAA"/>
    <w:rsid w:val="00282043"/>
    <w:rsid w:val="002827E4"/>
    <w:rsid w:val="00283178"/>
    <w:rsid w:val="00283613"/>
    <w:rsid w:val="00283658"/>
    <w:rsid w:val="00284AC7"/>
    <w:rsid w:val="002850DB"/>
    <w:rsid w:val="002852E3"/>
    <w:rsid w:val="002854F6"/>
    <w:rsid w:val="00285627"/>
    <w:rsid w:val="00286048"/>
    <w:rsid w:val="002867F3"/>
    <w:rsid w:val="00286A69"/>
    <w:rsid w:val="00286C1F"/>
    <w:rsid w:val="00287073"/>
    <w:rsid w:val="00287145"/>
    <w:rsid w:val="00287614"/>
    <w:rsid w:val="00287908"/>
    <w:rsid w:val="002879C8"/>
    <w:rsid w:val="0029081A"/>
    <w:rsid w:val="00290AA2"/>
    <w:rsid w:val="00292254"/>
    <w:rsid w:val="002926B4"/>
    <w:rsid w:val="00294572"/>
    <w:rsid w:val="00294FC9"/>
    <w:rsid w:val="00296A7E"/>
    <w:rsid w:val="0029717B"/>
    <w:rsid w:val="002A005C"/>
    <w:rsid w:val="002A0E86"/>
    <w:rsid w:val="002A1201"/>
    <w:rsid w:val="002A15D2"/>
    <w:rsid w:val="002A1FC4"/>
    <w:rsid w:val="002A20E6"/>
    <w:rsid w:val="002A253F"/>
    <w:rsid w:val="002A2590"/>
    <w:rsid w:val="002A2D85"/>
    <w:rsid w:val="002A3758"/>
    <w:rsid w:val="002A3781"/>
    <w:rsid w:val="002A3C7E"/>
    <w:rsid w:val="002A3F8D"/>
    <w:rsid w:val="002A470E"/>
    <w:rsid w:val="002A471C"/>
    <w:rsid w:val="002A4D69"/>
    <w:rsid w:val="002A58F5"/>
    <w:rsid w:val="002A5A36"/>
    <w:rsid w:val="002A603D"/>
    <w:rsid w:val="002A6082"/>
    <w:rsid w:val="002A62DF"/>
    <w:rsid w:val="002A65AD"/>
    <w:rsid w:val="002A725D"/>
    <w:rsid w:val="002A73FB"/>
    <w:rsid w:val="002A7EFC"/>
    <w:rsid w:val="002B1333"/>
    <w:rsid w:val="002B146A"/>
    <w:rsid w:val="002B18FF"/>
    <w:rsid w:val="002B2D75"/>
    <w:rsid w:val="002B2DD4"/>
    <w:rsid w:val="002B325A"/>
    <w:rsid w:val="002B3A27"/>
    <w:rsid w:val="002B51CB"/>
    <w:rsid w:val="002B6F95"/>
    <w:rsid w:val="002B762E"/>
    <w:rsid w:val="002B7B4D"/>
    <w:rsid w:val="002B7C32"/>
    <w:rsid w:val="002C02F1"/>
    <w:rsid w:val="002C0CC4"/>
    <w:rsid w:val="002C274A"/>
    <w:rsid w:val="002C28E0"/>
    <w:rsid w:val="002C3644"/>
    <w:rsid w:val="002C3CB2"/>
    <w:rsid w:val="002C4028"/>
    <w:rsid w:val="002C425B"/>
    <w:rsid w:val="002C42B6"/>
    <w:rsid w:val="002C444D"/>
    <w:rsid w:val="002C4A0E"/>
    <w:rsid w:val="002C4D62"/>
    <w:rsid w:val="002C4FA9"/>
    <w:rsid w:val="002C5A1C"/>
    <w:rsid w:val="002C61E0"/>
    <w:rsid w:val="002C6B41"/>
    <w:rsid w:val="002C7474"/>
    <w:rsid w:val="002D070B"/>
    <w:rsid w:val="002D16D1"/>
    <w:rsid w:val="002D21F9"/>
    <w:rsid w:val="002D2F2B"/>
    <w:rsid w:val="002D3D3E"/>
    <w:rsid w:val="002D3FF0"/>
    <w:rsid w:val="002D43F2"/>
    <w:rsid w:val="002D4574"/>
    <w:rsid w:val="002D47AA"/>
    <w:rsid w:val="002D526E"/>
    <w:rsid w:val="002D5A2C"/>
    <w:rsid w:val="002D5AFB"/>
    <w:rsid w:val="002D5E0B"/>
    <w:rsid w:val="002D6063"/>
    <w:rsid w:val="002D61B1"/>
    <w:rsid w:val="002D6530"/>
    <w:rsid w:val="002D6D42"/>
    <w:rsid w:val="002D6E3B"/>
    <w:rsid w:val="002D71D0"/>
    <w:rsid w:val="002D7231"/>
    <w:rsid w:val="002D724B"/>
    <w:rsid w:val="002D779A"/>
    <w:rsid w:val="002D784B"/>
    <w:rsid w:val="002E14AD"/>
    <w:rsid w:val="002E19C4"/>
    <w:rsid w:val="002E1A71"/>
    <w:rsid w:val="002E2062"/>
    <w:rsid w:val="002E220E"/>
    <w:rsid w:val="002E2687"/>
    <w:rsid w:val="002E2962"/>
    <w:rsid w:val="002E2B41"/>
    <w:rsid w:val="002E2D23"/>
    <w:rsid w:val="002E2F7A"/>
    <w:rsid w:val="002E361C"/>
    <w:rsid w:val="002E419E"/>
    <w:rsid w:val="002E4341"/>
    <w:rsid w:val="002E48F7"/>
    <w:rsid w:val="002E4D09"/>
    <w:rsid w:val="002E5646"/>
    <w:rsid w:val="002E584F"/>
    <w:rsid w:val="002E58E1"/>
    <w:rsid w:val="002E5DC5"/>
    <w:rsid w:val="002E602F"/>
    <w:rsid w:val="002E6264"/>
    <w:rsid w:val="002E6720"/>
    <w:rsid w:val="002E79AE"/>
    <w:rsid w:val="002E7F82"/>
    <w:rsid w:val="002F04CF"/>
    <w:rsid w:val="002F0671"/>
    <w:rsid w:val="002F076A"/>
    <w:rsid w:val="002F0D1A"/>
    <w:rsid w:val="002F0F33"/>
    <w:rsid w:val="002F14DA"/>
    <w:rsid w:val="002F2734"/>
    <w:rsid w:val="002F290C"/>
    <w:rsid w:val="002F33A3"/>
    <w:rsid w:val="002F357D"/>
    <w:rsid w:val="002F39CE"/>
    <w:rsid w:val="002F5365"/>
    <w:rsid w:val="002F5C41"/>
    <w:rsid w:val="002F61E9"/>
    <w:rsid w:val="002F6B0A"/>
    <w:rsid w:val="002F6B69"/>
    <w:rsid w:val="002F6C94"/>
    <w:rsid w:val="003001A8"/>
    <w:rsid w:val="00300668"/>
    <w:rsid w:val="00300D95"/>
    <w:rsid w:val="00300E86"/>
    <w:rsid w:val="0030125F"/>
    <w:rsid w:val="00301689"/>
    <w:rsid w:val="003021BE"/>
    <w:rsid w:val="00302204"/>
    <w:rsid w:val="00302AF9"/>
    <w:rsid w:val="003035E9"/>
    <w:rsid w:val="0030386E"/>
    <w:rsid w:val="00303A2F"/>
    <w:rsid w:val="003040E1"/>
    <w:rsid w:val="0030470E"/>
    <w:rsid w:val="003048CD"/>
    <w:rsid w:val="00305B75"/>
    <w:rsid w:val="003068DB"/>
    <w:rsid w:val="00306A5D"/>
    <w:rsid w:val="00307378"/>
    <w:rsid w:val="00307990"/>
    <w:rsid w:val="00307B76"/>
    <w:rsid w:val="00311532"/>
    <w:rsid w:val="00311B6B"/>
    <w:rsid w:val="0031224B"/>
    <w:rsid w:val="00313C3C"/>
    <w:rsid w:val="00313CB8"/>
    <w:rsid w:val="00313EEE"/>
    <w:rsid w:val="003145ED"/>
    <w:rsid w:val="003149F3"/>
    <w:rsid w:val="003162EA"/>
    <w:rsid w:val="003169EF"/>
    <w:rsid w:val="00316DE1"/>
    <w:rsid w:val="00317BC9"/>
    <w:rsid w:val="00317FBD"/>
    <w:rsid w:val="0032047C"/>
    <w:rsid w:val="003208BA"/>
    <w:rsid w:val="00320F47"/>
    <w:rsid w:val="00320F6D"/>
    <w:rsid w:val="00320F7D"/>
    <w:rsid w:val="00321225"/>
    <w:rsid w:val="00321315"/>
    <w:rsid w:val="0032161E"/>
    <w:rsid w:val="00321F7F"/>
    <w:rsid w:val="003226F4"/>
    <w:rsid w:val="00322A83"/>
    <w:rsid w:val="0032314D"/>
    <w:rsid w:val="003232C5"/>
    <w:rsid w:val="00323E8C"/>
    <w:rsid w:val="0032538C"/>
    <w:rsid w:val="00325420"/>
    <w:rsid w:val="003259A8"/>
    <w:rsid w:val="00325C8B"/>
    <w:rsid w:val="003279C1"/>
    <w:rsid w:val="003302EB"/>
    <w:rsid w:val="0033116F"/>
    <w:rsid w:val="00331ECE"/>
    <w:rsid w:val="00332652"/>
    <w:rsid w:val="00332B0C"/>
    <w:rsid w:val="00332E42"/>
    <w:rsid w:val="003331A9"/>
    <w:rsid w:val="00333DA1"/>
    <w:rsid w:val="003342CD"/>
    <w:rsid w:val="00334379"/>
    <w:rsid w:val="0033439A"/>
    <w:rsid w:val="00334E8E"/>
    <w:rsid w:val="00335943"/>
    <w:rsid w:val="00335F6B"/>
    <w:rsid w:val="00335FA0"/>
    <w:rsid w:val="003363B3"/>
    <w:rsid w:val="00336623"/>
    <w:rsid w:val="00336FF9"/>
    <w:rsid w:val="00337363"/>
    <w:rsid w:val="0033741D"/>
    <w:rsid w:val="00337465"/>
    <w:rsid w:val="003379BD"/>
    <w:rsid w:val="00337E8C"/>
    <w:rsid w:val="00337EEE"/>
    <w:rsid w:val="003403DF"/>
    <w:rsid w:val="0034078F"/>
    <w:rsid w:val="00341FED"/>
    <w:rsid w:val="003423C1"/>
    <w:rsid w:val="00342D19"/>
    <w:rsid w:val="00343594"/>
    <w:rsid w:val="00343B5A"/>
    <w:rsid w:val="0034499C"/>
    <w:rsid w:val="00345287"/>
    <w:rsid w:val="00345809"/>
    <w:rsid w:val="0034646B"/>
    <w:rsid w:val="00346BC3"/>
    <w:rsid w:val="00347937"/>
    <w:rsid w:val="00347B97"/>
    <w:rsid w:val="00350401"/>
    <w:rsid w:val="003504DD"/>
    <w:rsid w:val="00350BB6"/>
    <w:rsid w:val="00350BD5"/>
    <w:rsid w:val="00350E5F"/>
    <w:rsid w:val="00351162"/>
    <w:rsid w:val="003516B1"/>
    <w:rsid w:val="003519E2"/>
    <w:rsid w:val="00351B65"/>
    <w:rsid w:val="00351E1E"/>
    <w:rsid w:val="003520C7"/>
    <w:rsid w:val="00352BBE"/>
    <w:rsid w:val="00352BE0"/>
    <w:rsid w:val="00352C00"/>
    <w:rsid w:val="00352C0A"/>
    <w:rsid w:val="00352DB1"/>
    <w:rsid w:val="0035326C"/>
    <w:rsid w:val="003532DD"/>
    <w:rsid w:val="003534D3"/>
    <w:rsid w:val="00353563"/>
    <w:rsid w:val="00353A25"/>
    <w:rsid w:val="0035434C"/>
    <w:rsid w:val="003545D6"/>
    <w:rsid w:val="0035484F"/>
    <w:rsid w:val="00354A74"/>
    <w:rsid w:val="003558E7"/>
    <w:rsid w:val="00355C0C"/>
    <w:rsid w:val="00355E62"/>
    <w:rsid w:val="00357305"/>
    <w:rsid w:val="00357728"/>
    <w:rsid w:val="00357809"/>
    <w:rsid w:val="00357DB0"/>
    <w:rsid w:val="003608C1"/>
    <w:rsid w:val="00360A1A"/>
    <w:rsid w:val="00361422"/>
    <w:rsid w:val="003614F5"/>
    <w:rsid w:val="00361D64"/>
    <w:rsid w:val="00362B5A"/>
    <w:rsid w:val="0036364E"/>
    <w:rsid w:val="0036382B"/>
    <w:rsid w:val="00363D6A"/>
    <w:rsid w:val="003642B0"/>
    <w:rsid w:val="003644B5"/>
    <w:rsid w:val="0036474A"/>
    <w:rsid w:val="00366D68"/>
    <w:rsid w:val="00367009"/>
    <w:rsid w:val="0037043F"/>
    <w:rsid w:val="0037089C"/>
    <w:rsid w:val="00370B55"/>
    <w:rsid w:val="00370C5E"/>
    <w:rsid w:val="00370D13"/>
    <w:rsid w:val="003712A6"/>
    <w:rsid w:val="00371A05"/>
    <w:rsid w:val="003727B9"/>
    <w:rsid w:val="00372FC7"/>
    <w:rsid w:val="0037348C"/>
    <w:rsid w:val="00373A4B"/>
    <w:rsid w:val="00374FD0"/>
    <w:rsid w:val="00375557"/>
    <w:rsid w:val="003758C2"/>
    <w:rsid w:val="00376403"/>
    <w:rsid w:val="0037643F"/>
    <w:rsid w:val="00376B60"/>
    <w:rsid w:val="003779E7"/>
    <w:rsid w:val="00377A6C"/>
    <w:rsid w:val="003800F9"/>
    <w:rsid w:val="00380123"/>
    <w:rsid w:val="00380313"/>
    <w:rsid w:val="0038050C"/>
    <w:rsid w:val="00380877"/>
    <w:rsid w:val="0038105E"/>
    <w:rsid w:val="00381778"/>
    <w:rsid w:val="00381D3F"/>
    <w:rsid w:val="0038358B"/>
    <w:rsid w:val="00383865"/>
    <w:rsid w:val="00384A7F"/>
    <w:rsid w:val="0038570F"/>
    <w:rsid w:val="00385D01"/>
    <w:rsid w:val="003868DF"/>
    <w:rsid w:val="00386B09"/>
    <w:rsid w:val="00387980"/>
    <w:rsid w:val="00390011"/>
    <w:rsid w:val="00390813"/>
    <w:rsid w:val="00390F7F"/>
    <w:rsid w:val="00391EFF"/>
    <w:rsid w:val="00392FC0"/>
    <w:rsid w:val="00392FF8"/>
    <w:rsid w:val="003932E7"/>
    <w:rsid w:val="0039391A"/>
    <w:rsid w:val="00394C16"/>
    <w:rsid w:val="00394DED"/>
    <w:rsid w:val="0039575C"/>
    <w:rsid w:val="00395F23"/>
    <w:rsid w:val="0039667C"/>
    <w:rsid w:val="00396F4C"/>
    <w:rsid w:val="00397488"/>
    <w:rsid w:val="00397907"/>
    <w:rsid w:val="00397E0F"/>
    <w:rsid w:val="003A0582"/>
    <w:rsid w:val="003A07EE"/>
    <w:rsid w:val="003A1736"/>
    <w:rsid w:val="003A2DD6"/>
    <w:rsid w:val="003A37B9"/>
    <w:rsid w:val="003A3B8A"/>
    <w:rsid w:val="003A433C"/>
    <w:rsid w:val="003A4A6C"/>
    <w:rsid w:val="003A4ACB"/>
    <w:rsid w:val="003A4E97"/>
    <w:rsid w:val="003A50B0"/>
    <w:rsid w:val="003A5218"/>
    <w:rsid w:val="003A557E"/>
    <w:rsid w:val="003A5648"/>
    <w:rsid w:val="003A6166"/>
    <w:rsid w:val="003A6E10"/>
    <w:rsid w:val="003A718F"/>
    <w:rsid w:val="003B0219"/>
    <w:rsid w:val="003B047A"/>
    <w:rsid w:val="003B1020"/>
    <w:rsid w:val="003B16F8"/>
    <w:rsid w:val="003B2200"/>
    <w:rsid w:val="003B3682"/>
    <w:rsid w:val="003B396C"/>
    <w:rsid w:val="003B49D2"/>
    <w:rsid w:val="003B5DC8"/>
    <w:rsid w:val="003B6DDA"/>
    <w:rsid w:val="003B7279"/>
    <w:rsid w:val="003B7607"/>
    <w:rsid w:val="003B77FC"/>
    <w:rsid w:val="003C0FF3"/>
    <w:rsid w:val="003C23FE"/>
    <w:rsid w:val="003C2EAF"/>
    <w:rsid w:val="003C321F"/>
    <w:rsid w:val="003C3B6F"/>
    <w:rsid w:val="003C4002"/>
    <w:rsid w:val="003C411E"/>
    <w:rsid w:val="003C5045"/>
    <w:rsid w:val="003C50F7"/>
    <w:rsid w:val="003C55ED"/>
    <w:rsid w:val="003C580E"/>
    <w:rsid w:val="003C58B8"/>
    <w:rsid w:val="003C60D3"/>
    <w:rsid w:val="003C66DC"/>
    <w:rsid w:val="003C6BEB"/>
    <w:rsid w:val="003C72EA"/>
    <w:rsid w:val="003C7A5B"/>
    <w:rsid w:val="003C7AF1"/>
    <w:rsid w:val="003C7AFD"/>
    <w:rsid w:val="003C7D0C"/>
    <w:rsid w:val="003C7D2B"/>
    <w:rsid w:val="003D01C4"/>
    <w:rsid w:val="003D01DD"/>
    <w:rsid w:val="003D1E93"/>
    <w:rsid w:val="003D2E7E"/>
    <w:rsid w:val="003D379A"/>
    <w:rsid w:val="003D38C7"/>
    <w:rsid w:val="003D3DC6"/>
    <w:rsid w:val="003D434A"/>
    <w:rsid w:val="003D4900"/>
    <w:rsid w:val="003D4911"/>
    <w:rsid w:val="003D4F19"/>
    <w:rsid w:val="003D52B5"/>
    <w:rsid w:val="003D560F"/>
    <w:rsid w:val="003D580D"/>
    <w:rsid w:val="003D7406"/>
    <w:rsid w:val="003E082F"/>
    <w:rsid w:val="003E1805"/>
    <w:rsid w:val="003E2234"/>
    <w:rsid w:val="003E2705"/>
    <w:rsid w:val="003E300F"/>
    <w:rsid w:val="003E357A"/>
    <w:rsid w:val="003E42D6"/>
    <w:rsid w:val="003E42F9"/>
    <w:rsid w:val="003E44A5"/>
    <w:rsid w:val="003E51EB"/>
    <w:rsid w:val="003E56F2"/>
    <w:rsid w:val="003E5FA9"/>
    <w:rsid w:val="003E7065"/>
    <w:rsid w:val="003E7D63"/>
    <w:rsid w:val="003F0401"/>
    <w:rsid w:val="003F0711"/>
    <w:rsid w:val="003F0ED7"/>
    <w:rsid w:val="003F11D0"/>
    <w:rsid w:val="003F149C"/>
    <w:rsid w:val="003F1EC5"/>
    <w:rsid w:val="003F234A"/>
    <w:rsid w:val="003F2F17"/>
    <w:rsid w:val="003F34FF"/>
    <w:rsid w:val="003F3AD6"/>
    <w:rsid w:val="003F44D7"/>
    <w:rsid w:val="003F4504"/>
    <w:rsid w:val="003F50A3"/>
    <w:rsid w:val="003F5C95"/>
    <w:rsid w:val="003F7B64"/>
    <w:rsid w:val="004004F1"/>
    <w:rsid w:val="00400F55"/>
    <w:rsid w:val="00401BC3"/>
    <w:rsid w:val="00401C69"/>
    <w:rsid w:val="004027A2"/>
    <w:rsid w:val="00403438"/>
    <w:rsid w:val="0040404C"/>
    <w:rsid w:val="0040539F"/>
    <w:rsid w:val="00405435"/>
    <w:rsid w:val="00406A15"/>
    <w:rsid w:val="00406BC1"/>
    <w:rsid w:val="00406CFD"/>
    <w:rsid w:val="00407219"/>
    <w:rsid w:val="00407B41"/>
    <w:rsid w:val="004100D9"/>
    <w:rsid w:val="00410653"/>
    <w:rsid w:val="0041076D"/>
    <w:rsid w:val="00411DA0"/>
    <w:rsid w:val="00412E8D"/>
    <w:rsid w:val="00413071"/>
    <w:rsid w:val="00413A0E"/>
    <w:rsid w:val="00413F92"/>
    <w:rsid w:val="00414AD5"/>
    <w:rsid w:val="00414CF3"/>
    <w:rsid w:val="004151AE"/>
    <w:rsid w:val="004156E2"/>
    <w:rsid w:val="00415704"/>
    <w:rsid w:val="004160B1"/>
    <w:rsid w:val="0041680D"/>
    <w:rsid w:val="00416BC3"/>
    <w:rsid w:val="00416DA2"/>
    <w:rsid w:val="004171D9"/>
    <w:rsid w:val="00417505"/>
    <w:rsid w:val="00417E63"/>
    <w:rsid w:val="00417F4C"/>
    <w:rsid w:val="004207E3"/>
    <w:rsid w:val="00420E8F"/>
    <w:rsid w:val="00420F87"/>
    <w:rsid w:val="004213E6"/>
    <w:rsid w:val="00421558"/>
    <w:rsid w:val="00422B7A"/>
    <w:rsid w:val="00422BC1"/>
    <w:rsid w:val="004230AF"/>
    <w:rsid w:val="00423C78"/>
    <w:rsid w:val="00423CCB"/>
    <w:rsid w:val="004242EA"/>
    <w:rsid w:val="004249A1"/>
    <w:rsid w:val="00424C05"/>
    <w:rsid w:val="00425240"/>
    <w:rsid w:val="00425E8F"/>
    <w:rsid w:val="00427C47"/>
    <w:rsid w:val="00430190"/>
    <w:rsid w:val="004311BB"/>
    <w:rsid w:val="00431435"/>
    <w:rsid w:val="004314E7"/>
    <w:rsid w:val="004320DF"/>
    <w:rsid w:val="00432E35"/>
    <w:rsid w:val="00432E4E"/>
    <w:rsid w:val="004332DF"/>
    <w:rsid w:val="004333E2"/>
    <w:rsid w:val="00433673"/>
    <w:rsid w:val="0043376F"/>
    <w:rsid w:val="00435D92"/>
    <w:rsid w:val="00437783"/>
    <w:rsid w:val="00440A6B"/>
    <w:rsid w:val="004413F5"/>
    <w:rsid w:val="004428FA"/>
    <w:rsid w:val="004440AC"/>
    <w:rsid w:val="004442D4"/>
    <w:rsid w:val="00445F85"/>
    <w:rsid w:val="004460E0"/>
    <w:rsid w:val="004463B2"/>
    <w:rsid w:val="00446983"/>
    <w:rsid w:val="00447267"/>
    <w:rsid w:val="00447B0F"/>
    <w:rsid w:val="004503B8"/>
    <w:rsid w:val="004505F4"/>
    <w:rsid w:val="00450D43"/>
    <w:rsid w:val="00451CBE"/>
    <w:rsid w:val="00451EA3"/>
    <w:rsid w:val="004525B1"/>
    <w:rsid w:val="0045276F"/>
    <w:rsid w:val="0045385A"/>
    <w:rsid w:val="00453D6C"/>
    <w:rsid w:val="00453F99"/>
    <w:rsid w:val="00454263"/>
    <w:rsid w:val="00454C25"/>
    <w:rsid w:val="00454E74"/>
    <w:rsid w:val="0045644C"/>
    <w:rsid w:val="00456730"/>
    <w:rsid w:val="00456762"/>
    <w:rsid w:val="00456ECE"/>
    <w:rsid w:val="00457469"/>
    <w:rsid w:val="00457590"/>
    <w:rsid w:val="004609EE"/>
    <w:rsid w:val="00460B03"/>
    <w:rsid w:val="00460DB8"/>
    <w:rsid w:val="00461058"/>
    <w:rsid w:val="00461535"/>
    <w:rsid w:val="00461C3C"/>
    <w:rsid w:val="00461D41"/>
    <w:rsid w:val="00461D4B"/>
    <w:rsid w:val="0046268E"/>
    <w:rsid w:val="00462998"/>
    <w:rsid w:val="004630C3"/>
    <w:rsid w:val="00463999"/>
    <w:rsid w:val="00463B60"/>
    <w:rsid w:val="00463D7A"/>
    <w:rsid w:val="00463F20"/>
    <w:rsid w:val="00465114"/>
    <w:rsid w:val="0046536D"/>
    <w:rsid w:val="004653AB"/>
    <w:rsid w:val="00465E6D"/>
    <w:rsid w:val="004670B2"/>
    <w:rsid w:val="004678B5"/>
    <w:rsid w:val="00467BEE"/>
    <w:rsid w:val="00467CB8"/>
    <w:rsid w:val="00467DC2"/>
    <w:rsid w:val="0047053F"/>
    <w:rsid w:val="00470662"/>
    <w:rsid w:val="00470B24"/>
    <w:rsid w:val="00470C61"/>
    <w:rsid w:val="00470FE4"/>
    <w:rsid w:val="00471074"/>
    <w:rsid w:val="0047196A"/>
    <w:rsid w:val="0047479E"/>
    <w:rsid w:val="00474878"/>
    <w:rsid w:val="00474B94"/>
    <w:rsid w:val="00475056"/>
    <w:rsid w:val="004753AB"/>
    <w:rsid w:val="00475728"/>
    <w:rsid w:val="00475740"/>
    <w:rsid w:val="00475C1B"/>
    <w:rsid w:val="00476A24"/>
    <w:rsid w:val="00477FC3"/>
    <w:rsid w:val="0048059A"/>
    <w:rsid w:val="0048075E"/>
    <w:rsid w:val="00480CEE"/>
    <w:rsid w:val="00480D18"/>
    <w:rsid w:val="00481B6E"/>
    <w:rsid w:val="004835F2"/>
    <w:rsid w:val="00483B61"/>
    <w:rsid w:val="00484225"/>
    <w:rsid w:val="00484260"/>
    <w:rsid w:val="00484432"/>
    <w:rsid w:val="0048530A"/>
    <w:rsid w:val="004854ED"/>
    <w:rsid w:val="00485752"/>
    <w:rsid w:val="00485C74"/>
    <w:rsid w:val="00485DB3"/>
    <w:rsid w:val="00486305"/>
    <w:rsid w:val="004872E0"/>
    <w:rsid w:val="004907C5"/>
    <w:rsid w:val="00490D69"/>
    <w:rsid w:val="004914CA"/>
    <w:rsid w:val="0049178C"/>
    <w:rsid w:val="004917E9"/>
    <w:rsid w:val="00491B66"/>
    <w:rsid w:val="00491BAF"/>
    <w:rsid w:val="004922AD"/>
    <w:rsid w:val="00492F58"/>
    <w:rsid w:val="0049370A"/>
    <w:rsid w:val="004942E6"/>
    <w:rsid w:val="00494621"/>
    <w:rsid w:val="00495E32"/>
    <w:rsid w:val="00495EAC"/>
    <w:rsid w:val="00497942"/>
    <w:rsid w:val="00497A95"/>
    <w:rsid w:val="004A05A0"/>
    <w:rsid w:val="004A0973"/>
    <w:rsid w:val="004A115A"/>
    <w:rsid w:val="004A205D"/>
    <w:rsid w:val="004A2D4E"/>
    <w:rsid w:val="004A2E88"/>
    <w:rsid w:val="004A344A"/>
    <w:rsid w:val="004A346E"/>
    <w:rsid w:val="004A35B1"/>
    <w:rsid w:val="004A3AA2"/>
    <w:rsid w:val="004A4165"/>
    <w:rsid w:val="004A49B6"/>
    <w:rsid w:val="004A4A21"/>
    <w:rsid w:val="004A5360"/>
    <w:rsid w:val="004A6342"/>
    <w:rsid w:val="004A6825"/>
    <w:rsid w:val="004A6A16"/>
    <w:rsid w:val="004A7244"/>
    <w:rsid w:val="004A753E"/>
    <w:rsid w:val="004A7D4A"/>
    <w:rsid w:val="004A7E95"/>
    <w:rsid w:val="004B0287"/>
    <w:rsid w:val="004B08DC"/>
    <w:rsid w:val="004B0F92"/>
    <w:rsid w:val="004B1B84"/>
    <w:rsid w:val="004B20D1"/>
    <w:rsid w:val="004B2384"/>
    <w:rsid w:val="004B2D96"/>
    <w:rsid w:val="004B4083"/>
    <w:rsid w:val="004B423D"/>
    <w:rsid w:val="004B4B21"/>
    <w:rsid w:val="004B502C"/>
    <w:rsid w:val="004B52F6"/>
    <w:rsid w:val="004B56EE"/>
    <w:rsid w:val="004B58F0"/>
    <w:rsid w:val="004B5C7C"/>
    <w:rsid w:val="004B5E4B"/>
    <w:rsid w:val="004B61D2"/>
    <w:rsid w:val="004B64F9"/>
    <w:rsid w:val="004B6624"/>
    <w:rsid w:val="004B715E"/>
    <w:rsid w:val="004B74F3"/>
    <w:rsid w:val="004C2DBC"/>
    <w:rsid w:val="004C3635"/>
    <w:rsid w:val="004C376F"/>
    <w:rsid w:val="004C3CCE"/>
    <w:rsid w:val="004C4B1A"/>
    <w:rsid w:val="004C4BAA"/>
    <w:rsid w:val="004C5480"/>
    <w:rsid w:val="004C59A3"/>
    <w:rsid w:val="004C691C"/>
    <w:rsid w:val="004C6F8C"/>
    <w:rsid w:val="004C7917"/>
    <w:rsid w:val="004C7BD7"/>
    <w:rsid w:val="004C7DEE"/>
    <w:rsid w:val="004D0451"/>
    <w:rsid w:val="004D09EC"/>
    <w:rsid w:val="004D0C10"/>
    <w:rsid w:val="004D0DBF"/>
    <w:rsid w:val="004D113C"/>
    <w:rsid w:val="004D1347"/>
    <w:rsid w:val="004D2076"/>
    <w:rsid w:val="004D23CB"/>
    <w:rsid w:val="004D243F"/>
    <w:rsid w:val="004D2B36"/>
    <w:rsid w:val="004D3AD8"/>
    <w:rsid w:val="004D3C04"/>
    <w:rsid w:val="004D4028"/>
    <w:rsid w:val="004D471D"/>
    <w:rsid w:val="004D4BE3"/>
    <w:rsid w:val="004D4CBC"/>
    <w:rsid w:val="004D4DA1"/>
    <w:rsid w:val="004D531E"/>
    <w:rsid w:val="004D5614"/>
    <w:rsid w:val="004D5AEC"/>
    <w:rsid w:val="004D5E14"/>
    <w:rsid w:val="004D62F0"/>
    <w:rsid w:val="004D72C7"/>
    <w:rsid w:val="004D73E4"/>
    <w:rsid w:val="004D76C1"/>
    <w:rsid w:val="004D7F7B"/>
    <w:rsid w:val="004E002A"/>
    <w:rsid w:val="004E0715"/>
    <w:rsid w:val="004E1C8C"/>
    <w:rsid w:val="004E2541"/>
    <w:rsid w:val="004E2A2F"/>
    <w:rsid w:val="004E2C01"/>
    <w:rsid w:val="004E2C46"/>
    <w:rsid w:val="004E37F0"/>
    <w:rsid w:val="004E3965"/>
    <w:rsid w:val="004E3CA4"/>
    <w:rsid w:val="004E3F1A"/>
    <w:rsid w:val="004E4022"/>
    <w:rsid w:val="004E4076"/>
    <w:rsid w:val="004E50E3"/>
    <w:rsid w:val="004E5110"/>
    <w:rsid w:val="004E546E"/>
    <w:rsid w:val="004E5564"/>
    <w:rsid w:val="004E5606"/>
    <w:rsid w:val="004E56CA"/>
    <w:rsid w:val="004E61C0"/>
    <w:rsid w:val="004E6D59"/>
    <w:rsid w:val="004E6EBB"/>
    <w:rsid w:val="004E720B"/>
    <w:rsid w:val="004E7E37"/>
    <w:rsid w:val="004F048A"/>
    <w:rsid w:val="004F0720"/>
    <w:rsid w:val="004F0799"/>
    <w:rsid w:val="004F0C7E"/>
    <w:rsid w:val="004F0E6A"/>
    <w:rsid w:val="004F19E0"/>
    <w:rsid w:val="004F1F76"/>
    <w:rsid w:val="004F20DD"/>
    <w:rsid w:val="004F29DE"/>
    <w:rsid w:val="004F2AEE"/>
    <w:rsid w:val="004F3605"/>
    <w:rsid w:val="004F3EDC"/>
    <w:rsid w:val="004F3F6E"/>
    <w:rsid w:val="004F40E4"/>
    <w:rsid w:val="004F43C2"/>
    <w:rsid w:val="004F4A25"/>
    <w:rsid w:val="004F5255"/>
    <w:rsid w:val="004F56F6"/>
    <w:rsid w:val="004F5FCE"/>
    <w:rsid w:val="004F6C0A"/>
    <w:rsid w:val="004F6D2B"/>
    <w:rsid w:val="004F7313"/>
    <w:rsid w:val="00500B30"/>
    <w:rsid w:val="00500C1B"/>
    <w:rsid w:val="00500D0B"/>
    <w:rsid w:val="005011D5"/>
    <w:rsid w:val="0050163D"/>
    <w:rsid w:val="0050172C"/>
    <w:rsid w:val="00501A03"/>
    <w:rsid w:val="0050260F"/>
    <w:rsid w:val="00502BED"/>
    <w:rsid w:val="00502C92"/>
    <w:rsid w:val="005036B2"/>
    <w:rsid w:val="0050389F"/>
    <w:rsid w:val="005042D3"/>
    <w:rsid w:val="005042E5"/>
    <w:rsid w:val="00504A9A"/>
    <w:rsid w:val="00504F55"/>
    <w:rsid w:val="00505866"/>
    <w:rsid w:val="005074C3"/>
    <w:rsid w:val="005075F3"/>
    <w:rsid w:val="005077A7"/>
    <w:rsid w:val="00510A49"/>
    <w:rsid w:val="00510CE3"/>
    <w:rsid w:val="00511881"/>
    <w:rsid w:val="00512166"/>
    <w:rsid w:val="00512838"/>
    <w:rsid w:val="0051290C"/>
    <w:rsid w:val="00512AE7"/>
    <w:rsid w:val="00512BD2"/>
    <w:rsid w:val="00512BFC"/>
    <w:rsid w:val="0051314B"/>
    <w:rsid w:val="00513C86"/>
    <w:rsid w:val="00514B9E"/>
    <w:rsid w:val="00516713"/>
    <w:rsid w:val="00516B72"/>
    <w:rsid w:val="00517002"/>
    <w:rsid w:val="005176D9"/>
    <w:rsid w:val="0051783F"/>
    <w:rsid w:val="00520325"/>
    <w:rsid w:val="0052033D"/>
    <w:rsid w:val="00521A30"/>
    <w:rsid w:val="00521AEA"/>
    <w:rsid w:val="00522407"/>
    <w:rsid w:val="00522700"/>
    <w:rsid w:val="00522C43"/>
    <w:rsid w:val="00522E94"/>
    <w:rsid w:val="0052335A"/>
    <w:rsid w:val="0052345C"/>
    <w:rsid w:val="00523953"/>
    <w:rsid w:val="0052399F"/>
    <w:rsid w:val="00523EA6"/>
    <w:rsid w:val="00523FE7"/>
    <w:rsid w:val="00524831"/>
    <w:rsid w:val="00524F38"/>
    <w:rsid w:val="0052503F"/>
    <w:rsid w:val="0052531B"/>
    <w:rsid w:val="00525A31"/>
    <w:rsid w:val="00525A93"/>
    <w:rsid w:val="00526D58"/>
    <w:rsid w:val="00526E65"/>
    <w:rsid w:val="00527316"/>
    <w:rsid w:val="005279CD"/>
    <w:rsid w:val="00530A46"/>
    <w:rsid w:val="00531048"/>
    <w:rsid w:val="00531280"/>
    <w:rsid w:val="00531EAF"/>
    <w:rsid w:val="005322D6"/>
    <w:rsid w:val="00532328"/>
    <w:rsid w:val="00532AE5"/>
    <w:rsid w:val="005332FA"/>
    <w:rsid w:val="00533330"/>
    <w:rsid w:val="00533638"/>
    <w:rsid w:val="00533758"/>
    <w:rsid w:val="0053428B"/>
    <w:rsid w:val="00534363"/>
    <w:rsid w:val="0053459B"/>
    <w:rsid w:val="00534BDA"/>
    <w:rsid w:val="0053532C"/>
    <w:rsid w:val="005364A4"/>
    <w:rsid w:val="005364EB"/>
    <w:rsid w:val="00536960"/>
    <w:rsid w:val="005374E6"/>
    <w:rsid w:val="00537AE2"/>
    <w:rsid w:val="00537F27"/>
    <w:rsid w:val="0054039F"/>
    <w:rsid w:val="00540B8C"/>
    <w:rsid w:val="005413DC"/>
    <w:rsid w:val="00542985"/>
    <w:rsid w:val="005429A4"/>
    <w:rsid w:val="00542FA7"/>
    <w:rsid w:val="00543922"/>
    <w:rsid w:val="00543C1C"/>
    <w:rsid w:val="00545583"/>
    <w:rsid w:val="00545628"/>
    <w:rsid w:val="00545E56"/>
    <w:rsid w:val="00546358"/>
    <w:rsid w:val="00546B55"/>
    <w:rsid w:val="005472C4"/>
    <w:rsid w:val="00547754"/>
    <w:rsid w:val="00547D1E"/>
    <w:rsid w:val="005501A7"/>
    <w:rsid w:val="005503FF"/>
    <w:rsid w:val="0055113A"/>
    <w:rsid w:val="00551499"/>
    <w:rsid w:val="0055190A"/>
    <w:rsid w:val="00552573"/>
    <w:rsid w:val="00552D3D"/>
    <w:rsid w:val="0055341F"/>
    <w:rsid w:val="005536BA"/>
    <w:rsid w:val="005553F0"/>
    <w:rsid w:val="00555A14"/>
    <w:rsid w:val="00555A80"/>
    <w:rsid w:val="00555D3C"/>
    <w:rsid w:val="005561CD"/>
    <w:rsid w:val="00557D97"/>
    <w:rsid w:val="00560194"/>
    <w:rsid w:val="0056064E"/>
    <w:rsid w:val="005616BE"/>
    <w:rsid w:val="00561DC1"/>
    <w:rsid w:val="005631AF"/>
    <w:rsid w:val="00563B64"/>
    <w:rsid w:val="00563F17"/>
    <w:rsid w:val="00563F3E"/>
    <w:rsid w:val="005646CE"/>
    <w:rsid w:val="00564771"/>
    <w:rsid w:val="00564E52"/>
    <w:rsid w:val="005655C4"/>
    <w:rsid w:val="00566BAD"/>
    <w:rsid w:val="00566BB9"/>
    <w:rsid w:val="00566D38"/>
    <w:rsid w:val="005703A9"/>
    <w:rsid w:val="00570D3B"/>
    <w:rsid w:val="00570FD6"/>
    <w:rsid w:val="00571C2D"/>
    <w:rsid w:val="0057295D"/>
    <w:rsid w:val="00572ACB"/>
    <w:rsid w:val="00573635"/>
    <w:rsid w:val="00574404"/>
    <w:rsid w:val="005753D7"/>
    <w:rsid w:val="00575CA3"/>
    <w:rsid w:val="00576AFF"/>
    <w:rsid w:val="005776CA"/>
    <w:rsid w:val="00577C43"/>
    <w:rsid w:val="00577F0A"/>
    <w:rsid w:val="00580086"/>
    <w:rsid w:val="0058154E"/>
    <w:rsid w:val="005831C0"/>
    <w:rsid w:val="00583CCF"/>
    <w:rsid w:val="00583E28"/>
    <w:rsid w:val="005842B1"/>
    <w:rsid w:val="005844AE"/>
    <w:rsid w:val="005847A4"/>
    <w:rsid w:val="00584911"/>
    <w:rsid w:val="00584FDB"/>
    <w:rsid w:val="0058593B"/>
    <w:rsid w:val="00585BED"/>
    <w:rsid w:val="00585CE0"/>
    <w:rsid w:val="00585FA0"/>
    <w:rsid w:val="00587047"/>
    <w:rsid w:val="005872E0"/>
    <w:rsid w:val="00590222"/>
    <w:rsid w:val="0059027D"/>
    <w:rsid w:val="005907E9"/>
    <w:rsid w:val="005910EF"/>
    <w:rsid w:val="00591461"/>
    <w:rsid w:val="005915E0"/>
    <w:rsid w:val="00592DED"/>
    <w:rsid w:val="005941C2"/>
    <w:rsid w:val="00594E63"/>
    <w:rsid w:val="00595018"/>
    <w:rsid w:val="0059508E"/>
    <w:rsid w:val="005966E8"/>
    <w:rsid w:val="005971C9"/>
    <w:rsid w:val="00597641"/>
    <w:rsid w:val="00597D9C"/>
    <w:rsid w:val="005A0928"/>
    <w:rsid w:val="005A0B5F"/>
    <w:rsid w:val="005A0DEE"/>
    <w:rsid w:val="005A0EB3"/>
    <w:rsid w:val="005A197E"/>
    <w:rsid w:val="005A1D0D"/>
    <w:rsid w:val="005A28F4"/>
    <w:rsid w:val="005A2CC4"/>
    <w:rsid w:val="005A2E96"/>
    <w:rsid w:val="005A35B0"/>
    <w:rsid w:val="005A390D"/>
    <w:rsid w:val="005A4398"/>
    <w:rsid w:val="005A47F8"/>
    <w:rsid w:val="005A4E95"/>
    <w:rsid w:val="005A54E8"/>
    <w:rsid w:val="005A5C71"/>
    <w:rsid w:val="005A5D33"/>
    <w:rsid w:val="005A6325"/>
    <w:rsid w:val="005A6330"/>
    <w:rsid w:val="005A71A2"/>
    <w:rsid w:val="005A79AB"/>
    <w:rsid w:val="005A7A6B"/>
    <w:rsid w:val="005B00BC"/>
    <w:rsid w:val="005B0259"/>
    <w:rsid w:val="005B0FAA"/>
    <w:rsid w:val="005B134D"/>
    <w:rsid w:val="005B1C88"/>
    <w:rsid w:val="005B1E08"/>
    <w:rsid w:val="005B265A"/>
    <w:rsid w:val="005B2A9F"/>
    <w:rsid w:val="005B3132"/>
    <w:rsid w:val="005B3CC9"/>
    <w:rsid w:val="005B402B"/>
    <w:rsid w:val="005B50AB"/>
    <w:rsid w:val="005B5AC1"/>
    <w:rsid w:val="005B5ECB"/>
    <w:rsid w:val="005B668F"/>
    <w:rsid w:val="005B71D1"/>
    <w:rsid w:val="005B7C52"/>
    <w:rsid w:val="005C00E2"/>
    <w:rsid w:val="005C087B"/>
    <w:rsid w:val="005C09FC"/>
    <w:rsid w:val="005C128A"/>
    <w:rsid w:val="005C13F0"/>
    <w:rsid w:val="005C155E"/>
    <w:rsid w:val="005C1600"/>
    <w:rsid w:val="005C1A02"/>
    <w:rsid w:val="005C280A"/>
    <w:rsid w:val="005C2ACE"/>
    <w:rsid w:val="005C34A6"/>
    <w:rsid w:val="005C3D37"/>
    <w:rsid w:val="005C4073"/>
    <w:rsid w:val="005C4C69"/>
    <w:rsid w:val="005C51FD"/>
    <w:rsid w:val="005C54C5"/>
    <w:rsid w:val="005C54DB"/>
    <w:rsid w:val="005C59D8"/>
    <w:rsid w:val="005C63B0"/>
    <w:rsid w:val="005C71F6"/>
    <w:rsid w:val="005C76E0"/>
    <w:rsid w:val="005D0644"/>
    <w:rsid w:val="005D1F5A"/>
    <w:rsid w:val="005D268E"/>
    <w:rsid w:val="005D26BC"/>
    <w:rsid w:val="005D3090"/>
    <w:rsid w:val="005D3A5C"/>
    <w:rsid w:val="005D3A86"/>
    <w:rsid w:val="005D3FF7"/>
    <w:rsid w:val="005D62C4"/>
    <w:rsid w:val="005D6350"/>
    <w:rsid w:val="005D7412"/>
    <w:rsid w:val="005D78DD"/>
    <w:rsid w:val="005D7A5C"/>
    <w:rsid w:val="005E0620"/>
    <w:rsid w:val="005E0BC5"/>
    <w:rsid w:val="005E0E63"/>
    <w:rsid w:val="005E0ED6"/>
    <w:rsid w:val="005E21FD"/>
    <w:rsid w:val="005E221F"/>
    <w:rsid w:val="005E229E"/>
    <w:rsid w:val="005E2494"/>
    <w:rsid w:val="005E24E5"/>
    <w:rsid w:val="005E2D61"/>
    <w:rsid w:val="005E68DA"/>
    <w:rsid w:val="005E6937"/>
    <w:rsid w:val="005E6A82"/>
    <w:rsid w:val="005E6F00"/>
    <w:rsid w:val="005E6F31"/>
    <w:rsid w:val="005E7646"/>
    <w:rsid w:val="005E7A72"/>
    <w:rsid w:val="005E7F3A"/>
    <w:rsid w:val="005F0252"/>
    <w:rsid w:val="005F0AA6"/>
    <w:rsid w:val="005F13F8"/>
    <w:rsid w:val="005F1965"/>
    <w:rsid w:val="005F1C12"/>
    <w:rsid w:val="005F1C8D"/>
    <w:rsid w:val="005F2632"/>
    <w:rsid w:val="005F3631"/>
    <w:rsid w:val="005F381C"/>
    <w:rsid w:val="005F44B4"/>
    <w:rsid w:val="005F4510"/>
    <w:rsid w:val="005F47E3"/>
    <w:rsid w:val="005F4E14"/>
    <w:rsid w:val="005F55B0"/>
    <w:rsid w:val="005F5A43"/>
    <w:rsid w:val="005F5F3A"/>
    <w:rsid w:val="005F6022"/>
    <w:rsid w:val="005F637E"/>
    <w:rsid w:val="005F6D70"/>
    <w:rsid w:val="005F71AB"/>
    <w:rsid w:val="005F75F6"/>
    <w:rsid w:val="005F7967"/>
    <w:rsid w:val="005F7A45"/>
    <w:rsid w:val="005F7A51"/>
    <w:rsid w:val="00600939"/>
    <w:rsid w:val="00600B08"/>
    <w:rsid w:val="00600F12"/>
    <w:rsid w:val="00600F28"/>
    <w:rsid w:val="00601375"/>
    <w:rsid w:val="0060161D"/>
    <w:rsid w:val="00601BC6"/>
    <w:rsid w:val="0060207B"/>
    <w:rsid w:val="00602408"/>
    <w:rsid w:val="00602DAA"/>
    <w:rsid w:val="00602FA7"/>
    <w:rsid w:val="006035A2"/>
    <w:rsid w:val="00604362"/>
    <w:rsid w:val="006043FF"/>
    <w:rsid w:val="0060487B"/>
    <w:rsid w:val="00605369"/>
    <w:rsid w:val="0060541B"/>
    <w:rsid w:val="0060621B"/>
    <w:rsid w:val="00606D17"/>
    <w:rsid w:val="00607347"/>
    <w:rsid w:val="0060767B"/>
    <w:rsid w:val="00610472"/>
    <w:rsid w:val="00610F60"/>
    <w:rsid w:val="006119E8"/>
    <w:rsid w:val="00611A74"/>
    <w:rsid w:val="00612A66"/>
    <w:rsid w:val="006134A5"/>
    <w:rsid w:val="00613983"/>
    <w:rsid w:val="00613AB3"/>
    <w:rsid w:val="00614655"/>
    <w:rsid w:val="0061574B"/>
    <w:rsid w:val="00615E2F"/>
    <w:rsid w:val="0061608D"/>
    <w:rsid w:val="0061759F"/>
    <w:rsid w:val="006177B6"/>
    <w:rsid w:val="006202BA"/>
    <w:rsid w:val="0062106A"/>
    <w:rsid w:val="00621E95"/>
    <w:rsid w:val="0062294F"/>
    <w:rsid w:val="00623202"/>
    <w:rsid w:val="00623561"/>
    <w:rsid w:val="00623A6C"/>
    <w:rsid w:val="00623CB6"/>
    <w:rsid w:val="006240F6"/>
    <w:rsid w:val="0062424B"/>
    <w:rsid w:val="006245DB"/>
    <w:rsid w:val="00625559"/>
    <w:rsid w:val="00625E8B"/>
    <w:rsid w:val="006261A3"/>
    <w:rsid w:val="006262BC"/>
    <w:rsid w:val="0062672D"/>
    <w:rsid w:val="0062682B"/>
    <w:rsid w:val="0062689F"/>
    <w:rsid w:val="00626E49"/>
    <w:rsid w:val="00626ED8"/>
    <w:rsid w:val="00627006"/>
    <w:rsid w:val="00627907"/>
    <w:rsid w:val="00630862"/>
    <w:rsid w:val="00631766"/>
    <w:rsid w:val="00632572"/>
    <w:rsid w:val="006331F9"/>
    <w:rsid w:val="00633212"/>
    <w:rsid w:val="006338F9"/>
    <w:rsid w:val="00634539"/>
    <w:rsid w:val="0063577B"/>
    <w:rsid w:val="00635825"/>
    <w:rsid w:val="00637E49"/>
    <w:rsid w:val="00640798"/>
    <w:rsid w:val="006411CF"/>
    <w:rsid w:val="0064221F"/>
    <w:rsid w:val="00643187"/>
    <w:rsid w:val="006434A1"/>
    <w:rsid w:val="006435B4"/>
    <w:rsid w:val="00643B76"/>
    <w:rsid w:val="006443CE"/>
    <w:rsid w:val="006443E9"/>
    <w:rsid w:val="00644A8D"/>
    <w:rsid w:val="00644F0B"/>
    <w:rsid w:val="00646491"/>
    <w:rsid w:val="0064757A"/>
    <w:rsid w:val="00650478"/>
    <w:rsid w:val="00651592"/>
    <w:rsid w:val="006515FF"/>
    <w:rsid w:val="00652BDD"/>
    <w:rsid w:val="00652DD7"/>
    <w:rsid w:val="006534C8"/>
    <w:rsid w:val="00653605"/>
    <w:rsid w:val="006539A7"/>
    <w:rsid w:val="00653AC4"/>
    <w:rsid w:val="0065436C"/>
    <w:rsid w:val="006548FD"/>
    <w:rsid w:val="00655982"/>
    <w:rsid w:val="00656285"/>
    <w:rsid w:val="00656C4E"/>
    <w:rsid w:val="006570D7"/>
    <w:rsid w:val="0066047C"/>
    <w:rsid w:val="0066170F"/>
    <w:rsid w:val="006620FB"/>
    <w:rsid w:val="00662CC8"/>
    <w:rsid w:val="00663040"/>
    <w:rsid w:val="00663188"/>
    <w:rsid w:val="006636DA"/>
    <w:rsid w:val="0066378A"/>
    <w:rsid w:val="0066453F"/>
    <w:rsid w:val="0066635D"/>
    <w:rsid w:val="00666931"/>
    <w:rsid w:val="00666F01"/>
    <w:rsid w:val="006670DE"/>
    <w:rsid w:val="00667580"/>
    <w:rsid w:val="006676AB"/>
    <w:rsid w:val="006678D4"/>
    <w:rsid w:val="00667FD2"/>
    <w:rsid w:val="00670990"/>
    <w:rsid w:val="0067103A"/>
    <w:rsid w:val="0067112D"/>
    <w:rsid w:val="00671589"/>
    <w:rsid w:val="00671811"/>
    <w:rsid w:val="00671E7C"/>
    <w:rsid w:val="0067226C"/>
    <w:rsid w:val="0067227E"/>
    <w:rsid w:val="00672D5C"/>
    <w:rsid w:val="006735E9"/>
    <w:rsid w:val="00673D8C"/>
    <w:rsid w:val="00673E59"/>
    <w:rsid w:val="006746B7"/>
    <w:rsid w:val="00674EB0"/>
    <w:rsid w:val="0067716A"/>
    <w:rsid w:val="006773CA"/>
    <w:rsid w:val="00677A18"/>
    <w:rsid w:val="00677ED5"/>
    <w:rsid w:val="0068041A"/>
    <w:rsid w:val="0068084B"/>
    <w:rsid w:val="006810E6"/>
    <w:rsid w:val="00682064"/>
    <w:rsid w:val="00682143"/>
    <w:rsid w:val="00682487"/>
    <w:rsid w:val="00682DC7"/>
    <w:rsid w:val="0068309F"/>
    <w:rsid w:val="006831AD"/>
    <w:rsid w:val="00684022"/>
    <w:rsid w:val="0068479C"/>
    <w:rsid w:val="00685CF6"/>
    <w:rsid w:val="00685DB8"/>
    <w:rsid w:val="00686207"/>
    <w:rsid w:val="00686CFF"/>
    <w:rsid w:val="00686E36"/>
    <w:rsid w:val="00686F93"/>
    <w:rsid w:val="00687302"/>
    <w:rsid w:val="00687460"/>
    <w:rsid w:val="006875DB"/>
    <w:rsid w:val="00687993"/>
    <w:rsid w:val="00690295"/>
    <w:rsid w:val="006903DF"/>
    <w:rsid w:val="00690EFD"/>
    <w:rsid w:val="00692410"/>
    <w:rsid w:val="006926BA"/>
    <w:rsid w:val="00693345"/>
    <w:rsid w:val="006938C3"/>
    <w:rsid w:val="00693EDC"/>
    <w:rsid w:val="00694E6D"/>
    <w:rsid w:val="0069593B"/>
    <w:rsid w:val="006967F1"/>
    <w:rsid w:val="00696924"/>
    <w:rsid w:val="00696B58"/>
    <w:rsid w:val="00696DCD"/>
    <w:rsid w:val="00697DFD"/>
    <w:rsid w:val="00697EB6"/>
    <w:rsid w:val="006A00B3"/>
    <w:rsid w:val="006A06E8"/>
    <w:rsid w:val="006A0A64"/>
    <w:rsid w:val="006A0F0E"/>
    <w:rsid w:val="006A0FAF"/>
    <w:rsid w:val="006A1E16"/>
    <w:rsid w:val="006A2C6E"/>
    <w:rsid w:val="006A3D9C"/>
    <w:rsid w:val="006A4321"/>
    <w:rsid w:val="006A493C"/>
    <w:rsid w:val="006A4AD9"/>
    <w:rsid w:val="006A51F6"/>
    <w:rsid w:val="006A529A"/>
    <w:rsid w:val="006A581B"/>
    <w:rsid w:val="006A68EE"/>
    <w:rsid w:val="006A6AAA"/>
    <w:rsid w:val="006A6B21"/>
    <w:rsid w:val="006A6DA0"/>
    <w:rsid w:val="006A6EBB"/>
    <w:rsid w:val="006A7032"/>
    <w:rsid w:val="006A7921"/>
    <w:rsid w:val="006B09CD"/>
    <w:rsid w:val="006B0A4E"/>
    <w:rsid w:val="006B0FF2"/>
    <w:rsid w:val="006B1431"/>
    <w:rsid w:val="006B163D"/>
    <w:rsid w:val="006B165C"/>
    <w:rsid w:val="006B175C"/>
    <w:rsid w:val="006B1D0F"/>
    <w:rsid w:val="006B1F46"/>
    <w:rsid w:val="006B499C"/>
    <w:rsid w:val="006B4C99"/>
    <w:rsid w:val="006B4D5B"/>
    <w:rsid w:val="006B6744"/>
    <w:rsid w:val="006B6756"/>
    <w:rsid w:val="006B6A7C"/>
    <w:rsid w:val="006B75E3"/>
    <w:rsid w:val="006B78AA"/>
    <w:rsid w:val="006C015A"/>
    <w:rsid w:val="006C0343"/>
    <w:rsid w:val="006C05C2"/>
    <w:rsid w:val="006C0ACD"/>
    <w:rsid w:val="006C22D2"/>
    <w:rsid w:val="006C2690"/>
    <w:rsid w:val="006C2994"/>
    <w:rsid w:val="006C2A07"/>
    <w:rsid w:val="006C2AE3"/>
    <w:rsid w:val="006C346F"/>
    <w:rsid w:val="006C35D5"/>
    <w:rsid w:val="006C41AE"/>
    <w:rsid w:val="006C47EC"/>
    <w:rsid w:val="006C49CB"/>
    <w:rsid w:val="006C4D38"/>
    <w:rsid w:val="006C4D43"/>
    <w:rsid w:val="006C4D66"/>
    <w:rsid w:val="006C4E2D"/>
    <w:rsid w:val="006C5135"/>
    <w:rsid w:val="006C685E"/>
    <w:rsid w:val="006C6A22"/>
    <w:rsid w:val="006C7DC8"/>
    <w:rsid w:val="006D033C"/>
    <w:rsid w:val="006D0BA4"/>
    <w:rsid w:val="006D0E5E"/>
    <w:rsid w:val="006D1174"/>
    <w:rsid w:val="006D1880"/>
    <w:rsid w:val="006D2153"/>
    <w:rsid w:val="006D215B"/>
    <w:rsid w:val="006D259B"/>
    <w:rsid w:val="006D264F"/>
    <w:rsid w:val="006D2CEE"/>
    <w:rsid w:val="006D35D2"/>
    <w:rsid w:val="006D36DA"/>
    <w:rsid w:val="006D37A1"/>
    <w:rsid w:val="006D5DD0"/>
    <w:rsid w:val="006D601F"/>
    <w:rsid w:val="006D7905"/>
    <w:rsid w:val="006D7B76"/>
    <w:rsid w:val="006D7FEB"/>
    <w:rsid w:val="006E0597"/>
    <w:rsid w:val="006E1029"/>
    <w:rsid w:val="006E1AB3"/>
    <w:rsid w:val="006E1BD8"/>
    <w:rsid w:val="006E1E07"/>
    <w:rsid w:val="006E2579"/>
    <w:rsid w:val="006E3607"/>
    <w:rsid w:val="006E462F"/>
    <w:rsid w:val="006E500B"/>
    <w:rsid w:val="006E5154"/>
    <w:rsid w:val="006E5827"/>
    <w:rsid w:val="006E69EF"/>
    <w:rsid w:val="006E6A99"/>
    <w:rsid w:val="006E6BE6"/>
    <w:rsid w:val="006E7F67"/>
    <w:rsid w:val="006F02BC"/>
    <w:rsid w:val="006F1E9A"/>
    <w:rsid w:val="006F4A44"/>
    <w:rsid w:val="006F5043"/>
    <w:rsid w:val="006F512D"/>
    <w:rsid w:val="006F56C1"/>
    <w:rsid w:val="006F5A7E"/>
    <w:rsid w:val="006F5BCB"/>
    <w:rsid w:val="006F6017"/>
    <w:rsid w:val="006F65AB"/>
    <w:rsid w:val="006F6A84"/>
    <w:rsid w:val="007008C3"/>
    <w:rsid w:val="00700B0A"/>
    <w:rsid w:val="00700CB7"/>
    <w:rsid w:val="00700D4D"/>
    <w:rsid w:val="00700FF7"/>
    <w:rsid w:val="0070186F"/>
    <w:rsid w:val="00702896"/>
    <w:rsid w:val="007030EF"/>
    <w:rsid w:val="007032BA"/>
    <w:rsid w:val="007034DB"/>
    <w:rsid w:val="007040CE"/>
    <w:rsid w:val="0070421B"/>
    <w:rsid w:val="00704609"/>
    <w:rsid w:val="0070549D"/>
    <w:rsid w:val="007066B5"/>
    <w:rsid w:val="00707B43"/>
    <w:rsid w:val="00707CE9"/>
    <w:rsid w:val="007109A6"/>
    <w:rsid w:val="007114A9"/>
    <w:rsid w:val="007114F4"/>
    <w:rsid w:val="00711536"/>
    <w:rsid w:val="00712DCC"/>
    <w:rsid w:val="00712F45"/>
    <w:rsid w:val="00713B6F"/>
    <w:rsid w:val="00713B70"/>
    <w:rsid w:val="0071467E"/>
    <w:rsid w:val="0071477D"/>
    <w:rsid w:val="00714F81"/>
    <w:rsid w:val="007156EB"/>
    <w:rsid w:val="00715E6A"/>
    <w:rsid w:val="0071709D"/>
    <w:rsid w:val="00717554"/>
    <w:rsid w:val="00717784"/>
    <w:rsid w:val="00717B21"/>
    <w:rsid w:val="00720767"/>
    <w:rsid w:val="007211BE"/>
    <w:rsid w:val="007218BC"/>
    <w:rsid w:val="00721D6B"/>
    <w:rsid w:val="00722709"/>
    <w:rsid w:val="00722CCE"/>
    <w:rsid w:val="00723AD1"/>
    <w:rsid w:val="00723DBE"/>
    <w:rsid w:val="007240CC"/>
    <w:rsid w:val="00724152"/>
    <w:rsid w:val="007252E3"/>
    <w:rsid w:val="007256D5"/>
    <w:rsid w:val="007256E5"/>
    <w:rsid w:val="00726598"/>
    <w:rsid w:val="00726C62"/>
    <w:rsid w:val="00726D88"/>
    <w:rsid w:val="00727A8A"/>
    <w:rsid w:val="00730552"/>
    <w:rsid w:val="00730849"/>
    <w:rsid w:val="007319DB"/>
    <w:rsid w:val="00731BC6"/>
    <w:rsid w:val="00731DA3"/>
    <w:rsid w:val="00732DD9"/>
    <w:rsid w:val="00733399"/>
    <w:rsid w:val="00733963"/>
    <w:rsid w:val="00734B04"/>
    <w:rsid w:val="00734CB7"/>
    <w:rsid w:val="00735324"/>
    <w:rsid w:val="00735757"/>
    <w:rsid w:val="00735950"/>
    <w:rsid w:val="00735A0C"/>
    <w:rsid w:val="007362D7"/>
    <w:rsid w:val="00737772"/>
    <w:rsid w:val="00737866"/>
    <w:rsid w:val="00737990"/>
    <w:rsid w:val="007400B8"/>
    <w:rsid w:val="00740706"/>
    <w:rsid w:val="00742CE5"/>
    <w:rsid w:val="00743880"/>
    <w:rsid w:val="00743A0B"/>
    <w:rsid w:val="00743D75"/>
    <w:rsid w:val="00743F24"/>
    <w:rsid w:val="0074424A"/>
    <w:rsid w:val="007444C7"/>
    <w:rsid w:val="007457D4"/>
    <w:rsid w:val="00745DE3"/>
    <w:rsid w:val="00745FB4"/>
    <w:rsid w:val="0074740F"/>
    <w:rsid w:val="00747556"/>
    <w:rsid w:val="00747A48"/>
    <w:rsid w:val="00750474"/>
    <w:rsid w:val="0075059D"/>
    <w:rsid w:val="00750880"/>
    <w:rsid w:val="00750AA2"/>
    <w:rsid w:val="00751030"/>
    <w:rsid w:val="00751B10"/>
    <w:rsid w:val="00751E80"/>
    <w:rsid w:val="007525FB"/>
    <w:rsid w:val="0075383F"/>
    <w:rsid w:val="00753A13"/>
    <w:rsid w:val="00753AA5"/>
    <w:rsid w:val="00753B92"/>
    <w:rsid w:val="00753D30"/>
    <w:rsid w:val="00753F8E"/>
    <w:rsid w:val="007549B6"/>
    <w:rsid w:val="00754D1E"/>
    <w:rsid w:val="00754DD6"/>
    <w:rsid w:val="0075566F"/>
    <w:rsid w:val="00755900"/>
    <w:rsid w:val="00755C96"/>
    <w:rsid w:val="00755EAF"/>
    <w:rsid w:val="00755EE0"/>
    <w:rsid w:val="00756092"/>
    <w:rsid w:val="00756937"/>
    <w:rsid w:val="00760BD8"/>
    <w:rsid w:val="00760EC1"/>
    <w:rsid w:val="007612EE"/>
    <w:rsid w:val="00761473"/>
    <w:rsid w:val="00762E68"/>
    <w:rsid w:val="0076391C"/>
    <w:rsid w:val="00763FD9"/>
    <w:rsid w:val="007640B4"/>
    <w:rsid w:val="00765571"/>
    <w:rsid w:val="00765732"/>
    <w:rsid w:val="00765B90"/>
    <w:rsid w:val="00765C79"/>
    <w:rsid w:val="00766287"/>
    <w:rsid w:val="007665B4"/>
    <w:rsid w:val="00766F09"/>
    <w:rsid w:val="007670FA"/>
    <w:rsid w:val="007673A7"/>
    <w:rsid w:val="00767E34"/>
    <w:rsid w:val="00770100"/>
    <w:rsid w:val="0077100C"/>
    <w:rsid w:val="007716FA"/>
    <w:rsid w:val="00771C51"/>
    <w:rsid w:val="00772C29"/>
    <w:rsid w:val="00772DD2"/>
    <w:rsid w:val="00772E71"/>
    <w:rsid w:val="00772F29"/>
    <w:rsid w:val="00773DD8"/>
    <w:rsid w:val="00773E60"/>
    <w:rsid w:val="007744B5"/>
    <w:rsid w:val="00776100"/>
    <w:rsid w:val="0077687B"/>
    <w:rsid w:val="00776958"/>
    <w:rsid w:val="00776B87"/>
    <w:rsid w:val="00776D9C"/>
    <w:rsid w:val="00777582"/>
    <w:rsid w:val="007775BA"/>
    <w:rsid w:val="0077772D"/>
    <w:rsid w:val="00777913"/>
    <w:rsid w:val="00777C4F"/>
    <w:rsid w:val="00777F6C"/>
    <w:rsid w:val="007820B2"/>
    <w:rsid w:val="00782461"/>
    <w:rsid w:val="0078278B"/>
    <w:rsid w:val="00782B62"/>
    <w:rsid w:val="00783101"/>
    <w:rsid w:val="007837B5"/>
    <w:rsid w:val="00783BE8"/>
    <w:rsid w:val="00783DED"/>
    <w:rsid w:val="007846B5"/>
    <w:rsid w:val="00784AAB"/>
    <w:rsid w:val="00784B28"/>
    <w:rsid w:val="00785036"/>
    <w:rsid w:val="00785320"/>
    <w:rsid w:val="00785C1A"/>
    <w:rsid w:val="00785FDA"/>
    <w:rsid w:val="0078684E"/>
    <w:rsid w:val="00786AA8"/>
    <w:rsid w:val="00787706"/>
    <w:rsid w:val="007879C4"/>
    <w:rsid w:val="00787D97"/>
    <w:rsid w:val="00787F40"/>
    <w:rsid w:val="0079024A"/>
    <w:rsid w:val="00790570"/>
    <w:rsid w:val="0079061D"/>
    <w:rsid w:val="00790B47"/>
    <w:rsid w:val="00791B0A"/>
    <w:rsid w:val="00791CAD"/>
    <w:rsid w:val="00791E28"/>
    <w:rsid w:val="00792198"/>
    <w:rsid w:val="007921C0"/>
    <w:rsid w:val="0079225D"/>
    <w:rsid w:val="007922CA"/>
    <w:rsid w:val="00793832"/>
    <w:rsid w:val="007940F5"/>
    <w:rsid w:val="007941C7"/>
    <w:rsid w:val="007962E7"/>
    <w:rsid w:val="007963A7"/>
    <w:rsid w:val="007963D4"/>
    <w:rsid w:val="00796C66"/>
    <w:rsid w:val="007A0EEF"/>
    <w:rsid w:val="007A1DAB"/>
    <w:rsid w:val="007A2E27"/>
    <w:rsid w:val="007A364E"/>
    <w:rsid w:val="007A3B32"/>
    <w:rsid w:val="007A463F"/>
    <w:rsid w:val="007A5839"/>
    <w:rsid w:val="007A60DB"/>
    <w:rsid w:val="007A61FF"/>
    <w:rsid w:val="007A6302"/>
    <w:rsid w:val="007A6D1B"/>
    <w:rsid w:val="007A6D6C"/>
    <w:rsid w:val="007B0E76"/>
    <w:rsid w:val="007B1329"/>
    <w:rsid w:val="007B140E"/>
    <w:rsid w:val="007B179D"/>
    <w:rsid w:val="007B1B77"/>
    <w:rsid w:val="007B1F8E"/>
    <w:rsid w:val="007B267B"/>
    <w:rsid w:val="007B2799"/>
    <w:rsid w:val="007B2865"/>
    <w:rsid w:val="007B2E4E"/>
    <w:rsid w:val="007B33D4"/>
    <w:rsid w:val="007B38AF"/>
    <w:rsid w:val="007B3C66"/>
    <w:rsid w:val="007B4319"/>
    <w:rsid w:val="007B481B"/>
    <w:rsid w:val="007B6186"/>
    <w:rsid w:val="007B6B0B"/>
    <w:rsid w:val="007B6CC8"/>
    <w:rsid w:val="007B6F18"/>
    <w:rsid w:val="007B7544"/>
    <w:rsid w:val="007B797A"/>
    <w:rsid w:val="007B7E7E"/>
    <w:rsid w:val="007B7F25"/>
    <w:rsid w:val="007B7F70"/>
    <w:rsid w:val="007C10A6"/>
    <w:rsid w:val="007C1688"/>
    <w:rsid w:val="007C24D6"/>
    <w:rsid w:val="007C276D"/>
    <w:rsid w:val="007C284E"/>
    <w:rsid w:val="007C37F1"/>
    <w:rsid w:val="007C3A7F"/>
    <w:rsid w:val="007C4CB5"/>
    <w:rsid w:val="007C4E70"/>
    <w:rsid w:val="007C517E"/>
    <w:rsid w:val="007C552E"/>
    <w:rsid w:val="007C557B"/>
    <w:rsid w:val="007C6B25"/>
    <w:rsid w:val="007C6C32"/>
    <w:rsid w:val="007C7084"/>
    <w:rsid w:val="007C7092"/>
    <w:rsid w:val="007D0084"/>
    <w:rsid w:val="007D093A"/>
    <w:rsid w:val="007D0FE2"/>
    <w:rsid w:val="007D1105"/>
    <w:rsid w:val="007D127B"/>
    <w:rsid w:val="007D232D"/>
    <w:rsid w:val="007D2330"/>
    <w:rsid w:val="007D251D"/>
    <w:rsid w:val="007D33B4"/>
    <w:rsid w:val="007D3C1D"/>
    <w:rsid w:val="007D492C"/>
    <w:rsid w:val="007D4C64"/>
    <w:rsid w:val="007D5BDE"/>
    <w:rsid w:val="007E06BD"/>
    <w:rsid w:val="007E06E5"/>
    <w:rsid w:val="007E0711"/>
    <w:rsid w:val="007E0C93"/>
    <w:rsid w:val="007E0FD5"/>
    <w:rsid w:val="007E1028"/>
    <w:rsid w:val="007E197C"/>
    <w:rsid w:val="007E19CE"/>
    <w:rsid w:val="007E1AF3"/>
    <w:rsid w:val="007E1C1A"/>
    <w:rsid w:val="007E1EF6"/>
    <w:rsid w:val="007E2F6D"/>
    <w:rsid w:val="007E3165"/>
    <w:rsid w:val="007E32A0"/>
    <w:rsid w:val="007E4B8B"/>
    <w:rsid w:val="007E586C"/>
    <w:rsid w:val="007E5C4D"/>
    <w:rsid w:val="007E61C1"/>
    <w:rsid w:val="007E75BB"/>
    <w:rsid w:val="007E76A5"/>
    <w:rsid w:val="007F02E0"/>
    <w:rsid w:val="007F0793"/>
    <w:rsid w:val="007F11BF"/>
    <w:rsid w:val="007F1EEC"/>
    <w:rsid w:val="007F29D1"/>
    <w:rsid w:val="007F2BD6"/>
    <w:rsid w:val="007F3445"/>
    <w:rsid w:val="007F358D"/>
    <w:rsid w:val="007F35CB"/>
    <w:rsid w:val="007F399B"/>
    <w:rsid w:val="007F3AA4"/>
    <w:rsid w:val="007F3C97"/>
    <w:rsid w:val="007F4986"/>
    <w:rsid w:val="007F570D"/>
    <w:rsid w:val="007F5941"/>
    <w:rsid w:val="007F5C30"/>
    <w:rsid w:val="007F6DD1"/>
    <w:rsid w:val="007F70D0"/>
    <w:rsid w:val="007F73CE"/>
    <w:rsid w:val="007F745B"/>
    <w:rsid w:val="007F76DD"/>
    <w:rsid w:val="007F7FC6"/>
    <w:rsid w:val="00800576"/>
    <w:rsid w:val="00801520"/>
    <w:rsid w:val="0080161A"/>
    <w:rsid w:val="0080195B"/>
    <w:rsid w:val="00801D50"/>
    <w:rsid w:val="00801E53"/>
    <w:rsid w:val="00801EB1"/>
    <w:rsid w:val="00802407"/>
    <w:rsid w:val="00802C8A"/>
    <w:rsid w:val="008041B4"/>
    <w:rsid w:val="008041B8"/>
    <w:rsid w:val="00804A24"/>
    <w:rsid w:val="0080546A"/>
    <w:rsid w:val="008056DE"/>
    <w:rsid w:val="00805C02"/>
    <w:rsid w:val="00805C6C"/>
    <w:rsid w:val="00806169"/>
    <w:rsid w:val="00807004"/>
    <w:rsid w:val="00807B62"/>
    <w:rsid w:val="0081012D"/>
    <w:rsid w:val="00810249"/>
    <w:rsid w:val="0081059A"/>
    <w:rsid w:val="008108D3"/>
    <w:rsid w:val="00810ACC"/>
    <w:rsid w:val="00810CB3"/>
    <w:rsid w:val="00811360"/>
    <w:rsid w:val="0081162E"/>
    <w:rsid w:val="008127F3"/>
    <w:rsid w:val="008134B6"/>
    <w:rsid w:val="00813E90"/>
    <w:rsid w:val="008140B9"/>
    <w:rsid w:val="0081485E"/>
    <w:rsid w:val="00814ABE"/>
    <w:rsid w:val="008156F4"/>
    <w:rsid w:val="00816677"/>
    <w:rsid w:val="008168AE"/>
    <w:rsid w:val="00817948"/>
    <w:rsid w:val="00820034"/>
    <w:rsid w:val="00820603"/>
    <w:rsid w:val="008208BC"/>
    <w:rsid w:val="00820A78"/>
    <w:rsid w:val="00820C9E"/>
    <w:rsid w:val="00820CA6"/>
    <w:rsid w:val="00820F37"/>
    <w:rsid w:val="008211FA"/>
    <w:rsid w:val="00822322"/>
    <w:rsid w:val="008223C7"/>
    <w:rsid w:val="00822520"/>
    <w:rsid w:val="008226EF"/>
    <w:rsid w:val="008229B8"/>
    <w:rsid w:val="00823C60"/>
    <w:rsid w:val="00823D08"/>
    <w:rsid w:val="00823DC6"/>
    <w:rsid w:val="00824372"/>
    <w:rsid w:val="00824516"/>
    <w:rsid w:val="00824FB4"/>
    <w:rsid w:val="00826EB9"/>
    <w:rsid w:val="00827832"/>
    <w:rsid w:val="00827DC5"/>
    <w:rsid w:val="00830828"/>
    <w:rsid w:val="008319BD"/>
    <w:rsid w:val="00831D1E"/>
    <w:rsid w:val="008335D0"/>
    <w:rsid w:val="0083481E"/>
    <w:rsid w:val="008354CF"/>
    <w:rsid w:val="00835B6F"/>
    <w:rsid w:val="00836DB7"/>
    <w:rsid w:val="00836DC9"/>
    <w:rsid w:val="00836DD0"/>
    <w:rsid w:val="00840715"/>
    <w:rsid w:val="0084168F"/>
    <w:rsid w:val="00841C31"/>
    <w:rsid w:val="00841F2F"/>
    <w:rsid w:val="00842082"/>
    <w:rsid w:val="00842153"/>
    <w:rsid w:val="0084220F"/>
    <w:rsid w:val="00842447"/>
    <w:rsid w:val="0084284C"/>
    <w:rsid w:val="00842DDC"/>
    <w:rsid w:val="0084301C"/>
    <w:rsid w:val="00844067"/>
    <w:rsid w:val="008441EE"/>
    <w:rsid w:val="00844387"/>
    <w:rsid w:val="008447B7"/>
    <w:rsid w:val="00845BB2"/>
    <w:rsid w:val="00845E1E"/>
    <w:rsid w:val="00846331"/>
    <w:rsid w:val="00846971"/>
    <w:rsid w:val="00846998"/>
    <w:rsid w:val="00846E37"/>
    <w:rsid w:val="00847132"/>
    <w:rsid w:val="00847DDB"/>
    <w:rsid w:val="00850610"/>
    <w:rsid w:val="008509F8"/>
    <w:rsid w:val="00850D1E"/>
    <w:rsid w:val="00851441"/>
    <w:rsid w:val="00851780"/>
    <w:rsid w:val="0085194D"/>
    <w:rsid w:val="00851CB9"/>
    <w:rsid w:val="008521E5"/>
    <w:rsid w:val="0085233E"/>
    <w:rsid w:val="00852F3B"/>
    <w:rsid w:val="00852FDB"/>
    <w:rsid w:val="00854161"/>
    <w:rsid w:val="008541B0"/>
    <w:rsid w:val="0085422A"/>
    <w:rsid w:val="0085428A"/>
    <w:rsid w:val="00854361"/>
    <w:rsid w:val="008551A9"/>
    <w:rsid w:val="008552B7"/>
    <w:rsid w:val="00855641"/>
    <w:rsid w:val="00857135"/>
    <w:rsid w:val="00857E3A"/>
    <w:rsid w:val="00860328"/>
    <w:rsid w:val="0086053F"/>
    <w:rsid w:val="00860734"/>
    <w:rsid w:val="00860742"/>
    <w:rsid w:val="00860FE3"/>
    <w:rsid w:val="00861734"/>
    <w:rsid w:val="008617D2"/>
    <w:rsid w:val="00861B31"/>
    <w:rsid w:val="00862D08"/>
    <w:rsid w:val="00862DF6"/>
    <w:rsid w:val="008630FB"/>
    <w:rsid w:val="008635DA"/>
    <w:rsid w:val="00863B88"/>
    <w:rsid w:val="00863E9F"/>
    <w:rsid w:val="008641D2"/>
    <w:rsid w:val="008643D6"/>
    <w:rsid w:val="008649B8"/>
    <w:rsid w:val="00865218"/>
    <w:rsid w:val="008664F5"/>
    <w:rsid w:val="00866DE4"/>
    <w:rsid w:val="0086776C"/>
    <w:rsid w:val="00867BE8"/>
    <w:rsid w:val="0087088F"/>
    <w:rsid w:val="00871522"/>
    <w:rsid w:val="0087296E"/>
    <w:rsid w:val="00872AA9"/>
    <w:rsid w:val="00872DB9"/>
    <w:rsid w:val="00873D76"/>
    <w:rsid w:val="00874630"/>
    <w:rsid w:val="00874BFC"/>
    <w:rsid w:val="00875144"/>
    <w:rsid w:val="00875148"/>
    <w:rsid w:val="00875743"/>
    <w:rsid w:val="00875DDC"/>
    <w:rsid w:val="0087601D"/>
    <w:rsid w:val="00876654"/>
    <w:rsid w:val="0087726D"/>
    <w:rsid w:val="008772AF"/>
    <w:rsid w:val="00880012"/>
    <w:rsid w:val="00880607"/>
    <w:rsid w:val="00880CBD"/>
    <w:rsid w:val="00880F8D"/>
    <w:rsid w:val="00881113"/>
    <w:rsid w:val="008813F6"/>
    <w:rsid w:val="008827DE"/>
    <w:rsid w:val="00883BC5"/>
    <w:rsid w:val="00883CBC"/>
    <w:rsid w:val="0088428C"/>
    <w:rsid w:val="008842AA"/>
    <w:rsid w:val="008847E9"/>
    <w:rsid w:val="008854F4"/>
    <w:rsid w:val="0088586F"/>
    <w:rsid w:val="00885F7E"/>
    <w:rsid w:val="008866A1"/>
    <w:rsid w:val="0088676C"/>
    <w:rsid w:val="00886D2B"/>
    <w:rsid w:val="00886EBB"/>
    <w:rsid w:val="008870B0"/>
    <w:rsid w:val="00887E36"/>
    <w:rsid w:val="00890611"/>
    <w:rsid w:val="008908D5"/>
    <w:rsid w:val="00891042"/>
    <w:rsid w:val="00891297"/>
    <w:rsid w:val="008916E1"/>
    <w:rsid w:val="00891837"/>
    <w:rsid w:val="00891A2A"/>
    <w:rsid w:val="00891E2C"/>
    <w:rsid w:val="0089229C"/>
    <w:rsid w:val="008924E4"/>
    <w:rsid w:val="008925BE"/>
    <w:rsid w:val="00893181"/>
    <w:rsid w:val="00893341"/>
    <w:rsid w:val="00893653"/>
    <w:rsid w:val="008940B6"/>
    <w:rsid w:val="00894C1B"/>
    <w:rsid w:val="00894EC1"/>
    <w:rsid w:val="00895C9E"/>
    <w:rsid w:val="00896A8A"/>
    <w:rsid w:val="00896B9C"/>
    <w:rsid w:val="008977C6"/>
    <w:rsid w:val="00897B4B"/>
    <w:rsid w:val="00897DE7"/>
    <w:rsid w:val="008A020E"/>
    <w:rsid w:val="008A0748"/>
    <w:rsid w:val="008A0BC6"/>
    <w:rsid w:val="008A1554"/>
    <w:rsid w:val="008A15F8"/>
    <w:rsid w:val="008A1A33"/>
    <w:rsid w:val="008A1B9C"/>
    <w:rsid w:val="008A220A"/>
    <w:rsid w:val="008A221B"/>
    <w:rsid w:val="008A224A"/>
    <w:rsid w:val="008A352E"/>
    <w:rsid w:val="008A3594"/>
    <w:rsid w:val="008A387A"/>
    <w:rsid w:val="008A3B85"/>
    <w:rsid w:val="008A3CEE"/>
    <w:rsid w:val="008A41DD"/>
    <w:rsid w:val="008A4C8F"/>
    <w:rsid w:val="008A4F52"/>
    <w:rsid w:val="008A5861"/>
    <w:rsid w:val="008A63EF"/>
    <w:rsid w:val="008A64F6"/>
    <w:rsid w:val="008A6747"/>
    <w:rsid w:val="008A6B16"/>
    <w:rsid w:val="008A77A0"/>
    <w:rsid w:val="008A7C78"/>
    <w:rsid w:val="008A7EAC"/>
    <w:rsid w:val="008B058D"/>
    <w:rsid w:val="008B1E09"/>
    <w:rsid w:val="008B224C"/>
    <w:rsid w:val="008B293E"/>
    <w:rsid w:val="008B2A2C"/>
    <w:rsid w:val="008B31E4"/>
    <w:rsid w:val="008B3945"/>
    <w:rsid w:val="008B3A87"/>
    <w:rsid w:val="008B4CF0"/>
    <w:rsid w:val="008B4D59"/>
    <w:rsid w:val="008B4E50"/>
    <w:rsid w:val="008B4FAA"/>
    <w:rsid w:val="008B55EF"/>
    <w:rsid w:val="008B6173"/>
    <w:rsid w:val="008B655D"/>
    <w:rsid w:val="008B734F"/>
    <w:rsid w:val="008B7F7D"/>
    <w:rsid w:val="008C0C00"/>
    <w:rsid w:val="008C0DE8"/>
    <w:rsid w:val="008C160C"/>
    <w:rsid w:val="008C1746"/>
    <w:rsid w:val="008C1A5F"/>
    <w:rsid w:val="008C1CE5"/>
    <w:rsid w:val="008C29E0"/>
    <w:rsid w:val="008C2A40"/>
    <w:rsid w:val="008C2FC6"/>
    <w:rsid w:val="008C2FF2"/>
    <w:rsid w:val="008C3027"/>
    <w:rsid w:val="008C3072"/>
    <w:rsid w:val="008C5872"/>
    <w:rsid w:val="008C5BE6"/>
    <w:rsid w:val="008C5BFB"/>
    <w:rsid w:val="008C6817"/>
    <w:rsid w:val="008C68A9"/>
    <w:rsid w:val="008C6B13"/>
    <w:rsid w:val="008C7AFD"/>
    <w:rsid w:val="008C7B95"/>
    <w:rsid w:val="008C7BD9"/>
    <w:rsid w:val="008C7F20"/>
    <w:rsid w:val="008D07F8"/>
    <w:rsid w:val="008D1B3A"/>
    <w:rsid w:val="008D29A3"/>
    <w:rsid w:val="008D33BB"/>
    <w:rsid w:val="008D3708"/>
    <w:rsid w:val="008D3D18"/>
    <w:rsid w:val="008D3E60"/>
    <w:rsid w:val="008D44DF"/>
    <w:rsid w:val="008D46EB"/>
    <w:rsid w:val="008D5CFC"/>
    <w:rsid w:val="008D65CF"/>
    <w:rsid w:val="008D6A09"/>
    <w:rsid w:val="008D6ACE"/>
    <w:rsid w:val="008D7181"/>
    <w:rsid w:val="008D71DF"/>
    <w:rsid w:val="008D79BF"/>
    <w:rsid w:val="008E07C3"/>
    <w:rsid w:val="008E0BC5"/>
    <w:rsid w:val="008E19BB"/>
    <w:rsid w:val="008E1ABD"/>
    <w:rsid w:val="008E1F7E"/>
    <w:rsid w:val="008E246B"/>
    <w:rsid w:val="008E2845"/>
    <w:rsid w:val="008E2C29"/>
    <w:rsid w:val="008E2D20"/>
    <w:rsid w:val="008E3857"/>
    <w:rsid w:val="008E4355"/>
    <w:rsid w:val="008E4B18"/>
    <w:rsid w:val="008E5118"/>
    <w:rsid w:val="008E6AFB"/>
    <w:rsid w:val="008E6E84"/>
    <w:rsid w:val="008E7E33"/>
    <w:rsid w:val="008F0CF9"/>
    <w:rsid w:val="008F0E21"/>
    <w:rsid w:val="008F1473"/>
    <w:rsid w:val="008F1906"/>
    <w:rsid w:val="008F1CCF"/>
    <w:rsid w:val="008F1E1A"/>
    <w:rsid w:val="008F21A7"/>
    <w:rsid w:val="008F24B7"/>
    <w:rsid w:val="008F24CA"/>
    <w:rsid w:val="008F2E78"/>
    <w:rsid w:val="008F3A9E"/>
    <w:rsid w:val="008F548D"/>
    <w:rsid w:val="008F5F0C"/>
    <w:rsid w:val="008F6125"/>
    <w:rsid w:val="008F6E2E"/>
    <w:rsid w:val="008F7005"/>
    <w:rsid w:val="008F7D49"/>
    <w:rsid w:val="0090001C"/>
    <w:rsid w:val="00900042"/>
    <w:rsid w:val="00900547"/>
    <w:rsid w:val="0090077A"/>
    <w:rsid w:val="00900DCC"/>
    <w:rsid w:val="009013C8"/>
    <w:rsid w:val="009017E8"/>
    <w:rsid w:val="00902371"/>
    <w:rsid w:val="0090273F"/>
    <w:rsid w:val="00902872"/>
    <w:rsid w:val="00903308"/>
    <w:rsid w:val="009034A5"/>
    <w:rsid w:val="0090459D"/>
    <w:rsid w:val="00904E17"/>
    <w:rsid w:val="0090515F"/>
    <w:rsid w:val="0090603B"/>
    <w:rsid w:val="00906169"/>
    <w:rsid w:val="00906CDE"/>
    <w:rsid w:val="00907394"/>
    <w:rsid w:val="0090756B"/>
    <w:rsid w:val="00910ECF"/>
    <w:rsid w:val="00911768"/>
    <w:rsid w:val="00911788"/>
    <w:rsid w:val="009118ED"/>
    <w:rsid w:val="0091197E"/>
    <w:rsid w:val="00911C33"/>
    <w:rsid w:val="00911E15"/>
    <w:rsid w:val="00911E21"/>
    <w:rsid w:val="009125E4"/>
    <w:rsid w:val="009133B0"/>
    <w:rsid w:val="00913AEF"/>
    <w:rsid w:val="00913DEB"/>
    <w:rsid w:val="00914025"/>
    <w:rsid w:val="00914EBE"/>
    <w:rsid w:val="0091556A"/>
    <w:rsid w:val="00916D84"/>
    <w:rsid w:val="00917C61"/>
    <w:rsid w:val="00917DC7"/>
    <w:rsid w:val="0092092D"/>
    <w:rsid w:val="00920DC9"/>
    <w:rsid w:val="00921080"/>
    <w:rsid w:val="00921BD7"/>
    <w:rsid w:val="00921F04"/>
    <w:rsid w:val="0092206B"/>
    <w:rsid w:val="009234B0"/>
    <w:rsid w:val="00924462"/>
    <w:rsid w:val="00924A91"/>
    <w:rsid w:val="00924EB0"/>
    <w:rsid w:val="00925529"/>
    <w:rsid w:val="009255C6"/>
    <w:rsid w:val="009256CD"/>
    <w:rsid w:val="00925CAC"/>
    <w:rsid w:val="0092626A"/>
    <w:rsid w:val="00926323"/>
    <w:rsid w:val="009269F8"/>
    <w:rsid w:val="00927741"/>
    <w:rsid w:val="00930502"/>
    <w:rsid w:val="00930C82"/>
    <w:rsid w:val="00931776"/>
    <w:rsid w:val="009317FE"/>
    <w:rsid w:val="00931E44"/>
    <w:rsid w:val="00933069"/>
    <w:rsid w:val="00933B82"/>
    <w:rsid w:val="00933EDC"/>
    <w:rsid w:val="00935EEB"/>
    <w:rsid w:val="009362E0"/>
    <w:rsid w:val="00936740"/>
    <w:rsid w:val="00937740"/>
    <w:rsid w:val="009379C1"/>
    <w:rsid w:val="009379DF"/>
    <w:rsid w:val="00937C5D"/>
    <w:rsid w:val="00937EC7"/>
    <w:rsid w:val="0093873A"/>
    <w:rsid w:val="009400A9"/>
    <w:rsid w:val="00940AA7"/>
    <w:rsid w:val="00941C0E"/>
    <w:rsid w:val="0094266D"/>
    <w:rsid w:val="0094405A"/>
    <w:rsid w:val="009455E0"/>
    <w:rsid w:val="009461B4"/>
    <w:rsid w:val="00946BA2"/>
    <w:rsid w:val="00946F8C"/>
    <w:rsid w:val="0094784E"/>
    <w:rsid w:val="00947B12"/>
    <w:rsid w:val="009508BD"/>
    <w:rsid w:val="00950939"/>
    <w:rsid w:val="00950F3D"/>
    <w:rsid w:val="00951648"/>
    <w:rsid w:val="0095274B"/>
    <w:rsid w:val="009532D4"/>
    <w:rsid w:val="0095397E"/>
    <w:rsid w:val="009542D6"/>
    <w:rsid w:val="009543FF"/>
    <w:rsid w:val="009549E1"/>
    <w:rsid w:val="00954B4E"/>
    <w:rsid w:val="00955351"/>
    <w:rsid w:val="00955455"/>
    <w:rsid w:val="009554AD"/>
    <w:rsid w:val="00955B9A"/>
    <w:rsid w:val="00955C1C"/>
    <w:rsid w:val="00955D4B"/>
    <w:rsid w:val="00955F53"/>
    <w:rsid w:val="009561C0"/>
    <w:rsid w:val="00956A98"/>
    <w:rsid w:val="00956F71"/>
    <w:rsid w:val="0095763E"/>
    <w:rsid w:val="009579AF"/>
    <w:rsid w:val="00957CAE"/>
    <w:rsid w:val="00960191"/>
    <w:rsid w:val="00960888"/>
    <w:rsid w:val="009609F5"/>
    <w:rsid w:val="0096143C"/>
    <w:rsid w:val="009622CD"/>
    <w:rsid w:val="009622E2"/>
    <w:rsid w:val="00962891"/>
    <w:rsid w:val="00962929"/>
    <w:rsid w:val="00962BB0"/>
    <w:rsid w:val="00962FCA"/>
    <w:rsid w:val="00963A51"/>
    <w:rsid w:val="00964FF5"/>
    <w:rsid w:val="009652C1"/>
    <w:rsid w:val="00965D5D"/>
    <w:rsid w:val="009661CB"/>
    <w:rsid w:val="0096669B"/>
    <w:rsid w:val="00971184"/>
    <w:rsid w:val="009718B1"/>
    <w:rsid w:val="00971924"/>
    <w:rsid w:val="00971972"/>
    <w:rsid w:val="00971A0D"/>
    <w:rsid w:val="00972110"/>
    <w:rsid w:val="00973245"/>
    <w:rsid w:val="00973B16"/>
    <w:rsid w:val="00974095"/>
    <w:rsid w:val="009760C8"/>
    <w:rsid w:val="00976421"/>
    <w:rsid w:val="00976AA6"/>
    <w:rsid w:val="0097710E"/>
    <w:rsid w:val="00977475"/>
    <w:rsid w:val="00977A12"/>
    <w:rsid w:val="00977D71"/>
    <w:rsid w:val="0098023B"/>
    <w:rsid w:val="00980354"/>
    <w:rsid w:val="0098175C"/>
    <w:rsid w:val="00982859"/>
    <w:rsid w:val="009829E4"/>
    <w:rsid w:val="00982D17"/>
    <w:rsid w:val="00982D24"/>
    <w:rsid w:val="00983060"/>
    <w:rsid w:val="00983D3E"/>
    <w:rsid w:val="00984721"/>
    <w:rsid w:val="009847AA"/>
    <w:rsid w:val="00984D5D"/>
    <w:rsid w:val="009853C0"/>
    <w:rsid w:val="009864D7"/>
    <w:rsid w:val="009865AD"/>
    <w:rsid w:val="00986A62"/>
    <w:rsid w:val="00986CF2"/>
    <w:rsid w:val="00986F25"/>
    <w:rsid w:val="0098707F"/>
    <w:rsid w:val="009870BD"/>
    <w:rsid w:val="009870F8"/>
    <w:rsid w:val="0098734A"/>
    <w:rsid w:val="009901E6"/>
    <w:rsid w:val="0099020D"/>
    <w:rsid w:val="00990304"/>
    <w:rsid w:val="009903DE"/>
    <w:rsid w:val="00990BC2"/>
    <w:rsid w:val="009918FC"/>
    <w:rsid w:val="009927A5"/>
    <w:rsid w:val="00992835"/>
    <w:rsid w:val="00992F99"/>
    <w:rsid w:val="0099333A"/>
    <w:rsid w:val="009934A0"/>
    <w:rsid w:val="00993A39"/>
    <w:rsid w:val="009949A8"/>
    <w:rsid w:val="0099502C"/>
    <w:rsid w:val="00995D03"/>
    <w:rsid w:val="00995D65"/>
    <w:rsid w:val="0099697C"/>
    <w:rsid w:val="009A1117"/>
    <w:rsid w:val="009A16A5"/>
    <w:rsid w:val="009A22F7"/>
    <w:rsid w:val="009A41CC"/>
    <w:rsid w:val="009A42D4"/>
    <w:rsid w:val="009A4E44"/>
    <w:rsid w:val="009A51E9"/>
    <w:rsid w:val="009A570B"/>
    <w:rsid w:val="009A5BC9"/>
    <w:rsid w:val="009A5F60"/>
    <w:rsid w:val="009A65D1"/>
    <w:rsid w:val="009A6673"/>
    <w:rsid w:val="009A6ACA"/>
    <w:rsid w:val="009A6C8A"/>
    <w:rsid w:val="009A705B"/>
    <w:rsid w:val="009A7810"/>
    <w:rsid w:val="009A7A3D"/>
    <w:rsid w:val="009B0477"/>
    <w:rsid w:val="009B0691"/>
    <w:rsid w:val="009B0A6C"/>
    <w:rsid w:val="009B0B1F"/>
    <w:rsid w:val="009B1463"/>
    <w:rsid w:val="009B1775"/>
    <w:rsid w:val="009B18CF"/>
    <w:rsid w:val="009B18D7"/>
    <w:rsid w:val="009B1B03"/>
    <w:rsid w:val="009B1B20"/>
    <w:rsid w:val="009B230A"/>
    <w:rsid w:val="009B2A13"/>
    <w:rsid w:val="009B2A47"/>
    <w:rsid w:val="009B2C27"/>
    <w:rsid w:val="009B341E"/>
    <w:rsid w:val="009B4062"/>
    <w:rsid w:val="009B4EA2"/>
    <w:rsid w:val="009B5DCD"/>
    <w:rsid w:val="009B61BB"/>
    <w:rsid w:val="009B6436"/>
    <w:rsid w:val="009B6E7A"/>
    <w:rsid w:val="009B6EA2"/>
    <w:rsid w:val="009B6FDC"/>
    <w:rsid w:val="009B7368"/>
    <w:rsid w:val="009B7682"/>
    <w:rsid w:val="009B7DF6"/>
    <w:rsid w:val="009C0730"/>
    <w:rsid w:val="009C1038"/>
    <w:rsid w:val="009C1813"/>
    <w:rsid w:val="009C191B"/>
    <w:rsid w:val="009C19C7"/>
    <w:rsid w:val="009C1E2B"/>
    <w:rsid w:val="009C1EEC"/>
    <w:rsid w:val="009C2423"/>
    <w:rsid w:val="009C2F00"/>
    <w:rsid w:val="009C2FA1"/>
    <w:rsid w:val="009C3917"/>
    <w:rsid w:val="009C3EE1"/>
    <w:rsid w:val="009C410F"/>
    <w:rsid w:val="009C4A54"/>
    <w:rsid w:val="009C4F8E"/>
    <w:rsid w:val="009C5EC5"/>
    <w:rsid w:val="009C697E"/>
    <w:rsid w:val="009C6CBA"/>
    <w:rsid w:val="009D0173"/>
    <w:rsid w:val="009D0A95"/>
    <w:rsid w:val="009D0EFC"/>
    <w:rsid w:val="009D11AB"/>
    <w:rsid w:val="009D18C6"/>
    <w:rsid w:val="009D2640"/>
    <w:rsid w:val="009D298B"/>
    <w:rsid w:val="009D2E2D"/>
    <w:rsid w:val="009D3858"/>
    <w:rsid w:val="009D4852"/>
    <w:rsid w:val="009D4948"/>
    <w:rsid w:val="009D5191"/>
    <w:rsid w:val="009D6649"/>
    <w:rsid w:val="009D6B19"/>
    <w:rsid w:val="009D716D"/>
    <w:rsid w:val="009D7939"/>
    <w:rsid w:val="009D7D67"/>
    <w:rsid w:val="009E09E0"/>
    <w:rsid w:val="009E14F6"/>
    <w:rsid w:val="009E1640"/>
    <w:rsid w:val="009E1F2A"/>
    <w:rsid w:val="009E2032"/>
    <w:rsid w:val="009E2BB4"/>
    <w:rsid w:val="009E2BD2"/>
    <w:rsid w:val="009E2D11"/>
    <w:rsid w:val="009E3A64"/>
    <w:rsid w:val="009E3C5C"/>
    <w:rsid w:val="009E3C77"/>
    <w:rsid w:val="009E4433"/>
    <w:rsid w:val="009E5564"/>
    <w:rsid w:val="009E58CE"/>
    <w:rsid w:val="009E5A1A"/>
    <w:rsid w:val="009E680D"/>
    <w:rsid w:val="009E6B05"/>
    <w:rsid w:val="009E6C15"/>
    <w:rsid w:val="009E782E"/>
    <w:rsid w:val="009F06A2"/>
    <w:rsid w:val="009F0F5C"/>
    <w:rsid w:val="009F15FB"/>
    <w:rsid w:val="009F1754"/>
    <w:rsid w:val="009F1C70"/>
    <w:rsid w:val="009F1D6E"/>
    <w:rsid w:val="009F2197"/>
    <w:rsid w:val="009F37C9"/>
    <w:rsid w:val="009F44D1"/>
    <w:rsid w:val="009F49BA"/>
    <w:rsid w:val="009F50FF"/>
    <w:rsid w:val="009F58C1"/>
    <w:rsid w:val="009F5B54"/>
    <w:rsid w:val="009F5BC2"/>
    <w:rsid w:val="009F5D4B"/>
    <w:rsid w:val="009F5DFC"/>
    <w:rsid w:val="009F6127"/>
    <w:rsid w:val="009F63AF"/>
    <w:rsid w:val="009F6635"/>
    <w:rsid w:val="009F698F"/>
    <w:rsid w:val="009F6F1E"/>
    <w:rsid w:val="009F718A"/>
    <w:rsid w:val="009F7261"/>
    <w:rsid w:val="009F735C"/>
    <w:rsid w:val="009F7CB1"/>
    <w:rsid w:val="009F7FEB"/>
    <w:rsid w:val="00A003EE"/>
    <w:rsid w:val="00A00F37"/>
    <w:rsid w:val="00A00FE6"/>
    <w:rsid w:val="00A0154C"/>
    <w:rsid w:val="00A01DFB"/>
    <w:rsid w:val="00A0219B"/>
    <w:rsid w:val="00A0270A"/>
    <w:rsid w:val="00A029AF"/>
    <w:rsid w:val="00A030AB"/>
    <w:rsid w:val="00A03721"/>
    <w:rsid w:val="00A03983"/>
    <w:rsid w:val="00A0501E"/>
    <w:rsid w:val="00A05772"/>
    <w:rsid w:val="00A0617E"/>
    <w:rsid w:val="00A06327"/>
    <w:rsid w:val="00A0647D"/>
    <w:rsid w:val="00A07220"/>
    <w:rsid w:val="00A07470"/>
    <w:rsid w:val="00A07864"/>
    <w:rsid w:val="00A10045"/>
    <w:rsid w:val="00A10623"/>
    <w:rsid w:val="00A10943"/>
    <w:rsid w:val="00A10CDD"/>
    <w:rsid w:val="00A10EEF"/>
    <w:rsid w:val="00A11054"/>
    <w:rsid w:val="00A11786"/>
    <w:rsid w:val="00A11A7D"/>
    <w:rsid w:val="00A12033"/>
    <w:rsid w:val="00A122DC"/>
    <w:rsid w:val="00A123D8"/>
    <w:rsid w:val="00A128F3"/>
    <w:rsid w:val="00A12CDF"/>
    <w:rsid w:val="00A13B9D"/>
    <w:rsid w:val="00A13BCA"/>
    <w:rsid w:val="00A13F22"/>
    <w:rsid w:val="00A1510A"/>
    <w:rsid w:val="00A15852"/>
    <w:rsid w:val="00A17001"/>
    <w:rsid w:val="00A17246"/>
    <w:rsid w:val="00A20E32"/>
    <w:rsid w:val="00A20F27"/>
    <w:rsid w:val="00A20FC1"/>
    <w:rsid w:val="00A220AA"/>
    <w:rsid w:val="00A2221C"/>
    <w:rsid w:val="00A2276C"/>
    <w:rsid w:val="00A22835"/>
    <w:rsid w:val="00A2426F"/>
    <w:rsid w:val="00A24C8B"/>
    <w:rsid w:val="00A25105"/>
    <w:rsid w:val="00A2518C"/>
    <w:rsid w:val="00A25C06"/>
    <w:rsid w:val="00A25E0C"/>
    <w:rsid w:val="00A2679B"/>
    <w:rsid w:val="00A2683A"/>
    <w:rsid w:val="00A273C5"/>
    <w:rsid w:val="00A27B63"/>
    <w:rsid w:val="00A27EE7"/>
    <w:rsid w:val="00A30C1F"/>
    <w:rsid w:val="00A30CC0"/>
    <w:rsid w:val="00A30D43"/>
    <w:rsid w:val="00A31491"/>
    <w:rsid w:val="00A31682"/>
    <w:rsid w:val="00A316D5"/>
    <w:rsid w:val="00A326D6"/>
    <w:rsid w:val="00A32DFA"/>
    <w:rsid w:val="00A32FB9"/>
    <w:rsid w:val="00A33578"/>
    <w:rsid w:val="00A33C6A"/>
    <w:rsid w:val="00A34CEA"/>
    <w:rsid w:val="00A35513"/>
    <w:rsid w:val="00A35F1A"/>
    <w:rsid w:val="00A37535"/>
    <w:rsid w:val="00A37918"/>
    <w:rsid w:val="00A3795F"/>
    <w:rsid w:val="00A37A6A"/>
    <w:rsid w:val="00A37CC7"/>
    <w:rsid w:val="00A37ED9"/>
    <w:rsid w:val="00A40354"/>
    <w:rsid w:val="00A40AD0"/>
    <w:rsid w:val="00A40AE1"/>
    <w:rsid w:val="00A40D2A"/>
    <w:rsid w:val="00A40E35"/>
    <w:rsid w:val="00A422B3"/>
    <w:rsid w:val="00A42978"/>
    <w:rsid w:val="00A42C31"/>
    <w:rsid w:val="00A42DA5"/>
    <w:rsid w:val="00A43629"/>
    <w:rsid w:val="00A43833"/>
    <w:rsid w:val="00A44733"/>
    <w:rsid w:val="00A45106"/>
    <w:rsid w:val="00A457F3"/>
    <w:rsid w:val="00A45DC8"/>
    <w:rsid w:val="00A46D9E"/>
    <w:rsid w:val="00A515E0"/>
    <w:rsid w:val="00A518C8"/>
    <w:rsid w:val="00A52389"/>
    <w:rsid w:val="00A5251E"/>
    <w:rsid w:val="00A53EB5"/>
    <w:rsid w:val="00A544FD"/>
    <w:rsid w:val="00A545FC"/>
    <w:rsid w:val="00A54E49"/>
    <w:rsid w:val="00A56B27"/>
    <w:rsid w:val="00A56FAF"/>
    <w:rsid w:val="00A57391"/>
    <w:rsid w:val="00A60633"/>
    <w:rsid w:val="00A607E1"/>
    <w:rsid w:val="00A60AFD"/>
    <w:rsid w:val="00A6292E"/>
    <w:rsid w:val="00A62D7D"/>
    <w:rsid w:val="00A63396"/>
    <w:rsid w:val="00A638D4"/>
    <w:rsid w:val="00A63FCA"/>
    <w:rsid w:val="00A64DA1"/>
    <w:rsid w:val="00A64DC9"/>
    <w:rsid w:val="00A654FF"/>
    <w:rsid w:val="00A659E5"/>
    <w:rsid w:val="00A65B21"/>
    <w:rsid w:val="00A668F2"/>
    <w:rsid w:val="00A66C9F"/>
    <w:rsid w:val="00A66DB0"/>
    <w:rsid w:val="00A670D3"/>
    <w:rsid w:val="00A679F9"/>
    <w:rsid w:val="00A71221"/>
    <w:rsid w:val="00A7262B"/>
    <w:rsid w:val="00A72646"/>
    <w:rsid w:val="00A72AA4"/>
    <w:rsid w:val="00A73149"/>
    <w:rsid w:val="00A73A02"/>
    <w:rsid w:val="00A73AA2"/>
    <w:rsid w:val="00A73ED7"/>
    <w:rsid w:val="00A73EF0"/>
    <w:rsid w:val="00A7402D"/>
    <w:rsid w:val="00A75117"/>
    <w:rsid w:val="00A75F4F"/>
    <w:rsid w:val="00A760A2"/>
    <w:rsid w:val="00A76FC4"/>
    <w:rsid w:val="00A772B3"/>
    <w:rsid w:val="00A774FA"/>
    <w:rsid w:val="00A817FD"/>
    <w:rsid w:val="00A818E0"/>
    <w:rsid w:val="00A8257D"/>
    <w:rsid w:val="00A8272E"/>
    <w:rsid w:val="00A82EBC"/>
    <w:rsid w:val="00A83145"/>
    <w:rsid w:val="00A83707"/>
    <w:rsid w:val="00A841B2"/>
    <w:rsid w:val="00A8465E"/>
    <w:rsid w:val="00A84927"/>
    <w:rsid w:val="00A84A81"/>
    <w:rsid w:val="00A84EF9"/>
    <w:rsid w:val="00A852C6"/>
    <w:rsid w:val="00A864BC"/>
    <w:rsid w:val="00A8694A"/>
    <w:rsid w:val="00A86A38"/>
    <w:rsid w:val="00A86C23"/>
    <w:rsid w:val="00A86DF0"/>
    <w:rsid w:val="00A873C9"/>
    <w:rsid w:val="00A874DE"/>
    <w:rsid w:val="00A90BE8"/>
    <w:rsid w:val="00A90EF8"/>
    <w:rsid w:val="00A90F1C"/>
    <w:rsid w:val="00A91022"/>
    <w:rsid w:val="00A91430"/>
    <w:rsid w:val="00A91A9E"/>
    <w:rsid w:val="00A9211D"/>
    <w:rsid w:val="00A92845"/>
    <w:rsid w:val="00A93347"/>
    <w:rsid w:val="00A936A3"/>
    <w:rsid w:val="00A942DE"/>
    <w:rsid w:val="00A94FC6"/>
    <w:rsid w:val="00A95007"/>
    <w:rsid w:val="00A95235"/>
    <w:rsid w:val="00A95804"/>
    <w:rsid w:val="00A95CC4"/>
    <w:rsid w:val="00A95D76"/>
    <w:rsid w:val="00A96E40"/>
    <w:rsid w:val="00A977F6"/>
    <w:rsid w:val="00A97AE1"/>
    <w:rsid w:val="00A97D7A"/>
    <w:rsid w:val="00AA028D"/>
    <w:rsid w:val="00AA029D"/>
    <w:rsid w:val="00AA0F0F"/>
    <w:rsid w:val="00AA1258"/>
    <w:rsid w:val="00AA1307"/>
    <w:rsid w:val="00AA14E4"/>
    <w:rsid w:val="00AA1AA6"/>
    <w:rsid w:val="00AA1C67"/>
    <w:rsid w:val="00AA32CA"/>
    <w:rsid w:val="00AA3A44"/>
    <w:rsid w:val="00AA3B5A"/>
    <w:rsid w:val="00AA3C9C"/>
    <w:rsid w:val="00AA443B"/>
    <w:rsid w:val="00AA5CE6"/>
    <w:rsid w:val="00AA6684"/>
    <w:rsid w:val="00AA6BB3"/>
    <w:rsid w:val="00AA6EA3"/>
    <w:rsid w:val="00AA71EA"/>
    <w:rsid w:val="00AA731F"/>
    <w:rsid w:val="00AA74D6"/>
    <w:rsid w:val="00AA7C22"/>
    <w:rsid w:val="00AA7E16"/>
    <w:rsid w:val="00AB0207"/>
    <w:rsid w:val="00AB06D7"/>
    <w:rsid w:val="00AB0B58"/>
    <w:rsid w:val="00AB0D4B"/>
    <w:rsid w:val="00AB0F50"/>
    <w:rsid w:val="00AB0F56"/>
    <w:rsid w:val="00AB0F5B"/>
    <w:rsid w:val="00AB1006"/>
    <w:rsid w:val="00AB1461"/>
    <w:rsid w:val="00AB1561"/>
    <w:rsid w:val="00AB1E94"/>
    <w:rsid w:val="00AB2008"/>
    <w:rsid w:val="00AB25FD"/>
    <w:rsid w:val="00AB3F5B"/>
    <w:rsid w:val="00AB460F"/>
    <w:rsid w:val="00AB4C8C"/>
    <w:rsid w:val="00AB4E70"/>
    <w:rsid w:val="00AB61E7"/>
    <w:rsid w:val="00AB67E3"/>
    <w:rsid w:val="00AB6AC7"/>
    <w:rsid w:val="00AB6AD3"/>
    <w:rsid w:val="00AB6DAC"/>
    <w:rsid w:val="00AB7E1F"/>
    <w:rsid w:val="00AB7F93"/>
    <w:rsid w:val="00AC002B"/>
    <w:rsid w:val="00AC0A40"/>
    <w:rsid w:val="00AC0AB4"/>
    <w:rsid w:val="00AC0E1F"/>
    <w:rsid w:val="00AC18AE"/>
    <w:rsid w:val="00AC1A60"/>
    <w:rsid w:val="00AC1BBF"/>
    <w:rsid w:val="00AC2367"/>
    <w:rsid w:val="00AC2C3C"/>
    <w:rsid w:val="00AC3269"/>
    <w:rsid w:val="00AC42FC"/>
    <w:rsid w:val="00AC6BAE"/>
    <w:rsid w:val="00AC6DA8"/>
    <w:rsid w:val="00AC6FDF"/>
    <w:rsid w:val="00AC789C"/>
    <w:rsid w:val="00AC7958"/>
    <w:rsid w:val="00AC7C55"/>
    <w:rsid w:val="00AD0291"/>
    <w:rsid w:val="00AD032E"/>
    <w:rsid w:val="00AD09FC"/>
    <w:rsid w:val="00AD10F6"/>
    <w:rsid w:val="00AD1539"/>
    <w:rsid w:val="00AD1D48"/>
    <w:rsid w:val="00AD1DFE"/>
    <w:rsid w:val="00AD1E06"/>
    <w:rsid w:val="00AD20F6"/>
    <w:rsid w:val="00AD27A1"/>
    <w:rsid w:val="00AD2B17"/>
    <w:rsid w:val="00AD3E07"/>
    <w:rsid w:val="00AD41A0"/>
    <w:rsid w:val="00AD4FB4"/>
    <w:rsid w:val="00AD557D"/>
    <w:rsid w:val="00AD6359"/>
    <w:rsid w:val="00AD6F02"/>
    <w:rsid w:val="00AD7107"/>
    <w:rsid w:val="00AD727F"/>
    <w:rsid w:val="00AE1382"/>
    <w:rsid w:val="00AE1F7B"/>
    <w:rsid w:val="00AE26F4"/>
    <w:rsid w:val="00AE2E7E"/>
    <w:rsid w:val="00AE3C67"/>
    <w:rsid w:val="00AE3CA3"/>
    <w:rsid w:val="00AE43FE"/>
    <w:rsid w:val="00AE4628"/>
    <w:rsid w:val="00AE48EE"/>
    <w:rsid w:val="00AE502F"/>
    <w:rsid w:val="00AE564D"/>
    <w:rsid w:val="00AE56BE"/>
    <w:rsid w:val="00AE6DE2"/>
    <w:rsid w:val="00AE6E88"/>
    <w:rsid w:val="00AE7B11"/>
    <w:rsid w:val="00AF189D"/>
    <w:rsid w:val="00AF1C3E"/>
    <w:rsid w:val="00AF2033"/>
    <w:rsid w:val="00AF2395"/>
    <w:rsid w:val="00AF23AF"/>
    <w:rsid w:val="00AF2F01"/>
    <w:rsid w:val="00AF32BD"/>
    <w:rsid w:val="00AF3A31"/>
    <w:rsid w:val="00AF3D17"/>
    <w:rsid w:val="00AF4DC5"/>
    <w:rsid w:val="00AF5729"/>
    <w:rsid w:val="00AF5922"/>
    <w:rsid w:val="00AF6F5D"/>
    <w:rsid w:val="00AF792B"/>
    <w:rsid w:val="00AF7EE4"/>
    <w:rsid w:val="00B00AE8"/>
    <w:rsid w:val="00B00F26"/>
    <w:rsid w:val="00B015DB"/>
    <w:rsid w:val="00B01613"/>
    <w:rsid w:val="00B02905"/>
    <w:rsid w:val="00B02DA8"/>
    <w:rsid w:val="00B03F3A"/>
    <w:rsid w:val="00B050DC"/>
    <w:rsid w:val="00B0534E"/>
    <w:rsid w:val="00B068C9"/>
    <w:rsid w:val="00B07E89"/>
    <w:rsid w:val="00B10095"/>
    <w:rsid w:val="00B10345"/>
    <w:rsid w:val="00B1067B"/>
    <w:rsid w:val="00B108BF"/>
    <w:rsid w:val="00B10A44"/>
    <w:rsid w:val="00B11242"/>
    <w:rsid w:val="00B11980"/>
    <w:rsid w:val="00B123DE"/>
    <w:rsid w:val="00B126AA"/>
    <w:rsid w:val="00B12854"/>
    <w:rsid w:val="00B12A76"/>
    <w:rsid w:val="00B12CB4"/>
    <w:rsid w:val="00B1349F"/>
    <w:rsid w:val="00B13FAA"/>
    <w:rsid w:val="00B149C9"/>
    <w:rsid w:val="00B14A0C"/>
    <w:rsid w:val="00B14D1B"/>
    <w:rsid w:val="00B15265"/>
    <w:rsid w:val="00B15C55"/>
    <w:rsid w:val="00B1640D"/>
    <w:rsid w:val="00B174B6"/>
    <w:rsid w:val="00B178D3"/>
    <w:rsid w:val="00B20843"/>
    <w:rsid w:val="00B21D5B"/>
    <w:rsid w:val="00B22290"/>
    <w:rsid w:val="00B225F9"/>
    <w:rsid w:val="00B22A79"/>
    <w:rsid w:val="00B234B9"/>
    <w:rsid w:val="00B236EC"/>
    <w:rsid w:val="00B23C9E"/>
    <w:rsid w:val="00B247CE"/>
    <w:rsid w:val="00B24F95"/>
    <w:rsid w:val="00B2556E"/>
    <w:rsid w:val="00B25985"/>
    <w:rsid w:val="00B259B9"/>
    <w:rsid w:val="00B25ED2"/>
    <w:rsid w:val="00B27698"/>
    <w:rsid w:val="00B27DD5"/>
    <w:rsid w:val="00B30015"/>
    <w:rsid w:val="00B30087"/>
    <w:rsid w:val="00B30215"/>
    <w:rsid w:val="00B30E07"/>
    <w:rsid w:val="00B31FED"/>
    <w:rsid w:val="00B328C0"/>
    <w:rsid w:val="00B32957"/>
    <w:rsid w:val="00B32FDB"/>
    <w:rsid w:val="00B330C2"/>
    <w:rsid w:val="00B33737"/>
    <w:rsid w:val="00B33A11"/>
    <w:rsid w:val="00B33EE0"/>
    <w:rsid w:val="00B34388"/>
    <w:rsid w:val="00B34468"/>
    <w:rsid w:val="00B3485B"/>
    <w:rsid w:val="00B34A9F"/>
    <w:rsid w:val="00B35B3C"/>
    <w:rsid w:val="00B35C7C"/>
    <w:rsid w:val="00B35F79"/>
    <w:rsid w:val="00B364D2"/>
    <w:rsid w:val="00B36621"/>
    <w:rsid w:val="00B36833"/>
    <w:rsid w:val="00B37514"/>
    <w:rsid w:val="00B401F2"/>
    <w:rsid w:val="00B402A5"/>
    <w:rsid w:val="00B404E6"/>
    <w:rsid w:val="00B427CC"/>
    <w:rsid w:val="00B42AFE"/>
    <w:rsid w:val="00B44EC9"/>
    <w:rsid w:val="00B45A80"/>
    <w:rsid w:val="00B465B5"/>
    <w:rsid w:val="00B4699E"/>
    <w:rsid w:val="00B46ED9"/>
    <w:rsid w:val="00B47C78"/>
    <w:rsid w:val="00B47D60"/>
    <w:rsid w:val="00B51FCC"/>
    <w:rsid w:val="00B522A7"/>
    <w:rsid w:val="00B52439"/>
    <w:rsid w:val="00B525D3"/>
    <w:rsid w:val="00B54012"/>
    <w:rsid w:val="00B54074"/>
    <w:rsid w:val="00B55246"/>
    <w:rsid w:val="00B5541A"/>
    <w:rsid w:val="00B55935"/>
    <w:rsid w:val="00B55B68"/>
    <w:rsid w:val="00B56590"/>
    <w:rsid w:val="00B567BF"/>
    <w:rsid w:val="00B56B11"/>
    <w:rsid w:val="00B56B36"/>
    <w:rsid w:val="00B57B47"/>
    <w:rsid w:val="00B57B71"/>
    <w:rsid w:val="00B603F1"/>
    <w:rsid w:val="00B60742"/>
    <w:rsid w:val="00B60C56"/>
    <w:rsid w:val="00B612EF"/>
    <w:rsid w:val="00B61531"/>
    <w:rsid w:val="00B617DF"/>
    <w:rsid w:val="00B61B79"/>
    <w:rsid w:val="00B62427"/>
    <w:rsid w:val="00B62706"/>
    <w:rsid w:val="00B62AC2"/>
    <w:rsid w:val="00B63D5E"/>
    <w:rsid w:val="00B65708"/>
    <w:rsid w:val="00B658A3"/>
    <w:rsid w:val="00B65C8E"/>
    <w:rsid w:val="00B662DE"/>
    <w:rsid w:val="00B66C5E"/>
    <w:rsid w:val="00B66CEA"/>
    <w:rsid w:val="00B6751A"/>
    <w:rsid w:val="00B67616"/>
    <w:rsid w:val="00B67B10"/>
    <w:rsid w:val="00B67F32"/>
    <w:rsid w:val="00B70E72"/>
    <w:rsid w:val="00B7169A"/>
    <w:rsid w:val="00B72AD1"/>
    <w:rsid w:val="00B7329F"/>
    <w:rsid w:val="00B73335"/>
    <w:rsid w:val="00B735AB"/>
    <w:rsid w:val="00B73946"/>
    <w:rsid w:val="00B73DD0"/>
    <w:rsid w:val="00B74CA7"/>
    <w:rsid w:val="00B74D3D"/>
    <w:rsid w:val="00B74FF9"/>
    <w:rsid w:val="00B7513D"/>
    <w:rsid w:val="00B75783"/>
    <w:rsid w:val="00B76802"/>
    <w:rsid w:val="00B768C1"/>
    <w:rsid w:val="00B77028"/>
    <w:rsid w:val="00B77290"/>
    <w:rsid w:val="00B77626"/>
    <w:rsid w:val="00B77914"/>
    <w:rsid w:val="00B8032D"/>
    <w:rsid w:val="00B80619"/>
    <w:rsid w:val="00B80C1F"/>
    <w:rsid w:val="00B8114C"/>
    <w:rsid w:val="00B81738"/>
    <w:rsid w:val="00B8191B"/>
    <w:rsid w:val="00B81BF9"/>
    <w:rsid w:val="00B81DDE"/>
    <w:rsid w:val="00B81E41"/>
    <w:rsid w:val="00B82142"/>
    <w:rsid w:val="00B8445C"/>
    <w:rsid w:val="00B85BAC"/>
    <w:rsid w:val="00B86111"/>
    <w:rsid w:val="00B8661B"/>
    <w:rsid w:val="00B8721B"/>
    <w:rsid w:val="00B90878"/>
    <w:rsid w:val="00B91CBE"/>
    <w:rsid w:val="00B91D66"/>
    <w:rsid w:val="00B925BB"/>
    <w:rsid w:val="00B92B0F"/>
    <w:rsid w:val="00B92C39"/>
    <w:rsid w:val="00B93232"/>
    <w:rsid w:val="00B933C4"/>
    <w:rsid w:val="00B93492"/>
    <w:rsid w:val="00B94B55"/>
    <w:rsid w:val="00B94B9F"/>
    <w:rsid w:val="00B94CF0"/>
    <w:rsid w:val="00B9598D"/>
    <w:rsid w:val="00B95E51"/>
    <w:rsid w:val="00B95F28"/>
    <w:rsid w:val="00B96011"/>
    <w:rsid w:val="00B96BD9"/>
    <w:rsid w:val="00B96D9C"/>
    <w:rsid w:val="00B9701E"/>
    <w:rsid w:val="00B974EC"/>
    <w:rsid w:val="00B97848"/>
    <w:rsid w:val="00B97C16"/>
    <w:rsid w:val="00B97F4B"/>
    <w:rsid w:val="00BA0822"/>
    <w:rsid w:val="00BA10D1"/>
    <w:rsid w:val="00BA15D0"/>
    <w:rsid w:val="00BA1BF8"/>
    <w:rsid w:val="00BA1FF7"/>
    <w:rsid w:val="00BA2C1D"/>
    <w:rsid w:val="00BA30F2"/>
    <w:rsid w:val="00BA3489"/>
    <w:rsid w:val="00BA34EA"/>
    <w:rsid w:val="00BA3F38"/>
    <w:rsid w:val="00BA415F"/>
    <w:rsid w:val="00BA56ED"/>
    <w:rsid w:val="00BA57E6"/>
    <w:rsid w:val="00BA5ABE"/>
    <w:rsid w:val="00BA60AD"/>
    <w:rsid w:val="00BA60D8"/>
    <w:rsid w:val="00BA662F"/>
    <w:rsid w:val="00BA68AA"/>
    <w:rsid w:val="00BA7903"/>
    <w:rsid w:val="00BA7A28"/>
    <w:rsid w:val="00BA7B2F"/>
    <w:rsid w:val="00BA7B39"/>
    <w:rsid w:val="00BB003B"/>
    <w:rsid w:val="00BB0155"/>
    <w:rsid w:val="00BB0347"/>
    <w:rsid w:val="00BB0448"/>
    <w:rsid w:val="00BB0C3E"/>
    <w:rsid w:val="00BB0D14"/>
    <w:rsid w:val="00BB22DA"/>
    <w:rsid w:val="00BB2B51"/>
    <w:rsid w:val="00BB303D"/>
    <w:rsid w:val="00BB365D"/>
    <w:rsid w:val="00BB382A"/>
    <w:rsid w:val="00BB3A0F"/>
    <w:rsid w:val="00BB3EF3"/>
    <w:rsid w:val="00BB4081"/>
    <w:rsid w:val="00BB5371"/>
    <w:rsid w:val="00BB5531"/>
    <w:rsid w:val="00BB7CBE"/>
    <w:rsid w:val="00BB7D4F"/>
    <w:rsid w:val="00BC0431"/>
    <w:rsid w:val="00BC10D9"/>
    <w:rsid w:val="00BC12EC"/>
    <w:rsid w:val="00BC1596"/>
    <w:rsid w:val="00BC1C37"/>
    <w:rsid w:val="00BC2453"/>
    <w:rsid w:val="00BC328D"/>
    <w:rsid w:val="00BC5FA4"/>
    <w:rsid w:val="00BC669C"/>
    <w:rsid w:val="00BC6944"/>
    <w:rsid w:val="00BC70A0"/>
    <w:rsid w:val="00BC7C86"/>
    <w:rsid w:val="00BD0994"/>
    <w:rsid w:val="00BD1160"/>
    <w:rsid w:val="00BD1197"/>
    <w:rsid w:val="00BD2409"/>
    <w:rsid w:val="00BD251C"/>
    <w:rsid w:val="00BD2A72"/>
    <w:rsid w:val="00BD2A95"/>
    <w:rsid w:val="00BD2DAE"/>
    <w:rsid w:val="00BD3009"/>
    <w:rsid w:val="00BD31F0"/>
    <w:rsid w:val="00BD3CA5"/>
    <w:rsid w:val="00BD3D5B"/>
    <w:rsid w:val="00BD4DA3"/>
    <w:rsid w:val="00BD5309"/>
    <w:rsid w:val="00BD57AA"/>
    <w:rsid w:val="00BD588F"/>
    <w:rsid w:val="00BD5ADD"/>
    <w:rsid w:val="00BD61E2"/>
    <w:rsid w:val="00BD653A"/>
    <w:rsid w:val="00BD6634"/>
    <w:rsid w:val="00BD741C"/>
    <w:rsid w:val="00BD7690"/>
    <w:rsid w:val="00BD7E93"/>
    <w:rsid w:val="00BD7F2D"/>
    <w:rsid w:val="00BE0CA5"/>
    <w:rsid w:val="00BE15FC"/>
    <w:rsid w:val="00BE1660"/>
    <w:rsid w:val="00BE20CF"/>
    <w:rsid w:val="00BE2144"/>
    <w:rsid w:val="00BE24A5"/>
    <w:rsid w:val="00BE2B74"/>
    <w:rsid w:val="00BE2C84"/>
    <w:rsid w:val="00BE30C8"/>
    <w:rsid w:val="00BE3A6C"/>
    <w:rsid w:val="00BE3E95"/>
    <w:rsid w:val="00BE3F8B"/>
    <w:rsid w:val="00BE479D"/>
    <w:rsid w:val="00BE4AF6"/>
    <w:rsid w:val="00BE5135"/>
    <w:rsid w:val="00BE51C3"/>
    <w:rsid w:val="00BE5321"/>
    <w:rsid w:val="00BE5C39"/>
    <w:rsid w:val="00BE5FBD"/>
    <w:rsid w:val="00BE6406"/>
    <w:rsid w:val="00BE675E"/>
    <w:rsid w:val="00BE6881"/>
    <w:rsid w:val="00BE7FDB"/>
    <w:rsid w:val="00BF030D"/>
    <w:rsid w:val="00BF2035"/>
    <w:rsid w:val="00BF27A6"/>
    <w:rsid w:val="00BF2BF3"/>
    <w:rsid w:val="00BF33AB"/>
    <w:rsid w:val="00BF3797"/>
    <w:rsid w:val="00BF3878"/>
    <w:rsid w:val="00BF42A2"/>
    <w:rsid w:val="00BF4A01"/>
    <w:rsid w:val="00BF5724"/>
    <w:rsid w:val="00BF5BE8"/>
    <w:rsid w:val="00BF6421"/>
    <w:rsid w:val="00BF6761"/>
    <w:rsid w:val="00BF73D5"/>
    <w:rsid w:val="00BF7B35"/>
    <w:rsid w:val="00C00DB7"/>
    <w:rsid w:val="00C01292"/>
    <w:rsid w:val="00C0218B"/>
    <w:rsid w:val="00C0265D"/>
    <w:rsid w:val="00C0384E"/>
    <w:rsid w:val="00C03A0C"/>
    <w:rsid w:val="00C03C29"/>
    <w:rsid w:val="00C04EB1"/>
    <w:rsid w:val="00C0537C"/>
    <w:rsid w:val="00C0626C"/>
    <w:rsid w:val="00C0715D"/>
    <w:rsid w:val="00C073FA"/>
    <w:rsid w:val="00C07D48"/>
    <w:rsid w:val="00C07E90"/>
    <w:rsid w:val="00C10A96"/>
    <w:rsid w:val="00C11974"/>
    <w:rsid w:val="00C11ACA"/>
    <w:rsid w:val="00C11E11"/>
    <w:rsid w:val="00C120A9"/>
    <w:rsid w:val="00C1257E"/>
    <w:rsid w:val="00C125AE"/>
    <w:rsid w:val="00C126CE"/>
    <w:rsid w:val="00C1274B"/>
    <w:rsid w:val="00C130FA"/>
    <w:rsid w:val="00C133D7"/>
    <w:rsid w:val="00C139C5"/>
    <w:rsid w:val="00C13DAE"/>
    <w:rsid w:val="00C149EA"/>
    <w:rsid w:val="00C15149"/>
    <w:rsid w:val="00C15BDB"/>
    <w:rsid w:val="00C15D2B"/>
    <w:rsid w:val="00C1635F"/>
    <w:rsid w:val="00C1652C"/>
    <w:rsid w:val="00C166B6"/>
    <w:rsid w:val="00C16C15"/>
    <w:rsid w:val="00C171AB"/>
    <w:rsid w:val="00C20594"/>
    <w:rsid w:val="00C20F0B"/>
    <w:rsid w:val="00C21D5A"/>
    <w:rsid w:val="00C22992"/>
    <w:rsid w:val="00C237B1"/>
    <w:rsid w:val="00C23A86"/>
    <w:rsid w:val="00C23B11"/>
    <w:rsid w:val="00C247E9"/>
    <w:rsid w:val="00C24A3A"/>
    <w:rsid w:val="00C24E01"/>
    <w:rsid w:val="00C253B4"/>
    <w:rsid w:val="00C25EAA"/>
    <w:rsid w:val="00C25F75"/>
    <w:rsid w:val="00C26589"/>
    <w:rsid w:val="00C27146"/>
    <w:rsid w:val="00C27654"/>
    <w:rsid w:val="00C3057C"/>
    <w:rsid w:val="00C307FE"/>
    <w:rsid w:val="00C30A8E"/>
    <w:rsid w:val="00C3116B"/>
    <w:rsid w:val="00C31320"/>
    <w:rsid w:val="00C320BB"/>
    <w:rsid w:val="00C3300B"/>
    <w:rsid w:val="00C333D3"/>
    <w:rsid w:val="00C33638"/>
    <w:rsid w:val="00C33B09"/>
    <w:rsid w:val="00C33C05"/>
    <w:rsid w:val="00C35383"/>
    <w:rsid w:val="00C354CE"/>
    <w:rsid w:val="00C356E1"/>
    <w:rsid w:val="00C36804"/>
    <w:rsid w:val="00C36EA3"/>
    <w:rsid w:val="00C36ECC"/>
    <w:rsid w:val="00C370EF"/>
    <w:rsid w:val="00C37231"/>
    <w:rsid w:val="00C374C5"/>
    <w:rsid w:val="00C4022F"/>
    <w:rsid w:val="00C4055E"/>
    <w:rsid w:val="00C40736"/>
    <w:rsid w:val="00C40A0B"/>
    <w:rsid w:val="00C40DBD"/>
    <w:rsid w:val="00C41348"/>
    <w:rsid w:val="00C41B83"/>
    <w:rsid w:val="00C422A2"/>
    <w:rsid w:val="00C4271C"/>
    <w:rsid w:val="00C4306E"/>
    <w:rsid w:val="00C439AB"/>
    <w:rsid w:val="00C43A89"/>
    <w:rsid w:val="00C441DA"/>
    <w:rsid w:val="00C44678"/>
    <w:rsid w:val="00C446C7"/>
    <w:rsid w:val="00C44E76"/>
    <w:rsid w:val="00C4617C"/>
    <w:rsid w:val="00C465A5"/>
    <w:rsid w:val="00C46FC9"/>
    <w:rsid w:val="00C47E29"/>
    <w:rsid w:val="00C502CD"/>
    <w:rsid w:val="00C50383"/>
    <w:rsid w:val="00C5085D"/>
    <w:rsid w:val="00C50AAA"/>
    <w:rsid w:val="00C518D5"/>
    <w:rsid w:val="00C52440"/>
    <w:rsid w:val="00C52A41"/>
    <w:rsid w:val="00C536A9"/>
    <w:rsid w:val="00C53D33"/>
    <w:rsid w:val="00C5439C"/>
    <w:rsid w:val="00C544E6"/>
    <w:rsid w:val="00C5503F"/>
    <w:rsid w:val="00C5560D"/>
    <w:rsid w:val="00C55B15"/>
    <w:rsid w:val="00C569F4"/>
    <w:rsid w:val="00C57ADF"/>
    <w:rsid w:val="00C57B19"/>
    <w:rsid w:val="00C57D60"/>
    <w:rsid w:val="00C57F46"/>
    <w:rsid w:val="00C60878"/>
    <w:rsid w:val="00C60D4F"/>
    <w:rsid w:val="00C61679"/>
    <w:rsid w:val="00C6243B"/>
    <w:rsid w:val="00C6272F"/>
    <w:rsid w:val="00C62D8B"/>
    <w:rsid w:val="00C638AD"/>
    <w:rsid w:val="00C63953"/>
    <w:rsid w:val="00C63D9D"/>
    <w:rsid w:val="00C640DE"/>
    <w:rsid w:val="00C65619"/>
    <w:rsid w:val="00C65916"/>
    <w:rsid w:val="00C65E19"/>
    <w:rsid w:val="00C664D3"/>
    <w:rsid w:val="00C669E5"/>
    <w:rsid w:val="00C66E50"/>
    <w:rsid w:val="00C67A25"/>
    <w:rsid w:val="00C70476"/>
    <w:rsid w:val="00C704BB"/>
    <w:rsid w:val="00C706E2"/>
    <w:rsid w:val="00C70946"/>
    <w:rsid w:val="00C709E0"/>
    <w:rsid w:val="00C70EDC"/>
    <w:rsid w:val="00C711E8"/>
    <w:rsid w:val="00C719F5"/>
    <w:rsid w:val="00C71BB4"/>
    <w:rsid w:val="00C7312C"/>
    <w:rsid w:val="00C7378D"/>
    <w:rsid w:val="00C742C0"/>
    <w:rsid w:val="00C74D6E"/>
    <w:rsid w:val="00C75076"/>
    <w:rsid w:val="00C75275"/>
    <w:rsid w:val="00C75552"/>
    <w:rsid w:val="00C75DE4"/>
    <w:rsid w:val="00C76892"/>
    <w:rsid w:val="00C7734E"/>
    <w:rsid w:val="00C7765A"/>
    <w:rsid w:val="00C7782E"/>
    <w:rsid w:val="00C77A67"/>
    <w:rsid w:val="00C77CBC"/>
    <w:rsid w:val="00C77E8B"/>
    <w:rsid w:val="00C77FA5"/>
    <w:rsid w:val="00C8041F"/>
    <w:rsid w:val="00C80697"/>
    <w:rsid w:val="00C8086D"/>
    <w:rsid w:val="00C80F53"/>
    <w:rsid w:val="00C8256B"/>
    <w:rsid w:val="00C832A3"/>
    <w:rsid w:val="00C83571"/>
    <w:rsid w:val="00C83D57"/>
    <w:rsid w:val="00C855E5"/>
    <w:rsid w:val="00C85B0E"/>
    <w:rsid w:val="00C863A9"/>
    <w:rsid w:val="00C86F74"/>
    <w:rsid w:val="00C87D2C"/>
    <w:rsid w:val="00C90129"/>
    <w:rsid w:val="00C905D6"/>
    <w:rsid w:val="00C9112B"/>
    <w:rsid w:val="00C9190B"/>
    <w:rsid w:val="00C91CAF"/>
    <w:rsid w:val="00C91E4F"/>
    <w:rsid w:val="00C91F7D"/>
    <w:rsid w:val="00C926F1"/>
    <w:rsid w:val="00C92AF2"/>
    <w:rsid w:val="00C931F9"/>
    <w:rsid w:val="00C93206"/>
    <w:rsid w:val="00C93D21"/>
    <w:rsid w:val="00C94196"/>
    <w:rsid w:val="00C944BC"/>
    <w:rsid w:val="00C947B0"/>
    <w:rsid w:val="00C94A40"/>
    <w:rsid w:val="00C9573F"/>
    <w:rsid w:val="00C960B0"/>
    <w:rsid w:val="00C96147"/>
    <w:rsid w:val="00C96173"/>
    <w:rsid w:val="00C962EE"/>
    <w:rsid w:val="00C96BEE"/>
    <w:rsid w:val="00C973ED"/>
    <w:rsid w:val="00C9749F"/>
    <w:rsid w:val="00C975D6"/>
    <w:rsid w:val="00C97B9B"/>
    <w:rsid w:val="00C97E65"/>
    <w:rsid w:val="00C97E7F"/>
    <w:rsid w:val="00CA010C"/>
    <w:rsid w:val="00CA0375"/>
    <w:rsid w:val="00CA141B"/>
    <w:rsid w:val="00CA16C6"/>
    <w:rsid w:val="00CA1F92"/>
    <w:rsid w:val="00CA2A66"/>
    <w:rsid w:val="00CA3AB6"/>
    <w:rsid w:val="00CA4644"/>
    <w:rsid w:val="00CA4D45"/>
    <w:rsid w:val="00CA4F12"/>
    <w:rsid w:val="00CA5B5B"/>
    <w:rsid w:val="00CA5CE2"/>
    <w:rsid w:val="00CA653F"/>
    <w:rsid w:val="00CA789B"/>
    <w:rsid w:val="00CB02E5"/>
    <w:rsid w:val="00CB145E"/>
    <w:rsid w:val="00CB18AC"/>
    <w:rsid w:val="00CB18E5"/>
    <w:rsid w:val="00CB1E7F"/>
    <w:rsid w:val="00CB21AC"/>
    <w:rsid w:val="00CB2419"/>
    <w:rsid w:val="00CB2D33"/>
    <w:rsid w:val="00CB2E0F"/>
    <w:rsid w:val="00CB3803"/>
    <w:rsid w:val="00CB3878"/>
    <w:rsid w:val="00CB41E1"/>
    <w:rsid w:val="00CB4A62"/>
    <w:rsid w:val="00CB5030"/>
    <w:rsid w:val="00CB57FB"/>
    <w:rsid w:val="00CB5B36"/>
    <w:rsid w:val="00CB67B8"/>
    <w:rsid w:val="00CB6F47"/>
    <w:rsid w:val="00CB7182"/>
    <w:rsid w:val="00CB7757"/>
    <w:rsid w:val="00CB7AD8"/>
    <w:rsid w:val="00CBB3D3"/>
    <w:rsid w:val="00CC0290"/>
    <w:rsid w:val="00CC0BD2"/>
    <w:rsid w:val="00CC0E46"/>
    <w:rsid w:val="00CC132D"/>
    <w:rsid w:val="00CC16C4"/>
    <w:rsid w:val="00CC2446"/>
    <w:rsid w:val="00CC2701"/>
    <w:rsid w:val="00CC2D10"/>
    <w:rsid w:val="00CC2E90"/>
    <w:rsid w:val="00CC3C6E"/>
    <w:rsid w:val="00CC3CF3"/>
    <w:rsid w:val="00CC4036"/>
    <w:rsid w:val="00CC4619"/>
    <w:rsid w:val="00CC4658"/>
    <w:rsid w:val="00CC52A1"/>
    <w:rsid w:val="00CC5B17"/>
    <w:rsid w:val="00CC5B69"/>
    <w:rsid w:val="00CC6A0F"/>
    <w:rsid w:val="00CC6CFB"/>
    <w:rsid w:val="00CC7318"/>
    <w:rsid w:val="00CD0203"/>
    <w:rsid w:val="00CD1044"/>
    <w:rsid w:val="00CD1BE7"/>
    <w:rsid w:val="00CD1CCE"/>
    <w:rsid w:val="00CD1FCA"/>
    <w:rsid w:val="00CD2407"/>
    <w:rsid w:val="00CD2828"/>
    <w:rsid w:val="00CD2D0B"/>
    <w:rsid w:val="00CD37A8"/>
    <w:rsid w:val="00CD3AA7"/>
    <w:rsid w:val="00CD3B0A"/>
    <w:rsid w:val="00CD55C7"/>
    <w:rsid w:val="00CD5FDA"/>
    <w:rsid w:val="00CD66E7"/>
    <w:rsid w:val="00CD7131"/>
    <w:rsid w:val="00CD79BF"/>
    <w:rsid w:val="00CD7E3A"/>
    <w:rsid w:val="00CE00AB"/>
    <w:rsid w:val="00CE0E6B"/>
    <w:rsid w:val="00CE1858"/>
    <w:rsid w:val="00CE23B2"/>
    <w:rsid w:val="00CE28EB"/>
    <w:rsid w:val="00CE4D88"/>
    <w:rsid w:val="00CE50EC"/>
    <w:rsid w:val="00CE5948"/>
    <w:rsid w:val="00CE5F82"/>
    <w:rsid w:val="00CE6048"/>
    <w:rsid w:val="00CE658F"/>
    <w:rsid w:val="00CE6898"/>
    <w:rsid w:val="00CE6B9B"/>
    <w:rsid w:val="00CE76F8"/>
    <w:rsid w:val="00CF01E1"/>
    <w:rsid w:val="00CF0681"/>
    <w:rsid w:val="00CF0B2E"/>
    <w:rsid w:val="00CF0C88"/>
    <w:rsid w:val="00CF0E4C"/>
    <w:rsid w:val="00CF1386"/>
    <w:rsid w:val="00CF140E"/>
    <w:rsid w:val="00CF207F"/>
    <w:rsid w:val="00CF2232"/>
    <w:rsid w:val="00CF2BBC"/>
    <w:rsid w:val="00CF2F0A"/>
    <w:rsid w:val="00CF3000"/>
    <w:rsid w:val="00CF32B6"/>
    <w:rsid w:val="00CF493D"/>
    <w:rsid w:val="00CF550A"/>
    <w:rsid w:val="00CF596F"/>
    <w:rsid w:val="00CF59BE"/>
    <w:rsid w:val="00CF5F99"/>
    <w:rsid w:val="00CF6200"/>
    <w:rsid w:val="00CF7DA0"/>
    <w:rsid w:val="00D00BFC"/>
    <w:rsid w:val="00D016FD"/>
    <w:rsid w:val="00D01A77"/>
    <w:rsid w:val="00D027E0"/>
    <w:rsid w:val="00D0284A"/>
    <w:rsid w:val="00D03689"/>
    <w:rsid w:val="00D03A18"/>
    <w:rsid w:val="00D047C5"/>
    <w:rsid w:val="00D048EA"/>
    <w:rsid w:val="00D04E6F"/>
    <w:rsid w:val="00D05079"/>
    <w:rsid w:val="00D05E4B"/>
    <w:rsid w:val="00D07FCE"/>
    <w:rsid w:val="00D10659"/>
    <w:rsid w:val="00D108B5"/>
    <w:rsid w:val="00D119CF"/>
    <w:rsid w:val="00D11ABA"/>
    <w:rsid w:val="00D120F2"/>
    <w:rsid w:val="00D12780"/>
    <w:rsid w:val="00D14099"/>
    <w:rsid w:val="00D14D61"/>
    <w:rsid w:val="00D15CD1"/>
    <w:rsid w:val="00D15D07"/>
    <w:rsid w:val="00D16BCF"/>
    <w:rsid w:val="00D16CD3"/>
    <w:rsid w:val="00D1727B"/>
    <w:rsid w:val="00D17D56"/>
    <w:rsid w:val="00D20BF0"/>
    <w:rsid w:val="00D2144A"/>
    <w:rsid w:val="00D21694"/>
    <w:rsid w:val="00D2182E"/>
    <w:rsid w:val="00D21D58"/>
    <w:rsid w:val="00D22316"/>
    <w:rsid w:val="00D22695"/>
    <w:rsid w:val="00D226E4"/>
    <w:rsid w:val="00D2274F"/>
    <w:rsid w:val="00D2277C"/>
    <w:rsid w:val="00D228E8"/>
    <w:rsid w:val="00D23959"/>
    <w:rsid w:val="00D24A62"/>
    <w:rsid w:val="00D24D11"/>
    <w:rsid w:val="00D2509C"/>
    <w:rsid w:val="00D25260"/>
    <w:rsid w:val="00D257D7"/>
    <w:rsid w:val="00D25971"/>
    <w:rsid w:val="00D25BA9"/>
    <w:rsid w:val="00D25D61"/>
    <w:rsid w:val="00D25F44"/>
    <w:rsid w:val="00D26636"/>
    <w:rsid w:val="00D26E48"/>
    <w:rsid w:val="00D26F37"/>
    <w:rsid w:val="00D272C7"/>
    <w:rsid w:val="00D27D22"/>
    <w:rsid w:val="00D300AB"/>
    <w:rsid w:val="00D31018"/>
    <w:rsid w:val="00D3123C"/>
    <w:rsid w:val="00D313A3"/>
    <w:rsid w:val="00D31CAB"/>
    <w:rsid w:val="00D32B97"/>
    <w:rsid w:val="00D33581"/>
    <w:rsid w:val="00D33658"/>
    <w:rsid w:val="00D33688"/>
    <w:rsid w:val="00D336B0"/>
    <w:rsid w:val="00D33BBD"/>
    <w:rsid w:val="00D348B4"/>
    <w:rsid w:val="00D34C76"/>
    <w:rsid w:val="00D34D9A"/>
    <w:rsid w:val="00D34F53"/>
    <w:rsid w:val="00D35282"/>
    <w:rsid w:val="00D354B4"/>
    <w:rsid w:val="00D35B83"/>
    <w:rsid w:val="00D373C1"/>
    <w:rsid w:val="00D37613"/>
    <w:rsid w:val="00D37D66"/>
    <w:rsid w:val="00D40245"/>
    <w:rsid w:val="00D410D3"/>
    <w:rsid w:val="00D41675"/>
    <w:rsid w:val="00D421E0"/>
    <w:rsid w:val="00D425E3"/>
    <w:rsid w:val="00D42BAA"/>
    <w:rsid w:val="00D436F2"/>
    <w:rsid w:val="00D439A8"/>
    <w:rsid w:val="00D43EBE"/>
    <w:rsid w:val="00D442EE"/>
    <w:rsid w:val="00D4434E"/>
    <w:rsid w:val="00D44869"/>
    <w:rsid w:val="00D45984"/>
    <w:rsid w:val="00D479FA"/>
    <w:rsid w:val="00D50362"/>
    <w:rsid w:val="00D50B2C"/>
    <w:rsid w:val="00D51056"/>
    <w:rsid w:val="00D511F0"/>
    <w:rsid w:val="00D51B20"/>
    <w:rsid w:val="00D52380"/>
    <w:rsid w:val="00D52477"/>
    <w:rsid w:val="00D524F6"/>
    <w:rsid w:val="00D5275E"/>
    <w:rsid w:val="00D5278C"/>
    <w:rsid w:val="00D53B85"/>
    <w:rsid w:val="00D53F82"/>
    <w:rsid w:val="00D53FAB"/>
    <w:rsid w:val="00D54518"/>
    <w:rsid w:val="00D5469D"/>
    <w:rsid w:val="00D54B09"/>
    <w:rsid w:val="00D54F35"/>
    <w:rsid w:val="00D56550"/>
    <w:rsid w:val="00D56AE7"/>
    <w:rsid w:val="00D57DCB"/>
    <w:rsid w:val="00D604B6"/>
    <w:rsid w:val="00D60630"/>
    <w:rsid w:val="00D60F3A"/>
    <w:rsid w:val="00D627BD"/>
    <w:rsid w:val="00D64C3F"/>
    <w:rsid w:val="00D64C9B"/>
    <w:rsid w:val="00D65386"/>
    <w:rsid w:val="00D65749"/>
    <w:rsid w:val="00D659E3"/>
    <w:rsid w:val="00D65FAE"/>
    <w:rsid w:val="00D660B3"/>
    <w:rsid w:val="00D66973"/>
    <w:rsid w:val="00D6747D"/>
    <w:rsid w:val="00D676A8"/>
    <w:rsid w:val="00D67A99"/>
    <w:rsid w:val="00D7057B"/>
    <w:rsid w:val="00D706C6"/>
    <w:rsid w:val="00D70C39"/>
    <w:rsid w:val="00D70C81"/>
    <w:rsid w:val="00D70E20"/>
    <w:rsid w:val="00D723E0"/>
    <w:rsid w:val="00D72D4C"/>
    <w:rsid w:val="00D73915"/>
    <w:rsid w:val="00D73C79"/>
    <w:rsid w:val="00D74C82"/>
    <w:rsid w:val="00D750AA"/>
    <w:rsid w:val="00D7542A"/>
    <w:rsid w:val="00D75E1D"/>
    <w:rsid w:val="00D75F05"/>
    <w:rsid w:val="00D762FD"/>
    <w:rsid w:val="00D76408"/>
    <w:rsid w:val="00D7681C"/>
    <w:rsid w:val="00D77292"/>
    <w:rsid w:val="00D773E0"/>
    <w:rsid w:val="00D8061D"/>
    <w:rsid w:val="00D814DB"/>
    <w:rsid w:val="00D82C46"/>
    <w:rsid w:val="00D839CD"/>
    <w:rsid w:val="00D83AE3"/>
    <w:rsid w:val="00D84288"/>
    <w:rsid w:val="00D84328"/>
    <w:rsid w:val="00D85EA2"/>
    <w:rsid w:val="00D8628C"/>
    <w:rsid w:val="00D867B9"/>
    <w:rsid w:val="00D86A3C"/>
    <w:rsid w:val="00D8759F"/>
    <w:rsid w:val="00D8785B"/>
    <w:rsid w:val="00D87D2E"/>
    <w:rsid w:val="00D9003B"/>
    <w:rsid w:val="00D90B9B"/>
    <w:rsid w:val="00D90FD0"/>
    <w:rsid w:val="00D91275"/>
    <w:rsid w:val="00D914B6"/>
    <w:rsid w:val="00D915B6"/>
    <w:rsid w:val="00D92752"/>
    <w:rsid w:val="00D92F74"/>
    <w:rsid w:val="00D94D14"/>
    <w:rsid w:val="00D94F73"/>
    <w:rsid w:val="00D951F1"/>
    <w:rsid w:val="00D95D61"/>
    <w:rsid w:val="00D964AC"/>
    <w:rsid w:val="00D96DE6"/>
    <w:rsid w:val="00D96F59"/>
    <w:rsid w:val="00DA03B8"/>
    <w:rsid w:val="00DA0420"/>
    <w:rsid w:val="00DA0AE6"/>
    <w:rsid w:val="00DA0BFC"/>
    <w:rsid w:val="00DA0F1B"/>
    <w:rsid w:val="00DA11D3"/>
    <w:rsid w:val="00DA1F4A"/>
    <w:rsid w:val="00DA2191"/>
    <w:rsid w:val="00DA2339"/>
    <w:rsid w:val="00DA32A0"/>
    <w:rsid w:val="00DA34AA"/>
    <w:rsid w:val="00DA414D"/>
    <w:rsid w:val="00DA466C"/>
    <w:rsid w:val="00DA5530"/>
    <w:rsid w:val="00DA5FF7"/>
    <w:rsid w:val="00DA6058"/>
    <w:rsid w:val="00DA62A7"/>
    <w:rsid w:val="00DA6877"/>
    <w:rsid w:val="00DA7EC0"/>
    <w:rsid w:val="00DA7EE7"/>
    <w:rsid w:val="00DB0344"/>
    <w:rsid w:val="00DB043C"/>
    <w:rsid w:val="00DB051F"/>
    <w:rsid w:val="00DB0A94"/>
    <w:rsid w:val="00DB0EB4"/>
    <w:rsid w:val="00DB190C"/>
    <w:rsid w:val="00DB198C"/>
    <w:rsid w:val="00DB1D6B"/>
    <w:rsid w:val="00DB201A"/>
    <w:rsid w:val="00DB20DF"/>
    <w:rsid w:val="00DB2580"/>
    <w:rsid w:val="00DB3FA4"/>
    <w:rsid w:val="00DB442B"/>
    <w:rsid w:val="00DB45FA"/>
    <w:rsid w:val="00DB58C0"/>
    <w:rsid w:val="00DB5FB9"/>
    <w:rsid w:val="00DB61B4"/>
    <w:rsid w:val="00DB633A"/>
    <w:rsid w:val="00DB6372"/>
    <w:rsid w:val="00DB64F9"/>
    <w:rsid w:val="00DB7317"/>
    <w:rsid w:val="00DB79FD"/>
    <w:rsid w:val="00DB7D79"/>
    <w:rsid w:val="00DC1710"/>
    <w:rsid w:val="00DC1AF1"/>
    <w:rsid w:val="00DC213D"/>
    <w:rsid w:val="00DC2EF8"/>
    <w:rsid w:val="00DC3C1A"/>
    <w:rsid w:val="00DC41F8"/>
    <w:rsid w:val="00DC43C0"/>
    <w:rsid w:val="00DC44EE"/>
    <w:rsid w:val="00DC51D0"/>
    <w:rsid w:val="00DC525E"/>
    <w:rsid w:val="00DC5560"/>
    <w:rsid w:val="00DC6D7C"/>
    <w:rsid w:val="00DC6F98"/>
    <w:rsid w:val="00DC75BC"/>
    <w:rsid w:val="00DC76FB"/>
    <w:rsid w:val="00DD0394"/>
    <w:rsid w:val="00DD12AF"/>
    <w:rsid w:val="00DD1923"/>
    <w:rsid w:val="00DD21BA"/>
    <w:rsid w:val="00DD2415"/>
    <w:rsid w:val="00DD2533"/>
    <w:rsid w:val="00DD35D7"/>
    <w:rsid w:val="00DD3B8A"/>
    <w:rsid w:val="00DD408A"/>
    <w:rsid w:val="00DD4891"/>
    <w:rsid w:val="00DD4E2B"/>
    <w:rsid w:val="00DD5400"/>
    <w:rsid w:val="00DD60F9"/>
    <w:rsid w:val="00DD614F"/>
    <w:rsid w:val="00DD6F07"/>
    <w:rsid w:val="00DD7346"/>
    <w:rsid w:val="00DD7606"/>
    <w:rsid w:val="00DE00E8"/>
    <w:rsid w:val="00DE0621"/>
    <w:rsid w:val="00DE0E7B"/>
    <w:rsid w:val="00DE1613"/>
    <w:rsid w:val="00DE2DBB"/>
    <w:rsid w:val="00DE3B3F"/>
    <w:rsid w:val="00DE5234"/>
    <w:rsid w:val="00DE57A6"/>
    <w:rsid w:val="00DE595A"/>
    <w:rsid w:val="00DE61A5"/>
    <w:rsid w:val="00DE6A7B"/>
    <w:rsid w:val="00DE77A4"/>
    <w:rsid w:val="00DE7935"/>
    <w:rsid w:val="00DF0C4D"/>
    <w:rsid w:val="00DF105D"/>
    <w:rsid w:val="00DF1126"/>
    <w:rsid w:val="00DF14A8"/>
    <w:rsid w:val="00DF1B99"/>
    <w:rsid w:val="00DF25B4"/>
    <w:rsid w:val="00DF25DF"/>
    <w:rsid w:val="00DF2E8A"/>
    <w:rsid w:val="00DF310C"/>
    <w:rsid w:val="00DF45CA"/>
    <w:rsid w:val="00DF5D4F"/>
    <w:rsid w:val="00DF5E69"/>
    <w:rsid w:val="00DF5E7A"/>
    <w:rsid w:val="00DF60B4"/>
    <w:rsid w:val="00DF6210"/>
    <w:rsid w:val="00DF629F"/>
    <w:rsid w:val="00DF73F6"/>
    <w:rsid w:val="00DF7FA5"/>
    <w:rsid w:val="00E008B5"/>
    <w:rsid w:val="00E00E01"/>
    <w:rsid w:val="00E00EDF"/>
    <w:rsid w:val="00E0196D"/>
    <w:rsid w:val="00E01E62"/>
    <w:rsid w:val="00E01EA7"/>
    <w:rsid w:val="00E020ED"/>
    <w:rsid w:val="00E02C9F"/>
    <w:rsid w:val="00E035C3"/>
    <w:rsid w:val="00E03A69"/>
    <w:rsid w:val="00E03B1F"/>
    <w:rsid w:val="00E045AF"/>
    <w:rsid w:val="00E04D32"/>
    <w:rsid w:val="00E05AE5"/>
    <w:rsid w:val="00E05C7C"/>
    <w:rsid w:val="00E07044"/>
    <w:rsid w:val="00E07ADB"/>
    <w:rsid w:val="00E10EC0"/>
    <w:rsid w:val="00E1163B"/>
    <w:rsid w:val="00E13196"/>
    <w:rsid w:val="00E134BB"/>
    <w:rsid w:val="00E14450"/>
    <w:rsid w:val="00E14714"/>
    <w:rsid w:val="00E14956"/>
    <w:rsid w:val="00E159E6"/>
    <w:rsid w:val="00E168E0"/>
    <w:rsid w:val="00E16A8F"/>
    <w:rsid w:val="00E16E00"/>
    <w:rsid w:val="00E173A5"/>
    <w:rsid w:val="00E1770E"/>
    <w:rsid w:val="00E17926"/>
    <w:rsid w:val="00E20477"/>
    <w:rsid w:val="00E20EB8"/>
    <w:rsid w:val="00E211C7"/>
    <w:rsid w:val="00E213B9"/>
    <w:rsid w:val="00E21C17"/>
    <w:rsid w:val="00E21F77"/>
    <w:rsid w:val="00E2218A"/>
    <w:rsid w:val="00E22261"/>
    <w:rsid w:val="00E222E1"/>
    <w:rsid w:val="00E23939"/>
    <w:rsid w:val="00E23D24"/>
    <w:rsid w:val="00E241E4"/>
    <w:rsid w:val="00E24524"/>
    <w:rsid w:val="00E246A9"/>
    <w:rsid w:val="00E263D4"/>
    <w:rsid w:val="00E26586"/>
    <w:rsid w:val="00E278E8"/>
    <w:rsid w:val="00E27E4E"/>
    <w:rsid w:val="00E31804"/>
    <w:rsid w:val="00E32D05"/>
    <w:rsid w:val="00E32ED1"/>
    <w:rsid w:val="00E32F28"/>
    <w:rsid w:val="00E33203"/>
    <w:rsid w:val="00E33368"/>
    <w:rsid w:val="00E34677"/>
    <w:rsid w:val="00E357AD"/>
    <w:rsid w:val="00E35FDD"/>
    <w:rsid w:val="00E360ED"/>
    <w:rsid w:val="00E3648D"/>
    <w:rsid w:val="00E36732"/>
    <w:rsid w:val="00E377A4"/>
    <w:rsid w:val="00E40401"/>
    <w:rsid w:val="00E40B75"/>
    <w:rsid w:val="00E410EF"/>
    <w:rsid w:val="00E411FB"/>
    <w:rsid w:val="00E41200"/>
    <w:rsid w:val="00E418B0"/>
    <w:rsid w:val="00E41F88"/>
    <w:rsid w:val="00E43658"/>
    <w:rsid w:val="00E438B1"/>
    <w:rsid w:val="00E438CA"/>
    <w:rsid w:val="00E43B75"/>
    <w:rsid w:val="00E4500A"/>
    <w:rsid w:val="00E4661F"/>
    <w:rsid w:val="00E46990"/>
    <w:rsid w:val="00E47060"/>
    <w:rsid w:val="00E47A91"/>
    <w:rsid w:val="00E47C94"/>
    <w:rsid w:val="00E51CD8"/>
    <w:rsid w:val="00E51E4A"/>
    <w:rsid w:val="00E522CB"/>
    <w:rsid w:val="00E528E4"/>
    <w:rsid w:val="00E52E54"/>
    <w:rsid w:val="00E52F46"/>
    <w:rsid w:val="00E532C4"/>
    <w:rsid w:val="00E53698"/>
    <w:rsid w:val="00E53773"/>
    <w:rsid w:val="00E5451A"/>
    <w:rsid w:val="00E54AF6"/>
    <w:rsid w:val="00E55A0D"/>
    <w:rsid w:val="00E56674"/>
    <w:rsid w:val="00E56DCF"/>
    <w:rsid w:val="00E56EC1"/>
    <w:rsid w:val="00E56EE6"/>
    <w:rsid w:val="00E60750"/>
    <w:rsid w:val="00E6079D"/>
    <w:rsid w:val="00E60BB9"/>
    <w:rsid w:val="00E60D5F"/>
    <w:rsid w:val="00E62A84"/>
    <w:rsid w:val="00E62CF9"/>
    <w:rsid w:val="00E62D7B"/>
    <w:rsid w:val="00E645A0"/>
    <w:rsid w:val="00E6461D"/>
    <w:rsid w:val="00E649CA"/>
    <w:rsid w:val="00E653DF"/>
    <w:rsid w:val="00E669A0"/>
    <w:rsid w:val="00E66A14"/>
    <w:rsid w:val="00E670F9"/>
    <w:rsid w:val="00E67A91"/>
    <w:rsid w:val="00E70151"/>
    <w:rsid w:val="00E702EA"/>
    <w:rsid w:val="00E70A17"/>
    <w:rsid w:val="00E7130D"/>
    <w:rsid w:val="00E71C09"/>
    <w:rsid w:val="00E7209B"/>
    <w:rsid w:val="00E721BA"/>
    <w:rsid w:val="00E723FF"/>
    <w:rsid w:val="00E72989"/>
    <w:rsid w:val="00E73F1A"/>
    <w:rsid w:val="00E740C8"/>
    <w:rsid w:val="00E7520F"/>
    <w:rsid w:val="00E757BB"/>
    <w:rsid w:val="00E75ECF"/>
    <w:rsid w:val="00E76818"/>
    <w:rsid w:val="00E76A88"/>
    <w:rsid w:val="00E76DE4"/>
    <w:rsid w:val="00E80952"/>
    <w:rsid w:val="00E81059"/>
    <w:rsid w:val="00E81266"/>
    <w:rsid w:val="00E812CF"/>
    <w:rsid w:val="00E8142A"/>
    <w:rsid w:val="00E81DA7"/>
    <w:rsid w:val="00E82B9C"/>
    <w:rsid w:val="00E82CB6"/>
    <w:rsid w:val="00E8312A"/>
    <w:rsid w:val="00E8487C"/>
    <w:rsid w:val="00E854A4"/>
    <w:rsid w:val="00E85E7E"/>
    <w:rsid w:val="00E85ED6"/>
    <w:rsid w:val="00E86175"/>
    <w:rsid w:val="00E86C48"/>
    <w:rsid w:val="00E87250"/>
    <w:rsid w:val="00E87816"/>
    <w:rsid w:val="00E87831"/>
    <w:rsid w:val="00E87FCD"/>
    <w:rsid w:val="00E90518"/>
    <w:rsid w:val="00E905A7"/>
    <w:rsid w:val="00E91144"/>
    <w:rsid w:val="00E936F5"/>
    <w:rsid w:val="00E93D50"/>
    <w:rsid w:val="00E93DB6"/>
    <w:rsid w:val="00E949F2"/>
    <w:rsid w:val="00E95367"/>
    <w:rsid w:val="00E958EC"/>
    <w:rsid w:val="00E962B1"/>
    <w:rsid w:val="00E96710"/>
    <w:rsid w:val="00E967CC"/>
    <w:rsid w:val="00E96A59"/>
    <w:rsid w:val="00E9711F"/>
    <w:rsid w:val="00E971F6"/>
    <w:rsid w:val="00E97900"/>
    <w:rsid w:val="00E97D54"/>
    <w:rsid w:val="00EA004C"/>
    <w:rsid w:val="00EA026F"/>
    <w:rsid w:val="00EA298F"/>
    <w:rsid w:val="00EA2A72"/>
    <w:rsid w:val="00EA2C74"/>
    <w:rsid w:val="00EA3052"/>
    <w:rsid w:val="00EA3A2A"/>
    <w:rsid w:val="00EA3B47"/>
    <w:rsid w:val="00EA424C"/>
    <w:rsid w:val="00EA4F36"/>
    <w:rsid w:val="00EA56BC"/>
    <w:rsid w:val="00EA5847"/>
    <w:rsid w:val="00EA6736"/>
    <w:rsid w:val="00EA6A61"/>
    <w:rsid w:val="00EA6D2E"/>
    <w:rsid w:val="00EA6F34"/>
    <w:rsid w:val="00EA7D96"/>
    <w:rsid w:val="00EB02A8"/>
    <w:rsid w:val="00EB084C"/>
    <w:rsid w:val="00EB0D03"/>
    <w:rsid w:val="00EB0E44"/>
    <w:rsid w:val="00EB2AB8"/>
    <w:rsid w:val="00EB37A7"/>
    <w:rsid w:val="00EB3B36"/>
    <w:rsid w:val="00EB41A0"/>
    <w:rsid w:val="00EB5413"/>
    <w:rsid w:val="00EB55AA"/>
    <w:rsid w:val="00EB5B32"/>
    <w:rsid w:val="00EB5C1F"/>
    <w:rsid w:val="00EB5F12"/>
    <w:rsid w:val="00EB6A86"/>
    <w:rsid w:val="00EB6E8C"/>
    <w:rsid w:val="00EB718D"/>
    <w:rsid w:val="00EB7B6C"/>
    <w:rsid w:val="00EC0D23"/>
    <w:rsid w:val="00EC1160"/>
    <w:rsid w:val="00EC11BC"/>
    <w:rsid w:val="00EC13F1"/>
    <w:rsid w:val="00EC21EA"/>
    <w:rsid w:val="00EC26D2"/>
    <w:rsid w:val="00EC2725"/>
    <w:rsid w:val="00EC2A68"/>
    <w:rsid w:val="00EC2ED8"/>
    <w:rsid w:val="00EC312B"/>
    <w:rsid w:val="00EC31E9"/>
    <w:rsid w:val="00EC4443"/>
    <w:rsid w:val="00EC4C1B"/>
    <w:rsid w:val="00EC5A90"/>
    <w:rsid w:val="00EC6B7C"/>
    <w:rsid w:val="00EC6DE5"/>
    <w:rsid w:val="00EC725E"/>
    <w:rsid w:val="00EC752C"/>
    <w:rsid w:val="00ED0937"/>
    <w:rsid w:val="00ED1DD6"/>
    <w:rsid w:val="00ED1DF9"/>
    <w:rsid w:val="00ED1F2E"/>
    <w:rsid w:val="00ED2D24"/>
    <w:rsid w:val="00ED40A2"/>
    <w:rsid w:val="00ED48C6"/>
    <w:rsid w:val="00ED632A"/>
    <w:rsid w:val="00ED672D"/>
    <w:rsid w:val="00ED6E47"/>
    <w:rsid w:val="00ED770C"/>
    <w:rsid w:val="00ED79B9"/>
    <w:rsid w:val="00EE005D"/>
    <w:rsid w:val="00EE0199"/>
    <w:rsid w:val="00EE051D"/>
    <w:rsid w:val="00EE0CEC"/>
    <w:rsid w:val="00EE0D87"/>
    <w:rsid w:val="00EE0E1B"/>
    <w:rsid w:val="00EE1DED"/>
    <w:rsid w:val="00EE237A"/>
    <w:rsid w:val="00EE2ED1"/>
    <w:rsid w:val="00EE2EDD"/>
    <w:rsid w:val="00EE2F96"/>
    <w:rsid w:val="00EE39E1"/>
    <w:rsid w:val="00EE4529"/>
    <w:rsid w:val="00EE4FE8"/>
    <w:rsid w:val="00EE5527"/>
    <w:rsid w:val="00EE686A"/>
    <w:rsid w:val="00EE6BC0"/>
    <w:rsid w:val="00EE6DE3"/>
    <w:rsid w:val="00EE6FD1"/>
    <w:rsid w:val="00EE70A1"/>
    <w:rsid w:val="00EE74A5"/>
    <w:rsid w:val="00EF0152"/>
    <w:rsid w:val="00EF0341"/>
    <w:rsid w:val="00EF0838"/>
    <w:rsid w:val="00EF0A26"/>
    <w:rsid w:val="00EF0DD3"/>
    <w:rsid w:val="00EF1201"/>
    <w:rsid w:val="00EF1B13"/>
    <w:rsid w:val="00EF3178"/>
    <w:rsid w:val="00EF3492"/>
    <w:rsid w:val="00EF3598"/>
    <w:rsid w:val="00EF3882"/>
    <w:rsid w:val="00EF3C61"/>
    <w:rsid w:val="00EF40C0"/>
    <w:rsid w:val="00EF522A"/>
    <w:rsid w:val="00EF5238"/>
    <w:rsid w:val="00EF568A"/>
    <w:rsid w:val="00EF5F87"/>
    <w:rsid w:val="00EF6E8F"/>
    <w:rsid w:val="00EF6E9E"/>
    <w:rsid w:val="00EF7184"/>
    <w:rsid w:val="00EF729A"/>
    <w:rsid w:val="00EF766D"/>
    <w:rsid w:val="00EF7947"/>
    <w:rsid w:val="00F00495"/>
    <w:rsid w:val="00F00E42"/>
    <w:rsid w:val="00F02E2D"/>
    <w:rsid w:val="00F03174"/>
    <w:rsid w:val="00F031C7"/>
    <w:rsid w:val="00F03710"/>
    <w:rsid w:val="00F03A10"/>
    <w:rsid w:val="00F03A5A"/>
    <w:rsid w:val="00F03B42"/>
    <w:rsid w:val="00F0431D"/>
    <w:rsid w:val="00F0471B"/>
    <w:rsid w:val="00F04DA5"/>
    <w:rsid w:val="00F0546D"/>
    <w:rsid w:val="00F0574F"/>
    <w:rsid w:val="00F0755B"/>
    <w:rsid w:val="00F07B9C"/>
    <w:rsid w:val="00F105BD"/>
    <w:rsid w:val="00F11D8C"/>
    <w:rsid w:val="00F12637"/>
    <w:rsid w:val="00F12BA1"/>
    <w:rsid w:val="00F12D6B"/>
    <w:rsid w:val="00F132DB"/>
    <w:rsid w:val="00F1361A"/>
    <w:rsid w:val="00F141F1"/>
    <w:rsid w:val="00F145A4"/>
    <w:rsid w:val="00F1461A"/>
    <w:rsid w:val="00F14AE0"/>
    <w:rsid w:val="00F151A2"/>
    <w:rsid w:val="00F15DDF"/>
    <w:rsid w:val="00F16F89"/>
    <w:rsid w:val="00F1716F"/>
    <w:rsid w:val="00F172AB"/>
    <w:rsid w:val="00F1750F"/>
    <w:rsid w:val="00F20228"/>
    <w:rsid w:val="00F20B38"/>
    <w:rsid w:val="00F20C02"/>
    <w:rsid w:val="00F20C71"/>
    <w:rsid w:val="00F216ED"/>
    <w:rsid w:val="00F21B8D"/>
    <w:rsid w:val="00F22016"/>
    <w:rsid w:val="00F22028"/>
    <w:rsid w:val="00F222B0"/>
    <w:rsid w:val="00F22613"/>
    <w:rsid w:val="00F22884"/>
    <w:rsid w:val="00F22CEC"/>
    <w:rsid w:val="00F22E67"/>
    <w:rsid w:val="00F22FC8"/>
    <w:rsid w:val="00F24455"/>
    <w:rsid w:val="00F24A82"/>
    <w:rsid w:val="00F24E8F"/>
    <w:rsid w:val="00F254CA"/>
    <w:rsid w:val="00F256AE"/>
    <w:rsid w:val="00F25B27"/>
    <w:rsid w:val="00F26026"/>
    <w:rsid w:val="00F26193"/>
    <w:rsid w:val="00F263BB"/>
    <w:rsid w:val="00F2693A"/>
    <w:rsid w:val="00F30282"/>
    <w:rsid w:val="00F30B1E"/>
    <w:rsid w:val="00F30D22"/>
    <w:rsid w:val="00F31003"/>
    <w:rsid w:val="00F3151C"/>
    <w:rsid w:val="00F3186E"/>
    <w:rsid w:val="00F3199C"/>
    <w:rsid w:val="00F32934"/>
    <w:rsid w:val="00F32AA9"/>
    <w:rsid w:val="00F335D4"/>
    <w:rsid w:val="00F345D9"/>
    <w:rsid w:val="00F35EBD"/>
    <w:rsid w:val="00F37B16"/>
    <w:rsid w:val="00F4040B"/>
    <w:rsid w:val="00F40DF8"/>
    <w:rsid w:val="00F40E64"/>
    <w:rsid w:val="00F41011"/>
    <w:rsid w:val="00F41235"/>
    <w:rsid w:val="00F412E2"/>
    <w:rsid w:val="00F418CD"/>
    <w:rsid w:val="00F41C2B"/>
    <w:rsid w:val="00F42B3B"/>
    <w:rsid w:val="00F42BAA"/>
    <w:rsid w:val="00F42D8F"/>
    <w:rsid w:val="00F436A4"/>
    <w:rsid w:val="00F436B5"/>
    <w:rsid w:val="00F43B34"/>
    <w:rsid w:val="00F4498F"/>
    <w:rsid w:val="00F44ED9"/>
    <w:rsid w:val="00F4627F"/>
    <w:rsid w:val="00F464C1"/>
    <w:rsid w:val="00F47571"/>
    <w:rsid w:val="00F50258"/>
    <w:rsid w:val="00F50361"/>
    <w:rsid w:val="00F5095A"/>
    <w:rsid w:val="00F50FB7"/>
    <w:rsid w:val="00F510CA"/>
    <w:rsid w:val="00F513B6"/>
    <w:rsid w:val="00F5143B"/>
    <w:rsid w:val="00F51884"/>
    <w:rsid w:val="00F52C83"/>
    <w:rsid w:val="00F55579"/>
    <w:rsid w:val="00F5683C"/>
    <w:rsid w:val="00F5687E"/>
    <w:rsid w:val="00F5753C"/>
    <w:rsid w:val="00F57719"/>
    <w:rsid w:val="00F57760"/>
    <w:rsid w:val="00F60DE7"/>
    <w:rsid w:val="00F628C4"/>
    <w:rsid w:val="00F62920"/>
    <w:rsid w:val="00F62B10"/>
    <w:rsid w:val="00F62CB5"/>
    <w:rsid w:val="00F63783"/>
    <w:rsid w:val="00F63E6A"/>
    <w:rsid w:val="00F63F57"/>
    <w:rsid w:val="00F642E9"/>
    <w:rsid w:val="00F64C73"/>
    <w:rsid w:val="00F65095"/>
    <w:rsid w:val="00F653EB"/>
    <w:rsid w:val="00F655CE"/>
    <w:rsid w:val="00F66416"/>
    <w:rsid w:val="00F66D29"/>
    <w:rsid w:val="00F66DEC"/>
    <w:rsid w:val="00F66E4D"/>
    <w:rsid w:val="00F675CB"/>
    <w:rsid w:val="00F70B21"/>
    <w:rsid w:val="00F70C3E"/>
    <w:rsid w:val="00F70EF2"/>
    <w:rsid w:val="00F71194"/>
    <w:rsid w:val="00F71557"/>
    <w:rsid w:val="00F7208B"/>
    <w:rsid w:val="00F72AE9"/>
    <w:rsid w:val="00F72B4C"/>
    <w:rsid w:val="00F73869"/>
    <w:rsid w:val="00F73DD5"/>
    <w:rsid w:val="00F75510"/>
    <w:rsid w:val="00F7574A"/>
    <w:rsid w:val="00F76C3A"/>
    <w:rsid w:val="00F779BB"/>
    <w:rsid w:val="00F77C11"/>
    <w:rsid w:val="00F77D03"/>
    <w:rsid w:val="00F807A6"/>
    <w:rsid w:val="00F807F3"/>
    <w:rsid w:val="00F8093E"/>
    <w:rsid w:val="00F80CBE"/>
    <w:rsid w:val="00F8129E"/>
    <w:rsid w:val="00F8131A"/>
    <w:rsid w:val="00F81773"/>
    <w:rsid w:val="00F82440"/>
    <w:rsid w:val="00F82F25"/>
    <w:rsid w:val="00F83DE5"/>
    <w:rsid w:val="00F84730"/>
    <w:rsid w:val="00F847BA"/>
    <w:rsid w:val="00F848C4"/>
    <w:rsid w:val="00F85460"/>
    <w:rsid w:val="00F8599C"/>
    <w:rsid w:val="00F860DB"/>
    <w:rsid w:val="00F860F8"/>
    <w:rsid w:val="00F8630C"/>
    <w:rsid w:val="00F865D9"/>
    <w:rsid w:val="00F8696B"/>
    <w:rsid w:val="00F87807"/>
    <w:rsid w:val="00F87967"/>
    <w:rsid w:val="00F87B34"/>
    <w:rsid w:val="00F87E83"/>
    <w:rsid w:val="00F9074E"/>
    <w:rsid w:val="00F9089C"/>
    <w:rsid w:val="00F90D64"/>
    <w:rsid w:val="00F9116B"/>
    <w:rsid w:val="00F91568"/>
    <w:rsid w:val="00F92F9E"/>
    <w:rsid w:val="00F9399D"/>
    <w:rsid w:val="00F93DF8"/>
    <w:rsid w:val="00F9539E"/>
    <w:rsid w:val="00F9659E"/>
    <w:rsid w:val="00F96965"/>
    <w:rsid w:val="00FA0068"/>
    <w:rsid w:val="00FA18A3"/>
    <w:rsid w:val="00FA1FAB"/>
    <w:rsid w:val="00FA373E"/>
    <w:rsid w:val="00FA37DC"/>
    <w:rsid w:val="00FA3AC3"/>
    <w:rsid w:val="00FA421B"/>
    <w:rsid w:val="00FA44D0"/>
    <w:rsid w:val="00FA61B5"/>
    <w:rsid w:val="00FA68F3"/>
    <w:rsid w:val="00FA7457"/>
    <w:rsid w:val="00FB0B6C"/>
    <w:rsid w:val="00FB0D6B"/>
    <w:rsid w:val="00FB134D"/>
    <w:rsid w:val="00FB1509"/>
    <w:rsid w:val="00FB230C"/>
    <w:rsid w:val="00FB2561"/>
    <w:rsid w:val="00FB39FB"/>
    <w:rsid w:val="00FB4940"/>
    <w:rsid w:val="00FB4BDD"/>
    <w:rsid w:val="00FB6793"/>
    <w:rsid w:val="00FB67E5"/>
    <w:rsid w:val="00FB6B78"/>
    <w:rsid w:val="00FB7C18"/>
    <w:rsid w:val="00FC0193"/>
    <w:rsid w:val="00FC0B6E"/>
    <w:rsid w:val="00FC12AC"/>
    <w:rsid w:val="00FC151A"/>
    <w:rsid w:val="00FC18EC"/>
    <w:rsid w:val="00FC1C36"/>
    <w:rsid w:val="00FC2253"/>
    <w:rsid w:val="00FC2701"/>
    <w:rsid w:val="00FC4568"/>
    <w:rsid w:val="00FC4F14"/>
    <w:rsid w:val="00FC68BA"/>
    <w:rsid w:val="00FC6B35"/>
    <w:rsid w:val="00FC7001"/>
    <w:rsid w:val="00FC74AB"/>
    <w:rsid w:val="00FC796D"/>
    <w:rsid w:val="00FC7D89"/>
    <w:rsid w:val="00FD08CA"/>
    <w:rsid w:val="00FD0A17"/>
    <w:rsid w:val="00FD0A5D"/>
    <w:rsid w:val="00FD0BB3"/>
    <w:rsid w:val="00FD0C62"/>
    <w:rsid w:val="00FD1288"/>
    <w:rsid w:val="00FD1E14"/>
    <w:rsid w:val="00FD1E9D"/>
    <w:rsid w:val="00FD1FB3"/>
    <w:rsid w:val="00FD2D1E"/>
    <w:rsid w:val="00FD318E"/>
    <w:rsid w:val="00FD3321"/>
    <w:rsid w:val="00FD335F"/>
    <w:rsid w:val="00FD3A31"/>
    <w:rsid w:val="00FD569A"/>
    <w:rsid w:val="00FD6639"/>
    <w:rsid w:val="00FD686D"/>
    <w:rsid w:val="00FD6D13"/>
    <w:rsid w:val="00FD7D94"/>
    <w:rsid w:val="00FE0321"/>
    <w:rsid w:val="00FE169E"/>
    <w:rsid w:val="00FE1A97"/>
    <w:rsid w:val="00FE235D"/>
    <w:rsid w:val="00FE2D80"/>
    <w:rsid w:val="00FE31CA"/>
    <w:rsid w:val="00FE3488"/>
    <w:rsid w:val="00FE3B77"/>
    <w:rsid w:val="00FE3D93"/>
    <w:rsid w:val="00FE46BD"/>
    <w:rsid w:val="00FE549D"/>
    <w:rsid w:val="00FE5516"/>
    <w:rsid w:val="00FE5DB2"/>
    <w:rsid w:val="00FE716E"/>
    <w:rsid w:val="00FE7917"/>
    <w:rsid w:val="00FE7BDA"/>
    <w:rsid w:val="00FF06BB"/>
    <w:rsid w:val="00FF073C"/>
    <w:rsid w:val="00FF0B4A"/>
    <w:rsid w:val="00FF1431"/>
    <w:rsid w:val="00FF1705"/>
    <w:rsid w:val="00FF29FE"/>
    <w:rsid w:val="00FF3401"/>
    <w:rsid w:val="00FF3A94"/>
    <w:rsid w:val="00FF53E4"/>
    <w:rsid w:val="00FF557C"/>
    <w:rsid w:val="00FF5986"/>
    <w:rsid w:val="00FF5EA1"/>
    <w:rsid w:val="00FF68A7"/>
    <w:rsid w:val="00FF7282"/>
    <w:rsid w:val="01232119"/>
    <w:rsid w:val="023BBB31"/>
    <w:rsid w:val="0292EA11"/>
    <w:rsid w:val="02BA44BD"/>
    <w:rsid w:val="0381E970"/>
    <w:rsid w:val="03B19745"/>
    <w:rsid w:val="03B9E972"/>
    <w:rsid w:val="0415CC50"/>
    <w:rsid w:val="04447E48"/>
    <w:rsid w:val="047178D1"/>
    <w:rsid w:val="047AEFAB"/>
    <w:rsid w:val="04C20039"/>
    <w:rsid w:val="054EE283"/>
    <w:rsid w:val="0574AC49"/>
    <w:rsid w:val="05B49792"/>
    <w:rsid w:val="066BA7D5"/>
    <w:rsid w:val="069894A1"/>
    <w:rsid w:val="0798F2F4"/>
    <w:rsid w:val="083CB17E"/>
    <w:rsid w:val="08F5C0B3"/>
    <w:rsid w:val="09250D10"/>
    <w:rsid w:val="0939793B"/>
    <w:rsid w:val="09B1FE50"/>
    <w:rsid w:val="0A2098C2"/>
    <w:rsid w:val="0A3EC683"/>
    <w:rsid w:val="0A919762"/>
    <w:rsid w:val="0A990D51"/>
    <w:rsid w:val="0AC9F08F"/>
    <w:rsid w:val="0B07268F"/>
    <w:rsid w:val="0B5AE913"/>
    <w:rsid w:val="0C04FFDB"/>
    <w:rsid w:val="0C794087"/>
    <w:rsid w:val="0D583984"/>
    <w:rsid w:val="0DD9191D"/>
    <w:rsid w:val="0E0E82D4"/>
    <w:rsid w:val="0E1E8AB7"/>
    <w:rsid w:val="0E237B42"/>
    <w:rsid w:val="0F0D8D47"/>
    <w:rsid w:val="0F46B1F4"/>
    <w:rsid w:val="0F5844BC"/>
    <w:rsid w:val="0F73A8B6"/>
    <w:rsid w:val="0FF5BBFE"/>
    <w:rsid w:val="10672372"/>
    <w:rsid w:val="1100D298"/>
    <w:rsid w:val="115FC612"/>
    <w:rsid w:val="11A3E7D8"/>
    <w:rsid w:val="11FDF10D"/>
    <w:rsid w:val="122333DA"/>
    <w:rsid w:val="126B963F"/>
    <w:rsid w:val="133FB839"/>
    <w:rsid w:val="13D717B0"/>
    <w:rsid w:val="1498263D"/>
    <w:rsid w:val="14CCD2E1"/>
    <w:rsid w:val="152A3349"/>
    <w:rsid w:val="167BE1EA"/>
    <w:rsid w:val="16908158"/>
    <w:rsid w:val="16B1B650"/>
    <w:rsid w:val="16C6C17F"/>
    <w:rsid w:val="1820E68F"/>
    <w:rsid w:val="182D37AF"/>
    <w:rsid w:val="18A98B01"/>
    <w:rsid w:val="1A10EA88"/>
    <w:rsid w:val="1A3EAA12"/>
    <w:rsid w:val="1A969E83"/>
    <w:rsid w:val="1B07BFC9"/>
    <w:rsid w:val="1B0BD5AD"/>
    <w:rsid w:val="1B12AAD6"/>
    <w:rsid w:val="1B4F530D"/>
    <w:rsid w:val="1C1301B7"/>
    <w:rsid w:val="1C5F5964"/>
    <w:rsid w:val="1E0DD1F3"/>
    <w:rsid w:val="1E0E3253"/>
    <w:rsid w:val="1E826AE0"/>
    <w:rsid w:val="1E968107"/>
    <w:rsid w:val="1E9B933D"/>
    <w:rsid w:val="1EB77D26"/>
    <w:rsid w:val="1F831387"/>
    <w:rsid w:val="1FB1EEF4"/>
    <w:rsid w:val="1FE78681"/>
    <w:rsid w:val="201E3B41"/>
    <w:rsid w:val="2055C097"/>
    <w:rsid w:val="20854337"/>
    <w:rsid w:val="20A0DA5D"/>
    <w:rsid w:val="20A579DA"/>
    <w:rsid w:val="20E9D440"/>
    <w:rsid w:val="20EA201E"/>
    <w:rsid w:val="21B64DF7"/>
    <w:rsid w:val="22D8ECA2"/>
    <w:rsid w:val="22E57F19"/>
    <w:rsid w:val="23061162"/>
    <w:rsid w:val="234417E5"/>
    <w:rsid w:val="238C1C2A"/>
    <w:rsid w:val="23B420BA"/>
    <w:rsid w:val="23D30251"/>
    <w:rsid w:val="2421C0E0"/>
    <w:rsid w:val="24AC789B"/>
    <w:rsid w:val="251E0CBC"/>
    <w:rsid w:val="2595B896"/>
    <w:rsid w:val="2617DA89"/>
    <w:rsid w:val="26660EE9"/>
    <w:rsid w:val="26A66BD2"/>
    <w:rsid w:val="26B8CEA5"/>
    <w:rsid w:val="26D8906D"/>
    <w:rsid w:val="28B5FB70"/>
    <w:rsid w:val="28F898CE"/>
    <w:rsid w:val="290C6125"/>
    <w:rsid w:val="298EC60A"/>
    <w:rsid w:val="29F941D3"/>
    <w:rsid w:val="2AB09A2E"/>
    <w:rsid w:val="2BFBEBBB"/>
    <w:rsid w:val="2E988EAA"/>
    <w:rsid w:val="2EA07C30"/>
    <w:rsid w:val="2F42F9F8"/>
    <w:rsid w:val="2F712A4C"/>
    <w:rsid w:val="2FB2175C"/>
    <w:rsid w:val="30345F0B"/>
    <w:rsid w:val="30DECA59"/>
    <w:rsid w:val="312821FE"/>
    <w:rsid w:val="316C13B2"/>
    <w:rsid w:val="31D02F6C"/>
    <w:rsid w:val="31F40F8C"/>
    <w:rsid w:val="3242DEB6"/>
    <w:rsid w:val="32AB0B04"/>
    <w:rsid w:val="334C0F3D"/>
    <w:rsid w:val="33745736"/>
    <w:rsid w:val="33CC5897"/>
    <w:rsid w:val="341A2D91"/>
    <w:rsid w:val="34D64AB8"/>
    <w:rsid w:val="357E5826"/>
    <w:rsid w:val="364D8470"/>
    <w:rsid w:val="37086F01"/>
    <w:rsid w:val="378BD5DF"/>
    <w:rsid w:val="3832BF08"/>
    <w:rsid w:val="388CE957"/>
    <w:rsid w:val="39A9BBDB"/>
    <w:rsid w:val="39BB50C1"/>
    <w:rsid w:val="3A253D6F"/>
    <w:rsid w:val="3A34EF5E"/>
    <w:rsid w:val="3ACF0444"/>
    <w:rsid w:val="3B23C5D4"/>
    <w:rsid w:val="3B2C63DF"/>
    <w:rsid w:val="3B3F220B"/>
    <w:rsid w:val="3BF52FBF"/>
    <w:rsid w:val="3C7788E5"/>
    <w:rsid w:val="3D392C92"/>
    <w:rsid w:val="3DB140F6"/>
    <w:rsid w:val="3DE6B476"/>
    <w:rsid w:val="3E372D38"/>
    <w:rsid w:val="3E7365AE"/>
    <w:rsid w:val="3E7D2CFE"/>
    <w:rsid w:val="3EED83F5"/>
    <w:rsid w:val="3FBE889D"/>
    <w:rsid w:val="407769CD"/>
    <w:rsid w:val="40C55293"/>
    <w:rsid w:val="416E9525"/>
    <w:rsid w:val="428E4CF1"/>
    <w:rsid w:val="42A0FD3C"/>
    <w:rsid w:val="42B29CA6"/>
    <w:rsid w:val="4427CA94"/>
    <w:rsid w:val="4451AF64"/>
    <w:rsid w:val="45072FF8"/>
    <w:rsid w:val="45443E77"/>
    <w:rsid w:val="46007C14"/>
    <w:rsid w:val="46D1A3BE"/>
    <w:rsid w:val="46E00ED8"/>
    <w:rsid w:val="473839D7"/>
    <w:rsid w:val="475DB0A8"/>
    <w:rsid w:val="47746E5F"/>
    <w:rsid w:val="47BBF18A"/>
    <w:rsid w:val="47F78130"/>
    <w:rsid w:val="483FFD69"/>
    <w:rsid w:val="4857B154"/>
    <w:rsid w:val="48A00F40"/>
    <w:rsid w:val="49381CD6"/>
    <w:rsid w:val="49B8214F"/>
    <w:rsid w:val="4AA9E50C"/>
    <w:rsid w:val="4AED1594"/>
    <w:rsid w:val="4AF5E436"/>
    <w:rsid w:val="4B522451"/>
    <w:rsid w:val="4B662C33"/>
    <w:rsid w:val="4B6C6E1B"/>
    <w:rsid w:val="4C9A06C4"/>
    <w:rsid w:val="4CDE580A"/>
    <w:rsid w:val="4D688216"/>
    <w:rsid w:val="4E502745"/>
    <w:rsid w:val="4EEAA20E"/>
    <w:rsid w:val="50F32413"/>
    <w:rsid w:val="511E3AB5"/>
    <w:rsid w:val="51995F72"/>
    <w:rsid w:val="52B3D824"/>
    <w:rsid w:val="53591F72"/>
    <w:rsid w:val="53CF187A"/>
    <w:rsid w:val="53CFF29F"/>
    <w:rsid w:val="53DC3481"/>
    <w:rsid w:val="53ED7265"/>
    <w:rsid w:val="541B94E9"/>
    <w:rsid w:val="54522D89"/>
    <w:rsid w:val="54D0BFFD"/>
    <w:rsid w:val="54F929BB"/>
    <w:rsid w:val="552BCEE6"/>
    <w:rsid w:val="5653EAC1"/>
    <w:rsid w:val="56937632"/>
    <w:rsid w:val="56A4B76F"/>
    <w:rsid w:val="57D28409"/>
    <w:rsid w:val="58AF923E"/>
    <w:rsid w:val="590501C4"/>
    <w:rsid w:val="597AAED4"/>
    <w:rsid w:val="59C273A4"/>
    <w:rsid w:val="59EFE5AA"/>
    <w:rsid w:val="5AB110DD"/>
    <w:rsid w:val="5B915CB0"/>
    <w:rsid w:val="5C68FB5A"/>
    <w:rsid w:val="5CB2B724"/>
    <w:rsid w:val="5CC4FBAB"/>
    <w:rsid w:val="5D79A610"/>
    <w:rsid w:val="5EC83593"/>
    <w:rsid w:val="5ED46E43"/>
    <w:rsid w:val="5F00886F"/>
    <w:rsid w:val="5F142BC3"/>
    <w:rsid w:val="5F7000CA"/>
    <w:rsid w:val="5F8BFCAE"/>
    <w:rsid w:val="60B14517"/>
    <w:rsid w:val="622571C4"/>
    <w:rsid w:val="62E3042C"/>
    <w:rsid w:val="62F2F8E1"/>
    <w:rsid w:val="634DC3EC"/>
    <w:rsid w:val="63CFBD7C"/>
    <w:rsid w:val="647102B7"/>
    <w:rsid w:val="65077B3F"/>
    <w:rsid w:val="66079369"/>
    <w:rsid w:val="67075B76"/>
    <w:rsid w:val="67A41A8A"/>
    <w:rsid w:val="68348560"/>
    <w:rsid w:val="68A850DF"/>
    <w:rsid w:val="698AAEE9"/>
    <w:rsid w:val="6AB7BC3D"/>
    <w:rsid w:val="6B49E509"/>
    <w:rsid w:val="6B5FD9E0"/>
    <w:rsid w:val="6BA0A7A4"/>
    <w:rsid w:val="6BBE2949"/>
    <w:rsid w:val="6BBE69DE"/>
    <w:rsid w:val="6BE40C02"/>
    <w:rsid w:val="6BE69F9E"/>
    <w:rsid w:val="6C3AA5A5"/>
    <w:rsid w:val="6C43B5B0"/>
    <w:rsid w:val="6CA718D1"/>
    <w:rsid w:val="6CC24FAB"/>
    <w:rsid w:val="6D4EC1AC"/>
    <w:rsid w:val="6D769FC2"/>
    <w:rsid w:val="6DF65166"/>
    <w:rsid w:val="6F07D33A"/>
    <w:rsid w:val="6F756BDF"/>
    <w:rsid w:val="6F88F81B"/>
    <w:rsid w:val="71A7CC52"/>
    <w:rsid w:val="71C63AFC"/>
    <w:rsid w:val="71D38C4B"/>
    <w:rsid w:val="7225693E"/>
    <w:rsid w:val="724A10E5"/>
    <w:rsid w:val="726440E4"/>
    <w:rsid w:val="729EA54A"/>
    <w:rsid w:val="72F206B3"/>
    <w:rsid w:val="744BDB57"/>
    <w:rsid w:val="745A2B31"/>
    <w:rsid w:val="7506D5CC"/>
    <w:rsid w:val="750A9E21"/>
    <w:rsid w:val="751B1C89"/>
    <w:rsid w:val="75EB977E"/>
    <w:rsid w:val="75F8399F"/>
    <w:rsid w:val="766931F1"/>
    <w:rsid w:val="76A52533"/>
    <w:rsid w:val="76E10E0E"/>
    <w:rsid w:val="772BD2C2"/>
    <w:rsid w:val="78AE0147"/>
    <w:rsid w:val="78B01BB7"/>
    <w:rsid w:val="78D46AF5"/>
    <w:rsid w:val="79980DC1"/>
    <w:rsid w:val="79B6AE47"/>
    <w:rsid w:val="79BC25A6"/>
    <w:rsid w:val="7B54FB7D"/>
    <w:rsid w:val="7BDA1CD3"/>
    <w:rsid w:val="7BF02059"/>
    <w:rsid w:val="7D4215B9"/>
    <w:rsid w:val="7D506884"/>
    <w:rsid w:val="7D60448B"/>
    <w:rsid w:val="7D7B88B5"/>
    <w:rsid w:val="7DDC1A8D"/>
    <w:rsid w:val="7E0326E4"/>
    <w:rsid w:val="7EA871CB"/>
    <w:rsid w:val="7EAB6599"/>
    <w:rsid w:val="7EC4F7BC"/>
    <w:rsid w:val="7F1C4EFE"/>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4C521E"/>
  <w15:chartTrackingRefBased/>
  <w15:docId w15:val="{1558484F-119A-4A0D-A445-6C5507CE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5D3"/>
    <w:pPr>
      <w:spacing w:after="120"/>
    </w:pPr>
    <w:rPr>
      <w:rFonts w:ascii="Arial" w:hAnsi="Arial"/>
      <w:sz w:val="24"/>
      <w:szCs w:val="24"/>
      <w:lang w:eastAsia="es-MX"/>
    </w:rPr>
  </w:style>
  <w:style w:type="paragraph" w:styleId="Ttulo1">
    <w:name w:val="heading 1"/>
    <w:basedOn w:val="Normal"/>
    <w:next w:val="Normal"/>
    <w:link w:val="Ttulo1Car"/>
    <w:qFormat/>
    <w:rsid w:val="00570D3B"/>
    <w:pPr>
      <w:keepNext/>
      <w:numPr>
        <w:numId w:val="1"/>
      </w:numPr>
      <w:suppressAutoHyphens/>
      <w:spacing w:before="360" w:after="240"/>
      <w:outlineLvl w:val="0"/>
    </w:pPr>
    <w:rPr>
      <w:b/>
    </w:rPr>
  </w:style>
  <w:style w:type="paragraph" w:styleId="Ttulo2">
    <w:name w:val="heading 2"/>
    <w:basedOn w:val="Normal"/>
    <w:next w:val="Normal"/>
    <w:link w:val="Ttulo2Car"/>
    <w:qFormat/>
    <w:rsid w:val="001605D3"/>
    <w:pPr>
      <w:keepNext/>
      <w:numPr>
        <w:ilvl w:val="1"/>
        <w:numId w:val="1"/>
      </w:numPr>
      <w:spacing w:before="240" w:after="240"/>
      <w:outlineLvl w:val="1"/>
    </w:pPr>
    <w:rPr>
      <w:b/>
      <w:sz w:val="22"/>
    </w:rPr>
  </w:style>
  <w:style w:type="paragraph" w:styleId="Ttulo3">
    <w:name w:val="heading 3"/>
    <w:basedOn w:val="Normal"/>
    <w:next w:val="Normal"/>
    <w:qFormat/>
    <w:rsid w:val="000D0DF5"/>
    <w:pPr>
      <w:keepNext/>
      <w:numPr>
        <w:ilvl w:val="2"/>
        <w:numId w:val="1"/>
      </w:numPr>
      <w:tabs>
        <w:tab w:val="left" w:pos="0"/>
      </w:tabs>
      <w:suppressAutoHyphens/>
      <w:spacing w:before="240" w:after="240"/>
      <w:outlineLvl w:val="2"/>
    </w:pPr>
    <w:rPr>
      <w:b/>
      <w:sz w:val="22"/>
      <w:lang w:val="es-ES"/>
    </w:rPr>
  </w:style>
  <w:style w:type="paragraph" w:styleId="Ttulo4">
    <w:name w:val="heading 4"/>
    <w:basedOn w:val="Normal"/>
    <w:next w:val="Normal"/>
    <w:qFormat/>
    <w:rsid w:val="00271AE9"/>
    <w:pPr>
      <w:keepNext/>
      <w:numPr>
        <w:ilvl w:val="3"/>
        <w:numId w:val="1"/>
      </w:numPr>
      <w:spacing w:before="240" w:after="240"/>
      <w:outlineLvl w:val="3"/>
    </w:pPr>
    <w:rPr>
      <w:rFonts w:cs="Arial"/>
      <w:b/>
      <w:sz w:val="22"/>
    </w:rPr>
  </w:style>
  <w:style w:type="paragraph" w:styleId="Ttulo5">
    <w:name w:val="heading 5"/>
    <w:basedOn w:val="Normal"/>
    <w:next w:val="Normal"/>
    <w:qFormat/>
    <w:pPr>
      <w:keepNext/>
      <w:numPr>
        <w:ilvl w:val="4"/>
        <w:numId w:val="1"/>
      </w:numPr>
      <w:spacing w:after="240"/>
      <w:outlineLvl w:val="4"/>
    </w:pPr>
    <w:rPr>
      <w:sz w:val="22"/>
    </w:rPr>
  </w:style>
  <w:style w:type="paragraph" w:styleId="Ttulo6">
    <w:name w:val="heading 6"/>
    <w:basedOn w:val="Normal"/>
    <w:next w:val="Normal"/>
    <w:qFormat/>
    <w:pPr>
      <w:numPr>
        <w:ilvl w:val="5"/>
        <w:numId w:val="1"/>
      </w:numPr>
      <w:spacing w:before="240" w:after="60"/>
      <w:outlineLvl w:val="5"/>
    </w:pPr>
    <w:rPr>
      <w:i/>
      <w:sz w:val="22"/>
    </w:rPr>
  </w:style>
  <w:style w:type="paragraph" w:styleId="Ttulo7">
    <w:name w:val="heading 7"/>
    <w:basedOn w:val="Normal"/>
    <w:next w:val="Normal"/>
    <w:qFormat/>
    <w:pPr>
      <w:numPr>
        <w:ilvl w:val="6"/>
        <w:numId w:val="1"/>
      </w:numPr>
      <w:spacing w:before="240" w:after="60"/>
      <w:outlineLvl w:val="6"/>
    </w:pPr>
    <w:rPr>
      <w:sz w:val="20"/>
    </w:rPr>
  </w:style>
  <w:style w:type="paragraph" w:styleId="Ttulo8">
    <w:name w:val="heading 8"/>
    <w:basedOn w:val="Normal"/>
    <w:next w:val="Normal"/>
    <w:qFormat/>
    <w:pPr>
      <w:numPr>
        <w:ilvl w:val="7"/>
        <w:numId w:val="1"/>
      </w:numPr>
      <w:spacing w:before="240" w:after="60"/>
      <w:outlineLvl w:val="7"/>
    </w:pPr>
    <w:rPr>
      <w:i/>
      <w:sz w:val="20"/>
    </w:rPr>
  </w:style>
  <w:style w:type="paragraph" w:styleId="Ttulo9">
    <w:name w:val="heading 9"/>
    <w:basedOn w:val="Normal"/>
    <w:next w:val="Normal"/>
    <w:qFormat/>
    <w:pPr>
      <w:numPr>
        <w:ilvl w:val="8"/>
        <w:numId w:val="1"/>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jc w:val="center"/>
    </w:pPr>
    <w:rPr>
      <w:b/>
    </w:rPr>
  </w:style>
  <w:style w:type="paragraph" w:styleId="TDC1">
    <w:name w:val="toc 1"/>
    <w:basedOn w:val="Normal"/>
    <w:next w:val="Normal"/>
    <w:autoRedefine/>
    <w:uiPriority w:val="39"/>
    <w:rsid w:val="002A3F8D"/>
    <w:pPr>
      <w:tabs>
        <w:tab w:val="left" w:pos="480"/>
        <w:tab w:val="right" w:leader="dot" w:pos="8828"/>
      </w:tabs>
      <w:spacing w:before="120"/>
    </w:pPr>
    <w:rPr>
      <w:noProof/>
      <w:lang w:val="es-ES"/>
    </w:rPr>
  </w:style>
  <w:style w:type="paragraph" w:styleId="TDC2">
    <w:name w:val="toc 2"/>
    <w:basedOn w:val="Normal"/>
    <w:next w:val="Normal"/>
    <w:autoRedefine/>
    <w:uiPriority w:val="39"/>
    <w:rsid w:val="009C3917"/>
    <w:pPr>
      <w:tabs>
        <w:tab w:val="left" w:pos="960"/>
        <w:tab w:val="right" w:leader="dot" w:pos="8820"/>
      </w:tabs>
      <w:ind w:left="960" w:right="378" w:hanging="720"/>
    </w:pPr>
    <w:rPr>
      <w:noProof/>
      <w:lang w:val="es-ES"/>
    </w:rPr>
  </w:style>
  <w:style w:type="paragraph" w:styleId="TDC3">
    <w:name w:val="toc 3"/>
    <w:basedOn w:val="Normal"/>
    <w:next w:val="Normal"/>
    <w:autoRedefine/>
    <w:uiPriority w:val="39"/>
    <w:rsid w:val="00842082"/>
    <w:pPr>
      <w:tabs>
        <w:tab w:val="left" w:pos="1440"/>
        <w:tab w:val="right" w:leader="dot" w:pos="8789"/>
      </w:tabs>
      <w:ind w:left="480" w:right="617"/>
    </w:pPr>
    <w:rPr>
      <w:lang w:val="es-ES"/>
    </w:rPr>
  </w:style>
  <w:style w:type="paragraph" w:customStyle="1" w:styleId="Citas">
    <w:name w:val="Citas"/>
    <w:basedOn w:val="Normal"/>
    <w:next w:val="Normal"/>
    <w:pPr>
      <w:ind w:left="708" w:right="476"/>
    </w:pPr>
    <w:rPr>
      <w:i/>
      <w:iCs/>
    </w:rPr>
  </w:style>
  <w:style w:type="paragraph" w:styleId="Piedepgina">
    <w:name w:val="footer"/>
    <w:basedOn w:val="Normal"/>
    <w:link w:val="PiedepginaCar"/>
    <w:uiPriority w:val="99"/>
    <w:pPr>
      <w:tabs>
        <w:tab w:val="center" w:pos="4252"/>
        <w:tab w:val="right" w:pos="8504"/>
      </w:tabs>
    </w:pPr>
  </w:style>
  <w:style w:type="paragraph" w:styleId="Textonotapie">
    <w:name w:val="footnote text"/>
    <w:basedOn w:val="Normal"/>
    <w:link w:val="TextonotapieCar"/>
    <w:semiHidden/>
    <w:rPr>
      <w:sz w:val="20"/>
    </w:rPr>
  </w:style>
  <w:style w:type="paragraph" w:customStyle="1" w:styleId="Epgrafe">
    <w:name w:val="Epígrafe"/>
    <w:basedOn w:val="Normal"/>
    <w:next w:val="Normal"/>
    <w:qFormat/>
    <w:pPr>
      <w:spacing w:before="120"/>
    </w:pPr>
    <w:rPr>
      <w:b/>
    </w:rPr>
  </w:style>
  <w:style w:type="paragraph" w:styleId="Sangra2detindependiente">
    <w:name w:val="Body Text Indent 2"/>
    <w:basedOn w:val="Normal"/>
    <w:semiHidden/>
    <w:pPr>
      <w:ind w:left="567" w:hanging="567"/>
      <w:outlineLvl w:val="0"/>
    </w:pPr>
    <w:rPr>
      <w:b/>
      <w:sz w:val="20"/>
    </w:rPr>
  </w:style>
  <w:style w:type="paragraph" w:styleId="Textoindependiente">
    <w:name w:val="Body Text"/>
    <w:basedOn w:val="Normal"/>
    <w:link w:val="TextoindependienteCar"/>
    <w:semiHidden/>
    <w:pPr>
      <w:jc w:val="center"/>
    </w:pPr>
    <w:rPr>
      <w:b/>
      <w:sz w:val="48"/>
    </w:r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Hipervnculo">
    <w:name w:val="Hyperlink"/>
    <w:uiPriority w:val="99"/>
    <w:rPr>
      <w:color w:val="0000FF"/>
      <w:u w:val="single"/>
    </w:rPr>
  </w:style>
  <w:style w:type="character" w:styleId="Nmerodepgina">
    <w:name w:val="page number"/>
    <w:basedOn w:val="Fuentedeprrafopredeter"/>
    <w:semiHidden/>
  </w:style>
  <w:style w:type="paragraph" w:styleId="Encabezado">
    <w:name w:val="header"/>
    <w:basedOn w:val="Normal"/>
    <w:link w:val="EncabezadoCar"/>
    <w:uiPriority w:val="99"/>
    <w:pPr>
      <w:tabs>
        <w:tab w:val="center" w:pos="4252"/>
        <w:tab w:val="right" w:pos="8504"/>
      </w:tabs>
    </w:pPr>
  </w:style>
  <w:style w:type="character" w:styleId="Refdenotaalpie">
    <w:name w:val="footnote reference"/>
    <w:semiHidden/>
    <w:rPr>
      <w:vertAlign w:val="superscript"/>
    </w:rPr>
  </w:style>
  <w:style w:type="paragraph" w:styleId="Textoindependiente2">
    <w:name w:val="Body Text 2"/>
    <w:basedOn w:val="Normal"/>
    <w:link w:val="Textoindependiente2Car"/>
    <w:semiHidden/>
    <w:pPr>
      <w:tabs>
        <w:tab w:val="left" w:pos="-720"/>
        <w:tab w:val="left" w:pos="0"/>
      </w:tabs>
      <w:suppressAutoHyphens/>
    </w:pPr>
    <w:rPr>
      <w:color w:val="000000"/>
      <w:spacing w:val="-3"/>
    </w:rPr>
  </w:style>
  <w:style w:type="paragraph" w:styleId="Textoindependiente3">
    <w:name w:val="Body Text 3"/>
    <w:basedOn w:val="Normal"/>
    <w:semiHidden/>
    <w:pPr>
      <w:jc w:val="center"/>
    </w:pPr>
    <w:rPr>
      <w:b/>
      <w:bCs/>
      <w:sz w:val="22"/>
    </w:rPr>
  </w:style>
  <w:style w:type="paragraph" w:styleId="Textodebloque">
    <w:name w:val="Block Text"/>
    <w:basedOn w:val="Normal"/>
    <w:semiHidden/>
    <w:pPr>
      <w:ind w:left="709" w:right="901"/>
      <w:jc w:val="center"/>
    </w:pPr>
    <w:rPr>
      <w:rFonts w:ascii="Bookman Old Style" w:hAnsi="Bookman Old Style"/>
      <w:sz w:val="22"/>
    </w:rPr>
  </w:style>
  <w:style w:type="paragraph" w:styleId="Tabladeilustraciones">
    <w:name w:val="table of figures"/>
    <w:basedOn w:val="Normal"/>
    <w:next w:val="Normal"/>
    <w:semiHidden/>
    <w:pPr>
      <w:tabs>
        <w:tab w:val="right" w:leader="dot" w:pos="8828"/>
      </w:tabs>
      <w:ind w:left="480" w:hanging="480"/>
    </w:pPr>
    <w:rPr>
      <w:noProof/>
    </w:rPr>
  </w:style>
  <w:style w:type="character" w:styleId="Refdecomentario">
    <w:name w:val="annotation reference"/>
    <w:semiHidden/>
    <w:rPr>
      <w:sz w:val="16"/>
      <w:szCs w:val="16"/>
    </w:rPr>
  </w:style>
  <w:style w:type="paragraph" w:styleId="Textocomentario">
    <w:name w:val="annotation text"/>
    <w:basedOn w:val="Normal"/>
    <w:link w:val="TextocomentarioCar"/>
    <w:uiPriority w:val="99"/>
    <w:rPr>
      <w:sz w:val="20"/>
    </w:rPr>
  </w:style>
  <w:style w:type="paragraph" w:styleId="Mapadeldocumento">
    <w:name w:val="Document Map"/>
    <w:basedOn w:val="Normal"/>
    <w:semiHidden/>
    <w:pPr>
      <w:shd w:val="clear" w:color="auto" w:fill="000080"/>
    </w:pPr>
    <w:rPr>
      <w:rFonts w:ascii="Tahoma" w:hAnsi="Tahoma" w:cs="Tahoma"/>
    </w:rPr>
  </w:style>
  <w:style w:type="character" w:customStyle="1" w:styleId="eacep1">
    <w:name w:val="eacep1"/>
    <w:rPr>
      <w:color w:val="000000"/>
    </w:rPr>
  </w:style>
  <w:style w:type="character" w:customStyle="1" w:styleId="PiedepginaCar">
    <w:name w:val="Pie de página Car"/>
    <w:link w:val="Piedepgina"/>
    <w:uiPriority w:val="99"/>
    <w:rsid w:val="0077100C"/>
    <w:rPr>
      <w:rFonts w:ascii="Arial" w:hAnsi="Arial"/>
      <w:sz w:val="24"/>
      <w:lang w:val="es-ES_tradnl" w:eastAsia="es-ES"/>
    </w:rPr>
  </w:style>
  <w:style w:type="character" w:customStyle="1" w:styleId="TextocomentarioCar">
    <w:name w:val="Texto comentario Car"/>
    <w:link w:val="Textocomentario"/>
    <w:uiPriority w:val="99"/>
    <w:rsid w:val="004E3965"/>
    <w:rPr>
      <w:rFonts w:ascii="Arial" w:hAnsi="Arial"/>
      <w:lang w:val="es-ES_tradnl" w:eastAsia="es-ES"/>
    </w:rPr>
  </w:style>
  <w:style w:type="paragraph" w:styleId="Prrafodelista">
    <w:name w:val="List Paragraph"/>
    <w:basedOn w:val="Normal"/>
    <w:link w:val="PrrafodelistaCar"/>
    <w:uiPriority w:val="34"/>
    <w:qFormat/>
    <w:rsid w:val="003C55ED"/>
    <w:pPr>
      <w:ind w:left="708"/>
    </w:pPr>
  </w:style>
  <w:style w:type="paragraph" w:styleId="NormalWeb">
    <w:name w:val="Normal (Web)"/>
    <w:basedOn w:val="Normal"/>
    <w:uiPriority w:val="99"/>
    <w:semiHidden/>
    <w:unhideWhenUsed/>
    <w:rsid w:val="00DB6372"/>
    <w:pPr>
      <w:spacing w:before="100" w:beforeAutospacing="1" w:after="100" w:afterAutospacing="1"/>
    </w:pPr>
    <w:rPr>
      <w:lang w:eastAsia="es-CO"/>
    </w:rPr>
  </w:style>
  <w:style w:type="character" w:customStyle="1" w:styleId="Ttulo1Car">
    <w:name w:val="Título 1 Car"/>
    <w:basedOn w:val="Fuentedeprrafopredeter"/>
    <w:link w:val="Ttulo1"/>
    <w:rsid w:val="00570D3B"/>
    <w:rPr>
      <w:b/>
      <w:sz w:val="24"/>
      <w:szCs w:val="24"/>
      <w:lang w:eastAsia="es-MX"/>
    </w:rPr>
  </w:style>
  <w:style w:type="character" w:customStyle="1" w:styleId="Ttulo2Car">
    <w:name w:val="Título 2 Car"/>
    <w:basedOn w:val="Fuentedeprrafopredeter"/>
    <w:link w:val="Ttulo2"/>
    <w:rsid w:val="001605D3"/>
    <w:rPr>
      <w:rFonts w:ascii="Arial" w:hAnsi="Arial"/>
      <w:b/>
      <w:sz w:val="22"/>
      <w:szCs w:val="24"/>
      <w:lang w:eastAsia="es-MX"/>
    </w:rPr>
  </w:style>
  <w:style w:type="character" w:customStyle="1" w:styleId="TextonotapieCar">
    <w:name w:val="Texto nota pie Car"/>
    <w:basedOn w:val="Fuentedeprrafopredeter"/>
    <w:link w:val="Textonotapie"/>
    <w:semiHidden/>
    <w:rsid w:val="00E7209B"/>
    <w:rPr>
      <w:rFonts w:ascii="Arial" w:hAnsi="Arial"/>
      <w:lang w:val="es-ES_tradnl" w:eastAsia="es-ES"/>
    </w:rPr>
  </w:style>
  <w:style w:type="character" w:customStyle="1" w:styleId="TtuloCar">
    <w:name w:val="Título Car"/>
    <w:basedOn w:val="Fuentedeprrafopredeter"/>
    <w:link w:val="Ttulo"/>
    <w:rsid w:val="00E7209B"/>
    <w:rPr>
      <w:rFonts w:ascii="Arial" w:hAnsi="Arial"/>
      <w:b/>
      <w:sz w:val="24"/>
      <w:lang w:val="es-ES_tradnl" w:eastAsia="es-ES"/>
    </w:rPr>
  </w:style>
  <w:style w:type="character" w:customStyle="1" w:styleId="Textoindependiente2Car">
    <w:name w:val="Texto independiente 2 Car"/>
    <w:basedOn w:val="Fuentedeprrafopredeter"/>
    <w:link w:val="Textoindependiente2"/>
    <w:semiHidden/>
    <w:rsid w:val="00E7209B"/>
    <w:rPr>
      <w:rFonts w:ascii="Arial" w:hAnsi="Arial"/>
      <w:color w:val="000000"/>
      <w:spacing w:val="-3"/>
      <w:sz w:val="24"/>
      <w:lang w:val="es-ES_tradnl" w:eastAsia="es-ES"/>
    </w:rPr>
  </w:style>
  <w:style w:type="paragraph" w:customStyle="1" w:styleId="Texto">
    <w:name w:val="Texto"/>
    <w:basedOn w:val="Normal"/>
    <w:qFormat/>
    <w:rsid w:val="00DE77A4"/>
    <w:pPr>
      <w:spacing w:after="240"/>
    </w:pPr>
    <w:rPr>
      <w:rFonts w:cs="Arial"/>
      <w:sz w:val="22"/>
    </w:rPr>
  </w:style>
  <w:style w:type="paragraph" w:styleId="TtuloTDC">
    <w:name w:val="TOC Heading"/>
    <w:basedOn w:val="Ttulo1"/>
    <w:next w:val="Normal"/>
    <w:uiPriority w:val="39"/>
    <w:unhideWhenUsed/>
    <w:qFormat/>
    <w:rsid w:val="006810E6"/>
    <w:pPr>
      <w:keepLines/>
      <w:numPr>
        <w:numId w:val="0"/>
      </w:numPr>
      <w:suppressAutoHyphens w:val="0"/>
      <w:spacing w:before="240" w:after="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Cita">
    <w:name w:val="Quote"/>
    <w:basedOn w:val="Normal"/>
    <w:next w:val="Normal"/>
    <w:link w:val="CitaCar"/>
    <w:uiPriority w:val="29"/>
    <w:qFormat/>
    <w:rsid w:val="00022F7C"/>
    <w:pPr>
      <w:spacing w:before="200" w:after="160"/>
      <w:ind w:left="284" w:right="334"/>
    </w:pPr>
    <w:rPr>
      <w:i/>
      <w:iCs/>
      <w:color w:val="404040" w:themeColor="text1" w:themeTint="BF"/>
      <w:sz w:val="22"/>
      <w:szCs w:val="18"/>
    </w:rPr>
  </w:style>
  <w:style w:type="character" w:customStyle="1" w:styleId="CitaCar">
    <w:name w:val="Cita Car"/>
    <w:basedOn w:val="Fuentedeprrafopredeter"/>
    <w:link w:val="Cita"/>
    <w:uiPriority w:val="29"/>
    <w:rsid w:val="00022F7C"/>
    <w:rPr>
      <w:rFonts w:ascii="Arial" w:hAnsi="Arial"/>
      <w:i/>
      <w:iCs/>
      <w:color w:val="404040" w:themeColor="text1" w:themeTint="BF"/>
      <w:sz w:val="22"/>
      <w:szCs w:val="18"/>
      <w:lang w:val="es-ES_tradnl" w:eastAsia="es-ES"/>
    </w:rPr>
  </w:style>
  <w:style w:type="paragraph" w:styleId="Descripcin">
    <w:name w:val="caption"/>
    <w:aliases w:val="Gráfica"/>
    <w:basedOn w:val="Normal"/>
    <w:next w:val="Normal"/>
    <w:uiPriority w:val="35"/>
    <w:qFormat/>
    <w:rsid w:val="005F5F3A"/>
    <w:pPr>
      <w:spacing w:before="240" w:after="200"/>
      <w:jc w:val="center"/>
    </w:pPr>
    <w:rPr>
      <w:iCs/>
      <w:sz w:val="20"/>
      <w:szCs w:val="18"/>
    </w:rPr>
  </w:style>
  <w:style w:type="character" w:customStyle="1" w:styleId="PrrafodelistaCar">
    <w:name w:val="Párrafo de lista Car"/>
    <w:link w:val="Prrafodelista"/>
    <w:uiPriority w:val="34"/>
    <w:rsid w:val="005A5C71"/>
    <w:rPr>
      <w:rFonts w:ascii="Arial" w:hAnsi="Arial"/>
      <w:sz w:val="24"/>
      <w:lang w:val="es-ES_tradnl" w:eastAsia="es-ES"/>
    </w:rPr>
  </w:style>
  <w:style w:type="paragraph" w:customStyle="1" w:styleId="Artculo">
    <w:name w:val="Artículo"/>
    <w:basedOn w:val="Normal"/>
    <w:next w:val="Normal"/>
    <w:qFormat/>
    <w:rsid w:val="005A5C71"/>
    <w:pPr>
      <w:numPr>
        <w:numId w:val="2"/>
      </w:numPr>
      <w:tabs>
        <w:tab w:val="left" w:pos="1701"/>
      </w:tabs>
      <w:spacing w:before="240" w:after="240"/>
    </w:pPr>
    <w:rPr>
      <w:rFonts w:ascii="Bookman Old Style" w:hAnsi="Bookman Old Style" w:cs="Arial"/>
      <w:b/>
      <w:lang w:val="es-ES"/>
    </w:rPr>
  </w:style>
  <w:style w:type="paragraph" w:styleId="Textodeglobo">
    <w:name w:val="Balloon Text"/>
    <w:basedOn w:val="Normal"/>
    <w:link w:val="TextodegloboCar"/>
    <w:uiPriority w:val="99"/>
    <w:semiHidden/>
    <w:unhideWhenUsed/>
    <w:rsid w:val="00B933C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33C4"/>
    <w:rPr>
      <w:rFonts w:ascii="Segoe UI" w:hAnsi="Segoe UI" w:cs="Segoe UI"/>
      <w:sz w:val="18"/>
      <w:szCs w:val="18"/>
      <w:lang w:val="es-ES_tradnl" w:eastAsia="es-ES"/>
    </w:rPr>
  </w:style>
  <w:style w:type="paragraph" w:styleId="Revisin">
    <w:name w:val="Revision"/>
    <w:hidden/>
    <w:uiPriority w:val="99"/>
    <w:semiHidden/>
    <w:rsid w:val="00EA7D96"/>
    <w:rPr>
      <w:rFonts w:ascii="Arial" w:hAnsi="Arial"/>
      <w:sz w:val="24"/>
      <w:lang w:val="es-ES_tradnl" w:eastAsia="es-ES"/>
    </w:rPr>
  </w:style>
  <w:style w:type="paragraph" w:styleId="Asuntodelcomentario">
    <w:name w:val="annotation subject"/>
    <w:basedOn w:val="Textocomentario"/>
    <w:next w:val="Textocomentario"/>
    <w:link w:val="AsuntodelcomentarioCar"/>
    <w:uiPriority w:val="99"/>
    <w:semiHidden/>
    <w:unhideWhenUsed/>
    <w:rsid w:val="009C3917"/>
    <w:rPr>
      <w:b/>
      <w:bCs/>
    </w:rPr>
  </w:style>
  <w:style w:type="character" w:customStyle="1" w:styleId="AsuntodelcomentarioCar">
    <w:name w:val="Asunto del comentario Car"/>
    <w:basedOn w:val="TextocomentarioCar"/>
    <w:link w:val="Asuntodelcomentario"/>
    <w:uiPriority w:val="99"/>
    <w:semiHidden/>
    <w:rsid w:val="009C3917"/>
    <w:rPr>
      <w:rFonts w:ascii="Arial" w:hAnsi="Arial"/>
      <w:b/>
      <w:bCs/>
      <w:lang w:val="es-ES_tradnl" w:eastAsia="es-ES"/>
    </w:rPr>
  </w:style>
  <w:style w:type="table" w:styleId="Tablaconcuadrcula">
    <w:name w:val="Table Grid"/>
    <w:basedOn w:val="Tablanormal"/>
    <w:uiPriority w:val="39"/>
    <w:rsid w:val="00C63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54635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line="240" w:lineRule="exact"/>
      <w:textAlignment w:val="baseline"/>
    </w:pPr>
    <w:rPr>
      <w:sz w:val="22"/>
      <w:lang w:val="es-ES"/>
    </w:rPr>
  </w:style>
  <w:style w:type="paragraph" w:customStyle="1" w:styleId="Vietaletra">
    <w:name w:val="Viñeta letra"/>
    <w:basedOn w:val="Normal"/>
    <w:next w:val="Normal"/>
    <w:rsid w:val="00546358"/>
    <w:pPr>
      <w:numPr>
        <w:numId w:val="3"/>
      </w:numPr>
      <w:suppressAutoHyphens/>
      <w:overflowPunct w:val="0"/>
      <w:autoSpaceDE w:val="0"/>
      <w:textAlignment w:val="baseline"/>
    </w:pPr>
    <w:rPr>
      <w:lang w:eastAsia="ar-SA"/>
    </w:rPr>
  </w:style>
  <w:style w:type="paragraph" w:customStyle="1" w:styleId="Default">
    <w:name w:val="Default"/>
    <w:rsid w:val="00026AC2"/>
    <w:pPr>
      <w:autoSpaceDE w:val="0"/>
      <w:autoSpaceDN w:val="0"/>
      <w:adjustRightInd w:val="0"/>
    </w:pPr>
    <w:rPr>
      <w:rFonts w:ascii="Tahoma" w:hAnsi="Tahoma" w:cs="Tahoma"/>
      <w:color w:val="000000"/>
      <w:sz w:val="24"/>
      <w:szCs w:val="24"/>
    </w:rPr>
  </w:style>
  <w:style w:type="character" w:customStyle="1" w:styleId="ui-provider">
    <w:name w:val="ui-provider"/>
    <w:basedOn w:val="Fuentedeprrafopredeter"/>
    <w:rsid w:val="00F44ED9"/>
  </w:style>
  <w:style w:type="character" w:styleId="Textoennegrita">
    <w:name w:val="Strong"/>
    <w:basedOn w:val="Fuentedeprrafopredeter"/>
    <w:uiPriority w:val="22"/>
    <w:qFormat/>
    <w:rsid w:val="00AB1006"/>
    <w:rPr>
      <w:b/>
      <w:bCs/>
    </w:rPr>
  </w:style>
  <w:style w:type="character" w:styleId="nfasis">
    <w:name w:val="Emphasis"/>
    <w:basedOn w:val="Fuentedeprrafopredeter"/>
    <w:uiPriority w:val="20"/>
    <w:qFormat/>
    <w:rsid w:val="00AB1006"/>
    <w:rPr>
      <w:i/>
      <w:iCs/>
    </w:rPr>
  </w:style>
  <w:style w:type="character" w:customStyle="1" w:styleId="katex-mathml">
    <w:name w:val="katex-mathml"/>
    <w:basedOn w:val="Fuentedeprrafopredeter"/>
    <w:rsid w:val="00BC1C37"/>
  </w:style>
  <w:style w:type="character" w:customStyle="1" w:styleId="mord">
    <w:name w:val="mord"/>
    <w:basedOn w:val="Fuentedeprrafopredeter"/>
    <w:rsid w:val="00BC1C37"/>
  </w:style>
  <w:style w:type="character" w:customStyle="1" w:styleId="mrel">
    <w:name w:val="mrel"/>
    <w:basedOn w:val="Fuentedeprrafopredeter"/>
    <w:rsid w:val="00BC1C37"/>
  </w:style>
  <w:style w:type="character" w:customStyle="1" w:styleId="vlist-r">
    <w:name w:val="vlist-r"/>
    <w:basedOn w:val="Fuentedeprrafopredeter"/>
    <w:rsid w:val="00BC1C37"/>
  </w:style>
  <w:style w:type="character" w:customStyle="1" w:styleId="mopen">
    <w:name w:val="mopen"/>
    <w:basedOn w:val="Fuentedeprrafopredeter"/>
    <w:rsid w:val="00BC1C37"/>
  </w:style>
  <w:style w:type="character" w:customStyle="1" w:styleId="mop">
    <w:name w:val="mop"/>
    <w:basedOn w:val="Fuentedeprrafopredeter"/>
    <w:rsid w:val="00BC1C37"/>
  </w:style>
  <w:style w:type="character" w:customStyle="1" w:styleId="vlist-s">
    <w:name w:val="vlist-s"/>
    <w:basedOn w:val="Fuentedeprrafopredeter"/>
    <w:rsid w:val="00BC1C37"/>
  </w:style>
  <w:style w:type="character" w:customStyle="1" w:styleId="mbin">
    <w:name w:val="mbin"/>
    <w:basedOn w:val="Fuentedeprrafopredeter"/>
    <w:rsid w:val="00BC1C37"/>
  </w:style>
  <w:style w:type="character" w:customStyle="1" w:styleId="mclose">
    <w:name w:val="mclose"/>
    <w:basedOn w:val="Fuentedeprrafopredeter"/>
    <w:rsid w:val="00BC1C37"/>
  </w:style>
  <w:style w:type="character" w:styleId="Textodelmarcadordeposicin">
    <w:name w:val="Placeholder Text"/>
    <w:basedOn w:val="Fuentedeprrafopredeter"/>
    <w:uiPriority w:val="99"/>
    <w:semiHidden/>
    <w:rsid w:val="00BC1C37"/>
    <w:rPr>
      <w:color w:val="808080"/>
    </w:rPr>
  </w:style>
  <w:style w:type="character" w:customStyle="1" w:styleId="contentpasted0">
    <w:name w:val="contentpasted0"/>
    <w:basedOn w:val="Fuentedeprrafopredeter"/>
    <w:rsid w:val="00602DAA"/>
  </w:style>
  <w:style w:type="character" w:customStyle="1" w:styleId="bookmarkaj">
    <w:name w:val="bookmarkaj"/>
    <w:basedOn w:val="Fuentedeprrafopredeter"/>
    <w:rsid w:val="00653605"/>
  </w:style>
  <w:style w:type="character" w:customStyle="1" w:styleId="EncabezadoCar">
    <w:name w:val="Encabezado Car"/>
    <w:basedOn w:val="Fuentedeprrafopredeter"/>
    <w:link w:val="Encabezado"/>
    <w:uiPriority w:val="99"/>
    <w:rsid w:val="00A95235"/>
    <w:rPr>
      <w:sz w:val="24"/>
      <w:szCs w:val="24"/>
      <w:lang w:eastAsia="es-MX"/>
    </w:rPr>
  </w:style>
  <w:style w:type="character" w:styleId="Hipervnculovisitado">
    <w:name w:val="FollowedHyperlink"/>
    <w:basedOn w:val="Fuentedeprrafopredeter"/>
    <w:uiPriority w:val="99"/>
    <w:semiHidden/>
    <w:unhideWhenUsed/>
    <w:rsid w:val="00600F12"/>
    <w:rPr>
      <w:color w:val="954F72"/>
      <w:u w:val="single"/>
    </w:rPr>
  </w:style>
  <w:style w:type="paragraph" w:customStyle="1" w:styleId="msonormal0">
    <w:name w:val="msonormal"/>
    <w:basedOn w:val="Normal"/>
    <w:rsid w:val="00600F12"/>
    <w:pPr>
      <w:spacing w:before="100" w:beforeAutospacing="1" w:after="100" w:afterAutospacing="1"/>
    </w:pPr>
    <w:rPr>
      <w:rFonts w:ascii="Times New Roman" w:hAnsi="Times New Roman"/>
      <w:lang w:eastAsia="es-CO"/>
    </w:rPr>
  </w:style>
  <w:style w:type="paragraph" w:customStyle="1" w:styleId="xl66">
    <w:name w:val="xl66"/>
    <w:basedOn w:val="Normal"/>
    <w:rsid w:val="00600F12"/>
    <w:pPr>
      <w:spacing w:before="100" w:beforeAutospacing="1" w:after="100" w:afterAutospacing="1"/>
    </w:pPr>
    <w:rPr>
      <w:rFonts w:ascii="Times New Roman" w:hAnsi="Times New Roman"/>
      <w:lang w:eastAsia="es-CO"/>
    </w:rPr>
  </w:style>
  <w:style w:type="paragraph" w:customStyle="1" w:styleId="xl67">
    <w:name w:val="xl67"/>
    <w:basedOn w:val="Normal"/>
    <w:rsid w:val="00600F12"/>
    <w:pPr>
      <w:spacing w:before="100" w:beforeAutospacing="1" w:after="100" w:afterAutospacing="1"/>
      <w:jc w:val="center"/>
      <w:textAlignment w:val="center"/>
    </w:pPr>
    <w:rPr>
      <w:rFonts w:ascii="Times New Roman" w:hAnsi="Times New Roman"/>
      <w:lang w:eastAsia="es-CO"/>
    </w:rPr>
  </w:style>
  <w:style w:type="paragraph" w:customStyle="1" w:styleId="xl68">
    <w:name w:val="xl68"/>
    <w:basedOn w:val="Normal"/>
    <w:rsid w:val="00600F12"/>
    <w:pPr>
      <w:shd w:val="clear" w:color="000000" w:fill="2F75B5"/>
      <w:spacing w:before="100" w:beforeAutospacing="1" w:after="100" w:afterAutospacing="1"/>
      <w:jc w:val="center"/>
      <w:textAlignment w:val="center"/>
    </w:pPr>
    <w:rPr>
      <w:rFonts w:ascii="Times New Roman" w:hAnsi="Times New Roman"/>
      <w:b/>
      <w:bCs/>
      <w:color w:val="FFFFFF"/>
      <w:lang w:eastAsia="es-CO"/>
    </w:rPr>
  </w:style>
  <w:style w:type="paragraph" w:customStyle="1" w:styleId="xl69">
    <w:name w:val="xl69"/>
    <w:basedOn w:val="Normal"/>
    <w:rsid w:val="00600F12"/>
    <w:pPr>
      <w:spacing w:before="100" w:beforeAutospacing="1" w:after="100" w:afterAutospacing="1"/>
      <w:jc w:val="right"/>
    </w:pPr>
    <w:rPr>
      <w:rFonts w:ascii="Times New Roman" w:hAnsi="Times New Roman"/>
      <w:lang w:eastAsia="es-CO"/>
    </w:rPr>
  </w:style>
  <w:style w:type="paragraph" w:customStyle="1" w:styleId="xl70">
    <w:name w:val="xl70"/>
    <w:basedOn w:val="Normal"/>
    <w:rsid w:val="00600F12"/>
    <w:pPr>
      <w:spacing w:before="100" w:beforeAutospacing="1" w:after="100" w:afterAutospacing="1"/>
      <w:textAlignment w:val="center"/>
    </w:pPr>
    <w:rPr>
      <w:rFonts w:ascii="Times New Roman" w:hAnsi="Times New Roman"/>
      <w:lang w:eastAsia="es-CO"/>
    </w:rPr>
  </w:style>
  <w:style w:type="paragraph" w:customStyle="1" w:styleId="xl71">
    <w:name w:val="xl71"/>
    <w:basedOn w:val="Normal"/>
    <w:rsid w:val="00600F12"/>
    <w:pPr>
      <w:spacing w:before="100" w:beforeAutospacing="1" w:after="100" w:afterAutospacing="1"/>
      <w:textAlignment w:val="center"/>
    </w:pPr>
    <w:rPr>
      <w:rFonts w:ascii="Times New Roman" w:hAnsi="Times New Roman"/>
      <w:lang w:eastAsia="es-CO"/>
    </w:rPr>
  </w:style>
  <w:style w:type="paragraph" w:customStyle="1" w:styleId="xl72">
    <w:name w:val="xl72"/>
    <w:basedOn w:val="Normal"/>
    <w:rsid w:val="00600F12"/>
    <w:pPr>
      <w:spacing w:before="100" w:beforeAutospacing="1" w:after="100" w:afterAutospacing="1"/>
      <w:textAlignment w:val="center"/>
    </w:pPr>
    <w:rPr>
      <w:rFonts w:ascii="Times New Roman" w:hAnsi="Times New Roman"/>
      <w:color w:val="000000"/>
      <w:lang w:eastAsia="es-CO"/>
    </w:rPr>
  </w:style>
  <w:style w:type="paragraph" w:customStyle="1" w:styleId="xl73">
    <w:name w:val="xl73"/>
    <w:basedOn w:val="Normal"/>
    <w:rsid w:val="00600F12"/>
    <w:pPr>
      <w:spacing w:before="100" w:beforeAutospacing="1" w:after="100" w:afterAutospacing="1"/>
      <w:jc w:val="both"/>
      <w:textAlignment w:val="center"/>
    </w:pPr>
    <w:rPr>
      <w:rFonts w:ascii="Times New Roman" w:hAnsi="Times New Roman"/>
      <w:lang w:eastAsia="es-CO"/>
    </w:rPr>
  </w:style>
  <w:style w:type="paragraph" w:customStyle="1" w:styleId="xl74">
    <w:name w:val="xl74"/>
    <w:basedOn w:val="Normal"/>
    <w:rsid w:val="00600F12"/>
    <w:pPr>
      <w:spacing w:before="100" w:beforeAutospacing="1" w:after="100" w:afterAutospacing="1"/>
      <w:jc w:val="center"/>
      <w:textAlignment w:val="center"/>
    </w:pPr>
    <w:rPr>
      <w:rFonts w:ascii="Times New Roman" w:hAnsi="Times New Roman"/>
      <w:lang w:eastAsia="es-CO"/>
    </w:rPr>
  </w:style>
  <w:style w:type="paragraph" w:customStyle="1" w:styleId="xl75">
    <w:name w:val="xl75"/>
    <w:basedOn w:val="Normal"/>
    <w:rsid w:val="00600F12"/>
    <w:pPr>
      <w:shd w:val="clear" w:color="000000" w:fill="2F75B5"/>
      <w:spacing w:before="100" w:beforeAutospacing="1" w:after="100" w:afterAutospacing="1"/>
      <w:textAlignment w:val="center"/>
    </w:pPr>
    <w:rPr>
      <w:rFonts w:ascii="Times New Roman" w:hAnsi="Times New Roman"/>
      <w:b/>
      <w:bCs/>
      <w:color w:val="FFFFFF"/>
      <w:lang w:eastAsia="es-CO"/>
    </w:rPr>
  </w:style>
  <w:style w:type="paragraph" w:customStyle="1" w:styleId="xl76">
    <w:name w:val="xl76"/>
    <w:basedOn w:val="Normal"/>
    <w:rsid w:val="00600F12"/>
    <w:pPr>
      <w:shd w:val="clear" w:color="000000" w:fill="2F75B5"/>
      <w:spacing w:before="100" w:beforeAutospacing="1" w:after="100" w:afterAutospacing="1"/>
      <w:textAlignment w:val="center"/>
    </w:pPr>
    <w:rPr>
      <w:rFonts w:ascii="Times New Roman" w:hAnsi="Times New Roman"/>
      <w:b/>
      <w:bCs/>
      <w:color w:val="FFFFFF"/>
      <w:lang w:eastAsia="es-CO"/>
    </w:rPr>
  </w:style>
  <w:style w:type="paragraph" w:customStyle="1" w:styleId="xl77">
    <w:name w:val="xl77"/>
    <w:basedOn w:val="Normal"/>
    <w:rsid w:val="00600F12"/>
    <w:pPr>
      <w:spacing w:before="100" w:beforeAutospacing="1" w:after="100" w:afterAutospacing="1"/>
      <w:jc w:val="center"/>
      <w:textAlignment w:val="center"/>
    </w:pPr>
    <w:rPr>
      <w:rFonts w:ascii="Times New Roman" w:hAnsi="Times New Roman"/>
      <w:lang w:eastAsia="es-CO"/>
    </w:rPr>
  </w:style>
  <w:style w:type="paragraph" w:customStyle="1" w:styleId="xl78">
    <w:name w:val="xl78"/>
    <w:basedOn w:val="Normal"/>
    <w:rsid w:val="00600F12"/>
    <w:pPr>
      <w:spacing w:before="100" w:beforeAutospacing="1" w:after="100" w:afterAutospacing="1"/>
      <w:textAlignment w:val="center"/>
    </w:pPr>
    <w:rPr>
      <w:rFonts w:ascii="Times New Roman" w:hAnsi="Times New Roman"/>
      <w:lang w:eastAsia="es-CO"/>
    </w:rPr>
  </w:style>
  <w:style w:type="paragraph" w:customStyle="1" w:styleId="xl79">
    <w:name w:val="xl79"/>
    <w:basedOn w:val="Normal"/>
    <w:rsid w:val="00600F12"/>
    <w:pPr>
      <w:spacing w:before="100" w:beforeAutospacing="1" w:after="100" w:afterAutospacing="1"/>
      <w:textAlignment w:val="center"/>
    </w:pPr>
    <w:rPr>
      <w:rFonts w:ascii="Times New Roman" w:hAnsi="Times New Roman"/>
      <w:lang w:eastAsia="es-CO"/>
    </w:rPr>
  </w:style>
  <w:style w:type="character" w:styleId="Mencinsinresolver">
    <w:name w:val="Unresolved Mention"/>
    <w:basedOn w:val="Fuentedeprrafopredeter"/>
    <w:uiPriority w:val="99"/>
    <w:semiHidden/>
    <w:unhideWhenUsed/>
    <w:rsid w:val="00600F12"/>
    <w:rPr>
      <w:color w:val="605E5C"/>
      <w:shd w:val="clear" w:color="auto" w:fill="E1DFDD"/>
    </w:rPr>
  </w:style>
  <w:style w:type="paragraph" w:customStyle="1" w:styleId="xl63">
    <w:name w:val="xl63"/>
    <w:basedOn w:val="Normal"/>
    <w:rsid w:val="008C0C00"/>
    <w:pPr>
      <w:shd w:val="clear" w:color="000000" w:fill="2F75B5"/>
      <w:spacing w:before="100" w:beforeAutospacing="1" w:after="100" w:afterAutospacing="1"/>
      <w:textAlignment w:val="center"/>
    </w:pPr>
    <w:rPr>
      <w:rFonts w:ascii="Times New Roman" w:hAnsi="Times New Roman"/>
      <w:b/>
      <w:bCs/>
      <w:color w:val="FFFFFF"/>
      <w:lang w:eastAsia="es-CO"/>
    </w:rPr>
  </w:style>
  <w:style w:type="paragraph" w:customStyle="1" w:styleId="xl64">
    <w:name w:val="xl64"/>
    <w:basedOn w:val="Normal"/>
    <w:rsid w:val="008C0C00"/>
    <w:pPr>
      <w:shd w:val="clear" w:color="000000" w:fill="2F75B5"/>
      <w:spacing w:before="100" w:beforeAutospacing="1" w:after="100" w:afterAutospacing="1"/>
      <w:textAlignment w:val="center"/>
    </w:pPr>
    <w:rPr>
      <w:rFonts w:ascii="Times New Roman" w:hAnsi="Times New Roman"/>
      <w:b/>
      <w:bCs/>
      <w:color w:val="FFFFFF"/>
      <w:lang w:eastAsia="es-CO"/>
    </w:rPr>
  </w:style>
  <w:style w:type="paragraph" w:customStyle="1" w:styleId="xl65">
    <w:name w:val="xl65"/>
    <w:basedOn w:val="Normal"/>
    <w:rsid w:val="008C0C00"/>
    <w:pPr>
      <w:spacing w:before="100" w:beforeAutospacing="1" w:after="100" w:afterAutospacing="1"/>
      <w:jc w:val="center"/>
      <w:textAlignment w:val="center"/>
    </w:pPr>
    <w:rPr>
      <w:rFonts w:ascii="Times New Roman" w:hAnsi="Times New Roman"/>
      <w:lang w:eastAsia="es-CO"/>
    </w:rPr>
  </w:style>
  <w:style w:type="paragraph" w:customStyle="1" w:styleId="xl80">
    <w:name w:val="xl80"/>
    <w:basedOn w:val="Normal"/>
    <w:rsid w:val="001D65F4"/>
    <w:pPr>
      <w:pBdr>
        <w:top w:val="single" w:sz="4" w:space="0" w:color="8EA9DB"/>
      </w:pBdr>
      <w:spacing w:before="100" w:beforeAutospacing="1" w:after="100" w:afterAutospacing="1"/>
      <w:textAlignment w:val="center"/>
    </w:pPr>
    <w:rPr>
      <w:rFonts w:ascii="Times New Roman" w:hAnsi="Times New Roman"/>
      <w:lang w:eastAsia="es-CO"/>
    </w:rPr>
  </w:style>
  <w:style w:type="paragraph" w:customStyle="1" w:styleId="xl81">
    <w:name w:val="xl81"/>
    <w:basedOn w:val="Normal"/>
    <w:rsid w:val="001D65F4"/>
    <w:pPr>
      <w:pBdr>
        <w:top w:val="single" w:sz="4" w:space="0" w:color="8EA9DB"/>
      </w:pBdr>
      <w:shd w:val="clear" w:color="D9E1F2" w:fill="D9E1F2"/>
      <w:spacing w:before="100" w:beforeAutospacing="1" w:after="100" w:afterAutospacing="1"/>
      <w:textAlignment w:val="center"/>
    </w:pPr>
    <w:rPr>
      <w:rFonts w:ascii="Times New Roman" w:hAnsi="Times New Roman"/>
      <w:lang w:eastAsia="es-CO"/>
    </w:rPr>
  </w:style>
  <w:style w:type="paragraph" w:customStyle="1" w:styleId="xl82">
    <w:name w:val="xl82"/>
    <w:basedOn w:val="Normal"/>
    <w:rsid w:val="001D65F4"/>
    <w:pPr>
      <w:pBdr>
        <w:top w:val="single" w:sz="4" w:space="0" w:color="8EA9DB"/>
      </w:pBdr>
      <w:shd w:val="clear" w:color="D9E1F2" w:fill="D9E1F2"/>
      <w:spacing w:before="100" w:beforeAutospacing="1" w:after="100" w:afterAutospacing="1"/>
    </w:pPr>
    <w:rPr>
      <w:rFonts w:ascii="Times New Roman" w:hAnsi="Times New Roman"/>
      <w:lang w:eastAsia="es-CO"/>
    </w:rPr>
  </w:style>
  <w:style w:type="paragraph" w:customStyle="1" w:styleId="xl83">
    <w:name w:val="xl83"/>
    <w:basedOn w:val="Normal"/>
    <w:rsid w:val="001D65F4"/>
    <w:pPr>
      <w:pBdr>
        <w:top w:val="single" w:sz="4" w:space="0" w:color="8EA9DB"/>
      </w:pBdr>
      <w:shd w:val="clear" w:color="D9E1F2" w:fill="D9E1F2"/>
      <w:spacing w:before="100" w:beforeAutospacing="1" w:after="100" w:afterAutospacing="1"/>
      <w:jc w:val="center"/>
      <w:textAlignment w:val="center"/>
    </w:pPr>
    <w:rPr>
      <w:rFonts w:ascii="Times New Roman" w:hAnsi="Times New Roman"/>
      <w:lang w:eastAsia="es-CO"/>
    </w:rPr>
  </w:style>
  <w:style w:type="paragraph" w:customStyle="1" w:styleId="xl84">
    <w:name w:val="xl84"/>
    <w:basedOn w:val="Normal"/>
    <w:rsid w:val="001D65F4"/>
    <w:pPr>
      <w:pBdr>
        <w:top w:val="single" w:sz="4" w:space="0" w:color="8EA9DB"/>
        <w:bottom w:val="single" w:sz="4" w:space="0" w:color="8EA9DB"/>
      </w:pBdr>
      <w:spacing w:before="100" w:beforeAutospacing="1" w:after="100" w:afterAutospacing="1"/>
      <w:jc w:val="center"/>
      <w:textAlignment w:val="center"/>
    </w:pPr>
    <w:rPr>
      <w:rFonts w:ascii="Times New Roman" w:hAnsi="Times New Roman"/>
      <w:lang w:eastAsia="es-CO"/>
    </w:rPr>
  </w:style>
  <w:style w:type="paragraph" w:customStyle="1" w:styleId="xl85">
    <w:name w:val="xl85"/>
    <w:basedOn w:val="Normal"/>
    <w:rsid w:val="001D65F4"/>
    <w:pPr>
      <w:pBdr>
        <w:top w:val="single" w:sz="4" w:space="0" w:color="8EA9DB"/>
        <w:bottom w:val="single" w:sz="4" w:space="0" w:color="8EA9DB"/>
      </w:pBdr>
      <w:spacing w:before="100" w:beforeAutospacing="1" w:after="100" w:afterAutospacing="1"/>
      <w:textAlignment w:val="center"/>
    </w:pPr>
    <w:rPr>
      <w:rFonts w:ascii="Times New Roman" w:hAnsi="Times New Roman"/>
      <w:lang w:eastAsia="es-CO"/>
    </w:rPr>
  </w:style>
  <w:style w:type="paragraph" w:customStyle="1" w:styleId="xl86">
    <w:name w:val="xl86"/>
    <w:basedOn w:val="Normal"/>
    <w:rsid w:val="001D65F4"/>
    <w:pPr>
      <w:pBdr>
        <w:top w:val="single" w:sz="4" w:space="0" w:color="8EA9DB"/>
        <w:bottom w:val="single" w:sz="4" w:space="0" w:color="8EA9DB"/>
        <w:right w:val="single" w:sz="4" w:space="0" w:color="8EA9DB"/>
      </w:pBdr>
      <w:spacing w:before="100" w:beforeAutospacing="1" w:after="100" w:afterAutospacing="1"/>
      <w:textAlignment w:val="center"/>
    </w:pPr>
    <w:rPr>
      <w:rFonts w:ascii="Times New Roman" w:hAnsi="Times New Roman"/>
      <w:lang w:eastAsia="es-CO"/>
    </w:rPr>
  </w:style>
  <w:style w:type="paragraph" w:customStyle="1" w:styleId="xl87">
    <w:name w:val="xl87"/>
    <w:basedOn w:val="Normal"/>
    <w:rsid w:val="001D65F4"/>
    <w:pPr>
      <w:pBdr>
        <w:top w:val="single" w:sz="4" w:space="0" w:color="8EA9DB"/>
      </w:pBdr>
      <w:shd w:val="clear" w:color="4472C4" w:fill="4472C4"/>
      <w:spacing w:before="100" w:beforeAutospacing="1" w:after="100" w:afterAutospacing="1"/>
      <w:jc w:val="center"/>
      <w:textAlignment w:val="center"/>
    </w:pPr>
    <w:rPr>
      <w:rFonts w:ascii="Times New Roman" w:hAnsi="Times New Roman"/>
      <w:b/>
      <w:bCs/>
      <w:color w:val="FFFFFF"/>
      <w:lang w:eastAsia="es-CO"/>
    </w:rPr>
  </w:style>
  <w:style w:type="paragraph" w:customStyle="1" w:styleId="xl88">
    <w:name w:val="xl88"/>
    <w:basedOn w:val="Normal"/>
    <w:rsid w:val="001D65F4"/>
    <w:pPr>
      <w:pBdr>
        <w:top w:val="single" w:sz="4" w:space="0" w:color="8EA9DB"/>
        <w:left w:val="single" w:sz="4" w:space="0" w:color="8EA9DB"/>
      </w:pBdr>
      <w:shd w:val="clear" w:color="D9E1F2" w:fill="D9E1F2"/>
      <w:spacing w:before="100" w:beforeAutospacing="1" w:after="100" w:afterAutospacing="1"/>
      <w:jc w:val="center"/>
      <w:textAlignment w:val="center"/>
    </w:pPr>
    <w:rPr>
      <w:rFonts w:ascii="Times New Roman" w:hAnsi="Times New Roman"/>
      <w:lang w:eastAsia="es-CO"/>
    </w:rPr>
  </w:style>
  <w:style w:type="paragraph" w:customStyle="1" w:styleId="xl89">
    <w:name w:val="xl89"/>
    <w:basedOn w:val="Normal"/>
    <w:rsid w:val="001D65F4"/>
    <w:pPr>
      <w:pBdr>
        <w:top w:val="single" w:sz="4" w:space="0" w:color="8EA9DB"/>
        <w:left w:val="single" w:sz="4" w:space="0" w:color="8EA9DB"/>
      </w:pBdr>
      <w:spacing w:before="100" w:beforeAutospacing="1" w:after="100" w:afterAutospacing="1"/>
      <w:jc w:val="center"/>
      <w:textAlignment w:val="center"/>
    </w:pPr>
    <w:rPr>
      <w:rFonts w:ascii="Times New Roman" w:hAnsi="Times New Roman"/>
      <w:lang w:eastAsia="es-CO"/>
    </w:rPr>
  </w:style>
  <w:style w:type="paragraph" w:customStyle="1" w:styleId="xl90">
    <w:name w:val="xl90"/>
    <w:basedOn w:val="Normal"/>
    <w:rsid w:val="001D65F4"/>
    <w:pPr>
      <w:pBdr>
        <w:top w:val="single" w:sz="4" w:space="0" w:color="8EA9DB"/>
      </w:pBdr>
      <w:shd w:val="clear" w:color="D9E1F2" w:fill="D9E1F2"/>
      <w:spacing w:before="100" w:beforeAutospacing="1" w:after="100" w:afterAutospacing="1"/>
      <w:jc w:val="both"/>
      <w:textAlignment w:val="center"/>
    </w:pPr>
    <w:rPr>
      <w:rFonts w:ascii="Times New Roman" w:hAnsi="Times New Roman"/>
      <w:lang w:eastAsia="es-CO"/>
    </w:rPr>
  </w:style>
  <w:style w:type="paragraph" w:customStyle="1" w:styleId="xl91">
    <w:name w:val="xl91"/>
    <w:basedOn w:val="Normal"/>
    <w:rsid w:val="001D65F4"/>
    <w:pPr>
      <w:pBdr>
        <w:top w:val="single" w:sz="4" w:space="0" w:color="8EA9DB"/>
        <w:left w:val="single" w:sz="4" w:space="0" w:color="8EA9DB"/>
        <w:bottom w:val="single" w:sz="4" w:space="0" w:color="8EA9DB"/>
      </w:pBdr>
      <w:spacing w:before="100" w:beforeAutospacing="1" w:after="100" w:afterAutospacing="1"/>
      <w:jc w:val="center"/>
      <w:textAlignment w:val="center"/>
    </w:pPr>
    <w:rPr>
      <w:rFonts w:ascii="Times New Roman" w:hAnsi="Times New Roman"/>
      <w:lang w:eastAsia="es-CO"/>
    </w:rPr>
  </w:style>
  <w:style w:type="character" w:customStyle="1" w:styleId="TextoindependienteCar">
    <w:name w:val="Texto independiente Car"/>
    <w:basedOn w:val="Fuentedeprrafopredeter"/>
    <w:link w:val="Textoindependiente"/>
    <w:semiHidden/>
    <w:rsid w:val="00C638AD"/>
    <w:rPr>
      <w:rFonts w:ascii="Arial" w:hAnsi="Arial"/>
      <w:b/>
      <w:sz w:val="48"/>
      <w:szCs w:val="24"/>
      <w:lang w:eastAsia="es-MX"/>
    </w:rPr>
  </w:style>
  <w:style w:type="table" w:styleId="Tablaconcuadrcula4-nfasis1">
    <w:name w:val="Grid Table 4 Accent 1"/>
    <w:basedOn w:val="Tablanormal"/>
    <w:uiPriority w:val="49"/>
    <w:rsid w:val="005369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5">
    <w:name w:val="Grid Table 4 Accent 5"/>
    <w:basedOn w:val="Tablanormal"/>
    <w:uiPriority w:val="49"/>
    <w:rsid w:val="008C0DE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7763">
      <w:bodyDiv w:val="1"/>
      <w:marLeft w:val="0"/>
      <w:marRight w:val="0"/>
      <w:marTop w:val="0"/>
      <w:marBottom w:val="0"/>
      <w:divBdr>
        <w:top w:val="none" w:sz="0" w:space="0" w:color="auto"/>
        <w:left w:val="none" w:sz="0" w:space="0" w:color="auto"/>
        <w:bottom w:val="none" w:sz="0" w:space="0" w:color="auto"/>
        <w:right w:val="none" w:sz="0" w:space="0" w:color="auto"/>
      </w:divBdr>
      <w:divsChild>
        <w:div w:id="2002926803">
          <w:marLeft w:val="0"/>
          <w:marRight w:val="0"/>
          <w:marTop w:val="0"/>
          <w:marBottom w:val="0"/>
          <w:divBdr>
            <w:top w:val="none" w:sz="0" w:space="0" w:color="auto"/>
            <w:left w:val="none" w:sz="0" w:space="0" w:color="auto"/>
            <w:bottom w:val="none" w:sz="0" w:space="0" w:color="auto"/>
            <w:right w:val="none" w:sz="0" w:space="0" w:color="auto"/>
          </w:divBdr>
        </w:div>
      </w:divsChild>
    </w:div>
    <w:div w:id="6445315">
      <w:bodyDiv w:val="1"/>
      <w:marLeft w:val="0"/>
      <w:marRight w:val="0"/>
      <w:marTop w:val="0"/>
      <w:marBottom w:val="0"/>
      <w:divBdr>
        <w:top w:val="none" w:sz="0" w:space="0" w:color="auto"/>
        <w:left w:val="none" w:sz="0" w:space="0" w:color="auto"/>
        <w:bottom w:val="none" w:sz="0" w:space="0" w:color="auto"/>
        <w:right w:val="none" w:sz="0" w:space="0" w:color="auto"/>
      </w:divBdr>
      <w:divsChild>
        <w:div w:id="144586909">
          <w:marLeft w:val="547"/>
          <w:marRight w:val="0"/>
          <w:marTop w:val="120"/>
          <w:marBottom w:val="120"/>
          <w:divBdr>
            <w:top w:val="none" w:sz="0" w:space="0" w:color="auto"/>
            <w:left w:val="none" w:sz="0" w:space="0" w:color="auto"/>
            <w:bottom w:val="none" w:sz="0" w:space="0" w:color="auto"/>
            <w:right w:val="none" w:sz="0" w:space="0" w:color="auto"/>
          </w:divBdr>
        </w:div>
        <w:div w:id="586766042">
          <w:marLeft w:val="547"/>
          <w:marRight w:val="0"/>
          <w:marTop w:val="120"/>
          <w:marBottom w:val="120"/>
          <w:divBdr>
            <w:top w:val="none" w:sz="0" w:space="0" w:color="auto"/>
            <w:left w:val="none" w:sz="0" w:space="0" w:color="auto"/>
            <w:bottom w:val="none" w:sz="0" w:space="0" w:color="auto"/>
            <w:right w:val="none" w:sz="0" w:space="0" w:color="auto"/>
          </w:divBdr>
        </w:div>
        <w:div w:id="1184319097">
          <w:marLeft w:val="547"/>
          <w:marRight w:val="0"/>
          <w:marTop w:val="120"/>
          <w:marBottom w:val="120"/>
          <w:divBdr>
            <w:top w:val="none" w:sz="0" w:space="0" w:color="auto"/>
            <w:left w:val="none" w:sz="0" w:space="0" w:color="auto"/>
            <w:bottom w:val="none" w:sz="0" w:space="0" w:color="auto"/>
            <w:right w:val="none" w:sz="0" w:space="0" w:color="auto"/>
          </w:divBdr>
        </w:div>
        <w:div w:id="1658411438">
          <w:marLeft w:val="547"/>
          <w:marRight w:val="0"/>
          <w:marTop w:val="120"/>
          <w:marBottom w:val="120"/>
          <w:divBdr>
            <w:top w:val="none" w:sz="0" w:space="0" w:color="auto"/>
            <w:left w:val="none" w:sz="0" w:space="0" w:color="auto"/>
            <w:bottom w:val="none" w:sz="0" w:space="0" w:color="auto"/>
            <w:right w:val="none" w:sz="0" w:space="0" w:color="auto"/>
          </w:divBdr>
        </w:div>
        <w:div w:id="1956281807">
          <w:marLeft w:val="547"/>
          <w:marRight w:val="0"/>
          <w:marTop w:val="120"/>
          <w:marBottom w:val="120"/>
          <w:divBdr>
            <w:top w:val="none" w:sz="0" w:space="0" w:color="auto"/>
            <w:left w:val="none" w:sz="0" w:space="0" w:color="auto"/>
            <w:bottom w:val="none" w:sz="0" w:space="0" w:color="auto"/>
            <w:right w:val="none" w:sz="0" w:space="0" w:color="auto"/>
          </w:divBdr>
        </w:div>
      </w:divsChild>
    </w:div>
    <w:div w:id="28647307">
      <w:bodyDiv w:val="1"/>
      <w:marLeft w:val="0"/>
      <w:marRight w:val="0"/>
      <w:marTop w:val="0"/>
      <w:marBottom w:val="0"/>
      <w:divBdr>
        <w:top w:val="none" w:sz="0" w:space="0" w:color="auto"/>
        <w:left w:val="none" w:sz="0" w:space="0" w:color="auto"/>
        <w:bottom w:val="none" w:sz="0" w:space="0" w:color="auto"/>
        <w:right w:val="none" w:sz="0" w:space="0" w:color="auto"/>
      </w:divBdr>
    </w:div>
    <w:div w:id="52513326">
      <w:bodyDiv w:val="1"/>
      <w:marLeft w:val="0"/>
      <w:marRight w:val="0"/>
      <w:marTop w:val="0"/>
      <w:marBottom w:val="0"/>
      <w:divBdr>
        <w:top w:val="none" w:sz="0" w:space="0" w:color="auto"/>
        <w:left w:val="none" w:sz="0" w:space="0" w:color="auto"/>
        <w:bottom w:val="none" w:sz="0" w:space="0" w:color="auto"/>
        <w:right w:val="none" w:sz="0" w:space="0" w:color="auto"/>
      </w:divBdr>
    </w:div>
    <w:div w:id="77286620">
      <w:bodyDiv w:val="1"/>
      <w:marLeft w:val="0"/>
      <w:marRight w:val="0"/>
      <w:marTop w:val="0"/>
      <w:marBottom w:val="0"/>
      <w:divBdr>
        <w:top w:val="none" w:sz="0" w:space="0" w:color="auto"/>
        <w:left w:val="none" w:sz="0" w:space="0" w:color="auto"/>
        <w:bottom w:val="none" w:sz="0" w:space="0" w:color="auto"/>
        <w:right w:val="none" w:sz="0" w:space="0" w:color="auto"/>
      </w:divBdr>
    </w:div>
    <w:div w:id="102766636">
      <w:bodyDiv w:val="1"/>
      <w:marLeft w:val="0"/>
      <w:marRight w:val="0"/>
      <w:marTop w:val="0"/>
      <w:marBottom w:val="0"/>
      <w:divBdr>
        <w:top w:val="none" w:sz="0" w:space="0" w:color="auto"/>
        <w:left w:val="none" w:sz="0" w:space="0" w:color="auto"/>
        <w:bottom w:val="none" w:sz="0" w:space="0" w:color="auto"/>
        <w:right w:val="none" w:sz="0" w:space="0" w:color="auto"/>
      </w:divBdr>
      <w:divsChild>
        <w:div w:id="175778982">
          <w:marLeft w:val="1080"/>
          <w:marRight w:val="0"/>
          <w:marTop w:val="200"/>
          <w:marBottom w:val="0"/>
          <w:divBdr>
            <w:top w:val="none" w:sz="0" w:space="0" w:color="auto"/>
            <w:left w:val="none" w:sz="0" w:space="0" w:color="auto"/>
            <w:bottom w:val="none" w:sz="0" w:space="0" w:color="auto"/>
            <w:right w:val="none" w:sz="0" w:space="0" w:color="auto"/>
          </w:divBdr>
        </w:div>
        <w:div w:id="263736078">
          <w:marLeft w:val="1080"/>
          <w:marRight w:val="0"/>
          <w:marTop w:val="200"/>
          <w:marBottom w:val="0"/>
          <w:divBdr>
            <w:top w:val="none" w:sz="0" w:space="0" w:color="auto"/>
            <w:left w:val="none" w:sz="0" w:space="0" w:color="auto"/>
            <w:bottom w:val="none" w:sz="0" w:space="0" w:color="auto"/>
            <w:right w:val="none" w:sz="0" w:space="0" w:color="auto"/>
          </w:divBdr>
        </w:div>
        <w:div w:id="387461234">
          <w:marLeft w:val="1080"/>
          <w:marRight w:val="0"/>
          <w:marTop w:val="200"/>
          <w:marBottom w:val="0"/>
          <w:divBdr>
            <w:top w:val="none" w:sz="0" w:space="0" w:color="auto"/>
            <w:left w:val="none" w:sz="0" w:space="0" w:color="auto"/>
            <w:bottom w:val="none" w:sz="0" w:space="0" w:color="auto"/>
            <w:right w:val="none" w:sz="0" w:space="0" w:color="auto"/>
          </w:divBdr>
        </w:div>
        <w:div w:id="1544168760">
          <w:marLeft w:val="1080"/>
          <w:marRight w:val="0"/>
          <w:marTop w:val="200"/>
          <w:marBottom w:val="0"/>
          <w:divBdr>
            <w:top w:val="none" w:sz="0" w:space="0" w:color="auto"/>
            <w:left w:val="none" w:sz="0" w:space="0" w:color="auto"/>
            <w:bottom w:val="none" w:sz="0" w:space="0" w:color="auto"/>
            <w:right w:val="none" w:sz="0" w:space="0" w:color="auto"/>
          </w:divBdr>
        </w:div>
        <w:div w:id="1988629679">
          <w:marLeft w:val="1080"/>
          <w:marRight w:val="0"/>
          <w:marTop w:val="200"/>
          <w:marBottom w:val="0"/>
          <w:divBdr>
            <w:top w:val="none" w:sz="0" w:space="0" w:color="auto"/>
            <w:left w:val="none" w:sz="0" w:space="0" w:color="auto"/>
            <w:bottom w:val="none" w:sz="0" w:space="0" w:color="auto"/>
            <w:right w:val="none" w:sz="0" w:space="0" w:color="auto"/>
          </w:divBdr>
        </w:div>
        <w:div w:id="1998726846">
          <w:marLeft w:val="1080"/>
          <w:marRight w:val="0"/>
          <w:marTop w:val="200"/>
          <w:marBottom w:val="0"/>
          <w:divBdr>
            <w:top w:val="none" w:sz="0" w:space="0" w:color="auto"/>
            <w:left w:val="none" w:sz="0" w:space="0" w:color="auto"/>
            <w:bottom w:val="none" w:sz="0" w:space="0" w:color="auto"/>
            <w:right w:val="none" w:sz="0" w:space="0" w:color="auto"/>
          </w:divBdr>
        </w:div>
        <w:div w:id="2012877201">
          <w:marLeft w:val="360"/>
          <w:marRight w:val="0"/>
          <w:marTop w:val="200"/>
          <w:marBottom w:val="0"/>
          <w:divBdr>
            <w:top w:val="none" w:sz="0" w:space="0" w:color="auto"/>
            <w:left w:val="none" w:sz="0" w:space="0" w:color="auto"/>
            <w:bottom w:val="none" w:sz="0" w:space="0" w:color="auto"/>
            <w:right w:val="none" w:sz="0" w:space="0" w:color="auto"/>
          </w:divBdr>
        </w:div>
      </w:divsChild>
    </w:div>
    <w:div w:id="149441534">
      <w:bodyDiv w:val="1"/>
      <w:marLeft w:val="0"/>
      <w:marRight w:val="0"/>
      <w:marTop w:val="0"/>
      <w:marBottom w:val="0"/>
      <w:divBdr>
        <w:top w:val="none" w:sz="0" w:space="0" w:color="auto"/>
        <w:left w:val="none" w:sz="0" w:space="0" w:color="auto"/>
        <w:bottom w:val="none" w:sz="0" w:space="0" w:color="auto"/>
        <w:right w:val="none" w:sz="0" w:space="0" w:color="auto"/>
      </w:divBdr>
    </w:div>
    <w:div w:id="149564159">
      <w:bodyDiv w:val="1"/>
      <w:marLeft w:val="0"/>
      <w:marRight w:val="0"/>
      <w:marTop w:val="0"/>
      <w:marBottom w:val="0"/>
      <w:divBdr>
        <w:top w:val="none" w:sz="0" w:space="0" w:color="auto"/>
        <w:left w:val="none" w:sz="0" w:space="0" w:color="auto"/>
        <w:bottom w:val="none" w:sz="0" w:space="0" w:color="auto"/>
        <w:right w:val="none" w:sz="0" w:space="0" w:color="auto"/>
      </w:divBdr>
    </w:div>
    <w:div w:id="219950103">
      <w:bodyDiv w:val="1"/>
      <w:marLeft w:val="0"/>
      <w:marRight w:val="0"/>
      <w:marTop w:val="0"/>
      <w:marBottom w:val="0"/>
      <w:divBdr>
        <w:top w:val="none" w:sz="0" w:space="0" w:color="auto"/>
        <w:left w:val="none" w:sz="0" w:space="0" w:color="auto"/>
        <w:bottom w:val="none" w:sz="0" w:space="0" w:color="auto"/>
        <w:right w:val="none" w:sz="0" w:space="0" w:color="auto"/>
      </w:divBdr>
    </w:div>
    <w:div w:id="226846117">
      <w:bodyDiv w:val="1"/>
      <w:marLeft w:val="0"/>
      <w:marRight w:val="0"/>
      <w:marTop w:val="0"/>
      <w:marBottom w:val="0"/>
      <w:divBdr>
        <w:top w:val="none" w:sz="0" w:space="0" w:color="auto"/>
        <w:left w:val="none" w:sz="0" w:space="0" w:color="auto"/>
        <w:bottom w:val="none" w:sz="0" w:space="0" w:color="auto"/>
        <w:right w:val="none" w:sz="0" w:space="0" w:color="auto"/>
      </w:divBdr>
    </w:div>
    <w:div w:id="245967776">
      <w:bodyDiv w:val="1"/>
      <w:marLeft w:val="0"/>
      <w:marRight w:val="0"/>
      <w:marTop w:val="0"/>
      <w:marBottom w:val="0"/>
      <w:divBdr>
        <w:top w:val="none" w:sz="0" w:space="0" w:color="auto"/>
        <w:left w:val="none" w:sz="0" w:space="0" w:color="auto"/>
        <w:bottom w:val="none" w:sz="0" w:space="0" w:color="auto"/>
        <w:right w:val="none" w:sz="0" w:space="0" w:color="auto"/>
      </w:divBdr>
    </w:div>
    <w:div w:id="249312990">
      <w:bodyDiv w:val="1"/>
      <w:marLeft w:val="0"/>
      <w:marRight w:val="0"/>
      <w:marTop w:val="0"/>
      <w:marBottom w:val="0"/>
      <w:divBdr>
        <w:top w:val="none" w:sz="0" w:space="0" w:color="auto"/>
        <w:left w:val="none" w:sz="0" w:space="0" w:color="auto"/>
        <w:bottom w:val="none" w:sz="0" w:space="0" w:color="auto"/>
        <w:right w:val="none" w:sz="0" w:space="0" w:color="auto"/>
      </w:divBdr>
    </w:div>
    <w:div w:id="274481688">
      <w:bodyDiv w:val="1"/>
      <w:marLeft w:val="0"/>
      <w:marRight w:val="0"/>
      <w:marTop w:val="0"/>
      <w:marBottom w:val="0"/>
      <w:divBdr>
        <w:top w:val="none" w:sz="0" w:space="0" w:color="auto"/>
        <w:left w:val="none" w:sz="0" w:space="0" w:color="auto"/>
        <w:bottom w:val="none" w:sz="0" w:space="0" w:color="auto"/>
        <w:right w:val="none" w:sz="0" w:space="0" w:color="auto"/>
      </w:divBdr>
    </w:div>
    <w:div w:id="275142943">
      <w:bodyDiv w:val="1"/>
      <w:marLeft w:val="0"/>
      <w:marRight w:val="0"/>
      <w:marTop w:val="0"/>
      <w:marBottom w:val="0"/>
      <w:divBdr>
        <w:top w:val="none" w:sz="0" w:space="0" w:color="auto"/>
        <w:left w:val="none" w:sz="0" w:space="0" w:color="auto"/>
        <w:bottom w:val="none" w:sz="0" w:space="0" w:color="auto"/>
        <w:right w:val="none" w:sz="0" w:space="0" w:color="auto"/>
      </w:divBdr>
    </w:div>
    <w:div w:id="276911598">
      <w:bodyDiv w:val="1"/>
      <w:marLeft w:val="0"/>
      <w:marRight w:val="0"/>
      <w:marTop w:val="0"/>
      <w:marBottom w:val="0"/>
      <w:divBdr>
        <w:top w:val="none" w:sz="0" w:space="0" w:color="auto"/>
        <w:left w:val="none" w:sz="0" w:space="0" w:color="auto"/>
        <w:bottom w:val="none" w:sz="0" w:space="0" w:color="auto"/>
        <w:right w:val="none" w:sz="0" w:space="0" w:color="auto"/>
      </w:divBdr>
    </w:div>
    <w:div w:id="284623956">
      <w:bodyDiv w:val="1"/>
      <w:marLeft w:val="0"/>
      <w:marRight w:val="0"/>
      <w:marTop w:val="0"/>
      <w:marBottom w:val="0"/>
      <w:divBdr>
        <w:top w:val="none" w:sz="0" w:space="0" w:color="auto"/>
        <w:left w:val="none" w:sz="0" w:space="0" w:color="auto"/>
        <w:bottom w:val="none" w:sz="0" w:space="0" w:color="auto"/>
        <w:right w:val="none" w:sz="0" w:space="0" w:color="auto"/>
      </w:divBdr>
    </w:div>
    <w:div w:id="293369444">
      <w:bodyDiv w:val="1"/>
      <w:marLeft w:val="0"/>
      <w:marRight w:val="0"/>
      <w:marTop w:val="0"/>
      <w:marBottom w:val="0"/>
      <w:divBdr>
        <w:top w:val="none" w:sz="0" w:space="0" w:color="auto"/>
        <w:left w:val="none" w:sz="0" w:space="0" w:color="auto"/>
        <w:bottom w:val="none" w:sz="0" w:space="0" w:color="auto"/>
        <w:right w:val="none" w:sz="0" w:space="0" w:color="auto"/>
      </w:divBdr>
    </w:div>
    <w:div w:id="327170868">
      <w:bodyDiv w:val="1"/>
      <w:marLeft w:val="0"/>
      <w:marRight w:val="0"/>
      <w:marTop w:val="0"/>
      <w:marBottom w:val="0"/>
      <w:divBdr>
        <w:top w:val="none" w:sz="0" w:space="0" w:color="auto"/>
        <w:left w:val="none" w:sz="0" w:space="0" w:color="auto"/>
        <w:bottom w:val="none" w:sz="0" w:space="0" w:color="auto"/>
        <w:right w:val="none" w:sz="0" w:space="0" w:color="auto"/>
      </w:divBdr>
      <w:divsChild>
        <w:div w:id="1591816681">
          <w:marLeft w:val="0"/>
          <w:marRight w:val="0"/>
          <w:marTop w:val="0"/>
          <w:marBottom w:val="0"/>
          <w:divBdr>
            <w:top w:val="none" w:sz="0" w:space="0" w:color="auto"/>
            <w:left w:val="none" w:sz="0" w:space="0" w:color="auto"/>
            <w:bottom w:val="none" w:sz="0" w:space="0" w:color="auto"/>
            <w:right w:val="none" w:sz="0" w:space="0" w:color="auto"/>
          </w:divBdr>
          <w:divsChild>
            <w:div w:id="1357195770">
              <w:marLeft w:val="0"/>
              <w:marRight w:val="0"/>
              <w:marTop w:val="0"/>
              <w:marBottom w:val="480"/>
              <w:divBdr>
                <w:top w:val="none" w:sz="0" w:space="0" w:color="auto"/>
                <w:left w:val="none" w:sz="0" w:space="0" w:color="auto"/>
                <w:bottom w:val="none" w:sz="0" w:space="0" w:color="auto"/>
                <w:right w:val="none" w:sz="0" w:space="0" w:color="auto"/>
              </w:divBdr>
            </w:div>
          </w:divsChild>
        </w:div>
        <w:div w:id="1609464688">
          <w:marLeft w:val="0"/>
          <w:marRight w:val="0"/>
          <w:marTop w:val="0"/>
          <w:marBottom w:val="0"/>
          <w:divBdr>
            <w:top w:val="none" w:sz="0" w:space="0" w:color="auto"/>
            <w:left w:val="none" w:sz="0" w:space="0" w:color="auto"/>
            <w:bottom w:val="none" w:sz="0" w:space="0" w:color="auto"/>
            <w:right w:val="none" w:sz="0" w:space="0" w:color="auto"/>
          </w:divBdr>
          <w:divsChild>
            <w:div w:id="55907725">
              <w:blockQuote w:val="1"/>
              <w:marLeft w:val="0"/>
              <w:marRight w:val="0"/>
              <w:marTop w:val="0"/>
              <w:marBottom w:val="0"/>
              <w:divBdr>
                <w:top w:val="none" w:sz="0" w:space="0" w:color="auto"/>
                <w:left w:val="none" w:sz="0" w:space="0" w:color="auto"/>
                <w:bottom w:val="none" w:sz="0" w:space="0" w:color="auto"/>
                <w:right w:val="none" w:sz="0" w:space="0" w:color="auto"/>
              </w:divBdr>
              <w:divsChild>
                <w:div w:id="171381161">
                  <w:marLeft w:val="0"/>
                  <w:marRight w:val="0"/>
                  <w:marTop w:val="0"/>
                  <w:marBottom w:val="480"/>
                  <w:divBdr>
                    <w:top w:val="none" w:sz="0" w:space="0" w:color="auto"/>
                    <w:left w:val="none" w:sz="0" w:space="0" w:color="auto"/>
                    <w:bottom w:val="none" w:sz="0" w:space="0" w:color="auto"/>
                    <w:right w:val="none" w:sz="0" w:space="0" w:color="auto"/>
                  </w:divBdr>
                  <w:divsChild>
                    <w:div w:id="105350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09928">
      <w:bodyDiv w:val="1"/>
      <w:marLeft w:val="0"/>
      <w:marRight w:val="0"/>
      <w:marTop w:val="0"/>
      <w:marBottom w:val="0"/>
      <w:divBdr>
        <w:top w:val="none" w:sz="0" w:space="0" w:color="auto"/>
        <w:left w:val="none" w:sz="0" w:space="0" w:color="auto"/>
        <w:bottom w:val="none" w:sz="0" w:space="0" w:color="auto"/>
        <w:right w:val="none" w:sz="0" w:space="0" w:color="auto"/>
      </w:divBdr>
    </w:div>
    <w:div w:id="346102202">
      <w:bodyDiv w:val="1"/>
      <w:marLeft w:val="0"/>
      <w:marRight w:val="0"/>
      <w:marTop w:val="0"/>
      <w:marBottom w:val="0"/>
      <w:divBdr>
        <w:top w:val="none" w:sz="0" w:space="0" w:color="auto"/>
        <w:left w:val="none" w:sz="0" w:space="0" w:color="auto"/>
        <w:bottom w:val="none" w:sz="0" w:space="0" w:color="auto"/>
        <w:right w:val="none" w:sz="0" w:space="0" w:color="auto"/>
      </w:divBdr>
      <w:divsChild>
        <w:div w:id="202984147">
          <w:marLeft w:val="547"/>
          <w:marRight w:val="0"/>
          <w:marTop w:val="120"/>
          <w:marBottom w:val="120"/>
          <w:divBdr>
            <w:top w:val="none" w:sz="0" w:space="0" w:color="auto"/>
            <w:left w:val="none" w:sz="0" w:space="0" w:color="auto"/>
            <w:bottom w:val="none" w:sz="0" w:space="0" w:color="auto"/>
            <w:right w:val="none" w:sz="0" w:space="0" w:color="auto"/>
          </w:divBdr>
        </w:div>
        <w:div w:id="401216349">
          <w:marLeft w:val="547"/>
          <w:marRight w:val="0"/>
          <w:marTop w:val="120"/>
          <w:marBottom w:val="120"/>
          <w:divBdr>
            <w:top w:val="none" w:sz="0" w:space="0" w:color="auto"/>
            <w:left w:val="none" w:sz="0" w:space="0" w:color="auto"/>
            <w:bottom w:val="none" w:sz="0" w:space="0" w:color="auto"/>
            <w:right w:val="none" w:sz="0" w:space="0" w:color="auto"/>
          </w:divBdr>
        </w:div>
        <w:div w:id="863985122">
          <w:marLeft w:val="547"/>
          <w:marRight w:val="0"/>
          <w:marTop w:val="120"/>
          <w:marBottom w:val="120"/>
          <w:divBdr>
            <w:top w:val="none" w:sz="0" w:space="0" w:color="auto"/>
            <w:left w:val="none" w:sz="0" w:space="0" w:color="auto"/>
            <w:bottom w:val="none" w:sz="0" w:space="0" w:color="auto"/>
            <w:right w:val="none" w:sz="0" w:space="0" w:color="auto"/>
          </w:divBdr>
        </w:div>
        <w:div w:id="1394351817">
          <w:marLeft w:val="547"/>
          <w:marRight w:val="0"/>
          <w:marTop w:val="120"/>
          <w:marBottom w:val="120"/>
          <w:divBdr>
            <w:top w:val="none" w:sz="0" w:space="0" w:color="auto"/>
            <w:left w:val="none" w:sz="0" w:space="0" w:color="auto"/>
            <w:bottom w:val="none" w:sz="0" w:space="0" w:color="auto"/>
            <w:right w:val="none" w:sz="0" w:space="0" w:color="auto"/>
          </w:divBdr>
        </w:div>
        <w:div w:id="1460951992">
          <w:marLeft w:val="547"/>
          <w:marRight w:val="0"/>
          <w:marTop w:val="120"/>
          <w:marBottom w:val="120"/>
          <w:divBdr>
            <w:top w:val="none" w:sz="0" w:space="0" w:color="auto"/>
            <w:left w:val="none" w:sz="0" w:space="0" w:color="auto"/>
            <w:bottom w:val="none" w:sz="0" w:space="0" w:color="auto"/>
            <w:right w:val="none" w:sz="0" w:space="0" w:color="auto"/>
          </w:divBdr>
        </w:div>
      </w:divsChild>
    </w:div>
    <w:div w:id="361053040">
      <w:bodyDiv w:val="1"/>
      <w:marLeft w:val="0"/>
      <w:marRight w:val="0"/>
      <w:marTop w:val="0"/>
      <w:marBottom w:val="0"/>
      <w:divBdr>
        <w:top w:val="none" w:sz="0" w:space="0" w:color="auto"/>
        <w:left w:val="none" w:sz="0" w:space="0" w:color="auto"/>
        <w:bottom w:val="none" w:sz="0" w:space="0" w:color="auto"/>
        <w:right w:val="none" w:sz="0" w:space="0" w:color="auto"/>
      </w:divBdr>
    </w:div>
    <w:div w:id="374088367">
      <w:bodyDiv w:val="1"/>
      <w:marLeft w:val="0"/>
      <w:marRight w:val="0"/>
      <w:marTop w:val="0"/>
      <w:marBottom w:val="0"/>
      <w:divBdr>
        <w:top w:val="none" w:sz="0" w:space="0" w:color="auto"/>
        <w:left w:val="none" w:sz="0" w:space="0" w:color="auto"/>
        <w:bottom w:val="none" w:sz="0" w:space="0" w:color="auto"/>
        <w:right w:val="none" w:sz="0" w:space="0" w:color="auto"/>
      </w:divBdr>
      <w:divsChild>
        <w:div w:id="338848110">
          <w:marLeft w:val="446"/>
          <w:marRight w:val="0"/>
          <w:marTop w:val="0"/>
          <w:marBottom w:val="0"/>
          <w:divBdr>
            <w:top w:val="none" w:sz="0" w:space="0" w:color="auto"/>
            <w:left w:val="none" w:sz="0" w:space="0" w:color="auto"/>
            <w:bottom w:val="none" w:sz="0" w:space="0" w:color="auto"/>
            <w:right w:val="none" w:sz="0" w:space="0" w:color="auto"/>
          </w:divBdr>
        </w:div>
        <w:div w:id="832260735">
          <w:marLeft w:val="446"/>
          <w:marRight w:val="0"/>
          <w:marTop w:val="0"/>
          <w:marBottom w:val="0"/>
          <w:divBdr>
            <w:top w:val="none" w:sz="0" w:space="0" w:color="auto"/>
            <w:left w:val="none" w:sz="0" w:space="0" w:color="auto"/>
            <w:bottom w:val="none" w:sz="0" w:space="0" w:color="auto"/>
            <w:right w:val="none" w:sz="0" w:space="0" w:color="auto"/>
          </w:divBdr>
        </w:div>
      </w:divsChild>
    </w:div>
    <w:div w:id="384380247">
      <w:bodyDiv w:val="1"/>
      <w:marLeft w:val="0"/>
      <w:marRight w:val="0"/>
      <w:marTop w:val="0"/>
      <w:marBottom w:val="0"/>
      <w:divBdr>
        <w:top w:val="none" w:sz="0" w:space="0" w:color="auto"/>
        <w:left w:val="none" w:sz="0" w:space="0" w:color="auto"/>
        <w:bottom w:val="none" w:sz="0" w:space="0" w:color="auto"/>
        <w:right w:val="none" w:sz="0" w:space="0" w:color="auto"/>
      </w:divBdr>
    </w:div>
    <w:div w:id="397290091">
      <w:bodyDiv w:val="1"/>
      <w:marLeft w:val="0"/>
      <w:marRight w:val="0"/>
      <w:marTop w:val="0"/>
      <w:marBottom w:val="0"/>
      <w:divBdr>
        <w:top w:val="none" w:sz="0" w:space="0" w:color="auto"/>
        <w:left w:val="none" w:sz="0" w:space="0" w:color="auto"/>
        <w:bottom w:val="none" w:sz="0" w:space="0" w:color="auto"/>
        <w:right w:val="none" w:sz="0" w:space="0" w:color="auto"/>
      </w:divBdr>
      <w:divsChild>
        <w:div w:id="761072701">
          <w:marLeft w:val="1800"/>
          <w:marRight w:val="0"/>
          <w:marTop w:val="200"/>
          <w:marBottom w:val="0"/>
          <w:divBdr>
            <w:top w:val="none" w:sz="0" w:space="0" w:color="auto"/>
            <w:left w:val="none" w:sz="0" w:space="0" w:color="auto"/>
            <w:bottom w:val="none" w:sz="0" w:space="0" w:color="auto"/>
            <w:right w:val="none" w:sz="0" w:space="0" w:color="auto"/>
          </w:divBdr>
        </w:div>
        <w:div w:id="1854148119">
          <w:marLeft w:val="1800"/>
          <w:marRight w:val="0"/>
          <w:marTop w:val="200"/>
          <w:marBottom w:val="0"/>
          <w:divBdr>
            <w:top w:val="none" w:sz="0" w:space="0" w:color="auto"/>
            <w:left w:val="none" w:sz="0" w:space="0" w:color="auto"/>
            <w:bottom w:val="none" w:sz="0" w:space="0" w:color="auto"/>
            <w:right w:val="none" w:sz="0" w:space="0" w:color="auto"/>
          </w:divBdr>
        </w:div>
      </w:divsChild>
    </w:div>
    <w:div w:id="403262116">
      <w:bodyDiv w:val="1"/>
      <w:marLeft w:val="0"/>
      <w:marRight w:val="0"/>
      <w:marTop w:val="0"/>
      <w:marBottom w:val="0"/>
      <w:divBdr>
        <w:top w:val="none" w:sz="0" w:space="0" w:color="auto"/>
        <w:left w:val="none" w:sz="0" w:space="0" w:color="auto"/>
        <w:bottom w:val="none" w:sz="0" w:space="0" w:color="auto"/>
        <w:right w:val="none" w:sz="0" w:space="0" w:color="auto"/>
      </w:divBdr>
    </w:div>
    <w:div w:id="404496467">
      <w:bodyDiv w:val="1"/>
      <w:marLeft w:val="0"/>
      <w:marRight w:val="0"/>
      <w:marTop w:val="0"/>
      <w:marBottom w:val="0"/>
      <w:divBdr>
        <w:top w:val="none" w:sz="0" w:space="0" w:color="auto"/>
        <w:left w:val="none" w:sz="0" w:space="0" w:color="auto"/>
        <w:bottom w:val="none" w:sz="0" w:space="0" w:color="auto"/>
        <w:right w:val="none" w:sz="0" w:space="0" w:color="auto"/>
      </w:divBdr>
    </w:div>
    <w:div w:id="422843299">
      <w:bodyDiv w:val="1"/>
      <w:marLeft w:val="0"/>
      <w:marRight w:val="0"/>
      <w:marTop w:val="0"/>
      <w:marBottom w:val="0"/>
      <w:divBdr>
        <w:top w:val="none" w:sz="0" w:space="0" w:color="auto"/>
        <w:left w:val="none" w:sz="0" w:space="0" w:color="auto"/>
        <w:bottom w:val="none" w:sz="0" w:space="0" w:color="auto"/>
        <w:right w:val="none" w:sz="0" w:space="0" w:color="auto"/>
      </w:divBdr>
    </w:div>
    <w:div w:id="437141815">
      <w:bodyDiv w:val="1"/>
      <w:marLeft w:val="0"/>
      <w:marRight w:val="0"/>
      <w:marTop w:val="0"/>
      <w:marBottom w:val="0"/>
      <w:divBdr>
        <w:top w:val="none" w:sz="0" w:space="0" w:color="auto"/>
        <w:left w:val="none" w:sz="0" w:space="0" w:color="auto"/>
        <w:bottom w:val="none" w:sz="0" w:space="0" w:color="auto"/>
        <w:right w:val="none" w:sz="0" w:space="0" w:color="auto"/>
      </w:divBdr>
    </w:div>
    <w:div w:id="455293910">
      <w:bodyDiv w:val="1"/>
      <w:marLeft w:val="0"/>
      <w:marRight w:val="0"/>
      <w:marTop w:val="0"/>
      <w:marBottom w:val="0"/>
      <w:divBdr>
        <w:top w:val="none" w:sz="0" w:space="0" w:color="auto"/>
        <w:left w:val="none" w:sz="0" w:space="0" w:color="auto"/>
        <w:bottom w:val="none" w:sz="0" w:space="0" w:color="auto"/>
        <w:right w:val="none" w:sz="0" w:space="0" w:color="auto"/>
      </w:divBdr>
    </w:div>
    <w:div w:id="468520799">
      <w:bodyDiv w:val="1"/>
      <w:marLeft w:val="0"/>
      <w:marRight w:val="0"/>
      <w:marTop w:val="0"/>
      <w:marBottom w:val="0"/>
      <w:divBdr>
        <w:top w:val="none" w:sz="0" w:space="0" w:color="auto"/>
        <w:left w:val="none" w:sz="0" w:space="0" w:color="auto"/>
        <w:bottom w:val="none" w:sz="0" w:space="0" w:color="auto"/>
        <w:right w:val="none" w:sz="0" w:space="0" w:color="auto"/>
      </w:divBdr>
    </w:div>
    <w:div w:id="477187333">
      <w:bodyDiv w:val="1"/>
      <w:marLeft w:val="0"/>
      <w:marRight w:val="0"/>
      <w:marTop w:val="0"/>
      <w:marBottom w:val="0"/>
      <w:divBdr>
        <w:top w:val="none" w:sz="0" w:space="0" w:color="auto"/>
        <w:left w:val="none" w:sz="0" w:space="0" w:color="auto"/>
        <w:bottom w:val="none" w:sz="0" w:space="0" w:color="auto"/>
        <w:right w:val="none" w:sz="0" w:space="0" w:color="auto"/>
      </w:divBdr>
    </w:div>
    <w:div w:id="493450966">
      <w:bodyDiv w:val="1"/>
      <w:marLeft w:val="0"/>
      <w:marRight w:val="0"/>
      <w:marTop w:val="0"/>
      <w:marBottom w:val="0"/>
      <w:divBdr>
        <w:top w:val="none" w:sz="0" w:space="0" w:color="auto"/>
        <w:left w:val="none" w:sz="0" w:space="0" w:color="auto"/>
        <w:bottom w:val="none" w:sz="0" w:space="0" w:color="auto"/>
        <w:right w:val="none" w:sz="0" w:space="0" w:color="auto"/>
      </w:divBdr>
    </w:div>
    <w:div w:id="517237295">
      <w:bodyDiv w:val="1"/>
      <w:marLeft w:val="0"/>
      <w:marRight w:val="0"/>
      <w:marTop w:val="0"/>
      <w:marBottom w:val="0"/>
      <w:divBdr>
        <w:top w:val="none" w:sz="0" w:space="0" w:color="auto"/>
        <w:left w:val="none" w:sz="0" w:space="0" w:color="auto"/>
        <w:bottom w:val="none" w:sz="0" w:space="0" w:color="auto"/>
        <w:right w:val="none" w:sz="0" w:space="0" w:color="auto"/>
      </w:divBdr>
    </w:div>
    <w:div w:id="544103946">
      <w:bodyDiv w:val="1"/>
      <w:marLeft w:val="0"/>
      <w:marRight w:val="0"/>
      <w:marTop w:val="0"/>
      <w:marBottom w:val="0"/>
      <w:divBdr>
        <w:top w:val="none" w:sz="0" w:space="0" w:color="auto"/>
        <w:left w:val="none" w:sz="0" w:space="0" w:color="auto"/>
        <w:bottom w:val="none" w:sz="0" w:space="0" w:color="auto"/>
        <w:right w:val="none" w:sz="0" w:space="0" w:color="auto"/>
      </w:divBdr>
    </w:div>
    <w:div w:id="563877152">
      <w:bodyDiv w:val="1"/>
      <w:marLeft w:val="0"/>
      <w:marRight w:val="0"/>
      <w:marTop w:val="0"/>
      <w:marBottom w:val="0"/>
      <w:divBdr>
        <w:top w:val="none" w:sz="0" w:space="0" w:color="auto"/>
        <w:left w:val="none" w:sz="0" w:space="0" w:color="auto"/>
        <w:bottom w:val="none" w:sz="0" w:space="0" w:color="auto"/>
        <w:right w:val="none" w:sz="0" w:space="0" w:color="auto"/>
      </w:divBdr>
    </w:div>
    <w:div w:id="570313816">
      <w:bodyDiv w:val="1"/>
      <w:marLeft w:val="0"/>
      <w:marRight w:val="0"/>
      <w:marTop w:val="0"/>
      <w:marBottom w:val="0"/>
      <w:divBdr>
        <w:top w:val="none" w:sz="0" w:space="0" w:color="auto"/>
        <w:left w:val="none" w:sz="0" w:space="0" w:color="auto"/>
        <w:bottom w:val="none" w:sz="0" w:space="0" w:color="auto"/>
        <w:right w:val="none" w:sz="0" w:space="0" w:color="auto"/>
      </w:divBdr>
    </w:div>
    <w:div w:id="575826507">
      <w:bodyDiv w:val="1"/>
      <w:marLeft w:val="0"/>
      <w:marRight w:val="0"/>
      <w:marTop w:val="0"/>
      <w:marBottom w:val="0"/>
      <w:divBdr>
        <w:top w:val="none" w:sz="0" w:space="0" w:color="auto"/>
        <w:left w:val="none" w:sz="0" w:space="0" w:color="auto"/>
        <w:bottom w:val="none" w:sz="0" w:space="0" w:color="auto"/>
        <w:right w:val="none" w:sz="0" w:space="0" w:color="auto"/>
      </w:divBdr>
    </w:div>
    <w:div w:id="581138140">
      <w:bodyDiv w:val="1"/>
      <w:marLeft w:val="0"/>
      <w:marRight w:val="0"/>
      <w:marTop w:val="0"/>
      <w:marBottom w:val="0"/>
      <w:divBdr>
        <w:top w:val="none" w:sz="0" w:space="0" w:color="auto"/>
        <w:left w:val="none" w:sz="0" w:space="0" w:color="auto"/>
        <w:bottom w:val="none" w:sz="0" w:space="0" w:color="auto"/>
        <w:right w:val="none" w:sz="0" w:space="0" w:color="auto"/>
      </w:divBdr>
    </w:div>
    <w:div w:id="597250148">
      <w:bodyDiv w:val="1"/>
      <w:marLeft w:val="0"/>
      <w:marRight w:val="0"/>
      <w:marTop w:val="0"/>
      <w:marBottom w:val="0"/>
      <w:divBdr>
        <w:top w:val="none" w:sz="0" w:space="0" w:color="auto"/>
        <w:left w:val="none" w:sz="0" w:space="0" w:color="auto"/>
        <w:bottom w:val="none" w:sz="0" w:space="0" w:color="auto"/>
        <w:right w:val="none" w:sz="0" w:space="0" w:color="auto"/>
      </w:divBdr>
    </w:div>
    <w:div w:id="607735163">
      <w:bodyDiv w:val="1"/>
      <w:marLeft w:val="0"/>
      <w:marRight w:val="0"/>
      <w:marTop w:val="0"/>
      <w:marBottom w:val="0"/>
      <w:divBdr>
        <w:top w:val="none" w:sz="0" w:space="0" w:color="auto"/>
        <w:left w:val="none" w:sz="0" w:space="0" w:color="auto"/>
        <w:bottom w:val="none" w:sz="0" w:space="0" w:color="auto"/>
        <w:right w:val="none" w:sz="0" w:space="0" w:color="auto"/>
      </w:divBdr>
    </w:div>
    <w:div w:id="613097729">
      <w:bodyDiv w:val="1"/>
      <w:marLeft w:val="0"/>
      <w:marRight w:val="0"/>
      <w:marTop w:val="0"/>
      <w:marBottom w:val="0"/>
      <w:divBdr>
        <w:top w:val="none" w:sz="0" w:space="0" w:color="auto"/>
        <w:left w:val="none" w:sz="0" w:space="0" w:color="auto"/>
        <w:bottom w:val="none" w:sz="0" w:space="0" w:color="auto"/>
        <w:right w:val="none" w:sz="0" w:space="0" w:color="auto"/>
      </w:divBdr>
    </w:div>
    <w:div w:id="639460232">
      <w:bodyDiv w:val="1"/>
      <w:marLeft w:val="0"/>
      <w:marRight w:val="0"/>
      <w:marTop w:val="0"/>
      <w:marBottom w:val="0"/>
      <w:divBdr>
        <w:top w:val="none" w:sz="0" w:space="0" w:color="auto"/>
        <w:left w:val="none" w:sz="0" w:space="0" w:color="auto"/>
        <w:bottom w:val="none" w:sz="0" w:space="0" w:color="auto"/>
        <w:right w:val="none" w:sz="0" w:space="0" w:color="auto"/>
      </w:divBdr>
    </w:div>
    <w:div w:id="647326375">
      <w:bodyDiv w:val="1"/>
      <w:marLeft w:val="0"/>
      <w:marRight w:val="0"/>
      <w:marTop w:val="0"/>
      <w:marBottom w:val="0"/>
      <w:divBdr>
        <w:top w:val="none" w:sz="0" w:space="0" w:color="auto"/>
        <w:left w:val="none" w:sz="0" w:space="0" w:color="auto"/>
        <w:bottom w:val="none" w:sz="0" w:space="0" w:color="auto"/>
        <w:right w:val="none" w:sz="0" w:space="0" w:color="auto"/>
      </w:divBdr>
      <w:divsChild>
        <w:div w:id="12196534">
          <w:marLeft w:val="1080"/>
          <w:marRight w:val="0"/>
          <w:marTop w:val="200"/>
          <w:marBottom w:val="0"/>
          <w:divBdr>
            <w:top w:val="none" w:sz="0" w:space="0" w:color="auto"/>
            <w:left w:val="none" w:sz="0" w:space="0" w:color="auto"/>
            <w:bottom w:val="none" w:sz="0" w:space="0" w:color="auto"/>
            <w:right w:val="none" w:sz="0" w:space="0" w:color="auto"/>
          </w:divBdr>
        </w:div>
        <w:div w:id="122888208">
          <w:marLeft w:val="1080"/>
          <w:marRight w:val="0"/>
          <w:marTop w:val="200"/>
          <w:marBottom w:val="0"/>
          <w:divBdr>
            <w:top w:val="none" w:sz="0" w:space="0" w:color="auto"/>
            <w:left w:val="none" w:sz="0" w:space="0" w:color="auto"/>
            <w:bottom w:val="none" w:sz="0" w:space="0" w:color="auto"/>
            <w:right w:val="none" w:sz="0" w:space="0" w:color="auto"/>
          </w:divBdr>
        </w:div>
        <w:div w:id="194586606">
          <w:marLeft w:val="1080"/>
          <w:marRight w:val="0"/>
          <w:marTop w:val="200"/>
          <w:marBottom w:val="0"/>
          <w:divBdr>
            <w:top w:val="none" w:sz="0" w:space="0" w:color="auto"/>
            <w:left w:val="none" w:sz="0" w:space="0" w:color="auto"/>
            <w:bottom w:val="none" w:sz="0" w:space="0" w:color="auto"/>
            <w:right w:val="none" w:sz="0" w:space="0" w:color="auto"/>
          </w:divBdr>
        </w:div>
        <w:div w:id="1504469084">
          <w:marLeft w:val="1080"/>
          <w:marRight w:val="0"/>
          <w:marTop w:val="200"/>
          <w:marBottom w:val="0"/>
          <w:divBdr>
            <w:top w:val="none" w:sz="0" w:space="0" w:color="auto"/>
            <w:left w:val="none" w:sz="0" w:space="0" w:color="auto"/>
            <w:bottom w:val="none" w:sz="0" w:space="0" w:color="auto"/>
            <w:right w:val="none" w:sz="0" w:space="0" w:color="auto"/>
          </w:divBdr>
        </w:div>
        <w:div w:id="1549802763">
          <w:marLeft w:val="1080"/>
          <w:marRight w:val="0"/>
          <w:marTop w:val="200"/>
          <w:marBottom w:val="0"/>
          <w:divBdr>
            <w:top w:val="none" w:sz="0" w:space="0" w:color="auto"/>
            <w:left w:val="none" w:sz="0" w:space="0" w:color="auto"/>
            <w:bottom w:val="none" w:sz="0" w:space="0" w:color="auto"/>
            <w:right w:val="none" w:sz="0" w:space="0" w:color="auto"/>
          </w:divBdr>
        </w:div>
        <w:div w:id="1716615101">
          <w:marLeft w:val="1080"/>
          <w:marRight w:val="0"/>
          <w:marTop w:val="200"/>
          <w:marBottom w:val="0"/>
          <w:divBdr>
            <w:top w:val="none" w:sz="0" w:space="0" w:color="auto"/>
            <w:left w:val="none" w:sz="0" w:space="0" w:color="auto"/>
            <w:bottom w:val="none" w:sz="0" w:space="0" w:color="auto"/>
            <w:right w:val="none" w:sz="0" w:space="0" w:color="auto"/>
          </w:divBdr>
        </w:div>
      </w:divsChild>
    </w:div>
    <w:div w:id="653994191">
      <w:bodyDiv w:val="1"/>
      <w:marLeft w:val="0"/>
      <w:marRight w:val="0"/>
      <w:marTop w:val="0"/>
      <w:marBottom w:val="0"/>
      <w:divBdr>
        <w:top w:val="none" w:sz="0" w:space="0" w:color="auto"/>
        <w:left w:val="none" w:sz="0" w:space="0" w:color="auto"/>
        <w:bottom w:val="none" w:sz="0" w:space="0" w:color="auto"/>
        <w:right w:val="none" w:sz="0" w:space="0" w:color="auto"/>
      </w:divBdr>
    </w:div>
    <w:div w:id="681594297">
      <w:bodyDiv w:val="1"/>
      <w:marLeft w:val="0"/>
      <w:marRight w:val="0"/>
      <w:marTop w:val="0"/>
      <w:marBottom w:val="0"/>
      <w:divBdr>
        <w:top w:val="none" w:sz="0" w:space="0" w:color="auto"/>
        <w:left w:val="none" w:sz="0" w:space="0" w:color="auto"/>
        <w:bottom w:val="none" w:sz="0" w:space="0" w:color="auto"/>
        <w:right w:val="none" w:sz="0" w:space="0" w:color="auto"/>
      </w:divBdr>
    </w:div>
    <w:div w:id="703794813">
      <w:bodyDiv w:val="1"/>
      <w:marLeft w:val="0"/>
      <w:marRight w:val="0"/>
      <w:marTop w:val="0"/>
      <w:marBottom w:val="0"/>
      <w:divBdr>
        <w:top w:val="none" w:sz="0" w:space="0" w:color="auto"/>
        <w:left w:val="none" w:sz="0" w:space="0" w:color="auto"/>
        <w:bottom w:val="none" w:sz="0" w:space="0" w:color="auto"/>
        <w:right w:val="none" w:sz="0" w:space="0" w:color="auto"/>
      </w:divBdr>
      <w:divsChild>
        <w:div w:id="61176610">
          <w:marLeft w:val="446"/>
          <w:marRight w:val="0"/>
          <w:marTop w:val="0"/>
          <w:marBottom w:val="240"/>
          <w:divBdr>
            <w:top w:val="none" w:sz="0" w:space="0" w:color="auto"/>
            <w:left w:val="none" w:sz="0" w:space="0" w:color="auto"/>
            <w:bottom w:val="none" w:sz="0" w:space="0" w:color="auto"/>
            <w:right w:val="none" w:sz="0" w:space="0" w:color="auto"/>
          </w:divBdr>
        </w:div>
        <w:div w:id="246618994">
          <w:marLeft w:val="446"/>
          <w:marRight w:val="0"/>
          <w:marTop w:val="0"/>
          <w:marBottom w:val="240"/>
          <w:divBdr>
            <w:top w:val="none" w:sz="0" w:space="0" w:color="auto"/>
            <w:left w:val="none" w:sz="0" w:space="0" w:color="auto"/>
            <w:bottom w:val="none" w:sz="0" w:space="0" w:color="auto"/>
            <w:right w:val="none" w:sz="0" w:space="0" w:color="auto"/>
          </w:divBdr>
        </w:div>
        <w:div w:id="426004632">
          <w:marLeft w:val="446"/>
          <w:marRight w:val="0"/>
          <w:marTop w:val="0"/>
          <w:marBottom w:val="240"/>
          <w:divBdr>
            <w:top w:val="none" w:sz="0" w:space="0" w:color="auto"/>
            <w:left w:val="none" w:sz="0" w:space="0" w:color="auto"/>
            <w:bottom w:val="none" w:sz="0" w:space="0" w:color="auto"/>
            <w:right w:val="none" w:sz="0" w:space="0" w:color="auto"/>
          </w:divBdr>
        </w:div>
        <w:div w:id="479268783">
          <w:marLeft w:val="446"/>
          <w:marRight w:val="0"/>
          <w:marTop w:val="0"/>
          <w:marBottom w:val="240"/>
          <w:divBdr>
            <w:top w:val="none" w:sz="0" w:space="0" w:color="auto"/>
            <w:left w:val="none" w:sz="0" w:space="0" w:color="auto"/>
            <w:bottom w:val="none" w:sz="0" w:space="0" w:color="auto"/>
            <w:right w:val="none" w:sz="0" w:space="0" w:color="auto"/>
          </w:divBdr>
        </w:div>
        <w:div w:id="796220384">
          <w:marLeft w:val="446"/>
          <w:marRight w:val="0"/>
          <w:marTop w:val="0"/>
          <w:marBottom w:val="240"/>
          <w:divBdr>
            <w:top w:val="none" w:sz="0" w:space="0" w:color="auto"/>
            <w:left w:val="none" w:sz="0" w:space="0" w:color="auto"/>
            <w:bottom w:val="none" w:sz="0" w:space="0" w:color="auto"/>
            <w:right w:val="none" w:sz="0" w:space="0" w:color="auto"/>
          </w:divBdr>
        </w:div>
        <w:div w:id="897327666">
          <w:marLeft w:val="446"/>
          <w:marRight w:val="0"/>
          <w:marTop w:val="0"/>
          <w:marBottom w:val="240"/>
          <w:divBdr>
            <w:top w:val="none" w:sz="0" w:space="0" w:color="auto"/>
            <w:left w:val="none" w:sz="0" w:space="0" w:color="auto"/>
            <w:bottom w:val="none" w:sz="0" w:space="0" w:color="auto"/>
            <w:right w:val="none" w:sz="0" w:space="0" w:color="auto"/>
          </w:divBdr>
        </w:div>
        <w:div w:id="1645163104">
          <w:marLeft w:val="446"/>
          <w:marRight w:val="0"/>
          <w:marTop w:val="0"/>
          <w:marBottom w:val="240"/>
          <w:divBdr>
            <w:top w:val="none" w:sz="0" w:space="0" w:color="auto"/>
            <w:left w:val="none" w:sz="0" w:space="0" w:color="auto"/>
            <w:bottom w:val="none" w:sz="0" w:space="0" w:color="auto"/>
            <w:right w:val="none" w:sz="0" w:space="0" w:color="auto"/>
          </w:divBdr>
        </w:div>
        <w:div w:id="1892765642">
          <w:marLeft w:val="446"/>
          <w:marRight w:val="0"/>
          <w:marTop w:val="0"/>
          <w:marBottom w:val="240"/>
          <w:divBdr>
            <w:top w:val="none" w:sz="0" w:space="0" w:color="auto"/>
            <w:left w:val="none" w:sz="0" w:space="0" w:color="auto"/>
            <w:bottom w:val="none" w:sz="0" w:space="0" w:color="auto"/>
            <w:right w:val="none" w:sz="0" w:space="0" w:color="auto"/>
          </w:divBdr>
        </w:div>
        <w:div w:id="1996756673">
          <w:marLeft w:val="446"/>
          <w:marRight w:val="0"/>
          <w:marTop w:val="0"/>
          <w:marBottom w:val="240"/>
          <w:divBdr>
            <w:top w:val="none" w:sz="0" w:space="0" w:color="auto"/>
            <w:left w:val="none" w:sz="0" w:space="0" w:color="auto"/>
            <w:bottom w:val="none" w:sz="0" w:space="0" w:color="auto"/>
            <w:right w:val="none" w:sz="0" w:space="0" w:color="auto"/>
          </w:divBdr>
        </w:div>
      </w:divsChild>
    </w:div>
    <w:div w:id="709115574">
      <w:bodyDiv w:val="1"/>
      <w:marLeft w:val="0"/>
      <w:marRight w:val="0"/>
      <w:marTop w:val="0"/>
      <w:marBottom w:val="0"/>
      <w:divBdr>
        <w:top w:val="none" w:sz="0" w:space="0" w:color="auto"/>
        <w:left w:val="none" w:sz="0" w:space="0" w:color="auto"/>
        <w:bottom w:val="none" w:sz="0" w:space="0" w:color="auto"/>
        <w:right w:val="none" w:sz="0" w:space="0" w:color="auto"/>
      </w:divBdr>
    </w:div>
    <w:div w:id="710541896">
      <w:bodyDiv w:val="1"/>
      <w:marLeft w:val="0"/>
      <w:marRight w:val="0"/>
      <w:marTop w:val="0"/>
      <w:marBottom w:val="0"/>
      <w:divBdr>
        <w:top w:val="none" w:sz="0" w:space="0" w:color="auto"/>
        <w:left w:val="none" w:sz="0" w:space="0" w:color="auto"/>
        <w:bottom w:val="none" w:sz="0" w:space="0" w:color="auto"/>
        <w:right w:val="none" w:sz="0" w:space="0" w:color="auto"/>
      </w:divBdr>
    </w:div>
    <w:div w:id="717245333">
      <w:bodyDiv w:val="1"/>
      <w:marLeft w:val="0"/>
      <w:marRight w:val="0"/>
      <w:marTop w:val="0"/>
      <w:marBottom w:val="0"/>
      <w:divBdr>
        <w:top w:val="none" w:sz="0" w:space="0" w:color="auto"/>
        <w:left w:val="none" w:sz="0" w:space="0" w:color="auto"/>
        <w:bottom w:val="none" w:sz="0" w:space="0" w:color="auto"/>
        <w:right w:val="none" w:sz="0" w:space="0" w:color="auto"/>
      </w:divBdr>
    </w:div>
    <w:div w:id="731807682">
      <w:bodyDiv w:val="1"/>
      <w:marLeft w:val="0"/>
      <w:marRight w:val="0"/>
      <w:marTop w:val="0"/>
      <w:marBottom w:val="0"/>
      <w:divBdr>
        <w:top w:val="none" w:sz="0" w:space="0" w:color="auto"/>
        <w:left w:val="none" w:sz="0" w:space="0" w:color="auto"/>
        <w:bottom w:val="none" w:sz="0" w:space="0" w:color="auto"/>
        <w:right w:val="none" w:sz="0" w:space="0" w:color="auto"/>
      </w:divBdr>
    </w:div>
    <w:div w:id="746152780">
      <w:bodyDiv w:val="1"/>
      <w:marLeft w:val="0"/>
      <w:marRight w:val="0"/>
      <w:marTop w:val="0"/>
      <w:marBottom w:val="0"/>
      <w:divBdr>
        <w:top w:val="none" w:sz="0" w:space="0" w:color="auto"/>
        <w:left w:val="none" w:sz="0" w:space="0" w:color="auto"/>
        <w:bottom w:val="none" w:sz="0" w:space="0" w:color="auto"/>
        <w:right w:val="none" w:sz="0" w:space="0" w:color="auto"/>
      </w:divBdr>
      <w:divsChild>
        <w:div w:id="587277396">
          <w:marLeft w:val="360"/>
          <w:marRight w:val="0"/>
          <w:marTop w:val="200"/>
          <w:marBottom w:val="0"/>
          <w:divBdr>
            <w:top w:val="none" w:sz="0" w:space="0" w:color="auto"/>
            <w:left w:val="none" w:sz="0" w:space="0" w:color="auto"/>
            <w:bottom w:val="none" w:sz="0" w:space="0" w:color="auto"/>
            <w:right w:val="none" w:sz="0" w:space="0" w:color="auto"/>
          </w:divBdr>
        </w:div>
      </w:divsChild>
    </w:div>
    <w:div w:id="752580853">
      <w:bodyDiv w:val="1"/>
      <w:marLeft w:val="0"/>
      <w:marRight w:val="0"/>
      <w:marTop w:val="0"/>
      <w:marBottom w:val="0"/>
      <w:divBdr>
        <w:top w:val="none" w:sz="0" w:space="0" w:color="auto"/>
        <w:left w:val="none" w:sz="0" w:space="0" w:color="auto"/>
        <w:bottom w:val="none" w:sz="0" w:space="0" w:color="auto"/>
        <w:right w:val="none" w:sz="0" w:space="0" w:color="auto"/>
      </w:divBdr>
    </w:div>
    <w:div w:id="774323211">
      <w:bodyDiv w:val="1"/>
      <w:marLeft w:val="0"/>
      <w:marRight w:val="0"/>
      <w:marTop w:val="0"/>
      <w:marBottom w:val="0"/>
      <w:divBdr>
        <w:top w:val="none" w:sz="0" w:space="0" w:color="auto"/>
        <w:left w:val="none" w:sz="0" w:space="0" w:color="auto"/>
        <w:bottom w:val="none" w:sz="0" w:space="0" w:color="auto"/>
        <w:right w:val="none" w:sz="0" w:space="0" w:color="auto"/>
      </w:divBdr>
    </w:div>
    <w:div w:id="820930919">
      <w:bodyDiv w:val="1"/>
      <w:marLeft w:val="0"/>
      <w:marRight w:val="0"/>
      <w:marTop w:val="0"/>
      <w:marBottom w:val="0"/>
      <w:divBdr>
        <w:top w:val="none" w:sz="0" w:space="0" w:color="auto"/>
        <w:left w:val="none" w:sz="0" w:space="0" w:color="auto"/>
        <w:bottom w:val="none" w:sz="0" w:space="0" w:color="auto"/>
        <w:right w:val="none" w:sz="0" w:space="0" w:color="auto"/>
      </w:divBdr>
    </w:div>
    <w:div w:id="826435891">
      <w:bodyDiv w:val="1"/>
      <w:marLeft w:val="0"/>
      <w:marRight w:val="0"/>
      <w:marTop w:val="0"/>
      <w:marBottom w:val="0"/>
      <w:divBdr>
        <w:top w:val="none" w:sz="0" w:space="0" w:color="auto"/>
        <w:left w:val="none" w:sz="0" w:space="0" w:color="auto"/>
        <w:bottom w:val="none" w:sz="0" w:space="0" w:color="auto"/>
        <w:right w:val="none" w:sz="0" w:space="0" w:color="auto"/>
      </w:divBdr>
    </w:div>
    <w:div w:id="849416852">
      <w:bodyDiv w:val="1"/>
      <w:marLeft w:val="0"/>
      <w:marRight w:val="0"/>
      <w:marTop w:val="0"/>
      <w:marBottom w:val="0"/>
      <w:divBdr>
        <w:top w:val="none" w:sz="0" w:space="0" w:color="auto"/>
        <w:left w:val="none" w:sz="0" w:space="0" w:color="auto"/>
        <w:bottom w:val="none" w:sz="0" w:space="0" w:color="auto"/>
        <w:right w:val="none" w:sz="0" w:space="0" w:color="auto"/>
      </w:divBdr>
      <w:divsChild>
        <w:div w:id="378015768">
          <w:marLeft w:val="547"/>
          <w:marRight w:val="0"/>
          <w:marTop w:val="120"/>
          <w:marBottom w:val="120"/>
          <w:divBdr>
            <w:top w:val="none" w:sz="0" w:space="0" w:color="auto"/>
            <w:left w:val="none" w:sz="0" w:space="0" w:color="auto"/>
            <w:bottom w:val="none" w:sz="0" w:space="0" w:color="auto"/>
            <w:right w:val="none" w:sz="0" w:space="0" w:color="auto"/>
          </w:divBdr>
        </w:div>
        <w:div w:id="805587580">
          <w:marLeft w:val="547"/>
          <w:marRight w:val="0"/>
          <w:marTop w:val="120"/>
          <w:marBottom w:val="120"/>
          <w:divBdr>
            <w:top w:val="none" w:sz="0" w:space="0" w:color="auto"/>
            <w:left w:val="none" w:sz="0" w:space="0" w:color="auto"/>
            <w:bottom w:val="none" w:sz="0" w:space="0" w:color="auto"/>
            <w:right w:val="none" w:sz="0" w:space="0" w:color="auto"/>
          </w:divBdr>
        </w:div>
        <w:div w:id="858157335">
          <w:marLeft w:val="547"/>
          <w:marRight w:val="0"/>
          <w:marTop w:val="120"/>
          <w:marBottom w:val="120"/>
          <w:divBdr>
            <w:top w:val="none" w:sz="0" w:space="0" w:color="auto"/>
            <w:left w:val="none" w:sz="0" w:space="0" w:color="auto"/>
            <w:bottom w:val="none" w:sz="0" w:space="0" w:color="auto"/>
            <w:right w:val="none" w:sz="0" w:space="0" w:color="auto"/>
          </w:divBdr>
        </w:div>
        <w:div w:id="908081555">
          <w:marLeft w:val="547"/>
          <w:marRight w:val="0"/>
          <w:marTop w:val="120"/>
          <w:marBottom w:val="120"/>
          <w:divBdr>
            <w:top w:val="none" w:sz="0" w:space="0" w:color="auto"/>
            <w:left w:val="none" w:sz="0" w:space="0" w:color="auto"/>
            <w:bottom w:val="none" w:sz="0" w:space="0" w:color="auto"/>
            <w:right w:val="none" w:sz="0" w:space="0" w:color="auto"/>
          </w:divBdr>
        </w:div>
        <w:div w:id="1654214464">
          <w:marLeft w:val="547"/>
          <w:marRight w:val="0"/>
          <w:marTop w:val="120"/>
          <w:marBottom w:val="120"/>
          <w:divBdr>
            <w:top w:val="none" w:sz="0" w:space="0" w:color="auto"/>
            <w:left w:val="none" w:sz="0" w:space="0" w:color="auto"/>
            <w:bottom w:val="none" w:sz="0" w:space="0" w:color="auto"/>
            <w:right w:val="none" w:sz="0" w:space="0" w:color="auto"/>
          </w:divBdr>
        </w:div>
      </w:divsChild>
    </w:div>
    <w:div w:id="877939498">
      <w:bodyDiv w:val="1"/>
      <w:marLeft w:val="0"/>
      <w:marRight w:val="0"/>
      <w:marTop w:val="0"/>
      <w:marBottom w:val="0"/>
      <w:divBdr>
        <w:top w:val="none" w:sz="0" w:space="0" w:color="auto"/>
        <w:left w:val="none" w:sz="0" w:space="0" w:color="auto"/>
        <w:bottom w:val="none" w:sz="0" w:space="0" w:color="auto"/>
        <w:right w:val="none" w:sz="0" w:space="0" w:color="auto"/>
      </w:divBdr>
    </w:div>
    <w:div w:id="886140619">
      <w:bodyDiv w:val="1"/>
      <w:marLeft w:val="0"/>
      <w:marRight w:val="0"/>
      <w:marTop w:val="0"/>
      <w:marBottom w:val="0"/>
      <w:divBdr>
        <w:top w:val="none" w:sz="0" w:space="0" w:color="auto"/>
        <w:left w:val="none" w:sz="0" w:space="0" w:color="auto"/>
        <w:bottom w:val="none" w:sz="0" w:space="0" w:color="auto"/>
        <w:right w:val="none" w:sz="0" w:space="0" w:color="auto"/>
      </w:divBdr>
    </w:div>
    <w:div w:id="887573975">
      <w:bodyDiv w:val="1"/>
      <w:marLeft w:val="0"/>
      <w:marRight w:val="0"/>
      <w:marTop w:val="0"/>
      <w:marBottom w:val="0"/>
      <w:divBdr>
        <w:top w:val="none" w:sz="0" w:space="0" w:color="auto"/>
        <w:left w:val="none" w:sz="0" w:space="0" w:color="auto"/>
        <w:bottom w:val="none" w:sz="0" w:space="0" w:color="auto"/>
        <w:right w:val="none" w:sz="0" w:space="0" w:color="auto"/>
      </w:divBdr>
    </w:div>
    <w:div w:id="892085207">
      <w:bodyDiv w:val="1"/>
      <w:marLeft w:val="0"/>
      <w:marRight w:val="0"/>
      <w:marTop w:val="0"/>
      <w:marBottom w:val="0"/>
      <w:divBdr>
        <w:top w:val="none" w:sz="0" w:space="0" w:color="auto"/>
        <w:left w:val="none" w:sz="0" w:space="0" w:color="auto"/>
        <w:bottom w:val="none" w:sz="0" w:space="0" w:color="auto"/>
        <w:right w:val="none" w:sz="0" w:space="0" w:color="auto"/>
      </w:divBdr>
    </w:div>
    <w:div w:id="904340666">
      <w:bodyDiv w:val="1"/>
      <w:marLeft w:val="0"/>
      <w:marRight w:val="0"/>
      <w:marTop w:val="0"/>
      <w:marBottom w:val="0"/>
      <w:divBdr>
        <w:top w:val="none" w:sz="0" w:space="0" w:color="auto"/>
        <w:left w:val="none" w:sz="0" w:space="0" w:color="auto"/>
        <w:bottom w:val="none" w:sz="0" w:space="0" w:color="auto"/>
        <w:right w:val="none" w:sz="0" w:space="0" w:color="auto"/>
      </w:divBdr>
    </w:div>
    <w:div w:id="904487904">
      <w:bodyDiv w:val="1"/>
      <w:marLeft w:val="0"/>
      <w:marRight w:val="0"/>
      <w:marTop w:val="0"/>
      <w:marBottom w:val="0"/>
      <w:divBdr>
        <w:top w:val="none" w:sz="0" w:space="0" w:color="auto"/>
        <w:left w:val="none" w:sz="0" w:space="0" w:color="auto"/>
        <w:bottom w:val="none" w:sz="0" w:space="0" w:color="auto"/>
        <w:right w:val="none" w:sz="0" w:space="0" w:color="auto"/>
      </w:divBdr>
    </w:div>
    <w:div w:id="907958493">
      <w:bodyDiv w:val="1"/>
      <w:marLeft w:val="0"/>
      <w:marRight w:val="0"/>
      <w:marTop w:val="0"/>
      <w:marBottom w:val="0"/>
      <w:divBdr>
        <w:top w:val="none" w:sz="0" w:space="0" w:color="auto"/>
        <w:left w:val="none" w:sz="0" w:space="0" w:color="auto"/>
        <w:bottom w:val="none" w:sz="0" w:space="0" w:color="auto"/>
        <w:right w:val="none" w:sz="0" w:space="0" w:color="auto"/>
      </w:divBdr>
    </w:div>
    <w:div w:id="944312369">
      <w:bodyDiv w:val="1"/>
      <w:marLeft w:val="0"/>
      <w:marRight w:val="0"/>
      <w:marTop w:val="0"/>
      <w:marBottom w:val="0"/>
      <w:divBdr>
        <w:top w:val="none" w:sz="0" w:space="0" w:color="auto"/>
        <w:left w:val="none" w:sz="0" w:space="0" w:color="auto"/>
        <w:bottom w:val="none" w:sz="0" w:space="0" w:color="auto"/>
        <w:right w:val="none" w:sz="0" w:space="0" w:color="auto"/>
      </w:divBdr>
    </w:div>
    <w:div w:id="958075144">
      <w:bodyDiv w:val="1"/>
      <w:marLeft w:val="0"/>
      <w:marRight w:val="0"/>
      <w:marTop w:val="0"/>
      <w:marBottom w:val="0"/>
      <w:divBdr>
        <w:top w:val="none" w:sz="0" w:space="0" w:color="auto"/>
        <w:left w:val="none" w:sz="0" w:space="0" w:color="auto"/>
        <w:bottom w:val="none" w:sz="0" w:space="0" w:color="auto"/>
        <w:right w:val="none" w:sz="0" w:space="0" w:color="auto"/>
      </w:divBdr>
    </w:div>
    <w:div w:id="958878885">
      <w:bodyDiv w:val="1"/>
      <w:marLeft w:val="0"/>
      <w:marRight w:val="0"/>
      <w:marTop w:val="0"/>
      <w:marBottom w:val="0"/>
      <w:divBdr>
        <w:top w:val="none" w:sz="0" w:space="0" w:color="auto"/>
        <w:left w:val="none" w:sz="0" w:space="0" w:color="auto"/>
        <w:bottom w:val="none" w:sz="0" w:space="0" w:color="auto"/>
        <w:right w:val="none" w:sz="0" w:space="0" w:color="auto"/>
      </w:divBdr>
    </w:div>
    <w:div w:id="978075390">
      <w:bodyDiv w:val="1"/>
      <w:marLeft w:val="0"/>
      <w:marRight w:val="0"/>
      <w:marTop w:val="0"/>
      <w:marBottom w:val="0"/>
      <w:divBdr>
        <w:top w:val="none" w:sz="0" w:space="0" w:color="auto"/>
        <w:left w:val="none" w:sz="0" w:space="0" w:color="auto"/>
        <w:bottom w:val="none" w:sz="0" w:space="0" w:color="auto"/>
        <w:right w:val="none" w:sz="0" w:space="0" w:color="auto"/>
      </w:divBdr>
      <w:divsChild>
        <w:div w:id="254021790">
          <w:marLeft w:val="720"/>
          <w:marRight w:val="0"/>
          <w:marTop w:val="200"/>
          <w:marBottom w:val="0"/>
          <w:divBdr>
            <w:top w:val="none" w:sz="0" w:space="0" w:color="auto"/>
            <w:left w:val="none" w:sz="0" w:space="0" w:color="auto"/>
            <w:bottom w:val="none" w:sz="0" w:space="0" w:color="auto"/>
            <w:right w:val="none" w:sz="0" w:space="0" w:color="auto"/>
          </w:divBdr>
        </w:div>
        <w:div w:id="605424532">
          <w:marLeft w:val="720"/>
          <w:marRight w:val="0"/>
          <w:marTop w:val="200"/>
          <w:marBottom w:val="0"/>
          <w:divBdr>
            <w:top w:val="none" w:sz="0" w:space="0" w:color="auto"/>
            <w:left w:val="none" w:sz="0" w:space="0" w:color="auto"/>
            <w:bottom w:val="none" w:sz="0" w:space="0" w:color="auto"/>
            <w:right w:val="none" w:sz="0" w:space="0" w:color="auto"/>
          </w:divBdr>
        </w:div>
        <w:div w:id="651636410">
          <w:marLeft w:val="720"/>
          <w:marRight w:val="0"/>
          <w:marTop w:val="200"/>
          <w:marBottom w:val="0"/>
          <w:divBdr>
            <w:top w:val="none" w:sz="0" w:space="0" w:color="auto"/>
            <w:left w:val="none" w:sz="0" w:space="0" w:color="auto"/>
            <w:bottom w:val="none" w:sz="0" w:space="0" w:color="auto"/>
            <w:right w:val="none" w:sz="0" w:space="0" w:color="auto"/>
          </w:divBdr>
        </w:div>
        <w:div w:id="1589775932">
          <w:marLeft w:val="720"/>
          <w:marRight w:val="0"/>
          <w:marTop w:val="200"/>
          <w:marBottom w:val="0"/>
          <w:divBdr>
            <w:top w:val="none" w:sz="0" w:space="0" w:color="auto"/>
            <w:left w:val="none" w:sz="0" w:space="0" w:color="auto"/>
            <w:bottom w:val="none" w:sz="0" w:space="0" w:color="auto"/>
            <w:right w:val="none" w:sz="0" w:space="0" w:color="auto"/>
          </w:divBdr>
        </w:div>
      </w:divsChild>
    </w:div>
    <w:div w:id="1004017299">
      <w:bodyDiv w:val="1"/>
      <w:marLeft w:val="0"/>
      <w:marRight w:val="0"/>
      <w:marTop w:val="0"/>
      <w:marBottom w:val="0"/>
      <w:divBdr>
        <w:top w:val="none" w:sz="0" w:space="0" w:color="auto"/>
        <w:left w:val="none" w:sz="0" w:space="0" w:color="auto"/>
        <w:bottom w:val="none" w:sz="0" w:space="0" w:color="auto"/>
        <w:right w:val="none" w:sz="0" w:space="0" w:color="auto"/>
      </w:divBdr>
    </w:div>
    <w:div w:id="1021515679">
      <w:bodyDiv w:val="1"/>
      <w:marLeft w:val="0"/>
      <w:marRight w:val="0"/>
      <w:marTop w:val="0"/>
      <w:marBottom w:val="0"/>
      <w:divBdr>
        <w:top w:val="none" w:sz="0" w:space="0" w:color="auto"/>
        <w:left w:val="none" w:sz="0" w:space="0" w:color="auto"/>
        <w:bottom w:val="none" w:sz="0" w:space="0" w:color="auto"/>
        <w:right w:val="none" w:sz="0" w:space="0" w:color="auto"/>
      </w:divBdr>
    </w:div>
    <w:div w:id="1024327862">
      <w:bodyDiv w:val="1"/>
      <w:marLeft w:val="0"/>
      <w:marRight w:val="0"/>
      <w:marTop w:val="0"/>
      <w:marBottom w:val="0"/>
      <w:divBdr>
        <w:top w:val="none" w:sz="0" w:space="0" w:color="auto"/>
        <w:left w:val="none" w:sz="0" w:space="0" w:color="auto"/>
        <w:bottom w:val="none" w:sz="0" w:space="0" w:color="auto"/>
        <w:right w:val="none" w:sz="0" w:space="0" w:color="auto"/>
      </w:divBdr>
    </w:div>
    <w:div w:id="1026717791">
      <w:bodyDiv w:val="1"/>
      <w:marLeft w:val="0"/>
      <w:marRight w:val="0"/>
      <w:marTop w:val="0"/>
      <w:marBottom w:val="0"/>
      <w:divBdr>
        <w:top w:val="none" w:sz="0" w:space="0" w:color="auto"/>
        <w:left w:val="none" w:sz="0" w:space="0" w:color="auto"/>
        <w:bottom w:val="none" w:sz="0" w:space="0" w:color="auto"/>
        <w:right w:val="none" w:sz="0" w:space="0" w:color="auto"/>
      </w:divBdr>
    </w:div>
    <w:div w:id="1046224859">
      <w:bodyDiv w:val="1"/>
      <w:marLeft w:val="0"/>
      <w:marRight w:val="0"/>
      <w:marTop w:val="0"/>
      <w:marBottom w:val="0"/>
      <w:divBdr>
        <w:top w:val="none" w:sz="0" w:space="0" w:color="auto"/>
        <w:left w:val="none" w:sz="0" w:space="0" w:color="auto"/>
        <w:bottom w:val="none" w:sz="0" w:space="0" w:color="auto"/>
        <w:right w:val="none" w:sz="0" w:space="0" w:color="auto"/>
      </w:divBdr>
    </w:div>
    <w:div w:id="1053654368">
      <w:bodyDiv w:val="1"/>
      <w:marLeft w:val="0"/>
      <w:marRight w:val="0"/>
      <w:marTop w:val="0"/>
      <w:marBottom w:val="0"/>
      <w:divBdr>
        <w:top w:val="none" w:sz="0" w:space="0" w:color="auto"/>
        <w:left w:val="none" w:sz="0" w:space="0" w:color="auto"/>
        <w:bottom w:val="none" w:sz="0" w:space="0" w:color="auto"/>
        <w:right w:val="none" w:sz="0" w:space="0" w:color="auto"/>
      </w:divBdr>
    </w:div>
    <w:div w:id="1055154673">
      <w:bodyDiv w:val="1"/>
      <w:marLeft w:val="0"/>
      <w:marRight w:val="0"/>
      <w:marTop w:val="0"/>
      <w:marBottom w:val="0"/>
      <w:divBdr>
        <w:top w:val="none" w:sz="0" w:space="0" w:color="auto"/>
        <w:left w:val="none" w:sz="0" w:space="0" w:color="auto"/>
        <w:bottom w:val="none" w:sz="0" w:space="0" w:color="auto"/>
        <w:right w:val="none" w:sz="0" w:space="0" w:color="auto"/>
      </w:divBdr>
    </w:div>
    <w:div w:id="1064640604">
      <w:bodyDiv w:val="1"/>
      <w:marLeft w:val="0"/>
      <w:marRight w:val="0"/>
      <w:marTop w:val="0"/>
      <w:marBottom w:val="0"/>
      <w:divBdr>
        <w:top w:val="none" w:sz="0" w:space="0" w:color="auto"/>
        <w:left w:val="none" w:sz="0" w:space="0" w:color="auto"/>
        <w:bottom w:val="none" w:sz="0" w:space="0" w:color="auto"/>
        <w:right w:val="none" w:sz="0" w:space="0" w:color="auto"/>
      </w:divBdr>
    </w:div>
    <w:div w:id="1085371778">
      <w:bodyDiv w:val="1"/>
      <w:marLeft w:val="0"/>
      <w:marRight w:val="0"/>
      <w:marTop w:val="0"/>
      <w:marBottom w:val="0"/>
      <w:divBdr>
        <w:top w:val="none" w:sz="0" w:space="0" w:color="auto"/>
        <w:left w:val="none" w:sz="0" w:space="0" w:color="auto"/>
        <w:bottom w:val="none" w:sz="0" w:space="0" w:color="auto"/>
        <w:right w:val="none" w:sz="0" w:space="0" w:color="auto"/>
      </w:divBdr>
    </w:div>
    <w:div w:id="1089230923">
      <w:bodyDiv w:val="1"/>
      <w:marLeft w:val="0"/>
      <w:marRight w:val="0"/>
      <w:marTop w:val="0"/>
      <w:marBottom w:val="0"/>
      <w:divBdr>
        <w:top w:val="none" w:sz="0" w:space="0" w:color="auto"/>
        <w:left w:val="none" w:sz="0" w:space="0" w:color="auto"/>
        <w:bottom w:val="none" w:sz="0" w:space="0" w:color="auto"/>
        <w:right w:val="none" w:sz="0" w:space="0" w:color="auto"/>
      </w:divBdr>
    </w:div>
    <w:div w:id="1099791925">
      <w:bodyDiv w:val="1"/>
      <w:marLeft w:val="0"/>
      <w:marRight w:val="0"/>
      <w:marTop w:val="0"/>
      <w:marBottom w:val="0"/>
      <w:divBdr>
        <w:top w:val="none" w:sz="0" w:space="0" w:color="auto"/>
        <w:left w:val="none" w:sz="0" w:space="0" w:color="auto"/>
        <w:bottom w:val="none" w:sz="0" w:space="0" w:color="auto"/>
        <w:right w:val="none" w:sz="0" w:space="0" w:color="auto"/>
      </w:divBdr>
    </w:div>
    <w:div w:id="1116371160">
      <w:bodyDiv w:val="1"/>
      <w:marLeft w:val="0"/>
      <w:marRight w:val="0"/>
      <w:marTop w:val="0"/>
      <w:marBottom w:val="0"/>
      <w:divBdr>
        <w:top w:val="none" w:sz="0" w:space="0" w:color="auto"/>
        <w:left w:val="none" w:sz="0" w:space="0" w:color="auto"/>
        <w:bottom w:val="none" w:sz="0" w:space="0" w:color="auto"/>
        <w:right w:val="none" w:sz="0" w:space="0" w:color="auto"/>
      </w:divBdr>
    </w:div>
    <w:div w:id="1124738359">
      <w:bodyDiv w:val="1"/>
      <w:marLeft w:val="0"/>
      <w:marRight w:val="0"/>
      <w:marTop w:val="0"/>
      <w:marBottom w:val="0"/>
      <w:divBdr>
        <w:top w:val="none" w:sz="0" w:space="0" w:color="auto"/>
        <w:left w:val="none" w:sz="0" w:space="0" w:color="auto"/>
        <w:bottom w:val="none" w:sz="0" w:space="0" w:color="auto"/>
        <w:right w:val="none" w:sz="0" w:space="0" w:color="auto"/>
      </w:divBdr>
    </w:div>
    <w:div w:id="1132790705">
      <w:bodyDiv w:val="1"/>
      <w:marLeft w:val="0"/>
      <w:marRight w:val="0"/>
      <w:marTop w:val="0"/>
      <w:marBottom w:val="0"/>
      <w:divBdr>
        <w:top w:val="none" w:sz="0" w:space="0" w:color="auto"/>
        <w:left w:val="none" w:sz="0" w:space="0" w:color="auto"/>
        <w:bottom w:val="none" w:sz="0" w:space="0" w:color="auto"/>
        <w:right w:val="none" w:sz="0" w:space="0" w:color="auto"/>
      </w:divBdr>
    </w:div>
    <w:div w:id="1138110504">
      <w:bodyDiv w:val="1"/>
      <w:marLeft w:val="0"/>
      <w:marRight w:val="0"/>
      <w:marTop w:val="0"/>
      <w:marBottom w:val="0"/>
      <w:divBdr>
        <w:top w:val="none" w:sz="0" w:space="0" w:color="auto"/>
        <w:left w:val="none" w:sz="0" w:space="0" w:color="auto"/>
        <w:bottom w:val="none" w:sz="0" w:space="0" w:color="auto"/>
        <w:right w:val="none" w:sz="0" w:space="0" w:color="auto"/>
      </w:divBdr>
    </w:div>
    <w:div w:id="1139810946">
      <w:bodyDiv w:val="1"/>
      <w:marLeft w:val="0"/>
      <w:marRight w:val="0"/>
      <w:marTop w:val="0"/>
      <w:marBottom w:val="0"/>
      <w:divBdr>
        <w:top w:val="none" w:sz="0" w:space="0" w:color="auto"/>
        <w:left w:val="none" w:sz="0" w:space="0" w:color="auto"/>
        <w:bottom w:val="none" w:sz="0" w:space="0" w:color="auto"/>
        <w:right w:val="none" w:sz="0" w:space="0" w:color="auto"/>
      </w:divBdr>
    </w:div>
    <w:div w:id="1156729363">
      <w:bodyDiv w:val="1"/>
      <w:marLeft w:val="0"/>
      <w:marRight w:val="0"/>
      <w:marTop w:val="0"/>
      <w:marBottom w:val="0"/>
      <w:divBdr>
        <w:top w:val="none" w:sz="0" w:space="0" w:color="auto"/>
        <w:left w:val="none" w:sz="0" w:space="0" w:color="auto"/>
        <w:bottom w:val="none" w:sz="0" w:space="0" w:color="auto"/>
        <w:right w:val="none" w:sz="0" w:space="0" w:color="auto"/>
      </w:divBdr>
    </w:div>
    <w:div w:id="1163355636">
      <w:bodyDiv w:val="1"/>
      <w:marLeft w:val="0"/>
      <w:marRight w:val="0"/>
      <w:marTop w:val="0"/>
      <w:marBottom w:val="0"/>
      <w:divBdr>
        <w:top w:val="none" w:sz="0" w:space="0" w:color="auto"/>
        <w:left w:val="none" w:sz="0" w:space="0" w:color="auto"/>
        <w:bottom w:val="none" w:sz="0" w:space="0" w:color="auto"/>
        <w:right w:val="none" w:sz="0" w:space="0" w:color="auto"/>
      </w:divBdr>
    </w:div>
    <w:div w:id="1173762159">
      <w:bodyDiv w:val="1"/>
      <w:marLeft w:val="0"/>
      <w:marRight w:val="0"/>
      <w:marTop w:val="0"/>
      <w:marBottom w:val="0"/>
      <w:divBdr>
        <w:top w:val="none" w:sz="0" w:space="0" w:color="auto"/>
        <w:left w:val="none" w:sz="0" w:space="0" w:color="auto"/>
        <w:bottom w:val="none" w:sz="0" w:space="0" w:color="auto"/>
        <w:right w:val="none" w:sz="0" w:space="0" w:color="auto"/>
      </w:divBdr>
    </w:div>
    <w:div w:id="1203976373">
      <w:bodyDiv w:val="1"/>
      <w:marLeft w:val="0"/>
      <w:marRight w:val="0"/>
      <w:marTop w:val="0"/>
      <w:marBottom w:val="0"/>
      <w:divBdr>
        <w:top w:val="none" w:sz="0" w:space="0" w:color="auto"/>
        <w:left w:val="none" w:sz="0" w:space="0" w:color="auto"/>
        <w:bottom w:val="none" w:sz="0" w:space="0" w:color="auto"/>
        <w:right w:val="none" w:sz="0" w:space="0" w:color="auto"/>
      </w:divBdr>
    </w:div>
    <w:div w:id="1219324488">
      <w:bodyDiv w:val="1"/>
      <w:marLeft w:val="0"/>
      <w:marRight w:val="0"/>
      <w:marTop w:val="0"/>
      <w:marBottom w:val="0"/>
      <w:divBdr>
        <w:top w:val="none" w:sz="0" w:space="0" w:color="auto"/>
        <w:left w:val="none" w:sz="0" w:space="0" w:color="auto"/>
        <w:bottom w:val="none" w:sz="0" w:space="0" w:color="auto"/>
        <w:right w:val="none" w:sz="0" w:space="0" w:color="auto"/>
      </w:divBdr>
    </w:div>
    <w:div w:id="1221406286">
      <w:bodyDiv w:val="1"/>
      <w:marLeft w:val="0"/>
      <w:marRight w:val="0"/>
      <w:marTop w:val="0"/>
      <w:marBottom w:val="0"/>
      <w:divBdr>
        <w:top w:val="none" w:sz="0" w:space="0" w:color="auto"/>
        <w:left w:val="none" w:sz="0" w:space="0" w:color="auto"/>
        <w:bottom w:val="none" w:sz="0" w:space="0" w:color="auto"/>
        <w:right w:val="none" w:sz="0" w:space="0" w:color="auto"/>
      </w:divBdr>
      <w:divsChild>
        <w:div w:id="1621374568">
          <w:marLeft w:val="0"/>
          <w:marRight w:val="0"/>
          <w:marTop w:val="0"/>
          <w:marBottom w:val="0"/>
          <w:divBdr>
            <w:top w:val="none" w:sz="0" w:space="0" w:color="auto"/>
            <w:left w:val="none" w:sz="0" w:space="0" w:color="auto"/>
            <w:bottom w:val="none" w:sz="0" w:space="0" w:color="auto"/>
            <w:right w:val="none" w:sz="0" w:space="0" w:color="auto"/>
          </w:divBdr>
        </w:div>
      </w:divsChild>
    </w:div>
    <w:div w:id="1236353607">
      <w:bodyDiv w:val="1"/>
      <w:marLeft w:val="0"/>
      <w:marRight w:val="0"/>
      <w:marTop w:val="0"/>
      <w:marBottom w:val="0"/>
      <w:divBdr>
        <w:top w:val="none" w:sz="0" w:space="0" w:color="auto"/>
        <w:left w:val="none" w:sz="0" w:space="0" w:color="auto"/>
        <w:bottom w:val="none" w:sz="0" w:space="0" w:color="auto"/>
        <w:right w:val="none" w:sz="0" w:space="0" w:color="auto"/>
      </w:divBdr>
    </w:div>
    <w:div w:id="1265377968">
      <w:bodyDiv w:val="1"/>
      <w:marLeft w:val="0"/>
      <w:marRight w:val="0"/>
      <w:marTop w:val="0"/>
      <w:marBottom w:val="0"/>
      <w:divBdr>
        <w:top w:val="none" w:sz="0" w:space="0" w:color="auto"/>
        <w:left w:val="none" w:sz="0" w:space="0" w:color="auto"/>
        <w:bottom w:val="none" w:sz="0" w:space="0" w:color="auto"/>
        <w:right w:val="none" w:sz="0" w:space="0" w:color="auto"/>
      </w:divBdr>
    </w:div>
    <w:div w:id="1276526132">
      <w:bodyDiv w:val="1"/>
      <w:marLeft w:val="0"/>
      <w:marRight w:val="0"/>
      <w:marTop w:val="0"/>
      <w:marBottom w:val="0"/>
      <w:divBdr>
        <w:top w:val="none" w:sz="0" w:space="0" w:color="auto"/>
        <w:left w:val="none" w:sz="0" w:space="0" w:color="auto"/>
        <w:bottom w:val="none" w:sz="0" w:space="0" w:color="auto"/>
        <w:right w:val="none" w:sz="0" w:space="0" w:color="auto"/>
      </w:divBdr>
    </w:div>
    <w:div w:id="1321423142">
      <w:bodyDiv w:val="1"/>
      <w:marLeft w:val="0"/>
      <w:marRight w:val="0"/>
      <w:marTop w:val="0"/>
      <w:marBottom w:val="0"/>
      <w:divBdr>
        <w:top w:val="none" w:sz="0" w:space="0" w:color="auto"/>
        <w:left w:val="none" w:sz="0" w:space="0" w:color="auto"/>
        <w:bottom w:val="none" w:sz="0" w:space="0" w:color="auto"/>
        <w:right w:val="none" w:sz="0" w:space="0" w:color="auto"/>
      </w:divBdr>
    </w:div>
    <w:div w:id="1344551417">
      <w:bodyDiv w:val="1"/>
      <w:marLeft w:val="0"/>
      <w:marRight w:val="0"/>
      <w:marTop w:val="0"/>
      <w:marBottom w:val="0"/>
      <w:divBdr>
        <w:top w:val="none" w:sz="0" w:space="0" w:color="auto"/>
        <w:left w:val="none" w:sz="0" w:space="0" w:color="auto"/>
        <w:bottom w:val="none" w:sz="0" w:space="0" w:color="auto"/>
        <w:right w:val="none" w:sz="0" w:space="0" w:color="auto"/>
      </w:divBdr>
    </w:div>
    <w:div w:id="1364014695">
      <w:bodyDiv w:val="1"/>
      <w:marLeft w:val="0"/>
      <w:marRight w:val="0"/>
      <w:marTop w:val="0"/>
      <w:marBottom w:val="0"/>
      <w:divBdr>
        <w:top w:val="none" w:sz="0" w:space="0" w:color="auto"/>
        <w:left w:val="none" w:sz="0" w:space="0" w:color="auto"/>
        <w:bottom w:val="none" w:sz="0" w:space="0" w:color="auto"/>
        <w:right w:val="none" w:sz="0" w:space="0" w:color="auto"/>
      </w:divBdr>
    </w:div>
    <w:div w:id="1371036068">
      <w:bodyDiv w:val="1"/>
      <w:marLeft w:val="0"/>
      <w:marRight w:val="0"/>
      <w:marTop w:val="0"/>
      <w:marBottom w:val="0"/>
      <w:divBdr>
        <w:top w:val="none" w:sz="0" w:space="0" w:color="auto"/>
        <w:left w:val="none" w:sz="0" w:space="0" w:color="auto"/>
        <w:bottom w:val="none" w:sz="0" w:space="0" w:color="auto"/>
        <w:right w:val="none" w:sz="0" w:space="0" w:color="auto"/>
      </w:divBdr>
    </w:div>
    <w:div w:id="1375350079">
      <w:bodyDiv w:val="1"/>
      <w:marLeft w:val="0"/>
      <w:marRight w:val="0"/>
      <w:marTop w:val="0"/>
      <w:marBottom w:val="0"/>
      <w:divBdr>
        <w:top w:val="none" w:sz="0" w:space="0" w:color="auto"/>
        <w:left w:val="none" w:sz="0" w:space="0" w:color="auto"/>
        <w:bottom w:val="none" w:sz="0" w:space="0" w:color="auto"/>
        <w:right w:val="none" w:sz="0" w:space="0" w:color="auto"/>
      </w:divBdr>
    </w:div>
    <w:div w:id="1380087975">
      <w:bodyDiv w:val="1"/>
      <w:marLeft w:val="0"/>
      <w:marRight w:val="0"/>
      <w:marTop w:val="0"/>
      <w:marBottom w:val="0"/>
      <w:divBdr>
        <w:top w:val="none" w:sz="0" w:space="0" w:color="auto"/>
        <w:left w:val="none" w:sz="0" w:space="0" w:color="auto"/>
        <w:bottom w:val="none" w:sz="0" w:space="0" w:color="auto"/>
        <w:right w:val="none" w:sz="0" w:space="0" w:color="auto"/>
      </w:divBdr>
    </w:div>
    <w:div w:id="1394498571">
      <w:bodyDiv w:val="1"/>
      <w:marLeft w:val="0"/>
      <w:marRight w:val="0"/>
      <w:marTop w:val="0"/>
      <w:marBottom w:val="0"/>
      <w:divBdr>
        <w:top w:val="none" w:sz="0" w:space="0" w:color="auto"/>
        <w:left w:val="none" w:sz="0" w:space="0" w:color="auto"/>
        <w:bottom w:val="none" w:sz="0" w:space="0" w:color="auto"/>
        <w:right w:val="none" w:sz="0" w:space="0" w:color="auto"/>
      </w:divBdr>
    </w:div>
    <w:div w:id="1405299523">
      <w:bodyDiv w:val="1"/>
      <w:marLeft w:val="0"/>
      <w:marRight w:val="0"/>
      <w:marTop w:val="0"/>
      <w:marBottom w:val="0"/>
      <w:divBdr>
        <w:top w:val="none" w:sz="0" w:space="0" w:color="auto"/>
        <w:left w:val="none" w:sz="0" w:space="0" w:color="auto"/>
        <w:bottom w:val="none" w:sz="0" w:space="0" w:color="auto"/>
        <w:right w:val="none" w:sz="0" w:space="0" w:color="auto"/>
      </w:divBdr>
    </w:div>
    <w:div w:id="1411195958">
      <w:bodyDiv w:val="1"/>
      <w:marLeft w:val="0"/>
      <w:marRight w:val="0"/>
      <w:marTop w:val="0"/>
      <w:marBottom w:val="0"/>
      <w:divBdr>
        <w:top w:val="none" w:sz="0" w:space="0" w:color="auto"/>
        <w:left w:val="none" w:sz="0" w:space="0" w:color="auto"/>
        <w:bottom w:val="none" w:sz="0" w:space="0" w:color="auto"/>
        <w:right w:val="none" w:sz="0" w:space="0" w:color="auto"/>
      </w:divBdr>
    </w:div>
    <w:div w:id="1426724413">
      <w:bodyDiv w:val="1"/>
      <w:marLeft w:val="0"/>
      <w:marRight w:val="0"/>
      <w:marTop w:val="0"/>
      <w:marBottom w:val="0"/>
      <w:divBdr>
        <w:top w:val="none" w:sz="0" w:space="0" w:color="auto"/>
        <w:left w:val="none" w:sz="0" w:space="0" w:color="auto"/>
        <w:bottom w:val="none" w:sz="0" w:space="0" w:color="auto"/>
        <w:right w:val="none" w:sz="0" w:space="0" w:color="auto"/>
      </w:divBdr>
    </w:div>
    <w:div w:id="1446927410">
      <w:bodyDiv w:val="1"/>
      <w:marLeft w:val="0"/>
      <w:marRight w:val="0"/>
      <w:marTop w:val="0"/>
      <w:marBottom w:val="0"/>
      <w:divBdr>
        <w:top w:val="none" w:sz="0" w:space="0" w:color="auto"/>
        <w:left w:val="none" w:sz="0" w:space="0" w:color="auto"/>
        <w:bottom w:val="none" w:sz="0" w:space="0" w:color="auto"/>
        <w:right w:val="none" w:sz="0" w:space="0" w:color="auto"/>
      </w:divBdr>
      <w:divsChild>
        <w:div w:id="1449664583">
          <w:marLeft w:val="1080"/>
          <w:marRight w:val="0"/>
          <w:marTop w:val="200"/>
          <w:marBottom w:val="0"/>
          <w:divBdr>
            <w:top w:val="none" w:sz="0" w:space="0" w:color="auto"/>
            <w:left w:val="none" w:sz="0" w:space="0" w:color="auto"/>
            <w:bottom w:val="none" w:sz="0" w:space="0" w:color="auto"/>
            <w:right w:val="none" w:sz="0" w:space="0" w:color="auto"/>
          </w:divBdr>
        </w:div>
      </w:divsChild>
    </w:div>
    <w:div w:id="1465385026">
      <w:bodyDiv w:val="1"/>
      <w:marLeft w:val="0"/>
      <w:marRight w:val="0"/>
      <w:marTop w:val="0"/>
      <w:marBottom w:val="0"/>
      <w:divBdr>
        <w:top w:val="none" w:sz="0" w:space="0" w:color="auto"/>
        <w:left w:val="none" w:sz="0" w:space="0" w:color="auto"/>
        <w:bottom w:val="none" w:sz="0" w:space="0" w:color="auto"/>
        <w:right w:val="none" w:sz="0" w:space="0" w:color="auto"/>
      </w:divBdr>
    </w:div>
    <w:div w:id="1474829447">
      <w:bodyDiv w:val="1"/>
      <w:marLeft w:val="0"/>
      <w:marRight w:val="0"/>
      <w:marTop w:val="0"/>
      <w:marBottom w:val="0"/>
      <w:divBdr>
        <w:top w:val="none" w:sz="0" w:space="0" w:color="auto"/>
        <w:left w:val="none" w:sz="0" w:space="0" w:color="auto"/>
        <w:bottom w:val="none" w:sz="0" w:space="0" w:color="auto"/>
        <w:right w:val="none" w:sz="0" w:space="0" w:color="auto"/>
      </w:divBdr>
    </w:div>
    <w:div w:id="1513493772">
      <w:bodyDiv w:val="1"/>
      <w:marLeft w:val="0"/>
      <w:marRight w:val="0"/>
      <w:marTop w:val="0"/>
      <w:marBottom w:val="0"/>
      <w:divBdr>
        <w:top w:val="none" w:sz="0" w:space="0" w:color="auto"/>
        <w:left w:val="none" w:sz="0" w:space="0" w:color="auto"/>
        <w:bottom w:val="none" w:sz="0" w:space="0" w:color="auto"/>
        <w:right w:val="none" w:sz="0" w:space="0" w:color="auto"/>
      </w:divBdr>
    </w:div>
    <w:div w:id="1536775236">
      <w:bodyDiv w:val="1"/>
      <w:marLeft w:val="0"/>
      <w:marRight w:val="0"/>
      <w:marTop w:val="0"/>
      <w:marBottom w:val="0"/>
      <w:divBdr>
        <w:top w:val="none" w:sz="0" w:space="0" w:color="auto"/>
        <w:left w:val="none" w:sz="0" w:space="0" w:color="auto"/>
        <w:bottom w:val="none" w:sz="0" w:space="0" w:color="auto"/>
        <w:right w:val="none" w:sz="0" w:space="0" w:color="auto"/>
      </w:divBdr>
    </w:div>
    <w:div w:id="1580673053">
      <w:bodyDiv w:val="1"/>
      <w:marLeft w:val="0"/>
      <w:marRight w:val="0"/>
      <w:marTop w:val="0"/>
      <w:marBottom w:val="0"/>
      <w:divBdr>
        <w:top w:val="none" w:sz="0" w:space="0" w:color="auto"/>
        <w:left w:val="none" w:sz="0" w:space="0" w:color="auto"/>
        <w:bottom w:val="none" w:sz="0" w:space="0" w:color="auto"/>
        <w:right w:val="none" w:sz="0" w:space="0" w:color="auto"/>
      </w:divBdr>
    </w:div>
    <w:div w:id="1624379661">
      <w:bodyDiv w:val="1"/>
      <w:marLeft w:val="0"/>
      <w:marRight w:val="0"/>
      <w:marTop w:val="0"/>
      <w:marBottom w:val="0"/>
      <w:divBdr>
        <w:top w:val="none" w:sz="0" w:space="0" w:color="auto"/>
        <w:left w:val="none" w:sz="0" w:space="0" w:color="auto"/>
        <w:bottom w:val="none" w:sz="0" w:space="0" w:color="auto"/>
        <w:right w:val="none" w:sz="0" w:space="0" w:color="auto"/>
      </w:divBdr>
    </w:div>
    <w:div w:id="1668706008">
      <w:bodyDiv w:val="1"/>
      <w:marLeft w:val="0"/>
      <w:marRight w:val="0"/>
      <w:marTop w:val="0"/>
      <w:marBottom w:val="0"/>
      <w:divBdr>
        <w:top w:val="none" w:sz="0" w:space="0" w:color="auto"/>
        <w:left w:val="none" w:sz="0" w:space="0" w:color="auto"/>
        <w:bottom w:val="none" w:sz="0" w:space="0" w:color="auto"/>
        <w:right w:val="none" w:sz="0" w:space="0" w:color="auto"/>
      </w:divBdr>
    </w:div>
    <w:div w:id="1718123343">
      <w:bodyDiv w:val="1"/>
      <w:marLeft w:val="0"/>
      <w:marRight w:val="0"/>
      <w:marTop w:val="0"/>
      <w:marBottom w:val="0"/>
      <w:divBdr>
        <w:top w:val="none" w:sz="0" w:space="0" w:color="auto"/>
        <w:left w:val="none" w:sz="0" w:space="0" w:color="auto"/>
        <w:bottom w:val="none" w:sz="0" w:space="0" w:color="auto"/>
        <w:right w:val="none" w:sz="0" w:space="0" w:color="auto"/>
      </w:divBdr>
    </w:div>
    <w:div w:id="1733502785">
      <w:bodyDiv w:val="1"/>
      <w:marLeft w:val="0"/>
      <w:marRight w:val="0"/>
      <w:marTop w:val="0"/>
      <w:marBottom w:val="0"/>
      <w:divBdr>
        <w:top w:val="none" w:sz="0" w:space="0" w:color="auto"/>
        <w:left w:val="none" w:sz="0" w:space="0" w:color="auto"/>
        <w:bottom w:val="none" w:sz="0" w:space="0" w:color="auto"/>
        <w:right w:val="none" w:sz="0" w:space="0" w:color="auto"/>
      </w:divBdr>
      <w:divsChild>
        <w:div w:id="692613284">
          <w:marLeft w:val="360"/>
          <w:marRight w:val="0"/>
          <w:marTop w:val="200"/>
          <w:marBottom w:val="0"/>
          <w:divBdr>
            <w:top w:val="none" w:sz="0" w:space="0" w:color="auto"/>
            <w:left w:val="none" w:sz="0" w:space="0" w:color="auto"/>
            <w:bottom w:val="none" w:sz="0" w:space="0" w:color="auto"/>
            <w:right w:val="none" w:sz="0" w:space="0" w:color="auto"/>
          </w:divBdr>
        </w:div>
      </w:divsChild>
    </w:div>
    <w:div w:id="1738480897">
      <w:bodyDiv w:val="1"/>
      <w:marLeft w:val="0"/>
      <w:marRight w:val="0"/>
      <w:marTop w:val="0"/>
      <w:marBottom w:val="0"/>
      <w:divBdr>
        <w:top w:val="none" w:sz="0" w:space="0" w:color="auto"/>
        <w:left w:val="none" w:sz="0" w:space="0" w:color="auto"/>
        <w:bottom w:val="none" w:sz="0" w:space="0" w:color="auto"/>
        <w:right w:val="none" w:sz="0" w:space="0" w:color="auto"/>
      </w:divBdr>
    </w:div>
    <w:div w:id="1761901323">
      <w:bodyDiv w:val="1"/>
      <w:marLeft w:val="0"/>
      <w:marRight w:val="0"/>
      <w:marTop w:val="0"/>
      <w:marBottom w:val="0"/>
      <w:divBdr>
        <w:top w:val="none" w:sz="0" w:space="0" w:color="auto"/>
        <w:left w:val="none" w:sz="0" w:space="0" w:color="auto"/>
        <w:bottom w:val="none" w:sz="0" w:space="0" w:color="auto"/>
        <w:right w:val="none" w:sz="0" w:space="0" w:color="auto"/>
      </w:divBdr>
    </w:div>
    <w:div w:id="1779790150">
      <w:bodyDiv w:val="1"/>
      <w:marLeft w:val="0"/>
      <w:marRight w:val="0"/>
      <w:marTop w:val="0"/>
      <w:marBottom w:val="0"/>
      <w:divBdr>
        <w:top w:val="none" w:sz="0" w:space="0" w:color="auto"/>
        <w:left w:val="none" w:sz="0" w:space="0" w:color="auto"/>
        <w:bottom w:val="none" w:sz="0" w:space="0" w:color="auto"/>
        <w:right w:val="none" w:sz="0" w:space="0" w:color="auto"/>
      </w:divBdr>
    </w:div>
    <w:div w:id="1785616414">
      <w:bodyDiv w:val="1"/>
      <w:marLeft w:val="0"/>
      <w:marRight w:val="0"/>
      <w:marTop w:val="0"/>
      <w:marBottom w:val="0"/>
      <w:divBdr>
        <w:top w:val="none" w:sz="0" w:space="0" w:color="auto"/>
        <w:left w:val="none" w:sz="0" w:space="0" w:color="auto"/>
        <w:bottom w:val="none" w:sz="0" w:space="0" w:color="auto"/>
        <w:right w:val="none" w:sz="0" w:space="0" w:color="auto"/>
      </w:divBdr>
    </w:div>
    <w:div w:id="1823503971">
      <w:bodyDiv w:val="1"/>
      <w:marLeft w:val="0"/>
      <w:marRight w:val="0"/>
      <w:marTop w:val="0"/>
      <w:marBottom w:val="0"/>
      <w:divBdr>
        <w:top w:val="none" w:sz="0" w:space="0" w:color="auto"/>
        <w:left w:val="none" w:sz="0" w:space="0" w:color="auto"/>
        <w:bottom w:val="none" w:sz="0" w:space="0" w:color="auto"/>
        <w:right w:val="none" w:sz="0" w:space="0" w:color="auto"/>
      </w:divBdr>
    </w:div>
    <w:div w:id="1824277435">
      <w:bodyDiv w:val="1"/>
      <w:marLeft w:val="0"/>
      <w:marRight w:val="0"/>
      <w:marTop w:val="0"/>
      <w:marBottom w:val="0"/>
      <w:divBdr>
        <w:top w:val="none" w:sz="0" w:space="0" w:color="auto"/>
        <w:left w:val="none" w:sz="0" w:space="0" w:color="auto"/>
        <w:bottom w:val="none" w:sz="0" w:space="0" w:color="auto"/>
        <w:right w:val="none" w:sz="0" w:space="0" w:color="auto"/>
      </w:divBdr>
    </w:div>
    <w:div w:id="1844927269">
      <w:bodyDiv w:val="1"/>
      <w:marLeft w:val="0"/>
      <w:marRight w:val="0"/>
      <w:marTop w:val="0"/>
      <w:marBottom w:val="0"/>
      <w:divBdr>
        <w:top w:val="none" w:sz="0" w:space="0" w:color="auto"/>
        <w:left w:val="none" w:sz="0" w:space="0" w:color="auto"/>
        <w:bottom w:val="none" w:sz="0" w:space="0" w:color="auto"/>
        <w:right w:val="none" w:sz="0" w:space="0" w:color="auto"/>
      </w:divBdr>
    </w:div>
    <w:div w:id="1845776384">
      <w:bodyDiv w:val="1"/>
      <w:marLeft w:val="0"/>
      <w:marRight w:val="0"/>
      <w:marTop w:val="0"/>
      <w:marBottom w:val="0"/>
      <w:divBdr>
        <w:top w:val="none" w:sz="0" w:space="0" w:color="auto"/>
        <w:left w:val="none" w:sz="0" w:space="0" w:color="auto"/>
        <w:bottom w:val="none" w:sz="0" w:space="0" w:color="auto"/>
        <w:right w:val="none" w:sz="0" w:space="0" w:color="auto"/>
      </w:divBdr>
    </w:div>
    <w:div w:id="1859079170">
      <w:bodyDiv w:val="1"/>
      <w:marLeft w:val="0"/>
      <w:marRight w:val="0"/>
      <w:marTop w:val="0"/>
      <w:marBottom w:val="0"/>
      <w:divBdr>
        <w:top w:val="none" w:sz="0" w:space="0" w:color="auto"/>
        <w:left w:val="none" w:sz="0" w:space="0" w:color="auto"/>
        <w:bottom w:val="none" w:sz="0" w:space="0" w:color="auto"/>
        <w:right w:val="none" w:sz="0" w:space="0" w:color="auto"/>
      </w:divBdr>
    </w:div>
    <w:div w:id="1897430327">
      <w:bodyDiv w:val="1"/>
      <w:marLeft w:val="0"/>
      <w:marRight w:val="0"/>
      <w:marTop w:val="0"/>
      <w:marBottom w:val="0"/>
      <w:divBdr>
        <w:top w:val="none" w:sz="0" w:space="0" w:color="auto"/>
        <w:left w:val="none" w:sz="0" w:space="0" w:color="auto"/>
        <w:bottom w:val="none" w:sz="0" w:space="0" w:color="auto"/>
        <w:right w:val="none" w:sz="0" w:space="0" w:color="auto"/>
      </w:divBdr>
    </w:div>
    <w:div w:id="1900509924">
      <w:bodyDiv w:val="1"/>
      <w:marLeft w:val="0"/>
      <w:marRight w:val="0"/>
      <w:marTop w:val="0"/>
      <w:marBottom w:val="0"/>
      <w:divBdr>
        <w:top w:val="none" w:sz="0" w:space="0" w:color="auto"/>
        <w:left w:val="none" w:sz="0" w:space="0" w:color="auto"/>
        <w:bottom w:val="none" w:sz="0" w:space="0" w:color="auto"/>
        <w:right w:val="none" w:sz="0" w:space="0" w:color="auto"/>
      </w:divBdr>
    </w:div>
    <w:div w:id="1950627809">
      <w:bodyDiv w:val="1"/>
      <w:marLeft w:val="0"/>
      <w:marRight w:val="0"/>
      <w:marTop w:val="0"/>
      <w:marBottom w:val="0"/>
      <w:divBdr>
        <w:top w:val="none" w:sz="0" w:space="0" w:color="auto"/>
        <w:left w:val="none" w:sz="0" w:space="0" w:color="auto"/>
        <w:bottom w:val="none" w:sz="0" w:space="0" w:color="auto"/>
        <w:right w:val="none" w:sz="0" w:space="0" w:color="auto"/>
      </w:divBdr>
    </w:div>
    <w:div w:id="1953199608">
      <w:bodyDiv w:val="1"/>
      <w:marLeft w:val="0"/>
      <w:marRight w:val="0"/>
      <w:marTop w:val="0"/>
      <w:marBottom w:val="0"/>
      <w:divBdr>
        <w:top w:val="none" w:sz="0" w:space="0" w:color="auto"/>
        <w:left w:val="none" w:sz="0" w:space="0" w:color="auto"/>
        <w:bottom w:val="none" w:sz="0" w:space="0" w:color="auto"/>
        <w:right w:val="none" w:sz="0" w:space="0" w:color="auto"/>
      </w:divBdr>
    </w:div>
    <w:div w:id="1957561016">
      <w:bodyDiv w:val="1"/>
      <w:marLeft w:val="0"/>
      <w:marRight w:val="0"/>
      <w:marTop w:val="0"/>
      <w:marBottom w:val="0"/>
      <w:divBdr>
        <w:top w:val="none" w:sz="0" w:space="0" w:color="auto"/>
        <w:left w:val="none" w:sz="0" w:space="0" w:color="auto"/>
        <w:bottom w:val="none" w:sz="0" w:space="0" w:color="auto"/>
        <w:right w:val="none" w:sz="0" w:space="0" w:color="auto"/>
      </w:divBdr>
    </w:div>
    <w:div w:id="1971667806">
      <w:bodyDiv w:val="1"/>
      <w:marLeft w:val="0"/>
      <w:marRight w:val="0"/>
      <w:marTop w:val="0"/>
      <w:marBottom w:val="0"/>
      <w:divBdr>
        <w:top w:val="none" w:sz="0" w:space="0" w:color="auto"/>
        <w:left w:val="none" w:sz="0" w:space="0" w:color="auto"/>
        <w:bottom w:val="none" w:sz="0" w:space="0" w:color="auto"/>
        <w:right w:val="none" w:sz="0" w:space="0" w:color="auto"/>
      </w:divBdr>
    </w:div>
    <w:div w:id="2034920280">
      <w:bodyDiv w:val="1"/>
      <w:marLeft w:val="0"/>
      <w:marRight w:val="0"/>
      <w:marTop w:val="0"/>
      <w:marBottom w:val="0"/>
      <w:divBdr>
        <w:top w:val="none" w:sz="0" w:space="0" w:color="auto"/>
        <w:left w:val="none" w:sz="0" w:space="0" w:color="auto"/>
        <w:bottom w:val="none" w:sz="0" w:space="0" w:color="auto"/>
        <w:right w:val="none" w:sz="0" w:space="0" w:color="auto"/>
      </w:divBdr>
    </w:div>
    <w:div w:id="2045134746">
      <w:bodyDiv w:val="1"/>
      <w:marLeft w:val="0"/>
      <w:marRight w:val="0"/>
      <w:marTop w:val="0"/>
      <w:marBottom w:val="0"/>
      <w:divBdr>
        <w:top w:val="none" w:sz="0" w:space="0" w:color="auto"/>
        <w:left w:val="none" w:sz="0" w:space="0" w:color="auto"/>
        <w:bottom w:val="none" w:sz="0" w:space="0" w:color="auto"/>
        <w:right w:val="none" w:sz="0" w:space="0" w:color="auto"/>
      </w:divBdr>
    </w:div>
    <w:div w:id="2051833423">
      <w:bodyDiv w:val="1"/>
      <w:marLeft w:val="0"/>
      <w:marRight w:val="0"/>
      <w:marTop w:val="0"/>
      <w:marBottom w:val="0"/>
      <w:divBdr>
        <w:top w:val="none" w:sz="0" w:space="0" w:color="auto"/>
        <w:left w:val="none" w:sz="0" w:space="0" w:color="auto"/>
        <w:bottom w:val="none" w:sz="0" w:space="0" w:color="auto"/>
        <w:right w:val="none" w:sz="0" w:space="0" w:color="auto"/>
      </w:divBdr>
    </w:div>
    <w:div w:id="2115132333">
      <w:bodyDiv w:val="1"/>
      <w:marLeft w:val="0"/>
      <w:marRight w:val="0"/>
      <w:marTop w:val="0"/>
      <w:marBottom w:val="0"/>
      <w:divBdr>
        <w:top w:val="none" w:sz="0" w:space="0" w:color="auto"/>
        <w:left w:val="none" w:sz="0" w:space="0" w:color="auto"/>
        <w:bottom w:val="none" w:sz="0" w:space="0" w:color="auto"/>
        <w:right w:val="none" w:sz="0" w:space="0" w:color="auto"/>
      </w:divBdr>
    </w:div>
    <w:div w:id="2124960799">
      <w:bodyDiv w:val="1"/>
      <w:marLeft w:val="0"/>
      <w:marRight w:val="0"/>
      <w:marTop w:val="0"/>
      <w:marBottom w:val="0"/>
      <w:divBdr>
        <w:top w:val="none" w:sz="0" w:space="0" w:color="auto"/>
        <w:left w:val="none" w:sz="0" w:space="0" w:color="auto"/>
        <w:bottom w:val="none" w:sz="0" w:space="0" w:color="auto"/>
        <w:right w:val="none" w:sz="0" w:space="0" w:color="auto"/>
      </w:divBdr>
    </w:div>
    <w:div w:id="2128697595">
      <w:bodyDiv w:val="1"/>
      <w:marLeft w:val="0"/>
      <w:marRight w:val="0"/>
      <w:marTop w:val="0"/>
      <w:marBottom w:val="0"/>
      <w:divBdr>
        <w:top w:val="none" w:sz="0" w:space="0" w:color="auto"/>
        <w:left w:val="none" w:sz="0" w:space="0" w:color="auto"/>
        <w:bottom w:val="none" w:sz="0" w:space="0" w:color="auto"/>
        <w:right w:val="none" w:sz="0" w:space="0" w:color="auto"/>
      </w:divBdr>
    </w:div>
    <w:div w:id="213112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s>
</file>

<file path=word/_rels/footnotes.xml.rels><?xml version="1.0" encoding="UTF-8" standalone="yes"?>
<Relationships xmlns="http://schemas.openxmlformats.org/package/2006/relationships"><Relationship Id="rId2" Type="http://schemas.openxmlformats.org/officeDocument/2006/relationships/hyperlink" Target="https://sinergox.xm.com.co/dmnd/Paginas/Informes/VariacionDemandaComercial.aspx" TargetMode="External"/><Relationship Id="rId1" Type="http://schemas.openxmlformats.org/officeDocument/2006/relationships/hyperlink" Target="https://sinergox.xm.com.co/hdrlg/Paginas/Informes/ReservasHidricasSIN.asp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Precios semanales 2021</a:t>
            </a:r>
            <a:r>
              <a:rPr lang="en-US" baseline="0"/>
              <a:t> - 2024</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lineChart>
        <c:grouping val="standard"/>
        <c:varyColors val="0"/>
        <c:ser>
          <c:idx val="0"/>
          <c:order val="0"/>
          <c:tx>
            <c:strRef>
              <c:f>Sheet1!$F$1059</c:f>
              <c:strCache>
                <c:ptCount val="1"/>
                <c:pt idx="0">
                  <c:v>Promedio de bolsa ponderado ($/kWh)</c:v>
                </c:pt>
              </c:strCache>
            </c:strRef>
          </c:tx>
          <c:spPr>
            <a:ln w="28575" cap="rnd">
              <a:solidFill>
                <a:schemeClr val="accent1"/>
              </a:solidFill>
              <a:round/>
            </a:ln>
            <a:effectLst/>
          </c:spPr>
          <c:marker>
            <c:symbol val="none"/>
          </c:marker>
          <c:cat>
            <c:numRef>
              <c:f>Sheet1!$E$1060:$E$1231</c:f>
              <c:numCache>
                <c:formatCode>m/d/yyyy</c:formatCode>
                <c:ptCount val="172"/>
                <c:pt idx="0">
                  <c:v>44197</c:v>
                </c:pt>
                <c:pt idx="1">
                  <c:v>44204</c:v>
                </c:pt>
                <c:pt idx="2">
                  <c:v>44211</c:v>
                </c:pt>
                <c:pt idx="3">
                  <c:v>44218</c:v>
                </c:pt>
                <c:pt idx="4">
                  <c:v>44225</c:v>
                </c:pt>
                <c:pt idx="5">
                  <c:v>44232</c:v>
                </c:pt>
                <c:pt idx="6">
                  <c:v>44239</c:v>
                </c:pt>
                <c:pt idx="7">
                  <c:v>44246</c:v>
                </c:pt>
                <c:pt idx="8">
                  <c:v>44253</c:v>
                </c:pt>
                <c:pt idx="9">
                  <c:v>44260</c:v>
                </c:pt>
                <c:pt idx="10">
                  <c:v>44267</c:v>
                </c:pt>
                <c:pt idx="11">
                  <c:v>44274</c:v>
                </c:pt>
                <c:pt idx="12">
                  <c:v>44281</c:v>
                </c:pt>
                <c:pt idx="13">
                  <c:v>44288</c:v>
                </c:pt>
                <c:pt idx="14">
                  <c:v>44295</c:v>
                </c:pt>
                <c:pt idx="15">
                  <c:v>44302</c:v>
                </c:pt>
                <c:pt idx="16">
                  <c:v>44309</c:v>
                </c:pt>
                <c:pt idx="17">
                  <c:v>44316</c:v>
                </c:pt>
                <c:pt idx="18">
                  <c:v>44323</c:v>
                </c:pt>
                <c:pt idx="19">
                  <c:v>44330</c:v>
                </c:pt>
                <c:pt idx="20">
                  <c:v>44337</c:v>
                </c:pt>
                <c:pt idx="21">
                  <c:v>44344</c:v>
                </c:pt>
                <c:pt idx="22">
                  <c:v>44351</c:v>
                </c:pt>
                <c:pt idx="23">
                  <c:v>44358</c:v>
                </c:pt>
                <c:pt idx="24">
                  <c:v>44365</c:v>
                </c:pt>
                <c:pt idx="25">
                  <c:v>44372</c:v>
                </c:pt>
                <c:pt idx="26">
                  <c:v>44379</c:v>
                </c:pt>
                <c:pt idx="27">
                  <c:v>44386</c:v>
                </c:pt>
                <c:pt idx="28">
                  <c:v>44393</c:v>
                </c:pt>
                <c:pt idx="29">
                  <c:v>44400</c:v>
                </c:pt>
                <c:pt idx="30">
                  <c:v>44407</c:v>
                </c:pt>
                <c:pt idx="31">
                  <c:v>44414</c:v>
                </c:pt>
                <c:pt idx="32">
                  <c:v>44421</c:v>
                </c:pt>
                <c:pt idx="33">
                  <c:v>44428</c:v>
                </c:pt>
                <c:pt idx="34">
                  <c:v>44435</c:v>
                </c:pt>
                <c:pt idx="35">
                  <c:v>44442</c:v>
                </c:pt>
                <c:pt idx="36">
                  <c:v>44449</c:v>
                </c:pt>
                <c:pt idx="37">
                  <c:v>44456</c:v>
                </c:pt>
                <c:pt idx="38">
                  <c:v>44463</c:v>
                </c:pt>
                <c:pt idx="39">
                  <c:v>44470</c:v>
                </c:pt>
                <c:pt idx="40">
                  <c:v>44477</c:v>
                </c:pt>
                <c:pt idx="41">
                  <c:v>44484</c:v>
                </c:pt>
                <c:pt idx="42">
                  <c:v>44491</c:v>
                </c:pt>
                <c:pt idx="43">
                  <c:v>44498</c:v>
                </c:pt>
                <c:pt idx="44">
                  <c:v>44505</c:v>
                </c:pt>
                <c:pt idx="45">
                  <c:v>44512</c:v>
                </c:pt>
                <c:pt idx="46">
                  <c:v>44519</c:v>
                </c:pt>
                <c:pt idx="47">
                  <c:v>44526</c:v>
                </c:pt>
                <c:pt idx="48">
                  <c:v>44533</c:v>
                </c:pt>
                <c:pt idx="49">
                  <c:v>44540</c:v>
                </c:pt>
                <c:pt idx="50">
                  <c:v>44547</c:v>
                </c:pt>
                <c:pt idx="51">
                  <c:v>44554</c:v>
                </c:pt>
                <c:pt idx="52">
                  <c:v>44561</c:v>
                </c:pt>
                <c:pt idx="53">
                  <c:v>44568</c:v>
                </c:pt>
                <c:pt idx="54">
                  <c:v>44575</c:v>
                </c:pt>
                <c:pt idx="55">
                  <c:v>44582</c:v>
                </c:pt>
                <c:pt idx="56">
                  <c:v>44589</c:v>
                </c:pt>
                <c:pt idx="57">
                  <c:v>44596</c:v>
                </c:pt>
                <c:pt idx="58">
                  <c:v>44603</c:v>
                </c:pt>
                <c:pt idx="59">
                  <c:v>44610</c:v>
                </c:pt>
                <c:pt idx="60">
                  <c:v>44617</c:v>
                </c:pt>
                <c:pt idx="61">
                  <c:v>44624</c:v>
                </c:pt>
                <c:pt idx="62">
                  <c:v>44631</c:v>
                </c:pt>
                <c:pt idx="63">
                  <c:v>44638</c:v>
                </c:pt>
                <c:pt idx="64">
                  <c:v>44645</c:v>
                </c:pt>
                <c:pt idx="65">
                  <c:v>44652</c:v>
                </c:pt>
                <c:pt idx="66">
                  <c:v>44659</c:v>
                </c:pt>
                <c:pt idx="67">
                  <c:v>44666</c:v>
                </c:pt>
                <c:pt idx="68">
                  <c:v>44673</c:v>
                </c:pt>
                <c:pt idx="69">
                  <c:v>44680</c:v>
                </c:pt>
                <c:pt idx="70">
                  <c:v>44687</c:v>
                </c:pt>
                <c:pt idx="71">
                  <c:v>44694</c:v>
                </c:pt>
                <c:pt idx="72">
                  <c:v>44701</c:v>
                </c:pt>
                <c:pt idx="73">
                  <c:v>44708</c:v>
                </c:pt>
                <c:pt idx="74">
                  <c:v>44715</c:v>
                </c:pt>
                <c:pt idx="75">
                  <c:v>44722</c:v>
                </c:pt>
                <c:pt idx="76">
                  <c:v>44729</c:v>
                </c:pt>
                <c:pt idx="77">
                  <c:v>44736</c:v>
                </c:pt>
                <c:pt idx="78">
                  <c:v>44743</c:v>
                </c:pt>
                <c:pt idx="79">
                  <c:v>44750</c:v>
                </c:pt>
                <c:pt idx="80">
                  <c:v>44757</c:v>
                </c:pt>
                <c:pt idx="81">
                  <c:v>44764</c:v>
                </c:pt>
                <c:pt idx="82">
                  <c:v>44771</c:v>
                </c:pt>
                <c:pt idx="83">
                  <c:v>44778</c:v>
                </c:pt>
                <c:pt idx="84">
                  <c:v>44785</c:v>
                </c:pt>
                <c:pt idx="85">
                  <c:v>44792</c:v>
                </c:pt>
                <c:pt idx="86">
                  <c:v>44799</c:v>
                </c:pt>
                <c:pt idx="87">
                  <c:v>44806</c:v>
                </c:pt>
                <c:pt idx="88">
                  <c:v>44813</c:v>
                </c:pt>
                <c:pt idx="89">
                  <c:v>44820</c:v>
                </c:pt>
                <c:pt idx="90">
                  <c:v>44827</c:v>
                </c:pt>
                <c:pt idx="91">
                  <c:v>44834</c:v>
                </c:pt>
                <c:pt idx="92">
                  <c:v>44841</c:v>
                </c:pt>
                <c:pt idx="93">
                  <c:v>44848</c:v>
                </c:pt>
                <c:pt idx="94">
                  <c:v>44855</c:v>
                </c:pt>
                <c:pt idx="95">
                  <c:v>44862</c:v>
                </c:pt>
                <c:pt idx="96">
                  <c:v>44869</c:v>
                </c:pt>
                <c:pt idx="97">
                  <c:v>44876</c:v>
                </c:pt>
                <c:pt idx="98">
                  <c:v>44883</c:v>
                </c:pt>
                <c:pt idx="99">
                  <c:v>44890</c:v>
                </c:pt>
                <c:pt idx="100">
                  <c:v>44897</c:v>
                </c:pt>
                <c:pt idx="101">
                  <c:v>44904</c:v>
                </c:pt>
                <c:pt idx="102">
                  <c:v>44911</c:v>
                </c:pt>
                <c:pt idx="103">
                  <c:v>44918</c:v>
                </c:pt>
                <c:pt idx="104">
                  <c:v>44925</c:v>
                </c:pt>
                <c:pt idx="105">
                  <c:v>44932</c:v>
                </c:pt>
                <c:pt idx="106">
                  <c:v>44939</c:v>
                </c:pt>
                <c:pt idx="107">
                  <c:v>44946</c:v>
                </c:pt>
                <c:pt idx="108">
                  <c:v>44953</c:v>
                </c:pt>
                <c:pt idx="109">
                  <c:v>44960</c:v>
                </c:pt>
                <c:pt idx="110">
                  <c:v>44967</c:v>
                </c:pt>
                <c:pt idx="111">
                  <c:v>44974</c:v>
                </c:pt>
                <c:pt idx="112">
                  <c:v>44981</c:v>
                </c:pt>
                <c:pt idx="113">
                  <c:v>44988</c:v>
                </c:pt>
                <c:pt idx="114">
                  <c:v>44995</c:v>
                </c:pt>
                <c:pt idx="115">
                  <c:v>45002</c:v>
                </c:pt>
                <c:pt idx="116">
                  <c:v>45009</c:v>
                </c:pt>
                <c:pt idx="117">
                  <c:v>45016</c:v>
                </c:pt>
                <c:pt idx="118">
                  <c:v>45023</c:v>
                </c:pt>
                <c:pt idx="119">
                  <c:v>45030</c:v>
                </c:pt>
                <c:pt idx="120">
                  <c:v>45037</c:v>
                </c:pt>
                <c:pt idx="121">
                  <c:v>45044</c:v>
                </c:pt>
                <c:pt idx="122">
                  <c:v>45051</c:v>
                </c:pt>
                <c:pt idx="123">
                  <c:v>45058</c:v>
                </c:pt>
                <c:pt idx="124">
                  <c:v>45065</c:v>
                </c:pt>
                <c:pt idx="125">
                  <c:v>45072</c:v>
                </c:pt>
                <c:pt idx="126">
                  <c:v>45079</c:v>
                </c:pt>
                <c:pt idx="127">
                  <c:v>45086</c:v>
                </c:pt>
                <c:pt idx="128">
                  <c:v>45093</c:v>
                </c:pt>
                <c:pt idx="129">
                  <c:v>45100</c:v>
                </c:pt>
                <c:pt idx="130">
                  <c:v>45107</c:v>
                </c:pt>
                <c:pt idx="131">
                  <c:v>45114</c:v>
                </c:pt>
                <c:pt idx="132">
                  <c:v>45121</c:v>
                </c:pt>
                <c:pt idx="133">
                  <c:v>45128</c:v>
                </c:pt>
                <c:pt idx="134">
                  <c:v>45135</c:v>
                </c:pt>
                <c:pt idx="135">
                  <c:v>45142</c:v>
                </c:pt>
                <c:pt idx="136">
                  <c:v>45149</c:v>
                </c:pt>
                <c:pt idx="137">
                  <c:v>45156</c:v>
                </c:pt>
                <c:pt idx="138">
                  <c:v>45163</c:v>
                </c:pt>
                <c:pt idx="139">
                  <c:v>45170</c:v>
                </c:pt>
                <c:pt idx="140">
                  <c:v>45177</c:v>
                </c:pt>
                <c:pt idx="141">
                  <c:v>45184</c:v>
                </c:pt>
                <c:pt idx="142">
                  <c:v>45191</c:v>
                </c:pt>
                <c:pt idx="143">
                  <c:v>45198</c:v>
                </c:pt>
                <c:pt idx="144">
                  <c:v>45205</c:v>
                </c:pt>
                <c:pt idx="145">
                  <c:v>45212</c:v>
                </c:pt>
                <c:pt idx="146">
                  <c:v>45219</c:v>
                </c:pt>
                <c:pt idx="147">
                  <c:v>45226</c:v>
                </c:pt>
                <c:pt idx="148">
                  <c:v>45233</c:v>
                </c:pt>
                <c:pt idx="149">
                  <c:v>45240</c:v>
                </c:pt>
                <c:pt idx="150">
                  <c:v>45247</c:v>
                </c:pt>
                <c:pt idx="151">
                  <c:v>45254</c:v>
                </c:pt>
                <c:pt idx="152">
                  <c:v>45261</c:v>
                </c:pt>
                <c:pt idx="153">
                  <c:v>45268</c:v>
                </c:pt>
                <c:pt idx="154">
                  <c:v>45275</c:v>
                </c:pt>
                <c:pt idx="155">
                  <c:v>45282</c:v>
                </c:pt>
                <c:pt idx="156">
                  <c:v>45289</c:v>
                </c:pt>
                <c:pt idx="157">
                  <c:v>45296</c:v>
                </c:pt>
                <c:pt idx="158">
                  <c:v>45303</c:v>
                </c:pt>
                <c:pt idx="159">
                  <c:v>45310</c:v>
                </c:pt>
                <c:pt idx="160">
                  <c:v>45317</c:v>
                </c:pt>
                <c:pt idx="161">
                  <c:v>45324</c:v>
                </c:pt>
                <c:pt idx="162">
                  <c:v>45331</c:v>
                </c:pt>
                <c:pt idx="163">
                  <c:v>45338</c:v>
                </c:pt>
                <c:pt idx="164">
                  <c:v>45345</c:v>
                </c:pt>
                <c:pt idx="165">
                  <c:v>45352</c:v>
                </c:pt>
                <c:pt idx="166">
                  <c:v>45359</c:v>
                </c:pt>
                <c:pt idx="167">
                  <c:v>45366</c:v>
                </c:pt>
                <c:pt idx="168">
                  <c:v>45373</c:v>
                </c:pt>
                <c:pt idx="169">
                  <c:v>45380</c:v>
                </c:pt>
                <c:pt idx="170">
                  <c:v>45387</c:v>
                </c:pt>
                <c:pt idx="171">
                  <c:v>45394</c:v>
                </c:pt>
              </c:numCache>
            </c:numRef>
          </c:cat>
          <c:val>
            <c:numRef>
              <c:f>Sheet1!$F$1060:$F$1231</c:f>
              <c:numCache>
                <c:formatCode>0</c:formatCode>
                <c:ptCount val="172"/>
                <c:pt idx="0">
                  <c:v>162.1476555714286</c:v>
                </c:pt>
                <c:pt idx="1">
                  <c:v>162.51631928571427</c:v>
                </c:pt>
                <c:pt idx="2">
                  <c:v>148.14823585714285</c:v>
                </c:pt>
                <c:pt idx="3">
                  <c:v>181.10299342857141</c:v>
                </c:pt>
                <c:pt idx="4">
                  <c:v>233.31552014285714</c:v>
                </c:pt>
                <c:pt idx="5">
                  <c:v>251.79010085714282</c:v>
                </c:pt>
                <c:pt idx="6">
                  <c:v>282.15787685714287</c:v>
                </c:pt>
                <c:pt idx="7">
                  <c:v>282.17135171428566</c:v>
                </c:pt>
                <c:pt idx="8">
                  <c:v>265.56318414285721</c:v>
                </c:pt>
                <c:pt idx="9">
                  <c:v>217.32562514285715</c:v>
                </c:pt>
                <c:pt idx="10">
                  <c:v>181.71360499999997</c:v>
                </c:pt>
                <c:pt idx="11">
                  <c:v>173.38225285714287</c:v>
                </c:pt>
                <c:pt idx="12">
                  <c:v>132.61858342857141</c:v>
                </c:pt>
                <c:pt idx="13">
                  <c:v>153.25062214285717</c:v>
                </c:pt>
                <c:pt idx="14">
                  <c:v>161.18731257142858</c:v>
                </c:pt>
                <c:pt idx="15">
                  <c:v>148.61472742857146</c:v>
                </c:pt>
                <c:pt idx="16">
                  <c:v>175.39457642857138</c:v>
                </c:pt>
                <c:pt idx="17">
                  <c:v>175.74545585714287</c:v>
                </c:pt>
                <c:pt idx="18">
                  <c:v>122.22373200000001</c:v>
                </c:pt>
                <c:pt idx="19">
                  <c:v>100.82948871428572</c:v>
                </c:pt>
                <c:pt idx="20">
                  <c:v>92.373548142857132</c:v>
                </c:pt>
                <c:pt idx="21">
                  <c:v>92.016259714285709</c:v>
                </c:pt>
                <c:pt idx="22">
                  <c:v>92.085581571428563</c:v>
                </c:pt>
                <c:pt idx="23">
                  <c:v>91.059222428571402</c:v>
                </c:pt>
                <c:pt idx="24">
                  <c:v>90.137414571428579</c:v>
                </c:pt>
                <c:pt idx="25">
                  <c:v>90.161567142857137</c:v>
                </c:pt>
                <c:pt idx="26">
                  <c:v>91.352830000000012</c:v>
                </c:pt>
                <c:pt idx="27">
                  <c:v>92.309152142857144</c:v>
                </c:pt>
                <c:pt idx="28">
                  <c:v>91.433484714285697</c:v>
                </c:pt>
                <c:pt idx="29">
                  <c:v>93.20468271428571</c:v>
                </c:pt>
                <c:pt idx="30">
                  <c:v>90.625238142857143</c:v>
                </c:pt>
                <c:pt idx="31">
                  <c:v>97.406470714285732</c:v>
                </c:pt>
                <c:pt idx="32">
                  <c:v>98.102253428571416</c:v>
                </c:pt>
                <c:pt idx="33">
                  <c:v>92.278001000000003</c:v>
                </c:pt>
                <c:pt idx="34">
                  <c:v>90.566610714285716</c:v>
                </c:pt>
                <c:pt idx="35">
                  <c:v>90.834918285714281</c:v>
                </c:pt>
                <c:pt idx="36">
                  <c:v>97.95692428571428</c:v>
                </c:pt>
                <c:pt idx="37">
                  <c:v>96.31293042857142</c:v>
                </c:pt>
                <c:pt idx="38">
                  <c:v>131.62307628571426</c:v>
                </c:pt>
                <c:pt idx="39">
                  <c:v>118.03668614285714</c:v>
                </c:pt>
                <c:pt idx="40">
                  <c:v>109.50535785714283</c:v>
                </c:pt>
                <c:pt idx="41">
                  <c:v>101.35411257142857</c:v>
                </c:pt>
                <c:pt idx="42">
                  <c:v>103.99675514285714</c:v>
                </c:pt>
                <c:pt idx="43">
                  <c:v>110.47693128571429</c:v>
                </c:pt>
                <c:pt idx="44">
                  <c:v>94.704003571428572</c:v>
                </c:pt>
                <c:pt idx="45">
                  <c:v>101.87176528571429</c:v>
                </c:pt>
                <c:pt idx="46">
                  <c:v>100.436781</c:v>
                </c:pt>
                <c:pt idx="47">
                  <c:v>121.47951214285715</c:v>
                </c:pt>
                <c:pt idx="48">
                  <c:v>101.06080428571428</c:v>
                </c:pt>
                <c:pt idx="49">
                  <c:v>144.12387400000003</c:v>
                </c:pt>
                <c:pt idx="50">
                  <c:v>363.35790571428572</c:v>
                </c:pt>
                <c:pt idx="51">
                  <c:v>556.18989042857152</c:v>
                </c:pt>
                <c:pt idx="52">
                  <c:v>390.54857171428569</c:v>
                </c:pt>
                <c:pt idx="53">
                  <c:v>190.52327785714286</c:v>
                </c:pt>
                <c:pt idx="54">
                  <c:v>227.49242657142858</c:v>
                </c:pt>
                <c:pt idx="55">
                  <c:v>270.93039357142857</c:v>
                </c:pt>
                <c:pt idx="56">
                  <c:v>396.10697900000002</c:v>
                </c:pt>
                <c:pt idx="57">
                  <c:v>572.12842371428565</c:v>
                </c:pt>
                <c:pt idx="58">
                  <c:v>544.91640442857147</c:v>
                </c:pt>
                <c:pt idx="59">
                  <c:v>329.61298428571428</c:v>
                </c:pt>
                <c:pt idx="60">
                  <c:v>265.93995871428575</c:v>
                </c:pt>
                <c:pt idx="61">
                  <c:v>246.0890312857143</c:v>
                </c:pt>
                <c:pt idx="62">
                  <c:v>199.24884914285715</c:v>
                </c:pt>
                <c:pt idx="63">
                  <c:v>221.44673957142859</c:v>
                </c:pt>
                <c:pt idx="64">
                  <c:v>221.7802294285714</c:v>
                </c:pt>
                <c:pt idx="65">
                  <c:v>275.91845385714294</c:v>
                </c:pt>
                <c:pt idx="66">
                  <c:v>199.87587442857145</c:v>
                </c:pt>
                <c:pt idx="67">
                  <c:v>128.13772614285716</c:v>
                </c:pt>
                <c:pt idx="68">
                  <c:v>137.43511985714284</c:v>
                </c:pt>
                <c:pt idx="69">
                  <c:v>104.15501871428572</c:v>
                </c:pt>
                <c:pt idx="70">
                  <c:v>108.78359442857143</c:v>
                </c:pt>
                <c:pt idx="71">
                  <c:v>106.50634414285715</c:v>
                </c:pt>
                <c:pt idx="72">
                  <c:v>113.6747502857143</c:v>
                </c:pt>
                <c:pt idx="73">
                  <c:v>100.56657299999999</c:v>
                </c:pt>
                <c:pt idx="74">
                  <c:v>102.53885885714286</c:v>
                </c:pt>
                <c:pt idx="75">
                  <c:v>106.86600642857142</c:v>
                </c:pt>
                <c:pt idx="76">
                  <c:v>103.09251857142858</c:v>
                </c:pt>
                <c:pt idx="77">
                  <c:v>102.06370628571429</c:v>
                </c:pt>
                <c:pt idx="78">
                  <c:v>103.32271157142858</c:v>
                </c:pt>
                <c:pt idx="79">
                  <c:v>105.25056514285714</c:v>
                </c:pt>
                <c:pt idx="80">
                  <c:v>111.64165814285715</c:v>
                </c:pt>
                <c:pt idx="81">
                  <c:v>110.95781342857143</c:v>
                </c:pt>
                <c:pt idx="82">
                  <c:v>111.33538814285714</c:v>
                </c:pt>
                <c:pt idx="83">
                  <c:v>111.54440100000001</c:v>
                </c:pt>
                <c:pt idx="84">
                  <c:v>108.00370114285715</c:v>
                </c:pt>
                <c:pt idx="85">
                  <c:v>121.12563271428573</c:v>
                </c:pt>
                <c:pt idx="86">
                  <c:v>156.2518065714286</c:v>
                </c:pt>
                <c:pt idx="87">
                  <c:v>304.09186871428574</c:v>
                </c:pt>
                <c:pt idx="88">
                  <c:v>219.05725685714287</c:v>
                </c:pt>
                <c:pt idx="89">
                  <c:v>297.45961914285715</c:v>
                </c:pt>
                <c:pt idx="90">
                  <c:v>261.96159628571434</c:v>
                </c:pt>
                <c:pt idx="91">
                  <c:v>224.4663052857143</c:v>
                </c:pt>
                <c:pt idx="92">
                  <c:v>281.06877742857142</c:v>
                </c:pt>
                <c:pt idx="93">
                  <c:v>332.27825928571428</c:v>
                </c:pt>
                <c:pt idx="94">
                  <c:v>381.93503914285714</c:v>
                </c:pt>
                <c:pt idx="95">
                  <c:v>277.27509314285714</c:v>
                </c:pt>
                <c:pt idx="96">
                  <c:v>195.27361042857143</c:v>
                </c:pt>
                <c:pt idx="97">
                  <c:v>169.29178371428569</c:v>
                </c:pt>
                <c:pt idx="98">
                  <c:v>156.7377702857143</c:v>
                </c:pt>
                <c:pt idx="99">
                  <c:v>159.46484357142859</c:v>
                </c:pt>
                <c:pt idx="100">
                  <c:v>294.23806999999994</c:v>
                </c:pt>
                <c:pt idx="101">
                  <c:v>269.77947871428569</c:v>
                </c:pt>
                <c:pt idx="102">
                  <c:v>261.55285414285714</c:v>
                </c:pt>
                <c:pt idx="103">
                  <c:v>342.42996314285716</c:v>
                </c:pt>
                <c:pt idx="104">
                  <c:v>463.34541242857148</c:v>
                </c:pt>
                <c:pt idx="105">
                  <c:v>531.09378142857145</c:v>
                </c:pt>
                <c:pt idx="106">
                  <c:v>399.55639100000002</c:v>
                </c:pt>
                <c:pt idx="107">
                  <c:v>234.77744714285714</c:v>
                </c:pt>
                <c:pt idx="108">
                  <c:v>273.5864858571428</c:v>
                </c:pt>
                <c:pt idx="109">
                  <c:v>629.23085914285707</c:v>
                </c:pt>
                <c:pt idx="110">
                  <c:v>659.16852971428568</c:v>
                </c:pt>
                <c:pt idx="111">
                  <c:v>557.7100357142856</c:v>
                </c:pt>
                <c:pt idx="112">
                  <c:v>396.84970400000009</c:v>
                </c:pt>
                <c:pt idx="113">
                  <c:v>364.96453485714284</c:v>
                </c:pt>
                <c:pt idx="114">
                  <c:v>449.36751414285709</c:v>
                </c:pt>
                <c:pt idx="115">
                  <c:v>230.19419000000002</c:v>
                </c:pt>
                <c:pt idx="116">
                  <c:v>274.97398271428568</c:v>
                </c:pt>
                <c:pt idx="117">
                  <c:v>187.48693528571431</c:v>
                </c:pt>
                <c:pt idx="118">
                  <c:v>146.84148757142859</c:v>
                </c:pt>
                <c:pt idx="119">
                  <c:v>191.72047028571427</c:v>
                </c:pt>
                <c:pt idx="120">
                  <c:v>273.28570900000005</c:v>
                </c:pt>
                <c:pt idx="121">
                  <c:v>314.07915757142854</c:v>
                </c:pt>
                <c:pt idx="122">
                  <c:v>243.0991557142857</c:v>
                </c:pt>
                <c:pt idx="123">
                  <c:v>497.35820700000005</c:v>
                </c:pt>
                <c:pt idx="124">
                  <c:v>767.36495085714307</c:v>
                </c:pt>
                <c:pt idx="125">
                  <c:v>778.56450157142865</c:v>
                </c:pt>
                <c:pt idx="126">
                  <c:v>405.2250265714286</c:v>
                </c:pt>
                <c:pt idx="127">
                  <c:v>290.98043514285712</c:v>
                </c:pt>
                <c:pt idx="128">
                  <c:v>334.48915542857139</c:v>
                </c:pt>
                <c:pt idx="129">
                  <c:v>640.60864585714285</c:v>
                </c:pt>
                <c:pt idx="130">
                  <c:v>659.59541614285718</c:v>
                </c:pt>
                <c:pt idx="131">
                  <c:v>563.91975914285717</c:v>
                </c:pt>
                <c:pt idx="132">
                  <c:v>546.03742557142857</c:v>
                </c:pt>
                <c:pt idx="133">
                  <c:v>536.97115614285701</c:v>
                </c:pt>
                <c:pt idx="134">
                  <c:v>472.00805500000007</c:v>
                </c:pt>
                <c:pt idx="135">
                  <c:v>528.76719771428566</c:v>
                </c:pt>
                <c:pt idx="136">
                  <c:v>565.89280557142865</c:v>
                </c:pt>
                <c:pt idx="137">
                  <c:v>718.64412285714286</c:v>
                </c:pt>
                <c:pt idx="138">
                  <c:v>369.4494745714286</c:v>
                </c:pt>
                <c:pt idx="139">
                  <c:v>539.19928514285709</c:v>
                </c:pt>
                <c:pt idx="140">
                  <c:v>964.33930171428585</c:v>
                </c:pt>
                <c:pt idx="141">
                  <c:v>1053.0147472857143</c:v>
                </c:pt>
                <c:pt idx="142">
                  <c:v>1035.2441371428572</c:v>
                </c:pt>
                <c:pt idx="143">
                  <c:v>1042.716175</c:v>
                </c:pt>
                <c:pt idx="144">
                  <c:v>1058.3860094285715</c:v>
                </c:pt>
                <c:pt idx="145">
                  <c:v>1046.7927732857142</c:v>
                </c:pt>
                <c:pt idx="146">
                  <c:v>1157.8765465714284</c:v>
                </c:pt>
                <c:pt idx="147">
                  <c:v>1135.7791998571427</c:v>
                </c:pt>
                <c:pt idx="148">
                  <c:v>458.71767057142858</c:v>
                </c:pt>
                <c:pt idx="149">
                  <c:v>502.44211542857141</c:v>
                </c:pt>
                <c:pt idx="150">
                  <c:v>700.57977085714276</c:v>
                </c:pt>
                <c:pt idx="151">
                  <c:v>406.06440228571438</c:v>
                </c:pt>
                <c:pt idx="152">
                  <c:v>539.05657442857148</c:v>
                </c:pt>
                <c:pt idx="153">
                  <c:v>784.09956114285706</c:v>
                </c:pt>
                <c:pt idx="154">
                  <c:v>902.93663428571415</c:v>
                </c:pt>
                <c:pt idx="155">
                  <c:v>663.7603258571429</c:v>
                </c:pt>
                <c:pt idx="156">
                  <c:v>424.55295914285716</c:v>
                </c:pt>
                <c:pt idx="157">
                  <c:v>369.76338442857144</c:v>
                </c:pt>
                <c:pt idx="158">
                  <c:v>659.23094785714295</c:v>
                </c:pt>
                <c:pt idx="159">
                  <c:v>597.04347200000007</c:v>
                </c:pt>
                <c:pt idx="160">
                  <c:v>492.40773585714288</c:v>
                </c:pt>
                <c:pt idx="161">
                  <c:v>607.84007742857136</c:v>
                </c:pt>
                <c:pt idx="162">
                  <c:v>574.94896057142864</c:v>
                </c:pt>
                <c:pt idx="163">
                  <c:v>572.84156657142853</c:v>
                </c:pt>
                <c:pt idx="164">
                  <c:v>566.69867299999999</c:v>
                </c:pt>
                <c:pt idx="165">
                  <c:v>531.59013928571426</c:v>
                </c:pt>
                <c:pt idx="166">
                  <c:v>521.90574028571427</c:v>
                </c:pt>
                <c:pt idx="167">
                  <c:v>560.8425884285715</c:v>
                </c:pt>
                <c:pt idx="168">
                  <c:v>614.74915028571434</c:v>
                </c:pt>
                <c:pt idx="169">
                  <c:v>792.97028628571422</c:v>
                </c:pt>
                <c:pt idx="170">
                  <c:v>953.03097957142847</c:v>
                </c:pt>
                <c:pt idx="171">
                  <c:v>893.42243871428582</c:v>
                </c:pt>
              </c:numCache>
            </c:numRef>
          </c:val>
          <c:smooth val="0"/>
          <c:extLst>
            <c:ext xmlns:c16="http://schemas.microsoft.com/office/drawing/2014/chart" uri="{C3380CC4-5D6E-409C-BE32-E72D297353CC}">
              <c16:uniqueId val="{00000000-C84F-4736-9984-23FB9680FC4A}"/>
            </c:ext>
          </c:extLst>
        </c:ser>
        <c:dLbls>
          <c:showLegendKey val="0"/>
          <c:showVal val="0"/>
          <c:showCatName val="0"/>
          <c:showSerName val="0"/>
          <c:showPercent val="0"/>
          <c:showBubbleSize val="0"/>
        </c:dLbls>
        <c:smooth val="0"/>
        <c:axId val="204871647"/>
        <c:axId val="204873087"/>
      </c:lineChart>
      <c:dateAx>
        <c:axId val="204871647"/>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04873087"/>
        <c:crosses val="autoZero"/>
        <c:auto val="1"/>
        <c:lblOffset val="100"/>
        <c:baseTimeUnit val="days"/>
      </c:dateAx>
      <c:valAx>
        <c:axId val="20487308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048716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e352c5-a0a5-4aff-9101-fc8c076df9f7" xsi:nil="true"/>
    <lcf76f155ced4ddcb4097134ff3c332f xmlns="52f50d89-700a-49c3-acb1-cc45863f80d1">
      <Terms xmlns="http://schemas.microsoft.com/office/infopath/2007/PartnerControls"/>
    </lcf76f155ced4ddcb4097134ff3c332f>
    <SharedWithUsers xmlns="c5e352c5-a0a5-4aff-9101-fc8c076df9f7">
      <UserInfo>
        <DisplayName>Adriana Maria Jimenez Delgado</DisplayName>
        <AccountId>104</AccountId>
        <AccountType/>
      </UserInfo>
      <UserInfo>
        <DisplayName>Natasha Avendano Garcia</DisplayName>
        <AccountId>79</AccountId>
        <AccountType/>
      </UserInfo>
      <UserInfo>
        <DisplayName>Magaly Echeverria</DisplayName>
        <AccountId>17</AccountId>
        <AccountType/>
      </UserInfo>
      <UserInfo>
        <DisplayName>Jose Benigno Aragon Aldana</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CDD0B26ABEDD0459BD4267A57D8442E" ma:contentTypeVersion="17" ma:contentTypeDescription="Crear nuevo documento." ma:contentTypeScope="" ma:versionID="d2cb70e79c00bed14d5a5536c55124d2">
  <xsd:schema xmlns:xsd="http://www.w3.org/2001/XMLSchema" xmlns:xs="http://www.w3.org/2001/XMLSchema" xmlns:p="http://schemas.microsoft.com/office/2006/metadata/properties" xmlns:ns2="52f50d89-700a-49c3-acb1-cc45863f80d1" xmlns:ns3="c5e352c5-a0a5-4aff-9101-fc8c076df9f7" targetNamespace="http://schemas.microsoft.com/office/2006/metadata/properties" ma:root="true" ma:fieldsID="c18c26698dd5add1dafe0ebada72a9fc" ns2:_="" ns3:_="">
    <xsd:import namespace="52f50d89-700a-49c3-acb1-cc45863f80d1"/>
    <xsd:import namespace="c5e352c5-a0a5-4aff-9101-fc8c076df9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0d89-700a-49c3-acb1-cc45863f8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352c5-a0a5-4aff-9101-fc8c076df9f7"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c4f91114-da55-458f-b2e4-07801fb3de9c}" ma:internalName="TaxCatchAll" ma:showField="CatchAllData" ma:web="c5e352c5-a0a5-4aff-9101-fc8c076df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2C2A0-52CB-4C21-A8D7-52A7897ACE00}">
  <ds:schemaRefs>
    <ds:schemaRef ds:uri="http://schemas.microsoft.com/office/2006/metadata/properties"/>
    <ds:schemaRef ds:uri="http://schemas.microsoft.com/office/infopath/2007/PartnerControls"/>
    <ds:schemaRef ds:uri="c5e352c5-a0a5-4aff-9101-fc8c076df9f7"/>
    <ds:schemaRef ds:uri="52f50d89-700a-49c3-acb1-cc45863f80d1"/>
  </ds:schemaRefs>
</ds:datastoreItem>
</file>

<file path=customXml/itemProps2.xml><?xml version="1.0" encoding="utf-8"?>
<ds:datastoreItem xmlns:ds="http://schemas.openxmlformats.org/officeDocument/2006/customXml" ds:itemID="{4FE8FD2D-F031-4900-8BF4-70566EB1B898}">
  <ds:schemaRefs>
    <ds:schemaRef ds:uri="http://schemas.microsoft.com/sharepoint/v3/contenttype/forms"/>
  </ds:schemaRefs>
</ds:datastoreItem>
</file>

<file path=customXml/itemProps3.xml><?xml version="1.0" encoding="utf-8"?>
<ds:datastoreItem xmlns:ds="http://schemas.openxmlformats.org/officeDocument/2006/customXml" ds:itemID="{3FFD75E4-571D-4F8F-863D-C409B3616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0d89-700a-49c3-acb1-cc45863f80d1"/>
    <ds:schemaRef ds:uri="c5e352c5-a0a5-4aff-9101-fc8c076d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7FEABF-8546-40C1-912C-299D5C53D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36</Pages>
  <Words>13310</Words>
  <Characters>73210</Characters>
  <Application>Microsoft Office Word</Application>
  <DocSecurity>0</DocSecurity>
  <Lines>610</Lines>
  <Paragraphs>172</Paragraphs>
  <ScaleCrop>false</ScaleCrop>
  <HeadingPairs>
    <vt:vector size="2" baseType="variant">
      <vt:variant>
        <vt:lpstr>Título</vt:lpstr>
      </vt:variant>
      <vt:variant>
        <vt:i4>1</vt:i4>
      </vt:variant>
    </vt:vector>
  </HeadingPairs>
  <TitlesOfParts>
    <vt:vector size="1" baseType="lpstr">
      <vt:lpstr>3 espacios (Interlineado sencillo)</vt:lpstr>
    </vt:vector>
  </TitlesOfParts>
  <Company>CREG</Company>
  <LinksUpToDate>false</LinksUpToDate>
  <CharactersWithSpaces>86348</CharactersWithSpaces>
  <SharedDoc>false</SharedDoc>
  <HLinks>
    <vt:vector size="108" baseType="variant">
      <vt:variant>
        <vt:i4>1703994</vt:i4>
      </vt:variant>
      <vt:variant>
        <vt:i4>92</vt:i4>
      </vt:variant>
      <vt:variant>
        <vt:i4>0</vt:i4>
      </vt:variant>
      <vt:variant>
        <vt:i4>5</vt:i4>
      </vt:variant>
      <vt:variant>
        <vt:lpwstr/>
      </vt:variant>
      <vt:variant>
        <vt:lpwstr>_Toc150524995</vt:lpwstr>
      </vt:variant>
      <vt:variant>
        <vt:i4>1703994</vt:i4>
      </vt:variant>
      <vt:variant>
        <vt:i4>86</vt:i4>
      </vt:variant>
      <vt:variant>
        <vt:i4>0</vt:i4>
      </vt:variant>
      <vt:variant>
        <vt:i4>5</vt:i4>
      </vt:variant>
      <vt:variant>
        <vt:lpwstr/>
      </vt:variant>
      <vt:variant>
        <vt:lpwstr>_Toc150524994</vt:lpwstr>
      </vt:variant>
      <vt:variant>
        <vt:i4>1703994</vt:i4>
      </vt:variant>
      <vt:variant>
        <vt:i4>80</vt:i4>
      </vt:variant>
      <vt:variant>
        <vt:i4>0</vt:i4>
      </vt:variant>
      <vt:variant>
        <vt:i4>5</vt:i4>
      </vt:variant>
      <vt:variant>
        <vt:lpwstr/>
      </vt:variant>
      <vt:variant>
        <vt:lpwstr>_Toc150524993</vt:lpwstr>
      </vt:variant>
      <vt:variant>
        <vt:i4>1703994</vt:i4>
      </vt:variant>
      <vt:variant>
        <vt:i4>74</vt:i4>
      </vt:variant>
      <vt:variant>
        <vt:i4>0</vt:i4>
      </vt:variant>
      <vt:variant>
        <vt:i4>5</vt:i4>
      </vt:variant>
      <vt:variant>
        <vt:lpwstr/>
      </vt:variant>
      <vt:variant>
        <vt:lpwstr>_Toc150524992</vt:lpwstr>
      </vt:variant>
      <vt:variant>
        <vt:i4>1703994</vt:i4>
      </vt:variant>
      <vt:variant>
        <vt:i4>68</vt:i4>
      </vt:variant>
      <vt:variant>
        <vt:i4>0</vt:i4>
      </vt:variant>
      <vt:variant>
        <vt:i4>5</vt:i4>
      </vt:variant>
      <vt:variant>
        <vt:lpwstr/>
      </vt:variant>
      <vt:variant>
        <vt:lpwstr>_Toc150524991</vt:lpwstr>
      </vt:variant>
      <vt:variant>
        <vt:i4>1703994</vt:i4>
      </vt:variant>
      <vt:variant>
        <vt:i4>62</vt:i4>
      </vt:variant>
      <vt:variant>
        <vt:i4>0</vt:i4>
      </vt:variant>
      <vt:variant>
        <vt:i4>5</vt:i4>
      </vt:variant>
      <vt:variant>
        <vt:lpwstr/>
      </vt:variant>
      <vt:variant>
        <vt:lpwstr>_Toc150524990</vt:lpwstr>
      </vt:variant>
      <vt:variant>
        <vt:i4>1769530</vt:i4>
      </vt:variant>
      <vt:variant>
        <vt:i4>56</vt:i4>
      </vt:variant>
      <vt:variant>
        <vt:i4>0</vt:i4>
      </vt:variant>
      <vt:variant>
        <vt:i4>5</vt:i4>
      </vt:variant>
      <vt:variant>
        <vt:lpwstr/>
      </vt:variant>
      <vt:variant>
        <vt:lpwstr>_Toc150524989</vt:lpwstr>
      </vt:variant>
      <vt:variant>
        <vt:i4>1769530</vt:i4>
      </vt:variant>
      <vt:variant>
        <vt:i4>50</vt:i4>
      </vt:variant>
      <vt:variant>
        <vt:i4>0</vt:i4>
      </vt:variant>
      <vt:variant>
        <vt:i4>5</vt:i4>
      </vt:variant>
      <vt:variant>
        <vt:lpwstr/>
      </vt:variant>
      <vt:variant>
        <vt:lpwstr>_Toc150524988</vt:lpwstr>
      </vt:variant>
      <vt:variant>
        <vt:i4>1769530</vt:i4>
      </vt:variant>
      <vt:variant>
        <vt:i4>44</vt:i4>
      </vt:variant>
      <vt:variant>
        <vt:i4>0</vt:i4>
      </vt:variant>
      <vt:variant>
        <vt:i4>5</vt:i4>
      </vt:variant>
      <vt:variant>
        <vt:lpwstr/>
      </vt:variant>
      <vt:variant>
        <vt:lpwstr>_Toc150524987</vt:lpwstr>
      </vt:variant>
      <vt:variant>
        <vt:i4>1769530</vt:i4>
      </vt:variant>
      <vt:variant>
        <vt:i4>38</vt:i4>
      </vt:variant>
      <vt:variant>
        <vt:i4>0</vt:i4>
      </vt:variant>
      <vt:variant>
        <vt:i4>5</vt:i4>
      </vt:variant>
      <vt:variant>
        <vt:lpwstr/>
      </vt:variant>
      <vt:variant>
        <vt:lpwstr>_Toc150524986</vt:lpwstr>
      </vt:variant>
      <vt:variant>
        <vt:i4>1769530</vt:i4>
      </vt:variant>
      <vt:variant>
        <vt:i4>32</vt:i4>
      </vt:variant>
      <vt:variant>
        <vt:i4>0</vt:i4>
      </vt:variant>
      <vt:variant>
        <vt:i4>5</vt:i4>
      </vt:variant>
      <vt:variant>
        <vt:lpwstr/>
      </vt:variant>
      <vt:variant>
        <vt:lpwstr>_Toc150524985</vt:lpwstr>
      </vt:variant>
      <vt:variant>
        <vt:i4>1769530</vt:i4>
      </vt:variant>
      <vt:variant>
        <vt:i4>26</vt:i4>
      </vt:variant>
      <vt:variant>
        <vt:i4>0</vt:i4>
      </vt:variant>
      <vt:variant>
        <vt:i4>5</vt:i4>
      </vt:variant>
      <vt:variant>
        <vt:lpwstr/>
      </vt:variant>
      <vt:variant>
        <vt:lpwstr>_Toc150524984</vt:lpwstr>
      </vt:variant>
      <vt:variant>
        <vt:i4>1769530</vt:i4>
      </vt:variant>
      <vt:variant>
        <vt:i4>20</vt:i4>
      </vt:variant>
      <vt:variant>
        <vt:i4>0</vt:i4>
      </vt:variant>
      <vt:variant>
        <vt:i4>5</vt:i4>
      </vt:variant>
      <vt:variant>
        <vt:lpwstr/>
      </vt:variant>
      <vt:variant>
        <vt:lpwstr>_Toc150524983</vt:lpwstr>
      </vt:variant>
      <vt:variant>
        <vt:i4>1769530</vt:i4>
      </vt:variant>
      <vt:variant>
        <vt:i4>14</vt:i4>
      </vt:variant>
      <vt:variant>
        <vt:i4>0</vt:i4>
      </vt:variant>
      <vt:variant>
        <vt:i4>5</vt:i4>
      </vt:variant>
      <vt:variant>
        <vt:lpwstr/>
      </vt:variant>
      <vt:variant>
        <vt:lpwstr>_Toc150524982</vt:lpwstr>
      </vt:variant>
      <vt:variant>
        <vt:i4>1769530</vt:i4>
      </vt:variant>
      <vt:variant>
        <vt:i4>8</vt:i4>
      </vt:variant>
      <vt:variant>
        <vt:i4>0</vt:i4>
      </vt:variant>
      <vt:variant>
        <vt:i4>5</vt:i4>
      </vt:variant>
      <vt:variant>
        <vt:lpwstr/>
      </vt:variant>
      <vt:variant>
        <vt:lpwstr>_Toc150524981</vt:lpwstr>
      </vt:variant>
      <vt:variant>
        <vt:i4>1769530</vt:i4>
      </vt:variant>
      <vt:variant>
        <vt:i4>2</vt:i4>
      </vt:variant>
      <vt:variant>
        <vt:i4>0</vt:i4>
      </vt:variant>
      <vt:variant>
        <vt:i4>5</vt:i4>
      </vt:variant>
      <vt:variant>
        <vt:lpwstr/>
      </vt:variant>
      <vt:variant>
        <vt:lpwstr>_Toc150524980</vt:lpwstr>
      </vt:variant>
      <vt:variant>
        <vt:i4>7077922</vt:i4>
      </vt:variant>
      <vt:variant>
        <vt:i4>3</vt:i4>
      </vt:variant>
      <vt:variant>
        <vt:i4>0</vt:i4>
      </vt:variant>
      <vt:variant>
        <vt:i4>5</vt:i4>
      </vt:variant>
      <vt:variant>
        <vt:lpwstr>https://sinergox.xm.com.co/dmnd/Paginas/Informes/VariacionDemandaComercial.aspx</vt:lpwstr>
      </vt:variant>
      <vt:variant>
        <vt:lpwstr/>
      </vt:variant>
      <vt:variant>
        <vt:i4>7864357</vt:i4>
      </vt:variant>
      <vt:variant>
        <vt:i4>0</vt:i4>
      </vt:variant>
      <vt:variant>
        <vt:i4>0</vt:i4>
      </vt:variant>
      <vt:variant>
        <vt:i4>5</vt:i4>
      </vt:variant>
      <vt:variant>
        <vt:lpwstr>https://sinergox.xm.com.co/hdrlg/Paginas/Informes/ReservasHidricasSIN.aspx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espacios (Interlineado sencillo)</dc:title>
  <dc:subject/>
  <dc:creator>Creg189</dc:creator>
  <cp:keywords/>
  <dc:description/>
  <cp:lastModifiedBy>Eliana Rodriguez Fonseca</cp:lastModifiedBy>
  <cp:revision>3</cp:revision>
  <cp:lastPrinted>2024-04-17T21:11:00Z</cp:lastPrinted>
  <dcterms:created xsi:type="dcterms:W3CDTF">2024-04-17T21:06:00Z</dcterms:created>
  <dcterms:modified xsi:type="dcterms:W3CDTF">2024-04-17T21:11:00Z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0x010100DCDD0B26ABEDD0459BD4267A57D8442E</vt:lpwstr>
  </property>
  <property fmtid="{D5CDD505-2E9C-101B-9397-08002B2CF9AE}" pid="3" name="MediaServiceImageTags">
    <vt:lpwstr/>
  </property>
</Properties>
</file>