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70A74" w14:textId="11E27533" w:rsidR="00625DC6" w:rsidRPr="00E060BE" w:rsidRDefault="003116CB" w:rsidP="009E31AE">
      <w:pPr>
        <w:pStyle w:val="Encabezado"/>
        <w:tabs>
          <w:tab w:val="clear" w:pos="8504"/>
          <w:tab w:val="left" w:pos="0"/>
          <w:tab w:val="right" w:pos="9356"/>
        </w:tabs>
        <w:ind w:left="0"/>
        <w:jc w:val="center"/>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17.6pt;margin-top:-48.65pt;width:38.9pt;height:39.05pt;z-index:251658240;mso-wrap-edited:f;mso-width-percent:0;mso-height-percent:0;mso-width-percent:0;mso-height-percent:0" fillcolor="#0c9">
            <v:imagedata r:id="rId11" o:title=""/>
          </v:shape>
          <o:OLEObject Type="Embed" ProgID="PBrush" ShapeID="_x0000_s1026" DrawAspect="Content" ObjectID="_1774590650" r:id="rId12"/>
        </w:object>
      </w: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0E1DADB9" w:rsidR="00A06511" w:rsidRPr="00143851" w:rsidRDefault="007F0EAA" w:rsidP="29CD7EC5">
      <w:pPr>
        <w:pStyle w:val="Ttulo5"/>
        <w:tabs>
          <w:tab w:val="right" w:pos="9356"/>
        </w:tabs>
        <w:ind w:left="0"/>
        <w:rPr>
          <w:rFonts w:ascii="Bookman Old Style" w:hAnsi="Bookman Old Style"/>
          <w:color w:val="auto"/>
          <w:sz w:val="24"/>
          <w:szCs w:val="24"/>
        </w:rPr>
      </w:pPr>
      <w:r>
        <w:rPr>
          <w:rFonts w:ascii="Bookman Old Style" w:hAnsi="Bookman Old Style"/>
          <w:sz w:val="24"/>
          <w:szCs w:val="24"/>
        </w:rPr>
        <w:t xml:space="preserve">PROYECTO DE </w:t>
      </w:r>
      <w:r w:rsidR="00A06511" w:rsidRPr="00E060BE">
        <w:rPr>
          <w:rFonts w:ascii="Bookman Old Style" w:hAnsi="Bookman Old Style"/>
          <w:sz w:val="24"/>
          <w:szCs w:val="24"/>
        </w:rPr>
        <w:t>RESOLUCIÓN No</w:t>
      </w:r>
      <w:r w:rsidR="00BA2D1E">
        <w:rPr>
          <w:rFonts w:ascii="Bookman Old Style" w:hAnsi="Bookman Old Style"/>
          <w:sz w:val="24"/>
          <w:szCs w:val="24"/>
        </w:rPr>
        <w:t xml:space="preserve">. </w:t>
      </w:r>
      <w:r w:rsidR="00BA2D1E" w:rsidRPr="00BA2D1E">
        <w:rPr>
          <w:rFonts w:ascii="Bookman Old Style" w:hAnsi="Bookman Old Style"/>
          <w:szCs w:val="28"/>
        </w:rPr>
        <w:t xml:space="preserve">701 036 </w:t>
      </w:r>
      <w:r w:rsidR="0054763E" w:rsidRPr="00BA2D1E">
        <w:rPr>
          <w:rFonts w:ascii="Bookman Old Style" w:hAnsi="Bookman Old Style"/>
          <w:szCs w:val="28"/>
        </w:rPr>
        <w:t xml:space="preserve">DE </w:t>
      </w:r>
      <w:r w:rsidR="0054763E" w:rsidRPr="00BA2D1E">
        <w:rPr>
          <w:rFonts w:ascii="Bookman Old Style" w:hAnsi="Bookman Old Style"/>
          <w:szCs w:val="28"/>
        </w:rPr>
        <w:fldChar w:fldCharType="begin"/>
      </w:r>
      <w:r w:rsidR="0054763E" w:rsidRPr="00BA2D1E">
        <w:rPr>
          <w:rFonts w:ascii="Bookman Old Style" w:hAnsi="Bookman Old Style"/>
          <w:szCs w:val="28"/>
        </w:rPr>
        <w:instrText xml:space="preserve"> MERGEFIELD  Anio  \* MERGEFORMAT </w:instrText>
      </w:r>
      <w:r w:rsidR="0054763E" w:rsidRPr="00BA2D1E">
        <w:rPr>
          <w:rFonts w:ascii="Bookman Old Style" w:hAnsi="Bookman Old Style"/>
          <w:szCs w:val="28"/>
        </w:rPr>
        <w:fldChar w:fldCharType="separate"/>
      </w:r>
      <w:r w:rsidR="0054763E" w:rsidRPr="00BA2D1E">
        <w:rPr>
          <w:rFonts w:ascii="Bookman Old Style" w:hAnsi="Bookman Old Style"/>
          <w:noProof/>
          <w:szCs w:val="28"/>
        </w:rPr>
        <w:t>2024</w:t>
      </w:r>
      <w:r w:rsidR="0054763E" w:rsidRPr="00BA2D1E">
        <w:rPr>
          <w:rFonts w:ascii="Bookman Old Style" w:hAnsi="Bookman Old Style"/>
          <w:szCs w:val="28"/>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0300EA40" w:rsidR="00CA77FB" w:rsidRPr="007F0EAA" w:rsidRDefault="0054763E" w:rsidP="29CD7EC5">
      <w:pPr>
        <w:pStyle w:val="Ttulo3"/>
        <w:tabs>
          <w:tab w:val="right" w:pos="9356"/>
        </w:tabs>
        <w:ind w:left="0"/>
        <w:rPr>
          <w:rFonts w:ascii="Bookman Old Style" w:hAnsi="Bookman Old Style"/>
          <w:lang w:val="es-ES"/>
        </w:rPr>
      </w:pPr>
      <w:r w:rsidRPr="29CD7EC5">
        <w:rPr>
          <w:rFonts w:ascii="Bookman Old Style" w:hAnsi="Bookman Old Style"/>
          <w:lang w:val="es-ES"/>
        </w:rPr>
        <w:t>(</w:t>
      </w:r>
      <w:r>
        <w:rPr>
          <w:rFonts w:ascii="Bookman Old Style" w:hAnsi="Bookman Old Style"/>
          <w:lang w:val="es-ES"/>
        </w:rPr>
        <w:t>13</w:t>
      </w:r>
      <w:r w:rsidRPr="29CD7EC5">
        <w:rPr>
          <w:rFonts w:ascii="Bookman Old Style" w:hAnsi="Bookman Old Style"/>
          <w:lang w:val="es-ES"/>
        </w:rPr>
        <w:t xml:space="preserve"> </w:t>
      </w:r>
      <w:r>
        <w:rPr>
          <w:rFonts w:ascii="Bookman Old Style" w:hAnsi="Bookman Old Style"/>
          <w:lang w:val="es-ES"/>
        </w:rPr>
        <w:t>ABR</w:t>
      </w:r>
      <w:r w:rsidR="007F0EAA" w:rsidRPr="29CD7EC5">
        <w:rPr>
          <w:rFonts w:ascii="Bookman Old Style" w:hAnsi="Bookman Old Style"/>
          <w:lang w:val="es-ES"/>
        </w:rPr>
        <w:t>. 202</w:t>
      </w:r>
      <w:r w:rsidR="003A391C" w:rsidRPr="29CD7EC5">
        <w:rPr>
          <w:rFonts w:ascii="Bookman Old Style" w:hAnsi="Bookman Old Style"/>
          <w:lang w:val="es-ES"/>
        </w:rPr>
        <w:t>4</w:t>
      </w:r>
      <w:r w:rsidR="00CA77FB" w:rsidRPr="29CD7EC5">
        <w:rPr>
          <w:rFonts w:ascii="Bookman Old Style" w:hAnsi="Bookman Old Style"/>
          <w:lang w:val="es-ES"/>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15E9E4D6" w14:textId="4DA5051A" w:rsidR="004063E9" w:rsidRPr="004D3CB9" w:rsidRDefault="004063E9" w:rsidP="004063E9">
      <w:pPr>
        <w:ind w:left="0"/>
        <w:contextualSpacing/>
        <w:jc w:val="both"/>
        <w:rPr>
          <w:rFonts w:ascii="Bookman Old Style" w:hAnsi="Bookman Old Style"/>
        </w:rPr>
      </w:pPr>
      <w:r w:rsidRPr="00955703">
        <w:rPr>
          <w:rFonts w:ascii="Bookman Old Style" w:hAnsi="Bookman Old Style"/>
        </w:rPr>
        <w:t xml:space="preserve">La </w:t>
      </w:r>
      <w:r w:rsidRPr="00955703">
        <w:rPr>
          <w:rFonts w:ascii="Bookman Old Style" w:hAnsi="Bookman Old Style" w:cs="Arial"/>
        </w:rPr>
        <w:t>Comisión</w:t>
      </w:r>
      <w:r w:rsidRPr="00955703">
        <w:rPr>
          <w:rFonts w:ascii="Bookman Old Style" w:hAnsi="Bookman Old Style"/>
        </w:rPr>
        <w:t xml:space="preserve"> de Regulación de Energía y Gas, en su sesión No. </w:t>
      </w:r>
      <w:r w:rsidR="00046969">
        <w:rPr>
          <w:rFonts w:ascii="Bookman Old Style" w:hAnsi="Bookman Old Style"/>
        </w:rPr>
        <w:t>1308</w:t>
      </w:r>
      <w:r w:rsidR="00046969" w:rsidRPr="00955703">
        <w:rPr>
          <w:rFonts w:ascii="Bookman Old Style" w:hAnsi="Bookman Old Style"/>
        </w:rPr>
        <w:t xml:space="preserve"> </w:t>
      </w:r>
      <w:r w:rsidRPr="00955703">
        <w:rPr>
          <w:rFonts w:ascii="Bookman Old Style" w:hAnsi="Bookman Old Style"/>
        </w:rPr>
        <w:t xml:space="preserve">del </w:t>
      </w:r>
      <w:r w:rsidR="009002ED">
        <w:rPr>
          <w:rFonts w:ascii="Bookman Old Style" w:hAnsi="Bookman Old Style"/>
        </w:rPr>
        <w:t>13</w:t>
      </w:r>
      <w:r w:rsidR="009002ED" w:rsidRPr="00955703">
        <w:rPr>
          <w:rFonts w:ascii="Bookman Old Style" w:hAnsi="Bookman Old Style"/>
        </w:rPr>
        <w:t xml:space="preserve"> </w:t>
      </w:r>
      <w:r w:rsidRPr="00955703">
        <w:rPr>
          <w:rFonts w:ascii="Bookman Old Style" w:hAnsi="Bookman Old Style"/>
        </w:rPr>
        <w:t xml:space="preserve">de </w:t>
      </w:r>
      <w:r w:rsidR="003A391C" w:rsidRPr="00143851">
        <w:rPr>
          <w:rFonts w:ascii="Bookman Old Style" w:hAnsi="Bookman Old Style"/>
        </w:rPr>
        <w:t>abril</w:t>
      </w:r>
      <w:r w:rsidRPr="00955703">
        <w:rPr>
          <w:rFonts w:ascii="Bookman Old Style" w:hAnsi="Bookman Old Style"/>
        </w:rPr>
        <w:t xml:space="preserve"> de 202</w:t>
      </w:r>
      <w:r w:rsidR="003A391C">
        <w:rPr>
          <w:rFonts w:ascii="Bookman Old Style" w:hAnsi="Bookman Old Style"/>
        </w:rPr>
        <w:t>4</w:t>
      </w:r>
      <w:r w:rsidRPr="00955703">
        <w:rPr>
          <w:rFonts w:ascii="Bookman Old Style" w:hAnsi="Bookman Old Style"/>
        </w:rPr>
        <w:t xml:space="preserve">, aprobó someter a consulta pública el presente proyecto de resolución </w:t>
      </w:r>
      <w:r w:rsidR="00046969">
        <w:rPr>
          <w:rFonts w:ascii="Bookman Old Style" w:hAnsi="Bookman Old Style"/>
        </w:rPr>
        <w:t>hasta el día lunes 15 de abril a las 10 a.m.</w:t>
      </w:r>
    </w:p>
    <w:p w14:paraId="48FCA309" w14:textId="77777777" w:rsidR="004063E9" w:rsidRPr="004D3CB9" w:rsidRDefault="004063E9" w:rsidP="004063E9">
      <w:pPr>
        <w:ind w:left="0"/>
        <w:contextualSpacing/>
        <w:jc w:val="both"/>
        <w:rPr>
          <w:rFonts w:ascii="Bookman Old Style" w:hAnsi="Bookman Old Style"/>
        </w:rPr>
      </w:pPr>
    </w:p>
    <w:p w14:paraId="1F075A14" w14:textId="77777777" w:rsidR="004063E9" w:rsidRPr="004D3CB9" w:rsidRDefault="004063E9" w:rsidP="004063E9">
      <w:pPr>
        <w:ind w:left="0"/>
        <w:contextualSpacing/>
        <w:jc w:val="both"/>
        <w:rPr>
          <w:rFonts w:ascii="Bookman Old Style" w:hAnsi="Bookman Old Style" w:cs="Arial"/>
          <w:color w:val="000000"/>
        </w:rPr>
      </w:pPr>
      <w:r w:rsidRPr="004D3CB9">
        <w:rPr>
          <w:rFonts w:ascii="Bookman Old Style" w:hAnsi="Bookman Old Style" w:cs="Arial"/>
          <w:color w:val="000000"/>
        </w:rPr>
        <w:t xml:space="preserve">Se invita a los agentes, a los usuarios, </w:t>
      </w:r>
      <w:r w:rsidRPr="004D3CB9">
        <w:rPr>
          <w:rFonts w:ascii="Bookman Old Style" w:hAnsi="Bookman Old Style" w:cs="Arial"/>
        </w:rPr>
        <w:t>a las autoridades locales municipales y departamentales competentes,</w:t>
      </w:r>
      <w:r w:rsidRPr="004D3CB9">
        <w:rPr>
          <w:rFonts w:ascii="Bookman Old Style" w:hAnsi="Bookman Old Style" w:cs="Arial"/>
          <w:color w:val="000000"/>
        </w:rPr>
        <w:t xml:space="preserve"> a la Superintendencia de Servicios Públicos Domiciliarios y demás interesados, para que remitan sus observaciones o sugerencias sobre la propuesta, dentro del plazo establecido.</w:t>
      </w:r>
    </w:p>
    <w:p w14:paraId="78176184" w14:textId="77777777" w:rsidR="004063E9" w:rsidRPr="004D3CB9" w:rsidRDefault="004063E9" w:rsidP="004063E9">
      <w:pPr>
        <w:ind w:left="0"/>
        <w:contextualSpacing/>
        <w:jc w:val="both"/>
        <w:rPr>
          <w:rFonts w:ascii="Bookman Old Style" w:hAnsi="Bookman Old Style" w:cs="Arial"/>
          <w:color w:val="000000"/>
        </w:rPr>
      </w:pPr>
    </w:p>
    <w:p w14:paraId="34050442" w14:textId="4283FBED" w:rsidR="004063E9" w:rsidRPr="004D3CB9" w:rsidRDefault="004063E9" w:rsidP="004063E9">
      <w:pPr>
        <w:ind w:left="0"/>
        <w:contextualSpacing/>
        <w:jc w:val="both"/>
        <w:rPr>
          <w:rFonts w:ascii="Bookman Old Style" w:hAnsi="Bookman Old Style"/>
        </w:rPr>
      </w:pPr>
      <w:r w:rsidRPr="004D3CB9">
        <w:rPr>
          <w:rFonts w:ascii="Bookman Old Style" w:hAnsi="Bookman Old Style"/>
        </w:rPr>
        <w:t xml:space="preserve">Los interesados podrán dirigir sus comentarios al </w:t>
      </w:r>
      <w:r>
        <w:rPr>
          <w:rFonts w:ascii="Bookman Old Style" w:hAnsi="Bookman Old Style"/>
        </w:rPr>
        <w:t>d</w:t>
      </w:r>
      <w:r w:rsidRPr="004D3CB9">
        <w:rPr>
          <w:rFonts w:ascii="Bookman Old Style" w:hAnsi="Bookman Old Style"/>
        </w:rPr>
        <w:t xml:space="preserve">irector </w:t>
      </w:r>
      <w:r>
        <w:rPr>
          <w:rFonts w:ascii="Bookman Old Style" w:hAnsi="Bookman Old Style"/>
        </w:rPr>
        <w:t>e</w:t>
      </w:r>
      <w:r w:rsidRPr="004D3CB9">
        <w:rPr>
          <w:rFonts w:ascii="Bookman Old Style" w:hAnsi="Bookman Old Style"/>
        </w:rPr>
        <w:t xml:space="preserve">jecutivo de la Comisión de Regulación de Energía y Gas, al correo electrónico </w:t>
      </w:r>
      <w:hyperlink r:id="rId13" w:history="1">
        <w:r w:rsidRPr="004D3CB9">
          <w:rPr>
            <w:rStyle w:val="Hipervnculo"/>
            <w:rFonts w:ascii="Bookman Old Style" w:hAnsi="Bookman Old Style"/>
          </w:rPr>
          <w:t>creg@creg.gov.co</w:t>
        </w:r>
      </w:hyperlink>
      <w:r w:rsidRPr="004D3CB9">
        <w:rPr>
          <w:rFonts w:ascii="Bookman Old Style" w:hAnsi="Bookman Old Style"/>
        </w:rPr>
        <w:t xml:space="preserve">, identificando el mensaje con el siguiente asunto </w:t>
      </w:r>
      <w:r w:rsidRPr="004D3CB9">
        <w:rPr>
          <w:rFonts w:ascii="Bookman Old Style" w:hAnsi="Bookman Old Style"/>
          <w:i/>
          <w:iCs/>
        </w:rPr>
        <w:t xml:space="preserve">“Comentarios </w:t>
      </w:r>
      <w:r w:rsidR="00567BA4">
        <w:rPr>
          <w:rFonts w:ascii="Bookman Old Style" w:hAnsi="Bookman Old Style"/>
          <w:i/>
          <w:iCs/>
        </w:rPr>
        <w:t xml:space="preserve">a la propuesta </w:t>
      </w:r>
      <w:r w:rsidR="00AC2BD8" w:rsidRPr="00AC2BD8">
        <w:rPr>
          <w:rFonts w:ascii="Bookman Old Style" w:hAnsi="Bookman Old Style"/>
          <w:i/>
          <w:iCs/>
        </w:rPr>
        <w:t>Por la cual se amplía el ámbito de aplicación de las medidas transitorias sobre los mecanismos de cubrimiento para las transacciones del mercado de energía mayorista.</w:t>
      </w:r>
      <w:r w:rsidR="00AC2BD8">
        <w:rPr>
          <w:rFonts w:ascii="Bookman Old Style" w:hAnsi="Bookman Old Style"/>
          <w:i/>
          <w:iCs/>
        </w:rPr>
        <w:t>”</w:t>
      </w:r>
    </w:p>
    <w:p w14:paraId="3F8122D5" w14:textId="77777777" w:rsidR="004063E9" w:rsidRPr="004D3CB9" w:rsidRDefault="004063E9" w:rsidP="004063E9">
      <w:pPr>
        <w:ind w:left="0"/>
        <w:contextualSpacing/>
        <w:jc w:val="both"/>
        <w:rPr>
          <w:rFonts w:ascii="Bookman Old Style" w:hAnsi="Bookman Old Style"/>
        </w:rPr>
      </w:pPr>
    </w:p>
    <w:p w14:paraId="58220A76" w14:textId="6C3B6BEC" w:rsidR="004063E9" w:rsidRPr="004D3CB9" w:rsidRDefault="004063E9" w:rsidP="004063E9">
      <w:pPr>
        <w:ind w:left="0"/>
        <w:contextualSpacing/>
        <w:jc w:val="both"/>
        <w:rPr>
          <w:rFonts w:ascii="Bookman Old Style" w:hAnsi="Bookman Old Style"/>
        </w:rPr>
      </w:pPr>
      <w:r w:rsidRPr="00DE6FA2">
        <w:rPr>
          <w:rFonts w:ascii="Bookman Old Style" w:hAnsi="Bookman Old Style"/>
        </w:rPr>
        <w:t xml:space="preserve">Al vencimiento de la consulta pública, la CREG determinará si el proyecto debe ser informado a la Superintendencia de Industria y Comercio, para el ejercicio de la Abogacía de la Competencia, con fundamento en las disposiciones del Decreto 1074 de 2015, </w:t>
      </w:r>
      <w:r w:rsidR="00B737B8">
        <w:rPr>
          <w:rFonts w:ascii="Bookman Old Style" w:hAnsi="Bookman Old Style"/>
        </w:rPr>
        <w:t>a</w:t>
      </w:r>
      <w:r w:rsidRPr="00DE6FA2">
        <w:rPr>
          <w:rFonts w:ascii="Bookman Old Style" w:hAnsi="Bookman Old Style"/>
        </w:rPr>
        <w:t>rtículo 2.2.2.30.5.</w:t>
      </w:r>
    </w:p>
    <w:p w14:paraId="15A71B8E" w14:textId="77777777" w:rsidR="00B351B4" w:rsidRDefault="00B351B4" w:rsidP="00012259">
      <w:pPr>
        <w:ind w:left="0"/>
        <w:rPr>
          <w:rFonts w:ascii="Bookman Old Style" w:hAnsi="Bookman Old Style"/>
          <w:bCs/>
        </w:rPr>
      </w:pPr>
    </w:p>
    <w:p w14:paraId="3146BF43" w14:textId="77777777" w:rsidR="009E31AE" w:rsidRPr="004063E9" w:rsidRDefault="009E31AE" w:rsidP="00012259">
      <w:pPr>
        <w:ind w:left="0"/>
        <w:rPr>
          <w:rFonts w:ascii="Bookman Old Style" w:hAnsi="Bookman Old Style"/>
          <w:bCs/>
        </w:rPr>
      </w:pPr>
    </w:p>
    <w:p w14:paraId="3618A102" w14:textId="77777777" w:rsidR="004063E9" w:rsidRPr="00324CE2" w:rsidRDefault="004063E9" w:rsidP="004063E9">
      <w:pPr>
        <w:tabs>
          <w:tab w:val="left" w:pos="0"/>
          <w:tab w:val="right" w:pos="9356"/>
        </w:tabs>
        <w:ind w:left="0"/>
        <w:jc w:val="center"/>
        <w:rPr>
          <w:rFonts w:ascii="Bookman Old Style" w:hAnsi="Bookman Old Style"/>
          <w:b/>
          <w:bCs/>
          <w:lang w:val="es-ES_tradnl"/>
        </w:rPr>
      </w:pPr>
      <w:r w:rsidRPr="00324CE2">
        <w:rPr>
          <w:rFonts w:ascii="Bookman Old Style" w:hAnsi="Bookman Old Style"/>
          <w:b/>
          <w:bCs/>
          <w:lang w:val="es-ES_tradnl"/>
        </w:rPr>
        <w:t>PROYECTO DE RESOLUCIÓN</w:t>
      </w:r>
    </w:p>
    <w:p w14:paraId="69E592B4" w14:textId="77777777" w:rsidR="004063E9" w:rsidRDefault="004063E9" w:rsidP="004063E9">
      <w:pPr>
        <w:ind w:left="0"/>
        <w:jc w:val="center"/>
        <w:rPr>
          <w:rFonts w:ascii="Bookman Old Style" w:hAnsi="Bookman Old Style"/>
        </w:rPr>
      </w:pPr>
    </w:p>
    <w:p w14:paraId="273A0073" w14:textId="090A96CC" w:rsidR="004063E9" w:rsidRPr="00934A61" w:rsidRDefault="004063E9" w:rsidP="004063E9">
      <w:pPr>
        <w:ind w:left="0"/>
        <w:jc w:val="center"/>
        <w:rPr>
          <w:rFonts w:ascii="Bookman Old Style" w:hAnsi="Bookman Old Style"/>
        </w:rPr>
      </w:pPr>
      <w:r w:rsidRPr="00934A61">
        <w:rPr>
          <w:rFonts w:ascii="Bookman Old Style" w:hAnsi="Bookman Old Style"/>
        </w:rPr>
        <w:t>Por la cual se</w:t>
      </w:r>
      <w:r w:rsidR="00AC2BD8">
        <w:rPr>
          <w:rFonts w:ascii="Bookman Old Style" w:hAnsi="Bookman Old Style"/>
        </w:rPr>
        <w:t xml:space="preserve"> amplía el ámbito de aplicación </w:t>
      </w:r>
      <w:r w:rsidR="000C7574">
        <w:rPr>
          <w:rFonts w:ascii="Bookman Old Style" w:hAnsi="Bookman Old Style"/>
        </w:rPr>
        <w:t xml:space="preserve">y la vigencia </w:t>
      </w:r>
      <w:r w:rsidR="00AC2BD8">
        <w:rPr>
          <w:rFonts w:ascii="Bookman Old Style" w:hAnsi="Bookman Old Style"/>
        </w:rPr>
        <w:t xml:space="preserve">de las </w:t>
      </w:r>
      <w:r w:rsidRPr="00934A61">
        <w:rPr>
          <w:rFonts w:ascii="Bookman Old Style" w:hAnsi="Bookman Old Style"/>
        </w:rPr>
        <w:t>medidas transitorias sobre los mecanismos de cubrimiento para las transacciones del mercado de energía mayorista</w:t>
      </w:r>
      <w:r>
        <w:rPr>
          <w:rFonts w:ascii="Bookman Old Style" w:hAnsi="Bookman Old Style"/>
        </w:rPr>
        <w:t>.</w:t>
      </w:r>
    </w:p>
    <w:p w14:paraId="053FCB54" w14:textId="77777777" w:rsidR="00045D3D" w:rsidRDefault="00045D3D" w:rsidP="009E31AE">
      <w:pPr>
        <w:ind w:left="0" w:right="51"/>
        <w:rPr>
          <w:rFonts w:ascii="Bookman Old Style" w:hAnsi="Bookman Old Style"/>
        </w:rPr>
      </w:pPr>
    </w:p>
    <w:p w14:paraId="1A30C875" w14:textId="77777777" w:rsidR="009E31AE" w:rsidRDefault="009E31AE" w:rsidP="009E31AE">
      <w:pPr>
        <w:ind w:left="0" w:right="51"/>
        <w:rPr>
          <w:rFonts w:ascii="Bookman Old Style" w:hAnsi="Bookman Old Style"/>
        </w:rPr>
      </w:pPr>
    </w:p>
    <w:p w14:paraId="7B67FAFA" w14:textId="77777777" w:rsidR="00045D3D" w:rsidRPr="00C435C3" w:rsidRDefault="00045D3D" w:rsidP="009E31AE">
      <w:pPr>
        <w:ind w:left="0"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9E31AE">
      <w:pPr>
        <w:ind w:left="0" w:right="51"/>
        <w:rPr>
          <w:rFonts w:ascii="Bookman Old Style" w:hAnsi="Bookman Old Style"/>
        </w:rPr>
      </w:pPr>
    </w:p>
    <w:p w14:paraId="6EDA2283" w14:textId="77777777" w:rsidR="00045D3D" w:rsidRPr="00C435C3" w:rsidRDefault="00045D3D" w:rsidP="009E31AE">
      <w:pPr>
        <w:pStyle w:val="Textoindependiente3"/>
        <w:ind w:left="0" w:right="284"/>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y 143 de 1994, y en desarrollo de los </w:t>
      </w:r>
      <w:r w:rsidR="002352B9">
        <w:rPr>
          <w:rFonts w:ascii="Bookman Old Style" w:hAnsi="Bookman Old Style"/>
          <w:b w:val="0"/>
        </w:rPr>
        <w:t>d</w:t>
      </w:r>
      <w:r w:rsidRPr="00C435C3">
        <w:rPr>
          <w:rFonts w:ascii="Bookman Old Style" w:hAnsi="Bookman Old Style"/>
          <w:b w:val="0"/>
        </w:rPr>
        <w:t>ecretos 1524 y 2253 de 1994.</w:t>
      </w:r>
    </w:p>
    <w:p w14:paraId="416AEFF4" w14:textId="77777777" w:rsidR="00045D3D" w:rsidRDefault="00045D3D" w:rsidP="009E31AE">
      <w:pPr>
        <w:ind w:left="0" w:right="51"/>
        <w:rPr>
          <w:rFonts w:ascii="Bookman Old Style" w:hAnsi="Bookman Old Style"/>
        </w:rPr>
      </w:pPr>
    </w:p>
    <w:p w14:paraId="3E8440ED" w14:textId="77777777" w:rsidR="00045D3D" w:rsidRDefault="00045D3D" w:rsidP="009E31AE">
      <w:pPr>
        <w:ind w:left="0" w:right="51"/>
        <w:rPr>
          <w:rFonts w:ascii="Bookman Old Style" w:hAnsi="Bookman Old Style"/>
        </w:rPr>
      </w:pPr>
    </w:p>
    <w:p w14:paraId="72BBA367" w14:textId="6222135C" w:rsidR="00045D3D" w:rsidRPr="003A391C" w:rsidRDefault="00045D3D" w:rsidP="009E31AE">
      <w:pPr>
        <w:ind w:left="0" w:right="51"/>
        <w:jc w:val="center"/>
        <w:rPr>
          <w:rFonts w:ascii="Bookman Old Style" w:hAnsi="Bookman Old Style"/>
          <w:b/>
          <w:lang w:val="pt-BR"/>
        </w:rPr>
      </w:pPr>
      <w:r w:rsidRPr="003A391C">
        <w:rPr>
          <w:rFonts w:ascii="Bookman Old Style" w:hAnsi="Bookman Old Style"/>
          <w:b/>
          <w:lang w:val="pt-BR"/>
        </w:rPr>
        <w:t xml:space="preserve">C O N S I D E R A N D </w:t>
      </w:r>
      <w:r w:rsidR="007B5A60" w:rsidRPr="003A391C">
        <w:rPr>
          <w:rFonts w:ascii="Bookman Old Style" w:hAnsi="Bookman Old Style"/>
          <w:b/>
          <w:lang w:val="pt-BR"/>
        </w:rPr>
        <w:t xml:space="preserve">O </w:t>
      </w:r>
      <w:r w:rsidR="009E31AE" w:rsidRPr="003A391C">
        <w:rPr>
          <w:rFonts w:ascii="Bookman Old Style" w:hAnsi="Bookman Old Style"/>
          <w:b/>
          <w:lang w:val="pt-BR"/>
        </w:rPr>
        <w:t xml:space="preserve"> </w:t>
      </w:r>
      <w:r w:rsidR="007B5A60" w:rsidRPr="003A391C">
        <w:rPr>
          <w:rFonts w:ascii="Bookman Old Style" w:hAnsi="Bookman Old Style"/>
          <w:b/>
          <w:lang w:val="pt-BR"/>
        </w:rPr>
        <w:t>Q</w:t>
      </w:r>
      <w:r w:rsidRPr="003A391C">
        <w:rPr>
          <w:rFonts w:ascii="Bookman Old Style" w:hAnsi="Bookman Old Style"/>
          <w:b/>
          <w:lang w:val="pt-BR"/>
        </w:rPr>
        <w:t xml:space="preserve"> U E:</w:t>
      </w:r>
    </w:p>
    <w:p w14:paraId="2378A86C" w14:textId="77777777" w:rsidR="00045D3D" w:rsidRPr="003A391C" w:rsidRDefault="00045D3D" w:rsidP="009E31AE">
      <w:pPr>
        <w:ind w:left="0" w:right="51"/>
        <w:jc w:val="center"/>
        <w:rPr>
          <w:rFonts w:ascii="Bookman Old Style" w:hAnsi="Bookman Old Style"/>
          <w:b/>
          <w:lang w:val="pt-BR"/>
        </w:rPr>
      </w:pPr>
    </w:p>
    <w:p w14:paraId="0F41A1AB" w14:textId="77777777" w:rsidR="004063E9" w:rsidRPr="00934A61" w:rsidRDefault="004063E9" w:rsidP="009E31AE">
      <w:pPr>
        <w:ind w:left="0"/>
        <w:jc w:val="both"/>
        <w:rPr>
          <w:rFonts w:ascii="Bookman Old Style" w:hAnsi="Bookman Old Style" w:cs="Arial"/>
        </w:rPr>
      </w:pPr>
      <w:r w:rsidRPr="00934A61">
        <w:rPr>
          <w:rStyle w:val="normaltextrun"/>
          <w:rFonts w:ascii="Bookman Old Style" w:hAnsi="Bookman Old Style" w:cs="Segoe UI"/>
        </w:rPr>
        <w:t xml:space="preserve">El artículo 365 de la Constitución Política establece que los servicios públicos son inherentes a la finalidad social del Estado, y es deber de </w:t>
      </w:r>
      <w:r>
        <w:rPr>
          <w:rStyle w:val="normaltextrun"/>
          <w:rFonts w:ascii="Bookman Old Style" w:hAnsi="Bookman Old Style" w:cs="Segoe UI"/>
        </w:rPr>
        <w:t>é</w:t>
      </w:r>
      <w:r w:rsidRPr="00934A61">
        <w:rPr>
          <w:rStyle w:val="normaltextrun"/>
          <w:rFonts w:ascii="Bookman Old Style" w:hAnsi="Bookman Old Style" w:cs="Segoe UI"/>
        </w:rPr>
        <w:t>ste asegurar su prestación eficiente a todos los habitantes del territorio nacional.</w:t>
      </w:r>
    </w:p>
    <w:p w14:paraId="63E3CE92" w14:textId="77777777" w:rsidR="004063E9" w:rsidRPr="00934A61" w:rsidRDefault="004063E9" w:rsidP="004063E9">
      <w:pPr>
        <w:ind w:left="0"/>
        <w:jc w:val="both"/>
        <w:rPr>
          <w:rFonts w:ascii="Bookman Old Style" w:hAnsi="Bookman Old Style" w:cs="Arial"/>
        </w:rPr>
      </w:pPr>
    </w:p>
    <w:p w14:paraId="3578B2BF" w14:textId="77777777" w:rsidR="004063E9" w:rsidRPr="00934A61" w:rsidRDefault="004063E9" w:rsidP="004063E9">
      <w:pPr>
        <w:ind w:left="0"/>
        <w:jc w:val="both"/>
        <w:rPr>
          <w:rFonts w:ascii="Bookman Old Style" w:hAnsi="Bookman Old Style" w:cs="Arial"/>
          <w:lang w:val="es-CO"/>
        </w:rPr>
      </w:pPr>
      <w:r w:rsidRPr="00934A61">
        <w:rPr>
          <w:rFonts w:ascii="Bookman Old Style" w:hAnsi="Bookman Old Style" w:cs="Arial"/>
          <w:lang w:val="es-CO"/>
        </w:rPr>
        <w:t>El artículo 333 de la Constitución Política prevé que la libre competencia económica es un derecho de todos, que supone responsabilidades.</w:t>
      </w:r>
    </w:p>
    <w:p w14:paraId="726E1EF4" w14:textId="77777777" w:rsidR="004063E9" w:rsidRPr="00934A61" w:rsidRDefault="004063E9" w:rsidP="004063E9">
      <w:pPr>
        <w:ind w:left="0"/>
        <w:jc w:val="both"/>
        <w:rPr>
          <w:rFonts w:ascii="Bookman Old Style" w:hAnsi="Bookman Old Style" w:cs="Arial"/>
          <w:lang w:val="es-CO"/>
        </w:rPr>
      </w:pPr>
    </w:p>
    <w:p w14:paraId="05A6611E" w14:textId="77777777" w:rsidR="004063E9" w:rsidRPr="00934A61" w:rsidRDefault="004063E9" w:rsidP="004063E9">
      <w:pPr>
        <w:ind w:left="0"/>
        <w:jc w:val="both"/>
        <w:rPr>
          <w:rFonts w:ascii="Bookman Old Style" w:hAnsi="Bookman Old Style" w:cs="Arial"/>
          <w:lang w:val="es-CO"/>
        </w:rPr>
      </w:pPr>
      <w:r w:rsidRPr="00934A61">
        <w:rPr>
          <w:rFonts w:ascii="Bookman Old Style" w:hAnsi="Bookman Old Style" w:cs="Arial"/>
          <w:lang w:val="es-CO"/>
        </w:rPr>
        <w:t>De igual forma, el artículo 334 de la Constitución Política dispone que el Estado intervendrá, también por mandato de la ley, en los servicios públicos y privados, para racionalizar la economía con el fin de conseguir el mejoramiento de la calidad de vida de los habitantes, la distribución equitativa de oportunidades y los beneficios del desarrollo y la preservación de un ambiente sano.</w:t>
      </w:r>
    </w:p>
    <w:p w14:paraId="5AE873B8" w14:textId="77777777" w:rsidR="004063E9" w:rsidRPr="00934A61" w:rsidRDefault="004063E9" w:rsidP="004063E9">
      <w:pPr>
        <w:ind w:left="0"/>
        <w:jc w:val="both"/>
        <w:rPr>
          <w:rFonts w:ascii="Bookman Old Style" w:hAnsi="Bookman Old Style" w:cs="Arial"/>
          <w:lang w:val="es-CO"/>
        </w:rPr>
      </w:pPr>
    </w:p>
    <w:p w14:paraId="22AC400C" w14:textId="77777777" w:rsidR="004063E9" w:rsidRDefault="004063E9" w:rsidP="004063E9">
      <w:pPr>
        <w:ind w:left="0"/>
        <w:jc w:val="both"/>
        <w:rPr>
          <w:rFonts w:ascii="Bookman Old Style" w:eastAsia="Bookman Old Style" w:hAnsi="Bookman Old Style" w:cs="Bookman Old Style"/>
        </w:rPr>
      </w:pPr>
      <w:r w:rsidRPr="00934A61">
        <w:rPr>
          <w:rFonts w:ascii="Bookman Old Style" w:eastAsia="Bookman Old Style" w:hAnsi="Bookman Old Style" w:cs="Bookman Old Style"/>
        </w:rPr>
        <w:t>E</w:t>
      </w:r>
      <w:r>
        <w:rPr>
          <w:rFonts w:ascii="Bookman Old Style" w:eastAsia="Bookman Old Style" w:hAnsi="Bookman Old Style" w:cs="Bookman Old Style"/>
        </w:rPr>
        <w:t xml:space="preserve">n el </w:t>
      </w:r>
      <w:r w:rsidRPr="00934A61">
        <w:rPr>
          <w:rFonts w:ascii="Bookman Old Style" w:eastAsia="Bookman Old Style" w:hAnsi="Bookman Old Style" w:cs="Bookman Old Style"/>
        </w:rPr>
        <w:t>artículo 3 de la Ley 142 de 1994</w:t>
      </w:r>
      <w:r>
        <w:rPr>
          <w:rFonts w:ascii="Bookman Old Style" w:eastAsia="Bookman Old Style" w:hAnsi="Bookman Old Style" w:cs="Bookman Old Style"/>
        </w:rPr>
        <w:t xml:space="preserve">, el legislador determinó que constituyen instrumentos de la </w:t>
      </w:r>
      <w:r w:rsidRPr="005D572E">
        <w:rPr>
          <w:rFonts w:ascii="Bookman Old Style" w:eastAsia="Bookman Old Style" w:hAnsi="Bookman Old Style" w:cs="Bookman Old Style"/>
        </w:rPr>
        <w:t>intervención estatal</w:t>
      </w:r>
      <w:r>
        <w:rPr>
          <w:rFonts w:ascii="Bookman Old Style" w:eastAsia="Bookman Old Style" w:hAnsi="Bookman Old Style" w:cs="Bookman Old Style"/>
        </w:rPr>
        <w:t xml:space="preserve"> en los servicios públicos domiciliarios todas las atribuciones y funciones asignadas a las entidades, autoridades y organismos de que trata esta Ley, especialmente las relativas a las siguientes materias: </w:t>
      </w:r>
    </w:p>
    <w:p w14:paraId="4521DCE8" w14:textId="77777777" w:rsidR="004063E9" w:rsidRPr="00934A61" w:rsidRDefault="004063E9" w:rsidP="004063E9">
      <w:pPr>
        <w:ind w:left="0"/>
        <w:jc w:val="both"/>
        <w:rPr>
          <w:rFonts w:ascii="Bookman Old Style" w:eastAsia="Bookman Old Style" w:hAnsi="Bookman Old Style" w:cs="Bookman Old Style"/>
          <w:i/>
          <w:iCs/>
        </w:rPr>
      </w:pPr>
    </w:p>
    <w:p w14:paraId="3F24943C" w14:textId="77777777" w:rsidR="004063E9" w:rsidRPr="00934A61" w:rsidRDefault="004063E9" w:rsidP="009E31AE">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3.1. Promoción y apoyo a personas que presten los servicios públicos.</w:t>
      </w:r>
    </w:p>
    <w:p w14:paraId="7957A779" w14:textId="77777777" w:rsidR="004063E9" w:rsidRPr="00934A61" w:rsidRDefault="004063E9" w:rsidP="009E31AE">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w:t>
      </w:r>
    </w:p>
    <w:p w14:paraId="32C0B974" w14:textId="77777777" w:rsidR="004063E9" w:rsidRPr="00934A61" w:rsidRDefault="004063E9" w:rsidP="009E31AE">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 xml:space="preserve"> 3.3. Regulación de la prestación de los servicios públicos teniendo en cuenta las características de cada región; fijación de metas de eficiencia, cobertura y calidad, evaluación de las mismas, y definición del régimen tarifario.</w:t>
      </w:r>
    </w:p>
    <w:p w14:paraId="26977195" w14:textId="77777777" w:rsidR="004063E9" w:rsidRPr="00934A61" w:rsidRDefault="004063E9" w:rsidP="009E31AE">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w:t>
      </w:r>
    </w:p>
    <w:p w14:paraId="1AED1DD3" w14:textId="77777777" w:rsidR="004063E9" w:rsidRPr="00934A61" w:rsidRDefault="004063E9" w:rsidP="009E31AE">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3.8. Estímulo a la inversión de los particulares en los servicios públicos.</w:t>
      </w:r>
    </w:p>
    <w:p w14:paraId="159DE014" w14:textId="77777777" w:rsidR="004063E9" w:rsidRPr="00934A61" w:rsidRDefault="004063E9" w:rsidP="009E31AE">
      <w:pPr>
        <w:ind w:left="284"/>
        <w:jc w:val="both"/>
        <w:rPr>
          <w:rFonts w:ascii="Bookman Old Style" w:eastAsia="Bookman Old Style" w:hAnsi="Bookman Old Style" w:cs="Bookman Old Style"/>
          <w:i/>
          <w:iCs/>
        </w:rPr>
      </w:pPr>
      <w:r w:rsidRPr="00934A61">
        <w:rPr>
          <w:rFonts w:ascii="Bookman Old Style" w:eastAsia="Bookman Old Style" w:hAnsi="Bookman Old Style" w:cs="Bookman Old Style"/>
          <w:i/>
          <w:iCs/>
        </w:rPr>
        <w:t>(…)”</w:t>
      </w:r>
    </w:p>
    <w:p w14:paraId="64AA0A1F" w14:textId="77777777" w:rsidR="004063E9" w:rsidRPr="00934A61" w:rsidRDefault="004063E9" w:rsidP="004063E9">
      <w:pPr>
        <w:ind w:left="0"/>
        <w:jc w:val="both"/>
        <w:rPr>
          <w:rFonts w:ascii="Bookman Old Style" w:hAnsi="Bookman Old Style" w:cs="Arial"/>
        </w:rPr>
      </w:pPr>
    </w:p>
    <w:p w14:paraId="6A534391" w14:textId="77777777" w:rsidR="004063E9" w:rsidRPr="00934A61" w:rsidRDefault="004063E9" w:rsidP="004063E9">
      <w:pPr>
        <w:ind w:left="0"/>
        <w:jc w:val="both"/>
        <w:rPr>
          <w:rFonts w:ascii="Bookman Old Style" w:hAnsi="Bookman Old Style" w:cs="Arial"/>
          <w:lang w:val="es-CO"/>
        </w:rPr>
      </w:pPr>
      <w:r w:rsidRPr="00934A61">
        <w:rPr>
          <w:rFonts w:ascii="Bookman Old Style" w:hAnsi="Bookman Old Style" w:cs="Arial"/>
          <w:lang w:val="es-CO"/>
        </w:rPr>
        <w:t>El artículo 4 de la Ley 143 de 1994 dispone que el Estado, en relación con el servicio de electricidad, tiene dentro de sus objetivos abastecer la demanda de electricidad de la comunidad bajo criterios económicos y de viabilidad financiera, asegurando su cubrimiento en un marco de uso racional y eficiente de los diferentes recursos energéticos del país.</w:t>
      </w:r>
    </w:p>
    <w:p w14:paraId="1753F8A1" w14:textId="77777777" w:rsidR="004063E9" w:rsidRPr="00934A61" w:rsidRDefault="004063E9" w:rsidP="004063E9">
      <w:pPr>
        <w:ind w:left="0"/>
        <w:jc w:val="both"/>
        <w:rPr>
          <w:rFonts w:ascii="Bookman Old Style" w:hAnsi="Bookman Old Style" w:cs="Arial"/>
          <w:lang w:val="es-CO"/>
        </w:rPr>
      </w:pPr>
    </w:p>
    <w:p w14:paraId="0B7601FF" w14:textId="049B01FE" w:rsidR="004063E9" w:rsidRPr="00934A61" w:rsidRDefault="004063E9" w:rsidP="004063E9">
      <w:pPr>
        <w:ind w:left="0"/>
        <w:jc w:val="both"/>
        <w:rPr>
          <w:rFonts w:ascii="Bookman Old Style" w:hAnsi="Bookman Old Style" w:cs="Arial"/>
          <w:lang w:val="es-CO"/>
        </w:rPr>
      </w:pPr>
      <w:r w:rsidRPr="00934A61">
        <w:rPr>
          <w:rFonts w:ascii="Bookman Old Style" w:hAnsi="Bookman Old Style" w:cs="Arial"/>
          <w:lang w:val="es-CO"/>
        </w:rPr>
        <w:t>Igualmente, el citado artículo 4 de la Ley 143 de 1994 defin</w:t>
      </w:r>
      <w:r>
        <w:rPr>
          <w:rFonts w:ascii="Bookman Old Style" w:hAnsi="Bookman Old Style" w:cs="Arial"/>
          <w:lang w:val="es-CO"/>
        </w:rPr>
        <w:t>ió</w:t>
      </w:r>
      <w:r w:rsidRPr="00934A61">
        <w:rPr>
          <w:rFonts w:ascii="Bookman Old Style" w:hAnsi="Bookman Old Style" w:cs="Arial"/>
          <w:lang w:val="es-CO"/>
        </w:rPr>
        <w:t xml:space="preserve"> como objetivo del Estado asegurar una operación eficiente, segura y confiable en las actividades del sector, y </w:t>
      </w:r>
      <w:r w:rsidRPr="00934A61">
        <w:rPr>
          <w:rFonts w:ascii="Bookman Old Style" w:hAnsi="Bookman Old Style" w:cs="Arial"/>
        </w:rPr>
        <w:t>mantener los niveles de calidad y seguridad establecidos.</w:t>
      </w:r>
    </w:p>
    <w:p w14:paraId="49374E61" w14:textId="77777777" w:rsidR="004063E9" w:rsidRPr="00934A61" w:rsidRDefault="004063E9" w:rsidP="004063E9">
      <w:pPr>
        <w:ind w:left="0"/>
        <w:jc w:val="both"/>
        <w:rPr>
          <w:rFonts w:ascii="Bookman Old Style" w:hAnsi="Bookman Old Style" w:cs="Arial"/>
          <w:lang w:val="es-CO"/>
        </w:rPr>
      </w:pPr>
    </w:p>
    <w:p w14:paraId="69C6C8A9" w14:textId="0A5DFF38" w:rsidR="004063E9" w:rsidRPr="00934A61" w:rsidRDefault="004063E9" w:rsidP="004063E9">
      <w:pPr>
        <w:ind w:left="0"/>
        <w:jc w:val="both"/>
        <w:rPr>
          <w:rFonts w:ascii="Bookman Old Style" w:hAnsi="Bookman Old Style" w:cs="Arial"/>
          <w:lang w:val="es-CO"/>
        </w:rPr>
      </w:pPr>
      <w:r w:rsidRPr="00934A61">
        <w:rPr>
          <w:rFonts w:ascii="Bookman Old Style" w:hAnsi="Bookman Old Style" w:cs="Arial"/>
          <w:lang w:val="es-CO"/>
        </w:rPr>
        <w:t xml:space="preserve">La Ley 143 de 1994, </w:t>
      </w:r>
      <w:r w:rsidR="00EE6586">
        <w:rPr>
          <w:rFonts w:ascii="Bookman Old Style" w:hAnsi="Bookman Old Style" w:cs="Arial"/>
          <w:lang w:val="es-CO"/>
        </w:rPr>
        <w:t xml:space="preserve">en su </w:t>
      </w:r>
      <w:r w:rsidRPr="00934A61">
        <w:rPr>
          <w:rFonts w:ascii="Bookman Old Style" w:hAnsi="Bookman Old Style" w:cs="Arial"/>
          <w:lang w:val="es-CO"/>
        </w:rPr>
        <w:t>artículo 6, dispuso que las actividades relacionadas con el servicio de electricidad se regirán, entre otros principios, por el de eficiencia, el cual “</w:t>
      </w:r>
      <w:r w:rsidRPr="00934A61">
        <w:rPr>
          <w:rFonts w:ascii="Bookman Old Style" w:hAnsi="Bookman Old Style" w:cs="Arial"/>
          <w:i/>
          <w:lang w:val="es-CO"/>
        </w:rPr>
        <w:t>obliga a la correcta asignación y utilización de los recursos de tal forma que se garantice la prestación del servicio al menor costo económico</w:t>
      </w:r>
      <w:r w:rsidRPr="00934A61">
        <w:rPr>
          <w:rFonts w:ascii="Bookman Old Style" w:hAnsi="Bookman Old Style" w:cs="Arial"/>
          <w:lang w:val="es-CO"/>
        </w:rPr>
        <w:t>”.</w:t>
      </w:r>
    </w:p>
    <w:p w14:paraId="0A0CEB0B" w14:textId="77777777" w:rsidR="004063E9" w:rsidRPr="00934A61" w:rsidRDefault="004063E9" w:rsidP="004063E9">
      <w:pPr>
        <w:ind w:left="0"/>
        <w:jc w:val="both"/>
        <w:rPr>
          <w:rFonts w:ascii="Bookman Old Style" w:hAnsi="Bookman Old Style" w:cs="Arial"/>
          <w:lang w:val="es-CO"/>
        </w:rPr>
      </w:pPr>
    </w:p>
    <w:p w14:paraId="2CA1AAD6" w14:textId="77777777" w:rsidR="004063E9" w:rsidRPr="00934A61" w:rsidRDefault="004063E9" w:rsidP="004063E9">
      <w:pPr>
        <w:ind w:left="0"/>
        <w:jc w:val="both"/>
        <w:rPr>
          <w:rFonts w:ascii="Bookman Old Style" w:hAnsi="Bookman Old Style" w:cs="Arial"/>
        </w:rPr>
      </w:pPr>
      <w:r w:rsidRPr="00934A61">
        <w:rPr>
          <w:rFonts w:ascii="Bookman Old Style" w:hAnsi="Bookman Old Style" w:cs="Arial"/>
        </w:rPr>
        <w:t xml:space="preserve">El artículo 20 de la Ley 143 de 1994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14:paraId="5123A32A" w14:textId="77777777" w:rsidR="004063E9" w:rsidRPr="00934A61" w:rsidRDefault="004063E9" w:rsidP="004063E9">
      <w:pPr>
        <w:ind w:left="0"/>
        <w:jc w:val="both"/>
        <w:rPr>
          <w:rFonts w:ascii="Bookman Old Style" w:hAnsi="Bookman Old Style" w:cs="Arial"/>
        </w:rPr>
      </w:pPr>
    </w:p>
    <w:p w14:paraId="5F3770C7" w14:textId="77777777" w:rsidR="004063E9" w:rsidRPr="00934A61" w:rsidRDefault="004063E9" w:rsidP="004063E9">
      <w:pPr>
        <w:ind w:left="0"/>
        <w:jc w:val="both"/>
        <w:rPr>
          <w:rFonts w:ascii="Bookman Old Style" w:hAnsi="Bookman Old Style" w:cs="Arial"/>
        </w:rPr>
      </w:pPr>
      <w:r w:rsidRPr="00934A61">
        <w:rPr>
          <w:rFonts w:ascii="Bookman Old Style" w:hAnsi="Bookman Old Style" w:cs="Arial"/>
        </w:rPr>
        <w:t>Las leyes 142 y 143 de 1994 otorgan a la Comisión de Regulación de Energía y Gas la facultad de establecer el Reglamento de Operación, el cual incluye los principios, criterios y procedimientos para regular el funcionamiento del mercado de energía mayorista.</w:t>
      </w:r>
    </w:p>
    <w:p w14:paraId="6CEE590F" w14:textId="77777777" w:rsidR="004063E9" w:rsidRPr="00934A61" w:rsidRDefault="004063E9" w:rsidP="004063E9">
      <w:pPr>
        <w:ind w:left="0"/>
        <w:jc w:val="both"/>
        <w:rPr>
          <w:rFonts w:ascii="Bookman Old Style" w:hAnsi="Bookman Old Style"/>
        </w:rPr>
      </w:pPr>
    </w:p>
    <w:p w14:paraId="0EDB7B54" w14:textId="77777777" w:rsidR="004063E9" w:rsidRPr="00934A61" w:rsidRDefault="004063E9" w:rsidP="004063E9">
      <w:pPr>
        <w:pStyle w:val="Textodebloque"/>
        <w:spacing w:after="0"/>
        <w:ind w:left="0" w:right="0"/>
        <w:rPr>
          <w:rFonts w:ascii="Bookman Old Style" w:hAnsi="Bookman Old Style" w:cs="Arial"/>
          <w:szCs w:val="24"/>
        </w:rPr>
      </w:pPr>
      <w:r w:rsidRPr="00934A61">
        <w:rPr>
          <w:rFonts w:ascii="Bookman Old Style" w:hAnsi="Bookman Old Style" w:cs="Arial"/>
          <w:szCs w:val="24"/>
        </w:rPr>
        <w:lastRenderedPageBreak/>
        <w:t xml:space="preserve">La Resolución CREG 024 de 1995, </w:t>
      </w:r>
      <w:r w:rsidRPr="00934A61">
        <w:rPr>
          <w:rFonts w:ascii="Bookman Old Style" w:hAnsi="Bookman Old Style" w:cs="Arial"/>
          <w:i/>
          <w:iCs/>
          <w:szCs w:val="24"/>
        </w:rPr>
        <w:t>“por la cual se reglamentan los aspectos comerciales del mercado mayorista de energía en el sistema interconectado nacional, que hacen parte del Reglamento de Operación”</w:t>
      </w:r>
      <w:r w:rsidRPr="00934A61">
        <w:rPr>
          <w:rFonts w:ascii="Bookman Old Style" w:hAnsi="Bookman Old Style" w:cs="Arial"/>
          <w:szCs w:val="24"/>
        </w:rPr>
        <w:t>, en su artículo 22, establece la obligatoriedad para los agentes que participan en el mercado de energía mayorista de otorgar garantías a favor del Administrador del Sistema de Intercambios Comerciales.</w:t>
      </w:r>
    </w:p>
    <w:p w14:paraId="15170821" w14:textId="77777777" w:rsidR="004063E9" w:rsidRPr="00934A61" w:rsidRDefault="004063E9" w:rsidP="004063E9">
      <w:pPr>
        <w:pStyle w:val="Textodebloque"/>
        <w:spacing w:after="0"/>
        <w:ind w:left="0" w:right="0"/>
        <w:rPr>
          <w:rFonts w:ascii="Bookman Old Style" w:hAnsi="Bookman Old Style" w:cs="Arial"/>
          <w:szCs w:val="24"/>
        </w:rPr>
      </w:pPr>
    </w:p>
    <w:p w14:paraId="2F9F9FD3" w14:textId="77777777" w:rsidR="004063E9" w:rsidRPr="00934A61" w:rsidRDefault="004063E9" w:rsidP="004063E9">
      <w:pPr>
        <w:pStyle w:val="Textodebloque"/>
        <w:spacing w:after="0"/>
        <w:ind w:left="0" w:right="0"/>
        <w:rPr>
          <w:rFonts w:ascii="Bookman Old Style" w:hAnsi="Bookman Old Style" w:cs="Arial"/>
          <w:szCs w:val="24"/>
        </w:rPr>
      </w:pPr>
      <w:r w:rsidRPr="00934A61">
        <w:rPr>
          <w:rFonts w:ascii="Bookman Old Style" w:hAnsi="Bookman Old Style" w:cs="Arial"/>
          <w:szCs w:val="24"/>
        </w:rPr>
        <w:t>Con la expedición de la Resolución CREG 019 de 2006, se modificaron algunas disposiciones en materia de garantías y pagos anticipados de los agentes participantes en el mercado de energía mayorista y se adoptó el Reglamento de Mecanismos de Cubrimiento para las Transacciones en el Mercado de Energía Mayorista, este último fue modificado por la Resolución CREG 087 de 2006.</w:t>
      </w:r>
    </w:p>
    <w:p w14:paraId="19C32038" w14:textId="77777777" w:rsidR="004063E9" w:rsidRPr="00934A61" w:rsidRDefault="004063E9" w:rsidP="004063E9">
      <w:pPr>
        <w:pStyle w:val="Textodebloque"/>
        <w:spacing w:after="0"/>
        <w:ind w:left="0" w:right="0"/>
        <w:rPr>
          <w:rFonts w:ascii="Bookman Old Style" w:hAnsi="Bookman Old Style" w:cs="Arial"/>
          <w:szCs w:val="24"/>
        </w:rPr>
      </w:pPr>
    </w:p>
    <w:p w14:paraId="6DB7D184" w14:textId="77777777" w:rsidR="004063E9" w:rsidRPr="00934A61" w:rsidRDefault="004063E9" w:rsidP="004063E9">
      <w:pPr>
        <w:pStyle w:val="Textodebloque"/>
        <w:spacing w:after="0"/>
        <w:ind w:left="0" w:right="0"/>
        <w:rPr>
          <w:rFonts w:ascii="Bookman Old Style" w:hAnsi="Bookman Old Style" w:cs="Arial"/>
          <w:szCs w:val="24"/>
        </w:rPr>
      </w:pPr>
      <w:r w:rsidRPr="00934A61">
        <w:rPr>
          <w:rFonts w:ascii="Bookman Old Style" w:hAnsi="Bookman Old Style" w:cs="Arial"/>
          <w:szCs w:val="24"/>
        </w:rPr>
        <w:t xml:space="preserve">La Resolución CREG 013 de 2010 modificó el Reglamento de Mecanismos de Cubrimiento para las Transacciones en el Mercado de Energía Mayorista, en lo referente a los mecanismos de ajuste semanal y se introdujeron cambios al registro de fronteras y contratos, con el fin de que los valores utilizados en el cálculo de las garantías correspondieran a una mejor aproximación a la situación real de despacho. </w:t>
      </w:r>
    </w:p>
    <w:p w14:paraId="3FEDB89A" w14:textId="77777777" w:rsidR="004063E9" w:rsidRPr="00934A61" w:rsidRDefault="004063E9" w:rsidP="004063E9">
      <w:pPr>
        <w:pStyle w:val="Textodebloque"/>
        <w:spacing w:after="0"/>
        <w:ind w:left="0" w:right="-1"/>
        <w:rPr>
          <w:rFonts w:ascii="Bookman Old Style" w:hAnsi="Bookman Old Style" w:cs="Arial"/>
          <w:szCs w:val="24"/>
        </w:rPr>
      </w:pPr>
    </w:p>
    <w:p w14:paraId="1DCFCB55" w14:textId="77777777" w:rsidR="004063E9" w:rsidRPr="00934A61" w:rsidRDefault="004063E9" w:rsidP="004063E9">
      <w:pPr>
        <w:pStyle w:val="Textodebloque"/>
        <w:spacing w:after="0"/>
        <w:ind w:left="0" w:right="-1"/>
        <w:rPr>
          <w:rFonts w:ascii="Bookman Old Style" w:hAnsi="Bookman Old Style" w:cs="Arial"/>
          <w:szCs w:val="24"/>
          <w:lang w:val="es-ES"/>
        </w:rPr>
      </w:pPr>
      <w:r w:rsidRPr="00934A61">
        <w:rPr>
          <w:rFonts w:ascii="Bookman Old Style" w:hAnsi="Bookman Old Style" w:cs="Arial"/>
          <w:szCs w:val="24"/>
        </w:rPr>
        <w:t>La Resolución CREG 158 de 2011 modific</w:t>
      </w:r>
      <w:r>
        <w:rPr>
          <w:rFonts w:ascii="Bookman Old Style" w:hAnsi="Bookman Old Style" w:cs="Arial"/>
          <w:szCs w:val="24"/>
        </w:rPr>
        <w:t>ó</w:t>
      </w:r>
      <w:r w:rsidRPr="00934A61">
        <w:rPr>
          <w:rFonts w:ascii="Bookman Old Style" w:hAnsi="Bookman Old Style" w:cs="Arial"/>
          <w:szCs w:val="24"/>
        </w:rPr>
        <w:t xml:space="preserve"> </w:t>
      </w:r>
      <w:r w:rsidRPr="00934A61">
        <w:rPr>
          <w:rFonts w:ascii="Bookman Old Style" w:hAnsi="Bookman Old Style" w:cs="Arial"/>
          <w:szCs w:val="24"/>
          <w:lang w:val="es-ES"/>
        </w:rPr>
        <w:t xml:space="preserve">algunas disposiciones en materia de garantías y pagos anticipados de los agentes participantes en el Mercado Mayorista de Energía, MEM. </w:t>
      </w:r>
    </w:p>
    <w:p w14:paraId="47B8381F" w14:textId="77777777" w:rsidR="004063E9" w:rsidRPr="00934A61" w:rsidRDefault="004063E9" w:rsidP="004063E9">
      <w:pPr>
        <w:pStyle w:val="Textodebloque"/>
        <w:spacing w:after="0"/>
        <w:ind w:left="0" w:right="-1"/>
        <w:rPr>
          <w:rFonts w:ascii="Bookman Old Style" w:hAnsi="Bookman Old Style" w:cs="Arial"/>
          <w:szCs w:val="24"/>
          <w:lang w:val="es-ES"/>
        </w:rPr>
      </w:pPr>
    </w:p>
    <w:p w14:paraId="014DD89A" w14:textId="77777777" w:rsidR="004063E9" w:rsidRDefault="004063E9" w:rsidP="004063E9">
      <w:pPr>
        <w:ind w:left="0"/>
        <w:jc w:val="both"/>
        <w:rPr>
          <w:rFonts w:ascii="Bookman Old Style" w:hAnsi="Bookman Old Style" w:cs="Arial"/>
          <w:spacing w:val="-3"/>
          <w:lang w:val="es-ES_tradnl"/>
        </w:rPr>
      </w:pPr>
      <w:r w:rsidRPr="00934A61">
        <w:rPr>
          <w:rFonts w:ascii="Bookman Old Style" w:hAnsi="Bookman Old Style" w:cs="Arial"/>
          <w:spacing w:val="-3"/>
          <w:lang w:val="es-ES_tradnl"/>
        </w:rPr>
        <w:t>La Resolución CREG 119 de 2007 establec</w:t>
      </w:r>
      <w:r>
        <w:rPr>
          <w:rFonts w:ascii="Bookman Old Style" w:hAnsi="Bookman Old Style" w:cs="Arial"/>
          <w:spacing w:val="-3"/>
          <w:lang w:val="es-ES_tradnl"/>
        </w:rPr>
        <w:t>ió</w:t>
      </w:r>
      <w:r w:rsidRPr="00934A61">
        <w:rPr>
          <w:rFonts w:ascii="Bookman Old Style" w:hAnsi="Bookman Old Style" w:cs="Arial"/>
          <w:spacing w:val="-3"/>
          <w:lang w:val="es-ES_tradnl"/>
        </w:rPr>
        <w:t xml:space="preserve"> la fórmula tarifaria general que permite a los Comercializadores Minoristas de electricidad establecer los costos de prestación del servicio a usuarios regulados en el Sistema Interconectado Nacional y defin</w:t>
      </w:r>
      <w:r>
        <w:rPr>
          <w:rFonts w:ascii="Bookman Old Style" w:hAnsi="Bookman Old Style" w:cs="Arial"/>
          <w:spacing w:val="-3"/>
          <w:lang w:val="es-ES_tradnl"/>
        </w:rPr>
        <w:t>ió</w:t>
      </w:r>
      <w:r w:rsidRPr="00934A61">
        <w:rPr>
          <w:rFonts w:ascii="Bookman Old Style" w:hAnsi="Bookman Old Style" w:cs="Arial"/>
          <w:spacing w:val="-3"/>
          <w:lang w:val="es-ES_tradnl"/>
        </w:rPr>
        <w:t xml:space="preserve"> en el artículo 7 la fórmula de cálculo de la variable Mc. </w:t>
      </w:r>
    </w:p>
    <w:p w14:paraId="08E7E870" w14:textId="77777777" w:rsidR="00130861" w:rsidRDefault="00130861" w:rsidP="004063E9">
      <w:pPr>
        <w:ind w:left="0"/>
        <w:jc w:val="both"/>
        <w:rPr>
          <w:rFonts w:ascii="Bookman Old Style" w:hAnsi="Bookman Old Style" w:cs="Arial"/>
          <w:spacing w:val="-3"/>
          <w:lang w:val="es-ES_tradnl"/>
        </w:rPr>
      </w:pPr>
    </w:p>
    <w:p w14:paraId="1F5DCA27" w14:textId="34858885" w:rsidR="00130861" w:rsidRDefault="00130861" w:rsidP="004063E9">
      <w:pPr>
        <w:ind w:left="0"/>
        <w:jc w:val="both"/>
        <w:rPr>
          <w:rFonts w:ascii="Bookman Old Style" w:hAnsi="Bookman Old Style" w:cs="Arial"/>
          <w:spacing w:val="-3"/>
          <w:lang w:val="es-ES_tradnl"/>
        </w:rPr>
      </w:pPr>
      <w:r>
        <w:rPr>
          <w:rFonts w:ascii="Bookman Old Style" w:hAnsi="Bookman Old Style" w:cs="Arial"/>
          <w:spacing w:val="-3"/>
          <w:lang w:val="es-ES_tradnl"/>
        </w:rPr>
        <w:t xml:space="preserve">Mediante la Resolución CREG 101 016 de 2023 se </w:t>
      </w:r>
      <w:r w:rsidRPr="00130861">
        <w:rPr>
          <w:rFonts w:ascii="Bookman Old Style" w:hAnsi="Bookman Old Style" w:cs="Arial"/>
          <w:spacing w:val="-3"/>
          <w:lang w:val="es-ES_tradnl"/>
        </w:rPr>
        <w:t>adopta</w:t>
      </w:r>
      <w:r>
        <w:rPr>
          <w:rFonts w:ascii="Bookman Old Style" w:hAnsi="Bookman Old Style" w:cs="Arial"/>
          <w:spacing w:val="-3"/>
          <w:lang w:val="es-ES_tradnl"/>
        </w:rPr>
        <w:t xml:space="preserve">ron </w:t>
      </w:r>
      <w:r w:rsidRPr="00130861">
        <w:rPr>
          <w:rFonts w:ascii="Bookman Old Style" w:hAnsi="Bookman Old Style" w:cs="Arial"/>
          <w:spacing w:val="-3"/>
          <w:lang w:val="es-ES_tradnl"/>
        </w:rPr>
        <w:t>medidas transitorias sobre los mecanismos de cubrimiento para las transacciones del mercado de energía mayorista</w:t>
      </w:r>
      <w:r w:rsidR="00666554">
        <w:rPr>
          <w:rFonts w:ascii="Bookman Old Style" w:hAnsi="Bookman Old Style" w:cs="Arial"/>
          <w:spacing w:val="-3"/>
          <w:lang w:val="es-ES_tradnl"/>
        </w:rPr>
        <w:t>, cuya vigencia finaliza</w:t>
      </w:r>
      <w:r w:rsidR="006F7338">
        <w:rPr>
          <w:rFonts w:ascii="Bookman Old Style" w:hAnsi="Bookman Old Style" w:cs="Arial"/>
          <w:spacing w:val="-3"/>
          <w:lang w:val="es-ES_tradnl"/>
        </w:rPr>
        <w:t>ba</w:t>
      </w:r>
      <w:r w:rsidR="00666554">
        <w:rPr>
          <w:rFonts w:ascii="Bookman Old Style" w:hAnsi="Bookman Old Style" w:cs="Arial"/>
          <w:spacing w:val="-3"/>
          <w:lang w:val="es-ES_tradnl"/>
        </w:rPr>
        <w:t xml:space="preserve"> el 30 de </w:t>
      </w:r>
      <w:r w:rsidR="00EE6586">
        <w:rPr>
          <w:rFonts w:ascii="Bookman Old Style" w:hAnsi="Bookman Old Style" w:cs="Arial"/>
          <w:spacing w:val="-3"/>
          <w:lang w:val="es-ES_tradnl"/>
        </w:rPr>
        <w:t>septiembre de 2023</w:t>
      </w:r>
      <w:r w:rsidR="00AC2BD8">
        <w:rPr>
          <w:rFonts w:ascii="Bookman Old Style" w:hAnsi="Bookman Old Style" w:cs="Arial"/>
          <w:spacing w:val="-3"/>
          <w:lang w:val="es-ES_tradnl"/>
        </w:rPr>
        <w:t>.</w:t>
      </w:r>
      <w:r w:rsidR="00666554">
        <w:rPr>
          <w:rFonts w:ascii="Bookman Old Style" w:hAnsi="Bookman Old Style" w:cs="Arial"/>
          <w:spacing w:val="-3"/>
          <w:lang w:val="es-ES_tradnl"/>
        </w:rPr>
        <w:t xml:space="preserve"> </w:t>
      </w:r>
    </w:p>
    <w:p w14:paraId="227B4F88" w14:textId="77777777" w:rsidR="004063E9" w:rsidRDefault="004063E9" w:rsidP="004063E9">
      <w:pPr>
        <w:ind w:left="0"/>
        <w:jc w:val="both"/>
        <w:rPr>
          <w:rFonts w:ascii="Bookman Old Style" w:hAnsi="Bookman Old Style" w:cs="Arial"/>
          <w:spacing w:val="-3"/>
          <w:lang w:val="es-ES_tradnl"/>
        </w:rPr>
      </w:pPr>
    </w:p>
    <w:p w14:paraId="2E23A0B1" w14:textId="2F918AED" w:rsidR="00647989" w:rsidRPr="00130861" w:rsidRDefault="00647989" w:rsidP="00647989">
      <w:pPr>
        <w:pStyle w:val="Textodebloque"/>
        <w:ind w:left="0" w:right="51"/>
        <w:rPr>
          <w:rFonts w:ascii="Bookman Old Style" w:hAnsi="Bookman Old Style"/>
          <w:szCs w:val="24"/>
        </w:rPr>
      </w:pPr>
      <w:r>
        <w:rPr>
          <w:rFonts w:ascii="Bookman Old Style" w:hAnsi="Bookman Old Style"/>
          <w:szCs w:val="24"/>
        </w:rPr>
        <w:t>En</w:t>
      </w:r>
      <w:r w:rsidR="009E31AE" w:rsidRPr="00B737B8">
        <w:rPr>
          <w:rFonts w:ascii="Bookman Old Style" w:hAnsi="Bookman Old Style"/>
          <w:szCs w:val="24"/>
        </w:rPr>
        <w:t xml:space="preserve"> septiembre de 2023</w:t>
      </w:r>
      <w:r>
        <w:rPr>
          <w:rFonts w:ascii="Bookman Old Style" w:hAnsi="Bookman Old Style"/>
          <w:szCs w:val="24"/>
        </w:rPr>
        <w:t>,</w:t>
      </w:r>
      <w:r w:rsidR="002D7003">
        <w:rPr>
          <w:rFonts w:ascii="Bookman Old Style" w:hAnsi="Bookman Old Style"/>
          <w:szCs w:val="24"/>
        </w:rPr>
        <w:t xml:space="preserve"> la Comisión realizó la evaluación para decidir si se ampliaba la medida. S</w:t>
      </w:r>
      <w:r>
        <w:rPr>
          <w:rFonts w:ascii="Bookman Old Style" w:hAnsi="Bookman Old Style"/>
          <w:szCs w:val="24"/>
        </w:rPr>
        <w:t>egún el informe</w:t>
      </w:r>
      <w:r w:rsidR="009E31AE" w:rsidRPr="00B737B8">
        <w:rPr>
          <w:rFonts w:ascii="Bookman Old Style" w:hAnsi="Bookman Old Style"/>
          <w:szCs w:val="24"/>
        </w:rPr>
        <w:t xml:space="preserve"> de la NOAA</w:t>
      </w:r>
      <w:r w:rsidR="009E31AE">
        <w:rPr>
          <w:rFonts w:ascii="Bookman Old Style" w:hAnsi="Bookman Old Style"/>
          <w:szCs w:val="24"/>
        </w:rPr>
        <w:t>,</w:t>
      </w:r>
      <w:r w:rsidR="009E31AE" w:rsidRPr="00B737B8">
        <w:rPr>
          <w:rFonts w:ascii="Bookman Old Style" w:hAnsi="Bookman Old Style"/>
          <w:szCs w:val="24"/>
        </w:rPr>
        <w:t xml:space="preserve"> las probabilidades de la ocurrencia del Fenómeno de El Niño </w:t>
      </w:r>
      <w:r>
        <w:rPr>
          <w:rFonts w:ascii="Bookman Old Style" w:hAnsi="Bookman Old Style"/>
          <w:szCs w:val="24"/>
        </w:rPr>
        <w:t>era</w:t>
      </w:r>
      <w:r w:rsidR="009E31AE" w:rsidRPr="00B737B8">
        <w:rPr>
          <w:rFonts w:ascii="Bookman Old Style" w:hAnsi="Bookman Old Style"/>
          <w:szCs w:val="24"/>
        </w:rPr>
        <w:t>n del 100% para los meses restantes de</w:t>
      </w:r>
      <w:r>
        <w:rPr>
          <w:rFonts w:ascii="Bookman Old Style" w:hAnsi="Bookman Old Style"/>
          <w:szCs w:val="24"/>
        </w:rPr>
        <w:t xml:space="preserve"> 2023</w:t>
      </w:r>
      <w:r w:rsidR="009E31AE" w:rsidRPr="00B737B8">
        <w:rPr>
          <w:rFonts w:ascii="Bookman Old Style" w:hAnsi="Bookman Old Style"/>
          <w:szCs w:val="24"/>
        </w:rPr>
        <w:t xml:space="preserve"> y un 95% para el primer trimestre de 2024</w:t>
      </w:r>
      <w:r>
        <w:rPr>
          <w:rFonts w:ascii="Bookman Old Style" w:hAnsi="Bookman Old Style"/>
          <w:szCs w:val="24"/>
        </w:rPr>
        <w:t>. L</w:t>
      </w:r>
      <w:r w:rsidRPr="00130861">
        <w:rPr>
          <w:rFonts w:ascii="Bookman Old Style" w:hAnsi="Bookman Old Style"/>
          <w:szCs w:val="24"/>
        </w:rPr>
        <w:t>a materialización de</w:t>
      </w:r>
      <w:r>
        <w:rPr>
          <w:rFonts w:ascii="Bookman Old Style" w:hAnsi="Bookman Old Style"/>
          <w:szCs w:val="24"/>
        </w:rPr>
        <w:t>l fenómeno</w:t>
      </w:r>
      <w:r w:rsidRPr="00130861">
        <w:rPr>
          <w:rFonts w:ascii="Bookman Old Style" w:hAnsi="Bookman Old Style"/>
          <w:szCs w:val="24"/>
        </w:rPr>
        <w:t xml:space="preserve"> </w:t>
      </w:r>
      <w:r>
        <w:rPr>
          <w:rFonts w:ascii="Bookman Old Style" w:hAnsi="Bookman Old Style"/>
          <w:szCs w:val="24"/>
        </w:rPr>
        <w:t xml:space="preserve">de </w:t>
      </w:r>
      <w:r w:rsidRPr="00130861">
        <w:rPr>
          <w:rFonts w:ascii="Bookman Old Style" w:hAnsi="Bookman Old Style"/>
          <w:szCs w:val="24"/>
        </w:rPr>
        <w:t>El Niño</w:t>
      </w:r>
      <w:r>
        <w:rPr>
          <w:rFonts w:ascii="Bookman Old Style" w:hAnsi="Bookman Old Style"/>
          <w:szCs w:val="24"/>
        </w:rPr>
        <w:t xml:space="preserve"> y </w:t>
      </w:r>
      <w:r w:rsidRPr="00130861">
        <w:rPr>
          <w:rFonts w:ascii="Bookman Old Style" w:hAnsi="Bookman Old Style"/>
          <w:szCs w:val="24"/>
        </w:rPr>
        <w:t xml:space="preserve">aumentos </w:t>
      </w:r>
      <w:r>
        <w:rPr>
          <w:rFonts w:ascii="Bookman Old Style" w:hAnsi="Bookman Old Style"/>
          <w:szCs w:val="24"/>
        </w:rPr>
        <w:t>en el</w:t>
      </w:r>
      <w:r w:rsidRPr="00130861">
        <w:rPr>
          <w:rFonts w:ascii="Bookman Old Style" w:hAnsi="Bookman Old Style"/>
          <w:szCs w:val="24"/>
        </w:rPr>
        <w:t xml:space="preserve"> precio </w:t>
      </w:r>
      <w:r>
        <w:rPr>
          <w:rFonts w:ascii="Bookman Old Style" w:hAnsi="Bookman Old Style"/>
          <w:szCs w:val="24"/>
        </w:rPr>
        <w:t>de</w:t>
      </w:r>
      <w:r w:rsidRPr="00130861">
        <w:rPr>
          <w:rFonts w:ascii="Bookman Old Style" w:hAnsi="Bookman Old Style"/>
          <w:szCs w:val="24"/>
        </w:rPr>
        <w:t xml:space="preserve"> bolsa</w:t>
      </w:r>
      <w:r>
        <w:rPr>
          <w:rFonts w:ascii="Bookman Old Style" w:hAnsi="Bookman Old Style"/>
          <w:szCs w:val="24"/>
        </w:rPr>
        <w:t xml:space="preserve">, para las compras de energía no cubiertas en contratos </w:t>
      </w:r>
      <w:r w:rsidRPr="00130861">
        <w:rPr>
          <w:rFonts w:ascii="Bookman Old Style" w:hAnsi="Bookman Old Style"/>
          <w:szCs w:val="24"/>
        </w:rPr>
        <w:t>de los comercializadores que atienden usuarios regulados</w:t>
      </w:r>
      <w:r>
        <w:rPr>
          <w:rFonts w:ascii="Bookman Old Style" w:hAnsi="Bookman Old Style"/>
          <w:szCs w:val="24"/>
        </w:rPr>
        <w:t xml:space="preserve"> tendría como efecto un incremento en </w:t>
      </w:r>
      <w:r w:rsidRPr="00130861">
        <w:rPr>
          <w:rFonts w:ascii="Bookman Old Style" w:hAnsi="Bookman Old Style"/>
          <w:szCs w:val="24"/>
        </w:rPr>
        <w:t>el monto del valor a garantizar de las compras en bolsa</w:t>
      </w:r>
      <w:r>
        <w:rPr>
          <w:rFonts w:ascii="Bookman Old Style" w:hAnsi="Bookman Old Style"/>
          <w:szCs w:val="24"/>
        </w:rPr>
        <w:t>, situación</w:t>
      </w:r>
      <w:r w:rsidRPr="00130861">
        <w:rPr>
          <w:rFonts w:ascii="Bookman Old Style" w:hAnsi="Bookman Old Style"/>
          <w:szCs w:val="24"/>
        </w:rPr>
        <w:t xml:space="preserve"> que se podría presentar de manera sostenida y prolongada hasta el primer trimestre del siguiente año</w:t>
      </w:r>
      <w:r w:rsidR="002D7003">
        <w:rPr>
          <w:rFonts w:ascii="Bookman Old Style" w:hAnsi="Bookman Old Style"/>
          <w:szCs w:val="24"/>
        </w:rPr>
        <w:t>, afectando la situación de liquidez de estos comercializadores</w:t>
      </w:r>
      <w:r w:rsidRPr="00130861">
        <w:rPr>
          <w:rFonts w:ascii="Bookman Old Style" w:hAnsi="Bookman Old Style"/>
          <w:szCs w:val="24"/>
        </w:rPr>
        <w:t xml:space="preserve">. </w:t>
      </w:r>
    </w:p>
    <w:p w14:paraId="07BDA4C6" w14:textId="798EB0A2" w:rsidR="00647989" w:rsidRDefault="002D7003" w:rsidP="00647989">
      <w:pPr>
        <w:pStyle w:val="Textodebloque"/>
        <w:ind w:left="0" w:right="51"/>
        <w:rPr>
          <w:rFonts w:ascii="Bookman Old Style" w:hAnsi="Bookman Old Style"/>
          <w:color w:val="000000" w:themeColor="text1"/>
          <w:lang w:val="es-ES"/>
        </w:rPr>
      </w:pPr>
      <w:r w:rsidRPr="29CD7EC5">
        <w:rPr>
          <w:rFonts w:ascii="Bookman Old Style" w:hAnsi="Bookman Old Style"/>
          <w:color w:val="000000" w:themeColor="text1"/>
          <w:lang w:val="es-ES"/>
        </w:rPr>
        <w:t>Mediante la Resolución CREG 101 024 de 2023</w:t>
      </w:r>
      <w:r w:rsidR="00647989" w:rsidRPr="29CD7EC5">
        <w:rPr>
          <w:rFonts w:ascii="Bookman Old Style" w:hAnsi="Bookman Old Style"/>
          <w:color w:val="000000" w:themeColor="text1"/>
          <w:lang w:val="es-ES"/>
        </w:rPr>
        <w:t xml:space="preserve"> la Comisión consider</w:t>
      </w:r>
      <w:r w:rsidRPr="29CD7EC5">
        <w:rPr>
          <w:rFonts w:ascii="Bookman Old Style" w:hAnsi="Bookman Old Style"/>
          <w:color w:val="000000" w:themeColor="text1"/>
          <w:lang w:val="es-ES"/>
        </w:rPr>
        <w:t>ó</w:t>
      </w:r>
      <w:r w:rsidR="00647989" w:rsidRPr="29CD7EC5">
        <w:rPr>
          <w:rFonts w:ascii="Bookman Old Style" w:hAnsi="Bookman Old Style"/>
          <w:color w:val="000000" w:themeColor="text1"/>
          <w:lang w:val="es-ES"/>
        </w:rPr>
        <w:t xml:space="preserve"> conveniente ampliar el ámbito de aplicación de la disposición transitoria adoptada en el artículo 2 de la Resolución CREG 101 016 de 2023 en materia de garantías para el cubrimiento de las transacciones en el MEM, con el fin de mejorar la disponibilidad de capital de trabajo y el flujo de caja de todos los comercializadores que atienden a usuarios finales regulados</w:t>
      </w:r>
      <w:r w:rsidR="006F7338">
        <w:rPr>
          <w:rFonts w:ascii="Bookman Old Style" w:hAnsi="Bookman Old Style"/>
          <w:color w:val="000000" w:themeColor="text1"/>
          <w:lang w:val="es-ES"/>
        </w:rPr>
        <w:t>,</w:t>
      </w:r>
      <w:r w:rsidR="00647989" w:rsidRPr="29CD7EC5">
        <w:rPr>
          <w:rFonts w:ascii="Bookman Old Style" w:hAnsi="Bookman Old Style"/>
          <w:color w:val="000000" w:themeColor="text1"/>
          <w:lang w:val="es-ES"/>
        </w:rPr>
        <w:t xml:space="preserve"> afectados por la mayor exposición a los precios de bolsa, y así facilitar el cumplimiento de sus obligaciones con el mercado </w:t>
      </w:r>
      <w:r w:rsidR="00647989" w:rsidRPr="29CD7EC5">
        <w:rPr>
          <w:rFonts w:ascii="Bookman Old Style" w:hAnsi="Bookman Old Style"/>
          <w:color w:val="000000" w:themeColor="text1"/>
          <w:lang w:val="es-ES"/>
        </w:rPr>
        <w:lastRenderedPageBreak/>
        <w:t>y garantizar la continuidad del servicio a los usuarios durante el período de El Niño.</w:t>
      </w:r>
    </w:p>
    <w:p w14:paraId="1A2BAAA1" w14:textId="61EB63EC" w:rsidR="007D5530" w:rsidRPr="00824BF6" w:rsidRDefault="007D5530" w:rsidP="00647989">
      <w:pPr>
        <w:pStyle w:val="Textodebloque"/>
        <w:ind w:left="0" w:right="51"/>
        <w:rPr>
          <w:rFonts w:ascii="Bookman Old Style" w:hAnsi="Bookman Old Style"/>
          <w:lang w:val="es-ES"/>
        </w:rPr>
      </w:pPr>
      <w:r w:rsidRPr="29CD7EC5">
        <w:rPr>
          <w:rFonts w:ascii="Bookman Old Style" w:hAnsi="Bookman Old Style"/>
          <w:lang w:val="es-ES"/>
        </w:rPr>
        <w:t xml:space="preserve">Ahora bien, </w:t>
      </w:r>
      <w:r w:rsidR="0067070F" w:rsidRPr="29CD7EC5">
        <w:rPr>
          <w:rFonts w:ascii="Bookman Old Style" w:hAnsi="Bookman Old Style"/>
          <w:lang w:val="es-ES"/>
        </w:rPr>
        <w:t>en la revisión que debe realizar</w:t>
      </w:r>
      <w:r w:rsidR="00897C06" w:rsidRPr="29CD7EC5">
        <w:rPr>
          <w:rFonts w:ascii="Bookman Old Style" w:hAnsi="Bookman Old Style"/>
          <w:lang w:val="es-ES"/>
        </w:rPr>
        <w:t xml:space="preserve"> la Comisión se consider</w:t>
      </w:r>
      <w:r w:rsidR="00BA4B72" w:rsidRPr="29CD7EC5">
        <w:rPr>
          <w:rFonts w:ascii="Bookman Old Style" w:hAnsi="Bookman Old Style"/>
          <w:lang w:val="es-ES"/>
        </w:rPr>
        <w:t>a</w:t>
      </w:r>
      <w:r w:rsidR="00897C06" w:rsidRPr="29CD7EC5">
        <w:rPr>
          <w:rFonts w:ascii="Bookman Old Style" w:hAnsi="Bookman Old Style"/>
          <w:lang w:val="es-ES"/>
        </w:rPr>
        <w:t xml:space="preserve"> </w:t>
      </w:r>
      <w:r w:rsidR="22C54F23" w:rsidRPr="29CD7EC5">
        <w:rPr>
          <w:rFonts w:ascii="Bookman Old Style" w:hAnsi="Bookman Old Style"/>
          <w:lang w:val="es-ES"/>
        </w:rPr>
        <w:t xml:space="preserve">que </w:t>
      </w:r>
      <w:r w:rsidR="001E0942" w:rsidRPr="29CD7EC5">
        <w:rPr>
          <w:rFonts w:ascii="Bookman Old Style" w:hAnsi="Bookman Old Style"/>
          <w:lang w:val="es-ES"/>
        </w:rPr>
        <w:t>e</w:t>
      </w:r>
      <w:r w:rsidR="009D309F" w:rsidRPr="29CD7EC5">
        <w:rPr>
          <w:rFonts w:ascii="Bookman Old Style" w:hAnsi="Bookman Old Style"/>
          <w:lang w:val="es-ES"/>
        </w:rPr>
        <w:t xml:space="preserve">l nivel de los embalses en el sistema </w:t>
      </w:r>
      <w:r w:rsidR="00212CA7" w:rsidRPr="29CD7EC5">
        <w:rPr>
          <w:rFonts w:ascii="Bookman Old Style" w:hAnsi="Bookman Old Style"/>
          <w:lang w:val="es-ES"/>
        </w:rPr>
        <w:t>se encuentra en niveles mínimos, cerca</w:t>
      </w:r>
      <w:r w:rsidR="00A73181" w:rsidRPr="29CD7EC5">
        <w:rPr>
          <w:rFonts w:ascii="Bookman Old Style" w:hAnsi="Bookman Old Style"/>
          <w:lang w:val="es-ES"/>
        </w:rPr>
        <w:t>no</w:t>
      </w:r>
      <w:r w:rsidR="00212CA7" w:rsidRPr="29CD7EC5">
        <w:rPr>
          <w:rFonts w:ascii="Bookman Old Style" w:hAnsi="Bookman Old Style"/>
          <w:lang w:val="es-ES"/>
        </w:rPr>
        <w:t xml:space="preserve"> </w:t>
      </w:r>
      <w:r w:rsidR="00A73181" w:rsidRPr="29CD7EC5">
        <w:rPr>
          <w:rFonts w:ascii="Bookman Old Style" w:hAnsi="Bookman Old Style"/>
          <w:lang w:val="es-ES"/>
        </w:rPr>
        <w:t>a</w:t>
      </w:r>
      <w:r w:rsidR="00212CA7" w:rsidRPr="29CD7EC5">
        <w:rPr>
          <w:rFonts w:ascii="Bookman Old Style" w:hAnsi="Bookman Old Style"/>
          <w:lang w:val="es-ES"/>
        </w:rPr>
        <w:t>l treinta por ciento (30%)</w:t>
      </w:r>
      <w:r w:rsidR="009F1B56" w:rsidRPr="29CD7EC5">
        <w:rPr>
          <w:rFonts w:ascii="Bookman Old Style" w:hAnsi="Bookman Old Style"/>
          <w:lang w:val="es-ES"/>
        </w:rPr>
        <w:t xml:space="preserve"> </w:t>
      </w:r>
      <w:r w:rsidR="009F687E" w:rsidRPr="29CD7EC5">
        <w:rPr>
          <w:rFonts w:ascii="Bookman Old Style" w:hAnsi="Bookman Old Style"/>
          <w:lang w:val="es-ES"/>
        </w:rPr>
        <w:t xml:space="preserve">medido </w:t>
      </w:r>
      <w:r w:rsidR="009F1B56" w:rsidRPr="29CD7EC5">
        <w:rPr>
          <w:rFonts w:ascii="Bookman Old Style" w:hAnsi="Bookman Old Style"/>
          <w:lang w:val="es-ES"/>
        </w:rPr>
        <w:t xml:space="preserve">como </w:t>
      </w:r>
      <w:r w:rsidR="009F687E" w:rsidRPr="29CD7EC5">
        <w:rPr>
          <w:rFonts w:ascii="Bookman Old Style" w:hAnsi="Bookman Old Style"/>
          <w:lang w:val="es-ES"/>
        </w:rPr>
        <w:t xml:space="preserve">el </w:t>
      </w:r>
      <w:r w:rsidR="009F1B56" w:rsidRPr="29CD7EC5">
        <w:rPr>
          <w:rFonts w:ascii="Bookman Old Style" w:hAnsi="Bookman Old Style"/>
          <w:lang w:val="es-ES"/>
        </w:rPr>
        <w:t>nivel de volumen útil</w:t>
      </w:r>
      <w:r w:rsidR="006F7338">
        <w:rPr>
          <w:rFonts w:ascii="Bookman Old Style" w:hAnsi="Bookman Old Style"/>
          <w:lang w:val="es-ES"/>
        </w:rPr>
        <w:t>.</w:t>
      </w:r>
      <w:r w:rsidR="00976F08" w:rsidRPr="29CD7EC5">
        <w:rPr>
          <w:rFonts w:ascii="Bookman Old Style" w:hAnsi="Bookman Old Style"/>
          <w:lang w:val="es-ES"/>
        </w:rPr>
        <w:t xml:space="preserve"> A</w:t>
      </w:r>
      <w:bookmarkStart w:id="0" w:name="_GoBack"/>
      <w:bookmarkEnd w:id="0"/>
      <w:r w:rsidR="00976F08" w:rsidRPr="29CD7EC5">
        <w:rPr>
          <w:rFonts w:ascii="Bookman Old Style" w:hAnsi="Bookman Old Style"/>
          <w:lang w:val="es-ES"/>
        </w:rPr>
        <w:t>dicionalmente,</w:t>
      </w:r>
      <w:r w:rsidR="00490FE1" w:rsidRPr="29CD7EC5">
        <w:rPr>
          <w:rFonts w:ascii="Bookman Old Style" w:hAnsi="Bookman Old Style"/>
          <w:lang w:val="es-ES"/>
        </w:rPr>
        <w:t xml:space="preserve"> según </w:t>
      </w:r>
      <w:r w:rsidRPr="29CD7EC5">
        <w:rPr>
          <w:rFonts w:ascii="Bookman Old Style" w:hAnsi="Bookman Old Style"/>
          <w:lang w:val="es-ES"/>
        </w:rPr>
        <w:t>el informe de la NOAA del mes de abril</w:t>
      </w:r>
      <w:r w:rsidR="0028444E" w:rsidRPr="29CD7EC5">
        <w:rPr>
          <w:rFonts w:ascii="Bookman Old Style" w:hAnsi="Bookman Old Style"/>
          <w:lang w:val="es-ES"/>
        </w:rPr>
        <w:t xml:space="preserve"> de 2024</w:t>
      </w:r>
      <w:r w:rsidRPr="29CD7EC5">
        <w:rPr>
          <w:rFonts w:ascii="Bookman Old Style" w:hAnsi="Bookman Old Style"/>
          <w:lang w:val="es-ES"/>
        </w:rPr>
        <w:t xml:space="preserve">, </w:t>
      </w:r>
      <w:r w:rsidR="00490FE1" w:rsidRPr="29CD7EC5">
        <w:rPr>
          <w:rFonts w:ascii="Bookman Old Style" w:hAnsi="Bookman Old Style"/>
          <w:lang w:val="es-ES"/>
        </w:rPr>
        <w:t xml:space="preserve">si bien </w:t>
      </w:r>
      <w:r w:rsidRPr="29CD7EC5">
        <w:rPr>
          <w:rFonts w:ascii="Bookman Old Style" w:hAnsi="Bookman Old Style"/>
          <w:lang w:val="es-ES"/>
        </w:rPr>
        <w:t xml:space="preserve">las probabilidades de </w:t>
      </w:r>
      <w:r w:rsidR="2FA2EE59" w:rsidRPr="29CD7EC5">
        <w:rPr>
          <w:rFonts w:ascii="Bookman Old Style" w:hAnsi="Bookman Old Style"/>
          <w:lang w:val="es-ES"/>
        </w:rPr>
        <w:t xml:space="preserve">que </w:t>
      </w:r>
      <w:r w:rsidR="00713F85" w:rsidRPr="29CD7EC5">
        <w:rPr>
          <w:rFonts w:ascii="Bookman Old Style" w:hAnsi="Bookman Old Style"/>
          <w:lang w:val="es-ES"/>
        </w:rPr>
        <w:t>contin</w:t>
      </w:r>
      <w:r w:rsidR="293C57F5" w:rsidRPr="29CD7EC5">
        <w:rPr>
          <w:rFonts w:ascii="Bookman Old Style" w:hAnsi="Bookman Old Style"/>
          <w:lang w:val="es-ES"/>
        </w:rPr>
        <w:t>úe</w:t>
      </w:r>
      <w:r w:rsidR="00713F85" w:rsidRPr="29CD7EC5">
        <w:rPr>
          <w:rFonts w:ascii="Bookman Old Style" w:hAnsi="Bookman Old Style"/>
          <w:lang w:val="es-ES"/>
        </w:rPr>
        <w:t xml:space="preserve"> este fenómeno </w:t>
      </w:r>
      <w:r w:rsidR="009F1B56" w:rsidRPr="29CD7EC5">
        <w:rPr>
          <w:rFonts w:ascii="Bookman Old Style" w:hAnsi="Bookman Old Style"/>
          <w:lang w:val="es-ES"/>
        </w:rPr>
        <w:t>h</w:t>
      </w:r>
      <w:r w:rsidRPr="29CD7EC5">
        <w:rPr>
          <w:rFonts w:ascii="Bookman Old Style" w:hAnsi="Bookman Old Style"/>
          <w:lang w:val="es-ES"/>
        </w:rPr>
        <w:t xml:space="preserve">an </w:t>
      </w:r>
      <w:r w:rsidR="00A73181" w:rsidRPr="29CD7EC5">
        <w:rPr>
          <w:rFonts w:ascii="Bookman Old Style" w:hAnsi="Bookman Old Style"/>
          <w:lang w:val="es-ES"/>
        </w:rPr>
        <w:t>disminuido,</w:t>
      </w:r>
      <w:r w:rsidR="009F1B56" w:rsidRPr="29CD7EC5">
        <w:rPr>
          <w:rFonts w:ascii="Bookman Old Style" w:hAnsi="Bookman Old Style"/>
          <w:lang w:val="es-ES"/>
        </w:rPr>
        <w:t xml:space="preserve"> </w:t>
      </w:r>
      <w:r w:rsidR="00490FE1" w:rsidRPr="29CD7EC5">
        <w:rPr>
          <w:rFonts w:ascii="Bookman Old Style" w:hAnsi="Bookman Old Style"/>
          <w:lang w:val="es-ES"/>
        </w:rPr>
        <w:t>todavía se podría esperar una</w:t>
      </w:r>
      <w:r w:rsidR="00C53863" w:rsidRPr="29CD7EC5">
        <w:rPr>
          <w:rFonts w:ascii="Bookman Old Style" w:hAnsi="Bookman Old Style"/>
          <w:lang w:val="es-ES"/>
        </w:rPr>
        <w:t xml:space="preserve"> extensión hasta el trimestre que termina en junio de 20</w:t>
      </w:r>
      <w:r w:rsidR="00A73181" w:rsidRPr="29CD7EC5">
        <w:rPr>
          <w:rFonts w:ascii="Bookman Old Style" w:hAnsi="Bookman Old Style"/>
          <w:lang w:val="es-ES"/>
        </w:rPr>
        <w:t xml:space="preserve">24. </w:t>
      </w:r>
      <w:r w:rsidR="00061934" w:rsidRPr="29CD7EC5">
        <w:rPr>
          <w:rFonts w:ascii="Bookman Old Style" w:hAnsi="Bookman Old Style"/>
          <w:lang w:val="es-ES"/>
        </w:rPr>
        <w:t xml:space="preserve">Estos dos eventos se han visto reflejados </w:t>
      </w:r>
      <w:r w:rsidR="00677990" w:rsidRPr="29CD7EC5">
        <w:rPr>
          <w:rFonts w:ascii="Bookman Old Style" w:hAnsi="Bookman Old Style"/>
          <w:lang w:val="es-ES"/>
        </w:rPr>
        <w:t>en</w:t>
      </w:r>
      <w:r w:rsidRPr="29CD7EC5">
        <w:rPr>
          <w:rFonts w:ascii="Bookman Old Style" w:hAnsi="Bookman Old Style"/>
          <w:lang w:val="es-ES"/>
        </w:rPr>
        <w:t xml:space="preserve"> aumentos en el precio de bolsa, </w:t>
      </w:r>
      <w:r w:rsidR="00B10FFD" w:rsidRPr="29CD7EC5">
        <w:rPr>
          <w:rFonts w:ascii="Bookman Old Style" w:hAnsi="Bookman Old Style"/>
          <w:lang w:val="es-ES"/>
        </w:rPr>
        <w:t xml:space="preserve">cuyos promedios para marzo y lo corrido de abril de 2024 son de </w:t>
      </w:r>
      <w:r w:rsidR="009C51E3" w:rsidRPr="29CD7EC5">
        <w:rPr>
          <w:rFonts w:ascii="Bookman Old Style" w:hAnsi="Bookman Old Style"/>
          <w:lang w:val="es-ES"/>
        </w:rPr>
        <w:t>6</w:t>
      </w:r>
      <w:r w:rsidR="009F687E" w:rsidRPr="29CD7EC5">
        <w:rPr>
          <w:rFonts w:ascii="Bookman Old Style" w:hAnsi="Bookman Old Style"/>
          <w:lang w:val="es-ES"/>
        </w:rPr>
        <w:t>2</w:t>
      </w:r>
      <w:r w:rsidR="009C51E3" w:rsidRPr="29CD7EC5">
        <w:rPr>
          <w:rFonts w:ascii="Bookman Old Style" w:hAnsi="Bookman Old Style"/>
          <w:lang w:val="es-ES"/>
        </w:rPr>
        <w:t>2</w:t>
      </w:r>
      <w:r w:rsidR="009F687E" w:rsidRPr="29CD7EC5">
        <w:rPr>
          <w:rFonts w:ascii="Bookman Old Style" w:hAnsi="Bookman Old Style"/>
          <w:lang w:val="es-ES"/>
        </w:rPr>
        <w:t xml:space="preserve"> $/kWh y </w:t>
      </w:r>
      <w:r w:rsidR="00673839" w:rsidRPr="29CD7EC5">
        <w:rPr>
          <w:rFonts w:ascii="Bookman Old Style" w:hAnsi="Bookman Old Style"/>
          <w:lang w:val="es-ES"/>
        </w:rPr>
        <w:t>939</w:t>
      </w:r>
      <w:r w:rsidR="009F687E" w:rsidRPr="29CD7EC5">
        <w:rPr>
          <w:rFonts w:ascii="Bookman Old Style" w:hAnsi="Bookman Old Style"/>
          <w:lang w:val="es-ES"/>
        </w:rPr>
        <w:t xml:space="preserve"> $/kWh, respectivamente.</w:t>
      </w:r>
    </w:p>
    <w:p w14:paraId="6E07F94D" w14:textId="44CD2733" w:rsidR="004063E9" w:rsidRPr="00824BF6" w:rsidRDefault="004063E9" w:rsidP="00647989">
      <w:pPr>
        <w:pStyle w:val="Textodebloque"/>
        <w:ind w:left="0" w:right="51"/>
        <w:rPr>
          <w:rFonts w:ascii="Bookman Old Style" w:hAnsi="Bookman Old Style"/>
          <w:szCs w:val="24"/>
        </w:rPr>
      </w:pPr>
      <w:r w:rsidRPr="00824BF6">
        <w:rPr>
          <w:rFonts w:ascii="Bookman Old Style" w:hAnsi="Bookman Old Style"/>
          <w:szCs w:val="24"/>
        </w:rPr>
        <w:t xml:space="preserve">Estos niveles de precios de bolsa, conforme con el Reglamento </w:t>
      </w:r>
      <w:r w:rsidRPr="00824BF6">
        <w:rPr>
          <w:rFonts w:ascii="Bookman Old Style" w:hAnsi="Bookman Old Style"/>
          <w:lang w:val="es-CO"/>
        </w:rPr>
        <w:t xml:space="preserve">de Mecanismos de Cubrimiento para las Transacciones en el MEM </w:t>
      </w:r>
      <w:r w:rsidRPr="00824BF6">
        <w:rPr>
          <w:rFonts w:ascii="Bookman Old Style" w:hAnsi="Bookman Old Style"/>
          <w:szCs w:val="24"/>
        </w:rPr>
        <w:t xml:space="preserve">conllevan a un valor </w:t>
      </w:r>
      <w:r w:rsidR="009E31AE" w:rsidRPr="00824BF6">
        <w:rPr>
          <w:rFonts w:ascii="Bookman Old Style" w:hAnsi="Bookman Old Style"/>
          <w:szCs w:val="24"/>
        </w:rPr>
        <w:t xml:space="preserve">mayor </w:t>
      </w:r>
      <w:r w:rsidRPr="00824BF6">
        <w:rPr>
          <w:rFonts w:ascii="Bookman Old Style" w:hAnsi="Bookman Old Style"/>
          <w:szCs w:val="24"/>
        </w:rPr>
        <w:t xml:space="preserve">de garantías a suscribir por parte de los </w:t>
      </w:r>
      <w:r w:rsidR="00E60E6C" w:rsidRPr="00824BF6">
        <w:rPr>
          <w:rFonts w:ascii="Bookman Old Style" w:hAnsi="Bookman Old Style"/>
          <w:szCs w:val="24"/>
        </w:rPr>
        <w:t>comercializadore</w:t>
      </w:r>
      <w:r w:rsidRPr="00824BF6">
        <w:rPr>
          <w:rFonts w:ascii="Bookman Old Style" w:hAnsi="Bookman Old Style"/>
          <w:szCs w:val="24"/>
        </w:rPr>
        <w:t>s que presentan demanda sin cobertura de contratos</w:t>
      </w:r>
      <w:r w:rsidR="00713F85" w:rsidRPr="00824BF6">
        <w:rPr>
          <w:rFonts w:ascii="Bookman Old Style" w:hAnsi="Bookman Old Style"/>
          <w:szCs w:val="24"/>
        </w:rPr>
        <w:t>, afectando la situación de liquidez de estos comercializadores.</w:t>
      </w:r>
    </w:p>
    <w:p w14:paraId="4E9ED091" w14:textId="10C1C304" w:rsidR="00045D3D" w:rsidRPr="00A91ACE" w:rsidRDefault="00EA2AFD" w:rsidP="00A91ACE">
      <w:pPr>
        <w:pStyle w:val="Textodebloque"/>
        <w:ind w:left="0" w:right="51"/>
        <w:rPr>
          <w:rFonts w:ascii="Bookman Old Style" w:hAnsi="Bookman Old Style"/>
          <w:lang w:val="es-ES"/>
        </w:rPr>
      </w:pPr>
      <w:r w:rsidRPr="29CD7EC5">
        <w:rPr>
          <w:rFonts w:ascii="Bookman Old Style" w:hAnsi="Bookman Old Style"/>
          <w:color w:val="000000" w:themeColor="text1"/>
          <w:lang w:val="es-ES"/>
        </w:rPr>
        <w:t>Conforme a lo anterior</w:t>
      </w:r>
      <w:r w:rsidR="004063E9" w:rsidRPr="29CD7EC5">
        <w:rPr>
          <w:rFonts w:ascii="Bookman Old Style" w:hAnsi="Bookman Old Style"/>
          <w:color w:val="000000" w:themeColor="text1"/>
          <w:lang w:val="es-ES"/>
        </w:rPr>
        <w:t xml:space="preserve">, la Comisión considera </w:t>
      </w:r>
      <w:r w:rsidRPr="29CD7EC5">
        <w:rPr>
          <w:rFonts w:ascii="Bookman Old Style" w:hAnsi="Bookman Old Style"/>
          <w:color w:val="000000" w:themeColor="text1"/>
          <w:lang w:val="es-ES"/>
        </w:rPr>
        <w:t>conveniente</w:t>
      </w:r>
      <w:r w:rsidR="004063E9" w:rsidRPr="29CD7EC5">
        <w:rPr>
          <w:rFonts w:ascii="Bookman Old Style" w:hAnsi="Bookman Old Style"/>
          <w:color w:val="000000" w:themeColor="text1"/>
          <w:lang w:val="es-ES"/>
        </w:rPr>
        <w:t xml:space="preserve"> </w:t>
      </w:r>
      <w:r w:rsidR="00AC2BD8" w:rsidRPr="29CD7EC5">
        <w:rPr>
          <w:rFonts w:ascii="Bookman Old Style" w:hAnsi="Bookman Old Style"/>
          <w:color w:val="000000" w:themeColor="text1"/>
          <w:lang w:val="es-ES"/>
        </w:rPr>
        <w:t xml:space="preserve">ampliar </w:t>
      </w:r>
      <w:r w:rsidR="00D343C0" w:rsidRPr="29CD7EC5">
        <w:rPr>
          <w:rFonts w:ascii="Bookman Old Style" w:hAnsi="Bookman Old Style"/>
          <w:color w:val="000000" w:themeColor="text1"/>
          <w:lang w:val="es-ES"/>
        </w:rPr>
        <w:t xml:space="preserve">el ámbito de </w:t>
      </w:r>
      <w:r w:rsidR="00AC2BD8" w:rsidRPr="29CD7EC5">
        <w:rPr>
          <w:rFonts w:ascii="Bookman Old Style" w:hAnsi="Bookman Old Style"/>
          <w:color w:val="000000" w:themeColor="text1"/>
          <w:lang w:val="es-ES"/>
        </w:rPr>
        <w:t xml:space="preserve">aplicación de la disposición transitoria adoptada en el artículo 2 de la Resolución CREG 101 016 de 2023 </w:t>
      </w:r>
      <w:r w:rsidR="004063E9" w:rsidRPr="29CD7EC5">
        <w:rPr>
          <w:rFonts w:ascii="Bookman Old Style" w:hAnsi="Bookman Old Style"/>
          <w:color w:val="000000" w:themeColor="text1"/>
          <w:lang w:val="es-ES"/>
        </w:rPr>
        <w:t xml:space="preserve">en materia de garantías para el cubrimiento de las transacciones en el MEM, con el fin de mejorar la disponibilidad de capital de trabajo y el flujo de caja de </w:t>
      </w:r>
      <w:r w:rsidR="00F739C2" w:rsidRPr="29CD7EC5">
        <w:rPr>
          <w:rFonts w:ascii="Bookman Old Style" w:hAnsi="Bookman Old Style"/>
          <w:color w:val="000000" w:themeColor="text1"/>
          <w:lang w:val="es-ES"/>
        </w:rPr>
        <w:t xml:space="preserve">todos </w:t>
      </w:r>
      <w:r w:rsidR="004063E9" w:rsidRPr="29CD7EC5">
        <w:rPr>
          <w:rFonts w:ascii="Bookman Old Style" w:hAnsi="Bookman Old Style"/>
          <w:color w:val="000000" w:themeColor="text1"/>
          <w:lang w:val="es-ES"/>
        </w:rPr>
        <w:t>los comercializadores que atienden a usuarios finales regulados afectados por la mayor exposición a los precios de bolsa, y así facilitar el cumplimiento de sus obligaciones con el mercado y garantizar la continuidad del servicio a los usuarios</w:t>
      </w:r>
      <w:r w:rsidR="00F739C2" w:rsidRPr="29CD7EC5">
        <w:rPr>
          <w:rFonts w:ascii="Bookman Old Style" w:hAnsi="Bookman Old Style"/>
          <w:color w:val="000000" w:themeColor="text1"/>
          <w:lang w:val="es-ES"/>
        </w:rPr>
        <w:t xml:space="preserve"> durante el período de El Niño</w:t>
      </w:r>
      <w:r w:rsidR="00506720" w:rsidRPr="29CD7EC5">
        <w:rPr>
          <w:rFonts w:ascii="Bookman Old Style" w:hAnsi="Bookman Old Style"/>
          <w:color w:val="000000" w:themeColor="text1"/>
          <w:lang w:val="es-ES"/>
        </w:rPr>
        <w:t>.</w:t>
      </w:r>
    </w:p>
    <w:p w14:paraId="3DB41754" w14:textId="77777777" w:rsidR="00045D3D" w:rsidRDefault="00045D3D" w:rsidP="00045D3D">
      <w:pPr>
        <w:suppressAutoHyphens/>
        <w:jc w:val="center"/>
        <w:rPr>
          <w:rFonts w:ascii="Bookman Old Style" w:hAnsi="Bookman Old Style"/>
          <w:b/>
          <w:spacing w:val="-3"/>
        </w:rPr>
      </w:pPr>
    </w:p>
    <w:p w14:paraId="40EFC463" w14:textId="77777777"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Default="00045D3D" w:rsidP="00045D3D">
      <w:pPr>
        <w:jc w:val="center"/>
        <w:rPr>
          <w:rFonts w:ascii="Bookman Old Style" w:hAnsi="Bookman Old Style"/>
        </w:rPr>
      </w:pPr>
    </w:p>
    <w:p w14:paraId="784E8BDB" w14:textId="43C4CA59" w:rsidR="004063E9" w:rsidRPr="00934A61" w:rsidRDefault="00506720" w:rsidP="331B5276">
      <w:pPr>
        <w:pStyle w:val="Estilo5"/>
        <w:keepNext w:val="0"/>
        <w:numPr>
          <w:ilvl w:val="0"/>
          <w:numId w:val="23"/>
        </w:numPr>
        <w:tabs>
          <w:tab w:val="left" w:pos="1560"/>
          <w:tab w:val="left" w:pos="3544"/>
        </w:tabs>
        <w:spacing w:before="120" w:after="0"/>
        <w:ind w:left="0" w:right="142"/>
        <w:rPr>
          <w:b w:val="0"/>
          <w:bCs/>
        </w:rPr>
      </w:pPr>
      <w:r>
        <w:t>Ampliación del á</w:t>
      </w:r>
      <w:r w:rsidR="004063E9" w:rsidRPr="00934A61">
        <w:t>mbito de aplicación</w:t>
      </w:r>
      <w:r>
        <w:t xml:space="preserve"> </w:t>
      </w:r>
      <w:r w:rsidR="00955703">
        <w:t xml:space="preserve">y vigencia </w:t>
      </w:r>
      <w:r>
        <w:t xml:space="preserve">de la medida transitoria de la Resolución CREG 101 </w:t>
      </w:r>
      <w:r w:rsidR="62AB0154">
        <w:t>016</w:t>
      </w:r>
      <w:r>
        <w:t xml:space="preserve"> de 2023</w:t>
      </w:r>
      <w:r w:rsidR="004063E9" w:rsidRPr="00934A61">
        <w:t>.</w:t>
      </w:r>
      <w:r w:rsidR="004063E9" w:rsidRPr="00934A61">
        <w:rPr>
          <w:b w:val="0"/>
          <w:bCs/>
        </w:rPr>
        <w:t xml:space="preserve"> </w:t>
      </w:r>
      <w:r w:rsidR="004063E9">
        <w:rPr>
          <w:b w:val="0"/>
          <w:bCs/>
        </w:rPr>
        <w:t xml:space="preserve">El ámbito de aplicación de las medidas del artículo 2 de la Resolución CREG 101 016 de 2023, se amplía </w:t>
      </w:r>
      <w:r w:rsidR="00153A2C">
        <w:rPr>
          <w:b w:val="0"/>
          <w:bCs/>
        </w:rPr>
        <w:t xml:space="preserve">a </w:t>
      </w:r>
      <w:r w:rsidR="004063E9" w:rsidRPr="00934A61">
        <w:rPr>
          <w:b w:val="0"/>
          <w:bCs/>
        </w:rPr>
        <w:t>todos aquellos agentes que desarroll</w:t>
      </w:r>
      <w:r w:rsidR="004063E9">
        <w:rPr>
          <w:b w:val="0"/>
          <w:bCs/>
        </w:rPr>
        <w:t>e</w:t>
      </w:r>
      <w:r w:rsidR="004063E9" w:rsidRPr="00934A61">
        <w:rPr>
          <w:b w:val="0"/>
          <w:bCs/>
        </w:rPr>
        <w:t>n</w:t>
      </w:r>
      <w:r w:rsidR="004063E9">
        <w:rPr>
          <w:b w:val="0"/>
          <w:bCs/>
        </w:rPr>
        <w:t xml:space="preserve"> </w:t>
      </w:r>
      <w:r w:rsidR="004063E9" w:rsidRPr="00934A61">
        <w:rPr>
          <w:b w:val="0"/>
          <w:bCs/>
        </w:rPr>
        <w:t xml:space="preserve">la actividad de comercialización </w:t>
      </w:r>
      <w:r w:rsidR="004063E9">
        <w:rPr>
          <w:b w:val="0"/>
          <w:bCs/>
        </w:rPr>
        <w:t xml:space="preserve">de energía eléctrica y </w:t>
      </w:r>
      <w:r w:rsidR="004063E9" w:rsidRPr="00934A61">
        <w:rPr>
          <w:b w:val="0"/>
          <w:bCs/>
        </w:rPr>
        <w:t>que atienden a usuarios finales</w:t>
      </w:r>
      <w:r w:rsidR="004063E9">
        <w:rPr>
          <w:b w:val="0"/>
          <w:bCs/>
        </w:rPr>
        <w:t xml:space="preserve"> regulados</w:t>
      </w:r>
      <w:r w:rsidR="004063E9" w:rsidRPr="00934A61">
        <w:rPr>
          <w:b w:val="0"/>
          <w:bCs/>
        </w:rPr>
        <w:t xml:space="preserve">. </w:t>
      </w:r>
    </w:p>
    <w:p w14:paraId="7858478B" w14:textId="77777777" w:rsidR="004063E9" w:rsidRDefault="004063E9" w:rsidP="004063E9">
      <w:pPr>
        <w:pStyle w:val="Estilo5"/>
        <w:keepNext w:val="0"/>
        <w:tabs>
          <w:tab w:val="left" w:pos="1560"/>
        </w:tabs>
        <w:spacing w:before="0" w:after="0"/>
        <w:ind w:right="142"/>
        <w:outlineLvl w:val="9"/>
        <w:rPr>
          <w:b w:val="0"/>
          <w:bCs/>
        </w:rPr>
      </w:pPr>
    </w:p>
    <w:p w14:paraId="6DBD8A6B" w14:textId="642DA624" w:rsidR="004063E9" w:rsidRDefault="004063E9" w:rsidP="29CD7EC5">
      <w:pPr>
        <w:pStyle w:val="Estilo5"/>
        <w:keepNext w:val="0"/>
        <w:tabs>
          <w:tab w:val="left" w:pos="1560"/>
        </w:tabs>
        <w:spacing w:before="0" w:after="0"/>
        <w:ind w:right="142"/>
        <w:rPr>
          <w:b w:val="0"/>
          <w:lang w:val="es-ES"/>
        </w:rPr>
      </w:pPr>
      <w:r w:rsidRPr="29CD7EC5">
        <w:rPr>
          <w:b w:val="0"/>
          <w:lang w:val="es-ES"/>
        </w:rPr>
        <w:t>La medida establecida en el artículo 2 de la Resolución CREG 101 016 de 2023 tendrá vigencia para la totalidad de los períodos a cubrir hasta el 3</w:t>
      </w:r>
      <w:r w:rsidR="002D7003" w:rsidRPr="29CD7EC5">
        <w:rPr>
          <w:b w:val="0"/>
          <w:lang w:val="es-ES"/>
        </w:rPr>
        <w:t>1</w:t>
      </w:r>
      <w:r w:rsidRPr="29CD7EC5">
        <w:rPr>
          <w:b w:val="0"/>
          <w:lang w:val="es-ES"/>
        </w:rPr>
        <w:t xml:space="preserve"> de </w:t>
      </w:r>
      <w:r w:rsidR="002D7003" w:rsidRPr="29CD7EC5">
        <w:rPr>
          <w:b w:val="0"/>
          <w:lang w:val="es-ES"/>
        </w:rPr>
        <w:t>julio</w:t>
      </w:r>
      <w:r w:rsidRPr="29CD7EC5">
        <w:rPr>
          <w:b w:val="0"/>
          <w:lang w:val="es-ES"/>
        </w:rPr>
        <w:t xml:space="preserve"> de 2024.</w:t>
      </w:r>
    </w:p>
    <w:p w14:paraId="5D9A6BD3" w14:textId="77777777" w:rsidR="002D7003" w:rsidRDefault="002D7003" w:rsidP="004063E9">
      <w:pPr>
        <w:pStyle w:val="Estilo5"/>
        <w:keepNext w:val="0"/>
        <w:tabs>
          <w:tab w:val="left" w:pos="1560"/>
        </w:tabs>
        <w:spacing w:before="0" w:after="0"/>
        <w:ind w:right="142"/>
        <w:outlineLvl w:val="9"/>
        <w:rPr>
          <w:b w:val="0"/>
          <w:bCs/>
        </w:rPr>
      </w:pPr>
    </w:p>
    <w:p w14:paraId="6890ABBA" w14:textId="64EB047E" w:rsidR="002D7003" w:rsidRPr="00D7679D" w:rsidRDefault="00A60577" w:rsidP="29CD7EC5">
      <w:pPr>
        <w:pStyle w:val="Estilo5"/>
        <w:keepNext w:val="0"/>
        <w:tabs>
          <w:tab w:val="left" w:pos="1560"/>
        </w:tabs>
        <w:spacing w:before="0" w:after="0"/>
        <w:ind w:right="142"/>
        <w:rPr>
          <w:b w:val="0"/>
          <w:lang w:val="es-ES"/>
        </w:rPr>
      </w:pPr>
      <w:r w:rsidRPr="29CD7EC5">
        <w:rPr>
          <w:lang w:val="es-ES"/>
        </w:rPr>
        <w:t>Parágrafo:</w:t>
      </w:r>
      <w:r w:rsidRPr="29CD7EC5">
        <w:rPr>
          <w:b w:val="0"/>
          <w:lang w:val="es-ES"/>
        </w:rPr>
        <w:t xml:space="preserve"> El Administrador del Sistema de Intercambios Comerciales, ASIC, realizará los ajustes correspondientes a las garantías del mes de mayo de 2024 en el siguiente ajuste semanal que corresponda a la publicación de la presente resolución.</w:t>
      </w:r>
    </w:p>
    <w:p w14:paraId="1B740C81" w14:textId="77777777" w:rsidR="004063E9" w:rsidRPr="00476619" w:rsidRDefault="004063E9" w:rsidP="004063E9">
      <w:pPr>
        <w:pStyle w:val="Estilo5"/>
        <w:keepNext w:val="0"/>
        <w:tabs>
          <w:tab w:val="left" w:pos="1560"/>
        </w:tabs>
        <w:spacing w:before="0" w:after="0"/>
        <w:ind w:right="142"/>
        <w:outlineLvl w:val="9"/>
        <w:rPr>
          <w:b w:val="0"/>
          <w:bCs/>
        </w:rPr>
      </w:pPr>
    </w:p>
    <w:p w14:paraId="4E107E6A" w14:textId="77777777" w:rsidR="004063E9" w:rsidRPr="00934A61" w:rsidRDefault="004063E9" w:rsidP="004063E9">
      <w:pPr>
        <w:pStyle w:val="Estilo5"/>
        <w:keepNext w:val="0"/>
        <w:numPr>
          <w:ilvl w:val="0"/>
          <w:numId w:val="23"/>
        </w:numPr>
        <w:tabs>
          <w:tab w:val="left" w:pos="1560"/>
        </w:tabs>
        <w:spacing w:before="120" w:after="0"/>
        <w:ind w:left="0" w:right="142"/>
        <w:outlineLvl w:val="9"/>
      </w:pPr>
      <w:r w:rsidRPr="00934A61">
        <w:t xml:space="preserve">Vigencia. </w:t>
      </w:r>
      <w:r w:rsidRPr="00934A61">
        <w:rPr>
          <w:b w:val="0"/>
          <w:bCs/>
        </w:rPr>
        <w:t xml:space="preserve">Esta resolución rige a partir de </w:t>
      </w:r>
      <w:r w:rsidRPr="00934A61">
        <w:rPr>
          <w:b w:val="0"/>
        </w:rPr>
        <w:t xml:space="preserve">la fecha de su publicación en el </w:t>
      </w:r>
      <w:r w:rsidRPr="00934A61">
        <w:rPr>
          <w:b w:val="0"/>
          <w:i/>
        </w:rPr>
        <w:t>Diario Oficia</w:t>
      </w:r>
      <w:r w:rsidRPr="00934A61">
        <w:rPr>
          <w:b w:val="0"/>
        </w:rPr>
        <w:t>l.</w:t>
      </w:r>
    </w:p>
    <w:p w14:paraId="4C3505C4" w14:textId="77777777" w:rsidR="00045D3D" w:rsidRPr="00C435C3" w:rsidRDefault="00045D3D" w:rsidP="00045D3D">
      <w:pPr>
        <w:ind w:left="0"/>
        <w:rPr>
          <w:rFonts w:ascii="Bookman Old Style" w:hAnsi="Bookman Old Style"/>
        </w:rPr>
      </w:pPr>
    </w:p>
    <w:p w14:paraId="292B1F06" w14:textId="4CCE44C8" w:rsidR="00045D3D" w:rsidRPr="00C435C3" w:rsidRDefault="00045D3D" w:rsidP="00045D3D">
      <w:pPr>
        <w:jc w:val="center"/>
        <w:rPr>
          <w:rFonts w:ascii="Bookman Old Style" w:hAnsi="Bookman Old Style"/>
          <w:b/>
        </w:rPr>
      </w:pPr>
      <w:r w:rsidRPr="00C435C3">
        <w:rPr>
          <w:rFonts w:ascii="Bookman Old Style" w:hAnsi="Bookman Old Style"/>
          <w:b/>
        </w:rPr>
        <w:t>PU</w:t>
      </w:r>
      <w:r w:rsidR="00CA03C8">
        <w:rPr>
          <w:rFonts w:ascii="Bookman Old Style" w:hAnsi="Bookman Old Style"/>
          <w:b/>
        </w:rPr>
        <w:t>B</w:t>
      </w:r>
      <w:r w:rsidRPr="00C435C3">
        <w:rPr>
          <w:rFonts w:ascii="Bookman Old Style" w:hAnsi="Bookman Old Style"/>
          <w:b/>
        </w:rPr>
        <w:t>LÍQUESE Y CÚMPLASE</w:t>
      </w:r>
    </w:p>
    <w:p w14:paraId="185A0E4A" w14:textId="22D1CF84" w:rsidR="00E060BE" w:rsidRPr="00E060BE" w:rsidRDefault="00E060BE" w:rsidP="00914262">
      <w:pPr>
        <w:rPr>
          <w:rFonts w:ascii="Bookman Old Style" w:hAnsi="Bookman Old Style" w:cs="Arial"/>
        </w:rPr>
      </w:pPr>
    </w:p>
    <w:sectPr w:rsidR="00E060BE" w:rsidRPr="00E060BE" w:rsidSect="00D80A9D">
      <w:headerReference w:type="default" r:id="rId14"/>
      <w:footerReference w:type="default" r:id="rId15"/>
      <w:headerReference w:type="first" r:id="rId16"/>
      <w:footerReference w:type="first" r:id="rId17"/>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52768" w14:textId="77777777" w:rsidR="003116CB" w:rsidRDefault="003116CB">
      <w:r>
        <w:separator/>
      </w:r>
    </w:p>
  </w:endnote>
  <w:endnote w:type="continuationSeparator" w:id="0">
    <w:p w14:paraId="665D9FD2" w14:textId="77777777" w:rsidR="003116CB" w:rsidRDefault="003116CB">
      <w:r>
        <w:continuationSeparator/>
      </w:r>
    </w:p>
  </w:endnote>
  <w:endnote w:type="continuationNotice" w:id="1">
    <w:p w14:paraId="31D12FE5" w14:textId="77777777" w:rsidR="003116CB" w:rsidRDefault="0031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331B5276" w14:paraId="01F33866" w14:textId="77777777" w:rsidTr="331B5276">
      <w:trPr>
        <w:trHeight w:val="300"/>
      </w:trPr>
      <w:tc>
        <w:tcPr>
          <w:tcW w:w="3115" w:type="dxa"/>
        </w:tcPr>
        <w:p w14:paraId="1D3789A1" w14:textId="145FF612" w:rsidR="331B5276" w:rsidRDefault="331B5276" w:rsidP="331B5276">
          <w:pPr>
            <w:pStyle w:val="Encabezado"/>
            <w:ind w:left="-115"/>
          </w:pPr>
        </w:p>
      </w:tc>
      <w:tc>
        <w:tcPr>
          <w:tcW w:w="3115" w:type="dxa"/>
        </w:tcPr>
        <w:p w14:paraId="685EE11D" w14:textId="6EE00A93" w:rsidR="331B5276" w:rsidRDefault="331B5276" w:rsidP="331B5276">
          <w:pPr>
            <w:pStyle w:val="Encabezado"/>
            <w:jc w:val="center"/>
          </w:pPr>
        </w:p>
      </w:tc>
      <w:tc>
        <w:tcPr>
          <w:tcW w:w="3115" w:type="dxa"/>
        </w:tcPr>
        <w:p w14:paraId="414D41D5" w14:textId="3A9A287E" w:rsidR="331B5276" w:rsidRDefault="331B5276" w:rsidP="331B5276">
          <w:pPr>
            <w:pStyle w:val="Encabezado"/>
            <w:ind w:right="-115"/>
            <w:jc w:val="right"/>
          </w:pPr>
        </w:p>
      </w:tc>
    </w:tr>
  </w:tbl>
  <w:p w14:paraId="0D15999D" w14:textId="6DBC1332" w:rsidR="001975D1" w:rsidRDefault="001975D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331B5276" w14:paraId="635FB7B1" w14:textId="77777777" w:rsidTr="331B5276">
      <w:trPr>
        <w:trHeight w:val="300"/>
      </w:trPr>
      <w:tc>
        <w:tcPr>
          <w:tcW w:w="3115" w:type="dxa"/>
        </w:tcPr>
        <w:p w14:paraId="6FF047B5" w14:textId="3D8CDF62" w:rsidR="331B5276" w:rsidRDefault="331B5276" w:rsidP="331B5276">
          <w:pPr>
            <w:pStyle w:val="Encabezado"/>
            <w:ind w:left="-115"/>
          </w:pPr>
        </w:p>
      </w:tc>
      <w:tc>
        <w:tcPr>
          <w:tcW w:w="3115" w:type="dxa"/>
        </w:tcPr>
        <w:p w14:paraId="3970B8DC" w14:textId="700ECC41" w:rsidR="331B5276" w:rsidRDefault="331B5276" w:rsidP="331B5276">
          <w:pPr>
            <w:pStyle w:val="Encabezado"/>
            <w:jc w:val="center"/>
          </w:pPr>
        </w:p>
      </w:tc>
      <w:tc>
        <w:tcPr>
          <w:tcW w:w="3115" w:type="dxa"/>
        </w:tcPr>
        <w:p w14:paraId="0ED25E9C" w14:textId="45BBA5F7" w:rsidR="331B5276" w:rsidRDefault="331B5276" w:rsidP="331B5276">
          <w:pPr>
            <w:pStyle w:val="Encabezado"/>
            <w:ind w:right="-115"/>
            <w:jc w:val="right"/>
          </w:pPr>
        </w:p>
      </w:tc>
    </w:tr>
  </w:tbl>
  <w:p w14:paraId="075A0810" w14:textId="7C801E7D" w:rsidR="001975D1" w:rsidRDefault="001975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A82AD" w14:textId="77777777" w:rsidR="003116CB" w:rsidRDefault="003116CB">
      <w:r>
        <w:separator/>
      </w:r>
    </w:p>
  </w:footnote>
  <w:footnote w:type="continuationSeparator" w:id="0">
    <w:p w14:paraId="5EE5BE7C" w14:textId="77777777" w:rsidR="003116CB" w:rsidRDefault="003116CB">
      <w:r>
        <w:continuationSeparator/>
      </w:r>
    </w:p>
  </w:footnote>
  <w:footnote w:type="continuationNotice" w:id="1">
    <w:p w14:paraId="031A08AF" w14:textId="77777777" w:rsidR="003116CB" w:rsidRDefault="003116C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299AA903" w:rsidR="0087657D" w:rsidRPr="00951F79" w:rsidRDefault="0034266E"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7F0EAA" w:rsidRPr="331B5276">
      <w:rPr>
        <w:rFonts w:ascii="Bookman Old Style" w:hAnsi="Bookman Old Style" w:cs="Arial"/>
        <w:u w:val="single"/>
      </w:rPr>
      <w:t xml:space="preserve">701 </w:t>
    </w:r>
    <w:r w:rsidR="00BA2D1E">
      <w:rPr>
        <w:rFonts w:ascii="Bookman Old Style" w:hAnsi="Bookman Old Style" w:cs="Arial"/>
        <w:u w:val="single"/>
      </w:rPr>
      <w:t>036</w:t>
    </w:r>
    <w:r w:rsidR="00725FA4">
      <w:tab/>
    </w:r>
    <w:r w:rsidR="00886EE1" w:rsidRPr="007F0EAA">
      <w:rPr>
        <w:rFonts w:ascii="Bookman Old Style" w:hAnsi="Bookman Old Style" w:cs="Arial"/>
        <w:b w:val="0"/>
        <w:sz w:val="22"/>
        <w:szCs w:val="22"/>
      </w:rPr>
      <w:t>DE</w:t>
    </w:r>
    <w:r w:rsidR="007F0EAA">
      <w:rPr>
        <w:rFonts w:ascii="Bookman Old Style" w:hAnsi="Bookman Old Style" w:cs="Arial"/>
        <w:b w:val="0"/>
        <w:sz w:val="22"/>
        <w:szCs w:val="22"/>
      </w:rPr>
      <w:t xml:space="preserve"> </w:t>
    </w:r>
    <w:r w:rsidR="000D26F8" w:rsidRPr="007F0EAA">
      <w:rPr>
        <w:rFonts w:ascii="Bookman Old Style" w:hAnsi="Bookman Old Style" w:cs="Arial"/>
        <w:b w:val="0"/>
        <w:sz w:val="22"/>
        <w:szCs w:val="22"/>
      </w:rPr>
      <w:t xml:space="preserve"> </w:t>
    </w:r>
    <w:r w:rsidR="00BA2D1E">
      <w:rPr>
        <w:rFonts w:ascii="Bookman Old Style" w:hAnsi="Bookman Old Style" w:cs="Arial"/>
        <w:u w:val="single"/>
      </w:rPr>
      <w:t>13 ABR.</w:t>
    </w:r>
    <w:r w:rsidR="331B5276" w:rsidRPr="331B5276">
      <w:rPr>
        <w:rFonts w:ascii="Bookman Old Style" w:hAnsi="Bookman Old Style" w:cs="Arial"/>
        <w:u w:val="single"/>
      </w:rPr>
      <w:t xml:space="preserve"> 2024</w:t>
    </w:r>
    <w:r w:rsidR="007F0EAA">
      <w:rPr>
        <w:rFonts w:ascii="Bookman Old Style" w:hAnsi="Bookman Old Style" w:cs="Arial"/>
        <w:b w:val="0"/>
        <w:sz w:val="22"/>
        <w:szCs w:val="22"/>
      </w:rPr>
      <w:t xml:space="preserve"> </w:t>
    </w:r>
    <w:r w:rsidR="00BA2D1E">
      <w:rPr>
        <w:rFonts w:ascii="Bookman Old Style" w:hAnsi="Bookman Old Style" w:cs="Arial"/>
        <w:b w:val="0"/>
        <w:sz w:val="22"/>
        <w:szCs w:val="22"/>
      </w:rPr>
      <w:t xml:space="preserve">  </w:t>
    </w:r>
    <w:r w:rsidR="00A91ACE">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E82569">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r w:rsidR="003116CB">
      <w:fldChar w:fldCharType="begin"/>
    </w:r>
    <w:r w:rsidR="003116CB">
      <w:instrText xml:space="preserve"> NUMPAGES  \* MERGEFORMAT </w:instrText>
    </w:r>
    <w:r w:rsidR="003116CB">
      <w:fldChar w:fldCharType="separate"/>
    </w:r>
    <w:r w:rsidR="00E82569" w:rsidRPr="00E82569">
      <w:rPr>
        <w:rFonts w:ascii="Bookman Old Style" w:hAnsi="Bookman Old Style" w:cs="Arial"/>
        <w:b w:val="0"/>
        <w:noProof/>
        <w:sz w:val="22"/>
        <w:szCs w:val="22"/>
      </w:rPr>
      <w:t>4</w:t>
    </w:r>
    <w:r w:rsidR="003116CB">
      <w:rPr>
        <w:rFonts w:ascii="Bookman Old Style" w:hAnsi="Bookman Old Style" w:cs="Arial"/>
        <w:b w:val="0"/>
        <w:noProof/>
        <w:sz w:val="22"/>
        <w:szCs w:val="22"/>
      </w:rPr>
      <w:fldChar w:fldCharType="end"/>
    </w:r>
  </w:p>
  <w:p w14:paraId="39489639" w14:textId="312880F7" w:rsidR="006F6D95" w:rsidRPr="009E31AE" w:rsidRDefault="00DF16F5" w:rsidP="009E31AE">
    <w:pPr>
      <w:pBdr>
        <w:bottom w:val="single" w:sz="4" w:space="5" w:color="auto"/>
      </w:pBdr>
      <w:spacing w:before="360"/>
      <w:ind w:left="0"/>
      <w:rPr>
        <w:rFonts w:ascii="Bookman Old Style" w:hAnsi="Bookman Old Style" w:cs="Arial"/>
        <w:i/>
        <w:iCs/>
        <w:sz w:val="22"/>
        <w:szCs w:val="22"/>
      </w:rPr>
    </w:pPr>
    <w:r w:rsidRPr="009E31AE">
      <w:rPr>
        <w:i/>
        <w:iCs/>
        <w:noProof/>
        <w:sz w:val="22"/>
        <w:szCs w:val="22"/>
        <w:lang w:val="en-US" w:eastAsia="en-US"/>
      </w:rPr>
      <mc:AlternateContent>
        <mc:Choice Requires="wps">
          <w:drawing>
            <wp:anchor distT="0" distB="0" distL="114300" distR="114300" simplePos="0" relativeHeight="251658241"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F00DB4" id="Rectangle 1" o:spid="_x0000_s1026" style="position:absolute;margin-left:-13.8pt;margin-top:10.95pt;width:493.5pt;height:7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DA16" w14:textId="01EC781F" w:rsidR="00725FA4" w:rsidRDefault="00725FA4" w:rsidP="009E31AE">
    <w:pPr>
      <w:pStyle w:val="Encabezado"/>
      <w:ind w:left="0"/>
      <w:jc w:val="center"/>
      <w:rPr>
        <w:rFonts w:ascii="Arial" w:hAnsi="Arial" w:cs="Arial"/>
        <w:spacing w:val="20"/>
        <w:sz w:val="20"/>
      </w:rPr>
    </w:pPr>
    <w:r>
      <w:rPr>
        <w:rFonts w:ascii="Arial" w:hAnsi="Arial" w:cs="Arial"/>
        <w:spacing w:val="20"/>
        <w:sz w:val="20"/>
      </w:rPr>
      <w:t>República de Colombia</w:t>
    </w:r>
  </w:p>
  <w:p w14:paraId="273850B7" w14:textId="77777777" w:rsidR="00725FA4" w:rsidRDefault="00725FA4" w:rsidP="009E31AE">
    <w:pPr>
      <w:pStyle w:val="Encabezado"/>
      <w:ind w:left="0"/>
      <w:jc w:val="center"/>
      <w:rPr>
        <w:rFonts w:ascii="Arial" w:hAnsi="Arial" w:cs="Arial"/>
        <w:spacing w:val="20"/>
        <w:sz w:val="20"/>
      </w:rPr>
    </w:pPr>
  </w:p>
  <w:p w14:paraId="367D4456" w14:textId="76DA3229" w:rsidR="00725FA4" w:rsidRDefault="00DF16F5" w:rsidP="009E31AE">
    <w:pPr>
      <w:pStyle w:val="Encabezado"/>
      <w:ind w:left="0"/>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5C5FFE"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8F13D4"/>
    <w:multiLevelType w:val="multilevel"/>
    <w:tmpl w:val="BD285B9C"/>
    <w:lvl w:ilvl="0">
      <w:start w:val="1"/>
      <w:numFmt w:val="decimal"/>
      <w:lvlText w:val="Artículo %1."/>
      <w:lvlJc w:val="left"/>
      <w:pPr>
        <w:ind w:left="568" w:firstLine="0"/>
      </w:pPr>
      <w:rPr>
        <w:b/>
        <w:i w:val="0"/>
        <w:strike w:val="0"/>
        <w:sz w:val="24"/>
        <w:lang w:val="es-ES"/>
      </w:rPr>
    </w:lvl>
    <w:lvl w:ilvl="1">
      <w:start w:val="1"/>
      <w:numFmt w:val="decimal"/>
      <w:lvlText w:val="%1.%2."/>
      <w:lvlJc w:val="left"/>
      <w:pPr>
        <w:ind w:left="-1843" w:firstLine="0"/>
      </w:pPr>
      <w:rPr>
        <w:rFonts w:ascii="Bookman Old Style" w:hAnsi="Bookman Old Style" w:hint="default"/>
        <w:b/>
        <w:i w:val="0"/>
        <w:sz w:val="24"/>
        <w:szCs w:val="24"/>
      </w:rPr>
    </w:lvl>
    <w:lvl w:ilvl="2">
      <w:start w:val="1"/>
      <w:numFmt w:val="decimal"/>
      <w:suff w:val="nothing"/>
      <w:lvlText w:val="%1.%2.%3. "/>
      <w:lvlJc w:val="left"/>
      <w:pPr>
        <w:ind w:left="-1843" w:firstLine="0"/>
      </w:pPr>
      <w:rPr>
        <w:rFonts w:ascii="Bookman Old Style" w:hAnsi="Bookman Old Style" w:hint="default"/>
        <w:b/>
        <w:i w:val="0"/>
        <w:sz w:val="24"/>
      </w:rPr>
    </w:lvl>
    <w:lvl w:ilvl="3">
      <w:start w:val="1"/>
      <w:numFmt w:val="lowerRoman"/>
      <w:lvlText w:val="(%4)"/>
      <w:lvlJc w:val="right"/>
      <w:pPr>
        <w:ind w:left="-2978" w:firstLine="0"/>
      </w:pPr>
    </w:lvl>
    <w:lvl w:ilvl="4">
      <w:start w:val="1"/>
      <w:numFmt w:val="decimal"/>
      <w:lvlText w:val="%5)"/>
      <w:lvlJc w:val="left"/>
      <w:pPr>
        <w:ind w:left="-2978" w:firstLine="0"/>
      </w:pPr>
    </w:lvl>
    <w:lvl w:ilvl="5">
      <w:start w:val="1"/>
      <w:numFmt w:val="lowerLetter"/>
      <w:lvlText w:val="%6)"/>
      <w:lvlJc w:val="left"/>
      <w:pPr>
        <w:ind w:left="-2978" w:firstLine="0"/>
      </w:pPr>
    </w:lvl>
    <w:lvl w:ilvl="6">
      <w:start w:val="1"/>
      <w:numFmt w:val="lowerRoman"/>
      <w:lvlText w:val="%7)"/>
      <w:lvlJc w:val="right"/>
      <w:pPr>
        <w:ind w:left="-2978" w:firstLine="0"/>
      </w:pPr>
    </w:lvl>
    <w:lvl w:ilvl="7">
      <w:start w:val="1"/>
      <w:numFmt w:val="lowerLetter"/>
      <w:lvlText w:val="%8."/>
      <w:lvlJc w:val="left"/>
      <w:pPr>
        <w:ind w:left="-2978" w:firstLine="0"/>
      </w:pPr>
    </w:lvl>
    <w:lvl w:ilvl="8">
      <w:start w:val="1"/>
      <w:numFmt w:val="lowerRoman"/>
      <w:lvlText w:val="%9."/>
      <w:lvlJc w:val="right"/>
      <w:pPr>
        <w:ind w:left="-2978" w:firstLine="0"/>
      </w:pPr>
      <w:rPr>
        <w:rFonts w:ascii="Bookman Old Style" w:hAnsi="Bookman Old Style" w:hint="default"/>
        <w:b w:val="0"/>
        <w:sz w:val="24"/>
        <w:szCs w:val="24"/>
      </w:rPr>
    </w:lvl>
  </w:abstractNum>
  <w:abstractNum w:abstractNumId="11"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1"/>
  </w:num>
  <w:num w:numId="4">
    <w:abstractNumId w:val="6"/>
  </w:num>
  <w:num w:numId="5">
    <w:abstractNumId w:val="16"/>
  </w:num>
  <w:num w:numId="6">
    <w:abstractNumId w:val="4"/>
  </w:num>
  <w:num w:numId="7">
    <w:abstractNumId w:val="3"/>
  </w:num>
  <w:num w:numId="8">
    <w:abstractNumId w:val="18"/>
  </w:num>
  <w:num w:numId="9">
    <w:abstractNumId w:val="17"/>
  </w:num>
  <w:num w:numId="10">
    <w:abstractNumId w:val="13"/>
  </w:num>
  <w:num w:numId="11">
    <w:abstractNumId w:val="22"/>
  </w:num>
  <w:num w:numId="12">
    <w:abstractNumId w:val="20"/>
  </w:num>
  <w:num w:numId="13">
    <w:abstractNumId w:val="11"/>
  </w:num>
  <w:num w:numId="14">
    <w:abstractNumId w:val="2"/>
  </w:num>
  <w:num w:numId="15">
    <w:abstractNumId w:val="14"/>
  </w:num>
  <w:num w:numId="16">
    <w:abstractNumId w:val="1"/>
  </w:num>
  <w:num w:numId="17">
    <w:abstractNumId w:val="9"/>
  </w:num>
  <w:num w:numId="18">
    <w:abstractNumId w:val="0"/>
  </w:num>
  <w:num w:numId="19">
    <w:abstractNumId w:val="19"/>
  </w:num>
  <w:num w:numId="20">
    <w:abstractNumId w:val="15"/>
  </w:num>
  <w:num w:numId="21">
    <w:abstractNumId w:val="7"/>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40"/>
    <w:rsid w:val="00006AE2"/>
    <w:rsid w:val="000076A1"/>
    <w:rsid w:val="00012259"/>
    <w:rsid w:val="000210D0"/>
    <w:rsid w:val="00025383"/>
    <w:rsid w:val="00045D3D"/>
    <w:rsid w:val="00046969"/>
    <w:rsid w:val="00061934"/>
    <w:rsid w:val="00063657"/>
    <w:rsid w:val="00076680"/>
    <w:rsid w:val="00076A1D"/>
    <w:rsid w:val="0008073E"/>
    <w:rsid w:val="00091CDB"/>
    <w:rsid w:val="000A19AC"/>
    <w:rsid w:val="000B2EC9"/>
    <w:rsid w:val="000C7574"/>
    <w:rsid w:val="000D26F8"/>
    <w:rsid w:val="00106654"/>
    <w:rsid w:val="00130861"/>
    <w:rsid w:val="0013526C"/>
    <w:rsid w:val="001405C6"/>
    <w:rsid w:val="00141013"/>
    <w:rsid w:val="00143851"/>
    <w:rsid w:val="00153A2C"/>
    <w:rsid w:val="00192CBF"/>
    <w:rsid w:val="00192FF1"/>
    <w:rsid w:val="001975D1"/>
    <w:rsid w:val="001A5F1B"/>
    <w:rsid w:val="001B1C22"/>
    <w:rsid w:val="001B34C6"/>
    <w:rsid w:val="001D7832"/>
    <w:rsid w:val="001E0942"/>
    <w:rsid w:val="001F70DB"/>
    <w:rsid w:val="00210DC1"/>
    <w:rsid w:val="00211D34"/>
    <w:rsid w:val="00212CA7"/>
    <w:rsid w:val="00214F04"/>
    <w:rsid w:val="002352B9"/>
    <w:rsid w:val="0024312C"/>
    <w:rsid w:val="00247CC3"/>
    <w:rsid w:val="00254E93"/>
    <w:rsid w:val="00266CD6"/>
    <w:rsid w:val="002673AC"/>
    <w:rsid w:val="00275DAB"/>
    <w:rsid w:val="0028444E"/>
    <w:rsid w:val="002903C0"/>
    <w:rsid w:val="002A782A"/>
    <w:rsid w:val="002A7ECD"/>
    <w:rsid w:val="002B11E2"/>
    <w:rsid w:val="002B1514"/>
    <w:rsid w:val="002B24B8"/>
    <w:rsid w:val="002B6B35"/>
    <w:rsid w:val="002C7107"/>
    <w:rsid w:val="002C73A8"/>
    <w:rsid w:val="002D3AE9"/>
    <w:rsid w:val="002D4510"/>
    <w:rsid w:val="002D7003"/>
    <w:rsid w:val="002F0734"/>
    <w:rsid w:val="002F175F"/>
    <w:rsid w:val="002F46E7"/>
    <w:rsid w:val="003101DA"/>
    <w:rsid w:val="003111C3"/>
    <w:rsid w:val="003116CB"/>
    <w:rsid w:val="00314757"/>
    <w:rsid w:val="003163BC"/>
    <w:rsid w:val="003211CE"/>
    <w:rsid w:val="0034266E"/>
    <w:rsid w:val="0035403A"/>
    <w:rsid w:val="0036394B"/>
    <w:rsid w:val="00366DB6"/>
    <w:rsid w:val="003709B5"/>
    <w:rsid w:val="003759C2"/>
    <w:rsid w:val="00397365"/>
    <w:rsid w:val="003A31F6"/>
    <w:rsid w:val="003A391C"/>
    <w:rsid w:val="003C3447"/>
    <w:rsid w:val="003D076C"/>
    <w:rsid w:val="003E2AC8"/>
    <w:rsid w:val="003E78B5"/>
    <w:rsid w:val="004063E9"/>
    <w:rsid w:val="00415BAB"/>
    <w:rsid w:val="00415ED2"/>
    <w:rsid w:val="0042068C"/>
    <w:rsid w:val="0044318E"/>
    <w:rsid w:val="00443B35"/>
    <w:rsid w:val="0045234B"/>
    <w:rsid w:val="0045488D"/>
    <w:rsid w:val="0047122B"/>
    <w:rsid w:val="00473B7A"/>
    <w:rsid w:val="00477473"/>
    <w:rsid w:val="00490FE1"/>
    <w:rsid w:val="004960E9"/>
    <w:rsid w:val="004A29E6"/>
    <w:rsid w:val="004A2E88"/>
    <w:rsid w:val="004A5305"/>
    <w:rsid w:val="004D603E"/>
    <w:rsid w:val="004D7634"/>
    <w:rsid w:val="004E54FF"/>
    <w:rsid w:val="004E611A"/>
    <w:rsid w:val="004F6460"/>
    <w:rsid w:val="005040CC"/>
    <w:rsid w:val="00506720"/>
    <w:rsid w:val="005100D8"/>
    <w:rsid w:val="00524F66"/>
    <w:rsid w:val="005300D3"/>
    <w:rsid w:val="00542A10"/>
    <w:rsid w:val="00544F82"/>
    <w:rsid w:val="0054763E"/>
    <w:rsid w:val="005509D2"/>
    <w:rsid w:val="005663DE"/>
    <w:rsid w:val="00567BA4"/>
    <w:rsid w:val="00593C4F"/>
    <w:rsid w:val="005946A8"/>
    <w:rsid w:val="005A4407"/>
    <w:rsid w:val="005A59EF"/>
    <w:rsid w:val="005B1C7E"/>
    <w:rsid w:val="005C6976"/>
    <w:rsid w:val="005F6F41"/>
    <w:rsid w:val="00625DC6"/>
    <w:rsid w:val="0064391D"/>
    <w:rsid w:val="00647989"/>
    <w:rsid w:val="00651821"/>
    <w:rsid w:val="00654384"/>
    <w:rsid w:val="00666554"/>
    <w:rsid w:val="006675CD"/>
    <w:rsid w:val="0067070F"/>
    <w:rsid w:val="00673839"/>
    <w:rsid w:val="00677990"/>
    <w:rsid w:val="00684D9B"/>
    <w:rsid w:val="0068510A"/>
    <w:rsid w:val="00697556"/>
    <w:rsid w:val="006B4647"/>
    <w:rsid w:val="006B4C2B"/>
    <w:rsid w:val="006B6194"/>
    <w:rsid w:val="006B6D47"/>
    <w:rsid w:val="006C5AFE"/>
    <w:rsid w:val="006D0045"/>
    <w:rsid w:val="006F2EC8"/>
    <w:rsid w:val="006F6D95"/>
    <w:rsid w:val="006F7338"/>
    <w:rsid w:val="00706F13"/>
    <w:rsid w:val="007072E8"/>
    <w:rsid w:val="00713F85"/>
    <w:rsid w:val="0071618D"/>
    <w:rsid w:val="00725FA4"/>
    <w:rsid w:val="007356B7"/>
    <w:rsid w:val="00740446"/>
    <w:rsid w:val="007438A9"/>
    <w:rsid w:val="0074491E"/>
    <w:rsid w:val="0076247A"/>
    <w:rsid w:val="00775964"/>
    <w:rsid w:val="007765FE"/>
    <w:rsid w:val="00781257"/>
    <w:rsid w:val="00794E2E"/>
    <w:rsid w:val="00795BFB"/>
    <w:rsid w:val="007A6181"/>
    <w:rsid w:val="007B2760"/>
    <w:rsid w:val="007B5A60"/>
    <w:rsid w:val="007D5530"/>
    <w:rsid w:val="007E5BB8"/>
    <w:rsid w:val="007F0EAA"/>
    <w:rsid w:val="00806C01"/>
    <w:rsid w:val="008148CC"/>
    <w:rsid w:val="008211A4"/>
    <w:rsid w:val="00824BF6"/>
    <w:rsid w:val="0084693A"/>
    <w:rsid w:val="00873150"/>
    <w:rsid w:val="0087657D"/>
    <w:rsid w:val="008807D5"/>
    <w:rsid w:val="00880832"/>
    <w:rsid w:val="00886EE1"/>
    <w:rsid w:val="0088727D"/>
    <w:rsid w:val="00897C06"/>
    <w:rsid w:val="00897C75"/>
    <w:rsid w:val="008C1130"/>
    <w:rsid w:val="008D18E6"/>
    <w:rsid w:val="008D7A9B"/>
    <w:rsid w:val="008E0060"/>
    <w:rsid w:val="008E7091"/>
    <w:rsid w:val="008E76AC"/>
    <w:rsid w:val="008F21F6"/>
    <w:rsid w:val="008F3C9B"/>
    <w:rsid w:val="009002ED"/>
    <w:rsid w:val="00914262"/>
    <w:rsid w:val="00951F79"/>
    <w:rsid w:val="00955703"/>
    <w:rsid w:val="00974AB5"/>
    <w:rsid w:val="00976F08"/>
    <w:rsid w:val="0098706D"/>
    <w:rsid w:val="009935FB"/>
    <w:rsid w:val="009C51E3"/>
    <w:rsid w:val="009D309F"/>
    <w:rsid w:val="009E31AE"/>
    <w:rsid w:val="009F00D2"/>
    <w:rsid w:val="009F1B56"/>
    <w:rsid w:val="009F4A54"/>
    <w:rsid w:val="009F4BEC"/>
    <w:rsid w:val="009F5874"/>
    <w:rsid w:val="009F687E"/>
    <w:rsid w:val="00A06511"/>
    <w:rsid w:val="00A1339C"/>
    <w:rsid w:val="00A24964"/>
    <w:rsid w:val="00A25104"/>
    <w:rsid w:val="00A25FD7"/>
    <w:rsid w:val="00A43AFF"/>
    <w:rsid w:val="00A60577"/>
    <w:rsid w:val="00A73181"/>
    <w:rsid w:val="00A7793A"/>
    <w:rsid w:val="00A91ACE"/>
    <w:rsid w:val="00AA4CC7"/>
    <w:rsid w:val="00AA5E8E"/>
    <w:rsid w:val="00AB2BAD"/>
    <w:rsid w:val="00AB6CA7"/>
    <w:rsid w:val="00AC2BD8"/>
    <w:rsid w:val="00AD01E4"/>
    <w:rsid w:val="00AD0858"/>
    <w:rsid w:val="00AE02E3"/>
    <w:rsid w:val="00AE7340"/>
    <w:rsid w:val="00AF1BBD"/>
    <w:rsid w:val="00B05EFA"/>
    <w:rsid w:val="00B10207"/>
    <w:rsid w:val="00B10FFD"/>
    <w:rsid w:val="00B141E7"/>
    <w:rsid w:val="00B351B4"/>
    <w:rsid w:val="00B46BCA"/>
    <w:rsid w:val="00B46FF4"/>
    <w:rsid w:val="00B478AA"/>
    <w:rsid w:val="00B737B8"/>
    <w:rsid w:val="00B87806"/>
    <w:rsid w:val="00B87EC9"/>
    <w:rsid w:val="00BA2D1E"/>
    <w:rsid w:val="00BA4B72"/>
    <w:rsid w:val="00BB6922"/>
    <w:rsid w:val="00BC38FD"/>
    <w:rsid w:val="00C034CB"/>
    <w:rsid w:val="00C051A8"/>
    <w:rsid w:val="00C054BC"/>
    <w:rsid w:val="00C17897"/>
    <w:rsid w:val="00C409D5"/>
    <w:rsid w:val="00C435C3"/>
    <w:rsid w:val="00C44E5F"/>
    <w:rsid w:val="00C51B7C"/>
    <w:rsid w:val="00C53863"/>
    <w:rsid w:val="00C6234B"/>
    <w:rsid w:val="00C63EAE"/>
    <w:rsid w:val="00C67C2F"/>
    <w:rsid w:val="00C73260"/>
    <w:rsid w:val="00C7629F"/>
    <w:rsid w:val="00C8661B"/>
    <w:rsid w:val="00CA03C8"/>
    <w:rsid w:val="00CA139A"/>
    <w:rsid w:val="00CA2899"/>
    <w:rsid w:val="00CA3A3D"/>
    <w:rsid w:val="00CA3AA6"/>
    <w:rsid w:val="00CA77FB"/>
    <w:rsid w:val="00CB379B"/>
    <w:rsid w:val="00CB5DD0"/>
    <w:rsid w:val="00CC51D4"/>
    <w:rsid w:val="00CC65DA"/>
    <w:rsid w:val="00CF21B9"/>
    <w:rsid w:val="00CF6BF9"/>
    <w:rsid w:val="00D03800"/>
    <w:rsid w:val="00D065D3"/>
    <w:rsid w:val="00D14C94"/>
    <w:rsid w:val="00D23D30"/>
    <w:rsid w:val="00D342A6"/>
    <w:rsid w:val="00D343C0"/>
    <w:rsid w:val="00D45CA6"/>
    <w:rsid w:val="00D464BF"/>
    <w:rsid w:val="00D53E26"/>
    <w:rsid w:val="00D80A9D"/>
    <w:rsid w:val="00D83F43"/>
    <w:rsid w:val="00DB182C"/>
    <w:rsid w:val="00DC7062"/>
    <w:rsid w:val="00DD4F0E"/>
    <w:rsid w:val="00DE4B60"/>
    <w:rsid w:val="00DE76DD"/>
    <w:rsid w:val="00DF0BF0"/>
    <w:rsid w:val="00DF16F5"/>
    <w:rsid w:val="00DF3CA2"/>
    <w:rsid w:val="00DF753F"/>
    <w:rsid w:val="00E01463"/>
    <w:rsid w:val="00E05DF4"/>
    <w:rsid w:val="00E05E0A"/>
    <w:rsid w:val="00E060BE"/>
    <w:rsid w:val="00E534CF"/>
    <w:rsid w:val="00E60E6C"/>
    <w:rsid w:val="00E63920"/>
    <w:rsid w:val="00E81CB4"/>
    <w:rsid w:val="00E82569"/>
    <w:rsid w:val="00E8585B"/>
    <w:rsid w:val="00E87F41"/>
    <w:rsid w:val="00E96A52"/>
    <w:rsid w:val="00EA2AFD"/>
    <w:rsid w:val="00EA3F15"/>
    <w:rsid w:val="00EA7847"/>
    <w:rsid w:val="00EB4C2F"/>
    <w:rsid w:val="00ED256A"/>
    <w:rsid w:val="00EE2E6E"/>
    <w:rsid w:val="00EE6586"/>
    <w:rsid w:val="00F0759E"/>
    <w:rsid w:val="00F16A43"/>
    <w:rsid w:val="00F42E53"/>
    <w:rsid w:val="00F46780"/>
    <w:rsid w:val="00F55DB1"/>
    <w:rsid w:val="00F739C2"/>
    <w:rsid w:val="00F760A5"/>
    <w:rsid w:val="00F762BD"/>
    <w:rsid w:val="00F77D2D"/>
    <w:rsid w:val="00F82083"/>
    <w:rsid w:val="00F821A3"/>
    <w:rsid w:val="00F9314A"/>
    <w:rsid w:val="00F940B2"/>
    <w:rsid w:val="00FC58EF"/>
    <w:rsid w:val="00FD33DF"/>
    <w:rsid w:val="00FE2A4C"/>
    <w:rsid w:val="00FE39D7"/>
    <w:rsid w:val="00FF3A08"/>
    <w:rsid w:val="06D78ED1"/>
    <w:rsid w:val="0D153634"/>
    <w:rsid w:val="17B4685C"/>
    <w:rsid w:val="224E52FC"/>
    <w:rsid w:val="22C54F23"/>
    <w:rsid w:val="24E5A105"/>
    <w:rsid w:val="293C57F5"/>
    <w:rsid w:val="29CD7EC5"/>
    <w:rsid w:val="2FA2EE59"/>
    <w:rsid w:val="331B5276"/>
    <w:rsid w:val="343C229B"/>
    <w:rsid w:val="3A411AB3"/>
    <w:rsid w:val="4D917ABA"/>
    <w:rsid w:val="62AB0154"/>
    <w:rsid w:val="715E9D3E"/>
    <w:rsid w:val="78941E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basedOn w:val="Fuentedeprrafopredeter"/>
    <w:uiPriority w:val="99"/>
    <w:unhideWhenUsed/>
    <w:rsid w:val="004063E9"/>
    <w:rPr>
      <w:color w:val="0000FF"/>
      <w:u w:val="single"/>
    </w:rPr>
  </w:style>
  <w:style w:type="character" w:customStyle="1" w:styleId="normaltextrun">
    <w:name w:val="normaltextrun"/>
    <w:basedOn w:val="Fuentedeprrafopredeter"/>
    <w:rsid w:val="004063E9"/>
  </w:style>
  <w:style w:type="character" w:styleId="Refdecomentario">
    <w:name w:val="annotation reference"/>
    <w:basedOn w:val="Fuentedeprrafopredeter"/>
    <w:uiPriority w:val="99"/>
    <w:semiHidden/>
    <w:unhideWhenUsed/>
    <w:rsid w:val="004063E9"/>
    <w:rPr>
      <w:sz w:val="16"/>
      <w:szCs w:val="16"/>
    </w:rPr>
  </w:style>
  <w:style w:type="paragraph" w:styleId="Textocomentario">
    <w:name w:val="annotation text"/>
    <w:basedOn w:val="Normal"/>
    <w:link w:val="TextocomentarioCar"/>
    <w:uiPriority w:val="99"/>
    <w:unhideWhenUsed/>
    <w:rsid w:val="004063E9"/>
    <w:rPr>
      <w:sz w:val="20"/>
      <w:szCs w:val="20"/>
    </w:rPr>
  </w:style>
  <w:style w:type="character" w:customStyle="1" w:styleId="TextocomentarioCar">
    <w:name w:val="Texto comentario Car"/>
    <w:basedOn w:val="Fuentedeprrafopredeter"/>
    <w:link w:val="Textocomentario"/>
    <w:uiPriority w:val="99"/>
    <w:rsid w:val="004063E9"/>
    <w:rPr>
      <w:lang w:val="es-ES" w:eastAsia="es-ES"/>
    </w:rPr>
  </w:style>
  <w:style w:type="paragraph" w:customStyle="1" w:styleId="Estilo5">
    <w:name w:val="Estilo5"/>
    <w:basedOn w:val="Normal"/>
    <w:qFormat/>
    <w:rsid w:val="004063E9"/>
    <w:pPr>
      <w:keepNext/>
      <w:spacing w:before="240" w:after="60"/>
      <w:ind w:left="0"/>
      <w:jc w:val="both"/>
      <w:outlineLvl w:val="0"/>
    </w:pPr>
    <w:rPr>
      <w:rFonts w:ascii="Bookman Old Style" w:hAnsi="Bookman Old Style"/>
      <w:b/>
      <w:kern w:val="28"/>
      <w:szCs w:val="22"/>
      <w:lang w:val="es-ES_tradnl" w:eastAsia="es-CO"/>
    </w:rPr>
  </w:style>
  <w:style w:type="paragraph" w:styleId="Revisin">
    <w:name w:val="Revision"/>
    <w:hidden/>
    <w:uiPriority w:val="99"/>
    <w:semiHidden/>
    <w:rsid w:val="00955703"/>
    <w:rPr>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4E54FF"/>
    <w:rPr>
      <w:b/>
      <w:bCs/>
    </w:rPr>
  </w:style>
  <w:style w:type="character" w:customStyle="1" w:styleId="AsuntodelcomentarioCar">
    <w:name w:val="Asunto del comentario Car"/>
    <w:basedOn w:val="TextocomentarioCar"/>
    <w:link w:val="Asuntodelcomentario"/>
    <w:uiPriority w:val="99"/>
    <w:semiHidden/>
    <w:rsid w:val="004E54FF"/>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SharedWithUsers xmlns="c5e352c5-a0a5-4aff-9101-fc8c076df9f7">
      <UserInfo>
        <DisplayName>Magaly Echeverria</DisplayName>
        <AccountId>17</AccountId>
        <AccountType/>
      </UserInfo>
      <UserInfo>
        <DisplayName>Jose Benigno Aragon Aldana</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02BE2-9731-4947-B4D1-B06A0012A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A9296-1923-48D0-9BF8-178011535429}">
  <ds:schemaRefs>
    <ds:schemaRef ds:uri="http://schemas.microsoft.com/sharepoint/v3/contenttype/forms"/>
  </ds:schemaRefs>
</ds:datastoreItem>
</file>

<file path=customXml/itemProps3.xml><?xml version="1.0" encoding="utf-8"?>
<ds:datastoreItem xmlns:ds="http://schemas.openxmlformats.org/officeDocument/2006/customXml" ds:itemID="{6320062A-E237-4A90-AE81-ADFBB0ABF829}">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4.xml><?xml version="1.0" encoding="utf-8"?>
<ds:datastoreItem xmlns:ds="http://schemas.openxmlformats.org/officeDocument/2006/customXml" ds:itemID="{1FF92EC1-502D-4D2C-877C-F7A08368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4</Pages>
  <Words>1581</Words>
  <Characters>9012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Usuario de Windows</cp:lastModifiedBy>
  <cp:revision>2</cp:revision>
  <cp:lastPrinted>2011-07-21T13:53:00Z</cp:lastPrinted>
  <dcterms:created xsi:type="dcterms:W3CDTF">2024-04-14T14:04:00Z</dcterms:created>
  <dcterms:modified xsi:type="dcterms:W3CDTF">2024-04-14T14:04:00Z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