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520AE" w14:textId="787B5C2C" w:rsidR="009A3617" w:rsidRPr="007B37FE" w:rsidRDefault="009A3617" w:rsidP="00A47732">
      <w:pPr>
        <w:spacing w:before="240" w:after="240" w:line="360" w:lineRule="auto"/>
        <w:jc w:val="both"/>
        <w:rPr>
          <w:rFonts w:ascii="Helvetica" w:hAnsi="Helvetica" w:cs="Helvetica"/>
          <w:noProof/>
          <w:sz w:val="22"/>
          <w:szCs w:val="22"/>
          <w:lang w:val="es-MX"/>
        </w:rPr>
      </w:pPr>
      <w:r w:rsidRPr="007B37FE">
        <w:rPr>
          <w:rFonts w:ascii="Helvetica" w:hAnsi="Helvetica" w:cs="Helvetica"/>
          <w:sz w:val="22"/>
          <w:szCs w:val="22"/>
          <w:lang w:val="es-MX"/>
        </w:rPr>
        <w:t xml:space="preserve">Bogotá, D.C., </w:t>
      </w:r>
      <w:r w:rsidR="00A703CF">
        <w:rPr>
          <w:rFonts w:ascii="Arial" w:hAnsi="Arial" w:cs="Arial"/>
          <w:sz w:val="22"/>
          <w:szCs w:val="22"/>
          <w:lang w:val="es-MX"/>
        </w:rPr>
        <w:t>2 de julio de 2024</w:t>
      </w:r>
    </w:p>
    <w:p w14:paraId="4E30B1F2" w14:textId="2F8BF2BB" w:rsidR="00A454CE" w:rsidRDefault="00E17CF0" w:rsidP="00A47732">
      <w:pPr>
        <w:spacing w:before="240" w:after="240" w:line="360" w:lineRule="auto"/>
        <w:jc w:val="center"/>
        <w:rPr>
          <w:rFonts w:ascii="Helvetica" w:hAnsi="Helvetica" w:cs="Helvetica"/>
          <w:b/>
          <w:bCs/>
          <w:sz w:val="22"/>
          <w:szCs w:val="22"/>
          <w:lang w:val="es-MX"/>
        </w:rPr>
      </w:pPr>
      <w:r w:rsidRPr="007B37FE">
        <w:rPr>
          <w:rFonts w:ascii="Helvetica" w:hAnsi="Helvetica" w:cs="Helvetica"/>
          <w:b/>
          <w:bCs/>
          <w:sz w:val="22"/>
          <w:szCs w:val="22"/>
          <w:lang w:val="es-MX"/>
        </w:rPr>
        <w:t xml:space="preserve">AUTO </w:t>
      </w:r>
      <w:r w:rsidRPr="007B37FE">
        <w:rPr>
          <w:rFonts w:ascii="Helvetica" w:hAnsi="Helvetica" w:cs="Helvetica"/>
          <w:b/>
          <w:bCs/>
          <w:sz w:val="22"/>
          <w:szCs w:val="22"/>
          <w:lang w:val="es-MX"/>
        </w:rPr>
        <w:fldChar w:fldCharType="begin"/>
      </w:r>
      <w:r w:rsidRPr="007B37FE">
        <w:rPr>
          <w:rFonts w:ascii="Helvetica" w:hAnsi="Helvetica" w:cs="Helvetica"/>
          <w:b/>
          <w:bCs/>
          <w:sz w:val="22"/>
          <w:szCs w:val="22"/>
          <w:lang w:val="es-MX"/>
        </w:rPr>
        <w:instrText xml:space="preserve"> MERGEFIELD  Fecha  \* MERGEFORMAT </w:instrText>
      </w:r>
      <w:r w:rsidRPr="007B37FE">
        <w:rPr>
          <w:rFonts w:ascii="Helvetica" w:hAnsi="Helvetica" w:cs="Helvetica"/>
          <w:b/>
          <w:bCs/>
          <w:sz w:val="22"/>
          <w:szCs w:val="22"/>
          <w:lang w:val="es-MX"/>
        </w:rPr>
        <w:fldChar w:fldCharType="separate"/>
      </w:r>
      <w:r w:rsidR="00C104A4" w:rsidRPr="007B37FE">
        <w:rPr>
          <w:rFonts w:ascii="Helvetica" w:hAnsi="Helvetica" w:cs="Helvetica"/>
          <w:b/>
          <w:bCs/>
          <w:noProof/>
          <w:sz w:val="22"/>
          <w:szCs w:val="22"/>
          <w:lang w:val="es-MX"/>
        </w:rPr>
        <w:t>0000275 de 2024</w:t>
      </w:r>
      <w:r w:rsidRPr="007B37FE">
        <w:rPr>
          <w:rFonts w:ascii="Helvetica" w:hAnsi="Helvetica" w:cs="Helvetica"/>
          <w:b/>
          <w:bCs/>
          <w:sz w:val="22"/>
          <w:szCs w:val="22"/>
          <w:lang w:val="es-MX"/>
        </w:rPr>
        <w:fldChar w:fldCharType="end"/>
      </w:r>
    </w:p>
    <w:p w14:paraId="1474333F" w14:textId="4F6E17DA" w:rsidR="006E35FA" w:rsidRPr="00A703CF" w:rsidRDefault="006E35FA" w:rsidP="00A703CF">
      <w:pPr>
        <w:pStyle w:val="Encabezado"/>
        <w:tabs>
          <w:tab w:val="left" w:pos="7740"/>
        </w:tabs>
        <w:spacing w:before="240" w:after="240" w:line="360" w:lineRule="auto"/>
        <w:ind w:right="49"/>
        <w:jc w:val="center"/>
        <w:rPr>
          <w:rFonts w:ascii="Helvetica" w:eastAsia="Arial" w:hAnsi="Helvetica" w:cs="Helvetica"/>
          <w:color w:val="000000" w:themeColor="text1"/>
          <w:sz w:val="22"/>
          <w:szCs w:val="22"/>
          <w:lang w:val="es-ES"/>
        </w:rPr>
      </w:pPr>
      <w:r w:rsidRPr="00A703CF">
        <w:rPr>
          <w:rFonts w:ascii="Helvetica" w:hAnsi="Helvetica" w:cs="Helvetica"/>
          <w:sz w:val="22"/>
          <w:szCs w:val="22"/>
          <w:lang w:val="es-MX"/>
        </w:rPr>
        <w:t>Por el cual se da Inicio a actuación administrativa con base en la solicitud de Revisión Tarifaria del cargo máximo de generación aprobado mediante las resoluciones CREG 124 de 2020 y CREG 196 de 2020</w:t>
      </w:r>
      <w:r>
        <w:rPr>
          <w:rFonts w:ascii="Helvetica" w:hAnsi="Helvetica" w:cs="Helvetica"/>
          <w:sz w:val="22"/>
          <w:szCs w:val="22"/>
          <w:lang w:val="es-MX"/>
        </w:rPr>
        <w:t>,</w:t>
      </w:r>
      <w:r w:rsidRPr="00A703CF">
        <w:rPr>
          <w:rFonts w:ascii="Helvetica" w:hAnsi="Helvetica" w:cs="Helvetica"/>
          <w:sz w:val="22"/>
          <w:szCs w:val="22"/>
          <w:lang w:val="es-MX"/>
        </w:rPr>
        <w:t xml:space="preserve"> para el mercado relevante de comercialización de Mitú, Vaupés, presentada por la empresa GENSA S.A. E.S.P</w:t>
      </w:r>
      <w:r w:rsidRPr="00A703CF">
        <w:rPr>
          <w:rFonts w:ascii="Helvetica" w:hAnsi="Helvetica" w:cs="Helvetica"/>
          <w:b/>
          <w:bCs/>
          <w:sz w:val="22"/>
          <w:szCs w:val="22"/>
          <w:lang w:val="es-MX"/>
        </w:rPr>
        <w:t>.</w:t>
      </w:r>
    </w:p>
    <w:p w14:paraId="2FBDD72E" w14:textId="77777777" w:rsidR="00A454CE" w:rsidRPr="007B37FE" w:rsidRDefault="00A454CE" w:rsidP="00A47732">
      <w:pPr>
        <w:pStyle w:val="Encabezado"/>
        <w:spacing w:before="240" w:after="240" w:line="360" w:lineRule="auto"/>
        <w:jc w:val="center"/>
        <w:rPr>
          <w:rFonts w:ascii="Helvetica" w:hAnsi="Helvetica" w:cs="Helvetica"/>
          <w:b/>
          <w:bCs/>
          <w:sz w:val="22"/>
          <w:szCs w:val="22"/>
          <w:lang w:val="es-ES"/>
        </w:rPr>
      </w:pPr>
      <w:r w:rsidRPr="007B37FE">
        <w:rPr>
          <w:rFonts w:ascii="Helvetica" w:hAnsi="Helvetica" w:cs="Helvetica"/>
          <w:b/>
          <w:bCs/>
          <w:sz w:val="22"/>
          <w:szCs w:val="22"/>
          <w:lang w:val="es-ES"/>
        </w:rPr>
        <w:t>LA COMISIÓN DE REGULACIÓN DE ENERGÍA Y GAS</w:t>
      </w:r>
    </w:p>
    <w:p w14:paraId="5B5E4721" w14:textId="75134070" w:rsidR="00A454CE" w:rsidRPr="00844A40" w:rsidRDefault="00A454CE" w:rsidP="00A47732">
      <w:pPr>
        <w:pStyle w:val="Encabezado"/>
        <w:spacing w:before="240" w:after="240" w:line="360" w:lineRule="auto"/>
        <w:jc w:val="center"/>
        <w:rPr>
          <w:rFonts w:ascii="Helvetica" w:hAnsi="Helvetica" w:cs="Helvetica"/>
          <w:b/>
          <w:bCs/>
          <w:sz w:val="22"/>
          <w:szCs w:val="22"/>
          <w:lang w:val="es-ES"/>
        </w:rPr>
      </w:pPr>
      <w:r w:rsidRPr="00844A40">
        <w:rPr>
          <w:rFonts w:ascii="Helvetica" w:hAnsi="Helvetica" w:cs="Helvetica"/>
          <w:b/>
          <w:bCs/>
          <w:sz w:val="22"/>
          <w:szCs w:val="22"/>
          <w:lang w:val="es-ES"/>
        </w:rPr>
        <w:t>DIRECCIÓN EJECUTIVA</w:t>
      </w:r>
    </w:p>
    <w:p w14:paraId="280137A4" w14:textId="0F76A34D" w:rsidR="3D1EF9EC" w:rsidRPr="007B37FE" w:rsidRDefault="3D1EF9EC" w:rsidP="00C102DA">
      <w:pPr>
        <w:pStyle w:val="Encabezado"/>
        <w:tabs>
          <w:tab w:val="left" w:pos="7740"/>
        </w:tabs>
        <w:spacing w:before="240" w:after="240" w:line="360" w:lineRule="auto"/>
        <w:ind w:right="49"/>
        <w:jc w:val="center"/>
        <w:rPr>
          <w:rFonts w:ascii="Helvetica" w:eastAsia="Arial" w:hAnsi="Helvetica" w:cs="Helvetica"/>
          <w:sz w:val="22"/>
          <w:szCs w:val="22"/>
          <w:lang w:val="es-ES"/>
        </w:rPr>
      </w:pPr>
      <w:r w:rsidRPr="007B37FE">
        <w:rPr>
          <w:rFonts w:ascii="Helvetica" w:eastAsia="Arial" w:hAnsi="Helvetica" w:cs="Helvetica"/>
          <w:color w:val="000000" w:themeColor="text1"/>
          <w:sz w:val="22"/>
          <w:szCs w:val="22"/>
          <w:lang w:val="es-ES"/>
        </w:rPr>
        <w:t xml:space="preserve">En ejercicio de las atribuciones constitucionales y legales, en especial las conferidas por los artículos </w:t>
      </w:r>
      <w:r w:rsidR="000C2ECA">
        <w:rPr>
          <w:rFonts w:ascii="Helvetica" w:eastAsia="Arial" w:hAnsi="Helvetica" w:cs="Helvetica"/>
          <w:color w:val="000000" w:themeColor="text1"/>
          <w:sz w:val="22"/>
          <w:szCs w:val="22"/>
          <w:lang w:val="es-ES"/>
        </w:rPr>
        <w:t>106</w:t>
      </w:r>
      <w:r w:rsidR="000C2ECA" w:rsidRPr="007B37FE">
        <w:rPr>
          <w:rFonts w:ascii="Helvetica" w:eastAsia="Arial" w:hAnsi="Helvetica" w:cs="Helvetica"/>
          <w:color w:val="000000" w:themeColor="text1"/>
          <w:sz w:val="22"/>
          <w:szCs w:val="22"/>
          <w:lang w:val="es-ES"/>
        </w:rPr>
        <w:t xml:space="preserve"> </w:t>
      </w:r>
      <w:r w:rsidRPr="007B37FE">
        <w:rPr>
          <w:rFonts w:ascii="Helvetica" w:eastAsia="Arial" w:hAnsi="Helvetica" w:cs="Helvetica"/>
          <w:color w:val="000000" w:themeColor="text1"/>
          <w:sz w:val="22"/>
          <w:szCs w:val="22"/>
          <w:lang w:val="es-ES"/>
        </w:rPr>
        <w:t>y siguientes de la Ley 142 de 1994</w:t>
      </w:r>
      <w:r w:rsidR="00C102DA">
        <w:rPr>
          <w:rFonts w:ascii="Helvetica" w:eastAsia="Arial" w:hAnsi="Helvetica" w:cs="Helvetica"/>
          <w:color w:val="000000" w:themeColor="text1"/>
          <w:sz w:val="22"/>
          <w:szCs w:val="22"/>
          <w:lang w:val="es-ES"/>
        </w:rPr>
        <w:t>, el numeral 1 del artículo 7 del Decreto 1260 de 2013</w:t>
      </w:r>
      <w:r w:rsidRPr="007B37FE">
        <w:rPr>
          <w:rFonts w:ascii="Helvetica" w:eastAsia="Arial" w:hAnsi="Helvetica" w:cs="Helvetica"/>
          <w:color w:val="000000" w:themeColor="text1"/>
          <w:sz w:val="22"/>
          <w:szCs w:val="22"/>
          <w:lang w:val="es-ES"/>
        </w:rPr>
        <w:t xml:space="preserve"> y la Resolución CREG 091 de 2007.</w:t>
      </w:r>
    </w:p>
    <w:p w14:paraId="4AB672ED" w14:textId="3C1EFB27" w:rsidR="00A454CE" w:rsidRPr="007B37FE" w:rsidRDefault="00A454CE" w:rsidP="00A47732">
      <w:pPr>
        <w:pStyle w:val="Encabezado"/>
        <w:spacing w:before="240" w:after="240" w:line="360" w:lineRule="auto"/>
        <w:ind w:right="38"/>
        <w:jc w:val="center"/>
        <w:rPr>
          <w:rFonts w:ascii="Helvetica" w:hAnsi="Helvetica" w:cs="Helvetica"/>
          <w:b/>
          <w:bCs/>
          <w:sz w:val="22"/>
          <w:szCs w:val="22"/>
          <w:lang w:val="es-ES"/>
        </w:rPr>
      </w:pPr>
      <w:r w:rsidRPr="007B37FE">
        <w:rPr>
          <w:rFonts w:ascii="Helvetica" w:hAnsi="Helvetica" w:cs="Helvetica"/>
          <w:b/>
          <w:bCs/>
          <w:sz w:val="22"/>
          <w:szCs w:val="22"/>
          <w:lang w:val="es-ES"/>
        </w:rPr>
        <w:t>CONSIDERANDO</w:t>
      </w:r>
      <w:r w:rsidR="003D59E9">
        <w:rPr>
          <w:rFonts w:ascii="Helvetica" w:hAnsi="Helvetica" w:cs="Helvetica"/>
          <w:b/>
          <w:bCs/>
          <w:sz w:val="22"/>
          <w:szCs w:val="22"/>
          <w:lang w:val="es-ES"/>
        </w:rPr>
        <w:t xml:space="preserve"> QUE:</w:t>
      </w:r>
    </w:p>
    <w:p w14:paraId="44C82088" w14:textId="568A6148" w:rsidR="007512F4" w:rsidRPr="007B37FE" w:rsidRDefault="007512F4" w:rsidP="00C102DA">
      <w:pPr>
        <w:spacing w:before="240" w:after="240" w:line="360" w:lineRule="auto"/>
        <w:jc w:val="both"/>
        <w:rPr>
          <w:rFonts w:ascii="Helvetica" w:hAnsi="Helvetica" w:cs="Helvetica"/>
          <w:sz w:val="22"/>
          <w:szCs w:val="22"/>
        </w:rPr>
      </w:pPr>
      <w:r w:rsidRPr="007B37FE">
        <w:rPr>
          <w:rFonts w:ascii="Helvetica" w:eastAsia="Arial" w:hAnsi="Helvetica" w:cs="Helvetica"/>
          <w:sz w:val="22"/>
          <w:szCs w:val="22"/>
          <w:lang w:val="es-CO"/>
        </w:rPr>
        <w:t>De conformidad con el numeral 1 del artículo 7 del Decreto 1260 de 2013, le corresponde al Director Ejecutivo</w:t>
      </w:r>
      <w:r w:rsidR="006E35FA">
        <w:rPr>
          <w:rFonts w:ascii="Helvetica" w:eastAsia="Arial" w:hAnsi="Helvetica" w:cs="Helvetica"/>
          <w:sz w:val="22"/>
          <w:szCs w:val="22"/>
          <w:lang w:val="es-CO"/>
        </w:rPr>
        <w:t xml:space="preserve"> de la Comisión de Regulación de Energía y Gas (en adelante “CREG” o “Comisión”)</w:t>
      </w:r>
      <w:r w:rsidRPr="007B37FE">
        <w:rPr>
          <w:rFonts w:ascii="Helvetica" w:eastAsia="Arial" w:hAnsi="Helvetica" w:cs="Helvetica"/>
          <w:sz w:val="22"/>
          <w:szCs w:val="22"/>
          <w:lang w:val="es-CO"/>
        </w:rPr>
        <w:t xml:space="preserve"> impulsar las actuaciones administrativas tendientes a la expedición de las decisiones misionales.</w:t>
      </w:r>
    </w:p>
    <w:p w14:paraId="0428E027" w14:textId="10607A38" w:rsidR="00472859" w:rsidRPr="007B37FE" w:rsidRDefault="00472859" w:rsidP="00C102DA">
      <w:pPr>
        <w:pStyle w:val="Textoindependiente"/>
        <w:spacing w:before="240" w:after="240" w:line="360" w:lineRule="auto"/>
        <w:rPr>
          <w:rFonts w:ascii="Helvetica" w:eastAsia="Arial" w:hAnsi="Helvetica" w:cs="Helvetica"/>
          <w:color w:val="000000" w:themeColor="text1"/>
          <w:sz w:val="22"/>
          <w:szCs w:val="22"/>
        </w:rPr>
      </w:pPr>
      <w:r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Mediante </w:t>
      </w:r>
      <w:r w:rsidR="0095245C"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el numeral 74.1 del </w:t>
      </w:r>
      <w:r w:rsidR="006E35FA">
        <w:rPr>
          <w:rFonts w:ascii="Helvetica" w:eastAsia="Arial" w:hAnsi="Helvetica" w:cs="Helvetica"/>
          <w:color w:val="000000" w:themeColor="text1"/>
          <w:sz w:val="22"/>
          <w:szCs w:val="22"/>
        </w:rPr>
        <w:t>a</w:t>
      </w:r>
      <w:r w:rsidR="0095245C"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>rt</w:t>
      </w:r>
      <w:r w:rsidR="004F5C84"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>í</w:t>
      </w:r>
      <w:r w:rsidR="0095245C"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culo </w:t>
      </w:r>
      <w:r w:rsidR="00C753C7"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>74 de la Ley 142 del 1994</w:t>
      </w:r>
      <w:r w:rsidR="006E35FA">
        <w:rPr>
          <w:rFonts w:ascii="Helvetica" w:eastAsia="Arial" w:hAnsi="Helvetica" w:cs="Helvetica"/>
          <w:color w:val="000000" w:themeColor="text1"/>
          <w:sz w:val="22"/>
          <w:szCs w:val="22"/>
        </w:rPr>
        <w:t>,</w:t>
      </w:r>
      <w:r w:rsidR="00C753C7"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 se definen las funciones especiales de la Comisión</w:t>
      </w:r>
      <w:r w:rsidR="006E35FA">
        <w:rPr>
          <w:rFonts w:ascii="Helvetica" w:eastAsia="Arial" w:hAnsi="Helvetica" w:cs="Helvetica"/>
          <w:color w:val="000000" w:themeColor="text1"/>
          <w:sz w:val="22"/>
          <w:szCs w:val="22"/>
        </w:rPr>
        <w:t>.</w:t>
      </w:r>
      <w:r w:rsidR="00C753C7"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 </w:t>
      </w:r>
    </w:p>
    <w:p w14:paraId="4A4B4CD8" w14:textId="01E50204" w:rsidR="007A7DEA" w:rsidRPr="007B37FE" w:rsidRDefault="004B62AA" w:rsidP="00C102DA">
      <w:pPr>
        <w:pStyle w:val="Textoindependiente"/>
        <w:spacing w:before="240" w:after="240" w:line="360" w:lineRule="auto"/>
        <w:rPr>
          <w:rFonts w:ascii="Helvetica" w:eastAsia="Arial" w:hAnsi="Helvetica" w:cs="Helvetica"/>
          <w:color w:val="000000" w:themeColor="text1"/>
          <w:sz w:val="22"/>
          <w:szCs w:val="22"/>
        </w:rPr>
      </w:pPr>
      <w:r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>Mediante e</w:t>
      </w:r>
      <w:r w:rsidR="007A7DEA"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l </w:t>
      </w:r>
      <w:r w:rsidR="00A45641"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>a</w:t>
      </w:r>
      <w:r w:rsidR="007A7DEA"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>rtículo 87 de la Ley 142 de 1994</w:t>
      </w:r>
      <w:r w:rsidR="006E35FA">
        <w:rPr>
          <w:rFonts w:ascii="Helvetica" w:eastAsia="Arial" w:hAnsi="Helvetica" w:cs="Helvetica"/>
          <w:color w:val="000000" w:themeColor="text1"/>
          <w:sz w:val="22"/>
          <w:szCs w:val="22"/>
        </w:rPr>
        <w:t>,</w:t>
      </w:r>
      <w:r w:rsidR="007A7DEA"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 </w:t>
      </w:r>
      <w:r w:rsidR="002A2503"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se establecen los </w:t>
      </w:r>
      <w:r w:rsidR="005B7800"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>criterios</w:t>
      </w:r>
      <w:r w:rsidR="002A2503"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 para definir el </w:t>
      </w:r>
      <w:r w:rsidR="005B7800"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>régimen tarifario el cual</w:t>
      </w:r>
      <w:r w:rsidR="007A7DEA"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 estará orientado por</w:t>
      </w:r>
      <w:r w:rsidR="006E35FA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 los principios de</w:t>
      </w:r>
      <w:r w:rsidR="007A7DEA"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 eficiencia económica, neutralidad, solidaridad, redistribución, suficiencia financiera, simplicidad y transparencia.</w:t>
      </w:r>
    </w:p>
    <w:p w14:paraId="5F26BC8B" w14:textId="223FA70B" w:rsidR="6F025EED" w:rsidRPr="007B37FE" w:rsidRDefault="6F025EED" w:rsidP="00E14547">
      <w:pPr>
        <w:pStyle w:val="Textoindependiente"/>
        <w:spacing w:before="240" w:after="240" w:line="360" w:lineRule="auto"/>
        <w:rPr>
          <w:rFonts w:ascii="Helvetica" w:eastAsia="Arial" w:hAnsi="Helvetica" w:cs="Helvetica"/>
          <w:color w:val="000000" w:themeColor="text1"/>
          <w:sz w:val="22"/>
          <w:szCs w:val="22"/>
        </w:rPr>
      </w:pPr>
      <w:r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>Mediante la Resolución CREG 091 de 2007</w:t>
      </w:r>
      <w:r w:rsidR="006E35FA">
        <w:rPr>
          <w:rFonts w:ascii="Helvetica" w:eastAsia="Arial" w:hAnsi="Helvetica" w:cs="Helvetica"/>
          <w:color w:val="000000" w:themeColor="text1"/>
          <w:sz w:val="22"/>
          <w:szCs w:val="22"/>
        </w:rPr>
        <w:t>,</w:t>
      </w:r>
      <w:r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 se establecen las metodologías generales para remunerar las actividades de generación, distribución y comercialización de energía eléctrica, y las fórmulas tarifarias generales para establecer el costo unitario de prestación del servicio público de energía eléctrica en zonas no interconectadas. </w:t>
      </w:r>
    </w:p>
    <w:p w14:paraId="2D9E6116" w14:textId="77777777" w:rsidR="0046461C" w:rsidRDefault="0046461C" w:rsidP="00284822">
      <w:pPr>
        <w:pStyle w:val="Textoindependiente"/>
        <w:spacing w:before="240" w:after="240" w:line="360" w:lineRule="auto"/>
        <w:rPr>
          <w:rFonts w:ascii="Helvetica" w:eastAsia="Arial" w:hAnsi="Helvetica" w:cs="Helvetica"/>
          <w:color w:val="000000" w:themeColor="text1"/>
          <w:sz w:val="22"/>
          <w:szCs w:val="22"/>
        </w:rPr>
      </w:pPr>
      <w:r w:rsidRPr="0046461C">
        <w:rPr>
          <w:rFonts w:ascii="Helvetica" w:eastAsia="Arial" w:hAnsi="Helvetica" w:cs="Helvetica"/>
          <w:color w:val="000000" w:themeColor="text1"/>
          <w:sz w:val="22"/>
          <w:szCs w:val="22"/>
        </w:rPr>
        <w:lastRenderedPageBreak/>
        <w:t>La Resolución CREG 091 de 2007 fue modificada por las Resoluciones CREG 161 de 2008, 057, 074, 097 de 2009 y 072 de 2013.</w:t>
      </w:r>
    </w:p>
    <w:p w14:paraId="3A996CE5" w14:textId="774ADBD1" w:rsidR="00C33D05" w:rsidRDefault="00B5078E" w:rsidP="008925A8">
      <w:pPr>
        <w:pStyle w:val="Textoindependiente"/>
        <w:spacing w:before="240" w:after="240" w:line="360" w:lineRule="auto"/>
        <w:rPr>
          <w:rFonts w:ascii="Helvetica" w:eastAsia="Arial" w:hAnsi="Helvetica" w:cs="Helvetica"/>
          <w:color w:val="000000" w:themeColor="text1"/>
          <w:sz w:val="22"/>
          <w:szCs w:val="22"/>
        </w:rPr>
      </w:pPr>
      <w:r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Mediante la </w:t>
      </w:r>
      <w:r w:rsidR="000E6686"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>Resolución</w:t>
      </w:r>
      <w:r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 CREG 124 del 2020</w:t>
      </w:r>
      <w:r w:rsidR="00FA4D7A">
        <w:rPr>
          <w:rFonts w:ascii="Helvetica" w:eastAsia="Arial" w:hAnsi="Helvetica" w:cs="Helvetica"/>
          <w:color w:val="000000" w:themeColor="text1"/>
          <w:sz w:val="22"/>
          <w:szCs w:val="22"/>
        </w:rPr>
        <w:t>,</w:t>
      </w:r>
      <w:r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 se</w:t>
      </w:r>
      <w:r w:rsidR="00511935"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 </w:t>
      </w:r>
      <w:r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determinó el cargo máximo de generación </w:t>
      </w:r>
      <w:r w:rsidR="00CD3382"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>con t</w:t>
      </w:r>
      <w:r w:rsidR="0015646B"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>ipo de recurso energético</w:t>
      </w:r>
      <w:r w:rsidR="00583D0E"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 s</w:t>
      </w:r>
      <w:r w:rsidR="00CD3382"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olar fotovoltaico con alimentación directa a red, </w:t>
      </w:r>
      <w:r w:rsidR="00583D0E"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>a</w:t>
      </w:r>
      <w:r w:rsidR="00730813"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>cumulación de recurso solar fotovoltaico</w:t>
      </w:r>
      <w:r w:rsidR="003D6891"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>, Diesel</w:t>
      </w:r>
      <w:r w:rsidR="001B561B"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 y Central Hidroeléctrica a pequeña escala, para</w:t>
      </w:r>
      <w:r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 el mercado relevante de comercialización de la cabecera municipal de Mitú en el departamento del Vaupés.</w:t>
      </w:r>
      <w:r w:rsidR="00022923"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 </w:t>
      </w:r>
    </w:p>
    <w:p w14:paraId="7A31381E" w14:textId="7ACD366C" w:rsidR="0057011F" w:rsidRPr="007B37FE" w:rsidRDefault="000F0317" w:rsidP="008925A8">
      <w:pPr>
        <w:pStyle w:val="Textoindependiente"/>
        <w:spacing w:before="240" w:after="240" w:line="360" w:lineRule="auto"/>
        <w:rPr>
          <w:rFonts w:ascii="Helvetica" w:eastAsia="Arial" w:hAnsi="Helvetica" w:cs="Helvetica"/>
          <w:color w:val="000000" w:themeColor="text1"/>
          <w:sz w:val="22"/>
          <w:szCs w:val="22"/>
        </w:rPr>
      </w:pPr>
      <w:r w:rsidRPr="000F0317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Mediante </w:t>
      </w:r>
      <w:r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comunicación con </w:t>
      </w:r>
      <w:r w:rsidRPr="000F0317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radicado </w:t>
      </w:r>
      <w:r>
        <w:rPr>
          <w:rFonts w:ascii="Helvetica" w:eastAsia="Arial" w:hAnsi="Helvetica" w:cs="Helvetica"/>
          <w:color w:val="000000" w:themeColor="text1"/>
          <w:sz w:val="22"/>
          <w:szCs w:val="22"/>
        </w:rPr>
        <w:t>CREG</w:t>
      </w:r>
      <w:r w:rsidRPr="000F0317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 E-2020-008724 de 27 de julio de 2020, el representante legal de la empresa </w:t>
      </w:r>
      <w:r w:rsidR="000C2ECA" w:rsidRPr="000F0317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DUE CAPITAL AND SERVICES </w:t>
      </w:r>
      <w:r w:rsidRPr="000F0317">
        <w:rPr>
          <w:rFonts w:ascii="Helvetica" w:eastAsia="Arial" w:hAnsi="Helvetica" w:cs="Helvetica"/>
          <w:color w:val="000000" w:themeColor="text1"/>
          <w:sz w:val="22"/>
          <w:szCs w:val="22"/>
        </w:rPr>
        <w:t>S.A.S. interpuso recurso de reposición contra la Resolución CREG 124 de 2020</w:t>
      </w:r>
      <w:r w:rsidR="00995238">
        <w:rPr>
          <w:rFonts w:ascii="Helvetica" w:eastAsia="Arial" w:hAnsi="Helvetica" w:cs="Helvetica"/>
          <w:color w:val="000000" w:themeColor="text1"/>
          <w:sz w:val="22"/>
          <w:szCs w:val="22"/>
        </w:rPr>
        <w:t>, el cual fue resuelto mediante la Resolución CREG 196 de 2020</w:t>
      </w:r>
      <w:r w:rsidR="007A25B7"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>.</w:t>
      </w:r>
    </w:p>
    <w:p w14:paraId="6660BCD7" w14:textId="2EA99569" w:rsidR="00692DC8" w:rsidRPr="007B37FE" w:rsidRDefault="000F0317" w:rsidP="00C14410">
      <w:pPr>
        <w:pStyle w:val="Textoindependiente"/>
        <w:spacing w:before="240" w:after="240" w:line="360" w:lineRule="auto"/>
        <w:rPr>
          <w:rFonts w:ascii="Helvetica" w:hAnsi="Helvetica" w:cs="Helvetica"/>
          <w:sz w:val="22"/>
          <w:szCs w:val="22"/>
        </w:rPr>
      </w:pPr>
      <w:r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Mediante </w:t>
      </w:r>
      <w:r w:rsidR="008B11E0"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>comunicación con el radicado</w:t>
      </w:r>
      <w:r w:rsidR="6F025EED"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 CREG E2024002987</w:t>
      </w:r>
      <w:r w:rsidR="005645FC" w:rsidRPr="007B37FE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 del 28 de </w:t>
      </w:r>
      <w:r w:rsidR="005645FC" w:rsidRPr="003931BA">
        <w:rPr>
          <w:rFonts w:ascii="Helvetica" w:eastAsia="Arial" w:hAnsi="Helvetica" w:cs="Helvetica"/>
          <w:color w:val="000000" w:themeColor="text1"/>
          <w:sz w:val="22"/>
          <w:szCs w:val="22"/>
        </w:rPr>
        <w:t>febrero del 2024</w:t>
      </w:r>
      <w:r w:rsidR="6F025EED" w:rsidRPr="003931BA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, la empresa GENSA S.A. E.S.P. </w:t>
      </w:r>
      <w:r w:rsidR="00931C26" w:rsidRPr="003931BA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presentó </w:t>
      </w:r>
      <w:r w:rsidR="6F025EED" w:rsidRPr="003931BA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a esta Comisión </w:t>
      </w:r>
      <w:r w:rsidR="006556FB" w:rsidRPr="003931BA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una solicitud de revisión tarifaria para </w:t>
      </w:r>
      <w:r w:rsidR="6F025EED" w:rsidRPr="003931BA">
        <w:rPr>
          <w:rFonts w:ascii="Helvetica" w:eastAsia="Arial" w:hAnsi="Helvetica" w:cs="Helvetica"/>
          <w:color w:val="000000" w:themeColor="text1"/>
          <w:sz w:val="22"/>
          <w:szCs w:val="22"/>
        </w:rPr>
        <w:t>el cargo de generación</w:t>
      </w:r>
      <w:r w:rsidR="001A542C" w:rsidRPr="003931BA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 </w:t>
      </w:r>
      <w:r w:rsidR="006556FB" w:rsidRPr="003931BA">
        <w:rPr>
          <w:rFonts w:ascii="Helvetica" w:eastAsia="Arial" w:hAnsi="Helvetica" w:cs="Helvetica"/>
          <w:color w:val="000000" w:themeColor="text1"/>
          <w:sz w:val="22"/>
          <w:szCs w:val="22"/>
        </w:rPr>
        <w:t>de</w:t>
      </w:r>
      <w:r w:rsidR="004C3DCB" w:rsidRPr="003931BA">
        <w:rPr>
          <w:rFonts w:ascii="Helvetica" w:eastAsia="Arial" w:hAnsi="Helvetica" w:cs="Helvetica"/>
          <w:color w:val="000000" w:themeColor="text1"/>
          <w:sz w:val="22"/>
          <w:szCs w:val="22"/>
        </w:rPr>
        <w:t>l</w:t>
      </w:r>
      <w:r w:rsidR="6F025EED" w:rsidRPr="003931BA">
        <w:rPr>
          <w:rFonts w:ascii="Helvetica" w:eastAsia="Arial" w:hAnsi="Helvetica" w:cs="Helvetica"/>
          <w:color w:val="000000" w:themeColor="text1"/>
          <w:sz w:val="22"/>
          <w:szCs w:val="22"/>
        </w:rPr>
        <w:t xml:space="preserve"> mercado relevante de Mitú</w:t>
      </w:r>
      <w:r w:rsidR="004C3DCB" w:rsidRPr="003931BA">
        <w:rPr>
          <w:rFonts w:ascii="Helvetica" w:eastAsia="Arial" w:hAnsi="Helvetica" w:cs="Helvetica"/>
          <w:color w:val="000000" w:themeColor="text1"/>
          <w:sz w:val="22"/>
          <w:szCs w:val="22"/>
        </w:rPr>
        <w:t>, Vaupés</w:t>
      </w:r>
      <w:r w:rsidR="00155DA4">
        <w:rPr>
          <w:rFonts w:ascii="Helvetica" w:eastAsia="Arial" w:hAnsi="Helvetica" w:cs="Helvetica"/>
          <w:color w:val="000000" w:themeColor="text1"/>
          <w:sz w:val="22"/>
          <w:szCs w:val="22"/>
        </w:rPr>
        <w:t>.</w:t>
      </w:r>
    </w:p>
    <w:p w14:paraId="3D0D4DCF" w14:textId="222B10D4" w:rsidR="44A30ADE" w:rsidRPr="007B37FE" w:rsidRDefault="44A30ADE" w:rsidP="0034122A">
      <w:pPr>
        <w:spacing w:before="240" w:after="240" w:line="360" w:lineRule="auto"/>
        <w:jc w:val="both"/>
        <w:rPr>
          <w:rFonts w:ascii="Helvetica" w:hAnsi="Helvetica" w:cs="Helvetica"/>
          <w:sz w:val="22"/>
          <w:szCs w:val="22"/>
        </w:rPr>
      </w:pPr>
      <w:r w:rsidRPr="007B37FE">
        <w:rPr>
          <w:rFonts w:ascii="Helvetica" w:eastAsia="Arial" w:hAnsi="Helvetica" w:cs="Helvetica"/>
          <w:sz w:val="22"/>
          <w:szCs w:val="22"/>
          <w:lang w:val="es-ES"/>
        </w:rPr>
        <w:t xml:space="preserve">De acuerdo con lo señalado en el </w:t>
      </w:r>
      <w:r w:rsidR="00A45641" w:rsidRPr="007B37FE">
        <w:rPr>
          <w:rFonts w:ascii="Helvetica" w:eastAsia="Arial" w:hAnsi="Helvetica" w:cs="Helvetica"/>
          <w:sz w:val="22"/>
          <w:szCs w:val="22"/>
          <w:lang w:val="es-ES"/>
        </w:rPr>
        <w:t>a</w:t>
      </w:r>
      <w:r w:rsidRPr="007B37FE">
        <w:rPr>
          <w:rFonts w:ascii="Helvetica" w:eastAsia="Arial" w:hAnsi="Helvetica" w:cs="Helvetica"/>
          <w:sz w:val="22"/>
          <w:szCs w:val="22"/>
          <w:lang w:val="es-ES"/>
        </w:rPr>
        <w:t xml:space="preserve">rtículo 126 de la Ley 142 de 1994, modificado por el </w:t>
      </w:r>
      <w:r w:rsidR="003C0EA6" w:rsidRPr="007B37FE">
        <w:rPr>
          <w:rFonts w:ascii="Helvetica" w:eastAsia="Arial" w:hAnsi="Helvetica" w:cs="Helvetica"/>
          <w:sz w:val="22"/>
          <w:szCs w:val="22"/>
          <w:lang w:val="es-ES"/>
        </w:rPr>
        <w:t>a</w:t>
      </w:r>
      <w:r w:rsidRPr="007B37FE">
        <w:rPr>
          <w:rFonts w:ascii="Helvetica" w:eastAsia="Arial" w:hAnsi="Helvetica" w:cs="Helvetica"/>
          <w:sz w:val="22"/>
          <w:szCs w:val="22"/>
          <w:lang w:val="es-ES"/>
        </w:rPr>
        <w:t>rtículo 52 de la Ley 2099 de 2021, esta Comisión tiene la competencia para adelantar la actuación administrativa de revisión tarifaria.</w:t>
      </w:r>
    </w:p>
    <w:p w14:paraId="053E6F7B" w14:textId="27CD00DD" w:rsidR="44A30ADE" w:rsidRPr="007B37FE" w:rsidRDefault="44A30ADE" w:rsidP="0034122A">
      <w:pPr>
        <w:spacing w:before="240" w:after="240" w:line="360" w:lineRule="auto"/>
        <w:jc w:val="both"/>
        <w:rPr>
          <w:rFonts w:ascii="Helvetica" w:hAnsi="Helvetica" w:cs="Helvetica"/>
          <w:sz w:val="22"/>
          <w:szCs w:val="22"/>
        </w:rPr>
      </w:pPr>
      <w:r w:rsidRPr="007B37FE">
        <w:rPr>
          <w:rFonts w:ascii="Helvetica" w:eastAsia="Arial" w:hAnsi="Helvetica" w:cs="Helvetica"/>
          <w:sz w:val="22"/>
          <w:szCs w:val="22"/>
          <w:lang w:val="es-ES"/>
        </w:rPr>
        <w:t xml:space="preserve">En la actuación administrativa se tendrá en cuenta lo previsto en los </w:t>
      </w:r>
      <w:r w:rsidR="003C0EA6" w:rsidRPr="007B37FE">
        <w:rPr>
          <w:rFonts w:ascii="Helvetica" w:eastAsia="Arial" w:hAnsi="Helvetica" w:cs="Helvetica"/>
          <w:sz w:val="22"/>
          <w:szCs w:val="22"/>
          <w:lang w:val="es-ES"/>
        </w:rPr>
        <w:t>a</w:t>
      </w:r>
      <w:r w:rsidRPr="007B37FE">
        <w:rPr>
          <w:rFonts w:ascii="Helvetica" w:eastAsia="Arial" w:hAnsi="Helvetica" w:cs="Helvetica"/>
          <w:sz w:val="22"/>
          <w:szCs w:val="22"/>
          <w:lang w:val="es-ES"/>
        </w:rPr>
        <w:t>rtículos 106 y siguientes de la Ley 142 de 1994, y en lo no previsto en ellos, se aplicarán las normas de la parte primera del Código de Procedimiento Administrativo y de lo Contencioso Administrativo que sean compatibles.</w:t>
      </w:r>
    </w:p>
    <w:p w14:paraId="100EF68B" w14:textId="73478549" w:rsidR="6D62ED7B" w:rsidRDefault="44A30ADE" w:rsidP="004977F2">
      <w:pPr>
        <w:spacing w:before="240" w:after="240" w:line="360" w:lineRule="auto"/>
        <w:rPr>
          <w:rFonts w:ascii="Helvetica" w:eastAsia="Arial" w:hAnsi="Helvetica" w:cs="Helvetica"/>
          <w:sz w:val="22"/>
          <w:szCs w:val="22"/>
          <w:lang w:val="es-CO"/>
        </w:rPr>
      </w:pPr>
      <w:r w:rsidRPr="007B37FE">
        <w:rPr>
          <w:rFonts w:ascii="Helvetica" w:eastAsia="Arial" w:hAnsi="Helvetica" w:cs="Helvetica"/>
          <w:sz w:val="22"/>
          <w:szCs w:val="22"/>
          <w:lang w:val="es-CO"/>
        </w:rPr>
        <w:t>En mérito de lo expuesto</w:t>
      </w:r>
      <w:r w:rsidR="000C2ECA">
        <w:rPr>
          <w:rFonts w:ascii="Helvetica" w:eastAsia="Arial" w:hAnsi="Helvetica" w:cs="Helvetica"/>
          <w:sz w:val="22"/>
          <w:szCs w:val="22"/>
          <w:lang w:val="es-CO"/>
        </w:rPr>
        <w:t>, la Comisión de Regulación de Energía y Gas</w:t>
      </w:r>
      <w:r w:rsidRPr="007B37FE">
        <w:rPr>
          <w:rFonts w:ascii="Helvetica" w:eastAsia="Arial" w:hAnsi="Helvetica" w:cs="Helvetica"/>
          <w:sz w:val="22"/>
          <w:szCs w:val="22"/>
          <w:lang w:val="es-CO"/>
        </w:rPr>
        <w:t>;</w:t>
      </w:r>
    </w:p>
    <w:p w14:paraId="78632CF8" w14:textId="64F94695" w:rsidR="7FD5E35E" w:rsidRPr="007B37FE" w:rsidRDefault="7FD5E35E" w:rsidP="00A47732">
      <w:pPr>
        <w:spacing w:before="240" w:after="240" w:line="360" w:lineRule="auto"/>
        <w:jc w:val="center"/>
        <w:rPr>
          <w:rFonts w:ascii="Helvetica" w:eastAsia="Arial" w:hAnsi="Helvetica" w:cs="Helvetica"/>
          <w:color w:val="000000" w:themeColor="text1"/>
          <w:sz w:val="22"/>
          <w:szCs w:val="22"/>
          <w:lang w:val="es-ES"/>
        </w:rPr>
      </w:pPr>
      <w:r w:rsidRPr="007B37FE">
        <w:rPr>
          <w:rFonts w:ascii="Helvetica" w:eastAsia="Arial" w:hAnsi="Helvetica" w:cs="Helvetica"/>
          <w:b/>
          <w:bCs/>
          <w:color w:val="000000" w:themeColor="text1"/>
          <w:sz w:val="22"/>
          <w:szCs w:val="22"/>
          <w:lang w:val="es-CO"/>
        </w:rPr>
        <w:t>RESUELVE</w:t>
      </w:r>
    </w:p>
    <w:p w14:paraId="0C7BE428" w14:textId="77777777" w:rsidR="00F534D8" w:rsidRDefault="7FD5E35E" w:rsidP="0034122A">
      <w:pPr>
        <w:spacing w:before="240" w:after="240" w:line="360" w:lineRule="auto"/>
        <w:jc w:val="both"/>
        <w:rPr>
          <w:rFonts w:ascii="Helvetica" w:eastAsia="Arial" w:hAnsi="Helvetica" w:cs="Helvetica"/>
          <w:color w:val="000000" w:themeColor="text1"/>
          <w:sz w:val="22"/>
          <w:szCs w:val="22"/>
          <w:lang w:val="es-CO"/>
        </w:rPr>
      </w:pPr>
      <w:r w:rsidRPr="007B37FE">
        <w:rPr>
          <w:rFonts w:ascii="Helvetica" w:eastAsia="Arial" w:hAnsi="Helvetica" w:cs="Helvetica"/>
          <w:b/>
          <w:bCs/>
          <w:color w:val="000000" w:themeColor="text1"/>
          <w:sz w:val="22"/>
          <w:szCs w:val="22"/>
          <w:lang w:val="es-CO"/>
        </w:rPr>
        <w:t>ARTÍCULO PRIMERO.</w:t>
      </w:r>
      <w:r w:rsidRPr="007B37FE">
        <w:rPr>
          <w:rFonts w:ascii="Helvetica" w:eastAsia="Arial" w:hAnsi="Helvetica" w:cs="Helvetica"/>
          <w:color w:val="000000" w:themeColor="text1"/>
          <w:sz w:val="22"/>
          <w:szCs w:val="22"/>
          <w:lang w:val="es-CO"/>
        </w:rPr>
        <w:t xml:space="preserve"> </w:t>
      </w:r>
      <w:r w:rsidR="00CF0D13">
        <w:rPr>
          <w:rFonts w:ascii="Helvetica" w:eastAsia="Arial" w:hAnsi="Helvetica" w:cs="Helvetica"/>
          <w:color w:val="000000" w:themeColor="text1"/>
          <w:sz w:val="22"/>
          <w:szCs w:val="22"/>
          <w:lang w:val="es-CO"/>
        </w:rPr>
        <w:t xml:space="preserve">Dar inicio a la </w:t>
      </w:r>
      <w:r w:rsidR="00F534D8" w:rsidRPr="00F534D8">
        <w:rPr>
          <w:rFonts w:ascii="Helvetica" w:eastAsia="Arial" w:hAnsi="Helvetica" w:cs="Helvetica"/>
          <w:color w:val="000000" w:themeColor="text1"/>
          <w:sz w:val="22"/>
          <w:szCs w:val="22"/>
          <w:lang w:val="es-CO"/>
        </w:rPr>
        <w:t>actuación administrativa con base en la solicitud de Revisión Tarifaria del cargo máximo de generación aprobado mediante las resoluciones CREG 124 de 2020 y CREG 196 de 2020 para el mercado relevante de comercialización de Mitú, Vaupés, presentada por la empresa GENSA S.A. E.S.P.</w:t>
      </w:r>
    </w:p>
    <w:p w14:paraId="037149E5" w14:textId="25CFA7E5" w:rsidR="7FD5E35E" w:rsidRPr="007B37FE" w:rsidRDefault="00F534D8" w:rsidP="0034122A">
      <w:pPr>
        <w:spacing w:before="240" w:after="240" w:line="360" w:lineRule="auto"/>
        <w:jc w:val="both"/>
        <w:rPr>
          <w:rFonts w:ascii="Helvetica" w:eastAsia="Arial" w:hAnsi="Helvetica" w:cs="Helvetica"/>
          <w:color w:val="000000" w:themeColor="text1"/>
          <w:sz w:val="22"/>
          <w:szCs w:val="22"/>
          <w:lang w:val="es-CO"/>
        </w:rPr>
      </w:pPr>
      <w:r>
        <w:rPr>
          <w:rFonts w:ascii="Helvetica" w:eastAsia="Arial" w:hAnsi="Helvetica" w:cs="Helvetica"/>
          <w:b/>
          <w:bCs/>
          <w:color w:val="000000" w:themeColor="text1"/>
          <w:sz w:val="22"/>
          <w:szCs w:val="22"/>
          <w:lang w:val="es-CO"/>
        </w:rPr>
        <w:lastRenderedPageBreak/>
        <w:t>ARTÍCULO SEGUNDO</w:t>
      </w:r>
      <w:r w:rsidR="008D6027">
        <w:rPr>
          <w:rFonts w:ascii="Helvetica" w:eastAsia="Arial" w:hAnsi="Helvetica" w:cs="Helvetica"/>
          <w:b/>
          <w:bCs/>
          <w:color w:val="000000" w:themeColor="text1"/>
          <w:sz w:val="22"/>
          <w:szCs w:val="22"/>
          <w:lang w:val="es-CO"/>
        </w:rPr>
        <w:t xml:space="preserve">. </w:t>
      </w:r>
      <w:r w:rsidR="7FD5E35E" w:rsidRPr="007B37FE">
        <w:rPr>
          <w:rFonts w:ascii="Helvetica" w:eastAsia="Arial" w:hAnsi="Helvetica" w:cs="Helvetica"/>
          <w:color w:val="000000" w:themeColor="text1"/>
          <w:sz w:val="22"/>
          <w:szCs w:val="22"/>
          <w:lang w:val="es-CO"/>
        </w:rPr>
        <w:t>Ordenar la formación del expediente administrativo con el objeto de resolver la solicitud de</w:t>
      </w:r>
      <w:r w:rsidR="1A3237C0" w:rsidRPr="007B37FE">
        <w:rPr>
          <w:rFonts w:ascii="Helvetica" w:eastAsia="Arial" w:hAnsi="Helvetica" w:cs="Helvetica"/>
          <w:color w:val="000000" w:themeColor="text1"/>
          <w:sz w:val="22"/>
          <w:szCs w:val="22"/>
          <w:lang w:val="es-CO"/>
        </w:rPr>
        <w:t xml:space="preserve"> revisión tarifaria para </w:t>
      </w:r>
      <w:r w:rsidR="1DDDF5E8" w:rsidRPr="007B37FE">
        <w:rPr>
          <w:rFonts w:ascii="Helvetica" w:eastAsia="Arial" w:hAnsi="Helvetica" w:cs="Helvetica"/>
          <w:color w:val="000000" w:themeColor="text1"/>
          <w:sz w:val="22"/>
          <w:szCs w:val="22"/>
          <w:lang w:val="es-CO"/>
        </w:rPr>
        <w:t>los cargos</w:t>
      </w:r>
      <w:r w:rsidR="7FD5E35E" w:rsidRPr="007B37FE">
        <w:rPr>
          <w:rFonts w:ascii="Helvetica" w:eastAsia="Arial" w:hAnsi="Helvetica" w:cs="Helvetica"/>
          <w:color w:val="000000" w:themeColor="text1"/>
          <w:sz w:val="22"/>
          <w:szCs w:val="22"/>
          <w:lang w:val="es-CO"/>
        </w:rPr>
        <w:t xml:space="preserve"> máximos de generación para el mercado relevante de comercialización de </w:t>
      </w:r>
      <w:r w:rsidR="6329D3A2" w:rsidRPr="007B37FE">
        <w:rPr>
          <w:rFonts w:ascii="Helvetica" w:eastAsia="Arial" w:hAnsi="Helvetica" w:cs="Helvetica"/>
          <w:color w:val="000000" w:themeColor="text1"/>
          <w:sz w:val="22"/>
          <w:szCs w:val="22"/>
          <w:lang w:val="es-CO"/>
        </w:rPr>
        <w:t>Mitú</w:t>
      </w:r>
      <w:r w:rsidR="7FD5E35E" w:rsidRPr="007B37FE">
        <w:rPr>
          <w:rFonts w:ascii="Helvetica" w:eastAsia="Arial" w:hAnsi="Helvetica" w:cs="Helvetica"/>
          <w:color w:val="000000" w:themeColor="text1"/>
          <w:sz w:val="22"/>
          <w:szCs w:val="22"/>
          <w:lang w:val="es-CO"/>
        </w:rPr>
        <w:t xml:space="preserve">, en el departamento del </w:t>
      </w:r>
      <w:r w:rsidR="79E4189F" w:rsidRPr="007B37FE">
        <w:rPr>
          <w:rFonts w:ascii="Helvetica" w:eastAsia="Arial" w:hAnsi="Helvetica" w:cs="Helvetica"/>
          <w:color w:val="000000" w:themeColor="text1"/>
          <w:sz w:val="22"/>
          <w:szCs w:val="22"/>
          <w:lang w:val="es-CO"/>
        </w:rPr>
        <w:t>Vaupés</w:t>
      </w:r>
      <w:r w:rsidR="7FD5E35E" w:rsidRPr="007B37FE">
        <w:rPr>
          <w:rFonts w:ascii="Helvetica" w:eastAsia="Arial" w:hAnsi="Helvetica" w:cs="Helvetica"/>
          <w:color w:val="000000" w:themeColor="text1"/>
          <w:sz w:val="22"/>
          <w:szCs w:val="22"/>
          <w:lang w:val="es-CO"/>
        </w:rPr>
        <w:t xml:space="preserve">, presentada por la empresa </w:t>
      </w:r>
      <w:r w:rsidR="48F86454" w:rsidRPr="007B37FE">
        <w:rPr>
          <w:rFonts w:ascii="Helvetica" w:eastAsia="Arial" w:hAnsi="Helvetica" w:cs="Helvetica"/>
          <w:color w:val="000000" w:themeColor="text1"/>
          <w:sz w:val="22"/>
          <w:szCs w:val="22"/>
          <w:lang w:val="es-CO"/>
        </w:rPr>
        <w:t>GENSA</w:t>
      </w:r>
      <w:r w:rsidR="7FD5E35E" w:rsidRPr="007B37FE">
        <w:rPr>
          <w:rFonts w:ascii="Helvetica" w:eastAsia="Arial" w:hAnsi="Helvetica" w:cs="Helvetica"/>
          <w:color w:val="000000" w:themeColor="text1"/>
          <w:sz w:val="22"/>
          <w:szCs w:val="22"/>
          <w:lang w:val="es-CO"/>
        </w:rPr>
        <w:t xml:space="preserve"> S.A. E.S.P., de conformidad con lo expuesto en la parte motiva de este acto administrativo.</w:t>
      </w:r>
    </w:p>
    <w:p w14:paraId="6CDAA6B9" w14:textId="33AEFAAB" w:rsidR="7FD5E35E" w:rsidRPr="007B37FE" w:rsidRDefault="7FD5E35E" w:rsidP="0034122A">
      <w:pPr>
        <w:spacing w:before="240" w:after="240" w:line="360" w:lineRule="auto"/>
        <w:jc w:val="both"/>
        <w:rPr>
          <w:rFonts w:ascii="Helvetica" w:eastAsia="Arial" w:hAnsi="Helvetica" w:cs="Helvetica"/>
          <w:color w:val="000000" w:themeColor="text1"/>
          <w:sz w:val="22"/>
          <w:szCs w:val="22"/>
          <w:lang w:val="es-ES"/>
        </w:rPr>
      </w:pPr>
      <w:r w:rsidRPr="007B37FE">
        <w:rPr>
          <w:rFonts w:ascii="Helvetica" w:eastAsia="Arial" w:hAnsi="Helvetica" w:cs="Helvetica"/>
          <w:b/>
          <w:bCs/>
          <w:color w:val="000000" w:themeColor="text1"/>
          <w:sz w:val="22"/>
          <w:szCs w:val="22"/>
          <w:lang w:val="es-CO"/>
        </w:rPr>
        <w:t xml:space="preserve">ARTÍCULO </w:t>
      </w:r>
      <w:r w:rsidR="00935053">
        <w:rPr>
          <w:rFonts w:ascii="Helvetica" w:eastAsia="Arial" w:hAnsi="Helvetica" w:cs="Helvetica"/>
          <w:b/>
          <w:bCs/>
          <w:color w:val="000000" w:themeColor="text1"/>
          <w:sz w:val="22"/>
          <w:szCs w:val="22"/>
          <w:lang w:val="es-CO"/>
        </w:rPr>
        <w:t>TERCERO</w:t>
      </w:r>
      <w:r w:rsidRPr="007B37FE">
        <w:rPr>
          <w:rFonts w:ascii="Helvetica" w:eastAsia="Arial" w:hAnsi="Helvetica" w:cs="Helvetica"/>
          <w:b/>
          <w:bCs/>
          <w:color w:val="000000" w:themeColor="text1"/>
          <w:sz w:val="22"/>
          <w:szCs w:val="22"/>
          <w:lang w:val="es-CO"/>
        </w:rPr>
        <w:t>.</w:t>
      </w:r>
      <w:r w:rsidRPr="007B37FE">
        <w:rPr>
          <w:rFonts w:ascii="Helvetica" w:eastAsia="Arial" w:hAnsi="Helvetica" w:cs="Helvetica"/>
          <w:color w:val="000000" w:themeColor="text1"/>
          <w:sz w:val="22"/>
          <w:szCs w:val="22"/>
          <w:lang w:val="es-CO"/>
        </w:rPr>
        <w:t xml:space="preserve"> Publicar en la página Web de la CREG y en el Diario Oficial, el extracto de la actuación administrativa que para los efectos del artículo 37 del Código de Procedimiento Administrativo y de lo Contencioso Administrativo se anexa al presente auto.</w:t>
      </w:r>
    </w:p>
    <w:p w14:paraId="7F6CE6ED" w14:textId="03D1A8F4" w:rsidR="7FD5E35E" w:rsidRPr="007B37FE" w:rsidRDefault="7FD5E35E" w:rsidP="0034122A">
      <w:pPr>
        <w:spacing w:before="240" w:after="240" w:line="360" w:lineRule="auto"/>
        <w:jc w:val="both"/>
        <w:rPr>
          <w:rFonts w:ascii="Helvetica" w:eastAsia="Arial" w:hAnsi="Helvetica" w:cs="Helvetica"/>
          <w:color w:val="000000" w:themeColor="text1"/>
          <w:sz w:val="22"/>
          <w:szCs w:val="22"/>
          <w:lang w:val="es-ES"/>
        </w:rPr>
      </w:pPr>
      <w:r w:rsidRPr="007B37FE">
        <w:rPr>
          <w:rFonts w:ascii="Helvetica" w:eastAsia="Arial" w:hAnsi="Helvetica" w:cs="Helvetica"/>
          <w:b/>
          <w:bCs/>
          <w:color w:val="000000" w:themeColor="text1"/>
          <w:sz w:val="22"/>
          <w:szCs w:val="22"/>
          <w:lang w:val="es-CO"/>
        </w:rPr>
        <w:t xml:space="preserve">ARTÍCULO </w:t>
      </w:r>
      <w:r w:rsidR="00935053">
        <w:rPr>
          <w:rFonts w:ascii="Helvetica" w:eastAsia="Arial" w:hAnsi="Helvetica" w:cs="Helvetica"/>
          <w:b/>
          <w:bCs/>
          <w:color w:val="000000" w:themeColor="text1"/>
          <w:sz w:val="22"/>
          <w:szCs w:val="22"/>
          <w:lang w:val="es-CO"/>
        </w:rPr>
        <w:t>CUARTO</w:t>
      </w:r>
      <w:r w:rsidRPr="007B37FE">
        <w:rPr>
          <w:rFonts w:ascii="Helvetica" w:eastAsia="Arial" w:hAnsi="Helvetica" w:cs="Helvetica"/>
          <w:b/>
          <w:bCs/>
          <w:color w:val="000000" w:themeColor="text1"/>
          <w:sz w:val="22"/>
          <w:szCs w:val="22"/>
          <w:lang w:val="es-CO"/>
        </w:rPr>
        <w:t>.</w:t>
      </w:r>
      <w:r w:rsidRPr="007B37FE">
        <w:rPr>
          <w:rFonts w:ascii="Helvetica" w:eastAsia="Arial" w:hAnsi="Helvetica" w:cs="Helvetica"/>
          <w:color w:val="000000" w:themeColor="text1"/>
          <w:sz w:val="22"/>
          <w:szCs w:val="22"/>
          <w:lang w:val="es-CO"/>
        </w:rPr>
        <w:t xml:space="preserve"> Oficiar a la </w:t>
      </w:r>
      <w:r w:rsidR="6EE1EA24" w:rsidRPr="007B37FE">
        <w:rPr>
          <w:rFonts w:ascii="Helvetica" w:eastAsia="Arial" w:hAnsi="Helvetica" w:cs="Helvetica"/>
          <w:color w:val="000000" w:themeColor="text1"/>
          <w:sz w:val="22"/>
          <w:szCs w:val="22"/>
          <w:lang w:val="es-CO"/>
        </w:rPr>
        <w:t xml:space="preserve">Alcaldía </w:t>
      </w:r>
      <w:r w:rsidR="6DE19736" w:rsidRPr="007B37FE">
        <w:rPr>
          <w:rFonts w:ascii="Helvetica" w:eastAsia="Arial" w:hAnsi="Helvetica" w:cs="Helvetica"/>
          <w:color w:val="000000" w:themeColor="text1"/>
          <w:sz w:val="22"/>
          <w:szCs w:val="22"/>
          <w:lang w:val="es-CO"/>
        </w:rPr>
        <w:t xml:space="preserve">Municipal </w:t>
      </w:r>
      <w:r w:rsidR="6EE1EA24" w:rsidRPr="007B37FE">
        <w:rPr>
          <w:rFonts w:ascii="Helvetica" w:eastAsia="Arial" w:hAnsi="Helvetica" w:cs="Helvetica"/>
          <w:color w:val="000000" w:themeColor="text1"/>
          <w:sz w:val="22"/>
          <w:szCs w:val="22"/>
          <w:lang w:val="es-CO"/>
        </w:rPr>
        <w:t>de Mitú</w:t>
      </w:r>
      <w:r w:rsidR="203F32B9" w:rsidRPr="007B37FE">
        <w:rPr>
          <w:rFonts w:ascii="Helvetica" w:eastAsia="Arial" w:hAnsi="Helvetica" w:cs="Helvetica"/>
          <w:color w:val="000000" w:themeColor="text1"/>
          <w:sz w:val="22"/>
          <w:szCs w:val="22"/>
          <w:lang w:val="es-CO"/>
        </w:rPr>
        <w:t xml:space="preserve">, </w:t>
      </w:r>
      <w:r w:rsidRPr="007B37FE">
        <w:rPr>
          <w:rFonts w:ascii="Helvetica" w:eastAsia="Arial" w:hAnsi="Helvetica" w:cs="Helvetica"/>
          <w:color w:val="000000" w:themeColor="text1"/>
          <w:sz w:val="22"/>
          <w:szCs w:val="22"/>
          <w:lang w:val="es-CO"/>
        </w:rPr>
        <w:t>para la publicación en su cartelera, del extracto de la actuación administrativa de que trata el artículo segundo del presente auto.</w:t>
      </w:r>
    </w:p>
    <w:p w14:paraId="04DA4A74" w14:textId="0512DEBE" w:rsidR="002A6D41" w:rsidRDefault="7FD5E35E" w:rsidP="00EE7BC6">
      <w:pPr>
        <w:spacing w:before="240" w:after="240" w:line="360" w:lineRule="auto"/>
        <w:jc w:val="both"/>
        <w:rPr>
          <w:rFonts w:ascii="Helvetica" w:eastAsia="Arial" w:hAnsi="Helvetica" w:cs="Helvetica"/>
          <w:color w:val="000000" w:themeColor="text1"/>
          <w:sz w:val="22"/>
          <w:szCs w:val="22"/>
          <w:lang w:val="es-CO"/>
        </w:rPr>
      </w:pPr>
      <w:r w:rsidRPr="007B37FE">
        <w:rPr>
          <w:rFonts w:ascii="Helvetica" w:eastAsia="Arial" w:hAnsi="Helvetica" w:cs="Helvetica"/>
          <w:b/>
          <w:bCs/>
          <w:color w:val="000000" w:themeColor="text1"/>
          <w:sz w:val="22"/>
          <w:szCs w:val="22"/>
          <w:lang w:val="es-CO"/>
        </w:rPr>
        <w:t xml:space="preserve">ARTÍCULO </w:t>
      </w:r>
      <w:r w:rsidR="00935053">
        <w:rPr>
          <w:rFonts w:ascii="Helvetica" w:eastAsia="Arial" w:hAnsi="Helvetica" w:cs="Helvetica"/>
          <w:b/>
          <w:bCs/>
          <w:color w:val="000000" w:themeColor="text1"/>
          <w:sz w:val="22"/>
          <w:szCs w:val="22"/>
          <w:lang w:val="es-CO"/>
        </w:rPr>
        <w:t>QUINTO</w:t>
      </w:r>
      <w:r w:rsidRPr="007B37FE">
        <w:rPr>
          <w:rFonts w:ascii="Helvetica" w:eastAsia="Arial" w:hAnsi="Helvetica" w:cs="Helvetica"/>
          <w:b/>
          <w:bCs/>
          <w:color w:val="000000" w:themeColor="text1"/>
          <w:sz w:val="22"/>
          <w:szCs w:val="22"/>
          <w:lang w:val="es-CO"/>
        </w:rPr>
        <w:t>.</w:t>
      </w:r>
      <w:r w:rsidRPr="007B37FE">
        <w:rPr>
          <w:rFonts w:ascii="Helvetica" w:eastAsia="Arial" w:hAnsi="Helvetica" w:cs="Helvetica"/>
          <w:color w:val="000000" w:themeColor="text1"/>
          <w:sz w:val="22"/>
          <w:szCs w:val="22"/>
          <w:lang w:val="es-CO"/>
        </w:rPr>
        <w:t xml:space="preserve"> </w:t>
      </w:r>
      <w:r w:rsidR="002A6D41" w:rsidRPr="002A6D41">
        <w:rPr>
          <w:rFonts w:ascii="Helvetica" w:eastAsia="Arial" w:hAnsi="Helvetica" w:cs="Helvetica"/>
          <w:color w:val="000000" w:themeColor="text1"/>
          <w:sz w:val="22"/>
          <w:szCs w:val="22"/>
          <w:lang w:val="es-CO"/>
        </w:rPr>
        <w:t xml:space="preserve">Comunicar la presente decisión al representante legal de la empresa </w:t>
      </w:r>
      <w:r w:rsidR="005639A8" w:rsidRPr="005639A8">
        <w:rPr>
          <w:rFonts w:ascii="Helvetica" w:eastAsia="Arial" w:hAnsi="Helvetica" w:cs="Helvetica"/>
          <w:color w:val="000000" w:themeColor="text1"/>
          <w:sz w:val="22"/>
          <w:szCs w:val="22"/>
          <w:lang w:val="es-CO"/>
        </w:rPr>
        <w:t>GENSA S.A. E.S.P.</w:t>
      </w:r>
      <w:r w:rsidR="000560C8">
        <w:rPr>
          <w:rFonts w:ascii="Helvetica" w:eastAsia="Arial" w:hAnsi="Helvetica" w:cs="Helvetica"/>
          <w:color w:val="000000" w:themeColor="text1"/>
          <w:sz w:val="22"/>
          <w:szCs w:val="22"/>
          <w:lang w:val="es-CO"/>
        </w:rPr>
        <w:t xml:space="preserve"> </w:t>
      </w:r>
      <w:r w:rsidR="002A6D41" w:rsidRPr="002A6D41">
        <w:rPr>
          <w:rFonts w:ascii="Helvetica" w:eastAsia="Arial" w:hAnsi="Helvetica" w:cs="Helvetica"/>
          <w:color w:val="000000" w:themeColor="text1"/>
          <w:sz w:val="22"/>
          <w:szCs w:val="22"/>
          <w:lang w:val="es-CO"/>
        </w:rPr>
        <w:t xml:space="preserve">o a quien haga sus veces, advirtiéndole que contra el presente auto no procede recurso alguno de conformidad con lo dispuesto por el artículo 40 del Código de Procedimiento Administrativo y de lo Contencioso Administrativo  </w:t>
      </w:r>
      <w:r w:rsidR="000C2ECA">
        <w:rPr>
          <w:rFonts w:ascii="Helvetica" w:eastAsia="Arial" w:hAnsi="Helvetica" w:cs="Helvetica"/>
          <w:color w:val="000000" w:themeColor="text1"/>
          <w:sz w:val="22"/>
          <w:szCs w:val="22"/>
          <w:lang w:val="es-CO"/>
        </w:rPr>
        <w:t>(</w:t>
      </w:r>
      <w:r w:rsidR="002A6D41" w:rsidRPr="002A6D41">
        <w:rPr>
          <w:rFonts w:ascii="Helvetica" w:eastAsia="Arial" w:hAnsi="Helvetica" w:cs="Helvetica"/>
          <w:color w:val="000000" w:themeColor="text1"/>
          <w:sz w:val="22"/>
          <w:szCs w:val="22"/>
          <w:lang w:val="es-CO"/>
        </w:rPr>
        <w:t>CPACA</w:t>
      </w:r>
      <w:r w:rsidR="000C2ECA">
        <w:rPr>
          <w:rFonts w:ascii="Helvetica" w:eastAsia="Arial" w:hAnsi="Helvetica" w:cs="Helvetica"/>
          <w:color w:val="000000" w:themeColor="text1"/>
          <w:sz w:val="22"/>
          <w:szCs w:val="22"/>
          <w:lang w:val="es-CO"/>
        </w:rPr>
        <w:t>)</w:t>
      </w:r>
    </w:p>
    <w:p w14:paraId="78F3BF01" w14:textId="3FF7D9EB" w:rsidR="7FD5E35E" w:rsidRPr="007B37FE" w:rsidRDefault="006E35FA" w:rsidP="002A6D41">
      <w:pPr>
        <w:spacing w:before="240" w:after="240" w:line="360" w:lineRule="auto"/>
        <w:jc w:val="center"/>
        <w:rPr>
          <w:rFonts w:ascii="Helvetica" w:eastAsia="Arial" w:hAnsi="Helvetica" w:cs="Helvetica"/>
          <w:color w:val="000000" w:themeColor="text1"/>
          <w:sz w:val="22"/>
          <w:szCs w:val="22"/>
          <w:lang w:val="es-ES"/>
        </w:rPr>
      </w:pPr>
      <w:r>
        <w:rPr>
          <w:rFonts w:ascii="Helvetica" w:eastAsia="Arial" w:hAnsi="Helvetica" w:cs="Helvetica"/>
          <w:b/>
          <w:bCs/>
          <w:color w:val="000000" w:themeColor="text1"/>
          <w:sz w:val="22"/>
          <w:szCs w:val="22"/>
          <w:lang w:val="es-CO"/>
        </w:rPr>
        <w:t xml:space="preserve">PUBLÍQUESE, </w:t>
      </w:r>
      <w:r w:rsidR="005639A8">
        <w:rPr>
          <w:rFonts w:ascii="Helvetica" w:eastAsia="Arial" w:hAnsi="Helvetica" w:cs="Helvetica"/>
          <w:b/>
          <w:bCs/>
          <w:color w:val="000000" w:themeColor="text1"/>
          <w:sz w:val="22"/>
          <w:szCs w:val="22"/>
          <w:lang w:val="es-CO"/>
        </w:rPr>
        <w:t xml:space="preserve">COMUNÍQUESE </w:t>
      </w:r>
      <w:r w:rsidR="7FD5E35E" w:rsidRPr="007B37FE">
        <w:rPr>
          <w:rFonts w:ascii="Helvetica" w:eastAsia="Arial" w:hAnsi="Helvetica" w:cs="Helvetica"/>
          <w:b/>
          <w:bCs/>
          <w:color w:val="000000" w:themeColor="text1"/>
          <w:sz w:val="22"/>
          <w:szCs w:val="22"/>
          <w:lang w:val="es-CO"/>
        </w:rPr>
        <w:t xml:space="preserve">Y </w:t>
      </w:r>
      <w:r>
        <w:rPr>
          <w:rFonts w:ascii="Helvetica" w:eastAsia="Arial" w:hAnsi="Helvetica" w:cs="Helvetica"/>
          <w:b/>
          <w:bCs/>
          <w:color w:val="000000" w:themeColor="text1"/>
          <w:sz w:val="22"/>
          <w:szCs w:val="22"/>
          <w:lang w:val="es-CO"/>
        </w:rPr>
        <w:t xml:space="preserve">CÚMPLASE </w:t>
      </w:r>
    </w:p>
    <w:p w14:paraId="3624BAB7" w14:textId="77777777" w:rsidR="00A703CF" w:rsidRDefault="00A703CF" w:rsidP="00A703CF">
      <w:pPr>
        <w:spacing w:line="276" w:lineRule="auto"/>
        <w:jc w:val="center"/>
        <w:rPr>
          <w:rFonts w:ascii="Helvetica" w:eastAsia="Arial" w:hAnsi="Helvetica" w:cs="Helvetica"/>
          <w:b/>
          <w:bCs/>
          <w:color w:val="000000" w:themeColor="text1"/>
          <w:sz w:val="22"/>
          <w:szCs w:val="22"/>
          <w:lang w:val="es-CO"/>
        </w:rPr>
      </w:pPr>
    </w:p>
    <w:p w14:paraId="516DC07F" w14:textId="0DB00E64" w:rsidR="7FD5E35E" w:rsidRPr="007B37FE" w:rsidRDefault="7FD5E35E" w:rsidP="00A703CF">
      <w:pPr>
        <w:spacing w:line="276" w:lineRule="auto"/>
        <w:jc w:val="center"/>
        <w:rPr>
          <w:rFonts w:ascii="Helvetica" w:eastAsia="Arial" w:hAnsi="Helvetica" w:cs="Helvetica"/>
          <w:b/>
          <w:bCs/>
          <w:color w:val="000000" w:themeColor="text1"/>
          <w:sz w:val="22"/>
          <w:szCs w:val="22"/>
          <w:lang w:val="es-CO"/>
        </w:rPr>
      </w:pPr>
      <w:r w:rsidRPr="007B37FE">
        <w:rPr>
          <w:rFonts w:ascii="Helvetica" w:eastAsia="Arial" w:hAnsi="Helvetica" w:cs="Helvetica"/>
          <w:b/>
          <w:bCs/>
          <w:color w:val="000000" w:themeColor="text1"/>
          <w:sz w:val="22"/>
          <w:szCs w:val="22"/>
          <w:lang w:val="es-CO"/>
        </w:rPr>
        <w:t>OMAR PRIAS CAICEDO</w:t>
      </w:r>
    </w:p>
    <w:p w14:paraId="58B9B9CC" w14:textId="5C1381FB" w:rsidR="00A703CF" w:rsidRDefault="7FD5E35E" w:rsidP="006B1E34">
      <w:pPr>
        <w:spacing w:line="276" w:lineRule="auto"/>
        <w:jc w:val="center"/>
        <w:rPr>
          <w:rFonts w:ascii="Helvetica" w:eastAsia="Arial" w:hAnsi="Helvetica" w:cs="Helvetica"/>
          <w:color w:val="000000" w:themeColor="text1"/>
          <w:sz w:val="22"/>
          <w:szCs w:val="22"/>
          <w:lang w:val="es-CO"/>
        </w:rPr>
      </w:pPr>
      <w:r w:rsidRPr="007B37FE">
        <w:rPr>
          <w:rFonts w:ascii="Helvetica" w:eastAsia="Arial" w:hAnsi="Helvetica" w:cs="Helvetica"/>
          <w:color w:val="000000" w:themeColor="text1"/>
          <w:sz w:val="22"/>
          <w:szCs w:val="22"/>
          <w:lang w:val="es-CO"/>
        </w:rPr>
        <w:t>Director Ejecutivo</w:t>
      </w:r>
    </w:p>
    <w:sectPr w:rsidR="00A703CF" w:rsidSect="00A9038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125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FEDBA" w14:textId="77777777" w:rsidR="00E3487F" w:rsidRDefault="00E3487F" w:rsidP="00AA0519">
      <w:r>
        <w:separator/>
      </w:r>
    </w:p>
  </w:endnote>
  <w:endnote w:type="continuationSeparator" w:id="0">
    <w:p w14:paraId="16DD7C9B" w14:textId="77777777" w:rsidR="00E3487F" w:rsidRDefault="00E3487F" w:rsidP="00AA0519">
      <w:r>
        <w:continuationSeparator/>
      </w:r>
    </w:p>
  </w:endnote>
  <w:endnote w:type="continuationNotice" w:id="1">
    <w:p w14:paraId="48A1C826" w14:textId="77777777" w:rsidR="00E3487F" w:rsidRDefault="00E348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43B2F" w14:textId="77777777" w:rsidR="00EC2BB5" w:rsidRPr="000774A9" w:rsidRDefault="00EC2BB5" w:rsidP="00EC2BB5">
    <w:pPr>
      <w:spacing w:line="276" w:lineRule="auto"/>
      <w:jc w:val="both"/>
      <w:rPr>
        <w:rFonts w:ascii="Helvetica" w:hAnsi="Helvetica"/>
        <w:b/>
        <w:bCs/>
        <w:sz w:val="20"/>
        <w:szCs w:val="20"/>
      </w:rPr>
    </w:pPr>
    <w:r>
      <w:rPr>
        <w:rFonts w:ascii="Helvetica" w:hAnsi="Helvetica"/>
        <w:b/>
        <w:bCs/>
        <w:sz w:val="20"/>
        <w:szCs w:val="20"/>
      </w:rPr>
      <w:t>_______________________________________________________________________________</w:t>
    </w: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27AF4AD9" w14:textId="77777777" w:rsidR="00EC2BB5" w:rsidRPr="000774A9" w:rsidRDefault="00EC2BB5" w:rsidP="00EC2BB5">
    <w:pPr>
      <w:spacing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0AD73955" w14:textId="77777777" w:rsidR="00EC2BB5" w:rsidRPr="000774A9" w:rsidRDefault="00EC2BB5" w:rsidP="00EC2BB5">
    <w:pPr>
      <w:spacing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7ECD45ED" w14:textId="52E872C4" w:rsidR="00735E1F" w:rsidRPr="00EC2BB5" w:rsidRDefault="00EC2BB5" w:rsidP="00EC2BB5">
    <w:pPr>
      <w:spacing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8A8B6" w14:textId="77777777" w:rsidR="00EC2BB5" w:rsidRPr="000774A9" w:rsidRDefault="00EC2BB5" w:rsidP="00EC2BB5">
    <w:pPr>
      <w:spacing w:line="276" w:lineRule="auto"/>
      <w:jc w:val="both"/>
      <w:rPr>
        <w:rFonts w:ascii="Helvetica" w:hAnsi="Helvetica"/>
        <w:b/>
        <w:bCs/>
        <w:sz w:val="20"/>
        <w:szCs w:val="20"/>
      </w:rPr>
    </w:pPr>
    <w:r>
      <w:rPr>
        <w:rFonts w:ascii="Helvetica" w:hAnsi="Helvetica"/>
        <w:b/>
        <w:bCs/>
        <w:sz w:val="20"/>
        <w:szCs w:val="20"/>
      </w:rPr>
      <w:t>_______________________________________________________________________________</w:t>
    </w: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2B9D403C" w14:textId="77777777" w:rsidR="00EC2BB5" w:rsidRPr="000774A9" w:rsidRDefault="00EC2BB5" w:rsidP="00EC2BB5">
    <w:pPr>
      <w:spacing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4AB609C6" w14:textId="77777777" w:rsidR="00EC2BB5" w:rsidRPr="000774A9" w:rsidRDefault="00EC2BB5" w:rsidP="00EC2BB5">
    <w:pPr>
      <w:spacing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5002DCCF" w14:textId="6EC1C3B5" w:rsidR="003F2F4B" w:rsidRPr="00EC2BB5" w:rsidRDefault="00EC2BB5" w:rsidP="00EC2BB5">
    <w:pPr>
      <w:spacing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DD023" w14:textId="77777777" w:rsidR="00E3487F" w:rsidRDefault="00E3487F" w:rsidP="00AA0519">
      <w:r>
        <w:separator/>
      </w:r>
    </w:p>
  </w:footnote>
  <w:footnote w:type="continuationSeparator" w:id="0">
    <w:p w14:paraId="398A9CCF" w14:textId="77777777" w:rsidR="00E3487F" w:rsidRDefault="00E3487F" w:rsidP="00AA0519">
      <w:r>
        <w:continuationSeparator/>
      </w:r>
    </w:p>
  </w:footnote>
  <w:footnote w:type="continuationNotice" w:id="1">
    <w:p w14:paraId="63D0F389" w14:textId="77777777" w:rsidR="00E3487F" w:rsidRDefault="00E348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9D29B" w14:textId="0E7B4501" w:rsidR="00AA0519" w:rsidRPr="00DE5EFA" w:rsidRDefault="00DE5EFA" w:rsidP="00DE5EFA">
    <w:pPr>
      <w:pStyle w:val="Encabezad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38F6B7C" wp14:editId="201B32B0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265608799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4E745E15" wp14:editId="614A24CB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186857749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5712A" w14:textId="39FCB176" w:rsidR="00A017FD" w:rsidRDefault="00DE5EFA" w:rsidP="003F2F4B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0AD59CD" wp14:editId="755AED9A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2041505639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C5A2EDF" wp14:editId="6AC4F9A6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33177290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53621"/>
    <w:multiLevelType w:val="hybridMultilevel"/>
    <w:tmpl w:val="469A0A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12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2D04"/>
    <w:rsid w:val="00003D55"/>
    <w:rsid w:val="00012386"/>
    <w:rsid w:val="0001268F"/>
    <w:rsid w:val="000167DF"/>
    <w:rsid w:val="00022923"/>
    <w:rsid w:val="00027795"/>
    <w:rsid w:val="0003689A"/>
    <w:rsid w:val="000420C2"/>
    <w:rsid w:val="00047405"/>
    <w:rsid w:val="000560C8"/>
    <w:rsid w:val="00056DC2"/>
    <w:rsid w:val="0006374F"/>
    <w:rsid w:val="00063B69"/>
    <w:rsid w:val="0007232E"/>
    <w:rsid w:val="00080FC6"/>
    <w:rsid w:val="00082930"/>
    <w:rsid w:val="00085E22"/>
    <w:rsid w:val="00086FEF"/>
    <w:rsid w:val="000A6128"/>
    <w:rsid w:val="000B48C0"/>
    <w:rsid w:val="000C1ED9"/>
    <w:rsid w:val="000C27C3"/>
    <w:rsid w:val="000C2ECA"/>
    <w:rsid w:val="000C68EA"/>
    <w:rsid w:val="000D36D5"/>
    <w:rsid w:val="000D6D70"/>
    <w:rsid w:val="000E3087"/>
    <w:rsid w:val="000E35E9"/>
    <w:rsid w:val="000E6686"/>
    <w:rsid w:val="000F0317"/>
    <w:rsid w:val="00106923"/>
    <w:rsid w:val="0012722F"/>
    <w:rsid w:val="00130DAB"/>
    <w:rsid w:val="0013581C"/>
    <w:rsid w:val="00154F07"/>
    <w:rsid w:val="00155DA4"/>
    <w:rsid w:val="0015646B"/>
    <w:rsid w:val="001A114B"/>
    <w:rsid w:val="001A542C"/>
    <w:rsid w:val="001A69C4"/>
    <w:rsid w:val="001A6C4F"/>
    <w:rsid w:val="001B097C"/>
    <w:rsid w:val="001B44D6"/>
    <w:rsid w:val="001B561B"/>
    <w:rsid w:val="001C4FAB"/>
    <w:rsid w:val="001C667B"/>
    <w:rsid w:val="001D050E"/>
    <w:rsid w:val="001D3C8A"/>
    <w:rsid w:val="001F3334"/>
    <w:rsid w:val="00201A25"/>
    <w:rsid w:val="00202A31"/>
    <w:rsid w:val="00205416"/>
    <w:rsid w:val="00225650"/>
    <w:rsid w:val="00233DF9"/>
    <w:rsid w:val="00235A5B"/>
    <w:rsid w:val="00245313"/>
    <w:rsid w:val="002629E3"/>
    <w:rsid w:val="00265984"/>
    <w:rsid w:val="0027079F"/>
    <w:rsid w:val="002734D0"/>
    <w:rsid w:val="00274CF1"/>
    <w:rsid w:val="00284822"/>
    <w:rsid w:val="00284D22"/>
    <w:rsid w:val="002A2503"/>
    <w:rsid w:val="002A6D41"/>
    <w:rsid w:val="002E37A8"/>
    <w:rsid w:val="002E7D87"/>
    <w:rsid w:val="002F7FC9"/>
    <w:rsid w:val="00322C15"/>
    <w:rsid w:val="00325BB4"/>
    <w:rsid w:val="00331885"/>
    <w:rsid w:val="003325EE"/>
    <w:rsid w:val="00334B70"/>
    <w:rsid w:val="00337867"/>
    <w:rsid w:val="0034122A"/>
    <w:rsid w:val="0035561B"/>
    <w:rsid w:val="00356E25"/>
    <w:rsid w:val="0036049B"/>
    <w:rsid w:val="0036566D"/>
    <w:rsid w:val="003931BA"/>
    <w:rsid w:val="00397A0F"/>
    <w:rsid w:val="003A2EF2"/>
    <w:rsid w:val="003B2580"/>
    <w:rsid w:val="003B5499"/>
    <w:rsid w:val="003C0EA6"/>
    <w:rsid w:val="003C5972"/>
    <w:rsid w:val="003C7E1C"/>
    <w:rsid w:val="003D4C58"/>
    <w:rsid w:val="003D59E9"/>
    <w:rsid w:val="003D6891"/>
    <w:rsid w:val="003D69DC"/>
    <w:rsid w:val="003F2F4B"/>
    <w:rsid w:val="003F437C"/>
    <w:rsid w:val="003F5470"/>
    <w:rsid w:val="00401E44"/>
    <w:rsid w:val="00402BD5"/>
    <w:rsid w:val="00404262"/>
    <w:rsid w:val="00447EA2"/>
    <w:rsid w:val="004503D7"/>
    <w:rsid w:val="00457466"/>
    <w:rsid w:val="0046461C"/>
    <w:rsid w:val="00466B70"/>
    <w:rsid w:val="00471006"/>
    <w:rsid w:val="00471926"/>
    <w:rsid w:val="00472859"/>
    <w:rsid w:val="00477E6D"/>
    <w:rsid w:val="00494137"/>
    <w:rsid w:val="00494685"/>
    <w:rsid w:val="00495930"/>
    <w:rsid w:val="004977F2"/>
    <w:rsid w:val="004B62AA"/>
    <w:rsid w:val="004B6834"/>
    <w:rsid w:val="004C3DCB"/>
    <w:rsid w:val="004D4DB3"/>
    <w:rsid w:val="004D5B66"/>
    <w:rsid w:val="004D5CA0"/>
    <w:rsid w:val="004D6F18"/>
    <w:rsid w:val="004F5C84"/>
    <w:rsid w:val="00506333"/>
    <w:rsid w:val="00511935"/>
    <w:rsid w:val="00526C65"/>
    <w:rsid w:val="005639A8"/>
    <w:rsid w:val="005645FC"/>
    <w:rsid w:val="00567DA6"/>
    <w:rsid w:val="0057011F"/>
    <w:rsid w:val="00573087"/>
    <w:rsid w:val="00583D0E"/>
    <w:rsid w:val="00585ED7"/>
    <w:rsid w:val="0058654E"/>
    <w:rsid w:val="00592745"/>
    <w:rsid w:val="005A214C"/>
    <w:rsid w:val="005B38E7"/>
    <w:rsid w:val="005B6B27"/>
    <w:rsid w:val="005B7800"/>
    <w:rsid w:val="005C0EE8"/>
    <w:rsid w:val="005C110A"/>
    <w:rsid w:val="005C1CFE"/>
    <w:rsid w:val="005C3A9B"/>
    <w:rsid w:val="005E18CF"/>
    <w:rsid w:val="005E47DE"/>
    <w:rsid w:val="005E4D08"/>
    <w:rsid w:val="00603FBB"/>
    <w:rsid w:val="00626C12"/>
    <w:rsid w:val="00627E8B"/>
    <w:rsid w:val="00631774"/>
    <w:rsid w:val="006378F9"/>
    <w:rsid w:val="00645707"/>
    <w:rsid w:val="0065448E"/>
    <w:rsid w:val="006556FB"/>
    <w:rsid w:val="00681CBE"/>
    <w:rsid w:val="00685276"/>
    <w:rsid w:val="00691120"/>
    <w:rsid w:val="00692DC8"/>
    <w:rsid w:val="0069650D"/>
    <w:rsid w:val="006B1E34"/>
    <w:rsid w:val="006C5968"/>
    <w:rsid w:val="006C7318"/>
    <w:rsid w:val="006D1111"/>
    <w:rsid w:val="006D4088"/>
    <w:rsid w:val="006E35FA"/>
    <w:rsid w:val="006E40BA"/>
    <w:rsid w:val="006F2041"/>
    <w:rsid w:val="006F4ACE"/>
    <w:rsid w:val="007025FD"/>
    <w:rsid w:val="00710EA4"/>
    <w:rsid w:val="007230E5"/>
    <w:rsid w:val="00724A70"/>
    <w:rsid w:val="00730813"/>
    <w:rsid w:val="00735E1F"/>
    <w:rsid w:val="007438B2"/>
    <w:rsid w:val="00744FD3"/>
    <w:rsid w:val="007512F4"/>
    <w:rsid w:val="007549AE"/>
    <w:rsid w:val="007662EE"/>
    <w:rsid w:val="007728FE"/>
    <w:rsid w:val="007832E1"/>
    <w:rsid w:val="007916CB"/>
    <w:rsid w:val="00794A9A"/>
    <w:rsid w:val="00796701"/>
    <w:rsid w:val="007A25B7"/>
    <w:rsid w:val="007A7DEA"/>
    <w:rsid w:val="007B16ED"/>
    <w:rsid w:val="007B37FE"/>
    <w:rsid w:val="007C45DB"/>
    <w:rsid w:val="007D4A32"/>
    <w:rsid w:val="007E16DF"/>
    <w:rsid w:val="007F0884"/>
    <w:rsid w:val="007F6B49"/>
    <w:rsid w:val="00816448"/>
    <w:rsid w:val="0081784F"/>
    <w:rsid w:val="008358DA"/>
    <w:rsid w:val="0083711A"/>
    <w:rsid w:val="00844A40"/>
    <w:rsid w:val="00850354"/>
    <w:rsid w:val="0085631C"/>
    <w:rsid w:val="00857B63"/>
    <w:rsid w:val="00880B9C"/>
    <w:rsid w:val="008831EF"/>
    <w:rsid w:val="008925A8"/>
    <w:rsid w:val="008951D1"/>
    <w:rsid w:val="008A4671"/>
    <w:rsid w:val="008B11E0"/>
    <w:rsid w:val="008B2567"/>
    <w:rsid w:val="008B6015"/>
    <w:rsid w:val="008C1C64"/>
    <w:rsid w:val="008C1E21"/>
    <w:rsid w:val="008D6027"/>
    <w:rsid w:val="008E0984"/>
    <w:rsid w:val="008E1C2D"/>
    <w:rsid w:val="008E633C"/>
    <w:rsid w:val="008E7B37"/>
    <w:rsid w:val="00903C18"/>
    <w:rsid w:val="00912B9C"/>
    <w:rsid w:val="009204AF"/>
    <w:rsid w:val="0092108C"/>
    <w:rsid w:val="009269F3"/>
    <w:rsid w:val="00931C26"/>
    <w:rsid w:val="00932F68"/>
    <w:rsid w:val="00933529"/>
    <w:rsid w:val="00935053"/>
    <w:rsid w:val="00950289"/>
    <w:rsid w:val="00951684"/>
    <w:rsid w:val="0095245C"/>
    <w:rsid w:val="009614EA"/>
    <w:rsid w:val="00967099"/>
    <w:rsid w:val="009722AE"/>
    <w:rsid w:val="00984224"/>
    <w:rsid w:val="00995238"/>
    <w:rsid w:val="009A3312"/>
    <w:rsid w:val="009A3617"/>
    <w:rsid w:val="009B2FA3"/>
    <w:rsid w:val="009B526B"/>
    <w:rsid w:val="009B53EB"/>
    <w:rsid w:val="009C7FA2"/>
    <w:rsid w:val="009D2C5D"/>
    <w:rsid w:val="009F1A03"/>
    <w:rsid w:val="009F293F"/>
    <w:rsid w:val="009F66EE"/>
    <w:rsid w:val="00A017FD"/>
    <w:rsid w:val="00A15CDD"/>
    <w:rsid w:val="00A24CC1"/>
    <w:rsid w:val="00A36C84"/>
    <w:rsid w:val="00A4254F"/>
    <w:rsid w:val="00A428AF"/>
    <w:rsid w:val="00A454CE"/>
    <w:rsid w:val="00A45641"/>
    <w:rsid w:val="00A47732"/>
    <w:rsid w:val="00A703CF"/>
    <w:rsid w:val="00A708DE"/>
    <w:rsid w:val="00A71E67"/>
    <w:rsid w:val="00A76F30"/>
    <w:rsid w:val="00A80EDC"/>
    <w:rsid w:val="00A8236E"/>
    <w:rsid w:val="00A87606"/>
    <w:rsid w:val="00A90383"/>
    <w:rsid w:val="00AA0519"/>
    <w:rsid w:val="00AA194B"/>
    <w:rsid w:val="00AA7202"/>
    <w:rsid w:val="00AB65A2"/>
    <w:rsid w:val="00AC56DE"/>
    <w:rsid w:val="00AD2B7F"/>
    <w:rsid w:val="00AE66BD"/>
    <w:rsid w:val="00AF0990"/>
    <w:rsid w:val="00B01D6E"/>
    <w:rsid w:val="00B038A8"/>
    <w:rsid w:val="00B05890"/>
    <w:rsid w:val="00B06A04"/>
    <w:rsid w:val="00B075A7"/>
    <w:rsid w:val="00B111D3"/>
    <w:rsid w:val="00B16055"/>
    <w:rsid w:val="00B23399"/>
    <w:rsid w:val="00B27D4C"/>
    <w:rsid w:val="00B334B7"/>
    <w:rsid w:val="00B33B8D"/>
    <w:rsid w:val="00B46430"/>
    <w:rsid w:val="00B46872"/>
    <w:rsid w:val="00B5078E"/>
    <w:rsid w:val="00B55355"/>
    <w:rsid w:val="00B6119A"/>
    <w:rsid w:val="00B63074"/>
    <w:rsid w:val="00B855A0"/>
    <w:rsid w:val="00B85A46"/>
    <w:rsid w:val="00B977B4"/>
    <w:rsid w:val="00BA58EE"/>
    <w:rsid w:val="00BA6EAF"/>
    <w:rsid w:val="00BB3950"/>
    <w:rsid w:val="00BB4A98"/>
    <w:rsid w:val="00BC40C1"/>
    <w:rsid w:val="00C050B1"/>
    <w:rsid w:val="00C102DA"/>
    <w:rsid w:val="00C104A4"/>
    <w:rsid w:val="00C12872"/>
    <w:rsid w:val="00C14410"/>
    <w:rsid w:val="00C14F4A"/>
    <w:rsid w:val="00C33D05"/>
    <w:rsid w:val="00C454B9"/>
    <w:rsid w:val="00C46B0E"/>
    <w:rsid w:val="00C51B40"/>
    <w:rsid w:val="00C55D4C"/>
    <w:rsid w:val="00C671C9"/>
    <w:rsid w:val="00C72111"/>
    <w:rsid w:val="00C753C7"/>
    <w:rsid w:val="00C753EE"/>
    <w:rsid w:val="00C85649"/>
    <w:rsid w:val="00CA4EC8"/>
    <w:rsid w:val="00CB572C"/>
    <w:rsid w:val="00CC7EBF"/>
    <w:rsid w:val="00CD3382"/>
    <w:rsid w:val="00CF0D13"/>
    <w:rsid w:val="00CF1427"/>
    <w:rsid w:val="00CF6891"/>
    <w:rsid w:val="00D0774F"/>
    <w:rsid w:val="00D13711"/>
    <w:rsid w:val="00D25E8F"/>
    <w:rsid w:val="00D269F4"/>
    <w:rsid w:val="00D53C64"/>
    <w:rsid w:val="00D71FFF"/>
    <w:rsid w:val="00D87D5B"/>
    <w:rsid w:val="00DA5B70"/>
    <w:rsid w:val="00DC0321"/>
    <w:rsid w:val="00DC733B"/>
    <w:rsid w:val="00DE5EFA"/>
    <w:rsid w:val="00E003DC"/>
    <w:rsid w:val="00E14547"/>
    <w:rsid w:val="00E17CF0"/>
    <w:rsid w:val="00E3487F"/>
    <w:rsid w:val="00E4730C"/>
    <w:rsid w:val="00E55FDA"/>
    <w:rsid w:val="00E80275"/>
    <w:rsid w:val="00E81543"/>
    <w:rsid w:val="00E87BF8"/>
    <w:rsid w:val="00EA2570"/>
    <w:rsid w:val="00EB6051"/>
    <w:rsid w:val="00EC2BB5"/>
    <w:rsid w:val="00ED211B"/>
    <w:rsid w:val="00ED619F"/>
    <w:rsid w:val="00EE7BC6"/>
    <w:rsid w:val="00EF5E96"/>
    <w:rsid w:val="00F07D50"/>
    <w:rsid w:val="00F231F4"/>
    <w:rsid w:val="00F27808"/>
    <w:rsid w:val="00F534D8"/>
    <w:rsid w:val="00F5627F"/>
    <w:rsid w:val="00F67116"/>
    <w:rsid w:val="00F751B1"/>
    <w:rsid w:val="00F83ABD"/>
    <w:rsid w:val="00F87A7B"/>
    <w:rsid w:val="00F93C41"/>
    <w:rsid w:val="00FA4D7A"/>
    <w:rsid w:val="00FA7C51"/>
    <w:rsid w:val="00FD2A8B"/>
    <w:rsid w:val="00FE0816"/>
    <w:rsid w:val="00FE2212"/>
    <w:rsid w:val="00FE27AE"/>
    <w:rsid w:val="00FF5764"/>
    <w:rsid w:val="01B7D9F1"/>
    <w:rsid w:val="03F622BB"/>
    <w:rsid w:val="0639027C"/>
    <w:rsid w:val="07974E36"/>
    <w:rsid w:val="07AA7CA7"/>
    <w:rsid w:val="088C4E46"/>
    <w:rsid w:val="0910BDD5"/>
    <w:rsid w:val="0A7595BD"/>
    <w:rsid w:val="0E87A0B8"/>
    <w:rsid w:val="0EB32083"/>
    <w:rsid w:val="0FD5621A"/>
    <w:rsid w:val="1136D6C6"/>
    <w:rsid w:val="1183C3AB"/>
    <w:rsid w:val="1232EB62"/>
    <w:rsid w:val="132B277D"/>
    <w:rsid w:val="144D3781"/>
    <w:rsid w:val="155645B4"/>
    <w:rsid w:val="15C38603"/>
    <w:rsid w:val="15F48148"/>
    <w:rsid w:val="16AB8A5E"/>
    <w:rsid w:val="180E1082"/>
    <w:rsid w:val="18A09E48"/>
    <w:rsid w:val="1A3237C0"/>
    <w:rsid w:val="1A47C12D"/>
    <w:rsid w:val="1B134BFB"/>
    <w:rsid w:val="1B7C8998"/>
    <w:rsid w:val="1B815B39"/>
    <w:rsid w:val="1BCEFD93"/>
    <w:rsid w:val="1D3CC566"/>
    <w:rsid w:val="1DDDF5E8"/>
    <w:rsid w:val="1DE5A414"/>
    <w:rsid w:val="1DF057D9"/>
    <w:rsid w:val="1E2CDADB"/>
    <w:rsid w:val="1FED6831"/>
    <w:rsid w:val="2007AF45"/>
    <w:rsid w:val="202CB02C"/>
    <w:rsid w:val="203F32B9"/>
    <w:rsid w:val="206412BC"/>
    <w:rsid w:val="2091408B"/>
    <w:rsid w:val="20B96A2E"/>
    <w:rsid w:val="2102DB84"/>
    <w:rsid w:val="2181C0B0"/>
    <w:rsid w:val="21AB4988"/>
    <w:rsid w:val="21BC40CA"/>
    <w:rsid w:val="229BF194"/>
    <w:rsid w:val="2388705E"/>
    <w:rsid w:val="239D829B"/>
    <w:rsid w:val="239F0CD3"/>
    <w:rsid w:val="270CFEB0"/>
    <w:rsid w:val="276B9DBA"/>
    <w:rsid w:val="291C518F"/>
    <w:rsid w:val="2998E039"/>
    <w:rsid w:val="2A607185"/>
    <w:rsid w:val="2A888499"/>
    <w:rsid w:val="2DFD6F84"/>
    <w:rsid w:val="2EE79105"/>
    <w:rsid w:val="307B0018"/>
    <w:rsid w:val="30FD0850"/>
    <w:rsid w:val="32421D47"/>
    <w:rsid w:val="32F0F6A1"/>
    <w:rsid w:val="331027E9"/>
    <w:rsid w:val="33B625E9"/>
    <w:rsid w:val="3525996A"/>
    <w:rsid w:val="35E220F1"/>
    <w:rsid w:val="36142A3E"/>
    <w:rsid w:val="362957B9"/>
    <w:rsid w:val="36BABD12"/>
    <w:rsid w:val="37AFFA9F"/>
    <w:rsid w:val="38479F38"/>
    <w:rsid w:val="384D8C92"/>
    <w:rsid w:val="385B08A2"/>
    <w:rsid w:val="38E04170"/>
    <w:rsid w:val="39BE8FBC"/>
    <w:rsid w:val="3A5850AE"/>
    <w:rsid w:val="3AEA7AD5"/>
    <w:rsid w:val="3B449E6B"/>
    <w:rsid w:val="3B606FD7"/>
    <w:rsid w:val="3BE4ACFF"/>
    <w:rsid w:val="3BF4210F"/>
    <w:rsid w:val="3C4B9300"/>
    <w:rsid w:val="3D1EF9EC"/>
    <w:rsid w:val="3F3D2BD2"/>
    <w:rsid w:val="405F2FCE"/>
    <w:rsid w:val="40A6C7BE"/>
    <w:rsid w:val="4151A1AC"/>
    <w:rsid w:val="41AFF7E5"/>
    <w:rsid w:val="41E48B68"/>
    <w:rsid w:val="4234AE4E"/>
    <w:rsid w:val="44A30ADE"/>
    <w:rsid w:val="45534C33"/>
    <w:rsid w:val="458089CE"/>
    <w:rsid w:val="45B248D0"/>
    <w:rsid w:val="46273BC2"/>
    <w:rsid w:val="468B7271"/>
    <w:rsid w:val="47545699"/>
    <w:rsid w:val="4789AB7D"/>
    <w:rsid w:val="48F86454"/>
    <w:rsid w:val="494B5B08"/>
    <w:rsid w:val="4A071F46"/>
    <w:rsid w:val="4A6B43B3"/>
    <w:rsid w:val="4B06A170"/>
    <w:rsid w:val="4C891786"/>
    <w:rsid w:val="4CF1F006"/>
    <w:rsid w:val="4DA3735D"/>
    <w:rsid w:val="4DF889F8"/>
    <w:rsid w:val="4F0CA869"/>
    <w:rsid w:val="4FE8200C"/>
    <w:rsid w:val="507D1877"/>
    <w:rsid w:val="514062D6"/>
    <w:rsid w:val="51BE538D"/>
    <w:rsid w:val="53BA5408"/>
    <w:rsid w:val="54080C96"/>
    <w:rsid w:val="547CDA6D"/>
    <w:rsid w:val="54C83089"/>
    <w:rsid w:val="55832774"/>
    <w:rsid w:val="56675690"/>
    <w:rsid w:val="56CDE011"/>
    <w:rsid w:val="582B7904"/>
    <w:rsid w:val="5831AB8B"/>
    <w:rsid w:val="584210DB"/>
    <w:rsid w:val="584FBB6F"/>
    <w:rsid w:val="5989A87B"/>
    <w:rsid w:val="59C36277"/>
    <w:rsid w:val="5A377713"/>
    <w:rsid w:val="5CDAFACB"/>
    <w:rsid w:val="5D245323"/>
    <w:rsid w:val="5D343FCD"/>
    <w:rsid w:val="5D89A719"/>
    <w:rsid w:val="5DCB3F9E"/>
    <w:rsid w:val="5E684F42"/>
    <w:rsid w:val="5E8E8481"/>
    <w:rsid w:val="5FA85379"/>
    <w:rsid w:val="6004B075"/>
    <w:rsid w:val="613DFAB9"/>
    <w:rsid w:val="61451BEB"/>
    <w:rsid w:val="61D4FC9B"/>
    <w:rsid w:val="6329D3A2"/>
    <w:rsid w:val="64E82E52"/>
    <w:rsid w:val="652E2F0C"/>
    <w:rsid w:val="654A6189"/>
    <w:rsid w:val="65A274D1"/>
    <w:rsid w:val="68553300"/>
    <w:rsid w:val="6855B99F"/>
    <w:rsid w:val="693FD52C"/>
    <w:rsid w:val="6943F602"/>
    <w:rsid w:val="694CADF4"/>
    <w:rsid w:val="6960ABBF"/>
    <w:rsid w:val="6A54B33C"/>
    <w:rsid w:val="6A8E0DC0"/>
    <w:rsid w:val="6B028747"/>
    <w:rsid w:val="6B4B84FA"/>
    <w:rsid w:val="6B9C0114"/>
    <w:rsid w:val="6CFB4651"/>
    <w:rsid w:val="6D62ED7B"/>
    <w:rsid w:val="6DE19736"/>
    <w:rsid w:val="6EE1EA24"/>
    <w:rsid w:val="6F025EED"/>
    <w:rsid w:val="6F504FFF"/>
    <w:rsid w:val="6F8791FA"/>
    <w:rsid w:val="70D25538"/>
    <w:rsid w:val="7123625B"/>
    <w:rsid w:val="723CCA2F"/>
    <w:rsid w:val="73DB2DD4"/>
    <w:rsid w:val="74A0F312"/>
    <w:rsid w:val="7541692A"/>
    <w:rsid w:val="7736EE06"/>
    <w:rsid w:val="7749BC2D"/>
    <w:rsid w:val="786F8768"/>
    <w:rsid w:val="791CE306"/>
    <w:rsid w:val="79E4189F"/>
    <w:rsid w:val="7B5ED0D5"/>
    <w:rsid w:val="7B6357B6"/>
    <w:rsid w:val="7E854DB4"/>
    <w:rsid w:val="7EEDBE6A"/>
    <w:rsid w:val="7F1FE14F"/>
    <w:rsid w:val="7F4E86D3"/>
    <w:rsid w:val="7F578E95"/>
    <w:rsid w:val="7FD5E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A5DA5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1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454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26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Textoindependiente"/>
    <w:link w:val="Ttulo5Car"/>
    <w:semiHidden/>
    <w:unhideWhenUsed/>
    <w:qFormat/>
    <w:rsid w:val="007E16DF"/>
    <w:pPr>
      <w:keepNext/>
      <w:keepLines/>
      <w:spacing w:line="220" w:lineRule="atLeast"/>
      <w:ind w:left="720"/>
      <w:jc w:val="both"/>
      <w:outlineLvl w:val="4"/>
    </w:pPr>
    <w:rPr>
      <w:rFonts w:ascii="Arial Black" w:eastAsia="Times New Roman" w:hAnsi="Arial Black" w:cs="Times New Roman"/>
      <w:spacing w:val="-5"/>
      <w:kern w:val="20"/>
      <w:sz w:val="18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519"/>
    <w:rPr>
      <w:rFonts w:eastAsiaTheme="minorEastAsia"/>
      <w:sz w:val="24"/>
      <w:szCs w:val="24"/>
      <w:lang w:val="es-ES_tradnl"/>
    </w:rPr>
  </w:style>
  <w:style w:type="character" w:customStyle="1" w:styleId="Ttulo5Car">
    <w:name w:val="Título 5 Car"/>
    <w:basedOn w:val="Fuentedeprrafopredeter"/>
    <w:link w:val="Ttulo5"/>
    <w:semiHidden/>
    <w:rsid w:val="007E16DF"/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E16D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E16DF"/>
    <w:rPr>
      <w:rFonts w:eastAsiaTheme="minorEastAsia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A454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959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959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30"/>
    <w:rPr>
      <w:rFonts w:eastAsiaTheme="minorEastAs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30"/>
    <w:rPr>
      <w:rFonts w:eastAsiaTheme="minorEastAsia"/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8951D1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26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1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90cc45-9d06-4234-8034-eeec6c0c7cc1">
      <Terms xmlns="http://schemas.microsoft.com/office/infopath/2007/PartnerControls"/>
    </lcf76f155ced4ddcb4097134ff3c332f>
    <TaxCatchAll xmlns="309f6219-a73f-4366-a00d-6bacb1e9f8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D4FDF199FE64438732850D4FBE260F" ma:contentTypeVersion="17" ma:contentTypeDescription="Crear nuevo documento." ma:contentTypeScope="" ma:versionID="fdd9e77ae2353dd9272916a1604eb472">
  <xsd:schema xmlns:xsd="http://www.w3.org/2001/XMLSchema" xmlns:xs="http://www.w3.org/2001/XMLSchema" xmlns:p="http://schemas.microsoft.com/office/2006/metadata/properties" xmlns:ns2="0f90cc45-9d06-4234-8034-eeec6c0c7cc1" xmlns:ns3="309f6219-a73f-4366-a00d-6bacb1e9f8e0" targetNamespace="http://schemas.microsoft.com/office/2006/metadata/properties" ma:root="true" ma:fieldsID="530156d16447350daabf2c4feffb0c02" ns2:_="" ns3:_="">
    <xsd:import namespace="0f90cc45-9d06-4234-8034-eeec6c0c7cc1"/>
    <xsd:import namespace="309f6219-a73f-4366-a00d-6bacb1e9f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0cc45-9d06-4234-8034-eeec6c0c7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f6219-a73f-4366-a00d-6bacb1e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e1057a-84f0-41ef-9c26-068fafd6c4b9}" ma:internalName="TaxCatchAll" ma:showField="CatchAllData" ma:web="309f6219-a73f-4366-a00d-6bacb1e9f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CE880-AF1A-40AE-8C75-9AA6933A7EDD}">
  <ds:schemaRefs>
    <ds:schemaRef ds:uri="http://schemas.microsoft.com/office/2006/metadata/properties"/>
    <ds:schemaRef ds:uri="http://schemas.microsoft.com/office/infopath/2007/PartnerControls"/>
    <ds:schemaRef ds:uri="0f90cc45-9d06-4234-8034-eeec6c0c7cc1"/>
    <ds:schemaRef ds:uri="309f6219-a73f-4366-a00d-6bacb1e9f8e0"/>
  </ds:schemaRefs>
</ds:datastoreItem>
</file>

<file path=customXml/itemProps2.xml><?xml version="1.0" encoding="utf-8"?>
<ds:datastoreItem xmlns:ds="http://schemas.openxmlformats.org/officeDocument/2006/customXml" ds:itemID="{9D40CD49-D6C8-4E60-AA8D-31B98C3B1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3041B-2558-431D-BAE0-4C49D72DA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20A27C-CF60-4EF9-8224-E427A694C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0cc45-9d06-4234-8034-eeec6c0c7cc1"/>
    <ds:schemaRef ds:uri="309f6219-a73f-4366-a00d-6bacb1e9f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753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Santamaria Daza</dc:creator>
  <cp:keywords/>
  <dc:description/>
  <cp:lastModifiedBy>Wilson Sanchez Sanchez</cp:lastModifiedBy>
  <cp:revision>4</cp:revision>
  <cp:lastPrinted>2024-07-02T20:03:00Z</cp:lastPrinted>
  <dcterms:created xsi:type="dcterms:W3CDTF">2024-06-28T16:28:00Z</dcterms:created>
  <dcterms:modified xsi:type="dcterms:W3CDTF">2024-07-02T20:07:00Z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0x010100A7D4FDF199FE64438732850D4FBE260F</vt:lpwstr>
  </property>
  <property fmtid="{D5CDD505-2E9C-101B-9397-08002B2CF9AE}" pid="3" name="MediaServiceImageTags">
    <vt:lpwstr/>
  </property>
</Properties>
</file>