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A538B" w14:textId="469DDC0D" w:rsidR="007E5087" w:rsidRPr="008943FC" w:rsidRDefault="00766EA4" w:rsidP="008943FC">
      <w:pPr>
        <w:keepNext/>
        <w:tabs>
          <w:tab w:val="right" w:pos="9356"/>
        </w:tabs>
        <w:spacing w:after="0" w:line="360" w:lineRule="auto"/>
        <w:contextualSpacing/>
        <w:outlineLvl w:val="3"/>
        <w:rPr>
          <w:rFonts w:ascii="Arial" w:eastAsia="Times New Roman" w:hAnsi="Arial" w:cs="Arial"/>
          <w:snapToGrid w:val="0"/>
          <w:color w:val="000000"/>
          <w:spacing w:val="20"/>
          <w:sz w:val="24"/>
          <w:szCs w:val="24"/>
          <w:lang w:val="es-ES" w:eastAsia="es-ES"/>
        </w:rPr>
      </w:pPr>
      <w:r>
        <w:rPr>
          <w:rFonts w:ascii="Arial" w:eastAsia="Times New Roman" w:hAnsi="Arial" w:cs="Arial"/>
          <w:bCs/>
          <w:noProof/>
          <w:color w:val="000000"/>
          <w:spacing w:val="20"/>
          <w:sz w:val="24"/>
          <w:szCs w:val="24"/>
          <w:lang w:eastAsia="es-CO"/>
        </w:rPr>
        <w:object w:dxaOrig="1440" w:dyaOrig="1440" w14:anchorId="01FE77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15pt;margin-top:-47.8pt;width:38.2pt;height:39.05pt;z-index:251658240" fillcolor="#0c9">
            <v:imagedata r:id="rId11" o:title=""/>
          </v:shape>
          <o:OLEObject Type="Embed" ProgID="PBrush" ShapeID="_x0000_s2051" DrawAspect="Content" ObjectID="_1768652152" r:id="rId12"/>
        </w:object>
      </w:r>
    </w:p>
    <w:p w14:paraId="5C097C78" w14:textId="4CE9F662" w:rsidR="005C1BCA" w:rsidRPr="008943FC" w:rsidRDefault="005C1BCA" w:rsidP="00E52693">
      <w:pPr>
        <w:keepNext/>
        <w:tabs>
          <w:tab w:val="right" w:pos="9356"/>
        </w:tabs>
        <w:spacing w:after="0" w:line="360" w:lineRule="auto"/>
        <w:ind w:left="9926" w:hanging="9926"/>
        <w:contextualSpacing/>
        <w:jc w:val="center"/>
        <w:outlineLvl w:val="3"/>
        <w:rPr>
          <w:rFonts w:ascii="Arial" w:eastAsia="Times New Roman" w:hAnsi="Arial" w:cs="Arial"/>
          <w:snapToGrid w:val="0"/>
          <w:color w:val="000000"/>
          <w:spacing w:val="20"/>
          <w:sz w:val="24"/>
          <w:szCs w:val="24"/>
          <w:lang w:val="es-ES" w:eastAsia="es-ES"/>
        </w:rPr>
      </w:pPr>
      <w:r w:rsidRPr="008943FC">
        <w:rPr>
          <w:rFonts w:ascii="Arial" w:eastAsia="Times New Roman" w:hAnsi="Arial" w:cs="Arial"/>
          <w:snapToGrid w:val="0"/>
          <w:color w:val="000000"/>
          <w:spacing w:val="20"/>
          <w:sz w:val="24"/>
          <w:szCs w:val="24"/>
          <w:lang w:val="es-ES" w:eastAsia="es-ES"/>
        </w:rPr>
        <w:t>Ministerio de Minas y Ene</w:t>
      </w:r>
      <w:r w:rsidRPr="008943FC">
        <w:rPr>
          <w:rFonts w:ascii="Arial" w:eastAsia="Times New Roman" w:hAnsi="Arial" w:cs="Arial"/>
          <w:color w:val="000000" w:themeColor="text1"/>
          <w:sz w:val="24"/>
          <w:szCs w:val="24"/>
          <w:lang w:val="es-ES" w:eastAsia="es-ES"/>
        </w:rPr>
        <w:t>rgía</w:t>
      </w:r>
    </w:p>
    <w:p w14:paraId="72F8DCEF" w14:textId="56F8EE6E" w:rsidR="005C1BCA" w:rsidRPr="008943FC" w:rsidRDefault="005C1BCA" w:rsidP="007E5087">
      <w:pPr>
        <w:keepNext/>
        <w:tabs>
          <w:tab w:val="left" w:pos="4188"/>
          <w:tab w:val="right" w:pos="9356"/>
        </w:tabs>
        <w:spacing w:after="0" w:line="360" w:lineRule="auto"/>
        <w:ind w:left="9356" w:hanging="9356"/>
        <w:contextualSpacing/>
        <w:jc w:val="center"/>
        <w:outlineLvl w:val="3"/>
        <w:rPr>
          <w:rFonts w:ascii="Arial" w:hAnsi="Arial" w:cs="Arial"/>
          <w:sz w:val="24"/>
          <w:szCs w:val="24"/>
        </w:rPr>
      </w:pPr>
    </w:p>
    <w:p w14:paraId="728568AD" w14:textId="734715C8" w:rsidR="005C1BCA" w:rsidRDefault="005C1BCA" w:rsidP="00766EA4">
      <w:pPr>
        <w:keepNext/>
        <w:tabs>
          <w:tab w:val="left" w:pos="0"/>
          <w:tab w:val="right" w:pos="9356"/>
        </w:tabs>
        <w:spacing w:after="0" w:line="360" w:lineRule="auto"/>
        <w:contextualSpacing/>
        <w:jc w:val="center"/>
        <w:outlineLvl w:val="2"/>
        <w:rPr>
          <w:rFonts w:ascii="Arial" w:eastAsia="Times New Roman" w:hAnsi="Arial" w:cs="Arial"/>
          <w:b/>
          <w:snapToGrid w:val="0"/>
          <w:color w:val="000000"/>
          <w:spacing w:val="20"/>
          <w:sz w:val="24"/>
          <w:szCs w:val="24"/>
          <w:lang w:val="es-ES_tradnl" w:eastAsia="es-ES"/>
        </w:rPr>
      </w:pPr>
      <w:r w:rsidRPr="008943FC">
        <w:rPr>
          <w:rFonts w:ascii="Arial" w:eastAsia="Times New Roman" w:hAnsi="Arial" w:cs="Arial"/>
          <w:b/>
          <w:snapToGrid w:val="0"/>
          <w:color w:val="000000"/>
          <w:spacing w:val="20"/>
          <w:sz w:val="24"/>
          <w:szCs w:val="24"/>
          <w:lang w:val="es-ES_tradnl" w:eastAsia="es-ES"/>
        </w:rPr>
        <w:t>COMISIÓN DE REGULACIÓN DE ENERGÍA Y GAS</w:t>
      </w:r>
    </w:p>
    <w:p w14:paraId="01CAEB9B" w14:textId="77777777" w:rsidR="00766EA4" w:rsidRPr="008943FC" w:rsidRDefault="00766EA4" w:rsidP="00766EA4">
      <w:pPr>
        <w:keepNext/>
        <w:tabs>
          <w:tab w:val="left" w:pos="0"/>
          <w:tab w:val="right" w:pos="9356"/>
        </w:tabs>
        <w:spacing w:after="0" w:line="360" w:lineRule="auto"/>
        <w:contextualSpacing/>
        <w:jc w:val="center"/>
        <w:outlineLvl w:val="2"/>
        <w:rPr>
          <w:rFonts w:ascii="Arial" w:eastAsia="Times New Roman" w:hAnsi="Arial" w:cs="Arial"/>
          <w:b/>
          <w:snapToGrid w:val="0"/>
          <w:color w:val="000000"/>
          <w:spacing w:val="20"/>
          <w:sz w:val="24"/>
          <w:szCs w:val="24"/>
          <w:lang w:val="es-ES_tradnl" w:eastAsia="es-ES"/>
        </w:rPr>
      </w:pPr>
    </w:p>
    <w:p w14:paraId="3BD08216" w14:textId="146ED2F4" w:rsidR="00367B97" w:rsidRPr="008943FC" w:rsidRDefault="005C1BCA" w:rsidP="00986A80">
      <w:pPr>
        <w:keepNext/>
        <w:tabs>
          <w:tab w:val="left" w:pos="0"/>
          <w:tab w:val="right" w:pos="9356"/>
        </w:tabs>
        <w:spacing w:after="0" w:line="360" w:lineRule="auto"/>
        <w:contextualSpacing/>
        <w:jc w:val="center"/>
        <w:outlineLvl w:val="4"/>
        <w:rPr>
          <w:rFonts w:ascii="Arial" w:eastAsia="Times New Roman" w:hAnsi="Arial" w:cs="Arial"/>
          <w:b/>
          <w:snapToGrid w:val="0"/>
          <w:color w:val="000000"/>
          <w:spacing w:val="20"/>
          <w:sz w:val="24"/>
          <w:szCs w:val="24"/>
          <w:lang w:val="es-ES_tradnl" w:eastAsia="es-ES"/>
        </w:rPr>
      </w:pPr>
      <w:r w:rsidRPr="008943FC">
        <w:rPr>
          <w:rFonts w:ascii="Arial" w:eastAsia="Times New Roman" w:hAnsi="Arial" w:cs="Arial"/>
          <w:b/>
          <w:snapToGrid w:val="0"/>
          <w:color w:val="000000"/>
          <w:spacing w:val="20"/>
          <w:sz w:val="24"/>
          <w:szCs w:val="24"/>
          <w:lang w:val="es-ES_tradnl" w:eastAsia="es-ES"/>
        </w:rPr>
        <w:t>RESOLUCIÓN No.</w:t>
      </w:r>
      <w:r w:rsidR="00CE7A8E" w:rsidRPr="008943FC">
        <w:rPr>
          <w:rFonts w:ascii="Arial" w:eastAsia="Times New Roman" w:hAnsi="Arial" w:cs="Arial"/>
          <w:b/>
          <w:snapToGrid w:val="0"/>
          <w:color w:val="000000"/>
          <w:spacing w:val="20"/>
          <w:sz w:val="24"/>
          <w:szCs w:val="24"/>
          <w:lang w:val="es-ES_tradnl" w:eastAsia="es-ES"/>
        </w:rPr>
        <w:t xml:space="preserve"> </w:t>
      </w:r>
      <w:r w:rsidR="008177B9" w:rsidRPr="008943FC">
        <w:rPr>
          <w:rFonts w:ascii="Arial" w:eastAsia="Times New Roman" w:hAnsi="Arial" w:cs="Arial"/>
          <w:b/>
          <w:snapToGrid w:val="0"/>
          <w:color w:val="000000"/>
          <w:spacing w:val="20"/>
          <w:sz w:val="28"/>
          <w:szCs w:val="28"/>
          <w:lang w:val="es-ES_tradnl" w:eastAsia="es-ES"/>
        </w:rPr>
        <w:t>503 00</w:t>
      </w:r>
      <w:r w:rsidR="00766EA4">
        <w:rPr>
          <w:rFonts w:ascii="Arial" w:eastAsia="Times New Roman" w:hAnsi="Arial" w:cs="Arial"/>
          <w:b/>
          <w:snapToGrid w:val="0"/>
          <w:color w:val="000000"/>
          <w:spacing w:val="20"/>
          <w:sz w:val="28"/>
          <w:szCs w:val="28"/>
          <w:lang w:val="es-ES_tradnl" w:eastAsia="es-ES"/>
        </w:rPr>
        <w:t>4</w:t>
      </w:r>
      <w:r w:rsidRPr="008943FC">
        <w:rPr>
          <w:rFonts w:ascii="Arial" w:eastAsia="Times New Roman" w:hAnsi="Arial" w:cs="Arial"/>
          <w:b/>
          <w:snapToGrid w:val="0"/>
          <w:color w:val="000000"/>
          <w:spacing w:val="20"/>
          <w:sz w:val="28"/>
          <w:szCs w:val="28"/>
          <w:lang w:val="es-ES_tradnl" w:eastAsia="es-ES"/>
        </w:rPr>
        <w:t xml:space="preserve"> DE </w:t>
      </w:r>
      <w:r w:rsidR="00A14EA3" w:rsidRPr="008943FC">
        <w:rPr>
          <w:rFonts w:ascii="Arial" w:eastAsia="Times New Roman" w:hAnsi="Arial" w:cs="Arial"/>
          <w:b/>
          <w:snapToGrid w:val="0"/>
          <w:color w:val="000000"/>
          <w:spacing w:val="20"/>
          <w:sz w:val="28"/>
          <w:szCs w:val="28"/>
          <w:lang w:val="es-ES_tradnl" w:eastAsia="es-ES"/>
        </w:rPr>
        <w:t>202</w:t>
      </w:r>
      <w:r w:rsidR="00D40653">
        <w:rPr>
          <w:rFonts w:ascii="Arial" w:eastAsia="Times New Roman" w:hAnsi="Arial" w:cs="Arial"/>
          <w:b/>
          <w:snapToGrid w:val="0"/>
          <w:color w:val="000000"/>
          <w:spacing w:val="20"/>
          <w:sz w:val="28"/>
          <w:szCs w:val="28"/>
          <w:lang w:val="es-ES_tradnl" w:eastAsia="es-ES"/>
        </w:rPr>
        <w:t>4</w:t>
      </w:r>
    </w:p>
    <w:p w14:paraId="0D8BEAF1" w14:textId="19EAAD2C" w:rsidR="005C1BCA" w:rsidRPr="008943FC" w:rsidRDefault="005C1BCA" w:rsidP="00986A80">
      <w:pPr>
        <w:keepNext/>
        <w:tabs>
          <w:tab w:val="left" w:pos="0"/>
          <w:tab w:val="right" w:pos="9356"/>
        </w:tabs>
        <w:spacing w:after="0" w:line="360" w:lineRule="auto"/>
        <w:contextualSpacing/>
        <w:jc w:val="center"/>
        <w:outlineLvl w:val="2"/>
        <w:rPr>
          <w:rFonts w:ascii="Arial" w:eastAsia="Times New Roman" w:hAnsi="Arial" w:cs="Arial"/>
          <w:snapToGrid w:val="0"/>
          <w:color w:val="000000"/>
          <w:sz w:val="24"/>
          <w:szCs w:val="24"/>
          <w:lang w:val="es-ES_tradnl" w:eastAsia="es-ES"/>
        </w:rPr>
      </w:pPr>
      <w:r w:rsidRPr="008943FC">
        <w:rPr>
          <w:rFonts w:ascii="Arial" w:eastAsia="Times New Roman" w:hAnsi="Arial" w:cs="Arial"/>
          <w:snapToGrid w:val="0"/>
          <w:color w:val="000000"/>
          <w:sz w:val="24"/>
          <w:szCs w:val="24"/>
          <w:lang w:val="es-ES_tradnl" w:eastAsia="es-ES"/>
        </w:rPr>
        <w:t>(</w:t>
      </w:r>
      <w:r w:rsidR="00766EA4">
        <w:rPr>
          <w:rFonts w:ascii="Arial" w:eastAsia="Times New Roman" w:hAnsi="Arial" w:cs="Arial"/>
          <w:b/>
          <w:bCs/>
          <w:snapToGrid w:val="0"/>
          <w:color w:val="000000"/>
          <w:sz w:val="24"/>
          <w:szCs w:val="24"/>
          <w:lang w:val="es-ES_tradnl" w:eastAsia="es-ES"/>
        </w:rPr>
        <w:t>30 ENE. 2024</w:t>
      </w:r>
      <w:r w:rsidRPr="008943FC">
        <w:rPr>
          <w:rFonts w:ascii="Arial" w:eastAsia="Times New Roman" w:hAnsi="Arial" w:cs="Arial"/>
          <w:snapToGrid w:val="0"/>
          <w:color w:val="000000"/>
          <w:sz w:val="24"/>
          <w:szCs w:val="24"/>
          <w:lang w:val="es-ES_tradnl" w:eastAsia="es-ES"/>
        </w:rPr>
        <w:t>)</w:t>
      </w:r>
    </w:p>
    <w:p w14:paraId="4BC0D7AC" w14:textId="77777777" w:rsidR="005C1BCA" w:rsidRPr="008943FC" w:rsidRDefault="005C1BCA" w:rsidP="00986A80">
      <w:pPr>
        <w:spacing w:after="0" w:line="360" w:lineRule="auto"/>
        <w:contextualSpacing/>
        <w:rPr>
          <w:rFonts w:ascii="Arial" w:eastAsia="Times New Roman" w:hAnsi="Arial" w:cs="Arial"/>
          <w:sz w:val="24"/>
          <w:szCs w:val="24"/>
          <w:lang w:eastAsia="es-ES"/>
        </w:rPr>
      </w:pPr>
    </w:p>
    <w:p w14:paraId="764D0D97" w14:textId="684AB723" w:rsidR="005C1BCA" w:rsidRPr="008943FC" w:rsidRDefault="005C1BCA" w:rsidP="00986A80">
      <w:pPr>
        <w:spacing w:after="0" w:line="360" w:lineRule="auto"/>
        <w:contextualSpacing/>
        <w:jc w:val="center"/>
        <w:rPr>
          <w:rFonts w:ascii="Arial" w:eastAsia="Times New Roman" w:hAnsi="Arial" w:cs="Arial"/>
          <w:sz w:val="24"/>
          <w:szCs w:val="24"/>
          <w:lang w:val="es-ES" w:eastAsia="es-ES"/>
        </w:rPr>
      </w:pPr>
      <w:r w:rsidRPr="008943FC">
        <w:rPr>
          <w:rFonts w:ascii="Arial" w:eastAsia="Times New Roman" w:hAnsi="Arial" w:cs="Arial"/>
          <w:sz w:val="24"/>
          <w:szCs w:val="24"/>
          <w:lang w:val="es-ES" w:eastAsia="es-ES"/>
        </w:rPr>
        <w:t xml:space="preserve">Por la cual se </w:t>
      </w:r>
      <w:r w:rsidR="00DE5DBA" w:rsidRPr="008943FC">
        <w:rPr>
          <w:rFonts w:ascii="Arial" w:eastAsia="Times New Roman" w:hAnsi="Arial" w:cs="Arial"/>
          <w:sz w:val="24"/>
          <w:szCs w:val="24"/>
          <w:lang w:val="es-ES" w:eastAsia="es-ES"/>
        </w:rPr>
        <w:t>define</w:t>
      </w:r>
      <w:r w:rsidRPr="008943FC">
        <w:rPr>
          <w:rFonts w:ascii="Arial" w:eastAsia="Times New Roman" w:hAnsi="Arial" w:cs="Arial"/>
          <w:sz w:val="24"/>
          <w:szCs w:val="24"/>
          <w:lang w:val="es-ES" w:eastAsia="es-ES"/>
        </w:rPr>
        <w:t xml:space="preserve"> la capacidad de compra</w:t>
      </w:r>
      <w:r w:rsidR="00DE5DBA" w:rsidRPr="008943FC">
        <w:rPr>
          <w:rFonts w:ascii="Arial" w:eastAsia="Times New Roman" w:hAnsi="Arial" w:cs="Arial"/>
          <w:sz w:val="24"/>
          <w:szCs w:val="24"/>
          <w:lang w:val="es-ES" w:eastAsia="es-ES"/>
        </w:rPr>
        <w:t xml:space="preserve"> </w:t>
      </w:r>
      <w:r w:rsidRPr="008943FC">
        <w:rPr>
          <w:rFonts w:ascii="Arial" w:eastAsia="Times New Roman" w:hAnsi="Arial" w:cs="Arial"/>
          <w:sz w:val="24"/>
          <w:szCs w:val="24"/>
          <w:lang w:val="es-ES" w:eastAsia="es-ES"/>
        </w:rPr>
        <w:t>a que hace</w:t>
      </w:r>
      <w:r w:rsidR="00D21ABE" w:rsidRPr="008943FC">
        <w:rPr>
          <w:rFonts w:ascii="Arial" w:eastAsia="Times New Roman" w:hAnsi="Arial" w:cs="Arial"/>
          <w:sz w:val="24"/>
          <w:szCs w:val="24"/>
          <w:lang w:val="es-ES" w:eastAsia="es-ES"/>
        </w:rPr>
        <w:t>n</w:t>
      </w:r>
      <w:r w:rsidRPr="008943FC">
        <w:rPr>
          <w:rFonts w:ascii="Arial" w:eastAsia="Times New Roman" w:hAnsi="Arial" w:cs="Arial"/>
          <w:sz w:val="24"/>
          <w:szCs w:val="24"/>
          <w:lang w:val="es-ES" w:eastAsia="es-ES"/>
        </w:rPr>
        <w:t xml:space="preserve"> referen</w:t>
      </w:r>
      <w:r w:rsidR="0089512B" w:rsidRPr="008943FC">
        <w:rPr>
          <w:rFonts w:ascii="Arial" w:eastAsia="Times New Roman" w:hAnsi="Arial" w:cs="Arial"/>
          <w:sz w:val="24"/>
          <w:szCs w:val="24"/>
          <w:lang w:val="es-ES" w:eastAsia="es-ES"/>
        </w:rPr>
        <w:t>cia los</w:t>
      </w:r>
      <w:r w:rsidRPr="008943FC">
        <w:rPr>
          <w:rFonts w:ascii="Arial" w:eastAsia="Times New Roman" w:hAnsi="Arial" w:cs="Arial"/>
          <w:sz w:val="24"/>
          <w:szCs w:val="24"/>
          <w:lang w:val="es-ES" w:eastAsia="es-ES"/>
        </w:rPr>
        <w:t xml:space="preserve"> artículo</w:t>
      </w:r>
      <w:r w:rsidR="0089512B" w:rsidRPr="008943FC">
        <w:rPr>
          <w:rFonts w:ascii="Arial" w:eastAsia="Times New Roman" w:hAnsi="Arial" w:cs="Arial"/>
          <w:sz w:val="24"/>
          <w:szCs w:val="24"/>
          <w:lang w:val="es-ES" w:eastAsia="es-ES"/>
        </w:rPr>
        <w:t>s 8 y</w:t>
      </w:r>
      <w:r w:rsidRPr="008943FC">
        <w:rPr>
          <w:rFonts w:ascii="Arial" w:eastAsia="Times New Roman" w:hAnsi="Arial" w:cs="Arial"/>
          <w:sz w:val="24"/>
          <w:szCs w:val="24"/>
          <w:lang w:val="es-ES" w:eastAsia="es-ES"/>
        </w:rPr>
        <w:t xml:space="preserve"> 9 de la Resolución CREG </w:t>
      </w:r>
      <w:r w:rsidR="00351A5E" w:rsidRPr="008943FC">
        <w:rPr>
          <w:rFonts w:ascii="Arial" w:eastAsia="Times New Roman" w:hAnsi="Arial" w:cs="Arial"/>
          <w:sz w:val="24"/>
          <w:szCs w:val="24"/>
          <w:lang w:val="es-ES" w:eastAsia="es-ES"/>
        </w:rPr>
        <w:t>063</w:t>
      </w:r>
      <w:r w:rsidR="00CD74B5" w:rsidRPr="008943FC">
        <w:rPr>
          <w:rFonts w:ascii="Arial" w:eastAsia="Times New Roman" w:hAnsi="Arial" w:cs="Arial"/>
          <w:sz w:val="24"/>
          <w:szCs w:val="24"/>
          <w:lang w:val="es-ES" w:eastAsia="es-ES"/>
        </w:rPr>
        <w:t xml:space="preserve"> de 2016 </w:t>
      </w:r>
      <w:r w:rsidR="00E813A2" w:rsidRPr="008943FC">
        <w:rPr>
          <w:rFonts w:ascii="Arial" w:eastAsia="Times New Roman" w:hAnsi="Arial" w:cs="Arial"/>
          <w:sz w:val="24"/>
          <w:szCs w:val="24"/>
          <w:lang w:val="es-ES" w:eastAsia="es-ES"/>
        </w:rPr>
        <w:t xml:space="preserve">para el décimo </w:t>
      </w:r>
      <w:r w:rsidR="00D40653">
        <w:rPr>
          <w:rFonts w:ascii="Arial" w:eastAsia="Times New Roman" w:hAnsi="Arial" w:cs="Arial"/>
          <w:sz w:val="24"/>
          <w:szCs w:val="24"/>
          <w:lang w:val="es-ES" w:eastAsia="es-ES"/>
        </w:rPr>
        <w:t>sex</w:t>
      </w:r>
      <w:r w:rsidR="00E813A2" w:rsidRPr="008943FC">
        <w:rPr>
          <w:rFonts w:ascii="Arial" w:eastAsia="Times New Roman" w:hAnsi="Arial" w:cs="Arial"/>
          <w:sz w:val="24"/>
          <w:szCs w:val="24"/>
          <w:lang w:val="es-ES" w:eastAsia="es-ES"/>
        </w:rPr>
        <w:t>to período de compra.</w:t>
      </w:r>
    </w:p>
    <w:p w14:paraId="34FC9171" w14:textId="77777777" w:rsidR="00CD74B5" w:rsidRPr="008943FC" w:rsidRDefault="00CD74B5" w:rsidP="00766EA4">
      <w:pPr>
        <w:spacing w:after="0" w:line="360" w:lineRule="auto"/>
        <w:contextualSpacing/>
        <w:rPr>
          <w:rFonts w:ascii="Arial" w:eastAsia="Times New Roman" w:hAnsi="Arial" w:cs="Arial"/>
          <w:sz w:val="24"/>
          <w:szCs w:val="24"/>
          <w:lang w:val="es-ES" w:eastAsia="es-ES"/>
        </w:rPr>
      </w:pPr>
    </w:p>
    <w:p w14:paraId="58646A6D" w14:textId="77777777" w:rsidR="005C1BCA" w:rsidRPr="008943FC" w:rsidRDefault="005C1BCA" w:rsidP="00986A80">
      <w:pPr>
        <w:spacing w:after="0" w:line="360" w:lineRule="auto"/>
        <w:ind w:left="567" w:right="51"/>
        <w:contextualSpacing/>
        <w:jc w:val="center"/>
        <w:rPr>
          <w:rFonts w:ascii="Arial" w:eastAsia="Times New Roman" w:hAnsi="Arial" w:cs="Arial"/>
          <w:b/>
          <w:sz w:val="24"/>
          <w:szCs w:val="24"/>
          <w:lang w:val="es-ES" w:eastAsia="es-ES"/>
        </w:rPr>
      </w:pPr>
      <w:r w:rsidRPr="008943FC">
        <w:rPr>
          <w:rFonts w:ascii="Arial" w:eastAsia="Times New Roman" w:hAnsi="Arial" w:cs="Arial"/>
          <w:b/>
          <w:sz w:val="24"/>
          <w:szCs w:val="24"/>
          <w:lang w:val="es-ES" w:eastAsia="es-ES"/>
        </w:rPr>
        <w:t>LA COMISIÓN DE REGULACIÓN DE ENERGÍA Y GAS</w:t>
      </w:r>
    </w:p>
    <w:p w14:paraId="68C5279E" w14:textId="77777777" w:rsidR="005C1BCA" w:rsidRPr="008943FC" w:rsidRDefault="005C1BCA" w:rsidP="007E5087">
      <w:pPr>
        <w:spacing w:after="0" w:line="360" w:lineRule="auto"/>
        <w:contextualSpacing/>
        <w:jc w:val="center"/>
        <w:rPr>
          <w:rFonts w:ascii="Arial" w:eastAsia="Times New Roman" w:hAnsi="Arial" w:cs="Arial"/>
          <w:sz w:val="24"/>
          <w:szCs w:val="24"/>
          <w:lang w:val="es-ES" w:eastAsia="es-ES"/>
        </w:rPr>
      </w:pPr>
    </w:p>
    <w:p w14:paraId="6E8DBA07" w14:textId="74510F46" w:rsidR="005C1BCA" w:rsidRPr="008943FC" w:rsidRDefault="005C1BCA" w:rsidP="00986A80">
      <w:pPr>
        <w:spacing w:after="0" w:line="360" w:lineRule="auto"/>
        <w:contextualSpacing/>
        <w:jc w:val="center"/>
        <w:rPr>
          <w:rFonts w:ascii="Arial" w:eastAsia="Times New Roman" w:hAnsi="Arial" w:cs="Arial"/>
          <w:color w:val="000000"/>
          <w:sz w:val="24"/>
          <w:szCs w:val="24"/>
          <w:lang w:val="es-ES" w:eastAsia="es-ES"/>
        </w:rPr>
      </w:pPr>
      <w:r w:rsidRPr="008943FC">
        <w:rPr>
          <w:rFonts w:ascii="Arial" w:eastAsia="Times New Roman" w:hAnsi="Arial" w:cs="Arial"/>
          <w:color w:val="000000"/>
          <w:sz w:val="24"/>
          <w:szCs w:val="24"/>
          <w:lang w:val="es-ES" w:eastAsia="es-ES"/>
        </w:rPr>
        <w:t>En ejercicio de las atribuciones constitucionales y legales, en especial las confer</w:t>
      </w:r>
      <w:r w:rsidR="00DE5054" w:rsidRPr="008943FC">
        <w:rPr>
          <w:rFonts w:ascii="Arial" w:eastAsia="Times New Roman" w:hAnsi="Arial" w:cs="Arial"/>
          <w:color w:val="000000"/>
          <w:sz w:val="24"/>
          <w:szCs w:val="24"/>
          <w:lang w:val="es-ES" w:eastAsia="es-ES"/>
        </w:rPr>
        <w:t>idas por las leyes 142 de 1994,</w:t>
      </w:r>
      <w:r w:rsidRPr="008943FC">
        <w:rPr>
          <w:rFonts w:ascii="Arial" w:eastAsia="Times New Roman" w:hAnsi="Arial" w:cs="Arial"/>
          <w:color w:val="000000"/>
          <w:sz w:val="24"/>
          <w:szCs w:val="24"/>
          <w:lang w:val="es-ES" w:eastAsia="es-ES"/>
        </w:rPr>
        <w:t xml:space="preserve"> 1151 de 2007,</w:t>
      </w:r>
      <w:r w:rsidR="00DE5054" w:rsidRPr="008943FC">
        <w:rPr>
          <w:rFonts w:ascii="Arial" w:eastAsia="Times New Roman" w:hAnsi="Arial" w:cs="Arial"/>
          <w:color w:val="000000"/>
          <w:sz w:val="24"/>
          <w:szCs w:val="24"/>
          <w:lang w:val="es-ES" w:eastAsia="es-ES"/>
        </w:rPr>
        <w:t xml:space="preserve"> 1437 de 2011</w:t>
      </w:r>
      <w:r w:rsidRPr="008943FC">
        <w:rPr>
          <w:rFonts w:ascii="Arial" w:eastAsia="Times New Roman" w:hAnsi="Arial" w:cs="Arial"/>
          <w:color w:val="000000"/>
          <w:sz w:val="24"/>
          <w:szCs w:val="24"/>
          <w:lang w:val="es-ES" w:eastAsia="es-ES"/>
        </w:rPr>
        <w:t xml:space="preserve"> y en desarrollo de los Decretos </w:t>
      </w:r>
      <w:r w:rsidR="0055674D" w:rsidRPr="008943FC">
        <w:rPr>
          <w:rFonts w:ascii="Arial" w:eastAsia="Times New Roman" w:hAnsi="Arial" w:cs="Arial"/>
          <w:color w:val="000000"/>
          <w:sz w:val="24"/>
          <w:szCs w:val="24"/>
          <w:lang w:val="es-ES" w:eastAsia="es-ES"/>
        </w:rPr>
        <w:t>1524</w:t>
      </w:r>
      <w:r w:rsidRPr="008943FC">
        <w:rPr>
          <w:rFonts w:ascii="Arial" w:eastAsia="Times New Roman" w:hAnsi="Arial" w:cs="Arial"/>
          <w:color w:val="000000"/>
          <w:sz w:val="24"/>
          <w:szCs w:val="24"/>
          <w:lang w:val="es-ES" w:eastAsia="es-ES"/>
        </w:rPr>
        <w:t xml:space="preserve"> y 2253 de 1994</w:t>
      </w:r>
      <w:r w:rsidR="009C5EF2" w:rsidRPr="008943FC">
        <w:rPr>
          <w:rFonts w:ascii="Arial" w:eastAsia="Times New Roman" w:hAnsi="Arial" w:cs="Arial"/>
          <w:color w:val="000000"/>
          <w:sz w:val="24"/>
          <w:szCs w:val="24"/>
          <w:lang w:val="es-ES" w:eastAsia="es-ES"/>
        </w:rPr>
        <w:t>,</w:t>
      </w:r>
      <w:r w:rsidRPr="008943FC">
        <w:rPr>
          <w:rFonts w:ascii="Arial" w:eastAsia="Times New Roman" w:hAnsi="Arial" w:cs="Arial"/>
          <w:color w:val="000000"/>
          <w:sz w:val="24"/>
          <w:szCs w:val="24"/>
          <w:lang w:val="es-ES" w:eastAsia="es-ES"/>
        </w:rPr>
        <w:t xml:space="preserve"> y 1260 de 2013 y,</w:t>
      </w:r>
    </w:p>
    <w:p w14:paraId="4E269262" w14:textId="77777777" w:rsidR="005C1BCA" w:rsidRPr="008943FC" w:rsidRDefault="005C1BCA" w:rsidP="00986A80">
      <w:pPr>
        <w:spacing w:after="0" w:line="360" w:lineRule="auto"/>
        <w:ind w:right="51"/>
        <w:contextualSpacing/>
        <w:jc w:val="center"/>
        <w:rPr>
          <w:rFonts w:ascii="Arial" w:eastAsia="Times New Roman" w:hAnsi="Arial" w:cs="Arial"/>
          <w:spacing w:val="-3"/>
          <w:sz w:val="24"/>
          <w:szCs w:val="24"/>
          <w:lang w:val="es-ES" w:eastAsia="es-ES"/>
        </w:rPr>
      </w:pPr>
    </w:p>
    <w:p w14:paraId="38CA8C8C" w14:textId="77777777" w:rsidR="005C1BCA" w:rsidRPr="008943FC" w:rsidRDefault="005C1BCA" w:rsidP="007E5087">
      <w:pPr>
        <w:spacing w:after="0" w:line="360" w:lineRule="auto"/>
        <w:contextualSpacing/>
        <w:jc w:val="center"/>
        <w:rPr>
          <w:rFonts w:ascii="Arial" w:eastAsia="Times New Roman" w:hAnsi="Arial" w:cs="Arial"/>
          <w:color w:val="000000"/>
          <w:sz w:val="24"/>
          <w:szCs w:val="24"/>
          <w:lang w:val="es-ES" w:eastAsia="es-ES"/>
        </w:rPr>
      </w:pPr>
    </w:p>
    <w:p w14:paraId="4D7EB39F" w14:textId="77777777" w:rsidR="005C1BCA" w:rsidRPr="008943FC" w:rsidRDefault="005C1BCA" w:rsidP="00986A80">
      <w:pPr>
        <w:spacing w:after="0" w:line="360" w:lineRule="auto"/>
        <w:contextualSpacing/>
        <w:jc w:val="center"/>
        <w:rPr>
          <w:rFonts w:ascii="Arial" w:eastAsia="Times New Roman" w:hAnsi="Arial" w:cs="Arial"/>
          <w:b/>
          <w:color w:val="000000"/>
          <w:sz w:val="24"/>
          <w:szCs w:val="24"/>
          <w:lang w:val="it-IT" w:eastAsia="es-ES"/>
        </w:rPr>
      </w:pPr>
      <w:r w:rsidRPr="008943FC">
        <w:rPr>
          <w:rFonts w:ascii="Arial" w:eastAsia="Times New Roman" w:hAnsi="Arial" w:cs="Arial"/>
          <w:b/>
          <w:color w:val="000000"/>
          <w:sz w:val="24"/>
          <w:szCs w:val="24"/>
          <w:lang w:val="it-IT" w:eastAsia="es-ES"/>
        </w:rPr>
        <w:t>C O N S I D E R A N D O  Q U E:</w:t>
      </w:r>
    </w:p>
    <w:p w14:paraId="10BDAFA9" w14:textId="77777777" w:rsidR="005C1BCA" w:rsidRPr="008943FC" w:rsidRDefault="005C1BCA" w:rsidP="007E5087">
      <w:pPr>
        <w:spacing w:after="0" w:line="360" w:lineRule="auto"/>
        <w:ind w:right="51"/>
        <w:contextualSpacing/>
        <w:jc w:val="center"/>
        <w:rPr>
          <w:rFonts w:ascii="Arial" w:eastAsia="Times New Roman" w:hAnsi="Arial" w:cs="Arial"/>
          <w:sz w:val="24"/>
          <w:szCs w:val="24"/>
          <w:lang w:val="it-IT" w:eastAsia="es-ES"/>
        </w:rPr>
      </w:pPr>
    </w:p>
    <w:p w14:paraId="58089227" w14:textId="08D24768" w:rsidR="00DE5054" w:rsidRPr="008943FC" w:rsidRDefault="00DE5054" w:rsidP="00986A80">
      <w:pPr>
        <w:spacing w:after="0" w:line="360" w:lineRule="auto"/>
        <w:jc w:val="both"/>
        <w:rPr>
          <w:rFonts w:ascii="Arial" w:eastAsia="Times New Roman" w:hAnsi="Arial" w:cs="Arial"/>
          <w:spacing w:val="-5"/>
          <w:sz w:val="24"/>
          <w:szCs w:val="24"/>
        </w:rPr>
      </w:pPr>
      <w:r w:rsidRPr="008943FC">
        <w:rPr>
          <w:rFonts w:ascii="Arial" w:eastAsia="Times New Roman" w:hAnsi="Arial" w:cs="Arial"/>
          <w:spacing w:val="-5"/>
          <w:sz w:val="24"/>
          <w:szCs w:val="24"/>
        </w:rPr>
        <w:t>En ejercicio de sus facultades regulatorias previstas</w:t>
      </w:r>
      <w:r w:rsidR="009C5EF2" w:rsidRPr="008943FC">
        <w:rPr>
          <w:rFonts w:ascii="Arial" w:eastAsia="Times New Roman" w:hAnsi="Arial" w:cs="Arial"/>
          <w:spacing w:val="-5"/>
          <w:sz w:val="24"/>
          <w:szCs w:val="24"/>
        </w:rPr>
        <w:t>,</w:t>
      </w:r>
      <w:r w:rsidRPr="008943FC">
        <w:rPr>
          <w:rFonts w:ascii="Arial" w:eastAsia="Times New Roman" w:hAnsi="Arial" w:cs="Arial"/>
          <w:spacing w:val="-5"/>
          <w:sz w:val="24"/>
          <w:szCs w:val="24"/>
        </w:rPr>
        <w:t xml:space="preserve"> entre otras</w:t>
      </w:r>
      <w:r w:rsidR="009C5EF2" w:rsidRPr="008943FC">
        <w:rPr>
          <w:rFonts w:ascii="Arial" w:eastAsia="Times New Roman" w:hAnsi="Arial" w:cs="Arial"/>
          <w:spacing w:val="-5"/>
          <w:sz w:val="24"/>
          <w:szCs w:val="24"/>
        </w:rPr>
        <w:t>,</w:t>
      </w:r>
      <w:r w:rsidRPr="008943FC">
        <w:rPr>
          <w:rFonts w:ascii="Arial" w:eastAsia="Times New Roman" w:hAnsi="Arial" w:cs="Arial"/>
          <w:spacing w:val="-5"/>
          <w:sz w:val="24"/>
          <w:szCs w:val="24"/>
        </w:rPr>
        <w:t xml:space="preserve"> en la Ley 142 de 1994 y en el artículo 62 de la Ley 1151 de 2007</w:t>
      </w:r>
      <w:r w:rsidRPr="008943FC">
        <w:rPr>
          <w:rFonts w:ascii="Arial" w:eastAsia="Times New Roman" w:hAnsi="Arial" w:cs="Arial"/>
          <w:spacing w:val="-5"/>
          <w:sz w:val="24"/>
          <w:szCs w:val="24"/>
          <w:vertAlign w:val="superscript"/>
        </w:rPr>
        <w:footnoteReference w:id="2"/>
      </w:r>
      <w:r w:rsidRPr="008943FC">
        <w:rPr>
          <w:rFonts w:ascii="Arial" w:eastAsia="Times New Roman" w:hAnsi="Arial" w:cs="Arial"/>
          <w:spacing w:val="-5"/>
          <w:sz w:val="24"/>
          <w:szCs w:val="24"/>
        </w:rPr>
        <w:t>, la Comisión de Regulación de Energía y Gas</w:t>
      </w:r>
      <w:r w:rsidR="009C5EF2" w:rsidRPr="008943FC">
        <w:rPr>
          <w:rFonts w:ascii="Arial" w:eastAsia="Times New Roman" w:hAnsi="Arial" w:cs="Arial"/>
          <w:spacing w:val="-5"/>
          <w:sz w:val="24"/>
          <w:szCs w:val="24"/>
        </w:rPr>
        <w:t>,</w:t>
      </w:r>
      <w:r w:rsidRPr="008943FC">
        <w:rPr>
          <w:rFonts w:ascii="Arial" w:eastAsia="Times New Roman" w:hAnsi="Arial" w:cs="Arial"/>
          <w:spacing w:val="-5"/>
          <w:sz w:val="24"/>
          <w:szCs w:val="24"/>
        </w:rPr>
        <w:t xml:space="preserve"> CREG, en adelante la Comisión, expidió la Resolución CREG 063 de 2016 “</w:t>
      </w:r>
      <w:r w:rsidRPr="008943FC">
        <w:rPr>
          <w:rFonts w:ascii="Arial" w:eastAsia="Times New Roman" w:hAnsi="Arial" w:cs="Arial"/>
          <w:i/>
          <w:spacing w:val="-5"/>
          <w:sz w:val="24"/>
          <w:szCs w:val="24"/>
        </w:rPr>
        <w:t>Por la cual se establecen parámetros de conducta y la participación de los agentes dentro de las actividades de comercialización mayorista y distribución de GLP</w:t>
      </w:r>
      <w:r w:rsidRPr="008943FC">
        <w:rPr>
          <w:rFonts w:ascii="Arial" w:eastAsia="Times New Roman" w:hAnsi="Arial" w:cs="Arial"/>
          <w:spacing w:val="-5"/>
          <w:sz w:val="24"/>
          <w:szCs w:val="24"/>
        </w:rPr>
        <w:t xml:space="preserve">”. </w:t>
      </w:r>
    </w:p>
    <w:p w14:paraId="183B653A" w14:textId="7E1157AD" w:rsidR="00DE5054" w:rsidRPr="008943FC" w:rsidRDefault="00DE5054" w:rsidP="00986A80">
      <w:pPr>
        <w:spacing w:after="0" w:line="360" w:lineRule="auto"/>
        <w:jc w:val="both"/>
        <w:rPr>
          <w:rFonts w:ascii="Arial" w:eastAsia="Times New Roman" w:hAnsi="Arial" w:cs="Arial"/>
          <w:spacing w:val="-5"/>
          <w:sz w:val="24"/>
          <w:szCs w:val="24"/>
        </w:rPr>
      </w:pPr>
      <w:r w:rsidRPr="008943FC">
        <w:rPr>
          <w:rFonts w:ascii="Arial" w:eastAsia="Times New Roman" w:hAnsi="Arial" w:cs="Arial"/>
          <w:spacing w:val="-5"/>
          <w:sz w:val="24"/>
          <w:szCs w:val="24"/>
        </w:rPr>
        <w:t xml:space="preserve">En dicho acto administrativo, así como en su documento soporte, se encuentran consignadas las motivaciones, los análisis técnicos, económicos y jurídicos que sustentan la expedición de las medidas regulatorias que allí se consignan dentro de las actividades de comercialización mayorista y distribución de GLP, en relación con los parámetros de conducta y participación de los agentes de estas actividades, a fin de evitar que se presenten eventos que afecten el marco regulatorio y la forma como se debe realizar la prestación del servicio público domiciliario de GLP, reforzando la operatividad del esquema de </w:t>
      </w:r>
      <w:r w:rsidRPr="008943FC">
        <w:rPr>
          <w:rFonts w:ascii="Arial" w:eastAsia="Times New Roman" w:hAnsi="Arial" w:cs="Arial"/>
          <w:spacing w:val="-5"/>
          <w:sz w:val="24"/>
          <w:szCs w:val="24"/>
        </w:rPr>
        <w:lastRenderedPageBreak/>
        <w:t>responsabilidad de marca en cilindros, propiedad de los distribuidores, ordenado por la Ley 1151 de 2007.</w:t>
      </w:r>
    </w:p>
    <w:p w14:paraId="39A73012" w14:textId="77777777" w:rsidR="00DE5054" w:rsidRPr="008943FC" w:rsidRDefault="00DE5054" w:rsidP="00986A80">
      <w:pPr>
        <w:spacing w:after="0" w:line="360" w:lineRule="auto"/>
        <w:jc w:val="both"/>
        <w:rPr>
          <w:rFonts w:ascii="Arial" w:eastAsia="Times New Roman" w:hAnsi="Arial" w:cs="Arial"/>
          <w:spacing w:val="-5"/>
          <w:sz w:val="24"/>
          <w:szCs w:val="24"/>
        </w:rPr>
      </w:pPr>
    </w:p>
    <w:p w14:paraId="5DEBFFC0" w14:textId="5CEC29DD" w:rsidR="00DE5054" w:rsidRPr="008943FC" w:rsidRDefault="00DE5054" w:rsidP="00986A80">
      <w:pPr>
        <w:spacing w:after="0" w:line="360" w:lineRule="auto"/>
        <w:jc w:val="both"/>
        <w:rPr>
          <w:rFonts w:ascii="Arial" w:eastAsia="Times New Roman" w:hAnsi="Arial" w:cs="Arial"/>
          <w:spacing w:val="-5"/>
          <w:sz w:val="24"/>
          <w:szCs w:val="24"/>
        </w:rPr>
      </w:pPr>
      <w:r w:rsidRPr="008943FC">
        <w:rPr>
          <w:rFonts w:ascii="Arial" w:eastAsia="Times New Roman" w:hAnsi="Arial" w:cs="Arial"/>
          <w:spacing w:val="-5"/>
          <w:sz w:val="24"/>
          <w:szCs w:val="24"/>
        </w:rPr>
        <w:t xml:space="preserve">Dentro de </w:t>
      </w:r>
      <w:r w:rsidR="0016112F" w:rsidRPr="008943FC">
        <w:rPr>
          <w:rFonts w:ascii="Arial" w:eastAsia="Times New Roman" w:hAnsi="Arial" w:cs="Arial"/>
          <w:spacing w:val="-5"/>
          <w:sz w:val="24"/>
          <w:szCs w:val="24"/>
        </w:rPr>
        <w:t>la Resolución CREG</w:t>
      </w:r>
      <w:r w:rsidR="00CE4E4B" w:rsidRPr="008943FC">
        <w:rPr>
          <w:rFonts w:ascii="Arial" w:eastAsia="Times New Roman" w:hAnsi="Arial" w:cs="Arial"/>
          <w:spacing w:val="-5"/>
          <w:sz w:val="24"/>
          <w:szCs w:val="24"/>
        </w:rPr>
        <w:t xml:space="preserve"> 063 de 2016</w:t>
      </w:r>
      <w:r w:rsidRPr="008943FC">
        <w:rPr>
          <w:rFonts w:ascii="Arial" w:eastAsia="Times New Roman" w:hAnsi="Arial" w:cs="Arial"/>
          <w:spacing w:val="-5"/>
          <w:sz w:val="24"/>
          <w:szCs w:val="24"/>
        </w:rPr>
        <w:t xml:space="preserve"> se dispuso la existencia de una “capacidad de compra” determinada por esta Comisión de acuerdo con lo previsto en el artículo 8 de dicha norma, atendiendo la capacidad de envase en kilogramos registrado de acuerdo con la información reportada en el Sistema Único de Información</w:t>
      </w:r>
      <w:r w:rsidR="009C5EF2" w:rsidRPr="008943FC">
        <w:rPr>
          <w:rFonts w:ascii="Arial" w:eastAsia="Times New Roman" w:hAnsi="Arial" w:cs="Arial"/>
          <w:spacing w:val="-5"/>
          <w:sz w:val="24"/>
          <w:szCs w:val="24"/>
        </w:rPr>
        <w:t>,</w:t>
      </w:r>
      <w:r w:rsidRPr="008943FC">
        <w:rPr>
          <w:rFonts w:ascii="Arial" w:eastAsia="Times New Roman" w:hAnsi="Arial" w:cs="Arial"/>
          <w:spacing w:val="-5"/>
          <w:sz w:val="24"/>
          <w:szCs w:val="24"/>
        </w:rPr>
        <w:t xml:space="preserve"> SUI. En relación con lo anterior, el artículo 8 de la</w:t>
      </w:r>
      <w:r w:rsidR="00A173A7" w:rsidRPr="008943FC">
        <w:rPr>
          <w:rFonts w:ascii="Arial" w:eastAsia="Times New Roman" w:hAnsi="Arial" w:cs="Arial"/>
          <w:spacing w:val="-5"/>
          <w:sz w:val="24"/>
          <w:szCs w:val="24"/>
        </w:rPr>
        <w:t xml:space="preserve"> precitada resolución</w:t>
      </w:r>
      <w:r w:rsidR="007F3B34" w:rsidRPr="008943FC">
        <w:rPr>
          <w:rFonts w:ascii="Arial" w:hAnsi="Arial" w:cs="Arial"/>
          <w:sz w:val="24"/>
          <w:szCs w:val="24"/>
        </w:rPr>
        <w:t xml:space="preserve"> </w:t>
      </w:r>
      <w:r w:rsidR="007F3B34" w:rsidRPr="008943FC">
        <w:rPr>
          <w:rFonts w:ascii="Arial" w:eastAsia="Times New Roman" w:hAnsi="Arial" w:cs="Arial"/>
          <w:spacing w:val="-5"/>
          <w:sz w:val="24"/>
          <w:szCs w:val="24"/>
        </w:rPr>
        <w:t>modificad</w:t>
      </w:r>
      <w:r w:rsidR="00A173A7" w:rsidRPr="008943FC">
        <w:rPr>
          <w:rFonts w:ascii="Arial" w:eastAsia="Times New Roman" w:hAnsi="Arial" w:cs="Arial"/>
          <w:spacing w:val="-5"/>
          <w:sz w:val="24"/>
          <w:szCs w:val="24"/>
        </w:rPr>
        <w:t>o</w:t>
      </w:r>
      <w:r w:rsidR="007F3B34" w:rsidRPr="008943FC">
        <w:rPr>
          <w:rFonts w:ascii="Arial" w:eastAsia="Times New Roman" w:hAnsi="Arial" w:cs="Arial"/>
          <w:spacing w:val="-5"/>
          <w:sz w:val="24"/>
          <w:szCs w:val="24"/>
        </w:rPr>
        <w:t xml:space="preserve"> por el artículo 1 de la Resolución CREG 180 de 2017, establece lo siguiente:</w:t>
      </w:r>
    </w:p>
    <w:p w14:paraId="41BF4117" w14:textId="77777777" w:rsidR="00C705A5" w:rsidRPr="008943FC" w:rsidRDefault="00C705A5" w:rsidP="00986A80">
      <w:pPr>
        <w:spacing w:after="0" w:line="360" w:lineRule="auto"/>
        <w:jc w:val="both"/>
        <w:rPr>
          <w:rFonts w:ascii="Arial" w:eastAsia="Times New Roman" w:hAnsi="Arial" w:cs="Arial"/>
          <w:spacing w:val="-5"/>
          <w:sz w:val="24"/>
          <w:szCs w:val="24"/>
        </w:rPr>
      </w:pPr>
    </w:p>
    <w:p w14:paraId="2D520A9F" w14:textId="77777777" w:rsidR="00DE5054" w:rsidRPr="008943FC" w:rsidRDefault="00DE5054" w:rsidP="00986A80">
      <w:pPr>
        <w:spacing w:after="0" w:line="360" w:lineRule="auto"/>
        <w:ind w:left="567" w:right="284"/>
        <w:jc w:val="both"/>
        <w:rPr>
          <w:rFonts w:ascii="Arial" w:eastAsia="Times New Roman" w:hAnsi="Arial" w:cs="Arial"/>
          <w:sz w:val="24"/>
          <w:szCs w:val="24"/>
          <w:lang w:val="es-ES" w:eastAsia="es-ES"/>
        </w:rPr>
      </w:pPr>
      <w:r w:rsidRPr="008943FC">
        <w:rPr>
          <w:rFonts w:ascii="Arial" w:eastAsia="Times New Roman" w:hAnsi="Arial" w:cs="Arial"/>
          <w:b/>
          <w:sz w:val="24"/>
          <w:szCs w:val="24"/>
          <w:lang w:val="es-ES" w:eastAsia="es-ES"/>
        </w:rPr>
        <w:t xml:space="preserve">“Artículo 8. Capacidad de compras. </w:t>
      </w:r>
      <w:r w:rsidRPr="008943FC">
        <w:rPr>
          <w:rFonts w:ascii="Arial" w:eastAsia="Times New Roman" w:hAnsi="Arial" w:cs="Arial"/>
          <w:sz w:val="24"/>
          <w:szCs w:val="24"/>
          <w:lang w:val="es-ES" w:eastAsia="es-ES"/>
        </w:rPr>
        <w:t>La capacidad disponible de compra de los distribuidores que adquieran GLP en el mercado mayorista se determinará así:</w:t>
      </w:r>
    </w:p>
    <w:p w14:paraId="3F6E3C7F" w14:textId="77777777" w:rsidR="00DE5054" w:rsidRPr="008943FC" w:rsidRDefault="00DE5054" w:rsidP="00986A80">
      <w:pPr>
        <w:spacing w:after="0" w:line="360" w:lineRule="auto"/>
        <w:ind w:left="567" w:right="284"/>
        <w:jc w:val="both"/>
        <w:rPr>
          <w:rFonts w:ascii="Arial" w:eastAsia="Times New Roman" w:hAnsi="Arial" w:cs="Arial"/>
          <w:sz w:val="24"/>
          <w:szCs w:val="24"/>
          <w:lang w:val="es-ES" w:eastAsia="es-ES"/>
        </w:rPr>
      </w:pPr>
    </w:p>
    <w:p w14:paraId="03139999" w14:textId="77777777" w:rsidR="00DE5054" w:rsidRPr="008943FC" w:rsidRDefault="00DE5054" w:rsidP="00986A80">
      <w:pPr>
        <w:spacing w:after="0" w:line="360" w:lineRule="auto"/>
        <w:ind w:left="1134" w:right="284"/>
        <w:rPr>
          <w:rFonts w:ascii="Arial" w:eastAsiaTheme="minorEastAsia" w:hAnsi="Arial" w:cs="Arial"/>
          <w:sz w:val="24"/>
          <w:szCs w:val="24"/>
          <w:lang w:val="es-ES" w:eastAsia="es-ES"/>
        </w:rPr>
      </w:pPr>
      <m:oMathPara>
        <m:oMath>
          <m:r>
            <w:rPr>
              <w:rFonts w:ascii="Cambria Math" w:eastAsia="Times New Roman" w:hAnsi="Cambria Math" w:cs="Arial"/>
              <w:sz w:val="24"/>
              <w:szCs w:val="24"/>
              <w:lang w:val="es-ES" w:eastAsia="es-ES"/>
            </w:rPr>
            <m:t>C</m:t>
          </m:r>
          <m:sSub>
            <m:sSubPr>
              <m:ctrlPr>
                <w:rPr>
                  <w:rFonts w:ascii="Cambria Math" w:eastAsia="Times New Roman" w:hAnsi="Cambria Math" w:cs="Arial"/>
                  <w:i/>
                  <w:sz w:val="24"/>
                  <w:szCs w:val="24"/>
                  <w:lang w:val="es-ES" w:eastAsia="es-ES"/>
                </w:rPr>
              </m:ctrlPr>
            </m:sSubPr>
            <m:e>
              <m:r>
                <w:rPr>
                  <w:rFonts w:ascii="Cambria Math" w:eastAsia="Times New Roman" w:hAnsi="Cambria Math" w:cs="Arial"/>
                  <w:sz w:val="24"/>
                  <w:szCs w:val="24"/>
                  <w:lang w:val="es-ES" w:eastAsia="es-ES"/>
                </w:rPr>
                <m:t>D</m:t>
              </m:r>
            </m:e>
            <m:sub>
              <m:r>
                <w:rPr>
                  <w:rFonts w:ascii="Cambria Math" w:eastAsia="Times New Roman" w:hAnsi="Cambria Math" w:cs="Arial"/>
                  <w:sz w:val="24"/>
                  <w:szCs w:val="24"/>
                  <w:lang w:val="es-ES" w:eastAsia="es-ES"/>
                </w:rPr>
                <m:t>i,t,m</m:t>
              </m:r>
            </m:sub>
          </m:sSub>
          <m:r>
            <w:rPr>
              <w:rFonts w:ascii="Cambria Math" w:eastAsia="Times New Roman" w:hAnsi="Cambria Math" w:cs="Arial"/>
              <w:sz w:val="24"/>
              <w:szCs w:val="24"/>
              <w:lang w:val="es-ES" w:eastAsia="es-ES"/>
            </w:rPr>
            <m:t>=</m:t>
          </m:r>
          <m:sSub>
            <m:sSubPr>
              <m:ctrlPr>
                <w:rPr>
                  <w:rFonts w:ascii="Cambria Math" w:eastAsia="Times New Roman" w:hAnsi="Cambria Math" w:cs="Arial"/>
                  <w:i/>
                  <w:sz w:val="24"/>
                  <w:szCs w:val="24"/>
                  <w:lang w:val="es-ES" w:eastAsia="es-ES"/>
                </w:rPr>
              </m:ctrlPr>
            </m:sSubPr>
            <m:e>
              <m:r>
                <w:rPr>
                  <w:rFonts w:ascii="Cambria Math" w:eastAsia="Times New Roman" w:hAnsi="Cambria Math" w:cs="Arial"/>
                  <w:sz w:val="24"/>
                  <w:szCs w:val="24"/>
                  <w:lang w:val="es-ES" w:eastAsia="es-ES"/>
                </w:rPr>
                <m:t>CC</m:t>
              </m:r>
            </m:e>
            <m:sub>
              <m:r>
                <w:rPr>
                  <w:rFonts w:ascii="Cambria Math" w:eastAsia="Times New Roman" w:hAnsi="Cambria Math" w:cs="Arial"/>
                  <w:sz w:val="24"/>
                  <w:szCs w:val="24"/>
                  <w:lang w:val="es-ES" w:eastAsia="es-ES"/>
                </w:rPr>
                <m:t>i,t</m:t>
              </m:r>
            </m:sub>
          </m:sSub>
          <m:r>
            <w:rPr>
              <w:rFonts w:ascii="Cambria Math" w:eastAsia="Times New Roman" w:hAnsi="Cambria Math" w:cs="Arial"/>
              <w:sz w:val="24"/>
              <w:szCs w:val="24"/>
              <w:lang w:val="es-ES" w:eastAsia="es-ES"/>
            </w:rPr>
            <m:t>-</m:t>
          </m:r>
          <m:sSub>
            <m:sSubPr>
              <m:ctrlPr>
                <w:rPr>
                  <w:rFonts w:ascii="Cambria Math" w:eastAsia="Times New Roman" w:hAnsi="Cambria Math" w:cs="Arial"/>
                  <w:i/>
                  <w:sz w:val="24"/>
                  <w:szCs w:val="24"/>
                  <w:lang w:val="es-ES" w:eastAsia="es-ES"/>
                </w:rPr>
              </m:ctrlPr>
            </m:sSubPr>
            <m:e>
              <m:r>
                <w:rPr>
                  <w:rFonts w:ascii="Cambria Math" w:eastAsia="Times New Roman" w:hAnsi="Cambria Math" w:cs="Arial"/>
                  <w:sz w:val="24"/>
                  <w:szCs w:val="24"/>
                  <w:lang w:val="es-ES" w:eastAsia="es-ES"/>
                </w:rPr>
                <m:t>Q</m:t>
              </m:r>
            </m:e>
            <m:sub>
              <m:r>
                <w:rPr>
                  <w:rFonts w:ascii="Cambria Math" w:eastAsia="Times New Roman" w:hAnsi="Cambria Math" w:cs="Arial"/>
                  <w:sz w:val="24"/>
                  <w:szCs w:val="24"/>
                  <w:lang w:val="es-ES" w:eastAsia="es-ES"/>
                </w:rPr>
                <m:t>i,t,m</m:t>
              </m:r>
            </m:sub>
          </m:sSub>
          <m:r>
            <w:rPr>
              <w:rFonts w:ascii="Cambria Math" w:eastAsia="Times New Roman" w:hAnsi="Cambria Math" w:cs="Arial"/>
              <w:sz w:val="24"/>
              <w:szCs w:val="24"/>
              <w:lang w:val="es-ES" w:eastAsia="es-ES"/>
            </w:rPr>
            <m:t>-max</m:t>
          </m:r>
          <m:d>
            <m:dPr>
              <m:begChr m:val="{"/>
              <m:endChr m:val="}"/>
              <m:ctrlPr>
                <w:rPr>
                  <w:rFonts w:ascii="Cambria Math" w:eastAsia="Times New Roman" w:hAnsi="Cambria Math" w:cs="Arial"/>
                  <w:i/>
                  <w:sz w:val="24"/>
                  <w:szCs w:val="24"/>
                  <w:lang w:val="es-ES" w:eastAsia="es-ES"/>
                </w:rPr>
              </m:ctrlPr>
            </m:dPr>
            <m:e>
              <m:sSub>
                <m:sSubPr>
                  <m:ctrlPr>
                    <w:rPr>
                      <w:rFonts w:ascii="Cambria Math" w:eastAsia="Times New Roman" w:hAnsi="Cambria Math" w:cs="Arial"/>
                      <w:i/>
                      <w:sz w:val="24"/>
                      <w:szCs w:val="24"/>
                      <w:lang w:val="es-ES" w:eastAsia="es-ES"/>
                    </w:rPr>
                  </m:ctrlPr>
                </m:sSubPr>
                <m:e>
                  <m:r>
                    <w:rPr>
                      <w:rFonts w:ascii="Cambria Math" w:eastAsia="Times New Roman" w:hAnsi="Cambria Math" w:cs="Arial"/>
                      <w:sz w:val="24"/>
                      <w:szCs w:val="24"/>
                      <w:lang w:val="es-ES" w:eastAsia="es-ES"/>
                    </w:rPr>
                    <m:t>QT</m:t>
                  </m:r>
                </m:e>
                <m:sub>
                  <m:r>
                    <w:rPr>
                      <w:rFonts w:ascii="Cambria Math" w:eastAsia="Times New Roman" w:hAnsi="Cambria Math" w:cs="Arial"/>
                      <w:sz w:val="24"/>
                      <w:szCs w:val="24"/>
                      <w:lang w:val="es-ES" w:eastAsia="es-ES"/>
                    </w:rPr>
                    <m:t>i,t-1</m:t>
                  </m:r>
                </m:sub>
              </m:sSub>
              <m:r>
                <w:rPr>
                  <w:rFonts w:ascii="Cambria Math" w:eastAsia="Times New Roman" w:hAnsi="Cambria Math" w:cs="Arial"/>
                  <w:sz w:val="24"/>
                  <w:szCs w:val="24"/>
                  <w:lang w:val="es-ES" w:eastAsia="es-ES"/>
                </w:rPr>
                <m:t>-</m:t>
              </m:r>
              <m:sSub>
                <m:sSubPr>
                  <m:ctrlPr>
                    <w:rPr>
                      <w:rFonts w:ascii="Cambria Math" w:eastAsia="Times New Roman" w:hAnsi="Cambria Math" w:cs="Arial"/>
                      <w:i/>
                      <w:sz w:val="24"/>
                      <w:szCs w:val="24"/>
                      <w:lang w:val="es-ES" w:eastAsia="es-ES"/>
                    </w:rPr>
                  </m:ctrlPr>
                </m:sSubPr>
                <m:e>
                  <m:r>
                    <w:rPr>
                      <w:rFonts w:ascii="Cambria Math" w:eastAsia="Times New Roman" w:hAnsi="Cambria Math" w:cs="Arial"/>
                      <w:sz w:val="24"/>
                      <w:szCs w:val="24"/>
                      <w:lang w:val="es-ES" w:eastAsia="es-ES"/>
                    </w:rPr>
                    <m:t>CC</m:t>
                  </m:r>
                </m:e>
                <m:sub>
                  <m:r>
                    <w:rPr>
                      <w:rFonts w:ascii="Cambria Math" w:eastAsia="Times New Roman" w:hAnsi="Cambria Math" w:cs="Arial"/>
                      <w:sz w:val="24"/>
                      <w:szCs w:val="24"/>
                      <w:lang w:val="es-ES" w:eastAsia="es-ES"/>
                    </w:rPr>
                    <m:t>i,t-1</m:t>
                  </m:r>
                </m:sub>
              </m:sSub>
              <m:r>
                <w:rPr>
                  <w:rFonts w:ascii="Cambria Math" w:eastAsia="Times New Roman" w:hAnsi="Cambria Math" w:cs="Arial"/>
                  <w:sz w:val="24"/>
                  <w:szCs w:val="24"/>
                  <w:lang w:val="es-ES" w:eastAsia="es-ES"/>
                </w:rPr>
                <m:t xml:space="preserve">,0 </m:t>
              </m:r>
            </m:e>
          </m:d>
        </m:oMath>
      </m:oMathPara>
    </w:p>
    <w:p w14:paraId="21F844AC" w14:textId="77777777" w:rsidR="00DE5054" w:rsidRPr="008943FC" w:rsidRDefault="00DE5054" w:rsidP="00986A80">
      <w:pPr>
        <w:spacing w:after="0" w:line="360" w:lineRule="auto"/>
        <w:ind w:left="567" w:right="284"/>
        <w:rPr>
          <w:rFonts w:ascii="Arial" w:eastAsiaTheme="minorEastAsia" w:hAnsi="Arial" w:cs="Arial"/>
          <w:sz w:val="24"/>
          <w:szCs w:val="24"/>
          <w:lang w:val="es-ES" w:eastAsia="es-ES"/>
        </w:rPr>
      </w:pPr>
      <w:r w:rsidRPr="008943FC">
        <w:rPr>
          <w:rFonts w:ascii="Arial" w:eastAsiaTheme="minorEastAsia" w:hAnsi="Arial" w:cs="Arial"/>
          <w:sz w:val="24"/>
          <w:szCs w:val="24"/>
          <w:lang w:val="es-ES" w:eastAsia="es-ES"/>
        </w:rPr>
        <w:t>donde,</w:t>
      </w:r>
    </w:p>
    <w:p w14:paraId="4C6F35E8" w14:textId="77777777" w:rsidR="00DE5054" w:rsidRPr="008943FC" w:rsidRDefault="00DE5054" w:rsidP="00986A80">
      <w:pPr>
        <w:spacing w:after="0" w:line="360" w:lineRule="auto"/>
        <w:ind w:left="567"/>
        <w:rPr>
          <w:rFonts w:ascii="Arial" w:eastAsiaTheme="minorEastAsia" w:hAnsi="Arial" w:cs="Arial"/>
          <w:sz w:val="24"/>
          <w:szCs w:val="24"/>
          <w:lang w:val="es-ES" w:eastAsia="es-ES"/>
        </w:rPr>
      </w:pPr>
    </w:p>
    <w:tbl>
      <w:tblPr>
        <w:tblStyle w:val="Tablaconcuadrcula3"/>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6"/>
        <w:gridCol w:w="6702"/>
      </w:tblGrid>
      <w:tr w:rsidR="00DE5054" w:rsidRPr="00FB2E5A" w14:paraId="360D8355" w14:textId="77777777" w:rsidTr="00F913D4">
        <w:tc>
          <w:tcPr>
            <w:tcW w:w="1236" w:type="dxa"/>
          </w:tcPr>
          <w:p w14:paraId="6173D155" w14:textId="77777777" w:rsidR="00DE5054" w:rsidRPr="008943FC" w:rsidRDefault="00DE5054" w:rsidP="00986A80">
            <w:pPr>
              <w:spacing w:line="360" w:lineRule="auto"/>
              <w:rPr>
                <w:rFonts w:ascii="Arial" w:eastAsiaTheme="minorEastAsia" w:hAnsi="Arial" w:cs="Arial"/>
                <w:sz w:val="24"/>
                <w:szCs w:val="24"/>
                <w:lang w:val="es-ES" w:eastAsia="es-ES"/>
              </w:rPr>
            </w:pPr>
            <m:oMath>
              <m:r>
                <w:rPr>
                  <w:rFonts w:ascii="Cambria Math" w:hAnsi="Cambria Math" w:cs="Arial"/>
                  <w:sz w:val="24"/>
                  <w:szCs w:val="24"/>
                  <w:lang w:val="es-ES" w:eastAsia="es-ES"/>
                </w:rPr>
                <m:t>C</m:t>
              </m:r>
              <m:sSub>
                <m:sSubPr>
                  <m:ctrlPr>
                    <w:rPr>
                      <w:rFonts w:ascii="Cambria Math" w:hAnsi="Cambria Math" w:cs="Arial"/>
                      <w:i/>
                      <w:sz w:val="24"/>
                      <w:szCs w:val="24"/>
                      <w:lang w:val="es-ES" w:eastAsia="es-ES"/>
                    </w:rPr>
                  </m:ctrlPr>
                </m:sSubPr>
                <m:e>
                  <m:r>
                    <w:rPr>
                      <w:rFonts w:ascii="Cambria Math" w:hAnsi="Cambria Math" w:cs="Arial"/>
                      <w:sz w:val="24"/>
                      <w:szCs w:val="24"/>
                      <w:lang w:val="es-ES" w:eastAsia="es-ES"/>
                    </w:rPr>
                    <m:t>D</m:t>
                  </m:r>
                </m:e>
                <m:sub>
                  <m:r>
                    <w:rPr>
                      <w:rFonts w:ascii="Cambria Math" w:hAnsi="Cambria Math" w:cs="Arial"/>
                      <w:sz w:val="24"/>
                      <w:szCs w:val="24"/>
                      <w:lang w:val="es-ES" w:eastAsia="es-ES"/>
                    </w:rPr>
                    <m:t>i,t,m</m:t>
                  </m:r>
                </m:sub>
              </m:sSub>
            </m:oMath>
            <w:r w:rsidRPr="008943FC">
              <w:rPr>
                <w:rFonts w:ascii="Arial" w:eastAsiaTheme="minorEastAsia" w:hAnsi="Arial" w:cs="Arial"/>
                <w:sz w:val="24"/>
                <w:szCs w:val="24"/>
                <w:lang w:val="es-ES" w:eastAsia="es-ES"/>
              </w:rPr>
              <w:t>:</w:t>
            </w:r>
          </w:p>
        </w:tc>
        <w:tc>
          <w:tcPr>
            <w:tcW w:w="6702" w:type="dxa"/>
          </w:tcPr>
          <w:p w14:paraId="333291BB" w14:textId="4A5389AF" w:rsidR="00DE5054" w:rsidRPr="008943FC" w:rsidRDefault="00DE5054" w:rsidP="00986A80">
            <w:pPr>
              <w:spacing w:line="360" w:lineRule="auto"/>
              <w:jc w:val="both"/>
              <w:rPr>
                <w:rFonts w:ascii="Arial" w:eastAsiaTheme="minorEastAsia" w:hAnsi="Arial" w:cs="Arial"/>
                <w:sz w:val="24"/>
                <w:szCs w:val="24"/>
                <w:lang w:val="es-ES" w:eastAsia="es-ES"/>
              </w:rPr>
            </w:pPr>
            <w:r w:rsidRPr="008943FC">
              <w:rPr>
                <w:rFonts w:ascii="Arial" w:hAnsi="Arial" w:cs="Arial"/>
                <w:sz w:val="24"/>
                <w:szCs w:val="24"/>
                <w:lang w:val="es-ES" w:eastAsia="es-ES"/>
              </w:rPr>
              <w:t xml:space="preserve">Capacidad disponible de compra del distribuidor </w:t>
            </w:r>
            <w:r w:rsidRPr="008943FC">
              <w:rPr>
                <w:rFonts w:ascii="Arial" w:hAnsi="Arial" w:cs="Arial"/>
                <w:i/>
                <w:sz w:val="24"/>
                <w:szCs w:val="24"/>
                <w:lang w:val="es-ES" w:eastAsia="es-ES"/>
              </w:rPr>
              <w:t>i</w:t>
            </w:r>
            <w:r w:rsidRPr="008943FC">
              <w:rPr>
                <w:rFonts w:ascii="Arial" w:hAnsi="Arial" w:cs="Arial"/>
                <w:sz w:val="24"/>
                <w:szCs w:val="24"/>
                <w:lang w:val="es-ES" w:eastAsia="es-ES"/>
              </w:rPr>
              <w:t>, para el p</w:t>
            </w:r>
            <w:r w:rsidR="009C5EF2" w:rsidRPr="008943FC">
              <w:rPr>
                <w:rFonts w:ascii="Arial" w:hAnsi="Arial" w:cs="Arial"/>
                <w:sz w:val="24"/>
                <w:szCs w:val="24"/>
                <w:lang w:val="es-ES" w:eastAsia="es-ES"/>
              </w:rPr>
              <w:t>eríodo</w:t>
            </w:r>
            <w:r w:rsidRPr="008943FC">
              <w:rPr>
                <w:rFonts w:ascii="Arial" w:hAnsi="Arial" w:cs="Arial"/>
                <w:sz w:val="24"/>
                <w:szCs w:val="24"/>
                <w:lang w:val="es-ES" w:eastAsia="es-ES"/>
              </w:rPr>
              <w:t xml:space="preserve"> de compra </w:t>
            </w:r>
            <w:r w:rsidRPr="008943FC">
              <w:rPr>
                <w:rFonts w:ascii="Arial" w:hAnsi="Arial" w:cs="Arial"/>
                <w:i/>
                <w:sz w:val="24"/>
                <w:szCs w:val="24"/>
                <w:lang w:val="es-ES" w:eastAsia="es-ES"/>
              </w:rPr>
              <w:t>t</w:t>
            </w:r>
            <w:r w:rsidRPr="008943FC">
              <w:rPr>
                <w:rFonts w:ascii="Arial" w:hAnsi="Arial" w:cs="Arial"/>
                <w:sz w:val="24"/>
                <w:szCs w:val="24"/>
                <w:lang w:val="es-ES" w:eastAsia="es-ES"/>
              </w:rPr>
              <w:t xml:space="preserve">, calculada para el mes </w:t>
            </w:r>
            <w:r w:rsidRPr="008943FC">
              <w:rPr>
                <w:rFonts w:ascii="Arial" w:hAnsi="Arial" w:cs="Arial"/>
                <w:i/>
                <w:sz w:val="24"/>
                <w:szCs w:val="24"/>
                <w:lang w:val="es-ES" w:eastAsia="es-ES"/>
              </w:rPr>
              <w:t>m</w:t>
            </w:r>
            <w:r w:rsidRPr="008943FC">
              <w:rPr>
                <w:rFonts w:ascii="Arial" w:hAnsi="Arial" w:cs="Arial"/>
                <w:sz w:val="24"/>
                <w:szCs w:val="24"/>
                <w:lang w:val="es-ES" w:eastAsia="es-ES"/>
              </w:rPr>
              <w:t>, medida en kilogramos.</w:t>
            </w:r>
          </w:p>
        </w:tc>
      </w:tr>
      <w:tr w:rsidR="00DE5054" w:rsidRPr="00FB2E5A" w14:paraId="2A0E31EC" w14:textId="77777777" w:rsidTr="00F913D4">
        <w:tc>
          <w:tcPr>
            <w:tcW w:w="1236" w:type="dxa"/>
          </w:tcPr>
          <w:p w14:paraId="3F7429E6" w14:textId="77777777" w:rsidR="00DE5054" w:rsidRPr="008943FC" w:rsidRDefault="00766EA4" w:rsidP="00986A80">
            <w:pPr>
              <w:spacing w:line="360" w:lineRule="auto"/>
              <w:rPr>
                <w:rFonts w:ascii="Arial" w:eastAsiaTheme="minorEastAsia" w:hAnsi="Arial" w:cs="Arial"/>
                <w:sz w:val="24"/>
                <w:szCs w:val="24"/>
                <w:lang w:val="es-ES" w:eastAsia="es-ES"/>
              </w:rPr>
            </w:pPr>
            <m:oMath>
              <m:sSub>
                <m:sSubPr>
                  <m:ctrlPr>
                    <w:rPr>
                      <w:rFonts w:ascii="Cambria Math" w:hAnsi="Cambria Math" w:cs="Arial"/>
                      <w:i/>
                      <w:sz w:val="24"/>
                      <w:szCs w:val="24"/>
                      <w:lang w:val="es-ES" w:eastAsia="es-ES"/>
                    </w:rPr>
                  </m:ctrlPr>
                </m:sSubPr>
                <m:e>
                  <m:r>
                    <w:rPr>
                      <w:rFonts w:ascii="Cambria Math" w:hAnsi="Cambria Math" w:cs="Arial"/>
                      <w:sz w:val="24"/>
                      <w:szCs w:val="24"/>
                      <w:lang w:val="es-ES" w:eastAsia="es-ES"/>
                    </w:rPr>
                    <m:t>CC</m:t>
                  </m:r>
                </m:e>
                <m:sub>
                  <m:r>
                    <w:rPr>
                      <w:rFonts w:ascii="Cambria Math" w:hAnsi="Cambria Math" w:cs="Arial"/>
                      <w:sz w:val="24"/>
                      <w:szCs w:val="24"/>
                      <w:lang w:val="es-ES" w:eastAsia="es-ES"/>
                    </w:rPr>
                    <m:t>i</m:t>
                  </m:r>
                  <m:r>
                    <w:rPr>
                      <w:rFonts w:ascii="Cambria Math" w:hAnsi="Cambria Math" w:cs="Arial"/>
                      <w:sz w:val="24"/>
                      <w:szCs w:val="24"/>
                      <w:lang w:val="es-ES" w:eastAsia="es-ES"/>
                    </w:rPr>
                    <m:t>,</m:t>
                  </m:r>
                  <m:r>
                    <w:rPr>
                      <w:rFonts w:ascii="Cambria Math" w:hAnsi="Cambria Math" w:cs="Arial"/>
                      <w:sz w:val="24"/>
                      <w:szCs w:val="24"/>
                      <w:lang w:val="es-ES" w:eastAsia="es-ES"/>
                    </w:rPr>
                    <m:t>t</m:t>
                  </m:r>
                </m:sub>
              </m:sSub>
            </m:oMath>
            <w:r w:rsidR="00DE5054" w:rsidRPr="008943FC">
              <w:rPr>
                <w:rFonts w:ascii="Arial" w:eastAsiaTheme="minorEastAsia" w:hAnsi="Arial" w:cs="Arial"/>
                <w:sz w:val="24"/>
                <w:szCs w:val="24"/>
                <w:lang w:val="es-ES" w:eastAsia="es-ES"/>
              </w:rPr>
              <w:t>:</w:t>
            </w:r>
          </w:p>
        </w:tc>
        <w:tc>
          <w:tcPr>
            <w:tcW w:w="6702" w:type="dxa"/>
          </w:tcPr>
          <w:p w14:paraId="6678241C" w14:textId="01D5E442" w:rsidR="00DE5054" w:rsidRPr="008943FC" w:rsidRDefault="00DE5054" w:rsidP="00986A80">
            <w:pPr>
              <w:spacing w:line="360" w:lineRule="auto"/>
              <w:ind w:left="34" w:firstLine="4"/>
              <w:jc w:val="both"/>
              <w:rPr>
                <w:rFonts w:ascii="Arial" w:eastAsiaTheme="minorEastAsia" w:hAnsi="Arial" w:cs="Arial"/>
                <w:sz w:val="24"/>
                <w:szCs w:val="24"/>
                <w:lang w:val="es-ES" w:eastAsia="es-ES"/>
              </w:rPr>
            </w:pPr>
            <w:r w:rsidRPr="008943FC">
              <w:rPr>
                <w:rFonts w:ascii="Arial" w:hAnsi="Arial" w:cs="Arial"/>
                <w:sz w:val="24"/>
                <w:szCs w:val="24"/>
                <w:lang w:val="es-ES" w:eastAsia="es-ES"/>
              </w:rPr>
              <w:t>Capacidad de compra del distribuidor i, para el p</w:t>
            </w:r>
            <w:r w:rsidR="009C5EF2" w:rsidRPr="008943FC">
              <w:rPr>
                <w:rFonts w:ascii="Arial" w:hAnsi="Arial" w:cs="Arial"/>
                <w:sz w:val="24"/>
                <w:szCs w:val="24"/>
                <w:lang w:val="es-ES" w:eastAsia="es-ES"/>
              </w:rPr>
              <w:t>eríodo</w:t>
            </w:r>
            <w:r w:rsidRPr="008943FC">
              <w:rPr>
                <w:rFonts w:ascii="Arial" w:hAnsi="Arial" w:cs="Arial"/>
                <w:sz w:val="24"/>
                <w:szCs w:val="24"/>
                <w:lang w:val="es-ES" w:eastAsia="es-ES"/>
              </w:rPr>
              <w:t xml:space="preserve"> de compra t, medida en kilogramos.</w:t>
            </w:r>
          </w:p>
        </w:tc>
      </w:tr>
      <w:tr w:rsidR="00DE5054" w:rsidRPr="00FB2E5A" w14:paraId="4C2E141F" w14:textId="77777777" w:rsidTr="00F913D4">
        <w:tc>
          <w:tcPr>
            <w:tcW w:w="1236" w:type="dxa"/>
          </w:tcPr>
          <w:p w14:paraId="7D9DE5D9" w14:textId="77777777" w:rsidR="00DE5054" w:rsidRPr="008943FC" w:rsidRDefault="00766EA4" w:rsidP="00986A80">
            <w:pPr>
              <w:spacing w:line="360" w:lineRule="auto"/>
              <w:rPr>
                <w:rFonts w:ascii="Arial" w:eastAsiaTheme="minorEastAsia" w:hAnsi="Arial" w:cs="Arial"/>
                <w:sz w:val="24"/>
                <w:szCs w:val="24"/>
                <w:lang w:val="es-ES" w:eastAsia="es-ES"/>
              </w:rPr>
            </w:pPr>
            <m:oMath>
              <m:sSub>
                <m:sSubPr>
                  <m:ctrlPr>
                    <w:rPr>
                      <w:rFonts w:ascii="Cambria Math" w:hAnsi="Cambria Math" w:cs="Arial"/>
                      <w:i/>
                      <w:sz w:val="24"/>
                      <w:szCs w:val="24"/>
                      <w:lang w:val="es-ES" w:eastAsia="es-ES"/>
                    </w:rPr>
                  </m:ctrlPr>
                </m:sSubPr>
                <m:e>
                  <m:r>
                    <w:rPr>
                      <w:rFonts w:ascii="Cambria Math" w:hAnsi="Cambria Math" w:cs="Arial"/>
                      <w:sz w:val="24"/>
                      <w:szCs w:val="24"/>
                      <w:lang w:val="es-ES" w:eastAsia="es-ES"/>
                    </w:rPr>
                    <m:t>Q</m:t>
                  </m:r>
                </m:e>
                <m:sub>
                  <m:r>
                    <w:rPr>
                      <w:rFonts w:ascii="Cambria Math" w:hAnsi="Cambria Math" w:cs="Arial"/>
                      <w:sz w:val="24"/>
                      <w:szCs w:val="24"/>
                      <w:lang w:val="es-ES" w:eastAsia="es-ES"/>
                    </w:rPr>
                    <m:t>i</m:t>
                  </m:r>
                  <m:r>
                    <w:rPr>
                      <w:rFonts w:ascii="Cambria Math" w:hAnsi="Cambria Math" w:cs="Arial"/>
                      <w:sz w:val="24"/>
                      <w:szCs w:val="24"/>
                      <w:lang w:val="es-ES" w:eastAsia="es-ES"/>
                    </w:rPr>
                    <m:t>,</m:t>
                  </m:r>
                  <m:r>
                    <w:rPr>
                      <w:rFonts w:ascii="Cambria Math" w:hAnsi="Cambria Math" w:cs="Arial"/>
                      <w:sz w:val="24"/>
                      <w:szCs w:val="24"/>
                      <w:lang w:val="es-ES" w:eastAsia="es-ES"/>
                    </w:rPr>
                    <m:t>t</m:t>
                  </m:r>
                  <m:r>
                    <w:rPr>
                      <w:rFonts w:ascii="Cambria Math" w:hAnsi="Cambria Math" w:cs="Arial"/>
                      <w:sz w:val="24"/>
                      <w:szCs w:val="24"/>
                      <w:lang w:val="es-ES" w:eastAsia="es-ES"/>
                    </w:rPr>
                    <m:t>,</m:t>
                  </m:r>
                  <m:r>
                    <w:rPr>
                      <w:rFonts w:ascii="Cambria Math" w:hAnsi="Cambria Math" w:cs="Arial"/>
                      <w:sz w:val="24"/>
                      <w:szCs w:val="24"/>
                      <w:lang w:val="es-ES" w:eastAsia="es-ES"/>
                    </w:rPr>
                    <m:t>m</m:t>
                  </m:r>
                </m:sub>
              </m:sSub>
            </m:oMath>
            <w:r w:rsidR="00DE5054" w:rsidRPr="008943FC">
              <w:rPr>
                <w:rFonts w:ascii="Arial" w:eastAsiaTheme="minorEastAsia" w:hAnsi="Arial" w:cs="Arial"/>
                <w:sz w:val="24"/>
                <w:szCs w:val="24"/>
                <w:lang w:val="es-ES" w:eastAsia="es-ES"/>
              </w:rPr>
              <w:t>:</w:t>
            </w:r>
          </w:p>
        </w:tc>
        <w:tc>
          <w:tcPr>
            <w:tcW w:w="6702" w:type="dxa"/>
          </w:tcPr>
          <w:p w14:paraId="2D87C219" w14:textId="400D14D4" w:rsidR="00DE5054" w:rsidRPr="008943FC" w:rsidRDefault="00DE5054" w:rsidP="00986A80">
            <w:pPr>
              <w:spacing w:line="360" w:lineRule="auto"/>
              <w:jc w:val="both"/>
              <w:rPr>
                <w:rFonts w:ascii="Arial" w:hAnsi="Arial" w:cs="Arial"/>
                <w:sz w:val="24"/>
                <w:szCs w:val="24"/>
                <w:lang w:val="es-ES" w:eastAsia="es-ES"/>
              </w:rPr>
            </w:pPr>
            <w:r w:rsidRPr="008943FC">
              <w:rPr>
                <w:rFonts w:ascii="Arial" w:hAnsi="Arial" w:cs="Arial"/>
                <w:sz w:val="24"/>
                <w:szCs w:val="24"/>
                <w:lang w:val="es-ES" w:eastAsia="es-ES"/>
              </w:rPr>
              <w:t>Cantidad de producto que recibe el distribuidor i, medida en kilogramos, durante el p</w:t>
            </w:r>
            <w:r w:rsidR="009C5EF2" w:rsidRPr="008943FC">
              <w:rPr>
                <w:rFonts w:ascii="Arial" w:hAnsi="Arial" w:cs="Arial"/>
                <w:sz w:val="24"/>
                <w:szCs w:val="24"/>
                <w:lang w:val="es-ES" w:eastAsia="es-ES"/>
              </w:rPr>
              <w:t>eríodo</w:t>
            </w:r>
            <w:r w:rsidRPr="008943FC">
              <w:rPr>
                <w:rFonts w:ascii="Arial" w:hAnsi="Arial" w:cs="Arial"/>
                <w:sz w:val="24"/>
                <w:szCs w:val="24"/>
                <w:lang w:val="es-ES" w:eastAsia="es-ES"/>
              </w:rPr>
              <w:t xml:space="preserve"> de compra t, calculada en el mes m, a partir de los contratos de suministro, reportados al SUI, que tengan alguna entrega durante el p</w:t>
            </w:r>
            <w:r w:rsidR="009C5EF2" w:rsidRPr="008943FC">
              <w:rPr>
                <w:rFonts w:ascii="Arial" w:hAnsi="Arial" w:cs="Arial"/>
                <w:sz w:val="24"/>
                <w:szCs w:val="24"/>
                <w:lang w:val="es-ES" w:eastAsia="es-ES"/>
              </w:rPr>
              <w:t>eríodo</w:t>
            </w:r>
            <w:r w:rsidRPr="008943FC">
              <w:rPr>
                <w:rFonts w:ascii="Arial" w:hAnsi="Arial" w:cs="Arial"/>
                <w:sz w:val="24"/>
                <w:szCs w:val="24"/>
                <w:lang w:val="es-ES" w:eastAsia="es-ES"/>
              </w:rPr>
              <w:t xml:space="preserve"> t.</w:t>
            </w:r>
          </w:p>
        </w:tc>
      </w:tr>
      <w:tr w:rsidR="00DE5054" w:rsidRPr="00FB2E5A" w14:paraId="2F24FD75" w14:textId="77777777" w:rsidTr="00F913D4">
        <w:tc>
          <w:tcPr>
            <w:tcW w:w="1236" w:type="dxa"/>
          </w:tcPr>
          <w:p w14:paraId="1EC6B757" w14:textId="77777777" w:rsidR="00DE5054" w:rsidRPr="008943FC" w:rsidRDefault="00766EA4" w:rsidP="00986A80">
            <w:pPr>
              <w:spacing w:line="360" w:lineRule="auto"/>
              <w:rPr>
                <w:rFonts w:ascii="Arial" w:eastAsiaTheme="minorEastAsia" w:hAnsi="Arial" w:cs="Arial"/>
                <w:sz w:val="24"/>
                <w:szCs w:val="24"/>
                <w:lang w:val="es-ES" w:eastAsia="es-ES"/>
              </w:rPr>
            </w:pPr>
            <m:oMath>
              <m:sSub>
                <m:sSubPr>
                  <m:ctrlPr>
                    <w:rPr>
                      <w:rFonts w:ascii="Cambria Math" w:hAnsi="Cambria Math" w:cs="Arial"/>
                      <w:i/>
                      <w:sz w:val="24"/>
                      <w:szCs w:val="24"/>
                      <w:lang w:val="es-ES" w:eastAsia="es-ES"/>
                    </w:rPr>
                  </m:ctrlPr>
                </m:sSubPr>
                <m:e>
                  <m:r>
                    <w:rPr>
                      <w:rFonts w:ascii="Cambria Math" w:hAnsi="Cambria Math" w:cs="Arial"/>
                      <w:sz w:val="24"/>
                      <w:szCs w:val="24"/>
                      <w:lang w:val="es-ES" w:eastAsia="es-ES"/>
                    </w:rPr>
                    <m:t>QT</m:t>
                  </m:r>
                </m:e>
                <m:sub>
                  <m:r>
                    <w:rPr>
                      <w:rFonts w:ascii="Cambria Math" w:hAnsi="Cambria Math" w:cs="Arial"/>
                      <w:sz w:val="24"/>
                      <w:szCs w:val="24"/>
                      <w:lang w:val="es-ES" w:eastAsia="es-ES"/>
                    </w:rPr>
                    <m:t>i</m:t>
                  </m:r>
                  <m:r>
                    <w:rPr>
                      <w:rFonts w:ascii="Cambria Math" w:hAnsi="Cambria Math" w:cs="Arial"/>
                      <w:sz w:val="24"/>
                      <w:szCs w:val="24"/>
                      <w:lang w:val="es-ES" w:eastAsia="es-ES"/>
                    </w:rPr>
                    <m:t>,</m:t>
                  </m:r>
                  <m:r>
                    <w:rPr>
                      <w:rFonts w:ascii="Cambria Math" w:hAnsi="Cambria Math" w:cs="Arial"/>
                      <w:sz w:val="24"/>
                      <w:szCs w:val="24"/>
                      <w:lang w:val="es-ES" w:eastAsia="es-ES"/>
                    </w:rPr>
                    <m:t>t</m:t>
                  </m:r>
                  <m:r>
                    <w:rPr>
                      <w:rFonts w:ascii="Cambria Math" w:hAnsi="Cambria Math" w:cs="Arial"/>
                      <w:sz w:val="24"/>
                      <w:szCs w:val="24"/>
                      <w:lang w:val="es-ES" w:eastAsia="es-ES"/>
                    </w:rPr>
                    <m:t>-1</m:t>
                  </m:r>
                </m:sub>
              </m:sSub>
            </m:oMath>
            <w:r w:rsidR="00DE5054" w:rsidRPr="008943FC">
              <w:rPr>
                <w:rFonts w:ascii="Arial" w:eastAsiaTheme="minorEastAsia" w:hAnsi="Arial" w:cs="Arial"/>
                <w:sz w:val="24"/>
                <w:szCs w:val="24"/>
                <w:lang w:val="es-ES" w:eastAsia="es-ES"/>
              </w:rPr>
              <w:t>:</w:t>
            </w:r>
          </w:p>
        </w:tc>
        <w:tc>
          <w:tcPr>
            <w:tcW w:w="6702" w:type="dxa"/>
          </w:tcPr>
          <w:p w14:paraId="4874426C" w14:textId="7D138D99" w:rsidR="00DE5054" w:rsidRPr="008943FC" w:rsidRDefault="00DE5054" w:rsidP="00986A80">
            <w:pPr>
              <w:spacing w:line="360" w:lineRule="auto"/>
              <w:jc w:val="both"/>
              <w:rPr>
                <w:rFonts w:ascii="Arial" w:eastAsiaTheme="minorEastAsia" w:hAnsi="Arial" w:cs="Arial"/>
                <w:sz w:val="24"/>
                <w:szCs w:val="24"/>
                <w:lang w:val="es-ES" w:eastAsia="es-ES"/>
              </w:rPr>
            </w:pPr>
            <w:r w:rsidRPr="008943FC">
              <w:rPr>
                <w:rFonts w:ascii="Arial" w:hAnsi="Arial" w:cs="Arial"/>
                <w:sz w:val="24"/>
                <w:szCs w:val="24"/>
                <w:lang w:val="es-ES" w:eastAsia="es-ES"/>
              </w:rPr>
              <w:t>Cantidad total de producto que recibe el distribuidor i, medida en kilogramos, durante el p</w:t>
            </w:r>
            <w:r w:rsidR="009C5EF2" w:rsidRPr="008943FC">
              <w:rPr>
                <w:rFonts w:ascii="Arial" w:hAnsi="Arial" w:cs="Arial"/>
                <w:sz w:val="24"/>
                <w:szCs w:val="24"/>
                <w:lang w:val="es-ES" w:eastAsia="es-ES"/>
              </w:rPr>
              <w:t>eríodo</w:t>
            </w:r>
            <w:r w:rsidRPr="008943FC">
              <w:rPr>
                <w:rFonts w:ascii="Arial" w:hAnsi="Arial" w:cs="Arial"/>
                <w:sz w:val="24"/>
                <w:szCs w:val="24"/>
                <w:lang w:val="es-ES" w:eastAsia="es-ES"/>
              </w:rPr>
              <w:t xml:space="preserve"> de compra t-1, calculada a partir de los contratos de suministro, reportados al SUI, que tengan alguna entrega durante el p</w:t>
            </w:r>
            <w:r w:rsidR="009C5EF2" w:rsidRPr="008943FC">
              <w:rPr>
                <w:rFonts w:ascii="Arial" w:hAnsi="Arial" w:cs="Arial"/>
                <w:sz w:val="24"/>
                <w:szCs w:val="24"/>
                <w:lang w:val="es-ES" w:eastAsia="es-ES"/>
              </w:rPr>
              <w:t>eríodo</w:t>
            </w:r>
            <w:r w:rsidRPr="008943FC">
              <w:rPr>
                <w:rFonts w:ascii="Arial" w:hAnsi="Arial" w:cs="Arial"/>
                <w:sz w:val="24"/>
                <w:szCs w:val="24"/>
                <w:lang w:val="es-ES" w:eastAsia="es-ES"/>
              </w:rPr>
              <w:t xml:space="preserve"> t-1. Para el primer p</w:t>
            </w:r>
            <w:r w:rsidR="009C5EF2" w:rsidRPr="008943FC">
              <w:rPr>
                <w:rFonts w:ascii="Arial" w:hAnsi="Arial" w:cs="Arial"/>
                <w:sz w:val="24"/>
                <w:szCs w:val="24"/>
                <w:lang w:val="es-ES" w:eastAsia="es-ES"/>
              </w:rPr>
              <w:t>eríodo</w:t>
            </w:r>
            <w:r w:rsidRPr="008943FC">
              <w:rPr>
                <w:rFonts w:ascii="Arial" w:hAnsi="Arial" w:cs="Arial"/>
                <w:sz w:val="24"/>
                <w:szCs w:val="24"/>
                <w:lang w:val="es-ES" w:eastAsia="es-ES"/>
              </w:rPr>
              <w:t xml:space="preserve"> de compra de </w:t>
            </w:r>
            <w:proofErr w:type="gramStart"/>
            <w:r w:rsidRPr="008943FC">
              <w:rPr>
                <w:rFonts w:ascii="Arial" w:hAnsi="Arial" w:cs="Arial"/>
                <w:sz w:val="24"/>
                <w:szCs w:val="24"/>
                <w:lang w:val="es-ES" w:eastAsia="es-ES"/>
              </w:rPr>
              <w:t>entrada en vigencia</w:t>
            </w:r>
            <w:proofErr w:type="gramEnd"/>
            <w:r w:rsidRPr="008943FC">
              <w:rPr>
                <w:rFonts w:ascii="Arial" w:hAnsi="Arial" w:cs="Arial"/>
                <w:sz w:val="24"/>
                <w:szCs w:val="24"/>
                <w:lang w:val="es-ES" w:eastAsia="es-ES"/>
              </w:rPr>
              <w:t xml:space="preserve"> la presente resolución, el valor de </w:t>
            </w:r>
            <m:oMath>
              <m:sSub>
                <m:sSubPr>
                  <m:ctrlPr>
                    <w:rPr>
                      <w:rFonts w:ascii="Cambria Math" w:hAnsi="Cambria Math" w:cs="Arial"/>
                      <w:i/>
                      <w:sz w:val="24"/>
                      <w:szCs w:val="24"/>
                      <w:lang w:val="es-ES" w:eastAsia="es-ES"/>
                    </w:rPr>
                  </m:ctrlPr>
                </m:sSubPr>
                <m:e>
                  <m:r>
                    <w:rPr>
                      <w:rFonts w:ascii="Cambria Math" w:hAnsi="Cambria Math" w:cs="Arial"/>
                      <w:sz w:val="24"/>
                      <w:szCs w:val="24"/>
                      <w:lang w:val="es-ES" w:eastAsia="es-ES"/>
                    </w:rPr>
                    <m:t>QT</m:t>
                  </m:r>
                </m:e>
                <m:sub>
                  <m:r>
                    <w:rPr>
                      <w:rFonts w:ascii="Cambria Math" w:hAnsi="Cambria Math" w:cs="Arial"/>
                      <w:sz w:val="24"/>
                      <w:szCs w:val="24"/>
                      <w:lang w:val="es-ES" w:eastAsia="es-ES"/>
                    </w:rPr>
                    <m:t>i,t-1</m:t>
                  </m:r>
                </m:sub>
              </m:sSub>
            </m:oMath>
            <w:r w:rsidRPr="008943FC">
              <w:rPr>
                <w:rFonts w:ascii="Arial" w:eastAsiaTheme="minorEastAsia" w:hAnsi="Arial" w:cs="Arial"/>
                <w:sz w:val="24"/>
                <w:szCs w:val="24"/>
                <w:lang w:val="es-ES" w:eastAsia="es-ES"/>
              </w:rPr>
              <w:t xml:space="preserve"> será igual a cero (0).</w:t>
            </w:r>
          </w:p>
        </w:tc>
      </w:tr>
      <w:tr w:rsidR="00DE5054" w:rsidRPr="00FB2E5A" w14:paraId="219AA3C4" w14:textId="77777777" w:rsidTr="00F913D4">
        <w:tc>
          <w:tcPr>
            <w:tcW w:w="1236" w:type="dxa"/>
          </w:tcPr>
          <w:p w14:paraId="391C2B46" w14:textId="77777777" w:rsidR="00DE5054" w:rsidRPr="008943FC" w:rsidRDefault="00DE5054" w:rsidP="00986A80">
            <w:pPr>
              <w:spacing w:line="360" w:lineRule="auto"/>
              <w:rPr>
                <w:rFonts w:ascii="Arial" w:eastAsiaTheme="minorEastAsia" w:hAnsi="Arial" w:cs="Arial"/>
                <w:sz w:val="24"/>
                <w:szCs w:val="24"/>
                <w:lang w:val="es-ES" w:eastAsia="es-ES"/>
              </w:rPr>
            </w:pPr>
            <m:oMath>
              <m:r>
                <w:rPr>
                  <w:rFonts w:ascii="Cambria Math" w:hAnsi="Cambria Math" w:cs="Arial"/>
                  <w:sz w:val="24"/>
                  <w:szCs w:val="24"/>
                  <w:lang w:val="es-ES" w:eastAsia="es-ES"/>
                </w:rPr>
                <m:t>m</m:t>
              </m:r>
            </m:oMath>
            <w:r w:rsidRPr="008943FC">
              <w:rPr>
                <w:rFonts w:ascii="Arial" w:hAnsi="Arial" w:cs="Arial"/>
                <w:sz w:val="24"/>
                <w:szCs w:val="24"/>
                <w:lang w:val="es-ES" w:eastAsia="es-ES"/>
              </w:rPr>
              <w:t>:</w:t>
            </w:r>
          </w:p>
        </w:tc>
        <w:tc>
          <w:tcPr>
            <w:tcW w:w="6702" w:type="dxa"/>
          </w:tcPr>
          <w:p w14:paraId="08B4F7FF" w14:textId="77777777" w:rsidR="00DE5054" w:rsidRPr="008943FC" w:rsidRDefault="00DE5054" w:rsidP="00986A80">
            <w:pPr>
              <w:spacing w:line="360" w:lineRule="auto"/>
              <w:jc w:val="both"/>
              <w:rPr>
                <w:rFonts w:ascii="Arial" w:eastAsiaTheme="minorEastAsia" w:hAnsi="Arial" w:cs="Arial"/>
                <w:sz w:val="24"/>
                <w:szCs w:val="24"/>
                <w:lang w:val="es-ES" w:eastAsia="es-ES"/>
              </w:rPr>
            </w:pPr>
            <w:r w:rsidRPr="008943FC">
              <w:rPr>
                <w:rFonts w:ascii="Arial" w:hAnsi="Arial" w:cs="Arial"/>
                <w:sz w:val="24"/>
                <w:szCs w:val="24"/>
                <w:lang w:val="es-ES" w:eastAsia="es-ES"/>
              </w:rPr>
              <w:t>Mes de cálculo de la capacidad disponible de compra.</w:t>
            </w:r>
          </w:p>
        </w:tc>
      </w:tr>
      <w:tr w:rsidR="00DE5054" w:rsidRPr="00FB2E5A" w14:paraId="06BA7985" w14:textId="77777777" w:rsidTr="00F913D4">
        <w:tc>
          <w:tcPr>
            <w:tcW w:w="1236" w:type="dxa"/>
          </w:tcPr>
          <w:p w14:paraId="44895D89" w14:textId="77777777" w:rsidR="00DE5054" w:rsidRPr="008943FC" w:rsidRDefault="00DE5054" w:rsidP="00986A80">
            <w:pPr>
              <w:spacing w:line="360" w:lineRule="auto"/>
              <w:rPr>
                <w:rFonts w:ascii="Arial" w:eastAsiaTheme="minorEastAsia" w:hAnsi="Arial" w:cs="Arial"/>
                <w:sz w:val="24"/>
                <w:szCs w:val="24"/>
                <w:lang w:val="es-ES" w:eastAsia="es-ES"/>
              </w:rPr>
            </w:pPr>
            <m:oMath>
              <m:r>
                <w:rPr>
                  <w:rFonts w:ascii="Cambria Math" w:hAnsi="Cambria Math" w:cs="Arial"/>
                  <w:sz w:val="24"/>
                  <w:szCs w:val="24"/>
                  <w:lang w:val="es-ES" w:eastAsia="es-ES"/>
                </w:rPr>
                <w:lastRenderedPageBreak/>
                <m:t>t</m:t>
              </m:r>
            </m:oMath>
            <w:r w:rsidRPr="008943FC">
              <w:rPr>
                <w:rFonts w:ascii="Arial" w:hAnsi="Arial" w:cs="Arial"/>
                <w:sz w:val="24"/>
                <w:szCs w:val="24"/>
                <w:lang w:val="es-ES" w:eastAsia="es-ES"/>
              </w:rPr>
              <w:t>:</w:t>
            </w:r>
          </w:p>
        </w:tc>
        <w:tc>
          <w:tcPr>
            <w:tcW w:w="6702" w:type="dxa"/>
          </w:tcPr>
          <w:p w14:paraId="64D6279C" w14:textId="722C1F97" w:rsidR="00DE5054" w:rsidRPr="008943FC" w:rsidRDefault="00DE5054" w:rsidP="00986A80">
            <w:pPr>
              <w:spacing w:line="360" w:lineRule="auto"/>
              <w:jc w:val="both"/>
              <w:rPr>
                <w:rFonts w:ascii="Arial" w:eastAsiaTheme="minorEastAsia" w:hAnsi="Arial" w:cs="Arial"/>
                <w:sz w:val="24"/>
                <w:szCs w:val="24"/>
                <w:lang w:val="es-ES" w:eastAsia="es-ES"/>
              </w:rPr>
            </w:pPr>
            <w:r w:rsidRPr="008943FC">
              <w:rPr>
                <w:rFonts w:ascii="Arial" w:hAnsi="Arial" w:cs="Arial"/>
                <w:sz w:val="24"/>
                <w:szCs w:val="24"/>
                <w:lang w:val="es-ES" w:eastAsia="es-ES"/>
              </w:rPr>
              <w:t>Corresponde al p</w:t>
            </w:r>
            <w:r w:rsidR="009C5EF2" w:rsidRPr="008943FC">
              <w:rPr>
                <w:rFonts w:ascii="Arial" w:hAnsi="Arial" w:cs="Arial"/>
                <w:sz w:val="24"/>
                <w:szCs w:val="24"/>
                <w:lang w:val="es-ES" w:eastAsia="es-ES"/>
              </w:rPr>
              <w:t>eríodo</w:t>
            </w:r>
            <w:r w:rsidRPr="008943FC">
              <w:rPr>
                <w:rFonts w:ascii="Arial" w:hAnsi="Arial" w:cs="Arial"/>
                <w:sz w:val="24"/>
                <w:szCs w:val="24"/>
                <w:lang w:val="es-ES" w:eastAsia="es-ES"/>
              </w:rPr>
              <w:t xml:space="preserve"> de compra siguiente a la fecha de cálculo del </w:t>
            </w:r>
            <m:oMath>
              <m:sSub>
                <m:sSubPr>
                  <m:ctrlPr>
                    <w:rPr>
                      <w:rFonts w:ascii="Cambria Math" w:hAnsi="Cambria Math" w:cs="Arial"/>
                      <w:i/>
                      <w:sz w:val="24"/>
                      <w:szCs w:val="24"/>
                      <w:lang w:val="es-ES" w:eastAsia="es-ES"/>
                    </w:rPr>
                  </m:ctrlPr>
                </m:sSubPr>
                <m:e>
                  <m:r>
                    <w:rPr>
                      <w:rFonts w:ascii="Cambria Math" w:hAnsi="Cambria Math" w:cs="Arial"/>
                      <w:sz w:val="24"/>
                      <w:szCs w:val="24"/>
                      <w:lang w:val="es-ES" w:eastAsia="es-ES"/>
                    </w:rPr>
                    <m:t>CC</m:t>
                  </m:r>
                </m:e>
                <m:sub>
                  <m:r>
                    <w:rPr>
                      <w:rFonts w:ascii="Cambria Math" w:hAnsi="Cambria Math" w:cs="Arial"/>
                      <w:sz w:val="24"/>
                      <w:szCs w:val="24"/>
                      <w:lang w:val="es-ES" w:eastAsia="es-ES"/>
                    </w:rPr>
                    <m:t>i,t</m:t>
                  </m:r>
                </m:sub>
              </m:sSub>
            </m:oMath>
            <w:r w:rsidRPr="008943FC">
              <w:rPr>
                <w:rFonts w:ascii="Arial" w:eastAsiaTheme="minorEastAsia" w:hAnsi="Arial" w:cs="Arial"/>
                <w:sz w:val="24"/>
                <w:szCs w:val="24"/>
                <w:lang w:val="es-ES" w:eastAsia="es-ES"/>
              </w:rPr>
              <w:t>.</w:t>
            </w:r>
          </w:p>
        </w:tc>
      </w:tr>
    </w:tbl>
    <w:p w14:paraId="3AD4A1BB" w14:textId="77777777" w:rsidR="00DE5054" w:rsidRPr="008943FC" w:rsidRDefault="00DE5054" w:rsidP="00986A80">
      <w:pPr>
        <w:spacing w:after="0" w:line="360" w:lineRule="auto"/>
        <w:ind w:left="1134"/>
        <w:rPr>
          <w:rFonts w:ascii="Arial" w:eastAsiaTheme="minorEastAsia" w:hAnsi="Arial" w:cs="Arial"/>
          <w:sz w:val="24"/>
          <w:szCs w:val="24"/>
          <w:lang w:val="es-ES" w:eastAsia="es-ES"/>
        </w:rPr>
      </w:pPr>
    </w:p>
    <w:p w14:paraId="0A4D688A" w14:textId="79ACB184" w:rsidR="00DE5054" w:rsidRPr="008943FC" w:rsidRDefault="00DE5054" w:rsidP="00986A80">
      <w:pPr>
        <w:spacing w:after="0" w:line="360" w:lineRule="auto"/>
        <w:ind w:left="567" w:right="284"/>
        <w:jc w:val="both"/>
        <w:rPr>
          <w:rFonts w:ascii="Arial" w:eastAsiaTheme="minorEastAsia" w:hAnsi="Arial" w:cs="Arial"/>
          <w:b/>
          <w:sz w:val="24"/>
          <w:szCs w:val="24"/>
          <w:lang w:val="es-ES" w:eastAsia="es-ES"/>
        </w:rPr>
      </w:pPr>
      <w:r w:rsidRPr="008943FC">
        <w:rPr>
          <w:rFonts w:ascii="Arial" w:eastAsiaTheme="minorEastAsia" w:hAnsi="Arial" w:cs="Arial"/>
          <w:b/>
          <w:sz w:val="24"/>
          <w:szCs w:val="24"/>
          <w:lang w:val="es-ES" w:eastAsia="es-ES"/>
        </w:rPr>
        <w:t xml:space="preserve">Parágrafo 1. </w:t>
      </w:r>
      <w:r w:rsidRPr="008943FC">
        <w:rPr>
          <w:rFonts w:ascii="Arial" w:eastAsiaTheme="minorEastAsia" w:hAnsi="Arial" w:cs="Arial"/>
          <w:sz w:val="24"/>
          <w:szCs w:val="24"/>
          <w:lang w:val="es-ES" w:eastAsia="es-ES"/>
        </w:rPr>
        <w:t xml:space="preserve">La capacidad de compra de cada distribuidor se calculará de acuerdo con la siguiente fórmula. </w:t>
      </w:r>
    </w:p>
    <w:p w14:paraId="56B0354C" w14:textId="77777777" w:rsidR="00DE5054" w:rsidRPr="008943FC" w:rsidRDefault="00DE5054" w:rsidP="00986A80">
      <w:pPr>
        <w:spacing w:after="0" w:line="360" w:lineRule="auto"/>
        <w:ind w:left="1272" w:hanging="705"/>
        <w:jc w:val="both"/>
        <w:rPr>
          <w:rFonts w:ascii="Arial" w:eastAsia="Times New Roman" w:hAnsi="Arial" w:cs="Arial"/>
          <w:sz w:val="24"/>
          <w:szCs w:val="24"/>
          <w:lang w:val="es-ES" w:eastAsia="es-ES"/>
        </w:rPr>
      </w:pPr>
    </w:p>
    <w:p w14:paraId="40F9832B" w14:textId="77777777" w:rsidR="00DE5054" w:rsidRPr="008943FC" w:rsidRDefault="00766EA4" w:rsidP="00986A80">
      <w:pPr>
        <w:spacing w:after="0" w:line="360" w:lineRule="auto"/>
        <w:ind w:left="1272" w:hanging="705"/>
        <w:jc w:val="both"/>
        <w:rPr>
          <w:rFonts w:ascii="Arial" w:eastAsia="Times New Roman" w:hAnsi="Arial" w:cs="Arial"/>
          <w:sz w:val="24"/>
          <w:szCs w:val="24"/>
          <w:lang w:val="es-ES" w:eastAsia="es-ES"/>
        </w:rPr>
      </w:pPr>
      <m:oMathPara>
        <m:oMath>
          <m:sSub>
            <m:sSubPr>
              <m:ctrlPr>
                <w:rPr>
                  <w:rFonts w:ascii="Cambria Math" w:eastAsia="Times New Roman" w:hAnsi="Cambria Math" w:cs="Arial"/>
                  <w:i/>
                  <w:sz w:val="24"/>
                  <w:szCs w:val="24"/>
                  <w:lang w:val="es-ES" w:eastAsia="es-ES"/>
                </w:rPr>
              </m:ctrlPr>
            </m:sSubPr>
            <m:e>
              <m:r>
                <w:rPr>
                  <w:rFonts w:ascii="Cambria Math" w:eastAsia="Times New Roman" w:hAnsi="Cambria Math" w:cs="Arial"/>
                  <w:sz w:val="24"/>
                  <w:szCs w:val="24"/>
                  <w:lang w:val="es-ES" w:eastAsia="es-ES"/>
                </w:rPr>
                <m:t>CC</m:t>
              </m:r>
            </m:e>
            <m:sub>
              <m:r>
                <w:rPr>
                  <w:rFonts w:ascii="Cambria Math" w:eastAsia="Times New Roman" w:hAnsi="Cambria Math" w:cs="Arial"/>
                  <w:sz w:val="24"/>
                  <w:szCs w:val="24"/>
                  <w:lang w:val="es-ES" w:eastAsia="es-ES"/>
                </w:rPr>
                <m:t>i</m:t>
              </m:r>
              <m:r>
                <w:rPr>
                  <w:rFonts w:ascii="Cambria Math" w:eastAsia="Times New Roman" w:hAnsi="Cambria Math" w:cs="Arial"/>
                  <w:sz w:val="24"/>
                  <w:szCs w:val="24"/>
                  <w:lang w:val="es-ES" w:eastAsia="es-ES"/>
                </w:rPr>
                <m:t>,</m:t>
              </m:r>
              <m:r>
                <w:rPr>
                  <w:rFonts w:ascii="Cambria Math" w:eastAsia="Times New Roman" w:hAnsi="Cambria Math" w:cs="Arial"/>
                  <w:sz w:val="24"/>
                  <w:szCs w:val="24"/>
                  <w:lang w:val="es-ES" w:eastAsia="es-ES"/>
                </w:rPr>
                <m:t>t</m:t>
              </m:r>
            </m:sub>
          </m:sSub>
          <m:r>
            <w:rPr>
              <w:rFonts w:ascii="Cambria Math" w:eastAsia="Times New Roman" w:hAnsi="Cambria Math" w:cs="Arial"/>
              <w:sz w:val="24"/>
              <w:szCs w:val="24"/>
              <w:lang w:val="es-ES" w:eastAsia="es-ES"/>
            </w:rPr>
            <m:t>=</m:t>
          </m:r>
          <m:sSub>
            <m:sSubPr>
              <m:ctrlPr>
                <w:rPr>
                  <w:rFonts w:ascii="Cambria Math" w:eastAsia="Times New Roman" w:hAnsi="Cambria Math" w:cs="Arial"/>
                  <w:i/>
                  <w:sz w:val="24"/>
                  <w:szCs w:val="24"/>
                  <w:lang w:val="es-ES" w:eastAsia="es-ES"/>
                </w:rPr>
              </m:ctrlPr>
            </m:sSubPr>
            <m:e>
              <m:r>
                <w:rPr>
                  <w:rFonts w:ascii="Cambria Math" w:eastAsia="Times New Roman" w:hAnsi="Cambria Math" w:cs="Arial"/>
                  <w:sz w:val="24"/>
                  <w:szCs w:val="24"/>
                  <w:lang w:val="es-ES" w:eastAsia="es-ES"/>
                </w:rPr>
                <m:t>F</m:t>
              </m:r>
            </m:e>
            <m:sub>
              <m:r>
                <w:rPr>
                  <w:rFonts w:ascii="Cambria Math" w:eastAsia="Times New Roman" w:hAnsi="Cambria Math" w:cs="Arial"/>
                  <w:sz w:val="24"/>
                  <w:szCs w:val="24"/>
                  <w:lang w:val="es-ES" w:eastAsia="es-ES"/>
                </w:rPr>
                <m:t>E</m:t>
              </m:r>
              <m:r>
                <w:rPr>
                  <w:rFonts w:ascii="Cambria Math" w:eastAsia="Times New Roman" w:hAnsi="Cambria Math" w:cs="Arial"/>
                  <w:sz w:val="24"/>
                  <w:szCs w:val="24"/>
                  <w:lang w:val="es-ES" w:eastAsia="es-ES"/>
                </w:rPr>
                <m:t>,</m:t>
              </m:r>
              <m:r>
                <w:rPr>
                  <w:rFonts w:ascii="Cambria Math" w:eastAsia="Times New Roman" w:hAnsi="Cambria Math" w:cs="Arial"/>
                  <w:sz w:val="24"/>
                  <w:szCs w:val="24"/>
                  <w:lang w:val="es-ES" w:eastAsia="es-ES"/>
                </w:rPr>
                <m:t>t</m:t>
              </m:r>
            </m:sub>
          </m:sSub>
          <m:r>
            <w:rPr>
              <w:rFonts w:ascii="Cambria Math" w:eastAsia="Times New Roman" w:hAnsi="Cambria Math" w:cs="Arial"/>
              <w:sz w:val="24"/>
              <w:szCs w:val="24"/>
              <w:lang w:val="es-ES" w:eastAsia="es-ES"/>
            </w:rPr>
            <m:t>*</m:t>
          </m:r>
          <m:d>
            <m:dPr>
              <m:ctrlPr>
                <w:rPr>
                  <w:rFonts w:ascii="Cambria Math" w:eastAsia="Times New Roman" w:hAnsi="Cambria Math" w:cs="Arial"/>
                  <w:i/>
                  <w:sz w:val="24"/>
                  <w:szCs w:val="24"/>
                  <w:lang w:val="es-ES" w:eastAsia="es-ES"/>
                </w:rPr>
              </m:ctrlPr>
            </m:dPr>
            <m:e>
              <m:r>
                <w:rPr>
                  <w:rFonts w:ascii="Cambria Math" w:eastAsia="Times New Roman" w:hAnsi="Cambria Math" w:cs="Arial"/>
                  <w:sz w:val="24"/>
                  <w:szCs w:val="24"/>
                  <w:lang w:val="es-ES" w:eastAsia="es-ES"/>
                </w:rPr>
                <m:t>Cap</m:t>
              </m:r>
              <m:r>
                <w:rPr>
                  <w:rFonts w:ascii="Cambria Math" w:eastAsia="Times New Roman" w:hAnsi="Cambria Math" w:cs="Arial"/>
                  <w:sz w:val="24"/>
                  <w:szCs w:val="24"/>
                  <w:lang w:val="es-ES" w:eastAsia="es-ES"/>
                </w:rPr>
                <m:t>.</m:t>
              </m:r>
              <m:r>
                <w:rPr>
                  <w:rFonts w:ascii="Cambria Math" w:eastAsia="Times New Roman" w:hAnsi="Cambria Math" w:cs="Arial"/>
                  <w:sz w:val="24"/>
                  <w:szCs w:val="24"/>
                  <w:lang w:val="es-ES" w:eastAsia="es-ES"/>
                </w:rPr>
                <m:t>ci</m:t>
              </m:r>
              <m:sSub>
                <m:sSubPr>
                  <m:ctrlPr>
                    <w:rPr>
                      <w:rFonts w:ascii="Cambria Math" w:eastAsia="Times New Roman" w:hAnsi="Cambria Math" w:cs="Arial"/>
                      <w:i/>
                      <w:sz w:val="24"/>
                      <w:szCs w:val="24"/>
                      <w:lang w:val="es-ES" w:eastAsia="es-ES"/>
                    </w:rPr>
                  </m:ctrlPr>
                </m:sSubPr>
                <m:e>
                  <m:r>
                    <w:rPr>
                      <w:rFonts w:ascii="Cambria Math" w:eastAsia="Times New Roman" w:hAnsi="Cambria Math" w:cs="Arial"/>
                      <w:sz w:val="24"/>
                      <w:szCs w:val="24"/>
                      <w:lang w:val="es-ES" w:eastAsia="es-ES"/>
                    </w:rPr>
                    <m:t>l</m:t>
                  </m:r>
                </m:e>
                <m:sub>
                  <m:r>
                    <w:rPr>
                      <w:rFonts w:ascii="Cambria Math" w:eastAsia="Times New Roman" w:hAnsi="Cambria Math" w:cs="Arial"/>
                      <w:sz w:val="24"/>
                      <w:szCs w:val="24"/>
                      <w:lang w:val="es-ES" w:eastAsia="es-ES"/>
                    </w:rPr>
                    <m:t>i</m:t>
                  </m:r>
                  <m:r>
                    <w:rPr>
                      <w:rFonts w:ascii="Cambria Math" w:eastAsia="Times New Roman" w:hAnsi="Cambria Math" w:cs="Arial"/>
                      <w:sz w:val="24"/>
                      <w:szCs w:val="24"/>
                      <w:lang w:val="es-ES" w:eastAsia="es-ES"/>
                    </w:rPr>
                    <m:t>,</m:t>
                  </m:r>
                  <m:r>
                    <w:rPr>
                      <w:rFonts w:ascii="Cambria Math" w:eastAsia="Times New Roman" w:hAnsi="Cambria Math" w:cs="Arial"/>
                      <w:sz w:val="24"/>
                      <w:szCs w:val="24"/>
                      <w:lang w:val="es-ES" w:eastAsia="es-ES"/>
                    </w:rPr>
                    <m:t>t</m:t>
                  </m:r>
                </m:sub>
              </m:sSub>
              <m:r>
                <w:rPr>
                  <w:rFonts w:ascii="Cambria Math" w:eastAsia="Times New Roman" w:hAnsi="Cambria Math" w:cs="Arial"/>
                  <w:sz w:val="24"/>
                  <w:szCs w:val="24"/>
                  <w:lang w:val="es-ES" w:eastAsia="es-ES"/>
                </w:rPr>
                <m:t>+0,85*</m:t>
              </m:r>
              <m:r>
                <w:rPr>
                  <w:rFonts w:ascii="Cambria Math" w:eastAsia="Times New Roman" w:hAnsi="Cambria Math" w:cs="Arial"/>
                  <w:sz w:val="24"/>
                  <w:szCs w:val="24"/>
                  <w:lang w:val="es-ES" w:eastAsia="es-ES"/>
                </w:rPr>
                <m:t>Cap</m:t>
              </m:r>
              <m:r>
                <w:rPr>
                  <w:rFonts w:ascii="Cambria Math" w:eastAsia="Times New Roman" w:hAnsi="Cambria Math" w:cs="Arial"/>
                  <w:sz w:val="24"/>
                  <w:szCs w:val="24"/>
                  <w:lang w:val="es-ES" w:eastAsia="es-ES"/>
                </w:rPr>
                <m:t>.</m:t>
              </m:r>
              <m:r>
                <w:rPr>
                  <w:rFonts w:ascii="Cambria Math" w:eastAsia="Times New Roman" w:hAnsi="Cambria Math" w:cs="Arial"/>
                  <w:sz w:val="24"/>
                  <w:szCs w:val="24"/>
                  <w:lang w:val="es-ES" w:eastAsia="es-ES"/>
                </w:rPr>
                <m:t>T</m:t>
              </m:r>
              <m:sSub>
                <m:sSubPr>
                  <m:ctrlPr>
                    <w:rPr>
                      <w:rFonts w:ascii="Cambria Math" w:eastAsia="Times New Roman" w:hAnsi="Cambria Math" w:cs="Arial"/>
                      <w:i/>
                      <w:sz w:val="24"/>
                      <w:szCs w:val="24"/>
                      <w:lang w:val="es-ES" w:eastAsia="es-ES"/>
                    </w:rPr>
                  </m:ctrlPr>
                </m:sSubPr>
                <m:e>
                  <m:r>
                    <w:rPr>
                      <w:rFonts w:ascii="Cambria Math" w:eastAsia="Times New Roman" w:hAnsi="Cambria Math" w:cs="Arial"/>
                      <w:sz w:val="24"/>
                      <w:szCs w:val="24"/>
                      <w:lang w:val="es-ES" w:eastAsia="es-ES"/>
                    </w:rPr>
                    <m:t>E</m:t>
                  </m:r>
                </m:e>
                <m:sub>
                  <m:r>
                    <w:rPr>
                      <w:rFonts w:ascii="Cambria Math" w:eastAsia="Times New Roman" w:hAnsi="Cambria Math" w:cs="Arial"/>
                      <w:sz w:val="24"/>
                      <w:szCs w:val="24"/>
                      <w:lang w:val="es-ES" w:eastAsia="es-ES"/>
                    </w:rPr>
                    <m:t>i</m:t>
                  </m:r>
                  <m:r>
                    <w:rPr>
                      <w:rFonts w:ascii="Cambria Math" w:eastAsia="Times New Roman" w:hAnsi="Cambria Math" w:cs="Arial"/>
                      <w:sz w:val="24"/>
                      <w:szCs w:val="24"/>
                      <w:lang w:val="es-ES" w:eastAsia="es-ES"/>
                    </w:rPr>
                    <m:t>,</m:t>
                  </m:r>
                  <m:r>
                    <w:rPr>
                      <w:rFonts w:ascii="Cambria Math" w:eastAsia="Times New Roman" w:hAnsi="Cambria Math" w:cs="Arial"/>
                      <w:sz w:val="24"/>
                      <w:szCs w:val="24"/>
                      <w:lang w:val="es-ES" w:eastAsia="es-ES"/>
                    </w:rPr>
                    <m:t>t</m:t>
                  </m:r>
                </m:sub>
              </m:sSub>
            </m:e>
          </m:d>
        </m:oMath>
      </m:oMathPara>
    </w:p>
    <w:p w14:paraId="3F29EB4D" w14:textId="77777777" w:rsidR="00DE5054" w:rsidRPr="008943FC" w:rsidRDefault="00DE5054" w:rsidP="00986A80">
      <w:pPr>
        <w:spacing w:after="0" w:line="360" w:lineRule="auto"/>
        <w:ind w:left="1272" w:hanging="705"/>
        <w:jc w:val="both"/>
        <w:rPr>
          <w:rFonts w:ascii="Arial" w:eastAsia="Times New Roman" w:hAnsi="Arial" w:cs="Arial"/>
          <w:sz w:val="24"/>
          <w:szCs w:val="24"/>
          <w:lang w:val="es-ES" w:eastAsia="es-ES"/>
        </w:rPr>
      </w:pPr>
    </w:p>
    <w:tbl>
      <w:tblPr>
        <w:tblStyle w:val="Tablaconcuadrcula3"/>
        <w:tblW w:w="0" w:type="auto"/>
        <w:tblInd w:w="1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9"/>
        <w:gridCol w:w="6531"/>
      </w:tblGrid>
      <w:tr w:rsidR="00DE5054" w:rsidRPr="00FB2E5A" w14:paraId="7F59CFD4" w14:textId="77777777" w:rsidTr="00F913D4">
        <w:tc>
          <w:tcPr>
            <w:tcW w:w="1269" w:type="dxa"/>
          </w:tcPr>
          <w:p w14:paraId="4634CB47" w14:textId="77777777" w:rsidR="00DE5054" w:rsidRPr="008943FC" w:rsidRDefault="00766EA4" w:rsidP="00986A80">
            <w:pPr>
              <w:spacing w:line="360" w:lineRule="auto"/>
              <w:jc w:val="both"/>
              <w:rPr>
                <w:rFonts w:ascii="Arial" w:hAnsi="Arial" w:cs="Arial"/>
                <w:sz w:val="24"/>
                <w:szCs w:val="24"/>
                <w:lang w:val="es-ES" w:eastAsia="es-ES"/>
              </w:rPr>
            </w:pPr>
            <m:oMath>
              <m:sSub>
                <m:sSubPr>
                  <m:ctrlPr>
                    <w:rPr>
                      <w:rFonts w:ascii="Cambria Math" w:hAnsi="Cambria Math" w:cs="Arial"/>
                      <w:i/>
                      <w:sz w:val="24"/>
                      <w:szCs w:val="24"/>
                      <w:lang w:val="es-ES" w:eastAsia="es-ES"/>
                    </w:rPr>
                  </m:ctrlPr>
                </m:sSubPr>
                <m:e>
                  <m:r>
                    <w:rPr>
                      <w:rFonts w:ascii="Cambria Math" w:hAnsi="Cambria Math" w:cs="Arial"/>
                      <w:sz w:val="24"/>
                      <w:szCs w:val="24"/>
                      <w:lang w:val="es-ES" w:eastAsia="es-ES"/>
                    </w:rPr>
                    <m:t>CC</m:t>
                  </m:r>
                </m:e>
                <m:sub>
                  <m:r>
                    <w:rPr>
                      <w:rFonts w:ascii="Cambria Math" w:hAnsi="Cambria Math" w:cs="Arial"/>
                      <w:sz w:val="24"/>
                      <w:szCs w:val="24"/>
                      <w:lang w:val="es-ES" w:eastAsia="es-ES"/>
                    </w:rPr>
                    <m:t>i</m:t>
                  </m:r>
                  <m:r>
                    <w:rPr>
                      <w:rFonts w:ascii="Cambria Math" w:hAnsi="Cambria Math" w:cs="Arial"/>
                      <w:sz w:val="24"/>
                      <w:szCs w:val="24"/>
                      <w:lang w:val="es-ES" w:eastAsia="es-ES"/>
                    </w:rPr>
                    <m:t>,</m:t>
                  </m:r>
                  <m:r>
                    <w:rPr>
                      <w:rFonts w:ascii="Cambria Math" w:hAnsi="Cambria Math" w:cs="Arial"/>
                      <w:sz w:val="24"/>
                      <w:szCs w:val="24"/>
                      <w:lang w:val="es-ES" w:eastAsia="es-ES"/>
                    </w:rPr>
                    <m:t>t</m:t>
                  </m:r>
                </m:sub>
              </m:sSub>
            </m:oMath>
            <w:r w:rsidR="00DE5054" w:rsidRPr="008943FC">
              <w:rPr>
                <w:rFonts w:ascii="Arial" w:eastAsiaTheme="minorEastAsia" w:hAnsi="Arial" w:cs="Arial"/>
                <w:sz w:val="24"/>
                <w:szCs w:val="24"/>
                <w:lang w:val="es-ES" w:eastAsia="es-ES"/>
              </w:rPr>
              <w:t>:</w:t>
            </w:r>
          </w:p>
        </w:tc>
        <w:tc>
          <w:tcPr>
            <w:tcW w:w="6531" w:type="dxa"/>
          </w:tcPr>
          <w:p w14:paraId="7267489E" w14:textId="15B39023" w:rsidR="00DE5054" w:rsidRPr="008943FC" w:rsidRDefault="00DE5054" w:rsidP="00986A80">
            <w:pPr>
              <w:spacing w:line="360" w:lineRule="auto"/>
              <w:jc w:val="both"/>
              <w:rPr>
                <w:rFonts w:ascii="Arial" w:hAnsi="Arial" w:cs="Arial"/>
                <w:sz w:val="24"/>
                <w:szCs w:val="24"/>
                <w:lang w:val="es-ES" w:eastAsia="es-ES"/>
              </w:rPr>
            </w:pPr>
            <w:r w:rsidRPr="008943FC">
              <w:rPr>
                <w:rFonts w:ascii="Arial" w:hAnsi="Arial" w:cs="Arial"/>
                <w:sz w:val="24"/>
                <w:szCs w:val="24"/>
                <w:lang w:val="es-ES" w:eastAsia="es-ES"/>
              </w:rPr>
              <w:t>Capacidad de compra del distribuidor i, para el p</w:t>
            </w:r>
            <w:r w:rsidR="009C5EF2" w:rsidRPr="008943FC">
              <w:rPr>
                <w:rFonts w:ascii="Arial" w:hAnsi="Arial" w:cs="Arial"/>
                <w:sz w:val="24"/>
                <w:szCs w:val="24"/>
                <w:lang w:val="es-ES" w:eastAsia="es-ES"/>
              </w:rPr>
              <w:t>eríodo</w:t>
            </w:r>
            <w:r w:rsidRPr="008943FC">
              <w:rPr>
                <w:rFonts w:ascii="Arial" w:hAnsi="Arial" w:cs="Arial"/>
                <w:sz w:val="24"/>
                <w:szCs w:val="24"/>
                <w:lang w:val="es-ES" w:eastAsia="es-ES"/>
              </w:rPr>
              <w:t xml:space="preserve"> de compra t, medida en kilogramos, calculada por lo menos 1 mes antes del inicio del p</w:t>
            </w:r>
            <w:r w:rsidR="009C5EF2" w:rsidRPr="008943FC">
              <w:rPr>
                <w:rFonts w:ascii="Arial" w:hAnsi="Arial" w:cs="Arial"/>
                <w:sz w:val="24"/>
                <w:szCs w:val="24"/>
                <w:lang w:val="es-ES" w:eastAsia="es-ES"/>
              </w:rPr>
              <w:t>eríodo</w:t>
            </w:r>
            <w:r w:rsidRPr="008943FC">
              <w:rPr>
                <w:rFonts w:ascii="Arial" w:hAnsi="Arial" w:cs="Arial"/>
                <w:sz w:val="24"/>
                <w:szCs w:val="24"/>
                <w:lang w:val="es-ES" w:eastAsia="es-ES"/>
              </w:rPr>
              <w:t xml:space="preserve"> de compra t.</w:t>
            </w:r>
          </w:p>
        </w:tc>
      </w:tr>
      <w:tr w:rsidR="00DE5054" w:rsidRPr="00FB2E5A" w14:paraId="26584BA6" w14:textId="77777777" w:rsidTr="00F913D4">
        <w:tc>
          <w:tcPr>
            <w:tcW w:w="1269" w:type="dxa"/>
          </w:tcPr>
          <w:p w14:paraId="3386F0BA" w14:textId="77777777" w:rsidR="00DE5054" w:rsidRPr="008943FC" w:rsidRDefault="00766EA4" w:rsidP="00986A80">
            <w:pPr>
              <w:spacing w:line="360" w:lineRule="auto"/>
              <w:jc w:val="both"/>
              <w:rPr>
                <w:rFonts w:ascii="Arial" w:hAnsi="Arial" w:cs="Arial"/>
                <w:sz w:val="24"/>
                <w:szCs w:val="24"/>
                <w:lang w:val="es-ES" w:eastAsia="es-ES"/>
              </w:rPr>
            </w:pPr>
            <m:oMath>
              <m:sSub>
                <m:sSubPr>
                  <m:ctrlPr>
                    <w:rPr>
                      <w:rFonts w:ascii="Cambria Math" w:hAnsi="Cambria Math" w:cs="Arial"/>
                      <w:i/>
                      <w:sz w:val="24"/>
                      <w:szCs w:val="24"/>
                      <w:lang w:val="es-ES" w:eastAsia="es-ES"/>
                    </w:rPr>
                  </m:ctrlPr>
                </m:sSubPr>
                <m:e>
                  <m:r>
                    <w:rPr>
                      <w:rFonts w:ascii="Cambria Math" w:hAnsi="Cambria Math" w:cs="Arial"/>
                      <w:sz w:val="24"/>
                      <w:szCs w:val="24"/>
                      <w:lang w:val="es-ES" w:eastAsia="es-ES"/>
                    </w:rPr>
                    <m:t>F</m:t>
                  </m:r>
                </m:e>
                <m:sub>
                  <m:r>
                    <w:rPr>
                      <w:rFonts w:ascii="Cambria Math" w:hAnsi="Cambria Math" w:cs="Arial"/>
                      <w:sz w:val="24"/>
                      <w:szCs w:val="24"/>
                      <w:lang w:val="es-ES" w:eastAsia="es-ES"/>
                    </w:rPr>
                    <m:t>E</m:t>
                  </m:r>
                  <m:r>
                    <w:rPr>
                      <w:rFonts w:ascii="Cambria Math" w:hAnsi="Cambria Math" w:cs="Arial"/>
                      <w:sz w:val="24"/>
                      <w:szCs w:val="24"/>
                      <w:lang w:val="es-ES" w:eastAsia="es-ES"/>
                    </w:rPr>
                    <m:t>,</m:t>
                  </m:r>
                  <m:r>
                    <w:rPr>
                      <w:rFonts w:ascii="Cambria Math" w:hAnsi="Cambria Math" w:cs="Arial"/>
                      <w:sz w:val="24"/>
                      <w:szCs w:val="24"/>
                      <w:lang w:val="es-ES" w:eastAsia="es-ES"/>
                    </w:rPr>
                    <m:t>t</m:t>
                  </m:r>
                </m:sub>
              </m:sSub>
            </m:oMath>
            <w:r w:rsidR="00DE5054" w:rsidRPr="008943FC">
              <w:rPr>
                <w:rFonts w:ascii="Arial" w:eastAsiaTheme="minorEastAsia" w:hAnsi="Arial" w:cs="Arial"/>
                <w:sz w:val="24"/>
                <w:szCs w:val="24"/>
                <w:lang w:val="es-ES" w:eastAsia="es-ES"/>
              </w:rPr>
              <w:t>:</w:t>
            </w:r>
          </w:p>
        </w:tc>
        <w:tc>
          <w:tcPr>
            <w:tcW w:w="6531" w:type="dxa"/>
          </w:tcPr>
          <w:p w14:paraId="5ACDDB06" w14:textId="77777777" w:rsidR="00DE5054" w:rsidRPr="008943FC" w:rsidRDefault="00DE5054" w:rsidP="00986A80">
            <w:pPr>
              <w:spacing w:line="360" w:lineRule="auto"/>
              <w:jc w:val="both"/>
              <w:rPr>
                <w:rFonts w:ascii="Arial" w:hAnsi="Arial" w:cs="Arial"/>
                <w:sz w:val="24"/>
                <w:szCs w:val="24"/>
                <w:lang w:val="es-ES" w:eastAsia="es-ES"/>
              </w:rPr>
            </w:pPr>
            <w:r w:rsidRPr="008943FC">
              <w:rPr>
                <w:rFonts w:ascii="Arial" w:eastAsiaTheme="minorEastAsia" w:hAnsi="Arial" w:cs="Arial"/>
                <w:sz w:val="24"/>
                <w:szCs w:val="24"/>
                <w:lang w:val="es-ES" w:eastAsia="es-ES"/>
              </w:rPr>
              <w:t xml:space="preserve">Factor de equivalencia de envasado en cilindros y tanques estacionarios, </w:t>
            </w:r>
            <w:r w:rsidR="007F3B34" w:rsidRPr="008943FC">
              <w:rPr>
                <w:rFonts w:ascii="Arial" w:eastAsiaTheme="minorEastAsia" w:hAnsi="Arial" w:cs="Arial"/>
                <w:sz w:val="24"/>
                <w:szCs w:val="24"/>
                <w:lang w:val="es-ES" w:eastAsia="es-ES"/>
              </w:rPr>
              <w:t>corresponde a: 0,345.</w:t>
            </w:r>
          </w:p>
        </w:tc>
      </w:tr>
      <w:tr w:rsidR="00DE5054" w:rsidRPr="00FB2E5A" w14:paraId="5C579592" w14:textId="77777777" w:rsidTr="00F913D4">
        <w:tc>
          <w:tcPr>
            <w:tcW w:w="1269" w:type="dxa"/>
          </w:tcPr>
          <w:p w14:paraId="245AEA4F" w14:textId="77777777" w:rsidR="00DE5054" w:rsidRPr="008943FC" w:rsidRDefault="00DE5054" w:rsidP="00986A80">
            <w:pPr>
              <w:spacing w:line="360" w:lineRule="auto"/>
              <w:jc w:val="both"/>
              <w:rPr>
                <w:rFonts w:ascii="Arial" w:hAnsi="Arial" w:cs="Arial"/>
                <w:sz w:val="24"/>
                <w:szCs w:val="24"/>
                <w:lang w:val="es-ES" w:eastAsia="es-ES"/>
              </w:rPr>
            </w:pPr>
            <m:oMath>
              <m:r>
                <w:rPr>
                  <w:rFonts w:ascii="Cambria Math" w:hAnsi="Cambria Math" w:cs="Arial"/>
                  <w:sz w:val="24"/>
                  <w:szCs w:val="24"/>
                  <w:lang w:val="es-ES" w:eastAsia="es-ES"/>
                </w:rPr>
                <m:t>Cap.ci</m:t>
              </m:r>
              <m:sSub>
                <m:sSubPr>
                  <m:ctrlPr>
                    <w:rPr>
                      <w:rFonts w:ascii="Cambria Math" w:hAnsi="Cambria Math" w:cs="Arial"/>
                      <w:i/>
                      <w:sz w:val="24"/>
                      <w:szCs w:val="24"/>
                      <w:lang w:val="es-ES" w:eastAsia="es-ES"/>
                    </w:rPr>
                  </m:ctrlPr>
                </m:sSubPr>
                <m:e>
                  <m:r>
                    <w:rPr>
                      <w:rFonts w:ascii="Cambria Math" w:hAnsi="Cambria Math" w:cs="Arial"/>
                      <w:sz w:val="24"/>
                      <w:szCs w:val="24"/>
                      <w:lang w:val="es-ES" w:eastAsia="es-ES"/>
                    </w:rPr>
                    <m:t>l</m:t>
                  </m:r>
                </m:e>
                <m:sub>
                  <m:r>
                    <w:rPr>
                      <w:rFonts w:ascii="Cambria Math" w:hAnsi="Cambria Math" w:cs="Arial"/>
                      <w:sz w:val="24"/>
                      <w:szCs w:val="24"/>
                      <w:lang w:val="es-ES" w:eastAsia="es-ES"/>
                    </w:rPr>
                    <m:t>i,t</m:t>
                  </m:r>
                </m:sub>
              </m:sSub>
            </m:oMath>
            <w:r w:rsidRPr="008943FC">
              <w:rPr>
                <w:rFonts w:ascii="Arial" w:eastAsiaTheme="minorEastAsia" w:hAnsi="Arial" w:cs="Arial"/>
                <w:sz w:val="24"/>
                <w:szCs w:val="24"/>
                <w:lang w:val="es-ES" w:eastAsia="es-ES"/>
              </w:rPr>
              <w:t>:</w:t>
            </w:r>
          </w:p>
        </w:tc>
        <w:tc>
          <w:tcPr>
            <w:tcW w:w="6531" w:type="dxa"/>
          </w:tcPr>
          <w:p w14:paraId="4EDBABB8" w14:textId="24AD3BD3" w:rsidR="00DE5054" w:rsidRPr="008943FC" w:rsidRDefault="00DE5054" w:rsidP="00986A80">
            <w:pPr>
              <w:spacing w:line="360" w:lineRule="auto"/>
              <w:jc w:val="both"/>
              <w:rPr>
                <w:rFonts w:ascii="Arial" w:eastAsiaTheme="minorEastAsia" w:hAnsi="Arial" w:cs="Arial"/>
                <w:sz w:val="24"/>
                <w:szCs w:val="24"/>
                <w:lang w:val="es-ES" w:eastAsia="es-ES"/>
              </w:rPr>
            </w:pPr>
            <w:r w:rsidRPr="008943FC">
              <w:rPr>
                <w:rFonts w:ascii="Arial" w:hAnsi="Arial" w:cs="Arial"/>
                <w:sz w:val="24"/>
                <w:szCs w:val="24"/>
                <w:lang w:val="es-ES" w:eastAsia="es-ES"/>
              </w:rPr>
              <w:t xml:space="preserve">Capacidad total de envase en cilindros de propiedad del distribuidor </w:t>
            </w:r>
            <w:r w:rsidRPr="008943FC">
              <w:rPr>
                <w:rFonts w:ascii="Arial" w:hAnsi="Arial" w:cs="Arial"/>
                <w:i/>
                <w:sz w:val="24"/>
                <w:szCs w:val="24"/>
                <w:lang w:val="es-ES" w:eastAsia="es-ES"/>
              </w:rPr>
              <w:t>i</w:t>
            </w:r>
            <w:r w:rsidRPr="008943FC">
              <w:rPr>
                <w:rFonts w:ascii="Arial" w:hAnsi="Arial" w:cs="Arial"/>
                <w:sz w:val="24"/>
                <w:szCs w:val="24"/>
                <w:lang w:val="es-ES" w:eastAsia="es-ES"/>
              </w:rPr>
              <w:t>, en el p</w:t>
            </w:r>
            <w:r w:rsidR="009C5EF2" w:rsidRPr="008943FC">
              <w:rPr>
                <w:rFonts w:ascii="Arial" w:hAnsi="Arial" w:cs="Arial"/>
                <w:sz w:val="24"/>
                <w:szCs w:val="24"/>
                <w:lang w:val="es-ES" w:eastAsia="es-ES"/>
              </w:rPr>
              <w:t>eríodo</w:t>
            </w:r>
            <w:r w:rsidRPr="008943FC">
              <w:rPr>
                <w:rFonts w:ascii="Arial" w:hAnsi="Arial" w:cs="Arial"/>
                <w:sz w:val="24"/>
                <w:szCs w:val="24"/>
                <w:lang w:val="es-ES" w:eastAsia="es-ES"/>
              </w:rPr>
              <w:t xml:space="preserve"> </w:t>
            </w:r>
            <w:r w:rsidRPr="008943FC">
              <w:rPr>
                <w:rFonts w:ascii="Arial" w:hAnsi="Arial" w:cs="Arial"/>
                <w:i/>
                <w:sz w:val="24"/>
                <w:szCs w:val="24"/>
                <w:lang w:val="es-ES" w:eastAsia="es-ES"/>
              </w:rPr>
              <w:t>t</w:t>
            </w:r>
            <w:r w:rsidRPr="008943FC">
              <w:rPr>
                <w:rFonts w:ascii="Arial" w:hAnsi="Arial" w:cs="Arial"/>
                <w:sz w:val="24"/>
                <w:szCs w:val="24"/>
                <w:lang w:val="es-ES" w:eastAsia="es-ES"/>
              </w:rPr>
              <w:t xml:space="preserve">, medida en kilogramos, </w:t>
            </w:r>
            <w:r w:rsidRPr="008943FC">
              <w:rPr>
                <w:rFonts w:ascii="Arial" w:eastAsiaTheme="minorEastAsia" w:hAnsi="Arial" w:cs="Arial"/>
                <w:sz w:val="24"/>
                <w:szCs w:val="24"/>
                <w:lang w:val="es-ES" w:eastAsia="es-ES"/>
              </w:rPr>
              <w:t>de acuerdo con la información reportada al SUI.</w:t>
            </w:r>
          </w:p>
        </w:tc>
      </w:tr>
      <w:tr w:rsidR="00DE5054" w:rsidRPr="00FB2E5A" w14:paraId="119A08C9" w14:textId="77777777" w:rsidTr="00F913D4">
        <w:tc>
          <w:tcPr>
            <w:tcW w:w="1269" w:type="dxa"/>
          </w:tcPr>
          <w:p w14:paraId="2711F92D" w14:textId="77777777" w:rsidR="00DE5054" w:rsidRPr="008943FC" w:rsidRDefault="00DE5054" w:rsidP="00986A80">
            <w:pPr>
              <w:spacing w:line="360" w:lineRule="auto"/>
              <w:jc w:val="both"/>
              <w:rPr>
                <w:rFonts w:ascii="Arial" w:hAnsi="Arial" w:cs="Arial"/>
                <w:sz w:val="24"/>
                <w:szCs w:val="24"/>
                <w:lang w:val="es-ES" w:eastAsia="es-ES"/>
              </w:rPr>
            </w:pPr>
            <m:oMath>
              <m:r>
                <w:rPr>
                  <w:rFonts w:ascii="Cambria Math" w:hAnsi="Cambria Math" w:cs="Arial"/>
                  <w:sz w:val="24"/>
                  <w:szCs w:val="24"/>
                  <w:lang w:val="es-ES" w:eastAsia="es-ES"/>
                </w:rPr>
                <m:t>Cap.T</m:t>
              </m:r>
              <m:sSub>
                <m:sSubPr>
                  <m:ctrlPr>
                    <w:rPr>
                      <w:rFonts w:ascii="Cambria Math" w:hAnsi="Cambria Math" w:cs="Arial"/>
                      <w:i/>
                      <w:sz w:val="24"/>
                      <w:szCs w:val="24"/>
                      <w:lang w:val="es-ES" w:eastAsia="es-ES"/>
                    </w:rPr>
                  </m:ctrlPr>
                </m:sSubPr>
                <m:e>
                  <m:r>
                    <w:rPr>
                      <w:rFonts w:ascii="Cambria Math" w:hAnsi="Cambria Math" w:cs="Arial"/>
                      <w:sz w:val="24"/>
                      <w:szCs w:val="24"/>
                      <w:lang w:val="es-ES" w:eastAsia="es-ES"/>
                    </w:rPr>
                    <m:t>E</m:t>
                  </m:r>
                </m:e>
                <m:sub>
                  <m:r>
                    <w:rPr>
                      <w:rFonts w:ascii="Cambria Math" w:hAnsi="Cambria Math" w:cs="Arial"/>
                      <w:sz w:val="24"/>
                      <w:szCs w:val="24"/>
                      <w:lang w:val="es-ES" w:eastAsia="es-ES"/>
                    </w:rPr>
                    <m:t>i,t</m:t>
                  </m:r>
                </m:sub>
              </m:sSub>
            </m:oMath>
            <w:r w:rsidRPr="008943FC">
              <w:rPr>
                <w:rFonts w:ascii="Arial" w:eastAsiaTheme="minorEastAsia" w:hAnsi="Arial" w:cs="Arial"/>
                <w:sz w:val="24"/>
                <w:szCs w:val="24"/>
                <w:lang w:val="es-ES" w:eastAsia="es-ES"/>
              </w:rPr>
              <w:t>:</w:t>
            </w:r>
          </w:p>
        </w:tc>
        <w:tc>
          <w:tcPr>
            <w:tcW w:w="6531" w:type="dxa"/>
          </w:tcPr>
          <w:p w14:paraId="779105D7" w14:textId="24DCCE78" w:rsidR="00DE5054" w:rsidRPr="008943FC" w:rsidRDefault="00DE5054" w:rsidP="00986A80">
            <w:pPr>
              <w:spacing w:line="360" w:lineRule="auto"/>
              <w:jc w:val="both"/>
              <w:rPr>
                <w:rFonts w:ascii="Arial" w:eastAsiaTheme="minorEastAsia" w:hAnsi="Arial" w:cs="Arial"/>
                <w:sz w:val="24"/>
                <w:szCs w:val="24"/>
                <w:lang w:val="es-ES" w:eastAsia="es-ES"/>
              </w:rPr>
            </w:pPr>
            <w:r w:rsidRPr="008943FC">
              <w:rPr>
                <w:rFonts w:ascii="Arial" w:eastAsiaTheme="minorEastAsia" w:hAnsi="Arial" w:cs="Arial"/>
                <w:sz w:val="24"/>
                <w:szCs w:val="24"/>
                <w:lang w:val="es-ES" w:eastAsia="es-ES"/>
              </w:rPr>
              <w:t xml:space="preserve">Capacidad total de tanques estacionarios atendidos por el distribuidor </w:t>
            </w:r>
            <w:r w:rsidRPr="008943FC">
              <w:rPr>
                <w:rFonts w:ascii="Arial" w:eastAsiaTheme="minorEastAsia" w:hAnsi="Arial" w:cs="Arial"/>
                <w:i/>
                <w:sz w:val="24"/>
                <w:szCs w:val="24"/>
                <w:lang w:val="es-ES" w:eastAsia="es-ES"/>
              </w:rPr>
              <w:t xml:space="preserve">i, </w:t>
            </w:r>
            <w:r w:rsidRPr="008943FC">
              <w:rPr>
                <w:rFonts w:ascii="Arial" w:eastAsiaTheme="minorEastAsia" w:hAnsi="Arial" w:cs="Arial"/>
                <w:sz w:val="24"/>
                <w:szCs w:val="24"/>
                <w:lang w:val="es-ES" w:eastAsia="es-ES"/>
              </w:rPr>
              <w:t>en el p</w:t>
            </w:r>
            <w:r w:rsidR="009C5EF2" w:rsidRPr="008943FC">
              <w:rPr>
                <w:rFonts w:ascii="Arial" w:eastAsiaTheme="minorEastAsia" w:hAnsi="Arial" w:cs="Arial"/>
                <w:sz w:val="24"/>
                <w:szCs w:val="24"/>
                <w:lang w:val="es-ES" w:eastAsia="es-ES"/>
              </w:rPr>
              <w:t>eríodo</w:t>
            </w:r>
            <w:r w:rsidRPr="008943FC">
              <w:rPr>
                <w:rFonts w:ascii="Arial" w:eastAsiaTheme="minorEastAsia" w:hAnsi="Arial" w:cs="Arial"/>
                <w:sz w:val="24"/>
                <w:szCs w:val="24"/>
                <w:lang w:val="es-ES" w:eastAsia="es-ES"/>
              </w:rPr>
              <w:t xml:space="preserve"> </w:t>
            </w:r>
            <w:r w:rsidRPr="008943FC">
              <w:rPr>
                <w:rFonts w:ascii="Arial" w:eastAsiaTheme="minorEastAsia" w:hAnsi="Arial" w:cs="Arial"/>
                <w:i/>
                <w:sz w:val="24"/>
                <w:szCs w:val="24"/>
                <w:lang w:val="es-ES" w:eastAsia="es-ES"/>
              </w:rPr>
              <w:t>t</w:t>
            </w:r>
            <w:r w:rsidRPr="008943FC">
              <w:rPr>
                <w:rFonts w:ascii="Arial" w:eastAsiaTheme="minorEastAsia" w:hAnsi="Arial" w:cs="Arial"/>
                <w:sz w:val="24"/>
                <w:szCs w:val="24"/>
                <w:lang w:val="es-ES" w:eastAsia="es-ES"/>
              </w:rPr>
              <w:t>, medida en kilogramos, de acuerdo con la información reportada al SUI.</w:t>
            </w:r>
          </w:p>
        </w:tc>
      </w:tr>
    </w:tbl>
    <w:p w14:paraId="5D4FCE46" w14:textId="77777777" w:rsidR="00DE5054" w:rsidRPr="008943FC" w:rsidRDefault="00DE5054" w:rsidP="00986A80">
      <w:pPr>
        <w:spacing w:after="0" w:line="360" w:lineRule="auto"/>
        <w:ind w:left="1272" w:hanging="705"/>
        <w:jc w:val="both"/>
        <w:rPr>
          <w:rFonts w:ascii="Arial" w:eastAsia="Times New Roman" w:hAnsi="Arial" w:cs="Arial"/>
          <w:sz w:val="24"/>
          <w:szCs w:val="24"/>
          <w:lang w:val="es-ES" w:eastAsia="es-ES"/>
        </w:rPr>
      </w:pPr>
    </w:p>
    <w:p w14:paraId="59A949AA" w14:textId="45E989A4" w:rsidR="00DE5054" w:rsidRPr="008943FC" w:rsidRDefault="00DE5054" w:rsidP="00986A80">
      <w:pPr>
        <w:spacing w:after="0" w:line="360" w:lineRule="auto"/>
        <w:ind w:left="567" w:right="284"/>
        <w:jc w:val="both"/>
        <w:rPr>
          <w:rFonts w:ascii="Arial" w:eastAsia="Times New Roman" w:hAnsi="Arial" w:cs="Arial"/>
          <w:sz w:val="24"/>
          <w:szCs w:val="24"/>
          <w:lang w:val="es-ES" w:eastAsia="es-ES"/>
        </w:rPr>
      </w:pPr>
      <w:r w:rsidRPr="008943FC">
        <w:rPr>
          <w:rFonts w:ascii="Arial" w:eastAsia="Times New Roman" w:hAnsi="Arial" w:cs="Arial"/>
          <w:b/>
          <w:sz w:val="24"/>
          <w:szCs w:val="24"/>
          <w:lang w:val="es-ES" w:eastAsia="es-ES"/>
        </w:rPr>
        <w:t>Parágrafo 2.</w:t>
      </w:r>
      <w:r w:rsidRPr="008943FC">
        <w:rPr>
          <w:rFonts w:ascii="Arial" w:eastAsia="Times New Roman" w:hAnsi="Arial" w:cs="Arial"/>
          <w:sz w:val="24"/>
          <w:szCs w:val="24"/>
          <w:lang w:val="es-ES" w:eastAsia="es-ES"/>
        </w:rPr>
        <w:t xml:space="preserve"> La capacidad total de envase en cilindros, de propiedad del distribuidor </w:t>
      </w:r>
      <w:r w:rsidRPr="008943FC">
        <w:rPr>
          <w:rFonts w:ascii="Arial" w:eastAsia="Times New Roman" w:hAnsi="Arial" w:cs="Arial"/>
          <w:i/>
          <w:sz w:val="24"/>
          <w:szCs w:val="24"/>
          <w:lang w:val="es-ES" w:eastAsia="es-ES"/>
        </w:rPr>
        <w:t>i</w:t>
      </w:r>
      <w:r w:rsidRPr="008943FC">
        <w:rPr>
          <w:rFonts w:ascii="Arial" w:eastAsia="Times New Roman" w:hAnsi="Arial" w:cs="Arial"/>
          <w:sz w:val="24"/>
          <w:szCs w:val="24"/>
          <w:lang w:val="es-ES" w:eastAsia="es-ES"/>
        </w:rPr>
        <w:t>, en el p</w:t>
      </w:r>
      <w:r w:rsidR="009C5EF2" w:rsidRPr="008943FC">
        <w:rPr>
          <w:rFonts w:ascii="Arial" w:eastAsia="Times New Roman" w:hAnsi="Arial" w:cs="Arial"/>
          <w:sz w:val="24"/>
          <w:szCs w:val="24"/>
          <w:lang w:val="es-ES" w:eastAsia="es-ES"/>
        </w:rPr>
        <w:t>eríodo</w:t>
      </w:r>
      <w:r w:rsidRPr="008943FC">
        <w:rPr>
          <w:rFonts w:ascii="Arial" w:eastAsia="Times New Roman" w:hAnsi="Arial" w:cs="Arial"/>
          <w:sz w:val="24"/>
          <w:szCs w:val="24"/>
          <w:lang w:val="es-ES" w:eastAsia="es-ES"/>
        </w:rPr>
        <w:t xml:space="preserve"> </w:t>
      </w:r>
      <w:r w:rsidRPr="008943FC">
        <w:rPr>
          <w:rFonts w:ascii="Arial" w:eastAsia="Times New Roman" w:hAnsi="Arial" w:cs="Arial"/>
          <w:i/>
          <w:sz w:val="24"/>
          <w:szCs w:val="24"/>
          <w:lang w:val="es-ES" w:eastAsia="es-ES"/>
        </w:rPr>
        <w:t xml:space="preserve">t, </w:t>
      </w:r>
      <w:r w:rsidRPr="008943FC">
        <w:rPr>
          <w:rFonts w:ascii="Arial" w:eastAsia="Times New Roman" w:hAnsi="Arial" w:cs="Arial"/>
          <w:sz w:val="24"/>
          <w:szCs w:val="24"/>
          <w:lang w:val="es-ES" w:eastAsia="es-ES"/>
        </w:rPr>
        <w:t xml:space="preserve">se calculará de la siguiente forma. </w:t>
      </w:r>
    </w:p>
    <w:p w14:paraId="4E7BF0B9" w14:textId="77777777" w:rsidR="00DE5054" w:rsidRPr="008943FC" w:rsidRDefault="00DE5054" w:rsidP="00986A80">
      <w:pPr>
        <w:spacing w:after="0" w:line="360" w:lineRule="auto"/>
        <w:ind w:left="567"/>
        <w:jc w:val="both"/>
        <w:rPr>
          <w:rFonts w:ascii="Arial" w:eastAsia="Times New Roman" w:hAnsi="Arial" w:cs="Arial"/>
          <w:sz w:val="24"/>
          <w:szCs w:val="24"/>
          <w:lang w:val="es-ES" w:eastAsia="es-ES"/>
        </w:rPr>
      </w:pPr>
    </w:p>
    <w:p w14:paraId="03CECD9D" w14:textId="77777777" w:rsidR="00DE5054" w:rsidRPr="008943FC" w:rsidRDefault="00DE5054" w:rsidP="00986A80">
      <w:pPr>
        <w:spacing w:after="0" w:line="360" w:lineRule="auto"/>
        <w:ind w:left="567"/>
        <w:jc w:val="both"/>
        <w:rPr>
          <w:rFonts w:ascii="Arial" w:eastAsia="Times New Roman" w:hAnsi="Arial" w:cs="Arial"/>
          <w:i/>
          <w:sz w:val="24"/>
          <w:szCs w:val="24"/>
          <w:lang w:eastAsia="es-ES"/>
        </w:rPr>
      </w:pPr>
      <m:oMathPara>
        <m:oMathParaPr>
          <m:jc m:val="centerGroup"/>
        </m:oMathParaPr>
        <m:oMath>
          <m:r>
            <w:rPr>
              <w:rFonts w:ascii="Cambria Math" w:eastAsia="Times New Roman" w:hAnsi="Cambria Math" w:cs="Arial"/>
              <w:sz w:val="24"/>
              <w:szCs w:val="24"/>
              <w:lang w:val="es-ES" w:eastAsia="es-ES"/>
            </w:rPr>
            <m:t>Cap.ci</m:t>
          </m:r>
          <m:sSub>
            <m:sSubPr>
              <m:ctrlPr>
                <w:rPr>
                  <w:rFonts w:ascii="Cambria Math" w:eastAsia="Times New Roman" w:hAnsi="Cambria Math" w:cs="Arial"/>
                  <w:i/>
                  <w:sz w:val="24"/>
                  <w:szCs w:val="24"/>
                  <w:lang w:eastAsia="es-ES"/>
                </w:rPr>
              </m:ctrlPr>
            </m:sSubPr>
            <m:e>
              <m:r>
                <w:rPr>
                  <w:rFonts w:ascii="Cambria Math" w:eastAsia="Times New Roman" w:hAnsi="Cambria Math" w:cs="Arial"/>
                  <w:sz w:val="24"/>
                  <w:szCs w:val="24"/>
                  <w:lang w:val="es-ES" w:eastAsia="es-ES"/>
                </w:rPr>
                <m:t>l</m:t>
              </m:r>
            </m:e>
            <m:sub>
              <m:r>
                <w:rPr>
                  <w:rFonts w:ascii="Cambria Math" w:eastAsia="Times New Roman" w:hAnsi="Cambria Math" w:cs="Arial"/>
                  <w:sz w:val="24"/>
                  <w:szCs w:val="24"/>
                  <w:lang w:val="es-ES" w:eastAsia="es-ES"/>
                </w:rPr>
                <m:t>i,t</m:t>
              </m:r>
            </m:sub>
          </m:sSub>
          <m:r>
            <w:rPr>
              <w:rFonts w:ascii="Cambria Math" w:eastAsia="Times New Roman" w:hAnsi="Cambria Math" w:cs="Arial"/>
              <w:sz w:val="24"/>
              <w:szCs w:val="24"/>
              <w:lang w:val="es-ES" w:eastAsia="es-ES"/>
            </w:rPr>
            <m:t>=</m:t>
          </m:r>
          <m:r>
            <w:rPr>
              <w:rFonts w:ascii="Cambria Math" w:eastAsia="Times New Roman" w:hAnsi="Cambria Math" w:cs="Arial"/>
              <w:sz w:val="24"/>
              <w:szCs w:val="24"/>
              <w:lang w:eastAsia="es-ES"/>
            </w:rPr>
            <m:t>Cap.</m:t>
          </m:r>
          <m:sSub>
            <m:sSubPr>
              <m:ctrlPr>
                <w:rPr>
                  <w:rFonts w:ascii="Cambria Math" w:eastAsia="Times New Roman" w:hAnsi="Cambria Math" w:cs="Arial"/>
                  <w:i/>
                  <w:sz w:val="24"/>
                  <w:szCs w:val="24"/>
                  <w:lang w:eastAsia="es-ES"/>
                </w:rPr>
              </m:ctrlPr>
            </m:sSubPr>
            <m:e>
              <m:r>
                <w:rPr>
                  <w:rFonts w:ascii="Cambria Math" w:eastAsia="Times New Roman" w:hAnsi="Cambria Math" w:cs="Arial"/>
                  <w:sz w:val="24"/>
                  <w:szCs w:val="24"/>
                  <w:lang w:eastAsia="es-ES"/>
                </w:rPr>
                <m:t>1</m:t>
              </m:r>
            </m:e>
            <m:sub>
              <m:r>
                <w:rPr>
                  <w:rFonts w:ascii="Cambria Math" w:eastAsia="Times New Roman" w:hAnsi="Cambria Math" w:cs="Arial"/>
                  <w:sz w:val="24"/>
                  <w:szCs w:val="24"/>
                  <w:lang w:eastAsia="es-ES"/>
                </w:rPr>
                <m:t>i,t</m:t>
              </m:r>
            </m:sub>
          </m:sSub>
          <m:r>
            <w:rPr>
              <w:rFonts w:ascii="Cambria Math" w:eastAsia="Times New Roman" w:hAnsi="Cambria Math" w:cs="Arial"/>
              <w:sz w:val="24"/>
              <w:szCs w:val="24"/>
              <w:lang w:eastAsia="es-ES"/>
            </w:rPr>
            <m:t>+Cap</m:t>
          </m:r>
          <m:sSub>
            <m:sSubPr>
              <m:ctrlPr>
                <w:rPr>
                  <w:rFonts w:ascii="Cambria Math" w:eastAsia="Times New Roman" w:hAnsi="Cambria Math" w:cs="Arial"/>
                  <w:i/>
                  <w:sz w:val="24"/>
                  <w:szCs w:val="24"/>
                  <w:lang w:eastAsia="es-ES"/>
                </w:rPr>
              </m:ctrlPr>
            </m:sSubPr>
            <m:e>
              <m:r>
                <w:rPr>
                  <w:rFonts w:ascii="Cambria Math" w:eastAsia="Times New Roman" w:hAnsi="Cambria Math" w:cs="Arial"/>
                  <w:sz w:val="24"/>
                  <w:szCs w:val="24"/>
                  <w:lang w:eastAsia="es-ES"/>
                </w:rPr>
                <m:t>.2</m:t>
              </m:r>
            </m:e>
            <m:sub>
              <m:r>
                <w:rPr>
                  <w:rFonts w:ascii="Cambria Math" w:eastAsia="Times New Roman" w:hAnsi="Cambria Math" w:cs="Arial"/>
                  <w:sz w:val="24"/>
                  <w:szCs w:val="24"/>
                  <w:lang w:eastAsia="es-ES"/>
                </w:rPr>
                <m:t>i,t</m:t>
              </m:r>
            </m:sub>
          </m:sSub>
        </m:oMath>
      </m:oMathPara>
    </w:p>
    <w:p w14:paraId="2FB2C2CC" w14:textId="77777777" w:rsidR="009D53E5" w:rsidRPr="008943FC" w:rsidRDefault="009D53E5" w:rsidP="00986A80">
      <w:pPr>
        <w:spacing w:after="0" w:line="360" w:lineRule="auto"/>
        <w:ind w:left="709" w:firstLine="566"/>
        <w:jc w:val="both"/>
        <w:rPr>
          <w:rFonts w:ascii="Arial" w:eastAsiaTheme="minorEastAsia" w:hAnsi="Arial" w:cs="Arial"/>
          <w:sz w:val="24"/>
          <w:szCs w:val="24"/>
          <w:lang w:val="es-ES" w:eastAsia="es-ES"/>
        </w:rPr>
      </w:pPr>
    </w:p>
    <w:p w14:paraId="77E7DFE0" w14:textId="77777777" w:rsidR="00DE5054" w:rsidRPr="008943FC" w:rsidRDefault="00DE5054" w:rsidP="00986A80">
      <w:pPr>
        <w:spacing w:after="0" w:line="360" w:lineRule="auto"/>
        <w:ind w:left="709" w:firstLine="566"/>
        <w:jc w:val="both"/>
        <w:rPr>
          <w:rFonts w:ascii="Arial" w:eastAsiaTheme="minorEastAsia" w:hAnsi="Arial" w:cs="Arial"/>
          <w:sz w:val="24"/>
          <w:szCs w:val="24"/>
          <w:lang w:val="es-ES" w:eastAsia="es-ES"/>
        </w:rPr>
      </w:pPr>
      <w:r w:rsidRPr="008943FC">
        <w:rPr>
          <w:rFonts w:ascii="Arial" w:eastAsiaTheme="minorEastAsia" w:hAnsi="Arial" w:cs="Arial"/>
          <w:sz w:val="24"/>
          <w:szCs w:val="24"/>
          <w:lang w:val="es-ES" w:eastAsia="es-ES"/>
        </w:rPr>
        <w:t>donde,</w:t>
      </w:r>
    </w:p>
    <w:tbl>
      <w:tblPr>
        <w:tblStyle w:val="Tablaconcuadrcula3"/>
        <w:tblW w:w="7830"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9"/>
        <w:gridCol w:w="6171"/>
      </w:tblGrid>
      <w:tr w:rsidR="00DE5054" w:rsidRPr="00FB2E5A" w14:paraId="7C9CF7D5" w14:textId="77777777" w:rsidTr="00060C0E">
        <w:trPr>
          <w:trHeight w:val="168"/>
        </w:trPr>
        <w:tc>
          <w:tcPr>
            <w:tcW w:w="1659" w:type="dxa"/>
            <w:hideMark/>
          </w:tcPr>
          <w:p w14:paraId="1584976D" w14:textId="77777777" w:rsidR="00DE5054" w:rsidRPr="008943FC" w:rsidRDefault="00DE5054" w:rsidP="00986A80">
            <w:pPr>
              <w:spacing w:line="360" w:lineRule="auto"/>
              <w:ind w:left="2127" w:hanging="2127"/>
              <w:jc w:val="both"/>
              <w:rPr>
                <w:rFonts w:ascii="Arial" w:eastAsiaTheme="minorEastAsia" w:hAnsi="Arial" w:cs="Arial"/>
                <w:sz w:val="24"/>
                <w:szCs w:val="24"/>
                <w:lang w:eastAsia="es-ES"/>
              </w:rPr>
            </w:pPr>
            <m:oMath>
              <m:r>
                <w:rPr>
                  <w:rFonts w:ascii="Cambria Math" w:eastAsiaTheme="minorEastAsia" w:hAnsi="Cambria Math" w:cs="Arial"/>
                  <w:sz w:val="24"/>
                  <w:szCs w:val="24"/>
                  <w:lang w:val="es-ES" w:eastAsia="es-ES"/>
                </w:rPr>
                <m:t>Cap</m:t>
              </m:r>
              <m:r>
                <m:rPr>
                  <m:sty m:val="p"/>
                </m:rPr>
                <w:rPr>
                  <w:rFonts w:ascii="Cambria Math" w:eastAsiaTheme="minorEastAsia" w:hAnsi="Cambria Math" w:cs="Arial"/>
                  <w:sz w:val="24"/>
                  <w:szCs w:val="24"/>
                  <w:lang w:val="es-ES" w:eastAsia="es-ES"/>
                </w:rPr>
                <m:t>.</m:t>
              </m:r>
              <m:r>
                <w:rPr>
                  <w:rFonts w:ascii="Cambria Math" w:eastAsiaTheme="minorEastAsia" w:hAnsi="Cambria Math" w:cs="Arial"/>
                  <w:sz w:val="24"/>
                  <w:szCs w:val="24"/>
                  <w:lang w:val="es-ES" w:eastAsia="es-ES"/>
                </w:rPr>
                <m:t>ci</m:t>
              </m:r>
              <m:sSub>
                <m:sSubPr>
                  <m:ctrlPr>
                    <w:rPr>
                      <w:rFonts w:ascii="Cambria Math" w:eastAsiaTheme="minorEastAsia" w:hAnsi="Cambria Math" w:cs="Arial"/>
                      <w:i/>
                      <w:sz w:val="24"/>
                      <w:szCs w:val="24"/>
                      <w:lang w:eastAsia="es-ES"/>
                    </w:rPr>
                  </m:ctrlPr>
                </m:sSubPr>
                <m:e>
                  <m:r>
                    <w:rPr>
                      <w:rFonts w:ascii="Cambria Math" w:eastAsiaTheme="minorEastAsia" w:hAnsi="Cambria Math" w:cs="Arial"/>
                      <w:sz w:val="24"/>
                      <w:szCs w:val="24"/>
                      <w:lang w:val="es-ES" w:eastAsia="es-ES"/>
                    </w:rPr>
                    <m:t>l</m:t>
                  </m:r>
                </m:e>
                <m:sub>
                  <m:r>
                    <w:rPr>
                      <w:rFonts w:ascii="Cambria Math" w:eastAsiaTheme="minorEastAsia" w:hAnsi="Cambria Math" w:cs="Arial"/>
                      <w:sz w:val="24"/>
                      <w:szCs w:val="24"/>
                      <w:lang w:val="es-ES" w:eastAsia="es-ES"/>
                    </w:rPr>
                    <m:t>i</m:t>
                  </m:r>
                  <m:r>
                    <m:rPr>
                      <m:sty m:val="p"/>
                    </m:rPr>
                    <w:rPr>
                      <w:rFonts w:ascii="Cambria Math" w:eastAsiaTheme="minorEastAsia" w:hAnsi="Cambria Math" w:cs="Arial"/>
                      <w:sz w:val="24"/>
                      <w:szCs w:val="24"/>
                      <w:lang w:val="es-ES" w:eastAsia="es-ES"/>
                    </w:rPr>
                    <m:t>,</m:t>
                  </m:r>
                  <m:r>
                    <w:rPr>
                      <w:rFonts w:ascii="Cambria Math" w:eastAsiaTheme="minorEastAsia" w:hAnsi="Cambria Math" w:cs="Arial"/>
                      <w:sz w:val="24"/>
                      <w:szCs w:val="24"/>
                      <w:lang w:val="es-ES" w:eastAsia="es-ES"/>
                    </w:rPr>
                    <m:t>t</m:t>
                  </m:r>
                </m:sub>
              </m:sSub>
            </m:oMath>
            <w:r w:rsidRPr="008943FC">
              <w:rPr>
                <w:rFonts w:ascii="Arial" w:eastAsiaTheme="minorEastAsia" w:hAnsi="Arial" w:cs="Arial"/>
                <w:sz w:val="24"/>
                <w:szCs w:val="24"/>
                <w:lang w:val="es-ES" w:eastAsia="es-ES"/>
              </w:rPr>
              <w:t>:</w:t>
            </w:r>
          </w:p>
        </w:tc>
        <w:tc>
          <w:tcPr>
            <w:tcW w:w="6171" w:type="dxa"/>
            <w:hideMark/>
          </w:tcPr>
          <w:p w14:paraId="1AB1FE9A" w14:textId="2B522D53" w:rsidR="00DE5054" w:rsidRPr="008943FC" w:rsidRDefault="00DE5054" w:rsidP="00986A80">
            <w:pPr>
              <w:spacing w:line="360" w:lineRule="auto"/>
              <w:jc w:val="both"/>
              <w:rPr>
                <w:rFonts w:ascii="Arial" w:eastAsiaTheme="minorEastAsia" w:hAnsi="Arial" w:cs="Arial"/>
                <w:sz w:val="24"/>
                <w:szCs w:val="24"/>
                <w:lang w:val="es-ES" w:eastAsia="es-ES"/>
              </w:rPr>
            </w:pPr>
            <w:r w:rsidRPr="008943FC">
              <w:rPr>
                <w:rFonts w:ascii="Arial" w:eastAsiaTheme="minorEastAsia" w:hAnsi="Arial" w:cs="Arial"/>
                <w:sz w:val="24"/>
                <w:szCs w:val="24"/>
                <w:lang w:val="es-ES" w:eastAsia="es-ES"/>
              </w:rPr>
              <w:t>Capacidad total de envase en cilindros de propiedad del distribuidor i, en el p</w:t>
            </w:r>
            <w:r w:rsidR="009C5EF2" w:rsidRPr="008943FC">
              <w:rPr>
                <w:rFonts w:ascii="Arial" w:eastAsiaTheme="minorEastAsia" w:hAnsi="Arial" w:cs="Arial"/>
                <w:sz w:val="24"/>
                <w:szCs w:val="24"/>
                <w:lang w:val="es-ES" w:eastAsia="es-ES"/>
              </w:rPr>
              <w:t>eríodo</w:t>
            </w:r>
            <w:r w:rsidRPr="008943FC">
              <w:rPr>
                <w:rFonts w:ascii="Arial" w:eastAsiaTheme="minorEastAsia" w:hAnsi="Arial" w:cs="Arial"/>
                <w:sz w:val="24"/>
                <w:szCs w:val="24"/>
                <w:lang w:val="es-ES" w:eastAsia="es-ES"/>
              </w:rPr>
              <w:t xml:space="preserve"> t, medida en kilogramos, registrado en el SUI.</w:t>
            </w:r>
          </w:p>
          <w:p w14:paraId="45056FC0" w14:textId="77777777" w:rsidR="00C705A5" w:rsidRPr="008943FC" w:rsidRDefault="00C705A5" w:rsidP="00986A80">
            <w:pPr>
              <w:spacing w:line="360" w:lineRule="auto"/>
              <w:jc w:val="both"/>
              <w:rPr>
                <w:rFonts w:ascii="Arial" w:eastAsiaTheme="minorEastAsia" w:hAnsi="Arial" w:cs="Arial"/>
                <w:sz w:val="24"/>
                <w:szCs w:val="24"/>
                <w:lang w:eastAsia="es-ES"/>
              </w:rPr>
            </w:pPr>
          </w:p>
        </w:tc>
      </w:tr>
      <w:tr w:rsidR="00DE5054" w:rsidRPr="00FB2E5A" w14:paraId="5016DEBE" w14:textId="77777777" w:rsidTr="00F913D4">
        <w:trPr>
          <w:trHeight w:val="1359"/>
        </w:trPr>
        <w:tc>
          <w:tcPr>
            <w:tcW w:w="1659" w:type="dxa"/>
            <w:hideMark/>
          </w:tcPr>
          <w:p w14:paraId="2CDC937A" w14:textId="77777777" w:rsidR="00DE5054" w:rsidRPr="008943FC" w:rsidRDefault="00DE5054" w:rsidP="00986A80">
            <w:pPr>
              <w:spacing w:line="360" w:lineRule="auto"/>
              <w:ind w:left="2127" w:hanging="2127"/>
              <w:jc w:val="both"/>
              <w:rPr>
                <w:rFonts w:ascii="Arial" w:eastAsiaTheme="minorEastAsia" w:hAnsi="Arial" w:cs="Arial"/>
                <w:sz w:val="24"/>
                <w:szCs w:val="24"/>
                <w:lang w:eastAsia="es-ES"/>
              </w:rPr>
            </w:pPr>
            <m:oMath>
              <m:r>
                <w:rPr>
                  <w:rFonts w:ascii="Cambria Math" w:eastAsiaTheme="minorEastAsia" w:hAnsi="Cambria Math" w:cs="Arial"/>
                  <w:sz w:val="24"/>
                  <w:szCs w:val="24"/>
                  <w:lang w:eastAsia="es-ES"/>
                </w:rPr>
                <m:t>Cap.</m:t>
              </m:r>
              <m:sSub>
                <m:sSubPr>
                  <m:ctrlPr>
                    <w:rPr>
                      <w:rFonts w:ascii="Cambria Math" w:eastAsiaTheme="minorEastAsia" w:hAnsi="Cambria Math" w:cs="Arial"/>
                      <w:i/>
                      <w:sz w:val="24"/>
                      <w:szCs w:val="24"/>
                      <w:lang w:eastAsia="es-ES"/>
                    </w:rPr>
                  </m:ctrlPr>
                </m:sSubPr>
                <m:e>
                  <m:r>
                    <w:rPr>
                      <w:rFonts w:ascii="Cambria Math" w:eastAsiaTheme="minorEastAsia" w:hAnsi="Cambria Math" w:cs="Arial"/>
                      <w:sz w:val="24"/>
                      <w:szCs w:val="24"/>
                      <w:lang w:eastAsia="es-ES"/>
                    </w:rPr>
                    <m:t>1</m:t>
                  </m:r>
                </m:e>
                <m:sub>
                  <m:r>
                    <w:rPr>
                      <w:rFonts w:ascii="Cambria Math" w:eastAsiaTheme="minorEastAsia" w:hAnsi="Cambria Math" w:cs="Arial"/>
                      <w:sz w:val="24"/>
                      <w:szCs w:val="24"/>
                      <w:lang w:eastAsia="es-ES"/>
                    </w:rPr>
                    <m:t>i,t</m:t>
                  </m:r>
                </m:sub>
              </m:sSub>
            </m:oMath>
            <w:r w:rsidRPr="008943FC">
              <w:rPr>
                <w:rFonts w:ascii="Arial" w:eastAsiaTheme="minorEastAsia" w:hAnsi="Arial" w:cs="Arial"/>
                <w:sz w:val="24"/>
                <w:szCs w:val="24"/>
                <w:lang w:eastAsia="es-ES"/>
              </w:rPr>
              <w:t>:</w:t>
            </w:r>
          </w:p>
        </w:tc>
        <w:tc>
          <w:tcPr>
            <w:tcW w:w="6171" w:type="dxa"/>
            <w:hideMark/>
          </w:tcPr>
          <w:p w14:paraId="251274C8" w14:textId="0AA18D57" w:rsidR="00DE5054" w:rsidRPr="008943FC" w:rsidRDefault="00DE5054" w:rsidP="00986A80">
            <w:pPr>
              <w:spacing w:line="360" w:lineRule="auto"/>
              <w:jc w:val="both"/>
              <w:rPr>
                <w:rFonts w:ascii="Arial" w:eastAsiaTheme="minorEastAsia" w:hAnsi="Arial" w:cs="Arial"/>
                <w:sz w:val="24"/>
                <w:szCs w:val="24"/>
                <w:lang w:eastAsia="es-ES"/>
              </w:rPr>
            </w:pPr>
            <w:r w:rsidRPr="008943FC">
              <w:rPr>
                <w:rFonts w:ascii="Arial" w:eastAsiaTheme="minorEastAsia" w:hAnsi="Arial" w:cs="Arial"/>
                <w:sz w:val="24"/>
                <w:szCs w:val="24"/>
                <w:lang w:eastAsia="es-ES"/>
              </w:rPr>
              <w:t xml:space="preserve">Capacidad de envase en cilindros, de acuerdo con la información registrada desde el 2008 hasta octubre de 2012, por AIC proyectos, para cada marca de propiedad </w:t>
            </w:r>
            <w:r w:rsidRPr="008943FC">
              <w:rPr>
                <w:rFonts w:ascii="Arial" w:eastAsiaTheme="minorEastAsia" w:hAnsi="Arial" w:cs="Arial"/>
                <w:sz w:val="24"/>
                <w:szCs w:val="24"/>
                <w:lang w:eastAsia="es-ES"/>
              </w:rPr>
              <w:lastRenderedPageBreak/>
              <w:t>del distribuidor i, en el p</w:t>
            </w:r>
            <w:r w:rsidR="009C5EF2" w:rsidRPr="008943FC">
              <w:rPr>
                <w:rFonts w:ascii="Arial" w:eastAsiaTheme="minorEastAsia" w:hAnsi="Arial" w:cs="Arial"/>
                <w:sz w:val="24"/>
                <w:szCs w:val="24"/>
                <w:lang w:eastAsia="es-ES"/>
              </w:rPr>
              <w:t>eríodo</w:t>
            </w:r>
            <w:r w:rsidRPr="008943FC">
              <w:rPr>
                <w:rFonts w:ascii="Arial" w:eastAsiaTheme="minorEastAsia" w:hAnsi="Arial" w:cs="Arial"/>
                <w:sz w:val="24"/>
                <w:szCs w:val="24"/>
                <w:lang w:eastAsia="es-ES"/>
              </w:rPr>
              <w:t xml:space="preserve"> t, medida en kilogramos, definido de la siguiente forma:  </w:t>
            </w:r>
          </w:p>
        </w:tc>
      </w:tr>
    </w:tbl>
    <w:p w14:paraId="186C00CF" w14:textId="77777777" w:rsidR="00DE5054" w:rsidRPr="008943FC" w:rsidRDefault="00DE5054" w:rsidP="00986A80">
      <w:pPr>
        <w:spacing w:after="0" w:line="360" w:lineRule="auto"/>
        <w:ind w:left="2694" w:hanging="2127"/>
        <w:jc w:val="both"/>
        <w:rPr>
          <w:rFonts w:ascii="Arial" w:eastAsiaTheme="minorEastAsia" w:hAnsi="Arial" w:cs="Arial"/>
          <w:sz w:val="24"/>
          <w:szCs w:val="24"/>
          <w:lang w:val="es-ES" w:eastAsia="es-ES"/>
        </w:rPr>
      </w:pPr>
    </w:p>
    <w:p w14:paraId="0267BA41" w14:textId="77777777" w:rsidR="00DE5054" w:rsidRPr="008943FC" w:rsidRDefault="00DE5054" w:rsidP="00986A80">
      <w:pPr>
        <w:spacing w:after="0" w:line="360" w:lineRule="auto"/>
        <w:ind w:left="2694" w:hanging="2127"/>
        <w:jc w:val="both"/>
        <w:rPr>
          <w:rFonts w:ascii="Arial" w:eastAsiaTheme="minorEastAsia" w:hAnsi="Arial" w:cs="Arial"/>
          <w:sz w:val="24"/>
          <w:szCs w:val="24"/>
          <w:lang w:val="es-ES" w:eastAsia="es-ES"/>
        </w:rPr>
      </w:pPr>
      <m:oMathPara>
        <m:oMathParaPr>
          <m:jc m:val="centerGroup"/>
        </m:oMathParaPr>
        <m:oMath>
          <m:r>
            <w:rPr>
              <w:rFonts w:ascii="Cambria Math" w:eastAsiaTheme="minorEastAsia" w:hAnsi="Cambria Math" w:cs="Arial"/>
              <w:sz w:val="24"/>
              <w:szCs w:val="24"/>
              <w:lang w:eastAsia="es-ES"/>
            </w:rPr>
            <m:t>Cap.</m:t>
          </m:r>
          <m:sSub>
            <m:sSubPr>
              <m:ctrlPr>
                <w:rPr>
                  <w:rFonts w:ascii="Cambria Math" w:eastAsiaTheme="minorEastAsia" w:hAnsi="Cambria Math" w:cs="Arial"/>
                  <w:i/>
                  <w:sz w:val="24"/>
                  <w:szCs w:val="24"/>
                  <w:lang w:eastAsia="es-ES"/>
                </w:rPr>
              </m:ctrlPr>
            </m:sSubPr>
            <m:e>
              <m:r>
                <w:rPr>
                  <w:rFonts w:ascii="Cambria Math" w:eastAsiaTheme="minorEastAsia" w:hAnsi="Cambria Math" w:cs="Arial"/>
                  <w:sz w:val="24"/>
                  <w:szCs w:val="24"/>
                  <w:lang w:eastAsia="es-ES"/>
                </w:rPr>
                <m:t>1</m:t>
              </m:r>
            </m:e>
            <m:sub>
              <m:r>
                <w:rPr>
                  <w:rFonts w:ascii="Cambria Math" w:eastAsiaTheme="minorEastAsia" w:hAnsi="Cambria Math" w:cs="Arial"/>
                  <w:sz w:val="24"/>
                  <w:szCs w:val="24"/>
                  <w:lang w:eastAsia="es-ES"/>
                </w:rPr>
                <m:t>i,t</m:t>
              </m:r>
            </m:sub>
          </m:sSub>
          <m:r>
            <w:rPr>
              <w:rFonts w:ascii="Cambria Math" w:eastAsiaTheme="minorEastAsia" w:hAnsi="Cambria Math" w:cs="Arial"/>
              <w:sz w:val="24"/>
              <w:szCs w:val="24"/>
              <w:lang w:val="es-ES" w:eastAsia="es-ES"/>
            </w:rPr>
            <m:t>=</m:t>
          </m:r>
          <m:nary>
            <m:naryPr>
              <m:chr m:val="∑"/>
              <m:limLoc m:val="undOvr"/>
              <m:supHide m:val="1"/>
              <m:ctrlPr>
                <w:rPr>
                  <w:rFonts w:ascii="Cambria Math" w:eastAsiaTheme="minorEastAsia" w:hAnsi="Cambria Math" w:cs="Arial"/>
                  <w:i/>
                  <w:sz w:val="24"/>
                  <w:szCs w:val="24"/>
                  <w:lang w:eastAsia="es-ES"/>
                </w:rPr>
              </m:ctrlPr>
            </m:naryPr>
            <m:sub>
              <m:r>
                <w:rPr>
                  <w:rFonts w:ascii="Cambria Math" w:eastAsiaTheme="minorEastAsia" w:hAnsi="Cambria Math" w:cs="Arial"/>
                  <w:sz w:val="24"/>
                  <w:szCs w:val="24"/>
                  <w:lang w:val="es-ES" w:eastAsia="es-ES"/>
                </w:rPr>
                <m:t>CP</m:t>
              </m:r>
            </m:sub>
            <m:sup/>
            <m:e>
              <m:r>
                <w:rPr>
                  <w:rFonts w:ascii="Cambria Math" w:eastAsiaTheme="minorEastAsia" w:hAnsi="Cambria Math" w:cs="Arial"/>
                  <w:sz w:val="24"/>
                  <w:szCs w:val="24"/>
                  <w:lang w:val="es-ES" w:eastAsia="es-ES"/>
                </w:rPr>
                <m:t>C</m:t>
              </m:r>
              <m:sSub>
                <m:sSubPr>
                  <m:ctrlPr>
                    <w:rPr>
                      <w:rFonts w:ascii="Cambria Math" w:eastAsiaTheme="minorEastAsia" w:hAnsi="Cambria Math" w:cs="Arial"/>
                      <w:i/>
                      <w:sz w:val="24"/>
                      <w:szCs w:val="24"/>
                      <w:lang w:eastAsia="es-ES"/>
                    </w:rPr>
                  </m:ctrlPr>
                </m:sSubPr>
                <m:e>
                  <m:r>
                    <w:rPr>
                      <w:rFonts w:ascii="Cambria Math" w:eastAsiaTheme="minorEastAsia" w:hAnsi="Cambria Math" w:cs="Arial"/>
                      <w:sz w:val="24"/>
                      <w:szCs w:val="24"/>
                      <w:lang w:val="es-ES" w:eastAsia="es-ES"/>
                    </w:rPr>
                    <m:t>P</m:t>
                  </m:r>
                </m:e>
                <m:sub>
                  <m:r>
                    <w:rPr>
                      <w:rFonts w:ascii="Cambria Math" w:eastAsiaTheme="minorEastAsia" w:hAnsi="Cambria Math" w:cs="Arial"/>
                      <w:sz w:val="24"/>
                      <w:szCs w:val="24"/>
                      <w:lang w:eastAsia="es-ES"/>
                    </w:rPr>
                    <m:t>Lb</m:t>
                  </m:r>
                </m:sub>
              </m:sSub>
              <m:r>
                <w:rPr>
                  <w:rFonts w:ascii="Cambria Math" w:eastAsiaTheme="minorEastAsia" w:hAnsi="Cambria Math" w:cs="Arial"/>
                  <w:sz w:val="24"/>
                  <w:szCs w:val="24"/>
                  <w:lang w:val="es-ES" w:eastAsia="es-ES"/>
                </w:rPr>
                <m:t>*N</m:t>
              </m:r>
              <m:sSub>
                <m:sSubPr>
                  <m:ctrlPr>
                    <w:rPr>
                      <w:rFonts w:ascii="Cambria Math" w:eastAsiaTheme="minorEastAsia" w:hAnsi="Cambria Math" w:cs="Arial"/>
                      <w:i/>
                      <w:sz w:val="24"/>
                      <w:szCs w:val="24"/>
                      <w:lang w:eastAsia="es-ES"/>
                    </w:rPr>
                  </m:ctrlPr>
                </m:sSubPr>
                <m:e>
                  <m:r>
                    <w:rPr>
                      <w:rFonts w:ascii="Cambria Math" w:eastAsiaTheme="minorEastAsia" w:hAnsi="Cambria Math" w:cs="Arial"/>
                      <w:sz w:val="24"/>
                      <w:szCs w:val="24"/>
                      <w:lang w:val="es-ES" w:eastAsia="es-ES"/>
                    </w:rPr>
                    <m:t>C</m:t>
                  </m:r>
                </m:e>
                <m:sub>
                  <m:r>
                    <w:rPr>
                      <w:rFonts w:ascii="Cambria Math" w:eastAsiaTheme="minorEastAsia" w:hAnsi="Cambria Math" w:cs="Arial"/>
                      <w:sz w:val="24"/>
                      <w:szCs w:val="24"/>
                      <w:lang w:val="es-ES" w:eastAsia="es-ES"/>
                    </w:rPr>
                    <m:t>CP</m:t>
                  </m:r>
                  <m:r>
                    <w:rPr>
                      <w:rFonts w:ascii="Cambria Math" w:eastAsiaTheme="minorEastAsia" w:hAnsi="Cambria Math" w:cs="Arial"/>
                      <w:sz w:val="24"/>
                      <w:szCs w:val="24"/>
                      <w:lang w:eastAsia="es-ES"/>
                    </w:rPr>
                    <m:t>,Lb</m:t>
                  </m:r>
                </m:sub>
              </m:sSub>
            </m:e>
          </m:nary>
          <m:r>
            <w:rPr>
              <w:rFonts w:ascii="Cambria Math" w:eastAsiaTheme="minorEastAsia" w:hAnsi="Cambria Math" w:cs="Arial"/>
              <w:sz w:val="24"/>
              <w:szCs w:val="24"/>
              <w:lang w:val="es-ES" w:eastAsia="es-ES"/>
            </w:rPr>
            <m:t>*</m:t>
          </m:r>
          <m:d>
            <m:dPr>
              <m:ctrlPr>
                <w:rPr>
                  <w:rFonts w:ascii="Cambria Math" w:eastAsiaTheme="minorEastAsia" w:hAnsi="Cambria Math" w:cs="Arial"/>
                  <w:i/>
                  <w:sz w:val="24"/>
                  <w:szCs w:val="24"/>
                  <w:lang w:eastAsia="es-ES"/>
                </w:rPr>
              </m:ctrlPr>
            </m:dPr>
            <m:e>
              <m:r>
                <w:rPr>
                  <w:rFonts w:ascii="Cambria Math" w:eastAsiaTheme="minorEastAsia" w:hAnsi="Cambria Math" w:cs="Arial"/>
                  <w:sz w:val="24"/>
                  <w:szCs w:val="24"/>
                  <w:lang w:val="es-ES" w:eastAsia="es-ES"/>
                </w:rPr>
                <m:t>0,454</m:t>
              </m:r>
            </m:e>
          </m:d>
          <m:r>
            <w:rPr>
              <w:rFonts w:ascii="Cambria Math" w:eastAsiaTheme="minorEastAsia" w:hAnsi="Cambria Math" w:cs="Arial"/>
              <w:sz w:val="24"/>
              <w:szCs w:val="24"/>
              <w:lang w:val="es-ES" w:eastAsia="es-ES"/>
            </w:rPr>
            <m:t>*6</m:t>
          </m:r>
        </m:oMath>
      </m:oMathPara>
    </w:p>
    <w:p w14:paraId="6060F3CD" w14:textId="77777777" w:rsidR="00DE5054" w:rsidRPr="008943FC" w:rsidRDefault="00DE5054" w:rsidP="00986A80">
      <w:pPr>
        <w:spacing w:after="0" w:line="360" w:lineRule="auto"/>
        <w:ind w:left="2694" w:hanging="2127"/>
        <w:jc w:val="both"/>
        <w:rPr>
          <w:rFonts w:ascii="Arial" w:eastAsiaTheme="minorEastAsia" w:hAnsi="Arial" w:cs="Arial"/>
          <w:sz w:val="24"/>
          <w:szCs w:val="24"/>
          <w:lang w:val="es-ES" w:eastAsia="es-ES"/>
        </w:rPr>
      </w:pPr>
    </w:p>
    <w:p w14:paraId="0275F56B" w14:textId="77777777" w:rsidR="00DE5054" w:rsidRPr="008943FC" w:rsidRDefault="00DE5054" w:rsidP="00986A80">
      <w:pPr>
        <w:spacing w:after="0" w:line="360" w:lineRule="auto"/>
        <w:ind w:left="2694" w:hanging="1418"/>
        <w:jc w:val="both"/>
        <w:rPr>
          <w:rFonts w:ascii="Arial" w:eastAsiaTheme="minorEastAsia" w:hAnsi="Arial" w:cs="Arial"/>
          <w:sz w:val="24"/>
          <w:szCs w:val="24"/>
          <w:lang w:eastAsia="es-ES"/>
        </w:rPr>
      </w:pPr>
      <w:r w:rsidRPr="008943FC">
        <w:rPr>
          <w:rFonts w:ascii="Arial" w:eastAsiaTheme="minorEastAsia" w:hAnsi="Arial" w:cs="Arial"/>
          <w:sz w:val="24"/>
          <w:szCs w:val="24"/>
          <w:lang w:val="es-ES" w:eastAsia="es-ES"/>
        </w:rPr>
        <w:t>Donde:</w:t>
      </w:r>
    </w:p>
    <w:tbl>
      <w:tblPr>
        <w:tblW w:w="6837" w:type="dxa"/>
        <w:tblInd w:w="2235" w:type="dxa"/>
        <w:tblCellMar>
          <w:left w:w="0" w:type="dxa"/>
          <w:right w:w="0" w:type="dxa"/>
        </w:tblCellMar>
        <w:tblLook w:val="04A0" w:firstRow="1" w:lastRow="0" w:firstColumn="1" w:lastColumn="0" w:noHBand="0" w:noVBand="1"/>
      </w:tblPr>
      <w:tblGrid>
        <w:gridCol w:w="1418"/>
        <w:gridCol w:w="5419"/>
      </w:tblGrid>
      <w:tr w:rsidR="00DE5054" w:rsidRPr="00FB2E5A" w14:paraId="646B89A1" w14:textId="77777777" w:rsidTr="00F913D4">
        <w:trPr>
          <w:trHeight w:val="1359"/>
        </w:trPr>
        <w:tc>
          <w:tcPr>
            <w:tcW w:w="1418" w:type="dxa"/>
            <w:shd w:val="clear" w:color="auto" w:fill="auto"/>
            <w:tcMar>
              <w:top w:w="15" w:type="dxa"/>
              <w:left w:w="108" w:type="dxa"/>
              <w:bottom w:w="0" w:type="dxa"/>
              <w:right w:w="108" w:type="dxa"/>
            </w:tcMar>
            <w:hideMark/>
          </w:tcPr>
          <w:p w14:paraId="0254AA3F" w14:textId="77777777" w:rsidR="00DE5054" w:rsidRPr="008943FC" w:rsidRDefault="00DE5054" w:rsidP="00986A80">
            <w:pPr>
              <w:spacing w:after="0" w:line="360" w:lineRule="auto"/>
              <w:jc w:val="both"/>
              <w:rPr>
                <w:rFonts w:ascii="Arial" w:eastAsia="Times New Roman" w:hAnsi="Arial" w:cs="Arial"/>
                <w:sz w:val="24"/>
                <w:szCs w:val="24"/>
                <w:lang w:eastAsia="es-CO"/>
              </w:rPr>
            </w:pPr>
            <m:oMath>
              <m:r>
                <w:rPr>
                  <w:rFonts w:ascii="Cambria Math" w:eastAsia="Times New Roman" w:hAnsi="Cambria Math" w:cs="Arial"/>
                  <w:color w:val="000000" w:themeColor="text1"/>
                  <w:kern w:val="24"/>
                  <w:sz w:val="24"/>
                  <w:szCs w:val="24"/>
                  <w:lang w:val="es-ES" w:eastAsia="es-CO"/>
                </w:rPr>
                <m:t>C</m:t>
              </m:r>
              <m:sSub>
                <m:sSubPr>
                  <m:ctrlPr>
                    <w:rPr>
                      <w:rFonts w:ascii="Cambria Math" w:eastAsia="Times New Roman" w:hAnsi="Cambria Math" w:cs="Arial"/>
                      <w:i/>
                      <w:color w:val="000000" w:themeColor="text1"/>
                      <w:kern w:val="24"/>
                      <w:sz w:val="24"/>
                      <w:szCs w:val="24"/>
                      <w:lang w:eastAsia="es-CO"/>
                    </w:rPr>
                  </m:ctrlPr>
                </m:sSubPr>
                <m:e>
                  <m:r>
                    <w:rPr>
                      <w:rFonts w:ascii="Cambria Math" w:eastAsia="Times New Roman" w:hAnsi="Cambria Math" w:cs="Arial"/>
                      <w:color w:val="000000" w:themeColor="text1"/>
                      <w:kern w:val="24"/>
                      <w:sz w:val="24"/>
                      <w:szCs w:val="24"/>
                      <w:lang w:val="es-ES" w:eastAsia="es-CO"/>
                    </w:rPr>
                    <m:t>P</m:t>
                  </m:r>
                </m:e>
                <m:sub>
                  <m:r>
                    <m:rPr>
                      <m:sty m:val="p"/>
                    </m:rPr>
                    <w:rPr>
                      <w:rFonts w:ascii="Cambria Math" w:eastAsia="Times New Roman" w:hAnsi="Cambria Math" w:cs="Arial"/>
                      <w:color w:val="000000" w:themeColor="text1"/>
                      <w:kern w:val="24"/>
                      <w:sz w:val="24"/>
                      <w:szCs w:val="24"/>
                      <w:lang w:eastAsia="es-CO"/>
                    </w:rPr>
                    <m:t>Lb</m:t>
                  </m:r>
                </m:sub>
              </m:sSub>
            </m:oMath>
            <w:r w:rsidRPr="008943FC">
              <w:rPr>
                <w:rFonts w:ascii="Arial" w:eastAsia="Times New Roman" w:hAnsi="Arial" w:cs="Arial"/>
                <w:color w:val="000000" w:themeColor="text1"/>
                <w:kern w:val="24"/>
                <w:sz w:val="24"/>
                <w:szCs w:val="24"/>
                <w:lang w:val="es-ES" w:eastAsia="es-CO"/>
              </w:rPr>
              <w:t>:</w:t>
            </w:r>
          </w:p>
        </w:tc>
        <w:tc>
          <w:tcPr>
            <w:tcW w:w="5419" w:type="dxa"/>
            <w:shd w:val="clear" w:color="auto" w:fill="auto"/>
            <w:tcMar>
              <w:top w:w="15" w:type="dxa"/>
              <w:left w:w="108" w:type="dxa"/>
              <w:bottom w:w="0" w:type="dxa"/>
              <w:right w:w="108" w:type="dxa"/>
            </w:tcMar>
            <w:hideMark/>
          </w:tcPr>
          <w:p w14:paraId="0513D1FD" w14:textId="77777777" w:rsidR="00DE5054" w:rsidRPr="008943FC" w:rsidRDefault="00DE5054" w:rsidP="00986A80">
            <w:pPr>
              <w:spacing w:after="0" w:line="360" w:lineRule="auto"/>
              <w:jc w:val="both"/>
              <w:rPr>
                <w:rFonts w:ascii="Arial" w:eastAsia="Times New Roman" w:hAnsi="Arial" w:cs="Arial"/>
                <w:sz w:val="24"/>
                <w:szCs w:val="24"/>
                <w:lang w:eastAsia="es-CO"/>
              </w:rPr>
            </w:pPr>
            <w:r w:rsidRPr="008943FC">
              <w:rPr>
                <w:rFonts w:ascii="Arial" w:eastAsia="Times New Roman" w:hAnsi="Arial" w:cs="Arial"/>
                <w:color w:val="000000" w:themeColor="text1"/>
                <w:kern w:val="24"/>
                <w:sz w:val="24"/>
                <w:szCs w:val="24"/>
                <w:lang w:val="es-ES" w:eastAsia="es-CO"/>
              </w:rPr>
              <w:t xml:space="preserve">Cada uno de los diferentes códigos de presentación de envasado en cilindros, medidos en libras, de acuerdo con la información </w:t>
            </w:r>
            <w:r w:rsidRPr="008943FC">
              <w:rPr>
                <w:rFonts w:ascii="Arial" w:eastAsiaTheme="minorEastAsia" w:hAnsi="Arial" w:cs="Arial"/>
                <w:color w:val="000000" w:themeColor="text1"/>
                <w:kern w:val="24"/>
                <w:sz w:val="24"/>
                <w:szCs w:val="24"/>
                <w:lang w:eastAsia="es-CO"/>
              </w:rPr>
              <w:t>registrada desde el 2008 hasta octubre de 2012, por AIC proyectos y</w:t>
            </w:r>
            <w:r w:rsidRPr="008943FC">
              <w:rPr>
                <w:rFonts w:ascii="Arial" w:eastAsia="Times New Roman" w:hAnsi="Arial" w:cs="Arial"/>
                <w:color w:val="000000" w:themeColor="text1"/>
                <w:kern w:val="24"/>
                <w:sz w:val="24"/>
                <w:szCs w:val="24"/>
                <w:lang w:val="es-ES" w:eastAsia="es-CO"/>
              </w:rPr>
              <w:t xml:space="preserve"> publicada en el SUI.</w:t>
            </w:r>
          </w:p>
        </w:tc>
      </w:tr>
      <w:tr w:rsidR="00DE5054" w:rsidRPr="00FB2E5A" w14:paraId="7ACC1E8C" w14:textId="77777777" w:rsidTr="00F913D4">
        <w:trPr>
          <w:trHeight w:val="1021"/>
        </w:trPr>
        <w:tc>
          <w:tcPr>
            <w:tcW w:w="1418" w:type="dxa"/>
            <w:shd w:val="clear" w:color="auto" w:fill="auto"/>
            <w:tcMar>
              <w:top w:w="15" w:type="dxa"/>
              <w:left w:w="108" w:type="dxa"/>
              <w:bottom w:w="0" w:type="dxa"/>
              <w:right w:w="108" w:type="dxa"/>
            </w:tcMar>
            <w:hideMark/>
          </w:tcPr>
          <w:p w14:paraId="0C8BDCF1" w14:textId="77777777" w:rsidR="00DE5054" w:rsidRPr="008943FC" w:rsidRDefault="00DE5054" w:rsidP="00986A80">
            <w:pPr>
              <w:spacing w:after="0" w:line="360" w:lineRule="auto"/>
              <w:jc w:val="both"/>
              <w:rPr>
                <w:rFonts w:ascii="Arial" w:eastAsia="Times New Roman" w:hAnsi="Arial" w:cs="Arial"/>
                <w:sz w:val="24"/>
                <w:szCs w:val="24"/>
                <w:lang w:eastAsia="es-CO"/>
              </w:rPr>
            </w:pPr>
            <m:oMath>
              <m:r>
                <w:rPr>
                  <w:rFonts w:ascii="Cambria Math" w:eastAsia="Times New Roman" w:hAnsi="Cambria Math" w:cs="Arial"/>
                  <w:color w:val="000000" w:themeColor="text1"/>
                  <w:kern w:val="24"/>
                  <w:sz w:val="24"/>
                  <w:szCs w:val="24"/>
                  <w:lang w:val="es-ES" w:eastAsia="es-CO"/>
                </w:rPr>
                <m:t>N</m:t>
              </m:r>
              <m:sSub>
                <m:sSubPr>
                  <m:ctrlPr>
                    <w:rPr>
                      <w:rFonts w:ascii="Cambria Math" w:eastAsia="Times New Roman" w:hAnsi="Cambria Math" w:cs="Arial"/>
                      <w:i/>
                      <w:color w:val="000000" w:themeColor="text1"/>
                      <w:kern w:val="24"/>
                      <w:sz w:val="24"/>
                      <w:szCs w:val="24"/>
                      <w:lang w:eastAsia="es-CO"/>
                    </w:rPr>
                  </m:ctrlPr>
                </m:sSubPr>
                <m:e>
                  <m:r>
                    <w:rPr>
                      <w:rFonts w:ascii="Cambria Math" w:eastAsia="Times New Roman" w:hAnsi="Cambria Math" w:cs="Arial"/>
                      <w:color w:val="000000" w:themeColor="text1"/>
                      <w:kern w:val="24"/>
                      <w:sz w:val="24"/>
                      <w:szCs w:val="24"/>
                      <w:lang w:val="es-ES" w:eastAsia="es-CO"/>
                    </w:rPr>
                    <m:t>C</m:t>
                  </m:r>
                </m:e>
                <m:sub>
                  <m:r>
                    <w:rPr>
                      <w:rFonts w:ascii="Cambria Math" w:eastAsia="Times New Roman" w:hAnsi="Cambria Math" w:cs="Arial"/>
                      <w:color w:val="000000" w:themeColor="text1"/>
                      <w:kern w:val="24"/>
                      <w:sz w:val="24"/>
                      <w:szCs w:val="24"/>
                      <w:lang w:val="es-ES" w:eastAsia="es-CO"/>
                    </w:rPr>
                    <m:t>CP</m:t>
                  </m:r>
                  <m:r>
                    <m:rPr>
                      <m:sty m:val="p"/>
                    </m:rPr>
                    <w:rPr>
                      <w:rFonts w:ascii="Cambria Math" w:eastAsia="Times New Roman" w:hAnsi="Cambria Math" w:cs="Arial"/>
                      <w:color w:val="000000" w:themeColor="text1"/>
                      <w:kern w:val="24"/>
                      <w:sz w:val="24"/>
                      <w:szCs w:val="24"/>
                      <w:lang w:eastAsia="es-CO"/>
                    </w:rPr>
                    <m:t>_</m:t>
                  </m:r>
                  <m:r>
                    <w:rPr>
                      <w:rFonts w:ascii="Cambria Math" w:eastAsia="Times New Roman" w:hAnsi="Cambria Math" w:cs="Arial"/>
                      <w:color w:val="000000" w:themeColor="text1"/>
                      <w:kern w:val="24"/>
                      <w:sz w:val="24"/>
                      <w:szCs w:val="24"/>
                      <w:lang w:eastAsia="es-CO"/>
                    </w:rPr>
                    <m:t>Lb</m:t>
                  </m:r>
                </m:sub>
              </m:sSub>
            </m:oMath>
            <w:r w:rsidRPr="008943FC">
              <w:rPr>
                <w:rFonts w:ascii="Arial" w:eastAsia="Times New Roman" w:hAnsi="Arial" w:cs="Arial"/>
                <w:color w:val="000000" w:themeColor="text1"/>
                <w:kern w:val="24"/>
                <w:sz w:val="24"/>
                <w:szCs w:val="24"/>
                <w:lang w:val="es-ES" w:eastAsia="es-CO"/>
              </w:rPr>
              <w:t>:</w:t>
            </w:r>
          </w:p>
        </w:tc>
        <w:tc>
          <w:tcPr>
            <w:tcW w:w="5419" w:type="dxa"/>
            <w:shd w:val="clear" w:color="auto" w:fill="auto"/>
            <w:tcMar>
              <w:top w:w="15" w:type="dxa"/>
              <w:left w:w="108" w:type="dxa"/>
              <w:bottom w:w="0" w:type="dxa"/>
              <w:right w:w="108" w:type="dxa"/>
            </w:tcMar>
            <w:hideMark/>
          </w:tcPr>
          <w:p w14:paraId="6CA7C20B" w14:textId="77777777" w:rsidR="00DE5054" w:rsidRPr="008943FC" w:rsidRDefault="00DE5054" w:rsidP="00986A80">
            <w:pPr>
              <w:spacing w:after="0" w:line="360" w:lineRule="auto"/>
              <w:jc w:val="both"/>
              <w:rPr>
                <w:rFonts w:ascii="Arial" w:eastAsia="Times New Roman" w:hAnsi="Arial" w:cs="Arial"/>
                <w:sz w:val="24"/>
                <w:szCs w:val="24"/>
                <w:lang w:eastAsia="es-CO"/>
              </w:rPr>
            </w:pPr>
            <w:r w:rsidRPr="008943FC">
              <w:rPr>
                <w:rFonts w:ascii="Arial" w:eastAsia="Times New Roman" w:hAnsi="Arial" w:cs="Arial"/>
                <w:color w:val="000000" w:themeColor="text1"/>
                <w:kern w:val="24"/>
                <w:sz w:val="24"/>
                <w:szCs w:val="24"/>
                <w:lang w:val="es-ES" w:eastAsia="es-CO"/>
              </w:rPr>
              <w:t>Número de cilindros de propiedad de distribuidor i, con una capacidad de envasado CP</w:t>
            </w:r>
            <w:r w:rsidRPr="008943FC">
              <w:rPr>
                <w:rFonts w:ascii="Arial" w:eastAsia="Times New Roman" w:hAnsi="Arial" w:cs="Arial"/>
                <w:color w:val="000000" w:themeColor="text1"/>
                <w:kern w:val="24"/>
                <w:position w:val="-9"/>
                <w:sz w:val="24"/>
                <w:szCs w:val="24"/>
                <w:vertAlign w:val="subscript"/>
                <w:lang w:val="es-ES" w:eastAsia="es-CO"/>
              </w:rPr>
              <w:t>Lb</w:t>
            </w:r>
            <w:r w:rsidRPr="008943FC">
              <w:rPr>
                <w:rFonts w:ascii="Arial" w:eastAsia="Times New Roman" w:hAnsi="Arial" w:cs="Arial"/>
                <w:color w:val="000000" w:themeColor="text1"/>
                <w:kern w:val="24"/>
                <w:sz w:val="24"/>
                <w:szCs w:val="24"/>
                <w:lang w:val="es-ES" w:eastAsia="es-CO"/>
              </w:rPr>
              <w:t>, de acuerdo con información reportada en el SUI.</w:t>
            </w:r>
          </w:p>
        </w:tc>
      </w:tr>
      <w:tr w:rsidR="00DE5054" w:rsidRPr="00FB2E5A" w14:paraId="491519E5" w14:textId="77777777" w:rsidTr="00F913D4">
        <w:trPr>
          <w:trHeight w:val="524"/>
        </w:trPr>
        <w:tc>
          <w:tcPr>
            <w:tcW w:w="1418" w:type="dxa"/>
            <w:shd w:val="clear" w:color="auto" w:fill="auto"/>
            <w:tcMar>
              <w:top w:w="15" w:type="dxa"/>
              <w:left w:w="108" w:type="dxa"/>
              <w:bottom w:w="0" w:type="dxa"/>
              <w:right w:w="108" w:type="dxa"/>
            </w:tcMar>
            <w:hideMark/>
          </w:tcPr>
          <w:p w14:paraId="03BCD920" w14:textId="77777777" w:rsidR="00DE5054" w:rsidRPr="008943FC" w:rsidRDefault="00DE5054" w:rsidP="00986A80">
            <w:pPr>
              <w:spacing w:after="0" w:line="360" w:lineRule="auto"/>
              <w:jc w:val="both"/>
              <w:rPr>
                <w:rFonts w:ascii="Arial" w:eastAsia="Times New Roman" w:hAnsi="Arial" w:cs="Arial"/>
                <w:sz w:val="24"/>
                <w:szCs w:val="24"/>
                <w:lang w:eastAsia="es-CO"/>
              </w:rPr>
            </w:pPr>
            <m:oMath>
              <m:r>
                <m:rPr>
                  <m:sty m:val="p"/>
                </m:rPr>
                <w:rPr>
                  <w:rFonts w:ascii="Cambria Math" w:eastAsia="Times New Roman" w:hAnsi="Cambria Math" w:cs="Arial"/>
                  <w:color w:val="000000" w:themeColor="text1"/>
                  <w:kern w:val="24"/>
                  <w:sz w:val="24"/>
                  <w:szCs w:val="24"/>
                  <w:lang w:val="es-ES" w:eastAsia="es-CO"/>
                </w:rPr>
                <m:t>0,454</m:t>
              </m:r>
            </m:oMath>
            <w:r w:rsidRPr="008943FC">
              <w:rPr>
                <w:rFonts w:ascii="Arial" w:eastAsia="Times New Roman" w:hAnsi="Arial" w:cs="Arial"/>
                <w:color w:val="000000" w:themeColor="text1"/>
                <w:kern w:val="24"/>
                <w:sz w:val="24"/>
                <w:szCs w:val="24"/>
                <w:lang w:val="es-ES" w:eastAsia="es-CO"/>
              </w:rPr>
              <w:t>:</w:t>
            </w:r>
          </w:p>
        </w:tc>
        <w:tc>
          <w:tcPr>
            <w:tcW w:w="5419" w:type="dxa"/>
            <w:shd w:val="clear" w:color="auto" w:fill="auto"/>
            <w:tcMar>
              <w:top w:w="15" w:type="dxa"/>
              <w:left w:w="108" w:type="dxa"/>
              <w:bottom w:w="0" w:type="dxa"/>
              <w:right w:w="108" w:type="dxa"/>
            </w:tcMar>
            <w:hideMark/>
          </w:tcPr>
          <w:p w14:paraId="7EE24244" w14:textId="77777777" w:rsidR="00DE5054" w:rsidRPr="008943FC" w:rsidRDefault="00DE5054" w:rsidP="00986A80">
            <w:pPr>
              <w:spacing w:after="0" w:line="360" w:lineRule="auto"/>
              <w:jc w:val="both"/>
              <w:rPr>
                <w:rFonts w:ascii="Arial" w:eastAsia="Times New Roman" w:hAnsi="Arial" w:cs="Arial"/>
                <w:sz w:val="24"/>
                <w:szCs w:val="24"/>
                <w:lang w:eastAsia="es-CO"/>
              </w:rPr>
            </w:pPr>
            <w:r w:rsidRPr="008943FC">
              <w:rPr>
                <w:rFonts w:ascii="Arial" w:eastAsia="Times New Roman" w:hAnsi="Arial" w:cs="Arial"/>
                <w:color w:val="000000" w:themeColor="text1"/>
                <w:kern w:val="24"/>
                <w:sz w:val="24"/>
                <w:szCs w:val="24"/>
                <w:lang w:val="es-ES" w:eastAsia="es-CO"/>
              </w:rPr>
              <w:t xml:space="preserve">Cantidad de kilogramos por libras americanas, de acuerdo con la NTC 3853.  </w:t>
            </w:r>
          </w:p>
        </w:tc>
      </w:tr>
      <w:tr w:rsidR="00DE5054" w:rsidRPr="00FB2E5A" w14:paraId="1DA9341B" w14:textId="77777777" w:rsidTr="00F913D4">
        <w:trPr>
          <w:trHeight w:val="416"/>
        </w:trPr>
        <w:tc>
          <w:tcPr>
            <w:tcW w:w="1418" w:type="dxa"/>
            <w:shd w:val="clear" w:color="auto" w:fill="auto"/>
            <w:tcMar>
              <w:top w:w="15" w:type="dxa"/>
              <w:left w:w="108" w:type="dxa"/>
              <w:bottom w:w="0" w:type="dxa"/>
              <w:right w:w="108" w:type="dxa"/>
            </w:tcMar>
            <w:hideMark/>
          </w:tcPr>
          <w:p w14:paraId="498F554F" w14:textId="77777777" w:rsidR="00DE5054" w:rsidRPr="008943FC" w:rsidRDefault="00DE5054" w:rsidP="00986A80">
            <w:pPr>
              <w:spacing w:after="0" w:line="360" w:lineRule="auto"/>
              <w:jc w:val="both"/>
              <w:rPr>
                <w:rFonts w:ascii="Arial" w:eastAsia="Times New Roman" w:hAnsi="Arial" w:cs="Arial"/>
                <w:sz w:val="24"/>
                <w:szCs w:val="24"/>
                <w:lang w:eastAsia="es-CO"/>
              </w:rPr>
            </w:pPr>
            <m:oMath>
              <m:r>
                <w:rPr>
                  <w:rFonts w:ascii="Cambria Math" w:eastAsia="Times New Roman" w:hAnsi="Cambria Math" w:cs="Arial"/>
                  <w:color w:val="000000" w:themeColor="text1"/>
                  <w:kern w:val="24"/>
                  <w:sz w:val="24"/>
                  <w:szCs w:val="24"/>
                  <w:lang w:val="es-ES" w:eastAsia="es-CO"/>
                </w:rPr>
                <m:t>6</m:t>
              </m:r>
            </m:oMath>
            <w:r w:rsidRPr="008943FC">
              <w:rPr>
                <w:rFonts w:ascii="Arial" w:eastAsia="Times New Roman" w:hAnsi="Arial" w:cs="Arial"/>
                <w:color w:val="000000" w:themeColor="text1"/>
                <w:kern w:val="24"/>
                <w:sz w:val="24"/>
                <w:szCs w:val="24"/>
                <w:lang w:val="es-ES" w:eastAsia="es-CO"/>
              </w:rPr>
              <w:t>:</w:t>
            </w:r>
          </w:p>
        </w:tc>
        <w:tc>
          <w:tcPr>
            <w:tcW w:w="5419" w:type="dxa"/>
            <w:shd w:val="clear" w:color="auto" w:fill="auto"/>
            <w:tcMar>
              <w:top w:w="15" w:type="dxa"/>
              <w:left w:w="108" w:type="dxa"/>
              <w:bottom w:w="0" w:type="dxa"/>
              <w:right w:w="108" w:type="dxa"/>
            </w:tcMar>
            <w:hideMark/>
          </w:tcPr>
          <w:p w14:paraId="1AC89FDA" w14:textId="72B80151" w:rsidR="00DE5054" w:rsidRPr="008943FC" w:rsidRDefault="00DE5054" w:rsidP="00986A80">
            <w:pPr>
              <w:spacing w:after="0" w:line="360" w:lineRule="auto"/>
              <w:jc w:val="both"/>
              <w:rPr>
                <w:rFonts w:ascii="Arial" w:eastAsia="Times New Roman" w:hAnsi="Arial" w:cs="Arial"/>
                <w:sz w:val="24"/>
                <w:szCs w:val="24"/>
                <w:lang w:eastAsia="es-CO"/>
              </w:rPr>
            </w:pPr>
            <w:r w:rsidRPr="008943FC">
              <w:rPr>
                <w:rFonts w:ascii="Arial" w:eastAsia="Times New Roman" w:hAnsi="Arial" w:cs="Arial"/>
                <w:color w:val="000000" w:themeColor="text1"/>
                <w:kern w:val="24"/>
                <w:sz w:val="24"/>
                <w:szCs w:val="24"/>
                <w:lang w:val="es-ES" w:eastAsia="es-CO"/>
              </w:rPr>
              <w:t>Número de meses del p</w:t>
            </w:r>
            <w:r w:rsidR="009C5EF2" w:rsidRPr="008943FC">
              <w:rPr>
                <w:rFonts w:ascii="Arial" w:eastAsia="Times New Roman" w:hAnsi="Arial" w:cs="Arial"/>
                <w:color w:val="000000" w:themeColor="text1"/>
                <w:kern w:val="24"/>
                <w:sz w:val="24"/>
                <w:szCs w:val="24"/>
                <w:lang w:val="es-ES" w:eastAsia="es-CO"/>
              </w:rPr>
              <w:t>eríodo</w:t>
            </w:r>
            <w:r w:rsidRPr="008943FC">
              <w:rPr>
                <w:rFonts w:ascii="Arial" w:eastAsia="Times New Roman" w:hAnsi="Arial" w:cs="Arial"/>
                <w:color w:val="000000" w:themeColor="text1"/>
                <w:kern w:val="24"/>
                <w:sz w:val="24"/>
                <w:szCs w:val="24"/>
                <w:lang w:val="es-ES" w:eastAsia="es-CO"/>
              </w:rPr>
              <w:t xml:space="preserve"> de compra.</w:t>
            </w:r>
          </w:p>
        </w:tc>
      </w:tr>
    </w:tbl>
    <w:p w14:paraId="7F40B557" w14:textId="77777777" w:rsidR="00DE5054" w:rsidRPr="008943FC" w:rsidRDefault="00DE5054" w:rsidP="00986A80">
      <w:pPr>
        <w:spacing w:after="0" w:line="360" w:lineRule="auto"/>
        <w:ind w:left="2694" w:hanging="2127"/>
        <w:jc w:val="both"/>
        <w:rPr>
          <w:rFonts w:ascii="Arial" w:eastAsiaTheme="minorEastAsia" w:hAnsi="Arial" w:cs="Arial"/>
          <w:sz w:val="24"/>
          <w:szCs w:val="24"/>
          <w:lang w:val="es-ES" w:eastAsia="es-ES"/>
        </w:rPr>
      </w:pPr>
    </w:p>
    <w:tbl>
      <w:tblPr>
        <w:tblW w:w="7830" w:type="dxa"/>
        <w:tblInd w:w="1242" w:type="dxa"/>
        <w:tblCellMar>
          <w:left w:w="0" w:type="dxa"/>
          <w:right w:w="0" w:type="dxa"/>
        </w:tblCellMar>
        <w:tblLook w:val="04A0" w:firstRow="1" w:lastRow="0" w:firstColumn="1" w:lastColumn="0" w:noHBand="0" w:noVBand="1"/>
      </w:tblPr>
      <w:tblGrid>
        <w:gridCol w:w="2040"/>
        <w:gridCol w:w="5790"/>
      </w:tblGrid>
      <w:tr w:rsidR="00DE5054" w:rsidRPr="00FB2E5A" w14:paraId="6E06D4D6" w14:textId="77777777" w:rsidTr="00F913D4">
        <w:trPr>
          <w:trHeight w:val="1021"/>
        </w:trPr>
        <w:tc>
          <w:tcPr>
            <w:tcW w:w="2040" w:type="dxa"/>
            <w:shd w:val="clear" w:color="auto" w:fill="auto"/>
            <w:tcMar>
              <w:top w:w="15" w:type="dxa"/>
              <w:left w:w="108" w:type="dxa"/>
              <w:bottom w:w="0" w:type="dxa"/>
              <w:right w:w="108" w:type="dxa"/>
            </w:tcMar>
            <w:hideMark/>
          </w:tcPr>
          <w:p w14:paraId="7079BA05" w14:textId="77777777" w:rsidR="00DE5054" w:rsidRPr="008943FC" w:rsidRDefault="00DE5054" w:rsidP="00986A80">
            <w:pPr>
              <w:spacing w:after="0" w:line="360" w:lineRule="auto"/>
              <w:jc w:val="both"/>
              <w:rPr>
                <w:rFonts w:ascii="Arial" w:eastAsia="Times New Roman" w:hAnsi="Arial" w:cs="Arial"/>
                <w:sz w:val="24"/>
                <w:szCs w:val="24"/>
                <w:lang w:eastAsia="es-CO"/>
              </w:rPr>
            </w:pPr>
            <m:oMath>
              <m:r>
                <w:rPr>
                  <w:rFonts w:ascii="Cambria Math" w:eastAsia="Times New Roman" w:hAnsi="Cambria Math" w:cs="Arial"/>
                  <w:color w:val="000000" w:themeColor="text1"/>
                  <w:kern w:val="24"/>
                  <w:sz w:val="24"/>
                  <w:szCs w:val="24"/>
                  <w:lang w:eastAsia="es-CO"/>
                </w:rPr>
                <m:t>Cap</m:t>
              </m:r>
              <m:sSub>
                <m:sSubPr>
                  <m:ctrlPr>
                    <w:rPr>
                      <w:rFonts w:ascii="Cambria Math" w:eastAsia="Times New Roman" w:hAnsi="Cambria Math" w:cs="Arial"/>
                      <w:i/>
                      <w:color w:val="000000" w:themeColor="text1"/>
                      <w:kern w:val="24"/>
                      <w:sz w:val="24"/>
                      <w:szCs w:val="24"/>
                      <w:lang w:eastAsia="es-CO"/>
                    </w:rPr>
                  </m:ctrlPr>
                </m:sSubPr>
                <m:e>
                  <m:r>
                    <w:rPr>
                      <w:rFonts w:ascii="Cambria Math" w:eastAsia="Times New Roman" w:hAnsi="Cambria Math" w:cs="Arial"/>
                      <w:color w:val="000000" w:themeColor="text1"/>
                      <w:kern w:val="24"/>
                      <w:sz w:val="24"/>
                      <w:szCs w:val="24"/>
                      <w:lang w:eastAsia="es-CO"/>
                    </w:rPr>
                    <m:t>.2</m:t>
                  </m:r>
                </m:e>
                <m:sub>
                  <m:r>
                    <w:rPr>
                      <w:rFonts w:ascii="Cambria Math" w:eastAsia="Times New Roman" w:hAnsi="Cambria Math" w:cs="Arial"/>
                      <w:color w:val="000000" w:themeColor="text1"/>
                      <w:kern w:val="24"/>
                      <w:sz w:val="24"/>
                      <w:szCs w:val="24"/>
                      <w:lang w:eastAsia="es-CO"/>
                    </w:rPr>
                    <m:t>i,t</m:t>
                  </m:r>
                </m:sub>
              </m:sSub>
            </m:oMath>
            <w:r w:rsidRPr="008943FC">
              <w:rPr>
                <w:rFonts w:ascii="Arial" w:eastAsia="Times New Roman" w:hAnsi="Arial" w:cs="Arial"/>
                <w:color w:val="000000" w:themeColor="text1"/>
                <w:kern w:val="24"/>
                <w:sz w:val="24"/>
                <w:szCs w:val="24"/>
                <w:lang w:eastAsia="es-CO"/>
              </w:rPr>
              <w:t>:</w:t>
            </w:r>
          </w:p>
        </w:tc>
        <w:tc>
          <w:tcPr>
            <w:tcW w:w="5790" w:type="dxa"/>
            <w:shd w:val="clear" w:color="auto" w:fill="auto"/>
            <w:tcMar>
              <w:top w:w="15" w:type="dxa"/>
              <w:left w:w="108" w:type="dxa"/>
              <w:bottom w:w="0" w:type="dxa"/>
              <w:right w:w="108" w:type="dxa"/>
            </w:tcMar>
            <w:hideMark/>
          </w:tcPr>
          <w:p w14:paraId="1DFD5032" w14:textId="77777777" w:rsidR="00DE5054" w:rsidRPr="008943FC" w:rsidRDefault="00DE5054" w:rsidP="00986A80">
            <w:pPr>
              <w:spacing w:after="0" w:line="360" w:lineRule="auto"/>
              <w:jc w:val="both"/>
              <w:rPr>
                <w:rFonts w:ascii="Arial" w:eastAsiaTheme="minorEastAsia" w:hAnsi="Arial" w:cs="Arial"/>
                <w:color w:val="000000" w:themeColor="text1"/>
                <w:kern w:val="24"/>
                <w:sz w:val="24"/>
                <w:szCs w:val="24"/>
                <w:lang w:eastAsia="es-CO"/>
              </w:rPr>
            </w:pPr>
            <w:r w:rsidRPr="008943FC">
              <w:rPr>
                <w:rFonts w:ascii="Arial" w:eastAsiaTheme="minorEastAsia" w:hAnsi="Arial" w:cs="Arial"/>
                <w:color w:val="000000" w:themeColor="text1"/>
                <w:kern w:val="24"/>
                <w:sz w:val="24"/>
                <w:szCs w:val="24"/>
                <w:lang w:val="es-ES" w:eastAsia="es-CO"/>
              </w:rPr>
              <w:t>Capacidad de envase en cilindros, de acuerdo con la información registrada al SUI desde noviembre de 2012 hasta la fecha, para cada marca de propiedad del distribuidor i en el p</w:t>
            </w:r>
            <w:r w:rsidR="009C5EF2" w:rsidRPr="008943FC">
              <w:rPr>
                <w:rFonts w:ascii="Arial" w:eastAsiaTheme="minorEastAsia" w:hAnsi="Arial" w:cs="Arial"/>
                <w:color w:val="000000" w:themeColor="text1"/>
                <w:kern w:val="24"/>
                <w:sz w:val="24"/>
                <w:szCs w:val="24"/>
                <w:lang w:val="es-ES" w:eastAsia="es-CO"/>
              </w:rPr>
              <w:t>eríodo</w:t>
            </w:r>
            <w:r w:rsidRPr="008943FC">
              <w:rPr>
                <w:rFonts w:ascii="Arial" w:eastAsiaTheme="minorEastAsia" w:hAnsi="Arial" w:cs="Arial"/>
                <w:color w:val="000000" w:themeColor="text1"/>
                <w:kern w:val="24"/>
                <w:sz w:val="24"/>
                <w:szCs w:val="24"/>
                <w:lang w:val="es-ES" w:eastAsia="es-CO"/>
              </w:rPr>
              <w:t xml:space="preserve"> t, medida en kilogramos</w:t>
            </w:r>
            <w:r w:rsidRPr="008943FC">
              <w:rPr>
                <w:rFonts w:ascii="Arial" w:eastAsiaTheme="minorEastAsia" w:hAnsi="Arial" w:cs="Arial"/>
                <w:color w:val="000000" w:themeColor="text1"/>
                <w:kern w:val="24"/>
                <w:sz w:val="24"/>
                <w:szCs w:val="24"/>
                <w:lang w:eastAsia="es-CO"/>
              </w:rPr>
              <w:t>, definida de la siguiente forma:</w:t>
            </w:r>
          </w:p>
          <w:p w14:paraId="08E255EB" w14:textId="5E026C30" w:rsidR="00060C0E" w:rsidRPr="008943FC" w:rsidRDefault="00060C0E" w:rsidP="00986A80">
            <w:pPr>
              <w:spacing w:after="0" w:line="360" w:lineRule="auto"/>
              <w:jc w:val="both"/>
              <w:rPr>
                <w:rFonts w:ascii="Arial" w:eastAsia="Times New Roman" w:hAnsi="Arial" w:cs="Arial"/>
                <w:sz w:val="24"/>
                <w:szCs w:val="24"/>
                <w:lang w:eastAsia="es-CO"/>
              </w:rPr>
            </w:pPr>
          </w:p>
        </w:tc>
      </w:tr>
    </w:tbl>
    <w:p w14:paraId="172005FD" w14:textId="77777777" w:rsidR="00DE5054" w:rsidRPr="008943FC" w:rsidRDefault="00DE5054" w:rsidP="00986A80">
      <w:pPr>
        <w:spacing w:after="0" w:line="360" w:lineRule="auto"/>
        <w:ind w:left="2694" w:hanging="2127"/>
        <w:jc w:val="both"/>
        <w:rPr>
          <w:rFonts w:ascii="Arial" w:eastAsiaTheme="minorEastAsia" w:hAnsi="Arial" w:cs="Arial"/>
          <w:sz w:val="24"/>
          <w:szCs w:val="24"/>
          <w:lang w:val="es-ES" w:eastAsia="es-ES"/>
        </w:rPr>
      </w:pPr>
      <m:oMathPara>
        <m:oMathParaPr>
          <m:jc m:val="centerGroup"/>
        </m:oMathParaPr>
        <m:oMath>
          <m:r>
            <w:rPr>
              <w:rFonts w:ascii="Cambria Math" w:eastAsiaTheme="minorEastAsia" w:hAnsi="Cambria Math" w:cs="Arial"/>
              <w:sz w:val="24"/>
              <w:szCs w:val="24"/>
              <w:lang w:eastAsia="es-ES"/>
            </w:rPr>
            <m:t>Cap.</m:t>
          </m:r>
          <m:sSub>
            <m:sSubPr>
              <m:ctrlPr>
                <w:rPr>
                  <w:rFonts w:ascii="Cambria Math" w:eastAsiaTheme="minorEastAsia" w:hAnsi="Cambria Math" w:cs="Arial"/>
                  <w:i/>
                  <w:sz w:val="24"/>
                  <w:szCs w:val="24"/>
                  <w:lang w:eastAsia="es-ES"/>
                </w:rPr>
              </m:ctrlPr>
            </m:sSubPr>
            <m:e>
              <m:r>
                <w:rPr>
                  <w:rFonts w:ascii="Cambria Math" w:eastAsiaTheme="minorEastAsia" w:hAnsi="Cambria Math" w:cs="Arial"/>
                  <w:sz w:val="24"/>
                  <w:szCs w:val="24"/>
                  <w:lang w:eastAsia="es-ES"/>
                </w:rPr>
                <m:t>2</m:t>
              </m:r>
            </m:e>
            <m:sub>
              <m:r>
                <w:rPr>
                  <w:rFonts w:ascii="Cambria Math" w:eastAsiaTheme="minorEastAsia" w:hAnsi="Cambria Math" w:cs="Arial"/>
                  <w:sz w:val="24"/>
                  <w:szCs w:val="24"/>
                  <w:lang w:eastAsia="es-ES"/>
                </w:rPr>
                <m:t>i,t</m:t>
              </m:r>
            </m:sub>
          </m:sSub>
          <m:r>
            <w:rPr>
              <w:rFonts w:ascii="Cambria Math" w:eastAsiaTheme="minorEastAsia" w:hAnsi="Cambria Math" w:cs="Arial"/>
              <w:sz w:val="24"/>
              <w:szCs w:val="24"/>
              <w:lang w:val="es-ES" w:eastAsia="es-ES"/>
            </w:rPr>
            <m:t>=</m:t>
          </m:r>
          <m:nary>
            <m:naryPr>
              <m:chr m:val="∑"/>
              <m:limLoc m:val="undOvr"/>
              <m:supHide m:val="1"/>
              <m:ctrlPr>
                <w:rPr>
                  <w:rFonts w:ascii="Cambria Math" w:eastAsiaTheme="minorEastAsia" w:hAnsi="Cambria Math" w:cs="Arial"/>
                  <w:i/>
                  <w:sz w:val="24"/>
                  <w:szCs w:val="24"/>
                  <w:lang w:eastAsia="es-ES"/>
                </w:rPr>
              </m:ctrlPr>
            </m:naryPr>
            <m:sub>
              <m:r>
                <w:rPr>
                  <w:rFonts w:ascii="Cambria Math" w:eastAsiaTheme="minorEastAsia" w:hAnsi="Cambria Math" w:cs="Arial"/>
                  <w:sz w:val="24"/>
                  <w:szCs w:val="24"/>
                  <w:lang w:val="es-ES" w:eastAsia="es-ES"/>
                </w:rPr>
                <m:t>CP</m:t>
              </m:r>
            </m:sub>
            <m:sup/>
            <m:e>
              <m:r>
                <w:rPr>
                  <w:rFonts w:ascii="Cambria Math" w:eastAsiaTheme="minorEastAsia" w:hAnsi="Cambria Math" w:cs="Arial"/>
                  <w:sz w:val="24"/>
                  <w:szCs w:val="24"/>
                  <w:lang w:val="es-ES" w:eastAsia="es-ES"/>
                </w:rPr>
                <m:t>C</m:t>
              </m:r>
              <m:sSub>
                <m:sSubPr>
                  <m:ctrlPr>
                    <w:rPr>
                      <w:rFonts w:ascii="Cambria Math" w:eastAsiaTheme="minorEastAsia" w:hAnsi="Cambria Math" w:cs="Arial"/>
                      <w:i/>
                      <w:sz w:val="24"/>
                      <w:szCs w:val="24"/>
                      <w:lang w:eastAsia="es-ES"/>
                    </w:rPr>
                  </m:ctrlPr>
                </m:sSubPr>
                <m:e>
                  <m:r>
                    <w:rPr>
                      <w:rFonts w:ascii="Cambria Math" w:eastAsiaTheme="minorEastAsia" w:hAnsi="Cambria Math" w:cs="Arial"/>
                      <w:sz w:val="24"/>
                      <w:szCs w:val="24"/>
                      <w:lang w:val="es-ES" w:eastAsia="es-ES"/>
                    </w:rPr>
                    <m:t>P</m:t>
                  </m:r>
                </m:e>
                <m:sub>
                  <m:r>
                    <w:rPr>
                      <w:rFonts w:ascii="Cambria Math" w:eastAsiaTheme="minorEastAsia" w:hAnsi="Cambria Math" w:cs="Arial"/>
                      <w:sz w:val="24"/>
                      <w:szCs w:val="24"/>
                      <w:lang w:eastAsia="es-ES"/>
                    </w:rPr>
                    <m:t>Kg</m:t>
                  </m:r>
                </m:sub>
              </m:sSub>
              <m:r>
                <w:rPr>
                  <w:rFonts w:ascii="Cambria Math" w:eastAsiaTheme="minorEastAsia" w:hAnsi="Cambria Math" w:cs="Arial"/>
                  <w:sz w:val="24"/>
                  <w:szCs w:val="24"/>
                  <w:lang w:val="es-ES" w:eastAsia="es-ES"/>
                </w:rPr>
                <m:t>*N</m:t>
              </m:r>
              <m:sSub>
                <m:sSubPr>
                  <m:ctrlPr>
                    <w:rPr>
                      <w:rFonts w:ascii="Cambria Math" w:eastAsiaTheme="minorEastAsia" w:hAnsi="Cambria Math" w:cs="Arial"/>
                      <w:i/>
                      <w:sz w:val="24"/>
                      <w:szCs w:val="24"/>
                      <w:lang w:eastAsia="es-ES"/>
                    </w:rPr>
                  </m:ctrlPr>
                </m:sSubPr>
                <m:e>
                  <m:r>
                    <w:rPr>
                      <w:rFonts w:ascii="Cambria Math" w:eastAsiaTheme="minorEastAsia" w:hAnsi="Cambria Math" w:cs="Arial"/>
                      <w:sz w:val="24"/>
                      <w:szCs w:val="24"/>
                      <w:lang w:val="es-ES" w:eastAsia="es-ES"/>
                    </w:rPr>
                    <m:t>C</m:t>
                  </m:r>
                </m:e>
                <m:sub>
                  <m:r>
                    <w:rPr>
                      <w:rFonts w:ascii="Cambria Math" w:eastAsiaTheme="minorEastAsia" w:hAnsi="Cambria Math" w:cs="Arial"/>
                      <w:sz w:val="24"/>
                      <w:szCs w:val="24"/>
                      <w:lang w:val="es-ES" w:eastAsia="es-ES"/>
                    </w:rPr>
                    <m:t>CP</m:t>
                  </m:r>
                  <m:r>
                    <w:rPr>
                      <w:rFonts w:ascii="Cambria Math" w:eastAsiaTheme="minorEastAsia" w:hAnsi="Cambria Math" w:cs="Arial"/>
                      <w:sz w:val="24"/>
                      <w:szCs w:val="24"/>
                      <w:lang w:eastAsia="es-ES"/>
                    </w:rPr>
                    <m:t>,Kg</m:t>
                  </m:r>
                </m:sub>
              </m:sSub>
            </m:e>
          </m:nary>
          <m:r>
            <w:rPr>
              <w:rFonts w:ascii="Cambria Math" w:eastAsiaTheme="minorEastAsia" w:hAnsi="Cambria Math" w:cs="Arial"/>
              <w:sz w:val="24"/>
              <w:szCs w:val="24"/>
              <w:lang w:val="es-ES" w:eastAsia="es-ES"/>
            </w:rPr>
            <m:t>*6</m:t>
          </m:r>
        </m:oMath>
      </m:oMathPara>
    </w:p>
    <w:p w14:paraId="42927248" w14:textId="77777777" w:rsidR="00DE5054" w:rsidRPr="008943FC" w:rsidRDefault="00DE5054" w:rsidP="00986A80">
      <w:pPr>
        <w:spacing w:after="0" w:line="360" w:lineRule="auto"/>
        <w:ind w:left="2694" w:hanging="1418"/>
        <w:jc w:val="both"/>
        <w:rPr>
          <w:rFonts w:ascii="Arial" w:eastAsiaTheme="minorEastAsia" w:hAnsi="Arial" w:cs="Arial"/>
          <w:sz w:val="24"/>
          <w:szCs w:val="24"/>
          <w:lang w:eastAsia="es-ES"/>
        </w:rPr>
      </w:pPr>
      <w:r w:rsidRPr="008943FC">
        <w:rPr>
          <w:rFonts w:ascii="Arial" w:eastAsiaTheme="minorEastAsia" w:hAnsi="Arial" w:cs="Arial"/>
          <w:sz w:val="24"/>
          <w:szCs w:val="24"/>
          <w:lang w:val="es-ES" w:eastAsia="es-ES"/>
        </w:rPr>
        <w:t xml:space="preserve">Donde, </w:t>
      </w:r>
    </w:p>
    <w:tbl>
      <w:tblPr>
        <w:tblW w:w="6837" w:type="dxa"/>
        <w:tblInd w:w="2235" w:type="dxa"/>
        <w:tblCellMar>
          <w:left w:w="0" w:type="dxa"/>
          <w:right w:w="0" w:type="dxa"/>
        </w:tblCellMar>
        <w:tblLook w:val="04A0" w:firstRow="1" w:lastRow="0" w:firstColumn="1" w:lastColumn="0" w:noHBand="0" w:noVBand="1"/>
      </w:tblPr>
      <w:tblGrid>
        <w:gridCol w:w="1276"/>
        <w:gridCol w:w="5561"/>
      </w:tblGrid>
      <w:tr w:rsidR="00DE5054" w:rsidRPr="00FB2E5A" w14:paraId="54600614" w14:textId="77777777" w:rsidTr="00F913D4">
        <w:trPr>
          <w:trHeight w:val="1359"/>
        </w:trPr>
        <w:tc>
          <w:tcPr>
            <w:tcW w:w="1276" w:type="dxa"/>
            <w:shd w:val="clear" w:color="auto" w:fill="auto"/>
            <w:tcMar>
              <w:top w:w="15" w:type="dxa"/>
              <w:left w:w="108" w:type="dxa"/>
              <w:bottom w:w="0" w:type="dxa"/>
              <w:right w:w="108" w:type="dxa"/>
            </w:tcMar>
            <w:hideMark/>
          </w:tcPr>
          <w:p w14:paraId="073716EA" w14:textId="77777777" w:rsidR="00DE5054" w:rsidRPr="008943FC" w:rsidRDefault="00DE5054" w:rsidP="00986A80">
            <w:pPr>
              <w:spacing w:after="0" w:line="360" w:lineRule="auto"/>
              <w:jc w:val="both"/>
              <w:rPr>
                <w:rFonts w:ascii="Arial" w:eastAsia="Times New Roman" w:hAnsi="Arial" w:cs="Arial"/>
                <w:sz w:val="24"/>
                <w:szCs w:val="24"/>
                <w:lang w:eastAsia="es-CO"/>
              </w:rPr>
            </w:pPr>
            <m:oMath>
              <m:r>
                <w:rPr>
                  <w:rFonts w:ascii="Cambria Math" w:eastAsia="Times New Roman" w:hAnsi="Cambria Math" w:cs="Arial"/>
                  <w:color w:val="000000" w:themeColor="text1"/>
                  <w:kern w:val="24"/>
                  <w:sz w:val="24"/>
                  <w:szCs w:val="24"/>
                  <w:lang w:val="es-ES" w:eastAsia="es-CO"/>
                </w:rPr>
                <m:t>C</m:t>
              </m:r>
              <m:sSub>
                <m:sSubPr>
                  <m:ctrlPr>
                    <w:rPr>
                      <w:rFonts w:ascii="Cambria Math" w:eastAsia="Times New Roman" w:hAnsi="Cambria Math" w:cs="Arial"/>
                      <w:i/>
                      <w:color w:val="000000" w:themeColor="text1"/>
                      <w:kern w:val="24"/>
                      <w:sz w:val="24"/>
                      <w:szCs w:val="24"/>
                      <w:lang w:eastAsia="es-CO"/>
                    </w:rPr>
                  </m:ctrlPr>
                </m:sSubPr>
                <m:e>
                  <m:r>
                    <w:rPr>
                      <w:rFonts w:ascii="Cambria Math" w:eastAsia="Times New Roman" w:hAnsi="Cambria Math" w:cs="Arial"/>
                      <w:color w:val="000000" w:themeColor="text1"/>
                      <w:kern w:val="24"/>
                      <w:sz w:val="24"/>
                      <w:szCs w:val="24"/>
                      <w:lang w:val="es-ES" w:eastAsia="es-CO"/>
                    </w:rPr>
                    <m:t>P</m:t>
                  </m:r>
                </m:e>
                <m:sub>
                  <m:r>
                    <m:rPr>
                      <m:sty m:val="p"/>
                    </m:rPr>
                    <w:rPr>
                      <w:rFonts w:ascii="Cambria Math" w:eastAsia="Times New Roman" w:hAnsi="Cambria Math" w:cs="Arial"/>
                      <w:color w:val="000000" w:themeColor="text1"/>
                      <w:kern w:val="24"/>
                      <w:sz w:val="24"/>
                      <w:szCs w:val="24"/>
                      <w:lang w:eastAsia="es-CO"/>
                    </w:rPr>
                    <m:t>Kg</m:t>
                  </m:r>
                </m:sub>
              </m:sSub>
            </m:oMath>
            <w:r w:rsidRPr="008943FC">
              <w:rPr>
                <w:rFonts w:ascii="Arial" w:eastAsia="Times New Roman" w:hAnsi="Arial" w:cs="Arial"/>
                <w:color w:val="000000" w:themeColor="text1"/>
                <w:kern w:val="24"/>
                <w:sz w:val="24"/>
                <w:szCs w:val="24"/>
                <w:lang w:val="es-ES" w:eastAsia="es-CO"/>
              </w:rPr>
              <w:t>:</w:t>
            </w:r>
          </w:p>
        </w:tc>
        <w:tc>
          <w:tcPr>
            <w:tcW w:w="5561" w:type="dxa"/>
            <w:shd w:val="clear" w:color="auto" w:fill="auto"/>
            <w:tcMar>
              <w:top w:w="15" w:type="dxa"/>
              <w:left w:w="108" w:type="dxa"/>
              <w:bottom w:w="0" w:type="dxa"/>
              <w:right w:w="108" w:type="dxa"/>
            </w:tcMar>
            <w:hideMark/>
          </w:tcPr>
          <w:p w14:paraId="6776D1EB" w14:textId="77777777" w:rsidR="00DE5054" w:rsidRPr="008943FC" w:rsidRDefault="00DE5054" w:rsidP="00986A80">
            <w:pPr>
              <w:spacing w:after="0" w:line="360" w:lineRule="auto"/>
              <w:jc w:val="both"/>
              <w:rPr>
                <w:rFonts w:ascii="Arial" w:eastAsia="Times New Roman" w:hAnsi="Arial" w:cs="Arial"/>
                <w:sz w:val="24"/>
                <w:szCs w:val="24"/>
                <w:lang w:eastAsia="es-CO"/>
              </w:rPr>
            </w:pPr>
            <w:r w:rsidRPr="008943FC">
              <w:rPr>
                <w:rFonts w:ascii="Arial" w:eastAsia="Times New Roman" w:hAnsi="Arial" w:cs="Arial"/>
                <w:color w:val="000000" w:themeColor="text1"/>
                <w:kern w:val="24"/>
                <w:sz w:val="24"/>
                <w:szCs w:val="24"/>
                <w:lang w:val="es-ES" w:eastAsia="es-CO"/>
              </w:rPr>
              <w:t xml:space="preserve">Cada uno de los diferentes códigos de presentación de envasado en cilindros, medidos en kilogramos, de acuerdo con la información </w:t>
            </w:r>
            <w:r w:rsidRPr="008943FC">
              <w:rPr>
                <w:rFonts w:ascii="Arial" w:eastAsiaTheme="minorEastAsia" w:hAnsi="Arial" w:cs="Arial"/>
                <w:color w:val="000000" w:themeColor="text1"/>
                <w:kern w:val="24"/>
                <w:sz w:val="24"/>
                <w:szCs w:val="24"/>
                <w:lang w:eastAsia="es-CO"/>
              </w:rPr>
              <w:t>registrada al SUI desde noviembre de 2012 hasta la fecha</w:t>
            </w:r>
            <w:r w:rsidRPr="008943FC">
              <w:rPr>
                <w:rFonts w:ascii="Arial" w:eastAsia="Times New Roman" w:hAnsi="Arial" w:cs="Arial"/>
                <w:color w:val="000000" w:themeColor="text1"/>
                <w:kern w:val="24"/>
                <w:sz w:val="24"/>
                <w:szCs w:val="24"/>
                <w:lang w:val="es-ES" w:eastAsia="es-CO"/>
              </w:rPr>
              <w:t>.</w:t>
            </w:r>
          </w:p>
        </w:tc>
      </w:tr>
      <w:tr w:rsidR="00DE5054" w:rsidRPr="00FB2E5A" w14:paraId="637647F2" w14:textId="77777777" w:rsidTr="00F913D4">
        <w:trPr>
          <w:trHeight w:val="1021"/>
        </w:trPr>
        <w:tc>
          <w:tcPr>
            <w:tcW w:w="1276" w:type="dxa"/>
            <w:shd w:val="clear" w:color="auto" w:fill="auto"/>
            <w:tcMar>
              <w:top w:w="15" w:type="dxa"/>
              <w:left w:w="108" w:type="dxa"/>
              <w:bottom w:w="0" w:type="dxa"/>
              <w:right w:w="108" w:type="dxa"/>
            </w:tcMar>
            <w:hideMark/>
          </w:tcPr>
          <w:p w14:paraId="02D601B7" w14:textId="77777777" w:rsidR="00DE5054" w:rsidRPr="008943FC" w:rsidRDefault="00DE5054" w:rsidP="00986A80">
            <w:pPr>
              <w:spacing w:after="0" w:line="360" w:lineRule="auto"/>
              <w:jc w:val="both"/>
              <w:rPr>
                <w:rFonts w:ascii="Arial" w:eastAsia="Times New Roman" w:hAnsi="Arial" w:cs="Arial"/>
                <w:sz w:val="24"/>
                <w:szCs w:val="24"/>
                <w:lang w:eastAsia="es-CO"/>
              </w:rPr>
            </w:pPr>
            <m:oMath>
              <m:r>
                <w:rPr>
                  <w:rFonts w:ascii="Cambria Math" w:eastAsia="Times New Roman" w:hAnsi="Cambria Math" w:cs="Arial"/>
                  <w:color w:val="000000" w:themeColor="text1"/>
                  <w:kern w:val="24"/>
                  <w:sz w:val="24"/>
                  <w:szCs w:val="24"/>
                  <w:lang w:val="es-ES" w:eastAsia="es-CO"/>
                </w:rPr>
                <w:lastRenderedPageBreak/>
                <m:t>N</m:t>
              </m:r>
              <m:sSub>
                <m:sSubPr>
                  <m:ctrlPr>
                    <w:rPr>
                      <w:rFonts w:ascii="Cambria Math" w:eastAsia="Times New Roman" w:hAnsi="Cambria Math" w:cs="Arial"/>
                      <w:i/>
                      <w:color w:val="000000" w:themeColor="text1"/>
                      <w:kern w:val="24"/>
                      <w:sz w:val="24"/>
                      <w:szCs w:val="24"/>
                      <w:lang w:eastAsia="es-CO"/>
                    </w:rPr>
                  </m:ctrlPr>
                </m:sSubPr>
                <m:e>
                  <m:r>
                    <w:rPr>
                      <w:rFonts w:ascii="Cambria Math" w:eastAsia="Times New Roman" w:hAnsi="Cambria Math" w:cs="Arial"/>
                      <w:color w:val="000000" w:themeColor="text1"/>
                      <w:kern w:val="24"/>
                      <w:sz w:val="24"/>
                      <w:szCs w:val="24"/>
                      <w:lang w:val="es-ES" w:eastAsia="es-CO"/>
                    </w:rPr>
                    <m:t>C</m:t>
                  </m:r>
                </m:e>
                <m:sub>
                  <m:r>
                    <w:rPr>
                      <w:rFonts w:ascii="Cambria Math" w:eastAsia="Times New Roman" w:hAnsi="Cambria Math" w:cs="Arial"/>
                      <w:color w:val="000000" w:themeColor="text1"/>
                      <w:kern w:val="24"/>
                      <w:sz w:val="24"/>
                      <w:szCs w:val="24"/>
                      <w:lang w:val="es-ES" w:eastAsia="es-CO"/>
                    </w:rPr>
                    <m:t>CP</m:t>
                  </m:r>
                  <m:r>
                    <m:rPr>
                      <m:sty m:val="p"/>
                    </m:rPr>
                    <w:rPr>
                      <w:rFonts w:ascii="Cambria Math" w:eastAsia="Times New Roman" w:hAnsi="Cambria Math" w:cs="Arial"/>
                      <w:color w:val="000000" w:themeColor="text1"/>
                      <w:kern w:val="24"/>
                      <w:sz w:val="24"/>
                      <w:szCs w:val="24"/>
                      <w:lang w:eastAsia="es-CO"/>
                    </w:rPr>
                    <m:t>,Kg</m:t>
                  </m:r>
                </m:sub>
              </m:sSub>
            </m:oMath>
            <w:r w:rsidRPr="008943FC">
              <w:rPr>
                <w:rFonts w:ascii="Arial" w:eastAsia="Times New Roman" w:hAnsi="Arial" w:cs="Arial"/>
                <w:color w:val="000000" w:themeColor="text1"/>
                <w:kern w:val="24"/>
                <w:sz w:val="24"/>
                <w:szCs w:val="24"/>
                <w:lang w:val="es-ES" w:eastAsia="es-CO"/>
              </w:rPr>
              <w:t>:</w:t>
            </w:r>
          </w:p>
        </w:tc>
        <w:tc>
          <w:tcPr>
            <w:tcW w:w="5561" w:type="dxa"/>
            <w:shd w:val="clear" w:color="auto" w:fill="auto"/>
            <w:tcMar>
              <w:top w:w="15" w:type="dxa"/>
              <w:left w:w="108" w:type="dxa"/>
              <w:bottom w:w="0" w:type="dxa"/>
              <w:right w:w="108" w:type="dxa"/>
            </w:tcMar>
            <w:hideMark/>
          </w:tcPr>
          <w:p w14:paraId="670C71CA" w14:textId="77777777" w:rsidR="00DE5054" w:rsidRPr="008943FC" w:rsidRDefault="00DE5054" w:rsidP="00986A80">
            <w:pPr>
              <w:spacing w:after="0" w:line="360" w:lineRule="auto"/>
              <w:jc w:val="both"/>
              <w:rPr>
                <w:rFonts w:ascii="Arial" w:eastAsia="Times New Roman" w:hAnsi="Arial" w:cs="Arial"/>
                <w:sz w:val="24"/>
                <w:szCs w:val="24"/>
                <w:lang w:eastAsia="es-CO"/>
              </w:rPr>
            </w:pPr>
            <w:r w:rsidRPr="008943FC">
              <w:rPr>
                <w:rFonts w:ascii="Arial" w:eastAsia="Times New Roman" w:hAnsi="Arial" w:cs="Arial"/>
                <w:color w:val="000000" w:themeColor="text1"/>
                <w:kern w:val="24"/>
                <w:sz w:val="24"/>
                <w:szCs w:val="24"/>
                <w:lang w:val="es-ES" w:eastAsia="es-CO"/>
              </w:rPr>
              <w:t>Número de cilindros de propiedad de distribuidor i, con una capacidad de envasado CP</w:t>
            </w:r>
            <w:r w:rsidRPr="008943FC">
              <w:rPr>
                <w:rFonts w:ascii="Arial" w:eastAsia="Times New Roman" w:hAnsi="Arial" w:cs="Arial"/>
                <w:color w:val="000000" w:themeColor="text1"/>
                <w:kern w:val="24"/>
                <w:position w:val="-9"/>
                <w:sz w:val="24"/>
                <w:szCs w:val="24"/>
                <w:vertAlign w:val="subscript"/>
                <w:lang w:val="es-ES" w:eastAsia="es-CO"/>
              </w:rPr>
              <w:t>Kg</w:t>
            </w:r>
            <w:r w:rsidRPr="008943FC">
              <w:rPr>
                <w:rFonts w:ascii="Arial" w:eastAsia="Times New Roman" w:hAnsi="Arial" w:cs="Arial"/>
                <w:color w:val="000000" w:themeColor="text1"/>
                <w:kern w:val="24"/>
                <w:sz w:val="24"/>
                <w:szCs w:val="24"/>
                <w:lang w:val="es-ES" w:eastAsia="es-CO"/>
              </w:rPr>
              <w:t>, de acuerdo con información reportada en el SUI.</w:t>
            </w:r>
          </w:p>
        </w:tc>
      </w:tr>
      <w:tr w:rsidR="00DE5054" w:rsidRPr="00FB2E5A" w14:paraId="3BC0882C" w14:textId="77777777" w:rsidTr="00F913D4">
        <w:trPr>
          <w:trHeight w:val="416"/>
        </w:trPr>
        <w:tc>
          <w:tcPr>
            <w:tcW w:w="1276" w:type="dxa"/>
            <w:shd w:val="clear" w:color="auto" w:fill="auto"/>
            <w:tcMar>
              <w:top w:w="15" w:type="dxa"/>
              <w:left w:w="108" w:type="dxa"/>
              <w:bottom w:w="0" w:type="dxa"/>
              <w:right w:w="108" w:type="dxa"/>
            </w:tcMar>
            <w:hideMark/>
          </w:tcPr>
          <w:p w14:paraId="4BB2FF88" w14:textId="77777777" w:rsidR="00DE5054" w:rsidRPr="008943FC" w:rsidRDefault="00DE5054" w:rsidP="00986A80">
            <w:pPr>
              <w:spacing w:after="0" w:line="360" w:lineRule="auto"/>
              <w:jc w:val="both"/>
              <w:rPr>
                <w:rFonts w:ascii="Arial" w:eastAsia="Times New Roman" w:hAnsi="Arial" w:cs="Arial"/>
                <w:sz w:val="24"/>
                <w:szCs w:val="24"/>
                <w:lang w:eastAsia="es-CO"/>
              </w:rPr>
            </w:pPr>
            <m:oMath>
              <m:r>
                <w:rPr>
                  <w:rFonts w:ascii="Cambria Math" w:eastAsia="Times New Roman" w:hAnsi="Cambria Math" w:cs="Arial"/>
                  <w:color w:val="000000" w:themeColor="text1"/>
                  <w:kern w:val="24"/>
                  <w:sz w:val="24"/>
                  <w:szCs w:val="24"/>
                  <w:lang w:val="es-ES" w:eastAsia="es-CO"/>
                </w:rPr>
                <m:t>6</m:t>
              </m:r>
            </m:oMath>
            <w:r w:rsidRPr="008943FC">
              <w:rPr>
                <w:rFonts w:ascii="Arial" w:eastAsia="Times New Roman" w:hAnsi="Arial" w:cs="Arial"/>
                <w:color w:val="000000" w:themeColor="text1"/>
                <w:kern w:val="24"/>
                <w:sz w:val="24"/>
                <w:szCs w:val="24"/>
                <w:lang w:val="es-ES" w:eastAsia="es-CO"/>
              </w:rPr>
              <w:t>:</w:t>
            </w:r>
          </w:p>
        </w:tc>
        <w:tc>
          <w:tcPr>
            <w:tcW w:w="5561" w:type="dxa"/>
            <w:shd w:val="clear" w:color="auto" w:fill="auto"/>
            <w:tcMar>
              <w:top w:w="15" w:type="dxa"/>
              <w:left w:w="108" w:type="dxa"/>
              <w:bottom w:w="0" w:type="dxa"/>
              <w:right w:w="108" w:type="dxa"/>
            </w:tcMar>
            <w:hideMark/>
          </w:tcPr>
          <w:p w14:paraId="2D01DE79" w14:textId="6EFB1D53" w:rsidR="00DE5054" w:rsidRPr="008943FC" w:rsidRDefault="00DE5054" w:rsidP="00986A80">
            <w:pPr>
              <w:spacing w:after="0" w:line="360" w:lineRule="auto"/>
              <w:jc w:val="both"/>
              <w:rPr>
                <w:rFonts w:ascii="Arial" w:eastAsia="Times New Roman" w:hAnsi="Arial" w:cs="Arial"/>
                <w:sz w:val="24"/>
                <w:szCs w:val="24"/>
                <w:lang w:eastAsia="es-CO"/>
              </w:rPr>
            </w:pPr>
            <w:r w:rsidRPr="008943FC">
              <w:rPr>
                <w:rFonts w:ascii="Arial" w:eastAsia="Times New Roman" w:hAnsi="Arial" w:cs="Arial"/>
                <w:color w:val="000000" w:themeColor="text1"/>
                <w:kern w:val="24"/>
                <w:sz w:val="24"/>
                <w:szCs w:val="24"/>
                <w:lang w:val="es-ES" w:eastAsia="es-CO"/>
              </w:rPr>
              <w:t>Número de el p</w:t>
            </w:r>
            <w:r w:rsidR="009C5EF2" w:rsidRPr="008943FC">
              <w:rPr>
                <w:rFonts w:ascii="Arial" w:eastAsia="Times New Roman" w:hAnsi="Arial" w:cs="Arial"/>
                <w:color w:val="000000" w:themeColor="text1"/>
                <w:kern w:val="24"/>
                <w:sz w:val="24"/>
                <w:szCs w:val="24"/>
                <w:lang w:val="es-ES" w:eastAsia="es-CO"/>
              </w:rPr>
              <w:t>eríodo</w:t>
            </w:r>
            <w:r w:rsidRPr="008943FC">
              <w:rPr>
                <w:rFonts w:ascii="Arial" w:eastAsia="Times New Roman" w:hAnsi="Arial" w:cs="Arial"/>
                <w:color w:val="000000" w:themeColor="text1"/>
                <w:kern w:val="24"/>
                <w:sz w:val="24"/>
                <w:szCs w:val="24"/>
                <w:lang w:val="es-ES" w:eastAsia="es-CO"/>
              </w:rPr>
              <w:t xml:space="preserve"> de compra.</w:t>
            </w:r>
          </w:p>
        </w:tc>
      </w:tr>
    </w:tbl>
    <w:p w14:paraId="6434CD02" w14:textId="77777777" w:rsidR="00DE5054" w:rsidRPr="008943FC" w:rsidRDefault="00DE5054" w:rsidP="00986A80">
      <w:pPr>
        <w:spacing w:after="0" w:line="360" w:lineRule="auto"/>
        <w:ind w:left="2694" w:hanging="2127"/>
        <w:jc w:val="both"/>
        <w:rPr>
          <w:rFonts w:ascii="Arial" w:eastAsiaTheme="minorEastAsia" w:hAnsi="Arial" w:cs="Arial"/>
          <w:sz w:val="24"/>
          <w:szCs w:val="24"/>
          <w:lang w:val="es-ES" w:eastAsia="es-ES"/>
        </w:rPr>
      </w:pPr>
    </w:p>
    <w:p w14:paraId="58A9BB70" w14:textId="0A0B706E" w:rsidR="00DE5054" w:rsidRPr="008943FC" w:rsidRDefault="00DE5054" w:rsidP="00986A80">
      <w:pPr>
        <w:spacing w:after="0" w:line="360" w:lineRule="auto"/>
        <w:ind w:left="567" w:right="284"/>
        <w:jc w:val="both"/>
        <w:rPr>
          <w:rFonts w:ascii="Arial" w:eastAsia="Times New Roman" w:hAnsi="Arial" w:cs="Arial"/>
          <w:sz w:val="24"/>
          <w:szCs w:val="24"/>
          <w:lang w:val="es-ES" w:eastAsia="es-ES"/>
        </w:rPr>
      </w:pPr>
      <w:r w:rsidRPr="008943FC">
        <w:rPr>
          <w:rFonts w:ascii="Arial" w:eastAsia="Times New Roman" w:hAnsi="Arial" w:cs="Arial"/>
          <w:b/>
          <w:sz w:val="24"/>
          <w:szCs w:val="24"/>
          <w:lang w:val="es-ES" w:eastAsia="es-ES"/>
        </w:rPr>
        <w:t>Parágrafo 3.</w:t>
      </w:r>
      <w:r w:rsidRPr="008943FC">
        <w:rPr>
          <w:rFonts w:ascii="Arial" w:eastAsia="Times New Roman" w:hAnsi="Arial" w:cs="Arial"/>
          <w:sz w:val="24"/>
          <w:szCs w:val="24"/>
          <w:lang w:val="es-ES" w:eastAsia="es-ES"/>
        </w:rPr>
        <w:t xml:space="preserve"> La capacidad total de tanques estacionarios atendidos por el distribuidor </w:t>
      </w:r>
      <w:r w:rsidRPr="008943FC">
        <w:rPr>
          <w:rFonts w:ascii="Arial" w:eastAsia="Times New Roman" w:hAnsi="Arial" w:cs="Arial"/>
          <w:i/>
          <w:sz w:val="24"/>
          <w:szCs w:val="24"/>
          <w:lang w:val="es-ES" w:eastAsia="es-ES"/>
        </w:rPr>
        <w:t>i</w:t>
      </w:r>
      <w:r w:rsidRPr="008943FC">
        <w:rPr>
          <w:rFonts w:ascii="Arial" w:eastAsia="Times New Roman" w:hAnsi="Arial" w:cs="Arial"/>
          <w:sz w:val="24"/>
          <w:szCs w:val="24"/>
          <w:lang w:val="es-ES" w:eastAsia="es-ES"/>
        </w:rPr>
        <w:t>, en el p</w:t>
      </w:r>
      <w:r w:rsidR="009C5EF2" w:rsidRPr="008943FC">
        <w:rPr>
          <w:rFonts w:ascii="Arial" w:eastAsia="Times New Roman" w:hAnsi="Arial" w:cs="Arial"/>
          <w:sz w:val="24"/>
          <w:szCs w:val="24"/>
          <w:lang w:val="es-ES" w:eastAsia="es-ES"/>
        </w:rPr>
        <w:t>eríodo</w:t>
      </w:r>
      <w:r w:rsidRPr="008943FC">
        <w:rPr>
          <w:rFonts w:ascii="Arial" w:eastAsia="Times New Roman" w:hAnsi="Arial" w:cs="Arial"/>
          <w:sz w:val="24"/>
          <w:szCs w:val="24"/>
          <w:lang w:val="es-ES" w:eastAsia="es-ES"/>
        </w:rPr>
        <w:t xml:space="preserve"> </w:t>
      </w:r>
      <w:r w:rsidRPr="008943FC">
        <w:rPr>
          <w:rFonts w:ascii="Arial" w:eastAsia="Times New Roman" w:hAnsi="Arial" w:cs="Arial"/>
          <w:i/>
          <w:sz w:val="24"/>
          <w:szCs w:val="24"/>
          <w:lang w:val="es-ES" w:eastAsia="es-ES"/>
        </w:rPr>
        <w:t xml:space="preserve">t, </w:t>
      </w:r>
      <w:r w:rsidRPr="008943FC">
        <w:rPr>
          <w:rFonts w:ascii="Arial" w:eastAsia="Times New Roman" w:hAnsi="Arial" w:cs="Arial"/>
          <w:sz w:val="24"/>
          <w:szCs w:val="24"/>
          <w:lang w:val="es-ES" w:eastAsia="es-ES"/>
        </w:rPr>
        <w:t xml:space="preserve">se calculará de la siguiente forma. </w:t>
      </w:r>
    </w:p>
    <w:p w14:paraId="02889F3E" w14:textId="77777777" w:rsidR="00DE5054" w:rsidRPr="008943FC" w:rsidRDefault="00DE5054" w:rsidP="00986A80">
      <w:pPr>
        <w:spacing w:after="0" w:line="360" w:lineRule="auto"/>
        <w:ind w:left="567"/>
        <w:jc w:val="both"/>
        <w:rPr>
          <w:rFonts w:ascii="Arial" w:eastAsia="Times New Roman" w:hAnsi="Arial" w:cs="Arial"/>
          <w:sz w:val="24"/>
          <w:szCs w:val="24"/>
          <w:lang w:val="es-ES" w:eastAsia="es-ES"/>
        </w:rPr>
      </w:pPr>
    </w:p>
    <w:p w14:paraId="4E51C20C" w14:textId="77777777" w:rsidR="00DE5054" w:rsidRPr="008943FC" w:rsidRDefault="00DE5054" w:rsidP="00986A80">
      <w:pPr>
        <w:spacing w:after="0" w:line="360" w:lineRule="auto"/>
        <w:ind w:left="567"/>
        <w:jc w:val="both"/>
        <w:rPr>
          <w:rFonts w:ascii="Arial" w:eastAsia="Times New Roman" w:hAnsi="Arial" w:cs="Arial"/>
          <w:sz w:val="24"/>
          <w:szCs w:val="24"/>
          <w:lang w:val="es-ES" w:eastAsia="es-ES"/>
        </w:rPr>
      </w:pPr>
      <m:oMathPara>
        <m:oMath>
          <m:r>
            <w:rPr>
              <w:rFonts w:ascii="Cambria Math" w:eastAsia="Times New Roman" w:hAnsi="Cambria Math" w:cs="Arial"/>
              <w:sz w:val="24"/>
              <w:szCs w:val="24"/>
              <w:lang w:val="es-ES" w:eastAsia="es-ES"/>
            </w:rPr>
            <m:t>Cap.T</m:t>
          </m:r>
          <m:sSub>
            <m:sSubPr>
              <m:ctrlPr>
                <w:rPr>
                  <w:rFonts w:ascii="Cambria Math" w:eastAsia="Times New Roman" w:hAnsi="Cambria Math" w:cs="Arial"/>
                  <w:i/>
                  <w:sz w:val="24"/>
                  <w:szCs w:val="24"/>
                  <w:lang w:val="es-ES" w:eastAsia="es-ES"/>
                </w:rPr>
              </m:ctrlPr>
            </m:sSubPr>
            <m:e>
              <m:r>
                <w:rPr>
                  <w:rFonts w:ascii="Cambria Math" w:eastAsia="Times New Roman" w:hAnsi="Cambria Math" w:cs="Arial"/>
                  <w:sz w:val="24"/>
                  <w:szCs w:val="24"/>
                  <w:lang w:val="es-ES" w:eastAsia="es-ES"/>
                </w:rPr>
                <m:t>E</m:t>
              </m:r>
            </m:e>
            <m:sub>
              <m:r>
                <w:rPr>
                  <w:rFonts w:ascii="Cambria Math" w:eastAsia="Times New Roman" w:hAnsi="Cambria Math" w:cs="Arial"/>
                  <w:sz w:val="24"/>
                  <w:szCs w:val="24"/>
                  <w:lang w:val="es-ES" w:eastAsia="es-ES"/>
                </w:rPr>
                <m:t>i,t</m:t>
              </m:r>
            </m:sub>
          </m:sSub>
          <m:r>
            <w:rPr>
              <w:rFonts w:ascii="Cambria Math" w:eastAsia="Times New Roman" w:hAnsi="Cambria Math" w:cs="Arial"/>
              <w:sz w:val="24"/>
              <w:szCs w:val="24"/>
              <w:lang w:val="es-ES" w:eastAsia="es-ES"/>
            </w:rPr>
            <m:t>=</m:t>
          </m:r>
          <m:nary>
            <m:naryPr>
              <m:chr m:val="∑"/>
              <m:limLoc m:val="undOvr"/>
              <m:supHide m:val="1"/>
              <m:ctrlPr>
                <w:rPr>
                  <w:rFonts w:ascii="Cambria Math" w:eastAsia="Times New Roman" w:hAnsi="Cambria Math" w:cs="Arial"/>
                  <w:i/>
                  <w:sz w:val="24"/>
                  <w:szCs w:val="24"/>
                  <w:lang w:val="es-ES" w:eastAsia="es-ES"/>
                </w:rPr>
              </m:ctrlPr>
            </m:naryPr>
            <m:sub>
              <m:r>
                <w:rPr>
                  <w:rFonts w:ascii="Cambria Math" w:eastAsia="Times New Roman" w:hAnsi="Cambria Math" w:cs="Arial"/>
                  <w:sz w:val="24"/>
                  <w:szCs w:val="24"/>
                  <w:lang w:val="es-ES" w:eastAsia="es-ES"/>
                </w:rPr>
                <m:t>CV</m:t>
              </m:r>
            </m:sub>
            <m:sup/>
            <m:e>
              <m:r>
                <w:rPr>
                  <w:rFonts w:ascii="Cambria Math" w:eastAsia="Times New Roman" w:hAnsi="Cambria Math" w:cs="Arial"/>
                  <w:sz w:val="24"/>
                  <w:szCs w:val="24"/>
                  <w:lang w:val="es-ES" w:eastAsia="es-ES"/>
                </w:rPr>
                <m:t>CV*NT</m:t>
              </m:r>
              <m:sSub>
                <m:sSubPr>
                  <m:ctrlPr>
                    <w:rPr>
                      <w:rFonts w:ascii="Cambria Math" w:eastAsia="Times New Roman" w:hAnsi="Cambria Math" w:cs="Arial"/>
                      <w:i/>
                      <w:sz w:val="24"/>
                      <w:szCs w:val="24"/>
                      <w:lang w:val="es-ES" w:eastAsia="es-ES"/>
                    </w:rPr>
                  </m:ctrlPr>
                </m:sSubPr>
                <m:e>
                  <m:r>
                    <w:rPr>
                      <w:rFonts w:ascii="Cambria Math" w:eastAsia="Times New Roman" w:hAnsi="Cambria Math" w:cs="Arial"/>
                      <w:sz w:val="24"/>
                      <w:szCs w:val="24"/>
                      <w:lang w:val="es-ES" w:eastAsia="es-ES"/>
                    </w:rPr>
                    <m:t>E</m:t>
                  </m:r>
                </m:e>
                <m:sub>
                  <m:r>
                    <w:rPr>
                      <w:rFonts w:ascii="Cambria Math" w:eastAsia="Times New Roman" w:hAnsi="Cambria Math" w:cs="Arial"/>
                      <w:sz w:val="24"/>
                      <w:szCs w:val="24"/>
                      <w:lang w:val="es-ES" w:eastAsia="es-ES"/>
                    </w:rPr>
                    <m:t>CV</m:t>
                  </m:r>
                </m:sub>
              </m:sSub>
            </m:e>
          </m:nary>
          <m:r>
            <w:rPr>
              <w:rFonts w:ascii="Cambria Math" w:eastAsia="Times New Roman" w:hAnsi="Cambria Math" w:cs="Arial"/>
              <w:sz w:val="24"/>
              <w:szCs w:val="24"/>
              <w:lang w:val="es-ES" w:eastAsia="es-ES"/>
            </w:rPr>
            <m:t>*2,10*6</m:t>
          </m:r>
        </m:oMath>
      </m:oMathPara>
    </w:p>
    <w:p w14:paraId="318E2CDD" w14:textId="77777777" w:rsidR="0067294D" w:rsidRPr="008943FC" w:rsidRDefault="0067294D" w:rsidP="00986A80">
      <w:pPr>
        <w:spacing w:after="0" w:line="360" w:lineRule="auto"/>
        <w:ind w:left="567"/>
        <w:jc w:val="both"/>
        <w:rPr>
          <w:rFonts w:ascii="Arial" w:eastAsia="Times New Roman" w:hAnsi="Arial" w:cs="Arial"/>
          <w:sz w:val="24"/>
          <w:szCs w:val="24"/>
          <w:lang w:val="es-ES" w:eastAsia="es-ES"/>
        </w:rPr>
      </w:pPr>
    </w:p>
    <w:p w14:paraId="365BF759" w14:textId="77777777" w:rsidR="00DE5054" w:rsidRPr="008943FC" w:rsidRDefault="00DE5054" w:rsidP="00986A80">
      <w:pPr>
        <w:spacing w:after="0" w:line="360" w:lineRule="auto"/>
        <w:ind w:left="567"/>
        <w:jc w:val="both"/>
        <w:rPr>
          <w:rFonts w:ascii="Arial" w:eastAsia="Times New Roman" w:hAnsi="Arial" w:cs="Arial"/>
          <w:sz w:val="24"/>
          <w:szCs w:val="24"/>
          <w:lang w:val="es-ES" w:eastAsia="es-ES"/>
        </w:rPr>
      </w:pPr>
      <w:r w:rsidRPr="008943FC">
        <w:rPr>
          <w:rFonts w:ascii="Arial" w:eastAsia="Times New Roman" w:hAnsi="Arial" w:cs="Arial"/>
          <w:sz w:val="24"/>
          <w:szCs w:val="24"/>
          <w:lang w:val="es-ES" w:eastAsia="es-ES"/>
        </w:rPr>
        <w:t xml:space="preserve">Donde, </w:t>
      </w:r>
    </w:p>
    <w:p w14:paraId="2CEF3110" w14:textId="77777777" w:rsidR="00594857" w:rsidRPr="008943FC" w:rsidRDefault="00594857" w:rsidP="00986A80">
      <w:pPr>
        <w:spacing w:after="0" w:line="360" w:lineRule="auto"/>
        <w:ind w:left="567"/>
        <w:jc w:val="both"/>
        <w:rPr>
          <w:rFonts w:ascii="Arial" w:eastAsia="Times New Roman" w:hAnsi="Arial" w:cs="Arial"/>
          <w:sz w:val="24"/>
          <w:szCs w:val="24"/>
          <w:lang w:val="es-ES" w:eastAsia="es-ES"/>
        </w:rPr>
      </w:pPr>
    </w:p>
    <w:tbl>
      <w:tblPr>
        <w:tblStyle w:val="Tablaconcuadrcu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088"/>
      </w:tblGrid>
      <w:tr w:rsidR="00DE5054" w:rsidRPr="00FB2E5A" w14:paraId="31A3B531" w14:textId="77777777" w:rsidTr="00F913D4">
        <w:trPr>
          <w:jc w:val="center"/>
        </w:trPr>
        <w:tc>
          <w:tcPr>
            <w:tcW w:w="1701" w:type="dxa"/>
          </w:tcPr>
          <w:p w14:paraId="012CDBBD" w14:textId="77777777" w:rsidR="00DE5054" w:rsidRPr="008943FC" w:rsidRDefault="00DE5054" w:rsidP="00986A80">
            <w:pPr>
              <w:spacing w:line="360" w:lineRule="auto"/>
              <w:jc w:val="both"/>
              <w:rPr>
                <w:rFonts w:ascii="Arial" w:hAnsi="Arial" w:cs="Arial"/>
                <w:sz w:val="24"/>
                <w:szCs w:val="24"/>
                <w:lang w:val="es-ES" w:eastAsia="es-ES"/>
              </w:rPr>
            </w:pPr>
            <m:oMath>
              <m:r>
                <w:rPr>
                  <w:rFonts w:ascii="Cambria Math" w:hAnsi="Cambria Math" w:cs="Arial"/>
                  <w:sz w:val="24"/>
                  <w:szCs w:val="24"/>
                  <w:lang w:val="es-ES" w:eastAsia="es-ES"/>
                </w:rPr>
                <m:t>Cap.T</m:t>
              </m:r>
              <m:sSub>
                <m:sSubPr>
                  <m:ctrlPr>
                    <w:rPr>
                      <w:rFonts w:ascii="Cambria Math" w:hAnsi="Cambria Math" w:cs="Arial"/>
                      <w:i/>
                      <w:sz w:val="24"/>
                      <w:szCs w:val="24"/>
                      <w:lang w:val="es-ES" w:eastAsia="es-ES"/>
                    </w:rPr>
                  </m:ctrlPr>
                </m:sSubPr>
                <m:e>
                  <m:r>
                    <w:rPr>
                      <w:rFonts w:ascii="Cambria Math" w:hAnsi="Cambria Math" w:cs="Arial"/>
                      <w:sz w:val="24"/>
                      <w:szCs w:val="24"/>
                      <w:lang w:val="es-ES" w:eastAsia="es-ES"/>
                    </w:rPr>
                    <m:t>E</m:t>
                  </m:r>
                </m:e>
                <m:sub>
                  <m:r>
                    <w:rPr>
                      <w:rFonts w:ascii="Cambria Math" w:hAnsi="Cambria Math" w:cs="Arial"/>
                      <w:sz w:val="24"/>
                      <w:szCs w:val="24"/>
                      <w:lang w:val="es-ES" w:eastAsia="es-ES"/>
                    </w:rPr>
                    <m:t>i,t</m:t>
                  </m:r>
                </m:sub>
              </m:sSub>
            </m:oMath>
            <w:r w:rsidRPr="008943FC">
              <w:rPr>
                <w:rFonts w:ascii="Arial" w:hAnsi="Arial" w:cs="Arial"/>
                <w:sz w:val="24"/>
                <w:szCs w:val="24"/>
                <w:lang w:val="es-ES" w:eastAsia="es-ES"/>
              </w:rPr>
              <w:t>:</w:t>
            </w:r>
          </w:p>
        </w:tc>
        <w:tc>
          <w:tcPr>
            <w:tcW w:w="7088" w:type="dxa"/>
          </w:tcPr>
          <w:p w14:paraId="30F6A34C" w14:textId="73E4DA30" w:rsidR="00DE5054" w:rsidRPr="008943FC" w:rsidRDefault="00DE5054" w:rsidP="00986A80">
            <w:pPr>
              <w:spacing w:line="360" w:lineRule="auto"/>
              <w:ind w:left="-108"/>
              <w:jc w:val="both"/>
              <w:rPr>
                <w:rFonts w:ascii="Arial" w:eastAsiaTheme="minorEastAsia" w:hAnsi="Arial" w:cs="Arial"/>
                <w:sz w:val="24"/>
                <w:szCs w:val="24"/>
                <w:lang w:val="es-ES" w:eastAsia="es-ES"/>
              </w:rPr>
            </w:pPr>
            <w:r w:rsidRPr="008943FC">
              <w:rPr>
                <w:rFonts w:ascii="Arial" w:eastAsiaTheme="minorEastAsia" w:hAnsi="Arial" w:cs="Arial"/>
                <w:sz w:val="24"/>
                <w:szCs w:val="24"/>
                <w:lang w:val="es-ES" w:eastAsia="es-ES"/>
              </w:rPr>
              <w:t xml:space="preserve">Capacidad total de tanques estacionarios atendidos por el distribuidor </w:t>
            </w:r>
            <w:r w:rsidRPr="008943FC">
              <w:rPr>
                <w:rFonts w:ascii="Arial" w:eastAsiaTheme="minorEastAsia" w:hAnsi="Arial" w:cs="Arial"/>
                <w:i/>
                <w:sz w:val="24"/>
                <w:szCs w:val="24"/>
                <w:lang w:val="es-ES" w:eastAsia="es-ES"/>
              </w:rPr>
              <w:t xml:space="preserve">i, </w:t>
            </w:r>
            <w:r w:rsidRPr="008943FC">
              <w:rPr>
                <w:rFonts w:ascii="Arial" w:eastAsiaTheme="minorEastAsia" w:hAnsi="Arial" w:cs="Arial"/>
                <w:sz w:val="24"/>
                <w:szCs w:val="24"/>
                <w:lang w:val="es-ES" w:eastAsia="es-ES"/>
              </w:rPr>
              <w:t>en el p</w:t>
            </w:r>
            <w:r w:rsidR="009C5EF2" w:rsidRPr="008943FC">
              <w:rPr>
                <w:rFonts w:ascii="Arial" w:eastAsiaTheme="minorEastAsia" w:hAnsi="Arial" w:cs="Arial"/>
                <w:sz w:val="24"/>
                <w:szCs w:val="24"/>
                <w:lang w:val="es-ES" w:eastAsia="es-ES"/>
              </w:rPr>
              <w:t>eríodo</w:t>
            </w:r>
            <w:r w:rsidRPr="008943FC">
              <w:rPr>
                <w:rFonts w:ascii="Arial" w:eastAsiaTheme="minorEastAsia" w:hAnsi="Arial" w:cs="Arial"/>
                <w:sz w:val="24"/>
                <w:szCs w:val="24"/>
                <w:lang w:val="es-ES" w:eastAsia="es-ES"/>
              </w:rPr>
              <w:t xml:space="preserve"> </w:t>
            </w:r>
            <w:r w:rsidRPr="008943FC">
              <w:rPr>
                <w:rFonts w:ascii="Arial" w:eastAsiaTheme="minorEastAsia" w:hAnsi="Arial" w:cs="Arial"/>
                <w:i/>
                <w:sz w:val="24"/>
                <w:szCs w:val="24"/>
                <w:lang w:val="es-ES" w:eastAsia="es-ES"/>
              </w:rPr>
              <w:t>t</w:t>
            </w:r>
            <w:r w:rsidRPr="008943FC">
              <w:rPr>
                <w:rFonts w:ascii="Arial" w:eastAsiaTheme="minorEastAsia" w:hAnsi="Arial" w:cs="Arial"/>
                <w:sz w:val="24"/>
                <w:szCs w:val="24"/>
                <w:lang w:val="es-ES" w:eastAsia="es-ES"/>
              </w:rPr>
              <w:t>, medida en kilogramos, de acuerdo con la información reportada al SUI.</w:t>
            </w:r>
          </w:p>
          <w:p w14:paraId="00E378F3" w14:textId="77777777" w:rsidR="00C705A5" w:rsidRPr="008943FC" w:rsidRDefault="00C705A5" w:rsidP="00986A80">
            <w:pPr>
              <w:spacing w:line="360" w:lineRule="auto"/>
              <w:ind w:left="-108"/>
              <w:jc w:val="both"/>
              <w:rPr>
                <w:rFonts w:ascii="Arial" w:hAnsi="Arial" w:cs="Arial"/>
                <w:sz w:val="24"/>
                <w:szCs w:val="24"/>
                <w:lang w:val="es-ES" w:eastAsia="es-ES"/>
              </w:rPr>
            </w:pPr>
          </w:p>
        </w:tc>
      </w:tr>
      <w:tr w:rsidR="00DE5054" w:rsidRPr="00FB2E5A" w14:paraId="376E7313" w14:textId="77777777" w:rsidTr="00F913D4">
        <w:trPr>
          <w:jc w:val="center"/>
        </w:trPr>
        <w:tc>
          <w:tcPr>
            <w:tcW w:w="1701" w:type="dxa"/>
          </w:tcPr>
          <w:p w14:paraId="706AEFC1" w14:textId="77777777" w:rsidR="00DE5054" w:rsidRPr="008943FC" w:rsidRDefault="00DE5054" w:rsidP="00986A80">
            <w:pPr>
              <w:spacing w:line="360" w:lineRule="auto"/>
              <w:ind w:left="179" w:hanging="179"/>
              <w:jc w:val="both"/>
              <w:rPr>
                <w:rFonts w:ascii="Arial" w:hAnsi="Arial" w:cs="Arial"/>
                <w:sz w:val="24"/>
                <w:szCs w:val="24"/>
                <w:lang w:val="es-ES" w:eastAsia="es-ES"/>
              </w:rPr>
            </w:pPr>
            <m:oMath>
              <m:r>
                <w:rPr>
                  <w:rFonts w:ascii="Cambria Math" w:hAnsi="Cambria Math" w:cs="Arial"/>
                  <w:sz w:val="24"/>
                  <w:szCs w:val="24"/>
                  <w:lang w:val="es-ES" w:eastAsia="es-ES"/>
                </w:rPr>
                <m:t>CV</m:t>
              </m:r>
            </m:oMath>
            <w:r w:rsidRPr="008943FC">
              <w:rPr>
                <w:rFonts w:ascii="Arial" w:hAnsi="Arial" w:cs="Arial"/>
                <w:sz w:val="24"/>
                <w:szCs w:val="24"/>
                <w:lang w:val="es-ES" w:eastAsia="es-ES"/>
              </w:rPr>
              <w:t>:</w:t>
            </w:r>
          </w:p>
        </w:tc>
        <w:tc>
          <w:tcPr>
            <w:tcW w:w="7088" w:type="dxa"/>
          </w:tcPr>
          <w:p w14:paraId="517CAFBB" w14:textId="77777777" w:rsidR="00DE5054" w:rsidRPr="008943FC" w:rsidRDefault="00DE5054" w:rsidP="00986A80">
            <w:pPr>
              <w:spacing w:line="360" w:lineRule="auto"/>
              <w:ind w:left="-108"/>
              <w:jc w:val="both"/>
              <w:rPr>
                <w:rFonts w:ascii="Arial" w:hAnsi="Arial" w:cs="Arial"/>
                <w:sz w:val="24"/>
                <w:szCs w:val="24"/>
                <w:lang w:val="es-ES" w:eastAsia="es-ES"/>
              </w:rPr>
            </w:pPr>
            <w:r w:rsidRPr="008943FC">
              <w:rPr>
                <w:rFonts w:ascii="Arial" w:eastAsiaTheme="minorEastAsia" w:hAnsi="Arial" w:cs="Arial"/>
                <w:sz w:val="24"/>
                <w:szCs w:val="24"/>
                <w:lang w:val="es-ES" w:eastAsia="es-ES"/>
              </w:rPr>
              <w:t xml:space="preserve">Capacidad de cada uno de los tanques estacionarios atendidos por el distribuidor </w:t>
            </w:r>
            <w:r w:rsidRPr="008943FC">
              <w:rPr>
                <w:rFonts w:ascii="Arial" w:eastAsiaTheme="minorEastAsia" w:hAnsi="Arial" w:cs="Arial"/>
                <w:i/>
                <w:sz w:val="24"/>
                <w:szCs w:val="24"/>
                <w:lang w:val="es-ES" w:eastAsia="es-ES"/>
              </w:rPr>
              <w:t>i</w:t>
            </w:r>
            <w:r w:rsidRPr="008943FC">
              <w:rPr>
                <w:rFonts w:ascii="Arial" w:eastAsiaTheme="minorEastAsia" w:hAnsi="Arial" w:cs="Arial"/>
                <w:sz w:val="24"/>
                <w:szCs w:val="24"/>
                <w:lang w:val="es-ES" w:eastAsia="es-ES"/>
              </w:rPr>
              <w:t>, galones, de acuerdo con la información publicada en el SUI.</w:t>
            </w:r>
          </w:p>
        </w:tc>
      </w:tr>
      <w:tr w:rsidR="00DE5054" w:rsidRPr="00FB2E5A" w14:paraId="23636A48" w14:textId="77777777" w:rsidTr="00F913D4">
        <w:trPr>
          <w:jc w:val="center"/>
        </w:trPr>
        <w:tc>
          <w:tcPr>
            <w:tcW w:w="1701" w:type="dxa"/>
          </w:tcPr>
          <w:p w14:paraId="23416716" w14:textId="77777777" w:rsidR="00DE5054" w:rsidRPr="008943FC" w:rsidRDefault="00DE5054" w:rsidP="00986A80">
            <w:pPr>
              <w:spacing w:line="360" w:lineRule="auto"/>
              <w:jc w:val="both"/>
              <w:rPr>
                <w:rFonts w:ascii="Arial" w:hAnsi="Arial" w:cs="Arial"/>
                <w:sz w:val="24"/>
                <w:szCs w:val="24"/>
                <w:lang w:val="es-ES" w:eastAsia="es-ES"/>
              </w:rPr>
            </w:pPr>
            <m:oMath>
              <m:r>
                <w:rPr>
                  <w:rFonts w:ascii="Cambria Math" w:hAnsi="Cambria Math" w:cs="Arial"/>
                  <w:sz w:val="24"/>
                  <w:szCs w:val="24"/>
                  <w:lang w:val="es-ES" w:eastAsia="es-ES"/>
                </w:rPr>
                <m:t>NT</m:t>
              </m:r>
              <m:sSub>
                <m:sSubPr>
                  <m:ctrlPr>
                    <w:rPr>
                      <w:rFonts w:ascii="Cambria Math" w:hAnsi="Cambria Math" w:cs="Arial"/>
                      <w:i/>
                      <w:sz w:val="24"/>
                      <w:szCs w:val="24"/>
                      <w:lang w:val="es-ES" w:eastAsia="es-ES"/>
                    </w:rPr>
                  </m:ctrlPr>
                </m:sSubPr>
                <m:e>
                  <m:r>
                    <w:rPr>
                      <w:rFonts w:ascii="Cambria Math" w:hAnsi="Cambria Math" w:cs="Arial"/>
                      <w:sz w:val="24"/>
                      <w:szCs w:val="24"/>
                      <w:lang w:val="es-ES" w:eastAsia="es-ES"/>
                    </w:rPr>
                    <m:t>E</m:t>
                  </m:r>
                </m:e>
                <m:sub>
                  <m:r>
                    <w:rPr>
                      <w:rFonts w:ascii="Cambria Math" w:hAnsi="Cambria Math" w:cs="Arial"/>
                      <w:sz w:val="24"/>
                      <w:szCs w:val="24"/>
                      <w:lang w:val="es-ES" w:eastAsia="es-ES"/>
                    </w:rPr>
                    <m:t>CV</m:t>
                  </m:r>
                </m:sub>
              </m:sSub>
            </m:oMath>
            <w:r w:rsidRPr="008943FC">
              <w:rPr>
                <w:rFonts w:ascii="Arial" w:hAnsi="Arial" w:cs="Arial"/>
                <w:sz w:val="24"/>
                <w:szCs w:val="24"/>
                <w:lang w:val="es-ES" w:eastAsia="es-ES"/>
              </w:rPr>
              <w:t>:</w:t>
            </w:r>
          </w:p>
        </w:tc>
        <w:tc>
          <w:tcPr>
            <w:tcW w:w="7088" w:type="dxa"/>
          </w:tcPr>
          <w:p w14:paraId="1F1C7FE6" w14:textId="77777777" w:rsidR="00DE5054" w:rsidRPr="008943FC" w:rsidRDefault="00DE5054" w:rsidP="00986A80">
            <w:pPr>
              <w:spacing w:line="360" w:lineRule="auto"/>
              <w:ind w:left="-108"/>
              <w:jc w:val="both"/>
              <w:rPr>
                <w:rFonts w:ascii="Arial" w:hAnsi="Arial" w:cs="Arial"/>
                <w:sz w:val="24"/>
                <w:szCs w:val="24"/>
                <w:lang w:val="es-ES" w:eastAsia="es-ES"/>
              </w:rPr>
            </w:pPr>
            <w:r w:rsidRPr="008943FC">
              <w:rPr>
                <w:rFonts w:ascii="Arial" w:hAnsi="Arial" w:cs="Arial"/>
                <w:sz w:val="24"/>
                <w:szCs w:val="24"/>
                <w:lang w:val="es-ES" w:eastAsia="es-ES"/>
              </w:rPr>
              <w:t xml:space="preserve">Número de tanques estacionarios atendidos por el distribuidor </w:t>
            </w:r>
            <w:r w:rsidRPr="008943FC">
              <w:rPr>
                <w:rFonts w:ascii="Arial" w:hAnsi="Arial" w:cs="Arial"/>
                <w:i/>
                <w:sz w:val="24"/>
                <w:szCs w:val="24"/>
                <w:lang w:val="es-ES" w:eastAsia="es-ES"/>
              </w:rPr>
              <w:t>i</w:t>
            </w:r>
            <w:r w:rsidRPr="008943FC">
              <w:rPr>
                <w:rFonts w:ascii="Arial" w:hAnsi="Arial" w:cs="Arial"/>
                <w:sz w:val="24"/>
                <w:szCs w:val="24"/>
                <w:lang w:val="es-ES" w:eastAsia="es-ES"/>
              </w:rPr>
              <w:t xml:space="preserve">, con una capacidad </w:t>
            </w:r>
            <w:r w:rsidRPr="008943FC">
              <w:rPr>
                <w:rFonts w:ascii="Arial" w:hAnsi="Arial" w:cs="Arial"/>
                <w:i/>
                <w:sz w:val="24"/>
                <w:szCs w:val="24"/>
                <w:lang w:val="es-ES" w:eastAsia="es-ES"/>
              </w:rPr>
              <w:t>CV</w:t>
            </w:r>
            <w:r w:rsidRPr="008943FC">
              <w:rPr>
                <w:rFonts w:ascii="Arial" w:hAnsi="Arial" w:cs="Arial"/>
                <w:sz w:val="24"/>
                <w:szCs w:val="24"/>
                <w:lang w:val="es-ES" w:eastAsia="es-ES"/>
              </w:rPr>
              <w:t xml:space="preserve">, de acuerdo con la información reportada al SUI. </w:t>
            </w:r>
          </w:p>
        </w:tc>
      </w:tr>
      <w:tr w:rsidR="00DE5054" w:rsidRPr="00FB2E5A" w14:paraId="280E1E33" w14:textId="77777777" w:rsidTr="00F913D4">
        <w:trPr>
          <w:jc w:val="center"/>
        </w:trPr>
        <w:tc>
          <w:tcPr>
            <w:tcW w:w="1701" w:type="dxa"/>
          </w:tcPr>
          <w:p w14:paraId="37F109D3" w14:textId="77777777" w:rsidR="00DE5054" w:rsidRPr="008943FC" w:rsidRDefault="00DE5054" w:rsidP="00986A80">
            <w:pPr>
              <w:spacing w:line="360" w:lineRule="auto"/>
              <w:jc w:val="both"/>
              <w:rPr>
                <w:rFonts w:ascii="Arial" w:hAnsi="Arial" w:cs="Arial"/>
                <w:sz w:val="24"/>
                <w:szCs w:val="24"/>
                <w:lang w:val="es-ES" w:eastAsia="es-ES"/>
              </w:rPr>
            </w:pPr>
            <m:oMath>
              <m:r>
                <w:rPr>
                  <w:rFonts w:ascii="Cambria Math" w:hAnsi="Cambria Math" w:cs="Arial"/>
                  <w:sz w:val="24"/>
                  <w:szCs w:val="24"/>
                  <w:lang w:val="es-ES" w:eastAsia="es-ES"/>
                </w:rPr>
                <m:t>2,10</m:t>
              </m:r>
            </m:oMath>
            <w:r w:rsidRPr="008943FC">
              <w:rPr>
                <w:rFonts w:ascii="Arial" w:hAnsi="Arial" w:cs="Arial"/>
                <w:sz w:val="24"/>
                <w:szCs w:val="24"/>
                <w:lang w:val="es-ES" w:eastAsia="es-ES"/>
              </w:rPr>
              <w:t>:</w:t>
            </w:r>
          </w:p>
        </w:tc>
        <w:tc>
          <w:tcPr>
            <w:tcW w:w="7088" w:type="dxa"/>
          </w:tcPr>
          <w:p w14:paraId="3512A9F0" w14:textId="77777777" w:rsidR="00DE5054" w:rsidRPr="008943FC" w:rsidRDefault="00DE5054" w:rsidP="00986A80">
            <w:pPr>
              <w:spacing w:line="360" w:lineRule="auto"/>
              <w:ind w:left="-108"/>
              <w:jc w:val="both"/>
              <w:rPr>
                <w:rFonts w:ascii="Arial" w:hAnsi="Arial" w:cs="Arial"/>
                <w:sz w:val="24"/>
                <w:szCs w:val="24"/>
                <w:lang w:val="es-ES" w:eastAsia="es-ES"/>
              </w:rPr>
            </w:pPr>
            <w:r w:rsidRPr="008943FC">
              <w:rPr>
                <w:rFonts w:ascii="Arial" w:hAnsi="Arial" w:cs="Arial"/>
                <w:sz w:val="24"/>
                <w:szCs w:val="24"/>
                <w:lang w:val="es-ES" w:eastAsia="es-ES"/>
              </w:rPr>
              <w:t xml:space="preserve">Factor de conversión kilogramos por galón. </w:t>
            </w:r>
          </w:p>
        </w:tc>
      </w:tr>
      <w:tr w:rsidR="00DE5054" w:rsidRPr="00FB2E5A" w14:paraId="7BA32141" w14:textId="77777777" w:rsidTr="00F913D4">
        <w:trPr>
          <w:trHeight w:val="356"/>
          <w:jc w:val="center"/>
        </w:trPr>
        <w:tc>
          <w:tcPr>
            <w:tcW w:w="1701" w:type="dxa"/>
            <w:vAlign w:val="center"/>
          </w:tcPr>
          <w:p w14:paraId="40A96557" w14:textId="77777777" w:rsidR="00DE5054" w:rsidRPr="008943FC" w:rsidRDefault="00DE5054" w:rsidP="00986A80">
            <w:pPr>
              <w:spacing w:line="360" w:lineRule="auto"/>
              <w:ind w:left="708" w:hanging="708"/>
              <w:jc w:val="both"/>
              <w:rPr>
                <w:rFonts w:ascii="Arial" w:hAnsi="Arial" w:cs="Arial"/>
                <w:sz w:val="24"/>
                <w:szCs w:val="24"/>
                <w:lang w:val="es-ES" w:eastAsia="es-ES"/>
              </w:rPr>
            </w:pPr>
            <m:oMath>
              <m:r>
                <w:rPr>
                  <w:rFonts w:ascii="Cambria Math" w:hAnsi="Cambria Math" w:cs="Arial"/>
                  <w:sz w:val="24"/>
                  <w:szCs w:val="24"/>
                  <w:lang w:val="es-ES" w:eastAsia="es-ES"/>
                </w:rPr>
                <m:t>6</m:t>
              </m:r>
            </m:oMath>
            <w:r w:rsidRPr="008943FC">
              <w:rPr>
                <w:rFonts w:ascii="Arial" w:hAnsi="Arial" w:cs="Arial"/>
                <w:sz w:val="24"/>
                <w:szCs w:val="24"/>
                <w:lang w:val="es-ES" w:eastAsia="es-ES"/>
              </w:rPr>
              <w:t>:</w:t>
            </w:r>
          </w:p>
        </w:tc>
        <w:tc>
          <w:tcPr>
            <w:tcW w:w="7088" w:type="dxa"/>
            <w:vAlign w:val="center"/>
          </w:tcPr>
          <w:p w14:paraId="3DA19A24" w14:textId="2D93666A" w:rsidR="00DE5054" w:rsidRPr="008943FC" w:rsidRDefault="00DE5054" w:rsidP="00986A80">
            <w:pPr>
              <w:spacing w:line="360" w:lineRule="auto"/>
              <w:ind w:left="-108"/>
              <w:jc w:val="both"/>
              <w:rPr>
                <w:rFonts w:ascii="Arial" w:hAnsi="Arial" w:cs="Arial"/>
                <w:sz w:val="24"/>
                <w:szCs w:val="24"/>
                <w:lang w:val="es-ES" w:eastAsia="es-ES"/>
              </w:rPr>
            </w:pPr>
            <w:r w:rsidRPr="008943FC">
              <w:rPr>
                <w:rFonts w:ascii="Arial" w:hAnsi="Arial" w:cs="Arial"/>
                <w:sz w:val="24"/>
                <w:szCs w:val="24"/>
                <w:lang w:val="es-ES" w:eastAsia="es-ES"/>
              </w:rPr>
              <w:t>Número de meses del p</w:t>
            </w:r>
            <w:r w:rsidR="009C5EF2" w:rsidRPr="008943FC">
              <w:rPr>
                <w:rFonts w:ascii="Arial" w:hAnsi="Arial" w:cs="Arial"/>
                <w:sz w:val="24"/>
                <w:szCs w:val="24"/>
                <w:lang w:val="es-ES" w:eastAsia="es-ES"/>
              </w:rPr>
              <w:t>eríodo</w:t>
            </w:r>
            <w:r w:rsidRPr="008943FC">
              <w:rPr>
                <w:rFonts w:ascii="Arial" w:hAnsi="Arial" w:cs="Arial"/>
                <w:sz w:val="24"/>
                <w:szCs w:val="24"/>
                <w:lang w:val="es-ES" w:eastAsia="es-ES"/>
              </w:rPr>
              <w:t xml:space="preserve"> de compra.</w:t>
            </w:r>
          </w:p>
        </w:tc>
      </w:tr>
    </w:tbl>
    <w:p w14:paraId="3C3FB413" w14:textId="77777777" w:rsidR="00DE5054" w:rsidRPr="008943FC" w:rsidRDefault="00DE5054" w:rsidP="00986A80">
      <w:pPr>
        <w:spacing w:after="0" w:line="360" w:lineRule="auto"/>
        <w:ind w:left="567"/>
        <w:jc w:val="both"/>
        <w:rPr>
          <w:rFonts w:ascii="Arial" w:eastAsia="Times New Roman" w:hAnsi="Arial" w:cs="Arial"/>
          <w:b/>
          <w:sz w:val="24"/>
          <w:szCs w:val="24"/>
          <w:lang w:val="es-ES" w:eastAsia="es-ES"/>
        </w:rPr>
      </w:pPr>
    </w:p>
    <w:p w14:paraId="72EC014F" w14:textId="77777777" w:rsidR="00DE5054" w:rsidRPr="008943FC" w:rsidRDefault="00DE5054" w:rsidP="00986A80">
      <w:pPr>
        <w:spacing w:after="0" w:line="360" w:lineRule="auto"/>
        <w:ind w:left="567" w:right="284"/>
        <w:jc w:val="both"/>
        <w:rPr>
          <w:rFonts w:ascii="Arial" w:eastAsia="Times New Roman" w:hAnsi="Arial" w:cs="Arial"/>
          <w:sz w:val="24"/>
          <w:szCs w:val="24"/>
          <w:lang w:val="es-ES" w:eastAsia="es-ES"/>
        </w:rPr>
      </w:pPr>
      <w:r w:rsidRPr="008943FC">
        <w:rPr>
          <w:rFonts w:ascii="Arial" w:eastAsia="Times New Roman" w:hAnsi="Arial" w:cs="Arial"/>
          <w:b/>
          <w:sz w:val="24"/>
          <w:szCs w:val="24"/>
          <w:lang w:val="es-ES" w:eastAsia="es-ES"/>
        </w:rPr>
        <w:t>Parágrafo 4.</w:t>
      </w:r>
      <w:r w:rsidRPr="008943FC">
        <w:rPr>
          <w:rFonts w:ascii="Arial" w:eastAsia="Times New Roman" w:hAnsi="Arial" w:cs="Arial"/>
          <w:sz w:val="24"/>
          <w:szCs w:val="24"/>
          <w:lang w:val="es-ES" w:eastAsia="es-ES"/>
        </w:rPr>
        <w:t xml:space="preserve"> Para aquellos distribuidores que solo realicen ventas por redes de tubería el cálculo se realizará a partir de la capacidad en tanques reportado al SUI de acuerdo con lo establecido en el parágrafo 3 del presente artículo.</w:t>
      </w:r>
    </w:p>
    <w:p w14:paraId="62FB2DAE" w14:textId="77777777" w:rsidR="00DE5054" w:rsidRPr="008943FC" w:rsidRDefault="00DE5054" w:rsidP="00986A80">
      <w:pPr>
        <w:spacing w:after="0" w:line="360" w:lineRule="auto"/>
        <w:ind w:left="567" w:right="284"/>
        <w:jc w:val="both"/>
        <w:rPr>
          <w:rFonts w:ascii="Arial" w:eastAsia="Times New Roman" w:hAnsi="Arial" w:cs="Arial"/>
          <w:sz w:val="24"/>
          <w:szCs w:val="24"/>
          <w:lang w:val="es-ES" w:eastAsia="es-ES"/>
        </w:rPr>
      </w:pPr>
    </w:p>
    <w:p w14:paraId="59146153" w14:textId="0ACCB778" w:rsidR="00DE5054" w:rsidRPr="008943FC" w:rsidRDefault="00DE5054" w:rsidP="00986A80">
      <w:pPr>
        <w:tabs>
          <w:tab w:val="left" w:pos="-720"/>
          <w:tab w:val="left" w:pos="1276"/>
        </w:tabs>
        <w:suppressAutoHyphens/>
        <w:overflowPunct w:val="0"/>
        <w:autoSpaceDE w:val="0"/>
        <w:spacing w:after="0" w:line="360" w:lineRule="auto"/>
        <w:ind w:left="567" w:right="284"/>
        <w:jc w:val="both"/>
        <w:textAlignment w:val="baseline"/>
        <w:rPr>
          <w:rFonts w:ascii="Arial" w:eastAsia="Times New Roman" w:hAnsi="Arial" w:cs="Arial"/>
          <w:sz w:val="24"/>
          <w:szCs w:val="24"/>
          <w:lang w:val="es-ES" w:eastAsia="es-ES"/>
        </w:rPr>
      </w:pPr>
      <w:r w:rsidRPr="008943FC">
        <w:rPr>
          <w:rFonts w:ascii="Arial" w:eastAsia="Times New Roman" w:hAnsi="Arial" w:cs="Arial"/>
          <w:b/>
          <w:sz w:val="24"/>
          <w:szCs w:val="24"/>
          <w:lang w:val="es-ES" w:eastAsia="es-ES"/>
        </w:rPr>
        <w:t xml:space="preserve">Parágrafo 5. </w:t>
      </w:r>
      <w:r w:rsidRPr="008943FC">
        <w:rPr>
          <w:rFonts w:ascii="Arial" w:eastAsia="Times New Roman" w:hAnsi="Arial" w:cs="Arial"/>
          <w:sz w:val="24"/>
          <w:szCs w:val="24"/>
          <w:lang w:val="es-ES" w:eastAsia="es-ES"/>
        </w:rPr>
        <w:t>En el caso de entrar nuevos distribuidores al mercado, la CREG calculará su capacidad de compra por lo que resta del p</w:t>
      </w:r>
      <w:r w:rsidR="009C5EF2" w:rsidRPr="008943FC">
        <w:rPr>
          <w:rFonts w:ascii="Arial" w:eastAsia="Times New Roman" w:hAnsi="Arial" w:cs="Arial"/>
          <w:sz w:val="24"/>
          <w:szCs w:val="24"/>
          <w:lang w:val="es-ES" w:eastAsia="es-ES"/>
        </w:rPr>
        <w:t>eríodo</w:t>
      </w:r>
      <w:r w:rsidRPr="008943FC">
        <w:rPr>
          <w:rFonts w:ascii="Arial" w:eastAsia="Times New Roman" w:hAnsi="Arial" w:cs="Arial"/>
          <w:sz w:val="24"/>
          <w:szCs w:val="24"/>
          <w:lang w:val="es-ES" w:eastAsia="es-ES"/>
        </w:rPr>
        <w:t xml:space="preserve"> de compra a partir de la información reportada al SUI.”</w:t>
      </w:r>
    </w:p>
    <w:p w14:paraId="7DE68351" w14:textId="77777777" w:rsidR="00DE5054" w:rsidRPr="008943FC" w:rsidRDefault="00DE5054" w:rsidP="00986A80">
      <w:pPr>
        <w:spacing w:after="0" w:line="360" w:lineRule="auto"/>
        <w:jc w:val="both"/>
        <w:rPr>
          <w:rFonts w:ascii="Arial" w:eastAsia="Times New Roman" w:hAnsi="Arial" w:cs="Arial"/>
          <w:spacing w:val="-5"/>
          <w:sz w:val="24"/>
          <w:szCs w:val="24"/>
        </w:rPr>
      </w:pPr>
    </w:p>
    <w:p w14:paraId="03EF6374" w14:textId="0E593636" w:rsidR="00803299" w:rsidRPr="008943FC" w:rsidRDefault="00DE5054" w:rsidP="00986A80">
      <w:pPr>
        <w:spacing w:after="0" w:line="360" w:lineRule="auto"/>
        <w:jc w:val="both"/>
        <w:rPr>
          <w:rFonts w:ascii="Arial" w:eastAsia="Times New Roman" w:hAnsi="Arial" w:cs="Arial"/>
          <w:spacing w:val="-5"/>
          <w:sz w:val="24"/>
          <w:szCs w:val="24"/>
          <w:lang w:val="es-ES"/>
        </w:rPr>
      </w:pPr>
      <w:r w:rsidRPr="008943FC">
        <w:rPr>
          <w:rFonts w:ascii="Arial" w:eastAsia="Times New Roman" w:hAnsi="Arial" w:cs="Arial"/>
          <w:spacing w:val="-5"/>
          <w:sz w:val="24"/>
          <w:szCs w:val="24"/>
        </w:rPr>
        <w:lastRenderedPageBreak/>
        <w:t>De acuerdo con lo dispuesto en esta norma, se estableció igualmente el concepto de “capacidad disponible de compra”, el cual corresponde a la cantidad total de GLP, medida en kilogramos, que puede comprar un distribuidor en el mercado mayorista, durante lo que resta del p</w:t>
      </w:r>
      <w:r w:rsidR="009C5EF2" w:rsidRPr="008943FC">
        <w:rPr>
          <w:rFonts w:ascii="Arial" w:eastAsia="Times New Roman" w:hAnsi="Arial" w:cs="Arial"/>
          <w:spacing w:val="-5"/>
          <w:sz w:val="24"/>
          <w:szCs w:val="24"/>
        </w:rPr>
        <w:t>eríodo</w:t>
      </w:r>
      <w:r w:rsidRPr="008943FC">
        <w:rPr>
          <w:rFonts w:ascii="Arial" w:eastAsia="Times New Roman" w:hAnsi="Arial" w:cs="Arial"/>
          <w:spacing w:val="-5"/>
          <w:sz w:val="24"/>
          <w:szCs w:val="24"/>
        </w:rPr>
        <w:t xml:space="preserve"> de compra. </w:t>
      </w:r>
      <w:r w:rsidR="00803299" w:rsidRPr="008943FC">
        <w:rPr>
          <w:rFonts w:ascii="Arial" w:eastAsia="Times New Roman" w:hAnsi="Arial" w:cs="Arial"/>
          <w:spacing w:val="-5"/>
          <w:sz w:val="24"/>
          <w:szCs w:val="24"/>
          <w:lang w:val="es-ES_tradnl"/>
        </w:rPr>
        <w:t xml:space="preserve">Este período de compra, </w:t>
      </w:r>
      <w:r w:rsidR="00E17C4C" w:rsidRPr="008943FC">
        <w:rPr>
          <w:rFonts w:ascii="Arial" w:eastAsia="Times New Roman" w:hAnsi="Arial" w:cs="Arial"/>
          <w:spacing w:val="-5"/>
          <w:sz w:val="24"/>
          <w:szCs w:val="24"/>
          <w:lang w:val="es-ES_tradnl"/>
        </w:rPr>
        <w:t>establecido</w:t>
      </w:r>
      <w:r w:rsidR="00803299" w:rsidRPr="008943FC">
        <w:rPr>
          <w:rFonts w:ascii="Arial" w:eastAsia="Times New Roman" w:hAnsi="Arial" w:cs="Arial"/>
          <w:spacing w:val="-5"/>
          <w:sz w:val="24"/>
          <w:szCs w:val="24"/>
          <w:lang w:val="es-ES_tradnl"/>
        </w:rPr>
        <w:t xml:space="preserve"> en el artículo 3 de la Resolución CREG 063 de 2016 y modificado por el </w:t>
      </w:r>
      <w:r w:rsidR="00803299" w:rsidRPr="008943FC">
        <w:rPr>
          <w:rFonts w:ascii="Arial" w:eastAsia="Times New Roman" w:hAnsi="Arial" w:cs="Arial"/>
          <w:spacing w:val="-5"/>
          <w:sz w:val="24"/>
          <w:szCs w:val="24"/>
          <w:lang w:val="es-ES"/>
        </w:rPr>
        <w:t xml:space="preserve">artículo 2 de la Resolución CREG 103 002 de 2022, ha sido definido como sigue: </w:t>
      </w:r>
    </w:p>
    <w:p w14:paraId="11C718FC" w14:textId="77777777" w:rsidR="00803299" w:rsidRPr="008943FC" w:rsidRDefault="00803299" w:rsidP="00986A80">
      <w:pPr>
        <w:spacing w:after="0" w:line="360" w:lineRule="auto"/>
        <w:jc w:val="both"/>
        <w:rPr>
          <w:rFonts w:ascii="Arial" w:eastAsia="Times New Roman" w:hAnsi="Arial" w:cs="Arial"/>
          <w:spacing w:val="-5"/>
          <w:sz w:val="24"/>
          <w:szCs w:val="24"/>
          <w:lang w:val="es-ES"/>
        </w:rPr>
      </w:pPr>
    </w:p>
    <w:p w14:paraId="1E1625BC" w14:textId="6DFA1FDA" w:rsidR="00803299" w:rsidRPr="008943FC" w:rsidRDefault="00803299" w:rsidP="00986A80">
      <w:pPr>
        <w:tabs>
          <w:tab w:val="left" w:pos="9072"/>
        </w:tabs>
        <w:spacing w:after="0" w:line="360" w:lineRule="auto"/>
        <w:ind w:left="284" w:right="284"/>
        <w:jc w:val="both"/>
        <w:rPr>
          <w:rFonts w:ascii="Arial" w:eastAsia="Times New Roman" w:hAnsi="Arial" w:cs="Arial"/>
          <w:spacing w:val="-5"/>
          <w:sz w:val="24"/>
          <w:szCs w:val="24"/>
          <w:lang w:val="es-ES"/>
        </w:rPr>
      </w:pPr>
      <w:r w:rsidRPr="008943FC">
        <w:rPr>
          <w:rFonts w:ascii="Arial" w:eastAsia="Times New Roman" w:hAnsi="Arial" w:cs="Arial"/>
          <w:spacing w:val="-5"/>
          <w:sz w:val="24"/>
          <w:szCs w:val="24"/>
          <w:lang w:val="es-ES"/>
        </w:rPr>
        <w:t>“</w:t>
      </w:r>
      <w:r w:rsidRPr="008943FC">
        <w:rPr>
          <w:rFonts w:ascii="Arial" w:eastAsia="Times New Roman" w:hAnsi="Arial" w:cs="Arial"/>
          <w:b/>
          <w:spacing w:val="-5"/>
          <w:sz w:val="24"/>
          <w:szCs w:val="24"/>
          <w:lang w:val="es-ES"/>
        </w:rPr>
        <w:t>Período de compra.</w:t>
      </w:r>
      <w:r w:rsidRPr="008943FC">
        <w:rPr>
          <w:rFonts w:ascii="Arial" w:eastAsia="Times New Roman" w:hAnsi="Arial" w:cs="Arial"/>
          <w:spacing w:val="-5"/>
          <w:sz w:val="24"/>
          <w:szCs w:val="24"/>
          <w:lang w:val="es-ES"/>
        </w:rPr>
        <w:t xml:space="preserve"> período de 6 meses que inicia un primero (1) de marzo de cada año y termina el treinta y uno (31) de agosto del mismo año, o aquel que inicia un primero (1) de septiembre de cada año y termina el veintiocho o veintinueve (28 o 29) de febrero, según corresponda, del siguiente año”.</w:t>
      </w:r>
    </w:p>
    <w:p w14:paraId="7385CBBC" w14:textId="77777777" w:rsidR="00DE5054" w:rsidRPr="008943FC" w:rsidRDefault="00DE5054" w:rsidP="00986A80">
      <w:pPr>
        <w:spacing w:after="0" w:line="360" w:lineRule="auto"/>
        <w:jc w:val="both"/>
        <w:rPr>
          <w:rFonts w:ascii="Arial" w:eastAsia="Times New Roman" w:hAnsi="Arial" w:cs="Arial"/>
          <w:spacing w:val="-5"/>
          <w:sz w:val="24"/>
          <w:szCs w:val="24"/>
        </w:rPr>
      </w:pPr>
    </w:p>
    <w:p w14:paraId="6EE5D47E" w14:textId="5A84B2D7" w:rsidR="00DE5054" w:rsidRPr="008943FC" w:rsidRDefault="00DE5054" w:rsidP="00986A80">
      <w:pPr>
        <w:spacing w:after="0" w:line="360" w:lineRule="auto"/>
        <w:jc w:val="both"/>
        <w:rPr>
          <w:rFonts w:ascii="Arial" w:eastAsia="MS Mincho" w:hAnsi="Arial" w:cs="Arial"/>
          <w:sz w:val="24"/>
          <w:szCs w:val="24"/>
        </w:rPr>
      </w:pPr>
      <w:r w:rsidRPr="008943FC">
        <w:rPr>
          <w:rFonts w:ascii="Arial" w:eastAsia="MS Mincho" w:hAnsi="Arial" w:cs="Arial"/>
          <w:sz w:val="24"/>
          <w:szCs w:val="24"/>
        </w:rPr>
        <w:t xml:space="preserve">Así mismo, </w:t>
      </w:r>
      <w:r w:rsidR="000323B9" w:rsidRPr="008943FC">
        <w:rPr>
          <w:rFonts w:ascii="Arial" w:eastAsia="MS Mincho" w:hAnsi="Arial" w:cs="Arial"/>
          <w:sz w:val="24"/>
          <w:szCs w:val="24"/>
        </w:rPr>
        <w:t xml:space="preserve">respecto de la determinación y publicación de la capacidad de compra, </w:t>
      </w:r>
      <w:r w:rsidRPr="008943FC">
        <w:rPr>
          <w:rFonts w:ascii="Arial" w:eastAsia="MS Mincho" w:hAnsi="Arial" w:cs="Arial"/>
          <w:sz w:val="24"/>
          <w:szCs w:val="24"/>
        </w:rPr>
        <w:t>el artículo 9 de la Resolución CREG 063 de 2016 estableció que:</w:t>
      </w:r>
    </w:p>
    <w:p w14:paraId="0215E6E1" w14:textId="77777777" w:rsidR="00DE5054" w:rsidRPr="008943FC" w:rsidRDefault="00DE5054" w:rsidP="00986A80">
      <w:pPr>
        <w:spacing w:after="0" w:line="360" w:lineRule="auto"/>
        <w:jc w:val="both"/>
        <w:rPr>
          <w:rFonts w:ascii="Arial" w:eastAsia="MS Mincho" w:hAnsi="Arial" w:cs="Arial"/>
          <w:sz w:val="24"/>
          <w:szCs w:val="24"/>
        </w:rPr>
      </w:pPr>
    </w:p>
    <w:p w14:paraId="1D46F805" w14:textId="46AD1505" w:rsidR="00DE5054" w:rsidRPr="008943FC" w:rsidRDefault="00DE5054" w:rsidP="00986A80">
      <w:pPr>
        <w:tabs>
          <w:tab w:val="left" w:pos="-720"/>
          <w:tab w:val="left" w:pos="1276"/>
        </w:tabs>
        <w:suppressAutoHyphens/>
        <w:overflowPunct w:val="0"/>
        <w:autoSpaceDE w:val="0"/>
        <w:spacing w:after="0" w:line="360" w:lineRule="auto"/>
        <w:ind w:left="284"/>
        <w:jc w:val="both"/>
        <w:textAlignment w:val="baseline"/>
        <w:rPr>
          <w:rFonts w:ascii="Arial" w:eastAsia="Times New Roman" w:hAnsi="Arial" w:cs="Arial"/>
          <w:sz w:val="24"/>
          <w:szCs w:val="24"/>
          <w:lang w:val="es-ES" w:eastAsia="es-ES"/>
        </w:rPr>
      </w:pPr>
      <w:r w:rsidRPr="008943FC">
        <w:rPr>
          <w:rFonts w:ascii="Arial" w:eastAsia="Times New Roman" w:hAnsi="Arial" w:cs="Arial"/>
          <w:b/>
          <w:sz w:val="24"/>
          <w:szCs w:val="24"/>
          <w:lang w:val="es-ES" w:eastAsia="es-ES"/>
        </w:rPr>
        <w:t xml:space="preserve">“Artículo 9. Determinación y publicación de la capacidad de compra. </w:t>
      </w:r>
      <w:r w:rsidRPr="008943FC">
        <w:rPr>
          <w:rFonts w:ascii="Arial" w:eastAsia="Times New Roman" w:hAnsi="Arial" w:cs="Arial"/>
          <w:sz w:val="24"/>
          <w:szCs w:val="24"/>
          <w:lang w:val="es-ES" w:eastAsia="es-ES"/>
        </w:rPr>
        <w:t xml:space="preserve">Atendiendo lo dispuesto en el artículo anterior, </w:t>
      </w:r>
      <w:r w:rsidRPr="008943FC">
        <w:rPr>
          <w:rFonts w:ascii="Arial" w:eastAsia="Times New Roman" w:hAnsi="Arial" w:cs="Arial"/>
          <w:sz w:val="24"/>
          <w:szCs w:val="24"/>
          <w:u w:val="single"/>
          <w:lang w:val="es-ES" w:eastAsia="es-ES"/>
        </w:rPr>
        <w:t>la CREG determinará mediante acto administrativo particular y publicará mediante circular</w:t>
      </w:r>
      <w:r w:rsidRPr="008943FC">
        <w:rPr>
          <w:rFonts w:ascii="Arial" w:eastAsia="Times New Roman" w:hAnsi="Arial" w:cs="Arial"/>
          <w:sz w:val="24"/>
          <w:szCs w:val="24"/>
          <w:lang w:val="es-ES" w:eastAsia="es-ES"/>
        </w:rPr>
        <w:t>, con anterioridad al inicio de cada p</w:t>
      </w:r>
      <w:r w:rsidR="009C5EF2" w:rsidRPr="008943FC">
        <w:rPr>
          <w:rFonts w:ascii="Arial" w:eastAsia="Times New Roman" w:hAnsi="Arial" w:cs="Arial"/>
          <w:sz w:val="24"/>
          <w:szCs w:val="24"/>
          <w:lang w:val="es-ES" w:eastAsia="es-ES"/>
        </w:rPr>
        <w:t>eríodo</w:t>
      </w:r>
      <w:r w:rsidRPr="008943FC">
        <w:rPr>
          <w:rFonts w:ascii="Arial" w:eastAsia="Times New Roman" w:hAnsi="Arial" w:cs="Arial"/>
          <w:sz w:val="24"/>
          <w:szCs w:val="24"/>
          <w:lang w:val="es-ES" w:eastAsia="es-ES"/>
        </w:rPr>
        <w:t xml:space="preserve"> de compra, la capacidad de compra de cada distribuidor, con información reportada al SUI, hasta el día 10 del mes correspondiente. (…)” (</w:t>
      </w:r>
      <w:r w:rsidR="002F6560">
        <w:rPr>
          <w:rFonts w:ascii="Arial" w:eastAsia="Times New Roman" w:hAnsi="Arial" w:cs="Arial"/>
          <w:sz w:val="24"/>
          <w:szCs w:val="24"/>
          <w:lang w:val="es-ES" w:eastAsia="es-ES"/>
        </w:rPr>
        <w:t>Subrayado</w:t>
      </w:r>
      <w:r w:rsidRPr="008943FC">
        <w:rPr>
          <w:rFonts w:ascii="Arial" w:eastAsia="Times New Roman" w:hAnsi="Arial" w:cs="Arial"/>
          <w:sz w:val="24"/>
          <w:szCs w:val="24"/>
          <w:lang w:val="es-ES" w:eastAsia="es-ES"/>
        </w:rPr>
        <w:t xml:space="preserve"> fuera de texto)</w:t>
      </w:r>
    </w:p>
    <w:p w14:paraId="46A586B9" w14:textId="77777777" w:rsidR="00DE5054" w:rsidRPr="008943FC" w:rsidRDefault="00DE5054" w:rsidP="00986A80">
      <w:pPr>
        <w:tabs>
          <w:tab w:val="left" w:pos="-720"/>
          <w:tab w:val="left" w:pos="1276"/>
        </w:tabs>
        <w:suppressAutoHyphens/>
        <w:overflowPunct w:val="0"/>
        <w:autoSpaceDE w:val="0"/>
        <w:spacing w:after="0" w:line="360" w:lineRule="auto"/>
        <w:ind w:left="720"/>
        <w:jc w:val="both"/>
        <w:textAlignment w:val="baseline"/>
        <w:rPr>
          <w:rFonts w:ascii="Arial" w:eastAsia="Times New Roman" w:hAnsi="Arial" w:cs="Arial"/>
          <w:sz w:val="24"/>
          <w:szCs w:val="24"/>
          <w:lang w:val="es-ES_tradnl" w:eastAsia="ar-SA"/>
        </w:rPr>
      </w:pPr>
    </w:p>
    <w:p w14:paraId="572E4CCF" w14:textId="203B4F60" w:rsidR="00DE5054" w:rsidRPr="008943FC" w:rsidRDefault="00DE5054" w:rsidP="00986A80">
      <w:pPr>
        <w:spacing w:after="0" w:line="360" w:lineRule="auto"/>
        <w:jc w:val="both"/>
        <w:rPr>
          <w:rFonts w:ascii="Arial" w:eastAsia="MS Mincho" w:hAnsi="Arial" w:cs="Arial"/>
          <w:sz w:val="24"/>
          <w:szCs w:val="24"/>
          <w:lang w:val="es-ES"/>
        </w:rPr>
      </w:pPr>
      <w:r w:rsidRPr="008943FC">
        <w:rPr>
          <w:rFonts w:ascii="Arial" w:eastAsia="MS Mincho" w:hAnsi="Arial" w:cs="Arial"/>
          <w:sz w:val="24"/>
          <w:szCs w:val="24"/>
          <w:lang w:val="es-ES"/>
        </w:rPr>
        <w:t>En relación con este cálculo y la necesidad de contar con la información del Sistema Único de Información</w:t>
      </w:r>
      <w:r w:rsidR="00777ED9" w:rsidRPr="008943FC">
        <w:rPr>
          <w:rFonts w:ascii="Arial" w:eastAsia="MS Mincho" w:hAnsi="Arial" w:cs="Arial"/>
          <w:sz w:val="24"/>
          <w:szCs w:val="24"/>
          <w:lang w:val="es-ES"/>
        </w:rPr>
        <w:t>,</w:t>
      </w:r>
      <w:r w:rsidRPr="008943FC">
        <w:rPr>
          <w:rFonts w:ascii="Arial" w:eastAsia="MS Mincho" w:hAnsi="Arial" w:cs="Arial"/>
          <w:sz w:val="24"/>
          <w:szCs w:val="24"/>
          <w:lang w:val="es-ES"/>
        </w:rPr>
        <w:t xml:space="preserve"> SUI</w:t>
      </w:r>
      <w:r w:rsidR="00777ED9" w:rsidRPr="008943FC">
        <w:rPr>
          <w:rFonts w:ascii="Arial" w:eastAsia="MS Mincho" w:hAnsi="Arial" w:cs="Arial"/>
          <w:sz w:val="24"/>
          <w:szCs w:val="24"/>
          <w:lang w:val="es-ES"/>
        </w:rPr>
        <w:t>,</w:t>
      </w:r>
      <w:r w:rsidRPr="008943FC">
        <w:rPr>
          <w:rFonts w:ascii="Arial" w:eastAsia="MS Mincho" w:hAnsi="Arial" w:cs="Arial"/>
          <w:sz w:val="24"/>
          <w:szCs w:val="24"/>
          <w:lang w:val="es-ES"/>
        </w:rPr>
        <w:t xml:space="preserve"> a efectos de determinar la capacidad de compra a que hace referencia la Resolución CREG 063 de 2016, se debe tener en cuenta que la Ley 689 de 2001, en su artículo 14</w:t>
      </w:r>
      <w:r w:rsidR="00777ED9" w:rsidRPr="008943FC">
        <w:rPr>
          <w:rFonts w:ascii="Arial" w:eastAsia="MS Mincho" w:hAnsi="Arial" w:cs="Arial"/>
          <w:sz w:val="24"/>
          <w:szCs w:val="24"/>
          <w:lang w:val="es-ES"/>
        </w:rPr>
        <w:t>,</w:t>
      </w:r>
      <w:r w:rsidRPr="008943FC">
        <w:rPr>
          <w:rFonts w:ascii="Arial" w:eastAsia="MS Mincho" w:hAnsi="Arial" w:cs="Arial"/>
          <w:sz w:val="24"/>
          <w:szCs w:val="24"/>
          <w:lang w:val="es-ES"/>
        </w:rPr>
        <w:t xml:space="preserve"> adicionó un artículo a la Ley 142 de 1994</w:t>
      </w:r>
      <w:r w:rsidR="00777ED9" w:rsidRPr="008943FC">
        <w:rPr>
          <w:rFonts w:ascii="Arial" w:eastAsia="MS Mincho" w:hAnsi="Arial" w:cs="Arial"/>
          <w:sz w:val="24"/>
          <w:szCs w:val="24"/>
          <w:lang w:val="es-ES"/>
        </w:rPr>
        <w:t>,</w:t>
      </w:r>
      <w:r w:rsidRPr="008943FC">
        <w:rPr>
          <w:rFonts w:ascii="Arial" w:eastAsia="MS Mincho" w:hAnsi="Arial" w:cs="Arial"/>
          <w:sz w:val="24"/>
          <w:szCs w:val="24"/>
          <w:lang w:val="es-ES"/>
        </w:rPr>
        <w:t xml:space="preserve"> el cual dispuso lo siguiente:</w:t>
      </w:r>
    </w:p>
    <w:p w14:paraId="264586BB" w14:textId="77777777" w:rsidR="00DE5054" w:rsidRPr="008943FC" w:rsidRDefault="00DE5054" w:rsidP="00986A80">
      <w:pPr>
        <w:tabs>
          <w:tab w:val="left" w:pos="-720"/>
          <w:tab w:val="left" w:pos="1276"/>
        </w:tabs>
        <w:suppressAutoHyphens/>
        <w:overflowPunct w:val="0"/>
        <w:autoSpaceDE w:val="0"/>
        <w:spacing w:after="0" w:line="360" w:lineRule="auto"/>
        <w:ind w:left="284" w:right="284"/>
        <w:jc w:val="both"/>
        <w:textAlignment w:val="baseline"/>
        <w:rPr>
          <w:rFonts w:ascii="Arial" w:eastAsia="Times New Roman" w:hAnsi="Arial" w:cs="Arial"/>
          <w:i/>
          <w:color w:val="000000"/>
          <w:sz w:val="24"/>
          <w:szCs w:val="24"/>
          <w:lang w:eastAsia="es-CO"/>
        </w:rPr>
      </w:pPr>
    </w:p>
    <w:p w14:paraId="544E6C21" w14:textId="77777777" w:rsidR="00DE5054" w:rsidRPr="008943FC" w:rsidRDefault="00DE5054" w:rsidP="00986A80">
      <w:pPr>
        <w:suppressAutoHyphens/>
        <w:overflowPunct w:val="0"/>
        <w:autoSpaceDE w:val="0"/>
        <w:spacing w:after="0" w:line="360" w:lineRule="auto"/>
        <w:ind w:left="284"/>
        <w:jc w:val="both"/>
        <w:textAlignment w:val="baseline"/>
        <w:rPr>
          <w:rFonts w:ascii="Arial" w:eastAsia="Times New Roman" w:hAnsi="Arial" w:cs="Arial"/>
          <w:sz w:val="24"/>
          <w:szCs w:val="24"/>
          <w:lang w:val="es-ES_tradnl" w:eastAsia="ar-SA"/>
        </w:rPr>
      </w:pPr>
      <w:r w:rsidRPr="008943FC">
        <w:rPr>
          <w:rFonts w:ascii="Arial" w:eastAsia="Times New Roman" w:hAnsi="Arial" w:cs="Arial"/>
          <w:i/>
          <w:color w:val="000000" w:themeColor="text1"/>
          <w:sz w:val="24"/>
          <w:szCs w:val="24"/>
          <w:lang w:eastAsia="es-CO"/>
        </w:rPr>
        <w:t>"</w:t>
      </w:r>
      <w:r w:rsidRPr="008943FC">
        <w:rPr>
          <w:rFonts w:ascii="Arial" w:eastAsia="Times New Roman" w:hAnsi="Arial" w:cs="Arial"/>
          <w:b/>
          <w:sz w:val="24"/>
          <w:szCs w:val="24"/>
          <w:lang w:val="es-ES" w:eastAsia="ar-SA"/>
        </w:rPr>
        <w:t>Artículo nuevo. Del sistema único de información</w:t>
      </w:r>
      <w:r w:rsidRPr="008943FC">
        <w:rPr>
          <w:rFonts w:ascii="Arial" w:eastAsia="Times New Roman" w:hAnsi="Arial" w:cs="Arial"/>
          <w:sz w:val="24"/>
          <w:szCs w:val="24"/>
          <w:lang w:val="es-ES" w:eastAsia="ar-SA"/>
        </w:rPr>
        <w:t xml:space="preserve">. Corresponde a la Superintendencia de Servicios Públicos Domiciliarios, en desarrollo de sus funciones de inspección y vigilancia, establecer, administrar, mantener y operar </w:t>
      </w:r>
      <w:r w:rsidRPr="008943FC">
        <w:rPr>
          <w:rFonts w:ascii="Arial" w:eastAsia="Times New Roman" w:hAnsi="Arial" w:cs="Arial"/>
          <w:sz w:val="24"/>
          <w:szCs w:val="24"/>
          <w:u w:val="single"/>
          <w:lang w:val="es-ES" w:eastAsia="ar-SA"/>
        </w:rPr>
        <w:t>un sistema de información que se surtirá de la información proveniente de los prestadores de servicios públicos sujetos a su control, inspección y vigilancia,</w:t>
      </w:r>
      <w:r w:rsidRPr="008943FC">
        <w:rPr>
          <w:rFonts w:ascii="Arial" w:eastAsia="Times New Roman" w:hAnsi="Arial" w:cs="Arial"/>
          <w:sz w:val="24"/>
          <w:szCs w:val="24"/>
          <w:lang w:val="es-ES" w:eastAsia="ar-SA"/>
        </w:rPr>
        <w:t xml:space="preserve"> para que su presentación al público sea confiable, conforme a lo establecido en el artículo 53 de la Ley 142 de 1994.</w:t>
      </w:r>
    </w:p>
    <w:p w14:paraId="162C2D9A" w14:textId="3DD9E83B" w:rsidR="34A6AC97" w:rsidRPr="008943FC" w:rsidRDefault="34A6AC97" w:rsidP="00986A80">
      <w:pPr>
        <w:tabs>
          <w:tab w:val="left" w:pos="1276"/>
        </w:tabs>
        <w:spacing w:after="0" w:line="360" w:lineRule="auto"/>
        <w:ind w:left="567" w:right="284"/>
        <w:jc w:val="both"/>
        <w:rPr>
          <w:rFonts w:ascii="Arial" w:eastAsia="Times New Roman" w:hAnsi="Arial" w:cs="Arial"/>
          <w:sz w:val="24"/>
          <w:szCs w:val="24"/>
          <w:u w:val="single"/>
          <w:lang w:val="es-ES" w:eastAsia="ar-SA"/>
        </w:rPr>
      </w:pPr>
    </w:p>
    <w:p w14:paraId="5F9710AB" w14:textId="77777777" w:rsidR="00DE5054" w:rsidRPr="008943FC" w:rsidRDefault="00DE5054" w:rsidP="00986A80">
      <w:pPr>
        <w:tabs>
          <w:tab w:val="left" w:pos="-720"/>
          <w:tab w:val="left" w:pos="1276"/>
        </w:tabs>
        <w:suppressAutoHyphens/>
        <w:overflowPunct w:val="0"/>
        <w:autoSpaceDE w:val="0"/>
        <w:spacing w:after="0" w:line="360" w:lineRule="auto"/>
        <w:ind w:left="284"/>
        <w:jc w:val="both"/>
        <w:textAlignment w:val="baseline"/>
        <w:rPr>
          <w:rFonts w:ascii="Arial" w:eastAsia="Times New Roman" w:hAnsi="Arial" w:cs="Arial"/>
          <w:sz w:val="24"/>
          <w:szCs w:val="24"/>
          <w:lang w:val="es-ES_tradnl" w:eastAsia="ar-SA"/>
        </w:rPr>
      </w:pPr>
      <w:r w:rsidRPr="008943FC">
        <w:rPr>
          <w:rFonts w:ascii="Arial" w:eastAsia="Times New Roman" w:hAnsi="Arial" w:cs="Arial"/>
          <w:sz w:val="24"/>
          <w:szCs w:val="24"/>
          <w:u w:val="single"/>
          <w:lang w:val="es-ES_tradnl" w:eastAsia="ar-SA"/>
        </w:rPr>
        <w:t>El sistema de información que desarrolle la Superintendencia de Servicios Públicos será único para cada uno de los servicios públicos, actividades inherentes y actividades complementarias de que tratan las Leyes 142 y 143 de 1994, y tendrá como propósitos:</w:t>
      </w:r>
    </w:p>
    <w:p w14:paraId="4167526D" w14:textId="77777777" w:rsidR="00DE5054" w:rsidRPr="008943FC" w:rsidRDefault="00DE5054" w:rsidP="00986A80">
      <w:pPr>
        <w:tabs>
          <w:tab w:val="left" w:pos="-720"/>
          <w:tab w:val="left" w:pos="1276"/>
        </w:tabs>
        <w:suppressAutoHyphens/>
        <w:overflowPunct w:val="0"/>
        <w:autoSpaceDE w:val="0"/>
        <w:spacing w:after="0" w:line="360" w:lineRule="auto"/>
        <w:ind w:left="284" w:right="284"/>
        <w:jc w:val="both"/>
        <w:textAlignment w:val="baseline"/>
        <w:rPr>
          <w:rFonts w:ascii="Arial" w:eastAsia="Times New Roman" w:hAnsi="Arial" w:cs="Arial"/>
          <w:sz w:val="24"/>
          <w:szCs w:val="24"/>
          <w:lang w:val="es-ES_tradnl" w:eastAsia="ar-SA"/>
        </w:rPr>
      </w:pPr>
    </w:p>
    <w:p w14:paraId="33D2056D" w14:textId="77777777" w:rsidR="00DE5054" w:rsidRPr="008943FC" w:rsidRDefault="00DE5054" w:rsidP="00986A80">
      <w:pPr>
        <w:tabs>
          <w:tab w:val="left" w:pos="-720"/>
          <w:tab w:val="left" w:pos="1276"/>
        </w:tabs>
        <w:suppressAutoHyphens/>
        <w:overflowPunct w:val="0"/>
        <w:autoSpaceDE w:val="0"/>
        <w:spacing w:after="0" w:line="360" w:lineRule="auto"/>
        <w:ind w:left="284"/>
        <w:jc w:val="both"/>
        <w:textAlignment w:val="baseline"/>
        <w:rPr>
          <w:rFonts w:ascii="Arial" w:eastAsia="Times New Roman" w:hAnsi="Arial" w:cs="Arial"/>
          <w:sz w:val="24"/>
          <w:szCs w:val="24"/>
          <w:u w:val="single"/>
          <w:lang w:val="es-ES_tradnl" w:eastAsia="ar-SA"/>
        </w:rPr>
      </w:pPr>
      <w:r w:rsidRPr="008943FC">
        <w:rPr>
          <w:rFonts w:ascii="Arial" w:eastAsia="Times New Roman" w:hAnsi="Arial" w:cs="Arial"/>
          <w:sz w:val="24"/>
          <w:szCs w:val="24"/>
          <w:u w:val="single"/>
          <w:lang w:val="es-ES_tradnl" w:eastAsia="ar-SA"/>
        </w:rPr>
        <w:t>1. Evitar la duplicidad de funciones en materia de información relativa a los servicios públicos.</w:t>
      </w:r>
    </w:p>
    <w:p w14:paraId="5B2B609D" w14:textId="77777777" w:rsidR="0034654A" w:rsidRPr="008943FC" w:rsidRDefault="0034654A" w:rsidP="00986A80">
      <w:pPr>
        <w:tabs>
          <w:tab w:val="left" w:pos="-720"/>
          <w:tab w:val="left" w:pos="1276"/>
        </w:tabs>
        <w:suppressAutoHyphens/>
        <w:overflowPunct w:val="0"/>
        <w:autoSpaceDE w:val="0"/>
        <w:spacing w:after="0" w:line="360" w:lineRule="auto"/>
        <w:ind w:left="284"/>
        <w:jc w:val="both"/>
        <w:textAlignment w:val="baseline"/>
        <w:rPr>
          <w:rFonts w:ascii="Arial" w:eastAsia="Times New Roman" w:hAnsi="Arial" w:cs="Arial"/>
          <w:sz w:val="24"/>
          <w:szCs w:val="24"/>
          <w:u w:val="single"/>
          <w:lang w:val="es-ES_tradnl" w:eastAsia="ar-SA"/>
        </w:rPr>
      </w:pPr>
    </w:p>
    <w:p w14:paraId="416B4451" w14:textId="77777777" w:rsidR="00DE5054" w:rsidRPr="008943FC" w:rsidRDefault="00DE5054" w:rsidP="00986A80">
      <w:pPr>
        <w:tabs>
          <w:tab w:val="left" w:pos="-720"/>
          <w:tab w:val="left" w:pos="1276"/>
        </w:tabs>
        <w:suppressAutoHyphens/>
        <w:overflowPunct w:val="0"/>
        <w:autoSpaceDE w:val="0"/>
        <w:spacing w:after="0" w:line="360" w:lineRule="auto"/>
        <w:ind w:left="284"/>
        <w:jc w:val="both"/>
        <w:textAlignment w:val="baseline"/>
        <w:rPr>
          <w:rFonts w:ascii="Arial" w:eastAsia="Times New Roman" w:hAnsi="Arial" w:cs="Arial"/>
          <w:sz w:val="24"/>
          <w:szCs w:val="24"/>
          <w:u w:val="single"/>
          <w:lang w:val="es-ES_tradnl" w:eastAsia="ar-SA"/>
        </w:rPr>
      </w:pPr>
      <w:r w:rsidRPr="008943FC">
        <w:rPr>
          <w:rFonts w:ascii="Arial" w:eastAsia="Times New Roman" w:hAnsi="Arial" w:cs="Arial"/>
          <w:sz w:val="24"/>
          <w:szCs w:val="24"/>
          <w:u w:val="single"/>
          <w:lang w:val="es-ES_tradnl" w:eastAsia="ar-SA"/>
        </w:rPr>
        <w:t>2. Servir de base a la Superintendencia de Servicios Públicos en el cumplimiento de sus funciones de control, inspección y vigilancia.</w:t>
      </w:r>
    </w:p>
    <w:p w14:paraId="2060B0C0" w14:textId="77777777" w:rsidR="0034654A" w:rsidRPr="008943FC" w:rsidRDefault="0034654A" w:rsidP="00986A80">
      <w:pPr>
        <w:tabs>
          <w:tab w:val="left" w:pos="-720"/>
          <w:tab w:val="left" w:pos="1276"/>
        </w:tabs>
        <w:suppressAutoHyphens/>
        <w:overflowPunct w:val="0"/>
        <w:autoSpaceDE w:val="0"/>
        <w:spacing w:after="0" w:line="360" w:lineRule="auto"/>
        <w:ind w:left="284"/>
        <w:jc w:val="both"/>
        <w:textAlignment w:val="baseline"/>
        <w:rPr>
          <w:rFonts w:ascii="Arial" w:eastAsia="Times New Roman" w:hAnsi="Arial" w:cs="Arial"/>
          <w:sz w:val="24"/>
          <w:szCs w:val="24"/>
          <w:lang w:val="es-ES_tradnl" w:eastAsia="ar-SA"/>
        </w:rPr>
      </w:pPr>
    </w:p>
    <w:p w14:paraId="74A39E2C" w14:textId="054AC47D" w:rsidR="00DE5054" w:rsidRPr="008943FC" w:rsidRDefault="00DE5054" w:rsidP="00986A80">
      <w:pPr>
        <w:tabs>
          <w:tab w:val="left" w:pos="-720"/>
          <w:tab w:val="left" w:pos="1276"/>
        </w:tabs>
        <w:suppressAutoHyphens/>
        <w:overflowPunct w:val="0"/>
        <w:autoSpaceDE w:val="0"/>
        <w:spacing w:after="0" w:line="360" w:lineRule="auto"/>
        <w:ind w:left="284"/>
        <w:jc w:val="both"/>
        <w:textAlignment w:val="baseline"/>
        <w:rPr>
          <w:rFonts w:ascii="Arial" w:eastAsia="Times New Roman" w:hAnsi="Arial" w:cs="Arial"/>
          <w:sz w:val="24"/>
          <w:szCs w:val="24"/>
          <w:lang w:val="es-ES_tradnl" w:eastAsia="ar-SA"/>
        </w:rPr>
      </w:pPr>
      <w:r w:rsidRPr="008943FC">
        <w:rPr>
          <w:rFonts w:ascii="Arial" w:eastAsia="Times New Roman" w:hAnsi="Arial" w:cs="Arial"/>
          <w:sz w:val="24"/>
          <w:szCs w:val="24"/>
          <w:lang w:val="es-ES_tradnl" w:eastAsia="ar-SA"/>
        </w:rPr>
        <w:t>(…)</w:t>
      </w:r>
    </w:p>
    <w:p w14:paraId="41358DE1" w14:textId="77777777" w:rsidR="0034654A" w:rsidRPr="008943FC" w:rsidRDefault="0034654A" w:rsidP="00986A80">
      <w:pPr>
        <w:tabs>
          <w:tab w:val="left" w:pos="-720"/>
          <w:tab w:val="left" w:pos="1276"/>
        </w:tabs>
        <w:suppressAutoHyphens/>
        <w:overflowPunct w:val="0"/>
        <w:autoSpaceDE w:val="0"/>
        <w:spacing w:after="0" w:line="360" w:lineRule="auto"/>
        <w:ind w:left="284"/>
        <w:jc w:val="both"/>
        <w:textAlignment w:val="baseline"/>
        <w:rPr>
          <w:rFonts w:ascii="Arial" w:eastAsia="Times New Roman" w:hAnsi="Arial" w:cs="Arial"/>
          <w:sz w:val="24"/>
          <w:szCs w:val="24"/>
          <w:u w:val="single"/>
          <w:lang w:val="es-ES_tradnl" w:eastAsia="ar-SA"/>
        </w:rPr>
      </w:pPr>
    </w:p>
    <w:p w14:paraId="1A277D0C" w14:textId="38697836" w:rsidR="00DE5054" w:rsidRPr="008943FC" w:rsidRDefault="00DE5054" w:rsidP="00986A80">
      <w:pPr>
        <w:tabs>
          <w:tab w:val="left" w:pos="-720"/>
          <w:tab w:val="left" w:pos="1276"/>
        </w:tabs>
        <w:suppressAutoHyphens/>
        <w:overflowPunct w:val="0"/>
        <w:autoSpaceDE w:val="0"/>
        <w:spacing w:after="0" w:line="360" w:lineRule="auto"/>
        <w:ind w:left="284"/>
        <w:jc w:val="both"/>
        <w:textAlignment w:val="baseline"/>
        <w:rPr>
          <w:rFonts w:ascii="Arial" w:eastAsia="Times New Roman" w:hAnsi="Arial" w:cs="Arial"/>
          <w:sz w:val="24"/>
          <w:szCs w:val="24"/>
          <w:u w:val="single"/>
          <w:lang w:val="es-ES_tradnl" w:eastAsia="ar-SA"/>
        </w:rPr>
      </w:pPr>
      <w:r w:rsidRPr="008943FC">
        <w:rPr>
          <w:rFonts w:ascii="Arial" w:eastAsia="Times New Roman" w:hAnsi="Arial" w:cs="Arial"/>
          <w:sz w:val="24"/>
          <w:szCs w:val="24"/>
          <w:u w:val="single"/>
          <w:lang w:val="es-ES_tradnl" w:eastAsia="ar-SA"/>
        </w:rPr>
        <w:t>4. Apoyar las funciones asignadas a las Comisiones de Regulación.</w:t>
      </w:r>
    </w:p>
    <w:p w14:paraId="50DE4249" w14:textId="77777777" w:rsidR="0034654A" w:rsidRPr="008943FC" w:rsidRDefault="0034654A" w:rsidP="00986A80">
      <w:pPr>
        <w:tabs>
          <w:tab w:val="left" w:pos="-720"/>
          <w:tab w:val="left" w:pos="1276"/>
        </w:tabs>
        <w:suppressAutoHyphens/>
        <w:overflowPunct w:val="0"/>
        <w:autoSpaceDE w:val="0"/>
        <w:spacing w:after="0" w:line="360" w:lineRule="auto"/>
        <w:ind w:left="284"/>
        <w:jc w:val="both"/>
        <w:textAlignment w:val="baseline"/>
        <w:rPr>
          <w:rFonts w:ascii="Arial" w:eastAsia="Times New Roman" w:hAnsi="Arial" w:cs="Arial"/>
          <w:sz w:val="24"/>
          <w:szCs w:val="24"/>
          <w:lang w:val="es-ES_tradnl" w:eastAsia="ar-SA"/>
        </w:rPr>
      </w:pPr>
    </w:p>
    <w:p w14:paraId="0E1B974D" w14:textId="3E90B78C" w:rsidR="00DE5054" w:rsidRPr="008943FC" w:rsidRDefault="00DE5054" w:rsidP="00986A80">
      <w:pPr>
        <w:tabs>
          <w:tab w:val="left" w:pos="-720"/>
          <w:tab w:val="left" w:pos="1276"/>
        </w:tabs>
        <w:suppressAutoHyphens/>
        <w:overflowPunct w:val="0"/>
        <w:autoSpaceDE w:val="0"/>
        <w:spacing w:after="0" w:line="360" w:lineRule="auto"/>
        <w:ind w:left="284"/>
        <w:jc w:val="both"/>
        <w:textAlignment w:val="baseline"/>
        <w:rPr>
          <w:rFonts w:ascii="Arial" w:eastAsia="Times New Roman" w:hAnsi="Arial" w:cs="Arial"/>
          <w:sz w:val="24"/>
          <w:szCs w:val="24"/>
          <w:lang w:val="es-ES_tradnl" w:eastAsia="ar-SA"/>
        </w:rPr>
      </w:pPr>
      <w:r w:rsidRPr="008943FC">
        <w:rPr>
          <w:rFonts w:ascii="Arial" w:eastAsia="Times New Roman" w:hAnsi="Arial" w:cs="Arial"/>
          <w:sz w:val="24"/>
          <w:szCs w:val="24"/>
          <w:lang w:val="es-ES_tradnl" w:eastAsia="ar-SA"/>
        </w:rPr>
        <w:t>5. Servir de base a las funciones asignadas a los Ministerios y demás autoridades que tengan competencias en el sector de los servicios públicos de que tratan las Leyes 142 y 143 de 1994.</w:t>
      </w:r>
    </w:p>
    <w:p w14:paraId="4F893CFD" w14:textId="77777777" w:rsidR="0034654A" w:rsidRPr="008943FC" w:rsidRDefault="0034654A" w:rsidP="00986A80">
      <w:pPr>
        <w:tabs>
          <w:tab w:val="left" w:pos="-720"/>
          <w:tab w:val="left" w:pos="1276"/>
        </w:tabs>
        <w:suppressAutoHyphens/>
        <w:overflowPunct w:val="0"/>
        <w:autoSpaceDE w:val="0"/>
        <w:spacing w:after="0" w:line="360" w:lineRule="auto"/>
        <w:ind w:left="284"/>
        <w:jc w:val="both"/>
        <w:textAlignment w:val="baseline"/>
        <w:rPr>
          <w:rFonts w:ascii="Arial" w:eastAsia="Times New Roman" w:hAnsi="Arial" w:cs="Arial"/>
          <w:sz w:val="24"/>
          <w:szCs w:val="24"/>
          <w:lang w:val="es-ES_tradnl" w:eastAsia="ar-SA"/>
        </w:rPr>
      </w:pPr>
    </w:p>
    <w:p w14:paraId="2564195E" w14:textId="79A1CED8" w:rsidR="00DE5054" w:rsidRPr="008943FC" w:rsidRDefault="00DE5054" w:rsidP="00986A80">
      <w:pPr>
        <w:tabs>
          <w:tab w:val="left" w:pos="-720"/>
          <w:tab w:val="left" w:pos="1276"/>
        </w:tabs>
        <w:suppressAutoHyphens/>
        <w:overflowPunct w:val="0"/>
        <w:autoSpaceDE w:val="0"/>
        <w:spacing w:after="0" w:line="360" w:lineRule="auto"/>
        <w:ind w:left="284"/>
        <w:jc w:val="both"/>
        <w:textAlignment w:val="baseline"/>
        <w:rPr>
          <w:rFonts w:ascii="Arial" w:eastAsia="Times New Roman" w:hAnsi="Arial" w:cs="Arial"/>
          <w:sz w:val="24"/>
          <w:szCs w:val="24"/>
          <w:lang w:val="es-ES_tradnl" w:eastAsia="ar-SA"/>
        </w:rPr>
      </w:pPr>
      <w:r w:rsidRPr="008943FC">
        <w:rPr>
          <w:rFonts w:ascii="Arial" w:eastAsia="Times New Roman" w:hAnsi="Arial" w:cs="Arial"/>
          <w:sz w:val="24"/>
          <w:szCs w:val="24"/>
          <w:lang w:val="es-ES_tradnl" w:eastAsia="ar-SA"/>
        </w:rPr>
        <w:t>6. Facilitar el ejercicio del derecho de los usuarios de obtener información completa, precisa y oportuna, sobre todas las actividades y operaciones directas o indirectas que se realicen para la prestación de los servicios públicos, conforme a lo establecido en el artículo 9.4 de la Ley 142 de 1994.</w:t>
      </w:r>
    </w:p>
    <w:p w14:paraId="0D538D87" w14:textId="77777777" w:rsidR="0034654A" w:rsidRPr="008943FC" w:rsidRDefault="0034654A" w:rsidP="00986A80">
      <w:pPr>
        <w:tabs>
          <w:tab w:val="left" w:pos="-720"/>
          <w:tab w:val="left" w:pos="1276"/>
        </w:tabs>
        <w:suppressAutoHyphens/>
        <w:overflowPunct w:val="0"/>
        <w:autoSpaceDE w:val="0"/>
        <w:spacing w:after="0" w:line="360" w:lineRule="auto"/>
        <w:ind w:left="284"/>
        <w:jc w:val="both"/>
        <w:textAlignment w:val="baseline"/>
        <w:rPr>
          <w:rFonts w:ascii="Arial" w:eastAsia="Times New Roman" w:hAnsi="Arial" w:cs="Arial"/>
          <w:sz w:val="24"/>
          <w:szCs w:val="24"/>
          <w:lang w:val="es-ES_tradnl" w:eastAsia="ar-SA"/>
        </w:rPr>
      </w:pPr>
    </w:p>
    <w:p w14:paraId="59D04E9E" w14:textId="5EF58DF3" w:rsidR="00DE5054" w:rsidRPr="008943FC" w:rsidRDefault="00DE5054" w:rsidP="00986A80">
      <w:pPr>
        <w:tabs>
          <w:tab w:val="left" w:pos="-720"/>
          <w:tab w:val="left" w:pos="1276"/>
        </w:tabs>
        <w:suppressAutoHyphens/>
        <w:overflowPunct w:val="0"/>
        <w:autoSpaceDE w:val="0"/>
        <w:spacing w:after="0" w:line="360" w:lineRule="auto"/>
        <w:ind w:left="284"/>
        <w:jc w:val="both"/>
        <w:textAlignment w:val="baseline"/>
        <w:rPr>
          <w:rFonts w:ascii="Arial" w:eastAsia="Times New Roman" w:hAnsi="Arial" w:cs="Arial"/>
          <w:sz w:val="24"/>
          <w:szCs w:val="24"/>
          <w:lang w:val="es-ES_tradnl" w:eastAsia="ar-SA"/>
        </w:rPr>
      </w:pPr>
      <w:r w:rsidRPr="008943FC">
        <w:rPr>
          <w:rFonts w:ascii="Arial" w:eastAsia="Times New Roman" w:hAnsi="Arial" w:cs="Arial"/>
          <w:sz w:val="24"/>
          <w:szCs w:val="24"/>
          <w:lang w:val="es-ES_tradnl" w:eastAsia="ar-SA"/>
        </w:rPr>
        <w:t>(…)</w:t>
      </w:r>
    </w:p>
    <w:p w14:paraId="355F857C" w14:textId="77777777" w:rsidR="0034654A" w:rsidRPr="008943FC" w:rsidRDefault="0034654A" w:rsidP="00986A80">
      <w:pPr>
        <w:tabs>
          <w:tab w:val="left" w:pos="-720"/>
          <w:tab w:val="left" w:pos="1276"/>
        </w:tabs>
        <w:suppressAutoHyphens/>
        <w:overflowPunct w:val="0"/>
        <w:autoSpaceDE w:val="0"/>
        <w:spacing w:after="0" w:line="360" w:lineRule="auto"/>
        <w:ind w:left="284"/>
        <w:jc w:val="both"/>
        <w:textAlignment w:val="baseline"/>
        <w:rPr>
          <w:rFonts w:ascii="Arial" w:eastAsia="Times New Roman" w:hAnsi="Arial" w:cs="Arial"/>
          <w:sz w:val="24"/>
          <w:szCs w:val="24"/>
          <w:u w:val="single"/>
          <w:lang w:val="es-ES_tradnl" w:eastAsia="ar-SA"/>
        </w:rPr>
      </w:pPr>
    </w:p>
    <w:p w14:paraId="67F4CBE0" w14:textId="59693D3F" w:rsidR="00DE5054" w:rsidRPr="008943FC" w:rsidRDefault="00DE5054" w:rsidP="00986A80">
      <w:pPr>
        <w:tabs>
          <w:tab w:val="left" w:pos="-720"/>
          <w:tab w:val="left" w:pos="1276"/>
        </w:tabs>
        <w:suppressAutoHyphens/>
        <w:overflowPunct w:val="0"/>
        <w:autoSpaceDE w:val="0"/>
        <w:spacing w:after="0" w:line="360" w:lineRule="auto"/>
        <w:ind w:left="284"/>
        <w:jc w:val="both"/>
        <w:textAlignment w:val="baseline"/>
        <w:rPr>
          <w:rFonts w:ascii="Arial" w:eastAsia="Times New Roman" w:hAnsi="Arial" w:cs="Arial"/>
          <w:sz w:val="24"/>
          <w:szCs w:val="24"/>
          <w:u w:val="single"/>
          <w:lang w:val="es-ES_tradnl" w:eastAsia="ar-SA"/>
        </w:rPr>
      </w:pPr>
      <w:r w:rsidRPr="008943FC">
        <w:rPr>
          <w:rFonts w:ascii="Arial" w:eastAsia="Times New Roman" w:hAnsi="Arial" w:cs="Arial"/>
          <w:sz w:val="24"/>
          <w:szCs w:val="24"/>
          <w:u w:val="single"/>
          <w:lang w:val="es-ES_tradnl" w:eastAsia="ar-SA"/>
        </w:rPr>
        <w:t xml:space="preserve">8. Mantener un registro actualizado de las personas que presten servicios públicos sometidos al control, inspección y vigilancia de la Superintendencia de Servicios Públicos.  </w:t>
      </w:r>
    </w:p>
    <w:p w14:paraId="353E43B1" w14:textId="77777777" w:rsidR="00DE5054" w:rsidRPr="008943FC" w:rsidRDefault="00DE5054" w:rsidP="00986A80">
      <w:pPr>
        <w:tabs>
          <w:tab w:val="left" w:pos="-720"/>
          <w:tab w:val="left" w:pos="1276"/>
        </w:tabs>
        <w:suppressAutoHyphens/>
        <w:overflowPunct w:val="0"/>
        <w:autoSpaceDE w:val="0"/>
        <w:spacing w:after="0" w:line="360" w:lineRule="auto"/>
        <w:ind w:left="284"/>
        <w:jc w:val="both"/>
        <w:textAlignment w:val="baseline"/>
        <w:rPr>
          <w:rFonts w:ascii="Arial" w:eastAsia="Times New Roman" w:hAnsi="Arial" w:cs="Arial"/>
          <w:sz w:val="24"/>
          <w:szCs w:val="24"/>
          <w:lang w:val="es-ES_tradnl" w:eastAsia="ar-SA"/>
        </w:rPr>
      </w:pPr>
    </w:p>
    <w:p w14:paraId="30B7A5AF" w14:textId="77777777" w:rsidR="00DE5054" w:rsidRPr="008943FC" w:rsidRDefault="00DE5054" w:rsidP="00986A80">
      <w:pPr>
        <w:tabs>
          <w:tab w:val="left" w:pos="-720"/>
          <w:tab w:val="left" w:pos="1276"/>
        </w:tabs>
        <w:suppressAutoHyphens/>
        <w:overflowPunct w:val="0"/>
        <w:autoSpaceDE w:val="0"/>
        <w:spacing w:after="0" w:line="360" w:lineRule="auto"/>
        <w:ind w:left="284"/>
        <w:jc w:val="both"/>
        <w:textAlignment w:val="baseline"/>
        <w:rPr>
          <w:rFonts w:ascii="Arial" w:eastAsia="Times New Roman" w:hAnsi="Arial" w:cs="Arial"/>
          <w:sz w:val="24"/>
          <w:szCs w:val="24"/>
          <w:lang w:val="es-ES_tradnl" w:eastAsia="ar-SA"/>
        </w:rPr>
      </w:pPr>
      <w:r w:rsidRPr="008943FC">
        <w:rPr>
          <w:rFonts w:ascii="Arial" w:eastAsia="Times New Roman" w:hAnsi="Arial" w:cs="Arial"/>
          <w:b/>
          <w:sz w:val="24"/>
          <w:szCs w:val="24"/>
          <w:lang w:val="es-ES_tradnl" w:eastAsia="ar-SA"/>
        </w:rPr>
        <w:t>Parágrafo 1°.</w:t>
      </w:r>
      <w:r w:rsidRPr="008943FC">
        <w:rPr>
          <w:rFonts w:ascii="Arial" w:eastAsia="Times New Roman" w:hAnsi="Arial" w:cs="Arial"/>
          <w:sz w:val="24"/>
          <w:szCs w:val="24"/>
          <w:lang w:val="es-ES_tradnl" w:eastAsia="ar-SA"/>
        </w:rPr>
        <w:t xml:space="preserve"> Los sistemas de información que deben organizar y mantener actualizados las personas que presten servicios públicos sometidos al control, inspección y vigilancia de la Superintendencia de Servicios Públicos de acuerdo con </w:t>
      </w:r>
      <w:r w:rsidRPr="008943FC">
        <w:rPr>
          <w:rFonts w:ascii="Arial" w:eastAsia="Times New Roman" w:hAnsi="Arial" w:cs="Arial"/>
          <w:sz w:val="24"/>
          <w:szCs w:val="24"/>
          <w:lang w:val="es-ES_tradnl" w:eastAsia="ar-SA"/>
        </w:rPr>
        <w:lastRenderedPageBreak/>
        <w:t>lo establecido en el artículo 53 de la Ley 142 de 1994, deben servir de base de información y ser concordantes con el Sistema Único de Información de que trata el presente artículo". (Resaltado fuera de texto)</w:t>
      </w:r>
    </w:p>
    <w:p w14:paraId="105BEFE3" w14:textId="77777777" w:rsidR="00DE5054" w:rsidRPr="008943FC" w:rsidRDefault="00DE5054" w:rsidP="00986A80">
      <w:pPr>
        <w:spacing w:after="0" w:line="360" w:lineRule="auto"/>
        <w:jc w:val="both"/>
        <w:rPr>
          <w:rFonts w:ascii="Arial" w:eastAsia="MS Mincho" w:hAnsi="Arial" w:cs="Arial"/>
          <w:sz w:val="24"/>
          <w:szCs w:val="24"/>
          <w:lang w:val="es-ES_tradnl"/>
        </w:rPr>
      </w:pPr>
    </w:p>
    <w:p w14:paraId="320E8B9E" w14:textId="77777777" w:rsidR="00DE5054" w:rsidRPr="008943FC" w:rsidRDefault="00DE5054" w:rsidP="00986A80">
      <w:pPr>
        <w:spacing w:after="0" w:line="360" w:lineRule="auto"/>
        <w:jc w:val="both"/>
        <w:rPr>
          <w:rFonts w:ascii="Arial" w:eastAsia="Times New Roman" w:hAnsi="Arial" w:cs="Arial"/>
          <w:spacing w:val="-5"/>
          <w:sz w:val="24"/>
          <w:szCs w:val="24"/>
        </w:rPr>
      </w:pPr>
      <w:r w:rsidRPr="008943FC">
        <w:rPr>
          <w:rFonts w:ascii="Arial" w:eastAsia="Times New Roman" w:hAnsi="Arial" w:cs="Arial"/>
          <w:spacing w:val="-5"/>
          <w:sz w:val="24"/>
          <w:szCs w:val="24"/>
        </w:rPr>
        <w:t>En desarrollo del mandato previsto en la Ley 142 de 1994 y en el artículo 62 de la Ley 1151 de 2007, la Comisión expidió una serie de medidas regulatorias a fin de implementar un esquema de marca para la prestación del servicio público domiciliario de GLP dentro de las actividades de distribución y comercialización minorista, estableciendo responsabilidades y obligaciones para los agentes que desarrollan dichas actividades. Así mismo, mediante las resoluciones CREG 045 de 2008, 147 de 2010, 178 de 2011 y 098 de 2012, entre otras, se adoptó un esquema regulatorio a través del cual se implementaron los períodos y mecanismos regulatorios que permitieron llevar a cabo el remplazo del parque universal de cilindros por un parque de cilindros marcado propiedad de los distribuidores.</w:t>
      </w:r>
    </w:p>
    <w:p w14:paraId="730EF00E" w14:textId="77777777" w:rsidR="00A66E25" w:rsidRPr="008943FC" w:rsidRDefault="00A66E25" w:rsidP="00986A80">
      <w:pPr>
        <w:spacing w:after="0" w:line="360" w:lineRule="auto"/>
        <w:jc w:val="both"/>
        <w:rPr>
          <w:rFonts w:ascii="Arial" w:eastAsia="Times New Roman" w:hAnsi="Arial" w:cs="Arial"/>
          <w:spacing w:val="-5"/>
          <w:sz w:val="24"/>
          <w:szCs w:val="24"/>
        </w:rPr>
      </w:pPr>
    </w:p>
    <w:p w14:paraId="1F1C4A1D" w14:textId="3DFB3004" w:rsidR="00DE5054" w:rsidRPr="008943FC" w:rsidRDefault="00DE5054" w:rsidP="00986A80">
      <w:pPr>
        <w:spacing w:after="0" w:line="360" w:lineRule="auto"/>
        <w:jc w:val="both"/>
        <w:rPr>
          <w:rFonts w:ascii="Arial" w:eastAsia="Times New Roman" w:hAnsi="Arial" w:cs="Arial"/>
          <w:spacing w:val="-5"/>
          <w:sz w:val="24"/>
          <w:szCs w:val="24"/>
        </w:rPr>
      </w:pPr>
      <w:r w:rsidRPr="008943FC">
        <w:rPr>
          <w:rFonts w:ascii="Arial" w:eastAsia="Times New Roman" w:hAnsi="Arial" w:cs="Arial"/>
          <w:spacing w:val="-5"/>
          <w:sz w:val="24"/>
          <w:szCs w:val="24"/>
        </w:rPr>
        <w:t>Dentro de las medidas regulatorias adoptadas por parte de esta Comisión se encuentra lo dispuesto</w:t>
      </w:r>
      <w:r w:rsidR="0054084B" w:rsidRPr="008943FC">
        <w:rPr>
          <w:rFonts w:ascii="Arial" w:eastAsia="Times New Roman" w:hAnsi="Arial" w:cs="Arial"/>
          <w:spacing w:val="-5"/>
          <w:sz w:val="24"/>
          <w:szCs w:val="24"/>
        </w:rPr>
        <w:t>,</w:t>
      </w:r>
      <w:r w:rsidRPr="008943FC">
        <w:rPr>
          <w:rFonts w:ascii="Arial" w:eastAsia="Times New Roman" w:hAnsi="Arial" w:cs="Arial"/>
          <w:spacing w:val="-5"/>
          <w:sz w:val="24"/>
          <w:szCs w:val="24"/>
        </w:rPr>
        <w:t xml:space="preserve"> inicialmente en el literal b</w:t>
      </w:r>
      <w:r w:rsidR="0034654A" w:rsidRPr="008943FC">
        <w:rPr>
          <w:rFonts w:ascii="Arial" w:eastAsia="Times New Roman" w:hAnsi="Arial" w:cs="Arial"/>
          <w:spacing w:val="-5"/>
          <w:sz w:val="24"/>
          <w:szCs w:val="24"/>
        </w:rPr>
        <w:t>.</w:t>
      </w:r>
      <w:r w:rsidRPr="008943FC">
        <w:rPr>
          <w:rFonts w:ascii="Arial" w:eastAsia="Times New Roman" w:hAnsi="Arial" w:cs="Arial"/>
          <w:spacing w:val="-5"/>
          <w:sz w:val="24"/>
          <w:szCs w:val="24"/>
        </w:rPr>
        <w:t xml:space="preserve"> del artículo 31 de la Resolución CREG 045 de 2008</w:t>
      </w:r>
      <w:r w:rsidR="0054084B" w:rsidRPr="008943FC">
        <w:rPr>
          <w:rFonts w:ascii="Arial" w:eastAsia="Times New Roman" w:hAnsi="Arial" w:cs="Arial"/>
          <w:spacing w:val="-5"/>
          <w:sz w:val="24"/>
          <w:szCs w:val="24"/>
        </w:rPr>
        <w:t>,</w:t>
      </w:r>
      <w:r w:rsidRPr="008943FC">
        <w:rPr>
          <w:rFonts w:ascii="Arial" w:eastAsia="Times New Roman" w:hAnsi="Arial" w:cs="Arial"/>
          <w:spacing w:val="-5"/>
          <w:sz w:val="24"/>
          <w:szCs w:val="24"/>
        </w:rPr>
        <w:t xml:space="preserve"> y posteriormente en el artículo 3 de la Resolución CREG 177 de 2011, en relación con la información recopilada dentro del esquema centralizado de cambio y mantenimiento de cilindros y la razonabilidad de que dicha información, dado el avance del cambio de esquema, hiciera parte del Sistema Único de Información</w:t>
      </w:r>
      <w:r w:rsidR="0054084B" w:rsidRPr="008943FC">
        <w:rPr>
          <w:rFonts w:ascii="Arial" w:eastAsia="Times New Roman" w:hAnsi="Arial" w:cs="Arial"/>
          <w:spacing w:val="-5"/>
          <w:sz w:val="24"/>
          <w:szCs w:val="24"/>
        </w:rPr>
        <w:t>,</w:t>
      </w:r>
      <w:r w:rsidRPr="008943FC">
        <w:rPr>
          <w:rFonts w:ascii="Arial" w:eastAsia="Times New Roman" w:hAnsi="Arial" w:cs="Arial"/>
          <w:spacing w:val="-5"/>
          <w:sz w:val="24"/>
          <w:szCs w:val="24"/>
        </w:rPr>
        <w:t xml:space="preserve"> SUI</w:t>
      </w:r>
      <w:r w:rsidR="0054084B" w:rsidRPr="008943FC">
        <w:rPr>
          <w:rFonts w:ascii="Arial" w:eastAsia="Times New Roman" w:hAnsi="Arial" w:cs="Arial"/>
          <w:spacing w:val="-5"/>
          <w:sz w:val="24"/>
          <w:szCs w:val="24"/>
        </w:rPr>
        <w:t>,</w:t>
      </w:r>
      <w:r w:rsidRPr="008943FC">
        <w:rPr>
          <w:rFonts w:ascii="Arial" w:eastAsia="Times New Roman" w:hAnsi="Arial" w:cs="Arial"/>
          <w:spacing w:val="-5"/>
          <w:sz w:val="24"/>
          <w:szCs w:val="24"/>
        </w:rPr>
        <w:t xml:space="preserve"> de la Superintendencia de Servicios Públicos Domiciliarios</w:t>
      </w:r>
      <w:r w:rsidR="0054084B" w:rsidRPr="008943FC">
        <w:rPr>
          <w:rFonts w:ascii="Arial" w:eastAsia="Times New Roman" w:hAnsi="Arial" w:cs="Arial"/>
          <w:spacing w:val="-5"/>
          <w:sz w:val="24"/>
          <w:szCs w:val="24"/>
        </w:rPr>
        <w:t>,</w:t>
      </w:r>
      <w:r w:rsidRPr="008943FC">
        <w:rPr>
          <w:rFonts w:ascii="Arial" w:eastAsia="Times New Roman" w:hAnsi="Arial" w:cs="Arial"/>
          <w:spacing w:val="-5"/>
          <w:sz w:val="24"/>
          <w:szCs w:val="24"/>
        </w:rPr>
        <w:t xml:space="preserve"> atendi</w:t>
      </w:r>
      <w:r w:rsidR="0054084B" w:rsidRPr="008943FC">
        <w:rPr>
          <w:rFonts w:ascii="Arial" w:eastAsia="Times New Roman" w:hAnsi="Arial" w:cs="Arial"/>
          <w:spacing w:val="-5"/>
          <w:sz w:val="24"/>
          <w:szCs w:val="24"/>
        </w:rPr>
        <w:t>en</w:t>
      </w:r>
      <w:r w:rsidRPr="008943FC">
        <w:rPr>
          <w:rFonts w:ascii="Arial" w:eastAsia="Times New Roman" w:hAnsi="Arial" w:cs="Arial"/>
          <w:spacing w:val="-5"/>
          <w:sz w:val="24"/>
          <w:szCs w:val="24"/>
        </w:rPr>
        <w:t xml:space="preserve">do lo dispuesto en el artículo 14 de la Ley 689 de 2001. En este sentido, el artículo 3 de la Resolución CREG 177 </w:t>
      </w:r>
      <w:r w:rsidR="002C480F" w:rsidRPr="008943FC">
        <w:rPr>
          <w:rFonts w:ascii="Arial" w:eastAsia="Times New Roman" w:hAnsi="Arial" w:cs="Arial"/>
          <w:spacing w:val="-5"/>
          <w:sz w:val="24"/>
          <w:szCs w:val="24"/>
        </w:rPr>
        <w:t xml:space="preserve">de 2011 </w:t>
      </w:r>
      <w:r w:rsidRPr="008943FC">
        <w:rPr>
          <w:rFonts w:ascii="Arial" w:eastAsia="Times New Roman" w:hAnsi="Arial" w:cs="Arial"/>
          <w:spacing w:val="-5"/>
          <w:sz w:val="24"/>
          <w:szCs w:val="24"/>
        </w:rPr>
        <w:t>dispuso lo siguiente:</w:t>
      </w:r>
    </w:p>
    <w:p w14:paraId="1B540C49" w14:textId="77777777" w:rsidR="00DE5054" w:rsidRPr="008943FC" w:rsidRDefault="00DE5054" w:rsidP="00986A80">
      <w:pPr>
        <w:spacing w:after="0" w:line="360" w:lineRule="auto"/>
        <w:jc w:val="both"/>
        <w:rPr>
          <w:rFonts w:ascii="Arial" w:eastAsia="Times New Roman" w:hAnsi="Arial" w:cs="Arial"/>
          <w:spacing w:val="-5"/>
          <w:sz w:val="24"/>
          <w:szCs w:val="24"/>
        </w:rPr>
      </w:pPr>
    </w:p>
    <w:p w14:paraId="02680685" w14:textId="77777777" w:rsidR="00DE5054" w:rsidRPr="008943FC" w:rsidRDefault="00DE5054" w:rsidP="00986A80">
      <w:pPr>
        <w:spacing w:after="0" w:line="360" w:lineRule="auto"/>
        <w:ind w:left="567"/>
        <w:jc w:val="both"/>
        <w:rPr>
          <w:rFonts w:ascii="Arial" w:eastAsia="Times New Roman" w:hAnsi="Arial" w:cs="Arial"/>
          <w:spacing w:val="-5"/>
          <w:sz w:val="24"/>
          <w:szCs w:val="24"/>
        </w:rPr>
      </w:pPr>
      <w:r w:rsidRPr="008943FC">
        <w:rPr>
          <w:rFonts w:ascii="Arial" w:eastAsia="Times New Roman" w:hAnsi="Arial" w:cs="Arial"/>
          <w:spacing w:val="-5"/>
          <w:sz w:val="24"/>
          <w:szCs w:val="24"/>
        </w:rPr>
        <w:t>“</w:t>
      </w:r>
      <w:r w:rsidRPr="008943FC">
        <w:rPr>
          <w:rFonts w:ascii="Arial" w:eastAsia="Times New Roman" w:hAnsi="Arial" w:cs="Arial"/>
          <w:b/>
          <w:spacing w:val="-5"/>
          <w:sz w:val="24"/>
          <w:szCs w:val="24"/>
        </w:rPr>
        <w:t>Artículo 3.</w:t>
      </w:r>
      <w:r w:rsidRPr="008943FC">
        <w:rPr>
          <w:rFonts w:ascii="Arial" w:eastAsia="Times New Roman" w:hAnsi="Arial" w:cs="Arial"/>
          <w:spacing w:val="-5"/>
          <w:sz w:val="24"/>
          <w:szCs w:val="24"/>
        </w:rPr>
        <w:t xml:space="preserve"> El numeral 8 del Artículo 6 de la Resolución CREG 023 de 2008, modificado por el artículo 4 de la Resolución CREG 165 de 2008, el cual establece las Obligaciones Generales del Distribuidor, quedará así:</w:t>
      </w:r>
    </w:p>
    <w:p w14:paraId="6BCEC00E" w14:textId="77777777" w:rsidR="00DE5054" w:rsidRPr="008943FC" w:rsidRDefault="00DE5054" w:rsidP="00986A80">
      <w:pPr>
        <w:spacing w:after="0" w:line="360" w:lineRule="auto"/>
        <w:ind w:left="567"/>
        <w:jc w:val="both"/>
        <w:rPr>
          <w:rFonts w:ascii="Arial" w:eastAsia="Times New Roman" w:hAnsi="Arial" w:cs="Arial"/>
          <w:spacing w:val="-5"/>
          <w:sz w:val="24"/>
          <w:szCs w:val="24"/>
        </w:rPr>
      </w:pPr>
    </w:p>
    <w:p w14:paraId="75AACB93" w14:textId="77777777" w:rsidR="00DE5054" w:rsidRPr="008943FC" w:rsidRDefault="00DE5054" w:rsidP="00986A80">
      <w:pPr>
        <w:spacing w:after="0" w:line="360" w:lineRule="auto"/>
        <w:ind w:left="567"/>
        <w:jc w:val="both"/>
        <w:rPr>
          <w:rFonts w:ascii="Arial" w:eastAsia="Times New Roman" w:hAnsi="Arial" w:cs="Arial"/>
          <w:spacing w:val="-5"/>
          <w:sz w:val="24"/>
          <w:szCs w:val="24"/>
        </w:rPr>
      </w:pPr>
      <w:r w:rsidRPr="008943FC">
        <w:rPr>
          <w:rFonts w:ascii="Arial" w:eastAsia="Times New Roman" w:hAnsi="Arial" w:cs="Arial"/>
          <w:spacing w:val="-5"/>
          <w:sz w:val="24"/>
          <w:szCs w:val="24"/>
        </w:rPr>
        <w:t>“8. Los Distribuidores deben llevar un registro pormenorizado de los cilindros marcados que van introduciendo al parque en las siguientes condiciones:</w:t>
      </w:r>
    </w:p>
    <w:p w14:paraId="3450CC4D" w14:textId="77777777" w:rsidR="00DE5054" w:rsidRPr="008943FC" w:rsidRDefault="00DE5054" w:rsidP="00986A80">
      <w:pPr>
        <w:spacing w:after="0" w:line="360" w:lineRule="auto"/>
        <w:ind w:left="567"/>
        <w:jc w:val="both"/>
        <w:rPr>
          <w:rFonts w:ascii="Arial" w:eastAsia="Times New Roman" w:hAnsi="Arial" w:cs="Arial"/>
          <w:spacing w:val="-5"/>
          <w:sz w:val="24"/>
          <w:szCs w:val="24"/>
        </w:rPr>
      </w:pPr>
    </w:p>
    <w:p w14:paraId="1ABA703B" w14:textId="77777777" w:rsidR="00DE5054" w:rsidRPr="008943FC" w:rsidRDefault="00DE5054" w:rsidP="00986A80">
      <w:pPr>
        <w:pStyle w:val="Prrafodelista"/>
        <w:numPr>
          <w:ilvl w:val="0"/>
          <w:numId w:val="13"/>
        </w:numPr>
        <w:spacing w:after="0" w:line="360" w:lineRule="auto"/>
        <w:jc w:val="both"/>
        <w:rPr>
          <w:rFonts w:ascii="Arial" w:eastAsia="Times New Roman" w:hAnsi="Arial" w:cs="Arial"/>
          <w:spacing w:val="-5"/>
          <w:sz w:val="24"/>
          <w:szCs w:val="24"/>
        </w:rPr>
      </w:pPr>
      <w:r w:rsidRPr="008943FC">
        <w:rPr>
          <w:rFonts w:ascii="Arial" w:eastAsia="Times New Roman" w:hAnsi="Arial" w:cs="Arial"/>
          <w:spacing w:val="-5"/>
          <w:sz w:val="24"/>
          <w:szCs w:val="24"/>
        </w:rPr>
        <w:t>Mientras dure el Período de Transición y el Período de Cierre a través del sistema de información SICMA que debe llevar la Interventoría del esquema centralizado.</w:t>
      </w:r>
    </w:p>
    <w:p w14:paraId="7D703B21" w14:textId="77777777" w:rsidR="00DE5054" w:rsidRPr="008943FC" w:rsidRDefault="00DE5054" w:rsidP="00986A80">
      <w:pPr>
        <w:spacing w:after="0" w:line="360" w:lineRule="auto"/>
        <w:ind w:left="567"/>
        <w:jc w:val="both"/>
        <w:rPr>
          <w:rFonts w:ascii="Arial" w:eastAsia="Times New Roman" w:hAnsi="Arial" w:cs="Arial"/>
          <w:spacing w:val="-5"/>
          <w:sz w:val="24"/>
          <w:szCs w:val="24"/>
        </w:rPr>
      </w:pPr>
    </w:p>
    <w:p w14:paraId="55996DED" w14:textId="280FE959" w:rsidR="00DE5054" w:rsidRPr="008943FC" w:rsidRDefault="00DE5054" w:rsidP="00986A80">
      <w:pPr>
        <w:pStyle w:val="Prrafodelista"/>
        <w:numPr>
          <w:ilvl w:val="0"/>
          <w:numId w:val="13"/>
        </w:numPr>
        <w:spacing w:after="0" w:line="360" w:lineRule="auto"/>
        <w:jc w:val="both"/>
        <w:rPr>
          <w:rFonts w:ascii="Arial" w:eastAsia="Times New Roman" w:hAnsi="Arial" w:cs="Arial"/>
          <w:spacing w:val="-5"/>
          <w:sz w:val="24"/>
          <w:szCs w:val="24"/>
          <w:u w:val="single"/>
        </w:rPr>
      </w:pPr>
      <w:r w:rsidRPr="008943FC">
        <w:rPr>
          <w:rFonts w:ascii="Arial" w:eastAsia="Times New Roman" w:hAnsi="Arial" w:cs="Arial"/>
          <w:spacing w:val="-5"/>
          <w:sz w:val="24"/>
          <w:szCs w:val="24"/>
          <w:u w:val="single"/>
        </w:rPr>
        <w:lastRenderedPageBreak/>
        <w:t>Una vez finalice el P</w:t>
      </w:r>
      <w:r w:rsidR="009C5EF2" w:rsidRPr="008943FC">
        <w:rPr>
          <w:rFonts w:ascii="Arial" w:eastAsia="Times New Roman" w:hAnsi="Arial" w:cs="Arial"/>
          <w:spacing w:val="-5"/>
          <w:sz w:val="24"/>
          <w:szCs w:val="24"/>
          <w:u w:val="single"/>
        </w:rPr>
        <w:t>eríodo</w:t>
      </w:r>
      <w:r w:rsidRPr="008943FC">
        <w:rPr>
          <w:rFonts w:ascii="Arial" w:eastAsia="Times New Roman" w:hAnsi="Arial" w:cs="Arial"/>
          <w:spacing w:val="-5"/>
          <w:sz w:val="24"/>
          <w:szCs w:val="24"/>
          <w:u w:val="single"/>
        </w:rPr>
        <w:t xml:space="preserve"> de Transición y el P</w:t>
      </w:r>
      <w:r w:rsidR="009C5EF2" w:rsidRPr="008943FC">
        <w:rPr>
          <w:rFonts w:ascii="Arial" w:eastAsia="Times New Roman" w:hAnsi="Arial" w:cs="Arial"/>
          <w:spacing w:val="-5"/>
          <w:sz w:val="24"/>
          <w:szCs w:val="24"/>
          <w:u w:val="single"/>
        </w:rPr>
        <w:t>eríodo</w:t>
      </w:r>
      <w:r w:rsidRPr="008943FC">
        <w:rPr>
          <w:rFonts w:ascii="Arial" w:eastAsia="Times New Roman" w:hAnsi="Arial" w:cs="Arial"/>
          <w:spacing w:val="-5"/>
          <w:sz w:val="24"/>
          <w:szCs w:val="24"/>
          <w:u w:val="single"/>
        </w:rPr>
        <w:t xml:space="preserve"> de Cierre, el SICMA deberá mantenerse como parte del SUI, de acuerdo con los mecanismos que para el efecto expida la SSPD en virtud de lo establecido en el artículo 14 de la Ley 689 de 2001. El objetivo de esta información es facilitar la labor de seguimiento y control de las inversiones de cada Distribuidor y velar, para que los cilindros que entran marcados al parque cumplan con el Reglamento Técnico del Ministerio de Minas y Energía.</w:t>
      </w:r>
    </w:p>
    <w:p w14:paraId="7A1B108F" w14:textId="77777777" w:rsidR="00DE5054" w:rsidRPr="008943FC" w:rsidRDefault="00DE5054" w:rsidP="00986A80">
      <w:pPr>
        <w:spacing w:after="0" w:line="360" w:lineRule="auto"/>
        <w:ind w:left="567"/>
        <w:jc w:val="both"/>
        <w:rPr>
          <w:rFonts w:ascii="Arial" w:eastAsia="Times New Roman" w:hAnsi="Arial" w:cs="Arial"/>
          <w:spacing w:val="-5"/>
          <w:sz w:val="24"/>
          <w:szCs w:val="24"/>
          <w:u w:val="single"/>
        </w:rPr>
      </w:pPr>
    </w:p>
    <w:p w14:paraId="7B573AA0" w14:textId="77777777" w:rsidR="00DE5054" w:rsidRPr="008943FC" w:rsidRDefault="00DE5054" w:rsidP="00986A80">
      <w:pPr>
        <w:pStyle w:val="Prrafodelista"/>
        <w:numPr>
          <w:ilvl w:val="0"/>
          <w:numId w:val="13"/>
        </w:numPr>
        <w:spacing w:after="0" w:line="360" w:lineRule="auto"/>
        <w:jc w:val="both"/>
        <w:rPr>
          <w:rFonts w:ascii="Arial" w:eastAsia="Times New Roman" w:hAnsi="Arial" w:cs="Arial"/>
          <w:spacing w:val="-5"/>
          <w:sz w:val="24"/>
          <w:szCs w:val="24"/>
        </w:rPr>
      </w:pPr>
      <w:r w:rsidRPr="008943FC">
        <w:rPr>
          <w:rFonts w:ascii="Arial" w:eastAsia="Times New Roman" w:hAnsi="Arial" w:cs="Arial"/>
          <w:spacing w:val="-5"/>
          <w:sz w:val="24"/>
          <w:szCs w:val="24"/>
          <w:u w:val="single"/>
        </w:rPr>
        <w:t>Corresponde a la Interventoría del esquema centralizado crear el SICMA adecuando el sistema de información existente para que se realice adecuadamente el registro de los cilindros marcados y realizar la entrega total y en funcionamiento de éste al SUI una vez finalice el período de cierre.”</w:t>
      </w:r>
      <w:r w:rsidRPr="008943FC">
        <w:rPr>
          <w:rFonts w:ascii="Arial" w:eastAsia="Times New Roman" w:hAnsi="Arial" w:cs="Arial"/>
          <w:spacing w:val="-5"/>
          <w:sz w:val="24"/>
          <w:szCs w:val="24"/>
        </w:rPr>
        <w:t xml:space="preserve"> (Resaltado fuera de texto)</w:t>
      </w:r>
    </w:p>
    <w:p w14:paraId="5C7115EB" w14:textId="77777777" w:rsidR="00DE5054" w:rsidRPr="008943FC" w:rsidRDefault="00DE5054" w:rsidP="00986A80">
      <w:pPr>
        <w:spacing w:after="0" w:line="360" w:lineRule="auto"/>
        <w:jc w:val="both"/>
        <w:rPr>
          <w:rFonts w:ascii="Arial" w:eastAsia="Times New Roman" w:hAnsi="Arial" w:cs="Arial"/>
          <w:spacing w:val="-5"/>
          <w:sz w:val="24"/>
          <w:szCs w:val="24"/>
        </w:rPr>
      </w:pPr>
    </w:p>
    <w:p w14:paraId="7962B3B5" w14:textId="77777777" w:rsidR="00DE5054" w:rsidRPr="008943FC" w:rsidRDefault="00DE5054" w:rsidP="00986A80">
      <w:pPr>
        <w:spacing w:after="0" w:line="360" w:lineRule="auto"/>
        <w:jc w:val="both"/>
        <w:rPr>
          <w:rFonts w:ascii="Arial" w:eastAsia="Times New Roman" w:hAnsi="Arial" w:cs="Arial"/>
          <w:spacing w:val="-5"/>
          <w:sz w:val="24"/>
          <w:szCs w:val="24"/>
        </w:rPr>
      </w:pPr>
      <w:r w:rsidRPr="008943FC">
        <w:rPr>
          <w:rFonts w:ascii="Arial" w:eastAsia="Times New Roman" w:hAnsi="Arial" w:cs="Arial"/>
          <w:spacing w:val="-5"/>
          <w:sz w:val="24"/>
          <w:szCs w:val="24"/>
        </w:rPr>
        <w:t xml:space="preserve">En concordancia con lo anterior, en relación con la obligación de los distribuidores de llevar a cabo el reporte y uso de la marca que identifica los cilindros de su propiedad, </w:t>
      </w:r>
      <w:r w:rsidR="00720524" w:rsidRPr="008943FC">
        <w:rPr>
          <w:rFonts w:ascii="Arial" w:eastAsia="Times New Roman" w:hAnsi="Arial" w:cs="Arial"/>
          <w:spacing w:val="-5"/>
          <w:sz w:val="24"/>
          <w:szCs w:val="24"/>
        </w:rPr>
        <w:t>los</w:t>
      </w:r>
      <w:r w:rsidRPr="008943FC">
        <w:rPr>
          <w:rFonts w:ascii="Arial" w:eastAsia="Times New Roman" w:hAnsi="Arial" w:cs="Arial"/>
          <w:spacing w:val="-5"/>
          <w:sz w:val="24"/>
          <w:szCs w:val="24"/>
        </w:rPr>
        <w:t xml:space="preserve"> artículo</w:t>
      </w:r>
      <w:r w:rsidR="00720524" w:rsidRPr="008943FC">
        <w:rPr>
          <w:rFonts w:ascii="Arial" w:eastAsia="Times New Roman" w:hAnsi="Arial" w:cs="Arial"/>
          <w:spacing w:val="-5"/>
          <w:sz w:val="24"/>
          <w:szCs w:val="24"/>
        </w:rPr>
        <w:t xml:space="preserve">s 4 y </w:t>
      </w:r>
      <w:r w:rsidRPr="008943FC">
        <w:rPr>
          <w:rFonts w:ascii="Arial" w:eastAsia="Times New Roman" w:hAnsi="Arial" w:cs="Arial"/>
          <w:spacing w:val="-5"/>
          <w:sz w:val="24"/>
          <w:szCs w:val="24"/>
        </w:rPr>
        <w:t>11 del reglamento de distribución y comercialización minorista de GLP estableció lo siguiente:</w:t>
      </w:r>
    </w:p>
    <w:p w14:paraId="5A9510B4" w14:textId="77777777" w:rsidR="00720524" w:rsidRPr="008943FC" w:rsidRDefault="00720524" w:rsidP="00986A80">
      <w:pPr>
        <w:spacing w:after="0" w:line="360" w:lineRule="auto"/>
        <w:jc w:val="both"/>
        <w:rPr>
          <w:rFonts w:ascii="Arial" w:eastAsia="Times New Roman" w:hAnsi="Arial" w:cs="Arial"/>
          <w:spacing w:val="-5"/>
          <w:sz w:val="24"/>
          <w:szCs w:val="24"/>
        </w:rPr>
      </w:pPr>
    </w:p>
    <w:p w14:paraId="23AE9D3D" w14:textId="3FDE256C" w:rsidR="00720524" w:rsidRPr="008943FC" w:rsidRDefault="00720524" w:rsidP="00986A80">
      <w:pPr>
        <w:numPr>
          <w:ilvl w:val="1"/>
          <w:numId w:val="0"/>
        </w:numPr>
        <w:suppressAutoHyphens/>
        <w:spacing w:after="0" w:line="360" w:lineRule="auto"/>
        <w:ind w:left="284"/>
        <w:jc w:val="both"/>
        <w:outlineLvl w:val="1"/>
        <w:rPr>
          <w:rFonts w:ascii="Arial" w:eastAsia="Times New Roman" w:hAnsi="Arial" w:cs="Arial"/>
          <w:spacing w:val="-3"/>
          <w:sz w:val="24"/>
          <w:szCs w:val="24"/>
          <w:lang w:val="es-ES_tradnl" w:eastAsia="es-CO"/>
        </w:rPr>
      </w:pPr>
      <w:r w:rsidRPr="008943FC">
        <w:rPr>
          <w:rFonts w:ascii="Arial" w:eastAsia="Times New Roman" w:hAnsi="Arial" w:cs="Arial"/>
          <w:spacing w:val="-3"/>
          <w:sz w:val="24"/>
          <w:szCs w:val="24"/>
          <w:lang w:val="es-ES_tradnl" w:eastAsia="es-CO"/>
        </w:rPr>
        <w:t>“</w:t>
      </w:r>
      <w:r w:rsidRPr="008943FC">
        <w:rPr>
          <w:rFonts w:ascii="Arial" w:eastAsia="Times New Roman" w:hAnsi="Arial" w:cs="Arial"/>
          <w:b/>
          <w:spacing w:val="-3"/>
          <w:sz w:val="24"/>
          <w:szCs w:val="24"/>
          <w:lang w:val="es-ES_tradnl" w:eastAsia="es-CO"/>
        </w:rPr>
        <w:t>Artículo 4. REQUISITOS PARA LA OPERACIÓN DE LOS DISTRIBUIDORES</w:t>
      </w:r>
      <w:r w:rsidR="00462224" w:rsidRPr="008943FC">
        <w:rPr>
          <w:rFonts w:ascii="Arial" w:eastAsia="Times New Roman" w:hAnsi="Arial" w:cs="Arial"/>
          <w:b/>
          <w:spacing w:val="-3"/>
          <w:sz w:val="24"/>
          <w:szCs w:val="24"/>
          <w:lang w:val="es-ES_tradnl" w:eastAsia="es-CO"/>
        </w:rPr>
        <w:t xml:space="preserve"> </w:t>
      </w:r>
      <w:r w:rsidR="00462224" w:rsidRPr="008943FC">
        <w:rPr>
          <w:rFonts w:ascii="Arial" w:eastAsia="Times New Roman" w:hAnsi="Arial" w:cs="Arial"/>
          <w:spacing w:val="-3"/>
          <w:sz w:val="24"/>
          <w:szCs w:val="24"/>
          <w:lang w:val="es-ES_tradnl" w:eastAsia="es-CO"/>
        </w:rPr>
        <w:t>(Modificado por el artículo 2 de Resolución CREG 165 de 2008)</w:t>
      </w:r>
      <w:r w:rsidRPr="008943FC">
        <w:rPr>
          <w:rFonts w:ascii="Arial" w:eastAsia="Times New Roman" w:hAnsi="Arial" w:cs="Arial"/>
          <w:spacing w:val="-3"/>
          <w:sz w:val="24"/>
          <w:szCs w:val="24"/>
          <w:lang w:val="es-ES_tradnl" w:eastAsia="es-CO"/>
        </w:rPr>
        <w:t>. (…)</w:t>
      </w:r>
    </w:p>
    <w:p w14:paraId="7CD2EA73" w14:textId="77777777" w:rsidR="00720524" w:rsidRPr="008943FC" w:rsidRDefault="00720524" w:rsidP="00986A80">
      <w:pPr>
        <w:numPr>
          <w:ilvl w:val="1"/>
          <w:numId w:val="0"/>
        </w:numPr>
        <w:suppressAutoHyphens/>
        <w:spacing w:after="0" w:line="360" w:lineRule="auto"/>
        <w:ind w:left="284"/>
        <w:jc w:val="both"/>
        <w:outlineLvl w:val="1"/>
        <w:rPr>
          <w:rFonts w:ascii="Arial" w:eastAsia="Times New Roman" w:hAnsi="Arial" w:cs="Arial"/>
          <w:spacing w:val="-3"/>
          <w:sz w:val="24"/>
          <w:szCs w:val="24"/>
          <w:lang w:val="es-ES_tradnl" w:eastAsia="es-CO"/>
        </w:rPr>
      </w:pPr>
    </w:p>
    <w:p w14:paraId="42792DF2" w14:textId="727CF9AB" w:rsidR="00720524" w:rsidRPr="008943FC" w:rsidRDefault="00720524" w:rsidP="00986A80">
      <w:pPr>
        <w:numPr>
          <w:ilvl w:val="1"/>
          <w:numId w:val="0"/>
        </w:numPr>
        <w:suppressAutoHyphens/>
        <w:spacing w:after="0" w:line="360" w:lineRule="auto"/>
        <w:ind w:left="284"/>
        <w:jc w:val="both"/>
        <w:outlineLvl w:val="1"/>
        <w:rPr>
          <w:rFonts w:ascii="Arial" w:eastAsia="Times New Roman" w:hAnsi="Arial" w:cs="Arial"/>
          <w:spacing w:val="-3"/>
          <w:sz w:val="24"/>
          <w:szCs w:val="24"/>
          <w:lang w:val="es-ES_tradnl" w:eastAsia="es-CO"/>
        </w:rPr>
      </w:pPr>
      <w:r w:rsidRPr="008943FC">
        <w:rPr>
          <w:rFonts w:ascii="Arial" w:eastAsia="Times New Roman" w:hAnsi="Arial" w:cs="Arial"/>
          <w:spacing w:val="-3"/>
          <w:sz w:val="24"/>
          <w:szCs w:val="24"/>
          <w:lang w:val="es-ES_tradnl" w:eastAsia="es-CO"/>
        </w:rPr>
        <w:t xml:space="preserve">7. </w:t>
      </w:r>
      <w:r w:rsidRPr="008943FC">
        <w:rPr>
          <w:rFonts w:ascii="Arial" w:eastAsia="Times New Roman" w:hAnsi="Arial" w:cs="Arial"/>
          <w:spacing w:val="-3"/>
          <w:sz w:val="24"/>
          <w:szCs w:val="24"/>
          <w:u w:val="single"/>
          <w:lang w:val="es-ES_tradnl" w:eastAsia="es-CO"/>
        </w:rPr>
        <w:t>Ser propietario de los cilindros que envasa, los cuales deberán estar certificados y marcados de acuerdo con lo establecido en el Artículo 10 de esta Resolución.</w:t>
      </w:r>
      <w:r w:rsidRPr="008943FC">
        <w:rPr>
          <w:rFonts w:ascii="Arial" w:eastAsia="Times New Roman" w:hAnsi="Arial" w:cs="Arial"/>
          <w:spacing w:val="-3"/>
          <w:sz w:val="24"/>
          <w:szCs w:val="24"/>
          <w:lang w:val="es-ES_tradnl" w:eastAsia="es-CO"/>
        </w:rPr>
        <w:t xml:space="preserve"> Tanto los cilindros como los tanques estacionarios a través de los cuales se prestará el servicio </w:t>
      </w:r>
      <w:r w:rsidR="00D30374" w:rsidRPr="008943FC">
        <w:rPr>
          <w:rFonts w:ascii="Arial" w:eastAsia="Times New Roman" w:hAnsi="Arial" w:cs="Arial"/>
          <w:spacing w:val="-3"/>
          <w:sz w:val="24"/>
          <w:szCs w:val="24"/>
          <w:lang w:val="es-ES_tradnl" w:eastAsia="es-CO"/>
        </w:rPr>
        <w:t>público</w:t>
      </w:r>
      <w:r w:rsidRPr="008943FC">
        <w:rPr>
          <w:rFonts w:ascii="Arial" w:eastAsia="Times New Roman" w:hAnsi="Arial" w:cs="Arial"/>
          <w:spacing w:val="-3"/>
          <w:sz w:val="24"/>
          <w:szCs w:val="24"/>
          <w:lang w:val="es-ES_tradnl" w:eastAsia="es-CO"/>
        </w:rPr>
        <w:t xml:space="preserve"> deben estar en condiciones de operación que garanticen plenamente la seguridad de los usuarios, del personal que lo maniobra y de toda la comunidad en general.”</w:t>
      </w:r>
    </w:p>
    <w:p w14:paraId="3DE4739B" w14:textId="77777777" w:rsidR="00720524" w:rsidRPr="008943FC" w:rsidRDefault="00720524" w:rsidP="00986A80">
      <w:pPr>
        <w:spacing w:after="0" w:line="360" w:lineRule="auto"/>
        <w:ind w:left="284"/>
        <w:jc w:val="both"/>
        <w:rPr>
          <w:rFonts w:ascii="Arial" w:eastAsia="Times New Roman" w:hAnsi="Arial" w:cs="Arial"/>
          <w:spacing w:val="-5"/>
          <w:sz w:val="24"/>
          <w:szCs w:val="24"/>
        </w:rPr>
      </w:pPr>
    </w:p>
    <w:p w14:paraId="0033E139" w14:textId="0551DDBD" w:rsidR="00DE5054" w:rsidRPr="008943FC" w:rsidRDefault="00DE5054" w:rsidP="00986A80">
      <w:pPr>
        <w:numPr>
          <w:ilvl w:val="1"/>
          <w:numId w:val="0"/>
        </w:numPr>
        <w:suppressAutoHyphens/>
        <w:spacing w:after="0" w:line="360" w:lineRule="auto"/>
        <w:ind w:left="284"/>
        <w:jc w:val="both"/>
        <w:outlineLvl w:val="1"/>
        <w:rPr>
          <w:rFonts w:ascii="Arial" w:eastAsia="Times New Roman" w:hAnsi="Arial" w:cs="Arial"/>
          <w:spacing w:val="-3"/>
          <w:sz w:val="24"/>
          <w:szCs w:val="24"/>
          <w:lang w:val="es-ES_tradnl" w:eastAsia="es-CO"/>
        </w:rPr>
      </w:pPr>
      <w:r w:rsidRPr="008943FC">
        <w:rPr>
          <w:rFonts w:ascii="Arial" w:eastAsia="Times New Roman" w:hAnsi="Arial" w:cs="Arial"/>
          <w:b/>
          <w:spacing w:val="-3"/>
          <w:sz w:val="24"/>
          <w:szCs w:val="24"/>
          <w:lang w:eastAsia="es-CO"/>
        </w:rPr>
        <w:t>“Artículo 11</w:t>
      </w:r>
      <w:r w:rsidRPr="008943FC">
        <w:rPr>
          <w:rFonts w:ascii="Arial" w:eastAsia="Times New Roman" w:hAnsi="Arial" w:cs="Arial"/>
          <w:b/>
          <w:spacing w:val="-3"/>
          <w:sz w:val="24"/>
          <w:szCs w:val="24"/>
          <w:lang w:val="es-ES_tradnl" w:eastAsia="es-CO"/>
        </w:rPr>
        <w:t>. OBLIGACIONES DEL DISTRIBUIDOR EN EL REPORTE Y USO DE LA MARCA QUE IDENTIFICA LOS CILINDROS DE SU PROPIEDAD</w:t>
      </w:r>
      <w:r w:rsidRPr="008943FC">
        <w:rPr>
          <w:rFonts w:ascii="Arial" w:eastAsia="Times New Roman" w:hAnsi="Arial" w:cs="Arial"/>
          <w:spacing w:val="-3"/>
          <w:sz w:val="24"/>
          <w:szCs w:val="24"/>
          <w:lang w:val="es-ES_tradnl" w:eastAsia="es-CO"/>
        </w:rPr>
        <w:t xml:space="preserve">. </w:t>
      </w:r>
      <w:r w:rsidRPr="008943FC">
        <w:rPr>
          <w:rFonts w:ascii="Arial" w:eastAsia="Times New Roman" w:hAnsi="Arial" w:cs="Arial"/>
          <w:spacing w:val="-3"/>
          <w:sz w:val="24"/>
          <w:szCs w:val="24"/>
          <w:u w:val="single"/>
          <w:lang w:val="es-ES_tradnl" w:eastAsia="es-CO"/>
        </w:rPr>
        <w:t>La marca con la cual los Distribuidores van a identificar los cilindros de su propiedad debe ser reportada por éstos ante la Superintendencia de Servicios Públicos Domiciliarios al menos un mes antes de empezar a marcar los cilindros que utilizará en la prestación del servicio</w:t>
      </w:r>
      <w:r w:rsidRPr="009F0A0F">
        <w:rPr>
          <w:rFonts w:ascii="Arial" w:eastAsia="Times New Roman" w:hAnsi="Arial" w:cs="Arial"/>
          <w:spacing w:val="-3"/>
          <w:sz w:val="24"/>
          <w:szCs w:val="24"/>
          <w:lang w:val="es-ES_tradnl" w:eastAsia="es-CO"/>
        </w:rPr>
        <w:t xml:space="preserve">. </w:t>
      </w:r>
      <w:r w:rsidRPr="008943FC">
        <w:rPr>
          <w:rFonts w:ascii="Arial" w:eastAsia="Times New Roman" w:hAnsi="Arial" w:cs="Arial"/>
          <w:spacing w:val="-3"/>
          <w:sz w:val="24"/>
          <w:szCs w:val="24"/>
          <w:lang w:val="es-ES_tradnl" w:eastAsia="es-CO"/>
        </w:rPr>
        <w:t xml:space="preserve">La Superintendencia informará a través del SUI sobre las solicitudes de marca recibidas y </w:t>
      </w:r>
      <w:r w:rsidRPr="008943FC">
        <w:rPr>
          <w:rFonts w:ascii="Arial" w:eastAsia="Times New Roman" w:hAnsi="Arial" w:cs="Arial"/>
          <w:spacing w:val="-3"/>
          <w:sz w:val="24"/>
          <w:szCs w:val="24"/>
          <w:lang w:val="es-ES_tradnl" w:eastAsia="es-CO"/>
        </w:rPr>
        <w:lastRenderedPageBreak/>
        <w:t>en el mismo sistema permanecerán publicadas las marcas que se están utilizando junto con la identificación plena de su propietario.</w:t>
      </w:r>
    </w:p>
    <w:p w14:paraId="6153E800" w14:textId="77777777" w:rsidR="00DE5054" w:rsidRPr="008943FC" w:rsidRDefault="00DE5054" w:rsidP="00986A80">
      <w:pPr>
        <w:widowControl w:val="0"/>
        <w:adjustRightInd w:val="0"/>
        <w:spacing w:after="0" w:line="360" w:lineRule="auto"/>
        <w:ind w:left="284"/>
        <w:jc w:val="both"/>
        <w:textAlignment w:val="baseline"/>
        <w:rPr>
          <w:rFonts w:ascii="Arial" w:eastAsia="Times New Roman" w:hAnsi="Arial" w:cs="Arial"/>
          <w:color w:val="000000"/>
          <w:sz w:val="24"/>
          <w:szCs w:val="24"/>
          <w:lang w:eastAsia="es-CO"/>
        </w:rPr>
      </w:pPr>
    </w:p>
    <w:p w14:paraId="6AF82CDA" w14:textId="77777777" w:rsidR="00DE5054" w:rsidRPr="008943FC" w:rsidRDefault="00DE5054" w:rsidP="00986A80">
      <w:pPr>
        <w:widowControl w:val="0"/>
        <w:adjustRightInd w:val="0"/>
        <w:spacing w:after="0" w:line="360" w:lineRule="auto"/>
        <w:ind w:left="284"/>
        <w:jc w:val="both"/>
        <w:textAlignment w:val="baseline"/>
        <w:rPr>
          <w:rFonts w:ascii="Arial" w:eastAsia="Times New Roman" w:hAnsi="Arial" w:cs="Arial"/>
          <w:color w:val="000000"/>
          <w:sz w:val="24"/>
          <w:szCs w:val="24"/>
          <w:lang w:eastAsia="es-CO"/>
        </w:rPr>
      </w:pPr>
      <w:r w:rsidRPr="008943FC">
        <w:rPr>
          <w:rFonts w:ascii="Arial" w:eastAsia="Times New Roman" w:hAnsi="Arial" w:cs="Arial"/>
          <w:color w:val="000000"/>
          <w:sz w:val="24"/>
          <w:szCs w:val="24"/>
          <w:lang w:eastAsia="es-CO"/>
        </w:rPr>
        <w:t>El uso de la marca está sujeto a las siguientes reglas:</w:t>
      </w:r>
    </w:p>
    <w:p w14:paraId="4DDDA227" w14:textId="77777777" w:rsidR="00DE5054" w:rsidRPr="008943FC" w:rsidRDefault="00DE5054" w:rsidP="00986A80">
      <w:pPr>
        <w:widowControl w:val="0"/>
        <w:adjustRightInd w:val="0"/>
        <w:spacing w:after="0" w:line="360" w:lineRule="auto"/>
        <w:ind w:left="567" w:right="284"/>
        <w:jc w:val="both"/>
        <w:textAlignment w:val="baseline"/>
        <w:rPr>
          <w:rFonts w:ascii="Arial" w:eastAsia="Times New Roman" w:hAnsi="Arial" w:cs="Arial"/>
          <w:color w:val="000000"/>
          <w:sz w:val="24"/>
          <w:szCs w:val="24"/>
          <w:lang w:eastAsia="es-CO"/>
        </w:rPr>
      </w:pPr>
    </w:p>
    <w:p w14:paraId="4AA28EDB" w14:textId="77777777" w:rsidR="00DE5054" w:rsidRPr="008943FC" w:rsidRDefault="00DE5054" w:rsidP="00986A80">
      <w:pPr>
        <w:pStyle w:val="Prrafodelista"/>
        <w:widowControl w:val="0"/>
        <w:numPr>
          <w:ilvl w:val="0"/>
          <w:numId w:val="15"/>
        </w:numPr>
        <w:suppressAutoHyphens/>
        <w:adjustRightInd w:val="0"/>
        <w:spacing w:after="0" w:line="360" w:lineRule="auto"/>
        <w:ind w:left="851" w:hanging="284"/>
        <w:jc w:val="both"/>
        <w:textAlignment w:val="baseline"/>
        <w:rPr>
          <w:rFonts w:ascii="Arial" w:eastAsia="Times New Roman" w:hAnsi="Arial" w:cs="Arial"/>
          <w:spacing w:val="-3"/>
          <w:sz w:val="24"/>
          <w:szCs w:val="24"/>
          <w:lang w:val="es-ES_tradnl" w:eastAsia="es-ES"/>
        </w:rPr>
      </w:pPr>
      <w:r w:rsidRPr="008943FC">
        <w:rPr>
          <w:rFonts w:ascii="Arial" w:eastAsia="Times New Roman" w:hAnsi="Arial" w:cs="Arial"/>
          <w:color w:val="000000"/>
          <w:sz w:val="24"/>
          <w:szCs w:val="24"/>
          <w:lang w:eastAsia="es-CO"/>
        </w:rPr>
        <w:t>Un distribuidor podrá tener varias marcas, cumpliendo en cada caso con el reporte ante la Superintendencia de Servicios Públicos Domiciliarios.</w:t>
      </w:r>
    </w:p>
    <w:p w14:paraId="4F676770" w14:textId="7FB0CED7" w:rsidR="00263DCC" w:rsidRPr="008943FC" w:rsidRDefault="00DE5054" w:rsidP="00986A80">
      <w:pPr>
        <w:pStyle w:val="Prrafodelista"/>
        <w:widowControl w:val="0"/>
        <w:numPr>
          <w:ilvl w:val="0"/>
          <w:numId w:val="15"/>
        </w:numPr>
        <w:adjustRightInd w:val="0"/>
        <w:spacing w:after="0" w:line="360" w:lineRule="auto"/>
        <w:ind w:left="851" w:hanging="284"/>
        <w:jc w:val="both"/>
        <w:textAlignment w:val="baseline"/>
        <w:rPr>
          <w:rFonts w:ascii="Arial" w:eastAsia="Times New Roman" w:hAnsi="Arial" w:cs="Arial"/>
          <w:sz w:val="24"/>
          <w:szCs w:val="24"/>
          <w:lang w:val="es-ES_tradnl" w:eastAsia="es-ES"/>
        </w:rPr>
      </w:pPr>
      <w:r w:rsidRPr="008943FC">
        <w:rPr>
          <w:rFonts w:ascii="Arial" w:eastAsia="Times New Roman" w:hAnsi="Arial" w:cs="Arial"/>
          <w:sz w:val="24"/>
          <w:szCs w:val="24"/>
          <w:lang w:val="es-ES_tradnl" w:eastAsia="es-ES"/>
        </w:rPr>
        <w:t xml:space="preserve">Un distribuidor podrá transferir su marca reportada a otro distribuidor.  Este hecho deberá ser informado a la SSPD por ambas empresas a efectos de que al segundo le sea asignada la responsabilidad de dicha marca y por tanto la de todos los cilindros que la lleven. </w:t>
      </w:r>
    </w:p>
    <w:p w14:paraId="43B56F58" w14:textId="77777777" w:rsidR="00DE5054" w:rsidRPr="008943FC" w:rsidRDefault="00DE5054" w:rsidP="00986A80">
      <w:pPr>
        <w:pStyle w:val="Prrafodelista"/>
        <w:widowControl w:val="0"/>
        <w:numPr>
          <w:ilvl w:val="0"/>
          <w:numId w:val="15"/>
        </w:numPr>
        <w:adjustRightInd w:val="0"/>
        <w:spacing w:after="0" w:line="360" w:lineRule="auto"/>
        <w:ind w:left="851" w:hanging="284"/>
        <w:jc w:val="both"/>
        <w:textAlignment w:val="baseline"/>
        <w:rPr>
          <w:rFonts w:ascii="Arial" w:eastAsia="Times New Roman" w:hAnsi="Arial" w:cs="Arial"/>
          <w:sz w:val="24"/>
          <w:szCs w:val="24"/>
          <w:lang w:val="es-ES_tradnl" w:eastAsia="es-ES"/>
        </w:rPr>
      </w:pPr>
      <w:r w:rsidRPr="008943FC">
        <w:rPr>
          <w:rFonts w:ascii="Arial" w:eastAsia="Times New Roman" w:hAnsi="Arial" w:cs="Arial"/>
          <w:sz w:val="24"/>
          <w:szCs w:val="24"/>
          <w:lang w:val="es-ES_tradnl" w:eastAsia="es-ES"/>
        </w:rPr>
        <w:t>Nunca se podrá transferir la marca a más de un distribuidor.</w:t>
      </w:r>
    </w:p>
    <w:p w14:paraId="227D625B" w14:textId="77777777" w:rsidR="00DE5054" w:rsidRPr="008943FC" w:rsidRDefault="00DE5054" w:rsidP="00986A80">
      <w:pPr>
        <w:pStyle w:val="Prrafodelista"/>
        <w:widowControl w:val="0"/>
        <w:numPr>
          <w:ilvl w:val="0"/>
          <w:numId w:val="15"/>
        </w:numPr>
        <w:adjustRightInd w:val="0"/>
        <w:spacing w:after="0" w:line="360" w:lineRule="auto"/>
        <w:ind w:left="851" w:hanging="284"/>
        <w:jc w:val="both"/>
        <w:textAlignment w:val="baseline"/>
        <w:rPr>
          <w:rFonts w:ascii="Arial" w:eastAsia="Times New Roman" w:hAnsi="Arial" w:cs="Arial"/>
          <w:sz w:val="24"/>
          <w:szCs w:val="24"/>
          <w:lang w:val="es-ES_tradnl" w:eastAsia="es-ES"/>
        </w:rPr>
      </w:pPr>
      <w:r w:rsidRPr="008943FC">
        <w:rPr>
          <w:rFonts w:ascii="Arial" w:eastAsia="Times New Roman" w:hAnsi="Arial" w:cs="Arial"/>
          <w:sz w:val="24"/>
          <w:szCs w:val="24"/>
          <w:lang w:val="es-ES_tradnl" w:eastAsia="es-ES"/>
        </w:rPr>
        <w:t>Una marca no puede ser reportada por más de un distribuidor.”</w:t>
      </w:r>
    </w:p>
    <w:p w14:paraId="3F32F94D" w14:textId="77777777" w:rsidR="00DE5054" w:rsidRPr="008943FC" w:rsidRDefault="00DE5054" w:rsidP="00986A80">
      <w:pPr>
        <w:spacing w:after="0" w:line="360" w:lineRule="auto"/>
        <w:jc w:val="both"/>
        <w:rPr>
          <w:rFonts w:ascii="Arial" w:eastAsia="Times New Roman" w:hAnsi="Arial" w:cs="Arial"/>
          <w:spacing w:val="-5"/>
          <w:sz w:val="24"/>
          <w:szCs w:val="24"/>
        </w:rPr>
      </w:pPr>
    </w:p>
    <w:p w14:paraId="2192DA50" w14:textId="438E8193" w:rsidR="00DE5054" w:rsidRPr="008943FC" w:rsidRDefault="00DE5054" w:rsidP="00986A80">
      <w:pPr>
        <w:spacing w:after="0" w:line="360" w:lineRule="auto"/>
        <w:jc w:val="both"/>
        <w:rPr>
          <w:rFonts w:ascii="Arial" w:eastAsia="Times New Roman" w:hAnsi="Arial" w:cs="Arial"/>
          <w:spacing w:val="-5"/>
          <w:sz w:val="24"/>
          <w:szCs w:val="24"/>
        </w:rPr>
      </w:pPr>
      <w:r w:rsidRPr="008943FC">
        <w:rPr>
          <w:rFonts w:ascii="Arial" w:eastAsia="Times New Roman" w:hAnsi="Arial" w:cs="Arial"/>
          <w:spacing w:val="-5"/>
          <w:sz w:val="24"/>
          <w:szCs w:val="24"/>
        </w:rPr>
        <w:t>Teniendo en cuenta lo anterior, mediante Resolución SSPD 20141300040755 de 2014 de la Superintendencia de Servicios Públicos Domiciliarios</w:t>
      </w:r>
      <w:r w:rsidR="0054084B" w:rsidRPr="008943FC">
        <w:rPr>
          <w:rFonts w:ascii="Arial" w:eastAsia="Times New Roman" w:hAnsi="Arial" w:cs="Arial"/>
          <w:spacing w:val="-5"/>
          <w:sz w:val="24"/>
          <w:szCs w:val="24"/>
        </w:rPr>
        <w:t>,</w:t>
      </w:r>
      <w:r w:rsidRPr="008943FC">
        <w:rPr>
          <w:rFonts w:ascii="Arial" w:eastAsia="Times New Roman" w:hAnsi="Arial" w:cs="Arial"/>
          <w:spacing w:val="-5"/>
          <w:sz w:val="24"/>
          <w:szCs w:val="24"/>
        </w:rPr>
        <w:t xml:space="preserve"> se establecieron los plazos y formatos para el reporte de tal información al SUI, de la misma forma que se dispuso que dicha información se utilizará para ejercer un control de los cilindros marcados que cada agente ha introducido al mercado para atender sus usuarios.</w:t>
      </w:r>
      <w:r w:rsidRPr="008943FC">
        <w:rPr>
          <w:rFonts w:ascii="Arial" w:hAnsi="Arial" w:cs="Arial"/>
          <w:sz w:val="24"/>
          <w:szCs w:val="24"/>
        </w:rPr>
        <w:t xml:space="preserve"> </w:t>
      </w:r>
      <w:r w:rsidRPr="008943FC">
        <w:rPr>
          <w:rFonts w:ascii="Arial" w:eastAsia="Times New Roman" w:hAnsi="Arial" w:cs="Arial"/>
          <w:spacing w:val="-5"/>
          <w:sz w:val="24"/>
          <w:szCs w:val="24"/>
        </w:rPr>
        <w:t>Lo anterior, atendiendo la información de cilindros marcados de cada agente que debe reportar al SUI</w:t>
      </w:r>
      <w:r w:rsidR="0054084B" w:rsidRPr="008943FC">
        <w:rPr>
          <w:rFonts w:ascii="Arial" w:eastAsia="Times New Roman" w:hAnsi="Arial" w:cs="Arial"/>
          <w:spacing w:val="-5"/>
          <w:sz w:val="24"/>
          <w:szCs w:val="24"/>
        </w:rPr>
        <w:t>,</w:t>
      </w:r>
      <w:r w:rsidRPr="008943FC">
        <w:rPr>
          <w:rFonts w:ascii="Arial" w:eastAsia="Times New Roman" w:hAnsi="Arial" w:cs="Arial"/>
          <w:spacing w:val="-5"/>
          <w:sz w:val="24"/>
          <w:szCs w:val="24"/>
        </w:rPr>
        <w:t xml:space="preserve"> de conformidad </w:t>
      </w:r>
      <w:r w:rsidR="0054084B" w:rsidRPr="008943FC">
        <w:rPr>
          <w:rFonts w:ascii="Arial" w:eastAsia="Times New Roman" w:hAnsi="Arial" w:cs="Arial"/>
          <w:spacing w:val="-5"/>
          <w:sz w:val="24"/>
          <w:szCs w:val="24"/>
        </w:rPr>
        <w:t xml:space="preserve">con </w:t>
      </w:r>
      <w:r w:rsidRPr="008943FC">
        <w:rPr>
          <w:rFonts w:ascii="Arial" w:eastAsia="Times New Roman" w:hAnsi="Arial" w:cs="Arial"/>
          <w:spacing w:val="-5"/>
          <w:sz w:val="24"/>
          <w:szCs w:val="24"/>
        </w:rPr>
        <w:t xml:space="preserve">las </w:t>
      </w:r>
      <w:r w:rsidR="00C84927">
        <w:rPr>
          <w:rFonts w:ascii="Arial" w:eastAsia="Times New Roman" w:hAnsi="Arial" w:cs="Arial"/>
          <w:spacing w:val="-5"/>
          <w:sz w:val="24"/>
          <w:szCs w:val="24"/>
        </w:rPr>
        <w:t>R</w:t>
      </w:r>
      <w:r w:rsidRPr="008943FC">
        <w:rPr>
          <w:rFonts w:ascii="Arial" w:eastAsia="Times New Roman" w:hAnsi="Arial" w:cs="Arial"/>
          <w:spacing w:val="-5"/>
          <w:sz w:val="24"/>
          <w:szCs w:val="24"/>
        </w:rPr>
        <w:t>esoluciones CREG 045 de 2008 y CREG 177 de 2011.</w:t>
      </w:r>
    </w:p>
    <w:p w14:paraId="19CDF2A7" w14:textId="77777777" w:rsidR="00DE5054" w:rsidRPr="008943FC" w:rsidRDefault="00DE5054" w:rsidP="00986A80">
      <w:pPr>
        <w:spacing w:after="0" w:line="360" w:lineRule="auto"/>
        <w:jc w:val="both"/>
        <w:rPr>
          <w:rFonts w:ascii="Arial" w:eastAsia="MS Mincho" w:hAnsi="Arial" w:cs="Arial"/>
          <w:sz w:val="24"/>
          <w:szCs w:val="24"/>
          <w:lang w:val="es-ES_tradnl"/>
        </w:rPr>
      </w:pPr>
    </w:p>
    <w:p w14:paraId="0CE29E01" w14:textId="12291F79" w:rsidR="00DE5054" w:rsidRPr="008943FC" w:rsidRDefault="00DE5054" w:rsidP="00986A80">
      <w:pPr>
        <w:spacing w:after="0" w:line="360" w:lineRule="auto"/>
        <w:jc w:val="both"/>
        <w:rPr>
          <w:rFonts w:ascii="Arial" w:eastAsia="MS Mincho" w:hAnsi="Arial" w:cs="Arial"/>
          <w:sz w:val="24"/>
          <w:szCs w:val="24"/>
          <w:lang w:val="es-ES_tradnl"/>
        </w:rPr>
      </w:pPr>
      <w:r w:rsidRPr="008943FC">
        <w:rPr>
          <w:rFonts w:ascii="Arial" w:eastAsia="MS Mincho" w:hAnsi="Arial" w:cs="Arial"/>
          <w:sz w:val="24"/>
          <w:szCs w:val="24"/>
          <w:lang w:val="es-ES_tradnl"/>
        </w:rPr>
        <w:t>En este sentido, la información oficial correspondiente a los cilindros marcados de los distribuidores, Sistema de Información de Cilindros Marcados</w:t>
      </w:r>
      <w:r w:rsidR="0054084B" w:rsidRPr="008943FC">
        <w:rPr>
          <w:rFonts w:ascii="Arial" w:eastAsia="MS Mincho" w:hAnsi="Arial" w:cs="Arial"/>
          <w:sz w:val="24"/>
          <w:szCs w:val="24"/>
          <w:lang w:val="es-ES_tradnl"/>
        </w:rPr>
        <w:t xml:space="preserve">, </w:t>
      </w:r>
      <w:r w:rsidRPr="008943FC">
        <w:rPr>
          <w:rFonts w:ascii="Arial" w:eastAsia="MS Mincho" w:hAnsi="Arial" w:cs="Arial"/>
          <w:sz w:val="24"/>
          <w:szCs w:val="24"/>
          <w:lang w:val="es-ES_tradnl"/>
        </w:rPr>
        <w:t>SICMA</w:t>
      </w:r>
      <w:r w:rsidR="0054084B" w:rsidRPr="008943FC">
        <w:rPr>
          <w:rFonts w:ascii="Arial" w:eastAsia="MS Mincho" w:hAnsi="Arial" w:cs="Arial"/>
          <w:sz w:val="24"/>
          <w:szCs w:val="24"/>
          <w:lang w:val="es-ES_tradnl"/>
        </w:rPr>
        <w:t xml:space="preserve">, </w:t>
      </w:r>
      <w:r w:rsidRPr="008943FC">
        <w:rPr>
          <w:rFonts w:ascii="Arial" w:eastAsia="MS Mincho" w:hAnsi="Arial" w:cs="Arial"/>
          <w:sz w:val="24"/>
          <w:szCs w:val="24"/>
          <w:lang w:val="es-ES_tradnl"/>
        </w:rPr>
        <w:t>a partir de la información entregada por la interventoría AIC proyectos, hasta el año 2012, la reportada por los distribuidores de GLP ante la Superintendencia, desde el año 2012 hasta la fecha, mediante la Resolución SSPD No. 20141300040755, así como la información de los tanques estacionarios atendidos por dichos agentes, se encuentra consignada en el Sistema Único de Información</w:t>
      </w:r>
      <w:r w:rsidR="0054084B" w:rsidRPr="008943FC">
        <w:rPr>
          <w:rFonts w:ascii="Arial" w:eastAsia="MS Mincho" w:hAnsi="Arial" w:cs="Arial"/>
          <w:sz w:val="24"/>
          <w:szCs w:val="24"/>
          <w:lang w:val="es-ES_tradnl"/>
        </w:rPr>
        <w:t>,</w:t>
      </w:r>
      <w:r w:rsidRPr="008943FC">
        <w:rPr>
          <w:rFonts w:ascii="Arial" w:eastAsia="MS Mincho" w:hAnsi="Arial" w:cs="Arial"/>
          <w:sz w:val="24"/>
          <w:szCs w:val="24"/>
          <w:lang w:val="es-ES_tradnl"/>
        </w:rPr>
        <w:t xml:space="preserve"> SUI</w:t>
      </w:r>
      <w:r w:rsidR="0054084B" w:rsidRPr="008943FC">
        <w:rPr>
          <w:rFonts w:ascii="Arial" w:eastAsia="MS Mincho" w:hAnsi="Arial" w:cs="Arial"/>
          <w:sz w:val="24"/>
          <w:szCs w:val="24"/>
          <w:lang w:val="es-ES_tradnl"/>
        </w:rPr>
        <w:t>,</w:t>
      </w:r>
      <w:r w:rsidRPr="008943FC">
        <w:rPr>
          <w:rFonts w:ascii="Arial" w:eastAsia="MS Mincho" w:hAnsi="Arial" w:cs="Arial"/>
          <w:sz w:val="24"/>
          <w:szCs w:val="24"/>
          <w:lang w:val="es-ES_tradnl"/>
        </w:rPr>
        <w:t xml:space="preserve"> de la Superintendencia de Servicios Públicos Domiciliarios, entre otras atendiendo lo dispuesto en la Circular Conjunta CREG – SSPD 001 de 2004.</w:t>
      </w:r>
      <w:r w:rsidRPr="008943FC">
        <w:rPr>
          <w:rStyle w:val="Refdenotaalpie"/>
          <w:rFonts w:ascii="Arial" w:eastAsia="MS Mincho" w:hAnsi="Arial" w:cs="Arial"/>
          <w:sz w:val="24"/>
          <w:szCs w:val="24"/>
          <w:lang w:val="es-ES_tradnl"/>
        </w:rPr>
        <w:footnoteReference w:id="3"/>
      </w:r>
    </w:p>
    <w:p w14:paraId="6CD43BB7" w14:textId="77777777" w:rsidR="00DE5054" w:rsidRPr="008943FC" w:rsidRDefault="00DE5054" w:rsidP="00986A80">
      <w:pPr>
        <w:spacing w:after="0" w:line="360" w:lineRule="auto"/>
        <w:jc w:val="both"/>
        <w:rPr>
          <w:rFonts w:ascii="Arial" w:eastAsia="MS Mincho" w:hAnsi="Arial" w:cs="Arial"/>
          <w:sz w:val="24"/>
          <w:szCs w:val="24"/>
          <w:lang w:val="es-ES_tradnl"/>
        </w:rPr>
      </w:pPr>
    </w:p>
    <w:p w14:paraId="2503D3E4" w14:textId="0ABF80B6" w:rsidR="00DE5054" w:rsidRPr="008943FC" w:rsidRDefault="00F424D1" w:rsidP="00986A80">
      <w:pPr>
        <w:spacing w:after="0" w:line="360" w:lineRule="auto"/>
        <w:jc w:val="both"/>
        <w:rPr>
          <w:rFonts w:ascii="Arial" w:eastAsia="Times New Roman" w:hAnsi="Arial" w:cs="Arial"/>
          <w:sz w:val="24"/>
          <w:szCs w:val="24"/>
          <w:lang w:val="es-ES" w:eastAsia="es-ES"/>
        </w:rPr>
      </w:pPr>
      <w:r w:rsidRPr="008943FC">
        <w:rPr>
          <w:rFonts w:ascii="Arial" w:hAnsi="Arial" w:cs="Arial"/>
          <w:sz w:val="24"/>
          <w:szCs w:val="24"/>
        </w:rPr>
        <w:t>De acuerdo con</w:t>
      </w:r>
      <w:r w:rsidR="00DE5054" w:rsidRPr="008943FC">
        <w:rPr>
          <w:rFonts w:ascii="Arial" w:hAnsi="Arial" w:cs="Arial"/>
          <w:sz w:val="24"/>
          <w:szCs w:val="24"/>
        </w:rPr>
        <w:t xml:space="preserve"> lo anterior, la definición de la capacidad de compra se debe realizar para aquellos distribuidores que realizan la prestación </w:t>
      </w:r>
      <w:r w:rsidR="00DE5054" w:rsidRPr="008943FC">
        <w:rPr>
          <w:rFonts w:ascii="Arial" w:eastAsia="MS Mincho" w:hAnsi="Arial" w:cs="Arial"/>
          <w:sz w:val="24"/>
          <w:szCs w:val="24"/>
          <w:lang w:val="es-ES_tradnl"/>
        </w:rPr>
        <w:t>del</w:t>
      </w:r>
      <w:r w:rsidR="00DE5054" w:rsidRPr="008943FC">
        <w:rPr>
          <w:rFonts w:ascii="Arial" w:hAnsi="Arial" w:cs="Arial"/>
          <w:sz w:val="24"/>
          <w:szCs w:val="24"/>
        </w:rPr>
        <w:t xml:space="preserve"> servicio de GLP en cilindros y/o a granel</w:t>
      </w:r>
      <w:r w:rsidR="0054084B" w:rsidRPr="008943FC">
        <w:rPr>
          <w:rFonts w:ascii="Arial" w:hAnsi="Arial" w:cs="Arial"/>
          <w:sz w:val="24"/>
          <w:szCs w:val="24"/>
        </w:rPr>
        <w:t>,</w:t>
      </w:r>
      <w:r w:rsidR="00DE5054" w:rsidRPr="008943FC">
        <w:rPr>
          <w:rFonts w:ascii="Arial" w:hAnsi="Arial" w:cs="Arial"/>
          <w:sz w:val="24"/>
          <w:szCs w:val="24"/>
        </w:rPr>
        <w:t xml:space="preserve"> atendiendo la regulación prevista para el efecto en la Resolución CREG 023 de 2008, </w:t>
      </w:r>
      <w:r w:rsidR="00DE5054" w:rsidRPr="008943FC">
        <w:rPr>
          <w:rFonts w:ascii="Arial" w:eastAsia="Times New Roman" w:hAnsi="Arial" w:cs="Arial"/>
          <w:sz w:val="24"/>
          <w:szCs w:val="24"/>
          <w:lang w:val="es-ES" w:eastAsia="es-ES"/>
        </w:rPr>
        <w:t xml:space="preserve">la cual </w:t>
      </w:r>
      <w:r w:rsidR="00DE5054" w:rsidRPr="008943FC">
        <w:rPr>
          <w:rFonts w:ascii="Arial" w:hAnsi="Arial" w:cs="Arial"/>
          <w:sz w:val="24"/>
          <w:szCs w:val="24"/>
        </w:rPr>
        <w:t>ha definido esta actividad de la siguiente forma</w:t>
      </w:r>
      <w:r w:rsidR="00DE5054" w:rsidRPr="008943FC">
        <w:rPr>
          <w:rFonts w:ascii="Arial" w:eastAsia="Times New Roman" w:hAnsi="Arial" w:cs="Arial"/>
          <w:sz w:val="24"/>
          <w:szCs w:val="24"/>
          <w:lang w:val="es-ES" w:eastAsia="es-ES"/>
        </w:rPr>
        <w:t>:</w:t>
      </w:r>
    </w:p>
    <w:p w14:paraId="1EE4A7C6" w14:textId="77777777" w:rsidR="00DE5054" w:rsidRPr="008943FC" w:rsidRDefault="00DE5054" w:rsidP="00986A80">
      <w:pPr>
        <w:spacing w:after="0" w:line="360" w:lineRule="auto"/>
        <w:ind w:left="-142" w:right="-142"/>
        <w:jc w:val="both"/>
        <w:rPr>
          <w:rFonts w:ascii="Arial" w:eastAsia="Times New Roman" w:hAnsi="Arial" w:cs="Arial"/>
          <w:sz w:val="24"/>
          <w:szCs w:val="24"/>
          <w:lang w:val="es-ES" w:eastAsia="es-ES"/>
        </w:rPr>
      </w:pPr>
    </w:p>
    <w:p w14:paraId="45051785" w14:textId="77777777" w:rsidR="00DE5054" w:rsidRPr="008943FC" w:rsidRDefault="00DE5054" w:rsidP="00986A80">
      <w:pPr>
        <w:spacing w:after="0" w:line="360" w:lineRule="auto"/>
        <w:ind w:left="284"/>
        <w:jc w:val="both"/>
        <w:rPr>
          <w:rFonts w:ascii="Arial" w:eastAsia="Times New Roman" w:hAnsi="Arial" w:cs="Arial"/>
          <w:sz w:val="24"/>
          <w:szCs w:val="24"/>
          <w:lang w:val="es-ES" w:eastAsia="es-ES"/>
        </w:rPr>
      </w:pPr>
      <w:r w:rsidRPr="008943FC">
        <w:rPr>
          <w:rFonts w:ascii="Arial" w:eastAsia="Times New Roman" w:hAnsi="Arial" w:cs="Arial"/>
          <w:sz w:val="24"/>
          <w:szCs w:val="24"/>
          <w:lang w:val="es-ES" w:eastAsia="es-ES"/>
        </w:rPr>
        <w:t>“</w:t>
      </w:r>
      <w:r w:rsidRPr="008943FC">
        <w:rPr>
          <w:rFonts w:ascii="Arial" w:eastAsia="Times New Roman" w:hAnsi="Arial" w:cs="Arial"/>
          <w:b/>
          <w:sz w:val="24"/>
          <w:szCs w:val="24"/>
          <w:lang w:val="es-ES" w:eastAsia="es-ES"/>
        </w:rPr>
        <w:t>Distribución de GLP:</w:t>
      </w:r>
      <w:r w:rsidRPr="008943FC">
        <w:rPr>
          <w:rFonts w:ascii="Arial" w:eastAsia="Times New Roman" w:hAnsi="Arial" w:cs="Arial"/>
          <w:sz w:val="24"/>
          <w:szCs w:val="24"/>
          <w:lang w:val="es-ES" w:eastAsia="es-ES"/>
        </w:rPr>
        <w:t xml:space="preserve"> Actividad que comprende las actividades de: i) Compra del GLP en el mercado mayorista con destino al usuario final, </w:t>
      </w:r>
      <w:proofErr w:type="spellStart"/>
      <w:r w:rsidRPr="008943FC">
        <w:rPr>
          <w:rFonts w:ascii="Arial" w:eastAsia="Times New Roman" w:hAnsi="Arial" w:cs="Arial"/>
          <w:sz w:val="24"/>
          <w:szCs w:val="24"/>
          <w:lang w:val="es-ES" w:eastAsia="es-ES"/>
        </w:rPr>
        <w:t>ii</w:t>
      </w:r>
      <w:proofErr w:type="spellEnd"/>
      <w:r w:rsidRPr="008943FC">
        <w:rPr>
          <w:rFonts w:ascii="Arial" w:eastAsia="Times New Roman" w:hAnsi="Arial" w:cs="Arial"/>
          <w:sz w:val="24"/>
          <w:szCs w:val="24"/>
          <w:lang w:val="es-ES" w:eastAsia="es-ES"/>
        </w:rPr>
        <w:t xml:space="preserve">) flete desde los puntos de entrega directa del producto o los puntos de salida del sistema de transporte hasta las plantas de envasado, </w:t>
      </w:r>
      <w:proofErr w:type="spellStart"/>
      <w:r w:rsidRPr="008943FC">
        <w:rPr>
          <w:rFonts w:ascii="Arial" w:eastAsia="Times New Roman" w:hAnsi="Arial" w:cs="Arial"/>
          <w:sz w:val="24"/>
          <w:szCs w:val="24"/>
          <w:lang w:val="es-ES" w:eastAsia="es-ES"/>
        </w:rPr>
        <w:t>iii</w:t>
      </w:r>
      <w:proofErr w:type="spellEnd"/>
      <w:r w:rsidRPr="008943FC">
        <w:rPr>
          <w:rFonts w:ascii="Arial" w:eastAsia="Times New Roman" w:hAnsi="Arial" w:cs="Arial"/>
          <w:sz w:val="24"/>
          <w:szCs w:val="24"/>
          <w:lang w:val="es-ES" w:eastAsia="es-ES"/>
        </w:rPr>
        <w:t xml:space="preserve">) envasado de cilindros marcados y </w:t>
      </w:r>
      <w:proofErr w:type="spellStart"/>
      <w:r w:rsidRPr="008943FC">
        <w:rPr>
          <w:rFonts w:ascii="Arial" w:eastAsia="Times New Roman" w:hAnsi="Arial" w:cs="Arial"/>
          <w:sz w:val="24"/>
          <w:szCs w:val="24"/>
          <w:lang w:val="es-ES" w:eastAsia="es-ES"/>
        </w:rPr>
        <w:t>iv</w:t>
      </w:r>
      <w:proofErr w:type="spellEnd"/>
      <w:r w:rsidRPr="008943FC">
        <w:rPr>
          <w:rFonts w:ascii="Arial" w:eastAsia="Times New Roman" w:hAnsi="Arial" w:cs="Arial"/>
          <w:sz w:val="24"/>
          <w:szCs w:val="24"/>
          <w:lang w:val="es-ES" w:eastAsia="es-ES"/>
        </w:rPr>
        <w:t>) operación de la planta de envasado correspondiente. Comprende además las actividades de flete y entrega de producto a granel a través de tanques estacionarios instalados en el domicilio de los usuarios finales y de venta de cilindros a través de Puntos de Venta.”</w:t>
      </w:r>
    </w:p>
    <w:p w14:paraId="6F6412D2" w14:textId="77777777" w:rsidR="00DE5054" w:rsidRPr="008943FC" w:rsidRDefault="00DE5054" w:rsidP="00986A80">
      <w:pPr>
        <w:spacing w:after="0" w:line="360" w:lineRule="auto"/>
        <w:jc w:val="both"/>
        <w:rPr>
          <w:rFonts w:ascii="Arial" w:hAnsi="Arial" w:cs="Arial"/>
          <w:sz w:val="24"/>
          <w:szCs w:val="24"/>
        </w:rPr>
      </w:pPr>
    </w:p>
    <w:p w14:paraId="6D32E365" w14:textId="4754D4EB" w:rsidR="0067294D" w:rsidRPr="008943FC" w:rsidRDefault="00DE5054" w:rsidP="00986A80">
      <w:pPr>
        <w:pStyle w:val="Textoindependiente2"/>
        <w:spacing w:after="0" w:line="360" w:lineRule="auto"/>
        <w:ind w:left="0"/>
        <w:jc w:val="both"/>
        <w:rPr>
          <w:rFonts w:ascii="Arial" w:hAnsi="Arial" w:cs="Arial"/>
        </w:rPr>
      </w:pPr>
      <w:r w:rsidRPr="008943FC">
        <w:rPr>
          <w:rFonts w:ascii="Arial" w:hAnsi="Arial" w:cs="Arial"/>
        </w:rPr>
        <w:t>Dicha calidad y la realización de esta actividad se establece por parte de esta Comisión de acuerdo con lo previsto en la regulación, así como con base en la información registrada en el Sistema Único de Información</w:t>
      </w:r>
      <w:r w:rsidR="0054084B" w:rsidRPr="008943FC">
        <w:rPr>
          <w:rFonts w:ascii="Arial" w:hAnsi="Arial" w:cs="Arial"/>
        </w:rPr>
        <w:t>,</w:t>
      </w:r>
      <w:r w:rsidRPr="008943FC">
        <w:rPr>
          <w:rFonts w:ascii="Arial" w:hAnsi="Arial" w:cs="Arial"/>
        </w:rPr>
        <w:t xml:space="preserve"> SUI</w:t>
      </w:r>
      <w:r w:rsidR="0054084B" w:rsidRPr="008943FC">
        <w:rPr>
          <w:rFonts w:ascii="Arial" w:hAnsi="Arial" w:cs="Arial"/>
        </w:rPr>
        <w:t>,</w:t>
      </w:r>
      <w:r w:rsidRPr="008943FC">
        <w:rPr>
          <w:rFonts w:ascii="Arial" w:hAnsi="Arial" w:cs="Arial"/>
        </w:rPr>
        <w:t xml:space="preserve"> y el Registro Único de Prestadores de Servicios Públicos</w:t>
      </w:r>
      <w:r w:rsidR="0054084B" w:rsidRPr="008943FC">
        <w:rPr>
          <w:rFonts w:ascii="Arial" w:hAnsi="Arial" w:cs="Arial"/>
        </w:rPr>
        <w:t>,</w:t>
      </w:r>
      <w:r w:rsidRPr="008943FC">
        <w:rPr>
          <w:rFonts w:ascii="Arial" w:hAnsi="Arial" w:cs="Arial"/>
        </w:rPr>
        <w:t xml:space="preserve"> RUPS</w:t>
      </w:r>
      <w:r w:rsidR="0054084B" w:rsidRPr="008943FC">
        <w:rPr>
          <w:rFonts w:ascii="Arial" w:hAnsi="Arial" w:cs="Arial"/>
        </w:rPr>
        <w:t>,</w:t>
      </w:r>
      <w:r w:rsidRPr="008943FC">
        <w:rPr>
          <w:rFonts w:ascii="Arial" w:hAnsi="Arial" w:cs="Arial"/>
        </w:rPr>
        <w:t xml:space="preserve"> a cargo de la Superintendencia de Servicios Públicos Domiciliarios cuando se advierte la existencia de al menos uno de los siguientes eventos: i) encontrarse activo en el RUPS como distribuidor prestador del servicio en cilindros y/o a granel; </w:t>
      </w:r>
      <w:proofErr w:type="spellStart"/>
      <w:r w:rsidRPr="008943FC">
        <w:rPr>
          <w:rFonts w:ascii="Arial" w:hAnsi="Arial" w:cs="Arial"/>
        </w:rPr>
        <w:t>ii</w:t>
      </w:r>
      <w:proofErr w:type="spellEnd"/>
      <w:r w:rsidRPr="008943FC">
        <w:rPr>
          <w:rFonts w:ascii="Arial" w:hAnsi="Arial" w:cs="Arial"/>
        </w:rPr>
        <w:t xml:space="preserve">) tener reportadas ventas de GLP en cilindros y/o tanques estacionarios a usuarios finales en el SUI; </w:t>
      </w:r>
      <w:proofErr w:type="spellStart"/>
      <w:r w:rsidRPr="008943FC">
        <w:rPr>
          <w:rFonts w:ascii="Arial" w:hAnsi="Arial" w:cs="Arial"/>
        </w:rPr>
        <w:t>iii</w:t>
      </w:r>
      <w:proofErr w:type="spellEnd"/>
      <w:r w:rsidRPr="008943FC">
        <w:rPr>
          <w:rFonts w:ascii="Arial" w:hAnsi="Arial" w:cs="Arial"/>
        </w:rPr>
        <w:t xml:space="preserve">) contar con inversiones en cilindros y/o reportar tanques atendidos. </w:t>
      </w:r>
    </w:p>
    <w:p w14:paraId="544A831D" w14:textId="77777777" w:rsidR="00DE5054" w:rsidRPr="008943FC" w:rsidRDefault="00DE5054" w:rsidP="00986A80">
      <w:pPr>
        <w:spacing w:after="0" w:line="360" w:lineRule="auto"/>
        <w:jc w:val="both"/>
        <w:rPr>
          <w:rFonts w:ascii="Arial" w:eastAsia="Times New Roman" w:hAnsi="Arial" w:cs="Arial"/>
          <w:spacing w:val="-5"/>
          <w:sz w:val="24"/>
          <w:szCs w:val="24"/>
          <w:lang w:val="es-ES_tradnl"/>
        </w:rPr>
      </w:pPr>
    </w:p>
    <w:p w14:paraId="4994DF41" w14:textId="7A30169B" w:rsidR="00DE5054" w:rsidRPr="008943FC" w:rsidRDefault="00DE5054" w:rsidP="00986A80">
      <w:pPr>
        <w:pStyle w:val="Textoindependiente2"/>
        <w:spacing w:after="0" w:line="360" w:lineRule="auto"/>
        <w:ind w:left="0"/>
        <w:jc w:val="both"/>
        <w:rPr>
          <w:rFonts w:ascii="Arial" w:hAnsi="Arial" w:cs="Arial"/>
        </w:rPr>
      </w:pPr>
      <w:r w:rsidRPr="008943FC">
        <w:rPr>
          <w:rFonts w:ascii="Arial" w:hAnsi="Arial" w:cs="Arial"/>
        </w:rPr>
        <w:t xml:space="preserve">Mediante </w:t>
      </w:r>
      <w:r w:rsidR="00FD554B" w:rsidRPr="008943FC">
        <w:rPr>
          <w:rFonts w:ascii="Arial" w:hAnsi="Arial" w:cs="Arial"/>
        </w:rPr>
        <w:t>e</w:t>
      </w:r>
      <w:r w:rsidR="00FD554B" w:rsidRPr="00C84927">
        <w:rPr>
          <w:rFonts w:ascii="Arial" w:hAnsi="Arial" w:cs="Arial"/>
        </w:rPr>
        <w:t>l</w:t>
      </w:r>
      <w:r w:rsidR="00483542" w:rsidRPr="00C84927">
        <w:rPr>
          <w:rFonts w:ascii="Arial" w:hAnsi="Arial" w:cs="Arial"/>
        </w:rPr>
        <w:t xml:space="preserve"> </w:t>
      </w:r>
      <w:r w:rsidR="00BC56B8" w:rsidRPr="00C84927">
        <w:rPr>
          <w:rFonts w:ascii="Arial" w:hAnsi="Arial" w:cs="Arial"/>
        </w:rPr>
        <w:t>A</w:t>
      </w:r>
      <w:r w:rsidR="00C84927">
        <w:rPr>
          <w:rFonts w:ascii="Arial" w:hAnsi="Arial" w:cs="Arial"/>
        </w:rPr>
        <w:t>uto</w:t>
      </w:r>
      <w:r w:rsidR="00BC56B8" w:rsidRPr="00C84927">
        <w:rPr>
          <w:rFonts w:ascii="Arial" w:hAnsi="Arial" w:cs="Arial"/>
        </w:rPr>
        <w:t xml:space="preserve"> 0000190</w:t>
      </w:r>
      <w:r w:rsidR="00397A28" w:rsidRPr="00C84927">
        <w:rPr>
          <w:rFonts w:ascii="Arial" w:hAnsi="Arial" w:cs="Arial"/>
        </w:rPr>
        <w:t xml:space="preserve"> </w:t>
      </w:r>
      <w:r w:rsidR="00B7261A" w:rsidRPr="00C84927">
        <w:rPr>
          <w:rFonts w:ascii="Arial" w:hAnsi="Arial" w:cs="Arial"/>
        </w:rPr>
        <w:t xml:space="preserve">del </w:t>
      </w:r>
      <w:r w:rsidR="00BC4CA5" w:rsidRPr="00C84927">
        <w:rPr>
          <w:rFonts w:ascii="Arial" w:hAnsi="Arial" w:cs="Arial"/>
        </w:rPr>
        <w:t>1</w:t>
      </w:r>
      <w:r w:rsidR="00836CA4" w:rsidRPr="00C84927">
        <w:rPr>
          <w:rFonts w:ascii="Arial" w:hAnsi="Arial" w:cs="Arial"/>
        </w:rPr>
        <w:t>7</w:t>
      </w:r>
      <w:r w:rsidR="00B7261A" w:rsidRPr="00C84927">
        <w:rPr>
          <w:rFonts w:ascii="Arial" w:hAnsi="Arial" w:cs="Arial"/>
        </w:rPr>
        <w:t xml:space="preserve"> de </w:t>
      </w:r>
      <w:r w:rsidR="00836CA4" w:rsidRPr="00C84927">
        <w:rPr>
          <w:rFonts w:ascii="Arial" w:hAnsi="Arial" w:cs="Arial"/>
        </w:rPr>
        <w:t>enero</w:t>
      </w:r>
      <w:r w:rsidR="00BC4CA5" w:rsidRPr="00C84927">
        <w:rPr>
          <w:rFonts w:ascii="Arial" w:hAnsi="Arial" w:cs="Arial"/>
        </w:rPr>
        <w:t xml:space="preserve"> </w:t>
      </w:r>
      <w:r w:rsidR="00B7261A" w:rsidRPr="00C84927">
        <w:rPr>
          <w:rFonts w:ascii="Arial" w:hAnsi="Arial" w:cs="Arial"/>
        </w:rPr>
        <w:t>de 202</w:t>
      </w:r>
      <w:r w:rsidR="00836CA4" w:rsidRPr="00C84927">
        <w:rPr>
          <w:rFonts w:ascii="Arial" w:hAnsi="Arial" w:cs="Arial"/>
        </w:rPr>
        <w:t>4</w:t>
      </w:r>
      <w:r w:rsidR="00CF09B5" w:rsidRPr="008943FC">
        <w:rPr>
          <w:rFonts w:ascii="Arial" w:hAnsi="Arial" w:cs="Arial"/>
        </w:rPr>
        <w:t xml:space="preserve">, </w:t>
      </w:r>
      <w:r w:rsidRPr="008943FC">
        <w:rPr>
          <w:rFonts w:ascii="Arial" w:hAnsi="Arial" w:cs="Arial"/>
        </w:rPr>
        <w:t xml:space="preserve">esta Comisión informó el inicio de una actuación administrativa particular llevada a cabo de manera oficiosa para los agentes distribuidores, que se ajustan a alguno de los eventos expuestos en el inciso anterior a efectos de llevar a cabo el cálculo y definición de la capacidad de compra en </w:t>
      </w:r>
      <w:r w:rsidRPr="008943FC">
        <w:rPr>
          <w:rFonts w:ascii="Arial" w:hAnsi="Arial" w:cs="Arial"/>
        </w:rPr>
        <w:lastRenderedPageBreak/>
        <w:t>los términos de los artículos 8 y 9 de la Resolución CREG 063 de 201</w:t>
      </w:r>
      <w:r w:rsidR="00BD7F15" w:rsidRPr="008943FC">
        <w:rPr>
          <w:rFonts w:ascii="Arial" w:hAnsi="Arial" w:cs="Arial"/>
        </w:rPr>
        <w:t>6,</w:t>
      </w:r>
      <w:r w:rsidRPr="008943FC">
        <w:rPr>
          <w:rFonts w:ascii="Arial" w:hAnsi="Arial" w:cs="Arial"/>
        </w:rPr>
        <w:t xml:space="preserve"> para </w:t>
      </w:r>
      <w:r w:rsidRPr="00C84927">
        <w:rPr>
          <w:rFonts w:ascii="Arial" w:hAnsi="Arial" w:cs="Arial"/>
        </w:rPr>
        <w:t xml:space="preserve">el </w:t>
      </w:r>
      <w:r w:rsidR="00975653" w:rsidRPr="00C84927">
        <w:rPr>
          <w:rFonts w:ascii="Arial" w:hAnsi="Arial" w:cs="Arial"/>
        </w:rPr>
        <w:t>décimo</w:t>
      </w:r>
      <w:r w:rsidR="00CF09B5" w:rsidRPr="00C84927">
        <w:rPr>
          <w:rFonts w:ascii="Arial" w:hAnsi="Arial" w:cs="Arial"/>
        </w:rPr>
        <w:t xml:space="preserve"> </w:t>
      </w:r>
      <w:r w:rsidR="007D47E4" w:rsidRPr="00C84927">
        <w:rPr>
          <w:rFonts w:ascii="Arial" w:hAnsi="Arial" w:cs="Arial"/>
        </w:rPr>
        <w:t>sexto</w:t>
      </w:r>
      <w:r w:rsidR="004126AB" w:rsidRPr="00C84927">
        <w:rPr>
          <w:rFonts w:ascii="Arial" w:hAnsi="Arial" w:cs="Arial"/>
        </w:rPr>
        <w:t xml:space="preserve"> </w:t>
      </w:r>
      <w:r w:rsidRPr="00C84927">
        <w:rPr>
          <w:rFonts w:ascii="Arial" w:hAnsi="Arial" w:cs="Arial"/>
        </w:rPr>
        <w:t>p</w:t>
      </w:r>
      <w:r w:rsidR="009C5EF2" w:rsidRPr="00C84927">
        <w:rPr>
          <w:rFonts w:ascii="Arial" w:hAnsi="Arial" w:cs="Arial"/>
        </w:rPr>
        <w:t>eríodo</w:t>
      </w:r>
      <w:r w:rsidRPr="00C84927">
        <w:rPr>
          <w:rFonts w:ascii="Arial" w:hAnsi="Arial" w:cs="Arial"/>
        </w:rPr>
        <w:t xml:space="preserve"> de compra.</w:t>
      </w:r>
    </w:p>
    <w:p w14:paraId="039E719D" w14:textId="70795213" w:rsidR="00226BDF" w:rsidRPr="008943FC" w:rsidRDefault="00226BDF" w:rsidP="00986A80">
      <w:pPr>
        <w:pStyle w:val="Textoindependiente2"/>
        <w:spacing w:after="0" w:line="360" w:lineRule="auto"/>
        <w:ind w:left="0"/>
        <w:jc w:val="both"/>
        <w:rPr>
          <w:rFonts w:ascii="Arial" w:hAnsi="Arial" w:cs="Arial"/>
        </w:rPr>
      </w:pPr>
    </w:p>
    <w:p w14:paraId="78B1F285" w14:textId="7BC7AA89" w:rsidR="00226BDF" w:rsidRPr="008943FC" w:rsidRDefault="00226BDF" w:rsidP="00986A80">
      <w:pPr>
        <w:pStyle w:val="Textoindependiente2"/>
        <w:spacing w:after="0" w:line="360" w:lineRule="auto"/>
        <w:ind w:left="0"/>
        <w:jc w:val="both"/>
        <w:rPr>
          <w:rFonts w:ascii="Arial" w:hAnsi="Arial" w:cs="Arial"/>
        </w:rPr>
      </w:pPr>
      <w:bookmarkStart w:id="0" w:name="_Hlk37682900"/>
      <w:r w:rsidRPr="008943FC">
        <w:rPr>
          <w:rFonts w:ascii="Arial" w:hAnsi="Arial" w:cs="Arial"/>
        </w:rPr>
        <w:t>La Comisión de Regulación de Energía y Gas</w:t>
      </w:r>
      <w:r w:rsidR="00A47D41" w:rsidRPr="008943FC">
        <w:rPr>
          <w:rFonts w:ascii="Arial" w:hAnsi="Arial" w:cs="Arial"/>
        </w:rPr>
        <w:t>,</w:t>
      </w:r>
      <w:r w:rsidRPr="008943FC">
        <w:rPr>
          <w:rFonts w:ascii="Arial" w:hAnsi="Arial" w:cs="Arial"/>
        </w:rPr>
        <w:t xml:space="preserve"> mediante comunicación con radicado </w:t>
      </w:r>
      <w:r w:rsidR="00C45DFF" w:rsidRPr="00C84927">
        <w:rPr>
          <w:rFonts w:ascii="Arial" w:hAnsi="Arial" w:cs="Arial"/>
        </w:rPr>
        <w:t>CREG S2023005603 del 24 de noviembre de 2023</w:t>
      </w:r>
      <w:r w:rsidR="00C45DFF">
        <w:rPr>
          <w:rFonts w:ascii="Arial" w:hAnsi="Arial" w:cs="Arial"/>
        </w:rPr>
        <w:t xml:space="preserve"> </w:t>
      </w:r>
      <w:r w:rsidRPr="008943FC">
        <w:rPr>
          <w:rFonts w:ascii="Arial" w:hAnsi="Arial" w:cs="Arial"/>
        </w:rPr>
        <w:t>solicitó a la Superintendencia de Servicios Públicos Domiciliarios la información del Sistema de Información de Cilindros Marcados</w:t>
      </w:r>
      <w:r w:rsidR="00A47D41" w:rsidRPr="008943FC">
        <w:rPr>
          <w:rFonts w:ascii="Arial" w:hAnsi="Arial" w:cs="Arial"/>
        </w:rPr>
        <w:t xml:space="preserve">, </w:t>
      </w:r>
      <w:r w:rsidRPr="008943FC">
        <w:rPr>
          <w:rFonts w:ascii="Arial" w:hAnsi="Arial" w:cs="Arial"/>
        </w:rPr>
        <w:t>SICMA</w:t>
      </w:r>
      <w:r w:rsidR="00A47D41" w:rsidRPr="008943FC">
        <w:rPr>
          <w:rFonts w:ascii="Arial" w:hAnsi="Arial" w:cs="Arial"/>
        </w:rPr>
        <w:t xml:space="preserve">, </w:t>
      </w:r>
      <w:r w:rsidRPr="008943FC">
        <w:rPr>
          <w:rFonts w:ascii="Arial" w:hAnsi="Arial" w:cs="Arial"/>
        </w:rPr>
        <w:t>a partir de la información entregada por la interventoría AIC proyectos, hasta el año 2012, y la reportada por los distribuidores de GLP ante la Superintendencia, desde el año 2012 hasta la fecha, mediante la Resolución SSPD No. 20141300040755, en la cual se implementa lo dispuesto en el literal b) del artículo 31 de la Resolución CREG 045 de 2008 (información del SICMA y del SICUN). De igual forma, se solicitó remitir la información de tanques estacionarios atendidos por cada distribuidor y su capacidad en galones</w:t>
      </w:r>
      <w:r w:rsidR="00A47D41" w:rsidRPr="008943FC">
        <w:rPr>
          <w:rFonts w:ascii="Arial" w:hAnsi="Arial" w:cs="Arial"/>
        </w:rPr>
        <w:t>,</w:t>
      </w:r>
      <w:r w:rsidRPr="008943FC">
        <w:rPr>
          <w:rFonts w:ascii="Arial" w:hAnsi="Arial" w:cs="Arial"/>
        </w:rPr>
        <w:t xml:space="preserve"> de acuerdo con lo reportado a la Superintendencia de Servicios Públicos Domiciliarios, en el Sistema Único de Información</w:t>
      </w:r>
      <w:r w:rsidR="00A47D41" w:rsidRPr="008943FC">
        <w:rPr>
          <w:rFonts w:ascii="Arial" w:hAnsi="Arial" w:cs="Arial"/>
        </w:rPr>
        <w:t>,</w:t>
      </w:r>
      <w:r w:rsidRPr="008943FC">
        <w:rPr>
          <w:rFonts w:ascii="Arial" w:hAnsi="Arial" w:cs="Arial"/>
        </w:rPr>
        <w:t xml:space="preserve"> SUI</w:t>
      </w:r>
      <w:r w:rsidR="00A47D41" w:rsidRPr="008943FC">
        <w:rPr>
          <w:rFonts w:ascii="Arial" w:hAnsi="Arial" w:cs="Arial"/>
        </w:rPr>
        <w:t>,</w:t>
      </w:r>
      <w:r w:rsidRPr="008943FC">
        <w:rPr>
          <w:rFonts w:ascii="Arial" w:hAnsi="Arial" w:cs="Arial"/>
        </w:rPr>
        <w:t xml:space="preserve"> con base lo dispuesto en las Circulares SSPD – CREG 001 de 2004 y 001 de 2017.</w:t>
      </w:r>
    </w:p>
    <w:p w14:paraId="0BBDAD34" w14:textId="77777777" w:rsidR="00226BDF" w:rsidRPr="008943FC" w:rsidRDefault="00226BDF" w:rsidP="00986A80">
      <w:pPr>
        <w:pStyle w:val="Textoindependiente2"/>
        <w:spacing w:after="0" w:line="360" w:lineRule="auto"/>
        <w:ind w:left="0"/>
        <w:jc w:val="both"/>
        <w:rPr>
          <w:rFonts w:ascii="Arial" w:hAnsi="Arial" w:cs="Arial"/>
        </w:rPr>
      </w:pPr>
    </w:p>
    <w:p w14:paraId="7B4ADDB0" w14:textId="78249408" w:rsidR="00922F32" w:rsidRPr="008943FC" w:rsidRDefault="003D54D2" w:rsidP="00192D1D">
      <w:pPr>
        <w:pStyle w:val="Textoindependiente2"/>
        <w:spacing w:line="360" w:lineRule="auto"/>
        <w:ind w:left="0"/>
        <w:jc w:val="both"/>
        <w:rPr>
          <w:rFonts w:ascii="Arial" w:hAnsi="Arial" w:cs="Arial"/>
        </w:rPr>
      </w:pPr>
      <w:r w:rsidRPr="008943FC">
        <w:rPr>
          <w:rFonts w:ascii="Arial" w:hAnsi="Arial" w:cs="Arial"/>
        </w:rPr>
        <w:t>La Superintendencia de Servicios Públicos Domiciliarios atendió este requerimiento mediante la comunicació</w:t>
      </w:r>
      <w:r w:rsidRPr="00C84927">
        <w:rPr>
          <w:rFonts w:ascii="Arial" w:hAnsi="Arial" w:cs="Arial"/>
        </w:rPr>
        <w:t xml:space="preserve">n </w:t>
      </w:r>
      <w:r w:rsidR="00192D1D" w:rsidRPr="00C84927">
        <w:rPr>
          <w:rFonts w:ascii="Arial" w:hAnsi="Arial" w:cs="Arial"/>
        </w:rPr>
        <w:t>SSPD 20232324776251 radicado CREG E2023020812 del 11 de diciembre de 2023.</w:t>
      </w:r>
      <w:bookmarkEnd w:id="0"/>
      <w:r w:rsidR="00226BDF" w:rsidRPr="008943FC">
        <w:rPr>
          <w:rFonts w:ascii="Arial" w:hAnsi="Arial" w:cs="Arial"/>
        </w:rPr>
        <w:t xml:space="preserve"> </w:t>
      </w:r>
      <w:r w:rsidR="00106051" w:rsidRPr="008943FC">
        <w:rPr>
          <w:rFonts w:ascii="Arial" w:hAnsi="Arial" w:cs="Arial"/>
        </w:rPr>
        <w:t xml:space="preserve">En </w:t>
      </w:r>
      <w:r w:rsidR="00226BDF" w:rsidRPr="008943FC">
        <w:rPr>
          <w:rFonts w:ascii="Arial" w:hAnsi="Arial" w:cs="Arial"/>
        </w:rPr>
        <w:t>esta</w:t>
      </w:r>
      <w:r w:rsidR="0093522B" w:rsidRPr="008943FC">
        <w:rPr>
          <w:rFonts w:ascii="Arial" w:hAnsi="Arial" w:cs="Arial"/>
        </w:rPr>
        <w:t xml:space="preserve"> comunicac</w:t>
      </w:r>
      <w:r w:rsidR="00106051" w:rsidRPr="008943FC">
        <w:rPr>
          <w:rFonts w:ascii="Arial" w:hAnsi="Arial" w:cs="Arial"/>
        </w:rPr>
        <w:t xml:space="preserve">ión, </w:t>
      </w:r>
      <w:bookmarkStart w:id="1" w:name="_Hlk125705438"/>
      <w:r w:rsidR="00DE5054" w:rsidRPr="008943FC">
        <w:rPr>
          <w:rFonts w:ascii="Arial" w:hAnsi="Arial" w:cs="Arial"/>
        </w:rPr>
        <w:t>la Superintendencia</w:t>
      </w:r>
      <w:r w:rsidR="00A47D41" w:rsidRPr="008943FC">
        <w:rPr>
          <w:rFonts w:ascii="Arial" w:hAnsi="Arial" w:cs="Arial"/>
        </w:rPr>
        <w:t>,</w:t>
      </w:r>
      <w:r w:rsidR="00DE5054" w:rsidRPr="008943FC">
        <w:rPr>
          <w:rFonts w:ascii="Arial" w:hAnsi="Arial" w:cs="Arial"/>
        </w:rPr>
        <w:t xml:space="preserve"> </w:t>
      </w:r>
      <w:r w:rsidR="008C7C6D" w:rsidRPr="008943FC">
        <w:rPr>
          <w:rFonts w:ascii="Arial" w:hAnsi="Arial" w:cs="Arial"/>
        </w:rPr>
        <w:t xml:space="preserve">a través de la Superintendencia </w:t>
      </w:r>
      <w:proofErr w:type="gramStart"/>
      <w:r w:rsidR="008C7C6D" w:rsidRPr="008943FC">
        <w:rPr>
          <w:rFonts w:ascii="Arial" w:hAnsi="Arial" w:cs="Arial"/>
        </w:rPr>
        <w:t>Delegada</w:t>
      </w:r>
      <w:proofErr w:type="gramEnd"/>
      <w:r w:rsidR="008C7C6D" w:rsidRPr="008943FC">
        <w:rPr>
          <w:rFonts w:ascii="Arial" w:hAnsi="Arial" w:cs="Arial"/>
        </w:rPr>
        <w:t xml:space="preserve"> de Energía y Gas Combustible</w:t>
      </w:r>
      <w:bookmarkEnd w:id="1"/>
      <w:r w:rsidR="00A47D41" w:rsidRPr="008943FC">
        <w:rPr>
          <w:rFonts w:ascii="Arial" w:hAnsi="Arial" w:cs="Arial"/>
        </w:rPr>
        <w:t>,</w:t>
      </w:r>
      <w:r w:rsidR="008C7C6D" w:rsidRPr="008943FC">
        <w:rPr>
          <w:rFonts w:ascii="Arial" w:hAnsi="Arial" w:cs="Arial"/>
        </w:rPr>
        <w:t xml:space="preserve"> </w:t>
      </w:r>
      <w:r w:rsidR="00DE5054" w:rsidRPr="008943FC">
        <w:rPr>
          <w:rFonts w:ascii="Arial" w:hAnsi="Arial" w:cs="Arial"/>
        </w:rPr>
        <w:t>expuso lo siguiente:</w:t>
      </w:r>
    </w:p>
    <w:p w14:paraId="774F76ED" w14:textId="77777777" w:rsidR="00834306" w:rsidRPr="008943FC" w:rsidRDefault="00B56135" w:rsidP="00986A80">
      <w:pPr>
        <w:pStyle w:val="Textoindependiente2"/>
        <w:spacing w:after="0" w:line="360" w:lineRule="auto"/>
        <w:jc w:val="both"/>
        <w:rPr>
          <w:rFonts w:ascii="Arial" w:hAnsi="Arial" w:cs="Arial"/>
          <w:i/>
        </w:rPr>
      </w:pPr>
      <w:r w:rsidRPr="008943FC">
        <w:rPr>
          <w:rFonts w:ascii="Arial" w:hAnsi="Arial" w:cs="Arial"/>
          <w:i/>
        </w:rPr>
        <w:t>“</w:t>
      </w:r>
    </w:p>
    <w:p w14:paraId="365FDEAF" w14:textId="0BDDA37D" w:rsidR="00AD3DD2" w:rsidRPr="008943FC" w:rsidRDefault="00834306" w:rsidP="00986A80">
      <w:pPr>
        <w:pStyle w:val="Textoindependiente2"/>
        <w:numPr>
          <w:ilvl w:val="0"/>
          <w:numId w:val="28"/>
        </w:numPr>
        <w:spacing w:after="0" w:line="360" w:lineRule="auto"/>
        <w:jc w:val="both"/>
        <w:rPr>
          <w:rFonts w:ascii="Arial" w:hAnsi="Arial" w:cs="Arial"/>
          <w:i/>
          <w:lang w:val="es-CO"/>
        </w:rPr>
      </w:pPr>
      <w:r w:rsidRPr="008943FC">
        <w:rPr>
          <w:rFonts w:ascii="Arial" w:hAnsi="Arial" w:cs="Arial"/>
          <w:i/>
          <w:lang w:val="es-CO"/>
        </w:rPr>
        <w:t xml:space="preserve">Fecha de consulta de información: </w:t>
      </w:r>
      <w:r w:rsidR="00950ABD">
        <w:rPr>
          <w:rFonts w:ascii="Arial" w:hAnsi="Arial" w:cs="Arial"/>
          <w:i/>
          <w:lang w:val="es-CO"/>
        </w:rPr>
        <w:t>30</w:t>
      </w:r>
      <w:r w:rsidRPr="008943FC">
        <w:rPr>
          <w:rFonts w:ascii="Arial" w:hAnsi="Arial" w:cs="Arial"/>
          <w:i/>
          <w:lang w:val="es-CO"/>
        </w:rPr>
        <w:t xml:space="preserve"> de </w:t>
      </w:r>
      <w:r w:rsidR="00950ABD">
        <w:rPr>
          <w:rFonts w:ascii="Arial" w:hAnsi="Arial" w:cs="Arial"/>
          <w:i/>
          <w:lang w:val="es-CO"/>
        </w:rPr>
        <w:t>n</w:t>
      </w:r>
      <w:r w:rsidRPr="008943FC">
        <w:rPr>
          <w:rFonts w:ascii="Arial" w:hAnsi="Arial" w:cs="Arial"/>
          <w:i/>
          <w:lang w:val="es-CO"/>
        </w:rPr>
        <w:t>o</w:t>
      </w:r>
      <w:r w:rsidR="00950ABD">
        <w:rPr>
          <w:rFonts w:ascii="Arial" w:hAnsi="Arial" w:cs="Arial"/>
          <w:i/>
          <w:lang w:val="es-CO"/>
        </w:rPr>
        <w:t>viembre</w:t>
      </w:r>
      <w:r w:rsidRPr="008943FC">
        <w:rPr>
          <w:rFonts w:ascii="Arial" w:hAnsi="Arial" w:cs="Arial"/>
          <w:i/>
          <w:lang w:val="es-CO"/>
        </w:rPr>
        <w:t xml:space="preserve"> de 2023.</w:t>
      </w:r>
    </w:p>
    <w:p w14:paraId="11E8C91A" w14:textId="53AD8C13" w:rsidR="00834306" w:rsidRPr="008943FC" w:rsidRDefault="00834306" w:rsidP="00986A80">
      <w:pPr>
        <w:pStyle w:val="Textoindependiente2"/>
        <w:numPr>
          <w:ilvl w:val="0"/>
          <w:numId w:val="28"/>
        </w:numPr>
        <w:spacing w:after="0" w:line="360" w:lineRule="auto"/>
        <w:jc w:val="both"/>
        <w:rPr>
          <w:rFonts w:ascii="Arial" w:hAnsi="Arial" w:cs="Arial"/>
          <w:i/>
          <w:lang w:val="es-CO"/>
        </w:rPr>
      </w:pPr>
      <w:r w:rsidRPr="008943FC">
        <w:rPr>
          <w:rFonts w:ascii="Arial" w:hAnsi="Arial" w:cs="Arial"/>
          <w:i/>
          <w:lang w:val="es-CO"/>
        </w:rPr>
        <w:t>Modo de envío: Archivo adjunto donde se encuentra la información así:</w:t>
      </w:r>
      <w:r w:rsidRPr="008943FC">
        <w:rPr>
          <w:rFonts w:ascii="Arial" w:hAnsi="Arial" w:cs="Arial"/>
          <w:i/>
          <w:lang w:val="es-CO"/>
        </w:rPr>
        <w:br/>
      </w:r>
    </w:p>
    <w:p w14:paraId="56D15F4C" w14:textId="3941C16C" w:rsidR="00AD3DD2" w:rsidRPr="008943FC" w:rsidRDefault="00834306" w:rsidP="00986A80">
      <w:pPr>
        <w:pStyle w:val="Textoindependiente2"/>
        <w:numPr>
          <w:ilvl w:val="0"/>
          <w:numId w:val="31"/>
        </w:numPr>
        <w:spacing w:after="0" w:line="360" w:lineRule="auto"/>
        <w:jc w:val="both"/>
        <w:rPr>
          <w:rFonts w:ascii="Arial" w:hAnsi="Arial" w:cs="Arial"/>
          <w:i/>
          <w:lang w:val="es-CO"/>
        </w:rPr>
      </w:pPr>
      <w:r w:rsidRPr="008943FC">
        <w:rPr>
          <w:rFonts w:ascii="Arial" w:hAnsi="Arial" w:cs="Arial"/>
          <w:i/>
          <w:lang w:val="es-CO"/>
        </w:rPr>
        <w:t>INFORMACIÓN DE CILINDROS ACTIVOS</w:t>
      </w:r>
    </w:p>
    <w:p w14:paraId="4018D2EC" w14:textId="77777777" w:rsidR="002000DB" w:rsidRDefault="002000DB" w:rsidP="00986A80">
      <w:pPr>
        <w:pStyle w:val="Textoindependiente2"/>
        <w:spacing w:after="0" w:line="360" w:lineRule="auto"/>
        <w:jc w:val="both"/>
        <w:rPr>
          <w:rFonts w:ascii="Arial" w:hAnsi="Arial" w:cs="Arial"/>
          <w:i/>
          <w:lang w:val="es-CO"/>
        </w:rPr>
      </w:pPr>
    </w:p>
    <w:p w14:paraId="2B2A3864" w14:textId="2BADA828" w:rsidR="00AD3DD2" w:rsidRPr="008943FC" w:rsidRDefault="00834306" w:rsidP="00986A80">
      <w:pPr>
        <w:pStyle w:val="Textoindependiente2"/>
        <w:spacing w:after="0" w:line="360" w:lineRule="auto"/>
        <w:jc w:val="both"/>
        <w:rPr>
          <w:rFonts w:ascii="Arial" w:hAnsi="Arial" w:cs="Arial"/>
          <w:i/>
          <w:lang w:val="es-CO"/>
        </w:rPr>
      </w:pPr>
      <w:r w:rsidRPr="008943FC">
        <w:rPr>
          <w:rFonts w:ascii="Arial" w:hAnsi="Arial" w:cs="Arial"/>
          <w:i/>
          <w:lang w:val="es-CO"/>
        </w:rPr>
        <w:t>En este archivo se encuentra la información consolidada de Cilindros Migrados del</w:t>
      </w:r>
    </w:p>
    <w:p w14:paraId="2654A00A" w14:textId="10D4A1B7" w:rsidR="001F1653" w:rsidRPr="008943FC" w:rsidRDefault="00834306" w:rsidP="00986A80">
      <w:pPr>
        <w:pStyle w:val="Textoindependiente2"/>
        <w:spacing w:after="0" w:line="360" w:lineRule="auto"/>
        <w:jc w:val="both"/>
        <w:rPr>
          <w:rFonts w:ascii="Arial" w:hAnsi="Arial" w:cs="Arial"/>
          <w:i/>
          <w:lang w:val="es-CO"/>
        </w:rPr>
      </w:pPr>
      <w:r w:rsidRPr="008943FC">
        <w:rPr>
          <w:rFonts w:ascii="Arial" w:hAnsi="Arial" w:cs="Arial"/>
          <w:i/>
          <w:lang w:val="es-CO"/>
        </w:rPr>
        <w:t>SICMA</w:t>
      </w:r>
      <w:r w:rsidR="00AD3DD2" w:rsidRPr="008943FC">
        <w:rPr>
          <w:rFonts w:ascii="Arial" w:hAnsi="Arial" w:cs="Arial"/>
          <w:i/>
          <w:lang w:val="es-CO"/>
        </w:rPr>
        <w:t xml:space="preserve"> </w:t>
      </w:r>
      <w:r w:rsidRPr="008943FC">
        <w:rPr>
          <w:rFonts w:ascii="Arial" w:hAnsi="Arial" w:cs="Arial"/>
          <w:i/>
          <w:lang w:val="es-CO"/>
        </w:rPr>
        <w:t>por ACI</w:t>
      </w:r>
      <w:r w:rsidR="00AD3DD2" w:rsidRPr="008943FC">
        <w:rPr>
          <w:rFonts w:ascii="Arial" w:hAnsi="Arial" w:cs="Arial"/>
          <w:i/>
          <w:lang w:val="es-CO"/>
        </w:rPr>
        <w:t xml:space="preserve"> </w:t>
      </w:r>
      <w:r w:rsidRPr="008943FC">
        <w:rPr>
          <w:rFonts w:ascii="Arial" w:hAnsi="Arial" w:cs="Arial"/>
          <w:i/>
          <w:lang w:val="es-CO"/>
        </w:rPr>
        <w:t>Proyectos y la información Técnica del Parque de Cilindros Marcados, donde se relacionan los datos</w:t>
      </w:r>
      <w:r w:rsidR="00AD3DD2" w:rsidRPr="008943FC">
        <w:rPr>
          <w:rFonts w:ascii="Arial" w:hAnsi="Arial" w:cs="Arial"/>
          <w:i/>
          <w:lang w:val="es-CO"/>
        </w:rPr>
        <w:t xml:space="preserve"> </w:t>
      </w:r>
      <w:r w:rsidRPr="008943FC">
        <w:rPr>
          <w:rFonts w:ascii="Arial" w:hAnsi="Arial" w:cs="Arial"/>
          <w:i/>
          <w:lang w:val="es-CO"/>
        </w:rPr>
        <w:t>reportados al Sistema Único de Información – SUI, a</w:t>
      </w:r>
      <w:r w:rsidR="00803EC9">
        <w:rPr>
          <w:rFonts w:ascii="Arial" w:hAnsi="Arial" w:cs="Arial"/>
          <w:i/>
          <w:lang w:val="es-CO"/>
        </w:rPr>
        <w:t xml:space="preserve"> </w:t>
      </w:r>
      <w:r w:rsidRPr="008943FC">
        <w:rPr>
          <w:rFonts w:ascii="Arial" w:hAnsi="Arial" w:cs="Arial"/>
          <w:i/>
          <w:lang w:val="es-CO"/>
        </w:rPr>
        <w:t>partir de octubre de 2012, de acuerdo con lo</w:t>
      </w:r>
      <w:r w:rsidR="00F628DB" w:rsidRPr="008943FC">
        <w:rPr>
          <w:rFonts w:ascii="Arial" w:hAnsi="Arial" w:cs="Arial"/>
          <w:i/>
          <w:lang w:val="es-CO"/>
        </w:rPr>
        <w:t xml:space="preserve"> </w:t>
      </w:r>
      <w:r w:rsidRPr="008943FC">
        <w:rPr>
          <w:rFonts w:ascii="Arial" w:hAnsi="Arial" w:cs="Arial"/>
          <w:i/>
          <w:lang w:val="es-CO"/>
        </w:rPr>
        <w:t>establecido en Resolución SSPD No. 20141300040755 de 2014.</w:t>
      </w:r>
    </w:p>
    <w:p w14:paraId="0A55BE04" w14:textId="77777777" w:rsidR="00834306" w:rsidRPr="008943FC" w:rsidRDefault="00834306" w:rsidP="00986A80">
      <w:pPr>
        <w:pStyle w:val="Textoindependiente2"/>
        <w:spacing w:after="0" w:line="360" w:lineRule="auto"/>
        <w:jc w:val="both"/>
        <w:rPr>
          <w:rFonts w:ascii="Arial" w:hAnsi="Arial" w:cs="Arial"/>
          <w:i/>
        </w:rPr>
      </w:pPr>
    </w:p>
    <w:p w14:paraId="369F38A1" w14:textId="77777777" w:rsidR="007835E5" w:rsidRPr="008943FC" w:rsidRDefault="007835E5" w:rsidP="00986A80">
      <w:pPr>
        <w:pStyle w:val="Textoindependiente2"/>
        <w:spacing w:after="0" w:line="360" w:lineRule="auto"/>
        <w:jc w:val="both"/>
        <w:rPr>
          <w:rFonts w:ascii="Arial" w:hAnsi="Arial" w:cs="Arial"/>
          <w:i/>
          <w:lang w:val="es-CO"/>
        </w:rPr>
      </w:pPr>
      <w:r w:rsidRPr="008943FC">
        <w:rPr>
          <w:rFonts w:ascii="Arial" w:hAnsi="Arial" w:cs="Arial"/>
          <w:i/>
          <w:lang w:val="es-CO"/>
        </w:rPr>
        <w:t>En resumen, la información enviada es la siguiente:</w:t>
      </w:r>
    </w:p>
    <w:p w14:paraId="154C44FE" w14:textId="2EFCAF0D" w:rsidR="007835E5" w:rsidRPr="00F82627" w:rsidRDefault="007835E5" w:rsidP="00986A80">
      <w:pPr>
        <w:pStyle w:val="Textoindependiente2"/>
        <w:numPr>
          <w:ilvl w:val="0"/>
          <w:numId w:val="28"/>
        </w:numPr>
        <w:spacing w:after="0" w:line="360" w:lineRule="auto"/>
        <w:jc w:val="both"/>
        <w:rPr>
          <w:rFonts w:ascii="Arial" w:hAnsi="Arial" w:cs="Arial"/>
          <w:i/>
          <w:u w:val="single"/>
          <w:lang w:val="es-CO"/>
        </w:rPr>
      </w:pPr>
      <w:r w:rsidRPr="00F82627">
        <w:rPr>
          <w:rFonts w:ascii="Arial" w:hAnsi="Arial" w:cs="Arial"/>
          <w:i/>
          <w:u w:val="single"/>
          <w:lang w:val="es-CO"/>
        </w:rPr>
        <w:t xml:space="preserve">Cantidad de empresas operativas con cilindros en base de datos: </w:t>
      </w:r>
      <w:r w:rsidR="002B51FF" w:rsidRPr="00F82627">
        <w:rPr>
          <w:rFonts w:ascii="Arial" w:hAnsi="Arial" w:cs="Arial"/>
          <w:i/>
          <w:u w:val="single"/>
          <w:lang w:val="es-CO"/>
        </w:rPr>
        <w:t>37</w:t>
      </w:r>
    </w:p>
    <w:p w14:paraId="29FF8936" w14:textId="228374D1" w:rsidR="007835E5" w:rsidRPr="00F82627" w:rsidRDefault="007835E5" w:rsidP="00986A80">
      <w:pPr>
        <w:pStyle w:val="Textoindependiente2"/>
        <w:numPr>
          <w:ilvl w:val="0"/>
          <w:numId w:val="28"/>
        </w:numPr>
        <w:spacing w:after="0" w:line="360" w:lineRule="auto"/>
        <w:jc w:val="both"/>
        <w:rPr>
          <w:rFonts w:ascii="Arial" w:hAnsi="Arial" w:cs="Arial"/>
          <w:i/>
          <w:u w:val="single"/>
          <w:lang w:val="es-CO"/>
        </w:rPr>
      </w:pPr>
      <w:r w:rsidRPr="00F82627">
        <w:rPr>
          <w:rFonts w:ascii="Arial" w:hAnsi="Arial" w:cs="Arial"/>
          <w:i/>
          <w:u w:val="single"/>
          <w:lang w:val="es-CO"/>
        </w:rPr>
        <w:lastRenderedPageBreak/>
        <w:t>Cantidad de marcas que registran cilindros en la base de datos: 75</w:t>
      </w:r>
    </w:p>
    <w:p w14:paraId="4B3F944A" w14:textId="26E8A1E8" w:rsidR="007835E5" w:rsidRPr="00F82627" w:rsidRDefault="007835E5" w:rsidP="00986A80">
      <w:pPr>
        <w:pStyle w:val="Textoindependiente2"/>
        <w:numPr>
          <w:ilvl w:val="0"/>
          <w:numId w:val="28"/>
        </w:numPr>
        <w:spacing w:after="0" w:line="360" w:lineRule="auto"/>
        <w:jc w:val="both"/>
        <w:rPr>
          <w:rFonts w:ascii="Arial" w:hAnsi="Arial" w:cs="Arial"/>
          <w:i/>
          <w:u w:val="single"/>
          <w:lang w:val="es-CO"/>
        </w:rPr>
      </w:pPr>
      <w:r w:rsidRPr="00F82627">
        <w:rPr>
          <w:rFonts w:ascii="Arial" w:hAnsi="Arial" w:cs="Arial"/>
          <w:i/>
          <w:u w:val="single"/>
          <w:lang w:val="es-CO"/>
        </w:rPr>
        <w:t>Cantidad de cilindros en la base de datos: 11.6</w:t>
      </w:r>
      <w:r w:rsidR="00F82627" w:rsidRPr="00F82627">
        <w:rPr>
          <w:rFonts w:ascii="Arial" w:hAnsi="Arial" w:cs="Arial"/>
          <w:i/>
          <w:u w:val="single"/>
          <w:lang w:val="es-CO"/>
        </w:rPr>
        <w:t>9</w:t>
      </w:r>
      <w:r w:rsidRPr="00F82627">
        <w:rPr>
          <w:rFonts w:ascii="Arial" w:hAnsi="Arial" w:cs="Arial"/>
          <w:i/>
          <w:u w:val="single"/>
          <w:lang w:val="es-CO"/>
        </w:rPr>
        <w:t>8.0</w:t>
      </w:r>
      <w:r w:rsidR="00F82627" w:rsidRPr="00F82627">
        <w:rPr>
          <w:rFonts w:ascii="Arial" w:hAnsi="Arial" w:cs="Arial"/>
          <w:i/>
          <w:u w:val="single"/>
          <w:lang w:val="es-CO"/>
        </w:rPr>
        <w:t>06</w:t>
      </w:r>
    </w:p>
    <w:p w14:paraId="163BBEFB" w14:textId="77777777" w:rsidR="00EF4C05" w:rsidRDefault="00EF4C05" w:rsidP="00EF4C05">
      <w:pPr>
        <w:pStyle w:val="Textoindependiente2"/>
        <w:spacing w:after="0" w:line="360" w:lineRule="auto"/>
        <w:ind w:left="927"/>
        <w:jc w:val="both"/>
        <w:rPr>
          <w:rFonts w:ascii="Arial" w:hAnsi="Arial" w:cs="Arial"/>
          <w:i/>
          <w:lang w:val="es-CO"/>
        </w:rPr>
      </w:pPr>
    </w:p>
    <w:p w14:paraId="2DBBC6A0" w14:textId="6269F729" w:rsidR="00297CDB" w:rsidRPr="008943FC" w:rsidRDefault="00EA73EA" w:rsidP="00986A80">
      <w:pPr>
        <w:pStyle w:val="Textoindependiente2"/>
        <w:numPr>
          <w:ilvl w:val="0"/>
          <w:numId w:val="31"/>
        </w:numPr>
        <w:spacing w:after="0" w:line="360" w:lineRule="auto"/>
        <w:jc w:val="both"/>
        <w:rPr>
          <w:rFonts w:ascii="Arial" w:hAnsi="Arial" w:cs="Arial"/>
          <w:i/>
          <w:lang w:val="es-CO"/>
        </w:rPr>
      </w:pPr>
      <w:r w:rsidRPr="008943FC">
        <w:rPr>
          <w:rFonts w:ascii="Arial" w:hAnsi="Arial" w:cs="Arial"/>
          <w:i/>
          <w:lang w:val="es-CO"/>
        </w:rPr>
        <w:t>INFORMACIÓN DE TANQUES ESTACIONARIOS</w:t>
      </w:r>
    </w:p>
    <w:p w14:paraId="748A26BC" w14:textId="77777777" w:rsidR="00355BDC" w:rsidRPr="008943FC" w:rsidRDefault="00355BDC" w:rsidP="00986A80">
      <w:pPr>
        <w:pStyle w:val="Textoindependiente2"/>
        <w:spacing w:after="0" w:line="360" w:lineRule="auto"/>
        <w:jc w:val="both"/>
        <w:rPr>
          <w:rFonts w:ascii="Arial" w:hAnsi="Arial" w:cs="Arial"/>
          <w:i/>
          <w:lang w:val="es-CO"/>
        </w:rPr>
      </w:pPr>
    </w:p>
    <w:p w14:paraId="4A297073" w14:textId="0AE50ADC" w:rsidR="003C1F2D" w:rsidRPr="008943FC" w:rsidRDefault="008D3843" w:rsidP="00986A80">
      <w:pPr>
        <w:pStyle w:val="Textoindependiente2"/>
        <w:spacing w:after="0" w:line="360" w:lineRule="auto"/>
        <w:jc w:val="both"/>
        <w:rPr>
          <w:rFonts w:ascii="Arial" w:hAnsi="Arial" w:cs="Arial"/>
          <w:i/>
          <w:lang w:val="es-CO"/>
        </w:rPr>
      </w:pPr>
      <w:r w:rsidRPr="008943FC">
        <w:rPr>
          <w:rFonts w:ascii="Arial" w:hAnsi="Arial" w:cs="Arial"/>
          <w:i/>
          <w:lang w:val="es-CO"/>
        </w:rPr>
        <w:t>En este archivo se encuentran los Tanques Estacionarios, con la información reportada en el SUI por parte de los Distribuidores de GLP, conforme a las disposiciones de la Circular Conjunta SSPD – CREG 0001 de 2017.</w:t>
      </w:r>
    </w:p>
    <w:p w14:paraId="27591828" w14:textId="60F72006" w:rsidR="008D3843" w:rsidRPr="008943FC" w:rsidRDefault="008D3843" w:rsidP="00986A80">
      <w:pPr>
        <w:pStyle w:val="Textoindependiente2"/>
        <w:spacing w:after="0" w:line="360" w:lineRule="auto"/>
        <w:jc w:val="both"/>
        <w:rPr>
          <w:rFonts w:ascii="Arial" w:hAnsi="Arial" w:cs="Arial"/>
          <w:i/>
          <w:lang w:val="es-CO"/>
        </w:rPr>
      </w:pPr>
      <w:r w:rsidRPr="008943FC">
        <w:rPr>
          <w:rFonts w:ascii="Arial" w:hAnsi="Arial" w:cs="Arial"/>
          <w:i/>
          <w:lang w:val="es-CO"/>
        </w:rPr>
        <w:t>La información de tanques estacionarios que se envía en esta ocasión se recolectó sobre consulta directa en la base de datos de lo reportado a través del Formato (1661) Tanques Estacionarios Atendidos por el Distribuidor de la Circular Conjunta SSPD–CREG</w:t>
      </w:r>
      <w:r w:rsidR="00E03C3F" w:rsidRPr="008943FC">
        <w:rPr>
          <w:rFonts w:ascii="Arial" w:hAnsi="Arial" w:cs="Arial"/>
          <w:i/>
          <w:lang w:val="es-CO"/>
        </w:rPr>
        <w:t xml:space="preserve"> </w:t>
      </w:r>
      <w:r w:rsidRPr="008943FC">
        <w:rPr>
          <w:rFonts w:ascii="Arial" w:hAnsi="Arial" w:cs="Arial"/>
          <w:i/>
          <w:lang w:val="es-CO"/>
        </w:rPr>
        <w:t>de</w:t>
      </w:r>
      <w:r w:rsidR="00E03C3F" w:rsidRPr="008943FC">
        <w:rPr>
          <w:rFonts w:ascii="Arial" w:hAnsi="Arial" w:cs="Arial"/>
          <w:i/>
          <w:lang w:val="es-CO"/>
        </w:rPr>
        <w:t xml:space="preserve"> </w:t>
      </w:r>
      <w:r w:rsidRPr="008943FC">
        <w:rPr>
          <w:rFonts w:ascii="Arial" w:hAnsi="Arial" w:cs="Arial"/>
          <w:i/>
          <w:lang w:val="es-CO"/>
        </w:rPr>
        <w:t>2017, para el tercer trimestre (meses de julio, agosto y septiembre) del 202</w:t>
      </w:r>
      <w:r w:rsidR="006B39EF">
        <w:rPr>
          <w:rFonts w:ascii="Arial" w:hAnsi="Arial" w:cs="Arial"/>
          <w:i/>
          <w:lang w:val="es-CO"/>
        </w:rPr>
        <w:t>3</w:t>
      </w:r>
      <w:r w:rsidRPr="008943FC">
        <w:rPr>
          <w:rFonts w:ascii="Arial" w:hAnsi="Arial" w:cs="Arial"/>
          <w:i/>
          <w:lang w:val="es-CO"/>
        </w:rPr>
        <w:t>. Es de anotar que la siguiente fecha de cargue vence el 15 de enero del 202</w:t>
      </w:r>
      <w:r w:rsidR="00D53C60">
        <w:rPr>
          <w:rFonts w:ascii="Arial" w:hAnsi="Arial" w:cs="Arial"/>
          <w:i/>
          <w:lang w:val="es-CO"/>
        </w:rPr>
        <w:t>4</w:t>
      </w:r>
      <w:r w:rsidRPr="008943FC">
        <w:rPr>
          <w:rFonts w:ascii="Arial" w:hAnsi="Arial" w:cs="Arial"/>
          <w:i/>
          <w:lang w:val="es-CO"/>
        </w:rPr>
        <w:t xml:space="preserve">. </w:t>
      </w:r>
    </w:p>
    <w:p w14:paraId="4BEC9504" w14:textId="77777777" w:rsidR="008D3843" w:rsidRPr="008943FC" w:rsidRDefault="008D3843" w:rsidP="00986A80">
      <w:pPr>
        <w:pStyle w:val="Textoindependiente2"/>
        <w:spacing w:after="0" w:line="360" w:lineRule="auto"/>
        <w:jc w:val="both"/>
        <w:rPr>
          <w:rFonts w:ascii="Arial" w:hAnsi="Arial" w:cs="Arial"/>
          <w:i/>
          <w:lang w:val="es-CO"/>
        </w:rPr>
      </w:pPr>
    </w:p>
    <w:p w14:paraId="7B073CBD" w14:textId="7B83A380" w:rsidR="009B0634" w:rsidRPr="008943FC" w:rsidRDefault="008D3843" w:rsidP="00986A80">
      <w:pPr>
        <w:pStyle w:val="Textoindependiente2"/>
        <w:spacing w:after="0" w:line="360" w:lineRule="auto"/>
        <w:jc w:val="both"/>
        <w:rPr>
          <w:rFonts w:ascii="Arial" w:hAnsi="Arial" w:cs="Arial"/>
          <w:i/>
          <w:lang w:val="es-CO"/>
        </w:rPr>
      </w:pPr>
      <w:r w:rsidRPr="008943FC">
        <w:rPr>
          <w:rFonts w:ascii="Arial" w:hAnsi="Arial" w:cs="Arial"/>
          <w:i/>
          <w:lang w:val="es-CO"/>
        </w:rPr>
        <w:t xml:space="preserve">El resumen de esta información es el siguiente: </w:t>
      </w:r>
    </w:p>
    <w:p w14:paraId="6B324BED" w14:textId="39C78D87" w:rsidR="009B0634" w:rsidRPr="008943FC" w:rsidRDefault="008D3843" w:rsidP="00986A80">
      <w:pPr>
        <w:pStyle w:val="Textoindependiente2"/>
        <w:numPr>
          <w:ilvl w:val="0"/>
          <w:numId w:val="30"/>
        </w:numPr>
        <w:spacing w:after="0" w:line="360" w:lineRule="auto"/>
        <w:jc w:val="both"/>
        <w:rPr>
          <w:rFonts w:ascii="Arial" w:hAnsi="Arial" w:cs="Arial"/>
          <w:i/>
          <w:lang w:val="es-CO"/>
        </w:rPr>
      </w:pPr>
      <w:r w:rsidRPr="00EE549C">
        <w:rPr>
          <w:rFonts w:ascii="Arial" w:hAnsi="Arial" w:cs="Arial"/>
          <w:i/>
          <w:u w:val="single"/>
          <w:lang w:val="es-CO"/>
        </w:rPr>
        <w:t>Cantidad de empresas operativas que reportan tanques en el tercer trimestre del 202</w:t>
      </w:r>
      <w:r w:rsidR="00467480" w:rsidRPr="00EE549C">
        <w:rPr>
          <w:rFonts w:ascii="Arial" w:hAnsi="Arial" w:cs="Arial"/>
          <w:i/>
          <w:u w:val="single"/>
          <w:lang w:val="es-CO"/>
        </w:rPr>
        <w:t>3</w:t>
      </w:r>
      <w:r w:rsidRPr="00EE549C">
        <w:rPr>
          <w:rFonts w:ascii="Arial" w:hAnsi="Arial" w:cs="Arial"/>
          <w:i/>
          <w:u w:val="single"/>
          <w:lang w:val="es-CO"/>
        </w:rPr>
        <w:t>:</w:t>
      </w:r>
      <w:r w:rsidRPr="008943FC">
        <w:rPr>
          <w:rFonts w:ascii="Arial" w:hAnsi="Arial" w:cs="Arial"/>
          <w:i/>
          <w:lang w:val="es-CO"/>
        </w:rPr>
        <w:t xml:space="preserve"> </w:t>
      </w:r>
      <w:r w:rsidR="00467480">
        <w:rPr>
          <w:rFonts w:ascii="Arial" w:hAnsi="Arial" w:cs="Arial"/>
          <w:i/>
          <w:lang w:val="es-CO"/>
        </w:rPr>
        <w:t>49</w:t>
      </w:r>
    </w:p>
    <w:p w14:paraId="27ADB2DD" w14:textId="6BBA2783" w:rsidR="009B0634" w:rsidRPr="008943FC" w:rsidRDefault="008D3843" w:rsidP="00986A80">
      <w:pPr>
        <w:pStyle w:val="Textoindependiente2"/>
        <w:numPr>
          <w:ilvl w:val="0"/>
          <w:numId w:val="30"/>
        </w:numPr>
        <w:spacing w:after="0" w:line="360" w:lineRule="auto"/>
        <w:jc w:val="both"/>
        <w:rPr>
          <w:rFonts w:ascii="Arial" w:hAnsi="Arial" w:cs="Arial"/>
          <w:i/>
          <w:lang w:val="es-CO"/>
        </w:rPr>
      </w:pPr>
      <w:r w:rsidRPr="00EE549C">
        <w:rPr>
          <w:rFonts w:ascii="Arial" w:hAnsi="Arial" w:cs="Arial"/>
          <w:i/>
          <w:u w:val="single"/>
          <w:lang w:val="es-CO"/>
        </w:rPr>
        <w:t xml:space="preserve">Cantidad de tanques reportados a la fecha: </w:t>
      </w:r>
      <w:r w:rsidR="00467480">
        <w:rPr>
          <w:rFonts w:ascii="Arial" w:hAnsi="Arial" w:cs="Arial"/>
          <w:i/>
          <w:lang w:val="es-CO"/>
        </w:rPr>
        <w:t>41.194</w:t>
      </w:r>
    </w:p>
    <w:p w14:paraId="04A9988F" w14:textId="528BB602" w:rsidR="00B5633D" w:rsidRPr="004B14CB" w:rsidRDefault="008D3843" w:rsidP="004B14CB">
      <w:pPr>
        <w:pStyle w:val="Textoindependiente2"/>
        <w:numPr>
          <w:ilvl w:val="0"/>
          <w:numId w:val="30"/>
        </w:numPr>
        <w:spacing w:after="0" w:line="360" w:lineRule="auto"/>
        <w:jc w:val="both"/>
        <w:rPr>
          <w:rFonts w:ascii="Arial" w:hAnsi="Arial" w:cs="Arial"/>
          <w:i/>
          <w:lang w:val="es-CO"/>
        </w:rPr>
      </w:pPr>
      <w:r w:rsidRPr="00EE549C">
        <w:rPr>
          <w:rFonts w:ascii="Arial" w:hAnsi="Arial" w:cs="Arial"/>
          <w:i/>
          <w:u w:val="single"/>
          <w:lang w:val="es-CO"/>
        </w:rPr>
        <w:t>Capacidad en galones de los tanques:</w:t>
      </w:r>
      <w:r w:rsidRPr="008943FC">
        <w:rPr>
          <w:rFonts w:ascii="Arial" w:hAnsi="Arial" w:cs="Arial"/>
          <w:i/>
          <w:lang w:val="es-CO"/>
        </w:rPr>
        <w:t xml:space="preserve"> </w:t>
      </w:r>
      <w:r w:rsidR="00467480">
        <w:rPr>
          <w:rFonts w:ascii="Arial" w:hAnsi="Arial" w:cs="Arial"/>
          <w:i/>
          <w:lang w:val="es-CO"/>
        </w:rPr>
        <w:t>15.463.</w:t>
      </w:r>
      <w:r w:rsidR="00BD4F2F">
        <w:rPr>
          <w:rFonts w:ascii="Arial" w:hAnsi="Arial" w:cs="Arial"/>
          <w:i/>
          <w:lang w:val="es-CO"/>
        </w:rPr>
        <w:t>230</w:t>
      </w:r>
      <w:r w:rsidR="0080659F" w:rsidRPr="004B14CB">
        <w:rPr>
          <w:rFonts w:ascii="Arial" w:hAnsi="Arial" w:cs="Arial"/>
          <w:i/>
          <w:lang w:val="es-CO"/>
        </w:rPr>
        <w:t>”</w:t>
      </w:r>
    </w:p>
    <w:p w14:paraId="78A372C2" w14:textId="77777777" w:rsidR="004B14CB" w:rsidRDefault="004B14CB" w:rsidP="00986A80">
      <w:pPr>
        <w:spacing w:after="0" w:line="360" w:lineRule="auto"/>
        <w:jc w:val="both"/>
        <w:rPr>
          <w:rFonts w:ascii="Arial" w:eastAsia="MS Mincho" w:hAnsi="Arial" w:cs="Arial"/>
          <w:sz w:val="24"/>
          <w:szCs w:val="24"/>
          <w:lang w:val="es-ES"/>
        </w:rPr>
      </w:pPr>
    </w:p>
    <w:p w14:paraId="17F63C5B" w14:textId="6F85C6AD" w:rsidR="000F6616" w:rsidRPr="00C84927" w:rsidRDefault="000F6616" w:rsidP="00986A80">
      <w:pPr>
        <w:spacing w:after="0" w:line="360" w:lineRule="auto"/>
        <w:jc w:val="both"/>
        <w:rPr>
          <w:rFonts w:ascii="Arial" w:eastAsia="MS Mincho" w:hAnsi="Arial" w:cs="Arial"/>
          <w:sz w:val="24"/>
          <w:szCs w:val="24"/>
          <w:lang w:val="es-ES"/>
        </w:rPr>
      </w:pPr>
      <w:r w:rsidRPr="00C84927">
        <w:rPr>
          <w:rFonts w:ascii="Arial" w:eastAsia="MS Mincho" w:hAnsi="Arial" w:cs="Arial"/>
          <w:sz w:val="24"/>
          <w:szCs w:val="24"/>
          <w:lang w:val="es-ES"/>
        </w:rPr>
        <w:t xml:space="preserve">Posteriormente, mediante comunicación SSPD No. 20242320074291 radicado CREG E2024000602 del 15 de enero de 2024, la </w:t>
      </w:r>
      <w:r w:rsidRPr="00C84927">
        <w:rPr>
          <w:rFonts w:ascii="Arial" w:hAnsi="Arial" w:cs="Arial"/>
          <w:sz w:val="24"/>
          <w:szCs w:val="24"/>
        </w:rPr>
        <w:t xml:space="preserve">Superintendencia de Servicios Públicos Domiciliarios remitió a la Comisión un alcance al oficio SSPD 20232324776251 radicado CREG E2023020812 del 11 de diciembre de 2023. En </w:t>
      </w:r>
      <w:r w:rsidR="00D57581" w:rsidRPr="00C84927">
        <w:rPr>
          <w:rFonts w:ascii="Arial" w:hAnsi="Arial" w:cs="Arial"/>
          <w:sz w:val="24"/>
          <w:szCs w:val="24"/>
        </w:rPr>
        <w:t>este alcance</w:t>
      </w:r>
      <w:r w:rsidRPr="00C84927">
        <w:rPr>
          <w:rFonts w:ascii="Arial" w:hAnsi="Arial" w:cs="Arial"/>
          <w:sz w:val="24"/>
          <w:szCs w:val="24"/>
        </w:rPr>
        <w:t xml:space="preserve">, la Superintendencia, a través de la Superintendencia </w:t>
      </w:r>
      <w:proofErr w:type="gramStart"/>
      <w:r w:rsidRPr="00C84927">
        <w:rPr>
          <w:rFonts w:ascii="Arial" w:hAnsi="Arial" w:cs="Arial"/>
          <w:sz w:val="24"/>
          <w:szCs w:val="24"/>
        </w:rPr>
        <w:t>Delegada</w:t>
      </w:r>
      <w:proofErr w:type="gramEnd"/>
      <w:r w:rsidRPr="00C84927">
        <w:rPr>
          <w:rFonts w:ascii="Arial" w:hAnsi="Arial" w:cs="Arial"/>
          <w:sz w:val="24"/>
          <w:szCs w:val="24"/>
        </w:rPr>
        <w:t xml:space="preserve"> de Energía y Gas Combustible, </w:t>
      </w:r>
      <w:r w:rsidR="00D57581" w:rsidRPr="00C84927">
        <w:rPr>
          <w:rFonts w:ascii="Arial" w:hAnsi="Arial" w:cs="Arial"/>
          <w:sz w:val="24"/>
          <w:szCs w:val="24"/>
        </w:rPr>
        <w:t xml:space="preserve">señala </w:t>
      </w:r>
      <w:r w:rsidRPr="00C84927">
        <w:rPr>
          <w:rFonts w:ascii="Arial" w:hAnsi="Arial" w:cs="Arial"/>
          <w:sz w:val="24"/>
          <w:szCs w:val="24"/>
        </w:rPr>
        <w:t>lo siguiente</w:t>
      </w:r>
      <w:r w:rsidR="00D57581" w:rsidRPr="00C84927">
        <w:rPr>
          <w:rFonts w:ascii="Arial" w:hAnsi="Arial" w:cs="Arial"/>
          <w:sz w:val="24"/>
          <w:szCs w:val="24"/>
        </w:rPr>
        <w:t>:</w:t>
      </w:r>
    </w:p>
    <w:p w14:paraId="0B41EBD9" w14:textId="77777777" w:rsidR="00C84927" w:rsidRDefault="00C84927" w:rsidP="00D57581">
      <w:pPr>
        <w:spacing w:after="0" w:line="360" w:lineRule="auto"/>
        <w:ind w:left="567"/>
        <w:jc w:val="both"/>
        <w:rPr>
          <w:rFonts w:ascii="Arial" w:eastAsia="MS Mincho" w:hAnsi="Arial" w:cs="Arial"/>
          <w:i/>
          <w:iCs/>
          <w:sz w:val="24"/>
          <w:szCs w:val="24"/>
          <w:lang w:val="es-ES"/>
        </w:rPr>
      </w:pPr>
    </w:p>
    <w:p w14:paraId="618CC6E6" w14:textId="5D75CCE2" w:rsidR="00D57581" w:rsidRPr="00D57581" w:rsidRDefault="00D57581" w:rsidP="00D57581">
      <w:pPr>
        <w:spacing w:after="0" w:line="360" w:lineRule="auto"/>
        <w:ind w:left="567"/>
        <w:jc w:val="both"/>
        <w:rPr>
          <w:rFonts w:ascii="Arial" w:eastAsia="MS Mincho" w:hAnsi="Arial" w:cs="Arial"/>
          <w:i/>
          <w:iCs/>
          <w:sz w:val="24"/>
          <w:szCs w:val="24"/>
          <w:lang w:val="es-ES"/>
        </w:rPr>
      </w:pPr>
      <w:r>
        <w:rPr>
          <w:rFonts w:ascii="Arial" w:eastAsia="MS Mincho" w:hAnsi="Arial" w:cs="Arial"/>
          <w:i/>
          <w:iCs/>
          <w:sz w:val="24"/>
          <w:szCs w:val="24"/>
          <w:lang w:val="es-ES"/>
        </w:rPr>
        <w:t>“</w:t>
      </w:r>
      <w:r w:rsidRPr="00D57581">
        <w:rPr>
          <w:rFonts w:ascii="Arial" w:eastAsia="MS Mincho" w:hAnsi="Arial" w:cs="Arial"/>
          <w:i/>
          <w:iCs/>
          <w:sz w:val="24"/>
          <w:szCs w:val="24"/>
          <w:lang w:val="es-ES"/>
        </w:rPr>
        <w:t>La Superintendencia de Servicios Públicos Domiciliarios (SSPD) a través del radicado</w:t>
      </w:r>
      <w:r>
        <w:rPr>
          <w:rFonts w:ascii="Arial" w:eastAsia="MS Mincho" w:hAnsi="Arial" w:cs="Arial"/>
          <w:i/>
          <w:iCs/>
          <w:sz w:val="24"/>
          <w:szCs w:val="24"/>
          <w:lang w:val="es-ES"/>
        </w:rPr>
        <w:t xml:space="preserve"> </w:t>
      </w:r>
      <w:r w:rsidRPr="00D57581">
        <w:rPr>
          <w:rFonts w:ascii="Arial" w:eastAsia="MS Mincho" w:hAnsi="Arial" w:cs="Arial"/>
          <w:i/>
          <w:iCs/>
          <w:sz w:val="24"/>
          <w:szCs w:val="24"/>
          <w:lang w:val="es-ES"/>
        </w:rPr>
        <w:t>del asunto, remitió la información del SICMA y tanques estacionarios para calcular la</w:t>
      </w:r>
      <w:r>
        <w:rPr>
          <w:rFonts w:ascii="Arial" w:eastAsia="MS Mincho" w:hAnsi="Arial" w:cs="Arial"/>
          <w:i/>
          <w:iCs/>
          <w:sz w:val="24"/>
          <w:szCs w:val="24"/>
          <w:lang w:val="es-ES"/>
        </w:rPr>
        <w:t xml:space="preserve"> </w:t>
      </w:r>
      <w:r w:rsidRPr="00D57581">
        <w:rPr>
          <w:rFonts w:ascii="Arial" w:eastAsia="MS Mincho" w:hAnsi="Arial" w:cs="Arial"/>
          <w:i/>
          <w:iCs/>
          <w:sz w:val="24"/>
          <w:szCs w:val="24"/>
          <w:lang w:val="es-ES"/>
        </w:rPr>
        <w:t>capacidad de compra de la que trata el artículo 8° de la Resolución CREG 063 de 2016,</w:t>
      </w:r>
      <w:r>
        <w:rPr>
          <w:rFonts w:ascii="Arial" w:eastAsia="MS Mincho" w:hAnsi="Arial" w:cs="Arial"/>
          <w:i/>
          <w:iCs/>
          <w:sz w:val="24"/>
          <w:szCs w:val="24"/>
          <w:lang w:val="es-ES"/>
        </w:rPr>
        <w:t xml:space="preserve"> </w:t>
      </w:r>
      <w:r w:rsidRPr="00D57581">
        <w:rPr>
          <w:rFonts w:ascii="Arial" w:eastAsia="MS Mincho" w:hAnsi="Arial" w:cs="Arial"/>
          <w:i/>
          <w:iCs/>
          <w:sz w:val="24"/>
          <w:szCs w:val="24"/>
          <w:lang w:val="es-ES"/>
        </w:rPr>
        <w:t>modificado por el artículo 1° de la Resolución CREG 180 de 2017, aplicable al segundo</w:t>
      </w:r>
      <w:r>
        <w:rPr>
          <w:rFonts w:ascii="Arial" w:eastAsia="MS Mincho" w:hAnsi="Arial" w:cs="Arial"/>
          <w:i/>
          <w:iCs/>
          <w:sz w:val="24"/>
          <w:szCs w:val="24"/>
          <w:lang w:val="es-ES"/>
        </w:rPr>
        <w:t xml:space="preserve"> </w:t>
      </w:r>
      <w:r w:rsidRPr="00D57581">
        <w:rPr>
          <w:rFonts w:ascii="Arial" w:eastAsia="MS Mincho" w:hAnsi="Arial" w:cs="Arial"/>
          <w:i/>
          <w:iCs/>
          <w:sz w:val="24"/>
          <w:szCs w:val="24"/>
          <w:lang w:val="es-ES"/>
        </w:rPr>
        <w:t>semestre de 2021, en el que se indicó:</w:t>
      </w:r>
    </w:p>
    <w:p w14:paraId="4AFF25D5" w14:textId="6D21E501" w:rsidR="00D57581" w:rsidRDefault="00D57581" w:rsidP="00D57581">
      <w:pPr>
        <w:spacing w:after="0" w:line="360" w:lineRule="auto"/>
        <w:ind w:left="851"/>
        <w:jc w:val="both"/>
        <w:rPr>
          <w:rFonts w:ascii="Arial" w:eastAsia="MS Mincho" w:hAnsi="Arial" w:cs="Arial"/>
          <w:i/>
          <w:iCs/>
          <w:sz w:val="24"/>
          <w:szCs w:val="24"/>
          <w:lang w:val="es-ES"/>
        </w:rPr>
      </w:pPr>
      <w:r w:rsidRPr="00D57581">
        <w:rPr>
          <w:rFonts w:ascii="Arial" w:eastAsia="MS Mincho" w:hAnsi="Arial" w:cs="Arial"/>
          <w:i/>
          <w:iCs/>
          <w:sz w:val="24"/>
          <w:szCs w:val="24"/>
          <w:lang w:val="es-ES"/>
        </w:rPr>
        <w:lastRenderedPageBreak/>
        <w:t>“…Por otra parte, cabe precisar que, a la fecha de consulta de la información, las</w:t>
      </w:r>
      <w:r>
        <w:rPr>
          <w:rFonts w:ascii="Arial" w:eastAsia="MS Mincho" w:hAnsi="Arial" w:cs="Arial"/>
          <w:i/>
          <w:iCs/>
          <w:sz w:val="24"/>
          <w:szCs w:val="24"/>
          <w:lang w:val="es-ES"/>
        </w:rPr>
        <w:t xml:space="preserve"> </w:t>
      </w:r>
      <w:r w:rsidRPr="00D57581">
        <w:rPr>
          <w:rFonts w:ascii="Arial" w:eastAsia="MS Mincho" w:hAnsi="Arial" w:cs="Arial"/>
          <w:i/>
          <w:iCs/>
          <w:sz w:val="24"/>
          <w:szCs w:val="24"/>
          <w:lang w:val="es-ES"/>
        </w:rPr>
        <w:t>siguientes empresas no habían cargado y certificado en el SUI la información del</w:t>
      </w:r>
      <w:r>
        <w:rPr>
          <w:rFonts w:ascii="Arial" w:eastAsia="MS Mincho" w:hAnsi="Arial" w:cs="Arial"/>
          <w:i/>
          <w:iCs/>
          <w:sz w:val="24"/>
          <w:szCs w:val="24"/>
          <w:lang w:val="es-ES"/>
        </w:rPr>
        <w:t xml:space="preserve"> </w:t>
      </w:r>
      <w:r w:rsidRPr="00D57581">
        <w:rPr>
          <w:rFonts w:ascii="Arial" w:eastAsia="MS Mincho" w:hAnsi="Arial" w:cs="Arial"/>
          <w:i/>
          <w:iCs/>
          <w:sz w:val="24"/>
          <w:szCs w:val="24"/>
          <w:lang w:val="es-ES"/>
        </w:rPr>
        <w:t>Formato (1661) Tanques Estacionarios Atendidos por el Distribuidor, para el tercer</w:t>
      </w:r>
      <w:r>
        <w:rPr>
          <w:rFonts w:ascii="Arial" w:eastAsia="MS Mincho" w:hAnsi="Arial" w:cs="Arial"/>
          <w:i/>
          <w:iCs/>
          <w:sz w:val="24"/>
          <w:szCs w:val="24"/>
          <w:lang w:val="es-ES"/>
        </w:rPr>
        <w:t xml:space="preserve"> </w:t>
      </w:r>
      <w:r w:rsidRPr="00D57581">
        <w:rPr>
          <w:rFonts w:ascii="Arial" w:eastAsia="MS Mincho" w:hAnsi="Arial" w:cs="Arial"/>
          <w:i/>
          <w:iCs/>
          <w:sz w:val="24"/>
          <w:szCs w:val="24"/>
          <w:lang w:val="es-ES"/>
        </w:rPr>
        <w:t>trimestre del 2023, la cual tenía como fecha máxima de reporte el 17 de octubre de</w:t>
      </w:r>
      <w:r>
        <w:rPr>
          <w:rFonts w:ascii="Arial" w:eastAsia="MS Mincho" w:hAnsi="Arial" w:cs="Arial"/>
          <w:i/>
          <w:iCs/>
          <w:sz w:val="24"/>
          <w:szCs w:val="24"/>
          <w:lang w:val="es-ES"/>
        </w:rPr>
        <w:t xml:space="preserve"> </w:t>
      </w:r>
      <w:r w:rsidRPr="00D57581">
        <w:rPr>
          <w:rFonts w:ascii="Arial" w:eastAsia="MS Mincho" w:hAnsi="Arial" w:cs="Arial"/>
          <w:i/>
          <w:iCs/>
          <w:sz w:val="24"/>
          <w:szCs w:val="24"/>
          <w:lang w:val="es-ES"/>
        </w:rPr>
        <w:t>2023. Sin embargo, es necesario mencionar que dicho Formato se encuentra</w:t>
      </w:r>
      <w:r>
        <w:rPr>
          <w:rFonts w:ascii="Arial" w:eastAsia="MS Mincho" w:hAnsi="Arial" w:cs="Arial"/>
          <w:i/>
          <w:iCs/>
          <w:sz w:val="24"/>
          <w:szCs w:val="24"/>
          <w:lang w:val="es-ES"/>
        </w:rPr>
        <w:t xml:space="preserve"> </w:t>
      </w:r>
      <w:r w:rsidRPr="00D57581">
        <w:rPr>
          <w:rFonts w:ascii="Arial" w:eastAsia="MS Mincho" w:hAnsi="Arial" w:cs="Arial"/>
          <w:i/>
          <w:iCs/>
          <w:sz w:val="24"/>
          <w:szCs w:val="24"/>
          <w:lang w:val="es-ES"/>
        </w:rPr>
        <w:t>habilitado y en estado “Pendiente”, para que las empresas cargaran y certificaran</w:t>
      </w:r>
      <w:r>
        <w:rPr>
          <w:rFonts w:ascii="Arial" w:eastAsia="MS Mincho" w:hAnsi="Arial" w:cs="Arial"/>
          <w:i/>
          <w:iCs/>
          <w:sz w:val="24"/>
          <w:szCs w:val="24"/>
          <w:lang w:val="es-ES"/>
        </w:rPr>
        <w:t xml:space="preserve"> </w:t>
      </w:r>
      <w:r w:rsidRPr="00D57581">
        <w:rPr>
          <w:rFonts w:ascii="Arial" w:eastAsia="MS Mincho" w:hAnsi="Arial" w:cs="Arial"/>
          <w:i/>
          <w:iCs/>
          <w:sz w:val="24"/>
          <w:szCs w:val="24"/>
          <w:lang w:val="es-ES"/>
        </w:rPr>
        <w:t>la información hasta antes de la fecha de corte que aquí se relaciona.</w:t>
      </w:r>
    </w:p>
    <w:p w14:paraId="0AF4BD57" w14:textId="77777777" w:rsidR="002D1639" w:rsidRDefault="002D1639" w:rsidP="002D1639">
      <w:pPr>
        <w:spacing w:after="0" w:line="360" w:lineRule="auto"/>
        <w:ind w:left="851"/>
        <w:jc w:val="both"/>
        <w:rPr>
          <w:rFonts w:ascii="Arial" w:eastAsia="MS Mincho" w:hAnsi="Arial" w:cs="Arial"/>
          <w:i/>
          <w:iCs/>
          <w:sz w:val="24"/>
          <w:szCs w:val="24"/>
          <w:lang w:val="es-ES"/>
        </w:rPr>
      </w:pPr>
    </w:p>
    <w:p w14:paraId="734B4A37" w14:textId="02838793" w:rsidR="00D57581" w:rsidRDefault="00D57581" w:rsidP="002D1639">
      <w:pPr>
        <w:spacing w:after="0" w:line="360" w:lineRule="auto"/>
        <w:ind w:left="851"/>
        <w:jc w:val="both"/>
        <w:rPr>
          <w:rFonts w:ascii="Arial" w:eastAsia="MS Mincho" w:hAnsi="Arial" w:cs="Arial"/>
          <w:i/>
          <w:iCs/>
          <w:sz w:val="24"/>
          <w:szCs w:val="24"/>
          <w:lang w:val="es-ES"/>
        </w:rPr>
      </w:pPr>
      <w:r w:rsidRPr="00D57581">
        <w:rPr>
          <w:rFonts w:ascii="Arial" w:eastAsia="MS Mincho" w:hAnsi="Arial" w:cs="Arial"/>
          <w:i/>
          <w:iCs/>
          <w:sz w:val="24"/>
          <w:szCs w:val="24"/>
          <w:lang w:val="es-ES"/>
        </w:rPr>
        <w:t>Así las cosas, las empresas que no han reportado la información son las siguientes:</w:t>
      </w:r>
    </w:p>
    <w:tbl>
      <w:tblPr>
        <w:tblStyle w:val="Tablaconcuadrcula"/>
        <w:tblW w:w="0" w:type="auto"/>
        <w:jc w:val="center"/>
        <w:tblLook w:val="04A0" w:firstRow="1" w:lastRow="0" w:firstColumn="1" w:lastColumn="0" w:noHBand="0" w:noVBand="1"/>
      </w:tblPr>
      <w:tblGrid>
        <w:gridCol w:w="1129"/>
        <w:gridCol w:w="5812"/>
      </w:tblGrid>
      <w:tr w:rsidR="00D57581" w:rsidRPr="00084C82" w14:paraId="195BEF02" w14:textId="77777777" w:rsidTr="006C0DA5">
        <w:trPr>
          <w:jc w:val="center"/>
        </w:trPr>
        <w:tc>
          <w:tcPr>
            <w:tcW w:w="1129" w:type="dxa"/>
          </w:tcPr>
          <w:p w14:paraId="3DAFB99F" w14:textId="719028F8" w:rsidR="00D57581" w:rsidRPr="00084C82" w:rsidRDefault="00D57581" w:rsidP="00D57581">
            <w:pPr>
              <w:spacing w:line="360" w:lineRule="auto"/>
              <w:jc w:val="center"/>
              <w:rPr>
                <w:rFonts w:ascii="Arial" w:eastAsia="MS Mincho" w:hAnsi="Arial" w:cs="Arial"/>
                <w:b/>
                <w:bCs/>
                <w:i/>
                <w:iCs/>
                <w:lang w:val="es-ES"/>
              </w:rPr>
            </w:pPr>
            <w:r w:rsidRPr="00084C82">
              <w:rPr>
                <w:rFonts w:ascii="Arial" w:eastAsia="MS Mincho" w:hAnsi="Arial" w:cs="Arial"/>
                <w:b/>
                <w:bCs/>
                <w:i/>
                <w:iCs/>
                <w:lang w:val="es-ES"/>
              </w:rPr>
              <w:t>ID</w:t>
            </w:r>
          </w:p>
        </w:tc>
        <w:tc>
          <w:tcPr>
            <w:tcW w:w="5812" w:type="dxa"/>
          </w:tcPr>
          <w:p w14:paraId="1970D9B0" w14:textId="7A547E88" w:rsidR="00D57581" w:rsidRPr="00084C82" w:rsidRDefault="00D57581" w:rsidP="00D57581">
            <w:pPr>
              <w:spacing w:line="360" w:lineRule="auto"/>
              <w:jc w:val="center"/>
              <w:rPr>
                <w:rFonts w:ascii="Arial" w:eastAsia="MS Mincho" w:hAnsi="Arial" w:cs="Arial"/>
                <w:b/>
                <w:bCs/>
                <w:i/>
                <w:iCs/>
                <w:lang w:val="es-ES"/>
              </w:rPr>
            </w:pPr>
            <w:r w:rsidRPr="00084C82">
              <w:rPr>
                <w:rFonts w:ascii="Arial" w:eastAsia="MS Mincho" w:hAnsi="Arial" w:cs="Arial"/>
                <w:b/>
                <w:bCs/>
                <w:i/>
                <w:iCs/>
                <w:lang w:val="es-ES"/>
              </w:rPr>
              <w:t>EMPRESA</w:t>
            </w:r>
          </w:p>
        </w:tc>
      </w:tr>
      <w:tr w:rsidR="00D57581" w:rsidRPr="00084C82" w14:paraId="4C252797" w14:textId="77777777" w:rsidTr="006C0DA5">
        <w:trPr>
          <w:trHeight w:val="216"/>
          <w:jc w:val="center"/>
        </w:trPr>
        <w:tc>
          <w:tcPr>
            <w:tcW w:w="1129" w:type="dxa"/>
          </w:tcPr>
          <w:p w14:paraId="76ECF0CC" w14:textId="4CC7D53B" w:rsidR="00D57581" w:rsidRPr="00084C82" w:rsidRDefault="006C0DA5" w:rsidP="00D57581">
            <w:pPr>
              <w:spacing w:line="360" w:lineRule="auto"/>
              <w:jc w:val="both"/>
              <w:rPr>
                <w:rFonts w:ascii="Arial" w:eastAsia="MS Mincho" w:hAnsi="Arial" w:cs="Arial"/>
                <w:i/>
                <w:iCs/>
                <w:lang w:val="es-ES"/>
              </w:rPr>
            </w:pPr>
            <w:r w:rsidRPr="00084C82">
              <w:rPr>
                <w:rFonts w:ascii="Arial" w:eastAsia="MS Mincho" w:hAnsi="Arial" w:cs="Arial"/>
                <w:i/>
                <w:iCs/>
                <w:lang w:val="es-ES"/>
              </w:rPr>
              <w:t>976</w:t>
            </w:r>
          </w:p>
        </w:tc>
        <w:tc>
          <w:tcPr>
            <w:tcW w:w="5812" w:type="dxa"/>
          </w:tcPr>
          <w:p w14:paraId="7ADEB07A" w14:textId="26CCE3A1" w:rsidR="00D57581" w:rsidRPr="00084C82" w:rsidRDefault="006C0DA5" w:rsidP="00D57581">
            <w:pPr>
              <w:spacing w:line="360" w:lineRule="auto"/>
              <w:jc w:val="both"/>
              <w:rPr>
                <w:rFonts w:ascii="Arial" w:eastAsia="MS Mincho" w:hAnsi="Arial" w:cs="Arial"/>
                <w:i/>
                <w:iCs/>
                <w:lang w:val="es-ES"/>
              </w:rPr>
            </w:pPr>
            <w:r w:rsidRPr="00084C82">
              <w:rPr>
                <w:rFonts w:ascii="Arial" w:eastAsia="MS Mincho" w:hAnsi="Arial" w:cs="Arial"/>
                <w:i/>
                <w:iCs/>
                <w:lang w:val="es-ES"/>
              </w:rPr>
              <w:t>GAS ZIPA SAS ESP</w:t>
            </w:r>
          </w:p>
        </w:tc>
      </w:tr>
      <w:tr w:rsidR="00D57581" w:rsidRPr="00084C82" w14:paraId="4A69A248" w14:textId="77777777" w:rsidTr="006C0DA5">
        <w:trPr>
          <w:jc w:val="center"/>
        </w:trPr>
        <w:tc>
          <w:tcPr>
            <w:tcW w:w="1129" w:type="dxa"/>
          </w:tcPr>
          <w:p w14:paraId="486C9BA7" w14:textId="09BCC146" w:rsidR="00D57581" w:rsidRPr="00084C82" w:rsidRDefault="006C0DA5" w:rsidP="00D57581">
            <w:pPr>
              <w:spacing w:line="360" w:lineRule="auto"/>
              <w:jc w:val="both"/>
              <w:rPr>
                <w:rFonts w:ascii="Arial" w:eastAsia="MS Mincho" w:hAnsi="Arial" w:cs="Arial"/>
                <w:i/>
                <w:iCs/>
                <w:lang w:val="es-ES"/>
              </w:rPr>
            </w:pPr>
            <w:r w:rsidRPr="00084C82">
              <w:rPr>
                <w:rFonts w:ascii="Arial" w:eastAsia="MS Mincho" w:hAnsi="Arial" w:cs="Arial"/>
                <w:i/>
                <w:iCs/>
                <w:lang w:val="es-ES"/>
              </w:rPr>
              <w:t>1195</w:t>
            </w:r>
          </w:p>
        </w:tc>
        <w:tc>
          <w:tcPr>
            <w:tcW w:w="5812" w:type="dxa"/>
          </w:tcPr>
          <w:p w14:paraId="099C40AB" w14:textId="7F2203F4" w:rsidR="00D57581" w:rsidRPr="00084C82" w:rsidRDefault="006C0DA5" w:rsidP="006C0DA5">
            <w:pPr>
              <w:spacing w:line="360" w:lineRule="auto"/>
              <w:jc w:val="both"/>
              <w:rPr>
                <w:rFonts w:ascii="Arial" w:eastAsia="MS Mincho" w:hAnsi="Arial" w:cs="Arial"/>
                <w:i/>
                <w:iCs/>
                <w:lang w:val="es-ES"/>
              </w:rPr>
            </w:pPr>
            <w:r w:rsidRPr="00084C82">
              <w:rPr>
                <w:rFonts w:ascii="Arial" w:eastAsia="MS Mincho" w:hAnsi="Arial" w:cs="Arial"/>
                <w:i/>
                <w:iCs/>
                <w:lang w:val="es-ES"/>
              </w:rPr>
              <w:t>ENVASADORA DE GAS DE PUERTO SALGAR S.A. EMPRESA DE SERVICIOS PUBLICOS</w:t>
            </w:r>
          </w:p>
        </w:tc>
      </w:tr>
      <w:tr w:rsidR="00D57581" w:rsidRPr="00084C82" w14:paraId="1F150D55" w14:textId="77777777" w:rsidTr="006C0DA5">
        <w:trPr>
          <w:jc w:val="center"/>
        </w:trPr>
        <w:tc>
          <w:tcPr>
            <w:tcW w:w="1129" w:type="dxa"/>
          </w:tcPr>
          <w:p w14:paraId="51838CE8" w14:textId="30440061" w:rsidR="00D57581" w:rsidRPr="00084C82" w:rsidRDefault="006C0DA5" w:rsidP="00D57581">
            <w:pPr>
              <w:spacing w:line="360" w:lineRule="auto"/>
              <w:jc w:val="both"/>
              <w:rPr>
                <w:rFonts w:ascii="Arial" w:eastAsia="MS Mincho" w:hAnsi="Arial" w:cs="Arial"/>
                <w:i/>
                <w:iCs/>
                <w:lang w:val="es-ES"/>
              </w:rPr>
            </w:pPr>
            <w:r w:rsidRPr="00084C82">
              <w:rPr>
                <w:rFonts w:ascii="Arial" w:eastAsia="MS Mincho" w:hAnsi="Arial" w:cs="Arial"/>
                <w:i/>
                <w:iCs/>
                <w:lang w:val="es-ES"/>
              </w:rPr>
              <w:t>1638</w:t>
            </w:r>
          </w:p>
        </w:tc>
        <w:tc>
          <w:tcPr>
            <w:tcW w:w="5812" w:type="dxa"/>
          </w:tcPr>
          <w:p w14:paraId="3EC17793" w14:textId="44BE0A75" w:rsidR="00D57581" w:rsidRPr="00084C82" w:rsidRDefault="006C0DA5" w:rsidP="006C0DA5">
            <w:pPr>
              <w:spacing w:line="360" w:lineRule="auto"/>
              <w:jc w:val="both"/>
              <w:rPr>
                <w:rFonts w:ascii="Arial" w:eastAsia="MS Mincho" w:hAnsi="Arial" w:cs="Arial"/>
                <w:i/>
                <w:iCs/>
                <w:lang w:val="es-ES"/>
              </w:rPr>
            </w:pPr>
            <w:r w:rsidRPr="00084C82">
              <w:rPr>
                <w:rFonts w:ascii="Arial" w:eastAsia="MS Mincho" w:hAnsi="Arial" w:cs="Arial"/>
                <w:i/>
                <w:iCs/>
                <w:lang w:val="es-ES"/>
              </w:rPr>
              <w:t>COMPAÑIA DE ALMACENAMIENTO DE GAS S.A. ESP</w:t>
            </w:r>
          </w:p>
        </w:tc>
      </w:tr>
      <w:tr w:rsidR="00D57581" w:rsidRPr="00084C82" w14:paraId="0E6EE077" w14:textId="77777777" w:rsidTr="006C0DA5">
        <w:trPr>
          <w:jc w:val="center"/>
        </w:trPr>
        <w:tc>
          <w:tcPr>
            <w:tcW w:w="1129" w:type="dxa"/>
          </w:tcPr>
          <w:p w14:paraId="05AD41EF" w14:textId="2CDBAA3A" w:rsidR="00D57581" w:rsidRPr="00084C82" w:rsidRDefault="006C0DA5" w:rsidP="00D57581">
            <w:pPr>
              <w:spacing w:line="360" w:lineRule="auto"/>
              <w:jc w:val="both"/>
              <w:rPr>
                <w:rFonts w:ascii="Arial" w:eastAsia="MS Mincho" w:hAnsi="Arial" w:cs="Arial"/>
                <w:i/>
                <w:iCs/>
                <w:lang w:val="es-ES"/>
              </w:rPr>
            </w:pPr>
            <w:r w:rsidRPr="00084C82">
              <w:rPr>
                <w:rFonts w:ascii="Arial" w:eastAsia="MS Mincho" w:hAnsi="Arial" w:cs="Arial"/>
                <w:i/>
                <w:iCs/>
                <w:lang w:val="es-ES"/>
              </w:rPr>
              <w:t>23312</w:t>
            </w:r>
          </w:p>
        </w:tc>
        <w:tc>
          <w:tcPr>
            <w:tcW w:w="5812" w:type="dxa"/>
          </w:tcPr>
          <w:p w14:paraId="62C72F4F" w14:textId="24B04D6E" w:rsidR="00D57581" w:rsidRPr="00084C82" w:rsidRDefault="006C0DA5" w:rsidP="00D57581">
            <w:pPr>
              <w:spacing w:line="360" w:lineRule="auto"/>
              <w:jc w:val="both"/>
              <w:rPr>
                <w:rFonts w:ascii="Arial" w:eastAsia="MS Mincho" w:hAnsi="Arial" w:cs="Arial"/>
                <w:i/>
                <w:iCs/>
                <w:lang w:val="es-ES"/>
              </w:rPr>
            </w:pPr>
            <w:r w:rsidRPr="00084C82">
              <w:rPr>
                <w:rFonts w:ascii="Arial" w:eastAsia="MS Mincho" w:hAnsi="Arial" w:cs="Arial"/>
                <w:i/>
                <w:iCs/>
                <w:lang w:val="es-ES"/>
              </w:rPr>
              <w:t>INVERSIONES GLP SAS ESP</w:t>
            </w:r>
          </w:p>
        </w:tc>
      </w:tr>
      <w:tr w:rsidR="00D57581" w:rsidRPr="00084C82" w14:paraId="42E9CB90" w14:textId="77777777" w:rsidTr="006C0DA5">
        <w:trPr>
          <w:jc w:val="center"/>
        </w:trPr>
        <w:tc>
          <w:tcPr>
            <w:tcW w:w="1129" w:type="dxa"/>
          </w:tcPr>
          <w:p w14:paraId="4EA5E4E2" w14:textId="4B203809" w:rsidR="00D57581" w:rsidRPr="00084C82" w:rsidRDefault="006C0DA5" w:rsidP="00D57581">
            <w:pPr>
              <w:spacing w:line="360" w:lineRule="auto"/>
              <w:jc w:val="both"/>
              <w:rPr>
                <w:rFonts w:ascii="Arial" w:eastAsia="MS Mincho" w:hAnsi="Arial" w:cs="Arial"/>
                <w:i/>
                <w:iCs/>
                <w:lang w:val="es-ES"/>
              </w:rPr>
            </w:pPr>
            <w:r w:rsidRPr="00084C82">
              <w:rPr>
                <w:rFonts w:ascii="Arial" w:eastAsia="MS Mincho" w:hAnsi="Arial" w:cs="Arial"/>
                <w:i/>
                <w:iCs/>
                <w:lang w:val="es-ES"/>
              </w:rPr>
              <w:t>32733</w:t>
            </w:r>
          </w:p>
        </w:tc>
        <w:tc>
          <w:tcPr>
            <w:tcW w:w="5812" w:type="dxa"/>
          </w:tcPr>
          <w:p w14:paraId="4D4AA005" w14:textId="08EB44E0" w:rsidR="00D57581" w:rsidRPr="00084C82" w:rsidRDefault="006C0DA5" w:rsidP="00D57581">
            <w:pPr>
              <w:spacing w:line="360" w:lineRule="auto"/>
              <w:jc w:val="both"/>
              <w:rPr>
                <w:rFonts w:ascii="Arial" w:eastAsia="MS Mincho" w:hAnsi="Arial" w:cs="Arial"/>
                <w:i/>
                <w:iCs/>
                <w:lang w:val="es-ES"/>
              </w:rPr>
            </w:pPr>
            <w:r w:rsidRPr="00084C82">
              <w:rPr>
                <w:rFonts w:ascii="Arial" w:eastAsia="MS Mincho" w:hAnsi="Arial" w:cs="Arial"/>
                <w:i/>
                <w:iCs/>
                <w:lang w:val="es-ES"/>
              </w:rPr>
              <w:t>EMPRESA MIXTA DE GAS S.A.S. E.S.P.</w:t>
            </w:r>
          </w:p>
        </w:tc>
      </w:tr>
    </w:tbl>
    <w:p w14:paraId="6A14EA4C" w14:textId="77777777" w:rsidR="00D57581" w:rsidRPr="00D57581" w:rsidRDefault="00D57581" w:rsidP="00D57581">
      <w:pPr>
        <w:spacing w:after="0" w:line="360" w:lineRule="auto"/>
        <w:ind w:left="851"/>
        <w:jc w:val="both"/>
        <w:rPr>
          <w:rFonts w:ascii="Arial" w:eastAsia="MS Mincho" w:hAnsi="Arial" w:cs="Arial"/>
          <w:i/>
          <w:iCs/>
          <w:sz w:val="24"/>
          <w:szCs w:val="24"/>
          <w:lang w:val="es-ES"/>
        </w:rPr>
      </w:pPr>
    </w:p>
    <w:p w14:paraId="60E8DA1D" w14:textId="00BE4663" w:rsidR="006C0DA5" w:rsidRPr="006C0DA5" w:rsidRDefault="006C0DA5" w:rsidP="006C0DA5">
      <w:pPr>
        <w:spacing w:after="0" w:line="360" w:lineRule="auto"/>
        <w:ind w:left="567"/>
        <w:jc w:val="both"/>
        <w:rPr>
          <w:rFonts w:ascii="Arial" w:eastAsia="MS Mincho" w:hAnsi="Arial" w:cs="Arial"/>
          <w:i/>
          <w:iCs/>
          <w:sz w:val="24"/>
          <w:szCs w:val="24"/>
          <w:lang w:val="es-ES"/>
        </w:rPr>
      </w:pPr>
      <w:r w:rsidRPr="006C0DA5">
        <w:rPr>
          <w:rFonts w:ascii="Arial" w:eastAsia="MS Mincho" w:hAnsi="Arial" w:cs="Arial"/>
          <w:i/>
          <w:iCs/>
          <w:sz w:val="24"/>
          <w:szCs w:val="24"/>
          <w:lang w:val="es-ES"/>
        </w:rPr>
        <w:t>Al respecto nos permitimos informar que, con corte al 10 de enero de 2024, las siguientes empresas certificaron en el SUI la información del Formato (1661) Tanques Estacionarios Atendidos por el Distribuidor, para el tercer trimestre del 2023:</w:t>
      </w:r>
    </w:p>
    <w:p w14:paraId="6004844B" w14:textId="2BB09347" w:rsidR="006C0DA5" w:rsidRPr="006C0DA5" w:rsidRDefault="006C0DA5" w:rsidP="006C0DA5">
      <w:pPr>
        <w:pStyle w:val="Prrafodelista"/>
        <w:numPr>
          <w:ilvl w:val="0"/>
          <w:numId w:val="30"/>
        </w:numPr>
        <w:spacing w:after="0" w:line="360" w:lineRule="auto"/>
        <w:jc w:val="both"/>
        <w:rPr>
          <w:rFonts w:ascii="Arial" w:eastAsia="MS Mincho" w:hAnsi="Arial" w:cs="Arial"/>
          <w:i/>
          <w:iCs/>
          <w:sz w:val="24"/>
          <w:szCs w:val="24"/>
          <w:lang w:val="es-ES"/>
        </w:rPr>
      </w:pPr>
      <w:r w:rsidRPr="006C0DA5">
        <w:rPr>
          <w:rFonts w:ascii="Arial" w:eastAsia="MS Mincho" w:hAnsi="Arial" w:cs="Arial"/>
          <w:i/>
          <w:iCs/>
          <w:sz w:val="24"/>
          <w:szCs w:val="24"/>
          <w:lang w:val="es-ES"/>
        </w:rPr>
        <w:t>976 GAS ZIPA SAS ESP</w:t>
      </w:r>
    </w:p>
    <w:p w14:paraId="28541175" w14:textId="70BA8FB8" w:rsidR="006C0DA5" w:rsidRPr="006C0DA5" w:rsidRDefault="006C0DA5" w:rsidP="006C0DA5">
      <w:pPr>
        <w:pStyle w:val="Prrafodelista"/>
        <w:numPr>
          <w:ilvl w:val="0"/>
          <w:numId w:val="30"/>
        </w:numPr>
        <w:spacing w:after="0" w:line="360" w:lineRule="auto"/>
        <w:jc w:val="both"/>
        <w:rPr>
          <w:rFonts w:ascii="Arial" w:eastAsia="MS Mincho" w:hAnsi="Arial" w:cs="Arial"/>
          <w:i/>
          <w:iCs/>
          <w:sz w:val="24"/>
          <w:szCs w:val="24"/>
          <w:lang w:val="es-ES"/>
        </w:rPr>
      </w:pPr>
      <w:r w:rsidRPr="006C0DA5">
        <w:rPr>
          <w:rFonts w:ascii="Arial" w:eastAsia="MS Mincho" w:hAnsi="Arial" w:cs="Arial"/>
          <w:i/>
          <w:iCs/>
          <w:sz w:val="24"/>
          <w:szCs w:val="24"/>
          <w:lang w:val="es-ES"/>
        </w:rPr>
        <w:t>1195 ENVASADORA DE GAS DE PUERTO SALGAR S.A. EMPRESA DE</w:t>
      </w:r>
    </w:p>
    <w:p w14:paraId="3C2E71AC" w14:textId="77777777" w:rsidR="006C0DA5" w:rsidRPr="006C0DA5" w:rsidRDefault="006C0DA5" w:rsidP="006C0DA5">
      <w:pPr>
        <w:pStyle w:val="Prrafodelista"/>
        <w:numPr>
          <w:ilvl w:val="0"/>
          <w:numId w:val="32"/>
        </w:numPr>
        <w:spacing w:after="0" w:line="360" w:lineRule="auto"/>
        <w:jc w:val="both"/>
        <w:rPr>
          <w:rFonts w:ascii="Arial" w:eastAsia="MS Mincho" w:hAnsi="Arial" w:cs="Arial"/>
          <w:i/>
          <w:iCs/>
          <w:sz w:val="24"/>
          <w:szCs w:val="24"/>
          <w:lang w:val="es-ES"/>
        </w:rPr>
      </w:pPr>
      <w:r w:rsidRPr="006C0DA5">
        <w:rPr>
          <w:rFonts w:ascii="Arial" w:eastAsia="MS Mincho" w:hAnsi="Arial" w:cs="Arial"/>
          <w:i/>
          <w:iCs/>
          <w:sz w:val="24"/>
          <w:szCs w:val="24"/>
          <w:lang w:val="es-ES"/>
        </w:rPr>
        <w:t>SERVICIOS PUBLICOS</w:t>
      </w:r>
    </w:p>
    <w:p w14:paraId="5CCBA7DA" w14:textId="79FDDDCD" w:rsidR="006C0DA5" w:rsidRPr="006C0DA5" w:rsidRDefault="006C0DA5" w:rsidP="006C0DA5">
      <w:pPr>
        <w:pStyle w:val="Prrafodelista"/>
        <w:numPr>
          <w:ilvl w:val="0"/>
          <w:numId w:val="32"/>
        </w:numPr>
        <w:spacing w:after="0" w:line="360" w:lineRule="auto"/>
        <w:jc w:val="both"/>
        <w:rPr>
          <w:rFonts w:ascii="Arial" w:eastAsia="MS Mincho" w:hAnsi="Arial" w:cs="Arial"/>
          <w:i/>
          <w:iCs/>
          <w:sz w:val="24"/>
          <w:szCs w:val="24"/>
          <w:lang w:val="es-ES"/>
        </w:rPr>
      </w:pPr>
      <w:r w:rsidRPr="006C0DA5">
        <w:rPr>
          <w:rFonts w:ascii="Arial" w:eastAsia="MS Mincho" w:hAnsi="Arial" w:cs="Arial"/>
          <w:i/>
          <w:iCs/>
          <w:sz w:val="24"/>
          <w:szCs w:val="24"/>
          <w:lang w:val="es-ES"/>
        </w:rPr>
        <w:t>23312 INVERSIONES GLP SAS ESP</w:t>
      </w:r>
    </w:p>
    <w:p w14:paraId="485DB1C7" w14:textId="77777777" w:rsidR="006C0DA5" w:rsidRPr="006C0DA5" w:rsidRDefault="006C0DA5" w:rsidP="006C0DA5">
      <w:pPr>
        <w:spacing w:after="0" w:line="360" w:lineRule="auto"/>
        <w:ind w:left="567"/>
        <w:jc w:val="both"/>
        <w:rPr>
          <w:rFonts w:ascii="Arial" w:eastAsia="MS Mincho" w:hAnsi="Arial" w:cs="Arial"/>
          <w:i/>
          <w:iCs/>
          <w:sz w:val="24"/>
          <w:szCs w:val="24"/>
          <w:lang w:val="es-ES"/>
        </w:rPr>
      </w:pPr>
    </w:p>
    <w:p w14:paraId="6BF6B638" w14:textId="31BE68D8" w:rsidR="00D57581" w:rsidRPr="006C0DA5" w:rsidRDefault="006C0DA5" w:rsidP="006C0DA5">
      <w:pPr>
        <w:spacing w:after="0" w:line="360" w:lineRule="auto"/>
        <w:ind w:left="567"/>
        <w:jc w:val="both"/>
        <w:rPr>
          <w:rFonts w:ascii="Arial" w:eastAsia="MS Mincho" w:hAnsi="Arial" w:cs="Arial"/>
          <w:i/>
          <w:iCs/>
          <w:sz w:val="24"/>
          <w:szCs w:val="24"/>
          <w:lang w:val="es-ES"/>
        </w:rPr>
      </w:pPr>
      <w:r w:rsidRPr="006C0DA5">
        <w:rPr>
          <w:rFonts w:ascii="Arial" w:eastAsia="MS Mincho" w:hAnsi="Arial" w:cs="Arial"/>
          <w:i/>
          <w:iCs/>
          <w:sz w:val="24"/>
          <w:szCs w:val="24"/>
          <w:lang w:val="es-ES"/>
        </w:rPr>
        <w:t>Por lo anterior, se remite archivo donde se encuentran los Tanques Estacionarios, con la información reportada en el SUI por parte de los Distribuidores de GLP anteriormente relacionados, conforme a las disposiciones de la Circular Conjunta SSPD – CREG 001de 2017</w:t>
      </w:r>
      <w:r w:rsidR="002D1639">
        <w:rPr>
          <w:rFonts w:ascii="Arial" w:eastAsia="MS Mincho" w:hAnsi="Arial" w:cs="Arial"/>
          <w:i/>
          <w:iCs/>
          <w:sz w:val="24"/>
          <w:szCs w:val="24"/>
          <w:lang w:val="es-ES"/>
        </w:rPr>
        <w:t>”</w:t>
      </w:r>
      <w:r w:rsidRPr="006C0DA5">
        <w:rPr>
          <w:rFonts w:ascii="Arial" w:eastAsia="MS Mincho" w:hAnsi="Arial" w:cs="Arial"/>
          <w:i/>
          <w:iCs/>
          <w:sz w:val="24"/>
          <w:szCs w:val="24"/>
          <w:lang w:val="es-ES"/>
        </w:rPr>
        <w:t>.</w:t>
      </w:r>
      <w:r w:rsidRPr="006C0DA5">
        <w:rPr>
          <w:rFonts w:ascii="Arial" w:eastAsia="MS Mincho" w:hAnsi="Arial" w:cs="Arial"/>
          <w:i/>
          <w:iCs/>
          <w:sz w:val="24"/>
          <w:szCs w:val="24"/>
          <w:lang w:val="es-ES"/>
        </w:rPr>
        <w:cr/>
      </w:r>
    </w:p>
    <w:p w14:paraId="5DF21A3E" w14:textId="5C763125" w:rsidR="00346950" w:rsidRPr="008943FC" w:rsidRDefault="00DE5054" w:rsidP="00986A80">
      <w:pPr>
        <w:spacing w:after="0" w:line="360" w:lineRule="auto"/>
        <w:jc w:val="both"/>
        <w:rPr>
          <w:rFonts w:ascii="Arial" w:eastAsia="MS Mincho" w:hAnsi="Arial" w:cs="Arial"/>
          <w:sz w:val="24"/>
          <w:szCs w:val="24"/>
          <w:lang w:val="es-ES"/>
        </w:rPr>
      </w:pPr>
      <w:r w:rsidRPr="008943FC">
        <w:rPr>
          <w:rFonts w:ascii="Arial" w:eastAsia="MS Mincho" w:hAnsi="Arial" w:cs="Arial"/>
          <w:sz w:val="24"/>
          <w:szCs w:val="24"/>
          <w:lang w:val="es-ES"/>
        </w:rPr>
        <w:t xml:space="preserve">Una vez expuesto lo anterior, esta Comisión cuenta con la información oficial, pertinente, necesaria y útil, para lo cual procede a llevar a cabo el cálculo para la definición de la capacidad de compra a que hace referencia el artículo 8° de la </w:t>
      </w:r>
      <w:r w:rsidRPr="008943FC">
        <w:rPr>
          <w:rFonts w:ascii="Arial" w:eastAsia="Times New Roman" w:hAnsi="Arial" w:cs="Arial"/>
          <w:sz w:val="24"/>
          <w:szCs w:val="24"/>
          <w:lang w:val="es-ES" w:eastAsia="es-ES"/>
        </w:rPr>
        <w:t>Resolución</w:t>
      </w:r>
      <w:r w:rsidRPr="008943FC">
        <w:rPr>
          <w:rFonts w:ascii="Arial" w:eastAsia="MS Mincho" w:hAnsi="Arial" w:cs="Arial"/>
          <w:sz w:val="24"/>
          <w:szCs w:val="24"/>
          <w:lang w:val="es-ES"/>
        </w:rPr>
        <w:t xml:space="preserve"> CREG 063 </w:t>
      </w:r>
      <w:r w:rsidRPr="008943FC">
        <w:rPr>
          <w:rFonts w:ascii="Arial" w:eastAsia="MS Mincho" w:hAnsi="Arial" w:cs="Arial"/>
          <w:sz w:val="24"/>
          <w:szCs w:val="24"/>
          <w:lang w:val="es-ES"/>
        </w:rPr>
        <w:lastRenderedPageBreak/>
        <w:t>de 2016 para cada distribuidor de GLP, en los términos allí previstos</w:t>
      </w:r>
      <w:r w:rsidRPr="00C84927">
        <w:rPr>
          <w:rFonts w:ascii="Arial" w:eastAsia="MS Mincho" w:hAnsi="Arial" w:cs="Arial"/>
          <w:sz w:val="24"/>
          <w:szCs w:val="24"/>
          <w:lang w:val="es-ES"/>
        </w:rPr>
        <w:t xml:space="preserve">, aplicable para el </w:t>
      </w:r>
      <w:r w:rsidR="002562A8" w:rsidRPr="00C84927">
        <w:rPr>
          <w:rFonts w:ascii="Arial" w:eastAsia="MS Mincho" w:hAnsi="Arial" w:cs="Arial"/>
          <w:sz w:val="24"/>
          <w:szCs w:val="24"/>
          <w:lang w:val="es-ES"/>
        </w:rPr>
        <w:t xml:space="preserve">décimo </w:t>
      </w:r>
      <w:r w:rsidR="004B14CB" w:rsidRPr="00C84927">
        <w:rPr>
          <w:rFonts w:ascii="Arial" w:eastAsia="MS Mincho" w:hAnsi="Arial" w:cs="Arial"/>
          <w:sz w:val="24"/>
          <w:szCs w:val="24"/>
          <w:lang w:val="es-ES"/>
        </w:rPr>
        <w:t>sex</w:t>
      </w:r>
      <w:r w:rsidR="00B87C62" w:rsidRPr="00C84927">
        <w:rPr>
          <w:rFonts w:ascii="Arial" w:eastAsia="MS Mincho" w:hAnsi="Arial" w:cs="Arial"/>
          <w:sz w:val="24"/>
          <w:szCs w:val="24"/>
          <w:lang w:val="es-ES"/>
        </w:rPr>
        <w:t>to</w:t>
      </w:r>
      <w:r w:rsidR="00D7371E" w:rsidRPr="00C84927">
        <w:rPr>
          <w:rFonts w:ascii="Arial" w:eastAsia="MS Mincho" w:hAnsi="Arial" w:cs="Arial"/>
          <w:sz w:val="24"/>
          <w:szCs w:val="24"/>
          <w:lang w:val="es-ES"/>
        </w:rPr>
        <w:t xml:space="preserve"> </w:t>
      </w:r>
      <w:r w:rsidR="00346950" w:rsidRPr="00C84927">
        <w:rPr>
          <w:rFonts w:ascii="Arial" w:eastAsia="MS Mincho" w:hAnsi="Arial" w:cs="Arial"/>
          <w:sz w:val="24"/>
          <w:szCs w:val="24"/>
          <w:lang w:val="es-ES"/>
        </w:rPr>
        <w:t>período de compra.</w:t>
      </w:r>
    </w:p>
    <w:p w14:paraId="2BE593E4" w14:textId="77777777" w:rsidR="00346950" w:rsidRPr="008943FC" w:rsidRDefault="00346950" w:rsidP="00986A80">
      <w:pPr>
        <w:spacing w:after="0" w:line="360" w:lineRule="auto"/>
        <w:jc w:val="both"/>
        <w:rPr>
          <w:rFonts w:ascii="Arial" w:eastAsia="MS Mincho" w:hAnsi="Arial" w:cs="Arial"/>
          <w:sz w:val="24"/>
          <w:szCs w:val="24"/>
          <w:lang w:val="es-ES"/>
        </w:rPr>
      </w:pPr>
    </w:p>
    <w:p w14:paraId="216763BA" w14:textId="6F754F56" w:rsidR="00DE5054" w:rsidRPr="008943FC" w:rsidRDefault="00AE4E4C" w:rsidP="00986A80">
      <w:pPr>
        <w:spacing w:after="0" w:line="360" w:lineRule="auto"/>
        <w:jc w:val="both"/>
        <w:rPr>
          <w:rFonts w:ascii="Arial" w:eastAsia="MS Mincho" w:hAnsi="Arial" w:cs="Arial"/>
          <w:sz w:val="24"/>
          <w:szCs w:val="24"/>
          <w:lang w:val="es-ES"/>
        </w:rPr>
      </w:pPr>
      <w:r w:rsidRPr="008943FC">
        <w:rPr>
          <w:rFonts w:ascii="Arial" w:eastAsia="MS Mincho" w:hAnsi="Arial" w:cs="Arial"/>
          <w:sz w:val="24"/>
          <w:szCs w:val="24"/>
          <w:lang w:val="es-ES"/>
        </w:rPr>
        <w:t xml:space="preserve">Lo anterior, en la medida </w:t>
      </w:r>
      <w:r w:rsidR="00A47D41" w:rsidRPr="008943FC">
        <w:rPr>
          <w:rFonts w:ascii="Arial" w:eastAsia="MS Mincho" w:hAnsi="Arial" w:cs="Arial"/>
          <w:sz w:val="24"/>
          <w:szCs w:val="24"/>
          <w:lang w:val="es-ES"/>
        </w:rPr>
        <w:t xml:space="preserve">en </w:t>
      </w:r>
      <w:r w:rsidRPr="008943FC">
        <w:rPr>
          <w:rFonts w:ascii="Arial" w:eastAsia="MS Mincho" w:hAnsi="Arial" w:cs="Arial"/>
          <w:sz w:val="24"/>
          <w:szCs w:val="24"/>
          <w:lang w:val="es-ES"/>
        </w:rPr>
        <w:t>que</w:t>
      </w:r>
      <w:r w:rsidR="008C7C6D" w:rsidRPr="008943FC">
        <w:rPr>
          <w:rFonts w:ascii="Arial" w:eastAsia="MS Mincho" w:hAnsi="Arial" w:cs="Arial"/>
          <w:sz w:val="24"/>
          <w:szCs w:val="24"/>
          <w:lang w:val="es-ES"/>
        </w:rPr>
        <w:t xml:space="preserve"> la información del SUI </w:t>
      </w:r>
      <w:r w:rsidRPr="008943FC">
        <w:rPr>
          <w:rFonts w:ascii="Arial" w:eastAsia="MS Mincho" w:hAnsi="Arial" w:cs="Arial"/>
          <w:sz w:val="24"/>
          <w:szCs w:val="24"/>
          <w:lang w:val="es-ES"/>
        </w:rPr>
        <w:t xml:space="preserve">corresponde a aquella con la cual se </w:t>
      </w:r>
      <w:r w:rsidR="008C7C6D" w:rsidRPr="008943FC">
        <w:rPr>
          <w:rFonts w:ascii="Arial" w:eastAsia="MS Mincho" w:hAnsi="Arial" w:cs="Arial"/>
          <w:sz w:val="24"/>
          <w:szCs w:val="24"/>
          <w:lang w:val="es-ES"/>
        </w:rPr>
        <w:t>debe determinar la capacidad de compra en los términos del artículo 14 de l</w:t>
      </w:r>
      <w:r w:rsidR="003401B5" w:rsidRPr="008943FC">
        <w:rPr>
          <w:rFonts w:ascii="Arial" w:eastAsia="MS Mincho" w:hAnsi="Arial" w:cs="Arial"/>
          <w:sz w:val="24"/>
          <w:szCs w:val="24"/>
          <w:lang w:val="es-ES"/>
        </w:rPr>
        <w:t>a Ley 689 de 2001 y la Resolución CREG 063 de 2016.</w:t>
      </w:r>
      <w:r w:rsidRPr="008943FC">
        <w:rPr>
          <w:rFonts w:ascii="Arial" w:eastAsia="MS Mincho" w:hAnsi="Arial" w:cs="Arial"/>
          <w:sz w:val="24"/>
          <w:szCs w:val="24"/>
          <w:lang w:val="es-ES"/>
        </w:rPr>
        <w:t xml:space="preserve"> Esto, teniendo en cuenta que dicha</w:t>
      </w:r>
      <w:r w:rsidR="003401B5" w:rsidRPr="008943FC">
        <w:rPr>
          <w:rFonts w:ascii="Arial" w:eastAsia="MS Mincho" w:hAnsi="Arial" w:cs="Arial"/>
          <w:sz w:val="24"/>
          <w:szCs w:val="24"/>
          <w:lang w:val="es-ES"/>
        </w:rPr>
        <w:t xml:space="preserve"> información y su reporte</w:t>
      </w:r>
      <w:r w:rsidR="004A1394" w:rsidRPr="008943FC">
        <w:rPr>
          <w:rFonts w:ascii="Arial" w:eastAsia="MS Mincho" w:hAnsi="Arial" w:cs="Arial"/>
          <w:sz w:val="24"/>
          <w:szCs w:val="24"/>
          <w:lang w:val="es-ES"/>
        </w:rPr>
        <w:t xml:space="preserve"> al SUI</w:t>
      </w:r>
      <w:r w:rsidR="003401B5" w:rsidRPr="008943FC">
        <w:rPr>
          <w:rFonts w:ascii="Arial" w:eastAsia="MS Mincho" w:hAnsi="Arial" w:cs="Arial"/>
          <w:sz w:val="24"/>
          <w:szCs w:val="24"/>
          <w:lang w:val="es-ES"/>
        </w:rPr>
        <w:t xml:space="preserve"> corresponde a una obligación regulatoria a cargo de los distribuidores prevista en la Resolución CREG 023 de 2008, cuya aplicación se encuentra prevista y definida en las Circulares CREG – SSPD 001 de 2004 y 001 de 2017. </w:t>
      </w:r>
    </w:p>
    <w:p w14:paraId="16699E81" w14:textId="77777777" w:rsidR="00513B41" w:rsidRPr="008943FC" w:rsidRDefault="00513B41" w:rsidP="00986A80">
      <w:pPr>
        <w:spacing w:after="0" w:line="360" w:lineRule="auto"/>
        <w:jc w:val="both"/>
        <w:rPr>
          <w:rFonts w:ascii="Arial" w:eastAsia="MS Mincho" w:hAnsi="Arial" w:cs="Arial"/>
          <w:sz w:val="24"/>
          <w:szCs w:val="24"/>
          <w:lang w:val="es-ES"/>
        </w:rPr>
      </w:pPr>
    </w:p>
    <w:p w14:paraId="6CF27CB9" w14:textId="188AC493" w:rsidR="00513B41" w:rsidRPr="008943FC" w:rsidRDefault="00513B41" w:rsidP="00986A80">
      <w:pPr>
        <w:spacing w:after="0" w:line="360" w:lineRule="auto"/>
        <w:jc w:val="both"/>
        <w:rPr>
          <w:rFonts w:ascii="Arial" w:eastAsia="MS Mincho" w:hAnsi="Arial" w:cs="Arial"/>
          <w:sz w:val="24"/>
          <w:szCs w:val="24"/>
          <w:lang w:val="es-ES"/>
        </w:rPr>
      </w:pPr>
      <w:r w:rsidRPr="008943FC">
        <w:rPr>
          <w:rFonts w:ascii="Arial" w:eastAsia="MS Mincho" w:hAnsi="Arial" w:cs="Arial"/>
          <w:sz w:val="24"/>
          <w:szCs w:val="24"/>
          <w:lang w:val="es-ES"/>
        </w:rPr>
        <w:t>Esta información hace parte de</w:t>
      </w:r>
      <w:r w:rsidR="008A6E58" w:rsidRPr="008943FC">
        <w:rPr>
          <w:rFonts w:ascii="Arial" w:eastAsia="MS Mincho" w:hAnsi="Arial" w:cs="Arial"/>
          <w:sz w:val="24"/>
          <w:szCs w:val="24"/>
          <w:lang w:val="es-ES"/>
        </w:rPr>
        <w:t>l</w:t>
      </w:r>
      <w:r w:rsidRPr="008943FC">
        <w:rPr>
          <w:rFonts w:ascii="Arial" w:eastAsia="MS Mincho" w:hAnsi="Arial" w:cs="Arial"/>
          <w:sz w:val="24"/>
          <w:szCs w:val="24"/>
          <w:lang w:val="es-ES"/>
        </w:rPr>
        <w:t xml:space="preserve"> expediente administrativo</w:t>
      </w:r>
      <w:r w:rsidR="00EF2E57" w:rsidRPr="008943FC">
        <w:rPr>
          <w:rFonts w:ascii="Arial" w:eastAsia="MS Mincho" w:hAnsi="Arial" w:cs="Arial"/>
          <w:sz w:val="24"/>
          <w:szCs w:val="24"/>
          <w:lang w:val="es-ES"/>
        </w:rPr>
        <w:t xml:space="preserve"> </w:t>
      </w:r>
      <w:r w:rsidR="00052646" w:rsidRPr="00C84927">
        <w:rPr>
          <w:rFonts w:ascii="Arial" w:eastAsia="MS Mincho" w:hAnsi="Arial" w:cs="Arial"/>
          <w:sz w:val="24"/>
          <w:szCs w:val="24"/>
          <w:lang w:val="es-ES"/>
        </w:rPr>
        <w:t>20230156</w:t>
      </w:r>
      <w:r w:rsidRPr="008943FC">
        <w:rPr>
          <w:rFonts w:ascii="Arial" w:eastAsia="MS Mincho" w:hAnsi="Arial" w:cs="Arial"/>
          <w:sz w:val="24"/>
          <w:szCs w:val="24"/>
          <w:lang w:val="es-ES"/>
        </w:rPr>
        <w:t xml:space="preserve"> dentro del trámite de la actuación administrativa en el marco del debido proceso y el derecho de defensa.</w:t>
      </w:r>
    </w:p>
    <w:p w14:paraId="2DA7B873" w14:textId="0A8C63D3" w:rsidR="00FD554B" w:rsidRPr="008943FC" w:rsidRDefault="00FD554B" w:rsidP="00986A80">
      <w:pPr>
        <w:spacing w:after="0" w:line="360" w:lineRule="auto"/>
        <w:jc w:val="both"/>
        <w:rPr>
          <w:rFonts w:ascii="Arial" w:eastAsia="MS Mincho" w:hAnsi="Arial" w:cs="Arial"/>
          <w:sz w:val="24"/>
          <w:szCs w:val="24"/>
          <w:lang w:val="es-ES"/>
        </w:rPr>
      </w:pPr>
    </w:p>
    <w:p w14:paraId="4EBA52D7" w14:textId="23FCF43D" w:rsidR="00234404" w:rsidRPr="008943FC" w:rsidRDefault="001303F4" w:rsidP="00986A80">
      <w:pPr>
        <w:spacing w:after="0" w:line="360" w:lineRule="auto"/>
        <w:jc w:val="both"/>
        <w:rPr>
          <w:rFonts w:ascii="Arial" w:eastAsia="MS Mincho" w:hAnsi="Arial" w:cs="Arial"/>
          <w:sz w:val="24"/>
          <w:szCs w:val="24"/>
          <w:lang w:val="es-ES"/>
        </w:rPr>
      </w:pPr>
      <w:bookmarkStart w:id="2" w:name="_Hlk37682999"/>
      <w:r w:rsidRPr="008943FC">
        <w:rPr>
          <w:rFonts w:ascii="Arial" w:eastAsia="MS Mincho" w:hAnsi="Arial" w:cs="Arial"/>
          <w:sz w:val="24"/>
          <w:szCs w:val="24"/>
          <w:lang w:val="es-ES"/>
        </w:rPr>
        <w:t>Lo previsto en el artículo</w:t>
      </w:r>
      <w:r w:rsidR="00501071" w:rsidRPr="008943FC">
        <w:rPr>
          <w:rFonts w:ascii="Arial" w:eastAsia="MS Mincho" w:hAnsi="Arial" w:cs="Arial"/>
          <w:sz w:val="24"/>
          <w:szCs w:val="24"/>
          <w:lang w:val="es-ES"/>
        </w:rPr>
        <w:t xml:space="preserve"> 8 de la Resolución CREG 063 de 2016</w:t>
      </w:r>
      <w:r w:rsidRPr="008943FC">
        <w:rPr>
          <w:rFonts w:ascii="Arial" w:eastAsia="MS Mincho" w:hAnsi="Arial" w:cs="Arial"/>
          <w:sz w:val="24"/>
          <w:szCs w:val="24"/>
          <w:lang w:val="es-ES"/>
        </w:rPr>
        <w:t xml:space="preserve"> </w:t>
      </w:r>
      <w:r w:rsidR="00234404" w:rsidRPr="008943FC">
        <w:rPr>
          <w:rFonts w:ascii="Arial" w:eastAsia="MS Mincho" w:hAnsi="Arial" w:cs="Arial"/>
          <w:sz w:val="24"/>
          <w:szCs w:val="24"/>
          <w:lang w:val="es-ES"/>
        </w:rPr>
        <w:t>debe entender</w:t>
      </w:r>
      <w:r w:rsidRPr="008943FC">
        <w:rPr>
          <w:rFonts w:ascii="Arial" w:eastAsia="MS Mincho" w:hAnsi="Arial" w:cs="Arial"/>
          <w:sz w:val="24"/>
          <w:szCs w:val="24"/>
          <w:lang w:val="es-ES"/>
        </w:rPr>
        <w:t>se</w:t>
      </w:r>
      <w:r w:rsidR="00234404" w:rsidRPr="008943FC">
        <w:rPr>
          <w:rFonts w:ascii="Arial" w:eastAsia="MS Mincho" w:hAnsi="Arial" w:cs="Arial"/>
          <w:sz w:val="24"/>
          <w:szCs w:val="24"/>
          <w:lang w:val="es-ES"/>
        </w:rPr>
        <w:t xml:space="preserve"> concordante con lo establecido en el artículo 14 de la Ley 689 de 20</w:t>
      </w:r>
      <w:r w:rsidR="00143447" w:rsidRPr="008943FC">
        <w:rPr>
          <w:rFonts w:ascii="Arial" w:eastAsia="MS Mincho" w:hAnsi="Arial" w:cs="Arial"/>
          <w:sz w:val="24"/>
          <w:szCs w:val="24"/>
          <w:lang w:val="es-ES"/>
        </w:rPr>
        <w:t>0</w:t>
      </w:r>
      <w:r w:rsidR="00234404" w:rsidRPr="008943FC">
        <w:rPr>
          <w:rFonts w:ascii="Arial" w:eastAsia="MS Mincho" w:hAnsi="Arial" w:cs="Arial"/>
          <w:sz w:val="24"/>
          <w:szCs w:val="24"/>
          <w:lang w:val="es-ES"/>
        </w:rPr>
        <w:t>1 y el carácter oficial de la información reportada por los agentes en el Sistema Único de Información</w:t>
      </w:r>
      <w:r w:rsidR="00A47D41" w:rsidRPr="008943FC">
        <w:rPr>
          <w:rFonts w:ascii="Arial" w:eastAsia="MS Mincho" w:hAnsi="Arial" w:cs="Arial"/>
          <w:sz w:val="24"/>
          <w:szCs w:val="24"/>
          <w:lang w:val="es-ES"/>
        </w:rPr>
        <w:t>,</w:t>
      </w:r>
      <w:r w:rsidR="00234404" w:rsidRPr="008943FC">
        <w:rPr>
          <w:rFonts w:ascii="Arial" w:eastAsia="MS Mincho" w:hAnsi="Arial" w:cs="Arial"/>
          <w:sz w:val="24"/>
          <w:szCs w:val="24"/>
          <w:lang w:val="es-ES"/>
        </w:rPr>
        <w:t xml:space="preserve"> SUI</w:t>
      </w:r>
      <w:r w:rsidR="00A47D41" w:rsidRPr="008943FC">
        <w:rPr>
          <w:rFonts w:ascii="Arial" w:eastAsia="MS Mincho" w:hAnsi="Arial" w:cs="Arial"/>
          <w:sz w:val="24"/>
          <w:szCs w:val="24"/>
          <w:lang w:val="es-ES"/>
        </w:rPr>
        <w:t>,</w:t>
      </w:r>
      <w:r w:rsidR="00234404" w:rsidRPr="008943FC">
        <w:rPr>
          <w:rFonts w:ascii="Arial" w:eastAsia="MS Mincho" w:hAnsi="Arial" w:cs="Arial"/>
          <w:sz w:val="24"/>
          <w:szCs w:val="24"/>
          <w:lang w:val="es-ES"/>
        </w:rPr>
        <w:t xml:space="preserve"> y el Registro Único de Prestadores</w:t>
      </w:r>
      <w:r w:rsidR="00A47D41" w:rsidRPr="008943FC">
        <w:rPr>
          <w:rFonts w:ascii="Arial" w:eastAsia="MS Mincho" w:hAnsi="Arial" w:cs="Arial"/>
          <w:sz w:val="24"/>
          <w:szCs w:val="24"/>
          <w:lang w:val="es-ES"/>
        </w:rPr>
        <w:t>,</w:t>
      </w:r>
      <w:r w:rsidR="00234404" w:rsidRPr="008943FC">
        <w:rPr>
          <w:rFonts w:ascii="Arial" w:eastAsia="MS Mincho" w:hAnsi="Arial" w:cs="Arial"/>
          <w:sz w:val="24"/>
          <w:szCs w:val="24"/>
          <w:lang w:val="es-ES"/>
        </w:rPr>
        <w:t xml:space="preserve"> RUPS</w:t>
      </w:r>
      <w:bookmarkStart w:id="3" w:name="_Hlk37683024"/>
      <w:bookmarkEnd w:id="2"/>
      <w:r w:rsidR="00D569AB" w:rsidRPr="008943FC">
        <w:rPr>
          <w:rFonts w:ascii="Arial" w:eastAsia="MS Mincho" w:hAnsi="Arial" w:cs="Arial"/>
          <w:sz w:val="24"/>
          <w:szCs w:val="24"/>
          <w:lang w:val="es-ES"/>
        </w:rPr>
        <w:t xml:space="preserve">. </w:t>
      </w:r>
      <w:bookmarkEnd w:id="3"/>
    </w:p>
    <w:p w14:paraId="10EE4A98" w14:textId="77777777" w:rsidR="00AE4E4C" w:rsidRPr="008943FC" w:rsidRDefault="00AE4E4C" w:rsidP="00986A80">
      <w:pPr>
        <w:spacing w:after="0" w:line="360" w:lineRule="auto"/>
        <w:jc w:val="both"/>
        <w:rPr>
          <w:rFonts w:ascii="Arial" w:eastAsia="MS Mincho" w:hAnsi="Arial" w:cs="Arial"/>
          <w:sz w:val="24"/>
          <w:szCs w:val="24"/>
          <w:lang w:val="es-ES"/>
        </w:rPr>
      </w:pPr>
    </w:p>
    <w:p w14:paraId="24BF4FAA" w14:textId="773FE0AA" w:rsidR="001303F4" w:rsidRPr="008943FC" w:rsidRDefault="003401B5" w:rsidP="00986A80">
      <w:pPr>
        <w:spacing w:after="0" w:line="360" w:lineRule="auto"/>
        <w:jc w:val="both"/>
        <w:rPr>
          <w:rFonts w:ascii="Arial" w:hAnsi="Arial" w:cs="Arial"/>
          <w:sz w:val="24"/>
          <w:szCs w:val="24"/>
        </w:rPr>
      </w:pPr>
      <w:r w:rsidRPr="008943FC">
        <w:rPr>
          <w:rFonts w:ascii="Arial" w:eastAsia="MS Mincho" w:hAnsi="Arial" w:cs="Arial"/>
          <w:sz w:val="24"/>
          <w:szCs w:val="24"/>
          <w:lang w:val="es-ES"/>
        </w:rPr>
        <w:t>Finalmente, esta</w:t>
      </w:r>
      <w:r w:rsidR="00DE5054" w:rsidRPr="008943FC">
        <w:rPr>
          <w:rFonts w:ascii="Arial" w:eastAsia="MS Mincho" w:hAnsi="Arial" w:cs="Arial"/>
          <w:sz w:val="24"/>
          <w:szCs w:val="24"/>
          <w:lang w:val="es-ES"/>
        </w:rPr>
        <w:t xml:space="preserve"> capacidad es aplicable a los distribuidores que directamente</w:t>
      </w:r>
      <w:r w:rsidR="00A47D41" w:rsidRPr="008943FC">
        <w:rPr>
          <w:rFonts w:ascii="Arial" w:eastAsia="MS Mincho" w:hAnsi="Arial" w:cs="Arial"/>
          <w:sz w:val="24"/>
          <w:szCs w:val="24"/>
          <w:lang w:val="es-ES"/>
        </w:rPr>
        <w:t>,</w:t>
      </w:r>
      <w:r w:rsidR="00DE5054" w:rsidRPr="008943FC">
        <w:rPr>
          <w:rFonts w:ascii="Arial" w:eastAsia="MS Mincho" w:hAnsi="Arial" w:cs="Arial"/>
          <w:sz w:val="24"/>
          <w:szCs w:val="24"/>
          <w:lang w:val="es-ES"/>
        </w:rPr>
        <w:t xml:space="preserve"> o representados por un comercializador mayorista, compran GLP a</w:t>
      </w:r>
      <w:r w:rsidR="003F59E4" w:rsidRPr="008943FC">
        <w:rPr>
          <w:rFonts w:ascii="Arial" w:eastAsia="MS Mincho" w:hAnsi="Arial" w:cs="Arial"/>
          <w:sz w:val="24"/>
          <w:szCs w:val="24"/>
          <w:lang w:val="es-ES"/>
        </w:rPr>
        <w:t xml:space="preserve"> los</w:t>
      </w:r>
      <w:r w:rsidR="00DE5054" w:rsidRPr="008943FC">
        <w:rPr>
          <w:rFonts w:ascii="Arial" w:eastAsia="MS Mincho" w:hAnsi="Arial" w:cs="Arial"/>
          <w:sz w:val="24"/>
          <w:szCs w:val="24"/>
          <w:lang w:val="es-ES"/>
        </w:rPr>
        <w:t xml:space="preserve"> comercializadores mayoristas que venden GLP a distribuidores, así como aquellos agentes que realizan la actividad de distribución de GLP en los términos de la Resolución CREG 023 de 2008 o aquella que la modifique, derogue o sustituya</w:t>
      </w:r>
      <w:r w:rsidR="00A47D41" w:rsidRPr="008943FC">
        <w:rPr>
          <w:rFonts w:ascii="Arial" w:eastAsia="MS Mincho" w:hAnsi="Arial" w:cs="Arial"/>
          <w:sz w:val="24"/>
          <w:szCs w:val="24"/>
          <w:lang w:val="es-ES"/>
        </w:rPr>
        <w:t>,</w:t>
      </w:r>
      <w:r w:rsidR="00DE5054" w:rsidRPr="008943FC">
        <w:rPr>
          <w:rFonts w:ascii="Arial" w:eastAsia="MS Mincho" w:hAnsi="Arial" w:cs="Arial"/>
          <w:sz w:val="24"/>
          <w:szCs w:val="24"/>
          <w:lang w:val="es-ES"/>
        </w:rPr>
        <w:t xml:space="preserve"> y tiene efectos dentro de las actividades de comercialización mayorista y distribución de GLP, atendiendo lo dispuesto en la Resolución CREG 063 de 2016.</w:t>
      </w:r>
      <w:r w:rsidR="00AE4E4C" w:rsidRPr="008943FC">
        <w:rPr>
          <w:rFonts w:ascii="Arial" w:hAnsi="Arial" w:cs="Arial"/>
          <w:sz w:val="24"/>
          <w:szCs w:val="24"/>
        </w:rPr>
        <w:t xml:space="preserve"> </w:t>
      </w:r>
    </w:p>
    <w:p w14:paraId="243B2E9E" w14:textId="77777777" w:rsidR="00F11977" w:rsidRPr="008943FC" w:rsidRDefault="00F11977" w:rsidP="00986A80">
      <w:pPr>
        <w:spacing w:after="0" w:line="360" w:lineRule="auto"/>
        <w:jc w:val="both"/>
        <w:rPr>
          <w:rFonts w:ascii="Arial" w:hAnsi="Arial" w:cs="Arial"/>
          <w:sz w:val="24"/>
          <w:szCs w:val="24"/>
        </w:rPr>
      </w:pPr>
    </w:p>
    <w:p w14:paraId="37B76F07" w14:textId="77777777" w:rsidR="00EF3105" w:rsidRPr="008943FC" w:rsidRDefault="00DE5054" w:rsidP="00986A80">
      <w:pPr>
        <w:spacing w:after="0" w:line="360" w:lineRule="auto"/>
        <w:jc w:val="both"/>
        <w:rPr>
          <w:rFonts w:ascii="Arial" w:eastAsia="Times New Roman" w:hAnsi="Arial" w:cs="Arial"/>
          <w:sz w:val="24"/>
          <w:szCs w:val="24"/>
          <w:lang w:val="es-ES" w:eastAsia="es-ES"/>
        </w:rPr>
      </w:pPr>
      <w:r w:rsidRPr="008943FC">
        <w:rPr>
          <w:rFonts w:ascii="Arial" w:eastAsia="Times New Roman" w:hAnsi="Arial" w:cs="Arial"/>
          <w:sz w:val="24"/>
          <w:szCs w:val="24"/>
          <w:lang w:val="es-ES" w:eastAsia="es-ES"/>
        </w:rPr>
        <w:t>Con base en lo establecido en el artículo 4 del Decreto 2897 de 2010</w:t>
      </w:r>
      <w:r w:rsidRPr="008943FC">
        <w:rPr>
          <w:rFonts w:ascii="Arial" w:eastAsia="Times New Roman" w:hAnsi="Arial" w:cs="Arial"/>
          <w:sz w:val="24"/>
          <w:szCs w:val="24"/>
          <w:vertAlign w:val="superscript"/>
          <w:lang w:val="es-ES" w:eastAsia="es-ES"/>
        </w:rPr>
        <w:footnoteReference w:id="4"/>
      </w:r>
      <w:r w:rsidRPr="008943FC">
        <w:rPr>
          <w:rFonts w:ascii="Arial" w:eastAsia="Times New Roman" w:hAnsi="Arial" w:cs="Arial"/>
          <w:sz w:val="24"/>
          <w:szCs w:val="24"/>
          <w:lang w:val="es-ES" w:eastAsia="es-ES"/>
        </w:rPr>
        <w:t>, reglamentario de la Ley 1340 de 2009, se respondió el cuestionario establecido por la Superintendencia de Industria y Comercio para efectos de evaluar la incidencia sobre la libre competencia de los mercados, donde</w:t>
      </w:r>
      <w:r w:rsidR="00F96972" w:rsidRPr="008943FC">
        <w:rPr>
          <w:rFonts w:ascii="Arial" w:eastAsia="Times New Roman" w:hAnsi="Arial" w:cs="Arial"/>
          <w:sz w:val="24"/>
          <w:szCs w:val="24"/>
          <w:lang w:val="es-ES" w:eastAsia="es-ES"/>
        </w:rPr>
        <w:t>,</w:t>
      </w:r>
      <w:r w:rsidRPr="008943FC">
        <w:rPr>
          <w:rFonts w:ascii="Arial" w:eastAsia="Times New Roman" w:hAnsi="Arial" w:cs="Arial"/>
          <w:sz w:val="24"/>
          <w:szCs w:val="24"/>
          <w:lang w:val="es-ES" w:eastAsia="es-ES"/>
        </w:rPr>
        <w:t xml:space="preserve"> aplicando las reglas allí previstas, la respuesta al conjunto de preguntas fue negativa, en la medida en que no plantea ninguna restricción indebida a </w:t>
      </w:r>
      <w:r w:rsidRPr="008943FC">
        <w:rPr>
          <w:rFonts w:ascii="Arial" w:eastAsia="Times New Roman" w:hAnsi="Arial" w:cs="Arial"/>
          <w:sz w:val="24"/>
          <w:szCs w:val="24"/>
          <w:lang w:val="es-ES" w:eastAsia="es-ES"/>
        </w:rPr>
        <w:lastRenderedPageBreak/>
        <w:t xml:space="preserve">la libre competencia, toda vez que esto corresponde a la definición de situaciones administrativas particulares como parte de la aplicación de los artículos 8 y 9 de la Resolución CREG 063 de 2016. </w:t>
      </w:r>
    </w:p>
    <w:p w14:paraId="791D7A9C" w14:textId="77777777" w:rsidR="00EF3105" w:rsidRPr="008943FC" w:rsidRDefault="00EF3105" w:rsidP="00986A80">
      <w:pPr>
        <w:spacing w:after="0" w:line="360" w:lineRule="auto"/>
        <w:jc w:val="both"/>
        <w:rPr>
          <w:rFonts w:ascii="Arial" w:eastAsia="Times New Roman" w:hAnsi="Arial" w:cs="Arial"/>
          <w:sz w:val="24"/>
          <w:szCs w:val="24"/>
          <w:lang w:val="es-ES" w:eastAsia="es-ES"/>
        </w:rPr>
      </w:pPr>
    </w:p>
    <w:p w14:paraId="76B3AE4B" w14:textId="3226C1DD" w:rsidR="00DE5054" w:rsidRPr="008943FC" w:rsidRDefault="00DE5054" w:rsidP="00986A80">
      <w:pPr>
        <w:spacing w:after="0" w:line="360" w:lineRule="auto"/>
        <w:jc w:val="both"/>
        <w:rPr>
          <w:rFonts w:ascii="Arial" w:eastAsia="Times New Roman" w:hAnsi="Arial" w:cs="Arial"/>
          <w:sz w:val="24"/>
          <w:szCs w:val="24"/>
          <w:lang w:val="es-ES" w:eastAsia="es-ES"/>
        </w:rPr>
      </w:pPr>
      <w:r w:rsidRPr="008943FC">
        <w:rPr>
          <w:rFonts w:ascii="Arial" w:eastAsia="Times New Roman" w:hAnsi="Arial" w:cs="Arial"/>
          <w:sz w:val="24"/>
          <w:szCs w:val="24"/>
          <w:lang w:val="es-ES" w:eastAsia="es-ES"/>
        </w:rPr>
        <w:t xml:space="preserve">En el </w:t>
      </w:r>
      <w:r w:rsidRPr="00766EA4">
        <w:rPr>
          <w:rFonts w:ascii="Arial" w:eastAsia="Times New Roman" w:hAnsi="Arial" w:cs="Arial"/>
          <w:sz w:val="24"/>
          <w:szCs w:val="24"/>
          <w:lang w:val="es-ES" w:eastAsia="es-ES"/>
        </w:rPr>
        <w:t xml:space="preserve">Documento CREG </w:t>
      </w:r>
      <w:r w:rsidR="00766EA4" w:rsidRPr="00766EA4">
        <w:rPr>
          <w:rFonts w:ascii="Arial" w:eastAsia="Times New Roman" w:hAnsi="Arial" w:cs="Arial"/>
          <w:sz w:val="24"/>
          <w:szCs w:val="24"/>
          <w:lang w:val="es-ES" w:eastAsia="es-ES"/>
        </w:rPr>
        <w:t>903 003</w:t>
      </w:r>
      <w:r w:rsidRPr="00766EA4">
        <w:rPr>
          <w:rFonts w:ascii="Arial" w:eastAsia="Times New Roman" w:hAnsi="Arial" w:cs="Arial"/>
          <w:sz w:val="24"/>
          <w:szCs w:val="24"/>
          <w:lang w:val="es-ES" w:eastAsia="es-ES"/>
        </w:rPr>
        <w:t xml:space="preserve"> de</w:t>
      </w:r>
      <w:r w:rsidR="00367B97" w:rsidRPr="00766EA4">
        <w:rPr>
          <w:rFonts w:ascii="Arial" w:eastAsia="Times New Roman" w:hAnsi="Arial" w:cs="Arial"/>
          <w:sz w:val="24"/>
          <w:szCs w:val="24"/>
          <w:lang w:val="es-ES" w:eastAsia="es-ES"/>
        </w:rPr>
        <w:t xml:space="preserve">l </w:t>
      </w:r>
      <w:r w:rsidR="00766EA4" w:rsidRPr="00766EA4">
        <w:rPr>
          <w:rFonts w:ascii="Arial" w:eastAsia="Times New Roman" w:hAnsi="Arial" w:cs="Arial"/>
          <w:sz w:val="24"/>
          <w:szCs w:val="24"/>
          <w:lang w:val="es-ES" w:eastAsia="es-ES"/>
        </w:rPr>
        <w:t>30</w:t>
      </w:r>
      <w:r w:rsidR="000153B4" w:rsidRPr="00766EA4">
        <w:rPr>
          <w:rFonts w:ascii="Arial" w:eastAsia="Times New Roman" w:hAnsi="Arial" w:cs="Arial"/>
          <w:sz w:val="24"/>
          <w:szCs w:val="24"/>
          <w:lang w:val="es-ES" w:eastAsia="es-ES"/>
        </w:rPr>
        <w:t xml:space="preserve"> </w:t>
      </w:r>
      <w:r w:rsidR="00367B97" w:rsidRPr="00766EA4">
        <w:rPr>
          <w:rFonts w:ascii="Arial" w:eastAsia="Times New Roman" w:hAnsi="Arial" w:cs="Arial"/>
          <w:sz w:val="24"/>
          <w:szCs w:val="24"/>
          <w:lang w:val="es-ES" w:eastAsia="es-ES"/>
        </w:rPr>
        <w:t>de</w:t>
      </w:r>
      <w:r w:rsidRPr="00766EA4">
        <w:rPr>
          <w:rFonts w:ascii="Arial" w:eastAsia="Times New Roman" w:hAnsi="Arial" w:cs="Arial"/>
          <w:sz w:val="24"/>
          <w:szCs w:val="24"/>
          <w:lang w:val="es-ES" w:eastAsia="es-ES"/>
        </w:rPr>
        <w:t xml:space="preserve"> </w:t>
      </w:r>
      <w:r w:rsidR="00766EA4" w:rsidRPr="00766EA4">
        <w:rPr>
          <w:rFonts w:ascii="Arial" w:eastAsia="Times New Roman" w:hAnsi="Arial" w:cs="Arial"/>
          <w:sz w:val="24"/>
          <w:szCs w:val="24"/>
          <w:lang w:val="es-ES" w:eastAsia="es-ES"/>
        </w:rPr>
        <w:t>enero</w:t>
      </w:r>
      <w:r w:rsidR="000153B4" w:rsidRPr="00766EA4">
        <w:rPr>
          <w:rFonts w:ascii="Arial" w:eastAsia="Times New Roman" w:hAnsi="Arial" w:cs="Arial"/>
          <w:sz w:val="24"/>
          <w:szCs w:val="24"/>
          <w:lang w:val="es-ES" w:eastAsia="es-ES"/>
        </w:rPr>
        <w:t xml:space="preserve"> </w:t>
      </w:r>
      <w:r w:rsidR="00981490" w:rsidRPr="00766EA4">
        <w:rPr>
          <w:rFonts w:ascii="Arial" w:eastAsia="Times New Roman" w:hAnsi="Arial" w:cs="Arial"/>
          <w:sz w:val="24"/>
          <w:szCs w:val="24"/>
          <w:lang w:val="es-ES" w:eastAsia="es-ES"/>
        </w:rPr>
        <w:t xml:space="preserve">de </w:t>
      </w:r>
      <w:r w:rsidR="003D171F" w:rsidRPr="00766EA4">
        <w:rPr>
          <w:rFonts w:ascii="Arial" w:eastAsia="Times New Roman" w:hAnsi="Arial" w:cs="Arial"/>
          <w:sz w:val="24"/>
          <w:szCs w:val="24"/>
          <w:lang w:val="es-ES" w:eastAsia="es-ES"/>
        </w:rPr>
        <w:t>20</w:t>
      </w:r>
      <w:r w:rsidR="00E676A3" w:rsidRPr="00766EA4">
        <w:rPr>
          <w:rFonts w:ascii="Arial" w:eastAsia="Times New Roman" w:hAnsi="Arial" w:cs="Arial"/>
          <w:sz w:val="24"/>
          <w:szCs w:val="24"/>
          <w:lang w:val="es-ES" w:eastAsia="es-ES"/>
        </w:rPr>
        <w:t>2</w:t>
      </w:r>
      <w:r w:rsidR="00C47945" w:rsidRPr="00766EA4">
        <w:rPr>
          <w:rFonts w:ascii="Arial" w:eastAsia="Times New Roman" w:hAnsi="Arial" w:cs="Arial"/>
          <w:sz w:val="24"/>
          <w:szCs w:val="24"/>
          <w:lang w:val="es-ES" w:eastAsia="es-ES"/>
        </w:rPr>
        <w:t>4</w:t>
      </w:r>
      <w:r w:rsidRPr="00766EA4">
        <w:rPr>
          <w:rFonts w:ascii="Arial" w:eastAsia="Times New Roman" w:hAnsi="Arial" w:cs="Arial"/>
          <w:sz w:val="24"/>
          <w:szCs w:val="24"/>
          <w:lang w:val="es-ES" w:eastAsia="es-ES"/>
        </w:rPr>
        <w:t xml:space="preserve"> </w:t>
      </w:r>
      <w:r w:rsidRPr="00766EA4" w:rsidDel="00992F7E">
        <w:rPr>
          <w:rFonts w:ascii="Arial" w:eastAsia="Times New Roman" w:hAnsi="Arial" w:cs="Arial"/>
          <w:sz w:val="24"/>
          <w:szCs w:val="24"/>
          <w:lang w:val="es-ES" w:eastAsia="es-ES"/>
        </w:rPr>
        <w:t>se</w:t>
      </w:r>
      <w:r w:rsidRPr="008943FC" w:rsidDel="00992F7E">
        <w:rPr>
          <w:rFonts w:ascii="Arial" w:eastAsia="Times New Roman" w:hAnsi="Arial" w:cs="Arial"/>
          <w:sz w:val="24"/>
          <w:szCs w:val="24"/>
          <w:lang w:val="es-ES" w:eastAsia="es-ES"/>
        </w:rPr>
        <w:t xml:space="preserve"> transcribe el </w:t>
      </w:r>
      <w:r w:rsidR="003D171F" w:rsidRPr="008943FC" w:rsidDel="00992F7E">
        <w:rPr>
          <w:rFonts w:ascii="Arial" w:eastAsia="Times New Roman" w:hAnsi="Arial" w:cs="Arial"/>
          <w:sz w:val="24"/>
          <w:szCs w:val="24"/>
          <w:lang w:val="es-ES" w:eastAsia="es-ES"/>
        </w:rPr>
        <w:t>cuestionario,</w:t>
      </w:r>
      <w:r w:rsidRPr="008943FC" w:rsidDel="00992F7E">
        <w:rPr>
          <w:rFonts w:ascii="Arial" w:eastAsia="Times New Roman" w:hAnsi="Arial" w:cs="Arial"/>
          <w:sz w:val="24"/>
          <w:szCs w:val="24"/>
          <w:lang w:val="es-ES" w:eastAsia="es-ES"/>
        </w:rPr>
        <w:t xml:space="preserve"> así como </w:t>
      </w:r>
      <w:r w:rsidRPr="008943FC">
        <w:rPr>
          <w:rFonts w:ascii="Arial" w:eastAsia="Times New Roman" w:hAnsi="Arial" w:cs="Arial"/>
          <w:sz w:val="24"/>
          <w:szCs w:val="24"/>
          <w:lang w:val="es-ES" w:eastAsia="es-ES"/>
        </w:rPr>
        <w:t>se expone el análisis</w:t>
      </w:r>
      <w:r w:rsidR="00283212" w:rsidRPr="008943FC">
        <w:rPr>
          <w:rFonts w:ascii="Arial" w:eastAsia="Times New Roman" w:hAnsi="Arial" w:cs="Arial"/>
          <w:sz w:val="24"/>
          <w:szCs w:val="24"/>
          <w:lang w:val="es-ES" w:eastAsia="es-ES"/>
        </w:rPr>
        <w:t xml:space="preserve"> y la forma como se lleva a cabo </w:t>
      </w:r>
      <w:r w:rsidRPr="008943FC">
        <w:rPr>
          <w:rFonts w:ascii="Arial" w:eastAsia="Times New Roman" w:hAnsi="Arial" w:cs="Arial"/>
          <w:sz w:val="24"/>
          <w:szCs w:val="24"/>
          <w:lang w:val="es-ES" w:eastAsia="es-ES"/>
        </w:rPr>
        <w:t xml:space="preserve">la definición de la capacidad de compra de los agentes distribuidores a que hace referencia </w:t>
      </w:r>
      <w:r w:rsidR="00283212" w:rsidRPr="008943FC">
        <w:rPr>
          <w:rFonts w:ascii="Arial" w:eastAsia="Times New Roman" w:hAnsi="Arial" w:cs="Arial"/>
          <w:sz w:val="24"/>
          <w:szCs w:val="24"/>
          <w:lang w:val="es-ES" w:eastAsia="es-ES"/>
        </w:rPr>
        <w:t xml:space="preserve">el artículo 1º de </w:t>
      </w:r>
      <w:r w:rsidRPr="008943FC">
        <w:rPr>
          <w:rFonts w:ascii="Arial" w:eastAsia="Times New Roman" w:hAnsi="Arial" w:cs="Arial"/>
          <w:sz w:val="24"/>
          <w:szCs w:val="24"/>
          <w:lang w:val="es-ES" w:eastAsia="es-ES"/>
        </w:rPr>
        <w:t>esta resolución</w:t>
      </w:r>
      <w:r w:rsidR="00283212" w:rsidRPr="008943FC">
        <w:rPr>
          <w:rFonts w:ascii="Arial" w:eastAsia="Times New Roman" w:hAnsi="Arial" w:cs="Arial"/>
          <w:sz w:val="24"/>
          <w:szCs w:val="24"/>
          <w:lang w:val="es-ES" w:eastAsia="es-ES"/>
        </w:rPr>
        <w:t>, aten</w:t>
      </w:r>
      <w:r w:rsidR="00CB44E5">
        <w:rPr>
          <w:rFonts w:ascii="Arial" w:eastAsia="Times New Roman" w:hAnsi="Arial" w:cs="Arial"/>
          <w:sz w:val="24"/>
          <w:szCs w:val="24"/>
          <w:lang w:val="es-ES" w:eastAsia="es-ES"/>
        </w:rPr>
        <w:t>d</w:t>
      </w:r>
      <w:r w:rsidR="00283212" w:rsidRPr="008943FC">
        <w:rPr>
          <w:rFonts w:ascii="Arial" w:eastAsia="Times New Roman" w:hAnsi="Arial" w:cs="Arial"/>
          <w:sz w:val="24"/>
          <w:szCs w:val="24"/>
          <w:lang w:val="es-ES" w:eastAsia="es-ES"/>
        </w:rPr>
        <w:t xml:space="preserve">iendo las </w:t>
      </w:r>
      <w:r w:rsidR="00234404" w:rsidRPr="008943FC">
        <w:rPr>
          <w:rFonts w:ascii="Arial" w:eastAsia="Times New Roman" w:hAnsi="Arial" w:cs="Arial"/>
          <w:sz w:val="24"/>
          <w:szCs w:val="24"/>
          <w:lang w:val="es-ES" w:eastAsia="es-ES"/>
        </w:rPr>
        <w:t>fórmulas</w:t>
      </w:r>
      <w:r w:rsidR="00283212" w:rsidRPr="008943FC">
        <w:rPr>
          <w:rFonts w:ascii="Arial" w:eastAsia="Times New Roman" w:hAnsi="Arial" w:cs="Arial"/>
          <w:sz w:val="24"/>
          <w:szCs w:val="24"/>
          <w:lang w:val="es-ES" w:eastAsia="es-ES"/>
        </w:rPr>
        <w:t xml:space="preserve"> establecidas en la Resolución CREG 063 de 2016 y sus modificaciones</w:t>
      </w:r>
      <w:r w:rsidRPr="008943FC">
        <w:rPr>
          <w:rFonts w:ascii="Arial" w:eastAsia="Times New Roman" w:hAnsi="Arial" w:cs="Arial"/>
          <w:sz w:val="24"/>
          <w:szCs w:val="24"/>
          <w:lang w:val="es-ES" w:eastAsia="es-ES"/>
        </w:rPr>
        <w:t>.</w:t>
      </w:r>
    </w:p>
    <w:p w14:paraId="672159CB" w14:textId="45CC2A76" w:rsidR="6CBCB0C4" w:rsidRPr="008943FC" w:rsidRDefault="6CBCB0C4" w:rsidP="00986A80">
      <w:pPr>
        <w:spacing w:after="0" w:line="360" w:lineRule="auto"/>
        <w:jc w:val="both"/>
        <w:rPr>
          <w:rFonts w:ascii="Arial" w:eastAsia="Times New Roman" w:hAnsi="Arial" w:cs="Arial"/>
          <w:sz w:val="24"/>
          <w:szCs w:val="24"/>
          <w:lang w:val="es-ES" w:eastAsia="es-ES"/>
        </w:rPr>
      </w:pPr>
    </w:p>
    <w:p w14:paraId="7F9CEFB0" w14:textId="170A3CF1" w:rsidR="551096B4" w:rsidRPr="008943FC" w:rsidRDefault="051496E9" w:rsidP="00986A80">
      <w:pPr>
        <w:spacing w:after="0" w:line="360" w:lineRule="auto"/>
        <w:jc w:val="both"/>
        <w:rPr>
          <w:rFonts w:ascii="Arial" w:eastAsia="Times New Roman" w:hAnsi="Arial" w:cs="Arial"/>
          <w:sz w:val="24"/>
          <w:szCs w:val="24"/>
          <w:lang w:val="es-ES" w:eastAsia="es-ES"/>
        </w:rPr>
      </w:pPr>
      <w:r w:rsidRPr="008943FC">
        <w:rPr>
          <w:rFonts w:ascii="Arial" w:eastAsia="Times New Roman" w:hAnsi="Arial" w:cs="Arial"/>
          <w:sz w:val="24"/>
          <w:szCs w:val="24"/>
          <w:lang w:val="es-ES" w:eastAsia="es-ES"/>
        </w:rPr>
        <w:t xml:space="preserve">Para efectos de la notificación </w:t>
      </w:r>
      <w:r w:rsidR="008430C6">
        <w:rPr>
          <w:rFonts w:ascii="Arial" w:eastAsia="Times New Roman" w:hAnsi="Arial" w:cs="Arial"/>
          <w:sz w:val="24"/>
          <w:szCs w:val="24"/>
          <w:lang w:val="es-ES" w:eastAsia="es-ES"/>
        </w:rPr>
        <w:t>de la presente resolución, se tendrá en cuenta la dirección de</w:t>
      </w:r>
      <w:r w:rsidRPr="008943FC">
        <w:rPr>
          <w:rFonts w:ascii="Arial" w:eastAsia="Times New Roman" w:hAnsi="Arial" w:cs="Arial"/>
          <w:sz w:val="24"/>
          <w:szCs w:val="24"/>
          <w:lang w:val="es-ES" w:eastAsia="es-ES"/>
        </w:rPr>
        <w:t xml:space="preserve"> correo electrónico señalad</w:t>
      </w:r>
      <w:r w:rsidR="00A2253A">
        <w:rPr>
          <w:rFonts w:ascii="Arial" w:eastAsia="Times New Roman" w:hAnsi="Arial" w:cs="Arial"/>
          <w:sz w:val="24"/>
          <w:szCs w:val="24"/>
          <w:lang w:val="es-ES" w:eastAsia="es-ES"/>
        </w:rPr>
        <w:t>a</w:t>
      </w:r>
      <w:r w:rsidRPr="008943FC">
        <w:rPr>
          <w:rFonts w:ascii="Arial" w:eastAsia="Times New Roman" w:hAnsi="Arial" w:cs="Arial"/>
          <w:sz w:val="24"/>
          <w:szCs w:val="24"/>
          <w:lang w:val="es-ES" w:eastAsia="es-ES"/>
        </w:rPr>
        <w:t xml:space="preserve"> en </w:t>
      </w:r>
      <w:r w:rsidR="13D45326" w:rsidRPr="008943FC">
        <w:rPr>
          <w:rFonts w:ascii="Arial" w:eastAsia="Times New Roman" w:hAnsi="Arial" w:cs="Arial"/>
          <w:sz w:val="24"/>
          <w:szCs w:val="24"/>
          <w:lang w:val="es-ES" w:eastAsia="es-ES"/>
        </w:rPr>
        <w:t>el formato</w:t>
      </w:r>
      <w:r w:rsidRPr="008943FC">
        <w:rPr>
          <w:rFonts w:ascii="Arial" w:eastAsia="Times New Roman" w:hAnsi="Arial" w:cs="Arial"/>
          <w:sz w:val="24"/>
          <w:szCs w:val="24"/>
          <w:lang w:val="es-ES" w:eastAsia="es-ES"/>
        </w:rPr>
        <w:t xml:space="preserve"> </w:t>
      </w:r>
      <w:r w:rsidR="68FB9393" w:rsidRPr="008943FC">
        <w:rPr>
          <w:rFonts w:ascii="Arial" w:eastAsia="Times New Roman" w:hAnsi="Arial" w:cs="Arial"/>
          <w:sz w:val="24"/>
          <w:szCs w:val="24"/>
          <w:lang w:val="es-ES" w:eastAsia="es-ES"/>
        </w:rPr>
        <w:t xml:space="preserve">de </w:t>
      </w:r>
      <w:r w:rsidR="4D9859F3" w:rsidRPr="008943FC">
        <w:rPr>
          <w:rFonts w:ascii="Arial" w:eastAsia="Times New Roman" w:hAnsi="Arial" w:cs="Arial"/>
          <w:sz w:val="24"/>
          <w:szCs w:val="24"/>
          <w:lang w:val="es-ES" w:eastAsia="es-ES"/>
        </w:rPr>
        <w:t xml:space="preserve">autorización de </w:t>
      </w:r>
      <w:r w:rsidR="382FB7ED" w:rsidRPr="008943FC">
        <w:rPr>
          <w:rFonts w:ascii="Arial" w:eastAsia="Times New Roman" w:hAnsi="Arial" w:cs="Arial"/>
          <w:sz w:val="24"/>
          <w:szCs w:val="24"/>
          <w:lang w:val="es-ES" w:eastAsia="es-ES"/>
        </w:rPr>
        <w:t>notificación</w:t>
      </w:r>
      <w:r w:rsidR="3C652644" w:rsidRPr="008943FC">
        <w:rPr>
          <w:rFonts w:ascii="Arial" w:eastAsia="Times New Roman" w:hAnsi="Arial" w:cs="Arial"/>
          <w:sz w:val="24"/>
          <w:szCs w:val="24"/>
          <w:lang w:val="es-ES" w:eastAsia="es-ES"/>
        </w:rPr>
        <w:t xml:space="preserve"> electrónica</w:t>
      </w:r>
      <w:r w:rsidR="008430C6">
        <w:rPr>
          <w:rFonts w:ascii="Arial" w:eastAsia="Times New Roman" w:hAnsi="Arial" w:cs="Arial"/>
          <w:sz w:val="24"/>
          <w:szCs w:val="24"/>
          <w:lang w:val="es-ES" w:eastAsia="es-ES"/>
        </w:rPr>
        <w:t xml:space="preserve"> </w:t>
      </w:r>
      <w:r w:rsidR="00A2253A">
        <w:rPr>
          <w:rFonts w:ascii="Arial" w:eastAsia="Times New Roman" w:hAnsi="Arial" w:cs="Arial"/>
          <w:sz w:val="24"/>
          <w:szCs w:val="24"/>
          <w:lang w:val="es-ES" w:eastAsia="es-ES"/>
        </w:rPr>
        <w:t>diligenciado</w:t>
      </w:r>
      <w:r w:rsidR="008430C6">
        <w:rPr>
          <w:rFonts w:ascii="Arial" w:eastAsia="Times New Roman" w:hAnsi="Arial" w:cs="Arial"/>
          <w:sz w:val="24"/>
          <w:szCs w:val="24"/>
          <w:lang w:val="es-ES" w:eastAsia="es-ES"/>
        </w:rPr>
        <w:t xml:space="preserve"> por cada empresa</w:t>
      </w:r>
      <w:r w:rsidR="3C652644" w:rsidRPr="008943FC">
        <w:rPr>
          <w:rFonts w:ascii="Arial" w:eastAsia="Times New Roman" w:hAnsi="Arial" w:cs="Arial"/>
          <w:sz w:val="24"/>
          <w:szCs w:val="24"/>
          <w:lang w:val="es-ES" w:eastAsia="es-ES"/>
        </w:rPr>
        <w:t xml:space="preserve">, </w:t>
      </w:r>
      <w:r w:rsidR="00894B9C" w:rsidRPr="008943FC">
        <w:rPr>
          <w:rFonts w:ascii="Arial" w:eastAsia="Times New Roman" w:hAnsi="Arial" w:cs="Arial"/>
          <w:sz w:val="24"/>
          <w:szCs w:val="24"/>
          <w:lang w:val="es-ES" w:eastAsia="es-ES"/>
        </w:rPr>
        <w:t>de conformidad</w:t>
      </w:r>
      <w:r w:rsidRPr="008943FC">
        <w:rPr>
          <w:rFonts w:ascii="Arial" w:eastAsia="Times New Roman" w:hAnsi="Arial" w:cs="Arial"/>
          <w:sz w:val="24"/>
          <w:szCs w:val="24"/>
          <w:lang w:val="es-ES" w:eastAsia="es-ES"/>
        </w:rPr>
        <w:t xml:space="preserve"> con lo </w:t>
      </w:r>
      <w:r w:rsidR="00894B9C" w:rsidRPr="008943FC">
        <w:rPr>
          <w:rFonts w:ascii="Arial" w:eastAsia="Times New Roman" w:hAnsi="Arial" w:cs="Arial"/>
          <w:sz w:val="24"/>
          <w:szCs w:val="24"/>
          <w:lang w:val="es-ES" w:eastAsia="es-ES"/>
        </w:rPr>
        <w:t>previsto</w:t>
      </w:r>
      <w:r w:rsidRPr="008943FC">
        <w:rPr>
          <w:rFonts w:ascii="Arial" w:eastAsia="Times New Roman" w:hAnsi="Arial" w:cs="Arial"/>
          <w:sz w:val="24"/>
          <w:szCs w:val="24"/>
          <w:lang w:val="es-ES" w:eastAsia="es-ES"/>
        </w:rPr>
        <w:t xml:space="preserve"> en el artículo 56 del </w:t>
      </w:r>
      <w:r w:rsidR="007511AC" w:rsidRPr="008943FC">
        <w:rPr>
          <w:rFonts w:ascii="Arial" w:eastAsia="Times New Roman" w:hAnsi="Arial" w:cs="Arial"/>
          <w:sz w:val="24"/>
          <w:szCs w:val="24"/>
          <w:lang w:val="es-ES" w:eastAsia="es-ES"/>
        </w:rPr>
        <w:t xml:space="preserve">Código de </w:t>
      </w:r>
      <w:bookmarkStart w:id="4" w:name="_Hlk126050211"/>
      <w:r w:rsidR="007511AC" w:rsidRPr="008943FC">
        <w:rPr>
          <w:rFonts w:ascii="Arial" w:eastAsia="Times New Roman" w:hAnsi="Arial" w:cs="Arial"/>
          <w:sz w:val="24"/>
          <w:szCs w:val="24"/>
          <w:lang w:val="es-ES" w:eastAsia="es-ES"/>
        </w:rPr>
        <w:t>Procedimiento Administrativo</w:t>
      </w:r>
      <w:r w:rsidRPr="008943FC">
        <w:rPr>
          <w:rFonts w:ascii="Arial" w:eastAsia="Times New Roman" w:hAnsi="Arial" w:cs="Arial"/>
          <w:sz w:val="24"/>
          <w:szCs w:val="24"/>
          <w:lang w:val="es-ES" w:eastAsia="es-ES"/>
        </w:rPr>
        <w:t xml:space="preserve"> y de </w:t>
      </w:r>
      <w:r w:rsidR="007511AC" w:rsidRPr="008943FC">
        <w:rPr>
          <w:rFonts w:ascii="Arial" w:eastAsia="Times New Roman" w:hAnsi="Arial" w:cs="Arial"/>
          <w:sz w:val="24"/>
          <w:szCs w:val="24"/>
          <w:lang w:val="es-ES" w:eastAsia="es-ES"/>
        </w:rPr>
        <w:t>lo Contencioso Administrativo</w:t>
      </w:r>
      <w:bookmarkEnd w:id="4"/>
      <w:r w:rsidR="007511AC" w:rsidRPr="008943FC">
        <w:rPr>
          <w:rFonts w:ascii="Arial" w:eastAsia="Times New Roman" w:hAnsi="Arial" w:cs="Arial"/>
          <w:sz w:val="24"/>
          <w:szCs w:val="24"/>
          <w:lang w:val="es-ES" w:eastAsia="es-ES"/>
        </w:rPr>
        <w:t xml:space="preserve">, modificado por </w:t>
      </w:r>
      <w:r w:rsidR="004562BF" w:rsidRPr="008943FC">
        <w:rPr>
          <w:rFonts w:ascii="Arial" w:eastAsia="Times New Roman" w:hAnsi="Arial" w:cs="Arial"/>
          <w:sz w:val="24"/>
          <w:szCs w:val="24"/>
          <w:lang w:val="es-ES" w:eastAsia="es-ES"/>
        </w:rPr>
        <w:t>el artículo 10 de</w:t>
      </w:r>
      <w:r w:rsidRPr="008943FC">
        <w:rPr>
          <w:rFonts w:ascii="Arial" w:eastAsia="Times New Roman" w:hAnsi="Arial" w:cs="Arial"/>
          <w:sz w:val="24"/>
          <w:szCs w:val="24"/>
          <w:lang w:val="es-ES" w:eastAsia="es-ES"/>
        </w:rPr>
        <w:t xml:space="preserve"> la </w:t>
      </w:r>
      <w:r w:rsidR="004562BF" w:rsidRPr="008943FC">
        <w:rPr>
          <w:rFonts w:ascii="Arial" w:eastAsia="Times New Roman" w:hAnsi="Arial" w:cs="Arial"/>
          <w:sz w:val="24"/>
          <w:szCs w:val="24"/>
          <w:lang w:val="es-ES" w:eastAsia="es-ES"/>
        </w:rPr>
        <w:t xml:space="preserve">Ley </w:t>
      </w:r>
      <w:r w:rsidR="00441AE4" w:rsidRPr="008943FC">
        <w:rPr>
          <w:rFonts w:ascii="Arial" w:eastAsia="Times New Roman" w:hAnsi="Arial" w:cs="Arial"/>
          <w:sz w:val="24"/>
          <w:szCs w:val="24"/>
          <w:lang w:val="es-ES" w:eastAsia="es-ES"/>
        </w:rPr>
        <w:t>2080 de 2021</w:t>
      </w:r>
      <w:r w:rsidR="00004DA4" w:rsidRPr="008943FC">
        <w:rPr>
          <w:rFonts w:ascii="Arial" w:eastAsia="Times New Roman" w:hAnsi="Arial" w:cs="Arial"/>
          <w:sz w:val="24"/>
          <w:szCs w:val="24"/>
          <w:lang w:val="es-ES" w:eastAsia="es-ES"/>
        </w:rPr>
        <w:t>.</w:t>
      </w:r>
      <w:r w:rsidR="006806D5" w:rsidRPr="008943FC">
        <w:rPr>
          <w:rFonts w:ascii="Arial" w:eastAsia="Times New Roman" w:hAnsi="Arial" w:cs="Arial"/>
          <w:sz w:val="24"/>
          <w:szCs w:val="24"/>
          <w:lang w:val="es-ES" w:eastAsia="es-ES"/>
        </w:rPr>
        <w:t xml:space="preserve"> </w:t>
      </w:r>
      <w:r w:rsidR="00004DA4" w:rsidRPr="008943FC">
        <w:rPr>
          <w:rFonts w:ascii="Arial" w:eastAsia="Times New Roman" w:hAnsi="Arial" w:cs="Arial"/>
          <w:sz w:val="24"/>
          <w:szCs w:val="24"/>
          <w:lang w:val="es-ES" w:eastAsia="es-ES"/>
        </w:rPr>
        <w:t>P</w:t>
      </w:r>
      <w:r w:rsidR="006806D5" w:rsidRPr="008943FC">
        <w:rPr>
          <w:rFonts w:ascii="Arial" w:eastAsia="Times New Roman" w:hAnsi="Arial" w:cs="Arial"/>
          <w:sz w:val="24"/>
          <w:szCs w:val="24"/>
          <w:lang w:val="es-ES" w:eastAsia="es-ES"/>
        </w:rPr>
        <w:t xml:space="preserve">ara las empresas </w:t>
      </w:r>
      <w:r w:rsidR="00004DA4" w:rsidRPr="008943FC">
        <w:rPr>
          <w:rFonts w:ascii="Arial" w:eastAsia="Times New Roman" w:hAnsi="Arial" w:cs="Arial"/>
          <w:sz w:val="24"/>
          <w:szCs w:val="24"/>
          <w:lang w:val="es-ES" w:eastAsia="es-ES"/>
        </w:rPr>
        <w:t>frente</w:t>
      </w:r>
      <w:r w:rsidR="006806D5" w:rsidRPr="008943FC">
        <w:rPr>
          <w:rFonts w:ascii="Arial" w:eastAsia="Times New Roman" w:hAnsi="Arial" w:cs="Arial"/>
          <w:sz w:val="24"/>
          <w:szCs w:val="24"/>
          <w:lang w:val="es-ES" w:eastAsia="es-ES"/>
        </w:rPr>
        <w:t xml:space="preserve"> </w:t>
      </w:r>
      <w:r w:rsidR="00004DA4" w:rsidRPr="008943FC">
        <w:rPr>
          <w:rFonts w:ascii="Arial" w:eastAsia="Times New Roman" w:hAnsi="Arial" w:cs="Arial"/>
          <w:sz w:val="24"/>
          <w:szCs w:val="24"/>
          <w:lang w:val="es-ES" w:eastAsia="es-ES"/>
        </w:rPr>
        <w:t>a</w:t>
      </w:r>
      <w:r w:rsidR="006806D5" w:rsidRPr="008943FC">
        <w:rPr>
          <w:rFonts w:ascii="Arial" w:eastAsia="Times New Roman" w:hAnsi="Arial" w:cs="Arial"/>
          <w:sz w:val="24"/>
          <w:szCs w:val="24"/>
          <w:lang w:val="es-ES" w:eastAsia="es-ES"/>
        </w:rPr>
        <w:t xml:space="preserve"> las cua</w:t>
      </w:r>
      <w:r w:rsidR="00D3206A" w:rsidRPr="008943FC">
        <w:rPr>
          <w:rFonts w:ascii="Arial" w:eastAsia="Times New Roman" w:hAnsi="Arial" w:cs="Arial"/>
          <w:sz w:val="24"/>
          <w:szCs w:val="24"/>
          <w:lang w:val="es-ES" w:eastAsia="es-ES"/>
        </w:rPr>
        <w:t xml:space="preserve">les no se cuente con su autorización </w:t>
      </w:r>
      <w:r w:rsidR="00944BA1" w:rsidRPr="008943FC">
        <w:rPr>
          <w:rFonts w:ascii="Arial" w:eastAsia="Times New Roman" w:hAnsi="Arial" w:cs="Arial"/>
          <w:sz w:val="24"/>
          <w:szCs w:val="24"/>
          <w:lang w:val="es-ES" w:eastAsia="es-ES"/>
        </w:rPr>
        <w:t xml:space="preserve">de notificación electrónica se seguirá el trámite de notificación previsto en los artículos </w:t>
      </w:r>
      <w:r w:rsidR="004C3D3E" w:rsidRPr="008943FC">
        <w:rPr>
          <w:rFonts w:ascii="Arial" w:eastAsia="Times New Roman" w:hAnsi="Arial" w:cs="Arial"/>
          <w:sz w:val="24"/>
          <w:szCs w:val="24"/>
          <w:lang w:val="es-ES" w:eastAsia="es-ES"/>
        </w:rPr>
        <w:t xml:space="preserve">67 y 69 </w:t>
      </w:r>
      <w:r w:rsidR="00647EA0" w:rsidRPr="008943FC">
        <w:rPr>
          <w:rFonts w:ascii="Arial" w:eastAsia="Times New Roman" w:hAnsi="Arial" w:cs="Arial"/>
          <w:sz w:val="24"/>
          <w:szCs w:val="24"/>
          <w:lang w:val="es-ES" w:eastAsia="es-ES"/>
        </w:rPr>
        <w:t>del</w:t>
      </w:r>
      <w:r w:rsidR="00004DA4" w:rsidRPr="008943FC">
        <w:rPr>
          <w:rFonts w:ascii="Arial" w:eastAsia="Times New Roman" w:hAnsi="Arial" w:cs="Arial"/>
          <w:sz w:val="24"/>
          <w:szCs w:val="24"/>
          <w:lang w:val="es-ES" w:eastAsia="es-ES"/>
        </w:rPr>
        <w:t xml:space="preserve"> Código Procedimiento Administrativo y de lo Contencioso Administrativo.</w:t>
      </w:r>
      <w:r w:rsidR="005966F4" w:rsidRPr="008943FC">
        <w:rPr>
          <w:rFonts w:ascii="Arial" w:eastAsia="Times New Roman" w:hAnsi="Arial" w:cs="Arial"/>
          <w:sz w:val="24"/>
          <w:szCs w:val="24"/>
          <w:lang w:val="es-ES" w:eastAsia="es-ES"/>
        </w:rPr>
        <w:t xml:space="preserve"> </w:t>
      </w:r>
    </w:p>
    <w:p w14:paraId="79FC2B20" w14:textId="3B775464" w:rsidR="3434215B" w:rsidRPr="008943FC" w:rsidRDefault="3434215B" w:rsidP="00986A80">
      <w:pPr>
        <w:spacing w:after="0" w:line="360" w:lineRule="auto"/>
        <w:jc w:val="both"/>
        <w:rPr>
          <w:rFonts w:ascii="Arial" w:eastAsia="Times New Roman" w:hAnsi="Arial" w:cs="Arial"/>
          <w:sz w:val="24"/>
          <w:szCs w:val="24"/>
          <w:lang w:val="es-ES" w:eastAsia="es-ES"/>
        </w:rPr>
      </w:pPr>
    </w:p>
    <w:p w14:paraId="35B814CD" w14:textId="72E06C8D" w:rsidR="00DE5054" w:rsidRPr="008943FC" w:rsidRDefault="00DE5054" w:rsidP="00986A80">
      <w:pPr>
        <w:spacing w:after="0" w:line="360" w:lineRule="auto"/>
        <w:jc w:val="both"/>
        <w:rPr>
          <w:rFonts w:ascii="Arial" w:eastAsia="MS Mincho" w:hAnsi="Arial" w:cs="Arial"/>
          <w:sz w:val="24"/>
          <w:szCs w:val="24"/>
          <w:lang w:val="es-ES"/>
        </w:rPr>
      </w:pPr>
      <w:r w:rsidRPr="008943FC">
        <w:rPr>
          <w:rFonts w:ascii="Arial" w:eastAsia="MS Mincho" w:hAnsi="Arial" w:cs="Arial"/>
          <w:sz w:val="24"/>
          <w:szCs w:val="24"/>
          <w:lang w:val="es-ES"/>
        </w:rPr>
        <w:t>La Comisión</w:t>
      </w:r>
      <w:r w:rsidR="00D21ABE" w:rsidRPr="008943FC">
        <w:rPr>
          <w:rFonts w:ascii="Arial" w:eastAsia="MS Mincho" w:hAnsi="Arial" w:cs="Arial"/>
          <w:sz w:val="24"/>
          <w:szCs w:val="24"/>
          <w:lang w:val="es-ES"/>
        </w:rPr>
        <w:t xml:space="preserve"> de Regulación de Energía y Gas, </w:t>
      </w:r>
      <w:r w:rsidRPr="008943FC">
        <w:rPr>
          <w:rFonts w:ascii="Arial" w:eastAsia="MS Mincho" w:hAnsi="Arial" w:cs="Arial"/>
          <w:sz w:val="24"/>
          <w:szCs w:val="24"/>
          <w:lang w:val="es-ES"/>
        </w:rPr>
        <w:t>en la sesión No.</w:t>
      </w:r>
      <w:r w:rsidR="00FA5905" w:rsidRPr="008943FC">
        <w:rPr>
          <w:rFonts w:ascii="Arial" w:eastAsia="MS Mincho" w:hAnsi="Arial" w:cs="Arial"/>
          <w:sz w:val="24"/>
          <w:szCs w:val="24"/>
          <w:lang w:val="es-ES"/>
        </w:rPr>
        <w:t xml:space="preserve"> </w:t>
      </w:r>
      <w:r w:rsidR="00CC4EAE">
        <w:rPr>
          <w:rFonts w:ascii="Arial" w:eastAsia="MS Mincho" w:hAnsi="Arial" w:cs="Arial"/>
          <w:sz w:val="24"/>
          <w:szCs w:val="24"/>
          <w:lang w:val="es-ES"/>
        </w:rPr>
        <w:t xml:space="preserve">1306 </w:t>
      </w:r>
      <w:r w:rsidR="00981490" w:rsidRPr="004D106B">
        <w:rPr>
          <w:rFonts w:ascii="Arial" w:eastAsia="MS Mincho" w:hAnsi="Arial" w:cs="Arial"/>
          <w:sz w:val="24"/>
          <w:szCs w:val="24"/>
          <w:lang w:val="es-ES"/>
        </w:rPr>
        <w:t xml:space="preserve">del </w:t>
      </w:r>
      <w:r w:rsidR="004D106B" w:rsidRPr="004D106B">
        <w:rPr>
          <w:rFonts w:ascii="Arial" w:eastAsia="MS Mincho" w:hAnsi="Arial" w:cs="Arial"/>
          <w:sz w:val="24"/>
          <w:szCs w:val="24"/>
          <w:lang w:val="es-ES"/>
        </w:rPr>
        <w:t xml:space="preserve">30 </w:t>
      </w:r>
      <w:r w:rsidR="001976B3" w:rsidRPr="004D106B">
        <w:rPr>
          <w:rFonts w:ascii="Arial" w:eastAsia="MS Mincho" w:hAnsi="Arial" w:cs="Arial"/>
          <w:sz w:val="24"/>
          <w:szCs w:val="24"/>
          <w:lang w:val="es-ES"/>
        </w:rPr>
        <w:t xml:space="preserve">de </w:t>
      </w:r>
      <w:r w:rsidR="004D106B" w:rsidRPr="004D106B">
        <w:rPr>
          <w:rFonts w:ascii="Arial" w:eastAsia="MS Mincho" w:hAnsi="Arial" w:cs="Arial"/>
          <w:sz w:val="24"/>
          <w:szCs w:val="24"/>
          <w:lang w:val="es-ES"/>
        </w:rPr>
        <w:t>enero</w:t>
      </w:r>
      <w:r w:rsidR="001976B3" w:rsidRPr="008943FC">
        <w:rPr>
          <w:rFonts w:ascii="Arial" w:eastAsia="MS Mincho" w:hAnsi="Arial" w:cs="Arial"/>
          <w:sz w:val="24"/>
          <w:szCs w:val="24"/>
          <w:lang w:val="es-ES"/>
        </w:rPr>
        <w:t xml:space="preserve"> </w:t>
      </w:r>
      <w:r w:rsidR="00981490" w:rsidRPr="008943FC">
        <w:rPr>
          <w:rFonts w:ascii="Arial" w:eastAsia="MS Mincho" w:hAnsi="Arial" w:cs="Arial"/>
          <w:sz w:val="24"/>
          <w:szCs w:val="24"/>
          <w:lang w:val="es-ES"/>
        </w:rPr>
        <w:t xml:space="preserve">de </w:t>
      </w:r>
      <w:r w:rsidR="00E676A3" w:rsidRPr="008943FC">
        <w:rPr>
          <w:rFonts w:ascii="Arial" w:eastAsia="MS Mincho" w:hAnsi="Arial" w:cs="Arial"/>
          <w:sz w:val="24"/>
          <w:szCs w:val="24"/>
          <w:lang w:val="es-ES"/>
        </w:rPr>
        <w:t>202</w:t>
      </w:r>
      <w:r w:rsidR="00A2123A">
        <w:rPr>
          <w:rFonts w:ascii="Arial" w:eastAsia="MS Mincho" w:hAnsi="Arial" w:cs="Arial"/>
          <w:sz w:val="24"/>
          <w:szCs w:val="24"/>
          <w:lang w:val="es-ES"/>
        </w:rPr>
        <w:t>4</w:t>
      </w:r>
      <w:r w:rsidR="00D21ABE" w:rsidRPr="008943FC">
        <w:rPr>
          <w:rFonts w:ascii="Arial" w:eastAsia="MS Mincho" w:hAnsi="Arial" w:cs="Arial"/>
          <w:sz w:val="24"/>
          <w:szCs w:val="24"/>
          <w:lang w:val="es-ES"/>
        </w:rPr>
        <w:t>,</w:t>
      </w:r>
      <w:r w:rsidRPr="008943FC">
        <w:rPr>
          <w:rFonts w:ascii="Arial" w:eastAsia="MS Mincho" w:hAnsi="Arial" w:cs="Arial"/>
          <w:sz w:val="24"/>
          <w:szCs w:val="24"/>
          <w:lang w:val="es-ES"/>
        </w:rPr>
        <w:t xml:space="preserve"> aprobó el contenido de la presente resolución. </w:t>
      </w:r>
    </w:p>
    <w:p w14:paraId="7202DA21" w14:textId="77777777" w:rsidR="00A66E25" w:rsidRPr="008943FC" w:rsidRDefault="00A66E25" w:rsidP="007E5087">
      <w:pPr>
        <w:spacing w:after="120" w:line="360" w:lineRule="auto"/>
        <w:jc w:val="both"/>
        <w:rPr>
          <w:rFonts w:ascii="Arial" w:eastAsia="MS Mincho" w:hAnsi="Arial" w:cs="Arial"/>
          <w:sz w:val="24"/>
          <w:szCs w:val="24"/>
          <w:lang w:val="es-ES"/>
        </w:rPr>
      </w:pPr>
    </w:p>
    <w:p w14:paraId="53D0C573" w14:textId="77777777" w:rsidR="00CD74B5" w:rsidRPr="008943FC" w:rsidRDefault="00AC44B0" w:rsidP="00986A80">
      <w:pPr>
        <w:spacing w:after="0" w:line="360" w:lineRule="auto"/>
        <w:contextualSpacing/>
        <w:jc w:val="center"/>
        <w:rPr>
          <w:rFonts w:ascii="Arial" w:eastAsia="Times New Roman" w:hAnsi="Arial" w:cs="Arial"/>
          <w:b/>
          <w:sz w:val="24"/>
          <w:szCs w:val="24"/>
          <w:lang w:val="es-ES" w:eastAsia="es-ES"/>
        </w:rPr>
      </w:pPr>
      <w:r w:rsidRPr="008943FC">
        <w:rPr>
          <w:rFonts w:ascii="Arial" w:eastAsia="Times New Roman" w:hAnsi="Arial" w:cs="Arial"/>
          <w:b/>
          <w:sz w:val="24"/>
          <w:szCs w:val="24"/>
          <w:lang w:val="es-ES" w:eastAsia="es-ES"/>
        </w:rPr>
        <w:t>R E S U E L V E:</w:t>
      </w:r>
    </w:p>
    <w:p w14:paraId="0B33A798" w14:textId="1470A759" w:rsidR="007F66B9" w:rsidRPr="008943FC" w:rsidRDefault="007F66B9" w:rsidP="00986A80">
      <w:pPr>
        <w:spacing w:after="0" w:line="360" w:lineRule="auto"/>
        <w:ind w:right="-91"/>
        <w:jc w:val="both"/>
        <w:rPr>
          <w:rFonts w:ascii="Arial" w:eastAsia="MS Mincho" w:hAnsi="Arial" w:cs="Arial"/>
          <w:sz w:val="24"/>
          <w:szCs w:val="24"/>
          <w:lang w:val="es-ES"/>
        </w:rPr>
      </w:pPr>
    </w:p>
    <w:p w14:paraId="57B12B63" w14:textId="783D94B3" w:rsidR="00D76C12" w:rsidRPr="008943FC" w:rsidRDefault="005C1BCA" w:rsidP="00986A80">
      <w:pPr>
        <w:spacing w:after="0" w:line="360" w:lineRule="auto"/>
        <w:ind w:right="-91"/>
        <w:jc w:val="both"/>
        <w:rPr>
          <w:rFonts w:ascii="Arial" w:eastAsiaTheme="minorEastAsia" w:hAnsi="Arial" w:cs="Arial"/>
          <w:sz w:val="24"/>
          <w:szCs w:val="24"/>
        </w:rPr>
      </w:pPr>
      <w:r w:rsidRPr="008943FC">
        <w:rPr>
          <w:rFonts w:ascii="Arial" w:eastAsia="MS Mincho" w:hAnsi="Arial" w:cs="Arial"/>
          <w:b/>
          <w:sz w:val="24"/>
          <w:szCs w:val="24"/>
          <w:lang w:val="es-ES"/>
        </w:rPr>
        <w:t xml:space="preserve">Artículo 1. Capacidad de Compra: </w:t>
      </w:r>
      <w:r w:rsidRPr="008943FC">
        <w:rPr>
          <w:rFonts w:ascii="Arial" w:eastAsia="MS Mincho" w:hAnsi="Arial" w:cs="Arial"/>
          <w:sz w:val="24"/>
          <w:szCs w:val="24"/>
          <w:lang w:val="es-ES"/>
        </w:rPr>
        <w:t>La siguiente corresponde a la Capacidad de Compra</w:t>
      </w:r>
      <w:r w:rsidR="00CF4873" w:rsidRPr="008943FC">
        <w:rPr>
          <w:rFonts w:ascii="Arial" w:eastAsia="MS Mincho" w:hAnsi="Arial" w:cs="Arial"/>
          <w:sz w:val="24"/>
          <w:szCs w:val="24"/>
          <w:lang w:val="es-ES"/>
        </w:rPr>
        <w:t xml:space="preserve"> </w:t>
      </w:r>
      <w:r w:rsidR="00B91B9E" w:rsidRPr="008943FC">
        <w:rPr>
          <w:rFonts w:ascii="Arial" w:eastAsia="MS Mincho" w:hAnsi="Arial" w:cs="Arial"/>
          <w:sz w:val="24"/>
          <w:szCs w:val="24"/>
          <w:lang w:val="es-ES"/>
        </w:rPr>
        <w:t>en los términos de los artículos 8 y 9 de la Resolución CREG 063 de 201</w:t>
      </w:r>
      <w:r w:rsidR="00C8606A" w:rsidRPr="008943FC">
        <w:rPr>
          <w:rFonts w:ascii="Arial" w:eastAsia="MS Mincho" w:hAnsi="Arial" w:cs="Arial"/>
          <w:sz w:val="24"/>
          <w:szCs w:val="24"/>
          <w:lang w:val="es-ES"/>
        </w:rPr>
        <w:t>6</w:t>
      </w:r>
      <w:r w:rsidR="00B91B9E" w:rsidRPr="008943FC">
        <w:rPr>
          <w:rFonts w:ascii="Arial" w:eastAsia="MS Mincho" w:hAnsi="Arial" w:cs="Arial"/>
          <w:sz w:val="24"/>
          <w:szCs w:val="24"/>
          <w:lang w:val="es-ES"/>
        </w:rPr>
        <w:t xml:space="preserve"> para cada uno de los siguientes distribuidores de GLP identificados de acuerdo con el reporte de información en el Sistema único de Información</w:t>
      </w:r>
      <w:r w:rsidR="00F96972" w:rsidRPr="008943FC">
        <w:rPr>
          <w:rFonts w:ascii="Arial" w:eastAsia="MS Mincho" w:hAnsi="Arial" w:cs="Arial"/>
          <w:sz w:val="24"/>
          <w:szCs w:val="24"/>
          <w:lang w:val="es-ES"/>
        </w:rPr>
        <w:t xml:space="preserve">, </w:t>
      </w:r>
      <w:r w:rsidR="00B91B9E" w:rsidRPr="008943FC">
        <w:rPr>
          <w:rFonts w:ascii="Arial" w:eastAsia="MS Mincho" w:hAnsi="Arial" w:cs="Arial"/>
          <w:sz w:val="24"/>
          <w:szCs w:val="24"/>
          <w:lang w:val="es-ES"/>
        </w:rPr>
        <w:t>SUI, así como el Registro Único de Prestadores de Servi</w:t>
      </w:r>
      <w:r w:rsidR="009C0053" w:rsidRPr="008943FC">
        <w:rPr>
          <w:rFonts w:ascii="Arial" w:eastAsia="MS Mincho" w:hAnsi="Arial" w:cs="Arial"/>
          <w:sz w:val="24"/>
          <w:szCs w:val="24"/>
          <w:lang w:val="es-ES"/>
        </w:rPr>
        <w:t>cios Públicos</w:t>
      </w:r>
      <w:r w:rsidR="00F96972" w:rsidRPr="008943FC">
        <w:rPr>
          <w:rFonts w:ascii="Arial" w:eastAsia="MS Mincho" w:hAnsi="Arial" w:cs="Arial"/>
          <w:sz w:val="24"/>
          <w:szCs w:val="24"/>
          <w:lang w:val="es-ES"/>
        </w:rPr>
        <w:t xml:space="preserve">, </w:t>
      </w:r>
      <w:r w:rsidR="009C0053" w:rsidRPr="008943FC">
        <w:rPr>
          <w:rFonts w:ascii="Arial" w:eastAsia="MS Mincho" w:hAnsi="Arial" w:cs="Arial"/>
          <w:sz w:val="24"/>
          <w:szCs w:val="24"/>
          <w:lang w:val="es-ES"/>
        </w:rPr>
        <w:t xml:space="preserve">RUPS, </w:t>
      </w:r>
      <w:r w:rsidR="009C0053" w:rsidRPr="00A2253A">
        <w:rPr>
          <w:rFonts w:ascii="Arial" w:eastAsia="MS Mincho" w:hAnsi="Arial" w:cs="Arial"/>
          <w:sz w:val="24"/>
          <w:szCs w:val="24"/>
          <w:lang w:val="es-ES"/>
        </w:rPr>
        <w:t>aplicable</w:t>
      </w:r>
      <w:r w:rsidR="00B91B9E" w:rsidRPr="00A2253A">
        <w:rPr>
          <w:rFonts w:ascii="Arial" w:eastAsia="MS Mincho" w:hAnsi="Arial" w:cs="Arial"/>
          <w:sz w:val="24"/>
          <w:szCs w:val="24"/>
          <w:lang w:val="es-ES"/>
        </w:rPr>
        <w:t xml:space="preserve"> para el </w:t>
      </w:r>
      <w:r w:rsidR="00A34BD0" w:rsidRPr="00A2253A">
        <w:rPr>
          <w:rFonts w:ascii="Arial" w:eastAsia="MS Mincho" w:hAnsi="Arial" w:cs="Arial"/>
          <w:sz w:val="24"/>
          <w:szCs w:val="24"/>
          <w:lang w:val="es-ES"/>
        </w:rPr>
        <w:t xml:space="preserve">décimo </w:t>
      </w:r>
      <w:r w:rsidR="003C5571" w:rsidRPr="00A2253A">
        <w:rPr>
          <w:rFonts w:ascii="Arial" w:eastAsia="MS Mincho" w:hAnsi="Arial" w:cs="Arial"/>
          <w:sz w:val="24"/>
          <w:szCs w:val="24"/>
          <w:lang w:val="es-ES"/>
        </w:rPr>
        <w:t>sext</w:t>
      </w:r>
      <w:r w:rsidR="00CC5479" w:rsidRPr="00A2253A">
        <w:rPr>
          <w:rFonts w:ascii="Arial" w:eastAsia="MS Mincho" w:hAnsi="Arial" w:cs="Arial"/>
          <w:sz w:val="24"/>
          <w:szCs w:val="24"/>
          <w:lang w:val="es-ES"/>
        </w:rPr>
        <w:t>o</w:t>
      </w:r>
      <w:r w:rsidR="00A34BD0" w:rsidRPr="00A2253A">
        <w:rPr>
          <w:rFonts w:ascii="Arial" w:eastAsia="MS Mincho" w:hAnsi="Arial" w:cs="Arial"/>
          <w:sz w:val="24"/>
          <w:szCs w:val="24"/>
          <w:lang w:val="es-ES"/>
        </w:rPr>
        <w:t xml:space="preserve"> </w:t>
      </w:r>
      <w:r w:rsidR="00B91B9E" w:rsidRPr="00A2253A">
        <w:rPr>
          <w:rFonts w:ascii="Arial" w:eastAsia="MS Mincho" w:hAnsi="Arial" w:cs="Arial"/>
          <w:sz w:val="24"/>
          <w:szCs w:val="24"/>
          <w:lang w:val="es-ES"/>
        </w:rPr>
        <w:t>período de compra</w:t>
      </w:r>
      <w:r w:rsidR="00E813A2" w:rsidRPr="00A2253A">
        <w:rPr>
          <w:rFonts w:ascii="Arial" w:eastAsia="MS Mincho" w:hAnsi="Arial" w:cs="Arial"/>
          <w:sz w:val="24"/>
          <w:szCs w:val="24"/>
          <w:lang w:val="es-ES"/>
        </w:rPr>
        <w:t xml:space="preserve">, comprendido entre el 1 de </w:t>
      </w:r>
      <w:r w:rsidR="00074878" w:rsidRPr="00A2253A">
        <w:rPr>
          <w:rFonts w:ascii="Arial" w:eastAsia="MS Mincho" w:hAnsi="Arial" w:cs="Arial"/>
          <w:sz w:val="24"/>
          <w:szCs w:val="24"/>
          <w:lang w:val="es-ES"/>
        </w:rPr>
        <w:t>marzo</w:t>
      </w:r>
      <w:r w:rsidR="00E813A2" w:rsidRPr="00A2253A">
        <w:rPr>
          <w:rFonts w:ascii="Arial" w:eastAsia="MS Mincho" w:hAnsi="Arial" w:cs="Arial"/>
          <w:sz w:val="24"/>
          <w:szCs w:val="24"/>
          <w:lang w:val="es-ES"/>
        </w:rPr>
        <w:t xml:space="preserve"> y el </w:t>
      </w:r>
      <w:r w:rsidR="00074878" w:rsidRPr="00A2253A">
        <w:rPr>
          <w:rFonts w:ascii="Arial" w:eastAsia="MS Mincho" w:hAnsi="Arial" w:cs="Arial"/>
          <w:sz w:val="24"/>
          <w:szCs w:val="24"/>
          <w:lang w:val="es-ES"/>
        </w:rPr>
        <w:t>31</w:t>
      </w:r>
      <w:r w:rsidR="00E813A2" w:rsidRPr="00A2253A">
        <w:rPr>
          <w:rFonts w:ascii="Arial" w:eastAsia="MS Mincho" w:hAnsi="Arial" w:cs="Arial"/>
          <w:sz w:val="24"/>
          <w:szCs w:val="24"/>
          <w:lang w:val="es-ES"/>
        </w:rPr>
        <w:t xml:space="preserve"> de </w:t>
      </w:r>
      <w:r w:rsidR="00074878" w:rsidRPr="00A2253A">
        <w:rPr>
          <w:rFonts w:ascii="Arial" w:eastAsia="MS Mincho" w:hAnsi="Arial" w:cs="Arial"/>
          <w:sz w:val="24"/>
          <w:szCs w:val="24"/>
          <w:lang w:val="es-ES"/>
        </w:rPr>
        <w:t>agosto</w:t>
      </w:r>
      <w:r w:rsidR="00E813A2" w:rsidRPr="00A2253A">
        <w:rPr>
          <w:rFonts w:ascii="Arial" w:eastAsia="MS Mincho" w:hAnsi="Arial" w:cs="Arial"/>
          <w:sz w:val="24"/>
          <w:szCs w:val="24"/>
          <w:lang w:val="es-ES"/>
        </w:rPr>
        <w:t xml:space="preserve"> </w:t>
      </w:r>
      <w:r w:rsidR="0054091C" w:rsidRPr="00A2253A">
        <w:rPr>
          <w:rFonts w:ascii="Arial" w:eastAsia="MS Mincho" w:hAnsi="Arial" w:cs="Arial"/>
          <w:sz w:val="24"/>
          <w:szCs w:val="24"/>
          <w:lang w:val="es-ES"/>
        </w:rPr>
        <w:t>de</w:t>
      </w:r>
      <w:r w:rsidR="00E813A2" w:rsidRPr="00A2253A">
        <w:rPr>
          <w:rFonts w:ascii="Arial" w:eastAsia="MS Mincho" w:hAnsi="Arial" w:cs="Arial"/>
          <w:sz w:val="24"/>
          <w:szCs w:val="24"/>
          <w:lang w:val="es-ES"/>
        </w:rPr>
        <w:t xml:space="preserve"> 2024</w:t>
      </w:r>
      <w:r w:rsidR="00B91B9E" w:rsidRPr="00A2253A">
        <w:rPr>
          <w:rFonts w:ascii="Arial" w:eastAsiaTheme="minorEastAsia" w:hAnsi="Arial" w:cs="Arial"/>
          <w:iCs/>
          <w:sz w:val="24"/>
          <w:szCs w:val="24"/>
        </w:rPr>
        <w:t>:</w:t>
      </w:r>
      <w:r w:rsidR="00C62841">
        <w:rPr>
          <w:rFonts w:ascii="Arial" w:eastAsiaTheme="minorEastAsia" w:hAnsi="Arial" w:cs="Arial"/>
          <w:iCs/>
          <w:sz w:val="24"/>
          <w:szCs w:val="24"/>
        </w:rPr>
        <w:t xml:space="preserve"> </w:t>
      </w:r>
    </w:p>
    <w:p w14:paraId="0B974990" w14:textId="77777777" w:rsidR="007D7938" w:rsidRDefault="007D7938" w:rsidP="00986A80">
      <w:pPr>
        <w:spacing w:after="0" w:line="360" w:lineRule="auto"/>
        <w:ind w:right="-91"/>
        <w:jc w:val="both"/>
        <w:rPr>
          <w:rFonts w:ascii="Arial" w:eastAsiaTheme="minorEastAsia" w:hAnsi="Arial" w:cs="Arial"/>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5812"/>
        <w:gridCol w:w="1559"/>
      </w:tblGrid>
      <w:tr w:rsidR="007100B1" w:rsidRPr="007100B1" w14:paraId="3D838C10" w14:textId="77777777" w:rsidTr="005A3C0C">
        <w:trPr>
          <w:trHeight w:val="320"/>
        </w:trPr>
        <w:tc>
          <w:tcPr>
            <w:tcW w:w="1838" w:type="dxa"/>
            <w:shd w:val="clear" w:color="auto" w:fill="auto"/>
            <w:noWrap/>
            <w:vAlign w:val="center"/>
            <w:hideMark/>
          </w:tcPr>
          <w:p w14:paraId="3A7FE978" w14:textId="77777777" w:rsidR="007100B1" w:rsidRPr="007100B1" w:rsidRDefault="007100B1" w:rsidP="007100B1">
            <w:pPr>
              <w:spacing w:after="0" w:line="240" w:lineRule="auto"/>
              <w:jc w:val="center"/>
              <w:rPr>
                <w:rFonts w:ascii="Arial" w:eastAsia="Times New Roman" w:hAnsi="Arial" w:cs="Arial"/>
                <w:b/>
                <w:bCs/>
                <w:color w:val="000000"/>
                <w:sz w:val="24"/>
                <w:szCs w:val="24"/>
                <w:lang w:eastAsia="es-CO"/>
              </w:rPr>
            </w:pPr>
            <w:r w:rsidRPr="007100B1">
              <w:rPr>
                <w:rFonts w:ascii="Arial" w:eastAsia="Times New Roman" w:hAnsi="Arial" w:cs="Arial"/>
                <w:b/>
                <w:bCs/>
                <w:color w:val="000000"/>
                <w:sz w:val="24"/>
                <w:szCs w:val="24"/>
                <w:lang w:eastAsia="es-CO"/>
              </w:rPr>
              <w:t>Cód. SUI</w:t>
            </w:r>
          </w:p>
        </w:tc>
        <w:tc>
          <w:tcPr>
            <w:tcW w:w="5812" w:type="dxa"/>
            <w:shd w:val="clear" w:color="auto" w:fill="auto"/>
            <w:noWrap/>
            <w:vAlign w:val="center"/>
            <w:hideMark/>
          </w:tcPr>
          <w:p w14:paraId="582C8093" w14:textId="77777777" w:rsidR="007100B1" w:rsidRPr="007100B1" w:rsidRDefault="007100B1" w:rsidP="007100B1">
            <w:pPr>
              <w:spacing w:after="0" w:line="240" w:lineRule="auto"/>
              <w:jc w:val="center"/>
              <w:rPr>
                <w:rFonts w:ascii="Arial" w:eastAsia="Times New Roman" w:hAnsi="Arial" w:cs="Arial"/>
                <w:b/>
                <w:bCs/>
                <w:color w:val="000000"/>
                <w:sz w:val="24"/>
                <w:szCs w:val="24"/>
                <w:lang w:eastAsia="es-CO"/>
              </w:rPr>
            </w:pPr>
            <w:r w:rsidRPr="007100B1">
              <w:rPr>
                <w:rFonts w:ascii="Arial" w:eastAsia="Times New Roman" w:hAnsi="Arial" w:cs="Arial"/>
                <w:b/>
                <w:bCs/>
                <w:color w:val="000000"/>
                <w:sz w:val="24"/>
                <w:szCs w:val="24"/>
                <w:lang w:eastAsia="es-CO"/>
              </w:rPr>
              <w:t>Empresa</w:t>
            </w:r>
          </w:p>
        </w:tc>
        <w:tc>
          <w:tcPr>
            <w:tcW w:w="1559" w:type="dxa"/>
            <w:shd w:val="clear" w:color="auto" w:fill="auto"/>
            <w:noWrap/>
            <w:vAlign w:val="center"/>
            <w:hideMark/>
          </w:tcPr>
          <w:p w14:paraId="3E4D7B64" w14:textId="77777777" w:rsidR="007100B1" w:rsidRPr="007100B1" w:rsidRDefault="007100B1" w:rsidP="007100B1">
            <w:pPr>
              <w:spacing w:after="0" w:line="240" w:lineRule="auto"/>
              <w:jc w:val="center"/>
              <w:rPr>
                <w:rFonts w:ascii="Arial" w:eastAsia="Times New Roman" w:hAnsi="Arial" w:cs="Arial"/>
                <w:b/>
                <w:bCs/>
                <w:color w:val="000000"/>
                <w:sz w:val="24"/>
                <w:szCs w:val="24"/>
                <w:lang w:eastAsia="es-CO"/>
              </w:rPr>
            </w:pPr>
            <w:r w:rsidRPr="007100B1">
              <w:rPr>
                <w:rFonts w:ascii="Arial" w:eastAsia="Times New Roman" w:hAnsi="Arial" w:cs="Arial"/>
                <w:b/>
                <w:bCs/>
                <w:color w:val="000000"/>
                <w:sz w:val="24"/>
                <w:szCs w:val="24"/>
                <w:lang w:eastAsia="es-CO"/>
              </w:rPr>
              <w:t>Capacidad (kg)</w:t>
            </w:r>
          </w:p>
        </w:tc>
      </w:tr>
      <w:tr w:rsidR="007100B1" w:rsidRPr="007100B1" w14:paraId="67F8999F" w14:textId="77777777" w:rsidTr="005A3C0C">
        <w:trPr>
          <w:trHeight w:val="320"/>
        </w:trPr>
        <w:tc>
          <w:tcPr>
            <w:tcW w:w="1838" w:type="dxa"/>
            <w:shd w:val="clear" w:color="auto" w:fill="auto"/>
            <w:noWrap/>
            <w:vAlign w:val="center"/>
            <w:hideMark/>
          </w:tcPr>
          <w:p w14:paraId="7AA10864"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522</w:t>
            </w:r>
          </w:p>
        </w:tc>
        <w:tc>
          <w:tcPr>
            <w:tcW w:w="5812" w:type="dxa"/>
            <w:shd w:val="clear" w:color="auto" w:fill="auto"/>
            <w:vAlign w:val="center"/>
            <w:hideMark/>
          </w:tcPr>
          <w:p w14:paraId="0ECBE894"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COLGAS S.A. E.S.P.</w:t>
            </w:r>
          </w:p>
        </w:tc>
        <w:tc>
          <w:tcPr>
            <w:tcW w:w="1559" w:type="dxa"/>
            <w:shd w:val="clear" w:color="auto" w:fill="auto"/>
            <w:noWrap/>
            <w:vAlign w:val="center"/>
            <w:hideMark/>
          </w:tcPr>
          <w:p w14:paraId="3FA6402B"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162.783.112</w:t>
            </w:r>
          </w:p>
        </w:tc>
      </w:tr>
      <w:tr w:rsidR="007100B1" w:rsidRPr="007100B1" w14:paraId="20D9A4C7" w14:textId="77777777" w:rsidTr="005A3C0C">
        <w:trPr>
          <w:trHeight w:val="320"/>
        </w:trPr>
        <w:tc>
          <w:tcPr>
            <w:tcW w:w="1838" w:type="dxa"/>
            <w:shd w:val="clear" w:color="auto" w:fill="auto"/>
            <w:noWrap/>
            <w:vAlign w:val="center"/>
            <w:hideMark/>
          </w:tcPr>
          <w:p w14:paraId="472A4719"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lastRenderedPageBreak/>
              <w:t>543</w:t>
            </w:r>
          </w:p>
        </w:tc>
        <w:tc>
          <w:tcPr>
            <w:tcW w:w="5812" w:type="dxa"/>
            <w:shd w:val="clear" w:color="auto" w:fill="auto"/>
            <w:vAlign w:val="center"/>
            <w:hideMark/>
          </w:tcPr>
          <w:p w14:paraId="3BF657DC" w14:textId="5E6BC329"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PROVIGAS S.A.S. E.S.P.</w:t>
            </w:r>
          </w:p>
        </w:tc>
        <w:tc>
          <w:tcPr>
            <w:tcW w:w="1559" w:type="dxa"/>
            <w:shd w:val="clear" w:color="auto" w:fill="auto"/>
            <w:noWrap/>
            <w:vAlign w:val="center"/>
            <w:hideMark/>
          </w:tcPr>
          <w:p w14:paraId="74955B3A"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2.607.037</w:t>
            </w:r>
          </w:p>
        </w:tc>
      </w:tr>
      <w:tr w:rsidR="007100B1" w:rsidRPr="007100B1" w14:paraId="49A1B16D" w14:textId="77777777" w:rsidTr="005A3C0C">
        <w:trPr>
          <w:trHeight w:val="320"/>
        </w:trPr>
        <w:tc>
          <w:tcPr>
            <w:tcW w:w="1838" w:type="dxa"/>
            <w:shd w:val="clear" w:color="auto" w:fill="auto"/>
            <w:noWrap/>
            <w:vAlign w:val="center"/>
            <w:hideMark/>
          </w:tcPr>
          <w:p w14:paraId="58931E90" w14:textId="77777777" w:rsidR="007100B1" w:rsidRPr="0037444E" w:rsidRDefault="007100B1" w:rsidP="007100B1">
            <w:pPr>
              <w:spacing w:after="0" w:line="240" w:lineRule="auto"/>
              <w:jc w:val="center"/>
              <w:rPr>
                <w:rFonts w:ascii="Arial" w:eastAsia="Times New Roman" w:hAnsi="Arial" w:cs="Arial"/>
                <w:color w:val="000000"/>
                <w:sz w:val="24"/>
                <w:szCs w:val="24"/>
                <w:lang w:eastAsia="es-CO"/>
              </w:rPr>
            </w:pPr>
            <w:r w:rsidRPr="0037444E">
              <w:rPr>
                <w:rFonts w:ascii="Arial" w:eastAsia="Times New Roman" w:hAnsi="Arial" w:cs="Arial"/>
                <w:color w:val="000000"/>
                <w:sz w:val="24"/>
                <w:szCs w:val="24"/>
                <w:lang w:eastAsia="es-CO"/>
              </w:rPr>
              <w:t>976</w:t>
            </w:r>
          </w:p>
        </w:tc>
        <w:tc>
          <w:tcPr>
            <w:tcW w:w="5812" w:type="dxa"/>
            <w:shd w:val="clear" w:color="auto" w:fill="auto"/>
            <w:vAlign w:val="center"/>
            <w:hideMark/>
          </w:tcPr>
          <w:p w14:paraId="1F0863F7" w14:textId="672AE9F6" w:rsidR="007100B1" w:rsidRPr="0037444E" w:rsidRDefault="007100B1" w:rsidP="007100B1">
            <w:pPr>
              <w:spacing w:after="0" w:line="240" w:lineRule="auto"/>
              <w:jc w:val="center"/>
              <w:rPr>
                <w:rFonts w:ascii="Arial" w:eastAsia="Times New Roman" w:hAnsi="Arial" w:cs="Arial"/>
                <w:color w:val="000000"/>
                <w:sz w:val="24"/>
                <w:szCs w:val="24"/>
                <w:lang w:eastAsia="es-CO"/>
              </w:rPr>
            </w:pPr>
            <w:r w:rsidRPr="0037444E">
              <w:rPr>
                <w:rFonts w:ascii="Arial" w:eastAsia="Times New Roman" w:hAnsi="Arial" w:cs="Arial"/>
                <w:color w:val="000000"/>
                <w:sz w:val="24"/>
                <w:szCs w:val="24"/>
                <w:lang w:eastAsia="es-CO"/>
              </w:rPr>
              <w:t>GAS ZIPA SAS ESP</w:t>
            </w:r>
          </w:p>
        </w:tc>
        <w:tc>
          <w:tcPr>
            <w:tcW w:w="1559" w:type="dxa"/>
            <w:shd w:val="clear" w:color="auto" w:fill="auto"/>
            <w:noWrap/>
            <w:vAlign w:val="center"/>
            <w:hideMark/>
          </w:tcPr>
          <w:p w14:paraId="1FEFB28E" w14:textId="37A5C3A6" w:rsidR="007100B1" w:rsidRPr="0037444E" w:rsidRDefault="0078709C" w:rsidP="007100B1">
            <w:pPr>
              <w:spacing w:after="0" w:line="240" w:lineRule="auto"/>
              <w:jc w:val="center"/>
              <w:rPr>
                <w:rFonts w:ascii="Arial" w:eastAsia="Times New Roman" w:hAnsi="Arial" w:cs="Arial"/>
                <w:color w:val="000000"/>
                <w:sz w:val="24"/>
                <w:szCs w:val="24"/>
                <w:lang w:eastAsia="es-CO"/>
              </w:rPr>
            </w:pPr>
            <w:r w:rsidRPr="0037444E">
              <w:rPr>
                <w:rFonts w:ascii="Arial" w:eastAsia="Times New Roman" w:hAnsi="Arial" w:cs="Arial"/>
                <w:color w:val="000000"/>
                <w:sz w:val="24"/>
                <w:szCs w:val="24"/>
                <w:lang w:eastAsia="es-CO"/>
              </w:rPr>
              <w:t>10.968.040</w:t>
            </w:r>
          </w:p>
        </w:tc>
      </w:tr>
      <w:tr w:rsidR="007100B1" w:rsidRPr="007100B1" w14:paraId="366050A5" w14:textId="77777777" w:rsidTr="005A3C0C">
        <w:trPr>
          <w:trHeight w:val="320"/>
        </w:trPr>
        <w:tc>
          <w:tcPr>
            <w:tcW w:w="1838" w:type="dxa"/>
            <w:shd w:val="clear" w:color="auto" w:fill="auto"/>
            <w:noWrap/>
            <w:vAlign w:val="center"/>
            <w:hideMark/>
          </w:tcPr>
          <w:p w14:paraId="5B207325" w14:textId="77777777" w:rsidR="007100B1" w:rsidRPr="0037444E" w:rsidRDefault="007100B1" w:rsidP="007100B1">
            <w:pPr>
              <w:spacing w:after="0" w:line="240" w:lineRule="auto"/>
              <w:jc w:val="center"/>
              <w:rPr>
                <w:rFonts w:ascii="Arial" w:eastAsia="Times New Roman" w:hAnsi="Arial" w:cs="Arial"/>
                <w:color w:val="000000"/>
                <w:sz w:val="24"/>
                <w:szCs w:val="24"/>
                <w:lang w:eastAsia="es-CO"/>
              </w:rPr>
            </w:pPr>
            <w:r w:rsidRPr="0037444E">
              <w:rPr>
                <w:rFonts w:ascii="Arial" w:eastAsia="Times New Roman" w:hAnsi="Arial" w:cs="Arial"/>
                <w:color w:val="000000"/>
                <w:sz w:val="24"/>
                <w:szCs w:val="24"/>
                <w:lang w:eastAsia="es-CO"/>
              </w:rPr>
              <w:t>1115</w:t>
            </w:r>
          </w:p>
        </w:tc>
        <w:tc>
          <w:tcPr>
            <w:tcW w:w="5812" w:type="dxa"/>
            <w:shd w:val="clear" w:color="auto" w:fill="auto"/>
            <w:vAlign w:val="center"/>
            <w:hideMark/>
          </w:tcPr>
          <w:p w14:paraId="06EE3666" w14:textId="745E7C0C" w:rsidR="007100B1" w:rsidRPr="0037444E" w:rsidRDefault="007100B1" w:rsidP="007100B1">
            <w:pPr>
              <w:spacing w:after="0" w:line="240" w:lineRule="auto"/>
              <w:jc w:val="center"/>
              <w:rPr>
                <w:rFonts w:ascii="Arial" w:eastAsia="Times New Roman" w:hAnsi="Arial" w:cs="Arial"/>
                <w:color w:val="000000"/>
                <w:sz w:val="24"/>
                <w:szCs w:val="24"/>
                <w:lang w:eastAsia="es-CO"/>
              </w:rPr>
            </w:pPr>
            <w:r w:rsidRPr="0037444E">
              <w:rPr>
                <w:rFonts w:ascii="Arial" w:eastAsia="Times New Roman" w:hAnsi="Arial" w:cs="Arial"/>
                <w:color w:val="000000"/>
                <w:sz w:val="24"/>
                <w:szCs w:val="24"/>
                <w:lang w:eastAsia="es-CO"/>
              </w:rPr>
              <w:t>VELOGAS S.A. E.S.P.</w:t>
            </w:r>
          </w:p>
        </w:tc>
        <w:tc>
          <w:tcPr>
            <w:tcW w:w="1559" w:type="dxa"/>
            <w:shd w:val="clear" w:color="auto" w:fill="auto"/>
            <w:noWrap/>
            <w:vAlign w:val="center"/>
            <w:hideMark/>
          </w:tcPr>
          <w:p w14:paraId="7BA9A65E" w14:textId="77777777" w:rsidR="007100B1" w:rsidRPr="0037444E" w:rsidRDefault="007100B1" w:rsidP="007100B1">
            <w:pPr>
              <w:spacing w:after="0" w:line="240" w:lineRule="auto"/>
              <w:jc w:val="center"/>
              <w:rPr>
                <w:rFonts w:ascii="Arial" w:eastAsia="Times New Roman" w:hAnsi="Arial" w:cs="Arial"/>
                <w:color w:val="000000"/>
                <w:sz w:val="24"/>
                <w:szCs w:val="24"/>
                <w:lang w:eastAsia="es-CO"/>
              </w:rPr>
            </w:pPr>
            <w:r w:rsidRPr="0037444E">
              <w:rPr>
                <w:rFonts w:ascii="Arial" w:eastAsia="Times New Roman" w:hAnsi="Arial" w:cs="Arial"/>
                <w:color w:val="000000"/>
                <w:sz w:val="24"/>
                <w:szCs w:val="24"/>
                <w:lang w:eastAsia="es-CO"/>
              </w:rPr>
              <w:t>614.061</w:t>
            </w:r>
          </w:p>
        </w:tc>
      </w:tr>
      <w:tr w:rsidR="007100B1" w:rsidRPr="007100B1" w14:paraId="26693021" w14:textId="77777777" w:rsidTr="005A3C0C">
        <w:trPr>
          <w:trHeight w:val="630"/>
        </w:trPr>
        <w:tc>
          <w:tcPr>
            <w:tcW w:w="1838" w:type="dxa"/>
            <w:shd w:val="clear" w:color="auto" w:fill="auto"/>
            <w:noWrap/>
            <w:vAlign w:val="center"/>
            <w:hideMark/>
          </w:tcPr>
          <w:p w14:paraId="2802A462" w14:textId="77777777" w:rsidR="007100B1" w:rsidRPr="0037444E" w:rsidRDefault="007100B1" w:rsidP="007100B1">
            <w:pPr>
              <w:spacing w:after="0" w:line="240" w:lineRule="auto"/>
              <w:jc w:val="center"/>
              <w:rPr>
                <w:rFonts w:ascii="Arial" w:eastAsia="Times New Roman" w:hAnsi="Arial" w:cs="Arial"/>
                <w:color w:val="000000"/>
                <w:sz w:val="24"/>
                <w:szCs w:val="24"/>
                <w:lang w:eastAsia="es-CO"/>
              </w:rPr>
            </w:pPr>
            <w:r w:rsidRPr="0037444E">
              <w:rPr>
                <w:rFonts w:ascii="Arial" w:eastAsia="Times New Roman" w:hAnsi="Arial" w:cs="Arial"/>
                <w:color w:val="000000"/>
                <w:sz w:val="24"/>
                <w:szCs w:val="24"/>
                <w:lang w:eastAsia="es-CO"/>
              </w:rPr>
              <w:t>1195</w:t>
            </w:r>
          </w:p>
        </w:tc>
        <w:tc>
          <w:tcPr>
            <w:tcW w:w="5812" w:type="dxa"/>
            <w:shd w:val="clear" w:color="auto" w:fill="auto"/>
            <w:vAlign w:val="center"/>
            <w:hideMark/>
          </w:tcPr>
          <w:p w14:paraId="0869004C" w14:textId="77777777" w:rsidR="007100B1" w:rsidRPr="0037444E" w:rsidRDefault="007100B1" w:rsidP="007100B1">
            <w:pPr>
              <w:spacing w:after="0" w:line="240" w:lineRule="auto"/>
              <w:jc w:val="center"/>
              <w:rPr>
                <w:rFonts w:ascii="Arial" w:eastAsia="Times New Roman" w:hAnsi="Arial" w:cs="Arial"/>
                <w:color w:val="000000"/>
                <w:sz w:val="24"/>
                <w:szCs w:val="24"/>
                <w:lang w:eastAsia="es-CO"/>
              </w:rPr>
            </w:pPr>
            <w:r w:rsidRPr="0037444E">
              <w:rPr>
                <w:rFonts w:ascii="Arial" w:eastAsia="Times New Roman" w:hAnsi="Arial" w:cs="Arial"/>
                <w:color w:val="000000"/>
                <w:sz w:val="24"/>
                <w:szCs w:val="24"/>
                <w:lang w:eastAsia="es-CO"/>
              </w:rPr>
              <w:t>ENVASADORA DE GAS DE PUERTO SALGAR S.A. EMPRESA DE SERVICIOS PUBLICOS</w:t>
            </w:r>
          </w:p>
        </w:tc>
        <w:tc>
          <w:tcPr>
            <w:tcW w:w="1559" w:type="dxa"/>
            <w:shd w:val="clear" w:color="auto" w:fill="auto"/>
            <w:noWrap/>
            <w:vAlign w:val="center"/>
            <w:hideMark/>
          </w:tcPr>
          <w:p w14:paraId="3F3D1C08" w14:textId="472AE5E6" w:rsidR="007100B1" w:rsidRPr="0037444E" w:rsidRDefault="00B85A75" w:rsidP="007100B1">
            <w:pPr>
              <w:spacing w:after="0" w:line="240" w:lineRule="auto"/>
              <w:jc w:val="center"/>
              <w:rPr>
                <w:rFonts w:ascii="Arial" w:eastAsia="Times New Roman" w:hAnsi="Arial" w:cs="Arial"/>
                <w:color w:val="000000"/>
                <w:sz w:val="24"/>
                <w:szCs w:val="24"/>
                <w:lang w:eastAsia="es-CO"/>
              </w:rPr>
            </w:pPr>
            <w:r w:rsidRPr="0037444E">
              <w:rPr>
                <w:rFonts w:ascii="Arial" w:eastAsia="Times New Roman" w:hAnsi="Arial" w:cs="Arial"/>
                <w:color w:val="000000"/>
                <w:sz w:val="24"/>
                <w:szCs w:val="24"/>
                <w:lang w:eastAsia="es-CO"/>
              </w:rPr>
              <w:t>3.218.238</w:t>
            </w:r>
          </w:p>
        </w:tc>
      </w:tr>
      <w:tr w:rsidR="007100B1" w:rsidRPr="007100B1" w14:paraId="372FBC33" w14:textId="77777777" w:rsidTr="005A3C0C">
        <w:trPr>
          <w:trHeight w:val="320"/>
        </w:trPr>
        <w:tc>
          <w:tcPr>
            <w:tcW w:w="1838" w:type="dxa"/>
            <w:shd w:val="clear" w:color="auto" w:fill="auto"/>
            <w:noWrap/>
            <w:vAlign w:val="center"/>
            <w:hideMark/>
          </w:tcPr>
          <w:p w14:paraId="2C6837EF"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1330</w:t>
            </w:r>
          </w:p>
        </w:tc>
        <w:tc>
          <w:tcPr>
            <w:tcW w:w="5812" w:type="dxa"/>
            <w:shd w:val="clear" w:color="auto" w:fill="auto"/>
            <w:vAlign w:val="center"/>
            <w:hideMark/>
          </w:tcPr>
          <w:p w14:paraId="35368C6A"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GRANADOS GOMEZ Y CIA S.A.S E.</w:t>
            </w:r>
            <w:proofErr w:type="gramStart"/>
            <w:r w:rsidRPr="007100B1">
              <w:rPr>
                <w:rFonts w:ascii="Arial" w:eastAsia="Times New Roman" w:hAnsi="Arial" w:cs="Arial"/>
                <w:color w:val="000000"/>
                <w:sz w:val="24"/>
                <w:szCs w:val="24"/>
                <w:lang w:eastAsia="es-CO"/>
              </w:rPr>
              <w:t>S.P</w:t>
            </w:r>
            <w:proofErr w:type="gramEnd"/>
          </w:p>
        </w:tc>
        <w:tc>
          <w:tcPr>
            <w:tcW w:w="1559" w:type="dxa"/>
            <w:shd w:val="clear" w:color="auto" w:fill="auto"/>
            <w:noWrap/>
            <w:vAlign w:val="center"/>
            <w:hideMark/>
          </w:tcPr>
          <w:p w14:paraId="08B58804"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4.546.497</w:t>
            </w:r>
          </w:p>
        </w:tc>
      </w:tr>
      <w:tr w:rsidR="007100B1" w:rsidRPr="007100B1" w14:paraId="47C461CC" w14:textId="77777777" w:rsidTr="005A3C0C">
        <w:trPr>
          <w:trHeight w:val="320"/>
        </w:trPr>
        <w:tc>
          <w:tcPr>
            <w:tcW w:w="1838" w:type="dxa"/>
            <w:shd w:val="clear" w:color="auto" w:fill="auto"/>
            <w:noWrap/>
            <w:vAlign w:val="center"/>
            <w:hideMark/>
          </w:tcPr>
          <w:p w14:paraId="3D53B397"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1564</w:t>
            </w:r>
          </w:p>
        </w:tc>
        <w:tc>
          <w:tcPr>
            <w:tcW w:w="5812" w:type="dxa"/>
            <w:shd w:val="clear" w:color="auto" w:fill="auto"/>
            <w:vAlign w:val="center"/>
            <w:hideMark/>
          </w:tcPr>
          <w:p w14:paraId="4F1D7122"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ELECTROGAS SA ESP</w:t>
            </w:r>
          </w:p>
        </w:tc>
        <w:tc>
          <w:tcPr>
            <w:tcW w:w="1559" w:type="dxa"/>
            <w:shd w:val="clear" w:color="auto" w:fill="auto"/>
            <w:noWrap/>
            <w:vAlign w:val="center"/>
            <w:hideMark/>
          </w:tcPr>
          <w:p w14:paraId="378A17EB"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2.032.187</w:t>
            </w:r>
          </w:p>
        </w:tc>
      </w:tr>
      <w:tr w:rsidR="007100B1" w:rsidRPr="007100B1" w14:paraId="57A5707E" w14:textId="77777777" w:rsidTr="005A3C0C">
        <w:trPr>
          <w:trHeight w:val="320"/>
        </w:trPr>
        <w:tc>
          <w:tcPr>
            <w:tcW w:w="1838" w:type="dxa"/>
            <w:shd w:val="clear" w:color="auto" w:fill="auto"/>
            <w:noWrap/>
            <w:vAlign w:val="center"/>
            <w:hideMark/>
          </w:tcPr>
          <w:p w14:paraId="53E89744"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1595</w:t>
            </w:r>
          </w:p>
        </w:tc>
        <w:tc>
          <w:tcPr>
            <w:tcW w:w="5812" w:type="dxa"/>
            <w:shd w:val="clear" w:color="auto" w:fill="auto"/>
            <w:vAlign w:val="center"/>
            <w:hideMark/>
          </w:tcPr>
          <w:p w14:paraId="1CFFE279"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GASES DEL CAGUAN S. A. E.S.P.</w:t>
            </w:r>
          </w:p>
        </w:tc>
        <w:tc>
          <w:tcPr>
            <w:tcW w:w="1559" w:type="dxa"/>
            <w:shd w:val="clear" w:color="auto" w:fill="auto"/>
            <w:noWrap/>
            <w:vAlign w:val="center"/>
            <w:hideMark/>
          </w:tcPr>
          <w:p w14:paraId="1F9FFC79"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355.661</w:t>
            </w:r>
          </w:p>
        </w:tc>
      </w:tr>
      <w:tr w:rsidR="007100B1" w:rsidRPr="007100B1" w14:paraId="3A35A7FD" w14:textId="77777777" w:rsidTr="005A3C0C">
        <w:trPr>
          <w:trHeight w:val="320"/>
        </w:trPr>
        <w:tc>
          <w:tcPr>
            <w:tcW w:w="1838" w:type="dxa"/>
            <w:shd w:val="clear" w:color="auto" w:fill="auto"/>
            <w:noWrap/>
            <w:vAlign w:val="center"/>
            <w:hideMark/>
          </w:tcPr>
          <w:p w14:paraId="00D97701"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1598</w:t>
            </w:r>
          </w:p>
        </w:tc>
        <w:tc>
          <w:tcPr>
            <w:tcW w:w="5812" w:type="dxa"/>
            <w:shd w:val="clear" w:color="auto" w:fill="auto"/>
            <w:vAlign w:val="center"/>
            <w:hideMark/>
          </w:tcPr>
          <w:p w14:paraId="31B7240D"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GAS NEIVA S.A. E.S.P.</w:t>
            </w:r>
          </w:p>
        </w:tc>
        <w:tc>
          <w:tcPr>
            <w:tcW w:w="1559" w:type="dxa"/>
            <w:shd w:val="clear" w:color="auto" w:fill="auto"/>
            <w:noWrap/>
            <w:vAlign w:val="center"/>
            <w:hideMark/>
          </w:tcPr>
          <w:p w14:paraId="59EED386"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4.166.461</w:t>
            </w:r>
          </w:p>
        </w:tc>
      </w:tr>
      <w:tr w:rsidR="007100B1" w:rsidRPr="007100B1" w14:paraId="40951BA3" w14:textId="77777777" w:rsidTr="005A3C0C">
        <w:trPr>
          <w:trHeight w:val="320"/>
        </w:trPr>
        <w:tc>
          <w:tcPr>
            <w:tcW w:w="1838" w:type="dxa"/>
            <w:shd w:val="clear" w:color="auto" w:fill="auto"/>
            <w:noWrap/>
            <w:vAlign w:val="center"/>
            <w:hideMark/>
          </w:tcPr>
          <w:p w14:paraId="377A7113"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1634</w:t>
            </w:r>
          </w:p>
        </w:tc>
        <w:tc>
          <w:tcPr>
            <w:tcW w:w="5812" w:type="dxa"/>
            <w:shd w:val="clear" w:color="auto" w:fill="auto"/>
            <w:vAlign w:val="center"/>
            <w:hideMark/>
          </w:tcPr>
          <w:p w14:paraId="6F50A969"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RAYOGAS S.A. ESP</w:t>
            </w:r>
          </w:p>
        </w:tc>
        <w:tc>
          <w:tcPr>
            <w:tcW w:w="1559" w:type="dxa"/>
            <w:shd w:val="clear" w:color="auto" w:fill="auto"/>
            <w:noWrap/>
            <w:vAlign w:val="center"/>
            <w:hideMark/>
          </w:tcPr>
          <w:p w14:paraId="0480143D"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16.099.391</w:t>
            </w:r>
          </w:p>
        </w:tc>
      </w:tr>
      <w:tr w:rsidR="007100B1" w:rsidRPr="007100B1" w14:paraId="660E73C5" w14:textId="77777777" w:rsidTr="005A3C0C">
        <w:trPr>
          <w:trHeight w:val="320"/>
        </w:trPr>
        <w:tc>
          <w:tcPr>
            <w:tcW w:w="1838" w:type="dxa"/>
            <w:shd w:val="clear" w:color="auto" w:fill="auto"/>
            <w:noWrap/>
            <w:vAlign w:val="center"/>
            <w:hideMark/>
          </w:tcPr>
          <w:p w14:paraId="33520DE3"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1713</w:t>
            </w:r>
          </w:p>
        </w:tc>
        <w:tc>
          <w:tcPr>
            <w:tcW w:w="5812" w:type="dxa"/>
            <w:shd w:val="clear" w:color="auto" w:fill="auto"/>
            <w:vAlign w:val="center"/>
            <w:hideMark/>
          </w:tcPr>
          <w:p w14:paraId="6DEB96DA"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INTERMUNICIPAL DE GAS S.A. E.S.P.</w:t>
            </w:r>
          </w:p>
        </w:tc>
        <w:tc>
          <w:tcPr>
            <w:tcW w:w="1559" w:type="dxa"/>
            <w:shd w:val="clear" w:color="auto" w:fill="auto"/>
            <w:noWrap/>
            <w:vAlign w:val="center"/>
            <w:hideMark/>
          </w:tcPr>
          <w:p w14:paraId="02071DCA"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314.959</w:t>
            </w:r>
          </w:p>
        </w:tc>
      </w:tr>
      <w:tr w:rsidR="007100B1" w:rsidRPr="007100B1" w14:paraId="723EAA5E" w14:textId="77777777" w:rsidTr="005A3C0C">
        <w:trPr>
          <w:trHeight w:val="320"/>
        </w:trPr>
        <w:tc>
          <w:tcPr>
            <w:tcW w:w="1838" w:type="dxa"/>
            <w:shd w:val="clear" w:color="auto" w:fill="auto"/>
            <w:noWrap/>
            <w:vAlign w:val="center"/>
            <w:hideMark/>
          </w:tcPr>
          <w:p w14:paraId="537C3EE9"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1714</w:t>
            </w:r>
          </w:p>
        </w:tc>
        <w:tc>
          <w:tcPr>
            <w:tcW w:w="5812" w:type="dxa"/>
            <w:shd w:val="clear" w:color="auto" w:fill="auto"/>
            <w:vAlign w:val="center"/>
            <w:hideMark/>
          </w:tcPr>
          <w:p w14:paraId="6086422A"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VILLA GAS S.A. E.S.P.</w:t>
            </w:r>
          </w:p>
        </w:tc>
        <w:tc>
          <w:tcPr>
            <w:tcW w:w="1559" w:type="dxa"/>
            <w:shd w:val="clear" w:color="auto" w:fill="auto"/>
            <w:noWrap/>
            <w:vAlign w:val="center"/>
            <w:hideMark/>
          </w:tcPr>
          <w:p w14:paraId="19A53714"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1.040.081</w:t>
            </w:r>
          </w:p>
        </w:tc>
      </w:tr>
      <w:tr w:rsidR="007100B1" w:rsidRPr="007100B1" w14:paraId="4828271A" w14:textId="77777777" w:rsidTr="005A3C0C">
        <w:trPr>
          <w:trHeight w:val="320"/>
        </w:trPr>
        <w:tc>
          <w:tcPr>
            <w:tcW w:w="1838" w:type="dxa"/>
            <w:shd w:val="clear" w:color="auto" w:fill="auto"/>
            <w:noWrap/>
            <w:vAlign w:val="center"/>
            <w:hideMark/>
          </w:tcPr>
          <w:p w14:paraId="691AC983"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1715</w:t>
            </w:r>
          </w:p>
        </w:tc>
        <w:tc>
          <w:tcPr>
            <w:tcW w:w="5812" w:type="dxa"/>
            <w:shd w:val="clear" w:color="auto" w:fill="auto"/>
            <w:vAlign w:val="center"/>
            <w:hideMark/>
          </w:tcPr>
          <w:p w14:paraId="43B1A00C"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GAS EL SOL S.A. E.S.P.</w:t>
            </w:r>
          </w:p>
        </w:tc>
        <w:tc>
          <w:tcPr>
            <w:tcW w:w="1559" w:type="dxa"/>
            <w:shd w:val="clear" w:color="auto" w:fill="auto"/>
            <w:noWrap/>
            <w:vAlign w:val="center"/>
            <w:hideMark/>
          </w:tcPr>
          <w:p w14:paraId="1055D70F"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379.097</w:t>
            </w:r>
          </w:p>
        </w:tc>
      </w:tr>
      <w:tr w:rsidR="007100B1" w:rsidRPr="007100B1" w14:paraId="45DCB42B" w14:textId="77777777" w:rsidTr="005A3C0C">
        <w:trPr>
          <w:trHeight w:val="320"/>
        </w:trPr>
        <w:tc>
          <w:tcPr>
            <w:tcW w:w="1838" w:type="dxa"/>
            <w:shd w:val="clear" w:color="auto" w:fill="auto"/>
            <w:noWrap/>
            <w:vAlign w:val="center"/>
            <w:hideMark/>
          </w:tcPr>
          <w:p w14:paraId="4770E351"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1854</w:t>
            </w:r>
          </w:p>
        </w:tc>
        <w:tc>
          <w:tcPr>
            <w:tcW w:w="5812" w:type="dxa"/>
            <w:shd w:val="clear" w:color="auto" w:fill="auto"/>
            <w:vAlign w:val="center"/>
            <w:hideMark/>
          </w:tcPr>
          <w:p w14:paraId="50CD7038"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LIDAGAS S.A E.S.P.</w:t>
            </w:r>
          </w:p>
        </w:tc>
        <w:tc>
          <w:tcPr>
            <w:tcW w:w="1559" w:type="dxa"/>
            <w:shd w:val="clear" w:color="auto" w:fill="auto"/>
            <w:noWrap/>
            <w:vAlign w:val="center"/>
            <w:hideMark/>
          </w:tcPr>
          <w:p w14:paraId="7456ED5B"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5.096.997</w:t>
            </w:r>
          </w:p>
        </w:tc>
      </w:tr>
      <w:tr w:rsidR="007100B1" w:rsidRPr="007100B1" w14:paraId="229A6AC0" w14:textId="77777777" w:rsidTr="005A3C0C">
        <w:trPr>
          <w:trHeight w:val="320"/>
        </w:trPr>
        <w:tc>
          <w:tcPr>
            <w:tcW w:w="1838" w:type="dxa"/>
            <w:shd w:val="clear" w:color="auto" w:fill="auto"/>
            <w:noWrap/>
            <w:vAlign w:val="center"/>
            <w:hideMark/>
          </w:tcPr>
          <w:p w14:paraId="3EF8B60E"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2180</w:t>
            </w:r>
          </w:p>
        </w:tc>
        <w:tc>
          <w:tcPr>
            <w:tcW w:w="5812" w:type="dxa"/>
            <w:shd w:val="clear" w:color="auto" w:fill="auto"/>
            <w:vAlign w:val="center"/>
            <w:hideMark/>
          </w:tcPr>
          <w:p w14:paraId="666D0828"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 xml:space="preserve">GAS CAQUETA </w:t>
            </w:r>
            <w:proofErr w:type="gramStart"/>
            <w:r w:rsidRPr="007100B1">
              <w:rPr>
                <w:rFonts w:ascii="Arial" w:eastAsia="Times New Roman" w:hAnsi="Arial" w:cs="Arial"/>
                <w:color w:val="000000"/>
                <w:sz w:val="24"/>
                <w:szCs w:val="24"/>
                <w:lang w:eastAsia="es-CO"/>
              </w:rPr>
              <w:t>S.A  E</w:t>
            </w:r>
            <w:proofErr w:type="gramEnd"/>
            <w:r w:rsidRPr="007100B1">
              <w:rPr>
                <w:rFonts w:ascii="Arial" w:eastAsia="Times New Roman" w:hAnsi="Arial" w:cs="Arial"/>
                <w:color w:val="000000"/>
                <w:sz w:val="24"/>
                <w:szCs w:val="24"/>
                <w:lang w:eastAsia="es-CO"/>
              </w:rPr>
              <w:t>.S.P</w:t>
            </w:r>
          </w:p>
        </w:tc>
        <w:tc>
          <w:tcPr>
            <w:tcW w:w="1559" w:type="dxa"/>
            <w:shd w:val="clear" w:color="auto" w:fill="auto"/>
            <w:noWrap/>
            <w:vAlign w:val="center"/>
            <w:hideMark/>
          </w:tcPr>
          <w:p w14:paraId="7FDED4E6"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1.955.505</w:t>
            </w:r>
          </w:p>
        </w:tc>
      </w:tr>
      <w:tr w:rsidR="007100B1" w:rsidRPr="007100B1" w14:paraId="30DF6D52" w14:textId="77777777" w:rsidTr="005A3C0C">
        <w:trPr>
          <w:trHeight w:val="320"/>
        </w:trPr>
        <w:tc>
          <w:tcPr>
            <w:tcW w:w="1838" w:type="dxa"/>
            <w:shd w:val="clear" w:color="auto" w:fill="auto"/>
            <w:noWrap/>
            <w:vAlign w:val="center"/>
            <w:hideMark/>
          </w:tcPr>
          <w:p w14:paraId="18FE1082"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2676</w:t>
            </w:r>
          </w:p>
        </w:tc>
        <w:tc>
          <w:tcPr>
            <w:tcW w:w="5812" w:type="dxa"/>
            <w:shd w:val="clear" w:color="auto" w:fill="auto"/>
            <w:vAlign w:val="center"/>
            <w:hideMark/>
          </w:tcPr>
          <w:p w14:paraId="65CC0D03"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SUPERGAS DE NARIÑO S.A. E.S.P.</w:t>
            </w:r>
          </w:p>
        </w:tc>
        <w:tc>
          <w:tcPr>
            <w:tcW w:w="1559" w:type="dxa"/>
            <w:shd w:val="clear" w:color="auto" w:fill="auto"/>
            <w:noWrap/>
            <w:vAlign w:val="center"/>
            <w:hideMark/>
          </w:tcPr>
          <w:p w14:paraId="601C185C"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4.667.208</w:t>
            </w:r>
          </w:p>
        </w:tc>
      </w:tr>
      <w:tr w:rsidR="007100B1" w:rsidRPr="007100B1" w14:paraId="73B08552" w14:textId="77777777" w:rsidTr="005A3C0C">
        <w:trPr>
          <w:trHeight w:val="320"/>
        </w:trPr>
        <w:tc>
          <w:tcPr>
            <w:tcW w:w="1838" w:type="dxa"/>
            <w:shd w:val="clear" w:color="auto" w:fill="auto"/>
            <w:noWrap/>
            <w:vAlign w:val="center"/>
            <w:hideMark/>
          </w:tcPr>
          <w:p w14:paraId="0671ABD9"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2923</w:t>
            </w:r>
          </w:p>
        </w:tc>
        <w:tc>
          <w:tcPr>
            <w:tcW w:w="5812" w:type="dxa"/>
            <w:shd w:val="clear" w:color="auto" w:fill="auto"/>
            <w:vAlign w:val="center"/>
            <w:hideMark/>
          </w:tcPr>
          <w:p w14:paraId="51DA5B21"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DISTRIBUIDORA DE GAS MONZAGAS S.A. E.S.P.</w:t>
            </w:r>
          </w:p>
        </w:tc>
        <w:tc>
          <w:tcPr>
            <w:tcW w:w="1559" w:type="dxa"/>
            <w:shd w:val="clear" w:color="auto" w:fill="auto"/>
            <w:noWrap/>
            <w:vAlign w:val="center"/>
            <w:hideMark/>
          </w:tcPr>
          <w:p w14:paraId="40E6DCC7"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880.539</w:t>
            </w:r>
          </w:p>
        </w:tc>
      </w:tr>
      <w:tr w:rsidR="007100B1" w:rsidRPr="007100B1" w14:paraId="548970BA" w14:textId="77777777" w:rsidTr="005A3C0C">
        <w:trPr>
          <w:trHeight w:val="320"/>
        </w:trPr>
        <w:tc>
          <w:tcPr>
            <w:tcW w:w="1838" w:type="dxa"/>
            <w:shd w:val="clear" w:color="auto" w:fill="auto"/>
            <w:noWrap/>
            <w:vAlign w:val="center"/>
            <w:hideMark/>
          </w:tcPr>
          <w:p w14:paraId="55F7A27C"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3080</w:t>
            </w:r>
          </w:p>
        </w:tc>
        <w:tc>
          <w:tcPr>
            <w:tcW w:w="5812" w:type="dxa"/>
            <w:shd w:val="clear" w:color="auto" w:fill="auto"/>
            <w:vAlign w:val="center"/>
            <w:hideMark/>
          </w:tcPr>
          <w:p w14:paraId="18214717"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LA LLAMA OLÍMPICA S.A, E.S.P.</w:t>
            </w:r>
          </w:p>
        </w:tc>
        <w:tc>
          <w:tcPr>
            <w:tcW w:w="1559" w:type="dxa"/>
            <w:shd w:val="clear" w:color="auto" w:fill="auto"/>
            <w:noWrap/>
            <w:vAlign w:val="center"/>
            <w:hideMark/>
          </w:tcPr>
          <w:p w14:paraId="4FB1013D"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897.283</w:t>
            </w:r>
          </w:p>
        </w:tc>
      </w:tr>
      <w:tr w:rsidR="007100B1" w:rsidRPr="007100B1" w14:paraId="4A4892DB" w14:textId="77777777" w:rsidTr="005A3C0C">
        <w:trPr>
          <w:trHeight w:val="320"/>
        </w:trPr>
        <w:tc>
          <w:tcPr>
            <w:tcW w:w="1838" w:type="dxa"/>
            <w:shd w:val="clear" w:color="auto" w:fill="auto"/>
            <w:noWrap/>
            <w:vAlign w:val="center"/>
            <w:hideMark/>
          </w:tcPr>
          <w:p w14:paraId="37B67B2B"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3358</w:t>
            </w:r>
          </w:p>
        </w:tc>
        <w:tc>
          <w:tcPr>
            <w:tcW w:w="5812" w:type="dxa"/>
            <w:shd w:val="clear" w:color="auto" w:fill="auto"/>
            <w:vAlign w:val="center"/>
            <w:hideMark/>
          </w:tcPr>
          <w:p w14:paraId="6E9FF42A"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COMPAÑIA DE SERVICIOS PUBLICOS S.A E.</w:t>
            </w:r>
            <w:proofErr w:type="gramStart"/>
            <w:r w:rsidRPr="007100B1">
              <w:rPr>
                <w:rFonts w:ascii="Arial" w:eastAsia="Times New Roman" w:hAnsi="Arial" w:cs="Arial"/>
                <w:color w:val="000000"/>
                <w:sz w:val="24"/>
                <w:szCs w:val="24"/>
                <w:lang w:eastAsia="es-CO"/>
              </w:rPr>
              <w:t>S.P</w:t>
            </w:r>
            <w:proofErr w:type="gramEnd"/>
          </w:p>
        </w:tc>
        <w:tc>
          <w:tcPr>
            <w:tcW w:w="1559" w:type="dxa"/>
            <w:shd w:val="clear" w:color="auto" w:fill="auto"/>
            <w:noWrap/>
            <w:vAlign w:val="center"/>
            <w:hideMark/>
          </w:tcPr>
          <w:p w14:paraId="0966DD68"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7.317.752</w:t>
            </w:r>
          </w:p>
        </w:tc>
      </w:tr>
      <w:tr w:rsidR="007100B1" w:rsidRPr="007100B1" w14:paraId="46B2FF88" w14:textId="77777777" w:rsidTr="005A3C0C">
        <w:trPr>
          <w:trHeight w:val="630"/>
        </w:trPr>
        <w:tc>
          <w:tcPr>
            <w:tcW w:w="1838" w:type="dxa"/>
            <w:shd w:val="clear" w:color="auto" w:fill="auto"/>
            <w:noWrap/>
            <w:vAlign w:val="center"/>
            <w:hideMark/>
          </w:tcPr>
          <w:p w14:paraId="5D36BE9D"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6026</w:t>
            </w:r>
          </w:p>
        </w:tc>
        <w:tc>
          <w:tcPr>
            <w:tcW w:w="5812" w:type="dxa"/>
            <w:shd w:val="clear" w:color="auto" w:fill="auto"/>
            <w:vAlign w:val="center"/>
            <w:hideMark/>
          </w:tcPr>
          <w:p w14:paraId="183B6BD2"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MONTAGAS S.A. EMPRESA DE SERVICIOS PÚBLICOS DOMICILIARIOS MONTAGAS SA E S P.</w:t>
            </w:r>
          </w:p>
        </w:tc>
        <w:tc>
          <w:tcPr>
            <w:tcW w:w="1559" w:type="dxa"/>
            <w:shd w:val="clear" w:color="auto" w:fill="auto"/>
            <w:noWrap/>
            <w:vAlign w:val="center"/>
            <w:hideMark/>
          </w:tcPr>
          <w:p w14:paraId="3AA42883"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27.860.947</w:t>
            </w:r>
          </w:p>
        </w:tc>
      </w:tr>
      <w:tr w:rsidR="007100B1" w:rsidRPr="007100B1" w14:paraId="7AEF9E50" w14:textId="77777777" w:rsidTr="005A3C0C">
        <w:trPr>
          <w:trHeight w:val="320"/>
        </w:trPr>
        <w:tc>
          <w:tcPr>
            <w:tcW w:w="1838" w:type="dxa"/>
            <w:shd w:val="clear" w:color="auto" w:fill="auto"/>
            <w:noWrap/>
            <w:vAlign w:val="center"/>
            <w:hideMark/>
          </w:tcPr>
          <w:p w14:paraId="5C01EB5B"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20420</w:t>
            </w:r>
          </w:p>
        </w:tc>
        <w:tc>
          <w:tcPr>
            <w:tcW w:w="5812" w:type="dxa"/>
            <w:shd w:val="clear" w:color="auto" w:fill="auto"/>
            <w:vAlign w:val="center"/>
            <w:hideMark/>
          </w:tcPr>
          <w:p w14:paraId="50AEF1ED"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TURGAS S.A. E.S.P.</w:t>
            </w:r>
          </w:p>
        </w:tc>
        <w:tc>
          <w:tcPr>
            <w:tcW w:w="1559" w:type="dxa"/>
            <w:shd w:val="clear" w:color="auto" w:fill="auto"/>
            <w:noWrap/>
            <w:vAlign w:val="center"/>
            <w:hideMark/>
          </w:tcPr>
          <w:p w14:paraId="6283F234"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745.266</w:t>
            </w:r>
          </w:p>
        </w:tc>
      </w:tr>
      <w:tr w:rsidR="007100B1" w:rsidRPr="007100B1" w14:paraId="5C70E30C" w14:textId="77777777" w:rsidTr="005A3C0C">
        <w:trPr>
          <w:trHeight w:val="320"/>
        </w:trPr>
        <w:tc>
          <w:tcPr>
            <w:tcW w:w="1838" w:type="dxa"/>
            <w:shd w:val="clear" w:color="auto" w:fill="auto"/>
            <w:noWrap/>
            <w:vAlign w:val="center"/>
            <w:hideMark/>
          </w:tcPr>
          <w:p w14:paraId="559952B4"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21578</w:t>
            </w:r>
          </w:p>
        </w:tc>
        <w:tc>
          <w:tcPr>
            <w:tcW w:w="5812" w:type="dxa"/>
            <w:shd w:val="clear" w:color="auto" w:fill="auto"/>
            <w:vAlign w:val="center"/>
            <w:hideMark/>
          </w:tcPr>
          <w:p w14:paraId="7606B61A"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ESP DIGASPRO SA</w:t>
            </w:r>
          </w:p>
        </w:tc>
        <w:tc>
          <w:tcPr>
            <w:tcW w:w="1559" w:type="dxa"/>
            <w:shd w:val="clear" w:color="auto" w:fill="auto"/>
            <w:noWrap/>
            <w:vAlign w:val="center"/>
            <w:hideMark/>
          </w:tcPr>
          <w:p w14:paraId="7A85072A"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1.556.239</w:t>
            </w:r>
          </w:p>
        </w:tc>
      </w:tr>
      <w:tr w:rsidR="007100B1" w:rsidRPr="007100B1" w14:paraId="755C44F7" w14:textId="77777777" w:rsidTr="005A3C0C">
        <w:trPr>
          <w:trHeight w:val="320"/>
        </w:trPr>
        <w:tc>
          <w:tcPr>
            <w:tcW w:w="1838" w:type="dxa"/>
            <w:shd w:val="clear" w:color="auto" w:fill="auto"/>
            <w:noWrap/>
            <w:vAlign w:val="center"/>
            <w:hideMark/>
          </w:tcPr>
          <w:p w14:paraId="71C328E2"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22167</w:t>
            </w:r>
          </w:p>
        </w:tc>
        <w:tc>
          <w:tcPr>
            <w:tcW w:w="5812" w:type="dxa"/>
            <w:shd w:val="clear" w:color="auto" w:fill="auto"/>
            <w:vAlign w:val="center"/>
            <w:hideMark/>
          </w:tcPr>
          <w:p w14:paraId="67046B06"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ROSCOGAS S.A. E.</w:t>
            </w:r>
            <w:proofErr w:type="gramStart"/>
            <w:r w:rsidRPr="007100B1">
              <w:rPr>
                <w:rFonts w:ascii="Arial" w:eastAsia="Times New Roman" w:hAnsi="Arial" w:cs="Arial"/>
                <w:color w:val="000000"/>
                <w:sz w:val="24"/>
                <w:szCs w:val="24"/>
                <w:lang w:eastAsia="es-CO"/>
              </w:rPr>
              <w:t>S.P</w:t>
            </w:r>
            <w:proofErr w:type="gramEnd"/>
          </w:p>
        </w:tc>
        <w:tc>
          <w:tcPr>
            <w:tcW w:w="1559" w:type="dxa"/>
            <w:shd w:val="clear" w:color="auto" w:fill="auto"/>
            <w:noWrap/>
            <w:vAlign w:val="center"/>
            <w:hideMark/>
          </w:tcPr>
          <w:p w14:paraId="2F8AA803"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16.554.612</w:t>
            </w:r>
          </w:p>
        </w:tc>
      </w:tr>
      <w:tr w:rsidR="007100B1" w:rsidRPr="007100B1" w14:paraId="66177F2A" w14:textId="77777777" w:rsidTr="005A3C0C">
        <w:trPr>
          <w:trHeight w:val="630"/>
        </w:trPr>
        <w:tc>
          <w:tcPr>
            <w:tcW w:w="1838" w:type="dxa"/>
            <w:shd w:val="clear" w:color="auto" w:fill="auto"/>
            <w:noWrap/>
            <w:vAlign w:val="center"/>
            <w:hideMark/>
          </w:tcPr>
          <w:p w14:paraId="6FCEBBAD"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22818</w:t>
            </w:r>
          </w:p>
        </w:tc>
        <w:tc>
          <w:tcPr>
            <w:tcW w:w="5812" w:type="dxa"/>
            <w:shd w:val="clear" w:color="auto" w:fill="auto"/>
            <w:vAlign w:val="center"/>
            <w:hideMark/>
          </w:tcPr>
          <w:p w14:paraId="6902D71A"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 xml:space="preserve">COMBUSTIBLES LÍQUIDOS DE COLOMBIA S.A. E.S.P. </w:t>
            </w:r>
          </w:p>
        </w:tc>
        <w:tc>
          <w:tcPr>
            <w:tcW w:w="1559" w:type="dxa"/>
            <w:shd w:val="clear" w:color="auto" w:fill="auto"/>
            <w:noWrap/>
            <w:vAlign w:val="center"/>
            <w:hideMark/>
          </w:tcPr>
          <w:p w14:paraId="2D02F902"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17.992.862</w:t>
            </w:r>
          </w:p>
        </w:tc>
      </w:tr>
      <w:tr w:rsidR="007100B1" w:rsidRPr="007100B1" w14:paraId="7BB2CE39" w14:textId="77777777" w:rsidTr="005A3C0C">
        <w:trPr>
          <w:trHeight w:val="320"/>
        </w:trPr>
        <w:tc>
          <w:tcPr>
            <w:tcW w:w="1838" w:type="dxa"/>
            <w:shd w:val="clear" w:color="auto" w:fill="auto"/>
            <w:noWrap/>
            <w:vAlign w:val="center"/>
            <w:hideMark/>
          </w:tcPr>
          <w:p w14:paraId="2E766C5D" w14:textId="77777777" w:rsidR="007100B1" w:rsidRPr="0037444E" w:rsidRDefault="007100B1" w:rsidP="007100B1">
            <w:pPr>
              <w:spacing w:after="0" w:line="240" w:lineRule="auto"/>
              <w:jc w:val="center"/>
              <w:rPr>
                <w:rFonts w:ascii="Arial" w:eastAsia="Times New Roman" w:hAnsi="Arial" w:cs="Arial"/>
                <w:color w:val="000000"/>
                <w:sz w:val="24"/>
                <w:szCs w:val="24"/>
                <w:lang w:eastAsia="es-CO"/>
              </w:rPr>
            </w:pPr>
            <w:r w:rsidRPr="0037444E">
              <w:rPr>
                <w:rFonts w:ascii="Arial" w:eastAsia="Times New Roman" w:hAnsi="Arial" w:cs="Arial"/>
                <w:color w:val="000000"/>
                <w:sz w:val="24"/>
                <w:szCs w:val="24"/>
                <w:lang w:eastAsia="es-CO"/>
              </w:rPr>
              <w:t>23312</w:t>
            </w:r>
          </w:p>
        </w:tc>
        <w:tc>
          <w:tcPr>
            <w:tcW w:w="5812" w:type="dxa"/>
            <w:shd w:val="clear" w:color="auto" w:fill="auto"/>
            <w:vAlign w:val="center"/>
            <w:hideMark/>
          </w:tcPr>
          <w:p w14:paraId="1027FA2A" w14:textId="77777777" w:rsidR="007100B1" w:rsidRPr="0037444E" w:rsidRDefault="007100B1" w:rsidP="007100B1">
            <w:pPr>
              <w:spacing w:after="0" w:line="240" w:lineRule="auto"/>
              <w:jc w:val="center"/>
              <w:rPr>
                <w:rFonts w:ascii="Arial" w:eastAsia="Times New Roman" w:hAnsi="Arial" w:cs="Arial"/>
                <w:color w:val="000000"/>
                <w:sz w:val="24"/>
                <w:szCs w:val="24"/>
                <w:lang w:eastAsia="es-CO"/>
              </w:rPr>
            </w:pPr>
            <w:r w:rsidRPr="0037444E">
              <w:rPr>
                <w:rFonts w:ascii="Arial" w:eastAsia="Times New Roman" w:hAnsi="Arial" w:cs="Arial"/>
                <w:color w:val="000000"/>
                <w:sz w:val="24"/>
                <w:szCs w:val="24"/>
                <w:lang w:eastAsia="es-CO"/>
              </w:rPr>
              <w:t>INVERSIONES GLP SAS ESP</w:t>
            </w:r>
          </w:p>
        </w:tc>
        <w:tc>
          <w:tcPr>
            <w:tcW w:w="1559" w:type="dxa"/>
            <w:shd w:val="clear" w:color="auto" w:fill="auto"/>
            <w:noWrap/>
            <w:vAlign w:val="center"/>
            <w:hideMark/>
          </w:tcPr>
          <w:p w14:paraId="68B4D095" w14:textId="27B60F8D" w:rsidR="007100B1" w:rsidRPr="0037444E" w:rsidRDefault="005A3C0C" w:rsidP="007100B1">
            <w:pPr>
              <w:spacing w:after="0" w:line="240" w:lineRule="auto"/>
              <w:jc w:val="center"/>
              <w:rPr>
                <w:rFonts w:ascii="Arial" w:eastAsia="Times New Roman" w:hAnsi="Arial" w:cs="Arial"/>
                <w:color w:val="000000"/>
                <w:sz w:val="24"/>
                <w:szCs w:val="24"/>
                <w:lang w:eastAsia="es-CO"/>
              </w:rPr>
            </w:pPr>
            <w:r w:rsidRPr="0037444E">
              <w:rPr>
                <w:rFonts w:ascii="Arial" w:eastAsia="Times New Roman" w:hAnsi="Arial" w:cs="Arial"/>
                <w:color w:val="000000"/>
                <w:sz w:val="24"/>
                <w:szCs w:val="24"/>
                <w:lang w:eastAsia="es-CO"/>
              </w:rPr>
              <w:t>90.350.827</w:t>
            </w:r>
          </w:p>
        </w:tc>
      </w:tr>
      <w:tr w:rsidR="007100B1" w:rsidRPr="007100B1" w14:paraId="0F4D2748" w14:textId="77777777" w:rsidTr="005A3C0C">
        <w:trPr>
          <w:trHeight w:val="320"/>
        </w:trPr>
        <w:tc>
          <w:tcPr>
            <w:tcW w:w="1838" w:type="dxa"/>
            <w:shd w:val="clear" w:color="auto" w:fill="auto"/>
            <w:noWrap/>
            <w:vAlign w:val="center"/>
            <w:hideMark/>
          </w:tcPr>
          <w:p w14:paraId="159E68B4"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24860</w:t>
            </w:r>
          </w:p>
        </w:tc>
        <w:tc>
          <w:tcPr>
            <w:tcW w:w="5812" w:type="dxa"/>
            <w:shd w:val="clear" w:color="auto" w:fill="auto"/>
            <w:vAlign w:val="center"/>
            <w:hideMark/>
          </w:tcPr>
          <w:p w14:paraId="79238EF0" w14:textId="77777777" w:rsidR="007100B1" w:rsidRPr="00225FD6" w:rsidRDefault="007100B1" w:rsidP="007100B1">
            <w:pPr>
              <w:spacing w:after="0" w:line="240" w:lineRule="auto"/>
              <w:jc w:val="center"/>
              <w:rPr>
                <w:rFonts w:ascii="Arial" w:eastAsia="Times New Roman" w:hAnsi="Arial" w:cs="Arial"/>
                <w:color w:val="000000"/>
                <w:sz w:val="24"/>
                <w:szCs w:val="24"/>
                <w:lang w:val="en-GB" w:eastAsia="es-CO"/>
              </w:rPr>
            </w:pPr>
            <w:r w:rsidRPr="00225FD6">
              <w:rPr>
                <w:rFonts w:ascii="Arial" w:eastAsia="Times New Roman" w:hAnsi="Arial" w:cs="Arial"/>
                <w:color w:val="000000"/>
                <w:sz w:val="24"/>
                <w:szCs w:val="24"/>
                <w:lang w:val="en-GB" w:eastAsia="es-CO"/>
              </w:rPr>
              <w:t>FEDEGAS S.A.S.  E.S.P.</w:t>
            </w:r>
          </w:p>
        </w:tc>
        <w:tc>
          <w:tcPr>
            <w:tcW w:w="1559" w:type="dxa"/>
            <w:shd w:val="clear" w:color="auto" w:fill="auto"/>
            <w:noWrap/>
            <w:vAlign w:val="center"/>
            <w:hideMark/>
          </w:tcPr>
          <w:p w14:paraId="642F8D50"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2.657.183</w:t>
            </w:r>
          </w:p>
        </w:tc>
      </w:tr>
      <w:tr w:rsidR="007100B1" w:rsidRPr="007100B1" w14:paraId="4C0AB66A" w14:textId="77777777" w:rsidTr="005A3C0C">
        <w:trPr>
          <w:trHeight w:val="630"/>
        </w:trPr>
        <w:tc>
          <w:tcPr>
            <w:tcW w:w="1838" w:type="dxa"/>
            <w:shd w:val="clear" w:color="auto" w:fill="auto"/>
            <w:noWrap/>
            <w:vAlign w:val="center"/>
            <w:hideMark/>
          </w:tcPr>
          <w:p w14:paraId="1DE8BA3E"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24869</w:t>
            </w:r>
          </w:p>
        </w:tc>
        <w:tc>
          <w:tcPr>
            <w:tcW w:w="5812" w:type="dxa"/>
            <w:shd w:val="clear" w:color="auto" w:fill="auto"/>
            <w:vAlign w:val="center"/>
            <w:hideMark/>
          </w:tcPr>
          <w:p w14:paraId="043DA223"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CHILCO DISTRIBUIDORA DE GAS Y ENERGIA S.A.S E.</w:t>
            </w:r>
            <w:proofErr w:type="gramStart"/>
            <w:r w:rsidRPr="007100B1">
              <w:rPr>
                <w:rFonts w:ascii="Arial" w:eastAsia="Times New Roman" w:hAnsi="Arial" w:cs="Arial"/>
                <w:color w:val="000000"/>
                <w:sz w:val="24"/>
                <w:szCs w:val="24"/>
                <w:lang w:eastAsia="es-CO"/>
              </w:rPr>
              <w:t>S.P</w:t>
            </w:r>
            <w:proofErr w:type="gramEnd"/>
          </w:p>
        </w:tc>
        <w:tc>
          <w:tcPr>
            <w:tcW w:w="1559" w:type="dxa"/>
            <w:shd w:val="clear" w:color="auto" w:fill="auto"/>
            <w:noWrap/>
            <w:vAlign w:val="center"/>
            <w:hideMark/>
          </w:tcPr>
          <w:p w14:paraId="4B81C260"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67.130.882</w:t>
            </w:r>
          </w:p>
        </w:tc>
      </w:tr>
      <w:tr w:rsidR="007100B1" w:rsidRPr="007100B1" w14:paraId="4473BDA0" w14:textId="77777777" w:rsidTr="005A3C0C">
        <w:trPr>
          <w:trHeight w:val="320"/>
        </w:trPr>
        <w:tc>
          <w:tcPr>
            <w:tcW w:w="1838" w:type="dxa"/>
            <w:shd w:val="clear" w:color="auto" w:fill="auto"/>
            <w:noWrap/>
            <w:vAlign w:val="center"/>
            <w:hideMark/>
          </w:tcPr>
          <w:p w14:paraId="5204DCAB"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24963</w:t>
            </w:r>
          </w:p>
        </w:tc>
        <w:tc>
          <w:tcPr>
            <w:tcW w:w="5812" w:type="dxa"/>
            <w:shd w:val="clear" w:color="auto" w:fill="auto"/>
            <w:vAlign w:val="center"/>
            <w:hideMark/>
          </w:tcPr>
          <w:p w14:paraId="1F9275FF"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GAS SUPERIOR DE COLOMBIA SA ESP</w:t>
            </w:r>
          </w:p>
        </w:tc>
        <w:tc>
          <w:tcPr>
            <w:tcW w:w="1559" w:type="dxa"/>
            <w:shd w:val="clear" w:color="auto" w:fill="auto"/>
            <w:noWrap/>
            <w:vAlign w:val="center"/>
            <w:hideMark/>
          </w:tcPr>
          <w:p w14:paraId="50C5845D"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2.235.620</w:t>
            </w:r>
          </w:p>
        </w:tc>
      </w:tr>
      <w:tr w:rsidR="007100B1" w:rsidRPr="007100B1" w14:paraId="181D7E53" w14:textId="77777777" w:rsidTr="005A3C0C">
        <w:trPr>
          <w:trHeight w:val="320"/>
        </w:trPr>
        <w:tc>
          <w:tcPr>
            <w:tcW w:w="1838" w:type="dxa"/>
            <w:shd w:val="clear" w:color="auto" w:fill="auto"/>
            <w:noWrap/>
            <w:vAlign w:val="center"/>
            <w:hideMark/>
          </w:tcPr>
          <w:p w14:paraId="273E74CC"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25709</w:t>
            </w:r>
          </w:p>
        </w:tc>
        <w:tc>
          <w:tcPr>
            <w:tcW w:w="5812" w:type="dxa"/>
            <w:shd w:val="clear" w:color="auto" w:fill="auto"/>
            <w:vAlign w:val="center"/>
            <w:hideMark/>
          </w:tcPr>
          <w:p w14:paraId="22138F80"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RAPIDGAS SAS ESP</w:t>
            </w:r>
          </w:p>
        </w:tc>
        <w:tc>
          <w:tcPr>
            <w:tcW w:w="1559" w:type="dxa"/>
            <w:shd w:val="clear" w:color="auto" w:fill="auto"/>
            <w:noWrap/>
            <w:vAlign w:val="center"/>
            <w:hideMark/>
          </w:tcPr>
          <w:p w14:paraId="6374EFB9"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1.236.214</w:t>
            </w:r>
          </w:p>
        </w:tc>
      </w:tr>
      <w:tr w:rsidR="007100B1" w:rsidRPr="007100B1" w14:paraId="6F74060C" w14:textId="77777777" w:rsidTr="005A3C0C">
        <w:trPr>
          <w:trHeight w:val="320"/>
        </w:trPr>
        <w:tc>
          <w:tcPr>
            <w:tcW w:w="1838" w:type="dxa"/>
            <w:shd w:val="clear" w:color="auto" w:fill="auto"/>
            <w:noWrap/>
            <w:vAlign w:val="center"/>
            <w:hideMark/>
          </w:tcPr>
          <w:p w14:paraId="3E840221"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25939</w:t>
            </w:r>
          </w:p>
        </w:tc>
        <w:tc>
          <w:tcPr>
            <w:tcW w:w="5812" w:type="dxa"/>
            <w:shd w:val="clear" w:color="auto" w:fill="auto"/>
            <w:vAlign w:val="center"/>
            <w:hideMark/>
          </w:tcPr>
          <w:p w14:paraId="69528CDE"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CITYGAS DISTRIBUIDORA S.A.S. E.</w:t>
            </w:r>
            <w:proofErr w:type="gramStart"/>
            <w:r w:rsidRPr="007100B1">
              <w:rPr>
                <w:rFonts w:ascii="Arial" w:eastAsia="Times New Roman" w:hAnsi="Arial" w:cs="Arial"/>
                <w:color w:val="000000"/>
                <w:sz w:val="24"/>
                <w:szCs w:val="24"/>
                <w:lang w:eastAsia="es-CO"/>
              </w:rPr>
              <w:t>S.P</w:t>
            </w:r>
            <w:proofErr w:type="gramEnd"/>
          </w:p>
        </w:tc>
        <w:tc>
          <w:tcPr>
            <w:tcW w:w="1559" w:type="dxa"/>
            <w:shd w:val="clear" w:color="auto" w:fill="auto"/>
            <w:noWrap/>
            <w:vAlign w:val="center"/>
            <w:hideMark/>
          </w:tcPr>
          <w:p w14:paraId="1EF31B88"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4.039.619</w:t>
            </w:r>
          </w:p>
        </w:tc>
      </w:tr>
      <w:tr w:rsidR="007100B1" w:rsidRPr="007100B1" w14:paraId="06EDBC41" w14:textId="77777777" w:rsidTr="005A3C0C">
        <w:trPr>
          <w:trHeight w:val="630"/>
        </w:trPr>
        <w:tc>
          <w:tcPr>
            <w:tcW w:w="1838" w:type="dxa"/>
            <w:shd w:val="clear" w:color="auto" w:fill="auto"/>
            <w:noWrap/>
            <w:vAlign w:val="center"/>
            <w:hideMark/>
          </w:tcPr>
          <w:p w14:paraId="5118EBCD"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25954</w:t>
            </w:r>
          </w:p>
        </w:tc>
        <w:tc>
          <w:tcPr>
            <w:tcW w:w="5812" w:type="dxa"/>
            <w:shd w:val="clear" w:color="auto" w:fill="auto"/>
            <w:vAlign w:val="center"/>
            <w:hideMark/>
          </w:tcPr>
          <w:p w14:paraId="441AF19D"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DISTRIBUIDORA DE GAS DEL PACIFICO DIGAS SAS ESP</w:t>
            </w:r>
          </w:p>
        </w:tc>
        <w:tc>
          <w:tcPr>
            <w:tcW w:w="1559" w:type="dxa"/>
            <w:shd w:val="clear" w:color="auto" w:fill="auto"/>
            <w:noWrap/>
            <w:vAlign w:val="center"/>
            <w:hideMark/>
          </w:tcPr>
          <w:p w14:paraId="58B3DB37"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1.300.333</w:t>
            </w:r>
          </w:p>
        </w:tc>
      </w:tr>
      <w:tr w:rsidR="007100B1" w:rsidRPr="007100B1" w14:paraId="416899D3" w14:textId="77777777" w:rsidTr="005A3C0C">
        <w:trPr>
          <w:trHeight w:val="320"/>
        </w:trPr>
        <w:tc>
          <w:tcPr>
            <w:tcW w:w="1838" w:type="dxa"/>
            <w:shd w:val="clear" w:color="auto" w:fill="auto"/>
            <w:noWrap/>
            <w:vAlign w:val="center"/>
            <w:hideMark/>
          </w:tcPr>
          <w:p w14:paraId="695BB2F9"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26219</w:t>
            </w:r>
          </w:p>
        </w:tc>
        <w:tc>
          <w:tcPr>
            <w:tcW w:w="5812" w:type="dxa"/>
            <w:shd w:val="clear" w:color="auto" w:fill="auto"/>
            <w:vAlign w:val="center"/>
            <w:hideMark/>
          </w:tcPr>
          <w:p w14:paraId="7DEDDE7C"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GAS EXPRESS COLOMBIA SAS ESP</w:t>
            </w:r>
          </w:p>
        </w:tc>
        <w:tc>
          <w:tcPr>
            <w:tcW w:w="1559" w:type="dxa"/>
            <w:shd w:val="clear" w:color="auto" w:fill="auto"/>
            <w:noWrap/>
            <w:vAlign w:val="center"/>
            <w:hideMark/>
          </w:tcPr>
          <w:p w14:paraId="297D27B2"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963.340</w:t>
            </w:r>
          </w:p>
        </w:tc>
      </w:tr>
      <w:tr w:rsidR="007100B1" w:rsidRPr="007100B1" w14:paraId="004E476A" w14:textId="77777777" w:rsidTr="005A3C0C">
        <w:trPr>
          <w:trHeight w:val="630"/>
        </w:trPr>
        <w:tc>
          <w:tcPr>
            <w:tcW w:w="1838" w:type="dxa"/>
            <w:shd w:val="clear" w:color="auto" w:fill="auto"/>
            <w:noWrap/>
            <w:vAlign w:val="center"/>
            <w:hideMark/>
          </w:tcPr>
          <w:p w14:paraId="64E21C66"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26226</w:t>
            </w:r>
          </w:p>
        </w:tc>
        <w:tc>
          <w:tcPr>
            <w:tcW w:w="5812" w:type="dxa"/>
            <w:shd w:val="clear" w:color="auto" w:fill="auto"/>
            <w:vAlign w:val="center"/>
            <w:hideMark/>
          </w:tcPr>
          <w:p w14:paraId="516872B5"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COMPROPANO SOCIEDAD POR ACCIONES SIMPLIFICADA E.</w:t>
            </w:r>
            <w:proofErr w:type="gramStart"/>
            <w:r w:rsidRPr="007100B1">
              <w:rPr>
                <w:rFonts w:ascii="Arial" w:eastAsia="Times New Roman" w:hAnsi="Arial" w:cs="Arial"/>
                <w:color w:val="000000"/>
                <w:sz w:val="24"/>
                <w:szCs w:val="24"/>
                <w:lang w:eastAsia="es-CO"/>
              </w:rPr>
              <w:t>S.P</w:t>
            </w:r>
            <w:proofErr w:type="gramEnd"/>
          </w:p>
        </w:tc>
        <w:tc>
          <w:tcPr>
            <w:tcW w:w="1559" w:type="dxa"/>
            <w:shd w:val="clear" w:color="auto" w:fill="auto"/>
            <w:noWrap/>
            <w:vAlign w:val="center"/>
            <w:hideMark/>
          </w:tcPr>
          <w:p w14:paraId="2F057B0C"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592.448</w:t>
            </w:r>
          </w:p>
        </w:tc>
      </w:tr>
      <w:tr w:rsidR="007100B1" w:rsidRPr="007100B1" w14:paraId="2AFC7D9C" w14:textId="77777777" w:rsidTr="005A3C0C">
        <w:trPr>
          <w:trHeight w:val="320"/>
        </w:trPr>
        <w:tc>
          <w:tcPr>
            <w:tcW w:w="1838" w:type="dxa"/>
            <w:shd w:val="clear" w:color="auto" w:fill="auto"/>
            <w:noWrap/>
            <w:vAlign w:val="center"/>
            <w:hideMark/>
          </w:tcPr>
          <w:p w14:paraId="56166EFE"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26548</w:t>
            </w:r>
          </w:p>
        </w:tc>
        <w:tc>
          <w:tcPr>
            <w:tcW w:w="5812" w:type="dxa"/>
            <w:shd w:val="clear" w:color="auto" w:fill="auto"/>
            <w:vAlign w:val="center"/>
            <w:hideMark/>
          </w:tcPr>
          <w:p w14:paraId="35ACFD0A"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GASES ANDINOS DE COLOMBIA S.A.S. E.S.P.</w:t>
            </w:r>
          </w:p>
        </w:tc>
        <w:tc>
          <w:tcPr>
            <w:tcW w:w="1559" w:type="dxa"/>
            <w:shd w:val="clear" w:color="auto" w:fill="auto"/>
            <w:noWrap/>
            <w:vAlign w:val="center"/>
            <w:hideMark/>
          </w:tcPr>
          <w:p w14:paraId="487426AC"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399.687</w:t>
            </w:r>
          </w:p>
        </w:tc>
      </w:tr>
      <w:tr w:rsidR="007100B1" w:rsidRPr="007100B1" w14:paraId="4CD964BC" w14:textId="77777777" w:rsidTr="005A3C0C">
        <w:trPr>
          <w:trHeight w:val="320"/>
        </w:trPr>
        <w:tc>
          <w:tcPr>
            <w:tcW w:w="1838" w:type="dxa"/>
            <w:shd w:val="clear" w:color="auto" w:fill="auto"/>
            <w:noWrap/>
            <w:vAlign w:val="center"/>
            <w:hideMark/>
          </w:tcPr>
          <w:p w14:paraId="336B9D71"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26554</w:t>
            </w:r>
          </w:p>
        </w:tc>
        <w:tc>
          <w:tcPr>
            <w:tcW w:w="5812" w:type="dxa"/>
            <w:shd w:val="clear" w:color="auto" w:fill="auto"/>
            <w:vAlign w:val="center"/>
            <w:hideMark/>
          </w:tcPr>
          <w:p w14:paraId="4283D4BD"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GAS UNION DE COLOMBIA S.A.S. E.S.P.</w:t>
            </w:r>
          </w:p>
        </w:tc>
        <w:tc>
          <w:tcPr>
            <w:tcW w:w="1559" w:type="dxa"/>
            <w:shd w:val="clear" w:color="auto" w:fill="auto"/>
            <w:noWrap/>
            <w:vAlign w:val="center"/>
            <w:hideMark/>
          </w:tcPr>
          <w:p w14:paraId="56852496"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1.064.534</w:t>
            </w:r>
          </w:p>
        </w:tc>
      </w:tr>
      <w:tr w:rsidR="007100B1" w:rsidRPr="007100B1" w14:paraId="45C44D62" w14:textId="77777777" w:rsidTr="005A3C0C">
        <w:trPr>
          <w:trHeight w:val="320"/>
        </w:trPr>
        <w:tc>
          <w:tcPr>
            <w:tcW w:w="1838" w:type="dxa"/>
            <w:shd w:val="clear" w:color="auto" w:fill="auto"/>
            <w:noWrap/>
            <w:vAlign w:val="center"/>
            <w:hideMark/>
          </w:tcPr>
          <w:p w14:paraId="4AFA5CC2"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26677</w:t>
            </w:r>
          </w:p>
        </w:tc>
        <w:tc>
          <w:tcPr>
            <w:tcW w:w="5812" w:type="dxa"/>
            <w:shd w:val="clear" w:color="auto" w:fill="auto"/>
            <w:vAlign w:val="center"/>
            <w:hideMark/>
          </w:tcPr>
          <w:p w14:paraId="01C55DDD"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CENTRAL DE HIDROCARBUROS GC SAS ESP</w:t>
            </w:r>
          </w:p>
        </w:tc>
        <w:tc>
          <w:tcPr>
            <w:tcW w:w="1559" w:type="dxa"/>
            <w:shd w:val="clear" w:color="auto" w:fill="auto"/>
            <w:noWrap/>
            <w:vAlign w:val="center"/>
            <w:hideMark/>
          </w:tcPr>
          <w:p w14:paraId="0BAEA388"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1.073.531</w:t>
            </w:r>
          </w:p>
        </w:tc>
      </w:tr>
      <w:tr w:rsidR="007100B1" w:rsidRPr="007100B1" w14:paraId="2CAF401A" w14:textId="77777777" w:rsidTr="005A3C0C">
        <w:trPr>
          <w:trHeight w:val="630"/>
        </w:trPr>
        <w:tc>
          <w:tcPr>
            <w:tcW w:w="1838" w:type="dxa"/>
            <w:shd w:val="clear" w:color="auto" w:fill="auto"/>
            <w:noWrap/>
            <w:vAlign w:val="center"/>
            <w:hideMark/>
          </w:tcPr>
          <w:p w14:paraId="16D9832F"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26857</w:t>
            </w:r>
          </w:p>
        </w:tc>
        <w:tc>
          <w:tcPr>
            <w:tcW w:w="5812" w:type="dxa"/>
            <w:shd w:val="clear" w:color="auto" w:fill="auto"/>
            <w:vAlign w:val="center"/>
            <w:hideMark/>
          </w:tcPr>
          <w:p w14:paraId="318A5D6B"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COMERCIALIZADORA CENTRO ORIENTE S.A. E.S.P.</w:t>
            </w:r>
          </w:p>
        </w:tc>
        <w:tc>
          <w:tcPr>
            <w:tcW w:w="1559" w:type="dxa"/>
            <w:shd w:val="clear" w:color="auto" w:fill="auto"/>
            <w:noWrap/>
            <w:vAlign w:val="center"/>
            <w:hideMark/>
          </w:tcPr>
          <w:p w14:paraId="242EA651"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2.187.743</w:t>
            </w:r>
          </w:p>
        </w:tc>
      </w:tr>
      <w:tr w:rsidR="007100B1" w:rsidRPr="007100B1" w14:paraId="319BC33C" w14:textId="77777777" w:rsidTr="005A3C0C">
        <w:trPr>
          <w:trHeight w:val="320"/>
        </w:trPr>
        <w:tc>
          <w:tcPr>
            <w:tcW w:w="1838" w:type="dxa"/>
            <w:shd w:val="clear" w:color="auto" w:fill="auto"/>
            <w:noWrap/>
            <w:vAlign w:val="center"/>
            <w:hideMark/>
          </w:tcPr>
          <w:p w14:paraId="5A3AF4A5"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lastRenderedPageBreak/>
              <w:t>26878</w:t>
            </w:r>
          </w:p>
        </w:tc>
        <w:tc>
          <w:tcPr>
            <w:tcW w:w="5812" w:type="dxa"/>
            <w:shd w:val="clear" w:color="auto" w:fill="auto"/>
            <w:vAlign w:val="center"/>
            <w:hideMark/>
          </w:tcPr>
          <w:p w14:paraId="22C8378F"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MULTIGAS DE COLOMBIA S.A.S. E.S.P.</w:t>
            </w:r>
          </w:p>
        </w:tc>
        <w:tc>
          <w:tcPr>
            <w:tcW w:w="1559" w:type="dxa"/>
            <w:shd w:val="clear" w:color="auto" w:fill="auto"/>
            <w:noWrap/>
            <w:vAlign w:val="center"/>
            <w:hideMark/>
          </w:tcPr>
          <w:p w14:paraId="760825B7"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352.047</w:t>
            </w:r>
          </w:p>
        </w:tc>
      </w:tr>
      <w:tr w:rsidR="007100B1" w:rsidRPr="007100B1" w14:paraId="2EF55AB8" w14:textId="77777777" w:rsidTr="005A3C0C">
        <w:trPr>
          <w:trHeight w:val="320"/>
        </w:trPr>
        <w:tc>
          <w:tcPr>
            <w:tcW w:w="1838" w:type="dxa"/>
            <w:shd w:val="clear" w:color="auto" w:fill="auto"/>
            <w:noWrap/>
            <w:vAlign w:val="center"/>
            <w:hideMark/>
          </w:tcPr>
          <w:p w14:paraId="3F9DA20C"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27812</w:t>
            </w:r>
          </w:p>
        </w:tc>
        <w:tc>
          <w:tcPr>
            <w:tcW w:w="5812" w:type="dxa"/>
            <w:shd w:val="clear" w:color="auto" w:fill="auto"/>
            <w:vAlign w:val="center"/>
            <w:hideMark/>
          </w:tcPr>
          <w:p w14:paraId="1D5E8A9E"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GAS PAC S.A.S. ESP.</w:t>
            </w:r>
          </w:p>
        </w:tc>
        <w:tc>
          <w:tcPr>
            <w:tcW w:w="1559" w:type="dxa"/>
            <w:shd w:val="clear" w:color="auto" w:fill="auto"/>
            <w:noWrap/>
            <w:vAlign w:val="center"/>
            <w:hideMark/>
          </w:tcPr>
          <w:p w14:paraId="4EF88439"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1.745.827</w:t>
            </w:r>
          </w:p>
        </w:tc>
      </w:tr>
      <w:tr w:rsidR="007100B1" w:rsidRPr="007100B1" w14:paraId="64FA52B2" w14:textId="77777777" w:rsidTr="005A3C0C">
        <w:trPr>
          <w:trHeight w:val="320"/>
        </w:trPr>
        <w:tc>
          <w:tcPr>
            <w:tcW w:w="1838" w:type="dxa"/>
            <w:shd w:val="clear" w:color="auto" w:fill="auto"/>
            <w:noWrap/>
            <w:vAlign w:val="center"/>
            <w:hideMark/>
          </w:tcPr>
          <w:p w14:paraId="15A620C9"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29451</w:t>
            </w:r>
          </w:p>
        </w:tc>
        <w:tc>
          <w:tcPr>
            <w:tcW w:w="5812" w:type="dxa"/>
            <w:shd w:val="clear" w:color="auto" w:fill="auto"/>
            <w:vAlign w:val="center"/>
            <w:hideMark/>
          </w:tcPr>
          <w:p w14:paraId="21446DA1"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GAS PORVENIR ESP SAS</w:t>
            </w:r>
          </w:p>
        </w:tc>
        <w:tc>
          <w:tcPr>
            <w:tcW w:w="1559" w:type="dxa"/>
            <w:shd w:val="clear" w:color="auto" w:fill="auto"/>
            <w:noWrap/>
            <w:vAlign w:val="center"/>
            <w:hideMark/>
          </w:tcPr>
          <w:p w14:paraId="592E6C37"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1.022.651</w:t>
            </w:r>
          </w:p>
        </w:tc>
      </w:tr>
      <w:tr w:rsidR="007100B1" w:rsidRPr="007100B1" w14:paraId="78455C59" w14:textId="77777777" w:rsidTr="005A3C0C">
        <w:trPr>
          <w:trHeight w:val="320"/>
        </w:trPr>
        <w:tc>
          <w:tcPr>
            <w:tcW w:w="1838" w:type="dxa"/>
            <w:shd w:val="clear" w:color="auto" w:fill="auto"/>
            <w:noWrap/>
            <w:vAlign w:val="center"/>
            <w:hideMark/>
          </w:tcPr>
          <w:p w14:paraId="724352E6"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32073</w:t>
            </w:r>
          </w:p>
        </w:tc>
        <w:tc>
          <w:tcPr>
            <w:tcW w:w="5812" w:type="dxa"/>
            <w:shd w:val="clear" w:color="auto" w:fill="auto"/>
            <w:vAlign w:val="center"/>
            <w:hideMark/>
          </w:tcPr>
          <w:p w14:paraId="1BD03266"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MEGAS S.A.S. ESP</w:t>
            </w:r>
          </w:p>
        </w:tc>
        <w:tc>
          <w:tcPr>
            <w:tcW w:w="1559" w:type="dxa"/>
            <w:shd w:val="clear" w:color="auto" w:fill="auto"/>
            <w:noWrap/>
            <w:vAlign w:val="center"/>
            <w:hideMark/>
          </w:tcPr>
          <w:p w14:paraId="1D2A3BD0"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3.739.730</w:t>
            </w:r>
          </w:p>
        </w:tc>
      </w:tr>
      <w:tr w:rsidR="007100B1" w:rsidRPr="007100B1" w14:paraId="49D6243B" w14:textId="77777777" w:rsidTr="005A3C0C">
        <w:trPr>
          <w:trHeight w:val="630"/>
        </w:trPr>
        <w:tc>
          <w:tcPr>
            <w:tcW w:w="1838" w:type="dxa"/>
            <w:shd w:val="clear" w:color="auto" w:fill="auto"/>
            <w:noWrap/>
            <w:vAlign w:val="center"/>
            <w:hideMark/>
          </w:tcPr>
          <w:p w14:paraId="17F4AE9B"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32253</w:t>
            </w:r>
          </w:p>
        </w:tc>
        <w:tc>
          <w:tcPr>
            <w:tcW w:w="5812" w:type="dxa"/>
            <w:shd w:val="clear" w:color="auto" w:fill="auto"/>
            <w:vAlign w:val="center"/>
            <w:hideMark/>
          </w:tcPr>
          <w:p w14:paraId="20DB35EB"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COMERCIALIZADORA DE GAS CASANARE S.A.S. E.S.P.</w:t>
            </w:r>
          </w:p>
        </w:tc>
        <w:tc>
          <w:tcPr>
            <w:tcW w:w="1559" w:type="dxa"/>
            <w:shd w:val="clear" w:color="auto" w:fill="auto"/>
            <w:noWrap/>
            <w:vAlign w:val="center"/>
            <w:hideMark/>
          </w:tcPr>
          <w:p w14:paraId="14B04866"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196.541</w:t>
            </w:r>
          </w:p>
        </w:tc>
      </w:tr>
      <w:tr w:rsidR="007100B1" w:rsidRPr="007100B1" w14:paraId="0B577C42" w14:textId="77777777" w:rsidTr="005A3C0C">
        <w:trPr>
          <w:trHeight w:val="320"/>
        </w:trPr>
        <w:tc>
          <w:tcPr>
            <w:tcW w:w="1838" w:type="dxa"/>
            <w:shd w:val="clear" w:color="auto" w:fill="auto"/>
            <w:noWrap/>
            <w:vAlign w:val="center"/>
            <w:hideMark/>
          </w:tcPr>
          <w:p w14:paraId="3738C799"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32733</w:t>
            </w:r>
          </w:p>
        </w:tc>
        <w:tc>
          <w:tcPr>
            <w:tcW w:w="5812" w:type="dxa"/>
            <w:shd w:val="clear" w:color="auto" w:fill="auto"/>
            <w:vAlign w:val="center"/>
            <w:hideMark/>
          </w:tcPr>
          <w:p w14:paraId="184DFC18"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EMPRESA MIXTA DE GAS S.A.S. E.S.P.</w:t>
            </w:r>
          </w:p>
        </w:tc>
        <w:tc>
          <w:tcPr>
            <w:tcW w:w="1559" w:type="dxa"/>
            <w:shd w:val="clear" w:color="auto" w:fill="auto"/>
            <w:noWrap/>
            <w:vAlign w:val="center"/>
            <w:hideMark/>
          </w:tcPr>
          <w:p w14:paraId="02CCF173"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275.562</w:t>
            </w:r>
          </w:p>
        </w:tc>
      </w:tr>
      <w:tr w:rsidR="007100B1" w:rsidRPr="007100B1" w14:paraId="07060204" w14:textId="77777777" w:rsidTr="005A3C0C">
        <w:trPr>
          <w:trHeight w:val="320"/>
        </w:trPr>
        <w:tc>
          <w:tcPr>
            <w:tcW w:w="1838" w:type="dxa"/>
            <w:shd w:val="clear" w:color="auto" w:fill="auto"/>
            <w:noWrap/>
            <w:vAlign w:val="center"/>
            <w:hideMark/>
          </w:tcPr>
          <w:p w14:paraId="36469B4A"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32793</w:t>
            </w:r>
          </w:p>
        </w:tc>
        <w:tc>
          <w:tcPr>
            <w:tcW w:w="5812" w:type="dxa"/>
            <w:shd w:val="clear" w:color="auto" w:fill="auto"/>
            <w:vAlign w:val="center"/>
            <w:hideMark/>
          </w:tcPr>
          <w:p w14:paraId="4DC02FE7"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COLOMBOGAS S.A.S. E.S.P.</w:t>
            </w:r>
          </w:p>
        </w:tc>
        <w:tc>
          <w:tcPr>
            <w:tcW w:w="1559" w:type="dxa"/>
            <w:shd w:val="clear" w:color="auto" w:fill="auto"/>
            <w:noWrap/>
            <w:vAlign w:val="center"/>
            <w:hideMark/>
          </w:tcPr>
          <w:p w14:paraId="60FA8D27"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941.703</w:t>
            </w:r>
          </w:p>
        </w:tc>
      </w:tr>
      <w:tr w:rsidR="007100B1" w:rsidRPr="007100B1" w14:paraId="41D93F9D" w14:textId="77777777" w:rsidTr="005A3C0C">
        <w:trPr>
          <w:trHeight w:val="320"/>
        </w:trPr>
        <w:tc>
          <w:tcPr>
            <w:tcW w:w="1838" w:type="dxa"/>
            <w:shd w:val="clear" w:color="auto" w:fill="auto"/>
            <w:noWrap/>
            <w:vAlign w:val="center"/>
            <w:hideMark/>
          </w:tcPr>
          <w:p w14:paraId="0C87F5B3"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33453</w:t>
            </w:r>
          </w:p>
        </w:tc>
        <w:tc>
          <w:tcPr>
            <w:tcW w:w="5812" w:type="dxa"/>
            <w:shd w:val="clear" w:color="auto" w:fill="auto"/>
            <w:vAlign w:val="center"/>
            <w:hideMark/>
          </w:tcPr>
          <w:p w14:paraId="56E987E0"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GAS COLOMBIA SAS ESP</w:t>
            </w:r>
          </w:p>
        </w:tc>
        <w:tc>
          <w:tcPr>
            <w:tcW w:w="1559" w:type="dxa"/>
            <w:shd w:val="clear" w:color="auto" w:fill="auto"/>
            <w:noWrap/>
            <w:vAlign w:val="center"/>
            <w:hideMark/>
          </w:tcPr>
          <w:p w14:paraId="580E90E3"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1.597.068</w:t>
            </w:r>
          </w:p>
        </w:tc>
      </w:tr>
      <w:tr w:rsidR="007100B1" w:rsidRPr="007100B1" w14:paraId="0026D4B2" w14:textId="77777777" w:rsidTr="005A3C0C">
        <w:trPr>
          <w:trHeight w:val="630"/>
        </w:trPr>
        <w:tc>
          <w:tcPr>
            <w:tcW w:w="1838" w:type="dxa"/>
            <w:shd w:val="clear" w:color="auto" w:fill="auto"/>
            <w:noWrap/>
            <w:vAlign w:val="center"/>
            <w:hideMark/>
          </w:tcPr>
          <w:p w14:paraId="466A3A22"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33573</w:t>
            </w:r>
          </w:p>
        </w:tc>
        <w:tc>
          <w:tcPr>
            <w:tcW w:w="5812" w:type="dxa"/>
            <w:shd w:val="clear" w:color="auto" w:fill="auto"/>
            <w:vAlign w:val="center"/>
            <w:hideMark/>
          </w:tcPr>
          <w:p w14:paraId="74450ADB" w14:textId="7C40D65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COMERCIALIZADORA G.L.P DEL ORIENTE SAS   ESP</w:t>
            </w:r>
          </w:p>
        </w:tc>
        <w:tc>
          <w:tcPr>
            <w:tcW w:w="1559" w:type="dxa"/>
            <w:shd w:val="clear" w:color="auto" w:fill="auto"/>
            <w:noWrap/>
            <w:vAlign w:val="center"/>
            <w:hideMark/>
          </w:tcPr>
          <w:p w14:paraId="17BE71F7"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1.031.481</w:t>
            </w:r>
          </w:p>
        </w:tc>
      </w:tr>
      <w:tr w:rsidR="007100B1" w:rsidRPr="007100B1" w14:paraId="266FAD30" w14:textId="77777777" w:rsidTr="005A3C0C">
        <w:trPr>
          <w:trHeight w:val="320"/>
        </w:trPr>
        <w:tc>
          <w:tcPr>
            <w:tcW w:w="1838" w:type="dxa"/>
            <w:shd w:val="clear" w:color="auto" w:fill="auto"/>
            <w:noWrap/>
            <w:vAlign w:val="center"/>
            <w:hideMark/>
          </w:tcPr>
          <w:p w14:paraId="6CBA5A79"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36154</w:t>
            </w:r>
          </w:p>
        </w:tc>
        <w:tc>
          <w:tcPr>
            <w:tcW w:w="5812" w:type="dxa"/>
            <w:shd w:val="clear" w:color="auto" w:fill="auto"/>
            <w:vAlign w:val="center"/>
            <w:hideMark/>
          </w:tcPr>
          <w:p w14:paraId="442DBB6F"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ENTREGAMOS G.L.P. E.S.P. S.A.S.</w:t>
            </w:r>
          </w:p>
        </w:tc>
        <w:tc>
          <w:tcPr>
            <w:tcW w:w="1559" w:type="dxa"/>
            <w:shd w:val="clear" w:color="auto" w:fill="auto"/>
            <w:noWrap/>
            <w:vAlign w:val="center"/>
            <w:hideMark/>
          </w:tcPr>
          <w:p w14:paraId="297C73B5"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310.339</w:t>
            </w:r>
          </w:p>
        </w:tc>
      </w:tr>
      <w:tr w:rsidR="007100B1" w:rsidRPr="007100B1" w14:paraId="6253CE38" w14:textId="77777777" w:rsidTr="005A3C0C">
        <w:trPr>
          <w:trHeight w:val="940"/>
        </w:trPr>
        <w:tc>
          <w:tcPr>
            <w:tcW w:w="1838" w:type="dxa"/>
            <w:shd w:val="clear" w:color="auto" w:fill="auto"/>
            <w:noWrap/>
            <w:vAlign w:val="center"/>
            <w:hideMark/>
          </w:tcPr>
          <w:p w14:paraId="2553DA63"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36695</w:t>
            </w:r>
          </w:p>
        </w:tc>
        <w:tc>
          <w:tcPr>
            <w:tcW w:w="5812" w:type="dxa"/>
            <w:shd w:val="clear" w:color="auto" w:fill="auto"/>
            <w:vAlign w:val="center"/>
            <w:hideMark/>
          </w:tcPr>
          <w:p w14:paraId="1CEDDA8A"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DISTRIBUIDORA DE GAS DEL FONCE SOCIEDAD POR ACCIONES SIMPLIFICADA EMPRESA DE SERVICIO PUBLICOS DOMICILIARIOS S.A.S. E.S.P.</w:t>
            </w:r>
          </w:p>
        </w:tc>
        <w:tc>
          <w:tcPr>
            <w:tcW w:w="1559" w:type="dxa"/>
            <w:shd w:val="clear" w:color="auto" w:fill="auto"/>
            <w:noWrap/>
            <w:vAlign w:val="center"/>
            <w:hideMark/>
          </w:tcPr>
          <w:p w14:paraId="6BE59A0D"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283.891</w:t>
            </w:r>
          </w:p>
        </w:tc>
      </w:tr>
      <w:tr w:rsidR="007100B1" w:rsidRPr="007100B1" w14:paraId="1BAEA662" w14:textId="77777777" w:rsidTr="005A3C0C">
        <w:trPr>
          <w:trHeight w:val="630"/>
        </w:trPr>
        <w:tc>
          <w:tcPr>
            <w:tcW w:w="1838" w:type="dxa"/>
            <w:shd w:val="clear" w:color="auto" w:fill="auto"/>
            <w:noWrap/>
            <w:vAlign w:val="center"/>
            <w:hideMark/>
          </w:tcPr>
          <w:p w14:paraId="441B30F5"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37174</w:t>
            </w:r>
          </w:p>
        </w:tc>
        <w:tc>
          <w:tcPr>
            <w:tcW w:w="5812" w:type="dxa"/>
            <w:shd w:val="clear" w:color="auto" w:fill="auto"/>
            <w:vAlign w:val="center"/>
            <w:hideMark/>
          </w:tcPr>
          <w:p w14:paraId="6231EF15"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TERMOGAS SOLUCIONES ENERGETICAS SAS ESP</w:t>
            </w:r>
          </w:p>
        </w:tc>
        <w:tc>
          <w:tcPr>
            <w:tcW w:w="1559" w:type="dxa"/>
            <w:shd w:val="clear" w:color="auto" w:fill="auto"/>
            <w:noWrap/>
            <w:vAlign w:val="center"/>
            <w:hideMark/>
          </w:tcPr>
          <w:p w14:paraId="30ADEECB"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244.236</w:t>
            </w:r>
          </w:p>
        </w:tc>
      </w:tr>
      <w:tr w:rsidR="007100B1" w:rsidRPr="007100B1" w14:paraId="0166B8BD" w14:textId="77777777" w:rsidTr="005A3C0C">
        <w:trPr>
          <w:trHeight w:val="630"/>
        </w:trPr>
        <w:tc>
          <w:tcPr>
            <w:tcW w:w="1838" w:type="dxa"/>
            <w:shd w:val="clear" w:color="auto" w:fill="auto"/>
            <w:noWrap/>
            <w:vAlign w:val="center"/>
            <w:hideMark/>
          </w:tcPr>
          <w:p w14:paraId="1631BFC4"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50403</w:t>
            </w:r>
          </w:p>
        </w:tc>
        <w:tc>
          <w:tcPr>
            <w:tcW w:w="5812" w:type="dxa"/>
            <w:shd w:val="clear" w:color="auto" w:fill="auto"/>
            <w:vAlign w:val="center"/>
            <w:hideMark/>
          </w:tcPr>
          <w:p w14:paraId="0D968498"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EMPRESA DE SERVICIOS PUBLICOS SONYGAS S.A.S E.S.P.</w:t>
            </w:r>
          </w:p>
        </w:tc>
        <w:tc>
          <w:tcPr>
            <w:tcW w:w="1559" w:type="dxa"/>
            <w:shd w:val="clear" w:color="auto" w:fill="auto"/>
            <w:noWrap/>
            <w:vAlign w:val="center"/>
            <w:hideMark/>
          </w:tcPr>
          <w:p w14:paraId="62696C25"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163.649</w:t>
            </w:r>
          </w:p>
        </w:tc>
      </w:tr>
      <w:tr w:rsidR="007100B1" w:rsidRPr="007100B1" w14:paraId="39611130" w14:textId="77777777" w:rsidTr="005A3C0C">
        <w:trPr>
          <w:trHeight w:val="320"/>
        </w:trPr>
        <w:tc>
          <w:tcPr>
            <w:tcW w:w="1838" w:type="dxa"/>
            <w:shd w:val="clear" w:color="auto" w:fill="auto"/>
            <w:noWrap/>
            <w:vAlign w:val="center"/>
            <w:hideMark/>
          </w:tcPr>
          <w:p w14:paraId="5CC9D059"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50426</w:t>
            </w:r>
          </w:p>
        </w:tc>
        <w:tc>
          <w:tcPr>
            <w:tcW w:w="5812" w:type="dxa"/>
            <w:shd w:val="clear" w:color="auto" w:fill="auto"/>
            <w:vAlign w:val="center"/>
            <w:hideMark/>
          </w:tcPr>
          <w:p w14:paraId="454ACE2F"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GAS D-UNO SAS ESP</w:t>
            </w:r>
          </w:p>
        </w:tc>
        <w:tc>
          <w:tcPr>
            <w:tcW w:w="1559" w:type="dxa"/>
            <w:shd w:val="clear" w:color="auto" w:fill="auto"/>
            <w:noWrap/>
            <w:vAlign w:val="center"/>
            <w:hideMark/>
          </w:tcPr>
          <w:p w14:paraId="61D4BCEF"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852.776</w:t>
            </w:r>
          </w:p>
        </w:tc>
      </w:tr>
      <w:tr w:rsidR="007100B1" w:rsidRPr="007100B1" w14:paraId="4065E61D" w14:textId="77777777" w:rsidTr="005A3C0C">
        <w:trPr>
          <w:trHeight w:val="320"/>
        </w:trPr>
        <w:tc>
          <w:tcPr>
            <w:tcW w:w="1838" w:type="dxa"/>
            <w:shd w:val="clear" w:color="auto" w:fill="auto"/>
            <w:noWrap/>
            <w:vAlign w:val="center"/>
            <w:hideMark/>
          </w:tcPr>
          <w:p w14:paraId="5BDD3BA6"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53426</w:t>
            </w:r>
          </w:p>
        </w:tc>
        <w:tc>
          <w:tcPr>
            <w:tcW w:w="5812" w:type="dxa"/>
            <w:shd w:val="clear" w:color="auto" w:fill="auto"/>
            <w:vAlign w:val="center"/>
            <w:hideMark/>
          </w:tcPr>
          <w:p w14:paraId="514627A5"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GASO COLOMBIA</w:t>
            </w:r>
          </w:p>
        </w:tc>
        <w:tc>
          <w:tcPr>
            <w:tcW w:w="1559" w:type="dxa"/>
            <w:shd w:val="clear" w:color="auto" w:fill="auto"/>
            <w:noWrap/>
            <w:vAlign w:val="center"/>
            <w:hideMark/>
          </w:tcPr>
          <w:p w14:paraId="0B6BC4B4"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29.855</w:t>
            </w:r>
          </w:p>
        </w:tc>
      </w:tr>
      <w:tr w:rsidR="007100B1" w:rsidRPr="007100B1" w14:paraId="5BB519C5" w14:textId="77777777" w:rsidTr="005A3C0C">
        <w:trPr>
          <w:trHeight w:val="320"/>
        </w:trPr>
        <w:tc>
          <w:tcPr>
            <w:tcW w:w="1838" w:type="dxa"/>
            <w:shd w:val="clear" w:color="auto" w:fill="auto"/>
            <w:noWrap/>
            <w:vAlign w:val="center"/>
            <w:hideMark/>
          </w:tcPr>
          <w:p w14:paraId="2039AD45"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57692</w:t>
            </w:r>
          </w:p>
        </w:tc>
        <w:tc>
          <w:tcPr>
            <w:tcW w:w="5812" w:type="dxa"/>
            <w:shd w:val="clear" w:color="auto" w:fill="auto"/>
            <w:vAlign w:val="center"/>
            <w:hideMark/>
          </w:tcPr>
          <w:p w14:paraId="5FB8F586"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ECOGAS ENERGIA SAS ESP</w:t>
            </w:r>
          </w:p>
        </w:tc>
        <w:tc>
          <w:tcPr>
            <w:tcW w:w="1559" w:type="dxa"/>
            <w:shd w:val="clear" w:color="auto" w:fill="auto"/>
            <w:noWrap/>
            <w:vAlign w:val="center"/>
            <w:hideMark/>
          </w:tcPr>
          <w:p w14:paraId="55AFFE21"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349.627</w:t>
            </w:r>
          </w:p>
        </w:tc>
      </w:tr>
      <w:tr w:rsidR="007100B1" w:rsidRPr="007100B1" w14:paraId="1C6D55E4" w14:textId="77777777" w:rsidTr="005A3C0C">
        <w:trPr>
          <w:trHeight w:val="320"/>
        </w:trPr>
        <w:tc>
          <w:tcPr>
            <w:tcW w:w="1838" w:type="dxa"/>
            <w:shd w:val="clear" w:color="auto" w:fill="auto"/>
            <w:noWrap/>
            <w:vAlign w:val="center"/>
            <w:hideMark/>
          </w:tcPr>
          <w:p w14:paraId="4DAA75FA"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58633</w:t>
            </w:r>
          </w:p>
        </w:tc>
        <w:tc>
          <w:tcPr>
            <w:tcW w:w="5812" w:type="dxa"/>
            <w:shd w:val="clear" w:color="auto" w:fill="auto"/>
            <w:vAlign w:val="center"/>
            <w:hideMark/>
          </w:tcPr>
          <w:p w14:paraId="1F7CE8BD"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EMPRESA MADRILEÑA DE GAS 24/7 S.A.S. ESP</w:t>
            </w:r>
          </w:p>
        </w:tc>
        <w:tc>
          <w:tcPr>
            <w:tcW w:w="1559" w:type="dxa"/>
            <w:shd w:val="clear" w:color="auto" w:fill="auto"/>
            <w:noWrap/>
            <w:vAlign w:val="center"/>
            <w:hideMark/>
          </w:tcPr>
          <w:p w14:paraId="15F96A3D"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1.830.312</w:t>
            </w:r>
          </w:p>
        </w:tc>
      </w:tr>
      <w:tr w:rsidR="007100B1" w:rsidRPr="007100B1" w14:paraId="57210152" w14:textId="77777777" w:rsidTr="005A3C0C">
        <w:trPr>
          <w:trHeight w:val="320"/>
        </w:trPr>
        <w:tc>
          <w:tcPr>
            <w:tcW w:w="1838" w:type="dxa"/>
            <w:shd w:val="clear" w:color="auto" w:fill="auto"/>
            <w:noWrap/>
            <w:vAlign w:val="center"/>
            <w:hideMark/>
          </w:tcPr>
          <w:p w14:paraId="2984DA5B"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62310</w:t>
            </w:r>
          </w:p>
        </w:tc>
        <w:tc>
          <w:tcPr>
            <w:tcW w:w="5812" w:type="dxa"/>
            <w:shd w:val="clear" w:color="auto" w:fill="auto"/>
            <w:vAlign w:val="center"/>
            <w:hideMark/>
          </w:tcPr>
          <w:p w14:paraId="68B99652" w14:textId="77777777" w:rsidR="007100B1" w:rsidRPr="00225FD6" w:rsidRDefault="007100B1" w:rsidP="007100B1">
            <w:pPr>
              <w:spacing w:after="0" w:line="240" w:lineRule="auto"/>
              <w:jc w:val="center"/>
              <w:rPr>
                <w:rFonts w:ascii="Arial" w:eastAsia="Times New Roman" w:hAnsi="Arial" w:cs="Arial"/>
                <w:color w:val="000000"/>
                <w:sz w:val="24"/>
                <w:szCs w:val="24"/>
                <w:lang w:val="en-GB" w:eastAsia="es-CO"/>
              </w:rPr>
            </w:pPr>
            <w:r w:rsidRPr="00225FD6">
              <w:rPr>
                <w:rFonts w:ascii="Arial" w:eastAsia="Times New Roman" w:hAnsi="Arial" w:cs="Arial"/>
                <w:color w:val="000000"/>
                <w:sz w:val="24"/>
                <w:szCs w:val="24"/>
                <w:lang w:val="en-GB" w:eastAsia="es-CO"/>
              </w:rPr>
              <w:t>MELL GAS S.A.S. E.S.P.</w:t>
            </w:r>
          </w:p>
        </w:tc>
        <w:tc>
          <w:tcPr>
            <w:tcW w:w="1559" w:type="dxa"/>
            <w:shd w:val="clear" w:color="auto" w:fill="auto"/>
            <w:noWrap/>
            <w:vAlign w:val="center"/>
            <w:hideMark/>
          </w:tcPr>
          <w:p w14:paraId="32C8A9A6"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111.004</w:t>
            </w:r>
          </w:p>
        </w:tc>
      </w:tr>
      <w:tr w:rsidR="007100B1" w:rsidRPr="007100B1" w14:paraId="36F7CA0C" w14:textId="77777777" w:rsidTr="005A3C0C">
        <w:trPr>
          <w:trHeight w:val="320"/>
        </w:trPr>
        <w:tc>
          <w:tcPr>
            <w:tcW w:w="1838" w:type="dxa"/>
            <w:shd w:val="clear" w:color="auto" w:fill="auto"/>
            <w:noWrap/>
            <w:vAlign w:val="center"/>
            <w:hideMark/>
          </w:tcPr>
          <w:p w14:paraId="283C9396"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62410</w:t>
            </w:r>
          </w:p>
        </w:tc>
        <w:tc>
          <w:tcPr>
            <w:tcW w:w="5812" w:type="dxa"/>
            <w:shd w:val="clear" w:color="auto" w:fill="auto"/>
            <w:vAlign w:val="center"/>
            <w:hideMark/>
          </w:tcPr>
          <w:p w14:paraId="36F6B171"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GRANELGAS S.A.S. E.S.P.</w:t>
            </w:r>
          </w:p>
        </w:tc>
        <w:tc>
          <w:tcPr>
            <w:tcW w:w="1559" w:type="dxa"/>
            <w:shd w:val="clear" w:color="auto" w:fill="auto"/>
            <w:noWrap/>
            <w:vAlign w:val="center"/>
            <w:hideMark/>
          </w:tcPr>
          <w:p w14:paraId="31020E9F"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149.054</w:t>
            </w:r>
          </w:p>
        </w:tc>
      </w:tr>
      <w:tr w:rsidR="007100B1" w:rsidRPr="007100B1" w14:paraId="1A964F29" w14:textId="77777777" w:rsidTr="005A3C0C">
        <w:trPr>
          <w:trHeight w:val="320"/>
        </w:trPr>
        <w:tc>
          <w:tcPr>
            <w:tcW w:w="1838" w:type="dxa"/>
            <w:shd w:val="clear" w:color="auto" w:fill="auto"/>
            <w:noWrap/>
            <w:vAlign w:val="center"/>
            <w:hideMark/>
          </w:tcPr>
          <w:p w14:paraId="5B0EF17E"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62550</w:t>
            </w:r>
          </w:p>
        </w:tc>
        <w:tc>
          <w:tcPr>
            <w:tcW w:w="5812" w:type="dxa"/>
            <w:shd w:val="clear" w:color="auto" w:fill="auto"/>
            <w:vAlign w:val="center"/>
            <w:hideMark/>
          </w:tcPr>
          <w:p w14:paraId="67536562"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YOPAGAS S.A.S. E.S.P.</w:t>
            </w:r>
          </w:p>
        </w:tc>
        <w:tc>
          <w:tcPr>
            <w:tcW w:w="1559" w:type="dxa"/>
            <w:shd w:val="clear" w:color="auto" w:fill="auto"/>
            <w:noWrap/>
            <w:vAlign w:val="center"/>
            <w:hideMark/>
          </w:tcPr>
          <w:p w14:paraId="05654F0D"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115.172</w:t>
            </w:r>
          </w:p>
        </w:tc>
      </w:tr>
      <w:tr w:rsidR="007100B1" w:rsidRPr="007100B1" w14:paraId="62A5EAE3" w14:textId="77777777" w:rsidTr="005A3C0C">
        <w:trPr>
          <w:trHeight w:val="320"/>
        </w:trPr>
        <w:tc>
          <w:tcPr>
            <w:tcW w:w="1838" w:type="dxa"/>
            <w:shd w:val="clear" w:color="auto" w:fill="auto"/>
            <w:noWrap/>
            <w:vAlign w:val="center"/>
            <w:hideMark/>
          </w:tcPr>
          <w:p w14:paraId="13679C88"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65980</w:t>
            </w:r>
          </w:p>
        </w:tc>
        <w:tc>
          <w:tcPr>
            <w:tcW w:w="5812" w:type="dxa"/>
            <w:shd w:val="clear" w:color="auto" w:fill="auto"/>
            <w:vAlign w:val="center"/>
            <w:hideMark/>
          </w:tcPr>
          <w:p w14:paraId="08ECCF92"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LIENGAS COLOMBIA SAS ESP</w:t>
            </w:r>
          </w:p>
        </w:tc>
        <w:tc>
          <w:tcPr>
            <w:tcW w:w="1559" w:type="dxa"/>
            <w:shd w:val="clear" w:color="auto" w:fill="auto"/>
            <w:noWrap/>
            <w:vAlign w:val="center"/>
            <w:hideMark/>
          </w:tcPr>
          <w:p w14:paraId="7FE3D66C"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733.891</w:t>
            </w:r>
          </w:p>
        </w:tc>
      </w:tr>
      <w:tr w:rsidR="007100B1" w:rsidRPr="007100B1" w14:paraId="7442ECDD" w14:textId="77777777" w:rsidTr="005A3C0C">
        <w:trPr>
          <w:trHeight w:val="320"/>
        </w:trPr>
        <w:tc>
          <w:tcPr>
            <w:tcW w:w="1838" w:type="dxa"/>
            <w:shd w:val="clear" w:color="auto" w:fill="auto"/>
            <w:noWrap/>
            <w:vAlign w:val="center"/>
            <w:hideMark/>
          </w:tcPr>
          <w:p w14:paraId="1230F7D6"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67200</w:t>
            </w:r>
          </w:p>
        </w:tc>
        <w:tc>
          <w:tcPr>
            <w:tcW w:w="5812" w:type="dxa"/>
            <w:shd w:val="clear" w:color="auto" w:fill="auto"/>
            <w:vAlign w:val="center"/>
            <w:hideMark/>
          </w:tcPr>
          <w:p w14:paraId="7BA07965"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ECONOMYGAS S.A.S. E.S.P.</w:t>
            </w:r>
          </w:p>
        </w:tc>
        <w:tc>
          <w:tcPr>
            <w:tcW w:w="1559" w:type="dxa"/>
            <w:shd w:val="clear" w:color="auto" w:fill="auto"/>
            <w:noWrap/>
            <w:vAlign w:val="center"/>
            <w:hideMark/>
          </w:tcPr>
          <w:p w14:paraId="565E21C9"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153.784</w:t>
            </w:r>
          </w:p>
        </w:tc>
      </w:tr>
      <w:tr w:rsidR="007100B1" w:rsidRPr="007100B1" w14:paraId="06926AD0" w14:textId="77777777" w:rsidTr="005A3C0C">
        <w:trPr>
          <w:trHeight w:val="320"/>
        </w:trPr>
        <w:tc>
          <w:tcPr>
            <w:tcW w:w="1838" w:type="dxa"/>
            <w:shd w:val="clear" w:color="auto" w:fill="auto"/>
            <w:noWrap/>
            <w:vAlign w:val="center"/>
            <w:hideMark/>
          </w:tcPr>
          <w:p w14:paraId="4685DA1D"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63235</w:t>
            </w:r>
          </w:p>
        </w:tc>
        <w:tc>
          <w:tcPr>
            <w:tcW w:w="5812" w:type="dxa"/>
            <w:shd w:val="clear" w:color="auto" w:fill="auto"/>
            <w:vAlign w:val="center"/>
            <w:hideMark/>
          </w:tcPr>
          <w:p w14:paraId="180D5FE2"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CONTINENTAL DE GLP SAS ESP</w:t>
            </w:r>
          </w:p>
        </w:tc>
        <w:tc>
          <w:tcPr>
            <w:tcW w:w="1559" w:type="dxa"/>
            <w:shd w:val="clear" w:color="auto" w:fill="auto"/>
            <w:noWrap/>
            <w:vAlign w:val="center"/>
            <w:hideMark/>
          </w:tcPr>
          <w:p w14:paraId="5424104E"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530.817</w:t>
            </w:r>
          </w:p>
        </w:tc>
      </w:tr>
      <w:tr w:rsidR="007100B1" w:rsidRPr="007100B1" w14:paraId="33B2CC5B" w14:textId="77777777" w:rsidTr="005A3C0C">
        <w:trPr>
          <w:trHeight w:val="320"/>
        </w:trPr>
        <w:tc>
          <w:tcPr>
            <w:tcW w:w="1838" w:type="dxa"/>
            <w:shd w:val="clear" w:color="auto" w:fill="auto"/>
            <w:noWrap/>
            <w:vAlign w:val="center"/>
            <w:hideMark/>
          </w:tcPr>
          <w:p w14:paraId="3A18654F"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67999</w:t>
            </w:r>
          </w:p>
        </w:tc>
        <w:tc>
          <w:tcPr>
            <w:tcW w:w="5812" w:type="dxa"/>
            <w:shd w:val="clear" w:color="auto" w:fill="auto"/>
            <w:vAlign w:val="center"/>
            <w:hideMark/>
          </w:tcPr>
          <w:p w14:paraId="54F366EF"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GAS PRO-NACIONAL S.A.S. E.S.P.</w:t>
            </w:r>
          </w:p>
        </w:tc>
        <w:tc>
          <w:tcPr>
            <w:tcW w:w="1559" w:type="dxa"/>
            <w:shd w:val="clear" w:color="auto" w:fill="auto"/>
            <w:noWrap/>
            <w:vAlign w:val="center"/>
            <w:hideMark/>
          </w:tcPr>
          <w:p w14:paraId="18C0B37F"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178.836</w:t>
            </w:r>
          </w:p>
        </w:tc>
      </w:tr>
      <w:tr w:rsidR="007100B1" w:rsidRPr="007100B1" w14:paraId="796299B6" w14:textId="77777777" w:rsidTr="005A3C0C">
        <w:trPr>
          <w:trHeight w:val="320"/>
        </w:trPr>
        <w:tc>
          <w:tcPr>
            <w:tcW w:w="1838" w:type="dxa"/>
            <w:shd w:val="clear" w:color="auto" w:fill="auto"/>
            <w:noWrap/>
            <w:vAlign w:val="center"/>
            <w:hideMark/>
          </w:tcPr>
          <w:p w14:paraId="6D5681E4"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63494</w:t>
            </w:r>
          </w:p>
        </w:tc>
        <w:tc>
          <w:tcPr>
            <w:tcW w:w="5812" w:type="dxa"/>
            <w:shd w:val="clear" w:color="auto" w:fill="auto"/>
            <w:vAlign w:val="center"/>
            <w:hideMark/>
          </w:tcPr>
          <w:p w14:paraId="2AC208EE"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CND DISTRIBUIDORA DE GAS S.A.S E.S.P.</w:t>
            </w:r>
          </w:p>
        </w:tc>
        <w:tc>
          <w:tcPr>
            <w:tcW w:w="1559" w:type="dxa"/>
            <w:shd w:val="clear" w:color="auto" w:fill="auto"/>
            <w:noWrap/>
            <w:vAlign w:val="center"/>
            <w:hideMark/>
          </w:tcPr>
          <w:p w14:paraId="70DD6B19" w14:textId="77777777" w:rsidR="007100B1" w:rsidRPr="007100B1" w:rsidRDefault="007100B1" w:rsidP="007100B1">
            <w:pPr>
              <w:spacing w:after="0" w:line="240" w:lineRule="auto"/>
              <w:jc w:val="center"/>
              <w:rPr>
                <w:rFonts w:ascii="Arial" w:eastAsia="Times New Roman" w:hAnsi="Arial" w:cs="Arial"/>
                <w:color w:val="000000"/>
                <w:sz w:val="24"/>
                <w:szCs w:val="24"/>
                <w:lang w:eastAsia="es-CO"/>
              </w:rPr>
            </w:pPr>
            <w:r w:rsidRPr="007100B1">
              <w:rPr>
                <w:rFonts w:ascii="Arial" w:eastAsia="Times New Roman" w:hAnsi="Arial" w:cs="Arial"/>
                <w:color w:val="000000"/>
                <w:sz w:val="24"/>
                <w:szCs w:val="24"/>
                <w:lang w:eastAsia="es-CO"/>
              </w:rPr>
              <w:t>327.668</w:t>
            </w:r>
          </w:p>
        </w:tc>
      </w:tr>
    </w:tbl>
    <w:p w14:paraId="4167E355" w14:textId="77777777" w:rsidR="00A748F1" w:rsidRPr="008943FC" w:rsidRDefault="00A748F1" w:rsidP="00986A80">
      <w:pPr>
        <w:spacing w:after="0" w:line="360" w:lineRule="auto"/>
        <w:ind w:right="-91"/>
        <w:jc w:val="both"/>
        <w:rPr>
          <w:rFonts w:ascii="Arial" w:eastAsiaTheme="minorEastAsia" w:hAnsi="Arial" w:cs="Arial"/>
          <w:sz w:val="24"/>
          <w:szCs w:val="24"/>
        </w:rPr>
      </w:pPr>
    </w:p>
    <w:p w14:paraId="2CB339B2" w14:textId="7F560D86" w:rsidR="005C1BCA" w:rsidRPr="008943FC" w:rsidRDefault="005C1BCA" w:rsidP="00986A80">
      <w:pPr>
        <w:spacing w:after="0" w:line="360" w:lineRule="auto"/>
        <w:ind w:right="-91"/>
        <w:jc w:val="both"/>
        <w:rPr>
          <w:rFonts w:ascii="Arial" w:eastAsia="MS Mincho" w:hAnsi="Arial" w:cs="Arial"/>
          <w:sz w:val="24"/>
          <w:szCs w:val="24"/>
          <w:lang w:val="es-ES"/>
        </w:rPr>
      </w:pPr>
      <w:r w:rsidRPr="008943FC">
        <w:rPr>
          <w:rFonts w:ascii="Arial" w:eastAsia="MS Mincho" w:hAnsi="Arial" w:cs="Arial"/>
          <w:sz w:val="24"/>
          <w:szCs w:val="24"/>
          <w:lang w:val="es-ES"/>
        </w:rPr>
        <w:t xml:space="preserve">Dicha capacidad ha sido </w:t>
      </w:r>
      <w:r w:rsidR="00CD74B5" w:rsidRPr="008943FC">
        <w:rPr>
          <w:rFonts w:ascii="Arial" w:eastAsia="MS Mincho" w:hAnsi="Arial" w:cs="Arial"/>
          <w:sz w:val="24"/>
          <w:szCs w:val="24"/>
          <w:lang w:val="es-ES"/>
        </w:rPr>
        <w:t>calculada</w:t>
      </w:r>
      <w:r w:rsidRPr="008943FC">
        <w:rPr>
          <w:rFonts w:ascii="Arial" w:eastAsia="MS Mincho" w:hAnsi="Arial" w:cs="Arial"/>
          <w:sz w:val="24"/>
          <w:szCs w:val="24"/>
          <w:lang w:val="es-ES"/>
        </w:rPr>
        <w:t xml:space="preserve"> atendiendo el procedimiento establecido en el artículo 8 de la Resolución CREG </w:t>
      </w:r>
      <w:r w:rsidR="00351A5E" w:rsidRPr="008943FC">
        <w:rPr>
          <w:rFonts w:ascii="Arial" w:eastAsia="MS Mincho" w:hAnsi="Arial" w:cs="Arial"/>
          <w:sz w:val="24"/>
          <w:szCs w:val="24"/>
          <w:lang w:val="es-ES"/>
        </w:rPr>
        <w:t>063</w:t>
      </w:r>
      <w:r w:rsidRPr="008943FC">
        <w:rPr>
          <w:rFonts w:ascii="Arial" w:eastAsia="MS Mincho" w:hAnsi="Arial" w:cs="Arial"/>
          <w:sz w:val="24"/>
          <w:szCs w:val="24"/>
          <w:lang w:val="es-ES"/>
        </w:rPr>
        <w:t xml:space="preserve"> de 2016</w:t>
      </w:r>
      <w:r w:rsidR="003B50DF" w:rsidRPr="008943FC">
        <w:rPr>
          <w:rFonts w:ascii="Arial" w:eastAsia="MS Mincho" w:hAnsi="Arial" w:cs="Arial"/>
          <w:sz w:val="24"/>
          <w:szCs w:val="24"/>
          <w:lang w:val="es-ES"/>
        </w:rPr>
        <w:t xml:space="preserve"> con información </w:t>
      </w:r>
      <w:r w:rsidR="00400ABE" w:rsidRPr="008943FC">
        <w:rPr>
          <w:rFonts w:ascii="Arial" w:eastAsia="MS Mincho" w:hAnsi="Arial" w:cs="Arial"/>
          <w:sz w:val="24"/>
          <w:szCs w:val="24"/>
          <w:lang w:val="es-ES"/>
        </w:rPr>
        <w:t xml:space="preserve">suministrada por la Superintendencia de Servicios Públicos Domiciliarios la cual reposa en </w:t>
      </w:r>
      <w:r w:rsidR="003B50DF" w:rsidRPr="008943FC">
        <w:rPr>
          <w:rFonts w:ascii="Arial" w:eastAsia="MS Mincho" w:hAnsi="Arial" w:cs="Arial"/>
          <w:sz w:val="24"/>
          <w:szCs w:val="24"/>
          <w:lang w:val="es-ES"/>
        </w:rPr>
        <w:t>el Sistema Único de Información</w:t>
      </w:r>
      <w:r w:rsidR="00F96972" w:rsidRPr="008943FC">
        <w:rPr>
          <w:rFonts w:ascii="Arial" w:eastAsia="MS Mincho" w:hAnsi="Arial" w:cs="Arial"/>
          <w:sz w:val="24"/>
          <w:szCs w:val="24"/>
          <w:lang w:val="es-ES"/>
        </w:rPr>
        <w:t>,</w:t>
      </w:r>
      <w:r w:rsidR="003B50DF" w:rsidRPr="008943FC">
        <w:rPr>
          <w:rFonts w:ascii="Arial" w:eastAsia="MS Mincho" w:hAnsi="Arial" w:cs="Arial"/>
          <w:sz w:val="24"/>
          <w:szCs w:val="24"/>
          <w:lang w:val="es-ES"/>
        </w:rPr>
        <w:t xml:space="preserve"> </w:t>
      </w:r>
      <w:r w:rsidR="0097340A" w:rsidRPr="008943FC">
        <w:rPr>
          <w:rFonts w:ascii="Arial" w:eastAsia="MS Mincho" w:hAnsi="Arial" w:cs="Arial"/>
          <w:sz w:val="24"/>
          <w:szCs w:val="24"/>
          <w:lang w:val="es-ES"/>
        </w:rPr>
        <w:t>SUI</w:t>
      </w:r>
      <w:r w:rsidR="00CA077E" w:rsidRPr="008943FC">
        <w:rPr>
          <w:rStyle w:val="Refdenotaalpie"/>
          <w:rFonts w:ascii="Arial" w:eastAsia="MS Mincho" w:hAnsi="Arial" w:cs="Arial"/>
          <w:sz w:val="24"/>
          <w:szCs w:val="24"/>
          <w:lang w:val="es-ES"/>
        </w:rPr>
        <w:footnoteReference w:id="5"/>
      </w:r>
      <w:r w:rsidRPr="008943FC">
        <w:rPr>
          <w:rFonts w:ascii="Arial" w:eastAsia="MS Mincho" w:hAnsi="Arial" w:cs="Arial"/>
          <w:sz w:val="24"/>
          <w:szCs w:val="24"/>
          <w:lang w:val="es-ES"/>
        </w:rPr>
        <w:t xml:space="preserve">. El cálculo para cada empresa se detalla en el </w:t>
      </w:r>
      <w:r w:rsidR="00CE579F" w:rsidRPr="008943FC">
        <w:rPr>
          <w:rFonts w:ascii="Arial" w:eastAsia="MS Mincho" w:hAnsi="Arial" w:cs="Arial"/>
          <w:sz w:val="24"/>
          <w:szCs w:val="24"/>
          <w:lang w:val="es-ES"/>
        </w:rPr>
        <w:t>Documento Soporte</w:t>
      </w:r>
      <w:r w:rsidRPr="008943FC">
        <w:rPr>
          <w:rFonts w:ascii="Arial" w:eastAsia="MS Mincho" w:hAnsi="Arial" w:cs="Arial"/>
          <w:sz w:val="24"/>
          <w:szCs w:val="24"/>
          <w:lang w:val="es-ES"/>
        </w:rPr>
        <w:t xml:space="preserve"> que hace parte de la presente </w:t>
      </w:r>
      <w:r w:rsidR="003B50DF" w:rsidRPr="008943FC">
        <w:rPr>
          <w:rFonts w:ascii="Arial" w:eastAsia="MS Mincho" w:hAnsi="Arial" w:cs="Arial"/>
          <w:sz w:val="24"/>
          <w:szCs w:val="24"/>
          <w:lang w:val="es-ES"/>
        </w:rPr>
        <w:t>resolución</w:t>
      </w:r>
      <w:r w:rsidRPr="008943FC">
        <w:rPr>
          <w:rFonts w:ascii="Arial" w:eastAsia="MS Mincho" w:hAnsi="Arial" w:cs="Arial"/>
          <w:sz w:val="24"/>
          <w:szCs w:val="24"/>
          <w:lang w:val="es-ES"/>
        </w:rPr>
        <w:t>.</w:t>
      </w:r>
    </w:p>
    <w:p w14:paraId="72B93129" w14:textId="77777777" w:rsidR="005C1BCA" w:rsidRPr="008943FC" w:rsidRDefault="005C1BCA" w:rsidP="00986A80">
      <w:pPr>
        <w:spacing w:after="0" w:line="360" w:lineRule="auto"/>
        <w:ind w:right="-91"/>
        <w:jc w:val="both"/>
        <w:rPr>
          <w:rFonts w:ascii="Arial" w:eastAsia="MS Mincho" w:hAnsi="Arial" w:cs="Arial"/>
          <w:b/>
          <w:sz w:val="24"/>
          <w:szCs w:val="24"/>
          <w:lang w:val="es-ES"/>
        </w:rPr>
      </w:pPr>
    </w:p>
    <w:p w14:paraId="0399C99C" w14:textId="07111586" w:rsidR="00143447" w:rsidRPr="008943FC" w:rsidRDefault="005C1BCA" w:rsidP="00986A80">
      <w:pPr>
        <w:spacing w:after="0" w:line="360" w:lineRule="auto"/>
        <w:ind w:right="-91"/>
        <w:jc w:val="both"/>
        <w:rPr>
          <w:rFonts w:ascii="Arial" w:eastAsia="MS Mincho" w:hAnsi="Arial" w:cs="Arial"/>
          <w:sz w:val="24"/>
          <w:szCs w:val="24"/>
          <w:lang w:val="es-ES"/>
        </w:rPr>
      </w:pPr>
      <w:r w:rsidRPr="008943FC">
        <w:rPr>
          <w:rFonts w:ascii="Arial" w:eastAsia="MS Mincho" w:hAnsi="Arial" w:cs="Arial"/>
          <w:b/>
          <w:sz w:val="24"/>
          <w:szCs w:val="24"/>
          <w:lang w:val="es-ES"/>
        </w:rPr>
        <w:lastRenderedPageBreak/>
        <w:t>Artículo</w:t>
      </w:r>
      <w:r w:rsidR="00E813A2" w:rsidRPr="008943FC">
        <w:rPr>
          <w:rFonts w:ascii="Arial" w:eastAsia="MS Mincho" w:hAnsi="Arial" w:cs="Arial"/>
          <w:b/>
          <w:sz w:val="24"/>
          <w:szCs w:val="24"/>
          <w:lang w:val="es-ES"/>
        </w:rPr>
        <w:t xml:space="preserve"> </w:t>
      </w:r>
      <w:r w:rsidRPr="008943FC">
        <w:rPr>
          <w:rFonts w:ascii="Arial" w:eastAsia="MS Mincho" w:hAnsi="Arial" w:cs="Arial"/>
          <w:b/>
          <w:sz w:val="24"/>
          <w:szCs w:val="24"/>
          <w:lang w:val="es-ES"/>
        </w:rPr>
        <w:t>2.</w:t>
      </w:r>
      <w:r w:rsidR="00844DAC" w:rsidRPr="008943FC">
        <w:rPr>
          <w:rFonts w:ascii="Arial" w:eastAsia="MS Mincho" w:hAnsi="Arial" w:cs="Arial"/>
          <w:b/>
          <w:sz w:val="24"/>
          <w:szCs w:val="24"/>
          <w:lang w:val="es-ES"/>
        </w:rPr>
        <w:t xml:space="preserve"> </w:t>
      </w:r>
      <w:r w:rsidR="001303F4" w:rsidRPr="008943FC">
        <w:rPr>
          <w:rFonts w:ascii="Arial" w:eastAsia="MS Mincho" w:hAnsi="Arial" w:cs="Arial"/>
          <w:b/>
          <w:sz w:val="24"/>
          <w:szCs w:val="24"/>
          <w:lang w:val="es-ES"/>
        </w:rPr>
        <w:t>Notificación.</w:t>
      </w:r>
      <w:r w:rsidR="001303F4" w:rsidRPr="008943FC">
        <w:rPr>
          <w:rFonts w:ascii="Arial" w:eastAsia="MS Mincho" w:hAnsi="Arial" w:cs="Arial"/>
          <w:sz w:val="24"/>
          <w:szCs w:val="24"/>
          <w:lang w:val="es-ES"/>
        </w:rPr>
        <w:t xml:space="preserve"> </w:t>
      </w:r>
      <w:r w:rsidRPr="008943FC">
        <w:rPr>
          <w:rFonts w:ascii="Arial" w:eastAsia="MS Mincho" w:hAnsi="Arial" w:cs="Arial"/>
          <w:sz w:val="24"/>
          <w:szCs w:val="24"/>
          <w:lang w:val="es-ES"/>
        </w:rPr>
        <w:t xml:space="preserve">La presente </w:t>
      </w:r>
      <w:r w:rsidR="00CD74B5" w:rsidRPr="008943FC">
        <w:rPr>
          <w:rFonts w:ascii="Arial" w:eastAsia="MS Mincho" w:hAnsi="Arial" w:cs="Arial"/>
          <w:sz w:val="24"/>
          <w:szCs w:val="24"/>
          <w:lang w:val="es-ES"/>
        </w:rPr>
        <w:t>resolución</w:t>
      </w:r>
      <w:r w:rsidR="0089512B" w:rsidRPr="008943FC">
        <w:rPr>
          <w:rFonts w:ascii="Arial" w:eastAsia="MS Mincho" w:hAnsi="Arial" w:cs="Arial"/>
          <w:sz w:val="24"/>
          <w:szCs w:val="24"/>
          <w:lang w:val="es-ES"/>
        </w:rPr>
        <w:t xml:space="preserve"> deberá notificarse</w:t>
      </w:r>
      <w:r w:rsidR="00234404" w:rsidRPr="008943FC">
        <w:rPr>
          <w:rFonts w:ascii="Arial" w:eastAsia="MS Mincho" w:hAnsi="Arial" w:cs="Arial"/>
          <w:sz w:val="24"/>
          <w:szCs w:val="24"/>
          <w:lang w:val="es-ES"/>
        </w:rPr>
        <w:t xml:space="preserve"> </w:t>
      </w:r>
      <w:r w:rsidR="0089512B" w:rsidRPr="008943FC">
        <w:rPr>
          <w:rFonts w:ascii="Arial" w:eastAsia="MS Mincho" w:hAnsi="Arial" w:cs="Arial"/>
          <w:sz w:val="24"/>
          <w:szCs w:val="24"/>
          <w:lang w:val="es-ES"/>
        </w:rPr>
        <w:t>a</w:t>
      </w:r>
      <w:r w:rsidR="0097340A" w:rsidRPr="008943FC">
        <w:rPr>
          <w:rFonts w:ascii="Arial" w:eastAsia="MS Mincho" w:hAnsi="Arial" w:cs="Arial"/>
          <w:sz w:val="24"/>
          <w:szCs w:val="24"/>
          <w:lang w:val="es-ES"/>
        </w:rPr>
        <w:t xml:space="preserve"> cada una de</w:t>
      </w:r>
      <w:r w:rsidR="0089512B" w:rsidRPr="008943FC">
        <w:rPr>
          <w:rFonts w:ascii="Arial" w:eastAsia="MS Mincho" w:hAnsi="Arial" w:cs="Arial"/>
          <w:sz w:val="24"/>
          <w:szCs w:val="24"/>
          <w:lang w:val="es-ES"/>
        </w:rPr>
        <w:t xml:space="preserve"> </w:t>
      </w:r>
      <w:r w:rsidR="003B50DF" w:rsidRPr="008943FC">
        <w:rPr>
          <w:rFonts w:ascii="Arial" w:eastAsia="MS Mincho" w:hAnsi="Arial" w:cs="Arial"/>
          <w:sz w:val="24"/>
          <w:szCs w:val="24"/>
          <w:lang w:val="es-ES"/>
        </w:rPr>
        <w:t>las empresas listadas en e</w:t>
      </w:r>
      <w:r w:rsidRPr="008943FC">
        <w:rPr>
          <w:rFonts w:ascii="Arial" w:eastAsia="MS Mincho" w:hAnsi="Arial" w:cs="Arial"/>
          <w:sz w:val="24"/>
          <w:szCs w:val="24"/>
          <w:lang w:val="es-ES"/>
        </w:rPr>
        <w:t>l artículo anterior</w:t>
      </w:r>
      <w:r w:rsidR="00F743B0" w:rsidRPr="008943FC">
        <w:rPr>
          <w:rFonts w:ascii="Arial" w:eastAsia="MS Mincho" w:hAnsi="Arial" w:cs="Arial"/>
          <w:sz w:val="24"/>
          <w:szCs w:val="24"/>
          <w:lang w:val="es-ES"/>
        </w:rPr>
        <w:t xml:space="preserve"> de conformidad con lo previsto en los artículos 56, 67 y 69 del del Código Procedimiento Administrativo y de lo Contencioso Administrativo</w:t>
      </w:r>
      <w:r w:rsidR="003552B8">
        <w:rPr>
          <w:rFonts w:ascii="Arial" w:eastAsia="MS Mincho" w:hAnsi="Arial" w:cs="Arial"/>
          <w:sz w:val="24"/>
          <w:szCs w:val="24"/>
          <w:lang w:val="es-ES"/>
        </w:rPr>
        <w:t>.</w:t>
      </w:r>
    </w:p>
    <w:p w14:paraId="67EFCD67" w14:textId="77777777" w:rsidR="00E229C8" w:rsidRDefault="00E229C8" w:rsidP="00986A80">
      <w:pPr>
        <w:spacing w:after="0" w:line="360" w:lineRule="auto"/>
        <w:ind w:right="-91"/>
        <w:jc w:val="both"/>
        <w:rPr>
          <w:rFonts w:ascii="Arial" w:eastAsia="MS Mincho" w:hAnsi="Arial" w:cs="Arial"/>
          <w:sz w:val="24"/>
          <w:szCs w:val="24"/>
          <w:lang w:val="es-ES"/>
        </w:rPr>
      </w:pPr>
    </w:p>
    <w:p w14:paraId="459FE762" w14:textId="3FACEC3E" w:rsidR="004B65F7" w:rsidRPr="008943FC" w:rsidRDefault="00C139AB" w:rsidP="00986A80">
      <w:pPr>
        <w:spacing w:after="0" w:line="360" w:lineRule="auto"/>
        <w:ind w:right="-91"/>
        <w:jc w:val="both"/>
        <w:rPr>
          <w:rFonts w:ascii="Arial" w:eastAsia="MS Mincho" w:hAnsi="Arial" w:cs="Arial"/>
          <w:sz w:val="24"/>
          <w:szCs w:val="24"/>
          <w:lang w:val="es-ES"/>
        </w:rPr>
      </w:pPr>
      <w:r w:rsidRPr="008943FC">
        <w:rPr>
          <w:rFonts w:ascii="Arial" w:eastAsia="MS Mincho" w:hAnsi="Arial" w:cs="Arial"/>
          <w:sz w:val="24"/>
          <w:szCs w:val="24"/>
          <w:lang w:val="es-ES"/>
        </w:rPr>
        <w:t xml:space="preserve">Contra lo dispuesto en este acto </w:t>
      </w:r>
      <w:r w:rsidR="005C1BCA" w:rsidRPr="008943FC">
        <w:rPr>
          <w:rFonts w:ascii="Arial" w:eastAsia="MS Mincho" w:hAnsi="Arial" w:cs="Arial"/>
          <w:sz w:val="24"/>
          <w:szCs w:val="24"/>
          <w:lang w:val="es-ES"/>
        </w:rPr>
        <w:t>procede el recurso de reposi</w:t>
      </w:r>
      <w:r w:rsidRPr="008943FC">
        <w:rPr>
          <w:rFonts w:ascii="Arial" w:eastAsia="MS Mincho" w:hAnsi="Arial" w:cs="Arial"/>
          <w:sz w:val="24"/>
          <w:szCs w:val="24"/>
          <w:lang w:val="es-ES"/>
        </w:rPr>
        <w:t>ción, el cual podrá interponer</w:t>
      </w:r>
      <w:r w:rsidR="0032680A" w:rsidRPr="008943FC">
        <w:rPr>
          <w:rFonts w:ascii="Arial" w:eastAsia="MS Mincho" w:hAnsi="Arial" w:cs="Arial"/>
          <w:sz w:val="24"/>
          <w:szCs w:val="24"/>
          <w:lang w:val="es-ES"/>
        </w:rPr>
        <w:t>se</w:t>
      </w:r>
      <w:r w:rsidR="005C1BCA" w:rsidRPr="008943FC">
        <w:rPr>
          <w:rFonts w:ascii="Arial" w:eastAsia="MS Mincho" w:hAnsi="Arial" w:cs="Arial"/>
          <w:sz w:val="24"/>
          <w:szCs w:val="24"/>
          <w:lang w:val="es-ES"/>
        </w:rPr>
        <w:t xml:space="preserve"> ante la Dirección Ejecutiva de la CREG </w:t>
      </w:r>
      <w:r w:rsidRPr="008943FC">
        <w:rPr>
          <w:rFonts w:ascii="Arial" w:eastAsia="MS Mincho" w:hAnsi="Arial" w:cs="Arial"/>
          <w:sz w:val="24"/>
          <w:szCs w:val="24"/>
          <w:lang w:val="es-ES"/>
        </w:rPr>
        <w:t>dentro de los cinco (5) días hábiles siguientes a la fecha de su notificación.</w:t>
      </w:r>
    </w:p>
    <w:p w14:paraId="227C6D40" w14:textId="7AA87CAB" w:rsidR="00351047" w:rsidRPr="008943FC" w:rsidRDefault="00351047" w:rsidP="00986A80">
      <w:pPr>
        <w:spacing w:after="0" w:line="360" w:lineRule="auto"/>
        <w:ind w:right="-91"/>
        <w:jc w:val="both"/>
        <w:rPr>
          <w:rFonts w:ascii="Arial" w:eastAsia="MS Mincho" w:hAnsi="Arial" w:cs="Arial"/>
          <w:sz w:val="24"/>
          <w:szCs w:val="24"/>
          <w:lang w:val="es-ES"/>
        </w:rPr>
      </w:pPr>
    </w:p>
    <w:p w14:paraId="2CC39EC3" w14:textId="77777777" w:rsidR="00143447" w:rsidRPr="008943FC" w:rsidRDefault="00143447" w:rsidP="00986A80">
      <w:pPr>
        <w:spacing w:after="0" w:line="360" w:lineRule="auto"/>
        <w:ind w:right="-91"/>
        <w:jc w:val="both"/>
        <w:rPr>
          <w:rFonts w:ascii="Arial" w:eastAsia="MS Mincho" w:hAnsi="Arial" w:cs="Arial"/>
          <w:sz w:val="24"/>
          <w:szCs w:val="24"/>
          <w:lang w:val="es-ES"/>
        </w:rPr>
      </w:pPr>
    </w:p>
    <w:p w14:paraId="1A77F124" w14:textId="77777777" w:rsidR="005C1BCA" w:rsidRPr="008943FC" w:rsidRDefault="00CD74B5" w:rsidP="00986A80">
      <w:pPr>
        <w:spacing w:after="0" w:line="360" w:lineRule="auto"/>
        <w:contextualSpacing/>
        <w:jc w:val="center"/>
        <w:rPr>
          <w:rFonts w:ascii="Arial" w:eastAsia="Times New Roman" w:hAnsi="Arial" w:cs="Arial"/>
          <w:b/>
          <w:sz w:val="24"/>
          <w:szCs w:val="24"/>
          <w:lang w:val="es-ES" w:eastAsia="es-ES"/>
        </w:rPr>
      </w:pPr>
      <w:r w:rsidRPr="008943FC">
        <w:rPr>
          <w:rFonts w:ascii="Arial" w:eastAsia="Times New Roman" w:hAnsi="Arial" w:cs="Arial"/>
          <w:b/>
          <w:sz w:val="24"/>
          <w:szCs w:val="24"/>
          <w:lang w:val="es-ES" w:eastAsia="es-ES"/>
        </w:rPr>
        <w:t>NOTIFÍQUESE</w:t>
      </w:r>
      <w:r w:rsidR="005C1BCA" w:rsidRPr="008943FC">
        <w:rPr>
          <w:rFonts w:ascii="Arial" w:eastAsia="Times New Roman" w:hAnsi="Arial" w:cs="Arial"/>
          <w:b/>
          <w:sz w:val="24"/>
          <w:szCs w:val="24"/>
          <w:lang w:val="es-ES" w:eastAsia="es-ES"/>
        </w:rPr>
        <w:t xml:space="preserve"> Y CÚMPLASE</w:t>
      </w:r>
    </w:p>
    <w:p w14:paraId="066AB119" w14:textId="4F71F712" w:rsidR="009C0053" w:rsidRPr="008943FC" w:rsidRDefault="009C0053" w:rsidP="00986A80">
      <w:pPr>
        <w:spacing w:after="0" w:line="360" w:lineRule="auto"/>
        <w:contextualSpacing/>
        <w:rPr>
          <w:rFonts w:ascii="Arial" w:eastAsia="Times New Roman" w:hAnsi="Arial" w:cs="Arial"/>
          <w:sz w:val="24"/>
          <w:szCs w:val="24"/>
          <w:lang w:val="es-ES" w:eastAsia="es-ES"/>
        </w:rPr>
      </w:pPr>
    </w:p>
    <w:p w14:paraId="4618B657" w14:textId="17A6C102" w:rsidR="005C1BCA" w:rsidRPr="008943FC" w:rsidRDefault="00CD74B5" w:rsidP="00986A80">
      <w:pPr>
        <w:spacing w:after="0" w:line="360" w:lineRule="auto"/>
        <w:contextualSpacing/>
        <w:rPr>
          <w:rFonts w:ascii="Arial" w:eastAsia="Times New Roman" w:hAnsi="Arial" w:cs="Arial"/>
          <w:sz w:val="24"/>
          <w:szCs w:val="24"/>
          <w:lang w:val="es-ES" w:eastAsia="es-ES"/>
        </w:rPr>
      </w:pPr>
      <w:r w:rsidRPr="008943FC">
        <w:rPr>
          <w:rFonts w:ascii="Arial" w:eastAsia="Times New Roman" w:hAnsi="Arial" w:cs="Arial"/>
          <w:sz w:val="24"/>
          <w:szCs w:val="24"/>
          <w:lang w:val="es-ES" w:eastAsia="es-ES"/>
        </w:rPr>
        <w:t xml:space="preserve">Dada en Bogotá, </w:t>
      </w:r>
      <w:r w:rsidRPr="00766EA4">
        <w:rPr>
          <w:rFonts w:ascii="Arial" w:eastAsia="Times New Roman" w:hAnsi="Arial" w:cs="Arial"/>
          <w:sz w:val="24"/>
          <w:szCs w:val="24"/>
          <w:lang w:val="es-ES" w:eastAsia="es-ES"/>
        </w:rPr>
        <w:t>D.C</w:t>
      </w:r>
      <w:r w:rsidR="00766EA4" w:rsidRPr="00766EA4">
        <w:rPr>
          <w:rFonts w:ascii="Arial" w:eastAsia="Times New Roman" w:hAnsi="Arial" w:cs="Arial"/>
          <w:sz w:val="24"/>
          <w:szCs w:val="24"/>
          <w:lang w:val="es-ES" w:eastAsia="es-ES"/>
        </w:rPr>
        <w:t>.</w:t>
      </w:r>
      <w:r w:rsidR="003552B8" w:rsidRPr="00766EA4">
        <w:rPr>
          <w:rFonts w:ascii="Arial" w:eastAsia="Times New Roman" w:hAnsi="Arial" w:cs="Arial"/>
          <w:sz w:val="24"/>
          <w:szCs w:val="24"/>
          <w:lang w:val="es-ES" w:eastAsia="es-ES"/>
        </w:rPr>
        <w:t>,</w:t>
      </w:r>
      <w:r w:rsidRPr="00766EA4">
        <w:rPr>
          <w:rFonts w:ascii="Arial" w:eastAsia="Times New Roman" w:hAnsi="Arial" w:cs="Arial"/>
          <w:sz w:val="24"/>
          <w:szCs w:val="24"/>
          <w:lang w:val="es-ES" w:eastAsia="es-ES"/>
        </w:rPr>
        <w:t xml:space="preserve"> a</w:t>
      </w:r>
      <w:r w:rsidR="00AC4A00" w:rsidRPr="00766EA4">
        <w:rPr>
          <w:rFonts w:ascii="Arial" w:eastAsia="Times New Roman" w:hAnsi="Arial" w:cs="Arial"/>
          <w:sz w:val="24"/>
          <w:szCs w:val="24"/>
          <w:lang w:val="es-ES" w:eastAsia="es-ES"/>
        </w:rPr>
        <w:t xml:space="preserve"> los </w:t>
      </w:r>
      <w:r w:rsidR="00766EA4" w:rsidRPr="00766EA4">
        <w:rPr>
          <w:rFonts w:ascii="Arial" w:eastAsia="Times New Roman" w:hAnsi="Arial" w:cs="Arial"/>
          <w:sz w:val="24"/>
          <w:szCs w:val="24"/>
          <w:lang w:val="es-ES" w:eastAsia="es-ES"/>
        </w:rPr>
        <w:t>30</w:t>
      </w:r>
      <w:r w:rsidR="00AC4A00" w:rsidRPr="00766EA4">
        <w:rPr>
          <w:rFonts w:ascii="Arial" w:eastAsia="Times New Roman" w:hAnsi="Arial" w:cs="Arial"/>
          <w:sz w:val="24"/>
          <w:szCs w:val="24"/>
          <w:lang w:val="es-ES" w:eastAsia="es-ES"/>
        </w:rPr>
        <w:t xml:space="preserve"> días de </w:t>
      </w:r>
      <w:r w:rsidR="00766EA4" w:rsidRPr="00766EA4">
        <w:rPr>
          <w:rFonts w:ascii="Arial" w:eastAsia="Times New Roman" w:hAnsi="Arial" w:cs="Arial"/>
          <w:sz w:val="24"/>
          <w:szCs w:val="24"/>
          <w:lang w:val="es-ES" w:eastAsia="es-ES"/>
        </w:rPr>
        <w:t>ene</w:t>
      </w:r>
      <w:r w:rsidR="006E5920" w:rsidRPr="00766EA4">
        <w:rPr>
          <w:rFonts w:ascii="Arial" w:eastAsia="Times New Roman" w:hAnsi="Arial" w:cs="Arial"/>
          <w:sz w:val="24"/>
          <w:szCs w:val="24"/>
          <w:lang w:val="es-ES" w:eastAsia="es-ES"/>
        </w:rPr>
        <w:t>ro</w:t>
      </w:r>
      <w:r w:rsidR="00AC4A00" w:rsidRPr="00766EA4">
        <w:rPr>
          <w:rFonts w:ascii="Arial" w:eastAsia="Times New Roman" w:hAnsi="Arial" w:cs="Arial"/>
          <w:sz w:val="24"/>
          <w:szCs w:val="24"/>
          <w:lang w:val="es-ES" w:eastAsia="es-ES"/>
        </w:rPr>
        <w:t xml:space="preserve"> de</w:t>
      </w:r>
      <w:r w:rsidR="00CC13B9" w:rsidRPr="00766EA4">
        <w:rPr>
          <w:rFonts w:ascii="Arial" w:eastAsia="Times New Roman" w:hAnsi="Arial" w:cs="Arial"/>
          <w:sz w:val="24"/>
          <w:szCs w:val="24"/>
          <w:lang w:val="es-ES" w:eastAsia="es-ES"/>
        </w:rPr>
        <w:t xml:space="preserve"> 202</w:t>
      </w:r>
      <w:r w:rsidR="006E5920" w:rsidRPr="00766EA4">
        <w:rPr>
          <w:rFonts w:ascii="Arial" w:eastAsia="Times New Roman" w:hAnsi="Arial" w:cs="Arial"/>
          <w:sz w:val="24"/>
          <w:szCs w:val="24"/>
          <w:lang w:val="es-ES" w:eastAsia="es-ES"/>
        </w:rPr>
        <w:t>4</w:t>
      </w:r>
      <w:r w:rsidR="00AC4A00" w:rsidRPr="00766EA4">
        <w:rPr>
          <w:rFonts w:ascii="Arial" w:eastAsia="Times New Roman" w:hAnsi="Arial" w:cs="Arial"/>
          <w:sz w:val="24"/>
          <w:szCs w:val="24"/>
          <w:lang w:val="es-ES" w:eastAsia="es-ES"/>
        </w:rPr>
        <w:t>.</w:t>
      </w:r>
    </w:p>
    <w:p w14:paraId="3ACCE1E0" w14:textId="77748561" w:rsidR="00F96972" w:rsidRPr="008943FC" w:rsidRDefault="00F96972" w:rsidP="00986A80">
      <w:pPr>
        <w:spacing w:after="0" w:line="360" w:lineRule="auto"/>
        <w:contextualSpacing/>
        <w:rPr>
          <w:rFonts w:ascii="Arial" w:eastAsia="Times New Roman" w:hAnsi="Arial" w:cs="Arial"/>
          <w:sz w:val="24"/>
          <w:szCs w:val="24"/>
          <w:lang w:val="es-ES" w:eastAsia="es-ES"/>
        </w:rPr>
      </w:pPr>
    </w:p>
    <w:p w14:paraId="0B832875" w14:textId="77777777" w:rsidR="00F27035" w:rsidRPr="008943FC" w:rsidRDefault="00F27035" w:rsidP="00986A80">
      <w:pPr>
        <w:spacing w:after="0" w:line="360" w:lineRule="auto"/>
        <w:contextualSpacing/>
        <w:rPr>
          <w:rFonts w:ascii="Arial" w:eastAsia="Times New Roman" w:hAnsi="Arial" w:cs="Arial"/>
          <w:sz w:val="24"/>
          <w:szCs w:val="24"/>
          <w:lang w:val="es-ES" w:eastAsia="es-ES"/>
        </w:rPr>
      </w:pPr>
    </w:p>
    <w:p w14:paraId="41B3C10F" w14:textId="77777777" w:rsidR="00F27035" w:rsidRPr="008943FC" w:rsidRDefault="00F27035" w:rsidP="00986A80">
      <w:pPr>
        <w:spacing w:after="0" w:line="360" w:lineRule="auto"/>
        <w:contextualSpacing/>
        <w:rPr>
          <w:rFonts w:ascii="Arial" w:eastAsia="Times New Roman" w:hAnsi="Arial" w:cs="Arial"/>
          <w:sz w:val="24"/>
          <w:szCs w:val="24"/>
          <w:lang w:val="es-ES" w:eastAsia="es-ES"/>
        </w:rPr>
      </w:pPr>
    </w:p>
    <w:tbl>
      <w:tblPr>
        <w:tblW w:w="0" w:type="auto"/>
        <w:jc w:val="center"/>
        <w:tblLayout w:type="fixed"/>
        <w:tblCellMar>
          <w:left w:w="70" w:type="dxa"/>
          <w:right w:w="70" w:type="dxa"/>
        </w:tblCellMar>
        <w:tblLook w:val="0000" w:firstRow="0" w:lastRow="0" w:firstColumn="0" w:lastColumn="0" w:noHBand="0" w:noVBand="0"/>
      </w:tblPr>
      <w:tblGrid>
        <w:gridCol w:w="4536"/>
        <w:gridCol w:w="4678"/>
      </w:tblGrid>
      <w:tr w:rsidR="00F27035" w:rsidRPr="00666660" w14:paraId="4531A289" w14:textId="77777777" w:rsidTr="00226BDF">
        <w:trPr>
          <w:jc w:val="center"/>
        </w:trPr>
        <w:tc>
          <w:tcPr>
            <w:tcW w:w="4536" w:type="dxa"/>
          </w:tcPr>
          <w:p w14:paraId="73FF046E" w14:textId="07EC14B1" w:rsidR="00F26C0C" w:rsidRPr="008943FC" w:rsidRDefault="00A919D0" w:rsidP="00986A80">
            <w:pPr>
              <w:tabs>
                <w:tab w:val="left" w:pos="-720"/>
              </w:tabs>
              <w:suppressAutoHyphens/>
              <w:spacing w:after="0" w:line="360" w:lineRule="auto"/>
              <w:jc w:val="center"/>
              <w:rPr>
                <w:rFonts w:ascii="Arial" w:hAnsi="Arial" w:cs="Arial"/>
                <w:b/>
                <w:spacing w:val="-3"/>
                <w:sz w:val="24"/>
                <w:szCs w:val="24"/>
              </w:rPr>
            </w:pPr>
            <w:r w:rsidRPr="008943FC">
              <w:rPr>
                <w:rFonts w:ascii="Arial" w:hAnsi="Arial" w:cs="Arial"/>
                <w:b/>
                <w:spacing w:val="-3"/>
                <w:sz w:val="24"/>
                <w:szCs w:val="24"/>
              </w:rPr>
              <w:t>OMAR ANDRÉS CAMACHO MORALES</w:t>
            </w:r>
          </w:p>
          <w:p w14:paraId="1A507C4D" w14:textId="4B19313F" w:rsidR="00F27035" w:rsidRPr="008943FC" w:rsidRDefault="00A919D0" w:rsidP="00986A80">
            <w:pPr>
              <w:tabs>
                <w:tab w:val="left" w:pos="-720"/>
              </w:tabs>
              <w:suppressAutoHyphens/>
              <w:spacing w:after="0" w:line="360" w:lineRule="auto"/>
              <w:jc w:val="center"/>
              <w:rPr>
                <w:rFonts w:ascii="Arial" w:hAnsi="Arial" w:cs="Arial"/>
                <w:sz w:val="24"/>
                <w:szCs w:val="24"/>
              </w:rPr>
            </w:pPr>
            <w:r w:rsidRPr="008943FC">
              <w:rPr>
                <w:rFonts w:ascii="Arial" w:hAnsi="Arial" w:cs="Arial"/>
                <w:sz w:val="24"/>
                <w:szCs w:val="24"/>
              </w:rPr>
              <w:t>M</w:t>
            </w:r>
            <w:r w:rsidR="00F27035" w:rsidRPr="008943FC">
              <w:rPr>
                <w:rFonts w:ascii="Arial" w:hAnsi="Arial" w:cs="Arial"/>
                <w:sz w:val="24"/>
                <w:szCs w:val="24"/>
              </w:rPr>
              <w:t>inistr</w:t>
            </w:r>
            <w:r w:rsidR="005450E8" w:rsidRPr="008943FC">
              <w:rPr>
                <w:rFonts w:ascii="Arial" w:hAnsi="Arial" w:cs="Arial"/>
                <w:sz w:val="24"/>
                <w:szCs w:val="24"/>
              </w:rPr>
              <w:t>o</w:t>
            </w:r>
            <w:r w:rsidR="00F27035" w:rsidRPr="008943FC">
              <w:rPr>
                <w:rFonts w:ascii="Arial" w:hAnsi="Arial" w:cs="Arial"/>
                <w:sz w:val="24"/>
                <w:szCs w:val="24"/>
              </w:rPr>
              <w:t xml:space="preserve"> de Minas y Energía</w:t>
            </w:r>
          </w:p>
          <w:p w14:paraId="1CBD66E6" w14:textId="20830B71" w:rsidR="00F27035" w:rsidRPr="008943FC" w:rsidRDefault="00F27035" w:rsidP="008F1C7C">
            <w:pPr>
              <w:tabs>
                <w:tab w:val="left" w:pos="-720"/>
              </w:tabs>
              <w:suppressAutoHyphens/>
              <w:spacing w:after="0" w:line="360" w:lineRule="auto"/>
              <w:jc w:val="center"/>
              <w:rPr>
                <w:rFonts w:ascii="Arial" w:hAnsi="Arial" w:cs="Arial"/>
                <w:sz w:val="24"/>
                <w:szCs w:val="24"/>
              </w:rPr>
            </w:pPr>
            <w:r w:rsidRPr="008943FC">
              <w:rPr>
                <w:rFonts w:ascii="Arial" w:hAnsi="Arial" w:cs="Arial"/>
                <w:sz w:val="24"/>
                <w:szCs w:val="24"/>
              </w:rPr>
              <w:t>Presidente</w:t>
            </w:r>
          </w:p>
        </w:tc>
        <w:tc>
          <w:tcPr>
            <w:tcW w:w="4678" w:type="dxa"/>
          </w:tcPr>
          <w:p w14:paraId="29213FA0" w14:textId="66E70ED3" w:rsidR="00F27035" w:rsidRPr="008943FC" w:rsidRDefault="00E51905" w:rsidP="00986A80">
            <w:pPr>
              <w:tabs>
                <w:tab w:val="left" w:pos="-720"/>
              </w:tabs>
              <w:suppressAutoHyphens/>
              <w:spacing w:after="0" w:line="360" w:lineRule="auto"/>
              <w:jc w:val="center"/>
              <w:rPr>
                <w:rFonts w:ascii="Arial" w:hAnsi="Arial" w:cs="Arial"/>
                <w:b/>
                <w:sz w:val="24"/>
                <w:szCs w:val="24"/>
              </w:rPr>
            </w:pPr>
            <w:r>
              <w:rPr>
                <w:rFonts w:ascii="Arial" w:hAnsi="Arial" w:cs="Arial"/>
                <w:b/>
                <w:sz w:val="24"/>
                <w:szCs w:val="24"/>
              </w:rPr>
              <w:t>OMAR FREDY PRÍAS CAICEDO</w:t>
            </w:r>
          </w:p>
          <w:p w14:paraId="7B92AE32" w14:textId="77777777" w:rsidR="00F27035" w:rsidRPr="008943FC" w:rsidRDefault="00F27035" w:rsidP="00986A80">
            <w:pPr>
              <w:tabs>
                <w:tab w:val="left" w:pos="-720"/>
              </w:tabs>
              <w:suppressAutoHyphens/>
              <w:spacing w:after="0" w:line="360" w:lineRule="auto"/>
              <w:jc w:val="center"/>
              <w:rPr>
                <w:rFonts w:ascii="Arial" w:hAnsi="Arial" w:cs="Arial"/>
                <w:b/>
                <w:spacing w:val="-3"/>
                <w:sz w:val="24"/>
                <w:szCs w:val="24"/>
              </w:rPr>
            </w:pPr>
            <w:r w:rsidRPr="008943FC">
              <w:rPr>
                <w:rFonts w:ascii="Arial" w:hAnsi="Arial" w:cs="Arial"/>
                <w:spacing w:val="-3"/>
                <w:sz w:val="24"/>
                <w:szCs w:val="24"/>
              </w:rPr>
              <w:t>Director Ejecutivo</w:t>
            </w:r>
          </w:p>
        </w:tc>
      </w:tr>
    </w:tbl>
    <w:p w14:paraId="73DD0B11" w14:textId="77777777" w:rsidR="0087487D" w:rsidRPr="008943FC" w:rsidRDefault="0087487D" w:rsidP="00986A80">
      <w:pPr>
        <w:spacing w:after="0" w:line="360" w:lineRule="auto"/>
        <w:contextualSpacing/>
        <w:rPr>
          <w:rFonts w:ascii="Arial" w:eastAsia="Times New Roman" w:hAnsi="Arial" w:cs="Arial"/>
          <w:sz w:val="24"/>
          <w:szCs w:val="24"/>
          <w:lang w:val="es-ES" w:eastAsia="es-ES"/>
        </w:rPr>
      </w:pPr>
    </w:p>
    <w:sectPr w:rsidR="0087487D" w:rsidRPr="008943FC" w:rsidSect="00600ACF">
      <w:headerReference w:type="default" r:id="rId13"/>
      <w:headerReference w:type="first" r:id="rId14"/>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66DAA" w14:textId="77777777" w:rsidR="00600ACF" w:rsidRDefault="00600ACF" w:rsidP="005C1BCA">
      <w:pPr>
        <w:spacing w:after="0" w:line="240" w:lineRule="auto"/>
      </w:pPr>
      <w:r>
        <w:separator/>
      </w:r>
    </w:p>
  </w:endnote>
  <w:endnote w:type="continuationSeparator" w:id="0">
    <w:p w14:paraId="79D15D3F" w14:textId="77777777" w:rsidR="00600ACF" w:rsidRDefault="00600ACF" w:rsidP="005C1BCA">
      <w:pPr>
        <w:spacing w:after="0" w:line="240" w:lineRule="auto"/>
      </w:pPr>
      <w:r>
        <w:continuationSeparator/>
      </w:r>
    </w:p>
  </w:endnote>
  <w:endnote w:type="continuationNotice" w:id="1">
    <w:p w14:paraId="616A11B4" w14:textId="77777777" w:rsidR="00600ACF" w:rsidRDefault="00600A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3EFEC" w14:textId="77777777" w:rsidR="00600ACF" w:rsidRDefault="00600ACF" w:rsidP="005C1BCA">
      <w:pPr>
        <w:spacing w:after="0" w:line="240" w:lineRule="auto"/>
      </w:pPr>
      <w:r>
        <w:separator/>
      </w:r>
    </w:p>
  </w:footnote>
  <w:footnote w:type="continuationSeparator" w:id="0">
    <w:p w14:paraId="7341D54F" w14:textId="77777777" w:rsidR="00600ACF" w:rsidRDefault="00600ACF" w:rsidP="005C1BCA">
      <w:pPr>
        <w:spacing w:after="0" w:line="240" w:lineRule="auto"/>
      </w:pPr>
      <w:r>
        <w:continuationSeparator/>
      </w:r>
    </w:p>
  </w:footnote>
  <w:footnote w:type="continuationNotice" w:id="1">
    <w:p w14:paraId="24BCC3C2" w14:textId="77777777" w:rsidR="00600ACF" w:rsidRDefault="00600ACF">
      <w:pPr>
        <w:spacing w:after="0" w:line="240" w:lineRule="auto"/>
      </w:pPr>
    </w:p>
  </w:footnote>
  <w:footnote w:id="2">
    <w:p w14:paraId="06C4DFB9" w14:textId="77777777" w:rsidR="00104FE2" w:rsidRPr="00AC4A00" w:rsidRDefault="00104FE2" w:rsidP="007E5087">
      <w:pPr>
        <w:pStyle w:val="Textonotapie"/>
        <w:spacing w:before="60"/>
        <w:ind w:left="0"/>
        <w:jc w:val="both"/>
        <w:rPr>
          <w:rFonts w:ascii="Arial" w:hAnsi="Arial" w:cs="Arial"/>
          <w:sz w:val="18"/>
          <w:szCs w:val="18"/>
        </w:rPr>
      </w:pPr>
      <w:r w:rsidRPr="00AC4A00">
        <w:rPr>
          <w:rStyle w:val="Refdenotaalpie"/>
          <w:rFonts w:ascii="Arial" w:hAnsi="Arial" w:cs="Arial"/>
          <w:sz w:val="18"/>
          <w:szCs w:val="18"/>
        </w:rPr>
        <w:footnoteRef/>
      </w:r>
      <w:r w:rsidRPr="00AC4A00">
        <w:rPr>
          <w:rFonts w:ascii="Arial" w:hAnsi="Arial" w:cs="Arial"/>
          <w:sz w:val="18"/>
          <w:szCs w:val="18"/>
        </w:rPr>
        <w:t xml:space="preserve"> Dicho artículo se mantiene vigente toda vez que el artículo 267 de la Ley 1753 de 2015 establece en materia de vigencias y derogatorias que “con el fin de dar continuidad a los planes, programas y proyectos de mediano y largo plazo, los artículos de las Leyes 812 de 2003, 1151 de 2007 y 1450 de 2011 no derogados expresamente en el inciso anterior o por otras leyes, continuarán vigentes hasta que sean derogados o modificados por norma posterior.”</w:t>
      </w:r>
    </w:p>
  </w:footnote>
  <w:footnote w:id="3">
    <w:p w14:paraId="49C7724E" w14:textId="77777777" w:rsidR="00104FE2" w:rsidRPr="008943FC" w:rsidRDefault="00104FE2" w:rsidP="007E5087">
      <w:pPr>
        <w:pStyle w:val="Textonotapie"/>
        <w:spacing w:before="60"/>
        <w:ind w:left="0" w:right="284"/>
        <w:jc w:val="both"/>
        <w:rPr>
          <w:rFonts w:ascii="Arial" w:hAnsi="Arial" w:cs="Arial"/>
          <w:sz w:val="18"/>
          <w:szCs w:val="18"/>
        </w:rPr>
      </w:pPr>
      <w:r w:rsidRPr="008943FC">
        <w:rPr>
          <w:rFonts w:ascii="Arial" w:hAnsi="Arial" w:cs="Arial"/>
          <w:sz w:val="18"/>
          <w:szCs w:val="18"/>
        </w:rPr>
        <w:footnoteRef/>
      </w:r>
      <w:r w:rsidRPr="008943FC">
        <w:rPr>
          <w:rFonts w:ascii="Arial" w:hAnsi="Arial" w:cs="Arial"/>
          <w:sz w:val="18"/>
          <w:szCs w:val="18"/>
        </w:rPr>
        <w:t xml:space="preserve"> La Circular 001 de 2004 conjunta entre la CREG y la Superintendencia de Servicios Públicos Domiciliarios en el aparte “instrucciones” establece lo siguiente:</w:t>
      </w:r>
    </w:p>
    <w:p w14:paraId="0378F9B9" w14:textId="77777777" w:rsidR="00104FE2" w:rsidRPr="008943FC" w:rsidRDefault="00104FE2" w:rsidP="00DE5054">
      <w:pPr>
        <w:pStyle w:val="Textonotapie"/>
        <w:ind w:left="0" w:right="284"/>
        <w:jc w:val="both"/>
        <w:rPr>
          <w:rFonts w:ascii="Arial" w:hAnsi="Arial" w:cs="Arial"/>
          <w:sz w:val="18"/>
          <w:szCs w:val="18"/>
        </w:rPr>
      </w:pPr>
      <w:r w:rsidRPr="008943FC">
        <w:rPr>
          <w:rFonts w:ascii="Arial" w:hAnsi="Arial" w:cs="Arial"/>
          <w:sz w:val="18"/>
          <w:szCs w:val="18"/>
        </w:rPr>
        <w:t>“1. Los transportadores, comercializadores mayoristas y distribuidores de la cadena del gas licuado de petróleo deben enviar la información de activos de acuerdo con los formatos establecidos en la presente circular.</w:t>
      </w:r>
    </w:p>
    <w:p w14:paraId="5310EA73" w14:textId="77777777" w:rsidR="00104FE2" w:rsidRPr="008943FC" w:rsidRDefault="00104FE2" w:rsidP="00DE5054">
      <w:pPr>
        <w:pStyle w:val="Textonotapie"/>
        <w:ind w:left="0"/>
        <w:jc w:val="both"/>
        <w:rPr>
          <w:rFonts w:ascii="Arial" w:hAnsi="Arial" w:cs="Arial"/>
          <w:sz w:val="18"/>
          <w:szCs w:val="18"/>
        </w:rPr>
      </w:pPr>
      <w:r w:rsidRPr="008943FC">
        <w:rPr>
          <w:rFonts w:ascii="Arial" w:hAnsi="Arial" w:cs="Arial"/>
          <w:sz w:val="18"/>
          <w:szCs w:val="18"/>
        </w:rPr>
        <w:t xml:space="preserve">2. Periodicidad del reporte de la información: La Información de los diferentes formatos se reportará anualmente. </w:t>
      </w:r>
    </w:p>
    <w:p w14:paraId="4AFF191D" w14:textId="77777777" w:rsidR="00104FE2" w:rsidRPr="008943FC" w:rsidRDefault="00104FE2" w:rsidP="00DE5054">
      <w:pPr>
        <w:pStyle w:val="Textonotapie"/>
        <w:ind w:left="0"/>
        <w:jc w:val="both"/>
        <w:rPr>
          <w:rFonts w:ascii="Arial" w:hAnsi="Arial" w:cs="Arial"/>
          <w:sz w:val="18"/>
          <w:szCs w:val="18"/>
        </w:rPr>
      </w:pPr>
      <w:r w:rsidRPr="008943FC">
        <w:rPr>
          <w:rFonts w:ascii="Arial" w:hAnsi="Arial" w:cs="Arial"/>
          <w:sz w:val="18"/>
          <w:szCs w:val="18"/>
        </w:rPr>
        <w:t xml:space="preserve">3. Plazos para el reporte: Los plazos para reportar los formatos serán los siguientes: </w:t>
      </w:r>
    </w:p>
    <w:p w14:paraId="3773577C" w14:textId="77777777" w:rsidR="00104FE2" w:rsidRPr="008943FC" w:rsidRDefault="00104FE2" w:rsidP="00DE5054">
      <w:pPr>
        <w:pStyle w:val="Textonotapie"/>
        <w:ind w:left="0"/>
        <w:jc w:val="both"/>
        <w:rPr>
          <w:rFonts w:ascii="Arial" w:hAnsi="Arial" w:cs="Arial"/>
          <w:sz w:val="18"/>
          <w:szCs w:val="18"/>
        </w:rPr>
      </w:pPr>
      <w:r w:rsidRPr="008943FC">
        <w:rPr>
          <w:rFonts w:ascii="Arial" w:hAnsi="Arial" w:cs="Arial"/>
          <w:sz w:val="18"/>
          <w:szCs w:val="18"/>
        </w:rPr>
        <w:t>a. Información del año 2003 se debe reportar a más tardar el 15 de septiembre de 2004.</w:t>
      </w:r>
    </w:p>
    <w:p w14:paraId="5EF003BD" w14:textId="77777777" w:rsidR="00104FE2" w:rsidRPr="008943FC" w:rsidRDefault="00104FE2" w:rsidP="00DE5054">
      <w:pPr>
        <w:pStyle w:val="Textonotapie"/>
        <w:ind w:left="0"/>
        <w:jc w:val="both"/>
        <w:rPr>
          <w:rFonts w:ascii="Arial" w:hAnsi="Arial" w:cs="Arial"/>
          <w:sz w:val="18"/>
          <w:szCs w:val="18"/>
        </w:rPr>
      </w:pPr>
      <w:r w:rsidRPr="008943FC">
        <w:rPr>
          <w:rFonts w:ascii="Arial" w:hAnsi="Arial" w:cs="Arial"/>
          <w:sz w:val="18"/>
          <w:szCs w:val="18"/>
        </w:rPr>
        <w:t>b. La información del 2004 en adelante se debe reportar a más tardar el 25 de enero del siguiente año.”</w:t>
      </w:r>
    </w:p>
    <w:p w14:paraId="38CC65BE" w14:textId="77777777" w:rsidR="00104FE2" w:rsidRPr="00575874" w:rsidRDefault="00104FE2" w:rsidP="00DE5054">
      <w:pPr>
        <w:pStyle w:val="Textonotapie"/>
      </w:pPr>
    </w:p>
  </w:footnote>
  <w:footnote w:id="4">
    <w:p w14:paraId="1467FC13" w14:textId="77777777" w:rsidR="00104FE2" w:rsidRPr="008943FC" w:rsidDel="005838F8" w:rsidRDefault="00104FE2" w:rsidP="007E5087">
      <w:pPr>
        <w:pStyle w:val="Textonotapie"/>
        <w:spacing w:before="120"/>
        <w:ind w:left="0"/>
        <w:jc w:val="both"/>
        <w:rPr>
          <w:rFonts w:ascii="Arial" w:hAnsi="Arial" w:cs="Arial"/>
          <w:sz w:val="18"/>
          <w:szCs w:val="18"/>
        </w:rPr>
      </w:pPr>
      <w:r w:rsidRPr="008943FC" w:rsidDel="005838F8">
        <w:rPr>
          <w:rFonts w:ascii="Arial" w:hAnsi="Arial" w:cs="Arial"/>
          <w:sz w:val="18"/>
          <w:szCs w:val="18"/>
          <w:vertAlign w:val="superscript"/>
        </w:rPr>
        <w:footnoteRef/>
      </w:r>
      <w:r w:rsidRPr="008943FC" w:rsidDel="005838F8">
        <w:rPr>
          <w:rFonts w:ascii="Arial" w:hAnsi="Arial" w:cs="Arial"/>
          <w:sz w:val="18"/>
          <w:szCs w:val="18"/>
        </w:rPr>
        <w:t xml:space="preserve"> Se debe precisar que estas disposiciones se encuentran recogidas actualmente en los numerales 2.2.2.30 y siguientes del Decreto 1074 de 2015.</w:t>
      </w:r>
    </w:p>
  </w:footnote>
  <w:footnote w:id="5">
    <w:p w14:paraId="743E1467" w14:textId="7358D3AE" w:rsidR="00104FE2" w:rsidRPr="00CA077E" w:rsidRDefault="00104FE2" w:rsidP="00512C85">
      <w:pPr>
        <w:pStyle w:val="Textonotapie"/>
        <w:ind w:left="0"/>
        <w:jc w:val="both"/>
        <w:rPr>
          <w:rFonts w:ascii="Bookman Old Style" w:hAnsi="Bookman Old Style"/>
          <w:sz w:val="16"/>
          <w:szCs w:val="16"/>
        </w:rPr>
      </w:pPr>
      <w:r w:rsidRPr="003D469B">
        <w:rPr>
          <w:rStyle w:val="Refdenotaalpie"/>
          <w:rFonts w:ascii="Bookman Old Style" w:hAnsi="Bookman Old Style"/>
          <w:sz w:val="16"/>
          <w:szCs w:val="16"/>
        </w:rPr>
        <w:footnoteRef/>
      </w:r>
      <w:r w:rsidRPr="003D469B">
        <w:rPr>
          <w:rFonts w:ascii="Bookman Old Style" w:hAnsi="Bookman Old Style"/>
          <w:sz w:val="16"/>
          <w:szCs w:val="16"/>
        </w:rPr>
        <w:t xml:space="preserve"> </w:t>
      </w:r>
      <w:r w:rsidR="00512C85">
        <w:rPr>
          <w:rFonts w:ascii="Arial" w:hAnsi="Arial" w:cs="Arial"/>
          <w:sz w:val="18"/>
          <w:szCs w:val="18"/>
        </w:rPr>
        <w:t>Ra</w:t>
      </w:r>
      <w:r w:rsidR="00512C85" w:rsidRPr="00512C85">
        <w:rPr>
          <w:rFonts w:ascii="Arial" w:hAnsi="Arial" w:cs="Arial"/>
          <w:sz w:val="18"/>
          <w:szCs w:val="18"/>
        </w:rPr>
        <w:t>dicado CREG E2023020812 del 11 de</w:t>
      </w:r>
      <w:r w:rsidR="00512C85">
        <w:rPr>
          <w:rFonts w:ascii="Arial" w:hAnsi="Arial" w:cs="Arial"/>
          <w:sz w:val="18"/>
          <w:szCs w:val="18"/>
        </w:rPr>
        <w:t xml:space="preserve"> </w:t>
      </w:r>
      <w:r w:rsidR="00512C85" w:rsidRPr="00512C85">
        <w:rPr>
          <w:rFonts w:ascii="Arial" w:hAnsi="Arial" w:cs="Arial"/>
          <w:sz w:val="18"/>
          <w:szCs w:val="18"/>
        </w:rPr>
        <w:t>diciembre de 2023</w:t>
      </w:r>
      <w:r w:rsidR="00512C85">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307BC" w14:textId="77777777" w:rsidR="00104FE2" w:rsidRPr="001E7A4A" w:rsidRDefault="00104FE2" w:rsidP="001E7A4A">
    <w:pPr>
      <w:rPr>
        <w:b/>
      </w:rPr>
    </w:pPr>
  </w:p>
  <w:p w14:paraId="2AAC7C75" w14:textId="1090D673" w:rsidR="00104FE2" w:rsidRPr="00951F79" w:rsidRDefault="00104FE2" w:rsidP="001F2B83">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 xml:space="preserve">RESOLUCIÓN </w:t>
    </w:r>
    <w:r w:rsidRPr="008943FC">
      <w:rPr>
        <w:rFonts w:ascii="Bookman Old Style" w:hAnsi="Bookman Old Style" w:cs="Arial"/>
        <w:b w:val="0"/>
        <w:szCs w:val="24"/>
      </w:rPr>
      <w:t>No</w:t>
    </w:r>
    <w:r w:rsidRPr="008943FC">
      <w:rPr>
        <w:rFonts w:ascii="Bookman Old Style" w:hAnsi="Bookman Old Style" w:cs="Arial"/>
        <w:szCs w:val="24"/>
        <w:u w:val="single"/>
      </w:rPr>
      <w:t>.</w:t>
    </w:r>
    <w:r w:rsidR="008177B9" w:rsidRPr="008943FC">
      <w:rPr>
        <w:rFonts w:ascii="Bookman Old Style" w:hAnsi="Bookman Old Style" w:cs="Arial"/>
        <w:szCs w:val="24"/>
        <w:u w:val="single"/>
      </w:rPr>
      <w:t xml:space="preserve"> </w:t>
    </w:r>
    <w:r w:rsidR="008177B9" w:rsidRPr="00766EA4">
      <w:rPr>
        <w:rFonts w:ascii="Bookman Old Style" w:hAnsi="Bookman Old Style" w:cs="Arial"/>
        <w:szCs w:val="24"/>
        <w:u w:val="single"/>
      </w:rPr>
      <w:t xml:space="preserve">503 </w:t>
    </w:r>
    <w:r w:rsidR="008177B9" w:rsidRPr="00766EA4">
      <w:rPr>
        <w:rFonts w:ascii="Bookman Old Style" w:hAnsi="Bookman Old Style" w:cs="Arial"/>
        <w:bCs/>
        <w:szCs w:val="24"/>
        <w:u w:val="single"/>
      </w:rPr>
      <w:t>00</w:t>
    </w:r>
    <w:r w:rsidR="00766EA4" w:rsidRPr="00766EA4">
      <w:rPr>
        <w:rFonts w:ascii="Bookman Old Style" w:hAnsi="Bookman Old Style" w:cs="Arial"/>
        <w:bCs/>
        <w:szCs w:val="24"/>
        <w:u w:val="single"/>
      </w:rPr>
      <w:t>4</w:t>
    </w:r>
    <w:r w:rsidRPr="00654384">
      <w:rPr>
        <w:rFonts w:ascii="Bookman Old Style" w:hAnsi="Bookman Old Style" w:cs="Arial"/>
        <w:b w:val="0"/>
        <w:sz w:val="22"/>
        <w:szCs w:val="22"/>
      </w:rPr>
      <w:tab/>
    </w:r>
    <w:r>
      <w:rPr>
        <w:rFonts w:ascii="Bookman Old Style" w:hAnsi="Bookman Old Style" w:cs="Arial"/>
        <w:b w:val="0"/>
        <w:sz w:val="22"/>
        <w:szCs w:val="22"/>
      </w:rPr>
      <w:t xml:space="preserve">DE </w:t>
    </w:r>
    <w:r w:rsidR="008943FC">
      <w:rPr>
        <w:rFonts w:ascii="Bookman Old Style" w:hAnsi="Bookman Old Style" w:cs="Arial"/>
        <w:b w:val="0"/>
        <w:sz w:val="22"/>
        <w:szCs w:val="22"/>
      </w:rPr>
      <w:t xml:space="preserve">  </w:t>
    </w:r>
    <w:r w:rsidR="00766EA4" w:rsidRPr="00766EA4">
      <w:rPr>
        <w:rFonts w:ascii="Bookman Old Style" w:hAnsi="Bookman Old Style" w:cs="Arial"/>
        <w:bCs/>
        <w:szCs w:val="24"/>
        <w:u w:val="single"/>
      </w:rPr>
      <w:t xml:space="preserve">30 </w:t>
    </w:r>
    <w:r w:rsidR="00766EA4" w:rsidRPr="00766EA4">
      <w:rPr>
        <w:rFonts w:ascii="Bookman Old Style" w:hAnsi="Bookman Old Style" w:cs="Arial"/>
        <w:szCs w:val="24"/>
        <w:u w:val="single"/>
      </w:rPr>
      <w:t>ENE.</w:t>
    </w:r>
    <w:r w:rsidR="00367B97" w:rsidRPr="00766EA4">
      <w:rPr>
        <w:rFonts w:ascii="Bookman Old Style" w:hAnsi="Bookman Old Style" w:cs="Arial"/>
        <w:szCs w:val="24"/>
        <w:u w:val="single"/>
      </w:rPr>
      <w:t xml:space="preserve"> 202</w:t>
    </w:r>
    <w:r w:rsidR="001E3B51" w:rsidRPr="00766EA4">
      <w:rPr>
        <w:rFonts w:ascii="Bookman Old Style" w:hAnsi="Bookman Old Style" w:cs="Arial"/>
        <w:szCs w:val="24"/>
        <w:u w:val="single"/>
      </w:rPr>
      <w:t>4</w:t>
    </w:r>
    <w:r>
      <w:rPr>
        <w:rFonts w:ascii="Bookman Old Style" w:hAnsi="Bookman Old Style" w:cs="Arial"/>
        <w:b w:val="0"/>
        <w:sz w:val="22"/>
        <w:szCs w:val="22"/>
      </w:rPr>
      <w:tab/>
    </w:r>
    <w:r w:rsidR="008943FC">
      <w:rPr>
        <w:rFonts w:ascii="Bookman Old Style" w:hAnsi="Bookman Old Style" w:cs="Arial"/>
        <w:b w:val="0"/>
        <w:sz w:val="22"/>
        <w:szCs w:val="22"/>
      </w:rPr>
      <w:t xml:space="preserve">                </w:t>
    </w:r>
    <w:r w:rsidRPr="00654384">
      <w:rPr>
        <w:rFonts w:ascii="Bookman Old Style" w:hAnsi="Bookman Old Style" w:cs="Arial"/>
        <w:b w:val="0"/>
        <w:sz w:val="22"/>
        <w:szCs w:val="22"/>
      </w:rPr>
      <w:t xml:space="preserve">HOJA No. </w:t>
    </w:r>
    <w:r w:rsidRPr="00654384">
      <w:rPr>
        <w:rFonts w:ascii="Bookman Old Style" w:hAnsi="Bookman Old Style" w:cs="Arial"/>
        <w:b w:val="0"/>
        <w:sz w:val="22"/>
        <w:szCs w:val="22"/>
      </w:rPr>
      <w:fldChar w:fldCharType="begin"/>
    </w:r>
    <w:r w:rsidRPr="00654384">
      <w:rPr>
        <w:rFonts w:ascii="Bookman Old Style" w:hAnsi="Bookman Old Style" w:cs="Arial"/>
        <w:b w:val="0"/>
        <w:sz w:val="22"/>
        <w:szCs w:val="22"/>
      </w:rPr>
      <w:instrText xml:space="preserve"> PAGE   \* MERGEFORMAT </w:instrText>
    </w:r>
    <w:r w:rsidRPr="00654384">
      <w:rPr>
        <w:rFonts w:ascii="Bookman Old Style" w:hAnsi="Bookman Old Style" w:cs="Arial"/>
        <w:b w:val="0"/>
        <w:sz w:val="22"/>
        <w:szCs w:val="22"/>
      </w:rPr>
      <w:fldChar w:fldCharType="separate"/>
    </w:r>
    <w:r w:rsidR="00EF6ADC">
      <w:rPr>
        <w:rFonts w:ascii="Bookman Old Style" w:hAnsi="Bookman Old Style" w:cs="Arial"/>
        <w:b w:val="0"/>
        <w:noProof/>
        <w:sz w:val="22"/>
        <w:szCs w:val="22"/>
      </w:rPr>
      <w:t>15</w:t>
    </w:r>
    <w:r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r w:rsidR="00766EA4">
      <w:fldChar w:fldCharType="begin"/>
    </w:r>
    <w:r w:rsidR="00766EA4">
      <w:instrText>NUMPAGES  \* MERGEFORMAT</w:instrText>
    </w:r>
    <w:r w:rsidR="00766EA4">
      <w:fldChar w:fldCharType="separate"/>
    </w:r>
    <w:r w:rsidR="00EF6ADC" w:rsidRPr="00EF6ADC">
      <w:rPr>
        <w:rFonts w:ascii="Bookman Old Style" w:hAnsi="Bookman Old Style" w:cs="Arial"/>
        <w:b w:val="0"/>
        <w:noProof/>
        <w:sz w:val="22"/>
        <w:szCs w:val="22"/>
      </w:rPr>
      <w:t>15</w:t>
    </w:r>
    <w:r w:rsidR="00766EA4">
      <w:rPr>
        <w:rFonts w:ascii="Bookman Old Style" w:hAnsi="Bookman Old Style" w:cs="Arial"/>
        <w:b w:val="0"/>
        <w:noProof/>
        <w:sz w:val="22"/>
        <w:szCs w:val="22"/>
      </w:rPr>
      <w:fldChar w:fldCharType="end"/>
    </w:r>
  </w:p>
  <w:p w14:paraId="362F6115" w14:textId="77777777" w:rsidR="00104FE2" w:rsidRDefault="00104FE2" w:rsidP="001F2B83">
    <w:pPr>
      <w:ind w:left="142" w:right="148"/>
      <w:rPr>
        <w:rFonts w:ascii="Bookman Old Style" w:hAnsi="Bookman Old Style" w:cs="Arial"/>
      </w:rPr>
    </w:pPr>
    <w:r>
      <w:rPr>
        <w:noProof/>
        <w:lang w:eastAsia="es-CO"/>
      </w:rPr>
      <mc:AlternateContent>
        <mc:Choice Requires="wps">
          <w:drawing>
            <wp:anchor distT="0" distB="0" distL="114300" distR="114300" simplePos="0" relativeHeight="251658240" behindDoc="0" locked="0" layoutInCell="1" allowOverlap="1" wp14:anchorId="199B1580" wp14:editId="6D948AD7">
              <wp:simplePos x="0" y="0"/>
              <wp:positionH relativeFrom="column">
                <wp:posOffset>-175260</wp:posOffset>
              </wp:positionH>
              <wp:positionV relativeFrom="paragraph">
                <wp:posOffset>139065</wp:posOffset>
              </wp:positionV>
              <wp:extent cx="6267450" cy="9900920"/>
              <wp:effectExtent l="15240" t="15240" r="13335" b="1841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595086B2" id="Rectangle 1" o:spid="_x0000_s1026" style="position:absolute;margin-left:-13.8pt;margin-top:10.95pt;width:493.5pt;height:77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52AC2E88" w14:textId="369CA96B" w:rsidR="00104FE2" w:rsidRPr="008943FC" w:rsidRDefault="00104FE2" w:rsidP="007E5087">
    <w:pPr>
      <w:pBdr>
        <w:bottom w:val="single" w:sz="4" w:space="9" w:color="auto"/>
      </w:pBdr>
      <w:spacing w:after="120" w:line="240" w:lineRule="auto"/>
      <w:contextualSpacing/>
      <w:jc w:val="both"/>
      <w:rPr>
        <w:rFonts w:ascii="Arial" w:eastAsia="Times New Roman" w:hAnsi="Arial" w:cs="Arial"/>
        <w:i/>
        <w:lang w:val="es-ES" w:eastAsia="es-ES"/>
      </w:rPr>
    </w:pPr>
    <w:r w:rsidRPr="008943FC">
      <w:rPr>
        <w:rFonts w:ascii="Arial" w:eastAsia="Times New Roman" w:hAnsi="Arial" w:cs="Arial"/>
        <w:i/>
        <w:lang w:val="es-ES" w:eastAsia="es-ES"/>
      </w:rPr>
      <w:t xml:space="preserve">Por la cual se define la capacidad de compra a que hacen referencia los artículos 8 y 9 de la Resolución CREG 063 de 2016 </w:t>
    </w:r>
    <w:r w:rsidR="00D56F2B" w:rsidRPr="008943FC">
      <w:rPr>
        <w:rFonts w:ascii="Arial" w:eastAsia="Times New Roman" w:hAnsi="Arial" w:cs="Arial"/>
        <w:i/>
        <w:iCs/>
        <w:lang w:val="es-ES" w:eastAsia="es-ES"/>
      </w:rPr>
      <w:t xml:space="preserve">para el </w:t>
    </w:r>
    <w:r w:rsidR="00D56F2B" w:rsidRPr="00225FD6">
      <w:rPr>
        <w:rFonts w:ascii="Arial" w:eastAsia="Times New Roman" w:hAnsi="Arial" w:cs="Arial"/>
        <w:i/>
        <w:iCs/>
        <w:lang w:val="es-ES" w:eastAsia="es-ES"/>
      </w:rPr>
      <w:t xml:space="preserve">décimo </w:t>
    </w:r>
    <w:r w:rsidR="001E3B51" w:rsidRPr="00225FD6">
      <w:rPr>
        <w:rFonts w:ascii="Arial" w:eastAsia="Times New Roman" w:hAnsi="Arial" w:cs="Arial"/>
        <w:i/>
        <w:iCs/>
        <w:lang w:val="es-ES" w:eastAsia="es-ES"/>
      </w:rPr>
      <w:t>sexto</w:t>
    </w:r>
    <w:r w:rsidR="00D56F2B" w:rsidRPr="008943FC">
      <w:rPr>
        <w:rFonts w:ascii="Arial" w:eastAsia="Times New Roman" w:hAnsi="Arial" w:cs="Arial"/>
        <w:i/>
        <w:iCs/>
        <w:lang w:val="es-ES" w:eastAsia="es-ES"/>
      </w:rPr>
      <w:t xml:space="preserve"> período de compra.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DE43B" w14:textId="7C259CCC" w:rsidR="00104FE2" w:rsidRDefault="00104FE2" w:rsidP="007E5087">
    <w:pPr>
      <w:pStyle w:val="Encabezado"/>
      <w:tabs>
        <w:tab w:val="clear" w:pos="4252"/>
        <w:tab w:val="center" w:pos="4820"/>
      </w:tabs>
      <w:ind w:left="0"/>
      <w:jc w:val="center"/>
      <w:rPr>
        <w:rFonts w:ascii="Arial" w:hAnsi="Arial" w:cs="Arial"/>
        <w:spacing w:val="20"/>
        <w:sz w:val="20"/>
      </w:rPr>
    </w:pPr>
    <w:r>
      <w:rPr>
        <w:rFonts w:ascii="Arial" w:hAnsi="Arial" w:cs="Arial"/>
        <w:spacing w:val="20"/>
        <w:sz w:val="20"/>
      </w:rPr>
      <w:t>República de Colombia</w:t>
    </w:r>
  </w:p>
  <w:p w14:paraId="25697A09" w14:textId="77777777" w:rsidR="00104FE2" w:rsidRDefault="00104FE2" w:rsidP="007E5087">
    <w:pPr>
      <w:pStyle w:val="Encabezado"/>
      <w:tabs>
        <w:tab w:val="clear" w:pos="4252"/>
        <w:tab w:val="center" w:pos="4820"/>
      </w:tabs>
      <w:ind w:left="0"/>
      <w:jc w:val="center"/>
      <w:rPr>
        <w:rFonts w:ascii="Arial" w:hAnsi="Arial" w:cs="Arial"/>
        <w:spacing w:val="20"/>
        <w:sz w:val="20"/>
      </w:rPr>
    </w:pPr>
  </w:p>
  <w:p w14:paraId="5A7B7380" w14:textId="77777777" w:rsidR="00104FE2" w:rsidRDefault="00104FE2" w:rsidP="001F2B83">
    <w:pPr>
      <w:pStyle w:val="Encabezado"/>
      <w:jc w:val="center"/>
    </w:pPr>
    <w:r>
      <w:rPr>
        <w:rFonts w:ascii="Arial" w:hAnsi="Arial" w:cs="Arial"/>
        <w:noProof/>
        <w:spacing w:val="20"/>
        <w:sz w:val="20"/>
        <w:lang w:eastAsia="es-CO"/>
      </w:rPr>
      <mc:AlternateContent>
        <mc:Choice Requires="wps">
          <w:drawing>
            <wp:anchor distT="0" distB="0" distL="114300" distR="114300" simplePos="0" relativeHeight="251658241" behindDoc="0" locked="0" layoutInCell="1" allowOverlap="1" wp14:anchorId="769F54E9" wp14:editId="598963C2">
              <wp:simplePos x="0" y="0"/>
              <wp:positionH relativeFrom="column">
                <wp:posOffset>-213360</wp:posOffset>
              </wp:positionH>
              <wp:positionV relativeFrom="paragraph">
                <wp:posOffset>377190</wp:posOffset>
              </wp:positionV>
              <wp:extent cx="6343650" cy="9839325"/>
              <wp:effectExtent l="15240" t="15240" r="13335" b="1333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4160E07D" id="Rectangle 2" o:spid="_x0000_s1026" style="position:absolute;margin-left:-16.8pt;margin-top:29.7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Arial" w:hAnsi="Arial" w:cs="Arial"/>
        <w:b w:val="0"/>
        <w:bCs w:val="0"/>
        <w:i/>
        <w:iCs/>
        <w:smallCaps w:val="0"/>
        <w:strike w:val="0"/>
        <w:color w:val="000000"/>
        <w:spacing w:val="0"/>
        <w:w w:val="100"/>
        <w:position w:val="0"/>
        <w:sz w:val="12"/>
        <w:szCs w:val="12"/>
        <w:u w:val="none"/>
      </w:rPr>
    </w:lvl>
    <w:lvl w:ilvl="1">
      <w:start w:val="1"/>
      <w:numFmt w:val="decimal"/>
      <w:lvlText w:val="%1."/>
      <w:lvlJc w:val="left"/>
      <w:rPr>
        <w:rFonts w:ascii="Arial" w:hAnsi="Arial" w:cs="Arial"/>
        <w:b w:val="0"/>
        <w:bCs w:val="0"/>
        <w:i/>
        <w:iCs/>
        <w:smallCaps w:val="0"/>
        <w:strike w:val="0"/>
        <w:color w:val="000000"/>
        <w:spacing w:val="0"/>
        <w:w w:val="100"/>
        <w:position w:val="0"/>
        <w:sz w:val="12"/>
        <w:szCs w:val="12"/>
        <w:u w:val="none"/>
      </w:rPr>
    </w:lvl>
    <w:lvl w:ilvl="2">
      <w:start w:val="1"/>
      <w:numFmt w:val="decimal"/>
      <w:lvlText w:val="%1."/>
      <w:lvlJc w:val="left"/>
      <w:rPr>
        <w:rFonts w:ascii="Arial" w:hAnsi="Arial" w:cs="Arial"/>
        <w:b w:val="0"/>
        <w:bCs w:val="0"/>
        <w:i/>
        <w:iCs/>
        <w:smallCaps w:val="0"/>
        <w:strike w:val="0"/>
        <w:color w:val="000000"/>
        <w:spacing w:val="0"/>
        <w:w w:val="100"/>
        <w:position w:val="0"/>
        <w:sz w:val="12"/>
        <w:szCs w:val="12"/>
        <w:u w:val="none"/>
      </w:rPr>
    </w:lvl>
    <w:lvl w:ilvl="3">
      <w:start w:val="1"/>
      <w:numFmt w:val="decimal"/>
      <w:lvlText w:val="%1."/>
      <w:lvlJc w:val="left"/>
      <w:rPr>
        <w:rFonts w:ascii="Arial" w:hAnsi="Arial" w:cs="Arial"/>
        <w:b w:val="0"/>
        <w:bCs w:val="0"/>
        <w:i/>
        <w:iCs/>
        <w:smallCaps w:val="0"/>
        <w:strike w:val="0"/>
        <w:color w:val="000000"/>
        <w:spacing w:val="0"/>
        <w:w w:val="100"/>
        <w:position w:val="0"/>
        <w:sz w:val="12"/>
        <w:szCs w:val="12"/>
        <w:u w:val="none"/>
      </w:rPr>
    </w:lvl>
    <w:lvl w:ilvl="4">
      <w:start w:val="1"/>
      <w:numFmt w:val="decimal"/>
      <w:lvlText w:val="%1."/>
      <w:lvlJc w:val="left"/>
      <w:rPr>
        <w:rFonts w:ascii="Arial" w:hAnsi="Arial" w:cs="Arial"/>
        <w:b w:val="0"/>
        <w:bCs w:val="0"/>
        <w:i/>
        <w:iCs/>
        <w:smallCaps w:val="0"/>
        <w:strike w:val="0"/>
        <w:color w:val="000000"/>
        <w:spacing w:val="0"/>
        <w:w w:val="100"/>
        <w:position w:val="0"/>
        <w:sz w:val="12"/>
        <w:szCs w:val="12"/>
        <w:u w:val="none"/>
      </w:rPr>
    </w:lvl>
    <w:lvl w:ilvl="5">
      <w:start w:val="1"/>
      <w:numFmt w:val="decimal"/>
      <w:lvlText w:val="%1."/>
      <w:lvlJc w:val="left"/>
      <w:rPr>
        <w:rFonts w:ascii="Arial" w:hAnsi="Arial" w:cs="Arial"/>
        <w:b w:val="0"/>
        <w:bCs w:val="0"/>
        <w:i/>
        <w:iCs/>
        <w:smallCaps w:val="0"/>
        <w:strike w:val="0"/>
        <w:color w:val="000000"/>
        <w:spacing w:val="0"/>
        <w:w w:val="100"/>
        <w:position w:val="0"/>
        <w:sz w:val="12"/>
        <w:szCs w:val="12"/>
        <w:u w:val="none"/>
      </w:rPr>
    </w:lvl>
    <w:lvl w:ilvl="6">
      <w:start w:val="1"/>
      <w:numFmt w:val="decimal"/>
      <w:lvlText w:val="%1."/>
      <w:lvlJc w:val="left"/>
      <w:rPr>
        <w:rFonts w:ascii="Arial" w:hAnsi="Arial" w:cs="Arial"/>
        <w:b w:val="0"/>
        <w:bCs w:val="0"/>
        <w:i/>
        <w:iCs/>
        <w:smallCaps w:val="0"/>
        <w:strike w:val="0"/>
        <w:color w:val="000000"/>
        <w:spacing w:val="0"/>
        <w:w w:val="100"/>
        <w:position w:val="0"/>
        <w:sz w:val="12"/>
        <w:szCs w:val="12"/>
        <w:u w:val="none"/>
      </w:rPr>
    </w:lvl>
    <w:lvl w:ilvl="7">
      <w:start w:val="1"/>
      <w:numFmt w:val="decimal"/>
      <w:lvlText w:val="%1."/>
      <w:lvlJc w:val="left"/>
      <w:rPr>
        <w:rFonts w:ascii="Arial" w:hAnsi="Arial" w:cs="Arial"/>
        <w:b w:val="0"/>
        <w:bCs w:val="0"/>
        <w:i/>
        <w:iCs/>
        <w:smallCaps w:val="0"/>
        <w:strike w:val="0"/>
        <w:color w:val="000000"/>
        <w:spacing w:val="0"/>
        <w:w w:val="100"/>
        <w:position w:val="0"/>
        <w:sz w:val="12"/>
        <w:szCs w:val="12"/>
        <w:u w:val="none"/>
      </w:rPr>
    </w:lvl>
    <w:lvl w:ilvl="8">
      <w:start w:val="1"/>
      <w:numFmt w:val="decimal"/>
      <w:lvlText w:val="%1."/>
      <w:lvlJc w:val="left"/>
      <w:rPr>
        <w:rFonts w:ascii="Arial" w:hAnsi="Arial" w:cs="Arial"/>
        <w:b w:val="0"/>
        <w:bCs w:val="0"/>
        <w:i/>
        <w:iCs/>
        <w:smallCaps w:val="0"/>
        <w:strike w:val="0"/>
        <w:color w:val="000000"/>
        <w:spacing w:val="0"/>
        <w:w w:val="100"/>
        <w:position w:val="0"/>
        <w:sz w:val="12"/>
        <w:szCs w:val="12"/>
        <w:u w:val="none"/>
      </w:rPr>
    </w:lvl>
  </w:abstractNum>
  <w:abstractNum w:abstractNumId="1" w15:restartNumberingAfterBreak="0">
    <w:nsid w:val="00000002"/>
    <w:multiLevelType w:val="singleLevel"/>
    <w:tmpl w:val="00000002"/>
    <w:name w:val="WW8Num13"/>
    <w:lvl w:ilvl="0">
      <w:start w:val="1"/>
      <w:numFmt w:val="decimal"/>
      <w:lvlText w:val="%1."/>
      <w:lvlJc w:val="left"/>
      <w:pPr>
        <w:tabs>
          <w:tab w:val="num" w:pos="0"/>
        </w:tabs>
        <w:ind w:left="720" w:hanging="360"/>
      </w:pPr>
    </w:lvl>
  </w:abstractNum>
  <w:abstractNum w:abstractNumId="2" w15:restartNumberingAfterBreak="0">
    <w:nsid w:val="00000003"/>
    <w:multiLevelType w:val="multilevel"/>
    <w:tmpl w:val="00000002"/>
    <w:lvl w:ilvl="0">
      <w:start w:val="1"/>
      <w:numFmt w:val="bullet"/>
      <w:lvlText w:val="•"/>
      <w:lvlJc w:val="left"/>
      <w:rPr>
        <w:rFonts w:ascii="Arial" w:hAnsi="Arial" w:cs="Arial"/>
        <w:b/>
        <w:bCs/>
        <w:i w:val="0"/>
        <w:iCs w:val="0"/>
        <w:smallCaps w:val="0"/>
        <w:strike w:val="0"/>
        <w:color w:val="000000"/>
        <w:spacing w:val="0"/>
        <w:w w:val="100"/>
        <w:position w:val="0"/>
        <w:sz w:val="17"/>
        <w:szCs w:val="17"/>
        <w:u w:val="none"/>
      </w:rPr>
    </w:lvl>
    <w:lvl w:ilvl="1">
      <w:start w:val="1"/>
      <w:numFmt w:val="bullet"/>
      <w:lvlText w:val="•"/>
      <w:lvlJc w:val="left"/>
      <w:rPr>
        <w:rFonts w:ascii="Arial" w:hAnsi="Arial" w:cs="Arial"/>
        <w:b/>
        <w:bCs/>
        <w:i w:val="0"/>
        <w:iCs w:val="0"/>
        <w:smallCaps w:val="0"/>
        <w:strike w:val="0"/>
        <w:color w:val="000000"/>
        <w:spacing w:val="0"/>
        <w:w w:val="100"/>
        <w:position w:val="0"/>
        <w:sz w:val="17"/>
        <w:szCs w:val="17"/>
        <w:u w:val="none"/>
      </w:rPr>
    </w:lvl>
    <w:lvl w:ilvl="2">
      <w:start w:val="1"/>
      <w:numFmt w:val="bullet"/>
      <w:lvlText w:val="•"/>
      <w:lvlJc w:val="left"/>
      <w:rPr>
        <w:rFonts w:ascii="Arial" w:hAnsi="Arial" w:cs="Arial"/>
        <w:b/>
        <w:bCs/>
        <w:i w:val="0"/>
        <w:iCs w:val="0"/>
        <w:smallCaps w:val="0"/>
        <w:strike w:val="0"/>
        <w:color w:val="000000"/>
        <w:spacing w:val="0"/>
        <w:w w:val="100"/>
        <w:position w:val="0"/>
        <w:sz w:val="17"/>
        <w:szCs w:val="17"/>
        <w:u w:val="none"/>
      </w:rPr>
    </w:lvl>
    <w:lvl w:ilvl="3">
      <w:start w:val="1"/>
      <w:numFmt w:val="bullet"/>
      <w:lvlText w:val="•"/>
      <w:lvlJc w:val="left"/>
      <w:rPr>
        <w:rFonts w:ascii="Arial" w:hAnsi="Arial" w:cs="Arial"/>
        <w:b/>
        <w:bCs/>
        <w:i w:val="0"/>
        <w:iCs w:val="0"/>
        <w:smallCaps w:val="0"/>
        <w:strike w:val="0"/>
        <w:color w:val="000000"/>
        <w:spacing w:val="0"/>
        <w:w w:val="100"/>
        <w:position w:val="0"/>
        <w:sz w:val="17"/>
        <w:szCs w:val="17"/>
        <w:u w:val="none"/>
      </w:rPr>
    </w:lvl>
    <w:lvl w:ilvl="4">
      <w:start w:val="1"/>
      <w:numFmt w:val="bullet"/>
      <w:lvlText w:val="•"/>
      <w:lvlJc w:val="left"/>
      <w:rPr>
        <w:rFonts w:ascii="Arial" w:hAnsi="Arial" w:cs="Arial"/>
        <w:b/>
        <w:bCs/>
        <w:i w:val="0"/>
        <w:iCs w:val="0"/>
        <w:smallCaps w:val="0"/>
        <w:strike w:val="0"/>
        <w:color w:val="000000"/>
        <w:spacing w:val="0"/>
        <w:w w:val="100"/>
        <w:position w:val="0"/>
        <w:sz w:val="17"/>
        <w:szCs w:val="17"/>
        <w:u w:val="none"/>
      </w:rPr>
    </w:lvl>
    <w:lvl w:ilvl="5">
      <w:start w:val="1"/>
      <w:numFmt w:val="bullet"/>
      <w:lvlText w:val="•"/>
      <w:lvlJc w:val="left"/>
      <w:rPr>
        <w:rFonts w:ascii="Arial" w:hAnsi="Arial" w:cs="Arial"/>
        <w:b/>
        <w:bCs/>
        <w:i w:val="0"/>
        <w:iCs w:val="0"/>
        <w:smallCaps w:val="0"/>
        <w:strike w:val="0"/>
        <w:color w:val="000000"/>
        <w:spacing w:val="0"/>
        <w:w w:val="100"/>
        <w:position w:val="0"/>
        <w:sz w:val="17"/>
        <w:szCs w:val="17"/>
        <w:u w:val="none"/>
      </w:rPr>
    </w:lvl>
    <w:lvl w:ilvl="6">
      <w:start w:val="1"/>
      <w:numFmt w:val="bullet"/>
      <w:lvlText w:val="•"/>
      <w:lvlJc w:val="left"/>
      <w:rPr>
        <w:rFonts w:ascii="Arial" w:hAnsi="Arial" w:cs="Arial"/>
        <w:b/>
        <w:bCs/>
        <w:i w:val="0"/>
        <w:iCs w:val="0"/>
        <w:smallCaps w:val="0"/>
        <w:strike w:val="0"/>
        <w:color w:val="000000"/>
        <w:spacing w:val="0"/>
        <w:w w:val="100"/>
        <w:position w:val="0"/>
        <w:sz w:val="17"/>
        <w:szCs w:val="17"/>
        <w:u w:val="none"/>
      </w:rPr>
    </w:lvl>
    <w:lvl w:ilvl="7">
      <w:start w:val="1"/>
      <w:numFmt w:val="bullet"/>
      <w:lvlText w:val="•"/>
      <w:lvlJc w:val="left"/>
      <w:rPr>
        <w:rFonts w:ascii="Arial" w:hAnsi="Arial" w:cs="Arial"/>
        <w:b/>
        <w:bCs/>
        <w:i w:val="0"/>
        <w:iCs w:val="0"/>
        <w:smallCaps w:val="0"/>
        <w:strike w:val="0"/>
        <w:color w:val="000000"/>
        <w:spacing w:val="0"/>
        <w:w w:val="100"/>
        <w:position w:val="0"/>
        <w:sz w:val="17"/>
        <w:szCs w:val="17"/>
        <w:u w:val="none"/>
      </w:rPr>
    </w:lvl>
    <w:lvl w:ilvl="8">
      <w:start w:val="1"/>
      <w:numFmt w:val="bullet"/>
      <w:lvlText w:val="•"/>
      <w:lvlJc w:val="left"/>
      <w:rPr>
        <w:rFonts w:ascii="Arial" w:hAnsi="Arial" w:cs="Arial"/>
        <w:b/>
        <w:bCs/>
        <w:i w:val="0"/>
        <w:iCs w:val="0"/>
        <w:smallCaps w:val="0"/>
        <w:strike w:val="0"/>
        <w:color w:val="000000"/>
        <w:spacing w:val="0"/>
        <w:w w:val="100"/>
        <w:position w:val="0"/>
        <w:sz w:val="17"/>
        <w:szCs w:val="17"/>
        <w:u w:val="none"/>
      </w:rPr>
    </w:lvl>
  </w:abstractNum>
  <w:abstractNum w:abstractNumId="3"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4"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 w15:restartNumberingAfterBreak="0">
    <w:nsid w:val="07FC7898"/>
    <w:multiLevelType w:val="hybridMultilevel"/>
    <w:tmpl w:val="50AE751C"/>
    <w:lvl w:ilvl="0" w:tplc="5A1437C8">
      <w:start w:val="1"/>
      <w:numFmt w:val="decimal"/>
      <w:lvlText w:val="%1."/>
      <w:lvlJc w:val="left"/>
      <w:pPr>
        <w:ind w:left="1482" w:hanging="915"/>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6" w15:restartNumberingAfterBreak="0">
    <w:nsid w:val="0C542E6E"/>
    <w:multiLevelType w:val="hybridMultilevel"/>
    <w:tmpl w:val="ECF87820"/>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7" w15:restartNumberingAfterBreak="0">
    <w:nsid w:val="0CA705AE"/>
    <w:multiLevelType w:val="hybridMultilevel"/>
    <w:tmpl w:val="1FB028B2"/>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8" w15:restartNumberingAfterBreak="0">
    <w:nsid w:val="141C18DE"/>
    <w:multiLevelType w:val="hybridMultilevel"/>
    <w:tmpl w:val="A89AC358"/>
    <w:lvl w:ilvl="0" w:tplc="48CAD73C">
      <w:start w:val="3"/>
      <w:numFmt w:val="bullet"/>
      <w:lvlText w:val=""/>
      <w:lvlJc w:val="left"/>
      <w:pPr>
        <w:ind w:left="927" w:hanging="360"/>
      </w:pPr>
      <w:rPr>
        <w:rFonts w:ascii="Bookman Old Style" w:eastAsia="Times New Roman" w:hAnsi="Bookman Old Style" w:cs="Times New Roman"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9" w15:restartNumberingAfterBreak="0">
    <w:nsid w:val="15255C7C"/>
    <w:multiLevelType w:val="hybridMultilevel"/>
    <w:tmpl w:val="85CAF93A"/>
    <w:lvl w:ilvl="0" w:tplc="4FE8D54E">
      <w:start w:val="1"/>
      <w:numFmt w:val="lowerLetter"/>
      <w:lvlText w:val="%1."/>
      <w:lvlJc w:val="left"/>
      <w:pPr>
        <w:ind w:left="1494" w:hanging="360"/>
      </w:pPr>
      <w:rPr>
        <w:rFonts w:hint="default"/>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0" w15:restartNumberingAfterBreak="0">
    <w:nsid w:val="15DB260F"/>
    <w:multiLevelType w:val="hybridMultilevel"/>
    <w:tmpl w:val="9F700282"/>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1" w15:restartNumberingAfterBreak="0">
    <w:nsid w:val="16AB4194"/>
    <w:multiLevelType w:val="hybridMultilevel"/>
    <w:tmpl w:val="07442F84"/>
    <w:lvl w:ilvl="0" w:tplc="240A0001">
      <w:start w:val="1"/>
      <w:numFmt w:val="bullet"/>
      <w:lvlText w:val=""/>
      <w:lvlJc w:val="left"/>
      <w:pPr>
        <w:ind w:left="1854" w:hanging="360"/>
      </w:pPr>
      <w:rPr>
        <w:rFonts w:ascii="Symbol" w:hAnsi="Symbol" w:hint="default"/>
      </w:rPr>
    </w:lvl>
    <w:lvl w:ilvl="1" w:tplc="240A0003" w:tentative="1">
      <w:start w:val="1"/>
      <w:numFmt w:val="bullet"/>
      <w:lvlText w:val="o"/>
      <w:lvlJc w:val="left"/>
      <w:pPr>
        <w:ind w:left="2574" w:hanging="360"/>
      </w:pPr>
      <w:rPr>
        <w:rFonts w:ascii="Courier New" w:hAnsi="Courier New" w:cs="Courier New" w:hint="default"/>
      </w:rPr>
    </w:lvl>
    <w:lvl w:ilvl="2" w:tplc="240A0005" w:tentative="1">
      <w:start w:val="1"/>
      <w:numFmt w:val="bullet"/>
      <w:lvlText w:val=""/>
      <w:lvlJc w:val="left"/>
      <w:pPr>
        <w:ind w:left="3294" w:hanging="360"/>
      </w:pPr>
      <w:rPr>
        <w:rFonts w:ascii="Wingdings" w:hAnsi="Wingdings" w:hint="default"/>
      </w:rPr>
    </w:lvl>
    <w:lvl w:ilvl="3" w:tplc="240A0001" w:tentative="1">
      <w:start w:val="1"/>
      <w:numFmt w:val="bullet"/>
      <w:lvlText w:val=""/>
      <w:lvlJc w:val="left"/>
      <w:pPr>
        <w:ind w:left="4014" w:hanging="360"/>
      </w:pPr>
      <w:rPr>
        <w:rFonts w:ascii="Symbol" w:hAnsi="Symbol" w:hint="default"/>
      </w:rPr>
    </w:lvl>
    <w:lvl w:ilvl="4" w:tplc="240A0003" w:tentative="1">
      <w:start w:val="1"/>
      <w:numFmt w:val="bullet"/>
      <w:lvlText w:val="o"/>
      <w:lvlJc w:val="left"/>
      <w:pPr>
        <w:ind w:left="4734" w:hanging="360"/>
      </w:pPr>
      <w:rPr>
        <w:rFonts w:ascii="Courier New" w:hAnsi="Courier New" w:cs="Courier New" w:hint="default"/>
      </w:rPr>
    </w:lvl>
    <w:lvl w:ilvl="5" w:tplc="240A0005" w:tentative="1">
      <w:start w:val="1"/>
      <w:numFmt w:val="bullet"/>
      <w:lvlText w:val=""/>
      <w:lvlJc w:val="left"/>
      <w:pPr>
        <w:ind w:left="5454" w:hanging="360"/>
      </w:pPr>
      <w:rPr>
        <w:rFonts w:ascii="Wingdings" w:hAnsi="Wingdings" w:hint="default"/>
      </w:rPr>
    </w:lvl>
    <w:lvl w:ilvl="6" w:tplc="240A0001" w:tentative="1">
      <w:start w:val="1"/>
      <w:numFmt w:val="bullet"/>
      <w:lvlText w:val=""/>
      <w:lvlJc w:val="left"/>
      <w:pPr>
        <w:ind w:left="6174" w:hanging="360"/>
      </w:pPr>
      <w:rPr>
        <w:rFonts w:ascii="Symbol" w:hAnsi="Symbol" w:hint="default"/>
      </w:rPr>
    </w:lvl>
    <w:lvl w:ilvl="7" w:tplc="240A0003" w:tentative="1">
      <w:start w:val="1"/>
      <w:numFmt w:val="bullet"/>
      <w:lvlText w:val="o"/>
      <w:lvlJc w:val="left"/>
      <w:pPr>
        <w:ind w:left="6894" w:hanging="360"/>
      </w:pPr>
      <w:rPr>
        <w:rFonts w:ascii="Courier New" w:hAnsi="Courier New" w:cs="Courier New" w:hint="default"/>
      </w:rPr>
    </w:lvl>
    <w:lvl w:ilvl="8" w:tplc="240A0005" w:tentative="1">
      <w:start w:val="1"/>
      <w:numFmt w:val="bullet"/>
      <w:lvlText w:val=""/>
      <w:lvlJc w:val="left"/>
      <w:pPr>
        <w:ind w:left="7614" w:hanging="360"/>
      </w:pPr>
      <w:rPr>
        <w:rFonts w:ascii="Wingdings" w:hAnsi="Wingdings" w:hint="default"/>
      </w:rPr>
    </w:lvl>
  </w:abstractNum>
  <w:abstractNum w:abstractNumId="12" w15:restartNumberingAfterBreak="0">
    <w:nsid w:val="17AC4C07"/>
    <w:multiLevelType w:val="hybridMultilevel"/>
    <w:tmpl w:val="C4C0773C"/>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3" w15:restartNumberingAfterBreak="0">
    <w:nsid w:val="1F873B02"/>
    <w:multiLevelType w:val="hybridMultilevel"/>
    <w:tmpl w:val="0BC4CFEC"/>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4" w15:restartNumberingAfterBreak="0">
    <w:nsid w:val="20AA4908"/>
    <w:multiLevelType w:val="hybridMultilevel"/>
    <w:tmpl w:val="0E9A9552"/>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4FC077B"/>
    <w:multiLevelType w:val="hybridMultilevel"/>
    <w:tmpl w:val="0472F42A"/>
    <w:lvl w:ilvl="0" w:tplc="27DC7CD2">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6" w15:restartNumberingAfterBreak="0">
    <w:nsid w:val="253632F5"/>
    <w:multiLevelType w:val="hybridMultilevel"/>
    <w:tmpl w:val="2F6477C0"/>
    <w:lvl w:ilvl="0" w:tplc="240A0001">
      <w:start w:val="1"/>
      <w:numFmt w:val="bullet"/>
      <w:lvlText w:val=""/>
      <w:lvlJc w:val="left"/>
      <w:pPr>
        <w:ind w:left="1287" w:hanging="360"/>
      </w:pPr>
      <w:rPr>
        <w:rFonts w:ascii="Symbol" w:hAnsi="Symbol" w:hint="default"/>
      </w:rPr>
    </w:lvl>
    <w:lvl w:ilvl="1" w:tplc="62CA57BC">
      <w:start w:val="2"/>
      <w:numFmt w:val="bullet"/>
      <w:lvlText w:val="•"/>
      <w:lvlJc w:val="left"/>
      <w:pPr>
        <w:ind w:left="2007" w:hanging="360"/>
      </w:pPr>
      <w:rPr>
        <w:rFonts w:ascii="Bookman Old Style" w:eastAsia="Times New Roman" w:hAnsi="Bookman Old Style" w:cs="Times New Roman"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7" w15:restartNumberingAfterBreak="0">
    <w:nsid w:val="2CC94E7F"/>
    <w:multiLevelType w:val="hybridMultilevel"/>
    <w:tmpl w:val="3320DF9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8" w15:restartNumberingAfterBreak="0">
    <w:nsid w:val="2D0130EB"/>
    <w:multiLevelType w:val="hybridMultilevel"/>
    <w:tmpl w:val="EAAE971A"/>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9" w15:restartNumberingAfterBreak="0">
    <w:nsid w:val="4019327C"/>
    <w:multiLevelType w:val="hybridMultilevel"/>
    <w:tmpl w:val="03F0717C"/>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20" w15:restartNumberingAfterBreak="0">
    <w:nsid w:val="416806C5"/>
    <w:multiLevelType w:val="hybridMultilevel"/>
    <w:tmpl w:val="CB9E25D0"/>
    <w:lvl w:ilvl="0" w:tplc="240A0003">
      <w:start w:val="1"/>
      <w:numFmt w:val="bullet"/>
      <w:lvlText w:val="o"/>
      <w:lvlJc w:val="left"/>
      <w:pPr>
        <w:ind w:left="1287" w:hanging="360"/>
      </w:pPr>
      <w:rPr>
        <w:rFonts w:ascii="Courier New" w:hAnsi="Courier New" w:cs="Courier New"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21" w15:restartNumberingAfterBreak="0">
    <w:nsid w:val="444D1306"/>
    <w:multiLevelType w:val="hybridMultilevel"/>
    <w:tmpl w:val="0ACC71A8"/>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22" w15:restartNumberingAfterBreak="0">
    <w:nsid w:val="45FC18E6"/>
    <w:multiLevelType w:val="hybridMultilevel"/>
    <w:tmpl w:val="E800FE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64C172F"/>
    <w:multiLevelType w:val="hybridMultilevel"/>
    <w:tmpl w:val="1E16A0A6"/>
    <w:lvl w:ilvl="0" w:tplc="49C8E0E4">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4" w15:restartNumberingAfterBreak="0">
    <w:nsid w:val="562E7730"/>
    <w:multiLevelType w:val="hybridMultilevel"/>
    <w:tmpl w:val="7668E7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A68234E"/>
    <w:multiLevelType w:val="hybridMultilevel"/>
    <w:tmpl w:val="665C763A"/>
    <w:lvl w:ilvl="0" w:tplc="240A000F">
      <w:start w:val="1"/>
      <w:numFmt w:val="decimal"/>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26" w15:restartNumberingAfterBreak="0">
    <w:nsid w:val="5C8D61E7"/>
    <w:multiLevelType w:val="hybridMultilevel"/>
    <w:tmpl w:val="386AAC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CB72A0A"/>
    <w:multiLevelType w:val="hybridMultilevel"/>
    <w:tmpl w:val="A546FDF6"/>
    <w:lvl w:ilvl="0" w:tplc="4FE8D54E">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8" w15:restartNumberingAfterBreak="0">
    <w:nsid w:val="5CFF68EF"/>
    <w:multiLevelType w:val="hybridMultilevel"/>
    <w:tmpl w:val="BB5A0A5C"/>
    <w:lvl w:ilvl="0" w:tplc="240A000F">
      <w:start w:val="1"/>
      <w:numFmt w:val="decimal"/>
      <w:lvlText w:val="%1."/>
      <w:lvlJc w:val="left"/>
      <w:pPr>
        <w:ind w:left="1494" w:hanging="360"/>
      </w:pPr>
      <w:rPr>
        <w:rFonts w:hint="default"/>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29" w15:restartNumberingAfterBreak="0">
    <w:nsid w:val="601E24D4"/>
    <w:multiLevelType w:val="hybridMultilevel"/>
    <w:tmpl w:val="271222B6"/>
    <w:lvl w:ilvl="0" w:tplc="2C88C4CC">
      <w:start w:val="1"/>
      <w:numFmt w:val="decimal"/>
      <w:lvlText w:val=""/>
      <w:lvlJc w:val="left"/>
      <w:pPr>
        <w:ind w:left="720" w:hanging="360"/>
      </w:pPr>
      <w:rPr>
        <w:rFonts w:ascii="Bookman Old Style" w:hAnsi="Bookman Old Style" w:hint="default"/>
        <w:caps w:val="0"/>
        <w:strike w:val="0"/>
        <w:dstrike w:val="0"/>
        <w:vanish w:val="0"/>
        <w:color w:val="000000"/>
        <w:sz w:val="24"/>
        <w:vertAlign w:val="baseline"/>
      </w:rPr>
    </w:lvl>
    <w:lvl w:ilvl="1" w:tplc="240A0019">
      <w:numFmt w:val="decimal"/>
      <w:lvlText w:val=""/>
      <w:lvlJc w:val="left"/>
    </w:lvl>
    <w:lvl w:ilvl="2" w:tplc="240A001B">
      <w:numFmt w:val="decimal"/>
      <w:lvlText w:val="䡅⩈䬀H伀͊儀͊匀*⡙崀䩞䩡⡯瀀h猀ੈ琌H甀좗ÿ"/>
      <w:lvlJc w:val="left"/>
    </w:lvl>
    <w:lvl w:ilvl="3" w:tplc="240A000F">
      <w:numFmt w:val="decimal"/>
      <w:lvlText w:val=""/>
      <w:lvlJc w:val="left"/>
    </w:lvl>
    <w:lvl w:ilvl="4" w:tplc="240A0019">
      <w:numFmt w:val="decimal"/>
      <w:lvlText w:val=""/>
      <w:lvlJc w:val="left"/>
    </w:lvl>
    <w:lvl w:ilvl="5" w:tplc="240A001B">
      <w:numFmt w:val="decimal"/>
      <w:lvlText w:val=""/>
      <w:lvlJc w:val="left"/>
    </w:lvl>
    <w:lvl w:ilvl="6" w:tplc="240A000F">
      <w:numFmt w:val="decimal"/>
      <w:lvlText w:val=""/>
      <w:lvlJc w:val="left"/>
    </w:lvl>
    <w:lvl w:ilvl="7" w:tplc="240A0019">
      <w:numFmt w:val="decimal"/>
      <w:lvlText w:val=""/>
      <w:lvlJc w:val="left"/>
    </w:lvl>
    <w:lvl w:ilvl="8" w:tplc="240A001B">
      <w:numFmt w:val="decimal"/>
      <w:lvlText w:val=""/>
      <w:lvlJc w:val="left"/>
    </w:lvl>
  </w:abstractNum>
  <w:abstractNum w:abstractNumId="30" w15:restartNumberingAfterBreak="0">
    <w:nsid w:val="6F3B05F0"/>
    <w:multiLevelType w:val="hybridMultilevel"/>
    <w:tmpl w:val="CB5651A2"/>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31" w15:restartNumberingAfterBreak="0">
    <w:nsid w:val="716B5659"/>
    <w:multiLevelType w:val="hybridMultilevel"/>
    <w:tmpl w:val="B78E656A"/>
    <w:lvl w:ilvl="0" w:tplc="240A0001">
      <w:numFmt w:val="decimal"/>
      <w:lvlText w:val=""/>
      <w:lvlJc w:val="left"/>
    </w:lvl>
    <w:lvl w:ilvl="1" w:tplc="240A0003">
      <w:numFmt w:val="decimal"/>
      <w:lvlText w:val=""/>
      <w:lvlJc w:val="left"/>
    </w:lvl>
    <w:lvl w:ilvl="2" w:tplc="240A0005">
      <w:numFmt w:val="decimal"/>
      <w:lvlText w:val=""/>
      <w:lvlJc w:val="left"/>
    </w:lvl>
    <w:lvl w:ilvl="3" w:tplc="240A0001">
      <w:numFmt w:val="decimal"/>
      <w:lvlText w:val=""/>
      <w:lvlJc w:val="left"/>
    </w:lvl>
    <w:lvl w:ilvl="4" w:tplc="240A0003">
      <w:numFmt w:val="decimal"/>
      <w:lvlText w:val=""/>
      <w:lvlJc w:val="left"/>
    </w:lvl>
    <w:lvl w:ilvl="5" w:tplc="240A0005">
      <w:numFmt w:val="decimal"/>
      <w:lvlText w:val=""/>
      <w:lvlJc w:val="left"/>
    </w:lvl>
    <w:lvl w:ilvl="6" w:tplc="240A0001">
      <w:numFmt w:val="decimal"/>
      <w:lvlText w:val=""/>
      <w:lvlJc w:val="left"/>
    </w:lvl>
    <w:lvl w:ilvl="7" w:tplc="240A0003">
      <w:numFmt w:val="decimal"/>
      <w:lvlText w:val=""/>
      <w:lvlJc w:val="left"/>
    </w:lvl>
    <w:lvl w:ilvl="8" w:tplc="240A0005">
      <w:numFmt w:val="decimal"/>
      <w:lvlText w:val=""/>
      <w:lvlJc w:val="left"/>
    </w:lvl>
  </w:abstractNum>
  <w:abstractNum w:abstractNumId="32" w15:restartNumberingAfterBreak="0">
    <w:nsid w:val="73432BD8"/>
    <w:multiLevelType w:val="hybridMultilevel"/>
    <w:tmpl w:val="1F3E190C"/>
    <w:lvl w:ilvl="0" w:tplc="68D4F308">
      <w:numFmt w:val="decimal"/>
      <w:pStyle w:val="ARTICULOS"/>
      <w:lvlText w:val=""/>
      <w:lvlJc w:val="left"/>
    </w:lvl>
    <w:lvl w:ilvl="1" w:tplc="240A0019">
      <w:numFmt w:val="decimal"/>
      <w:lvlText w:val=""/>
      <w:lvlJc w:val="left"/>
    </w:lvl>
    <w:lvl w:ilvl="2" w:tplc="240A000F">
      <w:numFmt w:val="decimal"/>
      <w:lvlText w:val=""/>
      <w:lvlJc w:val="left"/>
    </w:lvl>
    <w:lvl w:ilvl="3" w:tplc="240A000F">
      <w:numFmt w:val="decimal"/>
      <w:lvlText w:val=""/>
      <w:lvlJc w:val="left"/>
    </w:lvl>
    <w:lvl w:ilvl="4" w:tplc="240A0019">
      <w:numFmt w:val="decimal"/>
      <w:lvlText w:val=""/>
      <w:lvlJc w:val="left"/>
    </w:lvl>
    <w:lvl w:ilvl="5" w:tplc="240A001B">
      <w:numFmt w:val="decimal"/>
      <w:lvlText w:val=""/>
      <w:lvlJc w:val="left"/>
    </w:lvl>
    <w:lvl w:ilvl="6" w:tplc="240A000F">
      <w:numFmt w:val="decimal"/>
      <w:lvlText w:val=""/>
      <w:lvlJc w:val="left"/>
    </w:lvl>
    <w:lvl w:ilvl="7" w:tplc="240A0019">
      <w:numFmt w:val="decimal"/>
      <w:lvlText w:val=""/>
      <w:lvlJc w:val="left"/>
    </w:lvl>
    <w:lvl w:ilvl="8" w:tplc="240A001B">
      <w:numFmt w:val="decimal"/>
      <w:lvlText w:val=""/>
      <w:lvlJc w:val="left"/>
    </w:lvl>
  </w:abstractNum>
  <w:abstractNum w:abstractNumId="33" w15:restartNumberingAfterBreak="0">
    <w:nsid w:val="77636C3C"/>
    <w:multiLevelType w:val="hybridMultilevel"/>
    <w:tmpl w:val="0EFE93B6"/>
    <w:lvl w:ilvl="0" w:tplc="240A0001">
      <w:numFmt w:val="decimal"/>
      <w:lvlText w:val=""/>
      <w:lvlJc w:val="left"/>
    </w:lvl>
    <w:lvl w:ilvl="1" w:tplc="240A0003">
      <w:numFmt w:val="decimal"/>
      <w:lvlText w:val=""/>
      <w:lvlJc w:val="left"/>
    </w:lvl>
    <w:lvl w:ilvl="2" w:tplc="240A0005">
      <w:numFmt w:val="decimal"/>
      <w:lvlText w:val=""/>
      <w:lvlJc w:val="left"/>
    </w:lvl>
    <w:lvl w:ilvl="3" w:tplc="240A0001">
      <w:numFmt w:val="decimal"/>
      <w:lvlText w:val=""/>
      <w:lvlJc w:val="left"/>
    </w:lvl>
    <w:lvl w:ilvl="4" w:tplc="240A0003">
      <w:numFmt w:val="decimal"/>
      <w:lvlText w:val=""/>
      <w:lvlJc w:val="left"/>
    </w:lvl>
    <w:lvl w:ilvl="5" w:tplc="240A0005">
      <w:numFmt w:val="decimal"/>
      <w:lvlText w:val=""/>
      <w:lvlJc w:val="left"/>
    </w:lvl>
    <w:lvl w:ilvl="6" w:tplc="240A0001">
      <w:numFmt w:val="decimal"/>
      <w:lvlText w:val=""/>
      <w:lvlJc w:val="left"/>
    </w:lvl>
    <w:lvl w:ilvl="7" w:tplc="240A0003">
      <w:numFmt w:val="decimal"/>
      <w:lvlText w:val=""/>
      <w:lvlJc w:val="left"/>
    </w:lvl>
    <w:lvl w:ilvl="8" w:tplc="240A0005">
      <w:numFmt w:val="decimal"/>
      <w:lvlText w:val=""/>
      <w:lvlJc w:val="left"/>
    </w:lvl>
  </w:abstractNum>
  <w:num w:numId="1" w16cid:durableId="854614662">
    <w:abstractNumId w:val="4"/>
  </w:num>
  <w:num w:numId="2" w16cid:durableId="2042629495">
    <w:abstractNumId w:val="32"/>
  </w:num>
  <w:num w:numId="3" w16cid:durableId="1619798143">
    <w:abstractNumId w:val="22"/>
  </w:num>
  <w:num w:numId="4" w16cid:durableId="1185246219">
    <w:abstractNumId w:val="29"/>
  </w:num>
  <w:num w:numId="5" w16cid:durableId="784352202">
    <w:abstractNumId w:val="23"/>
  </w:num>
  <w:num w:numId="6" w16cid:durableId="1576551782">
    <w:abstractNumId w:val="14"/>
  </w:num>
  <w:num w:numId="7" w16cid:durableId="627781146">
    <w:abstractNumId w:val="25"/>
  </w:num>
  <w:num w:numId="8" w16cid:durableId="1950618780">
    <w:abstractNumId w:val="5"/>
  </w:num>
  <w:num w:numId="9" w16cid:durableId="2101026593">
    <w:abstractNumId w:val="16"/>
  </w:num>
  <w:num w:numId="10" w16cid:durableId="363022875">
    <w:abstractNumId w:val="11"/>
  </w:num>
  <w:num w:numId="11" w16cid:durableId="1849442856">
    <w:abstractNumId w:val="26"/>
  </w:num>
  <w:num w:numId="12" w16cid:durableId="2018995199">
    <w:abstractNumId w:val="24"/>
  </w:num>
  <w:num w:numId="13" w16cid:durableId="1227451577">
    <w:abstractNumId w:val="27"/>
  </w:num>
  <w:num w:numId="14" w16cid:durableId="384253565">
    <w:abstractNumId w:val="9"/>
  </w:num>
  <w:num w:numId="15" w16cid:durableId="1999268052">
    <w:abstractNumId w:val="28"/>
  </w:num>
  <w:num w:numId="16" w16cid:durableId="755903299">
    <w:abstractNumId w:val="20"/>
  </w:num>
  <w:num w:numId="17" w16cid:durableId="36592910">
    <w:abstractNumId w:val="7"/>
  </w:num>
  <w:num w:numId="18" w16cid:durableId="1127165987">
    <w:abstractNumId w:val="21"/>
  </w:num>
  <w:num w:numId="19" w16cid:durableId="2126188506">
    <w:abstractNumId w:val="6"/>
  </w:num>
  <w:num w:numId="20" w16cid:durableId="295330803">
    <w:abstractNumId w:val="0"/>
  </w:num>
  <w:num w:numId="21" w16cid:durableId="2117671052">
    <w:abstractNumId w:val="2"/>
  </w:num>
  <w:num w:numId="22" w16cid:durableId="851652250">
    <w:abstractNumId w:val="17"/>
  </w:num>
  <w:num w:numId="23" w16cid:durableId="1184783720">
    <w:abstractNumId w:val="10"/>
  </w:num>
  <w:num w:numId="24" w16cid:durableId="462819434">
    <w:abstractNumId w:val="31"/>
  </w:num>
  <w:num w:numId="25" w16cid:durableId="719018004">
    <w:abstractNumId w:val="8"/>
  </w:num>
  <w:num w:numId="26" w16cid:durableId="1265303992">
    <w:abstractNumId w:val="33"/>
  </w:num>
  <w:num w:numId="27" w16cid:durableId="462506388">
    <w:abstractNumId w:val="18"/>
  </w:num>
  <w:num w:numId="28" w16cid:durableId="1184587018">
    <w:abstractNumId w:val="12"/>
  </w:num>
  <w:num w:numId="29" w16cid:durableId="1827085731">
    <w:abstractNumId w:val="13"/>
  </w:num>
  <w:num w:numId="30" w16cid:durableId="1208108671">
    <w:abstractNumId w:val="19"/>
  </w:num>
  <w:num w:numId="31" w16cid:durableId="1254702587">
    <w:abstractNumId w:val="15"/>
  </w:num>
  <w:num w:numId="32" w16cid:durableId="1855876242">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BCA"/>
    <w:rsid w:val="00002B6B"/>
    <w:rsid w:val="00002C5A"/>
    <w:rsid w:val="00003D71"/>
    <w:rsid w:val="00004DA4"/>
    <w:rsid w:val="000068F0"/>
    <w:rsid w:val="00011BEA"/>
    <w:rsid w:val="0001493D"/>
    <w:rsid w:val="000153B4"/>
    <w:rsid w:val="00015B97"/>
    <w:rsid w:val="00016C1A"/>
    <w:rsid w:val="00020875"/>
    <w:rsid w:val="00021057"/>
    <w:rsid w:val="000243E3"/>
    <w:rsid w:val="0003079D"/>
    <w:rsid w:val="00030ECE"/>
    <w:rsid w:val="000323B9"/>
    <w:rsid w:val="00033C77"/>
    <w:rsid w:val="0003418D"/>
    <w:rsid w:val="000372E9"/>
    <w:rsid w:val="00037534"/>
    <w:rsid w:val="00040AAC"/>
    <w:rsid w:val="00045E34"/>
    <w:rsid w:val="00046BCB"/>
    <w:rsid w:val="00051E42"/>
    <w:rsid w:val="00052646"/>
    <w:rsid w:val="00060C0E"/>
    <w:rsid w:val="00060D96"/>
    <w:rsid w:val="00062D47"/>
    <w:rsid w:val="00064CF9"/>
    <w:rsid w:val="000651C3"/>
    <w:rsid w:val="00074878"/>
    <w:rsid w:val="00074962"/>
    <w:rsid w:val="000768E2"/>
    <w:rsid w:val="000829D7"/>
    <w:rsid w:val="00083FD5"/>
    <w:rsid w:val="00084C82"/>
    <w:rsid w:val="00085031"/>
    <w:rsid w:val="00086996"/>
    <w:rsid w:val="00092C28"/>
    <w:rsid w:val="00096487"/>
    <w:rsid w:val="0009664F"/>
    <w:rsid w:val="00097C85"/>
    <w:rsid w:val="000A44C4"/>
    <w:rsid w:val="000A4C0C"/>
    <w:rsid w:val="000A66ED"/>
    <w:rsid w:val="000B08E7"/>
    <w:rsid w:val="000B2CF1"/>
    <w:rsid w:val="000B716B"/>
    <w:rsid w:val="000C0F05"/>
    <w:rsid w:val="000C552D"/>
    <w:rsid w:val="000C7431"/>
    <w:rsid w:val="000D168B"/>
    <w:rsid w:val="000D4D20"/>
    <w:rsid w:val="000D77B1"/>
    <w:rsid w:val="000D7889"/>
    <w:rsid w:val="000E43B1"/>
    <w:rsid w:val="000E7FC0"/>
    <w:rsid w:val="000F0772"/>
    <w:rsid w:val="000F619F"/>
    <w:rsid w:val="000F6616"/>
    <w:rsid w:val="000F6971"/>
    <w:rsid w:val="000F6F34"/>
    <w:rsid w:val="001030F9"/>
    <w:rsid w:val="00104FE2"/>
    <w:rsid w:val="00105612"/>
    <w:rsid w:val="00106051"/>
    <w:rsid w:val="001079AA"/>
    <w:rsid w:val="00110447"/>
    <w:rsid w:val="00110E42"/>
    <w:rsid w:val="00111FE7"/>
    <w:rsid w:val="00114C5A"/>
    <w:rsid w:val="001153C0"/>
    <w:rsid w:val="001164AC"/>
    <w:rsid w:val="00120AA1"/>
    <w:rsid w:val="001300BD"/>
    <w:rsid w:val="001303F4"/>
    <w:rsid w:val="00131DB0"/>
    <w:rsid w:val="00137FFB"/>
    <w:rsid w:val="0014070D"/>
    <w:rsid w:val="00141AE1"/>
    <w:rsid w:val="00141F37"/>
    <w:rsid w:val="0014217F"/>
    <w:rsid w:val="00142733"/>
    <w:rsid w:val="00143447"/>
    <w:rsid w:val="0014715E"/>
    <w:rsid w:val="00147A36"/>
    <w:rsid w:val="001544B0"/>
    <w:rsid w:val="00156982"/>
    <w:rsid w:val="0016112F"/>
    <w:rsid w:val="00161159"/>
    <w:rsid w:val="00163B8A"/>
    <w:rsid w:val="00165B94"/>
    <w:rsid w:val="00167E49"/>
    <w:rsid w:val="00181AC7"/>
    <w:rsid w:val="001851C6"/>
    <w:rsid w:val="00185563"/>
    <w:rsid w:val="00185CE7"/>
    <w:rsid w:val="00187143"/>
    <w:rsid w:val="00192D1D"/>
    <w:rsid w:val="00193432"/>
    <w:rsid w:val="00193AF1"/>
    <w:rsid w:val="00195BDE"/>
    <w:rsid w:val="001976B3"/>
    <w:rsid w:val="001A1203"/>
    <w:rsid w:val="001A29C4"/>
    <w:rsid w:val="001A3285"/>
    <w:rsid w:val="001A4F57"/>
    <w:rsid w:val="001B0BF6"/>
    <w:rsid w:val="001B136F"/>
    <w:rsid w:val="001B1489"/>
    <w:rsid w:val="001B3AFB"/>
    <w:rsid w:val="001B4CCB"/>
    <w:rsid w:val="001B534B"/>
    <w:rsid w:val="001B6721"/>
    <w:rsid w:val="001B6987"/>
    <w:rsid w:val="001C0BE6"/>
    <w:rsid w:val="001C48CF"/>
    <w:rsid w:val="001C513B"/>
    <w:rsid w:val="001C566D"/>
    <w:rsid w:val="001C606A"/>
    <w:rsid w:val="001C6123"/>
    <w:rsid w:val="001D16DB"/>
    <w:rsid w:val="001D2917"/>
    <w:rsid w:val="001E04A9"/>
    <w:rsid w:val="001E0A14"/>
    <w:rsid w:val="001E3B51"/>
    <w:rsid w:val="001E531D"/>
    <w:rsid w:val="001E5EF3"/>
    <w:rsid w:val="001E653A"/>
    <w:rsid w:val="001E759E"/>
    <w:rsid w:val="001E7A4A"/>
    <w:rsid w:val="001F1653"/>
    <w:rsid w:val="001F1817"/>
    <w:rsid w:val="001F2B83"/>
    <w:rsid w:val="001F5F3B"/>
    <w:rsid w:val="001F7269"/>
    <w:rsid w:val="002000DB"/>
    <w:rsid w:val="00201D11"/>
    <w:rsid w:val="00203A12"/>
    <w:rsid w:val="00203F75"/>
    <w:rsid w:val="0020666C"/>
    <w:rsid w:val="00206D86"/>
    <w:rsid w:val="002071F1"/>
    <w:rsid w:val="002110C7"/>
    <w:rsid w:val="0021112A"/>
    <w:rsid w:val="00212A47"/>
    <w:rsid w:val="00214D23"/>
    <w:rsid w:val="002168B9"/>
    <w:rsid w:val="00225FD6"/>
    <w:rsid w:val="00226BDF"/>
    <w:rsid w:val="00227601"/>
    <w:rsid w:val="00231C14"/>
    <w:rsid w:val="0023226F"/>
    <w:rsid w:val="00233FDA"/>
    <w:rsid w:val="00234404"/>
    <w:rsid w:val="002360EA"/>
    <w:rsid w:val="00240FBB"/>
    <w:rsid w:val="00241552"/>
    <w:rsid w:val="002425CC"/>
    <w:rsid w:val="0024323E"/>
    <w:rsid w:val="00246B41"/>
    <w:rsid w:val="00246BDD"/>
    <w:rsid w:val="00246C07"/>
    <w:rsid w:val="00247E7C"/>
    <w:rsid w:val="00250C34"/>
    <w:rsid w:val="0025215B"/>
    <w:rsid w:val="0025381F"/>
    <w:rsid w:val="00253CDE"/>
    <w:rsid w:val="00255063"/>
    <w:rsid w:val="002562A8"/>
    <w:rsid w:val="00257891"/>
    <w:rsid w:val="00257E59"/>
    <w:rsid w:val="00263DCC"/>
    <w:rsid w:val="0026550E"/>
    <w:rsid w:val="00267AFB"/>
    <w:rsid w:val="00272D23"/>
    <w:rsid w:val="00274B86"/>
    <w:rsid w:val="00276075"/>
    <w:rsid w:val="00276F52"/>
    <w:rsid w:val="00277DAE"/>
    <w:rsid w:val="0028167D"/>
    <w:rsid w:val="00283212"/>
    <w:rsid w:val="00285716"/>
    <w:rsid w:val="00286B93"/>
    <w:rsid w:val="00290358"/>
    <w:rsid w:val="002940E1"/>
    <w:rsid w:val="00297CDB"/>
    <w:rsid w:val="002A0822"/>
    <w:rsid w:val="002A1386"/>
    <w:rsid w:val="002A1654"/>
    <w:rsid w:val="002A3000"/>
    <w:rsid w:val="002A3B53"/>
    <w:rsid w:val="002A4422"/>
    <w:rsid w:val="002A4725"/>
    <w:rsid w:val="002A4E3A"/>
    <w:rsid w:val="002A4EB6"/>
    <w:rsid w:val="002A6462"/>
    <w:rsid w:val="002B1779"/>
    <w:rsid w:val="002B4264"/>
    <w:rsid w:val="002B4377"/>
    <w:rsid w:val="002B51FF"/>
    <w:rsid w:val="002C163C"/>
    <w:rsid w:val="002C2E32"/>
    <w:rsid w:val="002C2F59"/>
    <w:rsid w:val="002C30BD"/>
    <w:rsid w:val="002C38BA"/>
    <w:rsid w:val="002C480F"/>
    <w:rsid w:val="002C5A6B"/>
    <w:rsid w:val="002C6C5B"/>
    <w:rsid w:val="002C78B6"/>
    <w:rsid w:val="002D02A3"/>
    <w:rsid w:val="002D0502"/>
    <w:rsid w:val="002D1639"/>
    <w:rsid w:val="002D1EEB"/>
    <w:rsid w:val="002D2D7B"/>
    <w:rsid w:val="002D4107"/>
    <w:rsid w:val="002D62B4"/>
    <w:rsid w:val="002E34D8"/>
    <w:rsid w:val="002E47EE"/>
    <w:rsid w:val="002E48FC"/>
    <w:rsid w:val="002E6306"/>
    <w:rsid w:val="002E7287"/>
    <w:rsid w:val="002E789E"/>
    <w:rsid w:val="002F3B44"/>
    <w:rsid w:val="002F6560"/>
    <w:rsid w:val="002F68A3"/>
    <w:rsid w:val="002F6C3C"/>
    <w:rsid w:val="002F6DD1"/>
    <w:rsid w:val="00302FF6"/>
    <w:rsid w:val="00306A3D"/>
    <w:rsid w:val="00307A54"/>
    <w:rsid w:val="00313493"/>
    <w:rsid w:val="003164D9"/>
    <w:rsid w:val="0032228A"/>
    <w:rsid w:val="00322645"/>
    <w:rsid w:val="00322EA1"/>
    <w:rsid w:val="0032482C"/>
    <w:rsid w:val="0032680A"/>
    <w:rsid w:val="00330B53"/>
    <w:rsid w:val="00331103"/>
    <w:rsid w:val="00331EE9"/>
    <w:rsid w:val="00331F35"/>
    <w:rsid w:val="0033303E"/>
    <w:rsid w:val="003333F9"/>
    <w:rsid w:val="00333CD9"/>
    <w:rsid w:val="003347B1"/>
    <w:rsid w:val="003360A2"/>
    <w:rsid w:val="0033749B"/>
    <w:rsid w:val="003401B5"/>
    <w:rsid w:val="0034595C"/>
    <w:rsid w:val="0034654A"/>
    <w:rsid w:val="00346950"/>
    <w:rsid w:val="00351047"/>
    <w:rsid w:val="00351A5E"/>
    <w:rsid w:val="00351CDC"/>
    <w:rsid w:val="00352F53"/>
    <w:rsid w:val="003535B0"/>
    <w:rsid w:val="00353D8E"/>
    <w:rsid w:val="003552B8"/>
    <w:rsid w:val="00355BDC"/>
    <w:rsid w:val="00357B96"/>
    <w:rsid w:val="003613EA"/>
    <w:rsid w:val="0036200C"/>
    <w:rsid w:val="003622E8"/>
    <w:rsid w:val="00363119"/>
    <w:rsid w:val="003655CF"/>
    <w:rsid w:val="00367B97"/>
    <w:rsid w:val="00370A60"/>
    <w:rsid w:val="0037444E"/>
    <w:rsid w:val="00384D68"/>
    <w:rsid w:val="003907AC"/>
    <w:rsid w:val="00390F33"/>
    <w:rsid w:val="00393342"/>
    <w:rsid w:val="0039378C"/>
    <w:rsid w:val="0039451D"/>
    <w:rsid w:val="00397A28"/>
    <w:rsid w:val="003A03D5"/>
    <w:rsid w:val="003A1BC3"/>
    <w:rsid w:val="003A4F6C"/>
    <w:rsid w:val="003A6F8E"/>
    <w:rsid w:val="003B1E80"/>
    <w:rsid w:val="003B50DF"/>
    <w:rsid w:val="003B5A05"/>
    <w:rsid w:val="003B6B35"/>
    <w:rsid w:val="003C1360"/>
    <w:rsid w:val="003C1F2D"/>
    <w:rsid w:val="003C5571"/>
    <w:rsid w:val="003C5F25"/>
    <w:rsid w:val="003D1281"/>
    <w:rsid w:val="003D171F"/>
    <w:rsid w:val="003D1946"/>
    <w:rsid w:val="003D24A4"/>
    <w:rsid w:val="003D33BD"/>
    <w:rsid w:val="003D350D"/>
    <w:rsid w:val="003D3FB7"/>
    <w:rsid w:val="003D454C"/>
    <w:rsid w:val="003D469B"/>
    <w:rsid w:val="003D54A5"/>
    <w:rsid w:val="003D54D2"/>
    <w:rsid w:val="003D682B"/>
    <w:rsid w:val="003D6EDB"/>
    <w:rsid w:val="003E02A8"/>
    <w:rsid w:val="003E669C"/>
    <w:rsid w:val="003F1045"/>
    <w:rsid w:val="003F4122"/>
    <w:rsid w:val="003F4DED"/>
    <w:rsid w:val="003F59E4"/>
    <w:rsid w:val="00400ABE"/>
    <w:rsid w:val="00401774"/>
    <w:rsid w:val="00403E9A"/>
    <w:rsid w:val="004126AB"/>
    <w:rsid w:val="00417D93"/>
    <w:rsid w:val="00422B50"/>
    <w:rsid w:val="004261B1"/>
    <w:rsid w:val="004276D1"/>
    <w:rsid w:val="00427A4C"/>
    <w:rsid w:val="00432390"/>
    <w:rsid w:val="00433D85"/>
    <w:rsid w:val="00435C72"/>
    <w:rsid w:val="00436F4A"/>
    <w:rsid w:val="00437251"/>
    <w:rsid w:val="00441AE4"/>
    <w:rsid w:val="00444733"/>
    <w:rsid w:val="0044477D"/>
    <w:rsid w:val="00444EBA"/>
    <w:rsid w:val="00445CF1"/>
    <w:rsid w:val="0044687C"/>
    <w:rsid w:val="0044694B"/>
    <w:rsid w:val="00447FE8"/>
    <w:rsid w:val="00451FF9"/>
    <w:rsid w:val="004551F7"/>
    <w:rsid w:val="004562BF"/>
    <w:rsid w:val="00456685"/>
    <w:rsid w:val="004570FE"/>
    <w:rsid w:val="004603D9"/>
    <w:rsid w:val="00460C00"/>
    <w:rsid w:val="0046113E"/>
    <w:rsid w:val="0046192B"/>
    <w:rsid w:val="00462224"/>
    <w:rsid w:val="00462BF6"/>
    <w:rsid w:val="00467145"/>
    <w:rsid w:val="0046738F"/>
    <w:rsid w:val="00467480"/>
    <w:rsid w:val="00467C0C"/>
    <w:rsid w:val="00470EB1"/>
    <w:rsid w:val="00472F5D"/>
    <w:rsid w:val="004732B0"/>
    <w:rsid w:val="00480CBC"/>
    <w:rsid w:val="00483542"/>
    <w:rsid w:val="004835E4"/>
    <w:rsid w:val="0048519D"/>
    <w:rsid w:val="00491FEF"/>
    <w:rsid w:val="00492941"/>
    <w:rsid w:val="00493D5D"/>
    <w:rsid w:val="00494BE4"/>
    <w:rsid w:val="004966B0"/>
    <w:rsid w:val="004A12C0"/>
    <w:rsid w:val="004A1394"/>
    <w:rsid w:val="004A1E6B"/>
    <w:rsid w:val="004A4B8D"/>
    <w:rsid w:val="004A5823"/>
    <w:rsid w:val="004A5FD3"/>
    <w:rsid w:val="004A677A"/>
    <w:rsid w:val="004A67EC"/>
    <w:rsid w:val="004A7835"/>
    <w:rsid w:val="004B14CB"/>
    <w:rsid w:val="004B2371"/>
    <w:rsid w:val="004B5708"/>
    <w:rsid w:val="004B65F7"/>
    <w:rsid w:val="004C07DA"/>
    <w:rsid w:val="004C1153"/>
    <w:rsid w:val="004C116E"/>
    <w:rsid w:val="004C1ED6"/>
    <w:rsid w:val="004C299E"/>
    <w:rsid w:val="004C2BA9"/>
    <w:rsid w:val="004C3D3E"/>
    <w:rsid w:val="004C4681"/>
    <w:rsid w:val="004C4BDB"/>
    <w:rsid w:val="004C5347"/>
    <w:rsid w:val="004C5465"/>
    <w:rsid w:val="004C63C4"/>
    <w:rsid w:val="004C64F1"/>
    <w:rsid w:val="004D106B"/>
    <w:rsid w:val="004D5FBB"/>
    <w:rsid w:val="004E2EFE"/>
    <w:rsid w:val="004E6FFA"/>
    <w:rsid w:val="004F1145"/>
    <w:rsid w:val="004F1149"/>
    <w:rsid w:val="004F21D4"/>
    <w:rsid w:val="004F4C43"/>
    <w:rsid w:val="004F6A7B"/>
    <w:rsid w:val="00501071"/>
    <w:rsid w:val="0050427D"/>
    <w:rsid w:val="00505CEA"/>
    <w:rsid w:val="00506375"/>
    <w:rsid w:val="00512C85"/>
    <w:rsid w:val="005134E2"/>
    <w:rsid w:val="00513B41"/>
    <w:rsid w:val="0051413E"/>
    <w:rsid w:val="00516A8F"/>
    <w:rsid w:val="005237A7"/>
    <w:rsid w:val="005257F7"/>
    <w:rsid w:val="0052744C"/>
    <w:rsid w:val="00527843"/>
    <w:rsid w:val="00533A1E"/>
    <w:rsid w:val="00533AD5"/>
    <w:rsid w:val="00534DEE"/>
    <w:rsid w:val="005367F6"/>
    <w:rsid w:val="0053794E"/>
    <w:rsid w:val="0054084B"/>
    <w:rsid w:val="0054091C"/>
    <w:rsid w:val="00540A54"/>
    <w:rsid w:val="00540DF2"/>
    <w:rsid w:val="00540EFB"/>
    <w:rsid w:val="00542A90"/>
    <w:rsid w:val="005450E8"/>
    <w:rsid w:val="00547070"/>
    <w:rsid w:val="00547BA4"/>
    <w:rsid w:val="00551786"/>
    <w:rsid w:val="005519E9"/>
    <w:rsid w:val="00551CE8"/>
    <w:rsid w:val="00552721"/>
    <w:rsid w:val="005536EA"/>
    <w:rsid w:val="00553FF9"/>
    <w:rsid w:val="0055674D"/>
    <w:rsid w:val="00560437"/>
    <w:rsid w:val="005605C6"/>
    <w:rsid w:val="00560FC4"/>
    <w:rsid w:val="00563530"/>
    <w:rsid w:val="00563672"/>
    <w:rsid w:val="0056639C"/>
    <w:rsid w:val="00570DB7"/>
    <w:rsid w:val="0057153F"/>
    <w:rsid w:val="005719AF"/>
    <w:rsid w:val="00572628"/>
    <w:rsid w:val="00574461"/>
    <w:rsid w:val="00575874"/>
    <w:rsid w:val="005838F8"/>
    <w:rsid w:val="005840A5"/>
    <w:rsid w:val="00586A6A"/>
    <w:rsid w:val="00590C88"/>
    <w:rsid w:val="0059208B"/>
    <w:rsid w:val="00594857"/>
    <w:rsid w:val="00594C7C"/>
    <w:rsid w:val="00594E3C"/>
    <w:rsid w:val="00595034"/>
    <w:rsid w:val="005966F4"/>
    <w:rsid w:val="005A0389"/>
    <w:rsid w:val="005A30A9"/>
    <w:rsid w:val="005A3C0C"/>
    <w:rsid w:val="005B19A0"/>
    <w:rsid w:val="005B2338"/>
    <w:rsid w:val="005B2414"/>
    <w:rsid w:val="005B2A3B"/>
    <w:rsid w:val="005B7026"/>
    <w:rsid w:val="005B7C66"/>
    <w:rsid w:val="005C1BCA"/>
    <w:rsid w:val="005C420A"/>
    <w:rsid w:val="005C54A7"/>
    <w:rsid w:val="005D3475"/>
    <w:rsid w:val="005E3395"/>
    <w:rsid w:val="005E486C"/>
    <w:rsid w:val="005E6508"/>
    <w:rsid w:val="005F1C68"/>
    <w:rsid w:val="005F3F22"/>
    <w:rsid w:val="005F5EE8"/>
    <w:rsid w:val="005F67DE"/>
    <w:rsid w:val="0060008A"/>
    <w:rsid w:val="00600ACF"/>
    <w:rsid w:val="00606404"/>
    <w:rsid w:val="00611673"/>
    <w:rsid w:val="00612755"/>
    <w:rsid w:val="00620524"/>
    <w:rsid w:val="00620723"/>
    <w:rsid w:val="006218ED"/>
    <w:rsid w:val="00626F74"/>
    <w:rsid w:val="006315FC"/>
    <w:rsid w:val="0063183C"/>
    <w:rsid w:val="0063552F"/>
    <w:rsid w:val="006402B0"/>
    <w:rsid w:val="00640336"/>
    <w:rsid w:val="00641ABE"/>
    <w:rsid w:val="006441EA"/>
    <w:rsid w:val="00647EA0"/>
    <w:rsid w:val="006511B7"/>
    <w:rsid w:val="0065138A"/>
    <w:rsid w:val="0065201F"/>
    <w:rsid w:val="00653699"/>
    <w:rsid w:val="00654229"/>
    <w:rsid w:val="00655241"/>
    <w:rsid w:val="00656706"/>
    <w:rsid w:val="00660691"/>
    <w:rsid w:val="00662BC4"/>
    <w:rsid w:val="00662D78"/>
    <w:rsid w:val="0066446D"/>
    <w:rsid w:val="0066586F"/>
    <w:rsid w:val="0066684E"/>
    <w:rsid w:val="006673C7"/>
    <w:rsid w:val="006701F8"/>
    <w:rsid w:val="0067037C"/>
    <w:rsid w:val="0067176E"/>
    <w:rsid w:val="00671E24"/>
    <w:rsid w:val="0067283D"/>
    <w:rsid w:val="0067294D"/>
    <w:rsid w:val="00676BCC"/>
    <w:rsid w:val="00677ABF"/>
    <w:rsid w:val="006806D5"/>
    <w:rsid w:val="006813B3"/>
    <w:rsid w:val="006832BB"/>
    <w:rsid w:val="006836FC"/>
    <w:rsid w:val="0068534C"/>
    <w:rsid w:val="006853B5"/>
    <w:rsid w:val="00686C9C"/>
    <w:rsid w:val="006948D9"/>
    <w:rsid w:val="00696941"/>
    <w:rsid w:val="00697700"/>
    <w:rsid w:val="006A10CF"/>
    <w:rsid w:val="006A2FF0"/>
    <w:rsid w:val="006A5495"/>
    <w:rsid w:val="006B1918"/>
    <w:rsid w:val="006B2543"/>
    <w:rsid w:val="006B2B31"/>
    <w:rsid w:val="006B39EF"/>
    <w:rsid w:val="006B40E0"/>
    <w:rsid w:val="006B68C9"/>
    <w:rsid w:val="006B6D58"/>
    <w:rsid w:val="006C0DA5"/>
    <w:rsid w:val="006C1F78"/>
    <w:rsid w:val="006C3E65"/>
    <w:rsid w:val="006D005B"/>
    <w:rsid w:val="006D0C2E"/>
    <w:rsid w:val="006D3896"/>
    <w:rsid w:val="006D6420"/>
    <w:rsid w:val="006E3CAF"/>
    <w:rsid w:val="006E4CFF"/>
    <w:rsid w:val="006E5817"/>
    <w:rsid w:val="006E5920"/>
    <w:rsid w:val="006F4984"/>
    <w:rsid w:val="006F6F8A"/>
    <w:rsid w:val="00701265"/>
    <w:rsid w:val="00705DEB"/>
    <w:rsid w:val="007100B1"/>
    <w:rsid w:val="00712AE7"/>
    <w:rsid w:val="007149CD"/>
    <w:rsid w:val="00716A6E"/>
    <w:rsid w:val="00720524"/>
    <w:rsid w:val="00721E94"/>
    <w:rsid w:val="00723A63"/>
    <w:rsid w:val="007254EE"/>
    <w:rsid w:val="007274C7"/>
    <w:rsid w:val="007275DD"/>
    <w:rsid w:val="00734D13"/>
    <w:rsid w:val="00735D6F"/>
    <w:rsid w:val="0073600E"/>
    <w:rsid w:val="007421D7"/>
    <w:rsid w:val="00742858"/>
    <w:rsid w:val="00744B35"/>
    <w:rsid w:val="00744D3A"/>
    <w:rsid w:val="007467BA"/>
    <w:rsid w:val="007511AC"/>
    <w:rsid w:val="00754A95"/>
    <w:rsid w:val="00754D45"/>
    <w:rsid w:val="00760851"/>
    <w:rsid w:val="0076627A"/>
    <w:rsid w:val="00766EA4"/>
    <w:rsid w:val="0077602E"/>
    <w:rsid w:val="00777A67"/>
    <w:rsid w:val="00777ED9"/>
    <w:rsid w:val="0078006D"/>
    <w:rsid w:val="00781C95"/>
    <w:rsid w:val="007835E5"/>
    <w:rsid w:val="00784E27"/>
    <w:rsid w:val="00784E9F"/>
    <w:rsid w:val="00785DF8"/>
    <w:rsid w:val="00785E5C"/>
    <w:rsid w:val="007860F7"/>
    <w:rsid w:val="00786DDE"/>
    <w:rsid w:val="0078709C"/>
    <w:rsid w:val="00787363"/>
    <w:rsid w:val="007917F3"/>
    <w:rsid w:val="00796E53"/>
    <w:rsid w:val="007A09C1"/>
    <w:rsid w:val="007A0E88"/>
    <w:rsid w:val="007A3335"/>
    <w:rsid w:val="007A572A"/>
    <w:rsid w:val="007A5A7B"/>
    <w:rsid w:val="007B0B60"/>
    <w:rsid w:val="007B27DF"/>
    <w:rsid w:val="007B421F"/>
    <w:rsid w:val="007B77DB"/>
    <w:rsid w:val="007B79E1"/>
    <w:rsid w:val="007C0F27"/>
    <w:rsid w:val="007C2725"/>
    <w:rsid w:val="007C4BA1"/>
    <w:rsid w:val="007C612C"/>
    <w:rsid w:val="007D192B"/>
    <w:rsid w:val="007D2DBC"/>
    <w:rsid w:val="007D47E4"/>
    <w:rsid w:val="007D4A88"/>
    <w:rsid w:val="007D6E02"/>
    <w:rsid w:val="007D7938"/>
    <w:rsid w:val="007E3B07"/>
    <w:rsid w:val="007E4206"/>
    <w:rsid w:val="007E46A0"/>
    <w:rsid w:val="007E506C"/>
    <w:rsid w:val="007E5087"/>
    <w:rsid w:val="007E52B3"/>
    <w:rsid w:val="007F25D6"/>
    <w:rsid w:val="007F2D3E"/>
    <w:rsid w:val="007F3B34"/>
    <w:rsid w:val="007F45BD"/>
    <w:rsid w:val="007F5281"/>
    <w:rsid w:val="007F668A"/>
    <w:rsid w:val="007F66B9"/>
    <w:rsid w:val="007F6BB5"/>
    <w:rsid w:val="007F6CF0"/>
    <w:rsid w:val="007F73E8"/>
    <w:rsid w:val="007F775A"/>
    <w:rsid w:val="007F78C1"/>
    <w:rsid w:val="0080052E"/>
    <w:rsid w:val="00800BA4"/>
    <w:rsid w:val="00803299"/>
    <w:rsid w:val="00803EC9"/>
    <w:rsid w:val="0080473E"/>
    <w:rsid w:val="0080659F"/>
    <w:rsid w:val="00806C40"/>
    <w:rsid w:val="00812471"/>
    <w:rsid w:val="00815E19"/>
    <w:rsid w:val="008177B9"/>
    <w:rsid w:val="00820BB4"/>
    <w:rsid w:val="00820FB7"/>
    <w:rsid w:val="00822CB1"/>
    <w:rsid w:val="00825A29"/>
    <w:rsid w:val="008315F2"/>
    <w:rsid w:val="00832F3E"/>
    <w:rsid w:val="00834306"/>
    <w:rsid w:val="008347D1"/>
    <w:rsid w:val="00834EC7"/>
    <w:rsid w:val="00836CA4"/>
    <w:rsid w:val="008430C6"/>
    <w:rsid w:val="00844094"/>
    <w:rsid w:val="00844DAC"/>
    <w:rsid w:val="00844EAB"/>
    <w:rsid w:val="00846CC8"/>
    <w:rsid w:val="0085159D"/>
    <w:rsid w:val="00856BFB"/>
    <w:rsid w:val="00862BAA"/>
    <w:rsid w:val="008639CD"/>
    <w:rsid w:val="008652A5"/>
    <w:rsid w:val="00865865"/>
    <w:rsid w:val="008734B9"/>
    <w:rsid w:val="0087487D"/>
    <w:rsid w:val="00875B0E"/>
    <w:rsid w:val="00875D4F"/>
    <w:rsid w:val="0087723A"/>
    <w:rsid w:val="0088038F"/>
    <w:rsid w:val="008823FC"/>
    <w:rsid w:val="00883003"/>
    <w:rsid w:val="00885DF9"/>
    <w:rsid w:val="00886B55"/>
    <w:rsid w:val="0088707C"/>
    <w:rsid w:val="00887675"/>
    <w:rsid w:val="00890EBF"/>
    <w:rsid w:val="00892686"/>
    <w:rsid w:val="00892917"/>
    <w:rsid w:val="008932C5"/>
    <w:rsid w:val="008943FC"/>
    <w:rsid w:val="0089470C"/>
    <w:rsid w:val="00894B9C"/>
    <w:rsid w:val="0089512B"/>
    <w:rsid w:val="0089541C"/>
    <w:rsid w:val="00895740"/>
    <w:rsid w:val="008A1449"/>
    <w:rsid w:val="008A4929"/>
    <w:rsid w:val="008A5019"/>
    <w:rsid w:val="008A6E58"/>
    <w:rsid w:val="008A7E76"/>
    <w:rsid w:val="008A7FA4"/>
    <w:rsid w:val="008B566A"/>
    <w:rsid w:val="008C45BE"/>
    <w:rsid w:val="008C7C6D"/>
    <w:rsid w:val="008D0639"/>
    <w:rsid w:val="008D3260"/>
    <w:rsid w:val="008D3843"/>
    <w:rsid w:val="008D4F76"/>
    <w:rsid w:val="008E0BB6"/>
    <w:rsid w:val="008E46D8"/>
    <w:rsid w:val="008F0823"/>
    <w:rsid w:val="008F1C7C"/>
    <w:rsid w:val="008F2026"/>
    <w:rsid w:val="008F263A"/>
    <w:rsid w:val="008F4271"/>
    <w:rsid w:val="008F5C24"/>
    <w:rsid w:val="008F605F"/>
    <w:rsid w:val="00902DFA"/>
    <w:rsid w:val="009055F7"/>
    <w:rsid w:val="00906244"/>
    <w:rsid w:val="00910163"/>
    <w:rsid w:val="009104B9"/>
    <w:rsid w:val="00911D3E"/>
    <w:rsid w:val="009124F3"/>
    <w:rsid w:val="00913A5A"/>
    <w:rsid w:val="00914E1F"/>
    <w:rsid w:val="00914EA2"/>
    <w:rsid w:val="00915F1D"/>
    <w:rsid w:val="00916840"/>
    <w:rsid w:val="0092233F"/>
    <w:rsid w:val="00922F32"/>
    <w:rsid w:val="009236BC"/>
    <w:rsid w:val="00925398"/>
    <w:rsid w:val="00930891"/>
    <w:rsid w:val="00931C1C"/>
    <w:rsid w:val="00933C55"/>
    <w:rsid w:val="0093522B"/>
    <w:rsid w:val="009364D0"/>
    <w:rsid w:val="00941C0A"/>
    <w:rsid w:val="00942796"/>
    <w:rsid w:val="00942EC3"/>
    <w:rsid w:val="00943652"/>
    <w:rsid w:val="00944BA1"/>
    <w:rsid w:val="0095007D"/>
    <w:rsid w:val="00950ABD"/>
    <w:rsid w:val="00951941"/>
    <w:rsid w:val="00954E50"/>
    <w:rsid w:val="00955641"/>
    <w:rsid w:val="009625E3"/>
    <w:rsid w:val="00962A90"/>
    <w:rsid w:val="009631A3"/>
    <w:rsid w:val="00963287"/>
    <w:rsid w:val="00965916"/>
    <w:rsid w:val="00970B35"/>
    <w:rsid w:val="0097340A"/>
    <w:rsid w:val="009746FD"/>
    <w:rsid w:val="00975653"/>
    <w:rsid w:val="009802B3"/>
    <w:rsid w:val="00980C52"/>
    <w:rsid w:val="00981490"/>
    <w:rsid w:val="00982569"/>
    <w:rsid w:val="00984495"/>
    <w:rsid w:val="00984B8E"/>
    <w:rsid w:val="00986363"/>
    <w:rsid w:val="00986A80"/>
    <w:rsid w:val="00987135"/>
    <w:rsid w:val="009877A4"/>
    <w:rsid w:val="00992F7E"/>
    <w:rsid w:val="0099546F"/>
    <w:rsid w:val="009968A5"/>
    <w:rsid w:val="00996F0B"/>
    <w:rsid w:val="009A06E3"/>
    <w:rsid w:val="009A30C0"/>
    <w:rsid w:val="009A5F07"/>
    <w:rsid w:val="009A608B"/>
    <w:rsid w:val="009A682D"/>
    <w:rsid w:val="009A71D7"/>
    <w:rsid w:val="009A7CA5"/>
    <w:rsid w:val="009B05E8"/>
    <w:rsid w:val="009B0634"/>
    <w:rsid w:val="009B7F7F"/>
    <w:rsid w:val="009C001D"/>
    <w:rsid w:val="009C0053"/>
    <w:rsid w:val="009C2CC2"/>
    <w:rsid w:val="009C322E"/>
    <w:rsid w:val="009C34E0"/>
    <w:rsid w:val="009C38CA"/>
    <w:rsid w:val="009C3C86"/>
    <w:rsid w:val="009C5EF2"/>
    <w:rsid w:val="009C7403"/>
    <w:rsid w:val="009D405E"/>
    <w:rsid w:val="009D51E7"/>
    <w:rsid w:val="009D52B7"/>
    <w:rsid w:val="009D53E5"/>
    <w:rsid w:val="009D7D18"/>
    <w:rsid w:val="009E166A"/>
    <w:rsid w:val="009E2BA7"/>
    <w:rsid w:val="009E49FB"/>
    <w:rsid w:val="009F0A0F"/>
    <w:rsid w:val="009F38AF"/>
    <w:rsid w:val="009F74BF"/>
    <w:rsid w:val="009F7DF9"/>
    <w:rsid w:val="00A00450"/>
    <w:rsid w:val="00A05DB5"/>
    <w:rsid w:val="00A0756A"/>
    <w:rsid w:val="00A10349"/>
    <w:rsid w:val="00A10640"/>
    <w:rsid w:val="00A11155"/>
    <w:rsid w:val="00A11787"/>
    <w:rsid w:val="00A120E7"/>
    <w:rsid w:val="00A12ED2"/>
    <w:rsid w:val="00A14EA3"/>
    <w:rsid w:val="00A166CF"/>
    <w:rsid w:val="00A169B6"/>
    <w:rsid w:val="00A173A7"/>
    <w:rsid w:val="00A20A17"/>
    <w:rsid w:val="00A2123A"/>
    <w:rsid w:val="00A220CA"/>
    <w:rsid w:val="00A2253A"/>
    <w:rsid w:val="00A22DEB"/>
    <w:rsid w:val="00A30028"/>
    <w:rsid w:val="00A3106B"/>
    <w:rsid w:val="00A31921"/>
    <w:rsid w:val="00A34BD0"/>
    <w:rsid w:val="00A35B73"/>
    <w:rsid w:val="00A35D46"/>
    <w:rsid w:val="00A371B3"/>
    <w:rsid w:val="00A37852"/>
    <w:rsid w:val="00A41E1A"/>
    <w:rsid w:val="00A4201D"/>
    <w:rsid w:val="00A42417"/>
    <w:rsid w:val="00A43A6C"/>
    <w:rsid w:val="00A43A98"/>
    <w:rsid w:val="00A43C11"/>
    <w:rsid w:val="00A4487A"/>
    <w:rsid w:val="00A44FAD"/>
    <w:rsid w:val="00A455EE"/>
    <w:rsid w:val="00A464A9"/>
    <w:rsid w:val="00A47D41"/>
    <w:rsid w:val="00A55137"/>
    <w:rsid w:val="00A55351"/>
    <w:rsid w:val="00A62AD9"/>
    <w:rsid w:val="00A63769"/>
    <w:rsid w:val="00A6381B"/>
    <w:rsid w:val="00A66E25"/>
    <w:rsid w:val="00A705BC"/>
    <w:rsid w:val="00A74638"/>
    <w:rsid w:val="00A748F1"/>
    <w:rsid w:val="00A758A3"/>
    <w:rsid w:val="00A809E5"/>
    <w:rsid w:val="00A83E28"/>
    <w:rsid w:val="00A84D12"/>
    <w:rsid w:val="00A919D0"/>
    <w:rsid w:val="00A957CD"/>
    <w:rsid w:val="00A95F37"/>
    <w:rsid w:val="00A960BD"/>
    <w:rsid w:val="00AA0A67"/>
    <w:rsid w:val="00AA1F02"/>
    <w:rsid w:val="00AA7F29"/>
    <w:rsid w:val="00AB21AB"/>
    <w:rsid w:val="00AB2B82"/>
    <w:rsid w:val="00AB40D4"/>
    <w:rsid w:val="00AB46AD"/>
    <w:rsid w:val="00AB5799"/>
    <w:rsid w:val="00AB65D3"/>
    <w:rsid w:val="00AC44B0"/>
    <w:rsid w:val="00AC4A00"/>
    <w:rsid w:val="00AC7523"/>
    <w:rsid w:val="00AC7D9C"/>
    <w:rsid w:val="00AD168D"/>
    <w:rsid w:val="00AD3DD2"/>
    <w:rsid w:val="00AD5A58"/>
    <w:rsid w:val="00AE47AF"/>
    <w:rsid w:val="00AE4E4C"/>
    <w:rsid w:val="00AE58B7"/>
    <w:rsid w:val="00AE5D16"/>
    <w:rsid w:val="00AE7741"/>
    <w:rsid w:val="00AF279C"/>
    <w:rsid w:val="00AF5BC5"/>
    <w:rsid w:val="00B02BD5"/>
    <w:rsid w:val="00B030E1"/>
    <w:rsid w:val="00B03225"/>
    <w:rsid w:val="00B03DAF"/>
    <w:rsid w:val="00B05EBF"/>
    <w:rsid w:val="00B05FD2"/>
    <w:rsid w:val="00B06153"/>
    <w:rsid w:val="00B06C55"/>
    <w:rsid w:val="00B070E2"/>
    <w:rsid w:val="00B07A8D"/>
    <w:rsid w:val="00B13BBD"/>
    <w:rsid w:val="00B17697"/>
    <w:rsid w:val="00B176BE"/>
    <w:rsid w:val="00B17A9E"/>
    <w:rsid w:val="00B17C45"/>
    <w:rsid w:val="00B23505"/>
    <w:rsid w:val="00B24649"/>
    <w:rsid w:val="00B2528A"/>
    <w:rsid w:val="00B26B24"/>
    <w:rsid w:val="00B2746D"/>
    <w:rsid w:val="00B3048E"/>
    <w:rsid w:val="00B33E99"/>
    <w:rsid w:val="00B40788"/>
    <w:rsid w:val="00B4091B"/>
    <w:rsid w:val="00B44DED"/>
    <w:rsid w:val="00B45FF3"/>
    <w:rsid w:val="00B467DB"/>
    <w:rsid w:val="00B51951"/>
    <w:rsid w:val="00B53FFF"/>
    <w:rsid w:val="00B56135"/>
    <w:rsid w:val="00B5633D"/>
    <w:rsid w:val="00B57193"/>
    <w:rsid w:val="00B57AF6"/>
    <w:rsid w:val="00B71E7D"/>
    <w:rsid w:val="00B7261A"/>
    <w:rsid w:val="00B77C99"/>
    <w:rsid w:val="00B80E29"/>
    <w:rsid w:val="00B8540F"/>
    <w:rsid w:val="00B85A75"/>
    <w:rsid w:val="00B87342"/>
    <w:rsid w:val="00B87C62"/>
    <w:rsid w:val="00B91B9E"/>
    <w:rsid w:val="00B96C9A"/>
    <w:rsid w:val="00BA0145"/>
    <w:rsid w:val="00BA0D7D"/>
    <w:rsid w:val="00BA25D6"/>
    <w:rsid w:val="00BA57DB"/>
    <w:rsid w:val="00BB1F60"/>
    <w:rsid w:val="00BC12CF"/>
    <w:rsid w:val="00BC35AA"/>
    <w:rsid w:val="00BC4A39"/>
    <w:rsid w:val="00BC4CA5"/>
    <w:rsid w:val="00BC56B8"/>
    <w:rsid w:val="00BC69EC"/>
    <w:rsid w:val="00BC74BC"/>
    <w:rsid w:val="00BD034D"/>
    <w:rsid w:val="00BD2010"/>
    <w:rsid w:val="00BD4F2F"/>
    <w:rsid w:val="00BD682B"/>
    <w:rsid w:val="00BD7F15"/>
    <w:rsid w:val="00BE28C4"/>
    <w:rsid w:val="00BE4728"/>
    <w:rsid w:val="00BE5DEF"/>
    <w:rsid w:val="00BF471C"/>
    <w:rsid w:val="00BF4E06"/>
    <w:rsid w:val="00C001A1"/>
    <w:rsid w:val="00C034BA"/>
    <w:rsid w:val="00C046E4"/>
    <w:rsid w:val="00C139AB"/>
    <w:rsid w:val="00C149F3"/>
    <w:rsid w:val="00C16F63"/>
    <w:rsid w:val="00C173ED"/>
    <w:rsid w:val="00C220E6"/>
    <w:rsid w:val="00C25F3E"/>
    <w:rsid w:val="00C31FCA"/>
    <w:rsid w:val="00C3243A"/>
    <w:rsid w:val="00C32AA1"/>
    <w:rsid w:val="00C339D6"/>
    <w:rsid w:val="00C345DC"/>
    <w:rsid w:val="00C352F7"/>
    <w:rsid w:val="00C36BCC"/>
    <w:rsid w:val="00C37110"/>
    <w:rsid w:val="00C45DFF"/>
    <w:rsid w:val="00C47945"/>
    <w:rsid w:val="00C53D56"/>
    <w:rsid w:val="00C54DAB"/>
    <w:rsid w:val="00C54EB1"/>
    <w:rsid w:val="00C60EB5"/>
    <w:rsid w:val="00C62841"/>
    <w:rsid w:val="00C632FF"/>
    <w:rsid w:val="00C647C0"/>
    <w:rsid w:val="00C64C5F"/>
    <w:rsid w:val="00C705A5"/>
    <w:rsid w:val="00C7096A"/>
    <w:rsid w:val="00C724FC"/>
    <w:rsid w:val="00C81A69"/>
    <w:rsid w:val="00C832F6"/>
    <w:rsid w:val="00C8435C"/>
    <w:rsid w:val="00C84927"/>
    <w:rsid w:val="00C8557A"/>
    <w:rsid w:val="00C8606A"/>
    <w:rsid w:val="00C863B5"/>
    <w:rsid w:val="00C87012"/>
    <w:rsid w:val="00C902ED"/>
    <w:rsid w:val="00C94990"/>
    <w:rsid w:val="00C95CCA"/>
    <w:rsid w:val="00C96E4E"/>
    <w:rsid w:val="00CA077E"/>
    <w:rsid w:val="00CA2867"/>
    <w:rsid w:val="00CA3A80"/>
    <w:rsid w:val="00CA41E8"/>
    <w:rsid w:val="00CA4C24"/>
    <w:rsid w:val="00CA5889"/>
    <w:rsid w:val="00CA703F"/>
    <w:rsid w:val="00CB2FE9"/>
    <w:rsid w:val="00CB44E5"/>
    <w:rsid w:val="00CB744C"/>
    <w:rsid w:val="00CC13B9"/>
    <w:rsid w:val="00CC2C25"/>
    <w:rsid w:val="00CC386D"/>
    <w:rsid w:val="00CC464F"/>
    <w:rsid w:val="00CC4EAE"/>
    <w:rsid w:val="00CC5479"/>
    <w:rsid w:val="00CC67C7"/>
    <w:rsid w:val="00CC6934"/>
    <w:rsid w:val="00CC6E45"/>
    <w:rsid w:val="00CC740B"/>
    <w:rsid w:val="00CD16C1"/>
    <w:rsid w:val="00CD4638"/>
    <w:rsid w:val="00CD5668"/>
    <w:rsid w:val="00CD60B6"/>
    <w:rsid w:val="00CD6B2E"/>
    <w:rsid w:val="00CD6EF8"/>
    <w:rsid w:val="00CD74B5"/>
    <w:rsid w:val="00CE3430"/>
    <w:rsid w:val="00CE4E4B"/>
    <w:rsid w:val="00CE579F"/>
    <w:rsid w:val="00CE6D5D"/>
    <w:rsid w:val="00CE7A8E"/>
    <w:rsid w:val="00CF09B5"/>
    <w:rsid w:val="00CF2B42"/>
    <w:rsid w:val="00CF4873"/>
    <w:rsid w:val="00CF5BA8"/>
    <w:rsid w:val="00D03C01"/>
    <w:rsid w:val="00D04CE6"/>
    <w:rsid w:val="00D069B6"/>
    <w:rsid w:val="00D07C49"/>
    <w:rsid w:val="00D11AEA"/>
    <w:rsid w:val="00D132CE"/>
    <w:rsid w:val="00D1484D"/>
    <w:rsid w:val="00D16AF9"/>
    <w:rsid w:val="00D21ABE"/>
    <w:rsid w:val="00D2305A"/>
    <w:rsid w:val="00D245B4"/>
    <w:rsid w:val="00D25BD2"/>
    <w:rsid w:val="00D30374"/>
    <w:rsid w:val="00D316EC"/>
    <w:rsid w:val="00D3206A"/>
    <w:rsid w:val="00D34993"/>
    <w:rsid w:val="00D40653"/>
    <w:rsid w:val="00D41337"/>
    <w:rsid w:val="00D43CB1"/>
    <w:rsid w:val="00D45698"/>
    <w:rsid w:val="00D47DFB"/>
    <w:rsid w:val="00D51504"/>
    <w:rsid w:val="00D51681"/>
    <w:rsid w:val="00D53C60"/>
    <w:rsid w:val="00D56596"/>
    <w:rsid w:val="00D56882"/>
    <w:rsid w:val="00D569AB"/>
    <w:rsid w:val="00D56F2B"/>
    <w:rsid w:val="00D57581"/>
    <w:rsid w:val="00D6091A"/>
    <w:rsid w:val="00D65730"/>
    <w:rsid w:val="00D65A88"/>
    <w:rsid w:val="00D67254"/>
    <w:rsid w:val="00D7068D"/>
    <w:rsid w:val="00D731BA"/>
    <w:rsid w:val="00D7371E"/>
    <w:rsid w:val="00D747B1"/>
    <w:rsid w:val="00D76C12"/>
    <w:rsid w:val="00D83D44"/>
    <w:rsid w:val="00D8458A"/>
    <w:rsid w:val="00D84F34"/>
    <w:rsid w:val="00D870C3"/>
    <w:rsid w:val="00D93FE3"/>
    <w:rsid w:val="00D942E4"/>
    <w:rsid w:val="00D96264"/>
    <w:rsid w:val="00DA08F9"/>
    <w:rsid w:val="00DB400F"/>
    <w:rsid w:val="00DB4D3C"/>
    <w:rsid w:val="00DB5E9D"/>
    <w:rsid w:val="00DC340F"/>
    <w:rsid w:val="00DC442C"/>
    <w:rsid w:val="00DC7728"/>
    <w:rsid w:val="00DD3558"/>
    <w:rsid w:val="00DD6096"/>
    <w:rsid w:val="00DD7677"/>
    <w:rsid w:val="00DE2C2D"/>
    <w:rsid w:val="00DE34B3"/>
    <w:rsid w:val="00DE3E91"/>
    <w:rsid w:val="00DE5054"/>
    <w:rsid w:val="00DE55C5"/>
    <w:rsid w:val="00DE577A"/>
    <w:rsid w:val="00DE5DBA"/>
    <w:rsid w:val="00DE6614"/>
    <w:rsid w:val="00DF02B9"/>
    <w:rsid w:val="00DF083E"/>
    <w:rsid w:val="00DF2373"/>
    <w:rsid w:val="00DF37E9"/>
    <w:rsid w:val="00DF386F"/>
    <w:rsid w:val="00DF599B"/>
    <w:rsid w:val="00DF6D11"/>
    <w:rsid w:val="00E013E8"/>
    <w:rsid w:val="00E01C9C"/>
    <w:rsid w:val="00E035EC"/>
    <w:rsid w:val="00E03C3F"/>
    <w:rsid w:val="00E054AF"/>
    <w:rsid w:val="00E12213"/>
    <w:rsid w:val="00E132CB"/>
    <w:rsid w:val="00E15254"/>
    <w:rsid w:val="00E16588"/>
    <w:rsid w:val="00E16F57"/>
    <w:rsid w:val="00E17C4C"/>
    <w:rsid w:val="00E229C8"/>
    <w:rsid w:val="00E356F6"/>
    <w:rsid w:val="00E411EE"/>
    <w:rsid w:val="00E427D5"/>
    <w:rsid w:val="00E44174"/>
    <w:rsid w:val="00E51905"/>
    <w:rsid w:val="00E51B4D"/>
    <w:rsid w:val="00E51B9C"/>
    <w:rsid w:val="00E52693"/>
    <w:rsid w:val="00E535E3"/>
    <w:rsid w:val="00E61C3C"/>
    <w:rsid w:val="00E676A3"/>
    <w:rsid w:val="00E722B6"/>
    <w:rsid w:val="00E7534E"/>
    <w:rsid w:val="00E75AF7"/>
    <w:rsid w:val="00E762FB"/>
    <w:rsid w:val="00E813A2"/>
    <w:rsid w:val="00E8516C"/>
    <w:rsid w:val="00E8770F"/>
    <w:rsid w:val="00E87C48"/>
    <w:rsid w:val="00E91A96"/>
    <w:rsid w:val="00E96997"/>
    <w:rsid w:val="00E97EC2"/>
    <w:rsid w:val="00EA23A0"/>
    <w:rsid w:val="00EA2C68"/>
    <w:rsid w:val="00EA738B"/>
    <w:rsid w:val="00EA73EA"/>
    <w:rsid w:val="00EB023A"/>
    <w:rsid w:val="00EB14ED"/>
    <w:rsid w:val="00EB1577"/>
    <w:rsid w:val="00EB1716"/>
    <w:rsid w:val="00EB219F"/>
    <w:rsid w:val="00EB2D23"/>
    <w:rsid w:val="00EB559D"/>
    <w:rsid w:val="00EB7A6A"/>
    <w:rsid w:val="00EC1F44"/>
    <w:rsid w:val="00EC2D5A"/>
    <w:rsid w:val="00EC441A"/>
    <w:rsid w:val="00EC60DE"/>
    <w:rsid w:val="00EC705E"/>
    <w:rsid w:val="00ED7132"/>
    <w:rsid w:val="00EE5337"/>
    <w:rsid w:val="00EE549C"/>
    <w:rsid w:val="00EE6DC1"/>
    <w:rsid w:val="00EF15F4"/>
    <w:rsid w:val="00EF2E57"/>
    <w:rsid w:val="00EF3105"/>
    <w:rsid w:val="00EF4A42"/>
    <w:rsid w:val="00EF4C05"/>
    <w:rsid w:val="00EF4CA0"/>
    <w:rsid w:val="00EF5680"/>
    <w:rsid w:val="00EF6ADC"/>
    <w:rsid w:val="00EF7584"/>
    <w:rsid w:val="00F064F7"/>
    <w:rsid w:val="00F1179A"/>
    <w:rsid w:val="00F11960"/>
    <w:rsid w:val="00F11977"/>
    <w:rsid w:val="00F12E70"/>
    <w:rsid w:val="00F24422"/>
    <w:rsid w:val="00F24644"/>
    <w:rsid w:val="00F25290"/>
    <w:rsid w:val="00F25D68"/>
    <w:rsid w:val="00F26C0C"/>
    <w:rsid w:val="00F27035"/>
    <w:rsid w:val="00F30553"/>
    <w:rsid w:val="00F313E0"/>
    <w:rsid w:val="00F33A33"/>
    <w:rsid w:val="00F37166"/>
    <w:rsid w:val="00F401CD"/>
    <w:rsid w:val="00F402C1"/>
    <w:rsid w:val="00F424D1"/>
    <w:rsid w:val="00F4478E"/>
    <w:rsid w:val="00F46EA4"/>
    <w:rsid w:val="00F4716E"/>
    <w:rsid w:val="00F476AD"/>
    <w:rsid w:val="00F5275B"/>
    <w:rsid w:val="00F539A0"/>
    <w:rsid w:val="00F5670A"/>
    <w:rsid w:val="00F60105"/>
    <w:rsid w:val="00F60C4E"/>
    <w:rsid w:val="00F60DDA"/>
    <w:rsid w:val="00F61668"/>
    <w:rsid w:val="00F61C3E"/>
    <w:rsid w:val="00F62750"/>
    <w:rsid w:val="00F628DB"/>
    <w:rsid w:val="00F62FAE"/>
    <w:rsid w:val="00F639B6"/>
    <w:rsid w:val="00F654EA"/>
    <w:rsid w:val="00F656FD"/>
    <w:rsid w:val="00F667BE"/>
    <w:rsid w:val="00F733EA"/>
    <w:rsid w:val="00F743B0"/>
    <w:rsid w:val="00F74DD6"/>
    <w:rsid w:val="00F80DAF"/>
    <w:rsid w:val="00F80EBD"/>
    <w:rsid w:val="00F81A37"/>
    <w:rsid w:val="00F822CC"/>
    <w:rsid w:val="00F82627"/>
    <w:rsid w:val="00F868F0"/>
    <w:rsid w:val="00F900AA"/>
    <w:rsid w:val="00F90255"/>
    <w:rsid w:val="00F90F7B"/>
    <w:rsid w:val="00F913D4"/>
    <w:rsid w:val="00F914EB"/>
    <w:rsid w:val="00F917A3"/>
    <w:rsid w:val="00F93A45"/>
    <w:rsid w:val="00F95C57"/>
    <w:rsid w:val="00F96972"/>
    <w:rsid w:val="00FA1AF1"/>
    <w:rsid w:val="00FA2604"/>
    <w:rsid w:val="00FA5905"/>
    <w:rsid w:val="00FA61DE"/>
    <w:rsid w:val="00FA71BF"/>
    <w:rsid w:val="00FB2E5A"/>
    <w:rsid w:val="00FB4BC2"/>
    <w:rsid w:val="00FB588E"/>
    <w:rsid w:val="00FC08AD"/>
    <w:rsid w:val="00FC0FA7"/>
    <w:rsid w:val="00FC216C"/>
    <w:rsid w:val="00FC65B9"/>
    <w:rsid w:val="00FC74F8"/>
    <w:rsid w:val="00FD101E"/>
    <w:rsid w:val="00FD292F"/>
    <w:rsid w:val="00FD374B"/>
    <w:rsid w:val="00FD3EFE"/>
    <w:rsid w:val="00FD4273"/>
    <w:rsid w:val="00FD4F8B"/>
    <w:rsid w:val="00FD554B"/>
    <w:rsid w:val="00FD5948"/>
    <w:rsid w:val="00FD5E8E"/>
    <w:rsid w:val="00FD5FE8"/>
    <w:rsid w:val="00FD7FC1"/>
    <w:rsid w:val="00FE517B"/>
    <w:rsid w:val="00FE7A3A"/>
    <w:rsid w:val="00FF1C8F"/>
    <w:rsid w:val="00FF4049"/>
    <w:rsid w:val="00FF4180"/>
    <w:rsid w:val="00FF6563"/>
    <w:rsid w:val="00FF6A33"/>
    <w:rsid w:val="00FF7E63"/>
    <w:rsid w:val="03CE6AC1"/>
    <w:rsid w:val="03EDBAE9"/>
    <w:rsid w:val="04F18466"/>
    <w:rsid w:val="051496E9"/>
    <w:rsid w:val="06527ACF"/>
    <w:rsid w:val="07DEA3F0"/>
    <w:rsid w:val="0B8F298F"/>
    <w:rsid w:val="0C209F51"/>
    <w:rsid w:val="0C21CE41"/>
    <w:rsid w:val="0DFA7635"/>
    <w:rsid w:val="0ECDBABD"/>
    <w:rsid w:val="0F85D50D"/>
    <w:rsid w:val="101EA9CD"/>
    <w:rsid w:val="125CEF06"/>
    <w:rsid w:val="12F35CF6"/>
    <w:rsid w:val="13D45326"/>
    <w:rsid w:val="15FB6F85"/>
    <w:rsid w:val="168CE547"/>
    <w:rsid w:val="177690A0"/>
    <w:rsid w:val="178F208A"/>
    <w:rsid w:val="18D8B09C"/>
    <w:rsid w:val="19ADEE5D"/>
    <w:rsid w:val="1BE260AD"/>
    <w:rsid w:val="1DA36AEB"/>
    <w:rsid w:val="1DF9A69C"/>
    <w:rsid w:val="1E2C712D"/>
    <w:rsid w:val="1F384AE0"/>
    <w:rsid w:val="20957D46"/>
    <w:rsid w:val="21477078"/>
    <w:rsid w:val="27B5E8AE"/>
    <w:rsid w:val="2857A618"/>
    <w:rsid w:val="30FC4EC3"/>
    <w:rsid w:val="3265F6A3"/>
    <w:rsid w:val="32D7EB14"/>
    <w:rsid w:val="3434215B"/>
    <w:rsid w:val="346B9C19"/>
    <w:rsid w:val="34A6AC97"/>
    <w:rsid w:val="375EDD64"/>
    <w:rsid w:val="3811D6A0"/>
    <w:rsid w:val="382FB7ED"/>
    <w:rsid w:val="39DEFB4E"/>
    <w:rsid w:val="3A066A25"/>
    <w:rsid w:val="3B0D9D96"/>
    <w:rsid w:val="3B262D80"/>
    <w:rsid w:val="3C652644"/>
    <w:rsid w:val="3D2E30D6"/>
    <w:rsid w:val="3DD477DC"/>
    <w:rsid w:val="3EE4F8EC"/>
    <w:rsid w:val="3FF1C69B"/>
    <w:rsid w:val="42CD5E9D"/>
    <w:rsid w:val="43218890"/>
    <w:rsid w:val="43A3CB4E"/>
    <w:rsid w:val="4567CB4D"/>
    <w:rsid w:val="467C1ECF"/>
    <w:rsid w:val="46CE0EFA"/>
    <w:rsid w:val="479947DC"/>
    <w:rsid w:val="486E859D"/>
    <w:rsid w:val="4A7688F3"/>
    <w:rsid w:val="4D9859F3"/>
    <w:rsid w:val="4F71D684"/>
    <w:rsid w:val="50D26491"/>
    <w:rsid w:val="50EAF47B"/>
    <w:rsid w:val="551096B4"/>
    <w:rsid w:val="557F9C49"/>
    <w:rsid w:val="559E4DD0"/>
    <w:rsid w:val="55B80CAA"/>
    <w:rsid w:val="56BB76DD"/>
    <w:rsid w:val="56FF3EDC"/>
    <w:rsid w:val="57FBE977"/>
    <w:rsid w:val="59689249"/>
    <w:rsid w:val="5AAFC47B"/>
    <w:rsid w:val="5D311155"/>
    <w:rsid w:val="5E797277"/>
    <w:rsid w:val="60F2087D"/>
    <w:rsid w:val="62EDFB00"/>
    <w:rsid w:val="630064C7"/>
    <w:rsid w:val="64DA3BAB"/>
    <w:rsid w:val="66F4B265"/>
    <w:rsid w:val="66F5E155"/>
    <w:rsid w:val="683D1387"/>
    <w:rsid w:val="68CE8949"/>
    <w:rsid w:val="68CFB839"/>
    <w:rsid w:val="68FB9393"/>
    <w:rsid w:val="6CBCB0C4"/>
    <w:rsid w:val="6D9BA178"/>
    <w:rsid w:val="6F725033"/>
    <w:rsid w:val="7078B8AE"/>
    <w:rsid w:val="72C48403"/>
    <w:rsid w:val="72EE506C"/>
    <w:rsid w:val="7616E166"/>
    <w:rsid w:val="76181056"/>
    <w:rsid w:val="76573213"/>
    <w:rsid w:val="794DFFB7"/>
    <w:rsid w:val="7AE3F995"/>
    <w:rsid w:val="7C75940E"/>
    <w:rsid w:val="7D43673E"/>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4359259"/>
  <w15:docId w15:val="{B7ADC0F3-E787-4CBE-91E2-57782EE8B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ANEXO"/>
    <w:basedOn w:val="Normal"/>
    <w:next w:val="Normal"/>
    <w:link w:val="Ttulo1Car"/>
    <w:qFormat/>
    <w:rsid w:val="005C1BCA"/>
    <w:pPr>
      <w:keepNext/>
      <w:spacing w:after="0" w:line="240" w:lineRule="auto"/>
      <w:ind w:left="567"/>
      <w:jc w:val="center"/>
      <w:outlineLvl w:val="0"/>
    </w:pPr>
    <w:rPr>
      <w:rFonts w:ascii="CG Times" w:eastAsia="Times New Roman" w:hAnsi="CG Times" w:cs="Times New Roman"/>
      <w:b/>
      <w:sz w:val="24"/>
      <w:szCs w:val="20"/>
      <w:lang w:eastAsia="es-ES"/>
    </w:rPr>
  </w:style>
  <w:style w:type="paragraph" w:styleId="Ttulo2">
    <w:name w:val="heading 2"/>
    <w:basedOn w:val="Normal"/>
    <w:next w:val="Normal"/>
    <w:link w:val="Ttulo2Car"/>
    <w:uiPriority w:val="9"/>
    <w:unhideWhenUsed/>
    <w:qFormat/>
    <w:rsid w:val="007917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5C1BCA"/>
    <w:pPr>
      <w:keepNext/>
      <w:spacing w:after="0" w:line="240" w:lineRule="auto"/>
      <w:ind w:left="567"/>
      <w:jc w:val="center"/>
      <w:outlineLvl w:val="2"/>
    </w:pPr>
    <w:rPr>
      <w:rFonts w:ascii="CG Times" w:eastAsia="Times New Roman" w:hAnsi="CG Times" w:cs="Times New Roman"/>
      <w:b/>
      <w:snapToGrid w:val="0"/>
      <w:color w:val="000000"/>
      <w:sz w:val="24"/>
      <w:szCs w:val="20"/>
      <w:lang w:val="es-ES_tradnl" w:eastAsia="es-ES"/>
    </w:rPr>
  </w:style>
  <w:style w:type="paragraph" w:styleId="Ttulo4">
    <w:name w:val="heading 4"/>
    <w:basedOn w:val="Normal"/>
    <w:next w:val="Normal"/>
    <w:link w:val="Ttulo4Car"/>
    <w:qFormat/>
    <w:rsid w:val="005C1BCA"/>
    <w:pPr>
      <w:keepNext/>
      <w:spacing w:after="0" w:line="240" w:lineRule="auto"/>
      <w:ind w:left="567"/>
      <w:jc w:val="center"/>
      <w:outlineLvl w:val="3"/>
    </w:pPr>
    <w:rPr>
      <w:rFonts w:ascii="Arial" w:eastAsia="Times New Roman" w:hAnsi="Arial" w:cs="Arial"/>
      <w:b/>
      <w:snapToGrid w:val="0"/>
      <w:color w:val="000000"/>
      <w:spacing w:val="20"/>
      <w:sz w:val="20"/>
      <w:szCs w:val="20"/>
      <w:lang w:val="es-ES_tradnl" w:eastAsia="es-ES"/>
    </w:rPr>
  </w:style>
  <w:style w:type="paragraph" w:styleId="Ttulo5">
    <w:name w:val="heading 5"/>
    <w:basedOn w:val="Normal"/>
    <w:next w:val="Normal"/>
    <w:link w:val="Ttulo5Car"/>
    <w:qFormat/>
    <w:rsid w:val="005C1BCA"/>
    <w:pPr>
      <w:keepNext/>
      <w:spacing w:after="0" w:line="240" w:lineRule="auto"/>
      <w:ind w:left="567"/>
      <w:jc w:val="center"/>
      <w:outlineLvl w:val="4"/>
    </w:pPr>
    <w:rPr>
      <w:rFonts w:ascii="Arial" w:eastAsia="Times New Roman" w:hAnsi="Arial" w:cs="Arial"/>
      <w:b/>
      <w:snapToGrid w:val="0"/>
      <w:color w:val="000000"/>
      <w:spacing w:val="20"/>
      <w:sz w:val="28"/>
      <w:szCs w:val="20"/>
      <w:lang w:val="es-ES_tradnl" w:eastAsia="es-ES"/>
    </w:rPr>
  </w:style>
  <w:style w:type="paragraph" w:styleId="Ttulo6">
    <w:name w:val="heading 6"/>
    <w:basedOn w:val="Normal"/>
    <w:next w:val="Normal"/>
    <w:link w:val="Ttulo6Car"/>
    <w:unhideWhenUsed/>
    <w:qFormat/>
    <w:rsid w:val="005C1BCA"/>
    <w:pPr>
      <w:spacing w:before="240" w:after="60" w:line="240" w:lineRule="auto"/>
      <w:ind w:left="567"/>
      <w:outlineLvl w:val="5"/>
    </w:pPr>
    <w:rPr>
      <w:rFonts w:ascii="Calibri" w:eastAsia="Times New Roman" w:hAnsi="Calibri" w:cs="Times New Roman"/>
      <w:b/>
      <w:bCs/>
      <w:lang w:val="es-ES" w:eastAsia="es-ES"/>
    </w:rPr>
  </w:style>
  <w:style w:type="paragraph" w:styleId="Ttulo7">
    <w:name w:val="heading 7"/>
    <w:basedOn w:val="Normal"/>
    <w:next w:val="Normal"/>
    <w:link w:val="Ttulo7Car"/>
    <w:uiPriority w:val="9"/>
    <w:semiHidden/>
    <w:unhideWhenUsed/>
    <w:qFormat/>
    <w:rsid w:val="005C1BCA"/>
    <w:pPr>
      <w:spacing w:before="240" w:after="60" w:line="240" w:lineRule="auto"/>
      <w:ind w:left="567"/>
      <w:outlineLvl w:val="6"/>
    </w:pPr>
    <w:rPr>
      <w:rFonts w:ascii="Calibri" w:eastAsia="Times New Roman" w:hAnsi="Calibri"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5C1BCA"/>
    <w:pPr>
      <w:ind w:left="720"/>
      <w:contextualSpacing/>
    </w:pPr>
  </w:style>
  <w:style w:type="character" w:customStyle="1" w:styleId="Ttulo1Car">
    <w:name w:val="Título 1 Car"/>
    <w:aliases w:val="ANEXO Car"/>
    <w:basedOn w:val="Fuentedeprrafopredeter"/>
    <w:link w:val="Ttulo1"/>
    <w:rsid w:val="005C1BCA"/>
    <w:rPr>
      <w:rFonts w:ascii="CG Times" w:eastAsia="Times New Roman" w:hAnsi="CG Times" w:cs="Times New Roman"/>
      <w:b/>
      <w:sz w:val="24"/>
      <w:szCs w:val="20"/>
      <w:lang w:eastAsia="es-ES"/>
    </w:rPr>
  </w:style>
  <w:style w:type="character" w:customStyle="1" w:styleId="Ttulo3Car">
    <w:name w:val="Título 3 Car"/>
    <w:basedOn w:val="Fuentedeprrafopredeter"/>
    <w:link w:val="Ttulo3"/>
    <w:rsid w:val="005C1BCA"/>
    <w:rPr>
      <w:rFonts w:ascii="CG Times" w:eastAsia="Times New Roman" w:hAnsi="CG Times" w:cs="Times New Roman"/>
      <w:b/>
      <w:snapToGrid w:val="0"/>
      <w:color w:val="000000"/>
      <w:sz w:val="24"/>
      <w:szCs w:val="20"/>
      <w:lang w:val="es-ES_tradnl" w:eastAsia="es-ES"/>
    </w:rPr>
  </w:style>
  <w:style w:type="character" w:customStyle="1" w:styleId="Ttulo4Car">
    <w:name w:val="Título 4 Car"/>
    <w:basedOn w:val="Fuentedeprrafopredeter"/>
    <w:link w:val="Ttulo4"/>
    <w:rsid w:val="005C1BCA"/>
    <w:rPr>
      <w:rFonts w:ascii="Arial" w:eastAsia="Times New Roman" w:hAnsi="Arial" w:cs="Arial"/>
      <w:b/>
      <w:snapToGrid w:val="0"/>
      <w:color w:val="000000"/>
      <w:spacing w:val="20"/>
      <w:sz w:val="20"/>
      <w:szCs w:val="20"/>
      <w:lang w:val="es-ES_tradnl" w:eastAsia="es-ES"/>
    </w:rPr>
  </w:style>
  <w:style w:type="character" w:customStyle="1" w:styleId="Ttulo5Car">
    <w:name w:val="Título 5 Car"/>
    <w:basedOn w:val="Fuentedeprrafopredeter"/>
    <w:link w:val="Ttulo5"/>
    <w:rsid w:val="005C1BCA"/>
    <w:rPr>
      <w:rFonts w:ascii="Arial" w:eastAsia="Times New Roman" w:hAnsi="Arial" w:cs="Arial"/>
      <w:b/>
      <w:snapToGrid w:val="0"/>
      <w:color w:val="000000"/>
      <w:spacing w:val="20"/>
      <w:sz w:val="28"/>
      <w:szCs w:val="20"/>
      <w:lang w:val="es-ES_tradnl" w:eastAsia="es-ES"/>
    </w:rPr>
  </w:style>
  <w:style w:type="character" w:customStyle="1" w:styleId="Ttulo6Car">
    <w:name w:val="Título 6 Car"/>
    <w:basedOn w:val="Fuentedeprrafopredeter"/>
    <w:link w:val="Ttulo6"/>
    <w:rsid w:val="005C1BCA"/>
    <w:rPr>
      <w:rFonts w:ascii="Calibri" w:eastAsia="Times New Roman" w:hAnsi="Calibri" w:cs="Times New Roman"/>
      <w:b/>
      <w:bCs/>
      <w:lang w:val="es-ES" w:eastAsia="es-ES"/>
    </w:rPr>
  </w:style>
  <w:style w:type="character" w:customStyle="1" w:styleId="Ttulo7Car">
    <w:name w:val="Título 7 Car"/>
    <w:basedOn w:val="Fuentedeprrafopredeter"/>
    <w:link w:val="Ttulo7"/>
    <w:uiPriority w:val="9"/>
    <w:semiHidden/>
    <w:rsid w:val="005C1BCA"/>
    <w:rPr>
      <w:rFonts w:ascii="Calibri" w:eastAsia="Times New Roman" w:hAnsi="Calibri" w:cs="Times New Roman"/>
      <w:sz w:val="24"/>
      <w:szCs w:val="24"/>
      <w:lang w:val="es-ES" w:eastAsia="es-ES"/>
    </w:rPr>
  </w:style>
  <w:style w:type="paragraph" w:styleId="Encabezado">
    <w:name w:val="header"/>
    <w:basedOn w:val="Normal"/>
    <w:link w:val="EncabezadoCar"/>
    <w:rsid w:val="005C1BCA"/>
    <w:pPr>
      <w:tabs>
        <w:tab w:val="center" w:pos="4252"/>
        <w:tab w:val="right" w:pos="8504"/>
      </w:tabs>
      <w:spacing w:after="0" w:line="240" w:lineRule="auto"/>
      <w:ind w:left="567"/>
    </w:pPr>
    <w:rPr>
      <w:rFonts w:ascii="CG Times" w:eastAsia="Times New Roman" w:hAnsi="CG Times" w:cs="Times New Roman"/>
      <w:sz w:val="24"/>
      <w:szCs w:val="20"/>
      <w:lang w:eastAsia="es-ES"/>
    </w:rPr>
  </w:style>
  <w:style w:type="character" w:customStyle="1" w:styleId="EncabezadoCar">
    <w:name w:val="Encabezado Car"/>
    <w:basedOn w:val="Fuentedeprrafopredeter"/>
    <w:link w:val="Encabezado"/>
    <w:rsid w:val="005C1BCA"/>
    <w:rPr>
      <w:rFonts w:ascii="CG Times" w:eastAsia="Times New Roman" w:hAnsi="CG Times" w:cs="Times New Roman"/>
      <w:sz w:val="24"/>
      <w:szCs w:val="20"/>
      <w:lang w:eastAsia="es-ES"/>
    </w:rPr>
  </w:style>
  <w:style w:type="paragraph" w:styleId="Piedepgina">
    <w:name w:val="footer"/>
    <w:basedOn w:val="Normal"/>
    <w:link w:val="PiedepginaCar"/>
    <w:rsid w:val="005C1BCA"/>
    <w:pPr>
      <w:tabs>
        <w:tab w:val="center" w:pos="4252"/>
        <w:tab w:val="right" w:pos="8504"/>
      </w:tabs>
      <w:spacing w:after="0" w:line="240" w:lineRule="auto"/>
      <w:ind w:left="567"/>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5C1BCA"/>
    <w:rPr>
      <w:rFonts w:ascii="Times New Roman" w:eastAsia="Times New Roman" w:hAnsi="Times New Roman" w:cs="Times New Roman"/>
      <w:sz w:val="24"/>
      <w:szCs w:val="24"/>
      <w:lang w:val="es-ES" w:eastAsia="es-ES"/>
    </w:rPr>
  </w:style>
  <w:style w:type="paragraph" w:customStyle="1" w:styleId="Estilo1">
    <w:name w:val="Estilo1"/>
    <w:basedOn w:val="Normal"/>
    <w:rsid w:val="005C1BCA"/>
    <w:pPr>
      <w:shd w:val="clear" w:color="auto" w:fill="C0C0C0"/>
      <w:spacing w:after="0" w:line="240" w:lineRule="auto"/>
      <w:ind w:left="567"/>
      <w:jc w:val="center"/>
    </w:pPr>
    <w:rPr>
      <w:rFonts w:ascii="Comic Sans MS" w:eastAsia="Times New Roman" w:hAnsi="Comic Sans MS" w:cs="Times New Roman"/>
      <w:color w:val="0000FF"/>
      <w:sz w:val="36"/>
      <w:szCs w:val="20"/>
      <w:lang w:eastAsia="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5C1BCA"/>
  </w:style>
  <w:style w:type="paragraph" w:styleId="Textoindependiente">
    <w:name w:val="Body Text"/>
    <w:basedOn w:val="Normal"/>
    <w:link w:val="TextoindependienteCar"/>
    <w:semiHidden/>
    <w:rsid w:val="005C1BCA"/>
    <w:pPr>
      <w:spacing w:after="0" w:line="240" w:lineRule="auto"/>
      <w:ind w:left="567"/>
      <w:jc w:val="center"/>
    </w:pPr>
    <w:rPr>
      <w:rFonts w:ascii="Arial" w:eastAsia="Times New Roman" w:hAnsi="Arial" w:cs="Arial"/>
      <w:b/>
      <w:bCs/>
      <w:sz w:val="24"/>
      <w:szCs w:val="24"/>
      <w:lang w:val="es-ES" w:eastAsia="es-ES"/>
    </w:rPr>
  </w:style>
  <w:style w:type="character" w:customStyle="1" w:styleId="TextoindependienteCar">
    <w:name w:val="Texto independiente Car"/>
    <w:basedOn w:val="Fuentedeprrafopredeter"/>
    <w:link w:val="Textoindependiente"/>
    <w:semiHidden/>
    <w:rsid w:val="005C1BCA"/>
    <w:rPr>
      <w:rFonts w:ascii="Arial" w:eastAsia="Times New Roman" w:hAnsi="Arial" w:cs="Arial"/>
      <w:b/>
      <w:bCs/>
      <w:sz w:val="24"/>
      <w:szCs w:val="24"/>
      <w:lang w:val="es-ES" w:eastAsia="es-ES"/>
    </w:rPr>
  </w:style>
  <w:style w:type="paragraph" w:styleId="Textoindependiente3">
    <w:name w:val="Body Text 3"/>
    <w:basedOn w:val="Normal"/>
    <w:link w:val="Textoindependiente3Car"/>
    <w:semiHidden/>
    <w:rsid w:val="005C1BCA"/>
    <w:pPr>
      <w:spacing w:after="0" w:line="240" w:lineRule="auto"/>
      <w:ind w:left="567"/>
      <w:jc w:val="center"/>
      <w:outlineLvl w:val="0"/>
    </w:pPr>
    <w:rPr>
      <w:rFonts w:ascii="Arial" w:eastAsia="Times New Roman" w:hAnsi="Arial" w:cs="Arial"/>
      <w:b/>
      <w:bCs/>
      <w:spacing w:val="-3"/>
      <w:sz w:val="24"/>
      <w:szCs w:val="24"/>
      <w:lang w:val="es-ES" w:eastAsia="es-ES"/>
    </w:rPr>
  </w:style>
  <w:style w:type="character" w:customStyle="1" w:styleId="Textoindependiente3Car">
    <w:name w:val="Texto independiente 3 Car"/>
    <w:basedOn w:val="Fuentedeprrafopredeter"/>
    <w:link w:val="Textoindependiente3"/>
    <w:semiHidden/>
    <w:rsid w:val="005C1BCA"/>
    <w:rPr>
      <w:rFonts w:ascii="Arial" w:eastAsia="Times New Roman" w:hAnsi="Arial" w:cs="Arial"/>
      <w:b/>
      <w:bCs/>
      <w:spacing w:val="-3"/>
      <w:sz w:val="24"/>
      <w:szCs w:val="24"/>
      <w:lang w:val="es-ES" w:eastAsia="es-ES"/>
    </w:rPr>
  </w:style>
  <w:style w:type="paragraph" w:styleId="Textodeglobo">
    <w:name w:val="Balloon Text"/>
    <w:basedOn w:val="Normal"/>
    <w:link w:val="TextodegloboCar"/>
    <w:uiPriority w:val="99"/>
    <w:semiHidden/>
    <w:unhideWhenUsed/>
    <w:rsid w:val="005C1BCA"/>
    <w:pPr>
      <w:spacing w:after="0" w:line="240" w:lineRule="auto"/>
      <w:ind w:left="567"/>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5C1BCA"/>
    <w:rPr>
      <w:rFonts w:ascii="Tahoma" w:eastAsia="Times New Roman" w:hAnsi="Tahoma" w:cs="Tahoma"/>
      <w:sz w:val="16"/>
      <w:szCs w:val="16"/>
      <w:lang w:val="es-ES" w:eastAsia="es-ES"/>
    </w:rPr>
  </w:style>
  <w:style w:type="table" w:styleId="Tablaconcuadrcula">
    <w:name w:val="Table Grid"/>
    <w:basedOn w:val="Tablanormal"/>
    <w:uiPriority w:val="59"/>
    <w:rsid w:val="005C1BCA"/>
    <w:pPr>
      <w:spacing w:after="0" w:line="240" w:lineRule="auto"/>
    </w:pPr>
    <w:rPr>
      <w:rFonts w:ascii="Times New Roman" w:eastAsia="Times New Roman" w:hAnsi="Times New Roman"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
    <w:name w:val="Title"/>
    <w:basedOn w:val="Normal"/>
    <w:link w:val="TtuloCar"/>
    <w:qFormat/>
    <w:rsid w:val="005C1BCA"/>
    <w:pPr>
      <w:widowControl w:val="0"/>
      <w:adjustRightInd w:val="0"/>
      <w:spacing w:after="0" w:line="360" w:lineRule="atLeast"/>
      <w:ind w:left="567"/>
      <w:jc w:val="center"/>
      <w:textAlignment w:val="baseline"/>
    </w:pPr>
    <w:rPr>
      <w:rFonts w:ascii="Arial" w:eastAsia="Times New Roman" w:hAnsi="Arial" w:cs="Arial"/>
      <w:b/>
      <w:bCs/>
      <w:sz w:val="24"/>
      <w:szCs w:val="24"/>
      <w:lang w:val="es-ES" w:eastAsia="es-ES"/>
    </w:rPr>
  </w:style>
  <w:style w:type="character" w:customStyle="1" w:styleId="TtuloCar">
    <w:name w:val="Título Car"/>
    <w:basedOn w:val="Fuentedeprrafopredeter"/>
    <w:link w:val="Ttulo"/>
    <w:rsid w:val="005C1BCA"/>
    <w:rPr>
      <w:rFonts w:ascii="Arial" w:eastAsia="Times New Roman" w:hAnsi="Arial" w:cs="Arial"/>
      <w:b/>
      <w:bCs/>
      <w:sz w:val="24"/>
      <w:szCs w:val="24"/>
      <w:lang w:val="es-ES" w:eastAsia="es-ES"/>
    </w:rPr>
  </w:style>
  <w:style w:type="character" w:customStyle="1" w:styleId="PrrafodelistaCar">
    <w:name w:val="Párrafo de lista Car"/>
    <w:link w:val="Prrafodelista"/>
    <w:uiPriority w:val="34"/>
    <w:rsid w:val="005C1BCA"/>
  </w:style>
  <w:style w:type="paragraph" w:styleId="TDC1">
    <w:name w:val="toc 1"/>
    <w:basedOn w:val="Normal"/>
    <w:next w:val="Normal"/>
    <w:autoRedefine/>
    <w:rsid w:val="005C1BCA"/>
    <w:pPr>
      <w:tabs>
        <w:tab w:val="left" w:pos="480"/>
        <w:tab w:val="right" w:leader="dot" w:pos="8828"/>
      </w:tabs>
      <w:spacing w:before="120" w:after="0" w:line="240" w:lineRule="auto"/>
      <w:ind w:left="567"/>
      <w:jc w:val="both"/>
    </w:pPr>
    <w:rPr>
      <w:rFonts w:ascii="Arial" w:eastAsia="Times New Roman" w:hAnsi="Arial" w:cs="Times New Roman"/>
      <w:noProof/>
      <w:sz w:val="24"/>
      <w:szCs w:val="24"/>
      <w:lang w:val="es-ES" w:eastAsia="es-ES"/>
    </w:rPr>
  </w:style>
  <w:style w:type="paragraph" w:styleId="Textodebloque">
    <w:name w:val="Block Text"/>
    <w:basedOn w:val="Normal"/>
    <w:rsid w:val="005C1BCA"/>
    <w:pPr>
      <w:suppressAutoHyphens/>
      <w:spacing w:after="240" w:line="240" w:lineRule="auto"/>
      <w:ind w:left="567" w:right="788"/>
      <w:jc w:val="both"/>
    </w:pPr>
    <w:rPr>
      <w:rFonts w:ascii="Arial" w:eastAsia="Times New Roman" w:hAnsi="Arial" w:cs="Times New Roman"/>
      <w:spacing w:val="-3"/>
      <w:sz w:val="24"/>
      <w:szCs w:val="20"/>
      <w:lang w:val="es-ES_tradnl" w:eastAsia="es-ES"/>
    </w:rPr>
  </w:style>
  <w:style w:type="paragraph" w:styleId="Textoindependiente2">
    <w:name w:val="Body Text 2"/>
    <w:basedOn w:val="Normal"/>
    <w:link w:val="Textoindependiente2Car"/>
    <w:uiPriority w:val="99"/>
    <w:unhideWhenUsed/>
    <w:rsid w:val="005C1BCA"/>
    <w:pPr>
      <w:spacing w:after="120" w:line="480" w:lineRule="auto"/>
      <w:ind w:left="567"/>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5C1BCA"/>
    <w:rPr>
      <w:rFonts w:ascii="Times New Roman" w:eastAsia="Times New Roman" w:hAnsi="Times New Roman" w:cs="Times New Roman"/>
      <w:sz w:val="24"/>
      <w:szCs w:val="24"/>
      <w:lang w:val="es-ES" w:eastAsia="es-ES"/>
    </w:rPr>
  </w:style>
  <w:style w:type="paragraph" w:styleId="Descripcin">
    <w:name w:val="caption"/>
    <w:basedOn w:val="Normal"/>
    <w:next w:val="Normal"/>
    <w:uiPriority w:val="35"/>
    <w:qFormat/>
    <w:rsid w:val="005C1BCA"/>
    <w:pPr>
      <w:widowControl w:val="0"/>
      <w:adjustRightInd w:val="0"/>
      <w:spacing w:before="120" w:after="120" w:line="360" w:lineRule="atLeast"/>
      <w:jc w:val="center"/>
      <w:textAlignment w:val="baseline"/>
    </w:pPr>
    <w:rPr>
      <w:rFonts w:ascii="Arial" w:eastAsia="Times New Roman" w:hAnsi="Arial" w:cs="Times New Roman"/>
      <w:sz w:val="20"/>
      <w:szCs w:val="20"/>
      <w:lang w:val="es-ES" w:eastAsia="es-ES"/>
    </w:rPr>
  </w:style>
  <w:style w:type="paragraph" w:styleId="Sinespaciado">
    <w:name w:val="No Spacing"/>
    <w:uiPriority w:val="1"/>
    <w:qFormat/>
    <w:rsid w:val="005C1BCA"/>
    <w:pPr>
      <w:spacing w:after="0" w:line="240" w:lineRule="auto"/>
    </w:pPr>
    <w:rPr>
      <w:rFonts w:ascii="Calibri" w:eastAsia="Times New Roman" w:hAnsi="Calibri" w:cs="Calibri"/>
      <w:lang w:val="es-ES"/>
    </w:rPr>
  </w:style>
  <w:style w:type="character" w:customStyle="1" w:styleId="apple-style-span">
    <w:name w:val="apple-style-span"/>
    <w:rsid w:val="005C1BCA"/>
    <w:rPr>
      <w:rFonts w:ascii="Times New Roman" w:hAnsi="Times New Roman" w:cs="Times New Roman"/>
    </w:rPr>
  </w:style>
  <w:style w:type="paragraph" w:styleId="Subttulo">
    <w:name w:val="Subtitle"/>
    <w:basedOn w:val="Normal"/>
    <w:link w:val="SubttuloCar"/>
    <w:qFormat/>
    <w:rsid w:val="005C1BCA"/>
    <w:pPr>
      <w:spacing w:after="0" w:line="240" w:lineRule="auto"/>
    </w:pPr>
    <w:rPr>
      <w:rFonts w:ascii="Century Gothic" w:eastAsia="Times New Roman" w:hAnsi="Century Gothic" w:cs="Times New Roman"/>
      <w:b/>
      <w:bCs/>
      <w:sz w:val="24"/>
      <w:szCs w:val="24"/>
      <w:lang w:val="es-ES" w:eastAsia="es-ES"/>
    </w:rPr>
  </w:style>
  <w:style w:type="character" w:customStyle="1" w:styleId="SubttuloCar">
    <w:name w:val="Subtítulo Car"/>
    <w:basedOn w:val="Fuentedeprrafopredeter"/>
    <w:link w:val="Subttulo"/>
    <w:rsid w:val="005C1BCA"/>
    <w:rPr>
      <w:rFonts w:ascii="Century Gothic" w:eastAsia="Times New Roman" w:hAnsi="Century Gothic" w:cs="Times New Roman"/>
      <w:b/>
      <w:bCs/>
      <w:sz w:val="24"/>
      <w:szCs w:val="24"/>
      <w:lang w:val="es-ES" w:eastAsia="es-ES"/>
    </w:rPr>
  </w:style>
  <w:style w:type="character" w:customStyle="1" w:styleId="apple-converted-space">
    <w:name w:val="apple-converted-space"/>
    <w:basedOn w:val="Fuentedeprrafopredeter"/>
    <w:rsid w:val="005C1BCA"/>
  </w:style>
  <w:style w:type="paragraph" w:customStyle="1" w:styleId="BodyText21">
    <w:name w:val="Body Text 21"/>
    <w:basedOn w:val="Normal"/>
    <w:uiPriority w:val="99"/>
    <w:rsid w:val="005C1BCA"/>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jc w:val="both"/>
      <w:textAlignment w:val="baseline"/>
    </w:pPr>
    <w:rPr>
      <w:rFonts w:ascii="Arial" w:eastAsia="Times New Roman" w:hAnsi="Arial" w:cs="Times New Roman"/>
      <w:szCs w:val="20"/>
      <w:lang w:val="es-ES" w:eastAsia="es-ES"/>
    </w:rPr>
  </w:style>
  <w:style w:type="paragraph" w:styleId="Sangradetextonormal">
    <w:name w:val="Body Text Indent"/>
    <w:basedOn w:val="Normal"/>
    <w:link w:val="SangradetextonormalCar"/>
    <w:uiPriority w:val="99"/>
    <w:semiHidden/>
    <w:unhideWhenUsed/>
    <w:rsid w:val="005C1BCA"/>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5C1BCA"/>
    <w:rPr>
      <w:rFonts w:ascii="Times New Roman" w:eastAsia="Times New Roman" w:hAnsi="Times New Roman" w:cs="Times New Roman"/>
      <w:sz w:val="24"/>
      <w:szCs w:val="24"/>
      <w:lang w:val="es-ES" w:eastAsia="es-ES"/>
    </w:rPr>
  </w:style>
  <w:style w:type="paragraph" w:customStyle="1" w:styleId="Vietaletra">
    <w:name w:val="Viñeta letra"/>
    <w:basedOn w:val="Normal"/>
    <w:next w:val="Normal"/>
    <w:rsid w:val="005C1BCA"/>
    <w:pPr>
      <w:numPr>
        <w:numId w:val="1"/>
      </w:numPr>
      <w:suppressAutoHyphens/>
      <w:overflowPunct w:val="0"/>
      <w:autoSpaceDE w:val="0"/>
      <w:spacing w:after="0" w:line="240" w:lineRule="auto"/>
      <w:jc w:val="both"/>
      <w:textAlignment w:val="baseline"/>
    </w:pPr>
    <w:rPr>
      <w:rFonts w:ascii="Arial" w:eastAsia="Times New Roman" w:hAnsi="Arial" w:cs="Times New Roman"/>
      <w:sz w:val="24"/>
      <w:szCs w:val="20"/>
      <w:lang w:val="es-ES_tradnl" w:eastAsia="ar-SA"/>
    </w:rPr>
  </w:style>
  <w:style w:type="paragraph" w:customStyle="1" w:styleId="TableHeading">
    <w:name w:val="Table Heading"/>
    <w:basedOn w:val="Normal"/>
    <w:rsid w:val="005C1BCA"/>
    <w:pPr>
      <w:suppressLineNumbers/>
      <w:suppressAutoHyphens/>
      <w:spacing w:after="0" w:line="240" w:lineRule="auto"/>
      <w:jc w:val="center"/>
    </w:pPr>
    <w:rPr>
      <w:rFonts w:ascii="Arial" w:eastAsia="Times New Roman" w:hAnsi="Arial" w:cs="Times New Roman"/>
      <w:b/>
      <w:bCs/>
      <w:szCs w:val="24"/>
      <w:lang w:val="es-ES" w:eastAsia="ar-SA"/>
    </w:rPr>
  </w:style>
  <w:style w:type="paragraph" w:styleId="Sangra2detindependiente">
    <w:name w:val="Body Text Indent 2"/>
    <w:basedOn w:val="Normal"/>
    <w:link w:val="Sangra2detindependienteCar"/>
    <w:uiPriority w:val="99"/>
    <w:semiHidden/>
    <w:unhideWhenUsed/>
    <w:rsid w:val="005C1BCA"/>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5C1BCA"/>
    <w:rPr>
      <w:rFonts w:ascii="Times New Roman" w:eastAsia="Times New Roman" w:hAnsi="Times New Roman" w:cs="Times New Roman"/>
      <w:sz w:val="24"/>
      <w:szCs w:val="24"/>
      <w:lang w:val="es-ES" w:eastAsia="es-ES"/>
    </w:rPr>
  </w:style>
  <w:style w:type="paragraph" w:customStyle="1" w:styleId="ARTICULOS">
    <w:name w:val="ARTICULOS"/>
    <w:basedOn w:val="Normal"/>
    <w:link w:val="ARTICULOSCar"/>
    <w:qFormat/>
    <w:rsid w:val="005C1BCA"/>
    <w:pPr>
      <w:widowControl w:val="0"/>
      <w:numPr>
        <w:numId w:val="2"/>
      </w:numPr>
      <w:adjustRightInd w:val="0"/>
      <w:spacing w:after="0" w:line="240" w:lineRule="auto"/>
      <w:jc w:val="both"/>
      <w:textAlignment w:val="baseline"/>
    </w:pPr>
    <w:rPr>
      <w:rFonts w:ascii="Bookman Old Style" w:eastAsia="Times New Roman" w:hAnsi="Bookman Old Style" w:cs="Times New Roman"/>
      <w:bCs/>
      <w:sz w:val="24"/>
      <w:szCs w:val="24"/>
      <w:lang w:val="x-none" w:eastAsia="x-none"/>
    </w:rPr>
  </w:style>
  <w:style w:type="character" w:customStyle="1" w:styleId="ARTICULOSCar">
    <w:name w:val="ARTICULOS Car"/>
    <w:link w:val="ARTICULOS"/>
    <w:rsid w:val="005C1BCA"/>
    <w:rPr>
      <w:rFonts w:ascii="Bookman Old Style" w:eastAsia="Times New Roman" w:hAnsi="Bookman Old Style" w:cs="Times New Roman"/>
      <w:bCs/>
      <w:sz w:val="24"/>
      <w:szCs w:val="24"/>
      <w:lang w:val="x-none" w:eastAsia="x-none"/>
    </w:rPr>
  </w:style>
  <w:style w:type="character" w:styleId="Textodelmarcadordeposicin">
    <w:name w:val="Placeholder Text"/>
    <w:basedOn w:val="Fuentedeprrafopredeter"/>
    <w:uiPriority w:val="99"/>
    <w:semiHidden/>
    <w:rsid w:val="005C1BCA"/>
    <w:rPr>
      <w:color w:val="80808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unhideWhenUsed/>
    <w:rsid w:val="005C1BCA"/>
    <w:pPr>
      <w:spacing w:after="0" w:line="240" w:lineRule="auto"/>
      <w:ind w:left="567"/>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rsid w:val="005C1BCA"/>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
    <w:uiPriority w:val="99"/>
    <w:unhideWhenUsed/>
    <w:rsid w:val="005C1BCA"/>
    <w:rPr>
      <w:vertAlign w:val="superscript"/>
    </w:rPr>
  </w:style>
  <w:style w:type="character" w:styleId="Refdecomentario">
    <w:name w:val="annotation reference"/>
    <w:basedOn w:val="Fuentedeprrafopredeter"/>
    <w:semiHidden/>
    <w:unhideWhenUsed/>
    <w:rsid w:val="005C1BCA"/>
    <w:rPr>
      <w:sz w:val="16"/>
      <w:szCs w:val="16"/>
    </w:rPr>
  </w:style>
  <w:style w:type="paragraph" w:styleId="Textocomentario">
    <w:name w:val="annotation text"/>
    <w:basedOn w:val="Normal"/>
    <w:link w:val="TextocomentarioCar"/>
    <w:uiPriority w:val="99"/>
    <w:unhideWhenUsed/>
    <w:rsid w:val="005C1BCA"/>
    <w:pPr>
      <w:spacing w:after="0" w:line="240" w:lineRule="auto"/>
      <w:ind w:left="567"/>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5C1BC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C1BCA"/>
    <w:rPr>
      <w:b/>
      <w:bCs/>
    </w:rPr>
  </w:style>
  <w:style w:type="character" w:customStyle="1" w:styleId="AsuntodelcomentarioCar">
    <w:name w:val="Asunto del comentario Car"/>
    <w:basedOn w:val="TextocomentarioCar"/>
    <w:link w:val="Asuntodelcomentario"/>
    <w:uiPriority w:val="99"/>
    <w:semiHidden/>
    <w:rsid w:val="005C1BCA"/>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5C1BCA"/>
    <w:pPr>
      <w:spacing w:after="0" w:line="240" w:lineRule="auto"/>
    </w:pPr>
    <w:rPr>
      <w:rFonts w:ascii="Times New Roman" w:eastAsia="Times New Roman" w:hAnsi="Times New Roman" w:cs="Times New Roman"/>
      <w:sz w:val="24"/>
      <w:szCs w:val="24"/>
      <w:lang w:val="es-ES" w:eastAsia="es-ES"/>
    </w:rPr>
  </w:style>
  <w:style w:type="table" w:customStyle="1" w:styleId="Tablaconcuadrcula1">
    <w:name w:val="Tabla con cuadrícula1"/>
    <w:basedOn w:val="Tablanormal"/>
    <w:next w:val="Tablaconcuadrcula"/>
    <w:uiPriority w:val="59"/>
    <w:rsid w:val="005C1BCA"/>
    <w:pPr>
      <w:spacing w:after="0" w:line="240" w:lineRule="auto"/>
    </w:pPr>
    <w:rPr>
      <w:rFonts w:ascii="Times New Roman" w:eastAsia="Times New Roman" w:hAnsi="Times New Roman"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5C1BCA"/>
    <w:pPr>
      <w:spacing w:after="0" w:line="240" w:lineRule="auto"/>
    </w:pPr>
    <w:rPr>
      <w:rFonts w:ascii="Times New Roman" w:eastAsia="Times New Roman" w:hAnsi="Times New Roman"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701265"/>
    <w:pPr>
      <w:spacing w:before="100" w:beforeAutospacing="1" w:after="100" w:afterAutospacing="1" w:line="240" w:lineRule="auto"/>
    </w:pPr>
    <w:rPr>
      <w:rFonts w:ascii="Times New Roman" w:eastAsiaTheme="minorEastAsia" w:hAnsi="Times New Roman" w:cs="Times New Roman"/>
      <w:sz w:val="24"/>
      <w:szCs w:val="24"/>
      <w:lang w:eastAsia="es-CO"/>
    </w:rPr>
  </w:style>
  <w:style w:type="table" w:customStyle="1" w:styleId="Tablaconcuadrcula11">
    <w:name w:val="Tabla con cuadrícula11"/>
    <w:basedOn w:val="Tablanormal"/>
    <w:next w:val="Tablaconcuadrcula"/>
    <w:uiPriority w:val="59"/>
    <w:rsid w:val="00FB2E5A"/>
    <w:pPr>
      <w:spacing w:after="0" w:line="240" w:lineRule="auto"/>
    </w:pPr>
    <w:rPr>
      <w:rFonts w:ascii="Times New Roman" w:eastAsia="Times New Roman" w:hAnsi="Times New Roman"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FB2E5A"/>
    <w:pPr>
      <w:spacing w:after="0" w:line="240" w:lineRule="auto"/>
    </w:pPr>
    <w:rPr>
      <w:rFonts w:ascii="Times New Roman" w:eastAsia="Times New Roman" w:hAnsi="Times New Roman"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2Car">
    <w:name w:val="Título 2 Car"/>
    <w:basedOn w:val="Fuentedeprrafopredeter"/>
    <w:link w:val="Ttulo2"/>
    <w:uiPriority w:val="9"/>
    <w:rsid w:val="007917F3"/>
    <w:rPr>
      <w:rFonts w:asciiTheme="majorHAnsi" w:eastAsiaTheme="majorEastAsia" w:hAnsiTheme="majorHAnsi" w:cstheme="majorBidi"/>
      <w:b/>
      <w:bCs/>
      <w:color w:val="4F81BD" w:themeColor="accent1"/>
      <w:sz w:val="26"/>
      <w:szCs w:val="26"/>
    </w:rPr>
  </w:style>
  <w:style w:type="paragraph" w:styleId="Sangra3detindependiente">
    <w:name w:val="Body Text Indent 3"/>
    <w:basedOn w:val="Normal"/>
    <w:link w:val="Sangra3detindependienteCar"/>
    <w:uiPriority w:val="99"/>
    <w:semiHidden/>
    <w:unhideWhenUsed/>
    <w:rsid w:val="007917F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917F3"/>
    <w:rPr>
      <w:sz w:val="16"/>
      <w:szCs w:val="16"/>
    </w:rPr>
  </w:style>
  <w:style w:type="character" w:styleId="Hipervnculo">
    <w:name w:val="Hyperlink"/>
    <w:basedOn w:val="Fuentedeprrafopredeter"/>
    <w:uiPriority w:val="99"/>
    <w:unhideWhenUsed/>
    <w:rsid w:val="00FD7FC1"/>
    <w:rPr>
      <w:color w:val="0563C1"/>
      <w:u w:val="single"/>
    </w:rPr>
  </w:style>
  <w:style w:type="character" w:styleId="Hipervnculovisitado">
    <w:name w:val="FollowedHyperlink"/>
    <w:basedOn w:val="Fuentedeprrafopredeter"/>
    <w:uiPriority w:val="99"/>
    <w:semiHidden/>
    <w:unhideWhenUsed/>
    <w:rsid w:val="00FD7FC1"/>
    <w:rPr>
      <w:color w:val="954F72"/>
      <w:u w:val="single"/>
    </w:rPr>
  </w:style>
  <w:style w:type="paragraph" w:customStyle="1" w:styleId="xl67">
    <w:name w:val="xl67"/>
    <w:basedOn w:val="Normal"/>
    <w:rsid w:val="00FD7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sz w:val="20"/>
      <w:szCs w:val="20"/>
      <w:lang w:eastAsia="es-CO"/>
    </w:rPr>
  </w:style>
  <w:style w:type="paragraph" w:customStyle="1" w:styleId="xl68">
    <w:name w:val="xl68"/>
    <w:basedOn w:val="Normal"/>
    <w:rsid w:val="00FD7FC1"/>
    <w:pPr>
      <w:spacing w:before="100" w:beforeAutospacing="1" w:after="100" w:afterAutospacing="1" w:line="240" w:lineRule="auto"/>
    </w:pPr>
    <w:rPr>
      <w:rFonts w:ascii="Bookman Old Style" w:eastAsia="Times New Roman" w:hAnsi="Bookman Old Style" w:cs="Times New Roman"/>
      <w:sz w:val="24"/>
      <w:szCs w:val="24"/>
      <w:lang w:eastAsia="es-CO"/>
    </w:rPr>
  </w:style>
  <w:style w:type="paragraph" w:customStyle="1" w:styleId="xl69">
    <w:name w:val="xl69"/>
    <w:basedOn w:val="Normal"/>
    <w:rsid w:val="00FD7FC1"/>
    <w:pPr>
      <w:spacing w:before="100" w:beforeAutospacing="1" w:after="100" w:afterAutospacing="1" w:line="240" w:lineRule="auto"/>
    </w:pPr>
    <w:rPr>
      <w:rFonts w:ascii="Bookman Old Style" w:eastAsia="Times New Roman" w:hAnsi="Bookman Old Style" w:cs="Times New Roman"/>
      <w:sz w:val="20"/>
      <w:szCs w:val="20"/>
      <w:lang w:eastAsia="es-CO"/>
    </w:rPr>
  </w:style>
  <w:style w:type="paragraph" w:customStyle="1" w:styleId="xl70">
    <w:name w:val="xl70"/>
    <w:basedOn w:val="Normal"/>
    <w:rsid w:val="00FD7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cs="Times New Roman"/>
      <w:sz w:val="20"/>
      <w:szCs w:val="20"/>
      <w:lang w:eastAsia="es-CO"/>
    </w:rPr>
  </w:style>
  <w:style w:type="paragraph" w:customStyle="1" w:styleId="xl71">
    <w:name w:val="xl71"/>
    <w:basedOn w:val="Normal"/>
    <w:rsid w:val="005F1C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cs="Times New Roman"/>
      <w:sz w:val="20"/>
      <w:szCs w:val="20"/>
      <w:lang w:eastAsia="es-CO"/>
    </w:rPr>
  </w:style>
  <w:style w:type="character" w:customStyle="1" w:styleId="Caracteresdenotaalpie">
    <w:name w:val="Caracteres de nota al pie"/>
    <w:rsid w:val="00110447"/>
    <w:rPr>
      <w:vertAlign w:val="superscript"/>
    </w:rPr>
  </w:style>
  <w:style w:type="character" w:customStyle="1" w:styleId="Refdenotaalpie2">
    <w:name w:val="Ref. de nota al pie2"/>
    <w:rsid w:val="00110447"/>
    <w:rPr>
      <w:vertAlign w:val="superscript"/>
    </w:rPr>
  </w:style>
  <w:style w:type="paragraph" w:customStyle="1" w:styleId="Cuadrculamedia21">
    <w:name w:val="Cuadrícula media 21"/>
    <w:rsid w:val="00185CE7"/>
    <w:pPr>
      <w:suppressAutoHyphens/>
      <w:spacing w:after="0" w:line="240" w:lineRule="auto"/>
    </w:pPr>
    <w:rPr>
      <w:rFonts w:ascii="Times New Roman" w:eastAsia="Arial" w:hAnsi="Times New Roman" w:cs="Times New Roman"/>
      <w:sz w:val="24"/>
      <w:szCs w:val="24"/>
      <w:lang w:val="es-ES" w:eastAsia="ar-SA"/>
    </w:rPr>
  </w:style>
  <w:style w:type="character" w:customStyle="1" w:styleId="textodato">
    <w:name w:val="textodato"/>
    <w:rsid w:val="00185CE7"/>
  </w:style>
  <w:style w:type="paragraph" w:styleId="TtuloTDC">
    <w:name w:val="TOC Heading"/>
    <w:basedOn w:val="Ttulo1"/>
    <w:next w:val="Normal"/>
    <w:uiPriority w:val="39"/>
    <w:unhideWhenUsed/>
    <w:qFormat/>
    <w:rsid w:val="00EF5680"/>
    <w:pPr>
      <w:keepLines/>
      <w:spacing w:before="480" w:line="276" w:lineRule="auto"/>
      <w:ind w:left="0"/>
      <w:jc w:val="left"/>
      <w:outlineLvl w:val="9"/>
    </w:pPr>
    <w:rPr>
      <w:rFonts w:asciiTheme="majorHAnsi" w:eastAsiaTheme="majorEastAsia" w:hAnsiTheme="majorHAnsi" w:cstheme="majorBidi"/>
      <w:bCs/>
      <w:color w:val="365F91" w:themeColor="accent1" w:themeShade="BF"/>
      <w:sz w:val="28"/>
      <w:szCs w:val="28"/>
      <w:lang w:eastAsia="es-CO"/>
    </w:rPr>
  </w:style>
  <w:style w:type="paragraph" w:styleId="TDC2">
    <w:name w:val="toc 2"/>
    <w:basedOn w:val="Normal"/>
    <w:next w:val="Normal"/>
    <w:autoRedefine/>
    <w:uiPriority w:val="39"/>
    <w:unhideWhenUsed/>
    <w:rsid w:val="00EF5680"/>
    <w:pPr>
      <w:spacing w:after="100"/>
      <w:ind w:left="220"/>
    </w:pPr>
    <w:rPr>
      <w:lang w:val="es-MX"/>
    </w:rPr>
  </w:style>
  <w:style w:type="paragraph" w:styleId="TDC3">
    <w:name w:val="toc 3"/>
    <w:basedOn w:val="Normal"/>
    <w:next w:val="Normal"/>
    <w:autoRedefine/>
    <w:uiPriority w:val="39"/>
    <w:unhideWhenUsed/>
    <w:rsid w:val="00EF5680"/>
    <w:pPr>
      <w:spacing w:after="100"/>
      <w:ind w:left="440"/>
    </w:pPr>
    <w:rPr>
      <w:lang w:val="es-MX"/>
    </w:rPr>
  </w:style>
  <w:style w:type="table" w:styleId="Sombreadomedio1-nfasis1">
    <w:name w:val="Medium Shading 1 Accent 1"/>
    <w:basedOn w:val="Tablanormal"/>
    <w:uiPriority w:val="63"/>
    <w:rsid w:val="00EF568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claro-nfasis5">
    <w:name w:val="Light Shading Accent 5"/>
    <w:basedOn w:val="Tablanormal"/>
    <w:uiPriority w:val="60"/>
    <w:rsid w:val="00EF568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medio2-nfasis1">
    <w:name w:val="Medium Shading 2 Accent 1"/>
    <w:basedOn w:val="Tablanormal"/>
    <w:uiPriority w:val="64"/>
    <w:rsid w:val="00EF56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clara-nfasis1">
    <w:name w:val="Light List Accent 1"/>
    <w:basedOn w:val="Tablanormal"/>
    <w:uiPriority w:val="61"/>
    <w:rsid w:val="00EF568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TMLconformatoprevio">
    <w:name w:val="HTML Preformatted"/>
    <w:basedOn w:val="Normal"/>
    <w:link w:val="HTMLconformatoprevioCar"/>
    <w:uiPriority w:val="99"/>
    <w:semiHidden/>
    <w:unhideWhenUsed/>
    <w:rsid w:val="00EF5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EF5680"/>
    <w:rPr>
      <w:rFonts w:ascii="Courier New" w:eastAsia="Times New Roman" w:hAnsi="Courier New" w:cs="Courier New"/>
      <w:sz w:val="20"/>
      <w:szCs w:val="20"/>
      <w:lang w:eastAsia="es-CO"/>
    </w:rPr>
  </w:style>
  <w:style w:type="paragraph" w:styleId="Textonotaalfinal">
    <w:name w:val="endnote text"/>
    <w:basedOn w:val="Normal"/>
    <w:link w:val="TextonotaalfinalCar"/>
    <w:uiPriority w:val="99"/>
    <w:semiHidden/>
    <w:unhideWhenUsed/>
    <w:rsid w:val="00EF5680"/>
    <w:pPr>
      <w:spacing w:after="0" w:line="240" w:lineRule="auto"/>
    </w:pPr>
    <w:rPr>
      <w:sz w:val="20"/>
      <w:szCs w:val="20"/>
      <w:lang w:val="es-MX"/>
    </w:rPr>
  </w:style>
  <w:style w:type="character" w:customStyle="1" w:styleId="TextonotaalfinalCar">
    <w:name w:val="Texto nota al final Car"/>
    <w:basedOn w:val="Fuentedeprrafopredeter"/>
    <w:link w:val="Textonotaalfinal"/>
    <w:uiPriority w:val="99"/>
    <w:semiHidden/>
    <w:rsid w:val="00EF5680"/>
    <w:rPr>
      <w:sz w:val="20"/>
      <w:szCs w:val="20"/>
      <w:lang w:val="es-MX"/>
    </w:rPr>
  </w:style>
  <w:style w:type="character" w:styleId="Refdenotaalfinal">
    <w:name w:val="endnote reference"/>
    <w:basedOn w:val="Fuentedeprrafopredeter"/>
    <w:uiPriority w:val="99"/>
    <w:semiHidden/>
    <w:unhideWhenUsed/>
    <w:rsid w:val="00EF5680"/>
    <w:rPr>
      <w:vertAlign w:val="superscript"/>
    </w:rPr>
  </w:style>
  <w:style w:type="character" w:customStyle="1" w:styleId="CharStyle11">
    <w:name w:val="Char Style 11"/>
    <w:basedOn w:val="Fuentedeprrafopredeter"/>
    <w:link w:val="Style10"/>
    <w:uiPriority w:val="99"/>
    <w:rsid w:val="00EF5680"/>
    <w:rPr>
      <w:rFonts w:ascii="Arial" w:hAnsi="Arial" w:cs="Arial"/>
      <w:sz w:val="23"/>
      <w:szCs w:val="23"/>
      <w:shd w:val="clear" w:color="auto" w:fill="FFFFFF"/>
    </w:rPr>
  </w:style>
  <w:style w:type="character" w:customStyle="1" w:styleId="CharStyle39">
    <w:name w:val="Char Style 39"/>
    <w:basedOn w:val="CharStyle11"/>
    <w:uiPriority w:val="99"/>
    <w:rsid w:val="00EF5680"/>
    <w:rPr>
      <w:rFonts w:ascii="Arial" w:hAnsi="Arial" w:cs="Arial"/>
      <w:b/>
      <w:bCs/>
      <w:sz w:val="23"/>
      <w:szCs w:val="23"/>
      <w:shd w:val="clear" w:color="auto" w:fill="FFFFFF"/>
    </w:rPr>
  </w:style>
  <w:style w:type="paragraph" w:customStyle="1" w:styleId="Style10">
    <w:name w:val="Style 10"/>
    <w:basedOn w:val="Normal"/>
    <w:link w:val="CharStyle11"/>
    <w:uiPriority w:val="99"/>
    <w:rsid w:val="00EF5680"/>
    <w:pPr>
      <w:widowControl w:val="0"/>
      <w:shd w:val="clear" w:color="auto" w:fill="FFFFFF"/>
      <w:spacing w:before="420" w:after="0" w:line="240" w:lineRule="atLeast"/>
      <w:jc w:val="right"/>
    </w:pPr>
    <w:rPr>
      <w:rFonts w:ascii="Arial" w:hAnsi="Arial" w:cs="Arial"/>
      <w:sz w:val="23"/>
      <w:szCs w:val="23"/>
    </w:rPr>
  </w:style>
  <w:style w:type="character" w:customStyle="1" w:styleId="CharStyle3">
    <w:name w:val="Char Style 3"/>
    <w:basedOn w:val="Fuentedeprrafopredeter"/>
    <w:link w:val="Style2"/>
    <w:uiPriority w:val="99"/>
    <w:rsid w:val="00EF5680"/>
    <w:rPr>
      <w:rFonts w:ascii="Arial" w:hAnsi="Arial" w:cs="Arial"/>
      <w:shd w:val="clear" w:color="auto" w:fill="FFFFFF"/>
    </w:rPr>
  </w:style>
  <w:style w:type="paragraph" w:customStyle="1" w:styleId="Style2">
    <w:name w:val="Style 2"/>
    <w:basedOn w:val="Normal"/>
    <w:link w:val="CharStyle3"/>
    <w:uiPriority w:val="99"/>
    <w:rsid w:val="00EF5680"/>
    <w:pPr>
      <w:widowControl w:val="0"/>
      <w:shd w:val="clear" w:color="auto" w:fill="FFFFFF"/>
      <w:spacing w:after="720" w:line="240" w:lineRule="atLeast"/>
      <w:ind w:hanging="720"/>
      <w:jc w:val="both"/>
    </w:pPr>
    <w:rPr>
      <w:rFonts w:ascii="Arial" w:hAnsi="Arial" w:cs="Arial"/>
    </w:rPr>
  </w:style>
  <w:style w:type="character" w:customStyle="1" w:styleId="CharStyle24">
    <w:name w:val="Char Style 24"/>
    <w:basedOn w:val="Fuentedeprrafopredeter"/>
    <w:link w:val="Style23"/>
    <w:uiPriority w:val="99"/>
    <w:rsid w:val="00EF5680"/>
    <w:rPr>
      <w:rFonts w:ascii="Arial" w:hAnsi="Arial" w:cs="Arial"/>
      <w:sz w:val="19"/>
      <w:szCs w:val="19"/>
      <w:shd w:val="clear" w:color="auto" w:fill="FFFFFF"/>
    </w:rPr>
  </w:style>
  <w:style w:type="paragraph" w:customStyle="1" w:styleId="Style23">
    <w:name w:val="Style 23"/>
    <w:basedOn w:val="Normal"/>
    <w:link w:val="CharStyle24"/>
    <w:uiPriority w:val="99"/>
    <w:rsid w:val="00EF5680"/>
    <w:pPr>
      <w:widowControl w:val="0"/>
      <w:shd w:val="clear" w:color="auto" w:fill="FFFFFF"/>
      <w:spacing w:after="0" w:line="238" w:lineRule="exact"/>
      <w:ind w:hanging="720"/>
      <w:jc w:val="both"/>
    </w:pPr>
    <w:rPr>
      <w:rFonts w:ascii="Arial" w:hAnsi="Arial" w:cs="Arial"/>
      <w:sz w:val="19"/>
      <w:szCs w:val="19"/>
    </w:rPr>
  </w:style>
  <w:style w:type="character" w:customStyle="1" w:styleId="CharStyle7">
    <w:name w:val="Char Style 7"/>
    <w:basedOn w:val="Fuentedeprrafopredeter"/>
    <w:link w:val="Style6"/>
    <w:uiPriority w:val="99"/>
    <w:rsid w:val="00EF5680"/>
    <w:rPr>
      <w:rFonts w:ascii="Arial" w:hAnsi="Arial" w:cs="Arial"/>
      <w:sz w:val="28"/>
      <w:szCs w:val="28"/>
      <w:shd w:val="clear" w:color="auto" w:fill="FFFFFF"/>
    </w:rPr>
  </w:style>
  <w:style w:type="character" w:customStyle="1" w:styleId="CharStyle14">
    <w:name w:val="Char Style 14"/>
    <w:basedOn w:val="Fuentedeprrafopredeter"/>
    <w:link w:val="Style13"/>
    <w:uiPriority w:val="99"/>
    <w:rsid w:val="00EF5680"/>
    <w:rPr>
      <w:rFonts w:ascii="Arial" w:hAnsi="Arial" w:cs="Arial"/>
      <w:i/>
      <w:iCs/>
      <w:sz w:val="26"/>
      <w:szCs w:val="26"/>
      <w:shd w:val="clear" w:color="auto" w:fill="FFFFFF"/>
    </w:rPr>
  </w:style>
  <w:style w:type="character" w:customStyle="1" w:styleId="CharStyle15">
    <w:name w:val="Char Style 15"/>
    <w:basedOn w:val="CharStyle14"/>
    <w:uiPriority w:val="99"/>
    <w:rsid w:val="00EF5680"/>
    <w:rPr>
      <w:rFonts w:ascii="Arial" w:hAnsi="Arial" w:cs="Arial"/>
      <w:i/>
      <w:iCs/>
      <w:spacing w:val="-50"/>
      <w:sz w:val="26"/>
      <w:szCs w:val="26"/>
      <w:shd w:val="clear" w:color="auto" w:fill="FFFFFF"/>
    </w:rPr>
  </w:style>
  <w:style w:type="paragraph" w:customStyle="1" w:styleId="Style6">
    <w:name w:val="Style 6"/>
    <w:basedOn w:val="Normal"/>
    <w:link w:val="CharStyle7"/>
    <w:uiPriority w:val="99"/>
    <w:rsid w:val="00EF5680"/>
    <w:pPr>
      <w:widowControl w:val="0"/>
      <w:shd w:val="clear" w:color="auto" w:fill="FFFFFF"/>
      <w:spacing w:before="180" w:after="420" w:line="240" w:lineRule="atLeast"/>
      <w:ind w:hanging="480"/>
      <w:jc w:val="both"/>
    </w:pPr>
    <w:rPr>
      <w:rFonts w:ascii="Arial" w:hAnsi="Arial" w:cs="Arial"/>
      <w:sz w:val="28"/>
      <w:szCs w:val="28"/>
    </w:rPr>
  </w:style>
  <w:style w:type="paragraph" w:customStyle="1" w:styleId="Style13">
    <w:name w:val="Style 13"/>
    <w:basedOn w:val="Normal"/>
    <w:link w:val="CharStyle14"/>
    <w:uiPriority w:val="99"/>
    <w:rsid w:val="00EF5680"/>
    <w:pPr>
      <w:widowControl w:val="0"/>
      <w:shd w:val="clear" w:color="auto" w:fill="FFFFFF"/>
      <w:spacing w:before="300" w:after="300" w:line="355" w:lineRule="exact"/>
      <w:jc w:val="both"/>
    </w:pPr>
    <w:rPr>
      <w:rFonts w:ascii="Arial" w:hAnsi="Arial" w:cs="Arial"/>
      <w:i/>
      <w:iCs/>
      <w:sz w:val="26"/>
      <w:szCs w:val="26"/>
    </w:rPr>
  </w:style>
  <w:style w:type="character" w:customStyle="1" w:styleId="TextonotapieCar1">
    <w:name w:val="Texto nota pie Car1"/>
    <w:aliases w:val="Footnote Text Char Char Char Char Char Car1,Footnote Text Char Char Char Char Car1,Footnote reference Car1,FA Fu Car1,Footnote Text Cha Car1,Footnote Text Char Char Char Car1,FA Fußnotentext Car1,FA Fuﬂnotentext Car1"/>
    <w:basedOn w:val="Fuentedeprrafopredeter"/>
    <w:uiPriority w:val="99"/>
    <w:semiHidden/>
    <w:rsid w:val="00EF5680"/>
    <w:rPr>
      <w:sz w:val="20"/>
      <w:szCs w:val="20"/>
    </w:rPr>
  </w:style>
  <w:style w:type="paragraph" w:customStyle="1" w:styleId="msonormal0">
    <w:name w:val="msonormal"/>
    <w:basedOn w:val="Normal"/>
    <w:rsid w:val="00EF568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5">
    <w:name w:val="xl65"/>
    <w:basedOn w:val="Normal"/>
    <w:rsid w:val="00EF5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sz w:val="20"/>
      <w:szCs w:val="20"/>
      <w:lang w:eastAsia="es-CO"/>
    </w:rPr>
  </w:style>
  <w:style w:type="paragraph" w:customStyle="1" w:styleId="xl66">
    <w:name w:val="xl66"/>
    <w:basedOn w:val="Normal"/>
    <w:rsid w:val="00EF5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sz w:val="20"/>
      <w:szCs w:val="20"/>
      <w:lang w:eastAsia="es-CO"/>
    </w:rPr>
  </w:style>
  <w:style w:type="paragraph" w:customStyle="1" w:styleId="xl72">
    <w:name w:val="xl72"/>
    <w:basedOn w:val="Normal"/>
    <w:rsid w:val="00EF5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sz w:val="20"/>
      <w:szCs w:val="20"/>
      <w:lang w:eastAsia="es-CO"/>
    </w:rPr>
  </w:style>
  <w:style w:type="paragraph" w:customStyle="1" w:styleId="xl73">
    <w:name w:val="xl73"/>
    <w:basedOn w:val="Normal"/>
    <w:rsid w:val="00EF56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sz w:val="20"/>
      <w:szCs w:val="20"/>
      <w:lang w:eastAsia="es-CO"/>
    </w:rPr>
  </w:style>
  <w:style w:type="character" w:customStyle="1" w:styleId="CharStyle23">
    <w:name w:val="Char Style 23"/>
    <w:basedOn w:val="Fuentedeprrafopredeter"/>
    <w:link w:val="Style22"/>
    <w:uiPriority w:val="99"/>
    <w:rsid w:val="00F313E0"/>
    <w:rPr>
      <w:rFonts w:ascii="Arial" w:hAnsi="Arial" w:cs="Arial"/>
      <w:sz w:val="19"/>
      <w:szCs w:val="19"/>
      <w:shd w:val="clear" w:color="auto" w:fill="FFFFFF"/>
    </w:rPr>
  </w:style>
  <w:style w:type="character" w:customStyle="1" w:styleId="CharStyle29">
    <w:name w:val="Char Style 29"/>
    <w:basedOn w:val="Fuentedeprrafopredeter"/>
    <w:link w:val="Style28"/>
    <w:uiPriority w:val="99"/>
    <w:rsid w:val="00F313E0"/>
    <w:rPr>
      <w:rFonts w:ascii="Arial" w:hAnsi="Arial" w:cs="Arial"/>
      <w:sz w:val="13"/>
      <w:szCs w:val="13"/>
      <w:shd w:val="clear" w:color="auto" w:fill="FFFFFF"/>
    </w:rPr>
  </w:style>
  <w:style w:type="character" w:customStyle="1" w:styleId="CharStyle30">
    <w:name w:val="Char Style 30"/>
    <w:basedOn w:val="CharStyle23"/>
    <w:uiPriority w:val="99"/>
    <w:rsid w:val="00F313E0"/>
    <w:rPr>
      <w:rFonts w:ascii="Arial" w:hAnsi="Arial" w:cs="Arial"/>
      <w:b/>
      <w:bCs/>
      <w:sz w:val="19"/>
      <w:szCs w:val="19"/>
      <w:shd w:val="clear" w:color="auto" w:fill="FFFFFF"/>
    </w:rPr>
  </w:style>
  <w:style w:type="character" w:customStyle="1" w:styleId="CharStyle31">
    <w:name w:val="Char Style 31"/>
    <w:basedOn w:val="CharStyle23"/>
    <w:link w:val="Style18"/>
    <w:uiPriority w:val="99"/>
    <w:rsid w:val="00F313E0"/>
    <w:rPr>
      <w:rFonts w:ascii="Arial" w:hAnsi="Arial" w:cs="Arial"/>
      <w:sz w:val="19"/>
      <w:szCs w:val="19"/>
      <w:shd w:val="clear" w:color="auto" w:fill="FFFFFF"/>
    </w:rPr>
  </w:style>
  <w:style w:type="paragraph" w:customStyle="1" w:styleId="Style22">
    <w:name w:val="Style 22"/>
    <w:basedOn w:val="Normal"/>
    <w:link w:val="CharStyle23"/>
    <w:uiPriority w:val="99"/>
    <w:rsid w:val="00F313E0"/>
    <w:pPr>
      <w:widowControl w:val="0"/>
      <w:shd w:val="clear" w:color="auto" w:fill="FFFFFF"/>
      <w:spacing w:before="300" w:after="540" w:line="240" w:lineRule="atLeast"/>
      <w:ind w:hanging="360"/>
      <w:jc w:val="both"/>
    </w:pPr>
    <w:rPr>
      <w:rFonts w:ascii="Arial" w:hAnsi="Arial" w:cs="Arial"/>
      <w:sz w:val="19"/>
      <w:szCs w:val="19"/>
    </w:rPr>
  </w:style>
  <w:style w:type="paragraph" w:customStyle="1" w:styleId="Style28">
    <w:name w:val="Style 28"/>
    <w:basedOn w:val="Normal"/>
    <w:link w:val="CharStyle29"/>
    <w:uiPriority w:val="99"/>
    <w:rsid w:val="00F313E0"/>
    <w:pPr>
      <w:widowControl w:val="0"/>
      <w:shd w:val="clear" w:color="auto" w:fill="FFFFFF"/>
      <w:spacing w:after="0" w:line="240" w:lineRule="atLeast"/>
    </w:pPr>
    <w:rPr>
      <w:rFonts w:ascii="Arial" w:hAnsi="Arial" w:cs="Arial"/>
      <w:sz w:val="13"/>
      <w:szCs w:val="13"/>
    </w:rPr>
  </w:style>
  <w:style w:type="character" w:customStyle="1" w:styleId="CharStyle22">
    <w:name w:val="Char Style 22"/>
    <w:basedOn w:val="Fuentedeprrafopredeter"/>
    <w:link w:val="Style21"/>
    <w:uiPriority w:val="99"/>
    <w:rsid w:val="00F90F7B"/>
    <w:rPr>
      <w:rFonts w:ascii="Arial" w:hAnsi="Arial" w:cs="Arial"/>
      <w:sz w:val="20"/>
      <w:szCs w:val="20"/>
      <w:shd w:val="clear" w:color="auto" w:fill="FFFFFF"/>
    </w:rPr>
  </w:style>
  <w:style w:type="character" w:customStyle="1" w:styleId="CharStyle40">
    <w:name w:val="Char Style 40"/>
    <w:basedOn w:val="CharStyle22"/>
    <w:uiPriority w:val="99"/>
    <w:rsid w:val="00F90F7B"/>
    <w:rPr>
      <w:rFonts w:ascii="Arial" w:hAnsi="Arial" w:cs="Arial"/>
      <w:sz w:val="18"/>
      <w:szCs w:val="18"/>
      <w:shd w:val="clear" w:color="auto" w:fill="FFFFFF"/>
    </w:rPr>
  </w:style>
  <w:style w:type="paragraph" w:customStyle="1" w:styleId="Style21">
    <w:name w:val="Style 21"/>
    <w:basedOn w:val="Normal"/>
    <w:link w:val="CharStyle22"/>
    <w:uiPriority w:val="99"/>
    <w:rsid w:val="00F90F7B"/>
    <w:pPr>
      <w:widowControl w:val="0"/>
      <w:shd w:val="clear" w:color="auto" w:fill="FFFFFF"/>
      <w:spacing w:after="120" w:line="230" w:lineRule="exact"/>
      <w:jc w:val="right"/>
    </w:pPr>
    <w:rPr>
      <w:rFonts w:ascii="Arial" w:hAnsi="Arial" w:cs="Arial"/>
      <w:sz w:val="20"/>
      <w:szCs w:val="20"/>
    </w:rPr>
  </w:style>
  <w:style w:type="character" w:customStyle="1" w:styleId="CharStyle43">
    <w:name w:val="Char Style 43"/>
    <w:basedOn w:val="CharStyle22"/>
    <w:uiPriority w:val="99"/>
    <w:rsid w:val="00F90F7B"/>
    <w:rPr>
      <w:rFonts w:ascii="Arial" w:hAnsi="Arial" w:cs="Arial"/>
      <w:b/>
      <w:bCs/>
      <w:sz w:val="18"/>
      <w:szCs w:val="18"/>
      <w:u w:val="none"/>
      <w:shd w:val="clear" w:color="auto" w:fill="FFFFFF"/>
    </w:rPr>
  </w:style>
  <w:style w:type="table" w:customStyle="1" w:styleId="TableGrid0">
    <w:name w:val="Table Grid0"/>
    <w:rsid w:val="00BE5DEF"/>
    <w:pPr>
      <w:spacing w:after="0" w:line="240" w:lineRule="auto"/>
    </w:pPr>
    <w:rPr>
      <w:rFonts w:eastAsiaTheme="minorEastAsia"/>
      <w:lang w:eastAsia="es-CO"/>
    </w:rPr>
    <w:tblPr>
      <w:tblCellMar>
        <w:top w:w="0" w:type="dxa"/>
        <w:left w:w="0" w:type="dxa"/>
        <w:bottom w:w="0" w:type="dxa"/>
        <w:right w:w="0" w:type="dxa"/>
      </w:tblCellMar>
    </w:tblPr>
  </w:style>
  <w:style w:type="paragraph" w:customStyle="1" w:styleId="font5">
    <w:name w:val="font5"/>
    <w:basedOn w:val="Normal"/>
    <w:rsid w:val="00B57AF6"/>
    <w:pPr>
      <w:spacing w:before="100" w:beforeAutospacing="1" w:after="100" w:afterAutospacing="1" w:line="240" w:lineRule="auto"/>
    </w:pPr>
    <w:rPr>
      <w:rFonts w:ascii="Tahoma" w:eastAsia="Times New Roman" w:hAnsi="Tahoma" w:cs="Tahoma"/>
      <w:color w:val="000000"/>
      <w:sz w:val="18"/>
      <w:szCs w:val="18"/>
      <w:lang w:eastAsia="es-CO"/>
    </w:rPr>
  </w:style>
  <w:style w:type="paragraph" w:customStyle="1" w:styleId="font6">
    <w:name w:val="font6"/>
    <w:basedOn w:val="Normal"/>
    <w:rsid w:val="00B57AF6"/>
    <w:pPr>
      <w:spacing w:before="100" w:beforeAutospacing="1" w:after="100" w:afterAutospacing="1" w:line="240" w:lineRule="auto"/>
    </w:pPr>
    <w:rPr>
      <w:rFonts w:ascii="Tahoma" w:eastAsia="Times New Roman" w:hAnsi="Tahoma" w:cs="Tahoma"/>
      <w:b/>
      <w:bCs/>
      <w:color w:val="000000"/>
      <w:sz w:val="18"/>
      <w:szCs w:val="18"/>
      <w:lang w:eastAsia="es-CO"/>
    </w:rPr>
  </w:style>
  <w:style w:type="paragraph" w:customStyle="1" w:styleId="xl74">
    <w:name w:val="xl74"/>
    <w:basedOn w:val="Normal"/>
    <w:rsid w:val="008F082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Bookman Old Style" w:eastAsia="Times New Roman" w:hAnsi="Bookman Old Style" w:cs="Times New Roman"/>
      <w:sz w:val="20"/>
      <w:szCs w:val="20"/>
      <w:lang w:eastAsia="es-CO"/>
    </w:rPr>
  </w:style>
  <w:style w:type="character" w:customStyle="1" w:styleId="CharStyle27">
    <w:name w:val="Char Style 27"/>
    <w:basedOn w:val="Fuentedeprrafopredeter"/>
    <w:link w:val="Style26"/>
    <w:uiPriority w:val="99"/>
    <w:rsid w:val="00346950"/>
    <w:rPr>
      <w:rFonts w:ascii="Arial" w:hAnsi="Arial" w:cs="Arial"/>
      <w:b/>
      <w:bCs/>
      <w:sz w:val="17"/>
      <w:szCs w:val="17"/>
      <w:shd w:val="clear" w:color="auto" w:fill="FFFFFF"/>
    </w:rPr>
  </w:style>
  <w:style w:type="character" w:customStyle="1" w:styleId="CharStyle42">
    <w:name w:val="Char Style 42"/>
    <w:basedOn w:val="CharStyle27"/>
    <w:uiPriority w:val="99"/>
    <w:rsid w:val="00346950"/>
    <w:rPr>
      <w:rFonts w:ascii="Arial" w:hAnsi="Arial" w:cs="Arial"/>
      <w:b w:val="0"/>
      <w:bCs w:val="0"/>
      <w:sz w:val="20"/>
      <w:szCs w:val="20"/>
      <w:shd w:val="clear" w:color="auto" w:fill="FFFFFF"/>
    </w:rPr>
  </w:style>
  <w:style w:type="paragraph" w:customStyle="1" w:styleId="Style26">
    <w:name w:val="Style 26"/>
    <w:basedOn w:val="Normal"/>
    <w:link w:val="CharStyle27"/>
    <w:uiPriority w:val="99"/>
    <w:rsid w:val="00346950"/>
    <w:pPr>
      <w:widowControl w:val="0"/>
      <w:shd w:val="clear" w:color="auto" w:fill="FFFFFF"/>
      <w:spacing w:after="120" w:line="240" w:lineRule="atLeast"/>
      <w:jc w:val="right"/>
    </w:pPr>
    <w:rPr>
      <w:rFonts w:ascii="Arial" w:hAnsi="Arial" w:cs="Arial"/>
      <w:b/>
      <w:bCs/>
      <w:sz w:val="17"/>
      <w:szCs w:val="17"/>
    </w:rPr>
  </w:style>
  <w:style w:type="character" w:customStyle="1" w:styleId="CharStyle14Exact">
    <w:name w:val="Char Style 14 Exact"/>
    <w:basedOn w:val="Fuentedeprrafopredeter"/>
    <w:uiPriority w:val="99"/>
    <w:rsid w:val="00346950"/>
    <w:rPr>
      <w:rFonts w:ascii="Arial" w:hAnsi="Arial" w:cs="Arial"/>
      <w:i/>
      <w:iCs/>
      <w:sz w:val="12"/>
      <w:szCs w:val="12"/>
      <w:u w:val="none"/>
    </w:rPr>
  </w:style>
  <w:style w:type="character" w:customStyle="1" w:styleId="CharStyle15Exact">
    <w:name w:val="Char Style 15 Exact"/>
    <w:basedOn w:val="CharStyle14Exact"/>
    <w:uiPriority w:val="99"/>
    <w:rsid w:val="00346950"/>
    <w:rPr>
      <w:rFonts w:ascii="Arial" w:hAnsi="Arial" w:cs="Arial"/>
      <w:i w:val="0"/>
      <w:iCs w:val="0"/>
      <w:sz w:val="12"/>
      <w:szCs w:val="12"/>
      <w:u w:val="none"/>
    </w:rPr>
  </w:style>
  <w:style w:type="character" w:customStyle="1" w:styleId="CharStyle17Exact">
    <w:name w:val="Char Style 17 Exact"/>
    <w:basedOn w:val="Fuentedeprrafopredeter"/>
    <w:uiPriority w:val="99"/>
    <w:rsid w:val="00346950"/>
    <w:rPr>
      <w:rFonts w:ascii="Arial" w:hAnsi="Arial" w:cs="Arial"/>
      <w:sz w:val="12"/>
      <w:szCs w:val="12"/>
      <w:u w:val="none"/>
    </w:rPr>
  </w:style>
  <w:style w:type="character" w:customStyle="1" w:styleId="CharStyle19Exact">
    <w:name w:val="Char Style 19 Exact"/>
    <w:basedOn w:val="Fuentedeprrafopredeter"/>
    <w:uiPriority w:val="99"/>
    <w:rsid w:val="00346950"/>
    <w:rPr>
      <w:rFonts w:ascii="Arial" w:hAnsi="Arial" w:cs="Arial"/>
      <w:sz w:val="15"/>
      <w:szCs w:val="15"/>
      <w:u w:val="none"/>
    </w:rPr>
  </w:style>
  <w:style w:type="character" w:customStyle="1" w:styleId="CharStyle45">
    <w:name w:val="Char Style 45"/>
    <w:basedOn w:val="Fuentedeprrafopredeter"/>
    <w:link w:val="Style44"/>
    <w:uiPriority w:val="99"/>
    <w:rsid w:val="00346950"/>
    <w:rPr>
      <w:rFonts w:ascii="Arial" w:hAnsi="Arial" w:cs="Arial"/>
      <w:sz w:val="13"/>
      <w:szCs w:val="13"/>
      <w:shd w:val="clear" w:color="auto" w:fill="FFFFFF"/>
    </w:rPr>
  </w:style>
  <w:style w:type="character" w:customStyle="1" w:styleId="CharStyle46">
    <w:name w:val="Char Style 46"/>
    <w:basedOn w:val="CharStyle45"/>
    <w:uiPriority w:val="99"/>
    <w:rsid w:val="00346950"/>
    <w:rPr>
      <w:rFonts w:ascii="Arial" w:hAnsi="Arial" w:cs="Arial"/>
      <w:sz w:val="13"/>
      <w:szCs w:val="13"/>
      <w:u w:val="single"/>
      <w:shd w:val="clear" w:color="auto" w:fill="FFFFFF"/>
    </w:rPr>
  </w:style>
  <w:style w:type="character" w:customStyle="1" w:styleId="CharStyle51">
    <w:name w:val="Char Style 51"/>
    <w:basedOn w:val="Fuentedeprrafopredeter"/>
    <w:link w:val="Style50"/>
    <w:uiPriority w:val="99"/>
    <w:rsid w:val="00346950"/>
    <w:rPr>
      <w:rFonts w:ascii="Arial" w:hAnsi="Arial" w:cs="Arial"/>
      <w:b/>
      <w:bCs/>
      <w:sz w:val="17"/>
      <w:szCs w:val="17"/>
      <w:shd w:val="clear" w:color="auto" w:fill="FFFFFF"/>
    </w:rPr>
  </w:style>
  <w:style w:type="paragraph" w:customStyle="1" w:styleId="Style16">
    <w:name w:val="Style 16"/>
    <w:basedOn w:val="Normal"/>
    <w:uiPriority w:val="99"/>
    <w:rsid w:val="00346950"/>
    <w:pPr>
      <w:widowControl w:val="0"/>
      <w:shd w:val="clear" w:color="auto" w:fill="FFFFFF"/>
      <w:spacing w:before="240" w:after="0" w:line="240" w:lineRule="atLeast"/>
      <w:jc w:val="both"/>
    </w:pPr>
    <w:rPr>
      <w:rFonts w:ascii="Arial" w:eastAsia="Times New Roman" w:hAnsi="Arial" w:cs="Arial"/>
      <w:sz w:val="13"/>
      <w:szCs w:val="13"/>
      <w:lang w:val="es-ES_tradnl" w:eastAsia="es-CO"/>
    </w:rPr>
  </w:style>
  <w:style w:type="paragraph" w:customStyle="1" w:styleId="Style18">
    <w:name w:val="Style 18"/>
    <w:basedOn w:val="Normal"/>
    <w:link w:val="CharStyle31"/>
    <w:uiPriority w:val="99"/>
    <w:rsid w:val="00346950"/>
    <w:pPr>
      <w:widowControl w:val="0"/>
      <w:shd w:val="clear" w:color="auto" w:fill="FFFFFF"/>
      <w:spacing w:before="120" w:after="0" w:line="240" w:lineRule="atLeast"/>
      <w:jc w:val="right"/>
    </w:pPr>
    <w:rPr>
      <w:rFonts w:ascii="Arial" w:hAnsi="Arial" w:cs="Arial"/>
      <w:sz w:val="19"/>
      <w:szCs w:val="19"/>
    </w:rPr>
  </w:style>
  <w:style w:type="paragraph" w:customStyle="1" w:styleId="Style44">
    <w:name w:val="Style 44"/>
    <w:basedOn w:val="Normal"/>
    <w:link w:val="CharStyle45"/>
    <w:uiPriority w:val="99"/>
    <w:rsid w:val="00346950"/>
    <w:pPr>
      <w:widowControl w:val="0"/>
      <w:shd w:val="clear" w:color="auto" w:fill="FFFFFF"/>
      <w:spacing w:after="0" w:line="202" w:lineRule="exact"/>
      <w:jc w:val="center"/>
    </w:pPr>
    <w:rPr>
      <w:rFonts w:ascii="Arial" w:hAnsi="Arial" w:cs="Arial"/>
      <w:sz w:val="13"/>
      <w:szCs w:val="13"/>
    </w:rPr>
  </w:style>
  <w:style w:type="paragraph" w:customStyle="1" w:styleId="Style50">
    <w:name w:val="Style 50"/>
    <w:basedOn w:val="Normal"/>
    <w:link w:val="CharStyle51"/>
    <w:uiPriority w:val="99"/>
    <w:rsid w:val="00346950"/>
    <w:pPr>
      <w:widowControl w:val="0"/>
      <w:shd w:val="clear" w:color="auto" w:fill="FFFFFF"/>
      <w:spacing w:after="0" w:line="240" w:lineRule="atLeast"/>
    </w:pPr>
    <w:rPr>
      <w:rFonts w:ascii="Arial" w:hAnsi="Arial" w:cs="Arial"/>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7449">
      <w:bodyDiv w:val="1"/>
      <w:marLeft w:val="0"/>
      <w:marRight w:val="0"/>
      <w:marTop w:val="0"/>
      <w:marBottom w:val="0"/>
      <w:divBdr>
        <w:top w:val="none" w:sz="0" w:space="0" w:color="auto"/>
        <w:left w:val="none" w:sz="0" w:space="0" w:color="auto"/>
        <w:bottom w:val="none" w:sz="0" w:space="0" w:color="auto"/>
        <w:right w:val="none" w:sz="0" w:space="0" w:color="auto"/>
      </w:divBdr>
    </w:div>
    <w:div w:id="71054367">
      <w:bodyDiv w:val="1"/>
      <w:marLeft w:val="0"/>
      <w:marRight w:val="0"/>
      <w:marTop w:val="0"/>
      <w:marBottom w:val="0"/>
      <w:divBdr>
        <w:top w:val="none" w:sz="0" w:space="0" w:color="auto"/>
        <w:left w:val="none" w:sz="0" w:space="0" w:color="auto"/>
        <w:bottom w:val="none" w:sz="0" w:space="0" w:color="auto"/>
        <w:right w:val="none" w:sz="0" w:space="0" w:color="auto"/>
      </w:divBdr>
    </w:div>
    <w:div w:id="76292083">
      <w:bodyDiv w:val="1"/>
      <w:marLeft w:val="0"/>
      <w:marRight w:val="0"/>
      <w:marTop w:val="0"/>
      <w:marBottom w:val="0"/>
      <w:divBdr>
        <w:top w:val="none" w:sz="0" w:space="0" w:color="auto"/>
        <w:left w:val="none" w:sz="0" w:space="0" w:color="auto"/>
        <w:bottom w:val="none" w:sz="0" w:space="0" w:color="auto"/>
        <w:right w:val="none" w:sz="0" w:space="0" w:color="auto"/>
      </w:divBdr>
    </w:div>
    <w:div w:id="103312606">
      <w:bodyDiv w:val="1"/>
      <w:marLeft w:val="0"/>
      <w:marRight w:val="0"/>
      <w:marTop w:val="0"/>
      <w:marBottom w:val="0"/>
      <w:divBdr>
        <w:top w:val="none" w:sz="0" w:space="0" w:color="auto"/>
        <w:left w:val="none" w:sz="0" w:space="0" w:color="auto"/>
        <w:bottom w:val="none" w:sz="0" w:space="0" w:color="auto"/>
        <w:right w:val="none" w:sz="0" w:space="0" w:color="auto"/>
      </w:divBdr>
    </w:div>
    <w:div w:id="106512877">
      <w:bodyDiv w:val="1"/>
      <w:marLeft w:val="0"/>
      <w:marRight w:val="0"/>
      <w:marTop w:val="0"/>
      <w:marBottom w:val="0"/>
      <w:divBdr>
        <w:top w:val="none" w:sz="0" w:space="0" w:color="auto"/>
        <w:left w:val="none" w:sz="0" w:space="0" w:color="auto"/>
        <w:bottom w:val="none" w:sz="0" w:space="0" w:color="auto"/>
        <w:right w:val="none" w:sz="0" w:space="0" w:color="auto"/>
      </w:divBdr>
    </w:div>
    <w:div w:id="108667032">
      <w:bodyDiv w:val="1"/>
      <w:marLeft w:val="0"/>
      <w:marRight w:val="0"/>
      <w:marTop w:val="0"/>
      <w:marBottom w:val="0"/>
      <w:divBdr>
        <w:top w:val="none" w:sz="0" w:space="0" w:color="auto"/>
        <w:left w:val="none" w:sz="0" w:space="0" w:color="auto"/>
        <w:bottom w:val="none" w:sz="0" w:space="0" w:color="auto"/>
        <w:right w:val="none" w:sz="0" w:space="0" w:color="auto"/>
      </w:divBdr>
    </w:div>
    <w:div w:id="151455879">
      <w:bodyDiv w:val="1"/>
      <w:marLeft w:val="0"/>
      <w:marRight w:val="0"/>
      <w:marTop w:val="0"/>
      <w:marBottom w:val="0"/>
      <w:divBdr>
        <w:top w:val="none" w:sz="0" w:space="0" w:color="auto"/>
        <w:left w:val="none" w:sz="0" w:space="0" w:color="auto"/>
        <w:bottom w:val="none" w:sz="0" w:space="0" w:color="auto"/>
        <w:right w:val="none" w:sz="0" w:space="0" w:color="auto"/>
      </w:divBdr>
    </w:div>
    <w:div w:id="152113082">
      <w:bodyDiv w:val="1"/>
      <w:marLeft w:val="0"/>
      <w:marRight w:val="0"/>
      <w:marTop w:val="0"/>
      <w:marBottom w:val="0"/>
      <w:divBdr>
        <w:top w:val="none" w:sz="0" w:space="0" w:color="auto"/>
        <w:left w:val="none" w:sz="0" w:space="0" w:color="auto"/>
        <w:bottom w:val="none" w:sz="0" w:space="0" w:color="auto"/>
        <w:right w:val="none" w:sz="0" w:space="0" w:color="auto"/>
      </w:divBdr>
    </w:div>
    <w:div w:id="169375863">
      <w:bodyDiv w:val="1"/>
      <w:marLeft w:val="0"/>
      <w:marRight w:val="0"/>
      <w:marTop w:val="0"/>
      <w:marBottom w:val="0"/>
      <w:divBdr>
        <w:top w:val="none" w:sz="0" w:space="0" w:color="auto"/>
        <w:left w:val="none" w:sz="0" w:space="0" w:color="auto"/>
        <w:bottom w:val="none" w:sz="0" w:space="0" w:color="auto"/>
        <w:right w:val="none" w:sz="0" w:space="0" w:color="auto"/>
      </w:divBdr>
    </w:div>
    <w:div w:id="171990352">
      <w:bodyDiv w:val="1"/>
      <w:marLeft w:val="0"/>
      <w:marRight w:val="0"/>
      <w:marTop w:val="0"/>
      <w:marBottom w:val="0"/>
      <w:divBdr>
        <w:top w:val="none" w:sz="0" w:space="0" w:color="auto"/>
        <w:left w:val="none" w:sz="0" w:space="0" w:color="auto"/>
        <w:bottom w:val="none" w:sz="0" w:space="0" w:color="auto"/>
        <w:right w:val="none" w:sz="0" w:space="0" w:color="auto"/>
      </w:divBdr>
    </w:div>
    <w:div w:id="193157903">
      <w:bodyDiv w:val="1"/>
      <w:marLeft w:val="0"/>
      <w:marRight w:val="0"/>
      <w:marTop w:val="0"/>
      <w:marBottom w:val="0"/>
      <w:divBdr>
        <w:top w:val="none" w:sz="0" w:space="0" w:color="auto"/>
        <w:left w:val="none" w:sz="0" w:space="0" w:color="auto"/>
        <w:bottom w:val="none" w:sz="0" w:space="0" w:color="auto"/>
        <w:right w:val="none" w:sz="0" w:space="0" w:color="auto"/>
      </w:divBdr>
    </w:div>
    <w:div w:id="258489558">
      <w:bodyDiv w:val="1"/>
      <w:marLeft w:val="0"/>
      <w:marRight w:val="0"/>
      <w:marTop w:val="0"/>
      <w:marBottom w:val="0"/>
      <w:divBdr>
        <w:top w:val="none" w:sz="0" w:space="0" w:color="auto"/>
        <w:left w:val="none" w:sz="0" w:space="0" w:color="auto"/>
        <w:bottom w:val="none" w:sz="0" w:space="0" w:color="auto"/>
        <w:right w:val="none" w:sz="0" w:space="0" w:color="auto"/>
      </w:divBdr>
    </w:div>
    <w:div w:id="286546125">
      <w:bodyDiv w:val="1"/>
      <w:marLeft w:val="0"/>
      <w:marRight w:val="0"/>
      <w:marTop w:val="0"/>
      <w:marBottom w:val="0"/>
      <w:divBdr>
        <w:top w:val="none" w:sz="0" w:space="0" w:color="auto"/>
        <w:left w:val="none" w:sz="0" w:space="0" w:color="auto"/>
        <w:bottom w:val="none" w:sz="0" w:space="0" w:color="auto"/>
        <w:right w:val="none" w:sz="0" w:space="0" w:color="auto"/>
      </w:divBdr>
    </w:div>
    <w:div w:id="300352962">
      <w:bodyDiv w:val="1"/>
      <w:marLeft w:val="0"/>
      <w:marRight w:val="0"/>
      <w:marTop w:val="0"/>
      <w:marBottom w:val="0"/>
      <w:divBdr>
        <w:top w:val="none" w:sz="0" w:space="0" w:color="auto"/>
        <w:left w:val="none" w:sz="0" w:space="0" w:color="auto"/>
        <w:bottom w:val="none" w:sz="0" w:space="0" w:color="auto"/>
        <w:right w:val="none" w:sz="0" w:space="0" w:color="auto"/>
      </w:divBdr>
    </w:div>
    <w:div w:id="315454905">
      <w:bodyDiv w:val="1"/>
      <w:marLeft w:val="0"/>
      <w:marRight w:val="0"/>
      <w:marTop w:val="0"/>
      <w:marBottom w:val="0"/>
      <w:divBdr>
        <w:top w:val="none" w:sz="0" w:space="0" w:color="auto"/>
        <w:left w:val="none" w:sz="0" w:space="0" w:color="auto"/>
        <w:bottom w:val="none" w:sz="0" w:space="0" w:color="auto"/>
        <w:right w:val="none" w:sz="0" w:space="0" w:color="auto"/>
      </w:divBdr>
    </w:div>
    <w:div w:id="332417518">
      <w:bodyDiv w:val="1"/>
      <w:marLeft w:val="0"/>
      <w:marRight w:val="0"/>
      <w:marTop w:val="0"/>
      <w:marBottom w:val="0"/>
      <w:divBdr>
        <w:top w:val="none" w:sz="0" w:space="0" w:color="auto"/>
        <w:left w:val="none" w:sz="0" w:space="0" w:color="auto"/>
        <w:bottom w:val="none" w:sz="0" w:space="0" w:color="auto"/>
        <w:right w:val="none" w:sz="0" w:space="0" w:color="auto"/>
      </w:divBdr>
    </w:div>
    <w:div w:id="348486601">
      <w:bodyDiv w:val="1"/>
      <w:marLeft w:val="0"/>
      <w:marRight w:val="0"/>
      <w:marTop w:val="0"/>
      <w:marBottom w:val="0"/>
      <w:divBdr>
        <w:top w:val="none" w:sz="0" w:space="0" w:color="auto"/>
        <w:left w:val="none" w:sz="0" w:space="0" w:color="auto"/>
        <w:bottom w:val="none" w:sz="0" w:space="0" w:color="auto"/>
        <w:right w:val="none" w:sz="0" w:space="0" w:color="auto"/>
      </w:divBdr>
    </w:div>
    <w:div w:id="388768480">
      <w:bodyDiv w:val="1"/>
      <w:marLeft w:val="0"/>
      <w:marRight w:val="0"/>
      <w:marTop w:val="0"/>
      <w:marBottom w:val="0"/>
      <w:divBdr>
        <w:top w:val="none" w:sz="0" w:space="0" w:color="auto"/>
        <w:left w:val="none" w:sz="0" w:space="0" w:color="auto"/>
        <w:bottom w:val="none" w:sz="0" w:space="0" w:color="auto"/>
        <w:right w:val="none" w:sz="0" w:space="0" w:color="auto"/>
      </w:divBdr>
    </w:div>
    <w:div w:id="406457382">
      <w:bodyDiv w:val="1"/>
      <w:marLeft w:val="0"/>
      <w:marRight w:val="0"/>
      <w:marTop w:val="0"/>
      <w:marBottom w:val="0"/>
      <w:divBdr>
        <w:top w:val="none" w:sz="0" w:space="0" w:color="auto"/>
        <w:left w:val="none" w:sz="0" w:space="0" w:color="auto"/>
        <w:bottom w:val="none" w:sz="0" w:space="0" w:color="auto"/>
        <w:right w:val="none" w:sz="0" w:space="0" w:color="auto"/>
      </w:divBdr>
    </w:div>
    <w:div w:id="412549843">
      <w:bodyDiv w:val="1"/>
      <w:marLeft w:val="0"/>
      <w:marRight w:val="0"/>
      <w:marTop w:val="0"/>
      <w:marBottom w:val="0"/>
      <w:divBdr>
        <w:top w:val="none" w:sz="0" w:space="0" w:color="auto"/>
        <w:left w:val="none" w:sz="0" w:space="0" w:color="auto"/>
        <w:bottom w:val="none" w:sz="0" w:space="0" w:color="auto"/>
        <w:right w:val="none" w:sz="0" w:space="0" w:color="auto"/>
      </w:divBdr>
    </w:div>
    <w:div w:id="428548580">
      <w:bodyDiv w:val="1"/>
      <w:marLeft w:val="0"/>
      <w:marRight w:val="0"/>
      <w:marTop w:val="0"/>
      <w:marBottom w:val="0"/>
      <w:divBdr>
        <w:top w:val="none" w:sz="0" w:space="0" w:color="auto"/>
        <w:left w:val="none" w:sz="0" w:space="0" w:color="auto"/>
        <w:bottom w:val="none" w:sz="0" w:space="0" w:color="auto"/>
        <w:right w:val="none" w:sz="0" w:space="0" w:color="auto"/>
      </w:divBdr>
    </w:div>
    <w:div w:id="447623819">
      <w:bodyDiv w:val="1"/>
      <w:marLeft w:val="0"/>
      <w:marRight w:val="0"/>
      <w:marTop w:val="0"/>
      <w:marBottom w:val="0"/>
      <w:divBdr>
        <w:top w:val="none" w:sz="0" w:space="0" w:color="auto"/>
        <w:left w:val="none" w:sz="0" w:space="0" w:color="auto"/>
        <w:bottom w:val="none" w:sz="0" w:space="0" w:color="auto"/>
        <w:right w:val="none" w:sz="0" w:space="0" w:color="auto"/>
      </w:divBdr>
    </w:div>
    <w:div w:id="484201968">
      <w:bodyDiv w:val="1"/>
      <w:marLeft w:val="0"/>
      <w:marRight w:val="0"/>
      <w:marTop w:val="0"/>
      <w:marBottom w:val="0"/>
      <w:divBdr>
        <w:top w:val="none" w:sz="0" w:space="0" w:color="auto"/>
        <w:left w:val="none" w:sz="0" w:space="0" w:color="auto"/>
        <w:bottom w:val="none" w:sz="0" w:space="0" w:color="auto"/>
        <w:right w:val="none" w:sz="0" w:space="0" w:color="auto"/>
      </w:divBdr>
    </w:div>
    <w:div w:id="502477425">
      <w:bodyDiv w:val="1"/>
      <w:marLeft w:val="0"/>
      <w:marRight w:val="0"/>
      <w:marTop w:val="0"/>
      <w:marBottom w:val="0"/>
      <w:divBdr>
        <w:top w:val="none" w:sz="0" w:space="0" w:color="auto"/>
        <w:left w:val="none" w:sz="0" w:space="0" w:color="auto"/>
        <w:bottom w:val="none" w:sz="0" w:space="0" w:color="auto"/>
        <w:right w:val="none" w:sz="0" w:space="0" w:color="auto"/>
      </w:divBdr>
    </w:div>
    <w:div w:id="503471579">
      <w:bodyDiv w:val="1"/>
      <w:marLeft w:val="0"/>
      <w:marRight w:val="0"/>
      <w:marTop w:val="0"/>
      <w:marBottom w:val="0"/>
      <w:divBdr>
        <w:top w:val="none" w:sz="0" w:space="0" w:color="auto"/>
        <w:left w:val="none" w:sz="0" w:space="0" w:color="auto"/>
        <w:bottom w:val="none" w:sz="0" w:space="0" w:color="auto"/>
        <w:right w:val="none" w:sz="0" w:space="0" w:color="auto"/>
      </w:divBdr>
    </w:div>
    <w:div w:id="514610400">
      <w:bodyDiv w:val="1"/>
      <w:marLeft w:val="0"/>
      <w:marRight w:val="0"/>
      <w:marTop w:val="0"/>
      <w:marBottom w:val="0"/>
      <w:divBdr>
        <w:top w:val="none" w:sz="0" w:space="0" w:color="auto"/>
        <w:left w:val="none" w:sz="0" w:space="0" w:color="auto"/>
        <w:bottom w:val="none" w:sz="0" w:space="0" w:color="auto"/>
        <w:right w:val="none" w:sz="0" w:space="0" w:color="auto"/>
      </w:divBdr>
    </w:div>
    <w:div w:id="518855641">
      <w:bodyDiv w:val="1"/>
      <w:marLeft w:val="0"/>
      <w:marRight w:val="0"/>
      <w:marTop w:val="0"/>
      <w:marBottom w:val="0"/>
      <w:divBdr>
        <w:top w:val="none" w:sz="0" w:space="0" w:color="auto"/>
        <w:left w:val="none" w:sz="0" w:space="0" w:color="auto"/>
        <w:bottom w:val="none" w:sz="0" w:space="0" w:color="auto"/>
        <w:right w:val="none" w:sz="0" w:space="0" w:color="auto"/>
      </w:divBdr>
    </w:div>
    <w:div w:id="530654703">
      <w:bodyDiv w:val="1"/>
      <w:marLeft w:val="0"/>
      <w:marRight w:val="0"/>
      <w:marTop w:val="0"/>
      <w:marBottom w:val="0"/>
      <w:divBdr>
        <w:top w:val="none" w:sz="0" w:space="0" w:color="auto"/>
        <w:left w:val="none" w:sz="0" w:space="0" w:color="auto"/>
        <w:bottom w:val="none" w:sz="0" w:space="0" w:color="auto"/>
        <w:right w:val="none" w:sz="0" w:space="0" w:color="auto"/>
      </w:divBdr>
    </w:div>
    <w:div w:id="538905877">
      <w:bodyDiv w:val="1"/>
      <w:marLeft w:val="0"/>
      <w:marRight w:val="0"/>
      <w:marTop w:val="0"/>
      <w:marBottom w:val="0"/>
      <w:divBdr>
        <w:top w:val="none" w:sz="0" w:space="0" w:color="auto"/>
        <w:left w:val="none" w:sz="0" w:space="0" w:color="auto"/>
        <w:bottom w:val="none" w:sz="0" w:space="0" w:color="auto"/>
        <w:right w:val="none" w:sz="0" w:space="0" w:color="auto"/>
      </w:divBdr>
    </w:div>
    <w:div w:id="597325862">
      <w:bodyDiv w:val="1"/>
      <w:marLeft w:val="0"/>
      <w:marRight w:val="0"/>
      <w:marTop w:val="0"/>
      <w:marBottom w:val="0"/>
      <w:divBdr>
        <w:top w:val="none" w:sz="0" w:space="0" w:color="auto"/>
        <w:left w:val="none" w:sz="0" w:space="0" w:color="auto"/>
        <w:bottom w:val="none" w:sz="0" w:space="0" w:color="auto"/>
        <w:right w:val="none" w:sz="0" w:space="0" w:color="auto"/>
      </w:divBdr>
    </w:div>
    <w:div w:id="611984634">
      <w:bodyDiv w:val="1"/>
      <w:marLeft w:val="0"/>
      <w:marRight w:val="0"/>
      <w:marTop w:val="0"/>
      <w:marBottom w:val="0"/>
      <w:divBdr>
        <w:top w:val="none" w:sz="0" w:space="0" w:color="auto"/>
        <w:left w:val="none" w:sz="0" w:space="0" w:color="auto"/>
        <w:bottom w:val="none" w:sz="0" w:space="0" w:color="auto"/>
        <w:right w:val="none" w:sz="0" w:space="0" w:color="auto"/>
      </w:divBdr>
    </w:div>
    <w:div w:id="622733404">
      <w:bodyDiv w:val="1"/>
      <w:marLeft w:val="0"/>
      <w:marRight w:val="0"/>
      <w:marTop w:val="0"/>
      <w:marBottom w:val="0"/>
      <w:divBdr>
        <w:top w:val="none" w:sz="0" w:space="0" w:color="auto"/>
        <w:left w:val="none" w:sz="0" w:space="0" w:color="auto"/>
        <w:bottom w:val="none" w:sz="0" w:space="0" w:color="auto"/>
        <w:right w:val="none" w:sz="0" w:space="0" w:color="auto"/>
      </w:divBdr>
    </w:div>
    <w:div w:id="641620702">
      <w:bodyDiv w:val="1"/>
      <w:marLeft w:val="0"/>
      <w:marRight w:val="0"/>
      <w:marTop w:val="0"/>
      <w:marBottom w:val="0"/>
      <w:divBdr>
        <w:top w:val="none" w:sz="0" w:space="0" w:color="auto"/>
        <w:left w:val="none" w:sz="0" w:space="0" w:color="auto"/>
        <w:bottom w:val="none" w:sz="0" w:space="0" w:color="auto"/>
        <w:right w:val="none" w:sz="0" w:space="0" w:color="auto"/>
      </w:divBdr>
    </w:div>
    <w:div w:id="643854832">
      <w:bodyDiv w:val="1"/>
      <w:marLeft w:val="0"/>
      <w:marRight w:val="0"/>
      <w:marTop w:val="0"/>
      <w:marBottom w:val="0"/>
      <w:divBdr>
        <w:top w:val="none" w:sz="0" w:space="0" w:color="auto"/>
        <w:left w:val="none" w:sz="0" w:space="0" w:color="auto"/>
        <w:bottom w:val="none" w:sz="0" w:space="0" w:color="auto"/>
        <w:right w:val="none" w:sz="0" w:space="0" w:color="auto"/>
      </w:divBdr>
    </w:div>
    <w:div w:id="700396762">
      <w:bodyDiv w:val="1"/>
      <w:marLeft w:val="0"/>
      <w:marRight w:val="0"/>
      <w:marTop w:val="0"/>
      <w:marBottom w:val="0"/>
      <w:divBdr>
        <w:top w:val="none" w:sz="0" w:space="0" w:color="auto"/>
        <w:left w:val="none" w:sz="0" w:space="0" w:color="auto"/>
        <w:bottom w:val="none" w:sz="0" w:space="0" w:color="auto"/>
        <w:right w:val="none" w:sz="0" w:space="0" w:color="auto"/>
      </w:divBdr>
    </w:div>
    <w:div w:id="715351796">
      <w:bodyDiv w:val="1"/>
      <w:marLeft w:val="0"/>
      <w:marRight w:val="0"/>
      <w:marTop w:val="0"/>
      <w:marBottom w:val="0"/>
      <w:divBdr>
        <w:top w:val="none" w:sz="0" w:space="0" w:color="auto"/>
        <w:left w:val="none" w:sz="0" w:space="0" w:color="auto"/>
        <w:bottom w:val="none" w:sz="0" w:space="0" w:color="auto"/>
        <w:right w:val="none" w:sz="0" w:space="0" w:color="auto"/>
      </w:divBdr>
    </w:div>
    <w:div w:id="724255459">
      <w:bodyDiv w:val="1"/>
      <w:marLeft w:val="0"/>
      <w:marRight w:val="0"/>
      <w:marTop w:val="0"/>
      <w:marBottom w:val="0"/>
      <w:divBdr>
        <w:top w:val="none" w:sz="0" w:space="0" w:color="auto"/>
        <w:left w:val="none" w:sz="0" w:space="0" w:color="auto"/>
        <w:bottom w:val="none" w:sz="0" w:space="0" w:color="auto"/>
        <w:right w:val="none" w:sz="0" w:space="0" w:color="auto"/>
      </w:divBdr>
    </w:div>
    <w:div w:id="731928250">
      <w:bodyDiv w:val="1"/>
      <w:marLeft w:val="0"/>
      <w:marRight w:val="0"/>
      <w:marTop w:val="0"/>
      <w:marBottom w:val="0"/>
      <w:divBdr>
        <w:top w:val="none" w:sz="0" w:space="0" w:color="auto"/>
        <w:left w:val="none" w:sz="0" w:space="0" w:color="auto"/>
        <w:bottom w:val="none" w:sz="0" w:space="0" w:color="auto"/>
        <w:right w:val="none" w:sz="0" w:space="0" w:color="auto"/>
      </w:divBdr>
    </w:div>
    <w:div w:id="741374628">
      <w:bodyDiv w:val="1"/>
      <w:marLeft w:val="0"/>
      <w:marRight w:val="0"/>
      <w:marTop w:val="0"/>
      <w:marBottom w:val="0"/>
      <w:divBdr>
        <w:top w:val="none" w:sz="0" w:space="0" w:color="auto"/>
        <w:left w:val="none" w:sz="0" w:space="0" w:color="auto"/>
        <w:bottom w:val="none" w:sz="0" w:space="0" w:color="auto"/>
        <w:right w:val="none" w:sz="0" w:space="0" w:color="auto"/>
      </w:divBdr>
    </w:div>
    <w:div w:id="830829880">
      <w:bodyDiv w:val="1"/>
      <w:marLeft w:val="0"/>
      <w:marRight w:val="0"/>
      <w:marTop w:val="0"/>
      <w:marBottom w:val="0"/>
      <w:divBdr>
        <w:top w:val="none" w:sz="0" w:space="0" w:color="auto"/>
        <w:left w:val="none" w:sz="0" w:space="0" w:color="auto"/>
        <w:bottom w:val="none" w:sz="0" w:space="0" w:color="auto"/>
        <w:right w:val="none" w:sz="0" w:space="0" w:color="auto"/>
      </w:divBdr>
    </w:div>
    <w:div w:id="867643855">
      <w:bodyDiv w:val="1"/>
      <w:marLeft w:val="0"/>
      <w:marRight w:val="0"/>
      <w:marTop w:val="0"/>
      <w:marBottom w:val="0"/>
      <w:divBdr>
        <w:top w:val="none" w:sz="0" w:space="0" w:color="auto"/>
        <w:left w:val="none" w:sz="0" w:space="0" w:color="auto"/>
        <w:bottom w:val="none" w:sz="0" w:space="0" w:color="auto"/>
        <w:right w:val="none" w:sz="0" w:space="0" w:color="auto"/>
      </w:divBdr>
    </w:div>
    <w:div w:id="873929273">
      <w:bodyDiv w:val="1"/>
      <w:marLeft w:val="0"/>
      <w:marRight w:val="0"/>
      <w:marTop w:val="0"/>
      <w:marBottom w:val="0"/>
      <w:divBdr>
        <w:top w:val="none" w:sz="0" w:space="0" w:color="auto"/>
        <w:left w:val="none" w:sz="0" w:space="0" w:color="auto"/>
        <w:bottom w:val="none" w:sz="0" w:space="0" w:color="auto"/>
        <w:right w:val="none" w:sz="0" w:space="0" w:color="auto"/>
      </w:divBdr>
    </w:div>
    <w:div w:id="875047431">
      <w:bodyDiv w:val="1"/>
      <w:marLeft w:val="0"/>
      <w:marRight w:val="0"/>
      <w:marTop w:val="0"/>
      <w:marBottom w:val="0"/>
      <w:divBdr>
        <w:top w:val="none" w:sz="0" w:space="0" w:color="auto"/>
        <w:left w:val="none" w:sz="0" w:space="0" w:color="auto"/>
        <w:bottom w:val="none" w:sz="0" w:space="0" w:color="auto"/>
        <w:right w:val="none" w:sz="0" w:space="0" w:color="auto"/>
      </w:divBdr>
    </w:div>
    <w:div w:id="875241496">
      <w:bodyDiv w:val="1"/>
      <w:marLeft w:val="0"/>
      <w:marRight w:val="0"/>
      <w:marTop w:val="0"/>
      <w:marBottom w:val="0"/>
      <w:divBdr>
        <w:top w:val="none" w:sz="0" w:space="0" w:color="auto"/>
        <w:left w:val="none" w:sz="0" w:space="0" w:color="auto"/>
        <w:bottom w:val="none" w:sz="0" w:space="0" w:color="auto"/>
        <w:right w:val="none" w:sz="0" w:space="0" w:color="auto"/>
      </w:divBdr>
    </w:div>
    <w:div w:id="887297443">
      <w:bodyDiv w:val="1"/>
      <w:marLeft w:val="0"/>
      <w:marRight w:val="0"/>
      <w:marTop w:val="0"/>
      <w:marBottom w:val="0"/>
      <w:divBdr>
        <w:top w:val="none" w:sz="0" w:space="0" w:color="auto"/>
        <w:left w:val="none" w:sz="0" w:space="0" w:color="auto"/>
        <w:bottom w:val="none" w:sz="0" w:space="0" w:color="auto"/>
        <w:right w:val="none" w:sz="0" w:space="0" w:color="auto"/>
      </w:divBdr>
    </w:div>
    <w:div w:id="915865768">
      <w:bodyDiv w:val="1"/>
      <w:marLeft w:val="0"/>
      <w:marRight w:val="0"/>
      <w:marTop w:val="0"/>
      <w:marBottom w:val="0"/>
      <w:divBdr>
        <w:top w:val="none" w:sz="0" w:space="0" w:color="auto"/>
        <w:left w:val="none" w:sz="0" w:space="0" w:color="auto"/>
        <w:bottom w:val="none" w:sz="0" w:space="0" w:color="auto"/>
        <w:right w:val="none" w:sz="0" w:space="0" w:color="auto"/>
      </w:divBdr>
    </w:div>
    <w:div w:id="943810008">
      <w:bodyDiv w:val="1"/>
      <w:marLeft w:val="0"/>
      <w:marRight w:val="0"/>
      <w:marTop w:val="0"/>
      <w:marBottom w:val="0"/>
      <w:divBdr>
        <w:top w:val="none" w:sz="0" w:space="0" w:color="auto"/>
        <w:left w:val="none" w:sz="0" w:space="0" w:color="auto"/>
        <w:bottom w:val="none" w:sz="0" w:space="0" w:color="auto"/>
        <w:right w:val="none" w:sz="0" w:space="0" w:color="auto"/>
      </w:divBdr>
    </w:div>
    <w:div w:id="1113136129">
      <w:bodyDiv w:val="1"/>
      <w:marLeft w:val="0"/>
      <w:marRight w:val="0"/>
      <w:marTop w:val="0"/>
      <w:marBottom w:val="0"/>
      <w:divBdr>
        <w:top w:val="none" w:sz="0" w:space="0" w:color="auto"/>
        <w:left w:val="none" w:sz="0" w:space="0" w:color="auto"/>
        <w:bottom w:val="none" w:sz="0" w:space="0" w:color="auto"/>
        <w:right w:val="none" w:sz="0" w:space="0" w:color="auto"/>
      </w:divBdr>
    </w:div>
    <w:div w:id="1121147826">
      <w:bodyDiv w:val="1"/>
      <w:marLeft w:val="0"/>
      <w:marRight w:val="0"/>
      <w:marTop w:val="0"/>
      <w:marBottom w:val="0"/>
      <w:divBdr>
        <w:top w:val="none" w:sz="0" w:space="0" w:color="auto"/>
        <w:left w:val="none" w:sz="0" w:space="0" w:color="auto"/>
        <w:bottom w:val="none" w:sz="0" w:space="0" w:color="auto"/>
        <w:right w:val="none" w:sz="0" w:space="0" w:color="auto"/>
      </w:divBdr>
    </w:div>
    <w:div w:id="1135877756">
      <w:bodyDiv w:val="1"/>
      <w:marLeft w:val="0"/>
      <w:marRight w:val="0"/>
      <w:marTop w:val="0"/>
      <w:marBottom w:val="0"/>
      <w:divBdr>
        <w:top w:val="none" w:sz="0" w:space="0" w:color="auto"/>
        <w:left w:val="none" w:sz="0" w:space="0" w:color="auto"/>
        <w:bottom w:val="none" w:sz="0" w:space="0" w:color="auto"/>
        <w:right w:val="none" w:sz="0" w:space="0" w:color="auto"/>
      </w:divBdr>
    </w:div>
    <w:div w:id="1149246168">
      <w:bodyDiv w:val="1"/>
      <w:marLeft w:val="0"/>
      <w:marRight w:val="0"/>
      <w:marTop w:val="0"/>
      <w:marBottom w:val="0"/>
      <w:divBdr>
        <w:top w:val="none" w:sz="0" w:space="0" w:color="auto"/>
        <w:left w:val="none" w:sz="0" w:space="0" w:color="auto"/>
        <w:bottom w:val="none" w:sz="0" w:space="0" w:color="auto"/>
        <w:right w:val="none" w:sz="0" w:space="0" w:color="auto"/>
      </w:divBdr>
    </w:div>
    <w:div w:id="1149908805">
      <w:bodyDiv w:val="1"/>
      <w:marLeft w:val="0"/>
      <w:marRight w:val="0"/>
      <w:marTop w:val="0"/>
      <w:marBottom w:val="0"/>
      <w:divBdr>
        <w:top w:val="none" w:sz="0" w:space="0" w:color="auto"/>
        <w:left w:val="none" w:sz="0" w:space="0" w:color="auto"/>
        <w:bottom w:val="none" w:sz="0" w:space="0" w:color="auto"/>
        <w:right w:val="none" w:sz="0" w:space="0" w:color="auto"/>
      </w:divBdr>
    </w:div>
    <w:div w:id="1186677780">
      <w:bodyDiv w:val="1"/>
      <w:marLeft w:val="0"/>
      <w:marRight w:val="0"/>
      <w:marTop w:val="0"/>
      <w:marBottom w:val="0"/>
      <w:divBdr>
        <w:top w:val="none" w:sz="0" w:space="0" w:color="auto"/>
        <w:left w:val="none" w:sz="0" w:space="0" w:color="auto"/>
        <w:bottom w:val="none" w:sz="0" w:space="0" w:color="auto"/>
        <w:right w:val="none" w:sz="0" w:space="0" w:color="auto"/>
      </w:divBdr>
    </w:div>
    <w:div w:id="1226919216">
      <w:bodyDiv w:val="1"/>
      <w:marLeft w:val="0"/>
      <w:marRight w:val="0"/>
      <w:marTop w:val="0"/>
      <w:marBottom w:val="0"/>
      <w:divBdr>
        <w:top w:val="none" w:sz="0" w:space="0" w:color="auto"/>
        <w:left w:val="none" w:sz="0" w:space="0" w:color="auto"/>
        <w:bottom w:val="none" w:sz="0" w:space="0" w:color="auto"/>
        <w:right w:val="none" w:sz="0" w:space="0" w:color="auto"/>
      </w:divBdr>
    </w:div>
    <w:div w:id="1260140815">
      <w:bodyDiv w:val="1"/>
      <w:marLeft w:val="0"/>
      <w:marRight w:val="0"/>
      <w:marTop w:val="0"/>
      <w:marBottom w:val="0"/>
      <w:divBdr>
        <w:top w:val="none" w:sz="0" w:space="0" w:color="auto"/>
        <w:left w:val="none" w:sz="0" w:space="0" w:color="auto"/>
        <w:bottom w:val="none" w:sz="0" w:space="0" w:color="auto"/>
        <w:right w:val="none" w:sz="0" w:space="0" w:color="auto"/>
      </w:divBdr>
    </w:div>
    <w:div w:id="1350596692">
      <w:bodyDiv w:val="1"/>
      <w:marLeft w:val="0"/>
      <w:marRight w:val="0"/>
      <w:marTop w:val="0"/>
      <w:marBottom w:val="0"/>
      <w:divBdr>
        <w:top w:val="none" w:sz="0" w:space="0" w:color="auto"/>
        <w:left w:val="none" w:sz="0" w:space="0" w:color="auto"/>
        <w:bottom w:val="none" w:sz="0" w:space="0" w:color="auto"/>
        <w:right w:val="none" w:sz="0" w:space="0" w:color="auto"/>
      </w:divBdr>
    </w:div>
    <w:div w:id="1351839414">
      <w:bodyDiv w:val="1"/>
      <w:marLeft w:val="0"/>
      <w:marRight w:val="0"/>
      <w:marTop w:val="0"/>
      <w:marBottom w:val="0"/>
      <w:divBdr>
        <w:top w:val="none" w:sz="0" w:space="0" w:color="auto"/>
        <w:left w:val="none" w:sz="0" w:space="0" w:color="auto"/>
        <w:bottom w:val="none" w:sz="0" w:space="0" w:color="auto"/>
        <w:right w:val="none" w:sz="0" w:space="0" w:color="auto"/>
      </w:divBdr>
    </w:div>
    <w:div w:id="1377973063">
      <w:bodyDiv w:val="1"/>
      <w:marLeft w:val="0"/>
      <w:marRight w:val="0"/>
      <w:marTop w:val="0"/>
      <w:marBottom w:val="0"/>
      <w:divBdr>
        <w:top w:val="none" w:sz="0" w:space="0" w:color="auto"/>
        <w:left w:val="none" w:sz="0" w:space="0" w:color="auto"/>
        <w:bottom w:val="none" w:sz="0" w:space="0" w:color="auto"/>
        <w:right w:val="none" w:sz="0" w:space="0" w:color="auto"/>
      </w:divBdr>
    </w:div>
    <w:div w:id="1407413027">
      <w:bodyDiv w:val="1"/>
      <w:marLeft w:val="0"/>
      <w:marRight w:val="0"/>
      <w:marTop w:val="0"/>
      <w:marBottom w:val="0"/>
      <w:divBdr>
        <w:top w:val="none" w:sz="0" w:space="0" w:color="auto"/>
        <w:left w:val="none" w:sz="0" w:space="0" w:color="auto"/>
        <w:bottom w:val="none" w:sz="0" w:space="0" w:color="auto"/>
        <w:right w:val="none" w:sz="0" w:space="0" w:color="auto"/>
      </w:divBdr>
    </w:div>
    <w:div w:id="1423525766">
      <w:bodyDiv w:val="1"/>
      <w:marLeft w:val="0"/>
      <w:marRight w:val="0"/>
      <w:marTop w:val="0"/>
      <w:marBottom w:val="0"/>
      <w:divBdr>
        <w:top w:val="none" w:sz="0" w:space="0" w:color="auto"/>
        <w:left w:val="none" w:sz="0" w:space="0" w:color="auto"/>
        <w:bottom w:val="none" w:sz="0" w:space="0" w:color="auto"/>
        <w:right w:val="none" w:sz="0" w:space="0" w:color="auto"/>
      </w:divBdr>
    </w:div>
    <w:div w:id="1486777759">
      <w:bodyDiv w:val="1"/>
      <w:marLeft w:val="0"/>
      <w:marRight w:val="0"/>
      <w:marTop w:val="0"/>
      <w:marBottom w:val="0"/>
      <w:divBdr>
        <w:top w:val="none" w:sz="0" w:space="0" w:color="auto"/>
        <w:left w:val="none" w:sz="0" w:space="0" w:color="auto"/>
        <w:bottom w:val="none" w:sz="0" w:space="0" w:color="auto"/>
        <w:right w:val="none" w:sz="0" w:space="0" w:color="auto"/>
      </w:divBdr>
    </w:div>
    <w:div w:id="1511724119">
      <w:bodyDiv w:val="1"/>
      <w:marLeft w:val="0"/>
      <w:marRight w:val="0"/>
      <w:marTop w:val="0"/>
      <w:marBottom w:val="0"/>
      <w:divBdr>
        <w:top w:val="none" w:sz="0" w:space="0" w:color="auto"/>
        <w:left w:val="none" w:sz="0" w:space="0" w:color="auto"/>
        <w:bottom w:val="none" w:sz="0" w:space="0" w:color="auto"/>
        <w:right w:val="none" w:sz="0" w:space="0" w:color="auto"/>
      </w:divBdr>
    </w:div>
    <w:div w:id="1541555519">
      <w:bodyDiv w:val="1"/>
      <w:marLeft w:val="0"/>
      <w:marRight w:val="0"/>
      <w:marTop w:val="0"/>
      <w:marBottom w:val="0"/>
      <w:divBdr>
        <w:top w:val="none" w:sz="0" w:space="0" w:color="auto"/>
        <w:left w:val="none" w:sz="0" w:space="0" w:color="auto"/>
        <w:bottom w:val="none" w:sz="0" w:space="0" w:color="auto"/>
        <w:right w:val="none" w:sz="0" w:space="0" w:color="auto"/>
      </w:divBdr>
    </w:div>
    <w:div w:id="1547254549">
      <w:bodyDiv w:val="1"/>
      <w:marLeft w:val="0"/>
      <w:marRight w:val="0"/>
      <w:marTop w:val="0"/>
      <w:marBottom w:val="0"/>
      <w:divBdr>
        <w:top w:val="none" w:sz="0" w:space="0" w:color="auto"/>
        <w:left w:val="none" w:sz="0" w:space="0" w:color="auto"/>
        <w:bottom w:val="none" w:sz="0" w:space="0" w:color="auto"/>
        <w:right w:val="none" w:sz="0" w:space="0" w:color="auto"/>
      </w:divBdr>
    </w:div>
    <w:div w:id="1585990427">
      <w:bodyDiv w:val="1"/>
      <w:marLeft w:val="0"/>
      <w:marRight w:val="0"/>
      <w:marTop w:val="0"/>
      <w:marBottom w:val="0"/>
      <w:divBdr>
        <w:top w:val="none" w:sz="0" w:space="0" w:color="auto"/>
        <w:left w:val="none" w:sz="0" w:space="0" w:color="auto"/>
        <w:bottom w:val="none" w:sz="0" w:space="0" w:color="auto"/>
        <w:right w:val="none" w:sz="0" w:space="0" w:color="auto"/>
      </w:divBdr>
    </w:div>
    <w:div w:id="1590432217">
      <w:bodyDiv w:val="1"/>
      <w:marLeft w:val="0"/>
      <w:marRight w:val="0"/>
      <w:marTop w:val="0"/>
      <w:marBottom w:val="0"/>
      <w:divBdr>
        <w:top w:val="none" w:sz="0" w:space="0" w:color="auto"/>
        <w:left w:val="none" w:sz="0" w:space="0" w:color="auto"/>
        <w:bottom w:val="none" w:sz="0" w:space="0" w:color="auto"/>
        <w:right w:val="none" w:sz="0" w:space="0" w:color="auto"/>
      </w:divBdr>
    </w:div>
    <w:div w:id="1602372100">
      <w:bodyDiv w:val="1"/>
      <w:marLeft w:val="0"/>
      <w:marRight w:val="0"/>
      <w:marTop w:val="0"/>
      <w:marBottom w:val="0"/>
      <w:divBdr>
        <w:top w:val="none" w:sz="0" w:space="0" w:color="auto"/>
        <w:left w:val="none" w:sz="0" w:space="0" w:color="auto"/>
        <w:bottom w:val="none" w:sz="0" w:space="0" w:color="auto"/>
        <w:right w:val="none" w:sz="0" w:space="0" w:color="auto"/>
      </w:divBdr>
    </w:div>
    <w:div w:id="1612399553">
      <w:bodyDiv w:val="1"/>
      <w:marLeft w:val="0"/>
      <w:marRight w:val="0"/>
      <w:marTop w:val="0"/>
      <w:marBottom w:val="0"/>
      <w:divBdr>
        <w:top w:val="none" w:sz="0" w:space="0" w:color="auto"/>
        <w:left w:val="none" w:sz="0" w:space="0" w:color="auto"/>
        <w:bottom w:val="none" w:sz="0" w:space="0" w:color="auto"/>
        <w:right w:val="none" w:sz="0" w:space="0" w:color="auto"/>
      </w:divBdr>
    </w:div>
    <w:div w:id="1679847696">
      <w:bodyDiv w:val="1"/>
      <w:marLeft w:val="0"/>
      <w:marRight w:val="0"/>
      <w:marTop w:val="0"/>
      <w:marBottom w:val="0"/>
      <w:divBdr>
        <w:top w:val="none" w:sz="0" w:space="0" w:color="auto"/>
        <w:left w:val="none" w:sz="0" w:space="0" w:color="auto"/>
        <w:bottom w:val="none" w:sz="0" w:space="0" w:color="auto"/>
        <w:right w:val="none" w:sz="0" w:space="0" w:color="auto"/>
      </w:divBdr>
    </w:div>
    <w:div w:id="1743486611">
      <w:bodyDiv w:val="1"/>
      <w:marLeft w:val="0"/>
      <w:marRight w:val="0"/>
      <w:marTop w:val="0"/>
      <w:marBottom w:val="0"/>
      <w:divBdr>
        <w:top w:val="none" w:sz="0" w:space="0" w:color="auto"/>
        <w:left w:val="none" w:sz="0" w:space="0" w:color="auto"/>
        <w:bottom w:val="none" w:sz="0" w:space="0" w:color="auto"/>
        <w:right w:val="none" w:sz="0" w:space="0" w:color="auto"/>
      </w:divBdr>
    </w:div>
    <w:div w:id="1761751777">
      <w:bodyDiv w:val="1"/>
      <w:marLeft w:val="0"/>
      <w:marRight w:val="0"/>
      <w:marTop w:val="0"/>
      <w:marBottom w:val="0"/>
      <w:divBdr>
        <w:top w:val="none" w:sz="0" w:space="0" w:color="auto"/>
        <w:left w:val="none" w:sz="0" w:space="0" w:color="auto"/>
        <w:bottom w:val="none" w:sz="0" w:space="0" w:color="auto"/>
        <w:right w:val="none" w:sz="0" w:space="0" w:color="auto"/>
      </w:divBdr>
    </w:div>
    <w:div w:id="1762213784">
      <w:bodyDiv w:val="1"/>
      <w:marLeft w:val="0"/>
      <w:marRight w:val="0"/>
      <w:marTop w:val="0"/>
      <w:marBottom w:val="0"/>
      <w:divBdr>
        <w:top w:val="none" w:sz="0" w:space="0" w:color="auto"/>
        <w:left w:val="none" w:sz="0" w:space="0" w:color="auto"/>
        <w:bottom w:val="none" w:sz="0" w:space="0" w:color="auto"/>
        <w:right w:val="none" w:sz="0" w:space="0" w:color="auto"/>
      </w:divBdr>
    </w:div>
    <w:div w:id="1763329960">
      <w:bodyDiv w:val="1"/>
      <w:marLeft w:val="0"/>
      <w:marRight w:val="0"/>
      <w:marTop w:val="0"/>
      <w:marBottom w:val="0"/>
      <w:divBdr>
        <w:top w:val="none" w:sz="0" w:space="0" w:color="auto"/>
        <w:left w:val="none" w:sz="0" w:space="0" w:color="auto"/>
        <w:bottom w:val="none" w:sz="0" w:space="0" w:color="auto"/>
        <w:right w:val="none" w:sz="0" w:space="0" w:color="auto"/>
      </w:divBdr>
    </w:div>
    <w:div w:id="1780484666">
      <w:bodyDiv w:val="1"/>
      <w:marLeft w:val="0"/>
      <w:marRight w:val="0"/>
      <w:marTop w:val="0"/>
      <w:marBottom w:val="0"/>
      <w:divBdr>
        <w:top w:val="none" w:sz="0" w:space="0" w:color="auto"/>
        <w:left w:val="none" w:sz="0" w:space="0" w:color="auto"/>
        <w:bottom w:val="none" w:sz="0" w:space="0" w:color="auto"/>
        <w:right w:val="none" w:sz="0" w:space="0" w:color="auto"/>
      </w:divBdr>
    </w:div>
    <w:div w:id="1781534506">
      <w:bodyDiv w:val="1"/>
      <w:marLeft w:val="0"/>
      <w:marRight w:val="0"/>
      <w:marTop w:val="0"/>
      <w:marBottom w:val="0"/>
      <w:divBdr>
        <w:top w:val="none" w:sz="0" w:space="0" w:color="auto"/>
        <w:left w:val="none" w:sz="0" w:space="0" w:color="auto"/>
        <w:bottom w:val="none" w:sz="0" w:space="0" w:color="auto"/>
        <w:right w:val="none" w:sz="0" w:space="0" w:color="auto"/>
      </w:divBdr>
    </w:div>
    <w:div w:id="1792240711">
      <w:bodyDiv w:val="1"/>
      <w:marLeft w:val="0"/>
      <w:marRight w:val="0"/>
      <w:marTop w:val="0"/>
      <w:marBottom w:val="0"/>
      <w:divBdr>
        <w:top w:val="none" w:sz="0" w:space="0" w:color="auto"/>
        <w:left w:val="none" w:sz="0" w:space="0" w:color="auto"/>
        <w:bottom w:val="none" w:sz="0" w:space="0" w:color="auto"/>
        <w:right w:val="none" w:sz="0" w:space="0" w:color="auto"/>
      </w:divBdr>
    </w:div>
    <w:div w:id="1806198104">
      <w:bodyDiv w:val="1"/>
      <w:marLeft w:val="0"/>
      <w:marRight w:val="0"/>
      <w:marTop w:val="0"/>
      <w:marBottom w:val="0"/>
      <w:divBdr>
        <w:top w:val="none" w:sz="0" w:space="0" w:color="auto"/>
        <w:left w:val="none" w:sz="0" w:space="0" w:color="auto"/>
        <w:bottom w:val="none" w:sz="0" w:space="0" w:color="auto"/>
        <w:right w:val="none" w:sz="0" w:space="0" w:color="auto"/>
      </w:divBdr>
    </w:div>
    <w:div w:id="1827043297">
      <w:bodyDiv w:val="1"/>
      <w:marLeft w:val="0"/>
      <w:marRight w:val="0"/>
      <w:marTop w:val="0"/>
      <w:marBottom w:val="0"/>
      <w:divBdr>
        <w:top w:val="none" w:sz="0" w:space="0" w:color="auto"/>
        <w:left w:val="none" w:sz="0" w:space="0" w:color="auto"/>
        <w:bottom w:val="none" w:sz="0" w:space="0" w:color="auto"/>
        <w:right w:val="none" w:sz="0" w:space="0" w:color="auto"/>
      </w:divBdr>
    </w:div>
    <w:div w:id="1845167479">
      <w:bodyDiv w:val="1"/>
      <w:marLeft w:val="0"/>
      <w:marRight w:val="0"/>
      <w:marTop w:val="0"/>
      <w:marBottom w:val="0"/>
      <w:divBdr>
        <w:top w:val="none" w:sz="0" w:space="0" w:color="auto"/>
        <w:left w:val="none" w:sz="0" w:space="0" w:color="auto"/>
        <w:bottom w:val="none" w:sz="0" w:space="0" w:color="auto"/>
        <w:right w:val="none" w:sz="0" w:space="0" w:color="auto"/>
      </w:divBdr>
    </w:div>
    <w:div w:id="1882400678">
      <w:bodyDiv w:val="1"/>
      <w:marLeft w:val="0"/>
      <w:marRight w:val="0"/>
      <w:marTop w:val="0"/>
      <w:marBottom w:val="0"/>
      <w:divBdr>
        <w:top w:val="none" w:sz="0" w:space="0" w:color="auto"/>
        <w:left w:val="none" w:sz="0" w:space="0" w:color="auto"/>
        <w:bottom w:val="none" w:sz="0" w:space="0" w:color="auto"/>
        <w:right w:val="none" w:sz="0" w:space="0" w:color="auto"/>
      </w:divBdr>
    </w:div>
    <w:div w:id="1882858373">
      <w:bodyDiv w:val="1"/>
      <w:marLeft w:val="0"/>
      <w:marRight w:val="0"/>
      <w:marTop w:val="0"/>
      <w:marBottom w:val="0"/>
      <w:divBdr>
        <w:top w:val="none" w:sz="0" w:space="0" w:color="auto"/>
        <w:left w:val="none" w:sz="0" w:space="0" w:color="auto"/>
        <w:bottom w:val="none" w:sz="0" w:space="0" w:color="auto"/>
        <w:right w:val="none" w:sz="0" w:space="0" w:color="auto"/>
      </w:divBdr>
    </w:div>
    <w:div w:id="1898204847">
      <w:bodyDiv w:val="1"/>
      <w:marLeft w:val="0"/>
      <w:marRight w:val="0"/>
      <w:marTop w:val="0"/>
      <w:marBottom w:val="0"/>
      <w:divBdr>
        <w:top w:val="none" w:sz="0" w:space="0" w:color="auto"/>
        <w:left w:val="none" w:sz="0" w:space="0" w:color="auto"/>
        <w:bottom w:val="none" w:sz="0" w:space="0" w:color="auto"/>
        <w:right w:val="none" w:sz="0" w:space="0" w:color="auto"/>
      </w:divBdr>
    </w:div>
    <w:div w:id="1909222638">
      <w:bodyDiv w:val="1"/>
      <w:marLeft w:val="0"/>
      <w:marRight w:val="0"/>
      <w:marTop w:val="0"/>
      <w:marBottom w:val="0"/>
      <w:divBdr>
        <w:top w:val="none" w:sz="0" w:space="0" w:color="auto"/>
        <w:left w:val="none" w:sz="0" w:space="0" w:color="auto"/>
        <w:bottom w:val="none" w:sz="0" w:space="0" w:color="auto"/>
        <w:right w:val="none" w:sz="0" w:space="0" w:color="auto"/>
      </w:divBdr>
    </w:div>
    <w:div w:id="1918398735">
      <w:bodyDiv w:val="1"/>
      <w:marLeft w:val="0"/>
      <w:marRight w:val="0"/>
      <w:marTop w:val="0"/>
      <w:marBottom w:val="0"/>
      <w:divBdr>
        <w:top w:val="none" w:sz="0" w:space="0" w:color="auto"/>
        <w:left w:val="none" w:sz="0" w:space="0" w:color="auto"/>
        <w:bottom w:val="none" w:sz="0" w:space="0" w:color="auto"/>
        <w:right w:val="none" w:sz="0" w:space="0" w:color="auto"/>
      </w:divBdr>
    </w:div>
    <w:div w:id="1919099651">
      <w:bodyDiv w:val="1"/>
      <w:marLeft w:val="0"/>
      <w:marRight w:val="0"/>
      <w:marTop w:val="0"/>
      <w:marBottom w:val="0"/>
      <w:divBdr>
        <w:top w:val="none" w:sz="0" w:space="0" w:color="auto"/>
        <w:left w:val="none" w:sz="0" w:space="0" w:color="auto"/>
        <w:bottom w:val="none" w:sz="0" w:space="0" w:color="auto"/>
        <w:right w:val="none" w:sz="0" w:space="0" w:color="auto"/>
      </w:divBdr>
    </w:div>
    <w:div w:id="1924220524">
      <w:bodyDiv w:val="1"/>
      <w:marLeft w:val="0"/>
      <w:marRight w:val="0"/>
      <w:marTop w:val="0"/>
      <w:marBottom w:val="0"/>
      <w:divBdr>
        <w:top w:val="none" w:sz="0" w:space="0" w:color="auto"/>
        <w:left w:val="none" w:sz="0" w:space="0" w:color="auto"/>
        <w:bottom w:val="none" w:sz="0" w:space="0" w:color="auto"/>
        <w:right w:val="none" w:sz="0" w:space="0" w:color="auto"/>
      </w:divBdr>
    </w:div>
    <w:div w:id="1991056060">
      <w:bodyDiv w:val="1"/>
      <w:marLeft w:val="0"/>
      <w:marRight w:val="0"/>
      <w:marTop w:val="0"/>
      <w:marBottom w:val="0"/>
      <w:divBdr>
        <w:top w:val="none" w:sz="0" w:space="0" w:color="auto"/>
        <w:left w:val="none" w:sz="0" w:space="0" w:color="auto"/>
        <w:bottom w:val="none" w:sz="0" w:space="0" w:color="auto"/>
        <w:right w:val="none" w:sz="0" w:space="0" w:color="auto"/>
      </w:divBdr>
    </w:div>
    <w:div w:id="2014646365">
      <w:bodyDiv w:val="1"/>
      <w:marLeft w:val="0"/>
      <w:marRight w:val="0"/>
      <w:marTop w:val="0"/>
      <w:marBottom w:val="0"/>
      <w:divBdr>
        <w:top w:val="none" w:sz="0" w:space="0" w:color="auto"/>
        <w:left w:val="none" w:sz="0" w:space="0" w:color="auto"/>
        <w:bottom w:val="none" w:sz="0" w:space="0" w:color="auto"/>
        <w:right w:val="none" w:sz="0" w:space="0" w:color="auto"/>
      </w:divBdr>
    </w:div>
    <w:div w:id="2026397939">
      <w:bodyDiv w:val="1"/>
      <w:marLeft w:val="0"/>
      <w:marRight w:val="0"/>
      <w:marTop w:val="0"/>
      <w:marBottom w:val="0"/>
      <w:divBdr>
        <w:top w:val="none" w:sz="0" w:space="0" w:color="auto"/>
        <w:left w:val="none" w:sz="0" w:space="0" w:color="auto"/>
        <w:bottom w:val="none" w:sz="0" w:space="0" w:color="auto"/>
        <w:right w:val="none" w:sz="0" w:space="0" w:color="auto"/>
      </w:divBdr>
    </w:div>
    <w:div w:id="2029060847">
      <w:bodyDiv w:val="1"/>
      <w:marLeft w:val="0"/>
      <w:marRight w:val="0"/>
      <w:marTop w:val="0"/>
      <w:marBottom w:val="0"/>
      <w:divBdr>
        <w:top w:val="none" w:sz="0" w:space="0" w:color="auto"/>
        <w:left w:val="none" w:sz="0" w:space="0" w:color="auto"/>
        <w:bottom w:val="none" w:sz="0" w:space="0" w:color="auto"/>
        <w:right w:val="none" w:sz="0" w:space="0" w:color="auto"/>
      </w:divBdr>
    </w:div>
    <w:div w:id="2041971626">
      <w:bodyDiv w:val="1"/>
      <w:marLeft w:val="0"/>
      <w:marRight w:val="0"/>
      <w:marTop w:val="0"/>
      <w:marBottom w:val="0"/>
      <w:divBdr>
        <w:top w:val="none" w:sz="0" w:space="0" w:color="auto"/>
        <w:left w:val="none" w:sz="0" w:space="0" w:color="auto"/>
        <w:bottom w:val="none" w:sz="0" w:space="0" w:color="auto"/>
        <w:right w:val="none" w:sz="0" w:space="0" w:color="auto"/>
      </w:divBdr>
    </w:div>
    <w:div w:id="2081632972">
      <w:bodyDiv w:val="1"/>
      <w:marLeft w:val="0"/>
      <w:marRight w:val="0"/>
      <w:marTop w:val="0"/>
      <w:marBottom w:val="0"/>
      <w:divBdr>
        <w:top w:val="none" w:sz="0" w:space="0" w:color="auto"/>
        <w:left w:val="none" w:sz="0" w:space="0" w:color="auto"/>
        <w:bottom w:val="none" w:sz="0" w:space="0" w:color="auto"/>
        <w:right w:val="none" w:sz="0" w:space="0" w:color="auto"/>
      </w:divBdr>
    </w:div>
    <w:div w:id="2103642266">
      <w:bodyDiv w:val="1"/>
      <w:marLeft w:val="0"/>
      <w:marRight w:val="0"/>
      <w:marTop w:val="0"/>
      <w:marBottom w:val="0"/>
      <w:divBdr>
        <w:top w:val="none" w:sz="0" w:space="0" w:color="auto"/>
        <w:left w:val="none" w:sz="0" w:space="0" w:color="auto"/>
        <w:bottom w:val="none" w:sz="0" w:space="0" w:color="auto"/>
        <w:right w:val="none" w:sz="0" w:space="0" w:color="auto"/>
      </w:divBdr>
    </w:div>
    <w:div w:id="213381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e352c5-a0a5-4aff-9101-fc8c076df9f7" xsi:nil="true"/>
    <lcf76f155ced4ddcb4097134ff3c332f xmlns="52f50d89-700a-49c3-acb1-cc45863f80d1">
      <Terms xmlns="http://schemas.microsoft.com/office/infopath/2007/PartnerControls"/>
    </lcf76f155ced4ddcb4097134ff3c332f>
    <SharedWithUsers xmlns="c5e352c5-a0a5-4aff-9101-fc8c076df9f7">
      <UserInfo>
        <DisplayName>Diana Carolina Obando Anzola</DisplayName>
        <AccountId>13</AccountId>
        <AccountType/>
      </UserInfo>
      <UserInfo>
        <DisplayName>Monica Johanna Plaza Manrique</DisplayName>
        <AccountId>25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CDD0B26ABEDD0459BD4267A57D8442E" ma:contentTypeVersion="18" ma:contentTypeDescription="Crear nuevo documento." ma:contentTypeScope="" ma:versionID="63345bc15eff37b58dbc522584adda90">
  <xsd:schema xmlns:xsd="http://www.w3.org/2001/XMLSchema" xmlns:xs="http://www.w3.org/2001/XMLSchema" xmlns:p="http://schemas.microsoft.com/office/2006/metadata/properties" xmlns:ns2="52f50d89-700a-49c3-acb1-cc45863f80d1" xmlns:ns3="c5e352c5-a0a5-4aff-9101-fc8c076df9f7" targetNamespace="http://schemas.microsoft.com/office/2006/metadata/properties" ma:root="true" ma:fieldsID="d7dbd54db26729453a066201da170044" ns2:_="" ns3:_="">
    <xsd:import namespace="52f50d89-700a-49c3-acb1-cc45863f80d1"/>
    <xsd:import namespace="c5e352c5-a0a5-4aff-9101-fc8c076df9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0d89-700a-49c3-acb1-cc45863f8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352c5-a0a5-4aff-9101-fc8c076df9f7"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da11bec3-26df-47a9-92ee-f2870e4266c1}" ma:internalName="TaxCatchAll" ma:showField="CatchAllData" ma:web="c5e352c5-a0a5-4aff-9101-fc8c076df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C7C1D6-268C-432B-B065-30DEC137E8A2}">
  <ds:schemaRefs>
    <ds:schemaRef ds:uri="http://schemas.microsoft.com/office/2006/metadata/properties"/>
    <ds:schemaRef ds:uri="http://schemas.microsoft.com/office/infopath/2007/PartnerControls"/>
    <ds:schemaRef ds:uri="c5e352c5-a0a5-4aff-9101-fc8c076df9f7"/>
    <ds:schemaRef ds:uri="52f50d89-700a-49c3-acb1-cc45863f80d1"/>
  </ds:schemaRefs>
</ds:datastoreItem>
</file>

<file path=customXml/itemProps2.xml><?xml version="1.0" encoding="utf-8"?>
<ds:datastoreItem xmlns:ds="http://schemas.openxmlformats.org/officeDocument/2006/customXml" ds:itemID="{5630B4B3-3696-4971-AFA7-5B0C92801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50d89-700a-49c3-acb1-cc45863f80d1"/>
    <ds:schemaRef ds:uri="c5e352c5-a0a5-4aff-9101-fc8c076df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E037AC-2C02-4729-9565-EF8200409234}">
  <ds:schemaRefs>
    <ds:schemaRef ds:uri="http://schemas.openxmlformats.org/officeDocument/2006/bibliography"/>
  </ds:schemaRefs>
</ds:datastoreItem>
</file>

<file path=customXml/itemProps4.xml><?xml version="1.0" encoding="utf-8"?>
<ds:datastoreItem xmlns:ds="http://schemas.openxmlformats.org/officeDocument/2006/customXml" ds:itemID="{62EF5835-6E7C-4556-A911-33B59B6F04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5106</Words>
  <Characters>28089</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Eliana Rodriguez Fonseca</dc:creator>
  <cp:keywords/>
  <cp:lastModifiedBy>Eliana Rodriguez Fonseca</cp:lastModifiedBy>
  <cp:revision>2</cp:revision>
  <cp:lastPrinted>2022-05-12T20:26:00Z</cp:lastPrinted>
  <dcterms:created xsi:type="dcterms:W3CDTF">2024-02-05T20:29:00Z</dcterms:created>
  <dcterms:modified xsi:type="dcterms:W3CDTF">2024-02-05T20:29:00Z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0x010100DCDD0B26ABEDD0459BD4267A57D8442E</vt:lpwstr>
  </property>
  <property fmtid="{D5CDD505-2E9C-101B-9397-08002B2CF9AE}" pid="3" name="Order">
    <vt:r8>5078400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