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70A74" w14:textId="1228B705" w:rsidR="00625DC6" w:rsidRPr="00AF3A95" w:rsidRDefault="00282078" w:rsidP="00AF3A95">
      <w:pPr>
        <w:pStyle w:val="Encabezado"/>
        <w:shd w:val="clear" w:color="auto" w:fill="FFFFFF" w:themeFill="background1"/>
        <w:tabs>
          <w:tab w:val="clear" w:pos="8504"/>
          <w:tab w:val="left" w:pos="0"/>
          <w:tab w:val="right" w:pos="9356"/>
        </w:tabs>
        <w:ind w:left="0"/>
        <w:jc w:val="both"/>
        <w:rPr>
          <w:rFonts w:ascii="Bookman Old Style" w:hAnsi="Bookman Old Style"/>
          <w:szCs w:val="24"/>
        </w:rPr>
      </w:pPr>
      <w:r w:rsidRPr="00AF3A95">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2pt;margin-top:-47.95pt;width:38.55pt;height:39.05pt;z-index:251657728" fillcolor="#0c9">
            <v:imagedata r:id="rId9" o:title=""/>
          </v:shape>
          <o:OLEObject Type="Embed" ProgID="PBrush" ShapeID="_x0000_s1026" DrawAspect="Content" ObjectID="_1766748804" r:id="rId10"/>
        </w:object>
      </w:r>
    </w:p>
    <w:p w14:paraId="5CD8FDD3" w14:textId="77777777" w:rsidR="00CA77FB" w:rsidRPr="00AF3A95" w:rsidRDefault="00CA77FB" w:rsidP="00AF3A95">
      <w:pPr>
        <w:pStyle w:val="Ttulo4"/>
        <w:shd w:val="clear" w:color="auto" w:fill="FFFFFF" w:themeFill="background1"/>
        <w:tabs>
          <w:tab w:val="left" w:pos="0"/>
          <w:tab w:val="right" w:pos="9356"/>
        </w:tabs>
        <w:ind w:left="0"/>
        <w:rPr>
          <w:rFonts w:ascii="Bookman Old Style" w:hAnsi="Bookman Old Style"/>
          <w:b w:val="0"/>
          <w:bCs/>
          <w:noProof/>
          <w:sz w:val="24"/>
          <w:szCs w:val="24"/>
          <w:lang w:val="es-ES"/>
        </w:rPr>
      </w:pPr>
      <w:r w:rsidRPr="00AF3A95">
        <w:rPr>
          <w:rFonts w:ascii="Bookman Old Style" w:hAnsi="Bookman Old Style"/>
          <w:b w:val="0"/>
          <w:bCs/>
          <w:sz w:val="24"/>
          <w:szCs w:val="24"/>
        </w:rPr>
        <w:t>Ministerio de Minas y Energía</w:t>
      </w:r>
    </w:p>
    <w:p w14:paraId="0B8E60E5" w14:textId="77777777" w:rsidR="00CA77FB" w:rsidRPr="00AF3A95" w:rsidRDefault="00CA77FB" w:rsidP="00AF3A95">
      <w:pPr>
        <w:pStyle w:val="Ttulo4"/>
        <w:shd w:val="clear" w:color="auto" w:fill="FFFFFF" w:themeFill="background1"/>
        <w:tabs>
          <w:tab w:val="left" w:pos="0"/>
          <w:tab w:val="right" w:pos="9356"/>
        </w:tabs>
        <w:ind w:left="0"/>
        <w:rPr>
          <w:rFonts w:ascii="Bookman Old Style" w:hAnsi="Bookman Old Style"/>
          <w:b w:val="0"/>
          <w:bCs/>
          <w:sz w:val="24"/>
          <w:szCs w:val="24"/>
        </w:rPr>
      </w:pPr>
    </w:p>
    <w:p w14:paraId="7027F17A" w14:textId="77777777" w:rsidR="00CA77FB" w:rsidRPr="00AF3A95" w:rsidRDefault="00CA77FB" w:rsidP="00AF3A95">
      <w:pPr>
        <w:pStyle w:val="Ttulo3"/>
        <w:shd w:val="clear" w:color="auto" w:fill="FFFFFF" w:themeFill="background1"/>
        <w:tabs>
          <w:tab w:val="left" w:pos="0"/>
          <w:tab w:val="right" w:pos="9356"/>
        </w:tabs>
        <w:ind w:left="0"/>
        <w:rPr>
          <w:rFonts w:ascii="Bookman Old Style" w:hAnsi="Bookman Old Style" w:cs="Arial"/>
          <w:spacing w:val="20"/>
          <w:szCs w:val="24"/>
        </w:rPr>
      </w:pPr>
      <w:r w:rsidRPr="00AF3A95">
        <w:rPr>
          <w:rFonts w:ascii="Bookman Old Style" w:hAnsi="Bookman Old Style" w:cs="Arial"/>
          <w:spacing w:val="20"/>
          <w:szCs w:val="24"/>
        </w:rPr>
        <w:t>COMISIÓN DE REGULACIÓN DE ENERGÍA Y GAS</w:t>
      </w:r>
    </w:p>
    <w:p w14:paraId="4767CFAE" w14:textId="77777777" w:rsidR="00CA77FB" w:rsidRPr="00AF3A95" w:rsidRDefault="00CA77FB" w:rsidP="00AF3A95">
      <w:pPr>
        <w:pStyle w:val="Ttulo5"/>
        <w:shd w:val="clear" w:color="auto" w:fill="FFFFFF" w:themeFill="background1"/>
        <w:tabs>
          <w:tab w:val="left" w:pos="0"/>
          <w:tab w:val="right" w:pos="9356"/>
        </w:tabs>
        <w:ind w:left="0"/>
        <w:rPr>
          <w:rFonts w:ascii="Bookman Old Style" w:hAnsi="Bookman Old Style"/>
          <w:sz w:val="24"/>
          <w:szCs w:val="24"/>
        </w:rPr>
      </w:pPr>
    </w:p>
    <w:p w14:paraId="74971183" w14:textId="77777777" w:rsidR="00CA77FB" w:rsidRPr="00AF3A95" w:rsidRDefault="00CA77FB" w:rsidP="00AF3A95">
      <w:pPr>
        <w:pStyle w:val="Ttulo5"/>
        <w:shd w:val="clear" w:color="auto" w:fill="FFFFFF" w:themeFill="background1"/>
        <w:tabs>
          <w:tab w:val="left" w:pos="0"/>
          <w:tab w:val="right" w:pos="9356"/>
        </w:tabs>
        <w:ind w:left="0"/>
        <w:rPr>
          <w:rFonts w:ascii="Bookman Old Style" w:hAnsi="Bookman Old Style"/>
          <w:sz w:val="24"/>
          <w:szCs w:val="24"/>
        </w:rPr>
      </w:pPr>
    </w:p>
    <w:p w14:paraId="67AC44F2" w14:textId="7732875C" w:rsidR="00A06511" w:rsidRPr="00AF3A95" w:rsidRDefault="005B2E40" w:rsidP="00AF3A95">
      <w:pPr>
        <w:pStyle w:val="Ttulo5"/>
        <w:shd w:val="clear" w:color="auto" w:fill="FFFFFF" w:themeFill="background1"/>
        <w:tabs>
          <w:tab w:val="left" w:pos="0"/>
          <w:tab w:val="right" w:pos="9356"/>
        </w:tabs>
        <w:ind w:left="9912" w:hanging="9912"/>
        <w:rPr>
          <w:rFonts w:ascii="Bookman Old Style" w:hAnsi="Bookman Old Style"/>
          <w:szCs w:val="28"/>
        </w:rPr>
      </w:pPr>
      <w:r w:rsidRPr="00AF3A95">
        <w:rPr>
          <w:rFonts w:ascii="Bookman Old Style" w:hAnsi="Bookman Old Style"/>
          <w:sz w:val="24"/>
          <w:szCs w:val="24"/>
        </w:rPr>
        <w:t xml:space="preserve">PROYECTO DE </w:t>
      </w:r>
      <w:r w:rsidR="00AF3A95" w:rsidRPr="00AF3A95">
        <w:rPr>
          <w:rFonts w:ascii="Bookman Old Style" w:hAnsi="Bookman Old Style"/>
          <w:sz w:val="24"/>
          <w:szCs w:val="24"/>
        </w:rPr>
        <w:t>RESOLUCIÓN No.</w:t>
      </w:r>
      <w:r w:rsidR="00AF3A95" w:rsidRPr="00AF3A95">
        <w:rPr>
          <w:rFonts w:ascii="Bookman Old Style" w:hAnsi="Bookman Old Style"/>
          <w:szCs w:val="28"/>
        </w:rPr>
        <w:t>701 035</w:t>
      </w:r>
      <w:r w:rsidR="00A06511" w:rsidRPr="00AF3A95">
        <w:rPr>
          <w:rFonts w:ascii="Bookman Old Style" w:hAnsi="Bookman Old Style"/>
          <w:szCs w:val="28"/>
        </w:rPr>
        <w:t xml:space="preserve"> DE </w:t>
      </w:r>
      <w:r w:rsidR="00062FC5" w:rsidRPr="00AF3A95">
        <w:rPr>
          <w:rFonts w:ascii="Bookman Old Style" w:hAnsi="Bookman Old Style"/>
          <w:szCs w:val="28"/>
        </w:rPr>
        <w:t>2024</w:t>
      </w:r>
    </w:p>
    <w:p w14:paraId="0C7D114C" w14:textId="77777777" w:rsidR="00CA77FB" w:rsidRPr="00AF3A95" w:rsidRDefault="00CA77FB" w:rsidP="00AF3A95">
      <w:pPr>
        <w:shd w:val="clear" w:color="auto" w:fill="FFFFFF" w:themeFill="background1"/>
        <w:tabs>
          <w:tab w:val="left" w:pos="0"/>
          <w:tab w:val="right" w:pos="9356"/>
        </w:tabs>
        <w:ind w:left="9912" w:hanging="9912"/>
        <w:jc w:val="center"/>
        <w:rPr>
          <w:rFonts w:ascii="Bookman Old Style" w:hAnsi="Bookman Old Style" w:cs="Arial"/>
          <w:b/>
          <w:snapToGrid w:val="0"/>
          <w:color w:val="000000"/>
          <w:lang w:val="es-ES_tradnl"/>
        </w:rPr>
      </w:pPr>
    </w:p>
    <w:p w14:paraId="350D3C85" w14:textId="7FCC9C5B" w:rsidR="00CA77FB" w:rsidRPr="00E060BE" w:rsidRDefault="00CA77FB" w:rsidP="00AF3A95">
      <w:pPr>
        <w:pStyle w:val="Ttulo3"/>
        <w:shd w:val="clear" w:color="auto" w:fill="FFFFFF" w:themeFill="background1"/>
        <w:tabs>
          <w:tab w:val="left" w:pos="0"/>
          <w:tab w:val="right" w:pos="9356"/>
        </w:tabs>
        <w:ind w:left="9912" w:hanging="9912"/>
        <w:rPr>
          <w:rFonts w:ascii="Bookman Old Style" w:hAnsi="Bookman Old Style"/>
          <w:b w:val="0"/>
          <w:szCs w:val="24"/>
        </w:rPr>
      </w:pPr>
      <w:r w:rsidRPr="00AF3A95">
        <w:rPr>
          <w:rFonts w:ascii="Bookman Old Style" w:hAnsi="Bookman Old Style"/>
          <w:bCs/>
          <w:szCs w:val="24"/>
        </w:rPr>
        <w:t>(</w:t>
      </w:r>
      <w:r w:rsidR="00AF3A95" w:rsidRPr="00AF3A95">
        <w:rPr>
          <w:rFonts w:ascii="Bookman Old Style" w:hAnsi="Bookman Old Style"/>
          <w:bCs/>
          <w:szCs w:val="24"/>
        </w:rPr>
        <w:t>14</w:t>
      </w:r>
      <w:r w:rsidRPr="00AF3A95">
        <w:rPr>
          <w:rFonts w:ascii="Bookman Old Style" w:hAnsi="Bookman Old Style"/>
          <w:bCs/>
          <w:szCs w:val="24"/>
        </w:rPr>
        <w:t xml:space="preserve"> </w:t>
      </w:r>
      <w:r w:rsidR="00231E03" w:rsidRPr="00AF3A95">
        <w:rPr>
          <w:rFonts w:ascii="Bookman Old Style" w:hAnsi="Bookman Old Style"/>
          <w:bCs/>
          <w:szCs w:val="24"/>
        </w:rPr>
        <w:t>ENE. 2024</w:t>
      </w:r>
      <w:r w:rsidRPr="0083497A">
        <w:rPr>
          <w:rFonts w:ascii="Bookman Old Style" w:hAnsi="Bookman Old Style"/>
          <w:b w:val="0"/>
          <w:szCs w:val="24"/>
        </w:rPr>
        <w:t>)</w:t>
      </w:r>
    </w:p>
    <w:p w14:paraId="57D77EBA" w14:textId="77777777" w:rsidR="00CA77FB" w:rsidRDefault="00CA77FB" w:rsidP="00012259">
      <w:pPr>
        <w:tabs>
          <w:tab w:val="left" w:pos="0"/>
          <w:tab w:val="right" w:pos="9356"/>
        </w:tabs>
        <w:ind w:left="0"/>
        <w:jc w:val="center"/>
        <w:rPr>
          <w:rFonts w:ascii="Bookman Old Style" w:hAnsi="Bookman Old Style"/>
          <w:lang w:val="es-ES_tradnl"/>
        </w:rPr>
      </w:pPr>
    </w:p>
    <w:p w14:paraId="1B25BE8A" w14:textId="77777777" w:rsidR="005B2E40" w:rsidRPr="00E060BE" w:rsidRDefault="005B2E40" w:rsidP="00012259">
      <w:pPr>
        <w:tabs>
          <w:tab w:val="left" w:pos="0"/>
          <w:tab w:val="right" w:pos="9356"/>
        </w:tabs>
        <w:ind w:left="0"/>
        <w:jc w:val="center"/>
        <w:rPr>
          <w:rFonts w:ascii="Bookman Old Style" w:hAnsi="Bookman Old Style"/>
          <w:lang w:val="es-ES_tradnl"/>
        </w:rPr>
      </w:pPr>
    </w:p>
    <w:p w14:paraId="57AA1AEC" w14:textId="36CD5676" w:rsidR="009B2DAE" w:rsidRPr="00D37602" w:rsidRDefault="009B2DAE" w:rsidP="0083497A">
      <w:pPr>
        <w:ind w:left="0"/>
        <w:jc w:val="both"/>
        <w:rPr>
          <w:rFonts w:ascii="Bookman Old Style" w:hAnsi="Bookman Old Style"/>
        </w:rPr>
      </w:pPr>
      <w:r w:rsidRPr="00D37602">
        <w:rPr>
          <w:rFonts w:ascii="Bookman Old Style" w:hAnsi="Bookman Old Style"/>
        </w:rPr>
        <w:t xml:space="preserve">La Comisión de Regulación de Energía y Gas, en su sesión No. </w:t>
      </w:r>
      <w:r w:rsidR="005A7D8A">
        <w:rPr>
          <w:rFonts w:ascii="Bookman Old Style" w:hAnsi="Bookman Old Style"/>
        </w:rPr>
        <w:t>1304</w:t>
      </w:r>
      <w:r w:rsidR="009C656E">
        <w:rPr>
          <w:rFonts w:ascii="Bookman Old Style" w:hAnsi="Bookman Old Style"/>
        </w:rPr>
        <w:t xml:space="preserve"> </w:t>
      </w:r>
      <w:r w:rsidRPr="00D37602">
        <w:rPr>
          <w:rFonts w:ascii="Bookman Old Style" w:hAnsi="Bookman Old Style"/>
        </w:rPr>
        <w:t xml:space="preserve">del </w:t>
      </w:r>
      <w:r>
        <w:rPr>
          <w:rFonts w:ascii="Bookman Old Style" w:hAnsi="Bookman Old Style"/>
        </w:rPr>
        <w:t>1</w:t>
      </w:r>
      <w:r w:rsidR="009C656E">
        <w:rPr>
          <w:rFonts w:ascii="Bookman Old Style" w:hAnsi="Bookman Old Style"/>
        </w:rPr>
        <w:t>4</w:t>
      </w:r>
      <w:r>
        <w:rPr>
          <w:rFonts w:ascii="Bookman Old Style" w:hAnsi="Bookman Old Style"/>
        </w:rPr>
        <w:t xml:space="preserve"> </w:t>
      </w:r>
      <w:r w:rsidRPr="00D37602">
        <w:rPr>
          <w:rFonts w:ascii="Bookman Old Style" w:hAnsi="Bookman Old Style"/>
        </w:rPr>
        <w:t xml:space="preserve">de </w:t>
      </w:r>
      <w:r w:rsidR="009C656E">
        <w:rPr>
          <w:rFonts w:ascii="Bookman Old Style" w:hAnsi="Bookman Old Style"/>
        </w:rPr>
        <w:t>enero</w:t>
      </w:r>
      <w:r>
        <w:rPr>
          <w:rFonts w:ascii="Bookman Old Style" w:hAnsi="Bookman Old Style"/>
        </w:rPr>
        <w:t xml:space="preserve"> </w:t>
      </w:r>
      <w:r w:rsidRPr="00D37602">
        <w:rPr>
          <w:rFonts w:ascii="Bookman Old Style" w:hAnsi="Bookman Old Style"/>
        </w:rPr>
        <w:t xml:space="preserve">de </w:t>
      </w:r>
      <w:r>
        <w:rPr>
          <w:rFonts w:ascii="Bookman Old Style" w:hAnsi="Bookman Old Style"/>
        </w:rPr>
        <w:t>202</w:t>
      </w:r>
      <w:r w:rsidR="005A5AF2">
        <w:rPr>
          <w:rFonts w:ascii="Bookman Old Style" w:hAnsi="Bookman Old Style"/>
        </w:rPr>
        <w:t>4</w:t>
      </w:r>
      <w:r w:rsidRPr="00D37602">
        <w:rPr>
          <w:rFonts w:ascii="Bookman Old Style" w:hAnsi="Bookman Old Style"/>
        </w:rPr>
        <w:t xml:space="preserve">, aprobó someter a consulta pública el presente proyecto de resolución por el término de </w:t>
      </w:r>
      <w:r w:rsidR="005A5AF2">
        <w:rPr>
          <w:rFonts w:ascii="Bookman Old Style" w:hAnsi="Bookman Old Style"/>
        </w:rPr>
        <w:t>un</w:t>
      </w:r>
      <w:r>
        <w:rPr>
          <w:rFonts w:ascii="Bookman Old Style" w:hAnsi="Bookman Old Style"/>
        </w:rPr>
        <w:t xml:space="preserve"> (</w:t>
      </w:r>
      <w:r w:rsidR="00E40740">
        <w:rPr>
          <w:rFonts w:ascii="Bookman Old Style" w:hAnsi="Bookman Old Style"/>
        </w:rPr>
        <w:t>1</w:t>
      </w:r>
      <w:r>
        <w:rPr>
          <w:rFonts w:ascii="Bookman Old Style" w:hAnsi="Bookman Old Style"/>
        </w:rPr>
        <w:t xml:space="preserve">) día </w:t>
      </w:r>
      <w:r w:rsidR="005A5AF2">
        <w:rPr>
          <w:rFonts w:ascii="Bookman Old Style" w:hAnsi="Bookman Old Style"/>
        </w:rPr>
        <w:t>hábil</w:t>
      </w:r>
      <w:r>
        <w:rPr>
          <w:rFonts w:ascii="Bookman Old Style" w:hAnsi="Bookman Old Style"/>
        </w:rPr>
        <w:t xml:space="preserve"> </w:t>
      </w:r>
      <w:r w:rsidRPr="00D37602">
        <w:rPr>
          <w:rFonts w:ascii="Bookman Old Style" w:hAnsi="Bookman Old Style"/>
        </w:rPr>
        <w:t>contados a partir del día siguiente a su publicación en el portal web de la CREG.</w:t>
      </w:r>
    </w:p>
    <w:p w14:paraId="33D7C692" w14:textId="77777777" w:rsidR="009B2DAE" w:rsidRPr="00D37602" w:rsidRDefault="009B2DAE" w:rsidP="0083497A">
      <w:pPr>
        <w:ind w:left="0"/>
        <w:jc w:val="both"/>
        <w:rPr>
          <w:rFonts w:ascii="Bookman Old Style" w:hAnsi="Bookman Old Style"/>
        </w:rPr>
      </w:pPr>
    </w:p>
    <w:p w14:paraId="77E9AC06" w14:textId="77777777" w:rsidR="009B2DAE" w:rsidRPr="00D37602" w:rsidRDefault="009B2DAE" w:rsidP="0083497A">
      <w:pPr>
        <w:ind w:left="0"/>
        <w:jc w:val="both"/>
        <w:rPr>
          <w:rFonts w:ascii="Bookman Old Style" w:hAnsi="Bookman Old Style"/>
        </w:rPr>
      </w:pPr>
      <w:r w:rsidRPr="00D37602">
        <w:rPr>
          <w:rFonts w:ascii="Bookman Old Style" w:hAnsi="Bookman Old Style"/>
        </w:rPr>
        <w:t xml:space="preserve">Se invita a los usuarios, agentes, autoridades locales municipales y departamentales competentes, </w:t>
      </w:r>
      <w:r>
        <w:rPr>
          <w:rFonts w:ascii="Bookman Old Style" w:hAnsi="Bookman Old Style"/>
        </w:rPr>
        <w:t xml:space="preserve">demás interesados </w:t>
      </w:r>
      <w:r w:rsidRPr="00D37602">
        <w:rPr>
          <w:rFonts w:ascii="Bookman Old Style" w:hAnsi="Bookman Old Style"/>
        </w:rPr>
        <w:t>y a la Superintendencia de Servicios Públicos Domiciliarios, para que remitan sus observaciones o sugerencias sobre la propuesta, dentro del plazo establecido.</w:t>
      </w:r>
    </w:p>
    <w:p w14:paraId="5A794BFA" w14:textId="77777777" w:rsidR="009B2DAE" w:rsidRPr="00D37602" w:rsidRDefault="009B2DAE" w:rsidP="0083497A">
      <w:pPr>
        <w:ind w:left="0"/>
        <w:jc w:val="both"/>
        <w:rPr>
          <w:rFonts w:ascii="Bookman Old Style" w:hAnsi="Bookman Old Style"/>
        </w:rPr>
      </w:pPr>
    </w:p>
    <w:p w14:paraId="7A64A1F0" w14:textId="60CE8826" w:rsidR="009B2DAE" w:rsidRPr="00D37602" w:rsidRDefault="009B2DAE" w:rsidP="0083497A">
      <w:pPr>
        <w:ind w:left="0"/>
        <w:jc w:val="both"/>
        <w:rPr>
          <w:rFonts w:ascii="Bookman Old Style" w:hAnsi="Bookman Old Style"/>
        </w:rPr>
      </w:pPr>
      <w:r w:rsidRPr="00D37602">
        <w:rPr>
          <w:rFonts w:ascii="Bookman Old Style" w:hAnsi="Bookman Old Style"/>
        </w:rPr>
        <w:t>Los interesados podrán dirigir sus comentarios a</w:t>
      </w:r>
      <w:r w:rsidR="004B2A8B">
        <w:rPr>
          <w:rFonts w:ascii="Bookman Old Style" w:hAnsi="Bookman Old Style"/>
        </w:rPr>
        <w:t xml:space="preserve"> la Dirección Ejecutiva </w:t>
      </w:r>
      <w:r w:rsidRPr="00D37602">
        <w:rPr>
          <w:rFonts w:ascii="Bookman Old Style" w:hAnsi="Bookman Old Style"/>
        </w:rPr>
        <w:t xml:space="preserve">de la Comisión de Regulación de Energía y Gas, al correo electrónico creg@creg.gov.co, identificando el mensaje con el siguiente asunto: </w:t>
      </w:r>
      <w:r w:rsidRPr="005B2E40">
        <w:rPr>
          <w:rFonts w:ascii="Bookman Old Style" w:hAnsi="Bookman Old Style"/>
          <w:i/>
          <w:iCs/>
        </w:rPr>
        <w:t>“Comentarios al proyecto de resolución por la cual se amplían los plazos para las actividades pendientes en el proceso de subasta de asignación de las obligaciones de energía firme del cargo por confiabilidad para el período 2027-2028”</w:t>
      </w:r>
      <w:r w:rsidRPr="00D37602">
        <w:rPr>
          <w:rFonts w:ascii="Bookman Old Style" w:hAnsi="Bookman Old Style"/>
        </w:rPr>
        <w:t>.</w:t>
      </w:r>
    </w:p>
    <w:p w14:paraId="01A57884" w14:textId="77777777" w:rsidR="009B2DAE" w:rsidRPr="00D37602" w:rsidRDefault="009B2DAE" w:rsidP="0083497A">
      <w:pPr>
        <w:ind w:left="0"/>
        <w:jc w:val="both"/>
        <w:rPr>
          <w:rFonts w:ascii="Bookman Old Style" w:hAnsi="Bookman Old Style"/>
        </w:rPr>
      </w:pPr>
    </w:p>
    <w:p w14:paraId="440D0B09" w14:textId="3F01ED8B" w:rsidR="009B2DAE" w:rsidRPr="00D37602" w:rsidRDefault="009B2DAE" w:rsidP="0083497A">
      <w:pPr>
        <w:ind w:left="0"/>
        <w:jc w:val="both"/>
        <w:rPr>
          <w:rFonts w:ascii="Bookman Old Style" w:hAnsi="Bookman Old Style"/>
        </w:rPr>
      </w:pPr>
      <w:r w:rsidRPr="00D37602">
        <w:rPr>
          <w:rFonts w:ascii="Bookman Old Style" w:hAnsi="Bookman Old Style"/>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sidR="00A87A8A">
        <w:rPr>
          <w:rFonts w:ascii="Bookman Old Style" w:hAnsi="Bookman Old Style"/>
        </w:rPr>
        <w:t>a</w:t>
      </w:r>
      <w:r w:rsidRPr="00D37602">
        <w:rPr>
          <w:rFonts w:ascii="Bookman Old Style" w:hAnsi="Bookman Old Style"/>
        </w:rPr>
        <w:t>rtículo 2.2.2.30.5.</w:t>
      </w:r>
    </w:p>
    <w:p w14:paraId="436D431E" w14:textId="77777777" w:rsidR="009B2DAE" w:rsidRDefault="009B2DAE" w:rsidP="009B2DAE">
      <w:pPr>
        <w:ind w:left="0"/>
        <w:jc w:val="center"/>
        <w:rPr>
          <w:rFonts w:ascii="Bookman Old Style" w:hAnsi="Bookman Old Style"/>
          <w:bCs/>
          <w:lang w:val="es-CO"/>
        </w:rPr>
      </w:pPr>
    </w:p>
    <w:p w14:paraId="51B4BBF3" w14:textId="77777777" w:rsidR="009B2DAE" w:rsidRPr="00E060BE" w:rsidRDefault="009B2DAE" w:rsidP="009B2DAE">
      <w:pPr>
        <w:ind w:left="0"/>
        <w:jc w:val="center"/>
        <w:rPr>
          <w:rFonts w:ascii="Bookman Old Style" w:hAnsi="Bookman Old Style"/>
          <w:bCs/>
          <w:lang w:val="es-CO"/>
        </w:rPr>
      </w:pPr>
    </w:p>
    <w:p w14:paraId="1D9B4241" w14:textId="77777777" w:rsidR="009B2DAE" w:rsidRPr="00365B66" w:rsidRDefault="009B2DAE" w:rsidP="009B2DAE">
      <w:pPr>
        <w:ind w:left="0"/>
        <w:jc w:val="center"/>
        <w:rPr>
          <w:rFonts w:ascii="Bookman Old Style" w:hAnsi="Bookman Old Style"/>
          <w:b/>
          <w:bCs/>
        </w:rPr>
      </w:pPr>
      <w:r w:rsidRPr="00365B66">
        <w:rPr>
          <w:rFonts w:ascii="Bookman Old Style" w:hAnsi="Bookman Old Style"/>
          <w:b/>
          <w:bCs/>
        </w:rPr>
        <w:t>PROYECTO DE RESOLUCIÓN</w:t>
      </w:r>
    </w:p>
    <w:p w14:paraId="68497D72" w14:textId="77777777" w:rsidR="009B2DAE" w:rsidRPr="00DB6934" w:rsidRDefault="009B2DAE" w:rsidP="00DB6934">
      <w:pPr>
        <w:ind w:left="0"/>
        <w:jc w:val="center"/>
        <w:rPr>
          <w:rFonts w:ascii="Bookman Old Style" w:hAnsi="Bookman Old Style"/>
          <w:bCs/>
          <w:lang w:val="es-CO"/>
        </w:rPr>
      </w:pPr>
    </w:p>
    <w:p w14:paraId="46D8C664" w14:textId="3C7A4185" w:rsidR="00045D3D" w:rsidRPr="00C435C3" w:rsidRDefault="00045D3D" w:rsidP="00045D3D">
      <w:pPr>
        <w:ind w:left="0"/>
        <w:jc w:val="center"/>
        <w:rPr>
          <w:rFonts w:ascii="Bookman Old Style" w:hAnsi="Bookman Old Style"/>
        </w:rPr>
      </w:pPr>
      <w:r w:rsidRPr="00C435C3">
        <w:rPr>
          <w:rFonts w:ascii="Bookman Old Style" w:hAnsi="Bookman Old Style"/>
        </w:rPr>
        <w:t>Por</w:t>
      </w:r>
      <w:r w:rsidR="009B2DAE">
        <w:rPr>
          <w:rFonts w:ascii="Bookman Old Style" w:hAnsi="Bookman Old Style"/>
        </w:rPr>
        <w:t xml:space="preserve"> la cual se amplían</w:t>
      </w:r>
      <w:r w:rsidR="009B2DAE" w:rsidRPr="00302E86">
        <w:rPr>
          <w:rFonts w:ascii="Bookman Old Style" w:hAnsi="Bookman Old Style"/>
        </w:rPr>
        <w:t xml:space="preserve"> los plazos para las actividades pendientes en el proceso de </w:t>
      </w:r>
      <w:r w:rsidR="009B2DAE">
        <w:rPr>
          <w:rFonts w:ascii="Bookman Old Style" w:hAnsi="Bookman Old Style"/>
        </w:rPr>
        <w:t xml:space="preserve">subasta </w:t>
      </w:r>
      <w:r w:rsidR="009B2DAE" w:rsidRPr="00622B99">
        <w:rPr>
          <w:rFonts w:ascii="Bookman Old Style" w:hAnsi="Bookman Old Style"/>
        </w:rPr>
        <w:t>de asignación de las obligaciones de energía firme del cargo por confiabilidad para el período comprendido entre el 1 de diciembre de 2027 y el 30 de noviembre de 2028</w:t>
      </w:r>
      <w:r w:rsidR="009B2DAE">
        <w:rPr>
          <w:rFonts w:ascii="Bookman Old Style" w:hAnsi="Bookman Old Style"/>
        </w:rPr>
        <w:t>, convocada mediante Resolución CREG 101 034A de 2022.</w:t>
      </w:r>
      <w:r w:rsidRPr="00C435C3">
        <w:rPr>
          <w:rFonts w:ascii="Bookman Old Style" w:hAnsi="Bookman Old Style"/>
        </w:rPr>
        <w:t xml:space="preserve"> </w:t>
      </w:r>
    </w:p>
    <w:p w14:paraId="053FCB54" w14:textId="77777777" w:rsidR="00045D3D" w:rsidRDefault="00045D3D" w:rsidP="005B2E40">
      <w:pPr>
        <w:ind w:left="0" w:right="51"/>
        <w:rPr>
          <w:rFonts w:ascii="Bookman Old Style" w:hAnsi="Bookman Old Style"/>
        </w:rPr>
      </w:pPr>
    </w:p>
    <w:p w14:paraId="26FF8A54" w14:textId="77777777" w:rsidR="005B2E40" w:rsidRPr="00C435C3" w:rsidRDefault="005B2E40" w:rsidP="005B2E40">
      <w:pPr>
        <w:ind w:left="0" w:right="51"/>
        <w:rPr>
          <w:rFonts w:ascii="Bookman Old Style" w:hAnsi="Bookman Old Style"/>
        </w:rPr>
      </w:pPr>
    </w:p>
    <w:p w14:paraId="7B67FAFA" w14:textId="77777777" w:rsidR="00045D3D" w:rsidRPr="00C435C3" w:rsidRDefault="00045D3D" w:rsidP="005B2E40">
      <w:pPr>
        <w:ind w:left="0"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5B2E40">
      <w:pPr>
        <w:ind w:left="0" w:right="51"/>
        <w:rPr>
          <w:rFonts w:ascii="Bookman Old Style" w:hAnsi="Bookman Old Style"/>
        </w:rPr>
      </w:pPr>
    </w:p>
    <w:p w14:paraId="6EDA2283" w14:textId="77777777" w:rsidR="00045D3D" w:rsidRDefault="00045D3D" w:rsidP="005B2E40">
      <w:pPr>
        <w:pStyle w:val="Textoindependiente3"/>
        <w:ind w:left="284" w:right="284"/>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p>
    <w:p w14:paraId="33EB9E0E" w14:textId="77777777" w:rsidR="0083497A" w:rsidRPr="00C435C3" w:rsidRDefault="0083497A" w:rsidP="005B2E40">
      <w:pPr>
        <w:pStyle w:val="Textoindependiente3"/>
        <w:ind w:left="284" w:right="284"/>
        <w:rPr>
          <w:rFonts w:ascii="Bookman Old Style" w:hAnsi="Bookman Old Style"/>
          <w:b w:val="0"/>
        </w:rPr>
      </w:pPr>
    </w:p>
    <w:p w14:paraId="416AEFF4" w14:textId="77777777" w:rsidR="00045D3D" w:rsidRDefault="00045D3D" w:rsidP="005B2E40">
      <w:pPr>
        <w:ind w:left="0" w:right="51"/>
        <w:rPr>
          <w:rFonts w:ascii="Bookman Old Style" w:hAnsi="Bookman Old Style"/>
        </w:rPr>
      </w:pPr>
    </w:p>
    <w:p w14:paraId="3E8440ED" w14:textId="77777777" w:rsidR="00045D3D" w:rsidRDefault="00045D3D" w:rsidP="005B2E40">
      <w:pPr>
        <w:ind w:left="0" w:right="51"/>
        <w:rPr>
          <w:rFonts w:ascii="Bookman Old Style" w:hAnsi="Bookman Old Style"/>
        </w:rPr>
      </w:pPr>
    </w:p>
    <w:p w14:paraId="72BBA367"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lastRenderedPageBreak/>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83497A">
      <w:pPr>
        <w:ind w:right="51"/>
        <w:jc w:val="both"/>
        <w:rPr>
          <w:rFonts w:ascii="Bookman Old Style" w:hAnsi="Bookman Old Style"/>
          <w:b/>
        </w:rPr>
      </w:pPr>
    </w:p>
    <w:p w14:paraId="7AEF5BC0" w14:textId="16EFEF4C" w:rsidR="009B2DAE" w:rsidRDefault="009B2DAE" w:rsidP="0083497A">
      <w:pPr>
        <w:ind w:left="0"/>
        <w:jc w:val="both"/>
        <w:rPr>
          <w:rFonts w:ascii="Bookman Old Style" w:hAnsi="Bookman Old Style"/>
        </w:rPr>
      </w:pPr>
      <w:r>
        <w:rPr>
          <w:rFonts w:ascii="Bookman Old Style" w:hAnsi="Bookman Old Style"/>
        </w:rPr>
        <w:t xml:space="preserve">En cumplimiento de las funciones y objetivos establecidos en la Ley 142 de 1994 y especialmente de lo señalado en el artículo 23 de la Ley 143 de 1994, la Comisión de Regulación de Energía y Gas, </w:t>
      </w:r>
      <w:r w:rsidRPr="00A53BE0">
        <w:rPr>
          <w:rFonts w:ascii="Bookman Old Style" w:hAnsi="Bookman Old Style"/>
        </w:rPr>
        <w:t xml:space="preserve">mediante Resolución CREG 071 de 2006, adoptó la metodología para la remuneración del </w:t>
      </w:r>
      <w:r w:rsidR="008D5691">
        <w:rPr>
          <w:rFonts w:ascii="Bookman Old Style" w:hAnsi="Bookman Old Style"/>
        </w:rPr>
        <w:t>c</w:t>
      </w:r>
      <w:r w:rsidRPr="00A53BE0">
        <w:rPr>
          <w:rFonts w:ascii="Bookman Old Style" w:hAnsi="Bookman Old Style"/>
        </w:rPr>
        <w:t xml:space="preserve">argo por </w:t>
      </w:r>
      <w:r w:rsidR="008D5691">
        <w:rPr>
          <w:rFonts w:ascii="Bookman Old Style" w:hAnsi="Bookman Old Style"/>
        </w:rPr>
        <w:t>c</w:t>
      </w:r>
      <w:r w:rsidRPr="00A53BE0">
        <w:rPr>
          <w:rFonts w:ascii="Bookman Old Style" w:hAnsi="Bookman Old Style"/>
        </w:rPr>
        <w:t>onfiabilidad en el Mercado de Energía Mayorista</w:t>
      </w:r>
      <w:r>
        <w:rPr>
          <w:rFonts w:ascii="Bookman Old Style" w:hAnsi="Bookman Old Style"/>
        </w:rPr>
        <w:t>.</w:t>
      </w:r>
    </w:p>
    <w:p w14:paraId="4B9FBF4C" w14:textId="77777777" w:rsidR="009B2DAE" w:rsidRDefault="009B2DAE" w:rsidP="0083497A">
      <w:pPr>
        <w:jc w:val="both"/>
        <w:rPr>
          <w:rFonts w:ascii="Bookman Old Style" w:hAnsi="Bookman Old Style"/>
        </w:rPr>
      </w:pPr>
    </w:p>
    <w:p w14:paraId="4A7AABD6" w14:textId="7EBF5F5B" w:rsidR="009B2DAE" w:rsidRDefault="009B2DAE" w:rsidP="0083497A">
      <w:pPr>
        <w:ind w:left="0"/>
        <w:jc w:val="both"/>
        <w:rPr>
          <w:rFonts w:ascii="Bookman Old Style" w:hAnsi="Bookman Old Style"/>
        </w:rPr>
      </w:pPr>
      <w:r>
        <w:rPr>
          <w:rFonts w:ascii="Bookman Old Style" w:hAnsi="Bookman Old Style"/>
        </w:rPr>
        <w:t xml:space="preserve">La Resolución CREG 101 024 de 2022 definió </w:t>
      </w:r>
      <w:r w:rsidRPr="00114DF7">
        <w:rPr>
          <w:rFonts w:ascii="Bookman Old Style" w:hAnsi="Bookman Old Style"/>
        </w:rPr>
        <w:t xml:space="preserve">los procedimientos para las subastas del </w:t>
      </w:r>
      <w:r w:rsidR="008D5691">
        <w:rPr>
          <w:rFonts w:ascii="Bookman Old Style" w:hAnsi="Bookman Old Style"/>
        </w:rPr>
        <w:t>c</w:t>
      </w:r>
      <w:r w:rsidRPr="00114DF7">
        <w:rPr>
          <w:rFonts w:ascii="Bookman Old Style" w:hAnsi="Bookman Old Style"/>
        </w:rPr>
        <w:t xml:space="preserve">argo por </w:t>
      </w:r>
      <w:r w:rsidR="008D5691">
        <w:rPr>
          <w:rFonts w:ascii="Bookman Old Style" w:hAnsi="Bookman Old Style"/>
        </w:rPr>
        <w:t>c</w:t>
      </w:r>
      <w:r w:rsidRPr="00114DF7">
        <w:rPr>
          <w:rFonts w:ascii="Bookman Old Style" w:hAnsi="Bookman Old Style"/>
        </w:rPr>
        <w:t xml:space="preserve">onfiabilidad </w:t>
      </w:r>
      <w:r>
        <w:rPr>
          <w:rFonts w:ascii="Bookman Old Style" w:hAnsi="Bookman Old Style"/>
        </w:rPr>
        <w:t>y señaló en el artículo 12 que la Comisión fijará mediante resolución la fecha en la que se debe llevar a cabo la subasta para la asignación de obligaciones de energía firme</w:t>
      </w:r>
      <w:r w:rsidRPr="00114DF7">
        <w:rPr>
          <w:rFonts w:ascii="Bookman Old Style" w:hAnsi="Bookman Old Style"/>
        </w:rPr>
        <w:t>.</w:t>
      </w:r>
    </w:p>
    <w:p w14:paraId="5F1F19CA" w14:textId="77777777" w:rsidR="009B2DAE" w:rsidRDefault="009B2DAE" w:rsidP="0083497A">
      <w:pPr>
        <w:jc w:val="both"/>
        <w:rPr>
          <w:rFonts w:ascii="Bookman Old Style" w:hAnsi="Bookman Old Style"/>
        </w:rPr>
      </w:pPr>
    </w:p>
    <w:p w14:paraId="472D4D8C" w14:textId="4802C636" w:rsidR="009B2DAE" w:rsidRDefault="009B2DAE" w:rsidP="0083497A">
      <w:pPr>
        <w:ind w:left="0"/>
        <w:jc w:val="both"/>
        <w:rPr>
          <w:rFonts w:ascii="Bookman Old Style" w:hAnsi="Bookman Old Style"/>
        </w:rPr>
      </w:pPr>
      <w:r w:rsidRPr="00C304D1">
        <w:rPr>
          <w:rFonts w:ascii="Bookman Old Style" w:hAnsi="Bookman Old Style"/>
        </w:rPr>
        <w:t>En el citado artículo 12 de la Resolución CREG 101 024 de 2022 se estableció que “</w:t>
      </w:r>
      <w:r w:rsidRPr="005B2E40">
        <w:rPr>
          <w:rFonts w:ascii="Bookman Old Style" w:hAnsi="Bookman Old Style"/>
          <w:i/>
          <w:iCs/>
        </w:rPr>
        <w:t>El día de entrada en vigencia de la resolución que convoque la subasta de que habla este artículo será establecido como el día D, el cual servirá como referencia para los cronogramas, fechas límite y demás tiempos establecidos en esta resolución</w:t>
      </w:r>
      <w:r w:rsidRPr="00C304D1">
        <w:rPr>
          <w:rFonts w:ascii="Bookman Old Style" w:hAnsi="Bookman Old Style"/>
        </w:rPr>
        <w:t>”.</w:t>
      </w:r>
    </w:p>
    <w:p w14:paraId="3004D4AB" w14:textId="77777777" w:rsidR="009B2DAE" w:rsidRDefault="009B2DAE" w:rsidP="0083497A">
      <w:pPr>
        <w:jc w:val="both"/>
        <w:rPr>
          <w:rFonts w:ascii="Bookman Old Style" w:hAnsi="Bookman Old Style"/>
        </w:rPr>
      </w:pPr>
    </w:p>
    <w:p w14:paraId="445F71AC" w14:textId="5E375909" w:rsidR="009B2DAE" w:rsidRDefault="009B2DAE" w:rsidP="0083497A">
      <w:pPr>
        <w:ind w:left="0"/>
        <w:jc w:val="both"/>
        <w:rPr>
          <w:rFonts w:ascii="Bookman Old Style" w:hAnsi="Bookman Old Style"/>
        </w:rPr>
      </w:pPr>
      <w:r>
        <w:rPr>
          <w:rFonts w:ascii="Bookman Old Style" w:hAnsi="Bookman Old Style"/>
        </w:rPr>
        <w:t>En aplicación de lo señalado en el artículo 12 de la Resolución CREG 101 024 de 202</w:t>
      </w:r>
      <w:r w:rsidR="00A87A8A">
        <w:rPr>
          <w:rFonts w:ascii="Bookman Old Style" w:hAnsi="Bookman Old Style"/>
        </w:rPr>
        <w:t>2</w:t>
      </w:r>
      <w:r>
        <w:rPr>
          <w:rFonts w:ascii="Bookman Old Style" w:hAnsi="Bookman Old Style"/>
        </w:rPr>
        <w:t xml:space="preserve">, mediante </w:t>
      </w:r>
      <w:r w:rsidRPr="000D68D5">
        <w:rPr>
          <w:rFonts w:ascii="Bookman Old Style" w:hAnsi="Bookman Old Style"/>
        </w:rPr>
        <w:t>Resolución CREG 101 034A de 2022</w:t>
      </w:r>
      <w:r>
        <w:rPr>
          <w:rFonts w:ascii="Bookman Old Style" w:hAnsi="Bookman Old Style"/>
        </w:rPr>
        <w:t xml:space="preserve"> la CREG fijó la oportunidad para llevar a cabo </w:t>
      </w:r>
      <w:r w:rsidRPr="000D68D5">
        <w:rPr>
          <w:rFonts w:ascii="Bookman Old Style" w:hAnsi="Bookman Old Style"/>
        </w:rPr>
        <w:t>la subasta de asignación de las obligaciones de energía firme</w:t>
      </w:r>
      <w:r>
        <w:rPr>
          <w:rFonts w:ascii="Bookman Old Style" w:hAnsi="Bookman Old Style"/>
        </w:rPr>
        <w:t xml:space="preserve">, OEF, </w:t>
      </w:r>
      <w:r w:rsidRPr="000D68D5">
        <w:rPr>
          <w:rFonts w:ascii="Bookman Old Style" w:hAnsi="Bookman Old Style"/>
        </w:rPr>
        <w:t>del cargo por confiabilidad para el período comprendido entre el 1 de diciembre de 2027 y el 30 de noviembre de 2028</w:t>
      </w:r>
      <w:r>
        <w:rPr>
          <w:rFonts w:ascii="Bookman Old Style" w:hAnsi="Bookman Old Style"/>
        </w:rPr>
        <w:t xml:space="preserve">.  </w:t>
      </w:r>
      <w:r w:rsidRPr="00076B0A">
        <w:rPr>
          <w:rFonts w:ascii="Bookman Old Style" w:hAnsi="Bookman Old Style"/>
        </w:rPr>
        <w:t xml:space="preserve">La resolución fue publicada en el Diario Oficial el día 15 de febrero de 2023 fecha a partir de la cual se empezaron </w:t>
      </w:r>
      <w:r>
        <w:rPr>
          <w:rFonts w:ascii="Bookman Old Style" w:hAnsi="Bookman Old Style"/>
        </w:rPr>
        <w:t xml:space="preserve">contar los plazos para </w:t>
      </w:r>
      <w:r w:rsidRPr="00076B0A">
        <w:rPr>
          <w:rFonts w:ascii="Bookman Old Style" w:hAnsi="Bookman Old Style"/>
        </w:rPr>
        <w:t xml:space="preserve">las actividades </w:t>
      </w:r>
      <w:r>
        <w:rPr>
          <w:rFonts w:ascii="Bookman Old Style" w:hAnsi="Bookman Old Style"/>
        </w:rPr>
        <w:t xml:space="preserve">de la subasta conforme a lo previsto </w:t>
      </w:r>
      <w:r w:rsidRPr="00076B0A">
        <w:rPr>
          <w:rFonts w:ascii="Bookman Old Style" w:hAnsi="Bookman Old Style"/>
        </w:rPr>
        <w:t>en la Resolución C</w:t>
      </w:r>
      <w:r w:rsidR="000975F0">
        <w:rPr>
          <w:rFonts w:ascii="Bookman Old Style" w:hAnsi="Bookman Old Style"/>
        </w:rPr>
        <w:t>REG</w:t>
      </w:r>
      <w:r w:rsidRPr="00076B0A">
        <w:rPr>
          <w:rFonts w:ascii="Bookman Old Style" w:hAnsi="Bookman Old Style"/>
        </w:rPr>
        <w:t xml:space="preserve"> 101 024 de 2022.</w:t>
      </w:r>
    </w:p>
    <w:p w14:paraId="1C98AD40" w14:textId="77777777" w:rsidR="009B2DAE" w:rsidRDefault="009B2DAE" w:rsidP="0083497A">
      <w:pPr>
        <w:jc w:val="both"/>
        <w:rPr>
          <w:rFonts w:ascii="Bookman Old Style" w:hAnsi="Bookman Old Style"/>
        </w:rPr>
      </w:pPr>
    </w:p>
    <w:p w14:paraId="283B3AF5" w14:textId="5E33DBFD" w:rsidR="009B2DAE" w:rsidRDefault="009B2DAE" w:rsidP="0083497A">
      <w:pPr>
        <w:ind w:left="0"/>
        <w:jc w:val="both"/>
        <w:rPr>
          <w:rFonts w:ascii="Bookman Old Style" w:hAnsi="Bookman Old Style"/>
        </w:rPr>
      </w:pPr>
      <w:r>
        <w:rPr>
          <w:rFonts w:ascii="Bookman Old Style" w:hAnsi="Bookman Old Style"/>
        </w:rPr>
        <w:t xml:space="preserve">En cumplimiento de lo ordenado en la </w:t>
      </w:r>
      <w:r w:rsidRPr="000D68D5">
        <w:rPr>
          <w:rFonts w:ascii="Bookman Old Style" w:hAnsi="Bookman Old Style"/>
        </w:rPr>
        <w:t>Resolución 101 034A de 2022</w:t>
      </w:r>
      <w:r>
        <w:rPr>
          <w:rFonts w:ascii="Bookman Old Style" w:hAnsi="Bookman Old Style"/>
        </w:rPr>
        <w:t xml:space="preserve"> XM S</w:t>
      </w:r>
      <w:r w:rsidR="00C368A8">
        <w:rPr>
          <w:rFonts w:ascii="Bookman Old Style" w:hAnsi="Bookman Old Style"/>
        </w:rPr>
        <w:t>.</w:t>
      </w:r>
      <w:r>
        <w:rPr>
          <w:rFonts w:ascii="Bookman Old Style" w:hAnsi="Bookman Old Style"/>
        </w:rPr>
        <w:t>A</w:t>
      </w:r>
      <w:r w:rsidR="00C368A8">
        <w:rPr>
          <w:rFonts w:ascii="Bookman Old Style" w:hAnsi="Bookman Old Style"/>
        </w:rPr>
        <w:t>.</w:t>
      </w:r>
      <w:r>
        <w:rPr>
          <w:rFonts w:ascii="Bookman Old Style" w:hAnsi="Bookman Old Style"/>
        </w:rPr>
        <w:t xml:space="preserve"> E</w:t>
      </w:r>
      <w:r w:rsidR="00C368A8">
        <w:rPr>
          <w:rFonts w:ascii="Bookman Old Style" w:hAnsi="Bookman Old Style"/>
        </w:rPr>
        <w:t>.</w:t>
      </w:r>
      <w:r>
        <w:rPr>
          <w:rFonts w:ascii="Bookman Old Style" w:hAnsi="Bookman Old Style"/>
        </w:rPr>
        <w:t>S</w:t>
      </w:r>
      <w:r w:rsidR="00C368A8">
        <w:rPr>
          <w:rFonts w:ascii="Bookman Old Style" w:hAnsi="Bookman Old Style"/>
        </w:rPr>
        <w:t>.</w:t>
      </w:r>
      <w:r>
        <w:rPr>
          <w:rFonts w:ascii="Bookman Old Style" w:hAnsi="Bookman Old Style"/>
        </w:rPr>
        <w:t>P</w:t>
      </w:r>
      <w:r w:rsidR="00C368A8">
        <w:rPr>
          <w:rFonts w:ascii="Bookman Old Style" w:hAnsi="Bookman Old Style"/>
        </w:rPr>
        <w:t>.</w:t>
      </w:r>
      <w:r>
        <w:rPr>
          <w:rFonts w:ascii="Bookman Old Style" w:hAnsi="Bookman Old Style"/>
        </w:rPr>
        <w:t xml:space="preserve"> publicó en la página web del </w:t>
      </w:r>
      <w:r w:rsidR="00A87A8A">
        <w:rPr>
          <w:rFonts w:ascii="Bookman Old Style" w:hAnsi="Bookman Old Style"/>
        </w:rPr>
        <w:t xml:space="preserve">Sistema Unificado de Información del Cargo por Confiabilidad, </w:t>
      </w:r>
      <w:r>
        <w:rPr>
          <w:rFonts w:ascii="Bookman Old Style" w:hAnsi="Bookman Old Style"/>
        </w:rPr>
        <w:t>SUICC</w:t>
      </w:r>
      <w:r w:rsidR="00A87A8A">
        <w:rPr>
          <w:rFonts w:ascii="Bookman Old Style" w:hAnsi="Bookman Old Style"/>
        </w:rPr>
        <w:t>,</w:t>
      </w:r>
      <w:r>
        <w:rPr>
          <w:rFonts w:ascii="Bookman Old Style" w:hAnsi="Bookman Old Style"/>
        </w:rPr>
        <w:t xml:space="preserve"> el cronograma con las obligaciones y plazos para la realización de subasta convocada. </w:t>
      </w:r>
    </w:p>
    <w:p w14:paraId="03518028" w14:textId="77777777" w:rsidR="009B2DAE" w:rsidRDefault="009B2DAE" w:rsidP="0083497A">
      <w:pPr>
        <w:jc w:val="both"/>
        <w:rPr>
          <w:rFonts w:ascii="Bookman Old Style" w:hAnsi="Bookman Old Style"/>
        </w:rPr>
      </w:pPr>
    </w:p>
    <w:p w14:paraId="68AE2604" w14:textId="71B9AF91" w:rsidR="009B2DAE" w:rsidRDefault="00C74ABE" w:rsidP="0083497A">
      <w:pPr>
        <w:ind w:left="0"/>
        <w:jc w:val="both"/>
        <w:rPr>
          <w:rFonts w:ascii="Bookman Old Style" w:hAnsi="Bookman Old Style"/>
        </w:rPr>
      </w:pPr>
      <w:r>
        <w:rPr>
          <w:rFonts w:ascii="Bookman Old Style" w:hAnsi="Bookman Old Style"/>
        </w:rPr>
        <w:t xml:space="preserve">El cronograma </w:t>
      </w:r>
      <w:r w:rsidR="009B2DAE">
        <w:rPr>
          <w:rFonts w:ascii="Bookman Old Style" w:hAnsi="Bookman Old Style"/>
        </w:rPr>
        <w:t xml:space="preserve">de la subasta </w:t>
      </w:r>
      <w:r>
        <w:rPr>
          <w:rFonts w:ascii="Bookman Old Style" w:hAnsi="Bookman Old Style"/>
        </w:rPr>
        <w:t xml:space="preserve">fue aplazado </w:t>
      </w:r>
      <w:r w:rsidR="009B2DAE">
        <w:rPr>
          <w:rFonts w:ascii="Bookman Old Style" w:hAnsi="Bookman Old Style"/>
        </w:rPr>
        <w:t>a través de la</w:t>
      </w:r>
      <w:r w:rsidR="00604367">
        <w:rPr>
          <w:rFonts w:ascii="Bookman Old Style" w:hAnsi="Bookman Old Style"/>
        </w:rPr>
        <w:t>s</w:t>
      </w:r>
      <w:r w:rsidR="009B2DAE">
        <w:rPr>
          <w:rFonts w:ascii="Bookman Old Style" w:hAnsi="Bookman Old Style"/>
        </w:rPr>
        <w:t xml:space="preserve"> Resoluci</w:t>
      </w:r>
      <w:r w:rsidR="00604367">
        <w:rPr>
          <w:rFonts w:ascii="Bookman Old Style" w:hAnsi="Bookman Old Style"/>
        </w:rPr>
        <w:t>o</w:t>
      </w:r>
      <w:r w:rsidR="009B2DAE">
        <w:rPr>
          <w:rFonts w:ascii="Bookman Old Style" w:hAnsi="Bookman Old Style"/>
        </w:rPr>
        <w:t>n</w:t>
      </w:r>
      <w:r w:rsidR="00604367">
        <w:rPr>
          <w:rFonts w:ascii="Bookman Old Style" w:hAnsi="Bookman Old Style"/>
        </w:rPr>
        <w:t>es</w:t>
      </w:r>
      <w:r w:rsidR="009B2DAE">
        <w:rPr>
          <w:rFonts w:ascii="Bookman Old Style" w:hAnsi="Bookman Old Style"/>
        </w:rPr>
        <w:t xml:space="preserve"> CREG 101</w:t>
      </w:r>
      <w:r w:rsidR="00992381">
        <w:rPr>
          <w:rFonts w:ascii="Bookman Old Style" w:hAnsi="Bookman Old Style"/>
        </w:rPr>
        <w:t xml:space="preserve"> 014</w:t>
      </w:r>
      <w:r w:rsidR="009B2DAE">
        <w:rPr>
          <w:rFonts w:ascii="Bookman Old Style" w:hAnsi="Bookman Old Style"/>
        </w:rPr>
        <w:t xml:space="preserve"> </w:t>
      </w:r>
      <w:r w:rsidR="00DD1A6E">
        <w:rPr>
          <w:rFonts w:ascii="Bookman Old Style" w:hAnsi="Bookman Old Style"/>
        </w:rPr>
        <w:t xml:space="preserve">y 101 021 </w:t>
      </w:r>
      <w:r w:rsidR="00604367" w:rsidRPr="007F734F">
        <w:rPr>
          <w:rFonts w:ascii="Bookman Old Style" w:hAnsi="Bookman Old Style"/>
        </w:rPr>
        <w:t>de</w:t>
      </w:r>
      <w:r w:rsidR="00604367">
        <w:rPr>
          <w:rFonts w:ascii="Bookman Old Style" w:hAnsi="Bookman Old Style"/>
        </w:rPr>
        <w:t>l</w:t>
      </w:r>
      <w:r w:rsidR="00604367" w:rsidRPr="007F734F">
        <w:rPr>
          <w:rFonts w:ascii="Bookman Old Style" w:hAnsi="Bookman Old Style"/>
        </w:rPr>
        <w:t xml:space="preserve"> 23 de mayo </w:t>
      </w:r>
      <w:r w:rsidR="00604367">
        <w:rPr>
          <w:rFonts w:ascii="Bookman Old Style" w:hAnsi="Bookman Old Style"/>
        </w:rPr>
        <w:t xml:space="preserve">y </w:t>
      </w:r>
      <w:r w:rsidR="000B4DF1" w:rsidRPr="000B4DF1">
        <w:rPr>
          <w:rFonts w:ascii="Bookman Old Style" w:hAnsi="Bookman Old Style"/>
        </w:rPr>
        <w:t>23 de agosto de 2023</w:t>
      </w:r>
      <w:r w:rsidR="00604367">
        <w:rPr>
          <w:rFonts w:ascii="Bookman Old Style" w:hAnsi="Bookman Old Style"/>
        </w:rPr>
        <w:t>, respectivamente</w:t>
      </w:r>
      <w:r w:rsidR="009B2DAE" w:rsidRPr="008F5E64">
        <w:rPr>
          <w:rFonts w:ascii="Bookman Old Style" w:hAnsi="Bookman Old Style"/>
        </w:rPr>
        <w:t xml:space="preserve">. </w:t>
      </w:r>
    </w:p>
    <w:p w14:paraId="7BF55D17" w14:textId="77777777" w:rsidR="009B2DAE" w:rsidRDefault="009B2DAE" w:rsidP="001560A9">
      <w:pPr>
        <w:ind w:left="0"/>
        <w:jc w:val="both"/>
        <w:rPr>
          <w:rFonts w:ascii="Bookman Old Style" w:hAnsi="Bookman Old Style"/>
        </w:rPr>
      </w:pPr>
    </w:p>
    <w:p w14:paraId="5F74193C" w14:textId="775ED5DD" w:rsidR="00A8474E" w:rsidRDefault="003F7463" w:rsidP="00241350">
      <w:pPr>
        <w:ind w:left="0"/>
        <w:jc w:val="both"/>
        <w:rPr>
          <w:rFonts w:ascii="Bookman Old Style" w:hAnsi="Bookman Old Style"/>
        </w:rPr>
      </w:pPr>
      <w:r>
        <w:rPr>
          <w:rFonts w:ascii="Bookman Old Style" w:hAnsi="Bookman Old Style"/>
        </w:rPr>
        <w:t>L</w:t>
      </w:r>
      <w:r w:rsidR="009B2DAE">
        <w:rPr>
          <w:rFonts w:ascii="Bookman Old Style" w:hAnsi="Bookman Old Style"/>
        </w:rPr>
        <w:t xml:space="preserve">a Comisión </w:t>
      </w:r>
      <w:r w:rsidR="00C74ABE">
        <w:rPr>
          <w:rFonts w:ascii="Bookman Old Style" w:hAnsi="Bookman Old Style"/>
        </w:rPr>
        <w:t xml:space="preserve">considera </w:t>
      </w:r>
      <w:r w:rsidR="00902D6B">
        <w:rPr>
          <w:rFonts w:ascii="Bookman Old Style" w:hAnsi="Bookman Old Style"/>
        </w:rPr>
        <w:t>oportuno</w:t>
      </w:r>
      <w:r w:rsidR="00C74ABE">
        <w:rPr>
          <w:rFonts w:ascii="Bookman Old Style" w:hAnsi="Bookman Old Style"/>
        </w:rPr>
        <w:t xml:space="preserve"> </w:t>
      </w:r>
      <w:r w:rsidR="009B2DAE">
        <w:rPr>
          <w:rFonts w:ascii="Bookman Old Style" w:hAnsi="Bookman Old Style"/>
        </w:rPr>
        <w:t xml:space="preserve">aplazar </w:t>
      </w:r>
      <w:r>
        <w:rPr>
          <w:rFonts w:ascii="Bookman Old Style" w:hAnsi="Bookman Old Style"/>
        </w:rPr>
        <w:t>nuev</w:t>
      </w:r>
      <w:r w:rsidR="00483F3D">
        <w:rPr>
          <w:rFonts w:ascii="Bookman Old Style" w:hAnsi="Bookman Old Style"/>
        </w:rPr>
        <w:t xml:space="preserve">amente </w:t>
      </w:r>
      <w:r w:rsidR="009B2DAE">
        <w:rPr>
          <w:rFonts w:ascii="Bookman Old Style" w:hAnsi="Bookman Old Style"/>
        </w:rPr>
        <w:t xml:space="preserve">el cronograma de la subasta convocada por la Resolución CREG 101 034A de 2022, </w:t>
      </w:r>
      <w:r w:rsidR="00A8474E" w:rsidRPr="00A8474E">
        <w:rPr>
          <w:rFonts w:ascii="Bookman Old Style" w:hAnsi="Bookman Old Style"/>
        </w:rPr>
        <w:t>con el fin de constatar y asegurar que la nueva capacidad de generación que resulte de la subasta, se ajusta a los lineamientos de la Ley 2294 de 2023 “Por el cual se expide el Plan Nacional de Desarrollo 2022- 2026</w:t>
      </w:r>
      <w:r w:rsidR="00663693">
        <w:rPr>
          <w:rFonts w:ascii="Bookman Old Style" w:hAnsi="Bookman Old Style"/>
        </w:rPr>
        <w:t>”</w:t>
      </w:r>
    </w:p>
    <w:p w14:paraId="04D08FF7" w14:textId="77777777" w:rsidR="00045D3D" w:rsidRDefault="00045D3D" w:rsidP="00045D3D">
      <w:pPr>
        <w:ind w:left="0"/>
        <w:jc w:val="both"/>
        <w:rPr>
          <w:rFonts w:ascii="Bookman Old Style" w:hAnsi="Bookman Old Style"/>
        </w:rPr>
      </w:pPr>
    </w:p>
    <w:p w14:paraId="502FA376" w14:textId="4F5982F7" w:rsidR="00045D3D" w:rsidRDefault="00045D3D" w:rsidP="00045D3D">
      <w:pPr>
        <w:ind w:left="0"/>
        <w:jc w:val="both"/>
        <w:rPr>
          <w:rFonts w:ascii="Bookman Old Style" w:hAnsi="Bookman Old Style"/>
        </w:rPr>
      </w:pPr>
      <w:r>
        <w:rPr>
          <w:rFonts w:ascii="Bookman Old Style" w:hAnsi="Bookman Old Style"/>
        </w:rPr>
        <w:t xml:space="preserve">La Comisión de Regulación de Energía y Gas, en su Sesión </w:t>
      </w:r>
      <w:r w:rsidR="005A7D8A">
        <w:rPr>
          <w:rFonts w:ascii="Bookman Old Style" w:hAnsi="Bookman Old Style"/>
        </w:rPr>
        <w:t>1304</w:t>
      </w:r>
      <w:r w:rsidR="00DF3CA2">
        <w:rPr>
          <w:rFonts w:ascii="Bookman Old Style" w:hAnsi="Bookman Old Style"/>
        </w:rPr>
        <w:t xml:space="preserve"> del </w:t>
      </w:r>
      <w:r w:rsidR="009B2DAE">
        <w:rPr>
          <w:rFonts w:ascii="Bookman Old Style" w:hAnsi="Bookman Old Style"/>
        </w:rPr>
        <w:t>1</w:t>
      </w:r>
      <w:r w:rsidR="00CC7889">
        <w:rPr>
          <w:rFonts w:ascii="Bookman Old Style" w:hAnsi="Bookman Old Style"/>
        </w:rPr>
        <w:t>4</w:t>
      </w:r>
      <w:r>
        <w:rPr>
          <w:rFonts w:ascii="Bookman Old Style" w:hAnsi="Bookman Old Style"/>
        </w:rPr>
        <w:t xml:space="preserve"> de </w:t>
      </w:r>
      <w:r w:rsidR="00CC7889">
        <w:rPr>
          <w:rFonts w:ascii="Bookman Old Style" w:hAnsi="Bookman Old Style"/>
        </w:rPr>
        <w:t>enero</w:t>
      </w:r>
      <w:r>
        <w:rPr>
          <w:rFonts w:ascii="Bookman Old Style" w:hAnsi="Bookman Old Style"/>
        </w:rPr>
        <w:t xml:space="preserve"> de 20</w:t>
      </w:r>
      <w:r w:rsidR="009B2DAE">
        <w:rPr>
          <w:rFonts w:ascii="Bookman Old Style" w:hAnsi="Bookman Old Style"/>
        </w:rPr>
        <w:t>2</w:t>
      </w:r>
      <w:r w:rsidR="00CC7889">
        <w:rPr>
          <w:rFonts w:ascii="Bookman Old Style" w:hAnsi="Bookman Old Style"/>
        </w:rPr>
        <w:t>4</w:t>
      </w:r>
      <w:r>
        <w:rPr>
          <w:rFonts w:ascii="Bookman Old Style" w:hAnsi="Bookman Old Style"/>
        </w:rPr>
        <w:t>, acordó expedir esta resolución.</w:t>
      </w:r>
    </w:p>
    <w:p w14:paraId="4E9ED091" w14:textId="77777777" w:rsidR="00045D3D" w:rsidRPr="00C435C3" w:rsidRDefault="00045D3D" w:rsidP="00902D6B">
      <w:pPr>
        <w:ind w:left="0"/>
        <w:rPr>
          <w:rFonts w:ascii="Bookman Old Style" w:hAnsi="Bookman Old Style"/>
        </w:rPr>
      </w:pPr>
    </w:p>
    <w:p w14:paraId="3DB41754" w14:textId="77777777" w:rsidR="00045D3D" w:rsidRDefault="00045D3D" w:rsidP="00902D6B">
      <w:pPr>
        <w:suppressAutoHyphens/>
        <w:ind w:left="0"/>
        <w:jc w:val="center"/>
        <w:rPr>
          <w:rFonts w:ascii="Bookman Old Style" w:hAnsi="Bookman Old Style"/>
          <w:b/>
          <w:spacing w:val="-3"/>
        </w:rPr>
      </w:pPr>
    </w:p>
    <w:p w14:paraId="40EFC463" w14:textId="77777777" w:rsidR="00045D3D" w:rsidRPr="00C435C3" w:rsidRDefault="00045D3D" w:rsidP="00902D6B">
      <w:pPr>
        <w:suppressAutoHyphens/>
        <w:ind w:left="0"/>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902D6B">
      <w:pPr>
        <w:ind w:left="0"/>
        <w:jc w:val="center"/>
        <w:rPr>
          <w:rFonts w:ascii="Bookman Old Style" w:hAnsi="Bookman Old Style"/>
        </w:rPr>
      </w:pPr>
    </w:p>
    <w:p w14:paraId="73A756BE" w14:textId="252C8457" w:rsidR="009B2DAE" w:rsidRPr="00E0754E" w:rsidRDefault="00045D3D" w:rsidP="0083497A">
      <w:pPr>
        <w:spacing w:before="120"/>
        <w:ind w:left="0"/>
        <w:jc w:val="both"/>
        <w:rPr>
          <w:rFonts w:ascii="Bookman Old Style" w:hAnsi="Bookman Old Style"/>
        </w:rPr>
      </w:pPr>
      <w:r w:rsidRPr="002A782A">
        <w:rPr>
          <w:rFonts w:ascii="Bookman Old Style" w:hAnsi="Bookman Old Style"/>
          <w:b/>
        </w:rPr>
        <w:t xml:space="preserve">ARTÍCULO 1. </w:t>
      </w:r>
      <w:r w:rsidR="009B2DAE">
        <w:rPr>
          <w:rFonts w:ascii="Bookman Old Style" w:hAnsi="Bookman Old Style"/>
          <w:b/>
          <w:bCs/>
        </w:rPr>
        <w:t>Ampliación de los plazos de ejecución de las actividades de la subasta del cargo por confiabilidad convocada mediante Resolución CREG 101 034A de 2022</w:t>
      </w:r>
      <w:r w:rsidR="009B2DAE" w:rsidRPr="00D37602">
        <w:rPr>
          <w:rFonts w:ascii="Bookman Old Style" w:hAnsi="Bookman Old Style"/>
          <w:b/>
          <w:bCs/>
        </w:rPr>
        <w:t xml:space="preserve">. </w:t>
      </w:r>
      <w:r w:rsidR="00AA284C" w:rsidRPr="00AA284C">
        <w:rPr>
          <w:rFonts w:ascii="Bookman Old Style" w:hAnsi="Bookman Old Style"/>
        </w:rPr>
        <w:t xml:space="preserve">Para efectos del cumplimiento de las actividades del proceso </w:t>
      </w:r>
      <w:r w:rsidR="00AA284C" w:rsidRPr="00AA284C">
        <w:rPr>
          <w:rFonts w:ascii="Bookman Old Style" w:hAnsi="Bookman Old Style"/>
        </w:rPr>
        <w:lastRenderedPageBreak/>
        <w:t xml:space="preserve">de la subasta del cargo por confiabilidad, convocada mediante la Resolución CREG 101 034A de 2022, que a la fecha de entrada en vigencia de esta resolución no se hayan realizado, se adicionarán </w:t>
      </w:r>
      <w:r w:rsidR="00481AF7">
        <w:rPr>
          <w:rFonts w:ascii="Bookman Old Style" w:hAnsi="Bookman Old Style"/>
        </w:rPr>
        <w:t xml:space="preserve">treinta </w:t>
      </w:r>
      <w:r w:rsidR="00AA284C" w:rsidRPr="00AA284C">
        <w:rPr>
          <w:rFonts w:ascii="Bookman Old Style" w:hAnsi="Bookman Old Style"/>
        </w:rPr>
        <w:t>(3</w:t>
      </w:r>
      <w:r w:rsidR="00481AF7">
        <w:rPr>
          <w:rFonts w:ascii="Bookman Old Style" w:hAnsi="Bookman Old Style"/>
        </w:rPr>
        <w:t>0</w:t>
      </w:r>
      <w:r w:rsidR="00AA284C" w:rsidRPr="00AA284C">
        <w:rPr>
          <w:rFonts w:ascii="Bookman Old Style" w:hAnsi="Bookman Old Style"/>
        </w:rPr>
        <w:t>) días hábiles a los plazos máximos definidos en la Resolución CREG 101 024 de 2022</w:t>
      </w:r>
      <w:r w:rsidR="009B2DAE" w:rsidRPr="00E0754E">
        <w:rPr>
          <w:rFonts w:ascii="Bookman Old Style" w:hAnsi="Bookman Old Style"/>
        </w:rPr>
        <w:t>.</w:t>
      </w:r>
    </w:p>
    <w:p w14:paraId="75B7A9E3" w14:textId="77777777" w:rsidR="009B2DAE" w:rsidRPr="001A2F4B" w:rsidRDefault="009B2DAE" w:rsidP="0083497A">
      <w:pPr>
        <w:ind w:left="0"/>
        <w:jc w:val="both"/>
        <w:rPr>
          <w:rFonts w:ascii="Bookman Old Style" w:hAnsi="Bookman Old Style"/>
        </w:rPr>
      </w:pPr>
    </w:p>
    <w:p w14:paraId="21FD54D7" w14:textId="77777777" w:rsidR="009B2DAE" w:rsidRPr="00A56B1C" w:rsidRDefault="009B2DAE" w:rsidP="0083497A">
      <w:pPr>
        <w:ind w:left="0"/>
        <w:jc w:val="both"/>
        <w:rPr>
          <w:rFonts w:ascii="Bookman Old Style" w:hAnsi="Bookman Old Style"/>
        </w:rPr>
      </w:pPr>
      <w:r w:rsidRPr="00A56B1C">
        <w:rPr>
          <w:rFonts w:ascii="Bookman Old Style" w:hAnsi="Bookman Old Style"/>
        </w:rPr>
        <w:t>Dentro de los cinco (5) días hábiles siguientes a la publicación de esta resolución, el ASIC deberá publicar en la página web del SUICC el cronograma con las obligaciones y plazos establecidos en la Resolución CREG 101 024 de 2022 que sigan en el proceso de realización de la subasta convocada.</w:t>
      </w:r>
    </w:p>
    <w:p w14:paraId="1F032986" w14:textId="77777777" w:rsidR="00045D3D" w:rsidRPr="00C435C3" w:rsidRDefault="00045D3D" w:rsidP="0083497A">
      <w:pPr>
        <w:jc w:val="both"/>
        <w:rPr>
          <w:rFonts w:ascii="Bookman Old Style" w:hAnsi="Bookman Old Style"/>
        </w:rPr>
      </w:pPr>
    </w:p>
    <w:p w14:paraId="575CB3AC" w14:textId="517C2CA1" w:rsidR="00045D3D" w:rsidRDefault="00045D3D" w:rsidP="0083497A">
      <w:pPr>
        <w:spacing w:before="120"/>
        <w:ind w:left="0"/>
        <w:jc w:val="both"/>
        <w:rPr>
          <w:rFonts w:ascii="Bookman Old Style" w:hAnsi="Bookman Old Style"/>
          <w:i/>
          <w:sz w:val="22"/>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w:t>
      </w:r>
      <w:r>
        <w:rPr>
          <w:rFonts w:ascii="Bookman Old Style" w:hAnsi="Bookman Old Style"/>
          <w:i/>
          <w:sz w:val="22"/>
        </w:rPr>
        <w:t xml:space="preserve">   </w:t>
      </w:r>
      <w:r w:rsidR="009B2DAE" w:rsidRPr="69098A73">
        <w:rPr>
          <w:rFonts w:ascii="Bookman Old Style" w:hAnsi="Bookman Old Style"/>
          <w:b/>
          <w:bCs/>
        </w:rPr>
        <w:t>Vigencia.</w:t>
      </w:r>
      <w:r w:rsidR="009B2DAE">
        <w:rPr>
          <w:rFonts w:ascii="Bookman Old Style" w:hAnsi="Bookman Old Style"/>
          <w:b/>
          <w:bCs/>
        </w:rPr>
        <w:t xml:space="preserve"> </w:t>
      </w:r>
      <w:r w:rsidR="009B2DAE" w:rsidRPr="009B2DAE">
        <w:rPr>
          <w:rFonts w:ascii="Bookman Old Style" w:hAnsi="Bookman Old Style"/>
          <w:iCs/>
          <w:szCs w:val="28"/>
        </w:rPr>
        <w:t>Esta resolución rige a partir de su publicación en el diario oficial.</w:t>
      </w:r>
      <w:r>
        <w:rPr>
          <w:rFonts w:ascii="Bookman Old Style" w:hAnsi="Bookman Old Style"/>
          <w:i/>
          <w:sz w:val="22"/>
        </w:rPr>
        <w:t xml:space="preserve">     </w:t>
      </w:r>
    </w:p>
    <w:p w14:paraId="1A65BDF4" w14:textId="77777777" w:rsidR="00045D3D" w:rsidRDefault="00045D3D" w:rsidP="0083497A">
      <w:pPr>
        <w:ind w:left="0"/>
        <w:jc w:val="both"/>
        <w:rPr>
          <w:rFonts w:ascii="Bookman Old Style" w:hAnsi="Bookman Old Style"/>
          <w:i/>
          <w:sz w:val="22"/>
        </w:rPr>
      </w:pPr>
    </w:p>
    <w:p w14:paraId="4C3505C4" w14:textId="77777777" w:rsidR="00045D3D" w:rsidRPr="00C435C3" w:rsidRDefault="00045D3D" w:rsidP="00902D6B">
      <w:pPr>
        <w:ind w:left="0"/>
        <w:rPr>
          <w:rFonts w:ascii="Bookman Old Style" w:hAnsi="Bookman Old Style"/>
        </w:rPr>
      </w:pPr>
    </w:p>
    <w:p w14:paraId="11E3F22E" w14:textId="77777777" w:rsidR="0083497A" w:rsidRDefault="0083497A" w:rsidP="00045D3D">
      <w:pPr>
        <w:ind w:left="0"/>
        <w:rPr>
          <w:rFonts w:ascii="Bookman Old Style" w:hAnsi="Bookman Old Style"/>
        </w:rPr>
      </w:pPr>
    </w:p>
    <w:p w14:paraId="2A65BEAB" w14:textId="77777777" w:rsidR="00045D3D" w:rsidRDefault="00045D3D" w:rsidP="00045D3D">
      <w:pPr>
        <w:ind w:left="0"/>
        <w:rPr>
          <w:rFonts w:ascii="Bookman Old Style" w:hAnsi="Bookman Old Style"/>
        </w:rPr>
      </w:pPr>
    </w:p>
    <w:p w14:paraId="1F992105" w14:textId="77777777" w:rsidR="00902D6B" w:rsidRDefault="00902D6B" w:rsidP="00045D3D">
      <w:pPr>
        <w:ind w:left="0"/>
        <w:rPr>
          <w:rFonts w:ascii="Bookman Old Style" w:hAnsi="Bookman Old Style"/>
        </w:rPr>
      </w:pPr>
    </w:p>
    <w:p w14:paraId="7C2B3EB8" w14:textId="77777777" w:rsidR="00045D3D" w:rsidRDefault="00045D3D" w:rsidP="00045D3D">
      <w:pPr>
        <w:ind w:left="0"/>
        <w:rPr>
          <w:rFonts w:ascii="Bookman Old Style" w:hAnsi="Bookman Old Style"/>
        </w:rPr>
      </w:pPr>
    </w:p>
    <w:tbl>
      <w:tblPr>
        <w:tblW w:w="10129" w:type="dxa"/>
        <w:jc w:val="right"/>
        <w:tblLayout w:type="fixed"/>
        <w:tblCellMar>
          <w:left w:w="70" w:type="dxa"/>
          <w:right w:w="70" w:type="dxa"/>
        </w:tblCellMar>
        <w:tblLook w:val="0000" w:firstRow="0" w:lastRow="0" w:firstColumn="0" w:lastColumn="0" w:noHBand="0" w:noVBand="0"/>
      </w:tblPr>
      <w:tblGrid>
        <w:gridCol w:w="4871"/>
        <w:gridCol w:w="5258"/>
      </w:tblGrid>
      <w:tr w:rsidR="00AF3A95" w:rsidRPr="00720520" w14:paraId="11897717" w14:textId="77777777" w:rsidTr="00F77D2D">
        <w:trPr>
          <w:gridAfter w:val="1"/>
          <w:wAfter w:w="5258" w:type="dxa"/>
          <w:jc w:val="right"/>
        </w:trPr>
        <w:tc>
          <w:tcPr>
            <w:tcW w:w="4871" w:type="dxa"/>
          </w:tcPr>
          <w:p w14:paraId="22121FDE" w14:textId="77777777" w:rsidR="00AF3A95" w:rsidRPr="00720520" w:rsidRDefault="00AF3A95" w:rsidP="00F77D2D">
            <w:pPr>
              <w:ind w:left="0"/>
              <w:rPr>
                <w:rFonts w:ascii="Bookman Old Style" w:hAnsi="Bookman Old Style" w:cs="Arial"/>
                <w:spacing w:val="-3"/>
                <w:lang w:val="es-ES_tradnl"/>
              </w:rPr>
            </w:pPr>
          </w:p>
        </w:tc>
      </w:tr>
      <w:tr w:rsidR="00045D3D" w:rsidRPr="00720520" w14:paraId="0E456C57" w14:textId="77777777" w:rsidTr="00F77D2D">
        <w:trPr>
          <w:jc w:val="right"/>
        </w:trPr>
        <w:tc>
          <w:tcPr>
            <w:tcW w:w="4871" w:type="dxa"/>
          </w:tcPr>
          <w:p w14:paraId="61AA6F11" w14:textId="77777777" w:rsidR="00045D3D" w:rsidRPr="00720520" w:rsidRDefault="00045D3D" w:rsidP="006B6194">
            <w:pPr>
              <w:rPr>
                <w:rFonts w:ascii="Bookman Old Style" w:hAnsi="Bookman Old Style" w:cs="Arial"/>
                <w:spacing w:val="-3"/>
              </w:rPr>
            </w:pPr>
          </w:p>
        </w:tc>
        <w:tc>
          <w:tcPr>
            <w:tcW w:w="5258" w:type="dxa"/>
          </w:tcPr>
          <w:p w14:paraId="6273C47A" w14:textId="77777777" w:rsidR="00045D3D" w:rsidRPr="00720520" w:rsidRDefault="00045D3D" w:rsidP="006B6194">
            <w:pPr>
              <w:rPr>
                <w:rFonts w:ascii="Bookman Old Style" w:hAnsi="Bookman Old Style" w:cs="Arial"/>
                <w:spacing w:val="-3"/>
              </w:rPr>
            </w:pPr>
          </w:p>
        </w:tc>
      </w:tr>
    </w:tbl>
    <w:p w14:paraId="185A0E4A" w14:textId="23C90DA2" w:rsidR="00E060BE" w:rsidRPr="00E060BE" w:rsidRDefault="00E060BE" w:rsidP="009B2DAE">
      <w:pPr>
        <w:ind w:left="0"/>
        <w:rPr>
          <w:rFonts w:ascii="Bookman Old Style" w:hAnsi="Bookman Old Style" w:cs="Arial"/>
        </w:rPr>
      </w:pPr>
      <w:bookmarkStart w:id="0" w:name="_GoBack"/>
      <w:bookmarkEnd w:id="0"/>
    </w:p>
    <w:sectPr w:rsidR="00E060BE" w:rsidRPr="00E060BE" w:rsidSect="0048206E">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C2F3C" w14:textId="77777777" w:rsidR="00282078" w:rsidRDefault="00282078">
      <w:r>
        <w:separator/>
      </w:r>
    </w:p>
  </w:endnote>
  <w:endnote w:type="continuationSeparator" w:id="0">
    <w:p w14:paraId="7204EF18" w14:textId="77777777" w:rsidR="00282078" w:rsidRDefault="0028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AE3BA" w14:textId="77777777" w:rsidR="00282078" w:rsidRDefault="00282078">
      <w:r>
        <w:separator/>
      </w:r>
    </w:p>
  </w:footnote>
  <w:footnote w:type="continuationSeparator" w:id="0">
    <w:p w14:paraId="779501F4" w14:textId="77777777" w:rsidR="00282078" w:rsidRDefault="002820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4122DA80" w:rsidR="0087657D" w:rsidRPr="00951F79" w:rsidRDefault="00AF3A95"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Pr="00AF3A95">
      <w:rPr>
        <w:rFonts w:ascii="Bookman Old Style" w:hAnsi="Bookman Old Style" w:cs="Arial"/>
        <w:bCs/>
        <w:sz w:val="22"/>
        <w:szCs w:val="22"/>
        <w:u w:val="single"/>
      </w:rPr>
      <w:t>701 035</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83497A">
      <w:rPr>
        <w:rFonts w:ascii="Bookman Old Style" w:hAnsi="Bookman Old Style" w:cs="Arial"/>
        <w:b w:val="0"/>
        <w:sz w:val="22"/>
        <w:szCs w:val="22"/>
      </w:rPr>
      <w:t xml:space="preserve">  </w:t>
    </w:r>
    <w:r w:rsidRPr="00AF3A95">
      <w:rPr>
        <w:rFonts w:ascii="Bookman Old Style" w:hAnsi="Bookman Old Style" w:cs="Arial"/>
        <w:bCs/>
        <w:sz w:val="22"/>
        <w:szCs w:val="22"/>
        <w:u w:val="single"/>
      </w:rPr>
      <w:t>14</w:t>
    </w:r>
    <w:r>
      <w:rPr>
        <w:rFonts w:ascii="Bookman Old Style" w:hAnsi="Bookman Old Style" w:cs="Arial"/>
        <w:bCs/>
        <w:sz w:val="22"/>
        <w:szCs w:val="22"/>
        <w:u w:val="single"/>
      </w:rPr>
      <w:t xml:space="preserve"> </w:t>
    </w:r>
    <w:r w:rsidR="00231E03" w:rsidRPr="00AF3A95">
      <w:rPr>
        <w:rFonts w:ascii="Bookman Old Style" w:hAnsi="Bookman Old Style" w:cs="Arial"/>
        <w:bCs/>
        <w:sz w:val="22"/>
        <w:szCs w:val="22"/>
        <w:u w:val="single"/>
      </w:rPr>
      <w:t>ENE</w:t>
    </w:r>
    <w:r w:rsidR="00231E03">
      <w:rPr>
        <w:rFonts w:ascii="Bookman Old Style" w:hAnsi="Bookman Old Style" w:cs="Arial"/>
        <w:bCs/>
        <w:sz w:val="22"/>
        <w:szCs w:val="22"/>
        <w:u w:val="single"/>
      </w:rPr>
      <w:t>.</w:t>
    </w:r>
    <w:r w:rsidR="0083497A" w:rsidRPr="0083497A">
      <w:rPr>
        <w:rFonts w:ascii="Bookman Old Style" w:hAnsi="Bookman Old Style" w:cs="Arial"/>
        <w:bCs/>
        <w:sz w:val="22"/>
        <w:szCs w:val="22"/>
        <w:u w:val="single"/>
      </w:rPr>
      <w:t xml:space="preserve"> 202</w:t>
    </w:r>
    <w:r w:rsidR="00231E03">
      <w:rPr>
        <w:rFonts w:ascii="Bookman Old Style" w:hAnsi="Bookman Old Style" w:cs="Arial"/>
        <w:bCs/>
        <w:sz w:val="22"/>
        <w:szCs w:val="22"/>
        <w:u w:val="single"/>
      </w:rPr>
      <w:t>4</w:t>
    </w:r>
    <w:r>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3</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r w:rsidR="00282078">
      <w:fldChar w:fldCharType="begin"/>
    </w:r>
    <w:r w:rsidR="00282078">
      <w:instrText xml:space="preserve"> NUMPAGES  \* MERGEFORMAT </w:instrText>
    </w:r>
    <w:r w:rsidR="00282078">
      <w:fldChar w:fldCharType="separate"/>
    </w:r>
    <w:r w:rsidRPr="00AF3A95">
      <w:rPr>
        <w:rFonts w:ascii="Bookman Old Style" w:hAnsi="Bookman Old Style" w:cs="Arial"/>
        <w:b w:val="0"/>
        <w:noProof/>
        <w:sz w:val="22"/>
        <w:szCs w:val="22"/>
      </w:rPr>
      <w:t>3</w:t>
    </w:r>
    <w:r w:rsidR="00282078">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799A4E5F" w:rsidR="00045D3D" w:rsidRPr="005B2E40" w:rsidRDefault="00045D3D" w:rsidP="005B2E40">
    <w:pPr>
      <w:pBdr>
        <w:bottom w:val="single" w:sz="4" w:space="8" w:color="auto"/>
      </w:pBdr>
      <w:spacing w:before="120" w:after="240"/>
      <w:ind w:left="0"/>
      <w:jc w:val="both"/>
      <w:rPr>
        <w:rFonts w:ascii="Bookman Old Style" w:hAnsi="Bookman Old Style"/>
        <w:i/>
        <w:iCs/>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DA16" w14:textId="0FAF0D63" w:rsidR="00725FA4" w:rsidRDefault="00725FA4" w:rsidP="005B2E40">
    <w:pPr>
      <w:pStyle w:val="Encabezado"/>
      <w:ind w:left="0"/>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5B2E40">
    <w:pPr>
      <w:pStyle w:val="Encabezado"/>
      <w:ind w:left="0"/>
      <w:jc w:val="center"/>
      <w:rPr>
        <w:rFonts w:ascii="Arial" w:hAnsi="Arial" w:cs="Arial"/>
        <w:spacing w:val="20"/>
        <w:sz w:val="20"/>
      </w:rPr>
    </w:pPr>
  </w:p>
  <w:p w14:paraId="367D4456" w14:textId="76DA3229" w:rsidR="00725FA4" w:rsidRDefault="00DF16F5" w:rsidP="005B2E40">
    <w:pPr>
      <w:pStyle w:val="Encabezado"/>
      <w:ind w:left="0"/>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0"/>
  </w:num>
  <w:num w:numId="4">
    <w:abstractNumId w:val="6"/>
  </w:num>
  <w:num w:numId="5">
    <w:abstractNumId w:val="15"/>
  </w:num>
  <w:num w:numId="6">
    <w:abstractNumId w:val="4"/>
  </w:num>
  <w:num w:numId="7">
    <w:abstractNumId w:val="3"/>
  </w:num>
  <w:num w:numId="8">
    <w:abstractNumId w:val="17"/>
  </w:num>
  <w:num w:numId="9">
    <w:abstractNumId w:val="16"/>
  </w:num>
  <w:num w:numId="10">
    <w:abstractNumId w:val="12"/>
  </w:num>
  <w:num w:numId="11">
    <w:abstractNumId w:val="21"/>
  </w:num>
  <w:num w:numId="12">
    <w:abstractNumId w:val="19"/>
  </w:num>
  <w:num w:numId="13">
    <w:abstractNumId w:val="10"/>
  </w:num>
  <w:num w:numId="14">
    <w:abstractNumId w:val="2"/>
  </w:num>
  <w:num w:numId="15">
    <w:abstractNumId w:val="13"/>
  </w:num>
  <w:num w:numId="16">
    <w:abstractNumId w:val="1"/>
  </w:num>
  <w:num w:numId="17">
    <w:abstractNumId w:val="9"/>
  </w:num>
  <w:num w:numId="18">
    <w:abstractNumId w:val="0"/>
  </w:num>
  <w:num w:numId="19">
    <w:abstractNumId w:val="18"/>
  </w:num>
  <w:num w:numId="20">
    <w:abstractNumId w:val="14"/>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40"/>
    <w:rsid w:val="00006AE2"/>
    <w:rsid w:val="000076A1"/>
    <w:rsid w:val="00012259"/>
    <w:rsid w:val="00025383"/>
    <w:rsid w:val="00045D3D"/>
    <w:rsid w:val="00062FC5"/>
    <w:rsid w:val="00063657"/>
    <w:rsid w:val="00063CDB"/>
    <w:rsid w:val="00076680"/>
    <w:rsid w:val="00076A1D"/>
    <w:rsid w:val="0008073E"/>
    <w:rsid w:val="00091CDB"/>
    <w:rsid w:val="000975F0"/>
    <w:rsid w:val="000A19AC"/>
    <w:rsid w:val="000B2EC9"/>
    <w:rsid w:val="000B4DF1"/>
    <w:rsid w:val="000D26F8"/>
    <w:rsid w:val="00106654"/>
    <w:rsid w:val="0013526C"/>
    <w:rsid w:val="001405C6"/>
    <w:rsid w:val="00141013"/>
    <w:rsid w:val="001560A9"/>
    <w:rsid w:val="00192CBF"/>
    <w:rsid w:val="00192FF1"/>
    <w:rsid w:val="001A5F1B"/>
    <w:rsid w:val="001B1C22"/>
    <w:rsid w:val="001B34C6"/>
    <w:rsid w:val="001D7832"/>
    <w:rsid w:val="00210DC1"/>
    <w:rsid w:val="00211D34"/>
    <w:rsid w:val="00214F04"/>
    <w:rsid w:val="00231E03"/>
    <w:rsid w:val="002352B9"/>
    <w:rsid w:val="00241350"/>
    <w:rsid w:val="00266CD6"/>
    <w:rsid w:val="002673AC"/>
    <w:rsid w:val="00275DAB"/>
    <w:rsid w:val="00282078"/>
    <w:rsid w:val="002903C0"/>
    <w:rsid w:val="002A782A"/>
    <w:rsid w:val="002B11E2"/>
    <w:rsid w:val="002B24B8"/>
    <w:rsid w:val="002D3AE9"/>
    <w:rsid w:val="002D4510"/>
    <w:rsid w:val="002F0734"/>
    <w:rsid w:val="002F175F"/>
    <w:rsid w:val="002F46E7"/>
    <w:rsid w:val="003101DA"/>
    <w:rsid w:val="003111C3"/>
    <w:rsid w:val="00314757"/>
    <w:rsid w:val="003163BC"/>
    <w:rsid w:val="003211CE"/>
    <w:rsid w:val="00322E92"/>
    <w:rsid w:val="0035403A"/>
    <w:rsid w:val="0036394B"/>
    <w:rsid w:val="00366DB6"/>
    <w:rsid w:val="003709B5"/>
    <w:rsid w:val="003759C2"/>
    <w:rsid w:val="00397365"/>
    <w:rsid w:val="003A31F6"/>
    <w:rsid w:val="003C3447"/>
    <w:rsid w:val="003D076C"/>
    <w:rsid w:val="003E78B5"/>
    <w:rsid w:val="003F7463"/>
    <w:rsid w:val="00415BAB"/>
    <w:rsid w:val="00415ED2"/>
    <w:rsid w:val="0042068C"/>
    <w:rsid w:val="0044318E"/>
    <w:rsid w:val="00443B35"/>
    <w:rsid w:val="0045488D"/>
    <w:rsid w:val="0047122B"/>
    <w:rsid w:val="00473B7A"/>
    <w:rsid w:val="00481AF7"/>
    <w:rsid w:val="0048206E"/>
    <w:rsid w:val="00483F3D"/>
    <w:rsid w:val="004960E9"/>
    <w:rsid w:val="0049698B"/>
    <w:rsid w:val="004A2E88"/>
    <w:rsid w:val="004A5305"/>
    <w:rsid w:val="004B2A8B"/>
    <w:rsid w:val="004D7634"/>
    <w:rsid w:val="004E611A"/>
    <w:rsid w:val="004F6460"/>
    <w:rsid w:val="005300D3"/>
    <w:rsid w:val="00542A10"/>
    <w:rsid w:val="00544F82"/>
    <w:rsid w:val="005509D2"/>
    <w:rsid w:val="00593C4F"/>
    <w:rsid w:val="005946A8"/>
    <w:rsid w:val="005A4407"/>
    <w:rsid w:val="005A59EF"/>
    <w:rsid w:val="005A5AF2"/>
    <w:rsid w:val="005A7D8A"/>
    <w:rsid w:val="005B1C7E"/>
    <w:rsid w:val="005B2E40"/>
    <w:rsid w:val="005C6976"/>
    <w:rsid w:val="005F5DA4"/>
    <w:rsid w:val="005F6F41"/>
    <w:rsid w:val="00604367"/>
    <w:rsid w:val="00607634"/>
    <w:rsid w:val="00625DC6"/>
    <w:rsid w:val="00625FA3"/>
    <w:rsid w:val="0064391D"/>
    <w:rsid w:val="00651821"/>
    <w:rsid w:val="00654384"/>
    <w:rsid w:val="00663693"/>
    <w:rsid w:val="006675CD"/>
    <w:rsid w:val="00684D9B"/>
    <w:rsid w:val="0068510A"/>
    <w:rsid w:val="00697556"/>
    <w:rsid w:val="006B4647"/>
    <w:rsid w:val="006B4C2B"/>
    <w:rsid w:val="006B6194"/>
    <w:rsid w:val="006B6D47"/>
    <w:rsid w:val="006C5AFE"/>
    <w:rsid w:val="006F2EC8"/>
    <w:rsid w:val="006F6D95"/>
    <w:rsid w:val="00706F13"/>
    <w:rsid w:val="007072E8"/>
    <w:rsid w:val="0071618D"/>
    <w:rsid w:val="00725FA4"/>
    <w:rsid w:val="00740446"/>
    <w:rsid w:val="007438A9"/>
    <w:rsid w:val="0074491E"/>
    <w:rsid w:val="0076247A"/>
    <w:rsid w:val="00775964"/>
    <w:rsid w:val="007765FE"/>
    <w:rsid w:val="00794E2E"/>
    <w:rsid w:val="00795BFB"/>
    <w:rsid w:val="007A6181"/>
    <w:rsid w:val="007B2760"/>
    <w:rsid w:val="007B5A60"/>
    <w:rsid w:val="007F734F"/>
    <w:rsid w:val="00806C01"/>
    <w:rsid w:val="008148CC"/>
    <w:rsid w:val="008211A4"/>
    <w:rsid w:val="0083497A"/>
    <w:rsid w:val="0084693A"/>
    <w:rsid w:val="00873150"/>
    <w:rsid w:val="0087657D"/>
    <w:rsid w:val="008807D5"/>
    <w:rsid w:val="00880832"/>
    <w:rsid w:val="00886EE1"/>
    <w:rsid w:val="0088727D"/>
    <w:rsid w:val="00897C75"/>
    <w:rsid w:val="008B5767"/>
    <w:rsid w:val="008C1130"/>
    <w:rsid w:val="008D18E6"/>
    <w:rsid w:val="008D5691"/>
    <w:rsid w:val="008D7A9B"/>
    <w:rsid w:val="008E0060"/>
    <w:rsid w:val="008E7091"/>
    <w:rsid w:val="008E76AC"/>
    <w:rsid w:val="008F21F6"/>
    <w:rsid w:val="00902D6B"/>
    <w:rsid w:val="0091053A"/>
    <w:rsid w:val="00951F79"/>
    <w:rsid w:val="00974AB5"/>
    <w:rsid w:val="00980B7A"/>
    <w:rsid w:val="0098706D"/>
    <w:rsid w:val="00992381"/>
    <w:rsid w:val="009935FB"/>
    <w:rsid w:val="009B2DAE"/>
    <w:rsid w:val="009C656E"/>
    <w:rsid w:val="009F1688"/>
    <w:rsid w:val="009F4A54"/>
    <w:rsid w:val="009F4BEC"/>
    <w:rsid w:val="009F5874"/>
    <w:rsid w:val="00A06511"/>
    <w:rsid w:val="00A25FD7"/>
    <w:rsid w:val="00A43AFF"/>
    <w:rsid w:val="00A7793A"/>
    <w:rsid w:val="00A8474E"/>
    <w:rsid w:val="00A87A8A"/>
    <w:rsid w:val="00AA284C"/>
    <w:rsid w:val="00AA4CC7"/>
    <w:rsid w:val="00AA5E8E"/>
    <w:rsid w:val="00AB2734"/>
    <w:rsid w:val="00AB2BAD"/>
    <w:rsid w:val="00AB6CA7"/>
    <w:rsid w:val="00AD01E4"/>
    <w:rsid w:val="00AD0858"/>
    <w:rsid w:val="00AE02E3"/>
    <w:rsid w:val="00AE7340"/>
    <w:rsid w:val="00AF1BBD"/>
    <w:rsid w:val="00AF3A95"/>
    <w:rsid w:val="00B10207"/>
    <w:rsid w:val="00B141E7"/>
    <w:rsid w:val="00B15E75"/>
    <w:rsid w:val="00B351B4"/>
    <w:rsid w:val="00B46BCA"/>
    <w:rsid w:val="00B478AA"/>
    <w:rsid w:val="00B831B7"/>
    <w:rsid w:val="00B87806"/>
    <w:rsid w:val="00B87EC9"/>
    <w:rsid w:val="00BC38FD"/>
    <w:rsid w:val="00C034CB"/>
    <w:rsid w:val="00C051A8"/>
    <w:rsid w:val="00C054BC"/>
    <w:rsid w:val="00C17897"/>
    <w:rsid w:val="00C35760"/>
    <w:rsid w:val="00C368A8"/>
    <w:rsid w:val="00C409D5"/>
    <w:rsid w:val="00C435C3"/>
    <w:rsid w:val="00C44E5F"/>
    <w:rsid w:val="00C51B7C"/>
    <w:rsid w:val="00C6234B"/>
    <w:rsid w:val="00C63EAE"/>
    <w:rsid w:val="00C73260"/>
    <w:rsid w:val="00C74ABE"/>
    <w:rsid w:val="00C7629F"/>
    <w:rsid w:val="00C8661B"/>
    <w:rsid w:val="00CA03C8"/>
    <w:rsid w:val="00CA139A"/>
    <w:rsid w:val="00CA2899"/>
    <w:rsid w:val="00CA3A3D"/>
    <w:rsid w:val="00CA3AA6"/>
    <w:rsid w:val="00CA77FB"/>
    <w:rsid w:val="00CB379B"/>
    <w:rsid w:val="00CB5DD0"/>
    <w:rsid w:val="00CC51D4"/>
    <w:rsid w:val="00CC65DA"/>
    <w:rsid w:val="00CC7889"/>
    <w:rsid w:val="00CF21B9"/>
    <w:rsid w:val="00CF6BF9"/>
    <w:rsid w:val="00D03800"/>
    <w:rsid w:val="00D065D3"/>
    <w:rsid w:val="00D14C94"/>
    <w:rsid w:val="00D342A6"/>
    <w:rsid w:val="00D45CA6"/>
    <w:rsid w:val="00D46412"/>
    <w:rsid w:val="00D464BF"/>
    <w:rsid w:val="00D53E26"/>
    <w:rsid w:val="00D83F43"/>
    <w:rsid w:val="00DB182C"/>
    <w:rsid w:val="00DB6934"/>
    <w:rsid w:val="00DD1A6E"/>
    <w:rsid w:val="00DD4F0E"/>
    <w:rsid w:val="00DF0BF0"/>
    <w:rsid w:val="00DF16F5"/>
    <w:rsid w:val="00DF3CA2"/>
    <w:rsid w:val="00DF753F"/>
    <w:rsid w:val="00E01463"/>
    <w:rsid w:val="00E05E0A"/>
    <w:rsid w:val="00E060BE"/>
    <w:rsid w:val="00E40740"/>
    <w:rsid w:val="00E534CF"/>
    <w:rsid w:val="00E63920"/>
    <w:rsid w:val="00E81CB4"/>
    <w:rsid w:val="00E8585B"/>
    <w:rsid w:val="00E87F41"/>
    <w:rsid w:val="00EA3F15"/>
    <w:rsid w:val="00EA7847"/>
    <w:rsid w:val="00EB4C2F"/>
    <w:rsid w:val="00EE2E6E"/>
    <w:rsid w:val="00F0759E"/>
    <w:rsid w:val="00F16A43"/>
    <w:rsid w:val="00F46780"/>
    <w:rsid w:val="00F55DB1"/>
    <w:rsid w:val="00F77D2D"/>
    <w:rsid w:val="00F821A3"/>
    <w:rsid w:val="00F9314A"/>
    <w:rsid w:val="00F940B2"/>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Revisin">
    <w:name w:val="Revision"/>
    <w:hidden/>
    <w:uiPriority w:val="99"/>
    <w:semiHidden/>
    <w:rsid w:val="000975F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021A1-54B8-4F5C-AAF0-71C0B20DC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8C962-3986-4DCB-A8C9-CE3D60E940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3</Pages>
  <Words>803</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Usuario de Windows</cp:lastModifiedBy>
  <cp:revision>2</cp:revision>
  <cp:lastPrinted>2011-07-21T13:53:00Z</cp:lastPrinted>
  <dcterms:created xsi:type="dcterms:W3CDTF">2024-01-14T19:47:00Z</dcterms:created>
  <dcterms:modified xsi:type="dcterms:W3CDTF">2024-01-14T19:47:00Z</dcterms:modified>
</cp:coreProperties>
</file>