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A731" w14:textId="77777777" w:rsidR="00A017FD" w:rsidRDefault="00A017FD" w:rsidP="009A3617">
      <w:pPr>
        <w:rPr>
          <w:rFonts w:ascii="Arial" w:hAnsi="Arial" w:cs="Arial"/>
          <w:sz w:val="22"/>
          <w:szCs w:val="22"/>
          <w:lang w:val="es-MX"/>
        </w:rPr>
      </w:pPr>
    </w:p>
    <w:p w14:paraId="3AFFF451" w14:textId="6A90CB72" w:rsidR="009A3617" w:rsidRDefault="009A3617" w:rsidP="009A3617">
      <w:pPr>
        <w:rPr>
          <w:rFonts w:ascii="Arial" w:hAnsi="Arial" w:cs="Arial"/>
          <w:sz w:val="22"/>
          <w:szCs w:val="22"/>
          <w:lang w:val="es-MX"/>
        </w:rPr>
      </w:pPr>
      <w:r>
        <w:rPr>
          <w:rFonts w:ascii="Arial" w:hAnsi="Arial" w:cs="Arial"/>
          <w:sz w:val="22"/>
          <w:szCs w:val="22"/>
          <w:lang w:val="es-MX"/>
        </w:rPr>
        <w:t xml:space="preserve">Bogotá, D. C., </w:t>
      </w:r>
      <w:r w:rsidR="00E240D4">
        <w:rPr>
          <w:rFonts w:ascii="Arial" w:hAnsi="Arial" w:cs="Arial"/>
          <w:sz w:val="22"/>
          <w:szCs w:val="22"/>
          <w:lang w:val="es-MX"/>
        </w:rPr>
        <w:t>17 de enero de 2024</w:t>
      </w:r>
    </w:p>
    <w:p w14:paraId="5EADA06C" w14:textId="77777777" w:rsidR="00A454CE" w:rsidRPr="009A3617" w:rsidRDefault="00A454CE" w:rsidP="00A454CE">
      <w:pPr>
        <w:pStyle w:val="Encabezado"/>
        <w:rPr>
          <w:rFonts w:ascii="Arial" w:hAnsi="Arial" w:cs="Arial"/>
          <w:lang w:val="es-MX"/>
        </w:rPr>
      </w:pPr>
    </w:p>
    <w:p w14:paraId="42EF5971" w14:textId="77777777" w:rsidR="00C51B40" w:rsidRDefault="00C51B40" w:rsidP="00C51B40">
      <w:pPr>
        <w:rPr>
          <w:rFonts w:ascii="Arial" w:hAnsi="Arial" w:cs="Arial"/>
          <w:sz w:val="22"/>
          <w:szCs w:val="22"/>
          <w:lang w:val="es-MX"/>
        </w:rPr>
      </w:pPr>
    </w:p>
    <w:p w14:paraId="4E30B1F2" w14:textId="40957C93" w:rsidR="00A454CE" w:rsidRPr="00F751B1" w:rsidRDefault="00E17CF0" w:rsidP="00F751B1">
      <w:pPr>
        <w:jc w:val="center"/>
        <w:rPr>
          <w:rFonts w:ascii="Arial" w:hAnsi="Arial" w:cs="Arial"/>
          <w:b/>
          <w:bCs/>
          <w:lang w:val="es-MX"/>
        </w:rPr>
      </w:pPr>
      <w:r w:rsidRPr="00ED211B">
        <w:rPr>
          <w:rFonts w:ascii="Arial" w:hAnsi="Arial" w:cs="Arial"/>
          <w:b/>
          <w:bCs/>
          <w:lang w:val="es-MX"/>
        </w:rPr>
        <w:t xml:space="preserve">AUTO </w:t>
      </w:r>
      <w:r w:rsidR="00E240D4" w:rsidRPr="00E240D4">
        <w:rPr>
          <w:rFonts w:ascii="Arial" w:hAnsi="Arial" w:cs="Arial"/>
          <w:b/>
          <w:bCs/>
          <w:lang w:val="es-MX"/>
        </w:rPr>
        <w:t>0000190</w:t>
      </w:r>
      <w:r w:rsidR="00E240D4">
        <w:rPr>
          <w:rFonts w:ascii="Arial" w:hAnsi="Arial" w:cs="Arial"/>
          <w:b/>
          <w:bCs/>
          <w:lang w:val="es-MX"/>
        </w:rPr>
        <w:t xml:space="preserve"> de 2024</w:t>
      </w:r>
    </w:p>
    <w:p w14:paraId="3D278248" w14:textId="77777777" w:rsidR="00A454CE" w:rsidRPr="000350D8" w:rsidRDefault="00A454CE" w:rsidP="00F751B1">
      <w:pPr>
        <w:pStyle w:val="Encabezado"/>
        <w:jc w:val="center"/>
        <w:rPr>
          <w:rFonts w:ascii="Arial" w:hAnsi="Arial" w:cs="Arial"/>
          <w:b/>
          <w:bCs/>
          <w:lang w:val="es-ES"/>
        </w:rPr>
      </w:pPr>
    </w:p>
    <w:p w14:paraId="2FBDD72E"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20F4BD14" w14:textId="77777777" w:rsidR="00A454CE" w:rsidRPr="000350D8" w:rsidRDefault="00A454CE" w:rsidP="00A454CE">
      <w:pPr>
        <w:pStyle w:val="Encabezado"/>
        <w:jc w:val="center"/>
        <w:rPr>
          <w:rFonts w:ascii="Arial" w:hAnsi="Arial" w:cs="Arial"/>
          <w:b/>
          <w:bCs/>
          <w:lang w:val="es-ES"/>
        </w:rPr>
      </w:pPr>
    </w:p>
    <w:p w14:paraId="68067909"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DIRECCIÓN EJECUTIVA</w:t>
      </w:r>
    </w:p>
    <w:p w14:paraId="5B5E4721" w14:textId="77777777" w:rsidR="00A454CE" w:rsidRPr="000350D8" w:rsidRDefault="00A454CE" w:rsidP="00A454CE">
      <w:pPr>
        <w:pStyle w:val="Encabezado"/>
        <w:jc w:val="center"/>
        <w:rPr>
          <w:rFonts w:ascii="Arial" w:hAnsi="Arial" w:cs="Arial"/>
          <w:b/>
          <w:bCs/>
          <w:lang w:val="es-ES"/>
        </w:rPr>
      </w:pPr>
    </w:p>
    <w:p w14:paraId="4ADB964D" w14:textId="77777777" w:rsidR="00A454CE" w:rsidRPr="000350D8" w:rsidRDefault="00A454CE" w:rsidP="00A454CE">
      <w:pPr>
        <w:pStyle w:val="Encabezado"/>
        <w:jc w:val="center"/>
        <w:rPr>
          <w:rFonts w:ascii="Arial" w:hAnsi="Arial" w:cs="Arial"/>
          <w:b/>
          <w:bCs/>
          <w:lang w:val="es-ES"/>
        </w:rPr>
      </w:pPr>
    </w:p>
    <w:p w14:paraId="6521F597" w14:textId="77777777" w:rsidR="00A454CE" w:rsidRPr="000350D8" w:rsidRDefault="00A454CE" w:rsidP="00A454CE">
      <w:pPr>
        <w:pStyle w:val="Encabezado"/>
        <w:jc w:val="center"/>
        <w:rPr>
          <w:rFonts w:ascii="Arial" w:hAnsi="Arial" w:cs="Arial"/>
          <w:b/>
          <w:bCs/>
          <w:lang w:val="es-ES"/>
        </w:rPr>
      </w:pPr>
    </w:p>
    <w:p w14:paraId="62D79817" w14:textId="2BCDE1D2" w:rsidR="00A454CE" w:rsidRPr="00641BE2" w:rsidRDefault="00A454CE" w:rsidP="00A454CE">
      <w:pPr>
        <w:pStyle w:val="Encabezado"/>
        <w:tabs>
          <w:tab w:val="left" w:pos="7740"/>
        </w:tabs>
        <w:ind w:left="720" w:right="758"/>
        <w:jc w:val="both"/>
        <w:rPr>
          <w:rFonts w:ascii="Arial" w:hAnsi="Arial" w:cs="Arial"/>
          <w:szCs w:val="28"/>
          <w:lang w:val="es-ES"/>
        </w:rPr>
      </w:pPr>
      <w:r w:rsidRPr="00641BE2">
        <w:rPr>
          <w:rFonts w:ascii="Arial" w:hAnsi="Arial" w:cs="Arial"/>
          <w:szCs w:val="28"/>
          <w:lang w:val="es-ES"/>
        </w:rPr>
        <w:t xml:space="preserve">En ejercicio de las atribuciones constitucionales y legales, en especial las conferidas por </w:t>
      </w:r>
      <w:r w:rsidR="00CF6557" w:rsidRPr="00641BE2">
        <w:rPr>
          <w:rFonts w:ascii="Arial" w:hAnsi="Arial" w:cs="Arial"/>
          <w:szCs w:val="28"/>
          <w:lang w:val="es-ES"/>
        </w:rPr>
        <w:t xml:space="preserve">la Ley 142 de 1994 y el artículo 62 de la Ley 1151 de 2007, </w:t>
      </w:r>
      <w:r w:rsidRPr="00641BE2">
        <w:rPr>
          <w:rFonts w:ascii="Arial" w:hAnsi="Arial" w:cs="Arial"/>
          <w:szCs w:val="28"/>
          <w:lang w:val="es-ES"/>
        </w:rPr>
        <w:t>y</w:t>
      </w:r>
    </w:p>
    <w:p w14:paraId="707B0224" w14:textId="77777777" w:rsidR="00641BE2" w:rsidRDefault="00641BE2" w:rsidP="00A454CE">
      <w:pPr>
        <w:pStyle w:val="Encabezado"/>
        <w:ind w:right="38"/>
        <w:jc w:val="center"/>
        <w:rPr>
          <w:rFonts w:ascii="Arial" w:hAnsi="Arial" w:cs="Arial"/>
          <w:b/>
          <w:bCs/>
          <w:lang w:val="es-ES"/>
        </w:rPr>
      </w:pPr>
    </w:p>
    <w:p w14:paraId="4AB672ED" w14:textId="14C1F905" w:rsidR="00A454CE" w:rsidRPr="000350D8" w:rsidRDefault="00A454CE" w:rsidP="00A454CE">
      <w:pPr>
        <w:pStyle w:val="Encabezado"/>
        <w:ind w:right="38"/>
        <w:jc w:val="center"/>
        <w:rPr>
          <w:rFonts w:ascii="Arial" w:hAnsi="Arial" w:cs="Arial"/>
          <w:b/>
          <w:bCs/>
          <w:lang w:val="es-ES"/>
        </w:rPr>
      </w:pPr>
      <w:r w:rsidRPr="000350D8">
        <w:rPr>
          <w:rFonts w:ascii="Arial" w:hAnsi="Arial" w:cs="Arial"/>
          <w:b/>
          <w:bCs/>
          <w:lang w:val="es-ES"/>
        </w:rPr>
        <w:t>CONSIDERANDO</w:t>
      </w:r>
      <w:r w:rsidR="00CF6557">
        <w:rPr>
          <w:rFonts w:ascii="Arial" w:hAnsi="Arial" w:cs="Arial"/>
          <w:b/>
          <w:bCs/>
          <w:lang w:val="es-ES"/>
        </w:rPr>
        <w:t xml:space="preserve"> QUE</w:t>
      </w:r>
    </w:p>
    <w:p w14:paraId="5463C1DE" w14:textId="316A92AA" w:rsidR="00A454CE" w:rsidRPr="00E660EF" w:rsidRDefault="00A454CE" w:rsidP="00641BE2">
      <w:pPr>
        <w:tabs>
          <w:tab w:val="left" w:pos="1300"/>
        </w:tabs>
        <w:spacing w:line="360" w:lineRule="auto"/>
        <w:jc w:val="both"/>
        <w:rPr>
          <w:rFonts w:ascii="Arial" w:eastAsia="Times New Roman" w:hAnsi="Arial" w:cs="Arial"/>
          <w:spacing w:val="-5"/>
        </w:rPr>
      </w:pPr>
    </w:p>
    <w:p w14:paraId="5C35CBA2" w14:textId="16D1F845" w:rsidR="00641BE2" w:rsidRDefault="00CF6557" w:rsidP="00641BE2">
      <w:pPr>
        <w:spacing w:before="240" w:after="240" w:line="360" w:lineRule="auto"/>
        <w:rPr>
          <w:rFonts w:ascii="Arial" w:eastAsia="Times New Roman" w:hAnsi="Arial" w:cs="Arial"/>
          <w:spacing w:val="-5"/>
        </w:rPr>
      </w:pPr>
      <w:r w:rsidRPr="00E660EF">
        <w:rPr>
          <w:rFonts w:ascii="Arial" w:eastAsia="Times New Roman" w:hAnsi="Arial" w:cs="Arial"/>
          <w:spacing w:val="-5"/>
        </w:rPr>
        <w:t>La Comisión de Regulación de Energía y Gas – CREG, expidió la Resolución CREG 063 de 2016 “Por la cual se establecen parámetros de conducta y la participación de los agentes dentro de las actividades de comercialización mayorista y distribución de GLP”.</w:t>
      </w:r>
    </w:p>
    <w:p w14:paraId="69E1CD95" w14:textId="6CC4FD49"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En dicho acto administrativo, así como en su documento soporte D-030 de 2016, se encuentran consignadas las motivaciones, los análisis técnicos, económicos y jurídicos que sustentan la expedición de las medidas regulatorias que allí se consignan dentro de las actividades de comercialización mayorista y distribución de GLP, en relación con los parámetros de conducta y participación de los agentes de estas actividades, a fin de evitar que se presenten eventos que afecten el marco regulatorio y la forma como se debe realizar la prestación del servicio público domiciliario de GLP, reforzando la operatividad del esquema de responsabilidad de marca en cilindros, propiedad de los distribuidores, ordenado por la Ley 1151 de 2007. Lo anterior, luego de haberse surtido el proceso de consulta a que hace referencia el Decreto 1078 de 2015 y el numeral 8 del artículo 8 de la Ley 1437 de 2011.</w:t>
      </w:r>
    </w:p>
    <w:p w14:paraId="7CE22061"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lastRenderedPageBreak/>
        <w:t xml:space="preserve">El precitado acto administrativo dispuso la existencia de una “capacidad de compra” determinada por esta Comisión, de acuerdo con lo previsto en el artículo 8, modificado por el artículo 1 de la Resolución CREG 180 de 2017, atendiendo la capacidad de envase en kilogramos, según la información reportada en el Sistema Único de Información (SUI) por los Distribuidores de GLP. </w:t>
      </w:r>
    </w:p>
    <w:p w14:paraId="67667F67" w14:textId="77777777" w:rsidR="00CF6557" w:rsidRPr="00B33189" w:rsidRDefault="00CF6557" w:rsidP="00641BE2">
      <w:pPr>
        <w:spacing w:after="240" w:line="360" w:lineRule="auto"/>
        <w:rPr>
          <w:rFonts w:ascii="Arial" w:eastAsia="Arial" w:hAnsi="Arial" w:cs="Arial"/>
          <w:lang w:val="es-ES"/>
        </w:rPr>
      </w:pPr>
      <w:r w:rsidRPr="00B33189">
        <w:rPr>
          <w:rFonts w:ascii="Arial" w:eastAsia="Times New Roman" w:hAnsi="Arial" w:cs="Arial"/>
          <w:spacing w:val="-5"/>
        </w:rPr>
        <w:t>Igualmente, la resolución en mención estableció el concepto de “</w:t>
      </w:r>
      <w:r w:rsidRPr="007A1169">
        <w:rPr>
          <w:rFonts w:ascii="Arial" w:eastAsia="Times New Roman" w:hAnsi="Arial" w:cs="Arial"/>
          <w:i/>
          <w:iCs/>
          <w:spacing w:val="-5"/>
        </w:rPr>
        <w:t>capacidad disponible de compra</w:t>
      </w:r>
      <w:r w:rsidRPr="00B33189">
        <w:rPr>
          <w:rFonts w:ascii="Arial" w:eastAsia="Times New Roman" w:hAnsi="Arial" w:cs="Arial"/>
          <w:spacing w:val="-5"/>
        </w:rPr>
        <w:t>”, el cual cor</w:t>
      </w:r>
      <w:r w:rsidRPr="00B33189">
        <w:rPr>
          <w:rFonts w:ascii="Arial" w:eastAsia="MS Mincho" w:hAnsi="Arial" w:cs="Arial"/>
        </w:rPr>
        <w:t>r</w:t>
      </w:r>
      <w:r w:rsidRPr="00B33189">
        <w:rPr>
          <w:rFonts w:ascii="Arial" w:eastAsia="Times New Roman" w:hAnsi="Arial" w:cs="Arial"/>
          <w:spacing w:val="-5"/>
        </w:rPr>
        <w:t xml:space="preserve">esponde a la cantidad total de GLP, medida en kilogramos, que puede comprar un distribuidor en el mercado mayorista, durante lo que resta del período de compra. Así mismo, el período de compra, definido en el artículo 3 de la Resolución CREG 063 de 2016 y modificado por el </w:t>
      </w:r>
      <w:r w:rsidRPr="00B33189">
        <w:rPr>
          <w:rFonts w:ascii="Arial" w:eastAsia="Arial" w:hAnsi="Arial" w:cs="Arial"/>
          <w:lang w:val="es-ES"/>
        </w:rPr>
        <w:t xml:space="preserve">artículo 2 de la Resolución CREG 103 002 de 2022, ha sido definido como sigue: </w:t>
      </w:r>
    </w:p>
    <w:p w14:paraId="45F6B48D" w14:textId="77777777" w:rsidR="00CF6557" w:rsidRPr="007A1169" w:rsidRDefault="00CF6557" w:rsidP="00641BE2">
      <w:pPr>
        <w:spacing w:after="240" w:line="360" w:lineRule="auto"/>
        <w:ind w:left="284" w:right="332"/>
        <w:rPr>
          <w:rFonts w:ascii="Calibri" w:hAnsi="Calibri"/>
          <w:i/>
          <w:iCs/>
          <w:sz w:val="22"/>
          <w:szCs w:val="22"/>
          <w:lang w:val="es-ES"/>
        </w:rPr>
      </w:pPr>
      <w:r w:rsidRPr="007A1169">
        <w:rPr>
          <w:rFonts w:ascii="Arial" w:eastAsia="Arial" w:hAnsi="Arial" w:cs="Arial"/>
          <w:sz w:val="22"/>
          <w:szCs w:val="22"/>
          <w:lang w:val="es-ES"/>
        </w:rPr>
        <w:t>“</w:t>
      </w:r>
      <w:r w:rsidRPr="007A1169">
        <w:rPr>
          <w:rFonts w:ascii="Arial" w:eastAsia="Arial" w:hAnsi="Arial" w:cs="Arial"/>
          <w:b/>
          <w:bCs/>
          <w:i/>
          <w:iCs/>
          <w:sz w:val="22"/>
          <w:szCs w:val="22"/>
          <w:lang w:val="es-ES"/>
        </w:rPr>
        <w:t>Artículo 2. Período de compra.</w:t>
      </w:r>
      <w:r w:rsidRPr="007A1169">
        <w:rPr>
          <w:rFonts w:ascii="Arial" w:eastAsia="Arial" w:hAnsi="Arial" w:cs="Arial"/>
          <w:i/>
          <w:iCs/>
          <w:sz w:val="22"/>
          <w:szCs w:val="22"/>
          <w:lang w:val="es-ES"/>
        </w:rPr>
        <w:t xml:space="preserve"> (…) período de 6 meses que inicia un primero (1) de marzo de cada año y termina el treinta y uno (31) de agosto del mismo año, o aquel que inicia un primero (1) de septiembre de cada año y termina el veintiocho o veintinueve (28 o 29) de febrero, según corresponda, del siguiente año”.</w:t>
      </w:r>
    </w:p>
    <w:p w14:paraId="5E356683"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relación con lo anterior, el artículo 9 de la Resolución CREG 063 de 2016 estableció que:</w:t>
      </w:r>
    </w:p>
    <w:p w14:paraId="4647740E" w14:textId="77777777" w:rsidR="00CF6557" w:rsidRPr="007A1169" w:rsidRDefault="00CF6557" w:rsidP="00641BE2">
      <w:pPr>
        <w:tabs>
          <w:tab w:val="left" w:pos="-720"/>
          <w:tab w:val="left" w:pos="1276"/>
        </w:tabs>
        <w:suppressAutoHyphens/>
        <w:overflowPunct w:val="0"/>
        <w:autoSpaceDE w:val="0"/>
        <w:spacing w:after="240" w:line="360" w:lineRule="auto"/>
        <w:ind w:left="284" w:right="332"/>
        <w:textAlignment w:val="baseline"/>
        <w:rPr>
          <w:rFonts w:ascii="Arial" w:eastAsia="Times New Roman" w:hAnsi="Arial" w:cs="Arial"/>
          <w:i/>
          <w:sz w:val="22"/>
          <w:szCs w:val="22"/>
          <w:lang w:val="es-ES" w:eastAsia="es-ES"/>
        </w:rPr>
      </w:pPr>
      <w:r w:rsidRPr="007A1169">
        <w:rPr>
          <w:rFonts w:ascii="Arial" w:eastAsia="Times New Roman" w:hAnsi="Arial" w:cs="Arial"/>
          <w:bCs/>
          <w:i/>
          <w:sz w:val="22"/>
          <w:szCs w:val="22"/>
          <w:lang w:val="es-ES" w:eastAsia="es-ES"/>
        </w:rPr>
        <w:t>“</w:t>
      </w:r>
      <w:r w:rsidRPr="007A1169">
        <w:rPr>
          <w:rFonts w:ascii="Arial" w:eastAsia="Times New Roman" w:hAnsi="Arial" w:cs="Arial"/>
          <w:b/>
          <w:i/>
          <w:sz w:val="22"/>
          <w:szCs w:val="22"/>
          <w:lang w:val="es-ES" w:eastAsia="es-ES"/>
        </w:rPr>
        <w:t xml:space="preserve">Artículo 9. Determinación y publicación de información. </w:t>
      </w:r>
      <w:r w:rsidRPr="007A1169">
        <w:rPr>
          <w:rFonts w:ascii="Arial" w:eastAsia="Times New Roman" w:hAnsi="Arial" w:cs="Arial"/>
          <w:i/>
          <w:sz w:val="22"/>
          <w:szCs w:val="22"/>
          <w:lang w:val="es-ES" w:eastAsia="es-ES"/>
        </w:rPr>
        <w:t xml:space="preserve">Atendiendo lo dispuesto en el artículo anterior, la CREG determinará mediante acto administrativo particular y publicará mediante circular, con anterioridad al inicio de cada período de compra, la capacidad de compra de cada distribuidor, con información reportada al SUI, hasta el día 10 del mes correspondiente </w:t>
      </w:r>
      <w:r w:rsidRPr="007A1169">
        <w:rPr>
          <w:rFonts w:ascii="Arial" w:eastAsia="Times New Roman" w:hAnsi="Arial" w:cs="Arial"/>
          <w:i/>
          <w:sz w:val="22"/>
          <w:szCs w:val="22"/>
          <w:lang w:eastAsia="ar-SA"/>
        </w:rPr>
        <w:t xml:space="preserve">(…)” </w:t>
      </w:r>
    </w:p>
    <w:p w14:paraId="23426885"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relación con este cálculo y la necesidad de contar con la información del SUI a efectos de determinar la capacidad de compra a que hace referencia la Resolución CREG 063 de 2016, se debe tener en cuenta que la Ley 689 de 2001 en su artículo 14 adicionó un artículo a la Ley 142 de 1994, el cual dispuso lo siguiente:</w:t>
      </w:r>
    </w:p>
    <w:p w14:paraId="1F8917DF"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color w:val="000000"/>
          <w:sz w:val="22"/>
          <w:szCs w:val="22"/>
          <w:lang w:eastAsia="es-CO"/>
        </w:rPr>
        <w:lastRenderedPageBreak/>
        <w:t>"</w:t>
      </w:r>
      <w:r w:rsidRPr="007A1169">
        <w:rPr>
          <w:rFonts w:ascii="Arial" w:eastAsia="Times New Roman" w:hAnsi="Arial" w:cs="Arial"/>
          <w:b/>
          <w:i/>
          <w:sz w:val="22"/>
          <w:szCs w:val="22"/>
          <w:lang w:eastAsia="ar-SA"/>
        </w:rPr>
        <w:t>Artículo nuevo. Del sistema único de información</w:t>
      </w:r>
      <w:r w:rsidRPr="007A1169">
        <w:rPr>
          <w:rFonts w:ascii="Arial" w:eastAsia="Times New Roman" w:hAnsi="Arial" w:cs="Arial"/>
          <w:i/>
          <w:sz w:val="22"/>
          <w:szCs w:val="22"/>
          <w:lang w:eastAsia="ar-SA"/>
        </w:rPr>
        <w:t xml:space="preserve">. Corresponde a la Superintendencia de Servicios Públicos Domiciliarios, en desarrollo de sus funciones de inspección y vigilancia, establecer, administrar, mantener y operar </w:t>
      </w:r>
      <w:r w:rsidRPr="007A1169">
        <w:rPr>
          <w:rFonts w:ascii="Arial" w:eastAsia="Times New Roman" w:hAnsi="Arial" w:cs="Arial"/>
          <w:b/>
          <w:i/>
          <w:sz w:val="22"/>
          <w:szCs w:val="22"/>
          <w:u w:val="single"/>
          <w:lang w:eastAsia="ar-SA"/>
        </w:rPr>
        <w:t>un sistema de información que se surtirá de la información proveniente de los prestadores de servicios públicos sujetos a su control, inspección y vigilancia,</w:t>
      </w:r>
      <w:r w:rsidRPr="007A1169">
        <w:rPr>
          <w:rFonts w:ascii="Arial" w:eastAsia="Times New Roman" w:hAnsi="Arial" w:cs="Arial"/>
          <w:i/>
          <w:sz w:val="22"/>
          <w:szCs w:val="22"/>
          <w:lang w:eastAsia="ar-SA"/>
        </w:rPr>
        <w:t xml:space="preserve"> para que su presentación al público sea confiable, conforme a lo establecido en el artículo 53 de la Ley 142 de 1994.</w:t>
      </w:r>
    </w:p>
    <w:p w14:paraId="78A9F746"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t>El sistema de información que desarrolle la Superintendencia de Servicios Públicos será único para cada uno de los servicios públicos, actividades inherentes y actividades complementarias de que tratan las Leyes 142 y 143 de 1994, y tendrá como propósitos:</w:t>
      </w:r>
    </w:p>
    <w:p w14:paraId="6DC4F628"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1. Evitar la duplicidad de funciones en materia de información relativa a los servicios públicos.</w:t>
      </w:r>
    </w:p>
    <w:p w14:paraId="61B3BBE8"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2. Servir de base a la Superintendencia de Servicios Públicos en el cumplimiento de sus funciones de control, inspección y vigilancia.</w:t>
      </w:r>
    </w:p>
    <w:p w14:paraId="7D1220FC"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w:t>
      </w:r>
    </w:p>
    <w:p w14:paraId="7A5EEECE"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t>4. Apoyar las funciones asignadas a las Comisiones de Regulación.</w:t>
      </w:r>
    </w:p>
    <w:p w14:paraId="3B203DE4"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5. Servir de base a las funciones asignadas a los Ministerios y demás autoridades que tengan competencias en el sector de los servicios públicos de que tratan las Leyes 142 y 143 de 1994.</w:t>
      </w:r>
    </w:p>
    <w:p w14:paraId="33BB58D1"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6. Facilitar el ejercicio del derecho de los usuarios de obtener información completa, precisa y oportuna, sobre todas las actividades y operaciones directas o indirectas que se realicen para la prestación de los servicios públicos, conforme a lo establecido en el artículo 9.4 de la Ley 142 de 1994.</w:t>
      </w:r>
    </w:p>
    <w:p w14:paraId="1EFB4420"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w:t>
      </w:r>
    </w:p>
    <w:p w14:paraId="1EC72450"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lastRenderedPageBreak/>
        <w:t xml:space="preserve">8. Mantener un registro actualizado de las personas que presten servicios públicos sometidos al control, inspección y vigilancia de la Superintendencia de Servicios Públicos.  </w:t>
      </w:r>
    </w:p>
    <w:p w14:paraId="28FD95BF" w14:textId="536D372A"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b/>
          <w:i/>
          <w:sz w:val="22"/>
          <w:szCs w:val="22"/>
          <w:lang w:eastAsia="ar-SA"/>
        </w:rPr>
        <w:t>Parágrafo 1°.</w:t>
      </w:r>
      <w:r w:rsidR="00641BE2">
        <w:rPr>
          <w:rFonts w:ascii="Arial" w:eastAsia="Times New Roman" w:hAnsi="Arial" w:cs="Arial"/>
          <w:i/>
          <w:sz w:val="22"/>
          <w:szCs w:val="22"/>
          <w:lang w:eastAsia="ar-SA"/>
        </w:rPr>
        <w:t xml:space="preserve"> </w:t>
      </w:r>
      <w:r w:rsidRPr="007A1169">
        <w:rPr>
          <w:rFonts w:ascii="Arial" w:eastAsia="Times New Roman" w:hAnsi="Arial" w:cs="Arial"/>
          <w:i/>
          <w:sz w:val="22"/>
          <w:szCs w:val="22"/>
          <w:lang w:eastAsia="ar-SA"/>
        </w:rPr>
        <w:t>Los sistemas de información que deben organizar y mantener actualizados las personas que presten servicios públicos sometidos al control, inspección y vigilancia de la Superintendencia de Servicios Públicos de acuerdo con lo establecido en el artículo 53 de la Ley 142 de 1994, deben servir de base de información y ser concordantes con el Sistema Único de Información de que trata el presente artículo". (Resaltado fuera de texto)</w:t>
      </w:r>
    </w:p>
    <w:p w14:paraId="2FEA2F41" w14:textId="77777777" w:rsidR="00CF6557"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Por lo anterior, y en desarrollo del mandato previsto en la Ley 142 de 1994 y en el artículo 62 de la Ley 1151 de 2007, la Comisión expidió una serie de medidas regulatorias a fin de implementar un esquema de marca para la prestación del servicio público domiciliario de GLP dentro de las actividades de distribución y comercialización minorista, estableciendo responsabilidades y obligaciones para los agentes que desarrollan dichas actividades. Así mismo, mediante las resoluciones CREG 045 de 2008, 147 de 2010, 178 de 2011 y 098 de 2012, entre otras, se adoptó un esquema regulatorio a través de los cuales se implementaron los períodos y mecanismos regulatorios que permitieron llevar a cabo el remplazo del parque universal de cilindros, por un parque de cilindros marcado propiedad de los distribuidores.</w:t>
      </w:r>
    </w:p>
    <w:p w14:paraId="4623AAD4"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Dentro de las medidas regulatorias adoptadas por parte de esta Comisión, se encuentra lo dispuesto inicialmente en el literal b del artículo 31 de la Resolución CREG 045 de 2008, y posteriormente en el artículo 3 de la Resolución CREG 177 de 2011, relacionado con la información recopilada dentro del esquema centralizado de cambio y mantenimiento de cilindros, la cual hace parte del SUI de la Superintendencia de Servicios Públicos Domiciliarios de acuerdo con lo dispuesto en el artículo 14 de la Ley 689 de 2001.  En este sentido, el artículo 3 de la Resolución CREG 177 de 2011, dispuso lo siguiente:</w:t>
      </w:r>
    </w:p>
    <w:p w14:paraId="54991768" w14:textId="77777777" w:rsidR="00CF6557" w:rsidRPr="007A1169" w:rsidRDefault="00CF6557" w:rsidP="00641BE2">
      <w:pPr>
        <w:spacing w:after="240" w:line="360" w:lineRule="auto"/>
        <w:ind w:left="284" w:right="332"/>
        <w:rPr>
          <w:rFonts w:ascii="Arial" w:eastAsia="Times New Roman" w:hAnsi="Arial" w:cs="Arial"/>
          <w:i/>
          <w:spacing w:val="-5"/>
          <w:sz w:val="22"/>
          <w:szCs w:val="22"/>
        </w:rPr>
      </w:pPr>
      <w:r w:rsidRPr="007A1169">
        <w:rPr>
          <w:rFonts w:ascii="Arial" w:eastAsia="Times New Roman" w:hAnsi="Arial" w:cs="Arial"/>
          <w:i/>
          <w:spacing w:val="-5"/>
          <w:sz w:val="22"/>
          <w:szCs w:val="22"/>
        </w:rPr>
        <w:lastRenderedPageBreak/>
        <w:t>“</w:t>
      </w:r>
      <w:r w:rsidRPr="007A1169">
        <w:rPr>
          <w:rFonts w:ascii="Arial" w:eastAsia="Times New Roman" w:hAnsi="Arial" w:cs="Arial"/>
          <w:b/>
          <w:bCs/>
          <w:i/>
          <w:spacing w:val="-5"/>
          <w:sz w:val="22"/>
          <w:szCs w:val="22"/>
        </w:rPr>
        <w:t>Artículo 3.</w:t>
      </w:r>
      <w:r w:rsidRPr="007A1169">
        <w:rPr>
          <w:rFonts w:ascii="Arial" w:eastAsia="Times New Roman" w:hAnsi="Arial" w:cs="Arial"/>
          <w:i/>
          <w:spacing w:val="-5"/>
          <w:sz w:val="22"/>
          <w:szCs w:val="22"/>
        </w:rPr>
        <w:t xml:space="preserve"> El numeral 8 del Artículo 6 de la Resolución CREG 023 de 2008, modificado por el artículo 4 de la Resolución CREG 165 de 2008, el cual establece las Obligaciones Generales del Distribuidor, quedará así:</w:t>
      </w:r>
    </w:p>
    <w:p w14:paraId="46AB583F" w14:textId="77777777" w:rsidR="00CF6557" w:rsidRPr="007A1169" w:rsidRDefault="00CF6557" w:rsidP="00641BE2">
      <w:pPr>
        <w:spacing w:after="240" w:line="360" w:lineRule="auto"/>
        <w:ind w:left="709" w:right="332"/>
        <w:rPr>
          <w:rFonts w:ascii="Arial" w:eastAsia="Times New Roman" w:hAnsi="Arial" w:cs="Arial"/>
          <w:i/>
          <w:spacing w:val="-5"/>
          <w:sz w:val="22"/>
          <w:szCs w:val="22"/>
        </w:rPr>
      </w:pPr>
      <w:r w:rsidRPr="007A1169">
        <w:rPr>
          <w:rFonts w:ascii="Arial" w:eastAsia="Times New Roman" w:hAnsi="Arial" w:cs="Arial"/>
          <w:i/>
          <w:spacing w:val="-5"/>
          <w:sz w:val="22"/>
          <w:szCs w:val="22"/>
        </w:rPr>
        <w:t>“8. Los Distribuidores deben llevar un registro pormenorizado de los cilindros marcados que van introduciendo al parque en las siguientes condiciones: (…)</w:t>
      </w:r>
    </w:p>
    <w:p w14:paraId="6578AE58" w14:textId="77777777" w:rsidR="00CF6557" w:rsidRPr="007A1169" w:rsidRDefault="00CF6557" w:rsidP="00641BE2">
      <w:pPr>
        <w:spacing w:after="240" w:line="360" w:lineRule="auto"/>
        <w:ind w:left="993" w:right="332" w:hanging="284"/>
        <w:rPr>
          <w:rFonts w:ascii="Arial" w:eastAsia="Times New Roman" w:hAnsi="Arial" w:cs="Arial"/>
          <w:i/>
          <w:spacing w:val="-5"/>
          <w:sz w:val="22"/>
          <w:szCs w:val="22"/>
          <w:u w:val="single"/>
        </w:rPr>
      </w:pPr>
      <w:r w:rsidRPr="007A1169">
        <w:rPr>
          <w:rFonts w:ascii="Arial" w:eastAsia="Times New Roman" w:hAnsi="Arial" w:cs="Arial"/>
          <w:i/>
          <w:spacing w:val="-5"/>
          <w:sz w:val="22"/>
          <w:szCs w:val="22"/>
          <w:u w:val="single"/>
        </w:rPr>
        <w:t>b.</w:t>
      </w:r>
      <w:r w:rsidRPr="007A1169">
        <w:rPr>
          <w:rFonts w:ascii="Arial" w:eastAsia="Times New Roman" w:hAnsi="Arial" w:cs="Arial"/>
          <w:i/>
          <w:spacing w:val="-5"/>
          <w:sz w:val="22"/>
          <w:szCs w:val="22"/>
          <w:u w:val="single"/>
        </w:rPr>
        <w:tab/>
        <w:t xml:space="preserve">Una vez finalice el Período de Transición y el Período de Cierre, el SICMA deberá mantenerse como parte del SUI de acuerdo con los mecanismos que para el efecto expida la SSPD en virtud de lo establecido en el artículo 14 de la Ley 689 de 2001. El objetivo de esta información es facilitar la labor de seguimiento y control de las inversiones de cada Distribuidor y velar </w:t>
      </w:r>
      <w:proofErr w:type="gramStart"/>
      <w:r w:rsidRPr="007A1169">
        <w:rPr>
          <w:rFonts w:ascii="Arial" w:eastAsia="Times New Roman" w:hAnsi="Arial" w:cs="Arial"/>
          <w:i/>
          <w:spacing w:val="-5"/>
          <w:sz w:val="22"/>
          <w:szCs w:val="22"/>
          <w:u w:val="single"/>
        </w:rPr>
        <w:t>para</w:t>
      </w:r>
      <w:proofErr w:type="gramEnd"/>
      <w:r w:rsidRPr="007A1169">
        <w:rPr>
          <w:rFonts w:ascii="Arial" w:eastAsia="Times New Roman" w:hAnsi="Arial" w:cs="Arial"/>
          <w:i/>
          <w:spacing w:val="-5"/>
          <w:sz w:val="22"/>
          <w:szCs w:val="22"/>
          <w:u w:val="single"/>
        </w:rPr>
        <w:t xml:space="preserve"> que los cilindros que entran marcados al parque cumplan con el Reglamento Técnico del Ministerio de Minas y Energía.</w:t>
      </w:r>
    </w:p>
    <w:p w14:paraId="6A6F545D" w14:textId="77777777" w:rsidR="00CF6557" w:rsidRPr="007A1169" w:rsidRDefault="00CF6557" w:rsidP="00641BE2">
      <w:pPr>
        <w:spacing w:after="240" w:line="360" w:lineRule="auto"/>
        <w:ind w:left="993" w:right="332" w:hanging="284"/>
        <w:rPr>
          <w:rFonts w:ascii="Arial" w:eastAsia="Times New Roman" w:hAnsi="Arial" w:cs="Arial"/>
          <w:i/>
          <w:spacing w:val="-5"/>
          <w:sz w:val="22"/>
          <w:szCs w:val="22"/>
        </w:rPr>
      </w:pPr>
      <w:r w:rsidRPr="007A1169">
        <w:rPr>
          <w:rFonts w:ascii="Arial" w:eastAsia="Times New Roman" w:hAnsi="Arial" w:cs="Arial"/>
          <w:i/>
          <w:spacing w:val="-5"/>
          <w:sz w:val="22"/>
          <w:szCs w:val="22"/>
          <w:u w:val="single"/>
        </w:rPr>
        <w:t>c.</w:t>
      </w:r>
      <w:r w:rsidRPr="007A1169">
        <w:rPr>
          <w:rFonts w:ascii="Arial" w:eastAsia="Times New Roman" w:hAnsi="Arial" w:cs="Arial"/>
          <w:i/>
          <w:spacing w:val="-5"/>
          <w:sz w:val="22"/>
          <w:szCs w:val="22"/>
          <w:u w:val="single"/>
        </w:rPr>
        <w:tab/>
        <w:t>Corresponde a la Interventoría del esquema centralizado crear el SICMA adecuando el sistema de información existente para que se realice adecuadamente el registro de los cilindros marcados y realizar la entrega total y en funcionamiento de éste al SUI una vez finalice el período de cierre.”</w:t>
      </w:r>
      <w:r w:rsidRPr="007A1169">
        <w:rPr>
          <w:rFonts w:ascii="Arial" w:eastAsia="Times New Roman" w:hAnsi="Arial" w:cs="Arial"/>
          <w:i/>
          <w:spacing w:val="-5"/>
          <w:sz w:val="22"/>
          <w:szCs w:val="22"/>
        </w:rPr>
        <w:t xml:space="preserve"> (Resaltado fuera de texto)</w:t>
      </w:r>
    </w:p>
    <w:p w14:paraId="60F10D72"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En consecuencia, la información de cilindros marcados de cada agente debe ser reportada al SUI. Adicionalmente, mediante Resolución SSPD 20141300040755 de 2014, se establecieron los plazos y formatos para el reporte de tal información, la cual sirve de soporte para ejercer control de los cilindros marcados introducidos al mercado por cada agente para atender sus usuarios.</w:t>
      </w:r>
    </w:p>
    <w:p w14:paraId="2D5DD683" w14:textId="35C1DF5D" w:rsidR="00CF6557" w:rsidRPr="00B33189" w:rsidRDefault="00CF6557" w:rsidP="00641BE2">
      <w:pPr>
        <w:spacing w:after="240" w:line="360" w:lineRule="auto"/>
        <w:rPr>
          <w:rFonts w:ascii="Arial" w:eastAsia="MS Mincho" w:hAnsi="Arial" w:cs="Arial"/>
        </w:rPr>
      </w:pPr>
      <w:r w:rsidRPr="00D256FA">
        <w:rPr>
          <w:rFonts w:ascii="Arial" w:eastAsia="MS Mincho" w:hAnsi="Arial" w:cs="Arial"/>
        </w:rPr>
        <w:t xml:space="preserve">La Comisión de Regulación de Energía y Gas mediante comunicación con </w:t>
      </w:r>
      <w:bookmarkStart w:id="0" w:name="_Hlk124423352"/>
      <w:r w:rsidRPr="00D256FA">
        <w:rPr>
          <w:rFonts w:ascii="Arial" w:eastAsia="MS Mincho" w:hAnsi="Arial" w:cs="Arial"/>
        </w:rPr>
        <w:t xml:space="preserve">radicado CREG </w:t>
      </w:r>
      <w:r w:rsidR="00707747" w:rsidRPr="00395703">
        <w:rPr>
          <w:rFonts w:ascii="Arial" w:eastAsia="MS Mincho" w:hAnsi="Arial" w:cs="Arial"/>
        </w:rPr>
        <w:t>S2023005603</w:t>
      </w:r>
      <w:r w:rsidRPr="00395703">
        <w:rPr>
          <w:rFonts w:ascii="Arial" w:eastAsia="MS Mincho" w:hAnsi="Arial" w:cs="Arial"/>
        </w:rPr>
        <w:t xml:space="preserve"> del </w:t>
      </w:r>
      <w:r w:rsidR="00B24318" w:rsidRPr="00395703">
        <w:rPr>
          <w:rFonts w:ascii="Arial" w:eastAsia="MS Mincho" w:hAnsi="Arial" w:cs="Arial"/>
        </w:rPr>
        <w:t>24</w:t>
      </w:r>
      <w:r w:rsidRPr="00395703">
        <w:rPr>
          <w:rFonts w:ascii="Arial" w:eastAsia="MS Mincho" w:hAnsi="Arial" w:cs="Arial"/>
        </w:rPr>
        <w:t xml:space="preserve"> de </w:t>
      </w:r>
      <w:r w:rsidR="00B24318" w:rsidRPr="00395703">
        <w:rPr>
          <w:rFonts w:ascii="Arial" w:eastAsia="MS Mincho" w:hAnsi="Arial" w:cs="Arial"/>
        </w:rPr>
        <w:t>n</w:t>
      </w:r>
      <w:r w:rsidRPr="00395703">
        <w:rPr>
          <w:rFonts w:ascii="Arial" w:eastAsia="MS Mincho" w:hAnsi="Arial" w:cs="Arial"/>
        </w:rPr>
        <w:t>o</w:t>
      </w:r>
      <w:r w:rsidR="00B24318" w:rsidRPr="00395703">
        <w:rPr>
          <w:rFonts w:ascii="Arial" w:eastAsia="MS Mincho" w:hAnsi="Arial" w:cs="Arial"/>
        </w:rPr>
        <w:t>viembre</w:t>
      </w:r>
      <w:r w:rsidRPr="00395703">
        <w:rPr>
          <w:rFonts w:ascii="Arial" w:eastAsia="MS Mincho" w:hAnsi="Arial" w:cs="Arial"/>
        </w:rPr>
        <w:t xml:space="preserve"> de 202</w:t>
      </w:r>
      <w:bookmarkEnd w:id="0"/>
      <w:r w:rsidRPr="00395703">
        <w:rPr>
          <w:rFonts w:ascii="Arial" w:eastAsia="MS Mincho" w:hAnsi="Arial" w:cs="Arial"/>
        </w:rPr>
        <w:t>3</w:t>
      </w:r>
      <w:r w:rsidRPr="00D256FA">
        <w:rPr>
          <w:rFonts w:ascii="Arial" w:eastAsia="MS Mincho" w:hAnsi="Arial" w:cs="Arial"/>
        </w:rPr>
        <w:t>, solicitó a la Superintendencia de Servicios Públicos Domiciliarios la información del Sistema de Información de Cilindros Marcados</w:t>
      </w:r>
      <w:r w:rsidRPr="00B33189">
        <w:rPr>
          <w:rFonts w:ascii="Arial" w:eastAsia="MS Mincho" w:hAnsi="Arial" w:cs="Arial"/>
        </w:rPr>
        <w:t xml:space="preserve"> (SICMA) a partir de la información entregada por la interventoría AIC proyectos, hasta el año 2012, y la reportada por </w:t>
      </w:r>
      <w:r w:rsidRPr="00B33189">
        <w:rPr>
          <w:rFonts w:ascii="Arial" w:eastAsia="MS Mincho" w:hAnsi="Arial" w:cs="Arial"/>
        </w:rPr>
        <w:lastRenderedPageBreak/>
        <w:t>los distribuidores de GLP ante la Superintendencia, desde el año 2012 hasta la fecha, mediante la Resolución SSPD No. 20141300040755, en la cual se implementa lo dispuesto en el literal b del artículo 31 de la Resolución CREG 045 de 2008 (información del SICMA y del SICUN)</w:t>
      </w:r>
      <w:r w:rsidRPr="00B33189">
        <w:rPr>
          <w:rFonts w:ascii="Arial" w:eastAsia="MS Mincho" w:hAnsi="Arial" w:cs="Arial"/>
          <w:vertAlign w:val="superscript"/>
        </w:rPr>
        <w:footnoteReference w:id="1"/>
      </w:r>
      <w:r w:rsidRPr="00B33189">
        <w:rPr>
          <w:rFonts w:ascii="Arial" w:eastAsia="MS Mincho" w:hAnsi="Arial" w:cs="Arial"/>
        </w:rPr>
        <w:t xml:space="preserve">. De igual forma, se solicitó remitir la información de tanques estacionarios atendidos por cada distribuidor y su capacidad en galones de acuerdo con lo reportado a la Superintendencia de Servicios Públicos Domiciliarios en el SUI con base en lo </w:t>
      </w:r>
      <w:r w:rsidRPr="00D256FA">
        <w:rPr>
          <w:rFonts w:ascii="Arial" w:eastAsia="MS Mincho" w:hAnsi="Arial" w:cs="Arial"/>
        </w:rPr>
        <w:t xml:space="preserve">dispuesto en las Circulares SSPD – CREG 001 de 2004 y 001 de 2017. La Superintendencia de Servicios Públicos Domiciliarios atendió este requerimiento mediante la comunicación </w:t>
      </w:r>
      <w:bookmarkStart w:id="1" w:name="_Hlk124423375"/>
      <w:r w:rsidRPr="00395703">
        <w:rPr>
          <w:rFonts w:ascii="Arial" w:eastAsia="MS Mincho" w:hAnsi="Arial" w:cs="Arial"/>
        </w:rPr>
        <w:t xml:space="preserve">SSPD </w:t>
      </w:r>
      <w:r w:rsidR="00B24318" w:rsidRPr="00395703">
        <w:rPr>
          <w:rFonts w:ascii="Arial" w:eastAsia="MS Mincho" w:hAnsi="Arial" w:cs="Arial"/>
        </w:rPr>
        <w:t>20232324776251</w:t>
      </w:r>
      <w:r w:rsidRPr="00395703">
        <w:rPr>
          <w:rFonts w:ascii="Arial" w:eastAsia="MS Mincho" w:hAnsi="Arial" w:cs="Arial"/>
        </w:rPr>
        <w:t xml:space="preserve"> radicado CREG </w:t>
      </w:r>
      <w:r w:rsidR="00B24318" w:rsidRPr="00395703">
        <w:rPr>
          <w:rFonts w:ascii="Arial" w:eastAsia="MS Mincho" w:hAnsi="Arial" w:cs="Arial"/>
        </w:rPr>
        <w:t xml:space="preserve">E2023020812 </w:t>
      </w:r>
      <w:r w:rsidRPr="00395703">
        <w:rPr>
          <w:rFonts w:ascii="Arial" w:eastAsia="MS Mincho" w:hAnsi="Arial" w:cs="Arial"/>
        </w:rPr>
        <w:t xml:space="preserve">del </w:t>
      </w:r>
      <w:r w:rsidR="00B24318" w:rsidRPr="00395703">
        <w:rPr>
          <w:rFonts w:ascii="Arial" w:eastAsia="MS Mincho" w:hAnsi="Arial" w:cs="Arial"/>
        </w:rPr>
        <w:t>11</w:t>
      </w:r>
      <w:r w:rsidRPr="00395703">
        <w:rPr>
          <w:rFonts w:ascii="Arial" w:eastAsia="MS Mincho" w:hAnsi="Arial" w:cs="Arial"/>
        </w:rPr>
        <w:t xml:space="preserve"> de </w:t>
      </w:r>
      <w:r w:rsidR="00B24318" w:rsidRPr="00395703">
        <w:rPr>
          <w:rFonts w:ascii="Arial" w:eastAsia="MS Mincho" w:hAnsi="Arial" w:cs="Arial"/>
        </w:rPr>
        <w:t>diciembre</w:t>
      </w:r>
      <w:r w:rsidRPr="00395703">
        <w:rPr>
          <w:rFonts w:ascii="Arial" w:eastAsia="MS Mincho" w:hAnsi="Arial" w:cs="Arial"/>
        </w:rPr>
        <w:t xml:space="preserve"> de 2023</w:t>
      </w:r>
      <w:bookmarkEnd w:id="1"/>
      <w:r w:rsidRPr="00395703">
        <w:rPr>
          <w:rFonts w:ascii="Arial" w:eastAsia="MS Mincho" w:hAnsi="Arial" w:cs="Arial"/>
        </w:rPr>
        <w:t>.</w:t>
      </w:r>
    </w:p>
    <w:p w14:paraId="54112E16"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 xml:space="preserve">Así mismo, se establece la improcedencia de decretar pruebas de manera oficiosa o contar con otra información adicional para efectos de llevar a cabo el cálculo y la publicación de la capacidad de compra de los distribuidores según lo establece el artículo 9 de la Resolución CREG 063 </w:t>
      </w:r>
      <w:r w:rsidRPr="00D256FA">
        <w:rPr>
          <w:rFonts w:ascii="Arial" w:eastAsia="MS Mincho" w:hAnsi="Arial" w:cs="Arial"/>
        </w:rPr>
        <w:t>de 2016 o aquella que la modifique, adicione o sustituya, por lo que le corresponde a esta Comisión iniciar de oficio las actuaciones administrativas particulares a efectos de llevar a cabo dicho cálculo, para lo</w:t>
      </w:r>
      <w:r w:rsidRPr="00B33189">
        <w:rPr>
          <w:rFonts w:ascii="Arial" w:eastAsia="MS Mincho" w:hAnsi="Arial" w:cs="Arial"/>
        </w:rPr>
        <w:t xml:space="preserve"> cual se debe informar de esta situación a las empresas distribuidoras de GLP registradas en el SUI, así como en el Registro Único de Prestadores de Servicios Públicos (RUPS) de la Superintendencia de Servicios Públicos Domiciliarios. </w:t>
      </w:r>
    </w:p>
    <w:p w14:paraId="5874069E"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lastRenderedPageBreak/>
        <w:t>En este sentido, el cálculo de la capacidad de compra para cada distribuidor corresponde a un acto administrativo de contenido particular y concreto sujeto a recurso de reposición en los términos del artículo 113 de la Ley 142 de 1994.</w:t>
      </w:r>
    </w:p>
    <w:p w14:paraId="7BA91746" w14:textId="77777777" w:rsidR="00CF6557" w:rsidRPr="00B33189" w:rsidRDefault="00CF6557" w:rsidP="00641BE2">
      <w:pPr>
        <w:spacing w:after="240" w:line="360" w:lineRule="auto"/>
        <w:rPr>
          <w:rFonts w:ascii="Arial" w:eastAsia="Times New Roman" w:hAnsi="Arial" w:cs="Arial"/>
          <w:lang w:val="es-ES" w:eastAsia="es-ES"/>
        </w:rPr>
      </w:pPr>
      <w:r w:rsidRPr="00B33189">
        <w:rPr>
          <w:rFonts w:ascii="Arial" w:eastAsia="Times New Roman" w:hAnsi="Arial" w:cs="Arial"/>
          <w:lang w:val="es-ES" w:eastAsia="es-ES"/>
        </w:rPr>
        <w:t>En mérito de lo expuesto.</w:t>
      </w:r>
    </w:p>
    <w:p w14:paraId="315522EC" w14:textId="77777777" w:rsidR="00A454CE" w:rsidRPr="00395703" w:rsidRDefault="00A454CE" w:rsidP="00641BE2">
      <w:pPr>
        <w:pStyle w:val="Ttulo1"/>
        <w:spacing w:after="240" w:line="360" w:lineRule="auto"/>
        <w:jc w:val="center"/>
        <w:rPr>
          <w:rFonts w:ascii="Arial" w:hAnsi="Arial" w:cs="Arial"/>
          <w:b/>
          <w:bCs/>
          <w:color w:val="auto"/>
          <w:sz w:val="24"/>
          <w:szCs w:val="24"/>
        </w:rPr>
      </w:pPr>
      <w:r w:rsidRPr="00395703">
        <w:rPr>
          <w:rFonts w:ascii="Arial" w:hAnsi="Arial" w:cs="Arial"/>
          <w:b/>
          <w:bCs/>
          <w:color w:val="auto"/>
          <w:sz w:val="24"/>
          <w:szCs w:val="24"/>
        </w:rPr>
        <w:t>RESUELVE</w:t>
      </w:r>
    </w:p>
    <w:p w14:paraId="2DC03CD8" w14:textId="68AF7A24" w:rsidR="00DF3DEC" w:rsidRPr="00DF3DEC" w:rsidRDefault="00A454CE" w:rsidP="00DF3DEC">
      <w:pPr>
        <w:spacing w:after="240" w:line="360" w:lineRule="auto"/>
        <w:rPr>
          <w:rFonts w:ascii="Helvetica" w:eastAsia="Calibri" w:hAnsi="Helvetica" w:cs="Helvetica"/>
          <w:kern w:val="2"/>
          <w:sz w:val="22"/>
          <w:szCs w:val="22"/>
          <w:lang w:val="es-CO"/>
          <w14:ligatures w14:val="standardContextual"/>
        </w:rPr>
      </w:pPr>
      <w:r w:rsidRPr="000350D8">
        <w:rPr>
          <w:rFonts w:ascii="Arial" w:hAnsi="Arial" w:cs="Arial"/>
          <w:b/>
          <w:bCs/>
        </w:rPr>
        <w:t xml:space="preserve">ARTÍCULO PRIMERO. </w:t>
      </w:r>
      <w:r w:rsidR="00832D36" w:rsidRPr="00832D36">
        <w:rPr>
          <w:rFonts w:ascii="Arial" w:eastAsia="Calibri" w:hAnsi="Arial" w:cs="Arial"/>
          <w:kern w:val="2"/>
          <w:lang w:val="es-CO"/>
          <w14:ligatures w14:val="standardContextual"/>
        </w:rPr>
        <w:t xml:space="preserve">Ordénese el inicio de oficio de la actuación administrativa y la formación del correspondiente expediente por parte de esta Comisión a efectos de llevar a cabo la definición de la capacidad de compra en los términos de los artículos 8 y 9 de la Resolución CREG 063 de 2016 a cada uno de los siguientes distribuidores de GLP identificados de acuerdo con el reporte de información en el Sistema único de Información (SUI), así como el Registro Único de Prestadores de Servicios Públicos (RUPS), aplicables </w:t>
      </w:r>
      <w:r w:rsidR="00E660EF" w:rsidRPr="00832D36">
        <w:rPr>
          <w:rFonts w:ascii="Arial" w:eastAsia="Times New Roman" w:hAnsi="Arial" w:cs="Arial"/>
          <w:lang w:val="es-ES" w:eastAsia="es-ES"/>
        </w:rPr>
        <w:t xml:space="preserve">para </w:t>
      </w:r>
      <w:r w:rsidR="00E660EF" w:rsidRPr="00395703">
        <w:rPr>
          <w:rFonts w:ascii="Arial" w:eastAsia="Times New Roman" w:hAnsi="Arial" w:cs="Arial"/>
          <w:lang w:val="es-ES" w:eastAsia="es-ES"/>
        </w:rPr>
        <w:t>el décimo sexto período de compra:</w:t>
      </w:r>
      <w:r w:rsidR="00DF3DEC">
        <w:rPr>
          <w:rFonts w:ascii="Arial" w:eastAsia="Times New Roman" w:hAnsi="Arial" w:cs="Arial"/>
          <w:color w:val="000000"/>
          <w:spacing w:val="-3"/>
          <w:lang w:val="es-ES" w:eastAsia="es-ES"/>
        </w:rPr>
        <w:fldChar w:fldCharType="begin"/>
      </w:r>
      <w:r w:rsidR="00DF3DEC">
        <w:rPr>
          <w:rFonts w:ascii="Arial" w:eastAsia="Times New Roman" w:hAnsi="Arial" w:cs="Arial"/>
          <w:color w:val="000000"/>
          <w:spacing w:val="-3"/>
          <w:lang w:val="es-ES" w:eastAsia="es-ES"/>
        </w:rPr>
        <w:instrText xml:space="preserve"> LINK Excel.Sheet.12 "https://creggov-my.sharepoint.com/personal/mplaza_creg_gov_co/Documents/Escritorio/ListaEmpresasCC_PeriodoXVI.xlsx" "Empresas!F1C1:F63C3" \a \f 5 \h  \* MERGEFORMAT </w:instrText>
      </w:r>
      <w:r w:rsidR="00DF3DEC">
        <w:rPr>
          <w:rFonts w:ascii="Arial" w:eastAsia="Times New Roman" w:hAnsi="Arial" w:cs="Arial"/>
          <w:color w:val="000000"/>
          <w:spacing w:val="-3"/>
          <w:lang w:val="es-ES" w:eastAsia="es-ES"/>
        </w:rPr>
        <w:fldChar w:fldCharType="separate"/>
      </w:r>
    </w:p>
    <w:tbl>
      <w:tblPr>
        <w:tblStyle w:val="Tablaconcuadrcula"/>
        <w:tblW w:w="8500" w:type="dxa"/>
        <w:tblLook w:val="04A0" w:firstRow="1" w:lastRow="0" w:firstColumn="1" w:lastColumn="0" w:noHBand="0" w:noVBand="1"/>
      </w:tblPr>
      <w:tblGrid>
        <w:gridCol w:w="600"/>
        <w:gridCol w:w="1420"/>
        <w:gridCol w:w="6480"/>
      </w:tblGrid>
      <w:tr w:rsidR="00DF3DEC" w:rsidRPr="00DF3DEC" w14:paraId="603B8314" w14:textId="77777777" w:rsidTr="00DF3DEC">
        <w:trPr>
          <w:trHeight w:val="300"/>
        </w:trPr>
        <w:tc>
          <w:tcPr>
            <w:tcW w:w="600" w:type="dxa"/>
            <w:hideMark/>
          </w:tcPr>
          <w:p w14:paraId="6323AD5B" w14:textId="74990776" w:rsidR="00DF3DEC" w:rsidRPr="00DF3DEC" w:rsidRDefault="00DF3DEC" w:rsidP="00DF3DEC">
            <w:pPr>
              <w:spacing w:line="360" w:lineRule="auto"/>
              <w:jc w:val="both"/>
              <w:rPr>
                <w:rFonts w:ascii="Arial" w:eastAsia="Times New Roman" w:hAnsi="Arial" w:cs="Arial"/>
                <w:b/>
                <w:bCs/>
                <w:color w:val="000000"/>
                <w:spacing w:val="-3"/>
                <w:lang w:eastAsia="es-ES"/>
              </w:rPr>
            </w:pPr>
            <w:r w:rsidRPr="00DF3DEC">
              <w:rPr>
                <w:rFonts w:ascii="Arial" w:eastAsia="Times New Roman" w:hAnsi="Arial" w:cs="Arial"/>
                <w:b/>
                <w:bCs/>
                <w:color w:val="000000"/>
                <w:spacing w:val="-3"/>
                <w:lang w:eastAsia="es-ES"/>
              </w:rPr>
              <w:t>No</w:t>
            </w:r>
          </w:p>
        </w:tc>
        <w:tc>
          <w:tcPr>
            <w:tcW w:w="1420" w:type="dxa"/>
            <w:hideMark/>
          </w:tcPr>
          <w:p w14:paraId="6ABE6B66" w14:textId="77777777" w:rsidR="00DF3DEC" w:rsidRPr="00DF3DEC" w:rsidRDefault="00DF3DEC" w:rsidP="00DF3DEC">
            <w:pPr>
              <w:spacing w:line="360" w:lineRule="auto"/>
              <w:jc w:val="both"/>
              <w:rPr>
                <w:rFonts w:ascii="Arial" w:eastAsia="Times New Roman" w:hAnsi="Arial" w:cs="Arial"/>
                <w:b/>
                <w:bCs/>
                <w:color w:val="000000"/>
                <w:spacing w:val="-3"/>
                <w:lang w:eastAsia="es-ES"/>
              </w:rPr>
            </w:pPr>
            <w:r w:rsidRPr="00DF3DEC">
              <w:rPr>
                <w:rFonts w:ascii="Arial" w:eastAsia="Times New Roman" w:hAnsi="Arial" w:cs="Arial"/>
                <w:b/>
                <w:bCs/>
                <w:color w:val="000000"/>
                <w:spacing w:val="-3"/>
                <w:lang w:eastAsia="es-ES"/>
              </w:rPr>
              <w:t>Código SUI</w:t>
            </w:r>
          </w:p>
        </w:tc>
        <w:tc>
          <w:tcPr>
            <w:tcW w:w="6480" w:type="dxa"/>
            <w:hideMark/>
          </w:tcPr>
          <w:p w14:paraId="262B251D" w14:textId="77777777" w:rsidR="00DF3DEC" w:rsidRPr="00DF3DEC" w:rsidRDefault="00DF3DEC" w:rsidP="00DF3DEC">
            <w:pPr>
              <w:spacing w:line="360" w:lineRule="auto"/>
              <w:jc w:val="both"/>
              <w:rPr>
                <w:rFonts w:ascii="Arial" w:eastAsia="Times New Roman" w:hAnsi="Arial" w:cs="Arial"/>
                <w:b/>
                <w:bCs/>
                <w:color w:val="000000"/>
                <w:spacing w:val="-3"/>
                <w:lang w:eastAsia="es-ES"/>
              </w:rPr>
            </w:pPr>
            <w:r w:rsidRPr="00DF3DEC">
              <w:rPr>
                <w:rFonts w:ascii="Arial" w:eastAsia="Times New Roman" w:hAnsi="Arial" w:cs="Arial"/>
                <w:b/>
                <w:bCs/>
                <w:color w:val="000000"/>
                <w:spacing w:val="-3"/>
                <w:lang w:eastAsia="es-ES"/>
              </w:rPr>
              <w:t>Empresa</w:t>
            </w:r>
          </w:p>
        </w:tc>
      </w:tr>
      <w:tr w:rsidR="00DF3DEC" w:rsidRPr="00DF3DEC" w14:paraId="22F5B80A" w14:textId="77777777" w:rsidTr="00DF3DEC">
        <w:trPr>
          <w:trHeight w:val="285"/>
        </w:trPr>
        <w:tc>
          <w:tcPr>
            <w:tcW w:w="600" w:type="dxa"/>
            <w:hideMark/>
          </w:tcPr>
          <w:p w14:paraId="6620834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w:t>
            </w:r>
          </w:p>
        </w:tc>
        <w:tc>
          <w:tcPr>
            <w:tcW w:w="1420" w:type="dxa"/>
            <w:hideMark/>
          </w:tcPr>
          <w:p w14:paraId="08596C6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522</w:t>
            </w:r>
          </w:p>
        </w:tc>
        <w:tc>
          <w:tcPr>
            <w:tcW w:w="6480" w:type="dxa"/>
            <w:hideMark/>
          </w:tcPr>
          <w:p w14:paraId="699F651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NORTESANTANDEREANA DE GAS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2D5EA0F0" w14:textId="77777777" w:rsidTr="00DF3DEC">
        <w:trPr>
          <w:trHeight w:val="285"/>
        </w:trPr>
        <w:tc>
          <w:tcPr>
            <w:tcW w:w="600" w:type="dxa"/>
            <w:hideMark/>
          </w:tcPr>
          <w:p w14:paraId="47A2103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w:t>
            </w:r>
          </w:p>
        </w:tc>
        <w:tc>
          <w:tcPr>
            <w:tcW w:w="1420" w:type="dxa"/>
            <w:hideMark/>
          </w:tcPr>
          <w:p w14:paraId="2F547A0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543</w:t>
            </w:r>
          </w:p>
        </w:tc>
        <w:tc>
          <w:tcPr>
            <w:tcW w:w="6480" w:type="dxa"/>
            <w:hideMark/>
          </w:tcPr>
          <w:p w14:paraId="56DB126C"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PROVIGAS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35D2A97A" w14:textId="77777777" w:rsidTr="00DF3DEC">
        <w:trPr>
          <w:trHeight w:val="285"/>
        </w:trPr>
        <w:tc>
          <w:tcPr>
            <w:tcW w:w="600" w:type="dxa"/>
            <w:hideMark/>
          </w:tcPr>
          <w:p w14:paraId="2250D9A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w:t>
            </w:r>
          </w:p>
        </w:tc>
        <w:tc>
          <w:tcPr>
            <w:tcW w:w="1420" w:type="dxa"/>
            <w:hideMark/>
          </w:tcPr>
          <w:p w14:paraId="12BA939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976</w:t>
            </w:r>
          </w:p>
        </w:tc>
        <w:tc>
          <w:tcPr>
            <w:tcW w:w="6480" w:type="dxa"/>
            <w:hideMark/>
          </w:tcPr>
          <w:p w14:paraId="1ABBE87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w:t>
            </w:r>
            <w:proofErr w:type="spellStart"/>
            <w:r w:rsidRPr="00DF3DEC">
              <w:rPr>
                <w:rFonts w:ascii="Arial" w:eastAsia="Times New Roman" w:hAnsi="Arial" w:cs="Arial"/>
                <w:color w:val="000000"/>
                <w:spacing w:val="-3"/>
                <w:lang w:eastAsia="es-ES"/>
              </w:rPr>
              <w:t>ZIPA</w:t>
            </w:r>
            <w:proofErr w:type="spellEnd"/>
            <w:r w:rsidRPr="00DF3DEC">
              <w:rPr>
                <w:rFonts w:ascii="Arial" w:eastAsia="Times New Roman" w:hAnsi="Arial" w:cs="Arial"/>
                <w:color w:val="000000"/>
                <w:spacing w:val="-3"/>
                <w:lang w:eastAsia="es-ES"/>
              </w:rPr>
              <w:t xml:space="preserve"> </w:t>
            </w:r>
            <w:proofErr w:type="gramStart"/>
            <w:r w:rsidRPr="00DF3DEC">
              <w:rPr>
                <w:rFonts w:ascii="Arial" w:eastAsia="Times New Roman" w:hAnsi="Arial" w:cs="Arial"/>
                <w:color w:val="000000"/>
                <w:spacing w:val="-3"/>
                <w:lang w:eastAsia="es-ES"/>
              </w:rPr>
              <w:t xml:space="preserve">SAS  </w:t>
            </w:r>
            <w:proofErr w:type="spellStart"/>
            <w:r w:rsidRPr="00DF3DEC">
              <w:rPr>
                <w:rFonts w:ascii="Arial" w:eastAsia="Times New Roman" w:hAnsi="Arial" w:cs="Arial"/>
                <w:color w:val="000000"/>
                <w:spacing w:val="-3"/>
                <w:lang w:eastAsia="es-ES"/>
              </w:rPr>
              <w:t>ESP</w:t>
            </w:r>
            <w:proofErr w:type="spellEnd"/>
            <w:proofErr w:type="gramEnd"/>
          </w:p>
        </w:tc>
      </w:tr>
      <w:tr w:rsidR="00DF3DEC" w:rsidRPr="00DF3DEC" w14:paraId="4C601BCA" w14:textId="77777777" w:rsidTr="00DF3DEC">
        <w:trPr>
          <w:trHeight w:val="285"/>
        </w:trPr>
        <w:tc>
          <w:tcPr>
            <w:tcW w:w="600" w:type="dxa"/>
            <w:hideMark/>
          </w:tcPr>
          <w:p w14:paraId="6DBC6B4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w:t>
            </w:r>
          </w:p>
        </w:tc>
        <w:tc>
          <w:tcPr>
            <w:tcW w:w="1420" w:type="dxa"/>
            <w:hideMark/>
          </w:tcPr>
          <w:p w14:paraId="706CB1A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1115</w:t>
            </w:r>
          </w:p>
        </w:tc>
        <w:tc>
          <w:tcPr>
            <w:tcW w:w="6480" w:type="dxa"/>
            <w:hideMark/>
          </w:tcPr>
          <w:p w14:paraId="14E911E4"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VELOGAS</w:t>
            </w:r>
            <w:proofErr w:type="spellEnd"/>
            <w:r w:rsidRPr="00DF3DEC">
              <w:rPr>
                <w:rFonts w:ascii="Arial" w:eastAsia="Times New Roman" w:hAnsi="Arial" w:cs="Arial"/>
                <w:color w:val="000000"/>
                <w:spacing w:val="-3"/>
                <w:lang w:eastAsia="es-ES"/>
              </w:rPr>
              <w:t xml:space="preserve">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3243008F" w14:textId="77777777" w:rsidTr="00DF3DEC">
        <w:trPr>
          <w:trHeight w:val="570"/>
        </w:trPr>
        <w:tc>
          <w:tcPr>
            <w:tcW w:w="600" w:type="dxa"/>
            <w:hideMark/>
          </w:tcPr>
          <w:p w14:paraId="1E16E48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w:t>
            </w:r>
          </w:p>
        </w:tc>
        <w:tc>
          <w:tcPr>
            <w:tcW w:w="1420" w:type="dxa"/>
            <w:hideMark/>
          </w:tcPr>
          <w:p w14:paraId="6F4B030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1195</w:t>
            </w:r>
          </w:p>
        </w:tc>
        <w:tc>
          <w:tcPr>
            <w:tcW w:w="6480" w:type="dxa"/>
            <w:hideMark/>
          </w:tcPr>
          <w:p w14:paraId="2BC150B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ENVASADORA DE GAS DE PUERTO SALGAR S.A. EMPRESA DE SERVICIOS </w:t>
            </w:r>
            <w:proofErr w:type="spellStart"/>
            <w:r w:rsidRPr="00DF3DEC">
              <w:rPr>
                <w:rFonts w:ascii="Arial" w:eastAsia="Times New Roman" w:hAnsi="Arial" w:cs="Arial"/>
                <w:color w:val="000000"/>
                <w:spacing w:val="-3"/>
                <w:lang w:eastAsia="es-ES"/>
              </w:rPr>
              <w:t>PUBLICOS</w:t>
            </w:r>
            <w:proofErr w:type="spellEnd"/>
          </w:p>
        </w:tc>
      </w:tr>
      <w:tr w:rsidR="00DF3DEC" w:rsidRPr="00DF3DEC" w14:paraId="4FEF2C00" w14:textId="77777777" w:rsidTr="00DF3DEC">
        <w:trPr>
          <w:trHeight w:val="285"/>
        </w:trPr>
        <w:tc>
          <w:tcPr>
            <w:tcW w:w="600" w:type="dxa"/>
            <w:hideMark/>
          </w:tcPr>
          <w:p w14:paraId="4F7933A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w:t>
            </w:r>
          </w:p>
        </w:tc>
        <w:tc>
          <w:tcPr>
            <w:tcW w:w="1420" w:type="dxa"/>
            <w:hideMark/>
          </w:tcPr>
          <w:p w14:paraId="77BEA4D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1330</w:t>
            </w:r>
          </w:p>
        </w:tc>
        <w:tc>
          <w:tcPr>
            <w:tcW w:w="6480" w:type="dxa"/>
            <w:hideMark/>
          </w:tcPr>
          <w:p w14:paraId="67C6C7E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GRANADOS GOMEZ Y CIA S.A.S </w:t>
            </w:r>
            <w:proofErr w:type="spellStart"/>
            <w:r w:rsidRPr="00DF3DEC">
              <w:rPr>
                <w:rFonts w:ascii="Arial" w:eastAsia="Times New Roman" w:hAnsi="Arial" w:cs="Arial"/>
                <w:color w:val="000000"/>
                <w:spacing w:val="-3"/>
                <w:lang w:eastAsia="es-ES"/>
              </w:rPr>
              <w:t>E.</w:t>
            </w:r>
            <w:proofErr w:type="gramStart"/>
            <w:r w:rsidRPr="00DF3DEC">
              <w:rPr>
                <w:rFonts w:ascii="Arial" w:eastAsia="Times New Roman" w:hAnsi="Arial" w:cs="Arial"/>
                <w:color w:val="000000"/>
                <w:spacing w:val="-3"/>
                <w:lang w:eastAsia="es-ES"/>
              </w:rPr>
              <w:t>S.P</w:t>
            </w:r>
            <w:proofErr w:type="spellEnd"/>
            <w:proofErr w:type="gramEnd"/>
          </w:p>
        </w:tc>
      </w:tr>
      <w:tr w:rsidR="00DF3DEC" w:rsidRPr="00DF3DEC" w14:paraId="2B91B2AA" w14:textId="77777777" w:rsidTr="00DF3DEC">
        <w:trPr>
          <w:trHeight w:val="285"/>
        </w:trPr>
        <w:tc>
          <w:tcPr>
            <w:tcW w:w="600" w:type="dxa"/>
            <w:hideMark/>
          </w:tcPr>
          <w:p w14:paraId="2577E25B"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7</w:t>
            </w:r>
          </w:p>
        </w:tc>
        <w:tc>
          <w:tcPr>
            <w:tcW w:w="1420" w:type="dxa"/>
            <w:hideMark/>
          </w:tcPr>
          <w:p w14:paraId="0333752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1564</w:t>
            </w:r>
          </w:p>
        </w:tc>
        <w:tc>
          <w:tcPr>
            <w:tcW w:w="6480" w:type="dxa"/>
            <w:hideMark/>
          </w:tcPr>
          <w:p w14:paraId="6823416C"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ELECTROGAS</w:t>
            </w:r>
            <w:proofErr w:type="spellEnd"/>
            <w:r w:rsidRPr="00DF3DEC">
              <w:rPr>
                <w:rFonts w:ascii="Arial" w:eastAsia="Times New Roman" w:hAnsi="Arial" w:cs="Arial"/>
                <w:color w:val="000000"/>
                <w:spacing w:val="-3"/>
                <w:lang w:eastAsia="es-ES"/>
              </w:rPr>
              <w:t xml:space="preserve"> SA </w:t>
            </w:r>
            <w:proofErr w:type="spellStart"/>
            <w:r w:rsidRPr="00DF3DEC">
              <w:rPr>
                <w:rFonts w:ascii="Arial" w:eastAsia="Times New Roman" w:hAnsi="Arial" w:cs="Arial"/>
                <w:color w:val="000000"/>
                <w:spacing w:val="-3"/>
                <w:lang w:eastAsia="es-ES"/>
              </w:rPr>
              <w:t>ESP</w:t>
            </w:r>
            <w:proofErr w:type="spellEnd"/>
          </w:p>
        </w:tc>
      </w:tr>
      <w:tr w:rsidR="00DF3DEC" w:rsidRPr="00DF3DEC" w14:paraId="2E000D74" w14:textId="77777777" w:rsidTr="00DF3DEC">
        <w:trPr>
          <w:trHeight w:val="285"/>
        </w:trPr>
        <w:tc>
          <w:tcPr>
            <w:tcW w:w="600" w:type="dxa"/>
            <w:hideMark/>
          </w:tcPr>
          <w:p w14:paraId="0F7FF9DB"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8</w:t>
            </w:r>
          </w:p>
        </w:tc>
        <w:tc>
          <w:tcPr>
            <w:tcW w:w="1420" w:type="dxa"/>
            <w:hideMark/>
          </w:tcPr>
          <w:p w14:paraId="3BA0EEB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1595</w:t>
            </w:r>
          </w:p>
        </w:tc>
        <w:tc>
          <w:tcPr>
            <w:tcW w:w="6480" w:type="dxa"/>
            <w:hideMark/>
          </w:tcPr>
          <w:p w14:paraId="27F2F07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GASES DEL </w:t>
            </w:r>
            <w:proofErr w:type="spellStart"/>
            <w:r w:rsidRPr="00DF3DEC">
              <w:rPr>
                <w:rFonts w:ascii="Arial" w:eastAsia="Times New Roman" w:hAnsi="Arial" w:cs="Arial"/>
                <w:color w:val="000000"/>
                <w:spacing w:val="-3"/>
                <w:lang w:eastAsia="es-ES"/>
              </w:rPr>
              <w:t>CAGUAN</w:t>
            </w:r>
            <w:proofErr w:type="spellEnd"/>
            <w:r w:rsidRPr="00DF3DEC">
              <w:rPr>
                <w:rFonts w:ascii="Arial" w:eastAsia="Times New Roman" w:hAnsi="Arial" w:cs="Arial"/>
                <w:color w:val="000000"/>
                <w:spacing w:val="-3"/>
                <w:lang w:eastAsia="es-ES"/>
              </w:rPr>
              <w:t xml:space="preserve"> S. 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43226BCD" w14:textId="77777777" w:rsidTr="00DF3DEC">
        <w:trPr>
          <w:trHeight w:val="285"/>
        </w:trPr>
        <w:tc>
          <w:tcPr>
            <w:tcW w:w="600" w:type="dxa"/>
            <w:hideMark/>
          </w:tcPr>
          <w:p w14:paraId="5310D72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9</w:t>
            </w:r>
          </w:p>
        </w:tc>
        <w:tc>
          <w:tcPr>
            <w:tcW w:w="1420" w:type="dxa"/>
            <w:hideMark/>
          </w:tcPr>
          <w:p w14:paraId="481B065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1598</w:t>
            </w:r>
          </w:p>
        </w:tc>
        <w:tc>
          <w:tcPr>
            <w:tcW w:w="6480" w:type="dxa"/>
            <w:hideMark/>
          </w:tcPr>
          <w:p w14:paraId="4FCE947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NEIVA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640EE399" w14:textId="77777777" w:rsidTr="00DF3DEC">
        <w:trPr>
          <w:trHeight w:val="285"/>
        </w:trPr>
        <w:tc>
          <w:tcPr>
            <w:tcW w:w="600" w:type="dxa"/>
            <w:hideMark/>
          </w:tcPr>
          <w:p w14:paraId="1A8E77C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10</w:t>
            </w:r>
          </w:p>
        </w:tc>
        <w:tc>
          <w:tcPr>
            <w:tcW w:w="1420" w:type="dxa"/>
            <w:hideMark/>
          </w:tcPr>
          <w:p w14:paraId="6695109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1634</w:t>
            </w:r>
          </w:p>
        </w:tc>
        <w:tc>
          <w:tcPr>
            <w:tcW w:w="6480" w:type="dxa"/>
            <w:hideMark/>
          </w:tcPr>
          <w:p w14:paraId="7FAB2748"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RAYOGAS</w:t>
            </w:r>
            <w:proofErr w:type="spellEnd"/>
            <w:r w:rsidRPr="00DF3DEC">
              <w:rPr>
                <w:rFonts w:ascii="Arial" w:eastAsia="Times New Roman" w:hAnsi="Arial" w:cs="Arial"/>
                <w:color w:val="000000"/>
                <w:spacing w:val="-3"/>
                <w:lang w:eastAsia="es-ES"/>
              </w:rPr>
              <w:t xml:space="preserve"> S.A. </w:t>
            </w:r>
            <w:proofErr w:type="spellStart"/>
            <w:r w:rsidRPr="00DF3DEC">
              <w:rPr>
                <w:rFonts w:ascii="Arial" w:eastAsia="Times New Roman" w:hAnsi="Arial" w:cs="Arial"/>
                <w:color w:val="000000"/>
                <w:spacing w:val="-3"/>
                <w:lang w:eastAsia="es-ES"/>
              </w:rPr>
              <w:t>ESP</w:t>
            </w:r>
            <w:proofErr w:type="spellEnd"/>
          </w:p>
        </w:tc>
      </w:tr>
      <w:tr w:rsidR="00DF3DEC" w:rsidRPr="00DF3DEC" w14:paraId="3273E0C3" w14:textId="77777777" w:rsidTr="00DF3DEC">
        <w:trPr>
          <w:trHeight w:val="285"/>
        </w:trPr>
        <w:tc>
          <w:tcPr>
            <w:tcW w:w="600" w:type="dxa"/>
            <w:hideMark/>
          </w:tcPr>
          <w:p w14:paraId="2A3E5AE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lastRenderedPageBreak/>
              <w:t>11</w:t>
            </w:r>
          </w:p>
        </w:tc>
        <w:tc>
          <w:tcPr>
            <w:tcW w:w="1420" w:type="dxa"/>
            <w:hideMark/>
          </w:tcPr>
          <w:p w14:paraId="3531D5C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1713</w:t>
            </w:r>
          </w:p>
        </w:tc>
        <w:tc>
          <w:tcPr>
            <w:tcW w:w="6480" w:type="dxa"/>
            <w:hideMark/>
          </w:tcPr>
          <w:p w14:paraId="53E27A1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INTERMUNICIPAL DE GAS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73934F0B" w14:textId="77777777" w:rsidTr="00DF3DEC">
        <w:trPr>
          <w:trHeight w:val="285"/>
        </w:trPr>
        <w:tc>
          <w:tcPr>
            <w:tcW w:w="600" w:type="dxa"/>
            <w:hideMark/>
          </w:tcPr>
          <w:p w14:paraId="2282691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12</w:t>
            </w:r>
          </w:p>
        </w:tc>
        <w:tc>
          <w:tcPr>
            <w:tcW w:w="1420" w:type="dxa"/>
            <w:hideMark/>
          </w:tcPr>
          <w:p w14:paraId="00065F7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1714</w:t>
            </w:r>
          </w:p>
        </w:tc>
        <w:tc>
          <w:tcPr>
            <w:tcW w:w="6480" w:type="dxa"/>
            <w:hideMark/>
          </w:tcPr>
          <w:p w14:paraId="0F881B7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VILLA GAS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574303A8" w14:textId="77777777" w:rsidTr="00DF3DEC">
        <w:trPr>
          <w:trHeight w:val="285"/>
        </w:trPr>
        <w:tc>
          <w:tcPr>
            <w:tcW w:w="600" w:type="dxa"/>
            <w:hideMark/>
          </w:tcPr>
          <w:p w14:paraId="754C4F2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13</w:t>
            </w:r>
          </w:p>
        </w:tc>
        <w:tc>
          <w:tcPr>
            <w:tcW w:w="1420" w:type="dxa"/>
            <w:hideMark/>
          </w:tcPr>
          <w:p w14:paraId="0B8654A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1715</w:t>
            </w:r>
          </w:p>
        </w:tc>
        <w:tc>
          <w:tcPr>
            <w:tcW w:w="6480" w:type="dxa"/>
            <w:hideMark/>
          </w:tcPr>
          <w:p w14:paraId="3B6971E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EL SOL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1594364E" w14:textId="77777777" w:rsidTr="00DF3DEC">
        <w:trPr>
          <w:trHeight w:val="285"/>
        </w:trPr>
        <w:tc>
          <w:tcPr>
            <w:tcW w:w="600" w:type="dxa"/>
            <w:hideMark/>
          </w:tcPr>
          <w:p w14:paraId="40F016F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14</w:t>
            </w:r>
          </w:p>
        </w:tc>
        <w:tc>
          <w:tcPr>
            <w:tcW w:w="1420" w:type="dxa"/>
            <w:hideMark/>
          </w:tcPr>
          <w:p w14:paraId="55AE519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1854</w:t>
            </w:r>
          </w:p>
        </w:tc>
        <w:tc>
          <w:tcPr>
            <w:tcW w:w="6480" w:type="dxa"/>
            <w:hideMark/>
          </w:tcPr>
          <w:p w14:paraId="1B7C9606"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LIDAGAS</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S.A</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73BE0C83" w14:textId="77777777" w:rsidTr="00DF3DEC">
        <w:trPr>
          <w:trHeight w:val="285"/>
        </w:trPr>
        <w:tc>
          <w:tcPr>
            <w:tcW w:w="600" w:type="dxa"/>
            <w:hideMark/>
          </w:tcPr>
          <w:p w14:paraId="71F404CE"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15</w:t>
            </w:r>
          </w:p>
        </w:tc>
        <w:tc>
          <w:tcPr>
            <w:tcW w:w="1420" w:type="dxa"/>
            <w:hideMark/>
          </w:tcPr>
          <w:p w14:paraId="3969551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2180</w:t>
            </w:r>
          </w:p>
        </w:tc>
        <w:tc>
          <w:tcPr>
            <w:tcW w:w="6480" w:type="dxa"/>
            <w:hideMark/>
          </w:tcPr>
          <w:p w14:paraId="18F114F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w:t>
            </w:r>
            <w:proofErr w:type="spellStart"/>
            <w:r w:rsidRPr="00DF3DEC">
              <w:rPr>
                <w:rFonts w:ascii="Arial" w:eastAsia="Times New Roman" w:hAnsi="Arial" w:cs="Arial"/>
                <w:color w:val="000000"/>
                <w:spacing w:val="-3"/>
                <w:lang w:eastAsia="es-ES"/>
              </w:rPr>
              <w:t>CAQUETA</w:t>
            </w:r>
            <w:proofErr w:type="spellEnd"/>
            <w:r w:rsidRPr="00DF3DEC">
              <w:rPr>
                <w:rFonts w:ascii="Arial" w:eastAsia="Times New Roman" w:hAnsi="Arial" w:cs="Arial"/>
                <w:color w:val="000000"/>
                <w:spacing w:val="-3"/>
                <w:lang w:eastAsia="es-ES"/>
              </w:rPr>
              <w:t xml:space="preserve"> </w:t>
            </w:r>
            <w:proofErr w:type="spellStart"/>
            <w:proofErr w:type="gramStart"/>
            <w:r w:rsidRPr="00DF3DEC">
              <w:rPr>
                <w:rFonts w:ascii="Arial" w:eastAsia="Times New Roman" w:hAnsi="Arial" w:cs="Arial"/>
                <w:color w:val="000000"/>
                <w:spacing w:val="-3"/>
                <w:lang w:eastAsia="es-ES"/>
              </w:rPr>
              <w:t>S.A</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E</w:t>
            </w:r>
            <w:proofErr w:type="gramEnd"/>
            <w:r w:rsidRPr="00DF3DEC">
              <w:rPr>
                <w:rFonts w:ascii="Arial" w:eastAsia="Times New Roman" w:hAnsi="Arial" w:cs="Arial"/>
                <w:color w:val="000000"/>
                <w:spacing w:val="-3"/>
                <w:lang w:eastAsia="es-ES"/>
              </w:rPr>
              <w:t>.S.P</w:t>
            </w:r>
            <w:proofErr w:type="spellEnd"/>
          </w:p>
        </w:tc>
      </w:tr>
      <w:tr w:rsidR="00DF3DEC" w:rsidRPr="00DF3DEC" w14:paraId="71097818" w14:textId="77777777" w:rsidTr="00DF3DEC">
        <w:trPr>
          <w:trHeight w:val="285"/>
        </w:trPr>
        <w:tc>
          <w:tcPr>
            <w:tcW w:w="600" w:type="dxa"/>
            <w:hideMark/>
          </w:tcPr>
          <w:p w14:paraId="5CF2F40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16</w:t>
            </w:r>
          </w:p>
        </w:tc>
        <w:tc>
          <w:tcPr>
            <w:tcW w:w="1420" w:type="dxa"/>
            <w:hideMark/>
          </w:tcPr>
          <w:p w14:paraId="6F89774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2676</w:t>
            </w:r>
          </w:p>
        </w:tc>
        <w:tc>
          <w:tcPr>
            <w:tcW w:w="6480" w:type="dxa"/>
            <w:hideMark/>
          </w:tcPr>
          <w:p w14:paraId="07B2CA59"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SUPERGAS</w:t>
            </w:r>
            <w:proofErr w:type="spellEnd"/>
            <w:r w:rsidRPr="00DF3DEC">
              <w:rPr>
                <w:rFonts w:ascii="Arial" w:eastAsia="Times New Roman" w:hAnsi="Arial" w:cs="Arial"/>
                <w:color w:val="000000"/>
                <w:spacing w:val="-3"/>
                <w:lang w:eastAsia="es-ES"/>
              </w:rPr>
              <w:t xml:space="preserve"> DE NARIÑO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185C67FE" w14:textId="77777777" w:rsidTr="00DF3DEC">
        <w:trPr>
          <w:trHeight w:val="285"/>
        </w:trPr>
        <w:tc>
          <w:tcPr>
            <w:tcW w:w="600" w:type="dxa"/>
            <w:hideMark/>
          </w:tcPr>
          <w:p w14:paraId="135120A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17</w:t>
            </w:r>
          </w:p>
        </w:tc>
        <w:tc>
          <w:tcPr>
            <w:tcW w:w="1420" w:type="dxa"/>
            <w:hideMark/>
          </w:tcPr>
          <w:p w14:paraId="2A5EDB9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2923</w:t>
            </w:r>
          </w:p>
        </w:tc>
        <w:tc>
          <w:tcPr>
            <w:tcW w:w="6480" w:type="dxa"/>
            <w:hideMark/>
          </w:tcPr>
          <w:p w14:paraId="141C2FA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DISTRIBUIDORA DE GAS </w:t>
            </w:r>
            <w:proofErr w:type="spellStart"/>
            <w:r w:rsidRPr="00DF3DEC">
              <w:rPr>
                <w:rFonts w:ascii="Arial" w:eastAsia="Times New Roman" w:hAnsi="Arial" w:cs="Arial"/>
                <w:color w:val="000000"/>
                <w:spacing w:val="-3"/>
                <w:lang w:eastAsia="es-ES"/>
              </w:rPr>
              <w:t>MONZAGAS</w:t>
            </w:r>
            <w:proofErr w:type="spellEnd"/>
            <w:r w:rsidRPr="00DF3DEC">
              <w:rPr>
                <w:rFonts w:ascii="Arial" w:eastAsia="Times New Roman" w:hAnsi="Arial" w:cs="Arial"/>
                <w:color w:val="000000"/>
                <w:spacing w:val="-3"/>
                <w:lang w:eastAsia="es-ES"/>
              </w:rPr>
              <w:t xml:space="preserve">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1591F0C3" w14:textId="77777777" w:rsidTr="00DF3DEC">
        <w:trPr>
          <w:trHeight w:val="285"/>
        </w:trPr>
        <w:tc>
          <w:tcPr>
            <w:tcW w:w="600" w:type="dxa"/>
            <w:hideMark/>
          </w:tcPr>
          <w:p w14:paraId="2C0E44B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18</w:t>
            </w:r>
          </w:p>
        </w:tc>
        <w:tc>
          <w:tcPr>
            <w:tcW w:w="1420" w:type="dxa"/>
            <w:hideMark/>
          </w:tcPr>
          <w:p w14:paraId="3A6E878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3080</w:t>
            </w:r>
          </w:p>
        </w:tc>
        <w:tc>
          <w:tcPr>
            <w:tcW w:w="6480" w:type="dxa"/>
            <w:hideMark/>
          </w:tcPr>
          <w:p w14:paraId="3D52339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LA LLAMA OLÍMPICA </w:t>
            </w:r>
            <w:proofErr w:type="spellStart"/>
            <w:r w:rsidRPr="00DF3DEC">
              <w:rPr>
                <w:rFonts w:ascii="Arial" w:eastAsia="Times New Roman" w:hAnsi="Arial" w:cs="Arial"/>
                <w:color w:val="000000"/>
                <w:spacing w:val="-3"/>
                <w:lang w:eastAsia="es-ES"/>
              </w:rPr>
              <w:t>S.A</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60782DC6" w14:textId="77777777" w:rsidTr="00DF3DEC">
        <w:trPr>
          <w:trHeight w:val="285"/>
        </w:trPr>
        <w:tc>
          <w:tcPr>
            <w:tcW w:w="600" w:type="dxa"/>
            <w:hideMark/>
          </w:tcPr>
          <w:p w14:paraId="1ACE389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19</w:t>
            </w:r>
          </w:p>
        </w:tc>
        <w:tc>
          <w:tcPr>
            <w:tcW w:w="1420" w:type="dxa"/>
            <w:hideMark/>
          </w:tcPr>
          <w:p w14:paraId="745CD05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3358</w:t>
            </w:r>
          </w:p>
        </w:tc>
        <w:tc>
          <w:tcPr>
            <w:tcW w:w="6480" w:type="dxa"/>
            <w:hideMark/>
          </w:tcPr>
          <w:p w14:paraId="27B18641"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COMPAÑIA</w:t>
            </w:r>
            <w:proofErr w:type="spellEnd"/>
            <w:r w:rsidRPr="00DF3DEC">
              <w:rPr>
                <w:rFonts w:ascii="Arial" w:eastAsia="Times New Roman" w:hAnsi="Arial" w:cs="Arial"/>
                <w:color w:val="000000"/>
                <w:spacing w:val="-3"/>
                <w:lang w:eastAsia="es-ES"/>
              </w:rPr>
              <w:t xml:space="preserve"> DE SERVICIOS </w:t>
            </w:r>
            <w:proofErr w:type="spellStart"/>
            <w:r w:rsidRPr="00DF3DEC">
              <w:rPr>
                <w:rFonts w:ascii="Arial" w:eastAsia="Times New Roman" w:hAnsi="Arial" w:cs="Arial"/>
                <w:color w:val="000000"/>
                <w:spacing w:val="-3"/>
                <w:lang w:eastAsia="es-ES"/>
              </w:rPr>
              <w:t>PUBLICOS</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S.A</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E.</w:t>
            </w:r>
            <w:proofErr w:type="gramStart"/>
            <w:r w:rsidRPr="00DF3DEC">
              <w:rPr>
                <w:rFonts w:ascii="Arial" w:eastAsia="Times New Roman" w:hAnsi="Arial" w:cs="Arial"/>
                <w:color w:val="000000"/>
                <w:spacing w:val="-3"/>
                <w:lang w:eastAsia="es-ES"/>
              </w:rPr>
              <w:t>S.P</w:t>
            </w:r>
            <w:proofErr w:type="spellEnd"/>
            <w:proofErr w:type="gramEnd"/>
          </w:p>
        </w:tc>
      </w:tr>
      <w:tr w:rsidR="00DF3DEC" w:rsidRPr="00DF3DEC" w14:paraId="606FB5AB" w14:textId="77777777" w:rsidTr="00DF3DEC">
        <w:trPr>
          <w:trHeight w:val="570"/>
        </w:trPr>
        <w:tc>
          <w:tcPr>
            <w:tcW w:w="600" w:type="dxa"/>
            <w:hideMark/>
          </w:tcPr>
          <w:p w14:paraId="7D80EDA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20</w:t>
            </w:r>
          </w:p>
        </w:tc>
        <w:tc>
          <w:tcPr>
            <w:tcW w:w="1420" w:type="dxa"/>
            <w:hideMark/>
          </w:tcPr>
          <w:p w14:paraId="562B038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6026</w:t>
            </w:r>
          </w:p>
        </w:tc>
        <w:tc>
          <w:tcPr>
            <w:tcW w:w="6480" w:type="dxa"/>
            <w:hideMark/>
          </w:tcPr>
          <w:p w14:paraId="4B3236DE"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MONTAGAS</w:t>
            </w:r>
            <w:proofErr w:type="spellEnd"/>
            <w:r w:rsidRPr="00DF3DEC">
              <w:rPr>
                <w:rFonts w:ascii="Arial" w:eastAsia="Times New Roman" w:hAnsi="Arial" w:cs="Arial"/>
                <w:color w:val="000000"/>
                <w:spacing w:val="-3"/>
                <w:lang w:eastAsia="es-ES"/>
              </w:rPr>
              <w:t xml:space="preserve"> S.A. EMPRESA DE SERVICIOS PÚBLICOS DOMICILIARIOS </w:t>
            </w:r>
            <w:proofErr w:type="spellStart"/>
            <w:r w:rsidRPr="00DF3DEC">
              <w:rPr>
                <w:rFonts w:ascii="Arial" w:eastAsia="Times New Roman" w:hAnsi="Arial" w:cs="Arial"/>
                <w:color w:val="000000"/>
                <w:spacing w:val="-3"/>
                <w:lang w:eastAsia="es-ES"/>
              </w:rPr>
              <w:t>MONTAGAS</w:t>
            </w:r>
            <w:proofErr w:type="spellEnd"/>
            <w:r w:rsidRPr="00DF3DEC">
              <w:rPr>
                <w:rFonts w:ascii="Arial" w:eastAsia="Times New Roman" w:hAnsi="Arial" w:cs="Arial"/>
                <w:color w:val="000000"/>
                <w:spacing w:val="-3"/>
                <w:lang w:eastAsia="es-ES"/>
              </w:rPr>
              <w:t xml:space="preserve"> SA E S P.</w:t>
            </w:r>
          </w:p>
        </w:tc>
      </w:tr>
      <w:tr w:rsidR="00DF3DEC" w:rsidRPr="00DF3DEC" w14:paraId="7B56ED3E" w14:textId="77777777" w:rsidTr="00DF3DEC">
        <w:trPr>
          <w:trHeight w:val="285"/>
        </w:trPr>
        <w:tc>
          <w:tcPr>
            <w:tcW w:w="600" w:type="dxa"/>
            <w:hideMark/>
          </w:tcPr>
          <w:p w14:paraId="389944D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21</w:t>
            </w:r>
          </w:p>
        </w:tc>
        <w:tc>
          <w:tcPr>
            <w:tcW w:w="1420" w:type="dxa"/>
            <w:hideMark/>
          </w:tcPr>
          <w:p w14:paraId="6AF32FF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20420</w:t>
            </w:r>
          </w:p>
        </w:tc>
        <w:tc>
          <w:tcPr>
            <w:tcW w:w="6480" w:type="dxa"/>
            <w:hideMark/>
          </w:tcPr>
          <w:p w14:paraId="0E840F98"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TURGAS</w:t>
            </w:r>
            <w:proofErr w:type="spellEnd"/>
            <w:r w:rsidRPr="00DF3DEC">
              <w:rPr>
                <w:rFonts w:ascii="Arial" w:eastAsia="Times New Roman" w:hAnsi="Arial" w:cs="Arial"/>
                <w:color w:val="000000"/>
                <w:spacing w:val="-3"/>
                <w:lang w:eastAsia="es-ES"/>
              </w:rPr>
              <w:t xml:space="preserve">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6369EECD" w14:textId="77777777" w:rsidTr="00DF3DEC">
        <w:trPr>
          <w:trHeight w:val="285"/>
        </w:trPr>
        <w:tc>
          <w:tcPr>
            <w:tcW w:w="600" w:type="dxa"/>
            <w:hideMark/>
          </w:tcPr>
          <w:p w14:paraId="50D8581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22</w:t>
            </w:r>
          </w:p>
        </w:tc>
        <w:tc>
          <w:tcPr>
            <w:tcW w:w="1420" w:type="dxa"/>
            <w:hideMark/>
          </w:tcPr>
          <w:p w14:paraId="16B91C4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21578</w:t>
            </w:r>
          </w:p>
        </w:tc>
        <w:tc>
          <w:tcPr>
            <w:tcW w:w="6480" w:type="dxa"/>
            <w:hideMark/>
          </w:tcPr>
          <w:p w14:paraId="567F0EDC"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DIGASPRO</w:t>
            </w:r>
            <w:proofErr w:type="spellEnd"/>
            <w:r w:rsidRPr="00DF3DEC">
              <w:rPr>
                <w:rFonts w:ascii="Arial" w:eastAsia="Times New Roman" w:hAnsi="Arial" w:cs="Arial"/>
                <w:color w:val="000000"/>
                <w:spacing w:val="-3"/>
                <w:lang w:eastAsia="es-ES"/>
              </w:rPr>
              <w:t xml:space="preserve"> SA</w:t>
            </w:r>
          </w:p>
        </w:tc>
      </w:tr>
      <w:tr w:rsidR="00DF3DEC" w:rsidRPr="00DF3DEC" w14:paraId="76FBEE73" w14:textId="77777777" w:rsidTr="00DF3DEC">
        <w:trPr>
          <w:trHeight w:val="285"/>
        </w:trPr>
        <w:tc>
          <w:tcPr>
            <w:tcW w:w="600" w:type="dxa"/>
            <w:hideMark/>
          </w:tcPr>
          <w:p w14:paraId="71FB295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23</w:t>
            </w:r>
          </w:p>
        </w:tc>
        <w:tc>
          <w:tcPr>
            <w:tcW w:w="1420" w:type="dxa"/>
            <w:hideMark/>
          </w:tcPr>
          <w:p w14:paraId="4B6E5DB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22167</w:t>
            </w:r>
          </w:p>
        </w:tc>
        <w:tc>
          <w:tcPr>
            <w:tcW w:w="6480" w:type="dxa"/>
            <w:hideMark/>
          </w:tcPr>
          <w:p w14:paraId="640D8D8B"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ROSCOGAS</w:t>
            </w:r>
            <w:proofErr w:type="spellEnd"/>
            <w:r w:rsidRPr="00DF3DEC">
              <w:rPr>
                <w:rFonts w:ascii="Arial" w:eastAsia="Times New Roman" w:hAnsi="Arial" w:cs="Arial"/>
                <w:color w:val="000000"/>
                <w:spacing w:val="-3"/>
                <w:lang w:eastAsia="es-ES"/>
              </w:rPr>
              <w:t xml:space="preserve"> S.A. </w:t>
            </w:r>
            <w:proofErr w:type="spellStart"/>
            <w:r w:rsidRPr="00DF3DEC">
              <w:rPr>
                <w:rFonts w:ascii="Arial" w:eastAsia="Times New Roman" w:hAnsi="Arial" w:cs="Arial"/>
                <w:color w:val="000000"/>
                <w:spacing w:val="-3"/>
                <w:lang w:eastAsia="es-ES"/>
              </w:rPr>
              <w:t>E.</w:t>
            </w:r>
            <w:proofErr w:type="gramStart"/>
            <w:r w:rsidRPr="00DF3DEC">
              <w:rPr>
                <w:rFonts w:ascii="Arial" w:eastAsia="Times New Roman" w:hAnsi="Arial" w:cs="Arial"/>
                <w:color w:val="000000"/>
                <w:spacing w:val="-3"/>
                <w:lang w:eastAsia="es-ES"/>
              </w:rPr>
              <w:t>S.P</w:t>
            </w:r>
            <w:proofErr w:type="spellEnd"/>
            <w:proofErr w:type="gramEnd"/>
          </w:p>
        </w:tc>
      </w:tr>
      <w:tr w:rsidR="00DF3DEC" w:rsidRPr="00DF3DEC" w14:paraId="27C61BDB" w14:textId="77777777" w:rsidTr="00DF3DEC">
        <w:trPr>
          <w:trHeight w:val="285"/>
        </w:trPr>
        <w:tc>
          <w:tcPr>
            <w:tcW w:w="600" w:type="dxa"/>
            <w:hideMark/>
          </w:tcPr>
          <w:p w14:paraId="39F7B3A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24</w:t>
            </w:r>
          </w:p>
        </w:tc>
        <w:tc>
          <w:tcPr>
            <w:tcW w:w="1420" w:type="dxa"/>
            <w:hideMark/>
          </w:tcPr>
          <w:p w14:paraId="6EB2F91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22818</w:t>
            </w:r>
          </w:p>
        </w:tc>
        <w:tc>
          <w:tcPr>
            <w:tcW w:w="6480" w:type="dxa"/>
            <w:hideMark/>
          </w:tcPr>
          <w:p w14:paraId="630A936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COMBUSTIBLES LÍQUIDOS DE COLOMBIA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 xml:space="preserve">. </w:t>
            </w:r>
          </w:p>
        </w:tc>
      </w:tr>
      <w:tr w:rsidR="00DF3DEC" w:rsidRPr="00DF3DEC" w14:paraId="2A1EB855" w14:textId="77777777" w:rsidTr="00DF3DEC">
        <w:trPr>
          <w:trHeight w:val="285"/>
        </w:trPr>
        <w:tc>
          <w:tcPr>
            <w:tcW w:w="600" w:type="dxa"/>
            <w:hideMark/>
          </w:tcPr>
          <w:p w14:paraId="76276BE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25</w:t>
            </w:r>
          </w:p>
        </w:tc>
        <w:tc>
          <w:tcPr>
            <w:tcW w:w="1420" w:type="dxa"/>
            <w:hideMark/>
          </w:tcPr>
          <w:p w14:paraId="6164A5A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23312</w:t>
            </w:r>
          </w:p>
        </w:tc>
        <w:tc>
          <w:tcPr>
            <w:tcW w:w="6480" w:type="dxa"/>
            <w:hideMark/>
          </w:tcPr>
          <w:p w14:paraId="6D35202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INVERSIONES GLP SAS </w:t>
            </w:r>
            <w:proofErr w:type="spellStart"/>
            <w:r w:rsidRPr="00DF3DEC">
              <w:rPr>
                <w:rFonts w:ascii="Arial" w:eastAsia="Times New Roman" w:hAnsi="Arial" w:cs="Arial"/>
                <w:color w:val="000000"/>
                <w:spacing w:val="-3"/>
                <w:lang w:eastAsia="es-ES"/>
              </w:rPr>
              <w:t>ESP</w:t>
            </w:r>
            <w:proofErr w:type="spellEnd"/>
          </w:p>
        </w:tc>
      </w:tr>
      <w:tr w:rsidR="00DF3DEC" w:rsidRPr="00DF3DEC" w14:paraId="748D5642" w14:textId="77777777" w:rsidTr="00DF3DEC">
        <w:trPr>
          <w:trHeight w:val="285"/>
        </w:trPr>
        <w:tc>
          <w:tcPr>
            <w:tcW w:w="600" w:type="dxa"/>
            <w:hideMark/>
          </w:tcPr>
          <w:p w14:paraId="779251A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w:t>
            </w:r>
          </w:p>
        </w:tc>
        <w:tc>
          <w:tcPr>
            <w:tcW w:w="1420" w:type="dxa"/>
            <w:hideMark/>
          </w:tcPr>
          <w:p w14:paraId="43530CB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24860</w:t>
            </w:r>
          </w:p>
        </w:tc>
        <w:tc>
          <w:tcPr>
            <w:tcW w:w="6480" w:type="dxa"/>
            <w:hideMark/>
          </w:tcPr>
          <w:p w14:paraId="641AD5EA" w14:textId="77777777" w:rsidR="00DF3DEC" w:rsidRPr="00DF3DEC" w:rsidRDefault="00DF3DEC" w:rsidP="00DF3DEC">
            <w:pPr>
              <w:spacing w:line="360" w:lineRule="auto"/>
              <w:jc w:val="both"/>
              <w:rPr>
                <w:rFonts w:ascii="Arial" w:eastAsia="Times New Roman" w:hAnsi="Arial" w:cs="Arial"/>
                <w:color w:val="000000"/>
                <w:spacing w:val="-3"/>
                <w:lang w:val="en-GB" w:eastAsia="es-ES"/>
              </w:rPr>
            </w:pPr>
            <w:proofErr w:type="spellStart"/>
            <w:r w:rsidRPr="00DF3DEC">
              <w:rPr>
                <w:rFonts w:ascii="Arial" w:eastAsia="Times New Roman" w:hAnsi="Arial" w:cs="Arial"/>
                <w:color w:val="000000"/>
                <w:spacing w:val="-3"/>
                <w:lang w:val="en-GB" w:eastAsia="es-ES"/>
              </w:rPr>
              <w:t>FEDEGAS</w:t>
            </w:r>
            <w:proofErr w:type="spellEnd"/>
            <w:r w:rsidRPr="00DF3DEC">
              <w:rPr>
                <w:rFonts w:ascii="Arial" w:eastAsia="Times New Roman" w:hAnsi="Arial" w:cs="Arial"/>
                <w:color w:val="000000"/>
                <w:spacing w:val="-3"/>
                <w:lang w:val="en-GB" w:eastAsia="es-ES"/>
              </w:rPr>
              <w:t xml:space="preserve"> S.A.S.  E.S.P.</w:t>
            </w:r>
          </w:p>
        </w:tc>
      </w:tr>
      <w:tr w:rsidR="00DF3DEC" w:rsidRPr="00DF3DEC" w14:paraId="6871C3E8" w14:textId="77777777" w:rsidTr="00DF3DEC">
        <w:trPr>
          <w:trHeight w:val="285"/>
        </w:trPr>
        <w:tc>
          <w:tcPr>
            <w:tcW w:w="600" w:type="dxa"/>
            <w:hideMark/>
          </w:tcPr>
          <w:p w14:paraId="6D332386"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27</w:t>
            </w:r>
          </w:p>
        </w:tc>
        <w:tc>
          <w:tcPr>
            <w:tcW w:w="1420" w:type="dxa"/>
            <w:hideMark/>
          </w:tcPr>
          <w:p w14:paraId="5DE6CE2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24869</w:t>
            </w:r>
          </w:p>
        </w:tc>
        <w:tc>
          <w:tcPr>
            <w:tcW w:w="6480" w:type="dxa"/>
            <w:hideMark/>
          </w:tcPr>
          <w:p w14:paraId="7A7EAAF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CHILCO DISTRIBUIDORA DE GAS Y </w:t>
            </w:r>
            <w:proofErr w:type="spellStart"/>
            <w:r w:rsidRPr="00DF3DEC">
              <w:rPr>
                <w:rFonts w:ascii="Arial" w:eastAsia="Times New Roman" w:hAnsi="Arial" w:cs="Arial"/>
                <w:color w:val="000000"/>
                <w:spacing w:val="-3"/>
                <w:lang w:eastAsia="es-ES"/>
              </w:rPr>
              <w:t>ENERGIA</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w:t>
            </w:r>
            <w:proofErr w:type="gramStart"/>
            <w:r w:rsidRPr="00DF3DEC">
              <w:rPr>
                <w:rFonts w:ascii="Arial" w:eastAsia="Times New Roman" w:hAnsi="Arial" w:cs="Arial"/>
                <w:color w:val="000000"/>
                <w:spacing w:val="-3"/>
                <w:lang w:eastAsia="es-ES"/>
              </w:rPr>
              <w:t>S.P</w:t>
            </w:r>
            <w:proofErr w:type="spellEnd"/>
            <w:proofErr w:type="gramEnd"/>
          </w:p>
        </w:tc>
      </w:tr>
      <w:tr w:rsidR="00DF3DEC" w:rsidRPr="00DF3DEC" w14:paraId="1649189A" w14:textId="77777777" w:rsidTr="00DF3DEC">
        <w:trPr>
          <w:trHeight w:val="285"/>
        </w:trPr>
        <w:tc>
          <w:tcPr>
            <w:tcW w:w="600" w:type="dxa"/>
            <w:hideMark/>
          </w:tcPr>
          <w:p w14:paraId="6F7596F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28</w:t>
            </w:r>
          </w:p>
        </w:tc>
        <w:tc>
          <w:tcPr>
            <w:tcW w:w="1420" w:type="dxa"/>
            <w:hideMark/>
          </w:tcPr>
          <w:p w14:paraId="0D2E3D7B"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24963</w:t>
            </w:r>
          </w:p>
        </w:tc>
        <w:tc>
          <w:tcPr>
            <w:tcW w:w="6480" w:type="dxa"/>
            <w:hideMark/>
          </w:tcPr>
          <w:p w14:paraId="41F95BF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SUPERIOR DE COLOMBIA SA </w:t>
            </w:r>
            <w:proofErr w:type="spellStart"/>
            <w:r w:rsidRPr="00DF3DEC">
              <w:rPr>
                <w:rFonts w:ascii="Arial" w:eastAsia="Times New Roman" w:hAnsi="Arial" w:cs="Arial"/>
                <w:color w:val="000000"/>
                <w:spacing w:val="-3"/>
                <w:lang w:eastAsia="es-ES"/>
              </w:rPr>
              <w:t>ESP</w:t>
            </w:r>
            <w:proofErr w:type="spellEnd"/>
          </w:p>
        </w:tc>
      </w:tr>
      <w:tr w:rsidR="00DF3DEC" w:rsidRPr="00DF3DEC" w14:paraId="5CB13101" w14:textId="77777777" w:rsidTr="00DF3DEC">
        <w:trPr>
          <w:trHeight w:val="285"/>
        </w:trPr>
        <w:tc>
          <w:tcPr>
            <w:tcW w:w="600" w:type="dxa"/>
            <w:hideMark/>
          </w:tcPr>
          <w:p w14:paraId="0D417C9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29</w:t>
            </w:r>
          </w:p>
        </w:tc>
        <w:tc>
          <w:tcPr>
            <w:tcW w:w="1420" w:type="dxa"/>
            <w:hideMark/>
          </w:tcPr>
          <w:p w14:paraId="2454E8D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25709</w:t>
            </w:r>
          </w:p>
        </w:tc>
        <w:tc>
          <w:tcPr>
            <w:tcW w:w="6480" w:type="dxa"/>
            <w:hideMark/>
          </w:tcPr>
          <w:p w14:paraId="68749CD3"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RAPIDGAS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p>
        </w:tc>
      </w:tr>
      <w:tr w:rsidR="00DF3DEC" w:rsidRPr="00DF3DEC" w14:paraId="044E4A31" w14:textId="77777777" w:rsidTr="00DF3DEC">
        <w:trPr>
          <w:trHeight w:val="285"/>
        </w:trPr>
        <w:tc>
          <w:tcPr>
            <w:tcW w:w="600" w:type="dxa"/>
            <w:hideMark/>
          </w:tcPr>
          <w:p w14:paraId="14B1D1D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30</w:t>
            </w:r>
          </w:p>
        </w:tc>
        <w:tc>
          <w:tcPr>
            <w:tcW w:w="1420" w:type="dxa"/>
            <w:hideMark/>
          </w:tcPr>
          <w:p w14:paraId="04CC4D8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25939</w:t>
            </w:r>
          </w:p>
        </w:tc>
        <w:tc>
          <w:tcPr>
            <w:tcW w:w="6480" w:type="dxa"/>
            <w:hideMark/>
          </w:tcPr>
          <w:p w14:paraId="2CC7B3ED"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CITYGAS</w:t>
            </w:r>
            <w:proofErr w:type="spellEnd"/>
            <w:r w:rsidRPr="00DF3DEC">
              <w:rPr>
                <w:rFonts w:ascii="Arial" w:eastAsia="Times New Roman" w:hAnsi="Arial" w:cs="Arial"/>
                <w:color w:val="000000"/>
                <w:spacing w:val="-3"/>
                <w:lang w:eastAsia="es-ES"/>
              </w:rPr>
              <w:t xml:space="preserve"> DISTRIBUIDORA S.A.S. </w:t>
            </w:r>
            <w:proofErr w:type="spellStart"/>
            <w:r w:rsidRPr="00DF3DEC">
              <w:rPr>
                <w:rFonts w:ascii="Arial" w:eastAsia="Times New Roman" w:hAnsi="Arial" w:cs="Arial"/>
                <w:color w:val="000000"/>
                <w:spacing w:val="-3"/>
                <w:lang w:eastAsia="es-ES"/>
              </w:rPr>
              <w:t>E.</w:t>
            </w:r>
            <w:proofErr w:type="gramStart"/>
            <w:r w:rsidRPr="00DF3DEC">
              <w:rPr>
                <w:rFonts w:ascii="Arial" w:eastAsia="Times New Roman" w:hAnsi="Arial" w:cs="Arial"/>
                <w:color w:val="000000"/>
                <w:spacing w:val="-3"/>
                <w:lang w:eastAsia="es-ES"/>
              </w:rPr>
              <w:t>S.P</w:t>
            </w:r>
            <w:proofErr w:type="spellEnd"/>
            <w:proofErr w:type="gramEnd"/>
          </w:p>
        </w:tc>
      </w:tr>
      <w:tr w:rsidR="00DF3DEC" w:rsidRPr="00DF3DEC" w14:paraId="06A4EFE8" w14:textId="77777777" w:rsidTr="00DF3DEC">
        <w:trPr>
          <w:trHeight w:val="285"/>
        </w:trPr>
        <w:tc>
          <w:tcPr>
            <w:tcW w:w="600" w:type="dxa"/>
            <w:hideMark/>
          </w:tcPr>
          <w:p w14:paraId="4A80EB0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31</w:t>
            </w:r>
          </w:p>
        </w:tc>
        <w:tc>
          <w:tcPr>
            <w:tcW w:w="1420" w:type="dxa"/>
            <w:hideMark/>
          </w:tcPr>
          <w:p w14:paraId="4EC5525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25954</w:t>
            </w:r>
          </w:p>
        </w:tc>
        <w:tc>
          <w:tcPr>
            <w:tcW w:w="6480" w:type="dxa"/>
            <w:hideMark/>
          </w:tcPr>
          <w:p w14:paraId="02F4DBE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DISTRIBUIDORA DE GAS DEL PACIFICO DIGAS SAS </w:t>
            </w:r>
            <w:proofErr w:type="spellStart"/>
            <w:r w:rsidRPr="00DF3DEC">
              <w:rPr>
                <w:rFonts w:ascii="Arial" w:eastAsia="Times New Roman" w:hAnsi="Arial" w:cs="Arial"/>
                <w:color w:val="000000"/>
                <w:spacing w:val="-3"/>
                <w:lang w:eastAsia="es-ES"/>
              </w:rPr>
              <w:t>ESP</w:t>
            </w:r>
            <w:proofErr w:type="spellEnd"/>
          </w:p>
        </w:tc>
      </w:tr>
      <w:tr w:rsidR="00DF3DEC" w:rsidRPr="00DF3DEC" w14:paraId="270E8436" w14:textId="77777777" w:rsidTr="00DF3DEC">
        <w:trPr>
          <w:trHeight w:val="285"/>
        </w:trPr>
        <w:tc>
          <w:tcPr>
            <w:tcW w:w="600" w:type="dxa"/>
            <w:hideMark/>
          </w:tcPr>
          <w:p w14:paraId="0094599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32</w:t>
            </w:r>
          </w:p>
        </w:tc>
        <w:tc>
          <w:tcPr>
            <w:tcW w:w="1420" w:type="dxa"/>
            <w:hideMark/>
          </w:tcPr>
          <w:p w14:paraId="563E038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26219</w:t>
            </w:r>
          </w:p>
        </w:tc>
        <w:tc>
          <w:tcPr>
            <w:tcW w:w="6480" w:type="dxa"/>
            <w:hideMark/>
          </w:tcPr>
          <w:p w14:paraId="241A7BD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EXPRESS COLOMBIA SAS </w:t>
            </w:r>
            <w:proofErr w:type="spellStart"/>
            <w:r w:rsidRPr="00DF3DEC">
              <w:rPr>
                <w:rFonts w:ascii="Arial" w:eastAsia="Times New Roman" w:hAnsi="Arial" w:cs="Arial"/>
                <w:color w:val="000000"/>
                <w:spacing w:val="-3"/>
                <w:lang w:eastAsia="es-ES"/>
              </w:rPr>
              <w:t>ESP</w:t>
            </w:r>
            <w:proofErr w:type="spellEnd"/>
          </w:p>
        </w:tc>
      </w:tr>
      <w:tr w:rsidR="00DF3DEC" w:rsidRPr="00DF3DEC" w14:paraId="4BC375BE" w14:textId="77777777" w:rsidTr="00DF3DEC">
        <w:trPr>
          <w:trHeight w:val="285"/>
        </w:trPr>
        <w:tc>
          <w:tcPr>
            <w:tcW w:w="600" w:type="dxa"/>
            <w:hideMark/>
          </w:tcPr>
          <w:p w14:paraId="72F2C48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33</w:t>
            </w:r>
          </w:p>
        </w:tc>
        <w:tc>
          <w:tcPr>
            <w:tcW w:w="1420" w:type="dxa"/>
            <w:hideMark/>
          </w:tcPr>
          <w:p w14:paraId="666BA3F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26226</w:t>
            </w:r>
          </w:p>
        </w:tc>
        <w:tc>
          <w:tcPr>
            <w:tcW w:w="6480" w:type="dxa"/>
            <w:hideMark/>
          </w:tcPr>
          <w:p w14:paraId="4A7D80D0"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COMPROPANO</w:t>
            </w:r>
            <w:proofErr w:type="spellEnd"/>
            <w:r w:rsidRPr="00DF3DEC">
              <w:rPr>
                <w:rFonts w:ascii="Arial" w:eastAsia="Times New Roman" w:hAnsi="Arial" w:cs="Arial"/>
                <w:color w:val="000000"/>
                <w:spacing w:val="-3"/>
                <w:lang w:eastAsia="es-ES"/>
              </w:rPr>
              <w:t xml:space="preserve"> SOCIEDAD POR ACCIONES SIMPLIFICADA </w:t>
            </w:r>
            <w:proofErr w:type="spellStart"/>
            <w:r w:rsidRPr="00DF3DEC">
              <w:rPr>
                <w:rFonts w:ascii="Arial" w:eastAsia="Times New Roman" w:hAnsi="Arial" w:cs="Arial"/>
                <w:color w:val="000000"/>
                <w:spacing w:val="-3"/>
                <w:lang w:eastAsia="es-ES"/>
              </w:rPr>
              <w:t>E.</w:t>
            </w:r>
            <w:proofErr w:type="gramStart"/>
            <w:r w:rsidRPr="00DF3DEC">
              <w:rPr>
                <w:rFonts w:ascii="Arial" w:eastAsia="Times New Roman" w:hAnsi="Arial" w:cs="Arial"/>
                <w:color w:val="000000"/>
                <w:spacing w:val="-3"/>
                <w:lang w:eastAsia="es-ES"/>
              </w:rPr>
              <w:t>S.P</w:t>
            </w:r>
            <w:proofErr w:type="spellEnd"/>
            <w:proofErr w:type="gramEnd"/>
          </w:p>
        </w:tc>
      </w:tr>
      <w:tr w:rsidR="00DF3DEC" w:rsidRPr="00DF3DEC" w14:paraId="44B0D4AB" w14:textId="77777777" w:rsidTr="00DF3DEC">
        <w:trPr>
          <w:trHeight w:val="285"/>
        </w:trPr>
        <w:tc>
          <w:tcPr>
            <w:tcW w:w="600" w:type="dxa"/>
            <w:hideMark/>
          </w:tcPr>
          <w:p w14:paraId="2488CD1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34</w:t>
            </w:r>
          </w:p>
        </w:tc>
        <w:tc>
          <w:tcPr>
            <w:tcW w:w="1420" w:type="dxa"/>
            <w:hideMark/>
          </w:tcPr>
          <w:p w14:paraId="2F31E29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26548</w:t>
            </w:r>
          </w:p>
        </w:tc>
        <w:tc>
          <w:tcPr>
            <w:tcW w:w="6480" w:type="dxa"/>
            <w:hideMark/>
          </w:tcPr>
          <w:p w14:paraId="27CED43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GASES ANDINOS DE COLOMBIA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0287F676" w14:textId="77777777" w:rsidTr="00DF3DEC">
        <w:trPr>
          <w:trHeight w:val="285"/>
        </w:trPr>
        <w:tc>
          <w:tcPr>
            <w:tcW w:w="600" w:type="dxa"/>
            <w:hideMark/>
          </w:tcPr>
          <w:p w14:paraId="4EDB79E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35</w:t>
            </w:r>
          </w:p>
        </w:tc>
        <w:tc>
          <w:tcPr>
            <w:tcW w:w="1420" w:type="dxa"/>
            <w:hideMark/>
          </w:tcPr>
          <w:p w14:paraId="54E0DF06"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26554</w:t>
            </w:r>
          </w:p>
        </w:tc>
        <w:tc>
          <w:tcPr>
            <w:tcW w:w="6480" w:type="dxa"/>
            <w:hideMark/>
          </w:tcPr>
          <w:p w14:paraId="51D8BAE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w:t>
            </w:r>
            <w:proofErr w:type="spellStart"/>
            <w:r w:rsidRPr="00DF3DEC">
              <w:rPr>
                <w:rFonts w:ascii="Arial" w:eastAsia="Times New Roman" w:hAnsi="Arial" w:cs="Arial"/>
                <w:color w:val="000000"/>
                <w:spacing w:val="-3"/>
                <w:lang w:eastAsia="es-ES"/>
              </w:rPr>
              <w:t>UNION</w:t>
            </w:r>
            <w:proofErr w:type="spellEnd"/>
            <w:r w:rsidRPr="00DF3DEC">
              <w:rPr>
                <w:rFonts w:ascii="Arial" w:eastAsia="Times New Roman" w:hAnsi="Arial" w:cs="Arial"/>
                <w:color w:val="000000"/>
                <w:spacing w:val="-3"/>
                <w:lang w:eastAsia="es-ES"/>
              </w:rPr>
              <w:t xml:space="preserve"> DE COLOMBIA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1CF46B0A" w14:textId="77777777" w:rsidTr="00DF3DEC">
        <w:trPr>
          <w:trHeight w:val="285"/>
        </w:trPr>
        <w:tc>
          <w:tcPr>
            <w:tcW w:w="600" w:type="dxa"/>
            <w:hideMark/>
          </w:tcPr>
          <w:p w14:paraId="3506B09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lastRenderedPageBreak/>
              <w:t>36</w:t>
            </w:r>
          </w:p>
        </w:tc>
        <w:tc>
          <w:tcPr>
            <w:tcW w:w="1420" w:type="dxa"/>
            <w:hideMark/>
          </w:tcPr>
          <w:p w14:paraId="5CB21CC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26677</w:t>
            </w:r>
          </w:p>
        </w:tc>
        <w:tc>
          <w:tcPr>
            <w:tcW w:w="6480" w:type="dxa"/>
            <w:hideMark/>
          </w:tcPr>
          <w:p w14:paraId="3807C3E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CENTRAL DE HIDROCARBUROS </w:t>
            </w:r>
            <w:proofErr w:type="spellStart"/>
            <w:r w:rsidRPr="00DF3DEC">
              <w:rPr>
                <w:rFonts w:ascii="Arial" w:eastAsia="Times New Roman" w:hAnsi="Arial" w:cs="Arial"/>
                <w:color w:val="000000"/>
                <w:spacing w:val="-3"/>
                <w:lang w:eastAsia="es-ES"/>
              </w:rPr>
              <w:t>GC</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p>
        </w:tc>
      </w:tr>
      <w:tr w:rsidR="00DF3DEC" w:rsidRPr="00DF3DEC" w14:paraId="4C9F7F0D" w14:textId="77777777" w:rsidTr="00DF3DEC">
        <w:trPr>
          <w:trHeight w:val="285"/>
        </w:trPr>
        <w:tc>
          <w:tcPr>
            <w:tcW w:w="600" w:type="dxa"/>
            <w:hideMark/>
          </w:tcPr>
          <w:p w14:paraId="67BB0F7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37</w:t>
            </w:r>
          </w:p>
        </w:tc>
        <w:tc>
          <w:tcPr>
            <w:tcW w:w="1420" w:type="dxa"/>
            <w:hideMark/>
          </w:tcPr>
          <w:p w14:paraId="0E4DF26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26857</w:t>
            </w:r>
          </w:p>
        </w:tc>
        <w:tc>
          <w:tcPr>
            <w:tcW w:w="6480" w:type="dxa"/>
            <w:hideMark/>
          </w:tcPr>
          <w:p w14:paraId="5F57F6A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COMERCIALIZADORA CENTRO ORIENTE S.A.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5DBAA965" w14:textId="77777777" w:rsidTr="00DF3DEC">
        <w:trPr>
          <w:trHeight w:val="285"/>
        </w:trPr>
        <w:tc>
          <w:tcPr>
            <w:tcW w:w="600" w:type="dxa"/>
            <w:hideMark/>
          </w:tcPr>
          <w:p w14:paraId="1DD9E9A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38</w:t>
            </w:r>
          </w:p>
        </w:tc>
        <w:tc>
          <w:tcPr>
            <w:tcW w:w="1420" w:type="dxa"/>
            <w:hideMark/>
          </w:tcPr>
          <w:p w14:paraId="4BE5233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26878</w:t>
            </w:r>
          </w:p>
        </w:tc>
        <w:tc>
          <w:tcPr>
            <w:tcW w:w="6480" w:type="dxa"/>
            <w:hideMark/>
          </w:tcPr>
          <w:p w14:paraId="30844793"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MULTIGAS</w:t>
            </w:r>
            <w:proofErr w:type="spellEnd"/>
            <w:r w:rsidRPr="00DF3DEC">
              <w:rPr>
                <w:rFonts w:ascii="Arial" w:eastAsia="Times New Roman" w:hAnsi="Arial" w:cs="Arial"/>
                <w:color w:val="000000"/>
                <w:spacing w:val="-3"/>
                <w:lang w:eastAsia="es-ES"/>
              </w:rPr>
              <w:t xml:space="preserve"> DE COLOMBIA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3BE7E74B" w14:textId="77777777" w:rsidTr="00DF3DEC">
        <w:trPr>
          <w:trHeight w:val="285"/>
        </w:trPr>
        <w:tc>
          <w:tcPr>
            <w:tcW w:w="600" w:type="dxa"/>
            <w:hideMark/>
          </w:tcPr>
          <w:p w14:paraId="5D015D1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39</w:t>
            </w:r>
          </w:p>
        </w:tc>
        <w:tc>
          <w:tcPr>
            <w:tcW w:w="1420" w:type="dxa"/>
            <w:hideMark/>
          </w:tcPr>
          <w:p w14:paraId="185DD7B6"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27812</w:t>
            </w:r>
          </w:p>
        </w:tc>
        <w:tc>
          <w:tcPr>
            <w:tcW w:w="6480" w:type="dxa"/>
            <w:hideMark/>
          </w:tcPr>
          <w:p w14:paraId="6329211B"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GAS PAC S.A.S. ESP.</w:t>
            </w:r>
          </w:p>
        </w:tc>
      </w:tr>
      <w:tr w:rsidR="00DF3DEC" w:rsidRPr="00DF3DEC" w14:paraId="27894B1A" w14:textId="77777777" w:rsidTr="00DF3DEC">
        <w:trPr>
          <w:trHeight w:val="285"/>
        </w:trPr>
        <w:tc>
          <w:tcPr>
            <w:tcW w:w="600" w:type="dxa"/>
            <w:hideMark/>
          </w:tcPr>
          <w:p w14:paraId="4AA103F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40</w:t>
            </w:r>
          </w:p>
        </w:tc>
        <w:tc>
          <w:tcPr>
            <w:tcW w:w="1420" w:type="dxa"/>
            <w:hideMark/>
          </w:tcPr>
          <w:p w14:paraId="1E21B46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29451</w:t>
            </w:r>
          </w:p>
        </w:tc>
        <w:tc>
          <w:tcPr>
            <w:tcW w:w="6480" w:type="dxa"/>
            <w:hideMark/>
          </w:tcPr>
          <w:p w14:paraId="0E13C56B"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PORVENIR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 xml:space="preserve"> SAS</w:t>
            </w:r>
          </w:p>
        </w:tc>
      </w:tr>
      <w:tr w:rsidR="00DF3DEC" w:rsidRPr="00DF3DEC" w14:paraId="0E52064B" w14:textId="77777777" w:rsidTr="00DF3DEC">
        <w:trPr>
          <w:trHeight w:val="285"/>
        </w:trPr>
        <w:tc>
          <w:tcPr>
            <w:tcW w:w="600" w:type="dxa"/>
            <w:hideMark/>
          </w:tcPr>
          <w:p w14:paraId="5912E4E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41</w:t>
            </w:r>
          </w:p>
        </w:tc>
        <w:tc>
          <w:tcPr>
            <w:tcW w:w="1420" w:type="dxa"/>
            <w:hideMark/>
          </w:tcPr>
          <w:p w14:paraId="44E3940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32073</w:t>
            </w:r>
          </w:p>
        </w:tc>
        <w:tc>
          <w:tcPr>
            <w:tcW w:w="6480" w:type="dxa"/>
            <w:hideMark/>
          </w:tcPr>
          <w:p w14:paraId="69B2E04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MEGAS S.A.S. </w:t>
            </w:r>
            <w:proofErr w:type="spellStart"/>
            <w:r w:rsidRPr="00DF3DEC">
              <w:rPr>
                <w:rFonts w:ascii="Arial" w:eastAsia="Times New Roman" w:hAnsi="Arial" w:cs="Arial"/>
                <w:color w:val="000000"/>
                <w:spacing w:val="-3"/>
                <w:lang w:eastAsia="es-ES"/>
              </w:rPr>
              <w:t>ESP</w:t>
            </w:r>
            <w:proofErr w:type="spellEnd"/>
          </w:p>
        </w:tc>
      </w:tr>
      <w:tr w:rsidR="00DF3DEC" w:rsidRPr="00DF3DEC" w14:paraId="74B87354" w14:textId="77777777" w:rsidTr="00DF3DEC">
        <w:trPr>
          <w:trHeight w:val="285"/>
        </w:trPr>
        <w:tc>
          <w:tcPr>
            <w:tcW w:w="600" w:type="dxa"/>
            <w:hideMark/>
          </w:tcPr>
          <w:p w14:paraId="7BC8153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42</w:t>
            </w:r>
          </w:p>
        </w:tc>
        <w:tc>
          <w:tcPr>
            <w:tcW w:w="1420" w:type="dxa"/>
            <w:hideMark/>
          </w:tcPr>
          <w:p w14:paraId="45E2614E"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32253</w:t>
            </w:r>
          </w:p>
        </w:tc>
        <w:tc>
          <w:tcPr>
            <w:tcW w:w="6480" w:type="dxa"/>
            <w:hideMark/>
          </w:tcPr>
          <w:p w14:paraId="18BBB91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COMERCIALIZADORA DE GAS CASANARE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3A3BAD25" w14:textId="77777777" w:rsidTr="00DF3DEC">
        <w:trPr>
          <w:trHeight w:val="285"/>
        </w:trPr>
        <w:tc>
          <w:tcPr>
            <w:tcW w:w="600" w:type="dxa"/>
            <w:hideMark/>
          </w:tcPr>
          <w:p w14:paraId="632D64C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43</w:t>
            </w:r>
          </w:p>
        </w:tc>
        <w:tc>
          <w:tcPr>
            <w:tcW w:w="1420" w:type="dxa"/>
            <w:hideMark/>
          </w:tcPr>
          <w:p w14:paraId="5F7F616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32733</w:t>
            </w:r>
          </w:p>
        </w:tc>
        <w:tc>
          <w:tcPr>
            <w:tcW w:w="6480" w:type="dxa"/>
            <w:hideMark/>
          </w:tcPr>
          <w:p w14:paraId="34C9BBF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EMPRESA MIXTA DE GAS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5B6AE46D" w14:textId="77777777" w:rsidTr="00DF3DEC">
        <w:trPr>
          <w:trHeight w:val="285"/>
        </w:trPr>
        <w:tc>
          <w:tcPr>
            <w:tcW w:w="600" w:type="dxa"/>
            <w:hideMark/>
          </w:tcPr>
          <w:p w14:paraId="1E6E3EC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44</w:t>
            </w:r>
          </w:p>
        </w:tc>
        <w:tc>
          <w:tcPr>
            <w:tcW w:w="1420" w:type="dxa"/>
            <w:hideMark/>
          </w:tcPr>
          <w:p w14:paraId="066C40ED"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32793</w:t>
            </w:r>
          </w:p>
        </w:tc>
        <w:tc>
          <w:tcPr>
            <w:tcW w:w="6480" w:type="dxa"/>
            <w:hideMark/>
          </w:tcPr>
          <w:p w14:paraId="020380A5"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COLOMBOGAS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56123835" w14:textId="77777777" w:rsidTr="00DF3DEC">
        <w:trPr>
          <w:trHeight w:val="285"/>
        </w:trPr>
        <w:tc>
          <w:tcPr>
            <w:tcW w:w="600" w:type="dxa"/>
            <w:hideMark/>
          </w:tcPr>
          <w:p w14:paraId="2ECA031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45</w:t>
            </w:r>
          </w:p>
        </w:tc>
        <w:tc>
          <w:tcPr>
            <w:tcW w:w="1420" w:type="dxa"/>
            <w:hideMark/>
          </w:tcPr>
          <w:p w14:paraId="16E4690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33453</w:t>
            </w:r>
          </w:p>
        </w:tc>
        <w:tc>
          <w:tcPr>
            <w:tcW w:w="6480" w:type="dxa"/>
            <w:hideMark/>
          </w:tcPr>
          <w:p w14:paraId="539D56A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COLOMBIA SAS </w:t>
            </w:r>
            <w:proofErr w:type="spellStart"/>
            <w:r w:rsidRPr="00DF3DEC">
              <w:rPr>
                <w:rFonts w:ascii="Arial" w:eastAsia="Times New Roman" w:hAnsi="Arial" w:cs="Arial"/>
                <w:color w:val="000000"/>
                <w:spacing w:val="-3"/>
                <w:lang w:eastAsia="es-ES"/>
              </w:rPr>
              <w:t>ESP</w:t>
            </w:r>
            <w:proofErr w:type="spellEnd"/>
          </w:p>
        </w:tc>
      </w:tr>
      <w:tr w:rsidR="00DF3DEC" w:rsidRPr="00DF3DEC" w14:paraId="52261465" w14:textId="77777777" w:rsidTr="00DF3DEC">
        <w:trPr>
          <w:trHeight w:val="285"/>
        </w:trPr>
        <w:tc>
          <w:tcPr>
            <w:tcW w:w="600" w:type="dxa"/>
            <w:hideMark/>
          </w:tcPr>
          <w:p w14:paraId="1403268B"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46</w:t>
            </w:r>
          </w:p>
        </w:tc>
        <w:tc>
          <w:tcPr>
            <w:tcW w:w="1420" w:type="dxa"/>
            <w:hideMark/>
          </w:tcPr>
          <w:p w14:paraId="57EA5B7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33573</w:t>
            </w:r>
          </w:p>
        </w:tc>
        <w:tc>
          <w:tcPr>
            <w:tcW w:w="6480" w:type="dxa"/>
            <w:hideMark/>
          </w:tcPr>
          <w:p w14:paraId="54C2D9B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COMERCIALIZADORA </w:t>
            </w:r>
            <w:proofErr w:type="spellStart"/>
            <w:proofErr w:type="gramStart"/>
            <w:r w:rsidRPr="00DF3DEC">
              <w:rPr>
                <w:rFonts w:ascii="Arial" w:eastAsia="Times New Roman" w:hAnsi="Arial" w:cs="Arial"/>
                <w:color w:val="000000"/>
                <w:spacing w:val="-3"/>
                <w:lang w:eastAsia="es-ES"/>
              </w:rPr>
              <w:t>G.L.P</w:t>
            </w:r>
            <w:proofErr w:type="spellEnd"/>
            <w:r w:rsidRPr="00DF3DEC">
              <w:rPr>
                <w:rFonts w:ascii="Arial" w:eastAsia="Times New Roman" w:hAnsi="Arial" w:cs="Arial"/>
                <w:color w:val="000000"/>
                <w:spacing w:val="-3"/>
                <w:lang w:eastAsia="es-ES"/>
              </w:rPr>
              <w:t xml:space="preserve">  DEL</w:t>
            </w:r>
            <w:proofErr w:type="gramEnd"/>
            <w:r w:rsidRPr="00DF3DEC">
              <w:rPr>
                <w:rFonts w:ascii="Arial" w:eastAsia="Times New Roman" w:hAnsi="Arial" w:cs="Arial"/>
                <w:color w:val="000000"/>
                <w:spacing w:val="-3"/>
                <w:lang w:eastAsia="es-ES"/>
              </w:rPr>
              <w:t xml:space="preserve"> ORIENTE SAS   </w:t>
            </w:r>
            <w:proofErr w:type="spellStart"/>
            <w:r w:rsidRPr="00DF3DEC">
              <w:rPr>
                <w:rFonts w:ascii="Arial" w:eastAsia="Times New Roman" w:hAnsi="Arial" w:cs="Arial"/>
                <w:color w:val="000000"/>
                <w:spacing w:val="-3"/>
                <w:lang w:eastAsia="es-ES"/>
              </w:rPr>
              <w:t>ESP</w:t>
            </w:r>
            <w:proofErr w:type="spellEnd"/>
          </w:p>
        </w:tc>
      </w:tr>
      <w:tr w:rsidR="00DF3DEC" w:rsidRPr="00DF3DEC" w14:paraId="56D788D6" w14:textId="77777777" w:rsidTr="00DF3DEC">
        <w:trPr>
          <w:trHeight w:val="285"/>
        </w:trPr>
        <w:tc>
          <w:tcPr>
            <w:tcW w:w="600" w:type="dxa"/>
            <w:hideMark/>
          </w:tcPr>
          <w:p w14:paraId="19E9504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47</w:t>
            </w:r>
          </w:p>
        </w:tc>
        <w:tc>
          <w:tcPr>
            <w:tcW w:w="1420" w:type="dxa"/>
            <w:hideMark/>
          </w:tcPr>
          <w:p w14:paraId="26B917E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36154</w:t>
            </w:r>
          </w:p>
        </w:tc>
        <w:tc>
          <w:tcPr>
            <w:tcW w:w="6480" w:type="dxa"/>
            <w:hideMark/>
          </w:tcPr>
          <w:p w14:paraId="25D77CB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ENTREGAMOS </w:t>
            </w:r>
            <w:proofErr w:type="spellStart"/>
            <w:r w:rsidRPr="00DF3DEC">
              <w:rPr>
                <w:rFonts w:ascii="Arial" w:eastAsia="Times New Roman" w:hAnsi="Arial" w:cs="Arial"/>
                <w:color w:val="000000"/>
                <w:spacing w:val="-3"/>
                <w:lang w:eastAsia="es-ES"/>
              </w:rPr>
              <w:t>G.L.P</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 S.A.S.</w:t>
            </w:r>
          </w:p>
        </w:tc>
      </w:tr>
      <w:tr w:rsidR="00DF3DEC" w:rsidRPr="00DF3DEC" w14:paraId="13D84A7E" w14:textId="77777777" w:rsidTr="00DF3DEC">
        <w:trPr>
          <w:trHeight w:val="855"/>
        </w:trPr>
        <w:tc>
          <w:tcPr>
            <w:tcW w:w="600" w:type="dxa"/>
            <w:hideMark/>
          </w:tcPr>
          <w:p w14:paraId="25A9613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48</w:t>
            </w:r>
          </w:p>
        </w:tc>
        <w:tc>
          <w:tcPr>
            <w:tcW w:w="1420" w:type="dxa"/>
            <w:hideMark/>
          </w:tcPr>
          <w:p w14:paraId="6E03754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36695</w:t>
            </w:r>
          </w:p>
        </w:tc>
        <w:tc>
          <w:tcPr>
            <w:tcW w:w="6480" w:type="dxa"/>
            <w:hideMark/>
          </w:tcPr>
          <w:p w14:paraId="15B675F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DISTRIBUIDORA DE GAS DEL </w:t>
            </w:r>
            <w:proofErr w:type="spellStart"/>
            <w:r w:rsidRPr="00DF3DEC">
              <w:rPr>
                <w:rFonts w:ascii="Arial" w:eastAsia="Times New Roman" w:hAnsi="Arial" w:cs="Arial"/>
                <w:color w:val="000000"/>
                <w:spacing w:val="-3"/>
                <w:lang w:eastAsia="es-ES"/>
              </w:rPr>
              <w:t>FONCE</w:t>
            </w:r>
            <w:proofErr w:type="spellEnd"/>
            <w:r w:rsidRPr="00DF3DEC">
              <w:rPr>
                <w:rFonts w:ascii="Arial" w:eastAsia="Times New Roman" w:hAnsi="Arial" w:cs="Arial"/>
                <w:color w:val="000000"/>
                <w:spacing w:val="-3"/>
                <w:lang w:eastAsia="es-ES"/>
              </w:rPr>
              <w:t xml:space="preserve"> SOCIEDAD POR ACCIONES SIMPLIFICADA EMPRESA DE SERVICIO </w:t>
            </w:r>
            <w:proofErr w:type="spellStart"/>
            <w:r w:rsidRPr="00DF3DEC">
              <w:rPr>
                <w:rFonts w:ascii="Arial" w:eastAsia="Times New Roman" w:hAnsi="Arial" w:cs="Arial"/>
                <w:color w:val="000000"/>
                <w:spacing w:val="-3"/>
                <w:lang w:eastAsia="es-ES"/>
              </w:rPr>
              <w:t>PUBLICOS</w:t>
            </w:r>
            <w:proofErr w:type="spellEnd"/>
            <w:r w:rsidRPr="00DF3DEC">
              <w:rPr>
                <w:rFonts w:ascii="Arial" w:eastAsia="Times New Roman" w:hAnsi="Arial" w:cs="Arial"/>
                <w:color w:val="000000"/>
                <w:spacing w:val="-3"/>
                <w:lang w:eastAsia="es-ES"/>
              </w:rPr>
              <w:t xml:space="preserve"> DOMICILIARIOS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3CE7AAE0" w14:textId="77777777" w:rsidTr="00DF3DEC">
        <w:trPr>
          <w:trHeight w:val="285"/>
        </w:trPr>
        <w:tc>
          <w:tcPr>
            <w:tcW w:w="600" w:type="dxa"/>
            <w:hideMark/>
          </w:tcPr>
          <w:p w14:paraId="6BAE7B5E"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49</w:t>
            </w:r>
          </w:p>
        </w:tc>
        <w:tc>
          <w:tcPr>
            <w:tcW w:w="1420" w:type="dxa"/>
            <w:hideMark/>
          </w:tcPr>
          <w:p w14:paraId="1FBFBCD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37174</w:t>
            </w:r>
          </w:p>
        </w:tc>
        <w:tc>
          <w:tcPr>
            <w:tcW w:w="6480" w:type="dxa"/>
            <w:hideMark/>
          </w:tcPr>
          <w:p w14:paraId="19BB2E30"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TERMOGAS</w:t>
            </w:r>
            <w:proofErr w:type="spellEnd"/>
            <w:r w:rsidRPr="00DF3DEC">
              <w:rPr>
                <w:rFonts w:ascii="Arial" w:eastAsia="Times New Roman" w:hAnsi="Arial" w:cs="Arial"/>
                <w:color w:val="000000"/>
                <w:spacing w:val="-3"/>
                <w:lang w:eastAsia="es-ES"/>
              </w:rPr>
              <w:t xml:space="preserve"> SOLUCIONES </w:t>
            </w:r>
            <w:proofErr w:type="spellStart"/>
            <w:r w:rsidRPr="00DF3DEC">
              <w:rPr>
                <w:rFonts w:ascii="Arial" w:eastAsia="Times New Roman" w:hAnsi="Arial" w:cs="Arial"/>
                <w:color w:val="000000"/>
                <w:spacing w:val="-3"/>
                <w:lang w:eastAsia="es-ES"/>
              </w:rPr>
              <w:t>ENERGETICAS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p>
        </w:tc>
      </w:tr>
      <w:tr w:rsidR="00DF3DEC" w:rsidRPr="00DF3DEC" w14:paraId="4ED11F55" w14:textId="77777777" w:rsidTr="00DF3DEC">
        <w:trPr>
          <w:trHeight w:val="285"/>
        </w:trPr>
        <w:tc>
          <w:tcPr>
            <w:tcW w:w="600" w:type="dxa"/>
            <w:hideMark/>
          </w:tcPr>
          <w:p w14:paraId="1E93192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50</w:t>
            </w:r>
          </w:p>
        </w:tc>
        <w:tc>
          <w:tcPr>
            <w:tcW w:w="1420" w:type="dxa"/>
            <w:hideMark/>
          </w:tcPr>
          <w:p w14:paraId="0C380B5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50403</w:t>
            </w:r>
          </w:p>
        </w:tc>
        <w:tc>
          <w:tcPr>
            <w:tcW w:w="6480" w:type="dxa"/>
            <w:hideMark/>
          </w:tcPr>
          <w:p w14:paraId="5D16CD5C"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EMPRESA DE SERVICIOS </w:t>
            </w:r>
            <w:proofErr w:type="spellStart"/>
            <w:r w:rsidRPr="00DF3DEC">
              <w:rPr>
                <w:rFonts w:ascii="Arial" w:eastAsia="Times New Roman" w:hAnsi="Arial" w:cs="Arial"/>
                <w:color w:val="000000"/>
                <w:spacing w:val="-3"/>
                <w:lang w:eastAsia="es-ES"/>
              </w:rPr>
              <w:t>PUBLICOS</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SONYGAS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1D0DD487" w14:textId="77777777" w:rsidTr="00DF3DEC">
        <w:trPr>
          <w:trHeight w:val="285"/>
        </w:trPr>
        <w:tc>
          <w:tcPr>
            <w:tcW w:w="600" w:type="dxa"/>
            <w:hideMark/>
          </w:tcPr>
          <w:p w14:paraId="47ABE2B6"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51</w:t>
            </w:r>
          </w:p>
        </w:tc>
        <w:tc>
          <w:tcPr>
            <w:tcW w:w="1420" w:type="dxa"/>
            <w:hideMark/>
          </w:tcPr>
          <w:p w14:paraId="28252A0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50426</w:t>
            </w:r>
          </w:p>
        </w:tc>
        <w:tc>
          <w:tcPr>
            <w:tcW w:w="6480" w:type="dxa"/>
            <w:hideMark/>
          </w:tcPr>
          <w:p w14:paraId="34C8F93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D-UNO SAS </w:t>
            </w:r>
            <w:proofErr w:type="spellStart"/>
            <w:r w:rsidRPr="00DF3DEC">
              <w:rPr>
                <w:rFonts w:ascii="Arial" w:eastAsia="Times New Roman" w:hAnsi="Arial" w:cs="Arial"/>
                <w:color w:val="000000"/>
                <w:spacing w:val="-3"/>
                <w:lang w:eastAsia="es-ES"/>
              </w:rPr>
              <w:t>ESP</w:t>
            </w:r>
            <w:proofErr w:type="spellEnd"/>
          </w:p>
        </w:tc>
      </w:tr>
      <w:tr w:rsidR="00DF3DEC" w:rsidRPr="00DF3DEC" w14:paraId="4691E046" w14:textId="77777777" w:rsidTr="00DF3DEC">
        <w:trPr>
          <w:trHeight w:val="285"/>
        </w:trPr>
        <w:tc>
          <w:tcPr>
            <w:tcW w:w="600" w:type="dxa"/>
            <w:hideMark/>
          </w:tcPr>
          <w:p w14:paraId="369F0A3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52</w:t>
            </w:r>
          </w:p>
        </w:tc>
        <w:tc>
          <w:tcPr>
            <w:tcW w:w="1420" w:type="dxa"/>
            <w:hideMark/>
          </w:tcPr>
          <w:p w14:paraId="0E57012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53426</w:t>
            </w:r>
          </w:p>
        </w:tc>
        <w:tc>
          <w:tcPr>
            <w:tcW w:w="6480" w:type="dxa"/>
            <w:hideMark/>
          </w:tcPr>
          <w:p w14:paraId="3AD2DDC0"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GASO</w:t>
            </w:r>
            <w:proofErr w:type="spellEnd"/>
            <w:r w:rsidRPr="00DF3DEC">
              <w:rPr>
                <w:rFonts w:ascii="Arial" w:eastAsia="Times New Roman" w:hAnsi="Arial" w:cs="Arial"/>
                <w:color w:val="000000"/>
                <w:spacing w:val="-3"/>
                <w:lang w:eastAsia="es-ES"/>
              </w:rPr>
              <w:t xml:space="preserve"> COLOMBIA</w:t>
            </w:r>
          </w:p>
        </w:tc>
      </w:tr>
      <w:tr w:rsidR="00DF3DEC" w:rsidRPr="00DF3DEC" w14:paraId="18AA9105" w14:textId="77777777" w:rsidTr="00DF3DEC">
        <w:trPr>
          <w:trHeight w:val="285"/>
        </w:trPr>
        <w:tc>
          <w:tcPr>
            <w:tcW w:w="600" w:type="dxa"/>
            <w:hideMark/>
          </w:tcPr>
          <w:p w14:paraId="6555A8E1"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53</w:t>
            </w:r>
          </w:p>
        </w:tc>
        <w:tc>
          <w:tcPr>
            <w:tcW w:w="1420" w:type="dxa"/>
            <w:hideMark/>
          </w:tcPr>
          <w:p w14:paraId="223CBC9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57692</w:t>
            </w:r>
          </w:p>
        </w:tc>
        <w:tc>
          <w:tcPr>
            <w:tcW w:w="6480" w:type="dxa"/>
            <w:hideMark/>
          </w:tcPr>
          <w:p w14:paraId="0F1AF80C"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ECOGAS</w:t>
            </w:r>
            <w:proofErr w:type="spellEnd"/>
            <w:r w:rsidRPr="00DF3DEC">
              <w:rPr>
                <w:rFonts w:ascii="Arial" w:eastAsia="Times New Roman" w:hAnsi="Arial" w:cs="Arial"/>
                <w:color w:val="000000"/>
                <w:spacing w:val="-3"/>
                <w:lang w:eastAsia="es-ES"/>
              </w:rPr>
              <w:t xml:space="preserve"> </w:t>
            </w:r>
            <w:proofErr w:type="spellStart"/>
            <w:r w:rsidRPr="00DF3DEC">
              <w:rPr>
                <w:rFonts w:ascii="Arial" w:eastAsia="Times New Roman" w:hAnsi="Arial" w:cs="Arial"/>
                <w:color w:val="000000"/>
                <w:spacing w:val="-3"/>
                <w:lang w:eastAsia="es-ES"/>
              </w:rPr>
              <w:t>ENERGIA</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p>
        </w:tc>
      </w:tr>
      <w:tr w:rsidR="00DF3DEC" w:rsidRPr="00DF3DEC" w14:paraId="0144CFD6" w14:textId="77777777" w:rsidTr="00DF3DEC">
        <w:trPr>
          <w:trHeight w:val="285"/>
        </w:trPr>
        <w:tc>
          <w:tcPr>
            <w:tcW w:w="600" w:type="dxa"/>
            <w:hideMark/>
          </w:tcPr>
          <w:p w14:paraId="628A2A2E"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54</w:t>
            </w:r>
          </w:p>
        </w:tc>
        <w:tc>
          <w:tcPr>
            <w:tcW w:w="1420" w:type="dxa"/>
            <w:hideMark/>
          </w:tcPr>
          <w:p w14:paraId="69811DD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58633</w:t>
            </w:r>
          </w:p>
        </w:tc>
        <w:tc>
          <w:tcPr>
            <w:tcW w:w="6480" w:type="dxa"/>
            <w:hideMark/>
          </w:tcPr>
          <w:p w14:paraId="1962E055"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EMPRESA MADRILEÑA DE GAS 24/7 S.A.S. </w:t>
            </w:r>
            <w:proofErr w:type="spellStart"/>
            <w:r w:rsidRPr="00DF3DEC">
              <w:rPr>
                <w:rFonts w:ascii="Arial" w:eastAsia="Times New Roman" w:hAnsi="Arial" w:cs="Arial"/>
                <w:color w:val="000000"/>
                <w:spacing w:val="-3"/>
                <w:lang w:eastAsia="es-ES"/>
              </w:rPr>
              <w:t>ESP</w:t>
            </w:r>
            <w:proofErr w:type="spellEnd"/>
          </w:p>
        </w:tc>
      </w:tr>
      <w:tr w:rsidR="00DF3DEC" w:rsidRPr="00DF3DEC" w14:paraId="6D88EE9E" w14:textId="77777777" w:rsidTr="00DF3DEC">
        <w:trPr>
          <w:trHeight w:val="285"/>
        </w:trPr>
        <w:tc>
          <w:tcPr>
            <w:tcW w:w="600" w:type="dxa"/>
            <w:hideMark/>
          </w:tcPr>
          <w:p w14:paraId="47E5E5A3"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55</w:t>
            </w:r>
          </w:p>
        </w:tc>
        <w:tc>
          <w:tcPr>
            <w:tcW w:w="1420" w:type="dxa"/>
            <w:hideMark/>
          </w:tcPr>
          <w:p w14:paraId="59A76E1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62310</w:t>
            </w:r>
          </w:p>
        </w:tc>
        <w:tc>
          <w:tcPr>
            <w:tcW w:w="6480" w:type="dxa"/>
            <w:hideMark/>
          </w:tcPr>
          <w:p w14:paraId="07373F6D" w14:textId="77777777" w:rsidR="00DF3DEC" w:rsidRPr="00DF3DEC" w:rsidRDefault="00DF3DEC" w:rsidP="00DF3DEC">
            <w:pPr>
              <w:spacing w:line="360" w:lineRule="auto"/>
              <w:jc w:val="both"/>
              <w:rPr>
                <w:rFonts w:ascii="Arial" w:eastAsia="Times New Roman" w:hAnsi="Arial" w:cs="Arial"/>
                <w:color w:val="000000"/>
                <w:spacing w:val="-3"/>
                <w:lang w:val="en-GB" w:eastAsia="es-ES"/>
              </w:rPr>
            </w:pPr>
            <w:r w:rsidRPr="00DF3DEC">
              <w:rPr>
                <w:rFonts w:ascii="Arial" w:eastAsia="Times New Roman" w:hAnsi="Arial" w:cs="Arial"/>
                <w:color w:val="000000"/>
                <w:spacing w:val="-3"/>
                <w:lang w:val="en-GB" w:eastAsia="es-ES"/>
              </w:rPr>
              <w:t>MELL GAS S.A.S. E.S.P.</w:t>
            </w:r>
          </w:p>
        </w:tc>
      </w:tr>
      <w:tr w:rsidR="00DF3DEC" w:rsidRPr="00DF3DEC" w14:paraId="595549C1" w14:textId="77777777" w:rsidTr="00DF3DEC">
        <w:trPr>
          <w:trHeight w:val="285"/>
        </w:trPr>
        <w:tc>
          <w:tcPr>
            <w:tcW w:w="600" w:type="dxa"/>
            <w:hideMark/>
          </w:tcPr>
          <w:p w14:paraId="3937222E"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56</w:t>
            </w:r>
          </w:p>
        </w:tc>
        <w:tc>
          <w:tcPr>
            <w:tcW w:w="1420" w:type="dxa"/>
            <w:hideMark/>
          </w:tcPr>
          <w:p w14:paraId="1326FF1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62410</w:t>
            </w:r>
          </w:p>
        </w:tc>
        <w:tc>
          <w:tcPr>
            <w:tcW w:w="6480" w:type="dxa"/>
            <w:hideMark/>
          </w:tcPr>
          <w:p w14:paraId="5A1456DD"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GRANELGAS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7448C97F" w14:textId="77777777" w:rsidTr="00DF3DEC">
        <w:trPr>
          <w:trHeight w:val="285"/>
        </w:trPr>
        <w:tc>
          <w:tcPr>
            <w:tcW w:w="600" w:type="dxa"/>
            <w:hideMark/>
          </w:tcPr>
          <w:p w14:paraId="37FB596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57</w:t>
            </w:r>
          </w:p>
        </w:tc>
        <w:tc>
          <w:tcPr>
            <w:tcW w:w="1420" w:type="dxa"/>
            <w:hideMark/>
          </w:tcPr>
          <w:p w14:paraId="40A20B5A"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62550</w:t>
            </w:r>
          </w:p>
        </w:tc>
        <w:tc>
          <w:tcPr>
            <w:tcW w:w="6480" w:type="dxa"/>
            <w:hideMark/>
          </w:tcPr>
          <w:p w14:paraId="239A5F5A"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YOPAGAS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227FFD95" w14:textId="77777777" w:rsidTr="00DF3DEC">
        <w:trPr>
          <w:trHeight w:val="285"/>
        </w:trPr>
        <w:tc>
          <w:tcPr>
            <w:tcW w:w="600" w:type="dxa"/>
            <w:noWrap/>
            <w:hideMark/>
          </w:tcPr>
          <w:p w14:paraId="27670A1E"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58</w:t>
            </w:r>
          </w:p>
        </w:tc>
        <w:tc>
          <w:tcPr>
            <w:tcW w:w="1420" w:type="dxa"/>
            <w:noWrap/>
            <w:hideMark/>
          </w:tcPr>
          <w:p w14:paraId="36FBF9D7"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65980</w:t>
            </w:r>
          </w:p>
        </w:tc>
        <w:tc>
          <w:tcPr>
            <w:tcW w:w="6480" w:type="dxa"/>
            <w:noWrap/>
            <w:hideMark/>
          </w:tcPr>
          <w:p w14:paraId="7BAC77E1"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LIENGAS</w:t>
            </w:r>
            <w:proofErr w:type="spellEnd"/>
            <w:r w:rsidRPr="00DF3DEC">
              <w:rPr>
                <w:rFonts w:ascii="Arial" w:eastAsia="Times New Roman" w:hAnsi="Arial" w:cs="Arial"/>
                <w:color w:val="000000"/>
                <w:spacing w:val="-3"/>
                <w:lang w:eastAsia="es-ES"/>
              </w:rPr>
              <w:t xml:space="preserve"> COLOMBIA SAS </w:t>
            </w:r>
            <w:proofErr w:type="spellStart"/>
            <w:r w:rsidRPr="00DF3DEC">
              <w:rPr>
                <w:rFonts w:ascii="Arial" w:eastAsia="Times New Roman" w:hAnsi="Arial" w:cs="Arial"/>
                <w:color w:val="000000"/>
                <w:spacing w:val="-3"/>
                <w:lang w:eastAsia="es-ES"/>
              </w:rPr>
              <w:t>ESP</w:t>
            </w:r>
            <w:proofErr w:type="spellEnd"/>
          </w:p>
        </w:tc>
      </w:tr>
      <w:tr w:rsidR="00DF3DEC" w:rsidRPr="00DF3DEC" w14:paraId="64AC630D" w14:textId="77777777" w:rsidTr="00DF3DEC">
        <w:trPr>
          <w:trHeight w:val="285"/>
        </w:trPr>
        <w:tc>
          <w:tcPr>
            <w:tcW w:w="600" w:type="dxa"/>
            <w:hideMark/>
          </w:tcPr>
          <w:p w14:paraId="233006E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59</w:t>
            </w:r>
          </w:p>
        </w:tc>
        <w:tc>
          <w:tcPr>
            <w:tcW w:w="1420" w:type="dxa"/>
            <w:hideMark/>
          </w:tcPr>
          <w:p w14:paraId="0486D572"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67200</w:t>
            </w:r>
          </w:p>
        </w:tc>
        <w:tc>
          <w:tcPr>
            <w:tcW w:w="6480" w:type="dxa"/>
            <w:hideMark/>
          </w:tcPr>
          <w:p w14:paraId="43B728FE"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ECONOMYGAS</w:t>
            </w:r>
            <w:proofErr w:type="spellEnd"/>
            <w:r w:rsidRPr="00DF3DEC">
              <w:rPr>
                <w:rFonts w:ascii="Arial" w:eastAsia="Times New Roman" w:hAnsi="Arial" w:cs="Arial"/>
                <w:color w:val="000000"/>
                <w:spacing w:val="-3"/>
                <w:lang w:eastAsia="es-ES"/>
              </w:rPr>
              <w:t xml:space="preserve">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08DE0A36" w14:textId="77777777" w:rsidTr="00DF3DEC">
        <w:trPr>
          <w:trHeight w:val="285"/>
        </w:trPr>
        <w:tc>
          <w:tcPr>
            <w:tcW w:w="600" w:type="dxa"/>
            <w:hideMark/>
          </w:tcPr>
          <w:p w14:paraId="4460CE34"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60</w:t>
            </w:r>
          </w:p>
        </w:tc>
        <w:tc>
          <w:tcPr>
            <w:tcW w:w="1420" w:type="dxa"/>
            <w:hideMark/>
          </w:tcPr>
          <w:p w14:paraId="50D36A9F"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63235</w:t>
            </w:r>
          </w:p>
        </w:tc>
        <w:tc>
          <w:tcPr>
            <w:tcW w:w="6480" w:type="dxa"/>
            <w:hideMark/>
          </w:tcPr>
          <w:p w14:paraId="59AE2569"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CONTINENTAL DE GLP SAS </w:t>
            </w:r>
            <w:proofErr w:type="spellStart"/>
            <w:r w:rsidRPr="00DF3DEC">
              <w:rPr>
                <w:rFonts w:ascii="Arial" w:eastAsia="Times New Roman" w:hAnsi="Arial" w:cs="Arial"/>
                <w:color w:val="000000"/>
                <w:spacing w:val="-3"/>
                <w:lang w:eastAsia="es-ES"/>
              </w:rPr>
              <w:t>ESP</w:t>
            </w:r>
            <w:proofErr w:type="spellEnd"/>
          </w:p>
        </w:tc>
      </w:tr>
      <w:tr w:rsidR="00DF3DEC" w:rsidRPr="00DF3DEC" w14:paraId="4CEB934C" w14:textId="77777777" w:rsidTr="00DF3DEC">
        <w:trPr>
          <w:trHeight w:val="285"/>
        </w:trPr>
        <w:tc>
          <w:tcPr>
            <w:tcW w:w="600" w:type="dxa"/>
            <w:hideMark/>
          </w:tcPr>
          <w:p w14:paraId="493A5DA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lastRenderedPageBreak/>
              <w:t>61</w:t>
            </w:r>
          </w:p>
        </w:tc>
        <w:tc>
          <w:tcPr>
            <w:tcW w:w="1420" w:type="dxa"/>
            <w:hideMark/>
          </w:tcPr>
          <w:p w14:paraId="5F27DE0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67999</w:t>
            </w:r>
          </w:p>
        </w:tc>
        <w:tc>
          <w:tcPr>
            <w:tcW w:w="6480" w:type="dxa"/>
            <w:hideMark/>
          </w:tcPr>
          <w:p w14:paraId="177DB73E"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 xml:space="preserve">GAS PRO-NACIONAL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r w:rsidR="00DF3DEC" w:rsidRPr="00DF3DEC" w14:paraId="60C86237" w14:textId="77777777" w:rsidTr="00DF3DEC">
        <w:trPr>
          <w:trHeight w:val="285"/>
        </w:trPr>
        <w:tc>
          <w:tcPr>
            <w:tcW w:w="600" w:type="dxa"/>
            <w:hideMark/>
          </w:tcPr>
          <w:p w14:paraId="047EB948"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62</w:t>
            </w:r>
          </w:p>
        </w:tc>
        <w:tc>
          <w:tcPr>
            <w:tcW w:w="1420" w:type="dxa"/>
            <w:hideMark/>
          </w:tcPr>
          <w:p w14:paraId="0C96BD80" w14:textId="77777777" w:rsidR="00DF3DEC" w:rsidRPr="00DF3DEC" w:rsidRDefault="00DF3DEC" w:rsidP="00DF3DEC">
            <w:pPr>
              <w:spacing w:line="360" w:lineRule="auto"/>
              <w:jc w:val="both"/>
              <w:rPr>
                <w:rFonts w:ascii="Arial" w:eastAsia="Times New Roman" w:hAnsi="Arial" w:cs="Arial"/>
                <w:color w:val="000000"/>
                <w:spacing w:val="-3"/>
                <w:lang w:eastAsia="es-ES"/>
              </w:rPr>
            </w:pPr>
            <w:r w:rsidRPr="00DF3DEC">
              <w:rPr>
                <w:rFonts w:ascii="Arial" w:eastAsia="Times New Roman" w:hAnsi="Arial" w:cs="Arial"/>
                <w:color w:val="000000"/>
                <w:spacing w:val="-3"/>
                <w:lang w:eastAsia="es-ES"/>
              </w:rPr>
              <w:t>63494</w:t>
            </w:r>
          </w:p>
        </w:tc>
        <w:tc>
          <w:tcPr>
            <w:tcW w:w="6480" w:type="dxa"/>
            <w:hideMark/>
          </w:tcPr>
          <w:p w14:paraId="0DF08FC6" w14:textId="77777777" w:rsidR="00DF3DEC" w:rsidRPr="00DF3DEC" w:rsidRDefault="00DF3DEC" w:rsidP="00DF3DEC">
            <w:pPr>
              <w:spacing w:line="360" w:lineRule="auto"/>
              <w:jc w:val="both"/>
              <w:rPr>
                <w:rFonts w:ascii="Arial" w:eastAsia="Times New Roman" w:hAnsi="Arial" w:cs="Arial"/>
                <w:color w:val="000000"/>
                <w:spacing w:val="-3"/>
                <w:lang w:eastAsia="es-ES"/>
              </w:rPr>
            </w:pPr>
            <w:proofErr w:type="spellStart"/>
            <w:r w:rsidRPr="00DF3DEC">
              <w:rPr>
                <w:rFonts w:ascii="Arial" w:eastAsia="Times New Roman" w:hAnsi="Arial" w:cs="Arial"/>
                <w:color w:val="000000"/>
                <w:spacing w:val="-3"/>
                <w:lang w:eastAsia="es-ES"/>
              </w:rPr>
              <w:t>CND</w:t>
            </w:r>
            <w:proofErr w:type="spellEnd"/>
            <w:r w:rsidRPr="00DF3DEC">
              <w:rPr>
                <w:rFonts w:ascii="Arial" w:eastAsia="Times New Roman" w:hAnsi="Arial" w:cs="Arial"/>
                <w:color w:val="000000"/>
                <w:spacing w:val="-3"/>
                <w:lang w:eastAsia="es-ES"/>
              </w:rPr>
              <w:t xml:space="preserve"> DISTRIBUIDORA DE GAS S.A.S </w:t>
            </w:r>
            <w:proofErr w:type="spellStart"/>
            <w:r w:rsidRPr="00DF3DEC">
              <w:rPr>
                <w:rFonts w:ascii="Arial" w:eastAsia="Times New Roman" w:hAnsi="Arial" w:cs="Arial"/>
                <w:color w:val="000000"/>
                <w:spacing w:val="-3"/>
                <w:lang w:eastAsia="es-ES"/>
              </w:rPr>
              <w:t>E.S.P</w:t>
            </w:r>
            <w:proofErr w:type="spellEnd"/>
            <w:r w:rsidRPr="00DF3DEC">
              <w:rPr>
                <w:rFonts w:ascii="Arial" w:eastAsia="Times New Roman" w:hAnsi="Arial" w:cs="Arial"/>
                <w:color w:val="000000"/>
                <w:spacing w:val="-3"/>
                <w:lang w:eastAsia="es-ES"/>
              </w:rPr>
              <w:t>.</w:t>
            </w:r>
          </w:p>
        </w:tc>
      </w:tr>
    </w:tbl>
    <w:p w14:paraId="2920F06A" w14:textId="7BDA2AA3" w:rsidR="005C6AF0" w:rsidRDefault="00DF3DEC" w:rsidP="00B24318">
      <w:pPr>
        <w:spacing w:line="360" w:lineRule="auto"/>
        <w:jc w:val="both"/>
        <w:rPr>
          <w:rFonts w:ascii="Arial" w:eastAsia="Times New Roman" w:hAnsi="Arial" w:cs="Arial"/>
          <w:color w:val="000000"/>
          <w:spacing w:val="-3"/>
          <w:lang w:val="es-ES" w:eastAsia="es-ES"/>
        </w:rPr>
      </w:pPr>
      <w:r>
        <w:rPr>
          <w:rFonts w:ascii="Arial" w:eastAsia="Times New Roman" w:hAnsi="Arial" w:cs="Arial"/>
          <w:color w:val="000000"/>
          <w:spacing w:val="-3"/>
          <w:lang w:val="es-ES" w:eastAsia="es-ES"/>
        </w:rPr>
        <w:fldChar w:fldCharType="end"/>
      </w:r>
    </w:p>
    <w:p w14:paraId="61026D2D" w14:textId="28490C82" w:rsidR="00B21E13" w:rsidRPr="00B33189" w:rsidRDefault="00A454CE" w:rsidP="005C6AF0">
      <w:pPr>
        <w:spacing w:after="240" w:line="360" w:lineRule="auto"/>
        <w:jc w:val="both"/>
        <w:rPr>
          <w:rFonts w:ascii="Arial" w:eastAsia="Times New Roman" w:hAnsi="Arial" w:cs="Arial"/>
          <w:lang w:val="es-ES" w:eastAsia="es-ES"/>
        </w:rPr>
      </w:pPr>
      <w:r w:rsidRPr="000350D8">
        <w:rPr>
          <w:rFonts w:ascii="Arial" w:hAnsi="Arial" w:cs="Arial"/>
          <w:b/>
          <w:bCs/>
        </w:rPr>
        <w:t xml:space="preserve">ARTÍCULO SEGUNDO. </w:t>
      </w:r>
      <w:r w:rsidR="00B21E13" w:rsidRPr="00B33189">
        <w:rPr>
          <w:rFonts w:ascii="Arial" w:eastAsia="Times New Roman" w:hAnsi="Arial" w:cs="Arial"/>
          <w:snapToGrid w:val="0"/>
          <w:lang w:val="es-ES" w:eastAsia="es-ES"/>
        </w:rPr>
        <w:t xml:space="preserve">Comuníquese </w:t>
      </w:r>
      <w:r w:rsidR="00B21E13" w:rsidRPr="00B33189">
        <w:rPr>
          <w:rFonts w:ascii="Arial" w:eastAsia="Times New Roman" w:hAnsi="Arial" w:cs="Arial"/>
          <w:lang w:val="es-ES" w:eastAsia="es-ES"/>
        </w:rPr>
        <w:t xml:space="preserve">a las empresas relacionadas </w:t>
      </w:r>
      <w:r w:rsidR="000C5888">
        <w:rPr>
          <w:rFonts w:ascii="Arial" w:eastAsia="Times New Roman" w:hAnsi="Arial" w:cs="Arial"/>
          <w:lang w:val="es-ES" w:eastAsia="es-ES"/>
        </w:rPr>
        <w:t xml:space="preserve">en el artículo anterior </w:t>
      </w:r>
      <w:r w:rsidR="00B21E13" w:rsidRPr="00B33189">
        <w:rPr>
          <w:rFonts w:ascii="Arial" w:eastAsia="Times New Roman" w:hAnsi="Arial" w:cs="Arial"/>
          <w:lang w:val="es-ES" w:eastAsia="es-ES"/>
        </w:rPr>
        <w:t>el contenido del presente Auto, a la dirección de correo físico o electrónico registrada, en cumplimiento de lo dispuesto en el artículo 35 del Código de Procedimiento Administrativo y de lo Contencioso Administrativo.</w:t>
      </w:r>
    </w:p>
    <w:p w14:paraId="48D71FDA" w14:textId="5466368C" w:rsidR="000C5888" w:rsidRDefault="00B21E13" w:rsidP="005C6AF0">
      <w:pPr>
        <w:spacing w:after="240" w:line="360" w:lineRule="auto"/>
        <w:jc w:val="both"/>
        <w:rPr>
          <w:rFonts w:ascii="Arial" w:hAnsi="Arial" w:cs="Arial"/>
          <w:b/>
          <w:bCs/>
        </w:rPr>
      </w:pPr>
      <w:r w:rsidRPr="000350D8">
        <w:rPr>
          <w:rFonts w:ascii="Arial" w:hAnsi="Arial" w:cs="Arial"/>
          <w:b/>
          <w:bCs/>
        </w:rPr>
        <w:t xml:space="preserve">ARTÍCULO </w:t>
      </w:r>
      <w:r>
        <w:rPr>
          <w:rFonts w:ascii="Arial" w:hAnsi="Arial" w:cs="Arial"/>
          <w:b/>
          <w:bCs/>
        </w:rPr>
        <w:t>TERCERO</w:t>
      </w:r>
      <w:r w:rsidRPr="000350D8">
        <w:rPr>
          <w:rFonts w:ascii="Arial" w:hAnsi="Arial" w:cs="Arial"/>
          <w:b/>
          <w:bCs/>
        </w:rPr>
        <w:t>.</w:t>
      </w:r>
      <w:r>
        <w:rPr>
          <w:rFonts w:ascii="Arial" w:hAnsi="Arial" w:cs="Arial"/>
          <w:b/>
          <w:bCs/>
        </w:rPr>
        <w:t xml:space="preserve"> </w:t>
      </w:r>
      <w:r w:rsidR="000C5888" w:rsidRPr="000C5888">
        <w:rPr>
          <w:rFonts w:ascii="Arial" w:eastAsia="Calibri" w:hAnsi="Arial" w:cs="Arial"/>
          <w:kern w:val="2"/>
          <w:lang w:val="es-CO"/>
          <w14:ligatures w14:val="standardContextual"/>
        </w:rPr>
        <w:t xml:space="preserve">Incorpórese en el expediente administrativo la información remitida por la Superintendencia de Servicios Públicos Domiciliarios mediante radicado </w:t>
      </w:r>
      <w:r w:rsidR="000C5888" w:rsidRPr="000C5888">
        <w:rPr>
          <w:rFonts w:ascii="Arial" w:eastAsia="Calibri" w:hAnsi="Arial" w:cs="Arial"/>
          <w:kern w:val="2"/>
          <w14:ligatures w14:val="standardContextual"/>
        </w:rPr>
        <w:t>CREG E2023020812 del 11 de diciembre de 2023.</w:t>
      </w:r>
    </w:p>
    <w:p w14:paraId="493F8715" w14:textId="3E8EB684" w:rsidR="00B21E13" w:rsidRDefault="000C5888" w:rsidP="005C6AF0">
      <w:pPr>
        <w:spacing w:after="240" w:line="360" w:lineRule="auto"/>
        <w:jc w:val="both"/>
        <w:rPr>
          <w:rFonts w:ascii="Arial" w:eastAsia="Times New Roman" w:hAnsi="Arial" w:cs="Arial"/>
          <w:lang w:val="es-ES" w:eastAsia="es-ES"/>
        </w:rPr>
      </w:pPr>
      <w:r w:rsidRPr="000350D8">
        <w:rPr>
          <w:rFonts w:ascii="Arial" w:hAnsi="Arial" w:cs="Arial"/>
          <w:b/>
          <w:bCs/>
        </w:rPr>
        <w:t xml:space="preserve">ARTÍCULO </w:t>
      </w:r>
      <w:r>
        <w:rPr>
          <w:rFonts w:ascii="Arial" w:hAnsi="Arial" w:cs="Arial"/>
          <w:b/>
          <w:bCs/>
        </w:rPr>
        <w:t>CUARTO</w:t>
      </w:r>
      <w:r w:rsidRPr="000350D8">
        <w:rPr>
          <w:rFonts w:ascii="Arial" w:hAnsi="Arial" w:cs="Arial"/>
          <w:b/>
          <w:bCs/>
        </w:rPr>
        <w:t>.</w:t>
      </w:r>
      <w:r>
        <w:rPr>
          <w:rFonts w:ascii="Arial" w:hAnsi="Arial" w:cs="Arial"/>
          <w:b/>
          <w:bCs/>
        </w:rPr>
        <w:t xml:space="preserve"> </w:t>
      </w:r>
      <w:r w:rsidR="00B21E13" w:rsidRPr="00B33189">
        <w:rPr>
          <w:rFonts w:ascii="Arial" w:eastAsia="Times New Roman" w:hAnsi="Arial" w:cs="Arial"/>
          <w:lang w:val="es-ES" w:eastAsia="es-ES"/>
        </w:rPr>
        <w:t xml:space="preserve">Publíquese en la página web de la CREG y en el </w:t>
      </w:r>
      <w:r w:rsidR="00B21E13" w:rsidRPr="00B33189">
        <w:rPr>
          <w:rFonts w:ascii="Arial" w:eastAsia="Times New Roman" w:hAnsi="Arial" w:cs="Arial"/>
          <w:i/>
          <w:lang w:val="es-ES" w:eastAsia="es-ES"/>
        </w:rPr>
        <w:t>Diario Oficial</w:t>
      </w:r>
      <w:r w:rsidR="00B21E13" w:rsidRPr="00B33189">
        <w:rPr>
          <w:rFonts w:ascii="Arial" w:eastAsia="Times New Roman" w:hAnsi="Arial" w:cs="Arial"/>
          <w:lang w:val="es-ES" w:eastAsia="es-ES"/>
        </w:rPr>
        <w:t xml:space="preserve"> un extracto con el resumen de la actuación administrativa, para cumplir con lo dispuesto en el artículo 37 del Código de Procedimiento Administrativo y de lo Contencioso Administrativo.</w:t>
      </w:r>
    </w:p>
    <w:p w14:paraId="380590C2" w14:textId="5CC812A2" w:rsidR="00B21E13" w:rsidRPr="00B33189" w:rsidRDefault="00B21E13" w:rsidP="005C6AF0">
      <w:pPr>
        <w:spacing w:after="240" w:line="360" w:lineRule="auto"/>
        <w:jc w:val="both"/>
        <w:rPr>
          <w:rFonts w:ascii="Arial" w:eastAsia="Times New Roman" w:hAnsi="Arial" w:cs="Arial"/>
          <w:lang w:val="es-ES" w:eastAsia="es-ES"/>
        </w:rPr>
      </w:pPr>
      <w:r w:rsidRPr="000350D8">
        <w:rPr>
          <w:rFonts w:ascii="Arial" w:hAnsi="Arial" w:cs="Arial"/>
          <w:b/>
          <w:bCs/>
        </w:rPr>
        <w:t xml:space="preserve">ARTÍCULO </w:t>
      </w:r>
      <w:r w:rsidR="000C5888">
        <w:rPr>
          <w:rFonts w:ascii="Arial" w:hAnsi="Arial" w:cs="Arial"/>
          <w:b/>
          <w:bCs/>
        </w:rPr>
        <w:t>QUIN</w:t>
      </w:r>
      <w:r>
        <w:rPr>
          <w:rFonts w:ascii="Arial" w:hAnsi="Arial" w:cs="Arial"/>
          <w:b/>
          <w:bCs/>
        </w:rPr>
        <w:t>TO</w:t>
      </w:r>
      <w:r w:rsidRPr="000350D8">
        <w:rPr>
          <w:rFonts w:ascii="Arial" w:hAnsi="Arial" w:cs="Arial"/>
          <w:b/>
          <w:bCs/>
        </w:rPr>
        <w:t>.</w:t>
      </w:r>
      <w:r>
        <w:rPr>
          <w:rFonts w:ascii="Arial" w:hAnsi="Arial" w:cs="Arial"/>
          <w:b/>
          <w:bCs/>
        </w:rPr>
        <w:t xml:space="preserve"> </w:t>
      </w:r>
      <w:r w:rsidRPr="00B33189">
        <w:rPr>
          <w:rFonts w:ascii="Arial" w:eastAsia="Times New Roman" w:hAnsi="Arial" w:cs="Arial"/>
          <w:lang w:val="es-ES" w:eastAsia="es-ES"/>
        </w:rPr>
        <w:t>Contra el presente Auto no procede ningún recurso, en virtud de lo previsto en el artículo 75 del Código de Procedimiento Administrativo y de lo Contencioso Administrativo.</w:t>
      </w:r>
    </w:p>
    <w:p w14:paraId="5997CF51" w14:textId="77777777" w:rsidR="00A454CE" w:rsidRPr="000350D8" w:rsidRDefault="00A454CE" w:rsidP="00B24318">
      <w:pPr>
        <w:spacing w:line="360" w:lineRule="auto"/>
        <w:jc w:val="center"/>
        <w:rPr>
          <w:rFonts w:ascii="Arial" w:hAnsi="Arial" w:cs="Arial"/>
          <w:b/>
        </w:rPr>
      </w:pPr>
    </w:p>
    <w:p w14:paraId="2FF94E8A" w14:textId="06556DDC" w:rsidR="00A454CE" w:rsidRPr="000350D8" w:rsidRDefault="00B21E13" w:rsidP="00B24318">
      <w:pPr>
        <w:spacing w:line="360" w:lineRule="auto"/>
        <w:jc w:val="center"/>
        <w:rPr>
          <w:rFonts w:ascii="Arial" w:hAnsi="Arial" w:cs="Arial"/>
          <w:b/>
        </w:rPr>
      </w:pPr>
      <w:r>
        <w:rPr>
          <w:rFonts w:ascii="Arial" w:hAnsi="Arial" w:cs="Arial"/>
          <w:b/>
        </w:rPr>
        <w:t xml:space="preserve">PÚBLIQUESE, </w:t>
      </w:r>
      <w:r w:rsidR="00A454CE" w:rsidRPr="000350D8">
        <w:rPr>
          <w:rFonts w:ascii="Arial" w:hAnsi="Arial" w:cs="Arial"/>
          <w:b/>
        </w:rPr>
        <w:t>NOTIQUESE Y CUMPLASE</w:t>
      </w:r>
    </w:p>
    <w:p w14:paraId="0A46BE22" w14:textId="77777777" w:rsidR="00A454CE" w:rsidRPr="000350D8" w:rsidRDefault="00A454CE" w:rsidP="00B24318">
      <w:pPr>
        <w:spacing w:line="360" w:lineRule="auto"/>
        <w:jc w:val="center"/>
        <w:rPr>
          <w:rFonts w:ascii="Arial" w:hAnsi="Arial" w:cs="Arial"/>
        </w:rPr>
      </w:pPr>
    </w:p>
    <w:p w14:paraId="56F8C217" w14:textId="77777777" w:rsidR="00A454CE" w:rsidRDefault="00A454CE" w:rsidP="00B24318">
      <w:pPr>
        <w:spacing w:line="360" w:lineRule="auto"/>
        <w:jc w:val="center"/>
        <w:rPr>
          <w:rFonts w:ascii="Arial" w:hAnsi="Arial" w:cs="Arial"/>
        </w:rPr>
      </w:pPr>
    </w:p>
    <w:p w14:paraId="203ADED9" w14:textId="6A120E26" w:rsidR="00A454CE" w:rsidRPr="00B21E13" w:rsidRDefault="00B21E13" w:rsidP="00B24318">
      <w:pPr>
        <w:spacing w:line="360" w:lineRule="auto"/>
        <w:jc w:val="center"/>
        <w:rPr>
          <w:rFonts w:ascii="Arial" w:hAnsi="Arial" w:cs="Arial"/>
          <w:b/>
          <w:bCs/>
        </w:rPr>
      </w:pPr>
      <w:r w:rsidRPr="00B21E13">
        <w:rPr>
          <w:rFonts w:ascii="Arial" w:hAnsi="Arial" w:cs="Arial"/>
          <w:b/>
          <w:bCs/>
        </w:rPr>
        <w:t>OMAR</w:t>
      </w:r>
      <w:r w:rsidR="00E240D4">
        <w:rPr>
          <w:rFonts w:ascii="Arial" w:hAnsi="Arial" w:cs="Arial"/>
          <w:b/>
          <w:bCs/>
        </w:rPr>
        <w:t xml:space="preserve"> </w:t>
      </w:r>
      <w:r w:rsidRPr="00B21E13">
        <w:rPr>
          <w:rFonts w:ascii="Arial" w:hAnsi="Arial" w:cs="Arial"/>
          <w:b/>
          <w:bCs/>
        </w:rPr>
        <w:t>PRÍAS CAICEDO</w:t>
      </w:r>
    </w:p>
    <w:p w14:paraId="3BA2E852" w14:textId="098FD4D9" w:rsidR="0081694E" w:rsidRDefault="00A454CE" w:rsidP="0081694E">
      <w:pPr>
        <w:spacing w:line="360" w:lineRule="auto"/>
        <w:jc w:val="center"/>
        <w:rPr>
          <w:rFonts w:ascii="Arial" w:hAnsi="Arial" w:cs="Arial"/>
        </w:rPr>
      </w:pPr>
      <w:r w:rsidRPr="000350D8">
        <w:rPr>
          <w:rFonts w:ascii="Arial" w:hAnsi="Arial" w:cs="Arial"/>
        </w:rPr>
        <w:t>Director Ejecutivo</w:t>
      </w:r>
    </w:p>
    <w:sectPr w:rsidR="0081694E" w:rsidSect="00AD5B2C">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4C95" w14:textId="77777777" w:rsidR="00AD5B2C" w:rsidRDefault="00AD5B2C" w:rsidP="00AA0519">
      <w:r>
        <w:separator/>
      </w:r>
    </w:p>
  </w:endnote>
  <w:endnote w:type="continuationSeparator" w:id="0">
    <w:p w14:paraId="744101BE" w14:textId="77777777" w:rsidR="00AD5B2C" w:rsidRDefault="00AD5B2C"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0693" w14:textId="77777777" w:rsidR="00505222" w:rsidRPr="000774A9" w:rsidRDefault="00505222" w:rsidP="00505222">
    <w:pPr>
      <w:spacing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1043F877"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1A9FB683"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084425D9" w:rsidR="00735E1F" w:rsidRDefault="00505222" w:rsidP="00505222">
    <w:pPr>
      <w:spacing w:line="276" w:lineRule="auto"/>
      <w:jc w:val="both"/>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84B" w14:textId="77777777" w:rsidR="00505222" w:rsidRPr="000774A9" w:rsidRDefault="00505222" w:rsidP="00505222">
    <w:pPr>
      <w:spacing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77AD64C9"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20069AB"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4E2A3E7" w14:textId="77777777" w:rsidR="00505222" w:rsidRPr="00256928" w:rsidRDefault="00505222" w:rsidP="00505222">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A627" w14:textId="77777777" w:rsidR="00AD5B2C" w:rsidRDefault="00AD5B2C" w:rsidP="00AA0519">
      <w:r>
        <w:separator/>
      </w:r>
    </w:p>
  </w:footnote>
  <w:footnote w:type="continuationSeparator" w:id="0">
    <w:p w14:paraId="27D6365E" w14:textId="77777777" w:rsidR="00AD5B2C" w:rsidRDefault="00AD5B2C" w:rsidP="00AA0519">
      <w:r>
        <w:continuationSeparator/>
      </w:r>
    </w:p>
  </w:footnote>
  <w:footnote w:id="1">
    <w:p w14:paraId="20EED03E" w14:textId="77777777" w:rsidR="00CF6557" w:rsidRPr="0013551D" w:rsidRDefault="00CF6557" w:rsidP="00CF6557">
      <w:pPr>
        <w:pStyle w:val="Textonotapie"/>
        <w:jc w:val="both"/>
        <w:rPr>
          <w:rFonts w:ascii="Arial" w:hAnsi="Arial" w:cs="Arial"/>
          <w:sz w:val="16"/>
          <w:szCs w:val="16"/>
        </w:rPr>
      </w:pPr>
      <w:r w:rsidRPr="0013551D">
        <w:rPr>
          <w:rStyle w:val="Refdenotaalpie"/>
          <w:rFonts w:ascii="Arial" w:hAnsi="Arial" w:cs="Arial"/>
          <w:sz w:val="16"/>
          <w:szCs w:val="16"/>
        </w:rPr>
        <w:footnoteRef/>
      </w:r>
      <w:r w:rsidRPr="0013551D">
        <w:rPr>
          <w:rFonts w:ascii="Arial" w:hAnsi="Arial" w:cs="Arial"/>
          <w:sz w:val="16"/>
          <w:szCs w:val="16"/>
        </w:rPr>
        <w:t xml:space="preserve"> Lo anterior, teniendo en cuenta que mediante Resolución SSPD 20141200040755 de 2014 la Superintendencia de Servicios Públicos Domiciliarios implementó lo dispuesto en el literal b) del artículo 31 de la Resolución CREG 045 de 2008, donde dicha Entidad manifestó que había efectuado las adecuaciones correspondientes en el SUI, para darle continuidad al reporte de la información de Cilindros Marcados por parte de las empresas distribuidoras de la cadena de gas licuado de petróleo.</w:t>
      </w:r>
      <w:r w:rsidRPr="0013551D">
        <w:rPr>
          <w:rFonts w:ascii="Arial" w:hAnsi="Arial" w:cs="Arial"/>
        </w:rPr>
        <w:t xml:space="preserve"> </w:t>
      </w:r>
      <w:r w:rsidRPr="0013551D">
        <w:rPr>
          <w:rFonts w:ascii="Arial" w:hAnsi="Arial" w:cs="Arial"/>
          <w:sz w:val="16"/>
          <w:szCs w:val="16"/>
        </w:rPr>
        <w:t>Así mismo, esta Comisión mediante comunicación con radicado CREG S-2016-002119 de abril 18 de 2016 informó a la Superintendencia de Servicios Públicos Domiciliarios la importancia de hacer pública la consulta de esta información a efectos de la aplicación definitiva de la Resolución CREG 063 de 2016 “Por la cual se establecen parámetros de conducta y la participación de los agentes dentro de las actividades de comercialización mayorista y distribución de GLP”.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D29B" w14:textId="0A841744" w:rsidR="00AA0519" w:rsidRDefault="00505222">
    <w:pPr>
      <w:pStyle w:val="Encabezado"/>
    </w:pPr>
    <w:r>
      <w:rPr>
        <w:noProof/>
      </w:rPr>
      <w:drawing>
        <wp:anchor distT="0" distB="0" distL="114300" distR="114300" simplePos="0" relativeHeight="251672576" behindDoc="0" locked="0" layoutInCell="1" allowOverlap="1" wp14:anchorId="775BF181" wp14:editId="48FEB794">
          <wp:simplePos x="0" y="0"/>
          <wp:positionH relativeFrom="margin">
            <wp:posOffset>0</wp:posOffset>
          </wp:positionH>
          <wp:positionV relativeFrom="margin">
            <wp:posOffset>-681355</wp:posOffset>
          </wp:positionV>
          <wp:extent cx="1033145" cy="359410"/>
          <wp:effectExtent l="0" t="0" r="0" b="3810"/>
          <wp:wrapSquare wrapText="bothSides"/>
          <wp:docPr id="155199791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8A9609B" wp14:editId="53A9F73C">
          <wp:simplePos x="0" y="0"/>
          <wp:positionH relativeFrom="margin">
            <wp:posOffset>5279390</wp:posOffset>
          </wp:positionH>
          <wp:positionV relativeFrom="margin">
            <wp:posOffset>-560705</wp:posOffset>
          </wp:positionV>
          <wp:extent cx="644400" cy="360000"/>
          <wp:effectExtent l="0" t="0" r="3810" b="2540"/>
          <wp:wrapSquare wrapText="bothSides"/>
          <wp:docPr id="81413839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2905A09A" w14:textId="77777777" w:rsidR="00CF6557" w:rsidRDefault="00CF6557">
    <w:pPr>
      <w:pStyle w:val="Encabezado"/>
    </w:pPr>
  </w:p>
  <w:p w14:paraId="6A6C4BF5" w14:textId="77777777" w:rsidR="00CF6557" w:rsidRDefault="00CF6557">
    <w:pPr>
      <w:pStyle w:val="Encabezado"/>
    </w:pPr>
  </w:p>
  <w:p w14:paraId="0589F45A" w14:textId="77777777" w:rsidR="00505222" w:rsidRDefault="005052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A930" w14:textId="77777777" w:rsidR="00505222" w:rsidRDefault="00505222" w:rsidP="003F2F4B">
    <w:pPr>
      <w:pStyle w:val="Encabezado"/>
    </w:pPr>
  </w:p>
  <w:p w14:paraId="0D390431" w14:textId="77777777" w:rsidR="00505222" w:rsidRDefault="00505222" w:rsidP="003F2F4B">
    <w:pPr>
      <w:pStyle w:val="Encabezado"/>
    </w:pPr>
  </w:p>
  <w:p w14:paraId="7555712A" w14:textId="1F474BF0" w:rsidR="00A017FD" w:rsidRDefault="00505222" w:rsidP="003F2F4B">
    <w:pPr>
      <w:pStyle w:val="Encabezado"/>
    </w:pPr>
    <w:r>
      <w:rPr>
        <w:noProof/>
      </w:rPr>
      <w:drawing>
        <wp:anchor distT="0" distB="0" distL="114300" distR="114300" simplePos="0" relativeHeight="251668480" behindDoc="0" locked="0" layoutInCell="1" allowOverlap="1" wp14:anchorId="1DA63D9F" wp14:editId="0D96AC45">
          <wp:simplePos x="0" y="0"/>
          <wp:positionH relativeFrom="margin">
            <wp:posOffset>5279390</wp:posOffset>
          </wp:positionH>
          <wp:positionV relativeFrom="margin">
            <wp:posOffset>-669925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69504" behindDoc="0" locked="0" layoutInCell="1" allowOverlap="1" wp14:anchorId="685B8CAF" wp14:editId="1B310991">
          <wp:simplePos x="0" y="0"/>
          <wp:positionH relativeFrom="margin">
            <wp:align>left</wp:align>
          </wp:positionH>
          <wp:positionV relativeFrom="margin">
            <wp:posOffset>-581025</wp:posOffset>
          </wp:positionV>
          <wp:extent cx="1033145" cy="359410"/>
          <wp:effectExtent l="0" t="0" r="0" b="381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C5888"/>
    <w:rsid w:val="00106923"/>
    <w:rsid w:val="00123929"/>
    <w:rsid w:val="001326EC"/>
    <w:rsid w:val="0013581C"/>
    <w:rsid w:val="001D3AE8"/>
    <w:rsid w:val="001F244F"/>
    <w:rsid w:val="0036566D"/>
    <w:rsid w:val="00395703"/>
    <w:rsid w:val="003C5972"/>
    <w:rsid w:val="003C7E1C"/>
    <w:rsid w:val="003F2F4B"/>
    <w:rsid w:val="003F5B52"/>
    <w:rsid w:val="004216CE"/>
    <w:rsid w:val="00466B70"/>
    <w:rsid w:val="00505222"/>
    <w:rsid w:val="00561724"/>
    <w:rsid w:val="005907A6"/>
    <w:rsid w:val="005B38E7"/>
    <w:rsid w:val="005C3A9B"/>
    <w:rsid w:val="005C6AF0"/>
    <w:rsid w:val="005E47DE"/>
    <w:rsid w:val="006378F9"/>
    <w:rsid w:val="00641BE2"/>
    <w:rsid w:val="0065448E"/>
    <w:rsid w:val="006C5968"/>
    <w:rsid w:val="006F5781"/>
    <w:rsid w:val="00707747"/>
    <w:rsid w:val="00724A70"/>
    <w:rsid w:val="00730C47"/>
    <w:rsid w:val="00735E1F"/>
    <w:rsid w:val="007832E1"/>
    <w:rsid w:val="007E16DF"/>
    <w:rsid w:val="00816448"/>
    <w:rsid w:val="0081694E"/>
    <w:rsid w:val="00832D36"/>
    <w:rsid w:val="008B2567"/>
    <w:rsid w:val="00903C18"/>
    <w:rsid w:val="009A3312"/>
    <w:rsid w:val="009A3617"/>
    <w:rsid w:val="009C4831"/>
    <w:rsid w:val="009F293F"/>
    <w:rsid w:val="00A017FD"/>
    <w:rsid w:val="00A15CDD"/>
    <w:rsid w:val="00A27B16"/>
    <w:rsid w:val="00A36C84"/>
    <w:rsid w:val="00A454CE"/>
    <w:rsid w:val="00AA0519"/>
    <w:rsid w:val="00AA1B35"/>
    <w:rsid w:val="00AD5B2C"/>
    <w:rsid w:val="00B038A8"/>
    <w:rsid w:val="00B21E13"/>
    <w:rsid w:val="00B24318"/>
    <w:rsid w:val="00B55355"/>
    <w:rsid w:val="00C104A4"/>
    <w:rsid w:val="00C51B40"/>
    <w:rsid w:val="00CB572C"/>
    <w:rsid w:val="00CF6557"/>
    <w:rsid w:val="00D3678B"/>
    <w:rsid w:val="00DF3DEC"/>
    <w:rsid w:val="00E17CF0"/>
    <w:rsid w:val="00E240D4"/>
    <w:rsid w:val="00E660EF"/>
    <w:rsid w:val="00E80275"/>
    <w:rsid w:val="00ED211B"/>
    <w:rsid w:val="00F751B1"/>
    <w:rsid w:val="00FA7C51"/>
    <w:rsid w:val="00FD2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Textonotapie">
    <w:name w:val="footnote text"/>
    <w:basedOn w:val="Normal"/>
    <w:link w:val="TextonotapieCar"/>
    <w:uiPriority w:val="99"/>
    <w:semiHidden/>
    <w:unhideWhenUsed/>
    <w:rsid w:val="00CF6557"/>
    <w:rPr>
      <w:sz w:val="20"/>
      <w:szCs w:val="20"/>
    </w:rPr>
  </w:style>
  <w:style w:type="character" w:customStyle="1" w:styleId="TextonotapieCar">
    <w:name w:val="Texto nota pie Car"/>
    <w:basedOn w:val="Fuentedeprrafopredeter"/>
    <w:link w:val="Textonotapie"/>
    <w:uiPriority w:val="99"/>
    <w:semiHidden/>
    <w:rsid w:val="00CF6557"/>
    <w:rPr>
      <w:rFonts w:eastAsiaTheme="minorEastAsia"/>
      <w:sz w:val="20"/>
      <w:szCs w:val="20"/>
      <w:lang w:val="es-ES_tradnl"/>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CF6557"/>
    <w:rPr>
      <w:vertAlign w:val="superscript"/>
    </w:rPr>
  </w:style>
  <w:style w:type="table" w:styleId="Tablaconcuadrcula">
    <w:name w:val="Table Grid"/>
    <w:basedOn w:val="Tablanormal"/>
    <w:uiPriority w:val="39"/>
    <w:rsid w:val="00E66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3749">
      <w:bodyDiv w:val="1"/>
      <w:marLeft w:val="0"/>
      <w:marRight w:val="0"/>
      <w:marTop w:val="0"/>
      <w:marBottom w:val="0"/>
      <w:divBdr>
        <w:top w:val="none" w:sz="0" w:space="0" w:color="auto"/>
        <w:left w:val="none" w:sz="0" w:space="0" w:color="auto"/>
        <w:bottom w:val="none" w:sz="0" w:space="0" w:color="auto"/>
        <w:right w:val="none" w:sz="0" w:space="0" w:color="auto"/>
      </w:divBdr>
    </w:div>
    <w:div w:id="960578053">
      <w:bodyDiv w:val="1"/>
      <w:marLeft w:val="0"/>
      <w:marRight w:val="0"/>
      <w:marTop w:val="0"/>
      <w:marBottom w:val="0"/>
      <w:divBdr>
        <w:top w:val="none" w:sz="0" w:space="0" w:color="auto"/>
        <w:left w:val="none" w:sz="0" w:space="0" w:color="auto"/>
        <w:bottom w:val="none" w:sz="0" w:space="0" w:color="auto"/>
        <w:right w:val="none" w:sz="0" w:space="0" w:color="auto"/>
      </w:divBdr>
    </w:div>
    <w:div w:id="1392390255">
      <w:bodyDiv w:val="1"/>
      <w:marLeft w:val="0"/>
      <w:marRight w:val="0"/>
      <w:marTop w:val="0"/>
      <w:marBottom w:val="0"/>
      <w:divBdr>
        <w:top w:val="none" w:sz="0" w:space="0" w:color="auto"/>
        <w:left w:val="none" w:sz="0" w:space="0" w:color="auto"/>
        <w:bottom w:val="none" w:sz="0" w:space="0" w:color="auto"/>
        <w:right w:val="none" w:sz="0" w:space="0" w:color="auto"/>
      </w:divBdr>
    </w:div>
    <w:div w:id="20701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2328</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100</cp:revision>
  <cp:lastPrinted>2024-01-17T20:02:00Z</cp:lastPrinted>
  <dcterms:created xsi:type="dcterms:W3CDTF">2018-10-12T14:26:00Z</dcterms:created>
  <dcterms:modified xsi:type="dcterms:W3CDTF">2024-01-17T20:03:00Z</dcterms:modified>
</cp:coreProperties>
</file>