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A1BF" w14:textId="77777777" w:rsidR="00625DC6" w:rsidRPr="00E060BE" w:rsidRDefault="00BB3402"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8240" fillcolor="#0c9">
            <v:imagedata r:id="rId8" o:title=""/>
          </v:shape>
          <o:OLEObject Type="Embed" ProgID="PBrush" ShapeID="_x0000_s2050" DrawAspect="Content" ObjectID="_1764686575" r:id="rId9"/>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9C684B">
      <w:pPr>
        <w:pStyle w:val="Ttulo4"/>
        <w:keepNext w:val="0"/>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7027F17A" w14:textId="77777777" w:rsidR="00CA77FB" w:rsidRPr="00E060BE" w:rsidRDefault="00CA77FB" w:rsidP="00210A88">
      <w:pPr>
        <w:pStyle w:val="Ttulo3"/>
        <w:keepNext w:val="0"/>
        <w:tabs>
          <w:tab w:val="left" w:pos="0"/>
          <w:tab w:val="right" w:pos="9356"/>
        </w:tabs>
        <w:spacing w:before="240"/>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67AC44F2" w14:textId="5C02C7DD" w:rsidR="00A06511" w:rsidRPr="00BB3402" w:rsidRDefault="00A06511" w:rsidP="00210A88">
      <w:pPr>
        <w:pStyle w:val="Ttulo5"/>
        <w:keepNext w:val="0"/>
        <w:tabs>
          <w:tab w:val="left" w:pos="0"/>
          <w:tab w:val="right" w:pos="9356"/>
        </w:tabs>
        <w:spacing w:before="480"/>
        <w:ind w:left="0"/>
        <w:rPr>
          <w:rFonts w:ascii="Bookman Old Style" w:hAnsi="Bookman Old Style"/>
          <w:szCs w:val="28"/>
        </w:rPr>
      </w:pPr>
      <w:r w:rsidRPr="00E060BE">
        <w:rPr>
          <w:rFonts w:ascii="Bookman Old Style" w:hAnsi="Bookman Old Style"/>
          <w:sz w:val="24"/>
          <w:szCs w:val="24"/>
        </w:rPr>
        <w:t xml:space="preserve">RESOLUCIÓN No. </w:t>
      </w:r>
      <w:r w:rsidR="00BB3402" w:rsidRPr="00BB3402">
        <w:rPr>
          <w:rFonts w:ascii="Bookman Old Style" w:hAnsi="Bookman Old Style"/>
          <w:szCs w:val="28"/>
        </w:rPr>
        <w:t>501 026 DE 203</w:t>
      </w:r>
    </w:p>
    <w:p w14:paraId="0C7D114C" w14:textId="77777777" w:rsidR="00CA77FB" w:rsidRPr="00E060BE" w:rsidRDefault="00CA77FB" w:rsidP="009C684B">
      <w:pPr>
        <w:tabs>
          <w:tab w:val="left" w:pos="0"/>
          <w:tab w:val="right" w:pos="9356"/>
        </w:tabs>
        <w:ind w:left="0"/>
        <w:jc w:val="center"/>
        <w:rPr>
          <w:rFonts w:ascii="Bookman Old Style" w:hAnsi="Bookman Old Style" w:cs="Arial"/>
          <w:b/>
          <w:snapToGrid w:val="0"/>
          <w:color w:val="000000"/>
          <w:lang w:val="es-ES_tradnl"/>
        </w:rPr>
      </w:pPr>
    </w:p>
    <w:p w14:paraId="350D3C85" w14:textId="71CF0F7A" w:rsidR="00CA77FB" w:rsidRPr="00BB3402" w:rsidRDefault="00CA77FB" w:rsidP="009C684B">
      <w:pPr>
        <w:pStyle w:val="Ttulo3"/>
        <w:keepNext w:val="0"/>
        <w:tabs>
          <w:tab w:val="left" w:pos="0"/>
          <w:tab w:val="right" w:pos="9356"/>
        </w:tabs>
        <w:ind w:left="0"/>
        <w:rPr>
          <w:rFonts w:ascii="Bookman Old Style" w:hAnsi="Bookman Old Style"/>
          <w:bCs/>
          <w:szCs w:val="24"/>
        </w:rPr>
      </w:pPr>
      <w:r w:rsidRPr="00BB3402">
        <w:rPr>
          <w:rFonts w:ascii="Bookman Old Style" w:hAnsi="Bookman Old Style"/>
          <w:bCs/>
          <w:szCs w:val="24"/>
        </w:rPr>
        <w:t>(</w:t>
      </w:r>
      <w:r w:rsidR="00BB3402" w:rsidRPr="00BB3402">
        <w:rPr>
          <w:rFonts w:ascii="Bookman Old Style" w:hAnsi="Bookman Old Style"/>
          <w:bCs/>
          <w:szCs w:val="24"/>
        </w:rPr>
        <w:t>20 DIC. 2023</w:t>
      </w:r>
      <w:r w:rsidRPr="00BB3402">
        <w:rPr>
          <w:rFonts w:ascii="Bookman Old Style" w:hAnsi="Bookman Old Style"/>
          <w:bCs/>
          <w:szCs w:val="24"/>
        </w:rPr>
        <w:t>)</w:t>
      </w:r>
    </w:p>
    <w:p w14:paraId="5A9BA615" w14:textId="2365129B" w:rsidR="009F7D54" w:rsidRDefault="00210A88" w:rsidP="00210A88">
      <w:pPr>
        <w:spacing w:before="240"/>
        <w:ind w:left="0"/>
        <w:jc w:val="center"/>
        <w:rPr>
          <w:rFonts w:ascii="Bookman Old Style" w:hAnsi="Bookman Old Style"/>
        </w:rPr>
      </w:pPr>
      <w:r w:rsidRPr="00210A88">
        <w:rPr>
          <w:rFonts w:ascii="Bookman Old Style" w:hAnsi="Bookman Old Style"/>
        </w:rPr>
        <w:t xml:space="preserve">Por la cual se actualiza la base de activos </w:t>
      </w:r>
      <w:r w:rsidR="006F570A">
        <w:rPr>
          <w:rFonts w:ascii="Bookman Old Style" w:hAnsi="Bookman Old Style"/>
        </w:rPr>
        <w:t>de Transelca</w:t>
      </w:r>
      <w:r w:rsidRPr="00210A88">
        <w:rPr>
          <w:rFonts w:ascii="Bookman Old Style" w:hAnsi="Bookman Old Style"/>
        </w:rPr>
        <w:t xml:space="preserve"> S.A. E.S.P. y se modifican los parámetros necesarios para determinar su remuneración en el Sistema de Transmisión Nacional</w:t>
      </w:r>
      <w:r w:rsidR="009F7D54" w:rsidRPr="0008506C">
        <w:rPr>
          <w:rFonts w:ascii="Bookman Old Style" w:hAnsi="Bookman Old Style"/>
        </w:rPr>
        <w:t>.</w:t>
      </w:r>
    </w:p>
    <w:p w14:paraId="203F6B24" w14:textId="77777777" w:rsidR="009F7D54" w:rsidRPr="00C435C3" w:rsidRDefault="009F7D54" w:rsidP="009F7D54">
      <w:pPr>
        <w:spacing w:before="480"/>
        <w:ind w:left="0"/>
        <w:jc w:val="center"/>
        <w:rPr>
          <w:rFonts w:ascii="Bookman Old Style" w:hAnsi="Bookman Old Style"/>
          <w:b/>
        </w:rPr>
      </w:pPr>
      <w:r w:rsidRPr="00C435C3">
        <w:rPr>
          <w:rFonts w:ascii="Bookman Old Style" w:hAnsi="Bookman Old Style"/>
          <w:b/>
        </w:rPr>
        <w:t>LA COMISIÓN DE REGULACIÓN DE ENERGÍA Y GAS</w:t>
      </w:r>
    </w:p>
    <w:p w14:paraId="1D2DC4CC" w14:textId="77777777" w:rsidR="009F7D54" w:rsidRPr="00576D9E" w:rsidRDefault="009F7D54" w:rsidP="00210A88">
      <w:pPr>
        <w:spacing w:before="240"/>
        <w:ind w:left="0"/>
        <w:jc w:val="center"/>
        <w:rPr>
          <w:rFonts w:ascii="Bookman Old Style" w:hAnsi="Bookman Old Style"/>
          <w:b/>
        </w:rPr>
      </w:pPr>
      <w:r w:rsidRPr="00576D9E">
        <w:rPr>
          <w:rFonts w:ascii="Bookman Old Style" w:hAnsi="Bookman Old Style"/>
        </w:rPr>
        <w:t>En ejercicio de sus atribuciones constitucionales y legales, en especial las conferidas por las Leyes 142 y 143 de 1994, y en desarrollo de los Decretos 1524, 2253 de 1994 y 1260 de 2013.</w:t>
      </w:r>
    </w:p>
    <w:p w14:paraId="7FE38F3C" w14:textId="77777777" w:rsidR="009F7D54" w:rsidRPr="00C435C3" w:rsidRDefault="009F7D54" w:rsidP="009F7D54">
      <w:pPr>
        <w:spacing w:before="480"/>
        <w:ind w:left="0"/>
        <w:jc w:val="center"/>
        <w:rPr>
          <w:rFonts w:ascii="Bookman Old Style" w:hAnsi="Bookman Old Style"/>
          <w:b/>
        </w:rPr>
      </w:pPr>
      <w:r w:rsidRPr="00273924">
        <w:rPr>
          <w:rFonts w:ascii="Bookman Old Style" w:hAnsi="Bookman Old Style"/>
          <w:b/>
          <w:spacing w:val="80"/>
        </w:rPr>
        <w:t>CONSIDERANDO QUE</w:t>
      </w:r>
      <w:r w:rsidRPr="00C435C3">
        <w:rPr>
          <w:rFonts w:ascii="Bookman Old Style" w:hAnsi="Bookman Old Style"/>
          <w:b/>
        </w:rPr>
        <w:t>:</w:t>
      </w:r>
    </w:p>
    <w:p w14:paraId="56A7EE22" w14:textId="77777777" w:rsidR="00210A88" w:rsidRPr="00210A88" w:rsidRDefault="00210A88" w:rsidP="00210A88">
      <w:pPr>
        <w:spacing w:before="360"/>
        <w:ind w:left="0"/>
        <w:rPr>
          <w:rFonts w:ascii="Bookman Old Style" w:hAnsi="Bookman Old Style" w:cs="Arial"/>
        </w:rPr>
      </w:pPr>
      <w:r w:rsidRPr="00210A88">
        <w:rPr>
          <w:rFonts w:ascii="Bookman Old Style" w:hAnsi="Bookman Old Style" w:cs="Arial"/>
        </w:rPr>
        <w:t>De acuerdo con lo previsto en el literal d) del artículo 23 y en el artículo 41, ambos de la Ley 143 de 1994, es función de la Comisión de Regulación de Energía y Gas, CREG, fijar las tarifas por el acceso y uso de las redes eléctricas.</w:t>
      </w:r>
    </w:p>
    <w:p w14:paraId="036766B2" w14:textId="77777777" w:rsidR="00210A88" w:rsidRPr="00210A88" w:rsidRDefault="00210A88" w:rsidP="00210A88">
      <w:pPr>
        <w:spacing w:before="240"/>
        <w:ind w:left="0"/>
        <w:rPr>
          <w:rFonts w:ascii="Bookman Old Style" w:hAnsi="Bookman Old Style" w:cs="Arial"/>
          <w:spacing w:val="-3"/>
        </w:rPr>
      </w:pPr>
      <w:r w:rsidRPr="00210A88">
        <w:rPr>
          <w:rFonts w:ascii="Bookman Old Style" w:hAnsi="Bookman Old Style" w:cs="Arial"/>
          <w:spacing w:val="-3"/>
        </w:rPr>
        <w:t xml:space="preserve">Mediante la Resolución CREG 011 de 2009 se definieron la metodología y las fórmulas tarifarias para la remuneración de la actividad de transmisión de energía eléctrica en el STN. </w:t>
      </w:r>
    </w:p>
    <w:p w14:paraId="30DB740F" w14:textId="6BE40075" w:rsidR="00210A88" w:rsidRPr="00210A88" w:rsidRDefault="00210A88" w:rsidP="00210A88">
      <w:pPr>
        <w:spacing w:before="240"/>
        <w:ind w:left="0"/>
        <w:rPr>
          <w:rFonts w:ascii="Bookman Old Style" w:hAnsi="Bookman Old Style" w:cs="Arial"/>
          <w:spacing w:val="-3"/>
        </w:rPr>
      </w:pPr>
      <w:r w:rsidRPr="00210A88">
        <w:rPr>
          <w:rFonts w:ascii="Bookman Old Style" w:hAnsi="Bookman Old Style" w:cs="Arial"/>
        </w:rPr>
        <w:t>Mediante la Resolución CREG 1</w:t>
      </w:r>
      <w:r w:rsidR="006F570A">
        <w:rPr>
          <w:rFonts w:ascii="Bookman Old Style" w:hAnsi="Bookman Old Style" w:cs="Arial"/>
        </w:rPr>
        <w:t>07</w:t>
      </w:r>
      <w:r w:rsidRPr="00210A88">
        <w:rPr>
          <w:rFonts w:ascii="Bookman Old Style" w:hAnsi="Bookman Old Style" w:cs="Arial"/>
        </w:rPr>
        <w:t xml:space="preserve"> de 2010 se aprobó la base de activos y los parámetros necesarios para determinar la remuneración </w:t>
      </w:r>
      <w:r w:rsidR="006F570A">
        <w:rPr>
          <w:rFonts w:ascii="Bookman Old Style" w:hAnsi="Bookman Old Style" w:cs="Arial"/>
        </w:rPr>
        <w:t>de Transelca</w:t>
      </w:r>
      <w:r w:rsidRPr="00210A88">
        <w:rPr>
          <w:rFonts w:ascii="Bookman Old Style" w:hAnsi="Bookman Old Style" w:cs="Arial"/>
        </w:rPr>
        <w:t xml:space="preserve"> S.A. E.S.P., en el Sistema de Transmisión Nacional, los cuales han sido modificados por las resoluciones CREG </w:t>
      </w:r>
      <w:r w:rsidR="006F570A" w:rsidRPr="006F570A">
        <w:rPr>
          <w:rFonts w:ascii="Bookman Old Style" w:hAnsi="Bookman Old Style" w:cs="Arial"/>
        </w:rPr>
        <w:t>061 y 105 de 2011, 107 de 2012, 009 y 091 de 2013, 072 de 2015, 173 de 2016, 136A de 2018 y 112 de 2019</w:t>
      </w:r>
      <w:r w:rsidRPr="00210A88">
        <w:rPr>
          <w:rFonts w:ascii="Bookman Old Style" w:hAnsi="Bookman Old Style" w:cs="Arial"/>
        </w:rPr>
        <w:t>.</w:t>
      </w:r>
    </w:p>
    <w:p w14:paraId="6E004288" w14:textId="77777777" w:rsidR="00210A88" w:rsidRPr="00210A88" w:rsidRDefault="00210A88" w:rsidP="00210A88">
      <w:pPr>
        <w:spacing w:before="240"/>
        <w:ind w:left="0"/>
        <w:rPr>
          <w:rFonts w:ascii="Bookman Old Style" w:hAnsi="Bookman Old Style" w:cs="Arial"/>
          <w:spacing w:val="-3"/>
        </w:rPr>
      </w:pPr>
      <w:r w:rsidRPr="00210A88">
        <w:rPr>
          <w:rFonts w:ascii="Bookman Old Style" w:hAnsi="Bookman Old Style" w:cs="Arial"/>
          <w:spacing w:val="-3"/>
        </w:rPr>
        <w:t>El artículo 6 de la Resolución CREG 022 de 2001, modificado por la Resolución CREG 193 de 2020, establece:</w:t>
      </w:r>
    </w:p>
    <w:p w14:paraId="1B054881" w14:textId="77777777" w:rsidR="00210A88" w:rsidRPr="00210A88" w:rsidRDefault="00210A88" w:rsidP="00210A88">
      <w:pPr>
        <w:spacing w:before="120"/>
        <w:ind w:left="142"/>
        <w:rPr>
          <w:rFonts w:ascii="Bookman Old Style" w:hAnsi="Bookman Old Style" w:cs="Arial"/>
          <w:i/>
          <w:sz w:val="22"/>
          <w:szCs w:val="22"/>
          <w:lang w:val="es-CO"/>
        </w:rPr>
      </w:pPr>
      <w:r w:rsidRPr="00210A88">
        <w:rPr>
          <w:rFonts w:ascii="Bookman Old Style" w:hAnsi="Bookman Old Style" w:cs="Arial"/>
          <w:i/>
          <w:sz w:val="22"/>
          <w:szCs w:val="22"/>
          <w:lang w:val="es-CO"/>
        </w:rPr>
        <w:t>“</w:t>
      </w:r>
      <w:r w:rsidRPr="00210A88">
        <w:rPr>
          <w:rFonts w:ascii="Bookman Old Style" w:hAnsi="Bookman Old Style" w:cs="Arial"/>
          <w:b/>
          <w:i/>
          <w:sz w:val="22"/>
          <w:szCs w:val="22"/>
          <w:lang w:val="es-CO"/>
        </w:rPr>
        <w:t>Artículo 6. Ampliaciones de las instalaciones del STN</w:t>
      </w:r>
      <w:r w:rsidRPr="00210A88">
        <w:rPr>
          <w:rFonts w:ascii="Bookman Old Style" w:hAnsi="Bookman Old Style" w:cs="Arial"/>
          <w:i/>
          <w:sz w:val="22"/>
          <w:szCs w:val="22"/>
          <w:lang w:val="es-CO"/>
        </w:rPr>
        <w:t>. Los siguientes tipos de proyectos se denominarán ampliaciones de las instalaciones del STN, y para su ejecución no será obligatorio recurrir a los procesos de selección descritos en esta resolución:</w:t>
      </w:r>
    </w:p>
    <w:p w14:paraId="34BB4253" w14:textId="77777777" w:rsidR="00210A88" w:rsidRPr="00210A88" w:rsidRDefault="00210A88" w:rsidP="00210A88">
      <w:pPr>
        <w:pStyle w:val="Prrafodelista"/>
        <w:numPr>
          <w:ilvl w:val="0"/>
          <w:numId w:val="28"/>
        </w:numPr>
        <w:spacing w:before="120" w:after="120"/>
        <w:ind w:left="426" w:hanging="284"/>
        <w:jc w:val="both"/>
        <w:rPr>
          <w:rFonts w:ascii="Bookman Old Style" w:hAnsi="Bookman Old Style" w:cs="Arial"/>
          <w:i/>
          <w:sz w:val="22"/>
          <w:szCs w:val="22"/>
        </w:rPr>
      </w:pPr>
      <w:r w:rsidRPr="00210A88">
        <w:rPr>
          <w:rFonts w:ascii="Bookman Old Style" w:hAnsi="Bookman Old Style" w:cs="Arial"/>
          <w:i/>
          <w:sz w:val="22"/>
          <w:szCs w:val="22"/>
        </w:rPr>
        <w:t>montaje de nuevos circuitos sobre estructuras existentes, junto con los activos requeridos para su conexión al STN;</w:t>
      </w:r>
    </w:p>
    <w:p w14:paraId="0EEC2C3E" w14:textId="77777777" w:rsidR="00210A88" w:rsidRPr="00210A88" w:rsidRDefault="00210A88" w:rsidP="00210A88">
      <w:pPr>
        <w:pStyle w:val="Prrafodelista"/>
        <w:numPr>
          <w:ilvl w:val="0"/>
          <w:numId w:val="28"/>
        </w:numPr>
        <w:spacing w:before="120" w:after="120"/>
        <w:ind w:left="426" w:hanging="284"/>
        <w:jc w:val="both"/>
        <w:rPr>
          <w:rFonts w:ascii="Bookman Old Style" w:hAnsi="Bookman Old Style" w:cs="Arial"/>
          <w:i/>
          <w:sz w:val="22"/>
          <w:szCs w:val="22"/>
        </w:rPr>
      </w:pPr>
      <w:r w:rsidRPr="00210A88">
        <w:rPr>
          <w:rFonts w:ascii="Bookman Old Style" w:hAnsi="Bookman Old Style" w:cs="Arial"/>
          <w:i/>
          <w:sz w:val="22"/>
          <w:szCs w:val="22"/>
        </w:rPr>
        <w:t>cambio en la configuración de subestaciones existentes;</w:t>
      </w:r>
    </w:p>
    <w:p w14:paraId="156A01F2" w14:textId="77777777" w:rsidR="00210A88" w:rsidRPr="00210A88" w:rsidRDefault="00210A88" w:rsidP="00210A88">
      <w:pPr>
        <w:pStyle w:val="Prrafodelista"/>
        <w:numPr>
          <w:ilvl w:val="0"/>
          <w:numId w:val="28"/>
        </w:numPr>
        <w:spacing w:before="120" w:after="120"/>
        <w:ind w:left="426" w:hanging="284"/>
        <w:jc w:val="both"/>
        <w:rPr>
          <w:rFonts w:ascii="Bookman Old Style" w:hAnsi="Bookman Old Style" w:cs="Arial"/>
          <w:i/>
          <w:sz w:val="22"/>
          <w:szCs w:val="22"/>
        </w:rPr>
      </w:pPr>
      <w:r w:rsidRPr="00210A88">
        <w:rPr>
          <w:rFonts w:ascii="Bookman Old Style" w:hAnsi="Bookman Old Style" w:cs="Arial"/>
          <w:i/>
          <w:sz w:val="22"/>
          <w:szCs w:val="22"/>
        </w:rPr>
        <w:t>montaje de nuevas bahías de transformador con tensión igual o superior a 220 kV que utilice un Operador de Red para conectarse al STN en subestaciones con configuración de anillo o de interruptor y medio;</w:t>
      </w:r>
    </w:p>
    <w:p w14:paraId="1ED955F7" w14:textId="77777777" w:rsidR="00210A88" w:rsidRPr="00210A88" w:rsidRDefault="00210A88" w:rsidP="00210A88">
      <w:pPr>
        <w:pStyle w:val="Prrafodelista"/>
        <w:numPr>
          <w:ilvl w:val="0"/>
          <w:numId w:val="28"/>
        </w:numPr>
        <w:spacing w:before="120" w:after="120"/>
        <w:ind w:left="426" w:hanging="284"/>
        <w:jc w:val="both"/>
        <w:rPr>
          <w:rFonts w:ascii="Bookman Old Style" w:hAnsi="Bookman Old Style" w:cs="Arial"/>
          <w:i/>
          <w:sz w:val="22"/>
          <w:szCs w:val="22"/>
        </w:rPr>
      </w:pPr>
      <w:r w:rsidRPr="00210A88">
        <w:rPr>
          <w:rFonts w:ascii="Bookman Old Style" w:hAnsi="Bookman Old Style" w:cs="Arial"/>
          <w:i/>
          <w:sz w:val="22"/>
          <w:szCs w:val="22"/>
        </w:rPr>
        <w:lastRenderedPageBreak/>
        <w:t>bahías para compensaciones fijas;</w:t>
      </w:r>
    </w:p>
    <w:p w14:paraId="12C3AF4A" w14:textId="77777777" w:rsidR="00210A88" w:rsidRPr="00210A88" w:rsidRDefault="00210A88" w:rsidP="00210A88">
      <w:pPr>
        <w:pStyle w:val="Prrafodelista"/>
        <w:numPr>
          <w:ilvl w:val="0"/>
          <w:numId w:val="28"/>
        </w:numPr>
        <w:spacing w:before="120" w:after="120"/>
        <w:ind w:left="426" w:hanging="284"/>
        <w:jc w:val="both"/>
        <w:rPr>
          <w:rFonts w:ascii="Bookman Old Style" w:hAnsi="Bookman Old Style" w:cs="Arial"/>
          <w:i/>
          <w:sz w:val="22"/>
          <w:szCs w:val="22"/>
        </w:rPr>
      </w:pPr>
      <w:r w:rsidRPr="00210A88">
        <w:rPr>
          <w:rFonts w:ascii="Bookman Old Style" w:hAnsi="Bookman Old Style" w:cs="Arial"/>
          <w:i/>
          <w:sz w:val="22"/>
          <w:szCs w:val="22"/>
        </w:rPr>
        <w:t>equipos para control de tensión;</w:t>
      </w:r>
    </w:p>
    <w:p w14:paraId="78285317" w14:textId="77777777" w:rsidR="00210A88" w:rsidRPr="00210A88" w:rsidRDefault="00210A88" w:rsidP="00210A88">
      <w:pPr>
        <w:pStyle w:val="Prrafodelista"/>
        <w:numPr>
          <w:ilvl w:val="0"/>
          <w:numId w:val="28"/>
        </w:numPr>
        <w:spacing w:before="120" w:after="120"/>
        <w:ind w:left="426" w:hanging="284"/>
        <w:jc w:val="both"/>
        <w:rPr>
          <w:rFonts w:ascii="Bookman Old Style" w:hAnsi="Bookman Old Style" w:cs="Arial"/>
          <w:i/>
          <w:sz w:val="22"/>
          <w:szCs w:val="22"/>
        </w:rPr>
      </w:pPr>
      <w:r w:rsidRPr="00210A88">
        <w:rPr>
          <w:rFonts w:ascii="Bookman Old Style" w:hAnsi="Bookman Old Style" w:cs="Arial"/>
          <w:i/>
          <w:sz w:val="22"/>
          <w:szCs w:val="22"/>
        </w:rPr>
        <w:t>esquemas de separación de áreas, ESA;</w:t>
      </w:r>
    </w:p>
    <w:p w14:paraId="3E0895D0" w14:textId="77777777" w:rsidR="00210A88" w:rsidRPr="00210A88" w:rsidRDefault="00210A88" w:rsidP="00210A88">
      <w:pPr>
        <w:pStyle w:val="Prrafodelista"/>
        <w:numPr>
          <w:ilvl w:val="0"/>
          <w:numId w:val="28"/>
        </w:numPr>
        <w:spacing w:before="120" w:after="120"/>
        <w:ind w:left="426" w:hanging="284"/>
        <w:jc w:val="both"/>
        <w:rPr>
          <w:rFonts w:ascii="Bookman Old Style" w:hAnsi="Bookman Old Style" w:cs="Arial"/>
          <w:i/>
          <w:sz w:val="22"/>
          <w:szCs w:val="22"/>
        </w:rPr>
      </w:pPr>
      <w:r w:rsidRPr="00210A88">
        <w:rPr>
          <w:rFonts w:ascii="Bookman Old Style" w:hAnsi="Bookman Old Style" w:cs="Arial"/>
          <w:i/>
          <w:sz w:val="22"/>
          <w:szCs w:val="22"/>
        </w:rPr>
        <w:t>cambio de conductores en líneas existentes o de bahías en subestaciones, por otros activos de mayores especificaciones a las consideradas en la definición de las unidades constructivas existentes;</w:t>
      </w:r>
    </w:p>
    <w:p w14:paraId="6A681B29" w14:textId="77777777" w:rsidR="00210A88" w:rsidRPr="00210A88" w:rsidRDefault="00210A88" w:rsidP="00210A88">
      <w:pPr>
        <w:pStyle w:val="Prrafodelista"/>
        <w:numPr>
          <w:ilvl w:val="0"/>
          <w:numId w:val="28"/>
        </w:numPr>
        <w:spacing w:before="120" w:after="120"/>
        <w:ind w:left="426" w:hanging="284"/>
        <w:jc w:val="both"/>
        <w:rPr>
          <w:rFonts w:ascii="Bookman Old Style" w:hAnsi="Bookman Old Style" w:cs="Arial"/>
          <w:i/>
          <w:sz w:val="22"/>
          <w:szCs w:val="22"/>
        </w:rPr>
      </w:pPr>
      <w:r w:rsidRPr="00210A88">
        <w:rPr>
          <w:rFonts w:ascii="Bookman Old Style" w:hAnsi="Bookman Old Style" w:cs="Arial"/>
          <w:i/>
          <w:sz w:val="22"/>
          <w:szCs w:val="22"/>
        </w:rPr>
        <w:t>implementación de Unidades Constructivas que componen los Centros de Supervisión y Maniobra del STN; y</w:t>
      </w:r>
    </w:p>
    <w:p w14:paraId="36E6E27D" w14:textId="77777777" w:rsidR="00210A88" w:rsidRPr="00210A88" w:rsidRDefault="00210A88" w:rsidP="00210A88">
      <w:pPr>
        <w:pStyle w:val="Prrafodelista"/>
        <w:numPr>
          <w:ilvl w:val="0"/>
          <w:numId w:val="28"/>
        </w:numPr>
        <w:spacing w:before="120" w:after="120"/>
        <w:ind w:left="426" w:hanging="284"/>
        <w:jc w:val="both"/>
        <w:rPr>
          <w:rFonts w:ascii="Bookman Old Style" w:hAnsi="Bookman Old Style" w:cs="Arial"/>
          <w:i/>
          <w:sz w:val="22"/>
          <w:szCs w:val="22"/>
        </w:rPr>
      </w:pPr>
      <w:r w:rsidRPr="00210A88">
        <w:rPr>
          <w:rFonts w:ascii="Bookman Old Style" w:hAnsi="Bookman Old Style" w:cs="Arial"/>
          <w:i/>
          <w:iCs/>
          <w:sz w:val="22"/>
          <w:szCs w:val="22"/>
        </w:rPr>
        <w:t>instalación de módulos de compensación o sistemas flexibles de transmisión de corriente alterna, FACTS, en subestaciones o en líneas.</w:t>
      </w:r>
    </w:p>
    <w:p w14:paraId="528BB325" w14:textId="77777777" w:rsidR="00210A88" w:rsidRPr="00210A88" w:rsidRDefault="00210A88" w:rsidP="00210A88">
      <w:pPr>
        <w:spacing w:before="120"/>
        <w:ind w:left="142"/>
        <w:rPr>
          <w:rFonts w:ascii="Bookman Old Style" w:hAnsi="Bookman Old Style" w:cs="Arial"/>
          <w:i/>
          <w:sz w:val="22"/>
          <w:szCs w:val="22"/>
          <w:lang w:val="es-CO"/>
        </w:rPr>
      </w:pPr>
      <w:r w:rsidRPr="00210A88">
        <w:rPr>
          <w:rFonts w:ascii="Bookman Old Style" w:hAnsi="Bookman Old Style" w:cs="Arial"/>
          <w:i/>
          <w:sz w:val="22"/>
          <w:szCs w:val="22"/>
          <w:lang w:val="es-CO"/>
        </w:rPr>
        <w:t>Estas ampliaciones pueden ejecutarse en instalaciones que ya estén en operación, o en proyectos adjudicados mediante procesos de selección para los que ya esté en firme la resolución que hace oficial el ingreso anual esperado de estos proyectos. Con este fin, deberán hacer parte del Plan de Expansión de Referencia, de acuerdo con lo dispuesto en el artículo 3 de la presente Resolución, y en esta medida su ejecución podrá ser objetada.</w:t>
      </w:r>
    </w:p>
    <w:p w14:paraId="54647532" w14:textId="77777777" w:rsidR="00210A88" w:rsidRPr="00210A88" w:rsidRDefault="00210A88" w:rsidP="00210A88">
      <w:pPr>
        <w:spacing w:before="120"/>
        <w:ind w:left="142"/>
        <w:rPr>
          <w:rFonts w:ascii="Bookman Old Style" w:hAnsi="Bookman Old Style" w:cs="Arial"/>
          <w:i/>
          <w:sz w:val="22"/>
          <w:szCs w:val="22"/>
          <w:lang w:val="es-CO"/>
        </w:rPr>
      </w:pPr>
      <w:r w:rsidRPr="00210A88">
        <w:rPr>
          <w:rFonts w:ascii="Bookman Old Style" w:hAnsi="Bookman Old Style" w:cs="Arial"/>
          <w:i/>
          <w:sz w:val="22"/>
          <w:szCs w:val="22"/>
          <w:lang w:val="es-CO"/>
        </w:rPr>
        <w:t xml:space="preserve">De ser incluida la respectiva ampliación en el Plan de Expansión de Referencia, será desarrollada por el transmisor que representa o vaya a representar ante el Liquidador y Administrador de Cuentas, LAC, los activos objeto de la ampliación. En caso de que el transmisor no desee desarrollar el proyecto, se adelantará un proceso que garantice la libre concurrencia en condiciones de igualdad, cumpliendo con las disposiciones establecidas en el artículo 4 de la presente Resolución. </w:t>
      </w:r>
    </w:p>
    <w:p w14:paraId="2CF0E871" w14:textId="77777777" w:rsidR="00210A88" w:rsidRPr="00210A88" w:rsidRDefault="00210A88" w:rsidP="00210A88">
      <w:pPr>
        <w:spacing w:before="120"/>
        <w:ind w:left="142"/>
        <w:rPr>
          <w:rFonts w:ascii="Bookman Old Style" w:hAnsi="Bookman Old Style" w:cs="Arial"/>
          <w:i/>
          <w:sz w:val="22"/>
          <w:szCs w:val="22"/>
          <w:lang w:val="es-CO"/>
        </w:rPr>
      </w:pPr>
      <w:r w:rsidRPr="00210A88">
        <w:rPr>
          <w:rFonts w:ascii="Bookman Old Style" w:hAnsi="Bookman Old Style" w:cs="Arial"/>
          <w:b/>
          <w:i/>
          <w:sz w:val="22"/>
          <w:szCs w:val="22"/>
          <w:lang w:val="es-CO"/>
        </w:rPr>
        <w:t xml:space="preserve">Parágrafo 1. </w:t>
      </w:r>
      <w:r w:rsidRPr="00210A88">
        <w:rPr>
          <w:rFonts w:ascii="Bookman Old Style" w:hAnsi="Bookman Old Style" w:cs="Arial"/>
          <w:i/>
          <w:sz w:val="22"/>
          <w:szCs w:val="22"/>
          <w:lang w:val="es-CO"/>
        </w:rPr>
        <w:t>Para su remuneración, los activos construidos como ampliaciones se reclasificarán según las Unidades Constructivas existentes, UC, cuando este fuere el caso, y se adicionarán aquellas cuya construcción fue necesaria para conectar la ampliación al STN. Para todo lo anterior se aplicará la metodología vigente para la remuneración de la actividad de transmisión.</w:t>
      </w:r>
    </w:p>
    <w:p w14:paraId="3111F265" w14:textId="77777777" w:rsidR="00210A88" w:rsidRPr="00210A88" w:rsidRDefault="00210A88" w:rsidP="00210A88">
      <w:pPr>
        <w:pStyle w:val="Cita"/>
      </w:pPr>
      <w:r w:rsidRPr="00210A88">
        <w:t>En caso de requerirse, los nuevos activos se asimilarán</w:t>
      </w:r>
      <w:r w:rsidRPr="00210A88" w:rsidDel="004456C8">
        <w:t xml:space="preserve"> </w:t>
      </w:r>
      <w:r w:rsidRPr="00210A88">
        <w:t xml:space="preserve">a las UC existentes y podrán tener valores menores o mayores que estas. Cuando la ampliación corresponda a menos del 70% del valor de la UC asimilable o esté entre el 110% y el 150% de este valor, el TN deberá indicar el porcentaje al que corresponde la ampliación. </w:t>
      </w:r>
    </w:p>
    <w:p w14:paraId="188CE123" w14:textId="77777777" w:rsidR="00210A88" w:rsidRPr="00210A88" w:rsidRDefault="00210A88" w:rsidP="00210A88">
      <w:pPr>
        <w:spacing w:before="120"/>
        <w:ind w:left="142"/>
        <w:rPr>
          <w:rFonts w:ascii="Bookman Old Style" w:hAnsi="Bookman Old Style" w:cs="Arial"/>
          <w:i/>
          <w:sz w:val="22"/>
          <w:szCs w:val="22"/>
          <w:lang w:val="es-CO"/>
        </w:rPr>
      </w:pPr>
      <w:r w:rsidRPr="00210A88">
        <w:rPr>
          <w:rFonts w:ascii="Bookman Old Style" w:hAnsi="Bookman Old Style" w:cs="Arial"/>
          <w:i/>
          <w:sz w:val="22"/>
          <w:szCs w:val="22"/>
          <w:lang w:val="es-CO"/>
        </w:rPr>
        <w:t xml:space="preserve">En todos los casos, la solicitud de remuneración que presente el transmisor a la </w:t>
      </w:r>
      <w:proofErr w:type="gramStart"/>
      <w:r w:rsidRPr="00210A88">
        <w:rPr>
          <w:rFonts w:ascii="Bookman Old Style" w:hAnsi="Bookman Old Style" w:cs="Arial"/>
          <w:i/>
          <w:sz w:val="22"/>
          <w:szCs w:val="22"/>
          <w:lang w:val="es-CO"/>
        </w:rPr>
        <w:t>CREG,</w:t>
      </w:r>
      <w:proofErr w:type="gramEnd"/>
      <w:r w:rsidRPr="00210A88">
        <w:rPr>
          <w:rFonts w:ascii="Bookman Old Style" w:hAnsi="Bookman Old Style" w:cs="Arial"/>
          <w:i/>
          <w:sz w:val="22"/>
          <w:szCs w:val="22"/>
          <w:lang w:val="es-CO"/>
        </w:rPr>
        <w:t xml:space="preserve"> deberá acompañarse con la justificación del porcentaje que representa el valor de la UC instalada, frente al valor de la UC definida en la regulación. </w:t>
      </w:r>
    </w:p>
    <w:p w14:paraId="6FA5CA63" w14:textId="77777777" w:rsidR="00210A88" w:rsidRPr="00210A88" w:rsidRDefault="00210A88" w:rsidP="00210A88">
      <w:pPr>
        <w:spacing w:before="120"/>
        <w:ind w:left="142"/>
        <w:rPr>
          <w:rFonts w:ascii="Bookman Old Style" w:hAnsi="Bookman Old Style" w:cs="Arial"/>
          <w:i/>
          <w:sz w:val="22"/>
          <w:szCs w:val="22"/>
          <w:lang w:val="es-CO"/>
        </w:rPr>
      </w:pPr>
      <w:r w:rsidRPr="00210A88">
        <w:rPr>
          <w:rFonts w:ascii="Bookman Old Style" w:hAnsi="Bookman Old Style" w:cs="Arial"/>
          <w:i/>
          <w:sz w:val="22"/>
          <w:szCs w:val="22"/>
          <w:lang w:val="es-CO"/>
        </w:rPr>
        <w:t>(…)</w:t>
      </w:r>
    </w:p>
    <w:p w14:paraId="46522D87" w14:textId="77777777" w:rsidR="00210A88" w:rsidRDefault="00210A88" w:rsidP="00210A88">
      <w:pPr>
        <w:spacing w:before="120"/>
        <w:ind w:left="0"/>
        <w:rPr>
          <w:rFonts w:ascii="Bookman Old Style" w:hAnsi="Bookman Old Style" w:cs="Arial"/>
          <w:spacing w:val="-3"/>
        </w:rPr>
      </w:pPr>
      <w:r w:rsidRPr="00210A88">
        <w:rPr>
          <w:rFonts w:ascii="Bookman Old Style" w:hAnsi="Bookman Old Style" w:cs="Arial"/>
          <w:spacing w:val="-3"/>
        </w:rPr>
        <w:t xml:space="preserve">De acuerdo con el artículo 7 de la Resolución CREG 011 de 2009 el ingreso anual del transmisor, IAT, “(…) </w:t>
      </w:r>
      <w:r w:rsidRPr="00210A88">
        <w:rPr>
          <w:rFonts w:ascii="Bookman Old Style" w:hAnsi="Bookman Old Style" w:cs="Arial"/>
          <w:i/>
          <w:spacing w:val="-3"/>
        </w:rPr>
        <w:t>solo se ajustará si la CREG llegare a modificar los valores de la Unidades Constructivas, cuando se modifique el valor del AOM reconocido o cuando, en cumplimiento de la regulación vigente, se excluyan Activos de Uso en operación, ingresen nuevos Activos de Uso o se remplacen las Unidades Constructivas instaladas por otras de clasificación diferente de acuerdo con lo establecido en el Artículo 6 de la presente Resolución.</w:t>
      </w:r>
      <w:r w:rsidRPr="00210A88">
        <w:rPr>
          <w:rFonts w:ascii="Bookman Old Style" w:hAnsi="Bookman Old Style" w:cs="Arial"/>
          <w:spacing w:val="-3"/>
        </w:rPr>
        <w:t>”</w:t>
      </w:r>
    </w:p>
    <w:p w14:paraId="50AAE4B6" w14:textId="532AFDE7" w:rsidR="00EB5E04" w:rsidRPr="00EB5E04" w:rsidRDefault="00EB5E04" w:rsidP="00EB5E04">
      <w:pPr>
        <w:spacing w:before="120"/>
        <w:ind w:left="0"/>
        <w:rPr>
          <w:rFonts w:ascii="Bookman Old Style" w:hAnsi="Bookman Old Style" w:cs="Arial"/>
          <w:spacing w:val="-3"/>
        </w:rPr>
      </w:pPr>
      <w:r w:rsidRPr="00EB5E04">
        <w:rPr>
          <w:rFonts w:ascii="Bookman Old Style" w:hAnsi="Bookman Old Style" w:cs="Arial"/>
          <w:spacing w:val="-3"/>
        </w:rPr>
        <w:t xml:space="preserve">Mediante el Plan de Expansión de Referencia Generación - Transmisión 2020-2034, se recomienda la instalación de: </w:t>
      </w:r>
    </w:p>
    <w:p w14:paraId="4E1D4932" w14:textId="77777777" w:rsidR="00E8029A" w:rsidRDefault="00E8029A" w:rsidP="00E8029A">
      <w:pPr>
        <w:pStyle w:val="Cita"/>
      </w:pPr>
      <w:r w:rsidRPr="00964A8C">
        <w:t>Equipos tipo SSSC (</w:t>
      </w:r>
      <w:proofErr w:type="spellStart"/>
      <w:r w:rsidRPr="00A03567">
        <w:t>Static</w:t>
      </w:r>
      <w:proofErr w:type="spellEnd"/>
      <w:r w:rsidRPr="00A03567">
        <w:t xml:space="preserve"> </w:t>
      </w:r>
      <w:proofErr w:type="spellStart"/>
      <w:r w:rsidRPr="00A03567">
        <w:t>Synchrounous</w:t>
      </w:r>
      <w:proofErr w:type="spellEnd"/>
      <w:r w:rsidRPr="00A03567">
        <w:t xml:space="preserve"> Series </w:t>
      </w:r>
      <w:proofErr w:type="spellStart"/>
      <w:r w:rsidRPr="00A03567">
        <w:t>Compensator</w:t>
      </w:r>
      <w:proofErr w:type="spellEnd"/>
      <w:r w:rsidRPr="00964A8C">
        <w:t>) o FACTS (</w:t>
      </w:r>
      <w:r w:rsidRPr="00A03567">
        <w:t xml:space="preserve">Flexible AC </w:t>
      </w:r>
      <w:proofErr w:type="spellStart"/>
      <w:r w:rsidRPr="00A03567">
        <w:t>Transmission</w:t>
      </w:r>
      <w:proofErr w:type="spellEnd"/>
      <w:r w:rsidRPr="00A03567">
        <w:t xml:space="preserve"> </w:t>
      </w:r>
      <w:proofErr w:type="spellStart"/>
      <w:r w:rsidRPr="00A03567">
        <w:t>System</w:t>
      </w:r>
      <w:proofErr w:type="spellEnd"/>
      <w:r w:rsidRPr="00964A8C">
        <w:t xml:space="preserve">) distribuidos inicialmente en los circuitos Guajira - Santa Marta y Bonda – Santa Marta y posteriormente, una vez esté en servicio toda la expansión del STN hoy definida para La Guajira, se deberán trasladar los dispositivos del circuito Bonda – Santa Marta a Bonda – Guajira 220 kV, según lo expuesto en Plan de </w:t>
      </w:r>
      <w:r w:rsidRPr="00964A8C">
        <w:lastRenderedPageBreak/>
        <w:t>Expansión 2020-2034. Fecha de entrada en operación: julio de 2022 la instalación inicial; la fecha del traslado dependerá de la entrada en servicio de la expansión en el área.</w:t>
      </w:r>
    </w:p>
    <w:p w14:paraId="50A3F659" w14:textId="77777777" w:rsidR="00E8029A" w:rsidRDefault="00EB5E04" w:rsidP="00EB5E04">
      <w:pPr>
        <w:spacing w:before="120"/>
        <w:ind w:left="0"/>
        <w:rPr>
          <w:rFonts w:ascii="Bookman Old Style" w:hAnsi="Bookman Old Style" w:cs="Arial"/>
          <w:spacing w:val="-3"/>
        </w:rPr>
      </w:pPr>
      <w:r w:rsidRPr="00EB5E04">
        <w:rPr>
          <w:rFonts w:ascii="Bookman Old Style" w:hAnsi="Bookman Old Style" w:cs="Arial"/>
          <w:spacing w:val="-3"/>
        </w:rPr>
        <w:t>De acuerdo con lo previsto en la Resolución CREG 022 de 2001</w:t>
      </w:r>
      <w:r w:rsidR="00E8029A">
        <w:rPr>
          <w:rFonts w:ascii="Bookman Old Style" w:hAnsi="Bookman Old Style" w:cs="Arial"/>
          <w:spacing w:val="-3"/>
        </w:rPr>
        <w:t>:</w:t>
      </w:r>
    </w:p>
    <w:p w14:paraId="256F019F" w14:textId="77DF2DFC" w:rsidR="00E8029A" w:rsidRPr="00E8029A" w:rsidRDefault="00EB5E04" w:rsidP="00E8029A">
      <w:pPr>
        <w:pStyle w:val="Prrafodelista"/>
        <w:numPr>
          <w:ilvl w:val="0"/>
          <w:numId w:val="29"/>
        </w:numPr>
        <w:spacing w:before="120"/>
        <w:rPr>
          <w:rFonts w:ascii="Bookman Old Style" w:hAnsi="Bookman Old Style" w:cs="Arial"/>
          <w:spacing w:val="-3"/>
          <w:sz w:val="24"/>
          <w:szCs w:val="24"/>
          <w:lang w:val="es-ES"/>
        </w:rPr>
      </w:pPr>
      <w:r w:rsidRPr="00E8029A">
        <w:rPr>
          <w:rFonts w:ascii="Bookman Old Style" w:hAnsi="Bookman Old Style" w:cs="Arial"/>
          <w:spacing w:val="-3"/>
          <w:sz w:val="24"/>
          <w:szCs w:val="24"/>
          <w:lang w:val="es-ES"/>
        </w:rPr>
        <w:t>la UPME le solicitó a Transelca S.A. E.S.P. manifestar su interés en la ejecución del proyecto</w:t>
      </w:r>
      <w:r w:rsidR="00E8029A" w:rsidRPr="00E8029A">
        <w:rPr>
          <w:rFonts w:ascii="Bookman Old Style" w:hAnsi="Bookman Old Style" w:cs="Arial"/>
          <w:spacing w:val="-3"/>
          <w:sz w:val="24"/>
          <w:szCs w:val="24"/>
          <w:lang w:val="es-ES"/>
        </w:rPr>
        <w:t>;</w:t>
      </w:r>
    </w:p>
    <w:p w14:paraId="1E452594" w14:textId="78F1BB16" w:rsidR="00E8029A" w:rsidRDefault="00E8029A" w:rsidP="00950449">
      <w:pPr>
        <w:pStyle w:val="Prrafodelista"/>
        <w:numPr>
          <w:ilvl w:val="0"/>
          <w:numId w:val="29"/>
        </w:numPr>
        <w:spacing w:before="120"/>
        <w:rPr>
          <w:rFonts w:ascii="Bookman Old Style" w:hAnsi="Bookman Old Style" w:cs="Arial"/>
          <w:spacing w:val="-3"/>
          <w:sz w:val="24"/>
          <w:szCs w:val="24"/>
          <w:lang w:val="es-ES"/>
        </w:rPr>
      </w:pPr>
      <w:r w:rsidRPr="00E8029A">
        <w:rPr>
          <w:rFonts w:ascii="Bookman Old Style" w:hAnsi="Bookman Old Style" w:cs="Arial"/>
          <w:spacing w:val="-3"/>
          <w:sz w:val="24"/>
          <w:szCs w:val="24"/>
          <w:lang w:val="es-ES"/>
        </w:rPr>
        <w:t>Transelca S.A. E.S.P. confirm</w:t>
      </w:r>
      <w:r>
        <w:rPr>
          <w:rFonts w:ascii="Bookman Old Style" w:hAnsi="Bookman Old Style" w:cs="Arial"/>
          <w:spacing w:val="-3"/>
          <w:sz w:val="24"/>
          <w:szCs w:val="24"/>
          <w:lang w:val="es-ES"/>
        </w:rPr>
        <w:t>ó</w:t>
      </w:r>
      <w:r w:rsidRPr="00E8029A">
        <w:rPr>
          <w:rFonts w:ascii="Bookman Old Style" w:hAnsi="Bookman Old Style" w:cs="Arial"/>
          <w:spacing w:val="-3"/>
          <w:sz w:val="24"/>
          <w:szCs w:val="24"/>
          <w:lang w:val="es-ES"/>
        </w:rPr>
        <w:t xml:space="preserve"> su interés en la instalación de los dispositivos tipo FACTS serie SSSC en los </w:t>
      </w:r>
      <w:r>
        <w:rPr>
          <w:rFonts w:ascii="Bookman Old Style" w:hAnsi="Bookman Old Style" w:cs="Arial"/>
          <w:spacing w:val="-3"/>
          <w:sz w:val="24"/>
          <w:szCs w:val="24"/>
          <w:lang w:val="es-ES"/>
        </w:rPr>
        <w:t xml:space="preserve">mencionados </w:t>
      </w:r>
      <w:r w:rsidRPr="00E8029A">
        <w:rPr>
          <w:rFonts w:ascii="Bookman Old Style" w:hAnsi="Bookman Old Style" w:cs="Arial"/>
          <w:spacing w:val="-3"/>
          <w:sz w:val="24"/>
          <w:szCs w:val="24"/>
          <w:lang w:val="es-ES"/>
        </w:rPr>
        <w:t>circuitos, e indic</w:t>
      </w:r>
      <w:r>
        <w:rPr>
          <w:rFonts w:ascii="Bookman Old Style" w:hAnsi="Bookman Old Style" w:cs="Arial"/>
          <w:spacing w:val="-3"/>
          <w:sz w:val="24"/>
          <w:szCs w:val="24"/>
          <w:lang w:val="es-ES"/>
        </w:rPr>
        <w:t>ó</w:t>
      </w:r>
      <w:r w:rsidRPr="00E8029A">
        <w:rPr>
          <w:rFonts w:ascii="Bookman Old Style" w:hAnsi="Bookman Old Style" w:cs="Arial"/>
          <w:spacing w:val="-3"/>
          <w:sz w:val="24"/>
          <w:szCs w:val="24"/>
          <w:lang w:val="es-ES"/>
        </w:rPr>
        <w:t xml:space="preserve"> que la fecha de puesta en servicio ser</w:t>
      </w:r>
      <w:r>
        <w:rPr>
          <w:rFonts w:ascii="Bookman Old Style" w:hAnsi="Bookman Old Style" w:cs="Arial"/>
          <w:spacing w:val="-3"/>
          <w:sz w:val="24"/>
          <w:szCs w:val="24"/>
          <w:lang w:val="es-ES"/>
        </w:rPr>
        <w:t>ía</w:t>
      </w:r>
      <w:r w:rsidRPr="00E8029A">
        <w:rPr>
          <w:rFonts w:ascii="Bookman Old Style" w:hAnsi="Bookman Old Style" w:cs="Arial"/>
          <w:spacing w:val="-3"/>
          <w:sz w:val="24"/>
          <w:szCs w:val="24"/>
          <w:lang w:val="es-ES"/>
        </w:rPr>
        <w:t xml:space="preserve"> en el mes de julio de 2022</w:t>
      </w:r>
      <w:r w:rsidR="00DB209B">
        <w:rPr>
          <w:rFonts w:ascii="Bookman Old Style" w:hAnsi="Bookman Old Style" w:cs="Arial"/>
          <w:spacing w:val="-3"/>
          <w:sz w:val="24"/>
          <w:szCs w:val="24"/>
          <w:lang w:val="es-ES"/>
        </w:rPr>
        <w:t>;</w:t>
      </w:r>
    </w:p>
    <w:p w14:paraId="4B1A7665" w14:textId="27EA71DB" w:rsidR="00DB209B" w:rsidRPr="00C83DE2" w:rsidRDefault="00DB209B" w:rsidP="004F367A">
      <w:pPr>
        <w:pStyle w:val="Prrafodelista"/>
        <w:numPr>
          <w:ilvl w:val="0"/>
          <w:numId w:val="29"/>
        </w:numPr>
        <w:spacing w:before="120"/>
        <w:rPr>
          <w:rFonts w:ascii="Bookman Old Style" w:hAnsi="Bookman Old Style" w:cs="Arial"/>
          <w:spacing w:val="-3"/>
          <w:sz w:val="24"/>
          <w:szCs w:val="24"/>
          <w:lang w:val="es-ES"/>
        </w:rPr>
      </w:pPr>
      <w:r w:rsidRPr="00C83DE2">
        <w:rPr>
          <w:rFonts w:ascii="Bookman Old Style" w:hAnsi="Bookman Old Style" w:cs="Arial"/>
          <w:spacing w:val="-3"/>
          <w:sz w:val="24"/>
          <w:szCs w:val="24"/>
          <w:lang w:val="es-ES"/>
        </w:rPr>
        <w:t>E</w:t>
      </w:r>
      <w:r w:rsidR="009F04C7" w:rsidRPr="00C83DE2">
        <w:rPr>
          <w:rFonts w:ascii="Bookman Old Style" w:hAnsi="Bookman Old Style" w:cs="Arial"/>
          <w:spacing w:val="-3"/>
          <w:sz w:val="24"/>
          <w:szCs w:val="24"/>
          <w:lang w:val="es-ES"/>
        </w:rPr>
        <w:t>n</w:t>
      </w:r>
      <w:r w:rsidRPr="00C83DE2">
        <w:rPr>
          <w:rFonts w:ascii="Bookman Old Style" w:hAnsi="Bookman Old Style" w:cs="Arial"/>
          <w:spacing w:val="-3"/>
          <w:sz w:val="24"/>
          <w:szCs w:val="24"/>
          <w:lang w:val="es-ES"/>
        </w:rPr>
        <w:t xml:space="preserve"> respuesta a la anterior</w:t>
      </w:r>
      <w:r w:rsidR="0065008C">
        <w:rPr>
          <w:rFonts w:ascii="Bookman Old Style" w:hAnsi="Bookman Old Style" w:cs="Arial"/>
          <w:spacing w:val="-3"/>
          <w:sz w:val="24"/>
          <w:szCs w:val="24"/>
          <w:lang w:val="es-ES"/>
        </w:rPr>
        <w:t>,</w:t>
      </w:r>
      <w:r w:rsidRPr="00C83DE2">
        <w:rPr>
          <w:rFonts w:ascii="Bookman Old Style" w:hAnsi="Bookman Old Style" w:cs="Arial"/>
          <w:spacing w:val="-3"/>
          <w:sz w:val="24"/>
          <w:szCs w:val="24"/>
          <w:lang w:val="es-ES"/>
        </w:rPr>
        <w:t xml:space="preserve"> la UPME </w:t>
      </w:r>
      <w:r w:rsidR="00707169" w:rsidRPr="00C83DE2">
        <w:rPr>
          <w:rFonts w:ascii="Bookman Old Style" w:hAnsi="Bookman Old Style" w:cs="Arial"/>
          <w:spacing w:val="-3"/>
          <w:sz w:val="24"/>
          <w:szCs w:val="24"/>
          <w:lang w:val="es-ES"/>
        </w:rPr>
        <w:t xml:space="preserve">informa a Transelca </w:t>
      </w:r>
      <w:r w:rsidR="009F04C7" w:rsidRPr="00C83DE2">
        <w:rPr>
          <w:rFonts w:ascii="Bookman Old Style" w:hAnsi="Bookman Old Style" w:cs="Arial"/>
          <w:spacing w:val="-3"/>
          <w:sz w:val="24"/>
          <w:szCs w:val="24"/>
          <w:lang w:val="es-ES"/>
        </w:rPr>
        <w:t>S.A. E.S.P.</w:t>
      </w:r>
      <w:r w:rsidR="00707169" w:rsidRPr="00C83DE2">
        <w:rPr>
          <w:rFonts w:ascii="Bookman Old Style" w:hAnsi="Bookman Old Style" w:cs="Arial"/>
          <w:spacing w:val="-3"/>
          <w:sz w:val="24"/>
          <w:szCs w:val="24"/>
          <w:lang w:val="es-ES"/>
        </w:rPr>
        <w:t xml:space="preserve"> que “</w:t>
      </w:r>
      <w:r w:rsidR="009F04C7" w:rsidRPr="00C83DE2">
        <w:rPr>
          <w:rFonts w:ascii="Bookman Old Style" w:hAnsi="Bookman Old Style" w:cs="Arial"/>
          <w:spacing w:val="-3"/>
          <w:sz w:val="24"/>
          <w:szCs w:val="24"/>
          <w:lang w:val="es-ES"/>
        </w:rPr>
        <w:t>deberá proceder con la ejecución de dicho proyecto</w:t>
      </w:r>
      <w:r w:rsidR="00707169" w:rsidRPr="00C83DE2">
        <w:rPr>
          <w:rFonts w:ascii="Bookman Old Style" w:hAnsi="Bookman Old Style" w:cs="Arial"/>
          <w:spacing w:val="-3"/>
          <w:sz w:val="24"/>
          <w:szCs w:val="24"/>
          <w:lang w:val="es-ES"/>
        </w:rPr>
        <w:t xml:space="preserve"> </w:t>
      </w:r>
      <w:r w:rsidR="009F04C7" w:rsidRPr="00C83DE2">
        <w:rPr>
          <w:rFonts w:ascii="Bookman Old Style" w:hAnsi="Bookman Old Style" w:cs="Arial"/>
          <w:spacing w:val="-3"/>
          <w:sz w:val="24"/>
          <w:szCs w:val="24"/>
          <w:lang w:val="es-ES"/>
        </w:rPr>
        <w:t xml:space="preserve">mediante el mecanismo de </w:t>
      </w:r>
      <w:r w:rsidR="00C83DE2" w:rsidRPr="00C83DE2">
        <w:rPr>
          <w:rFonts w:ascii="Bookman Old Style" w:hAnsi="Bookman Old Style" w:cs="Arial"/>
          <w:spacing w:val="-3"/>
          <w:sz w:val="24"/>
          <w:szCs w:val="24"/>
          <w:lang w:val="es-ES"/>
        </w:rPr>
        <w:t>‘</w:t>
      </w:r>
      <w:r w:rsidR="009F04C7" w:rsidRPr="00C83DE2">
        <w:rPr>
          <w:rFonts w:ascii="Bookman Old Style" w:hAnsi="Bookman Old Style" w:cs="Arial"/>
          <w:spacing w:val="-3"/>
          <w:sz w:val="24"/>
          <w:szCs w:val="24"/>
          <w:lang w:val="es-ES"/>
        </w:rPr>
        <w:t>Ampliación</w:t>
      </w:r>
      <w:r w:rsidR="00C83DE2" w:rsidRPr="00C83DE2">
        <w:rPr>
          <w:rFonts w:ascii="Bookman Old Style" w:hAnsi="Bookman Old Style" w:cs="Arial"/>
          <w:spacing w:val="-3"/>
          <w:sz w:val="24"/>
          <w:szCs w:val="24"/>
          <w:lang w:val="es-ES"/>
        </w:rPr>
        <w:t>’</w:t>
      </w:r>
      <w:r w:rsidR="009F04C7" w:rsidRPr="00C83DE2">
        <w:rPr>
          <w:rFonts w:ascii="Bookman Old Style" w:hAnsi="Bookman Old Style" w:cs="Arial"/>
          <w:spacing w:val="-3"/>
          <w:sz w:val="24"/>
          <w:szCs w:val="24"/>
          <w:lang w:val="es-ES"/>
        </w:rPr>
        <w:t xml:space="preserve"> en los términos dispuestos en la Resolución CREG 022 de</w:t>
      </w:r>
      <w:r w:rsidR="00C83DE2">
        <w:rPr>
          <w:rFonts w:ascii="Bookman Old Style" w:hAnsi="Bookman Old Style" w:cs="Arial"/>
          <w:spacing w:val="-3"/>
          <w:sz w:val="24"/>
          <w:szCs w:val="24"/>
          <w:lang w:val="es-ES"/>
        </w:rPr>
        <w:t xml:space="preserve"> </w:t>
      </w:r>
      <w:r w:rsidR="009F04C7" w:rsidRPr="00C83DE2">
        <w:rPr>
          <w:rFonts w:ascii="Bookman Old Style" w:hAnsi="Bookman Old Style" w:cs="Arial"/>
          <w:spacing w:val="-3"/>
          <w:sz w:val="24"/>
          <w:szCs w:val="24"/>
          <w:lang w:val="es-ES"/>
        </w:rPr>
        <w:t>2001 y sus modificaciones y con Fecha de Entrada en Operación correspondiente a julio de 2022”</w:t>
      </w:r>
    </w:p>
    <w:p w14:paraId="44DF597A" w14:textId="58531E5B" w:rsidR="004F2A42" w:rsidRDefault="00A302AB" w:rsidP="00E8029A">
      <w:pPr>
        <w:spacing w:before="120"/>
        <w:ind w:left="0"/>
        <w:rPr>
          <w:rFonts w:ascii="Bookman Old Style" w:hAnsi="Bookman Old Style" w:cs="Arial"/>
          <w:spacing w:val="-3"/>
        </w:rPr>
      </w:pPr>
      <w:r>
        <w:rPr>
          <w:rFonts w:ascii="Bookman Old Style" w:hAnsi="Bookman Old Style" w:cs="Arial"/>
          <w:spacing w:val="-3"/>
        </w:rPr>
        <w:t xml:space="preserve">En respuesta a las solicitudes de modificación de la </w:t>
      </w:r>
      <w:r w:rsidR="00C83DE2">
        <w:rPr>
          <w:rFonts w:ascii="Bookman Old Style" w:hAnsi="Bookman Old Style" w:cs="Arial"/>
          <w:spacing w:val="-3"/>
        </w:rPr>
        <w:t>fecha de puesta en operación, FPO</w:t>
      </w:r>
      <w:r w:rsidR="006F450C">
        <w:rPr>
          <w:rFonts w:ascii="Bookman Old Style" w:hAnsi="Bookman Old Style" w:cs="Arial"/>
          <w:spacing w:val="-3"/>
        </w:rPr>
        <w:t xml:space="preserve">, </w:t>
      </w:r>
      <w:r w:rsidR="004F2A42">
        <w:rPr>
          <w:rFonts w:ascii="Bookman Old Style" w:hAnsi="Bookman Old Style" w:cs="Arial"/>
          <w:spacing w:val="-3"/>
        </w:rPr>
        <w:t xml:space="preserve">presentadas por </w:t>
      </w:r>
      <w:r w:rsidR="00671D62" w:rsidRPr="00E8029A">
        <w:rPr>
          <w:rFonts w:ascii="Bookman Old Style" w:hAnsi="Bookman Old Style" w:cs="Arial"/>
          <w:spacing w:val="-3"/>
        </w:rPr>
        <w:t>Transelca S.A. E.S.P.</w:t>
      </w:r>
      <w:r>
        <w:rPr>
          <w:rFonts w:ascii="Bookman Old Style" w:hAnsi="Bookman Old Style" w:cs="Arial"/>
          <w:spacing w:val="-3"/>
        </w:rPr>
        <w:t xml:space="preserve">, el </w:t>
      </w:r>
      <w:r w:rsidR="00AB5B77">
        <w:rPr>
          <w:rFonts w:ascii="Bookman Old Style" w:hAnsi="Bookman Old Style" w:cs="Arial"/>
          <w:spacing w:val="-3"/>
        </w:rPr>
        <w:t xml:space="preserve">Ministerio </w:t>
      </w:r>
      <w:r>
        <w:rPr>
          <w:rFonts w:ascii="Bookman Old Style" w:hAnsi="Bookman Old Style" w:cs="Arial"/>
          <w:spacing w:val="-3"/>
        </w:rPr>
        <w:t>de Minas y Energía</w:t>
      </w:r>
      <w:r w:rsidR="00B332F7">
        <w:rPr>
          <w:rFonts w:ascii="Bookman Old Style" w:hAnsi="Bookman Old Style" w:cs="Arial"/>
          <w:spacing w:val="-3"/>
        </w:rPr>
        <w:t xml:space="preserve"> expidió varias resoluciones</w:t>
      </w:r>
      <w:r w:rsidR="009250F5">
        <w:rPr>
          <w:rFonts w:ascii="Bookman Old Style" w:hAnsi="Bookman Old Style" w:cs="Arial"/>
          <w:spacing w:val="-3"/>
        </w:rPr>
        <w:t>: 40278, 40377</w:t>
      </w:r>
      <w:r w:rsidR="00D91D09">
        <w:rPr>
          <w:rFonts w:ascii="Bookman Old Style" w:hAnsi="Bookman Old Style" w:cs="Arial"/>
          <w:spacing w:val="-3"/>
        </w:rPr>
        <w:t xml:space="preserve"> y 40486 de 2022</w:t>
      </w:r>
      <w:r w:rsidR="00671D62">
        <w:rPr>
          <w:rFonts w:ascii="Bookman Old Style" w:hAnsi="Bookman Old Style" w:cs="Arial"/>
          <w:spacing w:val="-3"/>
        </w:rPr>
        <w:t xml:space="preserve"> y</w:t>
      </w:r>
      <w:r w:rsidR="009250F5">
        <w:rPr>
          <w:rFonts w:ascii="Bookman Old Style" w:hAnsi="Bookman Old Style" w:cs="Arial"/>
          <w:spacing w:val="-3"/>
        </w:rPr>
        <w:t xml:space="preserve"> </w:t>
      </w:r>
      <w:r w:rsidR="00D91D09">
        <w:rPr>
          <w:rFonts w:ascii="Bookman Old Style" w:hAnsi="Bookman Old Style" w:cs="Arial"/>
          <w:spacing w:val="-3"/>
        </w:rPr>
        <w:t xml:space="preserve">40147, 40286 y </w:t>
      </w:r>
      <w:r w:rsidR="0078117C">
        <w:rPr>
          <w:rFonts w:ascii="Bookman Old Style" w:hAnsi="Bookman Old Style" w:cs="Arial"/>
          <w:spacing w:val="-3"/>
        </w:rPr>
        <w:t xml:space="preserve">40364 de 2023. En </w:t>
      </w:r>
      <w:r w:rsidR="00C32CEB">
        <w:rPr>
          <w:rFonts w:ascii="Bookman Old Style" w:hAnsi="Bookman Old Style" w:cs="Arial"/>
          <w:spacing w:val="-3"/>
        </w:rPr>
        <w:t>est</w:t>
      </w:r>
      <w:r w:rsidR="0078117C">
        <w:rPr>
          <w:rFonts w:ascii="Bookman Old Style" w:hAnsi="Bookman Old Style" w:cs="Arial"/>
          <w:spacing w:val="-3"/>
        </w:rPr>
        <w:t xml:space="preserve">a última se modificó la FPO para el </w:t>
      </w:r>
      <w:r w:rsidR="004F2A42">
        <w:rPr>
          <w:rFonts w:ascii="Bookman Old Style" w:hAnsi="Bookman Old Style" w:cs="Arial"/>
          <w:spacing w:val="-3"/>
        </w:rPr>
        <w:t>5 de julio de 2023.</w:t>
      </w:r>
    </w:p>
    <w:p w14:paraId="7077D859" w14:textId="68C651D6" w:rsidR="00210A88" w:rsidRDefault="006F450C" w:rsidP="00EB5E04">
      <w:pPr>
        <w:spacing w:before="120"/>
        <w:ind w:left="0"/>
        <w:rPr>
          <w:rFonts w:ascii="Bookman Old Style" w:hAnsi="Bookman Old Style" w:cs="Arial"/>
          <w:spacing w:val="-3"/>
        </w:rPr>
      </w:pPr>
      <w:r>
        <w:rPr>
          <w:rFonts w:ascii="Bookman Old Style" w:hAnsi="Bookman Old Style" w:cs="Arial"/>
          <w:spacing w:val="-3"/>
        </w:rPr>
        <w:t>Transelca</w:t>
      </w:r>
      <w:r w:rsidR="00EB5E04" w:rsidRPr="00EB5E04">
        <w:rPr>
          <w:rFonts w:ascii="Bookman Old Style" w:hAnsi="Bookman Old Style" w:cs="Arial"/>
          <w:spacing w:val="-3"/>
        </w:rPr>
        <w:t xml:space="preserve"> S.A. E.S.P., mediante comunicaci</w:t>
      </w:r>
      <w:r w:rsidR="000F7A01">
        <w:rPr>
          <w:rFonts w:ascii="Bookman Old Style" w:hAnsi="Bookman Old Style" w:cs="Arial"/>
          <w:spacing w:val="-3"/>
        </w:rPr>
        <w:t>ones</w:t>
      </w:r>
      <w:r w:rsidR="00EB5E04" w:rsidRPr="00EB5E04">
        <w:rPr>
          <w:rFonts w:ascii="Bookman Old Style" w:hAnsi="Bookman Old Style" w:cs="Arial"/>
          <w:spacing w:val="-3"/>
        </w:rPr>
        <w:t xml:space="preserve"> radicada</w:t>
      </w:r>
      <w:r w:rsidR="008861FD">
        <w:rPr>
          <w:rFonts w:ascii="Bookman Old Style" w:hAnsi="Bookman Old Style" w:cs="Arial"/>
          <w:spacing w:val="-3"/>
        </w:rPr>
        <w:t>s</w:t>
      </w:r>
      <w:r w:rsidR="00EB5E04" w:rsidRPr="00EB5E04">
        <w:rPr>
          <w:rFonts w:ascii="Bookman Old Style" w:hAnsi="Bookman Old Style" w:cs="Arial"/>
          <w:spacing w:val="-3"/>
        </w:rPr>
        <w:t xml:space="preserve"> en la CREG con </w:t>
      </w:r>
      <w:r w:rsidR="000F7A01">
        <w:rPr>
          <w:rFonts w:ascii="Bookman Old Style" w:hAnsi="Bookman Old Style" w:cs="Arial"/>
          <w:spacing w:val="-3"/>
        </w:rPr>
        <w:t>los</w:t>
      </w:r>
      <w:r w:rsidR="00EB5E04" w:rsidRPr="00EB5E04">
        <w:rPr>
          <w:rFonts w:ascii="Bookman Old Style" w:hAnsi="Bookman Old Style" w:cs="Arial"/>
          <w:spacing w:val="-3"/>
        </w:rPr>
        <w:t xml:space="preserve"> número</w:t>
      </w:r>
      <w:r w:rsidR="000F7A01">
        <w:rPr>
          <w:rFonts w:ascii="Bookman Old Style" w:hAnsi="Bookman Old Style" w:cs="Arial"/>
          <w:spacing w:val="-3"/>
        </w:rPr>
        <w:t>s</w:t>
      </w:r>
      <w:r w:rsidR="00EB5E04" w:rsidRPr="00EB5E04">
        <w:rPr>
          <w:rFonts w:ascii="Bookman Old Style" w:hAnsi="Bookman Old Style" w:cs="Arial"/>
          <w:spacing w:val="-3"/>
        </w:rPr>
        <w:t xml:space="preserve"> </w:t>
      </w:r>
      <w:r w:rsidR="004F6A3D" w:rsidRPr="004F6A3D">
        <w:rPr>
          <w:rFonts w:ascii="Bookman Old Style" w:hAnsi="Bookman Old Style" w:cs="Arial"/>
          <w:spacing w:val="-3"/>
        </w:rPr>
        <w:t>E2023001384</w:t>
      </w:r>
      <w:r w:rsidR="008861FD">
        <w:rPr>
          <w:rFonts w:ascii="Bookman Old Style" w:hAnsi="Bookman Old Style" w:cs="Arial"/>
          <w:spacing w:val="-3"/>
        </w:rPr>
        <w:t>, del 31 de enero de 2023,</w:t>
      </w:r>
      <w:r w:rsidR="004F6A3D">
        <w:rPr>
          <w:rFonts w:ascii="Bookman Old Style" w:hAnsi="Bookman Old Style" w:cs="Arial"/>
          <w:spacing w:val="-3"/>
        </w:rPr>
        <w:t xml:space="preserve"> </w:t>
      </w:r>
      <w:r w:rsidR="008861FD">
        <w:rPr>
          <w:rFonts w:ascii="Bookman Old Style" w:hAnsi="Bookman Old Style" w:cs="Arial"/>
          <w:spacing w:val="-3"/>
        </w:rPr>
        <w:t>y</w:t>
      </w:r>
      <w:r w:rsidR="004F6A3D">
        <w:rPr>
          <w:rFonts w:ascii="Bookman Old Style" w:hAnsi="Bookman Old Style" w:cs="Arial"/>
          <w:spacing w:val="-3"/>
        </w:rPr>
        <w:t xml:space="preserve"> </w:t>
      </w:r>
      <w:r w:rsidR="008861FD" w:rsidRPr="008861FD">
        <w:rPr>
          <w:rFonts w:ascii="Bookman Old Style" w:hAnsi="Bookman Old Style" w:cs="Arial"/>
          <w:spacing w:val="-3"/>
        </w:rPr>
        <w:t>E2023001517</w:t>
      </w:r>
      <w:r w:rsidR="001A6AB5">
        <w:rPr>
          <w:rFonts w:ascii="Bookman Old Style" w:hAnsi="Bookman Old Style" w:cs="Arial"/>
          <w:spacing w:val="-3"/>
        </w:rPr>
        <w:t>,</w:t>
      </w:r>
      <w:r w:rsidR="008861FD">
        <w:rPr>
          <w:rFonts w:ascii="Bookman Old Style" w:hAnsi="Bookman Old Style" w:cs="Arial"/>
          <w:spacing w:val="-3"/>
        </w:rPr>
        <w:t xml:space="preserve"> del 1 de febrero de 2023</w:t>
      </w:r>
      <w:r w:rsidR="00EB5E04" w:rsidRPr="00EB5E04">
        <w:rPr>
          <w:rFonts w:ascii="Bookman Old Style" w:hAnsi="Bookman Old Style" w:cs="Arial"/>
          <w:spacing w:val="-3"/>
        </w:rPr>
        <w:t xml:space="preserve">, </w:t>
      </w:r>
      <w:r w:rsidR="001B5919" w:rsidRPr="001B5919">
        <w:rPr>
          <w:rFonts w:ascii="Bookman Old Style" w:hAnsi="Bookman Old Style" w:cs="Arial"/>
          <w:spacing w:val="-3"/>
        </w:rPr>
        <w:t xml:space="preserve">presenta </w:t>
      </w:r>
      <w:r w:rsidR="00AF4BAC">
        <w:rPr>
          <w:rFonts w:ascii="Bookman Old Style" w:hAnsi="Bookman Old Style" w:cs="Arial"/>
          <w:spacing w:val="-3"/>
        </w:rPr>
        <w:t>un</w:t>
      </w:r>
      <w:r w:rsidR="001B5919" w:rsidRPr="001B5919">
        <w:rPr>
          <w:rFonts w:ascii="Bookman Old Style" w:hAnsi="Bookman Old Style" w:cs="Arial"/>
          <w:spacing w:val="-3"/>
        </w:rPr>
        <w:t xml:space="preserve"> </w:t>
      </w:r>
      <w:r w:rsidR="00AF4BAC">
        <w:rPr>
          <w:rFonts w:ascii="Bookman Old Style" w:hAnsi="Bookman Old Style" w:cs="Arial"/>
          <w:spacing w:val="-3"/>
        </w:rPr>
        <w:t>“</w:t>
      </w:r>
      <w:r w:rsidR="001B5919" w:rsidRPr="001B5919">
        <w:rPr>
          <w:rFonts w:ascii="Bookman Old Style" w:hAnsi="Bookman Old Style" w:cs="Arial"/>
          <w:spacing w:val="-3"/>
        </w:rPr>
        <w:t xml:space="preserve">informe de los costos incurridos hasta el 31 de diciembre de 2022, con el propósito de iniciar la revisión y aprobación de </w:t>
      </w:r>
      <w:proofErr w:type="gramStart"/>
      <w:r w:rsidR="001B5919" w:rsidRPr="001B5919">
        <w:rPr>
          <w:rFonts w:ascii="Bookman Old Style" w:hAnsi="Bookman Old Style" w:cs="Arial"/>
          <w:spacing w:val="-3"/>
        </w:rPr>
        <w:t>los mismos</w:t>
      </w:r>
      <w:proofErr w:type="gramEnd"/>
      <w:r w:rsidR="00AF4BAC">
        <w:rPr>
          <w:rFonts w:ascii="Bookman Old Style" w:hAnsi="Bookman Old Style" w:cs="Arial"/>
          <w:spacing w:val="-3"/>
        </w:rPr>
        <w:t>”.</w:t>
      </w:r>
    </w:p>
    <w:p w14:paraId="7F6692AB" w14:textId="0A051D81" w:rsidR="009320B0" w:rsidRDefault="009320B0" w:rsidP="00EB5E04">
      <w:pPr>
        <w:spacing w:before="120"/>
        <w:ind w:left="0"/>
        <w:rPr>
          <w:rFonts w:ascii="Bookman Old Style" w:hAnsi="Bookman Old Style" w:cs="Arial"/>
          <w:spacing w:val="-3"/>
        </w:rPr>
      </w:pPr>
      <w:r>
        <w:rPr>
          <w:rFonts w:ascii="Bookman Old Style" w:hAnsi="Bookman Old Style" w:cs="Arial"/>
          <w:spacing w:val="-3"/>
        </w:rPr>
        <w:t xml:space="preserve">En respuesta, la Comisión, mediante radicado CREG </w:t>
      </w:r>
      <w:r w:rsidR="009B7BBB" w:rsidRPr="009B7BBB">
        <w:rPr>
          <w:rFonts w:ascii="Bookman Old Style" w:hAnsi="Bookman Old Style" w:cs="Arial"/>
          <w:spacing w:val="-3"/>
        </w:rPr>
        <w:t>S2023003045</w:t>
      </w:r>
      <w:r>
        <w:rPr>
          <w:rFonts w:ascii="Bookman Old Style" w:hAnsi="Bookman Old Style" w:cs="Arial"/>
          <w:spacing w:val="-3"/>
        </w:rPr>
        <w:t xml:space="preserve"> </w:t>
      </w:r>
      <w:r w:rsidR="009B7BBB">
        <w:rPr>
          <w:rFonts w:ascii="Bookman Old Style" w:hAnsi="Bookman Old Style" w:cs="Arial"/>
          <w:spacing w:val="-3"/>
        </w:rPr>
        <w:t xml:space="preserve">del </w:t>
      </w:r>
      <w:r w:rsidR="00A50ED9">
        <w:rPr>
          <w:rFonts w:ascii="Bookman Old Style" w:hAnsi="Bookman Old Style" w:cs="Arial"/>
          <w:spacing w:val="-3"/>
        </w:rPr>
        <w:t>26 de junio de 2023</w:t>
      </w:r>
      <w:r w:rsidR="00D90FD7">
        <w:rPr>
          <w:rFonts w:ascii="Bookman Old Style" w:hAnsi="Bookman Old Style" w:cs="Arial"/>
          <w:spacing w:val="-3"/>
        </w:rPr>
        <w:t>, solicita a la empresa, entre otros, lo siguiente:</w:t>
      </w:r>
    </w:p>
    <w:p w14:paraId="44D0D6A9" w14:textId="17AE1633" w:rsidR="003953C3" w:rsidRPr="00ED0F1A" w:rsidRDefault="00C23943" w:rsidP="00BA253C">
      <w:pPr>
        <w:pStyle w:val="Cita"/>
        <w:ind w:left="709" w:hanging="567"/>
        <w:rPr>
          <w:sz w:val="24"/>
          <w:szCs w:val="24"/>
        </w:rPr>
      </w:pPr>
      <w:r w:rsidRPr="00ED0F1A">
        <w:rPr>
          <w:sz w:val="24"/>
          <w:szCs w:val="24"/>
        </w:rPr>
        <w:t>“</w:t>
      </w:r>
      <w:r w:rsidR="00BA253C" w:rsidRPr="00ED0F1A">
        <w:rPr>
          <w:sz w:val="24"/>
          <w:szCs w:val="24"/>
        </w:rPr>
        <w:t>-</w:t>
      </w:r>
      <w:r w:rsidR="00BA253C" w:rsidRPr="00ED0F1A">
        <w:rPr>
          <w:sz w:val="24"/>
          <w:szCs w:val="24"/>
        </w:rPr>
        <w:tab/>
      </w:r>
      <w:r w:rsidR="003953C3" w:rsidRPr="00ED0F1A">
        <w:rPr>
          <w:sz w:val="24"/>
          <w:szCs w:val="24"/>
        </w:rPr>
        <w:t>Se debe precisar que efectivamente se trata de una solicitud de actualización de</w:t>
      </w:r>
      <w:r w:rsidR="00233984" w:rsidRPr="00ED0F1A">
        <w:rPr>
          <w:sz w:val="24"/>
          <w:szCs w:val="24"/>
        </w:rPr>
        <w:t xml:space="preserve"> </w:t>
      </w:r>
      <w:r w:rsidR="003953C3" w:rsidRPr="00ED0F1A">
        <w:rPr>
          <w:sz w:val="24"/>
          <w:szCs w:val="24"/>
        </w:rPr>
        <w:t>los ingresos aprobados a Transelca S.A. E.S.P., con base en la Resolución CREG</w:t>
      </w:r>
      <w:r w:rsidR="00233984" w:rsidRPr="00ED0F1A">
        <w:rPr>
          <w:sz w:val="24"/>
          <w:szCs w:val="24"/>
        </w:rPr>
        <w:t xml:space="preserve"> </w:t>
      </w:r>
      <w:r w:rsidR="003953C3" w:rsidRPr="00ED0F1A">
        <w:rPr>
          <w:sz w:val="24"/>
          <w:szCs w:val="24"/>
        </w:rPr>
        <w:t>011 de 2009 y sus modificaciones.</w:t>
      </w:r>
    </w:p>
    <w:p w14:paraId="50ADEC82" w14:textId="49826EE9" w:rsidR="003953C3" w:rsidRPr="00ED0F1A" w:rsidRDefault="003953C3" w:rsidP="00BA253C">
      <w:pPr>
        <w:pStyle w:val="Cita"/>
        <w:numPr>
          <w:ilvl w:val="0"/>
          <w:numId w:val="29"/>
        </w:numPr>
        <w:rPr>
          <w:sz w:val="24"/>
          <w:szCs w:val="24"/>
        </w:rPr>
      </w:pPr>
      <w:r w:rsidRPr="00ED0F1A">
        <w:rPr>
          <w:sz w:val="24"/>
          <w:szCs w:val="24"/>
        </w:rPr>
        <w:t>Las solicitudes dirigidas a la CREG para actualización de los ingresos o cargos</w:t>
      </w:r>
      <w:r w:rsidR="00233984" w:rsidRPr="00ED0F1A">
        <w:rPr>
          <w:sz w:val="24"/>
          <w:szCs w:val="24"/>
        </w:rPr>
        <w:t xml:space="preserve"> </w:t>
      </w:r>
      <w:r w:rsidRPr="00ED0F1A">
        <w:rPr>
          <w:sz w:val="24"/>
          <w:szCs w:val="24"/>
        </w:rPr>
        <w:t>aprobados a un agente deben estar suscritos por el representante legal de este</w:t>
      </w:r>
      <w:r w:rsidR="00233984" w:rsidRPr="00ED0F1A">
        <w:rPr>
          <w:sz w:val="24"/>
          <w:szCs w:val="24"/>
        </w:rPr>
        <w:t xml:space="preserve"> </w:t>
      </w:r>
      <w:r w:rsidRPr="00ED0F1A">
        <w:rPr>
          <w:sz w:val="24"/>
          <w:szCs w:val="24"/>
        </w:rPr>
        <w:t>agente, para lo cual se debe adjuntar el documento donde se puedan verificar las</w:t>
      </w:r>
      <w:r w:rsidR="00233984" w:rsidRPr="00ED0F1A">
        <w:rPr>
          <w:sz w:val="24"/>
          <w:szCs w:val="24"/>
        </w:rPr>
        <w:t xml:space="preserve"> </w:t>
      </w:r>
      <w:r w:rsidRPr="00ED0F1A">
        <w:rPr>
          <w:sz w:val="24"/>
          <w:szCs w:val="24"/>
        </w:rPr>
        <w:t>personas que ejercen la representación legal de la empresa.</w:t>
      </w:r>
    </w:p>
    <w:p w14:paraId="7D84D1D8" w14:textId="71B691E5" w:rsidR="00D90FD7" w:rsidRPr="00ED0F1A" w:rsidRDefault="003953C3" w:rsidP="00BA253C">
      <w:pPr>
        <w:pStyle w:val="Cita"/>
        <w:numPr>
          <w:ilvl w:val="0"/>
          <w:numId w:val="29"/>
        </w:numPr>
        <w:rPr>
          <w:sz w:val="24"/>
          <w:szCs w:val="24"/>
        </w:rPr>
      </w:pPr>
      <w:r w:rsidRPr="00ED0F1A">
        <w:rPr>
          <w:sz w:val="24"/>
          <w:szCs w:val="24"/>
        </w:rPr>
        <w:t>Para presentar una solicitud de actualización de ingresos se debe entregar el</w:t>
      </w:r>
      <w:r w:rsidR="00233984" w:rsidRPr="00ED0F1A">
        <w:rPr>
          <w:sz w:val="24"/>
          <w:szCs w:val="24"/>
        </w:rPr>
        <w:t xml:space="preserve"> </w:t>
      </w:r>
      <w:r w:rsidRPr="00ED0F1A">
        <w:rPr>
          <w:sz w:val="24"/>
          <w:szCs w:val="24"/>
        </w:rPr>
        <w:t>reporte de las unidades constructivas a incluir en el inventario del TN. Para ello se</w:t>
      </w:r>
      <w:r w:rsidR="00233984" w:rsidRPr="00ED0F1A">
        <w:rPr>
          <w:sz w:val="24"/>
          <w:szCs w:val="24"/>
        </w:rPr>
        <w:t xml:space="preserve"> </w:t>
      </w:r>
      <w:r w:rsidRPr="00ED0F1A">
        <w:rPr>
          <w:sz w:val="24"/>
          <w:szCs w:val="24"/>
        </w:rPr>
        <w:t>debe tener en cuenta el contenido en la Circular CREG 016 de 2009 y diligenciar</w:t>
      </w:r>
      <w:r w:rsidR="00233984" w:rsidRPr="00ED0F1A">
        <w:rPr>
          <w:sz w:val="24"/>
          <w:szCs w:val="24"/>
        </w:rPr>
        <w:t xml:space="preserve"> </w:t>
      </w:r>
      <w:r w:rsidRPr="00ED0F1A">
        <w:rPr>
          <w:sz w:val="24"/>
          <w:szCs w:val="24"/>
        </w:rPr>
        <w:t>el anexo publicado con esta circular, con el fin de identificar las nuevas UC a</w:t>
      </w:r>
      <w:r w:rsidR="00233984" w:rsidRPr="00ED0F1A">
        <w:rPr>
          <w:sz w:val="24"/>
          <w:szCs w:val="24"/>
        </w:rPr>
        <w:t xml:space="preserve"> </w:t>
      </w:r>
      <w:r w:rsidRPr="00ED0F1A">
        <w:rPr>
          <w:sz w:val="24"/>
          <w:szCs w:val="24"/>
        </w:rPr>
        <w:t>incluir y su ubicación.</w:t>
      </w:r>
      <w:r w:rsidR="00C23943" w:rsidRPr="00ED0F1A">
        <w:rPr>
          <w:sz w:val="24"/>
          <w:szCs w:val="24"/>
        </w:rPr>
        <w:t>”</w:t>
      </w:r>
    </w:p>
    <w:p w14:paraId="51FF4FA4" w14:textId="47B78BAF" w:rsidR="00BA253C" w:rsidRDefault="00C118AF" w:rsidP="00BA253C">
      <w:pPr>
        <w:spacing w:before="240"/>
        <w:ind w:left="0"/>
        <w:rPr>
          <w:rStyle w:val="normaltextrun"/>
          <w:rFonts w:ascii="Bookman Old Style" w:hAnsi="Bookman Old Style" w:cs="Arial"/>
        </w:rPr>
      </w:pPr>
      <w:r w:rsidRPr="00C118AF">
        <w:rPr>
          <w:rFonts w:ascii="Bookman Old Style" w:hAnsi="Bookman Old Style"/>
        </w:rPr>
        <w:t xml:space="preserve">Además, se solicitó </w:t>
      </w:r>
      <w:r w:rsidR="00E91258">
        <w:rPr>
          <w:rFonts w:ascii="Bookman Old Style" w:hAnsi="Bookman Old Style"/>
        </w:rPr>
        <w:t xml:space="preserve">presentar </w:t>
      </w:r>
      <w:r w:rsidR="00B35272">
        <w:rPr>
          <w:rFonts w:ascii="Bookman Old Style" w:hAnsi="Bookman Old Style"/>
        </w:rPr>
        <w:t xml:space="preserve">copia de </w:t>
      </w:r>
      <w:r w:rsidR="00E91258">
        <w:rPr>
          <w:rFonts w:ascii="Bookman Old Style" w:hAnsi="Bookman Old Style"/>
        </w:rPr>
        <w:t xml:space="preserve">los documentos que indicaran el cumplimiento de lo establecido en el artículo 6 de la </w:t>
      </w:r>
      <w:r w:rsidR="00E91258" w:rsidRPr="00E91258">
        <w:rPr>
          <w:rStyle w:val="normaltextrun"/>
          <w:rFonts w:ascii="Bookman Old Style" w:hAnsi="Bookman Old Style" w:cs="Arial"/>
        </w:rPr>
        <w:t>Resolución CREG 022 de 2001</w:t>
      </w:r>
      <w:r w:rsidR="00847DE0">
        <w:rPr>
          <w:rStyle w:val="normaltextrun"/>
          <w:rFonts w:ascii="Bookman Old Style" w:hAnsi="Bookman Old Style" w:cs="Arial"/>
        </w:rPr>
        <w:t xml:space="preserve">, así como </w:t>
      </w:r>
      <w:r w:rsidR="00A71F59">
        <w:rPr>
          <w:rStyle w:val="normaltextrun"/>
          <w:rFonts w:ascii="Bookman Old Style" w:hAnsi="Bookman Old Style" w:cs="Arial"/>
        </w:rPr>
        <w:t>la información relacionada con lo</w:t>
      </w:r>
      <w:r w:rsidR="00E3044C">
        <w:rPr>
          <w:rStyle w:val="normaltextrun"/>
          <w:rFonts w:ascii="Bookman Old Style" w:hAnsi="Bookman Old Style" w:cs="Arial"/>
        </w:rPr>
        <w:t>s costos de los equipos instalados y la unidad constructiva con la que se van a asimilar.</w:t>
      </w:r>
    </w:p>
    <w:p w14:paraId="1EC15111" w14:textId="1BFAEABB" w:rsidR="00E3044C" w:rsidRDefault="00E3044C" w:rsidP="00BA253C">
      <w:pPr>
        <w:spacing w:before="240"/>
        <w:ind w:left="0"/>
        <w:rPr>
          <w:rStyle w:val="normaltextrun"/>
          <w:rFonts w:ascii="Bookman Old Style" w:hAnsi="Bookman Old Style" w:cs="Arial"/>
        </w:rPr>
      </w:pPr>
      <w:r>
        <w:rPr>
          <w:rStyle w:val="normaltextrun"/>
          <w:rFonts w:ascii="Bookman Old Style" w:hAnsi="Bookman Old Style" w:cs="Arial"/>
        </w:rPr>
        <w:t>En respuesta</w:t>
      </w:r>
      <w:r w:rsidR="006B6D9E">
        <w:rPr>
          <w:rStyle w:val="normaltextrun"/>
          <w:rFonts w:ascii="Bookman Old Style" w:hAnsi="Bookman Old Style" w:cs="Arial"/>
        </w:rPr>
        <w:t xml:space="preserve">, Transelca </w:t>
      </w:r>
      <w:r w:rsidR="006B6D9E" w:rsidRPr="00093FE5">
        <w:rPr>
          <w:rStyle w:val="normaltextrun"/>
          <w:rFonts w:ascii="Bookman Old Style" w:hAnsi="Bookman Old Style" w:cs="Arial"/>
        </w:rPr>
        <w:t xml:space="preserve">S.A. E.S.P., mediante comunicación </w:t>
      </w:r>
      <w:r w:rsidR="00093FE5" w:rsidRPr="00093FE5">
        <w:rPr>
          <w:rStyle w:val="normaltextrun"/>
          <w:rFonts w:ascii="Bookman Old Style" w:hAnsi="Bookman Old Style" w:cs="Arial"/>
        </w:rPr>
        <w:t>radicada</w:t>
      </w:r>
      <w:r w:rsidR="006B6D9E" w:rsidRPr="00093FE5">
        <w:rPr>
          <w:rStyle w:val="normaltextrun"/>
          <w:rFonts w:ascii="Bookman Old Style" w:hAnsi="Bookman Old Style" w:cs="Arial"/>
        </w:rPr>
        <w:t xml:space="preserve"> en la CREG con el número </w:t>
      </w:r>
      <w:r w:rsidR="001C1780" w:rsidRPr="00093FE5">
        <w:rPr>
          <w:rStyle w:val="normaltextrun"/>
          <w:rFonts w:ascii="Bookman Old Style" w:hAnsi="Bookman Old Style" w:cs="Arial"/>
        </w:rPr>
        <w:t>E2023013699</w:t>
      </w:r>
      <w:r w:rsidR="00093FE5" w:rsidRPr="00093FE5">
        <w:rPr>
          <w:rStyle w:val="normaltextrun"/>
          <w:rFonts w:ascii="Bookman Old Style" w:hAnsi="Bookman Old Style" w:cs="Arial"/>
        </w:rPr>
        <w:t xml:space="preserve"> del 21 de julio de 2023,</w:t>
      </w:r>
      <w:r w:rsidR="00093FE5">
        <w:rPr>
          <w:rStyle w:val="normaltextrun"/>
          <w:rFonts w:ascii="Bookman Old Style" w:hAnsi="Bookman Old Style" w:cs="Arial"/>
        </w:rPr>
        <w:t xml:space="preserve"> </w:t>
      </w:r>
      <w:r w:rsidR="00FF49F7">
        <w:rPr>
          <w:rStyle w:val="normaltextrun"/>
          <w:rFonts w:ascii="Bookman Old Style" w:hAnsi="Bookman Old Style" w:cs="Arial"/>
        </w:rPr>
        <w:t>solicita “</w:t>
      </w:r>
      <w:r w:rsidR="00FF49F7" w:rsidRPr="00FF49F7">
        <w:rPr>
          <w:rStyle w:val="normaltextrun"/>
          <w:rFonts w:ascii="Bookman Old Style" w:hAnsi="Bookman Old Style" w:cs="Arial"/>
        </w:rPr>
        <w:t>la inclusión en la base de activos de TRANSELCA S.A. E.S.P. aprobad</w:t>
      </w:r>
      <w:r w:rsidR="00634991">
        <w:rPr>
          <w:rStyle w:val="normaltextrun"/>
          <w:rFonts w:ascii="Bookman Old Style" w:hAnsi="Bookman Old Style" w:cs="Arial"/>
        </w:rPr>
        <w:t>a</w:t>
      </w:r>
      <w:r w:rsidR="00FF49F7" w:rsidRPr="00FF49F7">
        <w:rPr>
          <w:rStyle w:val="normaltextrun"/>
          <w:rFonts w:ascii="Bookman Old Style" w:hAnsi="Bookman Old Style" w:cs="Arial"/>
        </w:rPr>
        <w:t xml:space="preserve">s con la </w:t>
      </w:r>
      <w:r w:rsidR="00FF49F7" w:rsidRPr="00FF49F7">
        <w:rPr>
          <w:rStyle w:val="normaltextrun"/>
          <w:rFonts w:ascii="Bookman Old Style" w:hAnsi="Bookman Old Style" w:cs="Arial"/>
        </w:rPr>
        <w:lastRenderedPageBreak/>
        <w:t>Resolución CREG 107 de 2010 y sus actualizaciones, de las unidades constructivas establecidas por asimilación para el proyecto de instalación de dispositivos tipo FACTS SSSC serie SSSC en los circuitos de la línea Santa Marta – Termocol y Santa Marta – Termoguajira 220 kV</w:t>
      </w:r>
      <w:r w:rsidR="0024284D">
        <w:rPr>
          <w:rStyle w:val="normaltextrun"/>
          <w:rFonts w:ascii="Bookman Old Style" w:hAnsi="Bookman Old Style" w:cs="Arial"/>
        </w:rPr>
        <w:t>”</w:t>
      </w:r>
      <w:r w:rsidR="002C265E">
        <w:rPr>
          <w:rStyle w:val="normaltextrun"/>
          <w:rFonts w:ascii="Bookman Old Style" w:hAnsi="Bookman Old Style" w:cs="Arial"/>
        </w:rPr>
        <w:t xml:space="preserve"> y anexa la información solicitada por la Comisión</w:t>
      </w:r>
      <w:r w:rsidR="0024284D">
        <w:rPr>
          <w:rStyle w:val="normaltextrun"/>
          <w:rFonts w:ascii="Bookman Old Style" w:hAnsi="Bookman Old Style" w:cs="Arial"/>
        </w:rPr>
        <w:t>.</w:t>
      </w:r>
    </w:p>
    <w:p w14:paraId="0ECD7EC0" w14:textId="0B99D2AE" w:rsidR="00E000B5" w:rsidRPr="00E000B5" w:rsidRDefault="00E000B5" w:rsidP="00E000B5">
      <w:pPr>
        <w:spacing w:before="240"/>
        <w:ind w:left="0"/>
        <w:rPr>
          <w:rStyle w:val="normaltextrun"/>
          <w:rFonts w:ascii="Bookman Old Style" w:hAnsi="Bookman Old Style" w:cs="Arial"/>
        </w:rPr>
      </w:pPr>
      <w:r w:rsidRPr="00E000B5">
        <w:rPr>
          <w:rStyle w:val="normaltextrun"/>
          <w:rFonts w:ascii="Bookman Old Style" w:hAnsi="Bookman Old Style" w:cs="Arial"/>
        </w:rPr>
        <w:t>La empresa solicita que, con base en lo establecido en el parágrafo 1 del artículo 6 de la Resolución CREG 022 de 2001, los equipos instalados se asimilen a la unidad constructiva CP</w:t>
      </w:r>
      <w:r>
        <w:rPr>
          <w:rStyle w:val="normaltextrun"/>
          <w:rFonts w:ascii="Bookman Old Style" w:hAnsi="Bookman Old Style" w:cs="Arial"/>
        </w:rPr>
        <w:t>506</w:t>
      </w:r>
      <w:r w:rsidRPr="00E000B5">
        <w:rPr>
          <w:rStyle w:val="normaltextrun"/>
          <w:rFonts w:ascii="Bookman Old Style" w:hAnsi="Bookman Old Style" w:cs="Arial"/>
        </w:rPr>
        <w:t xml:space="preserve">, </w:t>
      </w:r>
      <w:r w:rsidR="00592433" w:rsidRPr="00592433">
        <w:rPr>
          <w:rStyle w:val="normaltextrun"/>
          <w:rFonts w:ascii="Bookman Old Style" w:hAnsi="Bookman Old Style" w:cs="Arial"/>
        </w:rPr>
        <w:t>Módulo de Compensación Estática Reactiva, que hace parte de las unidades constructivas definidas en el numeral 3.1.2 del anexo general de la Resolución CREG 011 de 2009</w:t>
      </w:r>
      <w:r w:rsidRPr="00E000B5">
        <w:rPr>
          <w:rStyle w:val="normaltextrun"/>
          <w:rFonts w:ascii="Bookman Old Style" w:hAnsi="Bookman Old Style" w:cs="Arial"/>
        </w:rPr>
        <w:t xml:space="preserve">. </w:t>
      </w:r>
    </w:p>
    <w:p w14:paraId="0F9B09F1" w14:textId="5C78A23E" w:rsidR="003446D6" w:rsidRDefault="00E000B5" w:rsidP="00E000B5">
      <w:pPr>
        <w:spacing w:before="240"/>
        <w:ind w:left="0"/>
        <w:rPr>
          <w:rStyle w:val="normaltextrun"/>
          <w:rFonts w:ascii="Bookman Old Style" w:hAnsi="Bookman Old Style" w:cs="Arial"/>
        </w:rPr>
      </w:pPr>
      <w:r w:rsidRPr="00E000B5">
        <w:rPr>
          <w:rStyle w:val="normaltextrun"/>
          <w:rFonts w:ascii="Bookman Old Style" w:hAnsi="Bookman Old Style" w:cs="Arial"/>
        </w:rPr>
        <w:t xml:space="preserve">La empresa adjunta </w:t>
      </w:r>
      <w:r w:rsidR="00767690">
        <w:rPr>
          <w:rStyle w:val="normaltextrun"/>
          <w:rFonts w:ascii="Bookman Old Style" w:hAnsi="Bookman Old Style" w:cs="Arial"/>
        </w:rPr>
        <w:t xml:space="preserve">copia de dos </w:t>
      </w:r>
      <w:r w:rsidRPr="00E000B5">
        <w:rPr>
          <w:rStyle w:val="normaltextrun"/>
          <w:rFonts w:ascii="Bookman Old Style" w:hAnsi="Bookman Old Style" w:cs="Arial"/>
        </w:rPr>
        <w:t>comunicaci</w:t>
      </w:r>
      <w:r w:rsidR="00767690">
        <w:rPr>
          <w:rStyle w:val="normaltextrun"/>
          <w:rFonts w:ascii="Bookman Old Style" w:hAnsi="Bookman Old Style" w:cs="Arial"/>
        </w:rPr>
        <w:t>ones</w:t>
      </w:r>
      <w:r w:rsidRPr="00E000B5">
        <w:rPr>
          <w:rStyle w:val="normaltextrun"/>
          <w:rFonts w:ascii="Bookman Old Style" w:hAnsi="Bookman Old Style" w:cs="Arial"/>
        </w:rPr>
        <w:t xml:space="preserve"> enviada</w:t>
      </w:r>
      <w:r w:rsidR="00767690">
        <w:rPr>
          <w:rStyle w:val="normaltextrun"/>
          <w:rFonts w:ascii="Bookman Old Style" w:hAnsi="Bookman Old Style" w:cs="Arial"/>
        </w:rPr>
        <w:t>s</w:t>
      </w:r>
      <w:r w:rsidRPr="00E000B5">
        <w:rPr>
          <w:rStyle w:val="normaltextrun"/>
          <w:rFonts w:ascii="Bookman Old Style" w:hAnsi="Bookman Old Style" w:cs="Arial"/>
        </w:rPr>
        <w:t xml:space="preserve"> a XM donde se informa</w:t>
      </w:r>
      <w:r w:rsidR="00062AC2">
        <w:rPr>
          <w:rStyle w:val="normaltextrun"/>
          <w:rFonts w:ascii="Bookman Old Style" w:hAnsi="Bookman Old Style" w:cs="Arial"/>
        </w:rPr>
        <w:t>, en la primera,</w:t>
      </w:r>
      <w:r w:rsidRPr="00E000B5">
        <w:rPr>
          <w:rStyle w:val="normaltextrun"/>
          <w:rFonts w:ascii="Bookman Old Style" w:hAnsi="Bookman Old Style" w:cs="Arial"/>
        </w:rPr>
        <w:t xml:space="preserve"> de la declaración de entrada en operación comercial del proyecto </w:t>
      </w:r>
      <w:r w:rsidR="006E3C66" w:rsidRPr="006E3C66">
        <w:rPr>
          <w:rStyle w:val="normaltextrun"/>
          <w:rFonts w:ascii="Bookman Old Style" w:hAnsi="Bookman Old Style" w:cs="Arial"/>
        </w:rPr>
        <w:t>FACTS Guajira - Santa Marta 220 kV</w:t>
      </w:r>
      <w:r w:rsidR="003417AC">
        <w:rPr>
          <w:rStyle w:val="normaltextrun"/>
          <w:rFonts w:ascii="Bookman Old Style" w:hAnsi="Bookman Old Style" w:cs="Arial"/>
        </w:rPr>
        <w:t xml:space="preserve">, </w:t>
      </w:r>
      <w:r w:rsidRPr="00E000B5">
        <w:rPr>
          <w:rStyle w:val="normaltextrun"/>
          <w:rFonts w:ascii="Bookman Old Style" w:hAnsi="Bookman Old Style" w:cs="Arial"/>
        </w:rPr>
        <w:t xml:space="preserve">a partir de las </w:t>
      </w:r>
      <w:r w:rsidR="003417AC">
        <w:rPr>
          <w:rStyle w:val="normaltextrun"/>
          <w:rFonts w:ascii="Bookman Old Style" w:hAnsi="Bookman Old Style" w:cs="Arial"/>
        </w:rPr>
        <w:t>00</w:t>
      </w:r>
      <w:r w:rsidRPr="00E000B5">
        <w:rPr>
          <w:rStyle w:val="normaltextrun"/>
          <w:rFonts w:ascii="Bookman Old Style" w:hAnsi="Bookman Old Style" w:cs="Arial"/>
        </w:rPr>
        <w:t>:00 horas del 2</w:t>
      </w:r>
      <w:r w:rsidR="003417AC">
        <w:rPr>
          <w:rStyle w:val="normaltextrun"/>
          <w:rFonts w:ascii="Bookman Old Style" w:hAnsi="Bookman Old Style" w:cs="Arial"/>
        </w:rPr>
        <w:t>0</w:t>
      </w:r>
      <w:r w:rsidRPr="00E000B5">
        <w:rPr>
          <w:rStyle w:val="normaltextrun"/>
          <w:rFonts w:ascii="Bookman Old Style" w:hAnsi="Bookman Old Style" w:cs="Arial"/>
        </w:rPr>
        <w:t xml:space="preserve"> de </w:t>
      </w:r>
      <w:r w:rsidR="003417AC">
        <w:rPr>
          <w:rStyle w:val="normaltextrun"/>
          <w:rFonts w:ascii="Bookman Old Style" w:hAnsi="Bookman Old Style" w:cs="Arial"/>
        </w:rPr>
        <w:t>may</w:t>
      </w:r>
      <w:r w:rsidRPr="00E000B5">
        <w:rPr>
          <w:rStyle w:val="normaltextrun"/>
          <w:rFonts w:ascii="Bookman Old Style" w:hAnsi="Bookman Old Style" w:cs="Arial"/>
        </w:rPr>
        <w:t>o de 202</w:t>
      </w:r>
      <w:r w:rsidR="003417AC">
        <w:rPr>
          <w:rStyle w:val="normaltextrun"/>
          <w:rFonts w:ascii="Bookman Old Style" w:hAnsi="Bookman Old Style" w:cs="Arial"/>
        </w:rPr>
        <w:t>3</w:t>
      </w:r>
      <w:r w:rsidR="00233946">
        <w:rPr>
          <w:rStyle w:val="normaltextrun"/>
          <w:rFonts w:ascii="Bookman Old Style" w:hAnsi="Bookman Old Style" w:cs="Arial"/>
        </w:rPr>
        <w:t>,</w:t>
      </w:r>
      <w:r w:rsidR="003417AC">
        <w:rPr>
          <w:rStyle w:val="normaltextrun"/>
          <w:rFonts w:ascii="Bookman Old Style" w:hAnsi="Bookman Old Style" w:cs="Arial"/>
        </w:rPr>
        <w:t xml:space="preserve"> </w:t>
      </w:r>
      <w:r w:rsidR="00062AC2">
        <w:rPr>
          <w:rStyle w:val="normaltextrun"/>
          <w:rFonts w:ascii="Bookman Old Style" w:hAnsi="Bookman Old Style" w:cs="Arial"/>
        </w:rPr>
        <w:t>y, en la segunda,</w:t>
      </w:r>
      <w:r w:rsidR="00062AC2" w:rsidRPr="00E000B5">
        <w:rPr>
          <w:rStyle w:val="normaltextrun"/>
          <w:rFonts w:ascii="Bookman Old Style" w:hAnsi="Bookman Old Style" w:cs="Arial"/>
        </w:rPr>
        <w:t xml:space="preserve"> de la declaración de entrada en operación comercial del proyecto </w:t>
      </w:r>
      <w:r w:rsidR="00062AC2" w:rsidRPr="006E3C66">
        <w:rPr>
          <w:rStyle w:val="normaltextrun"/>
          <w:rFonts w:ascii="Bookman Old Style" w:hAnsi="Bookman Old Style" w:cs="Arial"/>
        </w:rPr>
        <w:t xml:space="preserve">FACTS Guajira </w:t>
      </w:r>
      <w:r w:rsidR="00140F7D">
        <w:rPr>
          <w:rStyle w:val="normaltextrun"/>
          <w:rFonts w:ascii="Bookman Old Style" w:hAnsi="Bookman Old Style" w:cs="Arial"/>
        </w:rPr>
        <w:t>–</w:t>
      </w:r>
      <w:r w:rsidR="00062AC2" w:rsidRPr="006E3C66">
        <w:rPr>
          <w:rStyle w:val="normaltextrun"/>
          <w:rFonts w:ascii="Bookman Old Style" w:hAnsi="Bookman Old Style" w:cs="Arial"/>
        </w:rPr>
        <w:t xml:space="preserve"> </w:t>
      </w:r>
      <w:r w:rsidR="00140F7D" w:rsidRPr="00140F7D">
        <w:rPr>
          <w:rStyle w:val="normaltextrun"/>
          <w:rFonts w:ascii="Bookman Old Style" w:hAnsi="Bookman Old Style" w:cs="Arial"/>
        </w:rPr>
        <w:t>Termocol</w:t>
      </w:r>
      <w:r w:rsidR="00140F7D">
        <w:rPr>
          <w:rStyle w:val="normaltextrun"/>
          <w:rFonts w:ascii="Bookman Old Style" w:hAnsi="Bookman Old Style" w:cs="Arial"/>
        </w:rPr>
        <w:t xml:space="preserve"> </w:t>
      </w:r>
      <w:r w:rsidR="00062AC2" w:rsidRPr="006E3C66">
        <w:rPr>
          <w:rStyle w:val="normaltextrun"/>
          <w:rFonts w:ascii="Bookman Old Style" w:hAnsi="Bookman Old Style" w:cs="Arial"/>
        </w:rPr>
        <w:t>220 kV</w:t>
      </w:r>
      <w:r w:rsidR="00062AC2">
        <w:rPr>
          <w:rStyle w:val="normaltextrun"/>
          <w:rFonts w:ascii="Bookman Old Style" w:hAnsi="Bookman Old Style" w:cs="Arial"/>
        </w:rPr>
        <w:t xml:space="preserve">, </w:t>
      </w:r>
      <w:r w:rsidR="00062AC2" w:rsidRPr="00E000B5">
        <w:rPr>
          <w:rStyle w:val="normaltextrun"/>
          <w:rFonts w:ascii="Bookman Old Style" w:hAnsi="Bookman Old Style" w:cs="Arial"/>
        </w:rPr>
        <w:t xml:space="preserve">a partir de las </w:t>
      </w:r>
      <w:r w:rsidR="00062AC2">
        <w:rPr>
          <w:rStyle w:val="normaltextrun"/>
          <w:rFonts w:ascii="Bookman Old Style" w:hAnsi="Bookman Old Style" w:cs="Arial"/>
        </w:rPr>
        <w:t>00</w:t>
      </w:r>
      <w:r w:rsidR="00062AC2" w:rsidRPr="00E000B5">
        <w:rPr>
          <w:rStyle w:val="normaltextrun"/>
          <w:rFonts w:ascii="Bookman Old Style" w:hAnsi="Bookman Old Style" w:cs="Arial"/>
        </w:rPr>
        <w:t>:00 horas del 2</w:t>
      </w:r>
      <w:r w:rsidR="00140F7D">
        <w:rPr>
          <w:rStyle w:val="normaltextrun"/>
          <w:rFonts w:ascii="Bookman Old Style" w:hAnsi="Bookman Old Style" w:cs="Arial"/>
        </w:rPr>
        <w:t>4</w:t>
      </w:r>
      <w:r w:rsidR="00062AC2" w:rsidRPr="00E000B5">
        <w:rPr>
          <w:rStyle w:val="normaltextrun"/>
          <w:rFonts w:ascii="Bookman Old Style" w:hAnsi="Bookman Old Style" w:cs="Arial"/>
        </w:rPr>
        <w:t xml:space="preserve"> de </w:t>
      </w:r>
      <w:r w:rsidR="00062AC2">
        <w:rPr>
          <w:rStyle w:val="normaltextrun"/>
          <w:rFonts w:ascii="Bookman Old Style" w:hAnsi="Bookman Old Style" w:cs="Arial"/>
        </w:rPr>
        <w:t>may</w:t>
      </w:r>
      <w:r w:rsidR="00062AC2" w:rsidRPr="00E000B5">
        <w:rPr>
          <w:rStyle w:val="normaltextrun"/>
          <w:rFonts w:ascii="Bookman Old Style" w:hAnsi="Bookman Old Style" w:cs="Arial"/>
        </w:rPr>
        <w:t>o de 202</w:t>
      </w:r>
      <w:r w:rsidR="00062AC2">
        <w:rPr>
          <w:rStyle w:val="normaltextrun"/>
          <w:rFonts w:ascii="Bookman Old Style" w:hAnsi="Bookman Old Style" w:cs="Arial"/>
        </w:rPr>
        <w:t>3</w:t>
      </w:r>
      <w:r w:rsidRPr="00E000B5">
        <w:rPr>
          <w:rStyle w:val="normaltextrun"/>
          <w:rFonts w:ascii="Bookman Old Style" w:hAnsi="Bookman Old Style" w:cs="Arial"/>
        </w:rPr>
        <w:t>.</w:t>
      </w:r>
    </w:p>
    <w:p w14:paraId="01396583" w14:textId="66C3B29B" w:rsidR="000E7867" w:rsidRDefault="000E7867" w:rsidP="000E7867">
      <w:pPr>
        <w:spacing w:before="240"/>
        <w:ind w:left="0"/>
        <w:rPr>
          <w:rStyle w:val="normaltextrun"/>
          <w:rFonts w:ascii="Bookman Old Style" w:hAnsi="Bookman Old Style" w:cs="Arial"/>
        </w:rPr>
      </w:pPr>
      <w:r>
        <w:rPr>
          <w:rStyle w:val="normaltextrun"/>
          <w:rFonts w:ascii="Bookman Old Style" w:hAnsi="Bookman Old Style" w:cs="Arial"/>
        </w:rPr>
        <w:t xml:space="preserve">Una vez revisada la información recibida se solicitó una reunión con la empresa con el propósito de verificar algunos datos incluidos en los archivos recibidos. </w:t>
      </w:r>
      <w:r w:rsidR="00992B3A">
        <w:rPr>
          <w:rStyle w:val="normaltextrun"/>
          <w:rFonts w:ascii="Bookman Old Style" w:hAnsi="Bookman Old Style" w:cs="Arial"/>
        </w:rPr>
        <w:t>En esta reunión l</w:t>
      </w:r>
      <w:r>
        <w:rPr>
          <w:rStyle w:val="normaltextrun"/>
          <w:rFonts w:ascii="Bookman Old Style" w:hAnsi="Bookman Old Style" w:cs="Arial"/>
        </w:rPr>
        <w:t xml:space="preserve">a empresa se comprometió a revisar algunos de los datos suministrados y a entregar una información adicional. Mediante correo electrónico del 18 de septiembre de 2023, Transelca </w:t>
      </w:r>
      <w:r w:rsidRPr="00093FE5">
        <w:rPr>
          <w:rStyle w:val="normaltextrun"/>
          <w:rFonts w:ascii="Bookman Old Style" w:hAnsi="Bookman Old Style" w:cs="Arial"/>
        </w:rPr>
        <w:t>S.A. E.S.P.</w:t>
      </w:r>
      <w:r>
        <w:rPr>
          <w:rStyle w:val="normaltextrun"/>
          <w:rFonts w:ascii="Bookman Old Style" w:hAnsi="Bookman Old Style" w:cs="Arial"/>
        </w:rPr>
        <w:t xml:space="preserve"> entregó el listado de los compromisos, indicando la acción realizada para cada uno de ellos y facilitando un vínculo para consultar la nueva información con los ajustes realizados.</w:t>
      </w:r>
    </w:p>
    <w:p w14:paraId="47B98217" w14:textId="5B93BD47" w:rsidR="004351A1" w:rsidRPr="00093FE5" w:rsidRDefault="001F5321" w:rsidP="00E000B5">
      <w:pPr>
        <w:spacing w:before="240"/>
        <w:ind w:left="0"/>
        <w:rPr>
          <w:rStyle w:val="normaltextrun"/>
          <w:rFonts w:ascii="Bookman Old Style" w:hAnsi="Bookman Old Style" w:cs="Arial"/>
        </w:rPr>
      </w:pPr>
      <w:r>
        <w:rPr>
          <w:rStyle w:val="normaltextrun"/>
          <w:rFonts w:ascii="Bookman Old Style" w:hAnsi="Bookman Old Style" w:cs="Arial"/>
        </w:rPr>
        <w:t xml:space="preserve">Con </w:t>
      </w:r>
      <w:r w:rsidR="00A070BC">
        <w:rPr>
          <w:rStyle w:val="normaltextrun"/>
          <w:rFonts w:ascii="Bookman Old Style" w:hAnsi="Bookman Old Style" w:cs="Arial"/>
        </w:rPr>
        <w:t xml:space="preserve">la nueva información se </w:t>
      </w:r>
      <w:r>
        <w:rPr>
          <w:rStyle w:val="normaltextrun"/>
          <w:rFonts w:ascii="Bookman Old Style" w:hAnsi="Bookman Old Style" w:cs="Arial"/>
        </w:rPr>
        <w:t xml:space="preserve">procede a hacer los ajustes al análisis de la solicitud y se </w:t>
      </w:r>
      <w:r w:rsidR="004734A5">
        <w:rPr>
          <w:rStyle w:val="normaltextrun"/>
          <w:rFonts w:ascii="Bookman Old Style" w:hAnsi="Bookman Old Style" w:cs="Arial"/>
        </w:rPr>
        <w:t>abre</w:t>
      </w:r>
      <w:r w:rsidR="00226760">
        <w:rPr>
          <w:rStyle w:val="normaltextrun"/>
          <w:rFonts w:ascii="Bookman Old Style" w:hAnsi="Bookman Old Style" w:cs="Arial"/>
        </w:rPr>
        <w:t xml:space="preserve"> la correspondiente actuación administrativa, para lo cual se emitió un auto </w:t>
      </w:r>
      <w:r w:rsidR="002C0C09">
        <w:rPr>
          <w:rStyle w:val="normaltextrun"/>
          <w:rFonts w:ascii="Bookman Old Style" w:hAnsi="Bookman Old Style" w:cs="Arial"/>
        </w:rPr>
        <w:t>d</w:t>
      </w:r>
      <w:r w:rsidR="000006E1">
        <w:rPr>
          <w:rStyle w:val="normaltextrun"/>
          <w:rFonts w:ascii="Bookman Old Style" w:hAnsi="Bookman Old Style" w:cs="Arial"/>
        </w:rPr>
        <w:t xml:space="preserve">el </w:t>
      </w:r>
      <w:r w:rsidR="00374B7D">
        <w:rPr>
          <w:rStyle w:val="normaltextrun"/>
          <w:rFonts w:ascii="Bookman Old Style" w:hAnsi="Bookman Old Style" w:cs="Arial"/>
        </w:rPr>
        <w:t>13</w:t>
      </w:r>
      <w:r w:rsidR="000006E1">
        <w:rPr>
          <w:rStyle w:val="normaltextrun"/>
          <w:rFonts w:ascii="Bookman Old Style" w:hAnsi="Bookman Old Style" w:cs="Arial"/>
        </w:rPr>
        <w:t xml:space="preserve"> de </w:t>
      </w:r>
      <w:r w:rsidR="00120F2B">
        <w:rPr>
          <w:rStyle w:val="normaltextrun"/>
          <w:rFonts w:ascii="Bookman Old Style" w:hAnsi="Bookman Old Style" w:cs="Arial"/>
        </w:rPr>
        <w:t>dic</w:t>
      </w:r>
      <w:r w:rsidR="000006E1">
        <w:rPr>
          <w:rStyle w:val="normaltextrun"/>
          <w:rFonts w:ascii="Bookman Old Style" w:hAnsi="Bookman Old Style" w:cs="Arial"/>
        </w:rPr>
        <w:t>iembre de 2023, el cual fue comunicado a la empresa con el radicado</w:t>
      </w:r>
      <w:r w:rsidR="004734A5">
        <w:rPr>
          <w:rStyle w:val="normaltextrun"/>
          <w:rFonts w:ascii="Bookman Old Style" w:hAnsi="Bookman Old Style" w:cs="Arial"/>
        </w:rPr>
        <w:t xml:space="preserve"> S202300</w:t>
      </w:r>
      <w:r w:rsidR="00374B7D">
        <w:rPr>
          <w:rStyle w:val="normaltextrun"/>
          <w:rFonts w:ascii="Bookman Old Style" w:hAnsi="Bookman Old Style" w:cs="Arial"/>
        </w:rPr>
        <w:t>5996</w:t>
      </w:r>
      <w:r w:rsidR="004734A5">
        <w:rPr>
          <w:rStyle w:val="normaltextrun"/>
          <w:rFonts w:ascii="Bookman Old Style" w:hAnsi="Bookman Old Style" w:cs="Arial"/>
        </w:rPr>
        <w:t xml:space="preserve"> del </w:t>
      </w:r>
      <w:r w:rsidR="00374B7D">
        <w:rPr>
          <w:rStyle w:val="normaltextrun"/>
          <w:rFonts w:ascii="Bookman Old Style" w:hAnsi="Bookman Old Style" w:cs="Arial"/>
        </w:rPr>
        <w:t>13</w:t>
      </w:r>
      <w:r w:rsidR="004734A5">
        <w:rPr>
          <w:rStyle w:val="normaltextrun"/>
          <w:rFonts w:ascii="Bookman Old Style" w:hAnsi="Bookman Old Style" w:cs="Arial"/>
        </w:rPr>
        <w:t xml:space="preserve"> de </w:t>
      </w:r>
      <w:r w:rsidR="006071EF">
        <w:rPr>
          <w:rStyle w:val="normaltextrun"/>
          <w:rFonts w:ascii="Bookman Old Style" w:hAnsi="Bookman Old Style" w:cs="Arial"/>
        </w:rPr>
        <w:t>dic</w:t>
      </w:r>
      <w:r w:rsidR="004734A5">
        <w:rPr>
          <w:rStyle w:val="normaltextrun"/>
          <w:rFonts w:ascii="Bookman Old Style" w:hAnsi="Bookman Old Style" w:cs="Arial"/>
        </w:rPr>
        <w:t>iembre de 2023. El expediente administrativo para esta actuación se identifi</w:t>
      </w:r>
      <w:r w:rsidR="002C0C09">
        <w:rPr>
          <w:rStyle w:val="normaltextrun"/>
          <w:rFonts w:ascii="Bookman Old Style" w:hAnsi="Bookman Old Style" w:cs="Arial"/>
        </w:rPr>
        <w:t>c</w:t>
      </w:r>
      <w:r w:rsidR="004734A5">
        <w:rPr>
          <w:rStyle w:val="normaltextrun"/>
          <w:rFonts w:ascii="Bookman Old Style" w:hAnsi="Bookman Old Style" w:cs="Arial"/>
        </w:rPr>
        <w:t xml:space="preserve">ó </w:t>
      </w:r>
      <w:r w:rsidR="002C0C09">
        <w:rPr>
          <w:rStyle w:val="normaltextrun"/>
          <w:rFonts w:ascii="Bookman Old Style" w:hAnsi="Bookman Old Style" w:cs="Arial"/>
        </w:rPr>
        <w:t>c</w:t>
      </w:r>
      <w:r w:rsidR="004734A5">
        <w:rPr>
          <w:rStyle w:val="normaltextrun"/>
          <w:rFonts w:ascii="Bookman Old Style" w:hAnsi="Bookman Old Style" w:cs="Arial"/>
        </w:rPr>
        <w:t>on el número 20220004.</w:t>
      </w:r>
      <w:r w:rsidR="00226760">
        <w:rPr>
          <w:rStyle w:val="normaltextrun"/>
          <w:rFonts w:ascii="Bookman Old Style" w:hAnsi="Bookman Old Style" w:cs="Arial"/>
        </w:rPr>
        <w:t xml:space="preserve"> </w:t>
      </w:r>
    </w:p>
    <w:p w14:paraId="1A276A88" w14:textId="77777777" w:rsidR="00356F16" w:rsidRPr="00356F16" w:rsidRDefault="00356F16" w:rsidP="00356F16">
      <w:pPr>
        <w:spacing w:before="240"/>
        <w:ind w:left="0"/>
        <w:rPr>
          <w:rStyle w:val="normaltextrun"/>
          <w:rFonts w:ascii="Bookman Old Style" w:hAnsi="Bookman Old Style" w:cs="Arial"/>
        </w:rPr>
      </w:pPr>
      <w:r w:rsidRPr="00356F16">
        <w:rPr>
          <w:rStyle w:val="normaltextrun"/>
          <w:rFonts w:ascii="Bookman Old Style" w:hAnsi="Bookman Old Style" w:cs="Arial"/>
        </w:rPr>
        <w:t xml:space="preserve">En cumplimiento de lo establecido en el artículo 37 del Código de Procedimiento Administrativo y de lo Contencioso Administrativo, la CREG publicó en el </w:t>
      </w:r>
      <w:r w:rsidRPr="00356F16">
        <w:rPr>
          <w:rStyle w:val="normaltextrun"/>
          <w:rFonts w:ascii="Bookman Old Style" w:hAnsi="Bookman Old Style" w:cs="Arial"/>
          <w:i/>
          <w:iCs/>
        </w:rPr>
        <w:t>Diario Oficial</w:t>
      </w:r>
      <w:r w:rsidRPr="00356F16">
        <w:rPr>
          <w:rStyle w:val="normaltextrun"/>
          <w:rFonts w:ascii="Bookman Old Style" w:hAnsi="Bookman Old Style" w:cs="Arial"/>
        </w:rPr>
        <w:t xml:space="preserve"> y en la página web de la entidad un resumen de la solicitud con el fin de que los terceros interesados pudieran intervenir en la actuación administrativa.</w:t>
      </w:r>
    </w:p>
    <w:p w14:paraId="752EB141" w14:textId="1B5A6C82" w:rsidR="00356F16" w:rsidRPr="00356F16" w:rsidRDefault="00356F16" w:rsidP="00356F16">
      <w:pPr>
        <w:spacing w:before="240"/>
        <w:ind w:left="0"/>
        <w:rPr>
          <w:rStyle w:val="normaltextrun"/>
          <w:rFonts w:ascii="Bookman Old Style" w:hAnsi="Bookman Old Style" w:cs="Arial"/>
        </w:rPr>
      </w:pPr>
      <w:r w:rsidRPr="00356F16">
        <w:rPr>
          <w:rStyle w:val="normaltextrun"/>
          <w:rFonts w:ascii="Bookman Old Style" w:hAnsi="Bookman Old Style" w:cs="Arial"/>
        </w:rPr>
        <w:t xml:space="preserve">En el documento soporte de esta resolución se analiza la solicitud de </w:t>
      </w:r>
      <w:r w:rsidR="000E7867">
        <w:rPr>
          <w:rStyle w:val="normaltextrun"/>
          <w:rFonts w:ascii="Bookman Old Style" w:hAnsi="Bookman Old Style" w:cs="Arial"/>
        </w:rPr>
        <w:t>Transelca</w:t>
      </w:r>
      <w:r w:rsidR="000E7867" w:rsidRPr="00356F16">
        <w:rPr>
          <w:rStyle w:val="normaltextrun"/>
          <w:rFonts w:ascii="Bookman Old Style" w:hAnsi="Bookman Old Style" w:cs="Arial"/>
        </w:rPr>
        <w:t xml:space="preserve"> S.A. E.S.P.</w:t>
      </w:r>
      <w:r w:rsidR="000E7867">
        <w:rPr>
          <w:rStyle w:val="normaltextrun"/>
          <w:rFonts w:ascii="Bookman Old Style" w:hAnsi="Bookman Old Style" w:cs="Arial"/>
        </w:rPr>
        <w:t xml:space="preserve"> </w:t>
      </w:r>
      <w:r w:rsidRPr="00356F16">
        <w:rPr>
          <w:rStyle w:val="normaltextrun"/>
          <w:rFonts w:ascii="Bookman Old Style" w:hAnsi="Bookman Old Style" w:cs="Arial"/>
        </w:rPr>
        <w:t xml:space="preserve">y se calcula el porcentaje a reconocer </w:t>
      </w:r>
      <w:r w:rsidR="00807E80">
        <w:rPr>
          <w:rStyle w:val="normaltextrun"/>
          <w:rFonts w:ascii="Bookman Old Style" w:hAnsi="Bookman Old Style" w:cs="Arial"/>
        </w:rPr>
        <w:t>de</w:t>
      </w:r>
      <w:r w:rsidRPr="00356F16">
        <w:rPr>
          <w:rStyle w:val="normaltextrun"/>
          <w:rFonts w:ascii="Bookman Old Style" w:hAnsi="Bookman Old Style" w:cs="Arial"/>
        </w:rPr>
        <w:t xml:space="preserve"> las unidades constructivas </w:t>
      </w:r>
      <w:r w:rsidR="00807E80">
        <w:rPr>
          <w:rStyle w:val="normaltextrun"/>
          <w:rFonts w:ascii="Bookman Old Style" w:hAnsi="Bookman Old Style" w:cs="Arial"/>
        </w:rPr>
        <w:t>asimil</w:t>
      </w:r>
      <w:r w:rsidRPr="00356F16">
        <w:rPr>
          <w:rStyle w:val="normaltextrun"/>
          <w:rFonts w:ascii="Bookman Old Style" w:hAnsi="Bookman Old Style" w:cs="Arial"/>
        </w:rPr>
        <w:t xml:space="preserve">adas, de acuerdo con lo señalado en el parágrafo 1 </w:t>
      </w:r>
      <w:r w:rsidR="000E7867">
        <w:rPr>
          <w:rStyle w:val="normaltextrun"/>
          <w:rFonts w:ascii="Bookman Old Style" w:hAnsi="Bookman Old Style" w:cs="Arial"/>
        </w:rPr>
        <w:t xml:space="preserve">del artículo 6 </w:t>
      </w:r>
      <w:r w:rsidRPr="00356F16">
        <w:rPr>
          <w:rStyle w:val="normaltextrun"/>
          <w:rFonts w:ascii="Bookman Old Style" w:hAnsi="Bookman Old Style" w:cs="Arial"/>
        </w:rPr>
        <w:t xml:space="preserve">de la Resolución CREG 022 de 2001. </w:t>
      </w:r>
    </w:p>
    <w:p w14:paraId="1B530041" w14:textId="62D982BD" w:rsidR="00356F16" w:rsidRPr="00356F16" w:rsidRDefault="00356F16" w:rsidP="00356F16">
      <w:pPr>
        <w:spacing w:before="240"/>
        <w:ind w:left="0"/>
        <w:rPr>
          <w:rStyle w:val="normaltextrun"/>
          <w:rFonts w:ascii="Bookman Old Style" w:hAnsi="Bookman Old Style" w:cs="Arial"/>
        </w:rPr>
      </w:pPr>
      <w:r w:rsidRPr="00356F16">
        <w:rPr>
          <w:rStyle w:val="normaltextrun"/>
          <w:rFonts w:ascii="Bookman Old Style" w:hAnsi="Bookman Old Style" w:cs="Arial"/>
        </w:rPr>
        <w:t xml:space="preserve">Con base en lo anterior, se propone incluir como ampliación, en la base de activos </w:t>
      </w:r>
      <w:r w:rsidR="006F570A">
        <w:rPr>
          <w:rStyle w:val="normaltextrun"/>
          <w:rFonts w:ascii="Bookman Old Style" w:hAnsi="Bookman Old Style" w:cs="Arial"/>
        </w:rPr>
        <w:t>de Transelca</w:t>
      </w:r>
      <w:r w:rsidRPr="00356F16">
        <w:rPr>
          <w:rStyle w:val="normaltextrun"/>
          <w:rFonts w:ascii="Bookman Old Style" w:hAnsi="Bookman Old Style" w:cs="Arial"/>
        </w:rPr>
        <w:t xml:space="preserve"> S.A. E.S.P., l</w:t>
      </w:r>
      <w:r w:rsidR="0005225C">
        <w:rPr>
          <w:rStyle w:val="normaltextrun"/>
          <w:rFonts w:ascii="Bookman Old Style" w:hAnsi="Bookman Old Style" w:cs="Arial"/>
        </w:rPr>
        <w:t>os equipos</w:t>
      </w:r>
      <w:r w:rsidRPr="00356F16">
        <w:rPr>
          <w:rStyle w:val="normaltextrun"/>
          <w:rFonts w:ascii="Bookman Old Style" w:hAnsi="Bookman Old Style" w:cs="Arial"/>
        </w:rPr>
        <w:t xml:space="preserve"> instalad</w:t>
      </w:r>
      <w:r w:rsidR="0005225C">
        <w:rPr>
          <w:rStyle w:val="normaltextrun"/>
          <w:rFonts w:ascii="Bookman Old Style" w:hAnsi="Bookman Old Style" w:cs="Arial"/>
        </w:rPr>
        <w:t>o</w:t>
      </w:r>
      <w:r w:rsidRPr="00356F16">
        <w:rPr>
          <w:rStyle w:val="normaltextrun"/>
          <w:rFonts w:ascii="Bookman Old Style" w:hAnsi="Bookman Old Style" w:cs="Arial"/>
        </w:rPr>
        <w:t xml:space="preserve">s en la subestación </w:t>
      </w:r>
      <w:r w:rsidR="000E7867">
        <w:rPr>
          <w:rStyle w:val="normaltextrun"/>
          <w:rFonts w:ascii="Bookman Old Style" w:hAnsi="Bookman Old Style" w:cs="Arial"/>
        </w:rPr>
        <w:t>Santa Marta</w:t>
      </w:r>
      <w:r w:rsidRPr="00356F16">
        <w:rPr>
          <w:rStyle w:val="normaltextrun"/>
          <w:rFonts w:ascii="Bookman Old Style" w:hAnsi="Bookman Old Style" w:cs="Arial"/>
        </w:rPr>
        <w:t xml:space="preserve"> reconociendo las unidades constructivas a las cuales se asimilan los nuevos activos.</w:t>
      </w:r>
    </w:p>
    <w:p w14:paraId="5A3D77FB" w14:textId="5CAC0F38" w:rsidR="00356F16" w:rsidRPr="00356F16" w:rsidRDefault="00356F16" w:rsidP="00356F16">
      <w:pPr>
        <w:spacing w:before="240"/>
        <w:ind w:left="0"/>
        <w:rPr>
          <w:rStyle w:val="normaltextrun"/>
          <w:rFonts w:ascii="Bookman Old Style" w:hAnsi="Bookman Old Style" w:cs="Arial"/>
        </w:rPr>
      </w:pPr>
      <w:r w:rsidRPr="00356F16">
        <w:rPr>
          <w:rStyle w:val="normaltextrun"/>
          <w:rFonts w:ascii="Bookman Old Style" w:hAnsi="Bookman Old Style" w:cs="Arial"/>
        </w:rPr>
        <w:t xml:space="preserve">Con base en los análisis efectuados y aplicando la metodología contenida en la Resolución CREG 011 de 2009 se realizaron los ajustes pertinentes para </w:t>
      </w:r>
      <w:r w:rsidR="000E7867">
        <w:rPr>
          <w:rStyle w:val="normaltextrun"/>
          <w:rFonts w:ascii="Bookman Old Style" w:hAnsi="Bookman Old Style" w:cs="Arial"/>
        </w:rPr>
        <w:lastRenderedPageBreak/>
        <w:t xml:space="preserve">modificar la base de activos y </w:t>
      </w:r>
      <w:r w:rsidRPr="00356F16">
        <w:rPr>
          <w:rStyle w:val="normaltextrun"/>
          <w:rFonts w:ascii="Bookman Old Style" w:hAnsi="Bookman Old Style" w:cs="Arial"/>
        </w:rPr>
        <w:t xml:space="preserve">actualizar el ingreso anual de la actividad de transmisión </w:t>
      </w:r>
      <w:r w:rsidR="006F570A">
        <w:rPr>
          <w:rStyle w:val="normaltextrun"/>
          <w:rFonts w:ascii="Bookman Old Style" w:hAnsi="Bookman Old Style" w:cs="Arial"/>
        </w:rPr>
        <w:t>de Transelca</w:t>
      </w:r>
      <w:r w:rsidRPr="00356F16">
        <w:rPr>
          <w:rStyle w:val="normaltextrun"/>
          <w:rFonts w:ascii="Bookman Old Style" w:hAnsi="Bookman Old Style" w:cs="Arial"/>
        </w:rPr>
        <w:t xml:space="preserve"> S.A. E.S.P., </w:t>
      </w:r>
      <w:r w:rsidR="001B7DA3">
        <w:rPr>
          <w:rStyle w:val="normaltextrun"/>
          <w:rFonts w:ascii="Bookman Old Style" w:hAnsi="Bookman Old Style" w:cs="Arial"/>
        </w:rPr>
        <w:t>originados con e</w:t>
      </w:r>
      <w:r w:rsidR="000E7867">
        <w:rPr>
          <w:rStyle w:val="normaltextrun"/>
          <w:rFonts w:ascii="Bookman Old Style" w:hAnsi="Bookman Old Style" w:cs="Arial"/>
        </w:rPr>
        <w:t>l ingreso de los activos</w:t>
      </w:r>
      <w:r w:rsidRPr="00356F16">
        <w:rPr>
          <w:rStyle w:val="normaltextrun"/>
          <w:rFonts w:ascii="Bookman Old Style" w:hAnsi="Bookman Old Style" w:cs="Arial"/>
        </w:rPr>
        <w:t xml:space="preserve"> mencionad</w:t>
      </w:r>
      <w:r w:rsidR="000E7867">
        <w:rPr>
          <w:rStyle w:val="normaltextrun"/>
          <w:rFonts w:ascii="Bookman Old Style" w:hAnsi="Bookman Old Style" w:cs="Arial"/>
        </w:rPr>
        <w:t>o</w:t>
      </w:r>
      <w:r w:rsidRPr="00356F16">
        <w:rPr>
          <w:rStyle w:val="normaltextrun"/>
          <w:rFonts w:ascii="Bookman Old Style" w:hAnsi="Bookman Old Style" w:cs="Arial"/>
        </w:rPr>
        <w:t>s.</w:t>
      </w:r>
    </w:p>
    <w:p w14:paraId="0330C522" w14:textId="77777777" w:rsidR="00356F16" w:rsidRPr="00356F16" w:rsidRDefault="00356F16" w:rsidP="00356F16">
      <w:pPr>
        <w:spacing w:before="240"/>
        <w:ind w:left="0"/>
        <w:rPr>
          <w:rStyle w:val="normaltextrun"/>
          <w:rFonts w:ascii="Bookman Old Style" w:hAnsi="Bookman Old Style" w:cs="Arial"/>
        </w:rPr>
      </w:pPr>
      <w:r w:rsidRPr="00356F16">
        <w:rPr>
          <w:rStyle w:val="normaltextrun"/>
          <w:rFonts w:ascii="Bookman Old Style" w:hAnsi="Bookman Old Style" w:cs="Arial"/>
        </w:rPr>
        <w:t xml:space="preserve">Teniendo en cuenta lo anterior, a partir de la aplicación de la metodología contenida en la Resolución CREG 011 de 2009, se calculan las siguientes variables principales: </w:t>
      </w:r>
    </w:p>
    <w:p w14:paraId="010760E1" w14:textId="38157642" w:rsidR="00356F16" w:rsidRPr="00356F16" w:rsidRDefault="0032052C" w:rsidP="0032052C">
      <w:pPr>
        <w:spacing w:before="240"/>
        <w:ind w:left="0"/>
        <w:jc w:val="center"/>
        <w:rPr>
          <w:rStyle w:val="normaltextrun"/>
          <w:rFonts w:ascii="Bookman Old Style" w:hAnsi="Bookman Old Style" w:cs="Arial"/>
        </w:rPr>
      </w:pPr>
      <w:r w:rsidRPr="0032052C">
        <w:rPr>
          <w:rStyle w:val="normaltextrun"/>
          <w:noProof/>
        </w:rPr>
        <w:drawing>
          <wp:inline distT="0" distB="0" distL="0" distR="0" wp14:anchorId="4AF5CCBF" wp14:editId="32245D21">
            <wp:extent cx="4893310" cy="1457325"/>
            <wp:effectExtent l="0" t="0" r="2540" b="9525"/>
            <wp:docPr id="7301178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3310" cy="1457325"/>
                    </a:xfrm>
                    <a:prstGeom prst="rect">
                      <a:avLst/>
                    </a:prstGeom>
                    <a:noFill/>
                    <a:ln>
                      <a:noFill/>
                    </a:ln>
                  </pic:spPr>
                </pic:pic>
              </a:graphicData>
            </a:graphic>
          </wp:inline>
        </w:drawing>
      </w:r>
    </w:p>
    <w:p w14:paraId="52649DB4" w14:textId="2B29A8F4" w:rsidR="00093FE5" w:rsidRDefault="00356F16" w:rsidP="00356F16">
      <w:pPr>
        <w:spacing w:before="240"/>
        <w:ind w:left="0"/>
        <w:rPr>
          <w:rStyle w:val="normaltextrun"/>
          <w:rFonts w:ascii="Bookman Old Style" w:hAnsi="Bookman Old Style" w:cs="Arial"/>
        </w:rPr>
      </w:pPr>
      <w:r w:rsidRPr="00356F16">
        <w:rPr>
          <w:rStyle w:val="normaltextrun"/>
          <w:rFonts w:ascii="Bookman Old Style" w:hAnsi="Bookman Old Style" w:cs="Arial"/>
        </w:rPr>
        <w:t xml:space="preserve">La Comisión de Regulación de Energía y Gas en su sesión </w:t>
      </w:r>
      <w:r w:rsidR="00BB3402">
        <w:rPr>
          <w:rStyle w:val="normaltextrun"/>
          <w:rFonts w:ascii="Bookman Old Style" w:hAnsi="Bookman Old Style" w:cs="Arial"/>
        </w:rPr>
        <w:t>1300</w:t>
      </w:r>
      <w:r w:rsidRPr="00356F16">
        <w:rPr>
          <w:rStyle w:val="normaltextrun"/>
          <w:rFonts w:ascii="Bookman Old Style" w:hAnsi="Bookman Old Style" w:cs="Arial"/>
        </w:rPr>
        <w:t xml:space="preserve"> del </w:t>
      </w:r>
      <w:r w:rsidR="00BB3402">
        <w:rPr>
          <w:rStyle w:val="normaltextrun"/>
          <w:rFonts w:ascii="Bookman Old Style" w:hAnsi="Bookman Old Style" w:cs="Arial"/>
        </w:rPr>
        <w:t>20</w:t>
      </w:r>
      <w:r w:rsidRPr="00356F16">
        <w:rPr>
          <w:rStyle w:val="normaltextrun"/>
          <w:rFonts w:ascii="Bookman Old Style" w:hAnsi="Bookman Old Style" w:cs="Arial"/>
        </w:rPr>
        <w:t xml:space="preserve"> de </w:t>
      </w:r>
      <w:r w:rsidR="00552CA4">
        <w:rPr>
          <w:rStyle w:val="normaltextrun"/>
          <w:rFonts w:ascii="Bookman Old Style" w:hAnsi="Bookman Old Style" w:cs="Arial"/>
        </w:rPr>
        <w:t>diciem</w:t>
      </w:r>
      <w:r w:rsidRPr="00356F16">
        <w:rPr>
          <w:rStyle w:val="normaltextrun"/>
          <w:rFonts w:ascii="Bookman Old Style" w:hAnsi="Bookman Old Style" w:cs="Arial"/>
        </w:rPr>
        <w:t>bre de 202</w:t>
      </w:r>
      <w:r w:rsidR="0000130C">
        <w:rPr>
          <w:rStyle w:val="normaltextrun"/>
          <w:rFonts w:ascii="Bookman Old Style" w:hAnsi="Bookman Old Style" w:cs="Arial"/>
        </w:rPr>
        <w:t>3</w:t>
      </w:r>
      <w:r w:rsidRPr="00356F16">
        <w:rPr>
          <w:rStyle w:val="normaltextrun"/>
          <w:rFonts w:ascii="Bookman Old Style" w:hAnsi="Bookman Old Style" w:cs="Arial"/>
        </w:rPr>
        <w:t xml:space="preserve"> aprobó </w:t>
      </w:r>
      <w:r w:rsidR="0000130C">
        <w:rPr>
          <w:rStyle w:val="normaltextrun"/>
          <w:rFonts w:ascii="Bookman Old Style" w:hAnsi="Bookman Old Style" w:cs="Arial"/>
        </w:rPr>
        <w:t>m</w:t>
      </w:r>
      <w:r w:rsidR="000507EC">
        <w:rPr>
          <w:rStyle w:val="normaltextrun"/>
          <w:rFonts w:ascii="Bookman Old Style" w:hAnsi="Bookman Old Style" w:cs="Arial"/>
        </w:rPr>
        <w:t>o</w:t>
      </w:r>
      <w:r w:rsidR="0000130C">
        <w:rPr>
          <w:rStyle w:val="normaltextrun"/>
          <w:rFonts w:ascii="Bookman Old Style" w:hAnsi="Bookman Old Style" w:cs="Arial"/>
        </w:rPr>
        <w:t>dific</w:t>
      </w:r>
      <w:r w:rsidRPr="00356F16">
        <w:rPr>
          <w:rStyle w:val="normaltextrun"/>
          <w:rFonts w:ascii="Bookman Old Style" w:hAnsi="Bookman Old Style" w:cs="Arial"/>
        </w:rPr>
        <w:t xml:space="preserve">ar la base de activos </w:t>
      </w:r>
      <w:r w:rsidR="006F570A">
        <w:rPr>
          <w:rStyle w:val="normaltextrun"/>
          <w:rFonts w:ascii="Bookman Old Style" w:hAnsi="Bookman Old Style" w:cs="Arial"/>
        </w:rPr>
        <w:t>de Transelca</w:t>
      </w:r>
      <w:r w:rsidRPr="00356F16">
        <w:rPr>
          <w:rStyle w:val="normaltextrun"/>
          <w:rFonts w:ascii="Bookman Old Style" w:hAnsi="Bookman Old Style" w:cs="Arial"/>
        </w:rPr>
        <w:t xml:space="preserve"> S.A. E.S.P. y expedir la presente resolución.</w:t>
      </w:r>
    </w:p>
    <w:p w14:paraId="0AA7370C" w14:textId="69E359F7" w:rsidR="009F7D54" w:rsidRPr="00325DBA" w:rsidRDefault="009F7D54" w:rsidP="00970AD5">
      <w:pPr>
        <w:keepNext/>
        <w:spacing w:before="480"/>
        <w:ind w:left="0"/>
        <w:jc w:val="center"/>
        <w:rPr>
          <w:rFonts w:ascii="Bookman Old Style" w:hAnsi="Bookman Old Style"/>
          <w:b/>
          <w:spacing w:val="80"/>
        </w:rPr>
      </w:pPr>
      <w:r w:rsidRPr="00325DBA">
        <w:rPr>
          <w:rFonts w:ascii="Bookman Old Style" w:hAnsi="Bookman Old Style"/>
          <w:b/>
          <w:spacing w:val="80"/>
        </w:rPr>
        <w:t>RESUELVE:</w:t>
      </w:r>
    </w:p>
    <w:p w14:paraId="2776D56D" w14:textId="7D6F8376" w:rsidR="007E3034" w:rsidRDefault="00AB1FAB" w:rsidP="007E3034">
      <w:pPr>
        <w:pStyle w:val="Estilo5"/>
        <w:keepNext w:val="0"/>
        <w:numPr>
          <w:ilvl w:val="0"/>
          <w:numId w:val="23"/>
        </w:numPr>
        <w:tabs>
          <w:tab w:val="left" w:pos="1560"/>
        </w:tabs>
        <w:spacing w:after="0"/>
        <w:ind w:left="0" w:right="142"/>
        <w:outlineLvl w:val="9"/>
        <w:rPr>
          <w:b w:val="0"/>
          <w:bCs/>
        </w:rPr>
      </w:pPr>
      <w:r w:rsidRPr="007E3034">
        <w:rPr>
          <w:b w:val="0"/>
          <w:bCs/>
        </w:rPr>
        <w:t xml:space="preserve">Modificar la base de activos </w:t>
      </w:r>
      <w:r w:rsidR="006F570A">
        <w:rPr>
          <w:b w:val="0"/>
          <w:bCs/>
        </w:rPr>
        <w:t>de Transelca</w:t>
      </w:r>
      <w:r w:rsidRPr="007E3034">
        <w:rPr>
          <w:b w:val="0"/>
          <w:bCs/>
        </w:rPr>
        <w:t xml:space="preserve"> S.A. E.S.P., aprobada en el artículo 3 de la Resolución CREG 1</w:t>
      </w:r>
      <w:r w:rsidR="0013177C">
        <w:rPr>
          <w:b w:val="0"/>
          <w:bCs/>
        </w:rPr>
        <w:t>07</w:t>
      </w:r>
      <w:r w:rsidRPr="007E3034">
        <w:rPr>
          <w:b w:val="0"/>
          <w:bCs/>
        </w:rPr>
        <w:t xml:space="preserve"> de 2010, adicionando los siguientes registros al numeral 1 </w:t>
      </w:r>
      <w:r w:rsidRPr="007E3034">
        <w:rPr>
          <w:b w:val="0"/>
          <w:bCs/>
          <w:i/>
          <w:iCs/>
        </w:rPr>
        <w:t>Subestaciones</w:t>
      </w:r>
      <w:r w:rsidRPr="007E3034">
        <w:rPr>
          <w:b w:val="0"/>
          <w:bCs/>
        </w:rPr>
        <w:t>:</w:t>
      </w:r>
    </w:p>
    <w:p w14:paraId="72620F80" w14:textId="77777777" w:rsidR="007E3034" w:rsidRPr="007E3034" w:rsidRDefault="007E3034" w:rsidP="007E3034"/>
    <w:tbl>
      <w:tblPr>
        <w:tblW w:w="6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70" w:type="dxa"/>
        </w:tblCellMar>
        <w:tblLook w:val="04A0" w:firstRow="1" w:lastRow="0" w:firstColumn="1" w:lastColumn="0" w:noHBand="0" w:noVBand="1"/>
      </w:tblPr>
      <w:tblGrid>
        <w:gridCol w:w="1041"/>
        <w:gridCol w:w="2835"/>
        <w:gridCol w:w="993"/>
        <w:gridCol w:w="1276"/>
      </w:tblGrid>
      <w:tr w:rsidR="007E3034" w:rsidRPr="007E3034" w14:paraId="263EFFF4" w14:textId="77777777" w:rsidTr="005F7EC4">
        <w:trPr>
          <w:trHeight w:val="326"/>
          <w:tblHeader/>
          <w:jc w:val="center"/>
        </w:trPr>
        <w:tc>
          <w:tcPr>
            <w:tcW w:w="1041" w:type="dxa"/>
            <w:vAlign w:val="center"/>
          </w:tcPr>
          <w:p w14:paraId="002F87CF" w14:textId="77777777" w:rsidR="007E3034" w:rsidRPr="00C97A3D" w:rsidRDefault="007E3034" w:rsidP="001208AF">
            <w:pPr>
              <w:keepNext/>
              <w:spacing w:before="40" w:after="40"/>
              <w:ind w:left="0"/>
              <w:jc w:val="center"/>
              <w:rPr>
                <w:rFonts w:ascii="Bookman Old Style" w:hAnsi="Bookman Old Style" w:cs="Arial"/>
                <w:b/>
                <w:bCs/>
                <w:i/>
                <w:color w:val="000000"/>
                <w:sz w:val="20"/>
                <w:szCs w:val="20"/>
              </w:rPr>
            </w:pPr>
            <w:r w:rsidRPr="00C97A3D">
              <w:rPr>
                <w:rFonts w:ascii="Bookman Old Style" w:hAnsi="Bookman Old Style" w:cs="Arial"/>
                <w:b/>
                <w:bCs/>
                <w:i/>
                <w:color w:val="000000"/>
                <w:sz w:val="20"/>
                <w:szCs w:val="20"/>
              </w:rPr>
              <w:t>No.</w:t>
            </w:r>
          </w:p>
        </w:tc>
        <w:tc>
          <w:tcPr>
            <w:tcW w:w="2835" w:type="dxa"/>
            <w:shd w:val="clear" w:color="auto" w:fill="auto"/>
            <w:noWrap/>
            <w:vAlign w:val="center"/>
            <w:hideMark/>
          </w:tcPr>
          <w:p w14:paraId="3A79B8E3" w14:textId="77777777" w:rsidR="007E3034" w:rsidRPr="00C97A3D" w:rsidRDefault="007E3034" w:rsidP="001208AF">
            <w:pPr>
              <w:keepNext/>
              <w:spacing w:before="40" w:after="40"/>
              <w:rPr>
                <w:rFonts w:ascii="Bookman Old Style" w:hAnsi="Bookman Old Style" w:cs="Arial"/>
                <w:b/>
                <w:bCs/>
                <w:i/>
                <w:color w:val="000000"/>
                <w:sz w:val="20"/>
                <w:szCs w:val="20"/>
              </w:rPr>
            </w:pPr>
            <w:r w:rsidRPr="00C97A3D">
              <w:rPr>
                <w:rFonts w:ascii="Bookman Old Style" w:hAnsi="Bookman Old Style" w:cs="Arial"/>
                <w:b/>
                <w:bCs/>
                <w:i/>
                <w:color w:val="000000"/>
                <w:sz w:val="20"/>
                <w:szCs w:val="20"/>
              </w:rPr>
              <w:t>Subestación</w:t>
            </w:r>
          </w:p>
        </w:tc>
        <w:tc>
          <w:tcPr>
            <w:tcW w:w="993" w:type="dxa"/>
            <w:shd w:val="clear" w:color="auto" w:fill="auto"/>
            <w:noWrap/>
            <w:vAlign w:val="center"/>
            <w:hideMark/>
          </w:tcPr>
          <w:p w14:paraId="6AB6A824" w14:textId="77777777" w:rsidR="007E3034" w:rsidRPr="00C97A3D" w:rsidRDefault="007E3034" w:rsidP="001208AF">
            <w:pPr>
              <w:keepNext/>
              <w:spacing w:before="40" w:after="40"/>
              <w:ind w:left="0"/>
              <w:jc w:val="center"/>
              <w:rPr>
                <w:rFonts w:ascii="Bookman Old Style" w:hAnsi="Bookman Old Style" w:cs="Arial"/>
                <w:b/>
                <w:bCs/>
                <w:i/>
                <w:color w:val="000000"/>
                <w:sz w:val="20"/>
                <w:szCs w:val="20"/>
              </w:rPr>
            </w:pPr>
            <w:r w:rsidRPr="00C97A3D">
              <w:rPr>
                <w:rFonts w:ascii="Bookman Old Style" w:hAnsi="Bookman Old Style" w:cs="Arial"/>
                <w:b/>
                <w:bCs/>
                <w:i/>
                <w:color w:val="000000"/>
                <w:sz w:val="20"/>
                <w:szCs w:val="20"/>
              </w:rPr>
              <w:t>UC</w:t>
            </w:r>
          </w:p>
        </w:tc>
        <w:tc>
          <w:tcPr>
            <w:tcW w:w="1276" w:type="dxa"/>
            <w:shd w:val="clear" w:color="auto" w:fill="auto"/>
            <w:noWrap/>
            <w:vAlign w:val="center"/>
            <w:hideMark/>
          </w:tcPr>
          <w:p w14:paraId="7C5D66D5" w14:textId="77777777" w:rsidR="007E3034" w:rsidRPr="00C97A3D" w:rsidRDefault="007E3034" w:rsidP="001208AF">
            <w:pPr>
              <w:keepNext/>
              <w:spacing w:before="40" w:after="40"/>
              <w:ind w:left="0"/>
              <w:jc w:val="center"/>
              <w:rPr>
                <w:rFonts w:ascii="Bookman Old Style" w:hAnsi="Bookman Old Style" w:cs="Arial"/>
                <w:b/>
                <w:bCs/>
                <w:i/>
                <w:color w:val="000000"/>
                <w:sz w:val="20"/>
                <w:szCs w:val="20"/>
              </w:rPr>
            </w:pPr>
            <w:r w:rsidRPr="00C97A3D">
              <w:rPr>
                <w:rFonts w:ascii="Bookman Old Style" w:hAnsi="Bookman Old Style" w:cs="Arial"/>
                <w:b/>
                <w:bCs/>
                <w:i/>
                <w:color w:val="000000"/>
                <w:sz w:val="20"/>
                <w:szCs w:val="20"/>
              </w:rPr>
              <w:t>PU</w:t>
            </w:r>
          </w:p>
        </w:tc>
      </w:tr>
      <w:tr w:rsidR="00C97A3D" w:rsidRPr="007E3034" w14:paraId="072CA6FF" w14:textId="77777777" w:rsidTr="00E937AA">
        <w:trPr>
          <w:trHeight w:val="283"/>
          <w:jc w:val="center"/>
        </w:trPr>
        <w:tc>
          <w:tcPr>
            <w:tcW w:w="1041" w:type="dxa"/>
            <w:vAlign w:val="bottom"/>
          </w:tcPr>
          <w:p w14:paraId="59EDEFCF" w14:textId="7C23177E" w:rsidR="00C97A3D" w:rsidRPr="00C97A3D" w:rsidRDefault="00C97A3D" w:rsidP="00C97A3D">
            <w:pPr>
              <w:spacing w:before="40" w:after="40"/>
              <w:ind w:left="-70" w:right="-71"/>
              <w:jc w:val="center"/>
              <w:rPr>
                <w:rFonts w:ascii="Bookman Old Style" w:hAnsi="Bookman Old Style" w:cs="Arial"/>
                <w:i/>
                <w:color w:val="000000"/>
                <w:sz w:val="20"/>
                <w:szCs w:val="20"/>
              </w:rPr>
            </w:pPr>
            <w:r w:rsidRPr="00C97A3D">
              <w:rPr>
                <w:rFonts w:ascii="Bookman Old Style" w:hAnsi="Bookman Old Style" w:cs="Calibri"/>
                <w:i/>
                <w:color w:val="000000"/>
                <w:sz w:val="20"/>
                <w:szCs w:val="20"/>
              </w:rPr>
              <w:t>151</w:t>
            </w:r>
          </w:p>
        </w:tc>
        <w:tc>
          <w:tcPr>
            <w:tcW w:w="2835" w:type="dxa"/>
            <w:shd w:val="clear" w:color="auto" w:fill="auto"/>
            <w:noWrap/>
          </w:tcPr>
          <w:p w14:paraId="1815AC92" w14:textId="3CC0D615" w:rsidR="00C97A3D" w:rsidRPr="00C97A3D" w:rsidRDefault="00C97A3D" w:rsidP="00C97A3D">
            <w:pPr>
              <w:spacing w:before="40" w:after="40"/>
              <w:ind w:left="0"/>
              <w:rPr>
                <w:rFonts w:ascii="Bookman Old Style" w:hAnsi="Bookman Old Style" w:cs="Arial"/>
                <w:i/>
                <w:color w:val="000000"/>
                <w:sz w:val="20"/>
                <w:szCs w:val="20"/>
              </w:rPr>
            </w:pPr>
            <w:r w:rsidRPr="00C97A3D">
              <w:rPr>
                <w:rFonts w:ascii="Bookman Old Style" w:hAnsi="Bookman Old Style" w:cs="Arial"/>
                <w:i/>
                <w:color w:val="000000"/>
                <w:sz w:val="20"/>
                <w:szCs w:val="20"/>
              </w:rPr>
              <w:t>Santa Marta</w:t>
            </w:r>
          </w:p>
        </w:tc>
        <w:tc>
          <w:tcPr>
            <w:tcW w:w="993" w:type="dxa"/>
            <w:shd w:val="clear" w:color="auto" w:fill="auto"/>
            <w:noWrap/>
            <w:vAlign w:val="bottom"/>
          </w:tcPr>
          <w:p w14:paraId="128A24C0" w14:textId="27321CBB" w:rsidR="00C97A3D" w:rsidRPr="00C97A3D" w:rsidRDefault="00C97A3D" w:rsidP="00C97A3D">
            <w:pPr>
              <w:spacing w:before="40" w:after="40"/>
              <w:ind w:left="-66" w:right="-66"/>
              <w:jc w:val="center"/>
              <w:rPr>
                <w:rFonts w:ascii="Bookman Old Style" w:hAnsi="Bookman Old Style" w:cs="Arial"/>
                <w:i/>
                <w:color w:val="000000"/>
                <w:sz w:val="20"/>
                <w:szCs w:val="20"/>
              </w:rPr>
            </w:pPr>
            <w:r w:rsidRPr="00C97A3D">
              <w:rPr>
                <w:rFonts w:ascii="Bookman Old Style" w:hAnsi="Bookman Old Style" w:cs="Calibri"/>
                <w:i/>
                <w:sz w:val="20"/>
                <w:szCs w:val="20"/>
              </w:rPr>
              <w:t>CP211</w:t>
            </w:r>
          </w:p>
        </w:tc>
        <w:tc>
          <w:tcPr>
            <w:tcW w:w="1276" w:type="dxa"/>
            <w:shd w:val="clear" w:color="auto" w:fill="auto"/>
            <w:noWrap/>
            <w:vAlign w:val="bottom"/>
          </w:tcPr>
          <w:p w14:paraId="58B086B5" w14:textId="31C2CC61" w:rsidR="00C97A3D" w:rsidRPr="00C97A3D" w:rsidRDefault="00C97A3D" w:rsidP="00C97A3D">
            <w:pPr>
              <w:spacing w:before="40" w:after="40"/>
              <w:ind w:left="-64"/>
              <w:jc w:val="center"/>
              <w:rPr>
                <w:rFonts w:ascii="Bookman Old Style" w:hAnsi="Bookman Old Style" w:cs="Arial"/>
                <w:i/>
                <w:color w:val="000000"/>
                <w:sz w:val="20"/>
                <w:szCs w:val="20"/>
              </w:rPr>
            </w:pPr>
            <w:r w:rsidRPr="00C97A3D">
              <w:rPr>
                <w:rFonts w:ascii="Bookman Old Style" w:hAnsi="Bookman Old Style" w:cs="Calibri"/>
                <w:i/>
                <w:sz w:val="20"/>
                <w:szCs w:val="20"/>
              </w:rPr>
              <w:t>1,00000</w:t>
            </w:r>
          </w:p>
        </w:tc>
      </w:tr>
      <w:tr w:rsidR="00C97A3D" w:rsidRPr="007E3034" w14:paraId="4A217375" w14:textId="77777777" w:rsidTr="002F3EDD">
        <w:trPr>
          <w:trHeight w:val="283"/>
          <w:jc w:val="center"/>
        </w:trPr>
        <w:tc>
          <w:tcPr>
            <w:tcW w:w="1041" w:type="dxa"/>
            <w:vAlign w:val="bottom"/>
          </w:tcPr>
          <w:p w14:paraId="099C2578" w14:textId="694946F0" w:rsidR="00C97A3D" w:rsidRPr="00C97A3D" w:rsidRDefault="00C97A3D" w:rsidP="00C97A3D">
            <w:pPr>
              <w:spacing w:before="40" w:after="40"/>
              <w:ind w:left="-70" w:right="-71"/>
              <w:jc w:val="center"/>
              <w:rPr>
                <w:rFonts w:ascii="Bookman Old Style" w:hAnsi="Bookman Old Style" w:cs="Arial"/>
                <w:i/>
                <w:color w:val="000000"/>
                <w:sz w:val="20"/>
                <w:szCs w:val="20"/>
              </w:rPr>
            </w:pPr>
            <w:r w:rsidRPr="00C97A3D">
              <w:rPr>
                <w:rFonts w:ascii="Bookman Old Style" w:hAnsi="Bookman Old Style" w:cs="Calibri"/>
                <w:i/>
                <w:color w:val="000000"/>
                <w:sz w:val="20"/>
                <w:szCs w:val="20"/>
              </w:rPr>
              <w:t>152</w:t>
            </w:r>
          </w:p>
        </w:tc>
        <w:tc>
          <w:tcPr>
            <w:tcW w:w="2835" w:type="dxa"/>
            <w:shd w:val="clear" w:color="auto" w:fill="auto"/>
            <w:noWrap/>
          </w:tcPr>
          <w:p w14:paraId="46563486" w14:textId="77777777" w:rsidR="00C97A3D" w:rsidRPr="00C97A3D" w:rsidRDefault="00C97A3D" w:rsidP="00C97A3D">
            <w:pPr>
              <w:spacing w:before="40" w:after="40"/>
              <w:ind w:left="0"/>
              <w:rPr>
                <w:rFonts w:ascii="Bookman Old Style" w:hAnsi="Bookman Old Style" w:cs="Arial"/>
                <w:i/>
                <w:sz w:val="20"/>
                <w:szCs w:val="20"/>
              </w:rPr>
            </w:pPr>
            <w:r w:rsidRPr="00C97A3D">
              <w:rPr>
                <w:rFonts w:ascii="Bookman Old Style" w:hAnsi="Bookman Old Style" w:cs="Arial"/>
                <w:i/>
                <w:color w:val="000000"/>
                <w:sz w:val="20"/>
                <w:szCs w:val="20"/>
              </w:rPr>
              <w:t>Santa Marta</w:t>
            </w:r>
          </w:p>
        </w:tc>
        <w:tc>
          <w:tcPr>
            <w:tcW w:w="993" w:type="dxa"/>
            <w:shd w:val="clear" w:color="auto" w:fill="auto"/>
            <w:noWrap/>
            <w:vAlign w:val="bottom"/>
          </w:tcPr>
          <w:p w14:paraId="7429E0E7" w14:textId="65B6F66E" w:rsidR="00C97A3D" w:rsidRPr="00C97A3D" w:rsidRDefault="00C97A3D" w:rsidP="00C97A3D">
            <w:pPr>
              <w:spacing w:before="40" w:after="40"/>
              <w:ind w:left="-66" w:right="-66"/>
              <w:jc w:val="center"/>
              <w:rPr>
                <w:rFonts w:ascii="Bookman Old Style" w:hAnsi="Bookman Old Style" w:cs="Arial"/>
                <w:i/>
                <w:color w:val="000000"/>
                <w:sz w:val="20"/>
                <w:szCs w:val="20"/>
              </w:rPr>
            </w:pPr>
            <w:r w:rsidRPr="00C97A3D">
              <w:rPr>
                <w:rFonts w:ascii="Bookman Old Style" w:hAnsi="Bookman Old Style" w:cs="Calibri"/>
                <w:i/>
                <w:sz w:val="20"/>
                <w:szCs w:val="20"/>
              </w:rPr>
              <w:t>CP211</w:t>
            </w:r>
          </w:p>
        </w:tc>
        <w:tc>
          <w:tcPr>
            <w:tcW w:w="1276" w:type="dxa"/>
            <w:shd w:val="clear" w:color="auto" w:fill="auto"/>
            <w:noWrap/>
            <w:vAlign w:val="bottom"/>
          </w:tcPr>
          <w:p w14:paraId="05A5F129" w14:textId="3718C602" w:rsidR="00C97A3D" w:rsidRPr="00C97A3D" w:rsidRDefault="00C97A3D" w:rsidP="00C97A3D">
            <w:pPr>
              <w:spacing w:before="40" w:after="40"/>
              <w:ind w:left="-64"/>
              <w:jc w:val="center"/>
              <w:rPr>
                <w:rFonts w:ascii="Bookman Old Style" w:hAnsi="Bookman Old Style" w:cs="Arial"/>
                <w:i/>
                <w:color w:val="000000"/>
                <w:sz w:val="20"/>
                <w:szCs w:val="20"/>
              </w:rPr>
            </w:pPr>
            <w:r w:rsidRPr="00C97A3D">
              <w:rPr>
                <w:rFonts w:ascii="Bookman Old Style" w:hAnsi="Bookman Old Style" w:cs="Calibri"/>
                <w:i/>
                <w:sz w:val="20"/>
                <w:szCs w:val="20"/>
              </w:rPr>
              <w:t>1,00000</w:t>
            </w:r>
          </w:p>
        </w:tc>
      </w:tr>
      <w:tr w:rsidR="00C97A3D" w:rsidRPr="007E3034" w14:paraId="378B9B89" w14:textId="77777777" w:rsidTr="002F3EDD">
        <w:trPr>
          <w:trHeight w:val="283"/>
          <w:jc w:val="center"/>
        </w:trPr>
        <w:tc>
          <w:tcPr>
            <w:tcW w:w="1041" w:type="dxa"/>
            <w:vAlign w:val="bottom"/>
          </w:tcPr>
          <w:p w14:paraId="005726E0" w14:textId="3B33634B" w:rsidR="00C97A3D" w:rsidRPr="00C97A3D" w:rsidRDefault="00C97A3D" w:rsidP="00C97A3D">
            <w:pPr>
              <w:spacing w:before="40" w:after="40"/>
              <w:ind w:left="-70" w:right="-71"/>
              <w:jc w:val="center"/>
              <w:rPr>
                <w:rFonts w:ascii="Bookman Old Style" w:hAnsi="Bookman Old Style" w:cs="Arial"/>
                <w:i/>
                <w:color w:val="000000"/>
                <w:sz w:val="20"/>
                <w:szCs w:val="20"/>
              </w:rPr>
            </w:pPr>
            <w:r w:rsidRPr="00C97A3D">
              <w:rPr>
                <w:rFonts w:ascii="Bookman Old Style" w:hAnsi="Bookman Old Style" w:cs="Calibri"/>
                <w:i/>
                <w:color w:val="000000"/>
                <w:sz w:val="20"/>
                <w:szCs w:val="20"/>
              </w:rPr>
              <w:t>153</w:t>
            </w:r>
          </w:p>
        </w:tc>
        <w:tc>
          <w:tcPr>
            <w:tcW w:w="2835" w:type="dxa"/>
            <w:shd w:val="clear" w:color="auto" w:fill="auto"/>
            <w:noWrap/>
          </w:tcPr>
          <w:p w14:paraId="2A7B0AE9" w14:textId="77777777" w:rsidR="00C97A3D" w:rsidRPr="00C97A3D" w:rsidRDefault="00C97A3D" w:rsidP="00C97A3D">
            <w:pPr>
              <w:spacing w:before="40" w:after="40"/>
              <w:ind w:left="0"/>
              <w:rPr>
                <w:rFonts w:ascii="Bookman Old Style" w:hAnsi="Bookman Old Style" w:cs="Arial"/>
                <w:i/>
                <w:sz w:val="20"/>
                <w:szCs w:val="20"/>
              </w:rPr>
            </w:pPr>
            <w:r w:rsidRPr="00C97A3D">
              <w:rPr>
                <w:rFonts w:ascii="Bookman Old Style" w:hAnsi="Bookman Old Style" w:cs="Arial"/>
                <w:i/>
                <w:color w:val="000000"/>
                <w:sz w:val="20"/>
                <w:szCs w:val="20"/>
              </w:rPr>
              <w:t>Santa Marta</w:t>
            </w:r>
          </w:p>
        </w:tc>
        <w:tc>
          <w:tcPr>
            <w:tcW w:w="993" w:type="dxa"/>
            <w:shd w:val="clear" w:color="auto" w:fill="auto"/>
            <w:noWrap/>
            <w:vAlign w:val="bottom"/>
          </w:tcPr>
          <w:p w14:paraId="4D5E5494" w14:textId="4C7111B8" w:rsidR="00C97A3D" w:rsidRPr="00C97A3D" w:rsidRDefault="00C97A3D" w:rsidP="00C97A3D">
            <w:pPr>
              <w:spacing w:before="40" w:after="40"/>
              <w:ind w:left="-66" w:right="-66"/>
              <w:jc w:val="center"/>
              <w:rPr>
                <w:rFonts w:ascii="Bookman Old Style" w:hAnsi="Bookman Old Style" w:cs="Arial"/>
                <w:i/>
                <w:color w:val="000000"/>
                <w:sz w:val="20"/>
                <w:szCs w:val="20"/>
              </w:rPr>
            </w:pPr>
            <w:r w:rsidRPr="00C97A3D">
              <w:rPr>
                <w:rFonts w:ascii="Bookman Old Style" w:hAnsi="Bookman Old Style" w:cs="Calibri"/>
                <w:i/>
                <w:sz w:val="20"/>
                <w:szCs w:val="20"/>
              </w:rPr>
              <w:t>CP211</w:t>
            </w:r>
          </w:p>
        </w:tc>
        <w:tc>
          <w:tcPr>
            <w:tcW w:w="1276" w:type="dxa"/>
            <w:shd w:val="clear" w:color="auto" w:fill="auto"/>
            <w:noWrap/>
            <w:vAlign w:val="bottom"/>
          </w:tcPr>
          <w:p w14:paraId="36DF8204" w14:textId="28C19544" w:rsidR="00C97A3D" w:rsidRPr="00C97A3D" w:rsidRDefault="00C97A3D" w:rsidP="00C97A3D">
            <w:pPr>
              <w:spacing w:before="40" w:after="40"/>
              <w:ind w:left="-64"/>
              <w:jc w:val="center"/>
              <w:rPr>
                <w:rFonts w:ascii="Bookman Old Style" w:hAnsi="Bookman Old Style" w:cs="Arial"/>
                <w:i/>
                <w:color w:val="000000"/>
                <w:sz w:val="20"/>
                <w:szCs w:val="20"/>
              </w:rPr>
            </w:pPr>
            <w:r w:rsidRPr="00C97A3D">
              <w:rPr>
                <w:rFonts w:ascii="Bookman Old Style" w:hAnsi="Bookman Old Style" w:cs="Calibri"/>
                <w:i/>
                <w:sz w:val="20"/>
                <w:szCs w:val="20"/>
              </w:rPr>
              <w:t>1,00000</w:t>
            </w:r>
          </w:p>
        </w:tc>
      </w:tr>
      <w:tr w:rsidR="00C97A3D" w:rsidRPr="007E3034" w14:paraId="687F00BF" w14:textId="77777777" w:rsidTr="002F3EDD">
        <w:trPr>
          <w:trHeight w:val="283"/>
          <w:jc w:val="center"/>
        </w:trPr>
        <w:tc>
          <w:tcPr>
            <w:tcW w:w="1041" w:type="dxa"/>
            <w:vAlign w:val="bottom"/>
          </w:tcPr>
          <w:p w14:paraId="080C7693" w14:textId="3D75029F" w:rsidR="00C97A3D" w:rsidRPr="00C97A3D" w:rsidRDefault="00C97A3D" w:rsidP="00C97A3D">
            <w:pPr>
              <w:spacing w:before="40" w:after="40"/>
              <w:ind w:left="-70" w:right="-71"/>
              <w:jc w:val="center"/>
              <w:rPr>
                <w:rFonts w:ascii="Bookman Old Style" w:hAnsi="Bookman Old Style" w:cs="Arial"/>
                <w:i/>
                <w:color w:val="000000"/>
                <w:sz w:val="20"/>
                <w:szCs w:val="20"/>
              </w:rPr>
            </w:pPr>
            <w:r w:rsidRPr="00C97A3D">
              <w:rPr>
                <w:rFonts w:ascii="Bookman Old Style" w:hAnsi="Bookman Old Style" w:cs="Calibri"/>
                <w:i/>
                <w:color w:val="000000"/>
                <w:sz w:val="20"/>
                <w:szCs w:val="20"/>
              </w:rPr>
              <w:t>154</w:t>
            </w:r>
          </w:p>
        </w:tc>
        <w:tc>
          <w:tcPr>
            <w:tcW w:w="2835" w:type="dxa"/>
            <w:shd w:val="clear" w:color="auto" w:fill="auto"/>
            <w:noWrap/>
          </w:tcPr>
          <w:p w14:paraId="612D876B" w14:textId="77777777" w:rsidR="00C97A3D" w:rsidRPr="00C97A3D" w:rsidRDefault="00C97A3D" w:rsidP="00C97A3D">
            <w:pPr>
              <w:spacing w:before="40" w:after="40"/>
              <w:ind w:left="0"/>
              <w:rPr>
                <w:rFonts w:ascii="Bookman Old Style" w:hAnsi="Bookman Old Style" w:cs="Arial"/>
                <w:i/>
                <w:sz w:val="20"/>
                <w:szCs w:val="20"/>
              </w:rPr>
            </w:pPr>
            <w:r w:rsidRPr="00C97A3D">
              <w:rPr>
                <w:rFonts w:ascii="Bookman Old Style" w:hAnsi="Bookman Old Style" w:cs="Arial"/>
                <w:i/>
                <w:color w:val="000000"/>
                <w:sz w:val="20"/>
                <w:szCs w:val="20"/>
              </w:rPr>
              <w:t>Santa Marta</w:t>
            </w:r>
          </w:p>
        </w:tc>
        <w:tc>
          <w:tcPr>
            <w:tcW w:w="993" w:type="dxa"/>
            <w:shd w:val="clear" w:color="auto" w:fill="auto"/>
            <w:noWrap/>
            <w:vAlign w:val="bottom"/>
          </w:tcPr>
          <w:p w14:paraId="2AB0FF8B" w14:textId="258807E1" w:rsidR="00C97A3D" w:rsidRPr="00C97A3D" w:rsidRDefault="00C97A3D" w:rsidP="00C97A3D">
            <w:pPr>
              <w:spacing w:before="40" w:after="40"/>
              <w:ind w:left="-66" w:right="-66"/>
              <w:jc w:val="center"/>
              <w:rPr>
                <w:rFonts w:ascii="Bookman Old Style" w:hAnsi="Bookman Old Style" w:cs="Arial"/>
                <w:i/>
                <w:color w:val="000000"/>
                <w:sz w:val="20"/>
                <w:szCs w:val="20"/>
              </w:rPr>
            </w:pPr>
            <w:r w:rsidRPr="00C97A3D">
              <w:rPr>
                <w:rFonts w:ascii="Bookman Old Style" w:hAnsi="Bookman Old Style" w:cs="Calibri"/>
                <w:i/>
                <w:sz w:val="20"/>
                <w:szCs w:val="20"/>
              </w:rPr>
              <w:t>CP211</w:t>
            </w:r>
          </w:p>
        </w:tc>
        <w:tc>
          <w:tcPr>
            <w:tcW w:w="1276" w:type="dxa"/>
            <w:shd w:val="clear" w:color="auto" w:fill="auto"/>
            <w:noWrap/>
            <w:vAlign w:val="bottom"/>
          </w:tcPr>
          <w:p w14:paraId="63485202" w14:textId="6EA302B9" w:rsidR="00C97A3D" w:rsidRPr="00C97A3D" w:rsidRDefault="00C97A3D" w:rsidP="00C97A3D">
            <w:pPr>
              <w:spacing w:before="40" w:after="40"/>
              <w:ind w:left="-64"/>
              <w:jc w:val="center"/>
              <w:rPr>
                <w:rFonts w:ascii="Bookman Old Style" w:hAnsi="Bookman Old Style" w:cs="Arial"/>
                <w:i/>
                <w:color w:val="000000"/>
                <w:sz w:val="20"/>
                <w:szCs w:val="20"/>
              </w:rPr>
            </w:pPr>
            <w:r w:rsidRPr="00C97A3D">
              <w:rPr>
                <w:rFonts w:ascii="Bookman Old Style" w:hAnsi="Bookman Old Style" w:cs="Calibri"/>
                <w:i/>
                <w:sz w:val="20"/>
                <w:szCs w:val="20"/>
              </w:rPr>
              <w:t>1,00000</w:t>
            </w:r>
          </w:p>
        </w:tc>
      </w:tr>
      <w:tr w:rsidR="00C97A3D" w:rsidRPr="007E3034" w14:paraId="2BAAE4CC" w14:textId="77777777" w:rsidTr="002F3EDD">
        <w:trPr>
          <w:trHeight w:val="283"/>
          <w:jc w:val="center"/>
        </w:trPr>
        <w:tc>
          <w:tcPr>
            <w:tcW w:w="1041" w:type="dxa"/>
            <w:vAlign w:val="bottom"/>
          </w:tcPr>
          <w:p w14:paraId="6B4CA069" w14:textId="4CF26773" w:rsidR="00C97A3D" w:rsidRPr="00C97A3D" w:rsidRDefault="00C97A3D" w:rsidP="00C97A3D">
            <w:pPr>
              <w:spacing w:before="40" w:after="40"/>
              <w:ind w:left="-70" w:right="-71"/>
              <w:jc w:val="center"/>
              <w:rPr>
                <w:rFonts w:ascii="Bookman Old Style" w:hAnsi="Bookman Old Style" w:cs="Arial"/>
                <w:i/>
                <w:color w:val="000000"/>
                <w:sz w:val="20"/>
                <w:szCs w:val="20"/>
              </w:rPr>
            </w:pPr>
            <w:r w:rsidRPr="00C97A3D">
              <w:rPr>
                <w:rFonts w:ascii="Bookman Old Style" w:hAnsi="Bookman Old Style" w:cs="Calibri"/>
                <w:i/>
                <w:color w:val="000000"/>
                <w:sz w:val="20"/>
                <w:szCs w:val="20"/>
              </w:rPr>
              <w:t>155</w:t>
            </w:r>
          </w:p>
        </w:tc>
        <w:tc>
          <w:tcPr>
            <w:tcW w:w="2835" w:type="dxa"/>
            <w:shd w:val="clear" w:color="auto" w:fill="auto"/>
            <w:noWrap/>
          </w:tcPr>
          <w:p w14:paraId="75B2D41A" w14:textId="77777777" w:rsidR="00C97A3D" w:rsidRPr="00C97A3D" w:rsidRDefault="00C97A3D" w:rsidP="00C97A3D">
            <w:pPr>
              <w:spacing w:before="40" w:after="40"/>
              <w:ind w:left="0"/>
              <w:rPr>
                <w:rFonts w:ascii="Bookman Old Style" w:hAnsi="Bookman Old Style" w:cs="Arial"/>
                <w:i/>
                <w:sz w:val="20"/>
                <w:szCs w:val="20"/>
              </w:rPr>
            </w:pPr>
            <w:r w:rsidRPr="00C97A3D">
              <w:rPr>
                <w:rFonts w:ascii="Bookman Old Style" w:hAnsi="Bookman Old Style" w:cs="Arial"/>
                <w:i/>
                <w:color w:val="000000"/>
                <w:sz w:val="20"/>
                <w:szCs w:val="20"/>
              </w:rPr>
              <w:t>Santa Marta</w:t>
            </w:r>
          </w:p>
        </w:tc>
        <w:tc>
          <w:tcPr>
            <w:tcW w:w="993" w:type="dxa"/>
            <w:shd w:val="clear" w:color="auto" w:fill="auto"/>
            <w:noWrap/>
            <w:vAlign w:val="bottom"/>
          </w:tcPr>
          <w:p w14:paraId="687FE24D" w14:textId="7EAC780D" w:rsidR="00C97A3D" w:rsidRPr="00C97A3D" w:rsidRDefault="00C97A3D" w:rsidP="00C97A3D">
            <w:pPr>
              <w:spacing w:before="40" w:after="40"/>
              <w:ind w:left="-66" w:right="-66"/>
              <w:jc w:val="center"/>
              <w:rPr>
                <w:rFonts w:ascii="Bookman Old Style" w:hAnsi="Bookman Old Style" w:cs="Arial"/>
                <w:i/>
                <w:color w:val="000000"/>
                <w:sz w:val="20"/>
                <w:szCs w:val="20"/>
              </w:rPr>
            </w:pPr>
            <w:r w:rsidRPr="00C97A3D">
              <w:rPr>
                <w:rFonts w:ascii="Bookman Old Style" w:hAnsi="Bookman Old Style" w:cs="Calibri"/>
                <w:i/>
                <w:sz w:val="20"/>
                <w:szCs w:val="20"/>
              </w:rPr>
              <w:t>CP211</w:t>
            </w:r>
          </w:p>
        </w:tc>
        <w:tc>
          <w:tcPr>
            <w:tcW w:w="1276" w:type="dxa"/>
            <w:shd w:val="clear" w:color="auto" w:fill="auto"/>
            <w:noWrap/>
            <w:vAlign w:val="bottom"/>
          </w:tcPr>
          <w:p w14:paraId="0D19A3BB" w14:textId="39868CE0" w:rsidR="00C97A3D" w:rsidRPr="00C97A3D" w:rsidRDefault="00C97A3D" w:rsidP="00C97A3D">
            <w:pPr>
              <w:spacing w:before="40" w:after="40"/>
              <w:ind w:left="-64"/>
              <w:jc w:val="center"/>
              <w:rPr>
                <w:rFonts w:ascii="Bookman Old Style" w:hAnsi="Bookman Old Style" w:cs="Arial"/>
                <w:i/>
                <w:color w:val="000000"/>
                <w:sz w:val="20"/>
                <w:szCs w:val="20"/>
              </w:rPr>
            </w:pPr>
            <w:r w:rsidRPr="00C97A3D">
              <w:rPr>
                <w:rFonts w:ascii="Bookman Old Style" w:hAnsi="Bookman Old Style" w:cs="Calibri"/>
                <w:i/>
                <w:sz w:val="20"/>
                <w:szCs w:val="20"/>
              </w:rPr>
              <w:t>1,00000</w:t>
            </w:r>
          </w:p>
        </w:tc>
      </w:tr>
      <w:tr w:rsidR="00C97A3D" w:rsidRPr="007E3034" w14:paraId="0AE4A57A" w14:textId="77777777" w:rsidTr="002F3EDD">
        <w:trPr>
          <w:trHeight w:val="283"/>
          <w:jc w:val="center"/>
        </w:trPr>
        <w:tc>
          <w:tcPr>
            <w:tcW w:w="1041" w:type="dxa"/>
            <w:vAlign w:val="bottom"/>
          </w:tcPr>
          <w:p w14:paraId="570F44ED" w14:textId="0A7790E1" w:rsidR="00C97A3D" w:rsidRPr="00C97A3D" w:rsidRDefault="00C97A3D" w:rsidP="00C97A3D">
            <w:pPr>
              <w:spacing w:before="40" w:after="40"/>
              <w:ind w:left="-70" w:right="-71"/>
              <w:jc w:val="center"/>
              <w:rPr>
                <w:rFonts w:ascii="Bookman Old Style" w:hAnsi="Bookman Old Style" w:cs="Arial"/>
                <w:i/>
                <w:color w:val="000000"/>
                <w:sz w:val="20"/>
                <w:szCs w:val="20"/>
              </w:rPr>
            </w:pPr>
            <w:r w:rsidRPr="00C97A3D">
              <w:rPr>
                <w:rFonts w:ascii="Bookman Old Style" w:hAnsi="Bookman Old Style" w:cs="Calibri"/>
                <w:i/>
                <w:color w:val="000000"/>
                <w:sz w:val="20"/>
                <w:szCs w:val="20"/>
              </w:rPr>
              <w:t>156</w:t>
            </w:r>
          </w:p>
        </w:tc>
        <w:tc>
          <w:tcPr>
            <w:tcW w:w="2835" w:type="dxa"/>
            <w:shd w:val="clear" w:color="auto" w:fill="auto"/>
            <w:noWrap/>
          </w:tcPr>
          <w:p w14:paraId="7FD40C17" w14:textId="0AB5BBB3" w:rsidR="00C97A3D" w:rsidRPr="00C97A3D" w:rsidRDefault="00C97A3D" w:rsidP="00C97A3D">
            <w:pPr>
              <w:spacing w:before="40" w:after="40"/>
              <w:ind w:left="0"/>
              <w:rPr>
                <w:rFonts w:ascii="Bookman Old Style" w:hAnsi="Bookman Old Style" w:cs="Arial"/>
                <w:i/>
                <w:sz w:val="20"/>
                <w:szCs w:val="20"/>
              </w:rPr>
            </w:pPr>
            <w:r w:rsidRPr="00C97A3D">
              <w:rPr>
                <w:rFonts w:ascii="Bookman Old Style" w:hAnsi="Bookman Old Style" w:cs="Arial"/>
                <w:i/>
                <w:color w:val="000000"/>
                <w:sz w:val="20"/>
                <w:szCs w:val="20"/>
              </w:rPr>
              <w:t>Santa Marta</w:t>
            </w:r>
          </w:p>
        </w:tc>
        <w:tc>
          <w:tcPr>
            <w:tcW w:w="993" w:type="dxa"/>
            <w:shd w:val="clear" w:color="auto" w:fill="auto"/>
            <w:noWrap/>
            <w:vAlign w:val="bottom"/>
          </w:tcPr>
          <w:p w14:paraId="04E0BFF3" w14:textId="79D7347B" w:rsidR="00C97A3D" w:rsidRPr="00C97A3D" w:rsidRDefault="00C97A3D" w:rsidP="00C97A3D">
            <w:pPr>
              <w:spacing w:before="40" w:after="40"/>
              <w:ind w:left="-66" w:right="-66"/>
              <w:jc w:val="center"/>
              <w:rPr>
                <w:rFonts w:ascii="Bookman Old Style" w:hAnsi="Bookman Old Style" w:cs="Arial"/>
                <w:i/>
                <w:color w:val="000000"/>
                <w:sz w:val="20"/>
                <w:szCs w:val="20"/>
              </w:rPr>
            </w:pPr>
            <w:r w:rsidRPr="00C97A3D">
              <w:rPr>
                <w:rFonts w:ascii="Bookman Old Style" w:hAnsi="Bookman Old Style" w:cs="Calibri"/>
                <w:i/>
                <w:sz w:val="20"/>
                <w:szCs w:val="20"/>
              </w:rPr>
              <w:t>CP211</w:t>
            </w:r>
          </w:p>
        </w:tc>
        <w:tc>
          <w:tcPr>
            <w:tcW w:w="1276" w:type="dxa"/>
            <w:shd w:val="clear" w:color="auto" w:fill="auto"/>
            <w:noWrap/>
            <w:vAlign w:val="bottom"/>
          </w:tcPr>
          <w:p w14:paraId="3D308ED7" w14:textId="50053AFC" w:rsidR="00C97A3D" w:rsidRPr="00C97A3D" w:rsidRDefault="00C97A3D" w:rsidP="00C97A3D">
            <w:pPr>
              <w:spacing w:before="40" w:after="40"/>
              <w:ind w:left="-64"/>
              <w:jc w:val="center"/>
              <w:rPr>
                <w:rFonts w:ascii="Bookman Old Style" w:hAnsi="Bookman Old Style" w:cs="Arial"/>
                <w:i/>
                <w:color w:val="000000"/>
                <w:sz w:val="20"/>
                <w:szCs w:val="20"/>
              </w:rPr>
            </w:pPr>
            <w:r w:rsidRPr="00C97A3D">
              <w:rPr>
                <w:rFonts w:ascii="Bookman Old Style" w:hAnsi="Bookman Old Style" w:cs="Calibri"/>
                <w:i/>
                <w:sz w:val="20"/>
                <w:szCs w:val="20"/>
              </w:rPr>
              <w:t>1,00000</w:t>
            </w:r>
          </w:p>
        </w:tc>
      </w:tr>
      <w:tr w:rsidR="00C97A3D" w:rsidRPr="007E3034" w14:paraId="2367964B" w14:textId="77777777" w:rsidTr="002F3EDD">
        <w:trPr>
          <w:trHeight w:val="283"/>
          <w:jc w:val="center"/>
        </w:trPr>
        <w:tc>
          <w:tcPr>
            <w:tcW w:w="1041" w:type="dxa"/>
            <w:vAlign w:val="bottom"/>
          </w:tcPr>
          <w:p w14:paraId="00ACE4DC" w14:textId="27FDC302" w:rsidR="00C97A3D" w:rsidRPr="00C97A3D" w:rsidRDefault="00C97A3D" w:rsidP="00C97A3D">
            <w:pPr>
              <w:spacing w:before="40" w:after="40"/>
              <w:ind w:left="-70" w:right="-71"/>
              <w:jc w:val="center"/>
              <w:rPr>
                <w:rFonts w:ascii="Bookman Old Style" w:hAnsi="Bookman Old Style" w:cs="Arial"/>
                <w:i/>
                <w:color w:val="000000"/>
                <w:sz w:val="20"/>
                <w:szCs w:val="20"/>
              </w:rPr>
            </w:pPr>
            <w:r w:rsidRPr="00C97A3D">
              <w:rPr>
                <w:rFonts w:ascii="Bookman Old Style" w:hAnsi="Bookman Old Style" w:cs="Calibri"/>
                <w:i/>
                <w:color w:val="000000"/>
                <w:sz w:val="20"/>
                <w:szCs w:val="20"/>
              </w:rPr>
              <w:t>157</w:t>
            </w:r>
          </w:p>
        </w:tc>
        <w:tc>
          <w:tcPr>
            <w:tcW w:w="2835" w:type="dxa"/>
            <w:shd w:val="clear" w:color="auto" w:fill="auto"/>
            <w:noWrap/>
          </w:tcPr>
          <w:p w14:paraId="03D46D7E" w14:textId="78EE88AE" w:rsidR="00C97A3D" w:rsidRPr="00C97A3D" w:rsidRDefault="00C97A3D" w:rsidP="00C97A3D">
            <w:pPr>
              <w:spacing w:before="40" w:after="40"/>
              <w:ind w:left="0"/>
              <w:rPr>
                <w:rFonts w:ascii="Bookman Old Style" w:hAnsi="Bookman Old Style" w:cs="Arial"/>
                <w:i/>
                <w:sz w:val="20"/>
                <w:szCs w:val="20"/>
              </w:rPr>
            </w:pPr>
            <w:r w:rsidRPr="00C97A3D">
              <w:rPr>
                <w:rFonts w:ascii="Bookman Old Style" w:hAnsi="Bookman Old Style" w:cs="Arial"/>
                <w:i/>
                <w:color w:val="000000"/>
                <w:sz w:val="20"/>
                <w:szCs w:val="20"/>
              </w:rPr>
              <w:t>Santa Marta</w:t>
            </w:r>
          </w:p>
        </w:tc>
        <w:tc>
          <w:tcPr>
            <w:tcW w:w="993" w:type="dxa"/>
            <w:shd w:val="clear" w:color="auto" w:fill="auto"/>
            <w:noWrap/>
            <w:vAlign w:val="bottom"/>
          </w:tcPr>
          <w:p w14:paraId="07793CA4" w14:textId="73B4A964" w:rsidR="00C97A3D" w:rsidRPr="00C97A3D" w:rsidRDefault="00C97A3D" w:rsidP="00C97A3D">
            <w:pPr>
              <w:spacing w:before="40" w:after="40"/>
              <w:ind w:left="-66" w:right="-66"/>
              <w:jc w:val="center"/>
              <w:rPr>
                <w:rFonts w:ascii="Bookman Old Style" w:hAnsi="Bookman Old Style" w:cs="Arial"/>
                <w:i/>
                <w:color w:val="000000"/>
                <w:sz w:val="20"/>
                <w:szCs w:val="20"/>
              </w:rPr>
            </w:pPr>
            <w:r w:rsidRPr="00C97A3D">
              <w:rPr>
                <w:rFonts w:ascii="Bookman Old Style" w:hAnsi="Bookman Old Style" w:cs="Calibri"/>
                <w:i/>
                <w:sz w:val="20"/>
                <w:szCs w:val="20"/>
              </w:rPr>
              <w:t>CP211</w:t>
            </w:r>
          </w:p>
        </w:tc>
        <w:tc>
          <w:tcPr>
            <w:tcW w:w="1276" w:type="dxa"/>
            <w:shd w:val="clear" w:color="auto" w:fill="auto"/>
            <w:noWrap/>
            <w:vAlign w:val="bottom"/>
          </w:tcPr>
          <w:p w14:paraId="51181196" w14:textId="74D344FB" w:rsidR="00C97A3D" w:rsidRPr="00C97A3D" w:rsidRDefault="00C97A3D" w:rsidP="00C97A3D">
            <w:pPr>
              <w:spacing w:before="40" w:after="40"/>
              <w:ind w:left="-64"/>
              <w:jc w:val="center"/>
              <w:rPr>
                <w:rFonts w:ascii="Bookman Old Style" w:hAnsi="Bookman Old Style" w:cs="Arial"/>
                <w:i/>
                <w:color w:val="000000"/>
                <w:sz w:val="20"/>
                <w:szCs w:val="20"/>
              </w:rPr>
            </w:pPr>
            <w:r w:rsidRPr="00C97A3D">
              <w:rPr>
                <w:rFonts w:ascii="Bookman Old Style" w:hAnsi="Bookman Old Style" w:cs="Calibri"/>
                <w:i/>
                <w:sz w:val="20"/>
                <w:szCs w:val="20"/>
              </w:rPr>
              <w:t>1,00000</w:t>
            </w:r>
          </w:p>
        </w:tc>
      </w:tr>
      <w:tr w:rsidR="00C97A3D" w:rsidRPr="007E3034" w14:paraId="4356EF9D" w14:textId="77777777" w:rsidTr="002F3EDD">
        <w:trPr>
          <w:trHeight w:val="283"/>
          <w:jc w:val="center"/>
        </w:trPr>
        <w:tc>
          <w:tcPr>
            <w:tcW w:w="1041" w:type="dxa"/>
            <w:vAlign w:val="bottom"/>
          </w:tcPr>
          <w:p w14:paraId="57FD8F64" w14:textId="4D2EF134" w:rsidR="00C97A3D" w:rsidRPr="00C97A3D" w:rsidRDefault="00C97A3D" w:rsidP="00C97A3D">
            <w:pPr>
              <w:spacing w:before="40" w:after="40"/>
              <w:ind w:left="-70" w:right="-71"/>
              <w:jc w:val="center"/>
              <w:rPr>
                <w:rFonts w:ascii="Bookman Old Style" w:hAnsi="Bookman Old Style" w:cs="Arial"/>
                <w:i/>
                <w:color w:val="000000"/>
                <w:sz w:val="20"/>
                <w:szCs w:val="20"/>
              </w:rPr>
            </w:pPr>
            <w:r w:rsidRPr="00C97A3D">
              <w:rPr>
                <w:rFonts w:ascii="Bookman Old Style" w:hAnsi="Bookman Old Style" w:cs="Calibri"/>
                <w:i/>
                <w:color w:val="000000"/>
                <w:sz w:val="20"/>
                <w:szCs w:val="20"/>
              </w:rPr>
              <w:t>158</w:t>
            </w:r>
          </w:p>
        </w:tc>
        <w:tc>
          <w:tcPr>
            <w:tcW w:w="2835" w:type="dxa"/>
            <w:shd w:val="clear" w:color="auto" w:fill="auto"/>
            <w:noWrap/>
          </w:tcPr>
          <w:p w14:paraId="3572C87E" w14:textId="71FE866D" w:rsidR="00C97A3D" w:rsidRPr="00C97A3D" w:rsidRDefault="00C97A3D" w:rsidP="00C97A3D">
            <w:pPr>
              <w:spacing w:before="40" w:after="40"/>
              <w:ind w:left="0"/>
              <w:rPr>
                <w:rFonts w:ascii="Bookman Old Style" w:hAnsi="Bookman Old Style" w:cs="Arial"/>
                <w:i/>
                <w:sz w:val="20"/>
                <w:szCs w:val="20"/>
              </w:rPr>
            </w:pPr>
            <w:r w:rsidRPr="00C97A3D">
              <w:rPr>
                <w:rFonts w:ascii="Bookman Old Style" w:hAnsi="Bookman Old Style" w:cs="Arial"/>
                <w:i/>
                <w:color w:val="000000"/>
                <w:sz w:val="20"/>
                <w:szCs w:val="20"/>
              </w:rPr>
              <w:t>Santa Marta</w:t>
            </w:r>
          </w:p>
        </w:tc>
        <w:tc>
          <w:tcPr>
            <w:tcW w:w="993" w:type="dxa"/>
            <w:shd w:val="clear" w:color="auto" w:fill="auto"/>
            <w:noWrap/>
            <w:vAlign w:val="bottom"/>
          </w:tcPr>
          <w:p w14:paraId="0F826976" w14:textId="680A4180" w:rsidR="00C97A3D" w:rsidRPr="00C97A3D" w:rsidRDefault="00C97A3D" w:rsidP="00C97A3D">
            <w:pPr>
              <w:spacing w:before="40" w:after="40"/>
              <w:ind w:left="-66" w:right="-66"/>
              <w:jc w:val="center"/>
              <w:rPr>
                <w:rFonts w:ascii="Bookman Old Style" w:hAnsi="Bookman Old Style" w:cs="Arial"/>
                <w:i/>
                <w:color w:val="000000"/>
                <w:sz w:val="20"/>
                <w:szCs w:val="20"/>
              </w:rPr>
            </w:pPr>
            <w:r w:rsidRPr="00C97A3D">
              <w:rPr>
                <w:rFonts w:ascii="Bookman Old Style" w:hAnsi="Bookman Old Style" w:cs="Calibri"/>
                <w:i/>
                <w:sz w:val="20"/>
                <w:szCs w:val="20"/>
              </w:rPr>
              <w:t>CP211</w:t>
            </w:r>
          </w:p>
        </w:tc>
        <w:tc>
          <w:tcPr>
            <w:tcW w:w="1276" w:type="dxa"/>
            <w:shd w:val="clear" w:color="auto" w:fill="auto"/>
            <w:noWrap/>
            <w:vAlign w:val="bottom"/>
          </w:tcPr>
          <w:p w14:paraId="1914859F" w14:textId="6C7FB020" w:rsidR="00C97A3D" w:rsidRPr="00C97A3D" w:rsidRDefault="00C97A3D" w:rsidP="00C97A3D">
            <w:pPr>
              <w:spacing w:before="40" w:after="40"/>
              <w:ind w:left="-64"/>
              <w:jc w:val="center"/>
              <w:rPr>
                <w:rFonts w:ascii="Bookman Old Style" w:hAnsi="Bookman Old Style" w:cs="Arial"/>
                <w:i/>
                <w:color w:val="000000"/>
                <w:sz w:val="20"/>
                <w:szCs w:val="20"/>
              </w:rPr>
            </w:pPr>
            <w:r w:rsidRPr="00C97A3D">
              <w:rPr>
                <w:rFonts w:ascii="Bookman Old Style" w:hAnsi="Bookman Old Style" w:cs="Calibri"/>
                <w:i/>
                <w:sz w:val="20"/>
                <w:szCs w:val="20"/>
              </w:rPr>
              <w:t>1,00000</w:t>
            </w:r>
          </w:p>
        </w:tc>
      </w:tr>
    </w:tbl>
    <w:p w14:paraId="7FE01169" w14:textId="3BAF75B4" w:rsidR="005F7EC4" w:rsidRPr="0013177C" w:rsidRDefault="005F7EC4" w:rsidP="0013177C">
      <w:pPr>
        <w:pStyle w:val="Estilo5"/>
        <w:keepNext w:val="0"/>
        <w:numPr>
          <w:ilvl w:val="0"/>
          <w:numId w:val="23"/>
        </w:numPr>
        <w:tabs>
          <w:tab w:val="left" w:pos="1560"/>
        </w:tabs>
        <w:spacing w:after="0"/>
        <w:ind w:left="0" w:right="142"/>
        <w:outlineLvl w:val="9"/>
        <w:rPr>
          <w:b w:val="0"/>
          <w:bCs/>
        </w:rPr>
      </w:pPr>
      <w:r w:rsidRPr="0013177C">
        <w:rPr>
          <w:b w:val="0"/>
          <w:bCs/>
        </w:rPr>
        <w:t xml:space="preserve">Modificar el artículo 1 de la Resolución CREG </w:t>
      </w:r>
      <w:r w:rsidR="00602994">
        <w:rPr>
          <w:b w:val="0"/>
          <w:bCs/>
        </w:rPr>
        <w:t>107</w:t>
      </w:r>
      <w:r w:rsidRPr="0013177C">
        <w:rPr>
          <w:b w:val="0"/>
          <w:bCs/>
        </w:rPr>
        <w:t xml:space="preserve"> de 2010, el cual quedará así:</w:t>
      </w:r>
    </w:p>
    <w:p w14:paraId="5208D856" w14:textId="0398FF49" w:rsidR="005F7EC4" w:rsidRPr="0092664C" w:rsidRDefault="005F7EC4" w:rsidP="005F7EC4">
      <w:pPr>
        <w:spacing w:before="240"/>
        <w:ind w:left="426" w:right="335"/>
        <w:rPr>
          <w:rFonts w:ascii="Bookman Old Style" w:hAnsi="Bookman Old Style" w:cs="Arial"/>
          <w:i/>
        </w:rPr>
      </w:pPr>
      <w:r w:rsidRPr="0092664C">
        <w:rPr>
          <w:rFonts w:ascii="Bookman Old Style" w:hAnsi="Bookman Old Style" w:cs="Arial"/>
          <w:b/>
          <w:i/>
          <w:spacing w:val="-3"/>
        </w:rPr>
        <w:t>Artículo 1.</w:t>
      </w:r>
      <w:r w:rsidRPr="0092664C">
        <w:rPr>
          <w:rFonts w:ascii="Bookman Old Style" w:hAnsi="Bookman Old Style" w:cs="Arial"/>
          <w:b/>
          <w:i/>
          <w:spacing w:val="-3"/>
        </w:rPr>
        <w:tab/>
      </w:r>
      <w:r w:rsidRPr="0092664C">
        <w:rPr>
          <w:rFonts w:ascii="Bookman Old Style" w:hAnsi="Bookman Old Style" w:cs="Arial"/>
          <w:b/>
          <w:i/>
        </w:rPr>
        <w:t xml:space="preserve">Ingreso Anual. </w:t>
      </w:r>
      <w:r w:rsidRPr="0092664C">
        <w:rPr>
          <w:rFonts w:ascii="Bookman Old Style" w:hAnsi="Bookman Old Style" w:cs="Arial"/>
          <w:i/>
        </w:rPr>
        <w:t>El Ingreso Anual (</w:t>
      </w:r>
      <w:proofErr w:type="spellStart"/>
      <w:r w:rsidRPr="0092664C">
        <w:rPr>
          <w:rFonts w:ascii="Bookman Old Style" w:hAnsi="Bookman Old Style" w:cs="Arial"/>
          <w:i/>
        </w:rPr>
        <w:t>IAT</w:t>
      </w:r>
      <w:r w:rsidRPr="0092664C">
        <w:rPr>
          <w:rFonts w:ascii="Bookman Old Style" w:hAnsi="Bookman Old Style" w:cs="Arial"/>
          <w:i/>
          <w:vertAlign w:val="subscript"/>
        </w:rPr>
        <w:t>j</w:t>
      </w:r>
      <w:proofErr w:type="spellEnd"/>
      <w:r w:rsidRPr="0092664C">
        <w:rPr>
          <w:rFonts w:ascii="Bookman Old Style" w:hAnsi="Bookman Old Style" w:cs="Arial"/>
          <w:i/>
        </w:rPr>
        <w:t xml:space="preserve">) por los activos representados por </w:t>
      </w:r>
      <w:r w:rsidR="006F570A" w:rsidRPr="0092664C">
        <w:rPr>
          <w:rFonts w:ascii="Bookman Old Style" w:hAnsi="Bookman Old Style" w:cs="Arial"/>
          <w:i/>
        </w:rPr>
        <w:t>Transelca</w:t>
      </w:r>
      <w:r w:rsidRPr="0092664C">
        <w:rPr>
          <w:rFonts w:ascii="Bookman Old Style" w:hAnsi="Bookman Old Style" w:cs="Arial"/>
          <w:i/>
        </w:rPr>
        <w:t xml:space="preserve"> S.A. E.S.P. en el Sistema de Transmisión Nacional, calculado en la forma establecida en la Resolución CREG 011 de 2009, es el siguiente:</w:t>
      </w:r>
    </w:p>
    <w:p w14:paraId="38604A5D" w14:textId="655C0D96" w:rsidR="005F7EC4" w:rsidRPr="004175F9" w:rsidRDefault="007F61F8" w:rsidP="004175F9">
      <w:pPr>
        <w:spacing w:before="240"/>
        <w:ind w:left="426" w:right="335"/>
        <w:jc w:val="center"/>
        <w:rPr>
          <w:rFonts w:ascii="Bookman Old Style" w:hAnsi="Bookman Old Style" w:cs="Arial"/>
          <w:b/>
          <w:i/>
          <w:spacing w:val="-3"/>
        </w:rPr>
      </w:pPr>
      <w:r w:rsidRPr="007F61F8">
        <w:rPr>
          <w:noProof/>
        </w:rPr>
        <w:drawing>
          <wp:inline distT="0" distB="0" distL="0" distR="0" wp14:anchorId="683FC34F" wp14:editId="5B1F9320">
            <wp:extent cx="3868420" cy="562610"/>
            <wp:effectExtent l="0" t="0" r="0" b="8890"/>
            <wp:docPr id="81028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8420" cy="562610"/>
                    </a:xfrm>
                    <a:prstGeom prst="rect">
                      <a:avLst/>
                    </a:prstGeom>
                    <a:noFill/>
                    <a:ln>
                      <a:noFill/>
                    </a:ln>
                  </pic:spPr>
                </pic:pic>
              </a:graphicData>
            </a:graphic>
          </wp:inline>
        </w:drawing>
      </w:r>
    </w:p>
    <w:p w14:paraId="61119392" w14:textId="13F4A23F" w:rsidR="005F7EC4" w:rsidRPr="0013177C" w:rsidRDefault="005F7EC4" w:rsidP="0013177C">
      <w:pPr>
        <w:pStyle w:val="Estilo5"/>
        <w:keepNext w:val="0"/>
        <w:numPr>
          <w:ilvl w:val="0"/>
          <w:numId w:val="23"/>
        </w:numPr>
        <w:tabs>
          <w:tab w:val="left" w:pos="1560"/>
        </w:tabs>
        <w:spacing w:after="0"/>
        <w:ind w:left="0" w:right="142"/>
        <w:outlineLvl w:val="9"/>
        <w:rPr>
          <w:b w:val="0"/>
          <w:bCs/>
        </w:rPr>
      </w:pPr>
      <w:r w:rsidRPr="0013177C">
        <w:rPr>
          <w:b w:val="0"/>
          <w:bCs/>
        </w:rPr>
        <w:lastRenderedPageBreak/>
        <w:t xml:space="preserve">Modificar el artículo 4 de la Resolución CREG </w:t>
      </w:r>
      <w:r w:rsidR="00602994">
        <w:rPr>
          <w:b w:val="0"/>
          <w:bCs/>
        </w:rPr>
        <w:t>107</w:t>
      </w:r>
      <w:r w:rsidRPr="0013177C">
        <w:rPr>
          <w:b w:val="0"/>
          <w:bCs/>
        </w:rPr>
        <w:t xml:space="preserve"> de 2010, el cual quedará así:</w:t>
      </w:r>
    </w:p>
    <w:p w14:paraId="7A57344F" w14:textId="7AF751FB" w:rsidR="005F7EC4" w:rsidRPr="000E1E8E" w:rsidRDefault="005F7EC4" w:rsidP="005F7EC4">
      <w:pPr>
        <w:spacing w:before="240"/>
        <w:ind w:left="426" w:right="425"/>
        <w:rPr>
          <w:rFonts w:ascii="Bookman Old Style" w:hAnsi="Bookman Old Style" w:cs="Arial"/>
          <w:i/>
        </w:rPr>
      </w:pPr>
      <w:r w:rsidRPr="007F61F8">
        <w:rPr>
          <w:rFonts w:ascii="Bookman Old Style" w:hAnsi="Bookman Old Style" w:cs="Arial"/>
          <w:b/>
          <w:i/>
        </w:rPr>
        <w:t>Artículo 4. Costo de Reposición de los Activos Eléctricos.</w:t>
      </w:r>
      <w:r w:rsidRPr="007F61F8">
        <w:rPr>
          <w:rFonts w:ascii="Bookman Old Style" w:hAnsi="Bookman Old Style" w:cs="Arial"/>
          <w:i/>
        </w:rPr>
        <w:t xml:space="preserve"> El costo de reposición de los activos eléctricos (</w:t>
      </w:r>
      <w:proofErr w:type="spellStart"/>
      <w:r w:rsidRPr="007F61F8">
        <w:rPr>
          <w:rFonts w:ascii="Bookman Old Style" w:hAnsi="Bookman Old Style" w:cs="Arial"/>
          <w:i/>
        </w:rPr>
        <w:t>CRE</w:t>
      </w:r>
      <w:r w:rsidRPr="007F61F8">
        <w:rPr>
          <w:rFonts w:ascii="Bookman Old Style" w:hAnsi="Bookman Old Style" w:cs="Arial"/>
          <w:i/>
          <w:vertAlign w:val="subscript"/>
        </w:rPr>
        <w:t>j</w:t>
      </w:r>
      <w:proofErr w:type="spellEnd"/>
      <w:r w:rsidRPr="007F61F8">
        <w:rPr>
          <w:rFonts w:ascii="Bookman Old Style" w:hAnsi="Bookman Old Style" w:cs="Arial"/>
          <w:i/>
        </w:rPr>
        <w:t xml:space="preserve">) remunerados mediante cargos </w:t>
      </w:r>
      <w:r w:rsidRPr="000E1E8E">
        <w:rPr>
          <w:rFonts w:ascii="Bookman Old Style" w:hAnsi="Bookman Old Style" w:cs="Arial"/>
          <w:i/>
        </w:rPr>
        <w:t xml:space="preserve">por uso a </w:t>
      </w:r>
      <w:r w:rsidR="006F570A" w:rsidRPr="000E1E8E">
        <w:rPr>
          <w:rFonts w:ascii="Bookman Old Style" w:hAnsi="Bookman Old Style" w:cs="Arial"/>
          <w:i/>
        </w:rPr>
        <w:t>Transelca</w:t>
      </w:r>
      <w:r w:rsidRPr="000E1E8E">
        <w:rPr>
          <w:rFonts w:ascii="Bookman Old Style" w:hAnsi="Bookman Old Style" w:cs="Arial"/>
          <w:i/>
        </w:rPr>
        <w:t xml:space="preserve"> S.A. E.S.P., calculado con la base de activos a la que hace referencia el artículo 3 de la presente Resolución y de acuerdo con lo señalado en la Resolución CREG 011 de 2009 es:</w:t>
      </w:r>
    </w:p>
    <w:p w14:paraId="7E7EA698" w14:textId="2640C6A3" w:rsidR="005F7EC4" w:rsidRPr="000E1E8E" w:rsidRDefault="000E1E8E" w:rsidP="005F7EC4">
      <w:pPr>
        <w:spacing w:before="240"/>
        <w:jc w:val="center"/>
        <w:rPr>
          <w:rFonts w:ascii="Bookman Old Style" w:hAnsi="Bookman Old Style" w:cs="Arial"/>
        </w:rPr>
      </w:pPr>
      <w:r w:rsidRPr="000E1E8E">
        <w:rPr>
          <w:noProof/>
        </w:rPr>
        <w:drawing>
          <wp:inline distT="0" distB="0" distL="0" distR="0" wp14:anchorId="4EDBC9C9" wp14:editId="368EFB05">
            <wp:extent cx="4893310" cy="628015"/>
            <wp:effectExtent l="0" t="0" r="2540" b="635"/>
            <wp:docPr id="77786638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3310" cy="628015"/>
                    </a:xfrm>
                    <a:prstGeom prst="rect">
                      <a:avLst/>
                    </a:prstGeom>
                    <a:noFill/>
                    <a:ln>
                      <a:noFill/>
                    </a:ln>
                  </pic:spPr>
                </pic:pic>
              </a:graphicData>
            </a:graphic>
          </wp:inline>
        </w:drawing>
      </w:r>
    </w:p>
    <w:p w14:paraId="5BCA04A3" w14:textId="77777777" w:rsidR="005F7EC4" w:rsidRPr="000E1E8E" w:rsidRDefault="005F7EC4" w:rsidP="005F7EC4">
      <w:pPr>
        <w:spacing w:before="240"/>
        <w:ind w:left="426" w:right="425"/>
        <w:rPr>
          <w:rFonts w:ascii="Bookman Old Style" w:hAnsi="Bookman Old Style" w:cs="Arial"/>
          <w:i/>
        </w:rPr>
      </w:pPr>
      <w:bookmarkStart w:id="0" w:name="_Ref188082874"/>
      <w:r w:rsidRPr="000E1E8E">
        <w:rPr>
          <w:rFonts w:ascii="Bookman Old Style" w:hAnsi="Bookman Old Style" w:cs="Arial"/>
          <w:i/>
        </w:rPr>
        <w:t>La base de activos y los valores aquí aprobados resultan de las variables y de la información que se identifican en la parte motiva de este acto y de las contenidas en el documento soporte.</w:t>
      </w:r>
      <w:bookmarkEnd w:id="0"/>
      <w:r w:rsidRPr="000E1E8E">
        <w:rPr>
          <w:rFonts w:ascii="Bookman Old Style" w:hAnsi="Bookman Old Style" w:cs="Arial"/>
          <w:i/>
        </w:rPr>
        <w:t>”</w:t>
      </w:r>
    </w:p>
    <w:p w14:paraId="6DF50FEE" w14:textId="7F61C5DD" w:rsidR="009F7D54" w:rsidRPr="00F643D7" w:rsidRDefault="009F7D54" w:rsidP="009F7D54">
      <w:pPr>
        <w:pStyle w:val="Estilo5"/>
        <w:keepNext w:val="0"/>
        <w:numPr>
          <w:ilvl w:val="0"/>
          <w:numId w:val="23"/>
        </w:numPr>
        <w:tabs>
          <w:tab w:val="left" w:pos="1560"/>
        </w:tabs>
        <w:spacing w:after="0"/>
        <w:ind w:left="0" w:right="142"/>
        <w:outlineLvl w:val="9"/>
        <w:rPr>
          <w:b w:val="0"/>
          <w:bCs/>
        </w:rPr>
      </w:pPr>
      <w:r w:rsidRPr="0013177C">
        <w:t>Vigencia</w:t>
      </w:r>
      <w:r w:rsidRPr="0013177C">
        <w:rPr>
          <w:b w:val="0"/>
          <w:bCs/>
        </w:rPr>
        <w:t xml:space="preserve">. </w:t>
      </w:r>
      <w:r w:rsidR="000E1E8E" w:rsidRPr="000E1E8E">
        <w:rPr>
          <w:b w:val="0"/>
          <w:bCs/>
        </w:rPr>
        <w:t xml:space="preserve">La presente Resolución deberá notificarse </w:t>
      </w:r>
      <w:r w:rsidR="00EE3694">
        <w:rPr>
          <w:b w:val="0"/>
          <w:bCs/>
        </w:rPr>
        <w:t>a</w:t>
      </w:r>
      <w:r w:rsidR="000E1E8E" w:rsidRPr="000E1E8E">
        <w:rPr>
          <w:b w:val="0"/>
          <w:bCs/>
        </w:rPr>
        <w:t xml:space="preserve"> Transelca S.A. E.S.P. y publicarse en el </w:t>
      </w:r>
      <w:r w:rsidR="000E1E8E" w:rsidRPr="004D2DA9">
        <w:rPr>
          <w:b w:val="0"/>
          <w:bCs/>
          <w:i/>
          <w:iCs/>
        </w:rPr>
        <w:t>Diario Oficial</w:t>
      </w:r>
      <w:r w:rsidR="000E1E8E" w:rsidRPr="000E1E8E">
        <w:rPr>
          <w:b w:val="0"/>
          <w:bCs/>
        </w:rPr>
        <w:t>. Contra lo dispuesto en este acto procede el recurso de reposición, el cual se podrá interponer ante la Dirección Ejecutiva de la CREG dentro de los cinco (5) días hábiles siguientes a la fecha de su notificación</w:t>
      </w:r>
      <w:r w:rsidRPr="00F643D7">
        <w:rPr>
          <w:b w:val="0"/>
          <w:bCs/>
        </w:rPr>
        <w:t>.</w:t>
      </w:r>
    </w:p>
    <w:p w14:paraId="0B87B4B3" w14:textId="77777777" w:rsidR="009F7D54" w:rsidRPr="00C435C3" w:rsidRDefault="009F7D54" w:rsidP="004D2DA9">
      <w:pPr>
        <w:spacing w:before="480"/>
        <w:ind w:left="0"/>
        <w:jc w:val="center"/>
        <w:rPr>
          <w:rFonts w:ascii="Bookman Old Style" w:hAnsi="Bookman Old Style"/>
          <w:b/>
        </w:rPr>
      </w:pPr>
      <w:r w:rsidRPr="00C435C3">
        <w:rPr>
          <w:rFonts w:ascii="Bookman Old Style" w:hAnsi="Bookman Old Style"/>
          <w:b/>
        </w:rPr>
        <w:t>PU</w:t>
      </w:r>
      <w:r>
        <w:rPr>
          <w:rFonts w:ascii="Bookman Old Style" w:hAnsi="Bookman Old Style"/>
          <w:b/>
        </w:rPr>
        <w:t>B</w:t>
      </w:r>
      <w:r w:rsidRPr="00C435C3">
        <w:rPr>
          <w:rFonts w:ascii="Bookman Old Style" w:hAnsi="Bookman Old Style"/>
          <w:b/>
        </w:rPr>
        <w:t>LÍQUESE Y CÚMPLASE</w:t>
      </w:r>
    </w:p>
    <w:p w14:paraId="0DC6E8C7" w14:textId="50709DF9" w:rsidR="005242D5" w:rsidRPr="00934A61" w:rsidRDefault="005242D5" w:rsidP="004D2DA9">
      <w:pPr>
        <w:spacing w:before="360"/>
        <w:ind w:left="0"/>
        <w:jc w:val="both"/>
        <w:rPr>
          <w:rFonts w:ascii="Bookman Old Style" w:hAnsi="Bookman Old Style"/>
        </w:rPr>
      </w:pPr>
      <w:r w:rsidRPr="00934A61">
        <w:rPr>
          <w:rFonts w:ascii="Bookman Old Style" w:hAnsi="Bookman Old Style"/>
        </w:rPr>
        <w:t>Dada en Bogotá D.C.</w:t>
      </w:r>
      <w:r>
        <w:rPr>
          <w:rFonts w:ascii="Bookman Old Style" w:hAnsi="Bookman Old Style"/>
        </w:rPr>
        <w:t>,</w:t>
      </w:r>
      <w:r w:rsidRPr="00934A61">
        <w:rPr>
          <w:rFonts w:ascii="Bookman Old Style" w:hAnsi="Bookman Old Style"/>
        </w:rPr>
        <w:t xml:space="preserve"> el </w:t>
      </w:r>
      <w:r w:rsidR="00BB3402">
        <w:rPr>
          <w:rFonts w:ascii="Bookman Old Style" w:hAnsi="Bookman Old Style"/>
        </w:rPr>
        <w:t>20</w:t>
      </w:r>
      <w:r w:rsidRPr="00934A61">
        <w:rPr>
          <w:rFonts w:ascii="Bookman Old Style" w:hAnsi="Bookman Old Style"/>
        </w:rPr>
        <w:t xml:space="preserve"> de </w:t>
      </w:r>
      <w:r w:rsidR="00586FC1" w:rsidRPr="00CB6C4A">
        <w:rPr>
          <w:rFonts w:ascii="Bookman Old Style" w:hAnsi="Bookman Old Style"/>
        </w:rPr>
        <w:t>diciembre</w:t>
      </w:r>
      <w:r w:rsidRPr="00934A61">
        <w:rPr>
          <w:rFonts w:ascii="Bookman Old Style" w:hAnsi="Bookman Old Style"/>
        </w:rPr>
        <w:t xml:space="preserve"> de 2023.</w:t>
      </w:r>
    </w:p>
    <w:p w14:paraId="38EBB0AD" w14:textId="77777777" w:rsidR="005242D5" w:rsidRPr="00934A61" w:rsidRDefault="005242D5" w:rsidP="00D577AC">
      <w:pPr>
        <w:spacing w:before="600"/>
        <w:ind w:left="0"/>
        <w:jc w:val="both"/>
        <w:rPr>
          <w:rFonts w:ascii="Bookman Old Style" w:hAnsi="Bookman Old Style"/>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4962"/>
        <w:gridCol w:w="4536"/>
      </w:tblGrid>
      <w:tr w:rsidR="005242D5" w:rsidRPr="00934A61" w14:paraId="46FBE174" w14:textId="77777777" w:rsidTr="005A6037">
        <w:tc>
          <w:tcPr>
            <w:tcW w:w="4962" w:type="dxa"/>
          </w:tcPr>
          <w:p w14:paraId="44E5BA49" w14:textId="5386D9A0" w:rsidR="005242D5" w:rsidRPr="00200C88" w:rsidRDefault="007D5972" w:rsidP="00C8394C">
            <w:pPr>
              <w:spacing w:line="259" w:lineRule="auto"/>
              <w:ind w:left="0"/>
              <w:jc w:val="center"/>
              <w:rPr>
                <w:rFonts w:ascii="Bookman Old Style" w:hAnsi="Bookman Old Style"/>
                <w:b/>
                <w:bCs/>
              </w:rPr>
            </w:pPr>
            <w:r>
              <w:rPr>
                <w:rFonts w:ascii="Bookman Old Style" w:hAnsi="Bookman Old Style"/>
                <w:b/>
                <w:bCs/>
              </w:rPr>
              <w:t xml:space="preserve">OMAR </w:t>
            </w:r>
            <w:r w:rsidR="005E1407">
              <w:rPr>
                <w:rFonts w:ascii="Bookman Old Style" w:hAnsi="Bookman Old Style"/>
                <w:b/>
                <w:bCs/>
              </w:rPr>
              <w:t>ANDRÉS CAMACHO MORALES</w:t>
            </w:r>
          </w:p>
          <w:p w14:paraId="3C284967" w14:textId="308DEBB7" w:rsidR="005242D5" w:rsidRPr="00200C88" w:rsidRDefault="005242D5" w:rsidP="00C8394C">
            <w:pPr>
              <w:spacing w:line="259" w:lineRule="auto"/>
              <w:ind w:left="0"/>
              <w:jc w:val="center"/>
              <w:rPr>
                <w:rFonts w:ascii="Bookman Old Style" w:hAnsi="Bookman Old Style"/>
              </w:rPr>
            </w:pPr>
            <w:r w:rsidRPr="00200C88">
              <w:rPr>
                <w:rFonts w:ascii="Bookman Old Style" w:hAnsi="Bookman Old Style"/>
              </w:rPr>
              <w:t>Ministr</w:t>
            </w:r>
            <w:r w:rsidR="007A4544">
              <w:rPr>
                <w:rFonts w:ascii="Bookman Old Style" w:hAnsi="Bookman Old Style"/>
              </w:rPr>
              <w:t>o</w:t>
            </w:r>
            <w:r w:rsidRPr="00200C88">
              <w:rPr>
                <w:rFonts w:ascii="Bookman Old Style" w:hAnsi="Bookman Old Style"/>
              </w:rPr>
              <w:t xml:space="preserve"> de Minas y Energía</w:t>
            </w:r>
          </w:p>
          <w:p w14:paraId="7094C7CF" w14:textId="1D52E34F" w:rsidR="005242D5" w:rsidRPr="00934A61" w:rsidRDefault="005242D5" w:rsidP="00C8394C">
            <w:pPr>
              <w:spacing w:line="259" w:lineRule="auto"/>
              <w:ind w:left="0"/>
              <w:jc w:val="center"/>
              <w:rPr>
                <w:rFonts w:ascii="Bookman Old Style" w:hAnsi="Bookman Old Style"/>
              </w:rPr>
            </w:pPr>
            <w:r w:rsidRPr="00200C88">
              <w:rPr>
                <w:rFonts w:ascii="Bookman Old Style" w:hAnsi="Bookman Old Style"/>
              </w:rPr>
              <w:t>Presidente</w:t>
            </w:r>
          </w:p>
        </w:tc>
        <w:tc>
          <w:tcPr>
            <w:tcW w:w="4536" w:type="dxa"/>
          </w:tcPr>
          <w:p w14:paraId="16C256C6" w14:textId="76422174" w:rsidR="005242D5" w:rsidRPr="00934A61" w:rsidRDefault="007D5972" w:rsidP="00532189">
            <w:pPr>
              <w:spacing w:line="259" w:lineRule="auto"/>
              <w:ind w:left="31"/>
              <w:jc w:val="center"/>
              <w:rPr>
                <w:rFonts w:ascii="Bookman Old Style" w:hAnsi="Bookman Old Style"/>
                <w:b/>
                <w:bCs/>
              </w:rPr>
            </w:pPr>
            <w:r>
              <w:rPr>
                <w:rFonts w:ascii="Bookman Old Style" w:hAnsi="Bookman Old Style"/>
                <w:b/>
                <w:bCs/>
              </w:rPr>
              <w:t>OMAR FREDDY PRIAS</w:t>
            </w:r>
            <w:r w:rsidR="00532189">
              <w:rPr>
                <w:rFonts w:ascii="Bookman Old Style" w:hAnsi="Bookman Old Style"/>
                <w:b/>
                <w:bCs/>
              </w:rPr>
              <w:t xml:space="preserve"> CAICEDO</w:t>
            </w:r>
          </w:p>
          <w:p w14:paraId="3887A619" w14:textId="615A09D3" w:rsidR="005242D5" w:rsidRPr="00934A61" w:rsidRDefault="005242D5" w:rsidP="00C8394C">
            <w:pPr>
              <w:spacing w:line="259" w:lineRule="auto"/>
              <w:ind w:left="41"/>
              <w:jc w:val="center"/>
              <w:rPr>
                <w:rFonts w:ascii="Bookman Old Style" w:hAnsi="Bookman Old Style"/>
              </w:rPr>
            </w:pPr>
            <w:r w:rsidRPr="00934A61">
              <w:rPr>
                <w:rFonts w:ascii="Bookman Old Style" w:hAnsi="Bookman Old Style"/>
              </w:rPr>
              <w:t>Director Ejecutiv</w:t>
            </w:r>
            <w:r w:rsidR="007D5972">
              <w:rPr>
                <w:rFonts w:ascii="Bookman Old Style" w:hAnsi="Bookman Old Style"/>
              </w:rPr>
              <w:t>o</w:t>
            </w:r>
          </w:p>
        </w:tc>
      </w:tr>
    </w:tbl>
    <w:p w14:paraId="6DFFAECE" w14:textId="77777777" w:rsidR="005F5865" w:rsidRPr="00934A61" w:rsidRDefault="005F5865" w:rsidP="005242D5">
      <w:pPr>
        <w:ind w:left="0"/>
        <w:jc w:val="both"/>
        <w:rPr>
          <w:rFonts w:ascii="Bookman Old Style" w:hAnsi="Bookman Old Style"/>
        </w:rPr>
      </w:pPr>
    </w:p>
    <w:sectPr w:rsidR="005F5865" w:rsidRPr="00934A61" w:rsidSect="005A59EF">
      <w:headerReference w:type="default" r:id="rId13"/>
      <w:headerReference w:type="first" r:id="rId14"/>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B7F7" w14:textId="77777777" w:rsidR="00E12365" w:rsidRDefault="00E12365">
      <w:r>
        <w:separator/>
      </w:r>
    </w:p>
    <w:p w14:paraId="14E51F07" w14:textId="77777777" w:rsidR="00E12365" w:rsidRDefault="00E12365"/>
  </w:endnote>
  <w:endnote w:type="continuationSeparator" w:id="0">
    <w:p w14:paraId="2BFB357B" w14:textId="77777777" w:rsidR="00E12365" w:rsidRDefault="00E12365">
      <w:r>
        <w:continuationSeparator/>
      </w:r>
    </w:p>
    <w:p w14:paraId="5F3F6ABA" w14:textId="77777777" w:rsidR="00E12365" w:rsidRDefault="00E12365"/>
  </w:endnote>
  <w:endnote w:type="continuationNotice" w:id="1">
    <w:p w14:paraId="352D7406" w14:textId="77777777" w:rsidR="00E12365" w:rsidRDefault="00E12365"/>
    <w:p w14:paraId="2BC8D7E2" w14:textId="77777777" w:rsidR="00E12365" w:rsidRDefault="00E1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5AEB2" w14:textId="77777777" w:rsidR="00E12365" w:rsidRDefault="00E12365">
      <w:r>
        <w:separator/>
      </w:r>
    </w:p>
    <w:p w14:paraId="61EBA799" w14:textId="77777777" w:rsidR="00E12365" w:rsidRDefault="00E12365"/>
  </w:footnote>
  <w:footnote w:type="continuationSeparator" w:id="0">
    <w:p w14:paraId="3C9863AA" w14:textId="77777777" w:rsidR="00E12365" w:rsidRDefault="00E12365">
      <w:r>
        <w:continuationSeparator/>
      </w:r>
    </w:p>
    <w:p w14:paraId="3D34498C" w14:textId="77777777" w:rsidR="00E12365" w:rsidRDefault="00E12365"/>
  </w:footnote>
  <w:footnote w:type="continuationNotice" w:id="1">
    <w:p w14:paraId="1C434989" w14:textId="77777777" w:rsidR="00E12365" w:rsidRDefault="00E12365"/>
    <w:p w14:paraId="5C68D5C0" w14:textId="77777777" w:rsidR="00E12365" w:rsidRDefault="00E12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657ED3D8" w:rsidR="0087657D" w:rsidRPr="00951F79" w:rsidRDefault="00566528" w:rsidP="00566528">
    <w:pPr>
      <w:pStyle w:val="Ttulo1"/>
      <w:tabs>
        <w:tab w:val="right" w:pos="9356"/>
      </w:tabs>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w:t>
    </w:r>
    <w:r w:rsidR="00725FA4" w:rsidRPr="00654384">
      <w:rPr>
        <w:rFonts w:ascii="Bookman Old Style" w:hAnsi="Bookman Old Style" w:cs="Arial"/>
        <w:b w:val="0"/>
        <w:sz w:val="22"/>
        <w:szCs w:val="22"/>
      </w:rPr>
      <w:t xml:space="preserve"> No.</w:t>
    </w:r>
    <w:r w:rsidR="00951F79">
      <w:rPr>
        <w:rFonts w:ascii="Bookman Old Style" w:hAnsi="Bookman Old Style" w:cs="Arial"/>
        <w:b w:val="0"/>
        <w:sz w:val="22"/>
        <w:szCs w:val="22"/>
      </w:rPr>
      <w:t xml:space="preserve"> </w:t>
    </w:r>
    <w:r w:rsidR="00BB3402" w:rsidRPr="00BB3402">
      <w:rPr>
        <w:rFonts w:ascii="Bookman Old Style" w:hAnsi="Bookman Old Style" w:cs="Arial"/>
        <w:bCs/>
        <w:sz w:val="22"/>
        <w:szCs w:val="22"/>
        <w:u w:val="single"/>
      </w:rPr>
      <w:t>501 026</w:t>
    </w:r>
    <w:r w:rsidR="00BB3402">
      <w:rPr>
        <w:rFonts w:ascii="Bookman Old Style" w:hAnsi="Bookman Old Style" w:cs="Arial"/>
        <w:bCs/>
        <w:sz w:val="22"/>
        <w:szCs w:val="22"/>
        <w:u w:val="single"/>
      </w:rPr>
      <w:t xml:space="preserve">  </w:t>
    </w:r>
    <w:r w:rsidR="00BB3402">
      <w:rPr>
        <w:rFonts w:ascii="Bookman Old Style" w:hAnsi="Bookman Old Style" w:cs="Arial"/>
        <w:b w:val="0"/>
        <w:sz w:val="22"/>
        <w:szCs w:val="22"/>
      </w:rPr>
      <w:t xml:space="preserve">        </w:t>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BB3402">
      <w:rPr>
        <w:rFonts w:ascii="Bookman Old Style" w:hAnsi="Bookman Old Style" w:cs="Arial"/>
        <w:b w:val="0"/>
        <w:sz w:val="22"/>
        <w:szCs w:val="22"/>
      </w:rPr>
      <w:t xml:space="preserve">  </w:t>
    </w:r>
    <w:r w:rsidR="00BB3402" w:rsidRPr="00BB3402">
      <w:rPr>
        <w:rFonts w:ascii="Bookman Old Style" w:hAnsi="Bookman Old Style" w:cs="Arial"/>
        <w:bCs/>
        <w:sz w:val="22"/>
        <w:szCs w:val="22"/>
        <w:u w:val="single"/>
      </w:rPr>
      <w:t>20 DIC .2023</w:t>
    </w:r>
    <w:r w:rsidR="003D076C">
      <w:rPr>
        <w:rFonts w:ascii="Bookman Old Style" w:hAnsi="Bookman Old Style" w:cs="Arial"/>
        <w:b w:val="0"/>
        <w:sz w:val="22"/>
        <w:szCs w:val="22"/>
      </w:rPr>
      <w:tab/>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r w:rsidR="00BB3402">
      <w:fldChar w:fldCharType="begin"/>
    </w:r>
    <w:r w:rsidR="00BB3402">
      <w:instrText xml:space="preserve"> NUMPAGES  \* MERGEFORMAT </w:instrText>
    </w:r>
    <w:r w:rsidR="00BB3402">
      <w:fldChar w:fldCharType="separate"/>
    </w:r>
    <w:r w:rsidR="00F77D2D" w:rsidRPr="00F77D2D">
      <w:rPr>
        <w:rFonts w:ascii="Bookman Old Style" w:hAnsi="Bookman Old Style" w:cs="Arial"/>
        <w:b w:val="0"/>
        <w:noProof/>
        <w:sz w:val="22"/>
        <w:szCs w:val="22"/>
      </w:rPr>
      <w:t>2</w:t>
    </w:r>
    <w:r w:rsidR="00BB3402">
      <w:rPr>
        <w:rFonts w:ascii="Bookman Old Style" w:hAnsi="Bookman Old Style" w:cs="Arial"/>
        <w:b w:val="0"/>
        <w:noProof/>
        <w:sz w:val="22"/>
        <w:szCs w:val="22"/>
      </w:rPr>
      <w:fldChar w:fldCharType="end"/>
    </w:r>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E7401" id="Rectángulo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55F86926" w14:textId="5BBE677B" w:rsidR="009C684B" w:rsidRPr="00970AD5" w:rsidRDefault="00ED4BDD" w:rsidP="00970AD5">
    <w:pPr>
      <w:pBdr>
        <w:bottom w:val="single" w:sz="4" w:space="1" w:color="auto"/>
      </w:pBdr>
      <w:ind w:left="0"/>
      <w:jc w:val="both"/>
      <w:rPr>
        <w:rFonts w:ascii="Bookman Old Style" w:hAnsi="Bookman Old Style"/>
        <w:sz w:val="20"/>
        <w:szCs w:val="20"/>
      </w:rPr>
    </w:pPr>
    <w:r w:rsidRPr="00ED4BDD">
      <w:rPr>
        <w:rFonts w:ascii="Bookman Old Style" w:hAnsi="Bookman Old Style"/>
        <w:sz w:val="20"/>
        <w:szCs w:val="20"/>
      </w:rPr>
      <w:t>Por la cual se actualiza la base de activos de Transelca S.A. E.S.P. y se modifican los parámetros necesarios para determinar su remuneración en el Sistema de Transmisión Nacional</w:t>
    </w:r>
  </w:p>
  <w:p w14:paraId="7D8C9E37" w14:textId="77777777" w:rsidR="009F7D54" w:rsidRPr="00045D3D" w:rsidRDefault="009F7D54" w:rsidP="009C684B">
    <w:pP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DA16" w14:textId="56207102" w:rsidR="00725FA4" w:rsidRDefault="00251A6E" w:rsidP="00251A6E">
    <w:pPr>
      <w:pStyle w:val="Encabezado"/>
      <w:tabs>
        <w:tab w:val="clear" w:pos="4252"/>
        <w:tab w:val="center" w:pos="4536"/>
      </w:tabs>
      <w:ind w:left="142"/>
      <w:jc w:val="both"/>
      <w:rPr>
        <w:rFonts w:ascii="Arial" w:hAnsi="Arial" w:cs="Arial"/>
        <w:spacing w:val="20"/>
        <w:sz w:val="20"/>
      </w:rPr>
    </w:pPr>
    <w:r>
      <w:rPr>
        <w:rFonts w:ascii="Arial" w:hAnsi="Arial" w:cs="Arial"/>
        <w:spacing w:val="20"/>
        <w:sz w:val="20"/>
      </w:rPr>
      <w:tab/>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BB757"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AC60B6"/>
    <w:multiLevelType w:val="hybridMultilevel"/>
    <w:tmpl w:val="082A82F0"/>
    <w:lvl w:ilvl="0" w:tplc="240A0017">
      <w:start w:val="1"/>
      <w:numFmt w:val="lowerLetter"/>
      <w:lvlText w:val="%1)"/>
      <w:lvlJc w:val="left"/>
      <w:pPr>
        <w:ind w:left="1287" w:hanging="360"/>
      </w:pPr>
      <w:rPr>
        <w:rFont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7" w15:restartNumberingAfterBreak="0">
    <w:nsid w:val="1FB235DD"/>
    <w:multiLevelType w:val="multilevel"/>
    <w:tmpl w:val="CE5402C4"/>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460C6D"/>
    <w:multiLevelType w:val="hybridMultilevel"/>
    <w:tmpl w:val="C9A4111C"/>
    <w:lvl w:ilvl="0" w:tplc="BE684D8E">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D11DC5"/>
    <w:multiLevelType w:val="multilevel"/>
    <w:tmpl w:val="CE5402C4"/>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8F13D4"/>
    <w:multiLevelType w:val="multilevel"/>
    <w:tmpl w:val="BD285B9C"/>
    <w:lvl w:ilvl="0">
      <w:start w:val="1"/>
      <w:numFmt w:val="decimal"/>
      <w:lvlText w:val="Artículo %1."/>
      <w:lvlJc w:val="left"/>
      <w:pPr>
        <w:ind w:left="568" w:firstLine="0"/>
      </w:pPr>
      <w:rPr>
        <w:b/>
        <w:i w:val="0"/>
        <w:strike w:val="0"/>
        <w:sz w:val="24"/>
        <w:lang w:val="es-ES"/>
      </w:rPr>
    </w:lvl>
    <w:lvl w:ilvl="1">
      <w:start w:val="1"/>
      <w:numFmt w:val="decimal"/>
      <w:lvlText w:val="%1.%2."/>
      <w:lvlJc w:val="left"/>
      <w:pPr>
        <w:ind w:left="-1843" w:firstLine="0"/>
      </w:pPr>
      <w:rPr>
        <w:rFonts w:ascii="Bookman Old Style" w:hAnsi="Bookman Old Style" w:hint="default"/>
        <w:b/>
        <w:i w:val="0"/>
        <w:sz w:val="24"/>
        <w:szCs w:val="24"/>
      </w:rPr>
    </w:lvl>
    <w:lvl w:ilvl="2">
      <w:start w:val="1"/>
      <w:numFmt w:val="decimal"/>
      <w:suff w:val="nothing"/>
      <w:lvlText w:val="%1.%2.%3. "/>
      <w:lvlJc w:val="left"/>
      <w:pPr>
        <w:ind w:left="-1843" w:firstLine="0"/>
      </w:pPr>
      <w:rPr>
        <w:rFonts w:ascii="Bookman Old Style" w:hAnsi="Bookman Old Style" w:hint="default"/>
        <w:b/>
        <w:i w:val="0"/>
        <w:sz w:val="24"/>
      </w:rPr>
    </w:lvl>
    <w:lvl w:ilvl="3">
      <w:start w:val="1"/>
      <w:numFmt w:val="lowerRoman"/>
      <w:lvlText w:val="(%4)"/>
      <w:lvlJc w:val="right"/>
      <w:pPr>
        <w:ind w:left="-2978" w:firstLine="0"/>
      </w:pPr>
    </w:lvl>
    <w:lvl w:ilvl="4">
      <w:start w:val="1"/>
      <w:numFmt w:val="decimal"/>
      <w:lvlText w:val="%5)"/>
      <w:lvlJc w:val="left"/>
      <w:pPr>
        <w:ind w:left="-2978" w:firstLine="0"/>
      </w:pPr>
    </w:lvl>
    <w:lvl w:ilvl="5">
      <w:start w:val="1"/>
      <w:numFmt w:val="lowerLetter"/>
      <w:lvlText w:val="%6)"/>
      <w:lvlJc w:val="left"/>
      <w:pPr>
        <w:ind w:left="-2978" w:firstLine="0"/>
      </w:pPr>
    </w:lvl>
    <w:lvl w:ilvl="6">
      <w:start w:val="1"/>
      <w:numFmt w:val="lowerRoman"/>
      <w:lvlText w:val="%7)"/>
      <w:lvlJc w:val="right"/>
      <w:pPr>
        <w:ind w:left="-2978" w:firstLine="0"/>
      </w:pPr>
    </w:lvl>
    <w:lvl w:ilvl="7">
      <w:start w:val="1"/>
      <w:numFmt w:val="lowerLetter"/>
      <w:lvlText w:val="%8."/>
      <w:lvlJc w:val="left"/>
      <w:pPr>
        <w:ind w:left="-2978" w:firstLine="0"/>
      </w:pPr>
    </w:lvl>
    <w:lvl w:ilvl="8">
      <w:start w:val="1"/>
      <w:numFmt w:val="lowerRoman"/>
      <w:lvlText w:val="%9."/>
      <w:lvlJc w:val="right"/>
      <w:pPr>
        <w:ind w:left="-2978" w:firstLine="0"/>
      </w:pPr>
      <w:rPr>
        <w:rFonts w:ascii="Bookman Old Style" w:hAnsi="Bookman Old Style" w:hint="default"/>
        <w:b w:val="0"/>
        <w:sz w:val="24"/>
        <w:szCs w:val="24"/>
      </w:rPr>
    </w:lvl>
  </w:abstractNum>
  <w:abstractNum w:abstractNumId="15"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A40B3"/>
    <w:multiLevelType w:val="hybridMultilevel"/>
    <w:tmpl w:val="60A2A606"/>
    <w:lvl w:ilvl="0" w:tplc="C0E472AA">
      <w:numFmt w:val="bullet"/>
      <w:lvlText w:val="-"/>
      <w:lvlJc w:val="left"/>
      <w:pPr>
        <w:ind w:left="644" w:hanging="360"/>
      </w:pPr>
      <w:rPr>
        <w:rFonts w:ascii="Bookman Old Style" w:eastAsia="Times New Roman" w:hAnsi="Bookman Old Style" w:cs="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7" w15:restartNumberingAfterBreak="0">
    <w:nsid w:val="3AAC0FD1"/>
    <w:multiLevelType w:val="multilevel"/>
    <w:tmpl w:val="4E36FF48"/>
    <w:lvl w:ilvl="0">
      <w:start w:val="1"/>
      <w:numFmt w:val="decimal"/>
      <w:pStyle w:val="Artculo"/>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8"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9"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1" w15:restartNumberingAfterBreak="0">
    <w:nsid w:val="5185345B"/>
    <w:multiLevelType w:val="hybridMultilevel"/>
    <w:tmpl w:val="3DEC01AA"/>
    <w:lvl w:ilvl="0" w:tplc="36E2F724">
      <w:start w:val="1"/>
      <w:numFmt w:val="upperRoman"/>
      <w:lvlText w:val="Capítulo %1."/>
      <w:lvlJc w:val="center"/>
      <w:pPr>
        <w:ind w:left="720" w:hanging="360"/>
      </w:pPr>
      <w:rPr>
        <w:rFonts w:hint="default"/>
      </w:rPr>
    </w:lvl>
    <w:lvl w:ilvl="1" w:tplc="3EACC65E">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3"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7"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8"/>
  </w:num>
  <w:num w:numId="2" w16cid:durableId="1497382030">
    <w:abstractNumId w:val="5"/>
  </w:num>
  <w:num w:numId="3" w16cid:durableId="1643658739">
    <w:abstractNumId w:val="28"/>
  </w:num>
  <w:num w:numId="4" w16cid:durableId="1416053916">
    <w:abstractNumId w:val="9"/>
  </w:num>
  <w:num w:numId="5" w16cid:durableId="1460681335">
    <w:abstractNumId w:val="23"/>
  </w:num>
  <w:num w:numId="6" w16cid:durableId="432214895">
    <w:abstractNumId w:val="4"/>
  </w:num>
  <w:num w:numId="7" w16cid:durableId="845751384">
    <w:abstractNumId w:val="3"/>
  </w:num>
  <w:num w:numId="8" w16cid:durableId="29301030">
    <w:abstractNumId w:val="25"/>
  </w:num>
  <w:num w:numId="9" w16cid:durableId="2003662021">
    <w:abstractNumId w:val="24"/>
  </w:num>
  <w:num w:numId="10" w16cid:durableId="2014674860">
    <w:abstractNumId w:val="19"/>
  </w:num>
  <w:num w:numId="11" w16cid:durableId="958032325">
    <w:abstractNumId w:val="29"/>
  </w:num>
  <w:num w:numId="12" w16cid:durableId="1838691975">
    <w:abstractNumId w:val="27"/>
  </w:num>
  <w:num w:numId="13" w16cid:durableId="273679532">
    <w:abstractNumId w:val="15"/>
  </w:num>
  <w:num w:numId="14" w16cid:durableId="2070683866">
    <w:abstractNumId w:val="2"/>
  </w:num>
  <w:num w:numId="15" w16cid:durableId="1975476040">
    <w:abstractNumId w:val="20"/>
  </w:num>
  <w:num w:numId="16" w16cid:durableId="83963299">
    <w:abstractNumId w:val="1"/>
  </w:num>
  <w:num w:numId="17" w16cid:durableId="353533871">
    <w:abstractNumId w:val="13"/>
  </w:num>
  <w:num w:numId="18" w16cid:durableId="788664195">
    <w:abstractNumId w:val="0"/>
  </w:num>
  <w:num w:numId="19" w16cid:durableId="1454788596">
    <w:abstractNumId w:val="26"/>
  </w:num>
  <w:num w:numId="20" w16cid:durableId="1999069271">
    <w:abstractNumId w:val="22"/>
  </w:num>
  <w:num w:numId="21" w16cid:durableId="1075667280">
    <w:abstractNumId w:val="10"/>
  </w:num>
  <w:num w:numId="22" w16cid:durableId="40371620">
    <w:abstractNumId w:val="12"/>
  </w:num>
  <w:num w:numId="23" w16cid:durableId="1216965436">
    <w:abstractNumId w:val="14"/>
  </w:num>
  <w:num w:numId="24" w16cid:durableId="790175663">
    <w:abstractNumId w:val="21"/>
  </w:num>
  <w:num w:numId="25" w16cid:durableId="1629238252">
    <w:abstractNumId w:val="11"/>
  </w:num>
  <w:num w:numId="26" w16cid:durableId="460537226">
    <w:abstractNumId w:val="7"/>
  </w:num>
  <w:num w:numId="27" w16cid:durableId="361706191">
    <w:abstractNumId w:val="16"/>
  </w:num>
  <w:num w:numId="28" w16cid:durableId="1588735867">
    <w:abstractNumId w:val="6"/>
  </w:num>
  <w:num w:numId="29" w16cid:durableId="1145464797">
    <w:abstractNumId w:val="8"/>
  </w:num>
  <w:num w:numId="30" w16cid:durableId="10638712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6E1"/>
    <w:rsid w:val="0000130C"/>
    <w:rsid w:val="00006AE2"/>
    <w:rsid w:val="000076A1"/>
    <w:rsid w:val="00012259"/>
    <w:rsid w:val="0001282B"/>
    <w:rsid w:val="00020910"/>
    <w:rsid w:val="00025383"/>
    <w:rsid w:val="00037663"/>
    <w:rsid w:val="00045319"/>
    <w:rsid w:val="00045D3D"/>
    <w:rsid w:val="000507EC"/>
    <w:rsid w:val="0005225C"/>
    <w:rsid w:val="00062AC2"/>
    <w:rsid w:val="00063657"/>
    <w:rsid w:val="00076680"/>
    <w:rsid w:val="00076A1D"/>
    <w:rsid w:val="0007790B"/>
    <w:rsid w:val="0008073E"/>
    <w:rsid w:val="00091CDB"/>
    <w:rsid w:val="000926D8"/>
    <w:rsid w:val="00093FE5"/>
    <w:rsid w:val="000A19AC"/>
    <w:rsid w:val="000A66FE"/>
    <w:rsid w:val="000B2EC9"/>
    <w:rsid w:val="000B5955"/>
    <w:rsid w:val="000D26F8"/>
    <w:rsid w:val="000E1E8E"/>
    <w:rsid w:val="000E7867"/>
    <w:rsid w:val="000F7A01"/>
    <w:rsid w:val="00106654"/>
    <w:rsid w:val="001208AF"/>
    <w:rsid w:val="00120F2B"/>
    <w:rsid w:val="0013177C"/>
    <w:rsid w:val="0013526C"/>
    <w:rsid w:val="001405C6"/>
    <w:rsid w:val="00140F7D"/>
    <w:rsid w:val="00141013"/>
    <w:rsid w:val="00174840"/>
    <w:rsid w:val="00180A4F"/>
    <w:rsid w:val="00192CBF"/>
    <w:rsid w:val="00192FF1"/>
    <w:rsid w:val="001A5F1B"/>
    <w:rsid w:val="001A6AB5"/>
    <w:rsid w:val="001B1C22"/>
    <w:rsid w:val="001B34C6"/>
    <w:rsid w:val="001B5919"/>
    <w:rsid w:val="001B7DA3"/>
    <w:rsid w:val="001C1780"/>
    <w:rsid w:val="001D7832"/>
    <w:rsid w:val="001F5321"/>
    <w:rsid w:val="00210A88"/>
    <w:rsid w:val="00210DC1"/>
    <w:rsid w:val="00211D34"/>
    <w:rsid w:val="00214F04"/>
    <w:rsid w:val="00226760"/>
    <w:rsid w:val="00233946"/>
    <w:rsid w:val="00233984"/>
    <w:rsid w:val="002352B9"/>
    <w:rsid w:val="0024284D"/>
    <w:rsid w:val="00251A6E"/>
    <w:rsid w:val="00263B75"/>
    <w:rsid w:val="00266CD6"/>
    <w:rsid w:val="002673AC"/>
    <w:rsid w:val="00275DAB"/>
    <w:rsid w:val="00276567"/>
    <w:rsid w:val="00276667"/>
    <w:rsid w:val="002903C0"/>
    <w:rsid w:val="002A782A"/>
    <w:rsid w:val="002B11E2"/>
    <w:rsid w:val="002B24B8"/>
    <w:rsid w:val="002B6717"/>
    <w:rsid w:val="002C0C09"/>
    <w:rsid w:val="002C265E"/>
    <w:rsid w:val="002D2484"/>
    <w:rsid w:val="002D3AE9"/>
    <w:rsid w:val="002D4510"/>
    <w:rsid w:val="002E4D32"/>
    <w:rsid w:val="002F0734"/>
    <w:rsid w:val="002F175F"/>
    <w:rsid w:val="002F46E7"/>
    <w:rsid w:val="00303B87"/>
    <w:rsid w:val="003101DA"/>
    <w:rsid w:val="003111C3"/>
    <w:rsid w:val="00314757"/>
    <w:rsid w:val="003163BC"/>
    <w:rsid w:val="0032052C"/>
    <w:rsid w:val="003211CE"/>
    <w:rsid w:val="00322632"/>
    <w:rsid w:val="0033240E"/>
    <w:rsid w:val="0033402C"/>
    <w:rsid w:val="00334604"/>
    <w:rsid w:val="003358B6"/>
    <w:rsid w:val="003417AC"/>
    <w:rsid w:val="003446D6"/>
    <w:rsid w:val="0035403A"/>
    <w:rsid w:val="00356F16"/>
    <w:rsid w:val="0036394B"/>
    <w:rsid w:val="00366DB6"/>
    <w:rsid w:val="003709B5"/>
    <w:rsid w:val="00374B7D"/>
    <w:rsid w:val="003759C2"/>
    <w:rsid w:val="003760A4"/>
    <w:rsid w:val="00376C35"/>
    <w:rsid w:val="0038056E"/>
    <w:rsid w:val="003953C3"/>
    <w:rsid w:val="00397365"/>
    <w:rsid w:val="003A31F6"/>
    <w:rsid w:val="003A6080"/>
    <w:rsid w:val="003B4613"/>
    <w:rsid w:val="003C279F"/>
    <w:rsid w:val="003C3447"/>
    <w:rsid w:val="003D076C"/>
    <w:rsid w:val="003E78B5"/>
    <w:rsid w:val="003F45AA"/>
    <w:rsid w:val="00415BAB"/>
    <w:rsid w:val="00415ED2"/>
    <w:rsid w:val="004175F9"/>
    <w:rsid w:val="0042068C"/>
    <w:rsid w:val="004340C2"/>
    <w:rsid w:val="004351A1"/>
    <w:rsid w:val="00436040"/>
    <w:rsid w:val="0044318E"/>
    <w:rsid w:val="00443B35"/>
    <w:rsid w:val="00452691"/>
    <w:rsid w:val="0045488D"/>
    <w:rsid w:val="0047122B"/>
    <w:rsid w:val="004734A5"/>
    <w:rsid w:val="00473B7A"/>
    <w:rsid w:val="0047421E"/>
    <w:rsid w:val="004960E9"/>
    <w:rsid w:val="00497205"/>
    <w:rsid w:val="004A29D4"/>
    <w:rsid w:val="004A2E88"/>
    <w:rsid w:val="004A5305"/>
    <w:rsid w:val="004D18B8"/>
    <w:rsid w:val="004D2DA9"/>
    <w:rsid w:val="004D6FE5"/>
    <w:rsid w:val="004D7634"/>
    <w:rsid w:val="004E611A"/>
    <w:rsid w:val="004F2A42"/>
    <w:rsid w:val="004F6460"/>
    <w:rsid w:val="004F6A3D"/>
    <w:rsid w:val="005242D5"/>
    <w:rsid w:val="00524883"/>
    <w:rsid w:val="0052539C"/>
    <w:rsid w:val="005300D3"/>
    <w:rsid w:val="00532189"/>
    <w:rsid w:val="0053497E"/>
    <w:rsid w:val="00535622"/>
    <w:rsid w:val="00542A10"/>
    <w:rsid w:val="00544F82"/>
    <w:rsid w:val="005509D2"/>
    <w:rsid w:val="00552CA4"/>
    <w:rsid w:val="00562BAB"/>
    <w:rsid w:val="00566528"/>
    <w:rsid w:val="00576CFD"/>
    <w:rsid w:val="00586FC1"/>
    <w:rsid w:val="00592433"/>
    <w:rsid w:val="00593C4F"/>
    <w:rsid w:val="005946A8"/>
    <w:rsid w:val="00596BE1"/>
    <w:rsid w:val="005A2626"/>
    <w:rsid w:val="005A4407"/>
    <w:rsid w:val="005A59EF"/>
    <w:rsid w:val="005A6037"/>
    <w:rsid w:val="005B1C7E"/>
    <w:rsid w:val="005B4A2C"/>
    <w:rsid w:val="005C6976"/>
    <w:rsid w:val="005D2B30"/>
    <w:rsid w:val="005D613D"/>
    <w:rsid w:val="005E1407"/>
    <w:rsid w:val="005F5865"/>
    <w:rsid w:val="005F6541"/>
    <w:rsid w:val="005F6F41"/>
    <w:rsid w:val="005F7EC4"/>
    <w:rsid w:val="00602994"/>
    <w:rsid w:val="006071EF"/>
    <w:rsid w:val="00615454"/>
    <w:rsid w:val="00616535"/>
    <w:rsid w:val="006209EF"/>
    <w:rsid w:val="00621C73"/>
    <w:rsid w:val="00625DC6"/>
    <w:rsid w:val="00634991"/>
    <w:rsid w:val="00634F25"/>
    <w:rsid w:val="0063566F"/>
    <w:rsid w:val="0064391D"/>
    <w:rsid w:val="0065008C"/>
    <w:rsid w:val="00651821"/>
    <w:rsid w:val="00654384"/>
    <w:rsid w:val="006566AD"/>
    <w:rsid w:val="00656AF0"/>
    <w:rsid w:val="0066738D"/>
    <w:rsid w:val="006675CD"/>
    <w:rsid w:val="00671D62"/>
    <w:rsid w:val="0067311F"/>
    <w:rsid w:val="00684D9B"/>
    <w:rsid w:val="0068510A"/>
    <w:rsid w:val="00697556"/>
    <w:rsid w:val="006A000B"/>
    <w:rsid w:val="006B4647"/>
    <w:rsid w:val="006B4C2B"/>
    <w:rsid w:val="006B4EF5"/>
    <w:rsid w:val="006B6194"/>
    <w:rsid w:val="006B6D47"/>
    <w:rsid w:val="006B6D9E"/>
    <w:rsid w:val="006C4435"/>
    <w:rsid w:val="006C5AFE"/>
    <w:rsid w:val="006E3C66"/>
    <w:rsid w:val="006E6A28"/>
    <w:rsid w:val="006F1213"/>
    <w:rsid w:val="006F2EC8"/>
    <w:rsid w:val="006F450C"/>
    <w:rsid w:val="006F570A"/>
    <w:rsid w:val="006F6D95"/>
    <w:rsid w:val="00706F13"/>
    <w:rsid w:val="00707169"/>
    <w:rsid w:val="007072E8"/>
    <w:rsid w:val="0071014A"/>
    <w:rsid w:val="00713510"/>
    <w:rsid w:val="0071618D"/>
    <w:rsid w:val="00725FA4"/>
    <w:rsid w:val="00734803"/>
    <w:rsid w:val="00740446"/>
    <w:rsid w:val="007438A9"/>
    <w:rsid w:val="0074491E"/>
    <w:rsid w:val="00754485"/>
    <w:rsid w:val="0076247A"/>
    <w:rsid w:val="007644E9"/>
    <w:rsid w:val="00767690"/>
    <w:rsid w:val="00775964"/>
    <w:rsid w:val="007765FE"/>
    <w:rsid w:val="0078117C"/>
    <w:rsid w:val="00794E2E"/>
    <w:rsid w:val="00795BFB"/>
    <w:rsid w:val="007A4544"/>
    <w:rsid w:val="007A6181"/>
    <w:rsid w:val="007B2760"/>
    <w:rsid w:val="007B40F5"/>
    <w:rsid w:val="007B5A60"/>
    <w:rsid w:val="007B5BBF"/>
    <w:rsid w:val="007C3DAE"/>
    <w:rsid w:val="007D2710"/>
    <w:rsid w:val="007D4F93"/>
    <w:rsid w:val="007D5972"/>
    <w:rsid w:val="007E3034"/>
    <w:rsid w:val="007F61F8"/>
    <w:rsid w:val="00806C01"/>
    <w:rsid w:val="00807E80"/>
    <w:rsid w:val="008148CC"/>
    <w:rsid w:val="008211A4"/>
    <w:rsid w:val="00830826"/>
    <w:rsid w:val="008368BE"/>
    <w:rsid w:val="0084693A"/>
    <w:rsid w:val="00847DE0"/>
    <w:rsid w:val="00862805"/>
    <w:rsid w:val="00873150"/>
    <w:rsid w:val="0087463E"/>
    <w:rsid w:val="0087657D"/>
    <w:rsid w:val="008807D5"/>
    <w:rsid w:val="00880832"/>
    <w:rsid w:val="008861FD"/>
    <w:rsid w:val="00886EE1"/>
    <w:rsid w:val="0088727D"/>
    <w:rsid w:val="00897C75"/>
    <w:rsid w:val="008C1130"/>
    <w:rsid w:val="008D18E6"/>
    <w:rsid w:val="008D7A9B"/>
    <w:rsid w:val="008E0060"/>
    <w:rsid w:val="008E7091"/>
    <w:rsid w:val="008E76AC"/>
    <w:rsid w:val="008F21F6"/>
    <w:rsid w:val="008F3F71"/>
    <w:rsid w:val="00902806"/>
    <w:rsid w:val="009250F5"/>
    <w:rsid w:val="0092664C"/>
    <w:rsid w:val="009320B0"/>
    <w:rsid w:val="009334C8"/>
    <w:rsid w:val="009419FF"/>
    <w:rsid w:val="00942BFB"/>
    <w:rsid w:val="00951F79"/>
    <w:rsid w:val="009546D9"/>
    <w:rsid w:val="00970AD5"/>
    <w:rsid w:val="00974AB5"/>
    <w:rsid w:val="0098706D"/>
    <w:rsid w:val="00992B3A"/>
    <w:rsid w:val="009935FB"/>
    <w:rsid w:val="009B3D7B"/>
    <w:rsid w:val="009B53F8"/>
    <w:rsid w:val="009B7BBB"/>
    <w:rsid w:val="009C14A2"/>
    <w:rsid w:val="009C684B"/>
    <w:rsid w:val="009E2197"/>
    <w:rsid w:val="009F04C7"/>
    <w:rsid w:val="009F4130"/>
    <w:rsid w:val="009F4A54"/>
    <w:rsid w:val="009F4BEC"/>
    <w:rsid w:val="009F5874"/>
    <w:rsid w:val="009F7D54"/>
    <w:rsid w:val="00A03567"/>
    <w:rsid w:val="00A06511"/>
    <w:rsid w:val="00A070BC"/>
    <w:rsid w:val="00A25FD7"/>
    <w:rsid w:val="00A302AB"/>
    <w:rsid w:val="00A43AFF"/>
    <w:rsid w:val="00A50ED9"/>
    <w:rsid w:val="00A66BA9"/>
    <w:rsid w:val="00A71F59"/>
    <w:rsid w:val="00A74105"/>
    <w:rsid w:val="00A7793A"/>
    <w:rsid w:val="00A825AA"/>
    <w:rsid w:val="00A90E1F"/>
    <w:rsid w:val="00A968D2"/>
    <w:rsid w:val="00A97159"/>
    <w:rsid w:val="00AA4BA9"/>
    <w:rsid w:val="00AA4CC7"/>
    <w:rsid w:val="00AA5E8E"/>
    <w:rsid w:val="00AB1FAB"/>
    <w:rsid w:val="00AB2BAD"/>
    <w:rsid w:val="00AB5B77"/>
    <w:rsid w:val="00AB6CA7"/>
    <w:rsid w:val="00AD01E4"/>
    <w:rsid w:val="00AD0858"/>
    <w:rsid w:val="00AE02E3"/>
    <w:rsid w:val="00AE7340"/>
    <w:rsid w:val="00AF1BBD"/>
    <w:rsid w:val="00AF2544"/>
    <w:rsid w:val="00AF4BAC"/>
    <w:rsid w:val="00B10207"/>
    <w:rsid w:val="00B141E7"/>
    <w:rsid w:val="00B332F7"/>
    <w:rsid w:val="00B351B4"/>
    <w:rsid w:val="00B35272"/>
    <w:rsid w:val="00B46BCA"/>
    <w:rsid w:val="00B474F2"/>
    <w:rsid w:val="00B478AA"/>
    <w:rsid w:val="00B558E8"/>
    <w:rsid w:val="00B57390"/>
    <w:rsid w:val="00B60D5A"/>
    <w:rsid w:val="00B668D5"/>
    <w:rsid w:val="00B74A85"/>
    <w:rsid w:val="00B87806"/>
    <w:rsid w:val="00B87EC9"/>
    <w:rsid w:val="00B91753"/>
    <w:rsid w:val="00BA253C"/>
    <w:rsid w:val="00BB3402"/>
    <w:rsid w:val="00BC38FD"/>
    <w:rsid w:val="00BD3EE7"/>
    <w:rsid w:val="00BD72B9"/>
    <w:rsid w:val="00C00260"/>
    <w:rsid w:val="00C034CB"/>
    <w:rsid w:val="00C051A8"/>
    <w:rsid w:val="00C054BC"/>
    <w:rsid w:val="00C118AF"/>
    <w:rsid w:val="00C15CA1"/>
    <w:rsid w:val="00C17897"/>
    <w:rsid w:val="00C23943"/>
    <w:rsid w:val="00C24CE9"/>
    <w:rsid w:val="00C32CEB"/>
    <w:rsid w:val="00C409D5"/>
    <w:rsid w:val="00C435C3"/>
    <w:rsid w:val="00C44E5F"/>
    <w:rsid w:val="00C47587"/>
    <w:rsid w:val="00C51B7C"/>
    <w:rsid w:val="00C6234B"/>
    <w:rsid w:val="00C63EAE"/>
    <w:rsid w:val="00C65C3F"/>
    <w:rsid w:val="00C73260"/>
    <w:rsid w:val="00C7629F"/>
    <w:rsid w:val="00C8394C"/>
    <w:rsid w:val="00C83DE2"/>
    <w:rsid w:val="00C859E7"/>
    <w:rsid w:val="00C8661B"/>
    <w:rsid w:val="00C97A3D"/>
    <w:rsid w:val="00CA03C8"/>
    <w:rsid w:val="00CA139A"/>
    <w:rsid w:val="00CA2899"/>
    <w:rsid w:val="00CA3A3D"/>
    <w:rsid w:val="00CA3AA6"/>
    <w:rsid w:val="00CA77FB"/>
    <w:rsid w:val="00CB379B"/>
    <w:rsid w:val="00CB5DD0"/>
    <w:rsid w:val="00CB6C4A"/>
    <w:rsid w:val="00CC51D4"/>
    <w:rsid w:val="00CC65DA"/>
    <w:rsid w:val="00CC6E84"/>
    <w:rsid w:val="00CD49F5"/>
    <w:rsid w:val="00CD7EE8"/>
    <w:rsid w:val="00CF21B9"/>
    <w:rsid w:val="00CF5A7C"/>
    <w:rsid w:val="00CF6BF9"/>
    <w:rsid w:val="00D03800"/>
    <w:rsid w:val="00D065D3"/>
    <w:rsid w:val="00D12907"/>
    <w:rsid w:val="00D12F45"/>
    <w:rsid w:val="00D14C94"/>
    <w:rsid w:val="00D342A6"/>
    <w:rsid w:val="00D45CA6"/>
    <w:rsid w:val="00D464BF"/>
    <w:rsid w:val="00D467D8"/>
    <w:rsid w:val="00D521F7"/>
    <w:rsid w:val="00D53E26"/>
    <w:rsid w:val="00D577AC"/>
    <w:rsid w:val="00D75B8E"/>
    <w:rsid w:val="00D83F43"/>
    <w:rsid w:val="00D90FD7"/>
    <w:rsid w:val="00D91D09"/>
    <w:rsid w:val="00D9785B"/>
    <w:rsid w:val="00DB182C"/>
    <w:rsid w:val="00DB209B"/>
    <w:rsid w:val="00DD4F0E"/>
    <w:rsid w:val="00DF0BF0"/>
    <w:rsid w:val="00DF16F5"/>
    <w:rsid w:val="00DF3C07"/>
    <w:rsid w:val="00DF3CA2"/>
    <w:rsid w:val="00DF753F"/>
    <w:rsid w:val="00E000B5"/>
    <w:rsid w:val="00E01463"/>
    <w:rsid w:val="00E031C8"/>
    <w:rsid w:val="00E05E0A"/>
    <w:rsid w:val="00E060BE"/>
    <w:rsid w:val="00E12365"/>
    <w:rsid w:val="00E249A0"/>
    <w:rsid w:val="00E2548E"/>
    <w:rsid w:val="00E3044C"/>
    <w:rsid w:val="00E31E79"/>
    <w:rsid w:val="00E4708E"/>
    <w:rsid w:val="00E534CF"/>
    <w:rsid w:val="00E63920"/>
    <w:rsid w:val="00E8029A"/>
    <w:rsid w:val="00E81A2A"/>
    <w:rsid w:val="00E81CB4"/>
    <w:rsid w:val="00E85750"/>
    <w:rsid w:val="00E8585B"/>
    <w:rsid w:val="00E87F41"/>
    <w:rsid w:val="00E91258"/>
    <w:rsid w:val="00E95072"/>
    <w:rsid w:val="00E974A4"/>
    <w:rsid w:val="00EA14DE"/>
    <w:rsid w:val="00EA3F15"/>
    <w:rsid w:val="00EA7847"/>
    <w:rsid w:val="00EB4C2F"/>
    <w:rsid w:val="00EB5E04"/>
    <w:rsid w:val="00ED0F1A"/>
    <w:rsid w:val="00ED4BDD"/>
    <w:rsid w:val="00EE2E6E"/>
    <w:rsid w:val="00EE3694"/>
    <w:rsid w:val="00F0184A"/>
    <w:rsid w:val="00F0759E"/>
    <w:rsid w:val="00F16A43"/>
    <w:rsid w:val="00F30EDD"/>
    <w:rsid w:val="00F4654B"/>
    <w:rsid w:val="00F46780"/>
    <w:rsid w:val="00F55DB1"/>
    <w:rsid w:val="00F60633"/>
    <w:rsid w:val="00F65E14"/>
    <w:rsid w:val="00F77D2D"/>
    <w:rsid w:val="00F821A3"/>
    <w:rsid w:val="00F83874"/>
    <w:rsid w:val="00F9314A"/>
    <w:rsid w:val="00F940B2"/>
    <w:rsid w:val="00FA5F91"/>
    <w:rsid w:val="00FB4655"/>
    <w:rsid w:val="00FC58EF"/>
    <w:rsid w:val="00FC5BF1"/>
    <w:rsid w:val="00FD33DF"/>
    <w:rsid w:val="00FE39D7"/>
    <w:rsid w:val="00FE5273"/>
    <w:rsid w:val="00FF2A63"/>
    <w:rsid w:val="00FF49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customStyle="1" w:styleId="Estilo5">
    <w:name w:val="Estilo5"/>
    <w:basedOn w:val="Normal"/>
    <w:qFormat/>
    <w:rsid w:val="009C684B"/>
    <w:pPr>
      <w:keepNext/>
      <w:spacing w:before="240" w:after="60"/>
      <w:ind w:left="0"/>
      <w:jc w:val="both"/>
      <w:outlineLvl w:val="0"/>
    </w:pPr>
    <w:rPr>
      <w:rFonts w:ascii="Bookman Old Style" w:hAnsi="Bookman Old Style"/>
      <w:b/>
      <w:kern w:val="28"/>
      <w:szCs w:val="22"/>
      <w:lang w:val="es-ES_tradnl" w:eastAsia="es-CO"/>
    </w:rPr>
  </w:style>
  <w:style w:type="character" w:customStyle="1" w:styleId="normaltextrun">
    <w:name w:val="normaltextrun"/>
    <w:basedOn w:val="Fuentedeprrafopredeter"/>
    <w:rsid w:val="009C684B"/>
  </w:style>
  <w:style w:type="paragraph" w:styleId="Cita">
    <w:name w:val="Quote"/>
    <w:basedOn w:val="Normal"/>
    <w:next w:val="Normal"/>
    <w:link w:val="CitaCar"/>
    <w:uiPriority w:val="29"/>
    <w:qFormat/>
    <w:rsid w:val="00210A88"/>
    <w:pPr>
      <w:spacing w:before="120"/>
      <w:ind w:left="142"/>
    </w:pPr>
    <w:rPr>
      <w:rFonts w:ascii="Bookman Old Style" w:hAnsi="Bookman Old Style" w:cs="Arial"/>
      <w:i/>
      <w:sz w:val="22"/>
      <w:szCs w:val="22"/>
      <w:lang w:val="es-CO"/>
    </w:rPr>
  </w:style>
  <w:style w:type="character" w:customStyle="1" w:styleId="CitaCar">
    <w:name w:val="Cita Car"/>
    <w:basedOn w:val="Fuentedeprrafopredeter"/>
    <w:link w:val="Cita"/>
    <w:uiPriority w:val="29"/>
    <w:rsid w:val="00210A88"/>
    <w:rPr>
      <w:rFonts w:ascii="Bookman Old Style" w:hAnsi="Bookman Old Style" w:cs="Arial"/>
      <w:i/>
      <w:sz w:val="22"/>
      <w:szCs w:val="22"/>
      <w:lang w:eastAsia="es-ES"/>
    </w:rPr>
  </w:style>
  <w:style w:type="character" w:styleId="Hipervnculo">
    <w:name w:val="Hyperlink"/>
    <w:basedOn w:val="Fuentedeprrafopredeter"/>
    <w:uiPriority w:val="99"/>
    <w:unhideWhenUsed/>
    <w:rsid w:val="009F7D54"/>
    <w:rPr>
      <w:color w:val="0000FF"/>
      <w:u w:val="single"/>
    </w:rPr>
  </w:style>
  <w:style w:type="paragraph" w:customStyle="1" w:styleId="Citas">
    <w:name w:val="Citas"/>
    <w:basedOn w:val="Normal"/>
    <w:rsid w:val="009F7D54"/>
    <w:pPr>
      <w:spacing w:before="240" w:after="240"/>
      <w:ind w:left="708" w:right="618"/>
      <w:jc w:val="both"/>
    </w:pPr>
    <w:rPr>
      <w:rFonts w:ascii="Bookman Old Style" w:hAnsi="Bookman Old Style" w:cs="Arial"/>
      <w:i/>
      <w:iCs/>
      <w:szCs w:val="20"/>
    </w:rPr>
  </w:style>
  <w:style w:type="paragraph" w:styleId="Revisin">
    <w:name w:val="Revision"/>
    <w:hidden/>
    <w:uiPriority w:val="99"/>
    <w:semiHidden/>
    <w:rsid w:val="00D467D8"/>
    <w:rPr>
      <w:sz w:val="24"/>
      <w:szCs w:val="24"/>
      <w:lang w:val="es-ES" w:eastAsia="es-ES"/>
    </w:rPr>
  </w:style>
  <w:style w:type="paragraph" w:customStyle="1" w:styleId="Artculo">
    <w:name w:val="Artículo"/>
    <w:basedOn w:val="Prrafodelista"/>
    <w:qFormat/>
    <w:rsid w:val="005F7EC4"/>
    <w:pPr>
      <w:numPr>
        <w:numId w:val="30"/>
      </w:numPr>
      <w:spacing w:before="240"/>
      <w:jc w:val="both"/>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1828">
      <w:bodyDiv w:val="1"/>
      <w:marLeft w:val="0"/>
      <w:marRight w:val="0"/>
      <w:marTop w:val="0"/>
      <w:marBottom w:val="0"/>
      <w:divBdr>
        <w:top w:val="none" w:sz="0" w:space="0" w:color="auto"/>
        <w:left w:val="none" w:sz="0" w:space="0" w:color="auto"/>
        <w:bottom w:val="none" w:sz="0" w:space="0" w:color="auto"/>
        <w:right w:val="none" w:sz="0" w:space="0" w:color="auto"/>
      </w:divBdr>
    </w:div>
    <w:div w:id="731192846">
      <w:bodyDiv w:val="1"/>
      <w:marLeft w:val="0"/>
      <w:marRight w:val="0"/>
      <w:marTop w:val="0"/>
      <w:marBottom w:val="0"/>
      <w:divBdr>
        <w:top w:val="none" w:sz="0" w:space="0" w:color="auto"/>
        <w:left w:val="none" w:sz="0" w:space="0" w:color="auto"/>
        <w:bottom w:val="none" w:sz="0" w:space="0" w:color="auto"/>
        <w:right w:val="none" w:sz="0" w:space="0" w:color="auto"/>
      </w:divBdr>
    </w:div>
    <w:div w:id="758409844">
      <w:bodyDiv w:val="1"/>
      <w:marLeft w:val="0"/>
      <w:marRight w:val="0"/>
      <w:marTop w:val="0"/>
      <w:marBottom w:val="0"/>
      <w:divBdr>
        <w:top w:val="none" w:sz="0" w:space="0" w:color="auto"/>
        <w:left w:val="none" w:sz="0" w:space="0" w:color="auto"/>
        <w:bottom w:val="none" w:sz="0" w:space="0" w:color="auto"/>
        <w:right w:val="none" w:sz="0" w:space="0" w:color="auto"/>
      </w:divBdr>
    </w:div>
    <w:div w:id="1173301034">
      <w:bodyDiv w:val="1"/>
      <w:marLeft w:val="0"/>
      <w:marRight w:val="0"/>
      <w:marTop w:val="0"/>
      <w:marBottom w:val="0"/>
      <w:divBdr>
        <w:top w:val="none" w:sz="0" w:space="0" w:color="auto"/>
        <w:left w:val="none" w:sz="0" w:space="0" w:color="auto"/>
        <w:bottom w:val="none" w:sz="0" w:space="0" w:color="auto"/>
        <w:right w:val="none" w:sz="0" w:space="0" w:color="auto"/>
      </w:divBdr>
    </w:div>
    <w:div w:id="1284188854">
      <w:bodyDiv w:val="1"/>
      <w:marLeft w:val="0"/>
      <w:marRight w:val="0"/>
      <w:marTop w:val="0"/>
      <w:marBottom w:val="0"/>
      <w:divBdr>
        <w:top w:val="none" w:sz="0" w:space="0" w:color="auto"/>
        <w:left w:val="none" w:sz="0" w:space="0" w:color="auto"/>
        <w:bottom w:val="none" w:sz="0" w:space="0" w:color="auto"/>
        <w:right w:val="none" w:sz="0" w:space="0" w:color="auto"/>
      </w:divBdr>
    </w:div>
    <w:div w:id="1368068729">
      <w:bodyDiv w:val="1"/>
      <w:marLeft w:val="0"/>
      <w:marRight w:val="0"/>
      <w:marTop w:val="0"/>
      <w:marBottom w:val="0"/>
      <w:divBdr>
        <w:top w:val="none" w:sz="0" w:space="0" w:color="auto"/>
        <w:left w:val="none" w:sz="0" w:space="0" w:color="auto"/>
        <w:bottom w:val="none" w:sz="0" w:space="0" w:color="auto"/>
        <w:right w:val="none" w:sz="0" w:space="0" w:color="auto"/>
      </w:divBdr>
    </w:div>
    <w:div w:id="170926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BE2C-747B-4A8E-99B4-05E83964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10</TotalTime>
  <Pages>6</Pages>
  <Words>2326</Words>
  <Characters>11611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2</cp:revision>
  <cp:lastPrinted>2011-07-21T13:53:00Z</cp:lastPrinted>
  <dcterms:created xsi:type="dcterms:W3CDTF">2023-12-21T22:57:00Z</dcterms:created>
  <dcterms:modified xsi:type="dcterms:W3CDTF">2023-12-21T22:57:00Z</dcterms:modified>
</cp:coreProperties>
</file>