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B00F3" w14:textId="3A24C6F8" w:rsidR="00F662E9" w:rsidRDefault="00F662E9"/>
    <w:p w14:paraId="4EF98527" w14:textId="77777777" w:rsidR="00F662E9" w:rsidRDefault="00F662E9"/>
    <w:p w14:paraId="2CC2A55D" w14:textId="77777777" w:rsidR="00F662E9" w:rsidRDefault="00F662E9"/>
    <w:p w14:paraId="3470A6B6" w14:textId="77777777" w:rsidR="00153C2B" w:rsidRDefault="00153C2B"/>
    <w:p w14:paraId="6DA5328E" w14:textId="6AF42D09" w:rsidR="00020441" w:rsidRDefault="00000520">
      <w:r>
        <w:rPr>
          <w:noProof/>
          <w:sz w:val="20"/>
          <w:lang w:val="es-CO" w:eastAsia="es-CO"/>
        </w:rPr>
        <w:drawing>
          <wp:anchor distT="0" distB="0" distL="114300" distR="114300" simplePos="0" relativeHeight="251658240" behindDoc="0" locked="0" layoutInCell="1" allowOverlap="1" wp14:anchorId="3CD679E6" wp14:editId="0B0F3A8F">
            <wp:simplePos x="0" y="0"/>
            <wp:positionH relativeFrom="column">
              <wp:posOffset>1714500</wp:posOffset>
            </wp:positionH>
            <wp:positionV relativeFrom="paragraph">
              <wp:posOffset>215265</wp:posOffset>
            </wp:positionV>
            <wp:extent cx="2377440" cy="109283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17622" w14:textId="77777777" w:rsidR="00020441" w:rsidRDefault="00020441" w:rsidP="00A64046">
      <w:pPr>
        <w:pStyle w:val="TDC1"/>
      </w:pPr>
    </w:p>
    <w:p w14:paraId="59B5E414" w14:textId="7623CD08" w:rsidR="00020441" w:rsidRDefault="00020441" w:rsidP="00A64046">
      <w:pPr>
        <w:pStyle w:val="TDC1"/>
      </w:pPr>
    </w:p>
    <w:p w14:paraId="567DA79D" w14:textId="77777777" w:rsidR="00F662E9" w:rsidRPr="00F662E9" w:rsidRDefault="00F662E9" w:rsidP="00F662E9">
      <w:pPr>
        <w:rPr>
          <w:lang w:val="es-ES"/>
        </w:rPr>
      </w:pPr>
    </w:p>
    <w:p w14:paraId="31FBBA12" w14:textId="77777777" w:rsidR="00020441" w:rsidRDefault="00020441"/>
    <w:p w14:paraId="211E001C" w14:textId="77777777" w:rsidR="00020441" w:rsidRDefault="00020441"/>
    <w:p w14:paraId="16F6F529" w14:textId="77777777" w:rsidR="00020441" w:rsidRDefault="00020441"/>
    <w:p w14:paraId="1B27E835" w14:textId="6A2A3129" w:rsidR="00020441" w:rsidRDefault="004957CA" w:rsidP="007B7AC5">
      <w:pPr>
        <w:pStyle w:val="Textoindependiente"/>
        <w:rPr>
          <w:sz w:val="40"/>
        </w:rPr>
      </w:pPr>
      <w:bookmarkStart w:id="0" w:name="_Hlk143159777"/>
      <w:r>
        <w:rPr>
          <w:sz w:val="40"/>
        </w:rPr>
        <w:t xml:space="preserve">METODOLOGÍA </w:t>
      </w:r>
      <w:r w:rsidR="00CB0AFB">
        <w:rPr>
          <w:sz w:val="40"/>
        </w:rPr>
        <w:t>PARA LA DETER</w:t>
      </w:r>
      <w:r w:rsidR="009D600C">
        <w:rPr>
          <w:sz w:val="40"/>
        </w:rPr>
        <w:t>MINACIÓN</w:t>
      </w:r>
      <w:r w:rsidR="001A705D">
        <w:rPr>
          <w:sz w:val="40"/>
        </w:rPr>
        <w:t xml:space="preserve"> DEL</w:t>
      </w:r>
      <w:r w:rsidR="009D600C">
        <w:rPr>
          <w:sz w:val="40"/>
        </w:rPr>
        <w:t xml:space="preserve"> </w:t>
      </w:r>
      <w:r>
        <w:rPr>
          <w:sz w:val="40"/>
        </w:rPr>
        <w:t>PRECIO DE BOLSA</w:t>
      </w:r>
    </w:p>
    <w:p w14:paraId="58B91D2B" w14:textId="77777777" w:rsidR="00160ACD" w:rsidRDefault="00160ACD" w:rsidP="007B7AC5">
      <w:pPr>
        <w:pStyle w:val="Textoindependiente"/>
        <w:rPr>
          <w:bCs/>
          <w:sz w:val="32"/>
        </w:rPr>
      </w:pPr>
    </w:p>
    <w:p w14:paraId="1C0E5528" w14:textId="3C39FB43" w:rsidR="007B7AC5" w:rsidRDefault="00B73E75" w:rsidP="007B7AC5">
      <w:pPr>
        <w:pStyle w:val="Textoindependiente"/>
        <w:rPr>
          <w:bCs/>
          <w:sz w:val="32"/>
        </w:rPr>
      </w:pPr>
      <w:r>
        <w:rPr>
          <w:bCs/>
          <w:sz w:val="32"/>
        </w:rPr>
        <w:t>PROPUESTAS DE AJUSTE</w:t>
      </w:r>
      <w:r w:rsidR="00E51BC0">
        <w:rPr>
          <w:bCs/>
          <w:sz w:val="32"/>
        </w:rPr>
        <w:t xml:space="preserve"> </w:t>
      </w:r>
      <w:r w:rsidR="009E3C40">
        <w:rPr>
          <w:bCs/>
          <w:sz w:val="32"/>
        </w:rPr>
        <w:t>TEMPORAL</w:t>
      </w:r>
    </w:p>
    <w:bookmarkEnd w:id="0"/>
    <w:p w14:paraId="65040993" w14:textId="77777777" w:rsidR="00020441" w:rsidRDefault="00020441" w:rsidP="00A64046">
      <w:pPr>
        <w:pStyle w:val="TDC1"/>
      </w:pPr>
    </w:p>
    <w:p w14:paraId="66F041D0" w14:textId="77777777" w:rsidR="00020441" w:rsidRDefault="00020441"/>
    <w:p w14:paraId="2A19BA9B" w14:textId="77777777" w:rsidR="00020441" w:rsidRDefault="00020441"/>
    <w:p w14:paraId="218BB56E" w14:textId="662D4274" w:rsidR="00020441" w:rsidRDefault="00020441"/>
    <w:p w14:paraId="715B5A8B" w14:textId="77777777" w:rsidR="007B7AC5" w:rsidRDefault="007B7AC5"/>
    <w:p w14:paraId="07BC111C" w14:textId="77777777" w:rsidR="00020441" w:rsidRDefault="00020441"/>
    <w:p w14:paraId="54E911F9" w14:textId="6A4ED90A" w:rsidR="00020441" w:rsidRDefault="00020441">
      <w:pPr>
        <w:rPr>
          <w:b/>
          <w:caps/>
          <w:sz w:val="36"/>
          <w:lang w:val="es-ES"/>
        </w:rPr>
      </w:pPr>
      <w:r>
        <w:rPr>
          <w:b/>
          <w:caps/>
          <w:sz w:val="28"/>
          <w:lang w:val="es-ES"/>
        </w:rPr>
        <w:t xml:space="preserve">DOCUMENTO </w:t>
      </w:r>
      <w:r>
        <w:rPr>
          <w:b/>
          <w:caps/>
          <w:sz w:val="40"/>
          <w:lang w:val="es-ES"/>
        </w:rPr>
        <w:t>CREG</w:t>
      </w:r>
      <w:r w:rsidR="003E675D">
        <w:rPr>
          <w:b/>
          <w:caps/>
          <w:sz w:val="40"/>
          <w:lang w:val="es-ES"/>
        </w:rPr>
        <w:t xml:space="preserve"> – 901 044</w:t>
      </w:r>
    </w:p>
    <w:p w14:paraId="0C635D25" w14:textId="38480B22" w:rsidR="00020441" w:rsidRPr="003E675D" w:rsidRDefault="003E675D">
      <w:pPr>
        <w:tabs>
          <w:tab w:val="left" w:pos="9142"/>
        </w:tabs>
        <w:jc w:val="left"/>
        <w:rPr>
          <w:b/>
          <w:bCs/>
          <w:sz w:val="28"/>
        </w:rPr>
      </w:pPr>
      <w:r w:rsidRPr="003E675D">
        <w:rPr>
          <w:rFonts w:cs="Arial"/>
          <w:b/>
          <w:bCs/>
          <w:lang w:val="es-MX"/>
        </w:rPr>
        <w:t>18 DE DICIEMBRE DE 2023</w:t>
      </w:r>
    </w:p>
    <w:p w14:paraId="5AF90631" w14:textId="15CE37E0" w:rsidR="00020441" w:rsidRDefault="00020441" w:rsidP="00A64046">
      <w:pPr>
        <w:pStyle w:val="TDC1"/>
      </w:pPr>
    </w:p>
    <w:p w14:paraId="23423849" w14:textId="77777777" w:rsidR="007B7AC5" w:rsidRPr="007B7AC5" w:rsidRDefault="007B7AC5" w:rsidP="007B7AC5">
      <w:pPr>
        <w:rPr>
          <w:lang w:val="es-ES"/>
        </w:rPr>
      </w:pPr>
    </w:p>
    <w:tbl>
      <w:tblPr>
        <w:tblW w:w="0" w:type="auto"/>
        <w:tblInd w:w="4956" w:type="dxa"/>
        <w:tblCellMar>
          <w:left w:w="70" w:type="dxa"/>
          <w:right w:w="70" w:type="dxa"/>
        </w:tblCellMar>
        <w:tblLook w:val="0000" w:firstRow="0" w:lastRow="0" w:firstColumn="0" w:lastColumn="0" w:noHBand="0" w:noVBand="0"/>
      </w:tblPr>
      <w:tblGrid>
        <w:gridCol w:w="4024"/>
      </w:tblGrid>
      <w:tr w:rsidR="00020441" w14:paraId="36CD7AB8" w14:textId="77777777">
        <w:tc>
          <w:tcPr>
            <w:tcW w:w="4024" w:type="dxa"/>
          </w:tcPr>
          <w:p w14:paraId="6A0FC686" w14:textId="77777777" w:rsidR="0077100C" w:rsidRDefault="0077100C">
            <w:pPr>
              <w:jc w:val="left"/>
              <w:rPr>
                <w:b/>
                <w:bCs/>
              </w:rPr>
            </w:pPr>
          </w:p>
          <w:p w14:paraId="7A3FF910" w14:textId="77777777" w:rsidR="0077100C" w:rsidRDefault="0077100C">
            <w:pPr>
              <w:jc w:val="left"/>
              <w:rPr>
                <w:b/>
                <w:bCs/>
              </w:rPr>
            </w:pPr>
          </w:p>
          <w:p w14:paraId="0342DAB8" w14:textId="77777777" w:rsidR="00020441" w:rsidRDefault="00020441">
            <w:pPr>
              <w:jc w:val="left"/>
              <w:rPr>
                <w:b/>
                <w:bCs/>
              </w:rPr>
            </w:pPr>
            <w:r>
              <w:rPr>
                <w:b/>
                <w:bCs/>
              </w:rPr>
              <w:t>CIRCULACIÓN:</w:t>
            </w:r>
          </w:p>
        </w:tc>
      </w:tr>
      <w:tr w:rsidR="00020441" w14:paraId="36F7E2C3" w14:textId="77777777">
        <w:tc>
          <w:tcPr>
            <w:tcW w:w="4024" w:type="dxa"/>
          </w:tcPr>
          <w:p w14:paraId="03E9AF54" w14:textId="77777777" w:rsidR="00020441" w:rsidRDefault="00020441">
            <w:pPr>
              <w:jc w:val="left"/>
              <w:rPr>
                <w:b/>
                <w:bCs/>
              </w:rPr>
            </w:pPr>
            <w:r>
              <w:rPr>
                <w:b/>
                <w:bCs/>
              </w:rPr>
              <w:t>MIEMBROS DE LA COMISIÓN DE</w:t>
            </w:r>
          </w:p>
        </w:tc>
      </w:tr>
      <w:tr w:rsidR="00020441" w14:paraId="7F486FE2" w14:textId="77777777">
        <w:tc>
          <w:tcPr>
            <w:tcW w:w="4024" w:type="dxa"/>
          </w:tcPr>
          <w:p w14:paraId="5EC323FC" w14:textId="7CFA26AF" w:rsidR="00020441" w:rsidRDefault="00020441">
            <w:pPr>
              <w:tabs>
                <w:tab w:val="left" w:pos="4606"/>
                <w:tab w:val="left" w:pos="9142"/>
              </w:tabs>
              <w:jc w:val="left"/>
              <w:rPr>
                <w:b/>
                <w:bCs/>
              </w:rPr>
            </w:pPr>
            <w:r>
              <w:rPr>
                <w:b/>
                <w:bCs/>
              </w:rPr>
              <w:t>REGULACIÓN DE ENERGÍA Y GAS</w:t>
            </w:r>
          </w:p>
        </w:tc>
      </w:tr>
    </w:tbl>
    <w:p w14:paraId="18F91C2D" w14:textId="77777777" w:rsidR="00E7209B" w:rsidRDefault="00E7209B" w:rsidP="003C55ED">
      <w:pPr>
        <w:pStyle w:val="Ttulo1"/>
        <w:numPr>
          <w:ilvl w:val="0"/>
          <w:numId w:val="0"/>
        </w:numPr>
        <w:ind w:left="432" w:hanging="432"/>
        <w:jc w:val="center"/>
      </w:pPr>
    </w:p>
    <w:p w14:paraId="27BAB38E" w14:textId="77777777" w:rsidR="00E7209B" w:rsidRDefault="00020441" w:rsidP="003C55ED">
      <w:pPr>
        <w:pStyle w:val="Ttulo1"/>
        <w:numPr>
          <w:ilvl w:val="0"/>
          <w:numId w:val="0"/>
        </w:numPr>
        <w:ind w:left="432" w:hanging="432"/>
        <w:jc w:val="center"/>
      </w:pPr>
      <w:r>
        <w:br w:type="page"/>
      </w:r>
      <w:bookmarkStart w:id="1" w:name="_Toc429486657"/>
      <w:bookmarkStart w:id="2" w:name="_Toc417034533"/>
    </w:p>
    <w:bookmarkEnd w:id="2" w:displacedByCustomXml="next"/>
    <w:bookmarkEnd w:id="1" w:displacedByCustomXml="next"/>
    <w:sdt>
      <w:sdtPr>
        <w:rPr>
          <w:rFonts w:ascii="Arial" w:eastAsia="Times New Roman" w:hAnsi="Arial" w:cs="Times New Roman"/>
          <w:color w:val="auto"/>
          <w:sz w:val="24"/>
          <w:szCs w:val="20"/>
          <w:lang w:val="es-ES" w:eastAsia="es-ES"/>
        </w:rPr>
        <w:id w:val="116259151"/>
        <w:docPartObj>
          <w:docPartGallery w:val="Table of Contents"/>
          <w:docPartUnique/>
        </w:docPartObj>
      </w:sdtPr>
      <w:sdtEndPr>
        <w:rPr>
          <w:b/>
          <w:bCs/>
        </w:rPr>
      </w:sdtEndPr>
      <w:sdtContent>
        <w:p w14:paraId="409AAE58" w14:textId="77777777" w:rsidR="00F2644E" w:rsidRDefault="00F2644E">
          <w:pPr>
            <w:pStyle w:val="TtuloTDC"/>
            <w:rPr>
              <w:rFonts w:ascii="Arial" w:eastAsia="Times New Roman" w:hAnsi="Arial" w:cs="Times New Roman"/>
              <w:color w:val="auto"/>
              <w:sz w:val="24"/>
              <w:szCs w:val="20"/>
              <w:lang w:val="es-ES" w:eastAsia="es-ES"/>
            </w:rPr>
          </w:pPr>
        </w:p>
        <w:p w14:paraId="5173E7E1" w14:textId="0E8933F3" w:rsidR="00DE477E" w:rsidRDefault="00DE477E">
          <w:pPr>
            <w:pStyle w:val="TtuloTDC"/>
          </w:pPr>
          <w:r>
            <w:rPr>
              <w:lang w:val="es-ES"/>
            </w:rPr>
            <w:t>Contenido</w:t>
          </w:r>
        </w:p>
        <w:p w14:paraId="3EC215F0" w14:textId="7FC8D7A6" w:rsidR="004B324E" w:rsidRDefault="00DE477E">
          <w:pPr>
            <w:pStyle w:val="TDC1"/>
            <w:rPr>
              <w:rFonts w:asciiTheme="minorHAnsi" w:eastAsiaTheme="minorEastAsia" w:hAnsiTheme="minorHAnsi" w:cstheme="minorBidi"/>
              <w:kern w:val="2"/>
              <w:sz w:val="22"/>
              <w:szCs w:val="22"/>
              <w:lang w:val="es-CO" w:eastAsia="es-CO"/>
              <w14:ligatures w14:val="standardContextual"/>
            </w:rPr>
          </w:pPr>
          <w:r>
            <w:fldChar w:fldCharType="begin"/>
          </w:r>
          <w:r>
            <w:instrText xml:space="preserve"> TOC \o "1-3" \h \z \u </w:instrText>
          </w:r>
          <w:r>
            <w:fldChar w:fldCharType="separate"/>
          </w:r>
          <w:hyperlink w:anchor="_Toc153876835" w:history="1">
            <w:r w:rsidR="004B324E" w:rsidRPr="00192AB5">
              <w:rPr>
                <w:rStyle w:val="Hipervnculo"/>
              </w:rPr>
              <w:t>1.</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Pr>
              <w:t>ANTECEDENTES</w:t>
            </w:r>
            <w:r w:rsidR="004B324E">
              <w:rPr>
                <w:webHidden/>
              </w:rPr>
              <w:tab/>
            </w:r>
            <w:r w:rsidR="004B324E">
              <w:rPr>
                <w:webHidden/>
              </w:rPr>
              <w:fldChar w:fldCharType="begin"/>
            </w:r>
            <w:r w:rsidR="004B324E">
              <w:rPr>
                <w:webHidden/>
              </w:rPr>
              <w:instrText xml:space="preserve"> PAGEREF _Toc153876835 \h </w:instrText>
            </w:r>
            <w:r w:rsidR="004B324E">
              <w:rPr>
                <w:webHidden/>
              </w:rPr>
            </w:r>
            <w:r w:rsidR="004B324E">
              <w:rPr>
                <w:webHidden/>
              </w:rPr>
              <w:fldChar w:fldCharType="separate"/>
            </w:r>
            <w:r w:rsidR="004B57FF">
              <w:rPr>
                <w:webHidden/>
              </w:rPr>
              <w:t>4</w:t>
            </w:r>
            <w:r w:rsidR="004B324E">
              <w:rPr>
                <w:webHidden/>
              </w:rPr>
              <w:fldChar w:fldCharType="end"/>
            </w:r>
          </w:hyperlink>
        </w:p>
        <w:p w14:paraId="36D06FC8" w14:textId="27A6FC00" w:rsidR="004B324E" w:rsidRDefault="004B57FF">
          <w:pPr>
            <w:pStyle w:val="TDC1"/>
            <w:rPr>
              <w:rFonts w:asciiTheme="minorHAnsi" w:eastAsiaTheme="minorEastAsia" w:hAnsiTheme="minorHAnsi" w:cstheme="minorBidi"/>
              <w:kern w:val="2"/>
              <w:sz w:val="22"/>
              <w:szCs w:val="22"/>
              <w:lang w:val="es-CO" w:eastAsia="es-CO"/>
              <w14:ligatures w14:val="standardContextual"/>
            </w:rPr>
          </w:pPr>
          <w:hyperlink w:anchor="_Toc153876836" w:history="1">
            <w:r w:rsidR="004B324E" w:rsidRPr="00192AB5">
              <w:rPr>
                <w:rStyle w:val="Hipervnculo"/>
              </w:rPr>
              <w:t>2.</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Pr>
              <w:t>INFORMACIÓN GENERAL</w:t>
            </w:r>
            <w:r w:rsidR="004B324E">
              <w:rPr>
                <w:webHidden/>
              </w:rPr>
              <w:tab/>
            </w:r>
            <w:r w:rsidR="004B324E">
              <w:rPr>
                <w:webHidden/>
              </w:rPr>
              <w:fldChar w:fldCharType="begin"/>
            </w:r>
            <w:r w:rsidR="004B324E">
              <w:rPr>
                <w:webHidden/>
              </w:rPr>
              <w:instrText xml:space="preserve"> PAGEREF _Toc153876836 \h </w:instrText>
            </w:r>
            <w:r w:rsidR="004B324E">
              <w:rPr>
                <w:webHidden/>
              </w:rPr>
            </w:r>
            <w:r w:rsidR="004B324E">
              <w:rPr>
                <w:webHidden/>
              </w:rPr>
              <w:fldChar w:fldCharType="separate"/>
            </w:r>
            <w:r>
              <w:rPr>
                <w:webHidden/>
              </w:rPr>
              <w:t>6</w:t>
            </w:r>
            <w:r w:rsidR="004B324E">
              <w:rPr>
                <w:webHidden/>
              </w:rPr>
              <w:fldChar w:fldCharType="end"/>
            </w:r>
          </w:hyperlink>
        </w:p>
        <w:p w14:paraId="755D0C17" w14:textId="42EB5529" w:rsidR="004B324E" w:rsidRDefault="004B57FF">
          <w:pPr>
            <w:pStyle w:val="TDC2"/>
            <w:rPr>
              <w:rFonts w:asciiTheme="minorHAnsi" w:eastAsiaTheme="minorEastAsia" w:hAnsiTheme="minorHAnsi" w:cstheme="minorBidi"/>
              <w:kern w:val="2"/>
              <w:sz w:val="22"/>
              <w:szCs w:val="22"/>
              <w:lang w:val="es-CO" w:eastAsia="es-CO"/>
              <w14:ligatures w14:val="standardContextual"/>
            </w:rPr>
          </w:pPr>
          <w:hyperlink w:anchor="_Toc153876837" w:history="1">
            <w:r w:rsidR="004B324E" w:rsidRPr="00192AB5">
              <w:rPr>
                <w:rStyle w:val="Hipervnculo"/>
              </w:rPr>
              <w:t>2.1</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Pr>
              <w:t>Reglamentación precio de bolsa</w:t>
            </w:r>
            <w:r w:rsidR="004B324E">
              <w:rPr>
                <w:webHidden/>
              </w:rPr>
              <w:tab/>
            </w:r>
            <w:r w:rsidR="004B324E">
              <w:rPr>
                <w:webHidden/>
              </w:rPr>
              <w:fldChar w:fldCharType="begin"/>
            </w:r>
            <w:r w:rsidR="004B324E">
              <w:rPr>
                <w:webHidden/>
              </w:rPr>
              <w:instrText xml:space="preserve"> PAGEREF _Toc153876837 \h </w:instrText>
            </w:r>
            <w:r w:rsidR="004B324E">
              <w:rPr>
                <w:webHidden/>
              </w:rPr>
            </w:r>
            <w:r w:rsidR="004B324E">
              <w:rPr>
                <w:webHidden/>
              </w:rPr>
              <w:fldChar w:fldCharType="separate"/>
            </w:r>
            <w:r>
              <w:rPr>
                <w:webHidden/>
              </w:rPr>
              <w:t>6</w:t>
            </w:r>
            <w:r w:rsidR="004B324E">
              <w:rPr>
                <w:webHidden/>
              </w:rPr>
              <w:fldChar w:fldCharType="end"/>
            </w:r>
          </w:hyperlink>
        </w:p>
        <w:p w14:paraId="0DA5D6A7" w14:textId="75BA476F" w:rsidR="004B324E" w:rsidRDefault="004B57FF">
          <w:pPr>
            <w:pStyle w:val="TDC2"/>
            <w:rPr>
              <w:rFonts w:asciiTheme="minorHAnsi" w:eastAsiaTheme="minorEastAsia" w:hAnsiTheme="minorHAnsi" w:cstheme="minorBidi"/>
              <w:kern w:val="2"/>
              <w:sz w:val="22"/>
              <w:szCs w:val="22"/>
              <w:lang w:val="es-CO" w:eastAsia="es-CO"/>
              <w14:ligatures w14:val="standardContextual"/>
            </w:rPr>
          </w:pPr>
          <w:hyperlink w:anchor="_Toc153876838" w:history="1">
            <w:r w:rsidR="004B324E" w:rsidRPr="00192AB5">
              <w:rPr>
                <w:rStyle w:val="Hipervnculo"/>
              </w:rPr>
              <w:t>2.2</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Pr>
              <w:t>Reconciliación positiva</w:t>
            </w:r>
            <w:r w:rsidR="004B324E">
              <w:rPr>
                <w:webHidden/>
              </w:rPr>
              <w:tab/>
            </w:r>
            <w:r w:rsidR="004B324E">
              <w:rPr>
                <w:webHidden/>
              </w:rPr>
              <w:fldChar w:fldCharType="begin"/>
            </w:r>
            <w:r w:rsidR="004B324E">
              <w:rPr>
                <w:webHidden/>
              </w:rPr>
              <w:instrText xml:space="preserve"> PAGEREF _Toc153876838 \h </w:instrText>
            </w:r>
            <w:r w:rsidR="004B324E">
              <w:rPr>
                <w:webHidden/>
              </w:rPr>
            </w:r>
            <w:r w:rsidR="004B324E">
              <w:rPr>
                <w:webHidden/>
              </w:rPr>
              <w:fldChar w:fldCharType="separate"/>
            </w:r>
            <w:r>
              <w:rPr>
                <w:webHidden/>
              </w:rPr>
              <w:t>9</w:t>
            </w:r>
            <w:r w:rsidR="004B324E">
              <w:rPr>
                <w:webHidden/>
              </w:rPr>
              <w:fldChar w:fldCharType="end"/>
            </w:r>
          </w:hyperlink>
        </w:p>
        <w:p w14:paraId="2E2887BB" w14:textId="45EED035" w:rsidR="004B324E" w:rsidRDefault="004B57FF">
          <w:pPr>
            <w:pStyle w:val="TDC2"/>
            <w:rPr>
              <w:rFonts w:asciiTheme="minorHAnsi" w:eastAsiaTheme="minorEastAsia" w:hAnsiTheme="minorHAnsi" w:cstheme="minorBidi"/>
              <w:kern w:val="2"/>
              <w:sz w:val="22"/>
              <w:szCs w:val="22"/>
              <w:lang w:val="es-CO" w:eastAsia="es-CO"/>
              <w14:ligatures w14:val="standardContextual"/>
            </w:rPr>
          </w:pPr>
          <w:hyperlink w:anchor="_Toc153876839" w:history="1">
            <w:r w:rsidR="004B324E" w:rsidRPr="00192AB5">
              <w:rPr>
                <w:rStyle w:val="Hipervnculo"/>
              </w:rPr>
              <w:t>2.3</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Pr>
              <w:t>Cargo por Confiabilidad</w:t>
            </w:r>
            <w:r w:rsidR="004B324E">
              <w:rPr>
                <w:webHidden/>
              </w:rPr>
              <w:tab/>
            </w:r>
            <w:r w:rsidR="004B324E">
              <w:rPr>
                <w:webHidden/>
              </w:rPr>
              <w:fldChar w:fldCharType="begin"/>
            </w:r>
            <w:r w:rsidR="004B324E">
              <w:rPr>
                <w:webHidden/>
              </w:rPr>
              <w:instrText xml:space="preserve"> PAGEREF _Toc153876839 \h </w:instrText>
            </w:r>
            <w:r w:rsidR="004B324E">
              <w:rPr>
                <w:webHidden/>
              </w:rPr>
            </w:r>
            <w:r w:rsidR="004B324E">
              <w:rPr>
                <w:webHidden/>
              </w:rPr>
              <w:fldChar w:fldCharType="separate"/>
            </w:r>
            <w:r>
              <w:rPr>
                <w:webHidden/>
              </w:rPr>
              <w:t>10</w:t>
            </w:r>
            <w:r w:rsidR="004B324E">
              <w:rPr>
                <w:webHidden/>
              </w:rPr>
              <w:fldChar w:fldCharType="end"/>
            </w:r>
          </w:hyperlink>
        </w:p>
        <w:p w14:paraId="63EBDA36" w14:textId="72247E9E" w:rsidR="004B324E" w:rsidRDefault="004B57FF">
          <w:pPr>
            <w:pStyle w:val="TDC1"/>
            <w:rPr>
              <w:rFonts w:asciiTheme="minorHAnsi" w:eastAsiaTheme="minorEastAsia" w:hAnsiTheme="minorHAnsi" w:cstheme="minorBidi"/>
              <w:kern w:val="2"/>
              <w:sz w:val="22"/>
              <w:szCs w:val="22"/>
              <w:lang w:val="es-CO" w:eastAsia="es-CO"/>
              <w14:ligatures w14:val="standardContextual"/>
            </w:rPr>
          </w:pPr>
          <w:hyperlink w:anchor="_Toc153876840" w:history="1">
            <w:r w:rsidR="004B324E" w:rsidRPr="00192AB5">
              <w:rPr>
                <w:rStyle w:val="Hipervnculo"/>
              </w:rPr>
              <w:t>3.</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Pr>
              <w:t>SITUACIÓN ACTUAL</w:t>
            </w:r>
            <w:r w:rsidR="004B324E">
              <w:rPr>
                <w:webHidden/>
              </w:rPr>
              <w:tab/>
            </w:r>
            <w:r w:rsidR="004B324E">
              <w:rPr>
                <w:webHidden/>
              </w:rPr>
              <w:fldChar w:fldCharType="begin"/>
            </w:r>
            <w:r w:rsidR="004B324E">
              <w:rPr>
                <w:webHidden/>
              </w:rPr>
              <w:instrText xml:space="preserve"> PAGEREF _Toc153876840 \h </w:instrText>
            </w:r>
            <w:r w:rsidR="004B324E">
              <w:rPr>
                <w:webHidden/>
              </w:rPr>
            </w:r>
            <w:r w:rsidR="004B324E">
              <w:rPr>
                <w:webHidden/>
              </w:rPr>
              <w:fldChar w:fldCharType="separate"/>
            </w:r>
            <w:r>
              <w:rPr>
                <w:webHidden/>
              </w:rPr>
              <w:t>10</w:t>
            </w:r>
            <w:r w:rsidR="004B324E">
              <w:rPr>
                <w:webHidden/>
              </w:rPr>
              <w:fldChar w:fldCharType="end"/>
            </w:r>
          </w:hyperlink>
        </w:p>
        <w:p w14:paraId="6A1F3C2E" w14:textId="79677CFC" w:rsidR="004B324E" w:rsidRDefault="004B57FF">
          <w:pPr>
            <w:pStyle w:val="TDC2"/>
            <w:rPr>
              <w:rFonts w:asciiTheme="minorHAnsi" w:eastAsiaTheme="minorEastAsia" w:hAnsiTheme="minorHAnsi" w:cstheme="minorBidi"/>
              <w:kern w:val="2"/>
              <w:sz w:val="22"/>
              <w:szCs w:val="22"/>
              <w:lang w:val="es-CO" w:eastAsia="es-CO"/>
              <w14:ligatures w14:val="standardContextual"/>
            </w:rPr>
          </w:pPr>
          <w:hyperlink w:anchor="_Toc153876841" w:history="1">
            <w:r w:rsidR="004B324E" w:rsidRPr="00192AB5">
              <w:rPr>
                <w:rStyle w:val="Hipervnculo"/>
              </w:rPr>
              <w:t>3.1</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lang w:val="es-CO"/>
              </w:rPr>
              <w:t>Comportamiento de los fundamentales</w:t>
            </w:r>
            <w:r w:rsidR="004B324E">
              <w:rPr>
                <w:webHidden/>
              </w:rPr>
              <w:tab/>
            </w:r>
            <w:r w:rsidR="004B324E">
              <w:rPr>
                <w:webHidden/>
              </w:rPr>
              <w:fldChar w:fldCharType="begin"/>
            </w:r>
            <w:r w:rsidR="004B324E">
              <w:rPr>
                <w:webHidden/>
              </w:rPr>
              <w:instrText xml:space="preserve"> PAGEREF _Toc153876841 \h </w:instrText>
            </w:r>
            <w:r w:rsidR="004B324E">
              <w:rPr>
                <w:webHidden/>
              </w:rPr>
            </w:r>
            <w:r w:rsidR="004B324E">
              <w:rPr>
                <w:webHidden/>
              </w:rPr>
              <w:fldChar w:fldCharType="separate"/>
            </w:r>
            <w:r>
              <w:rPr>
                <w:webHidden/>
              </w:rPr>
              <w:t>11</w:t>
            </w:r>
            <w:r w:rsidR="004B324E">
              <w:rPr>
                <w:webHidden/>
              </w:rPr>
              <w:fldChar w:fldCharType="end"/>
            </w:r>
          </w:hyperlink>
        </w:p>
        <w:p w14:paraId="4B54A67F" w14:textId="40A99DE5" w:rsidR="004B324E" w:rsidRDefault="004B57FF">
          <w:pPr>
            <w:pStyle w:val="TDC3"/>
            <w:rPr>
              <w:rFonts w:asciiTheme="minorHAnsi" w:eastAsiaTheme="minorEastAsia" w:hAnsiTheme="minorHAnsi" w:cstheme="minorBidi"/>
              <w:noProof/>
              <w:kern w:val="2"/>
              <w:sz w:val="22"/>
              <w:szCs w:val="22"/>
              <w:lang w:val="es-CO" w:eastAsia="es-CO"/>
              <w14:ligatures w14:val="standardContextual"/>
            </w:rPr>
          </w:pPr>
          <w:hyperlink w:anchor="_Toc153876842" w:history="1">
            <w:r w:rsidR="004B324E" w:rsidRPr="00192AB5">
              <w:rPr>
                <w:rStyle w:val="Hipervnculo"/>
                <w:noProof/>
              </w:rPr>
              <w:t>3.1.1</w:t>
            </w:r>
            <w:r w:rsidR="004B324E">
              <w:rPr>
                <w:rFonts w:asciiTheme="minorHAnsi" w:eastAsiaTheme="minorEastAsia" w:hAnsiTheme="minorHAnsi" w:cstheme="minorBidi"/>
                <w:noProof/>
                <w:kern w:val="2"/>
                <w:sz w:val="22"/>
                <w:szCs w:val="22"/>
                <w:lang w:val="es-CO" w:eastAsia="es-CO"/>
                <w14:ligatures w14:val="standardContextual"/>
              </w:rPr>
              <w:tab/>
            </w:r>
            <w:r w:rsidR="004B324E" w:rsidRPr="00192AB5">
              <w:rPr>
                <w:rStyle w:val="Hipervnculo"/>
                <w:noProof/>
              </w:rPr>
              <w:t>Aportes</w:t>
            </w:r>
            <w:r w:rsidR="004B324E">
              <w:rPr>
                <w:noProof/>
                <w:webHidden/>
              </w:rPr>
              <w:tab/>
            </w:r>
            <w:r w:rsidR="004B324E">
              <w:rPr>
                <w:noProof/>
                <w:webHidden/>
              </w:rPr>
              <w:fldChar w:fldCharType="begin"/>
            </w:r>
            <w:r w:rsidR="004B324E">
              <w:rPr>
                <w:noProof/>
                <w:webHidden/>
              </w:rPr>
              <w:instrText xml:space="preserve"> PAGEREF _Toc153876842 \h </w:instrText>
            </w:r>
            <w:r w:rsidR="004B324E">
              <w:rPr>
                <w:noProof/>
                <w:webHidden/>
              </w:rPr>
            </w:r>
            <w:r w:rsidR="004B324E">
              <w:rPr>
                <w:noProof/>
                <w:webHidden/>
              </w:rPr>
              <w:fldChar w:fldCharType="separate"/>
            </w:r>
            <w:r>
              <w:rPr>
                <w:noProof/>
                <w:webHidden/>
              </w:rPr>
              <w:t>11</w:t>
            </w:r>
            <w:r w:rsidR="004B324E">
              <w:rPr>
                <w:noProof/>
                <w:webHidden/>
              </w:rPr>
              <w:fldChar w:fldCharType="end"/>
            </w:r>
          </w:hyperlink>
        </w:p>
        <w:p w14:paraId="098444A9" w14:textId="1E48B5D4" w:rsidR="004B324E" w:rsidRDefault="004B57FF">
          <w:pPr>
            <w:pStyle w:val="TDC3"/>
            <w:rPr>
              <w:rFonts w:asciiTheme="minorHAnsi" w:eastAsiaTheme="minorEastAsia" w:hAnsiTheme="minorHAnsi" w:cstheme="minorBidi"/>
              <w:noProof/>
              <w:kern w:val="2"/>
              <w:sz w:val="22"/>
              <w:szCs w:val="22"/>
              <w:lang w:val="es-CO" w:eastAsia="es-CO"/>
              <w14:ligatures w14:val="standardContextual"/>
            </w:rPr>
          </w:pPr>
          <w:hyperlink w:anchor="_Toc153876843" w:history="1">
            <w:r w:rsidR="004B324E" w:rsidRPr="00192AB5">
              <w:rPr>
                <w:rStyle w:val="Hipervnculo"/>
                <w:noProof/>
              </w:rPr>
              <w:t>3.1.2</w:t>
            </w:r>
            <w:r w:rsidR="004B324E">
              <w:rPr>
                <w:rFonts w:asciiTheme="minorHAnsi" w:eastAsiaTheme="minorEastAsia" w:hAnsiTheme="minorHAnsi" w:cstheme="minorBidi"/>
                <w:noProof/>
                <w:kern w:val="2"/>
                <w:sz w:val="22"/>
                <w:szCs w:val="22"/>
                <w:lang w:val="es-CO" w:eastAsia="es-CO"/>
                <w14:ligatures w14:val="standardContextual"/>
              </w:rPr>
              <w:tab/>
            </w:r>
            <w:r w:rsidR="004B324E" w:rsidRPr="00192AB5">
              <w:rPr>
                <w:rStyle w:val="Hipervnculo"/>
                <w:noProof/>
              </w:rPr>
              <w:t>Embalse</w:t>
            </w:r>
            <w:r w:rsidR="004B324E">
              <w:rPr>
                <w:noProof/>
                <w:webHidden/>
              </w:rPr>
              <w:tab/>
            </w:r>
            <w:r w:rsidR="004B324E">
              <w:rPr>
                <w:noProof/>
                <w:webHidden/>
              </w:rPr>
              <w:fldChar w:fldCharType="begin"/>
            </w:r>
            <w:r w:rsidR="004B324E">
              <w:rPr>
                <w:noProof/>
                <w:webHidden/>
              </w:rPr>
              <w:instrText xml:space="preserve"> PAGEREF _Toc153876843 \h </w:instrText>
            </w:r>
            <w:r w:rsidR="004B324E">
              <w:rPr>
                <w:noProof/>
                <w:webHidden/>
              </w:rPr>
            </w:r>
            <w:r w:rsidR="004B324E">
              <w:rPr>
                <w:noProof/>
                <w:webHidden/>
              </w:rPr>
              <w:fldChar w:fldCharType="separate"/>
            </w:r>
            <w:r>
              <w:rPr>
                <w:noProof/>
                <w:webHidden/>
              </w:rPr>
              <w:t>11</w:t>
            </w:r>
            <w:r w:rsidR="004B324E">
              <w:rPr>
                <w:noProof/>
                <w:webHidden/>
              </w:rPr>
              <w:fldChar w:fldCharType="end"/>
            </w:r>
          </w:hyperlink>
        </w:p>
        <w:p w14:paraId="324AB7CD" w14:textId="162CED29" w:rsidR="004B324E" w:rsidRDefault="004B57FF">
          <w:pPr>
            <w:pStyle w:val="TDC3"/>
            <w:rPr>
              <w:rFonts w:asciiTheme="minorHAnsi" w:eastAsiaTheme="minorEastAsia" w:hAnsiTheme="minorHAnsi" w:cstheme="minorBidi"/>
              <w:noProof/>
              <w:kern w:val="2"/>
              <w:sz w:val="22"/>
              <w:szCs w:val="22"/>
              <w:lang w:val="es-CO" w:eastAsia="es-CO"/>
              <w14:ligatures w14:val="standardContextual"/>
            </w:rPr>
          </w:pPr>
          <w:hyperlink w:anchor="_Toc153876844" w:history="1">
            <w:r w:rsidR="004B324E" w:rsidRPr="00192AB5">
              <w:rPr>
                <w:rStyle w:val="Hipervnculo"/>
                <w:noProof/>
              </w:rPr>
              <w:t>3.1.3</w:t>
            </w:r>
            <w:r w:rsidR="004B324E">
              <w:rPr>
                <w:rFonts w:asciiTheme="minorHAnsi" w:eastAsiaTheme="minorEastAsia" w:hAnsiTheme="minorHAnsi" w:cstheme="minorBidi"/>
                <w:noProof/>
                <w:kern w:val="2"/>
                <w:sz w:val="22"/>
                <w:szCs w:val="22"/>
                <w:lang w:val="es-CO" w:eastAsia="es-CO"/>
                <w14:ligatures w14:val="standardContextual"/>
              </w:rPr>
              <w:tab/>
            </w:r>
            <w:r w:rsidR="004B324E" w:rsidRPr="00192AB5">
              <w:rPr>
                <w:rStyle w:val="Hipervnculo"/>
                <w:noProof/>
              </w:rPr>
              <w:t>Demanda</w:t>
            </w:r>
            <w:r w:rsidR="004B324E">
              <w:rPr>
                <w:noProof/>
                <w:webHidden/>
              </w:rPr>
              <w:tab/>
            </w:r>
            <w:r w:rsidR="004B324E">
              <w:rPr>
                <w:noProof/>
                <w:webHidden/>
              </w:rPr>
              <w:fldChar w:fldCharType="begin"/>
            </w:r>
            <w:r w:rsidR="004B324E">
              <w:rPr>
                <w:noProof/>
                <w:webHidden/>
              </w:rPr>
              <w:instrText xml:space="preserve"> PAGEREF _Toc153876844 \h </w:instrText>
            </w:r>
            <w:r w:rsidR="004B324E">
              <w:rPr>
                <w:noProof/>
                <w:webHidden/>
              </w:rPr>
            </w:r>
            <w:r w:rsidR="004B324E">
              <w:rPr>
                <w:noProof/>
                <w:webHidden/>
              </w:rPr>
              <w:fldChar w:fldCharType="separate"/>
            </w:r>
            <w:r>
              <w:rPr>
                <w:noProof/>
                <w:webHidden/>
              </w:rPr>
              <w:t>12</w:t>
            </w:r>
            <w:r w:rsidR="004B324E">
              <w:rPr>
                <w:noProof/>
                <w:webHidden/>
              </w:rPr>
              <w:fldChar w:fldCharType="end"/>
            </w:r>
          </w:hyperlink>
        </w:p>
        <w:p w14:paraId="7779F3FC" w14:textId="261CE5D9" w:rsidR="004B324E" w:rsidRDefault="004B57FF">
          <w:pPr>
            <w:pStyle w:val="TDC3"/>
            <w:rPr>
              <w:rFonts w:asciiTheme="minorHAnsi" w:eastAsiaTheme="minorEastAsia" w:hAnsiTheme="minorHAnsi" w:cstheme="minorBidi"/>
              <w:noProof/>
              <w:kern w:val="2"/>
              <w:sz w:val="22"/>
              <w:szCs w:val="22"/>
              <w:lang w:val="es-CO" w:eastAsia="es-CO"/>
              <w14:ligatures w14:val="standardContextual"/>
            </w:rPr>
          </w:pPr>
          <w:hyperlink w:anchor="_Toc153876845" w:history="1">
            <w:r w:rsidR="004B324E" w:rsidRPr="00192AB5">
              <w:rPr>
                <w:rStyle w:val="Hipervnculo"/>
                <w:noProof/>
              </w:rPr>
              <w:t>3.1.4</w:t>
            </w:r>
            <w:r w:rsidR="004B324E">
              <w:rPr>
                <w:rFonts w:asciiTheme="minorHAnsi" w:eastAsiaTheme="minorEastAsia" w:hAnsiTheme="minorHAnsi" w:cstheme="minorBidi"/>
                <w:noProof/>
                <w:kern w:val="2"/>
                <w:sz w:val="22"/>
                <w:szCs w:val="22"/>
                <w:lang w:val="es-CO" w:eastAsia="es-CO"/>
                <w14:ligatures w14:val="standardContextual"/>
              </w:rPr>
              <w:tab/>
            </w:r>
            <w:r w:rsidR="004B324E" w:rsidRPr="00192AB5">
              <w:rPr>
                <w:rStyle w:val="Hipervnculo"/>
                <w:noProof/>
              </w:rPr>
              <w:t>Expansión</w:t>
            </w:r>
            <w:r w:rsidR="004B324E">
              <w:rPr>
                <w:noProof/>
                <w:webHidden/>
              </w:rPr>
              <w:tab/>
            </w:r>
            <w:r w:rsidR="004B324E">
              <w:rPr>
                <w:noProof/>
                <w:webHidden/>
              </w:rPr>
              <w:fldChar w:fldCharType="begin"/>
            </w:r>
            <w:r w:rsidR="004B324E">
              <w:rPr>
                <w:noProof/>
                <w:webHidden/>
              </w:rPr>
              <w:instrText xml:space="preserve"> PAGEREF _Toc153876845 \h </w:instrText>
            </w:r>
            <w:r w:rsidR="004B324E">
              <w:rPr>
                <w:noProof/>
                <w:webHidden/>
              </w:rPr>
            </w:r>
            <w:r w:rsidR="004B324E">
              <w:rPr>
                <w:noProof/>
                <w:webHidden/>
              </w:rPr>
              <w:fldChar w:fldCharType="separate"/>
            </w:r>
            <w:r>
              <w:rPr>
                <w:noProof/>
                <w:webHidden/>
              </w:rPr>
              <w:t>13</w:t>
            </w:r>
            <w:r w:rsidR="004B324E">
              <w:rPr>
                <w:noProof/>
                <w:webHidden/>
              </w:rPr>
              <w:fldChar w:fldCharType="end"/>
            </w:r>
          </w:hyperlink>
        </w:p>
        <w:p w14:paraId="1C91F373" w14:textId="4F1ADBE9" w:rsidR="004B324E" w:rsidRDefault="004B57FF">
          <w:pPr>
            <w:pStyle w:val="TDC2"/>
            <w:rPr>
              <w:rFonts w:asciiTheme="minorHAnsi" w:eastAsiaTheme="minorEastAsia" w:hAnsiTheme="minorHAnsi" w:cstheme="minorBidi"/>
              <w:kern w:val="2"/>
              <w:sz w:val="22"/>
              <w:szCs w:val="22"/>
              <w:lang w:val="es-CO" w:eastAsia="es-CO"/>
              <w14:ligatures w14:val="standardContextual"/>
            </w:rPr>
          </w:pPr>
          <w:hyperlink w:anchor="_Toc153876846" w:history="1">
            <w:r w:rsidR="004B324E" w:rsidRPr="00192AB5">
              <w:rPr>
                <w:rStyle w:val="Hipervnculo"/>
              </w:rPr>
              <w:t>3.2</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lang w:val="es-CO"/>
              </w:rPr>
              <w:t>Precio de bolsa y contratos</w:t>
            </w:r>
            <w:r w:rsidR="004B324E">
              <w:rPr>
                <w:webHidden/>
              </w:rPr>
              <w:tab/>
            </w:r>
            <w:r w:rsidR="004B324E">
              <w:rPr>
                <w:webHidden/>
              </w:rPr>
              <w:fldChar w:fldCharType="begin"/>
            </w:r>
            <w:r w:rsidR="004B324E">
              <w:rPr>
                <w:webHidden/>
              </w:rPr>
              <w:instrText xml:space="preserve"> PAGEREF _Toc153876846 \h </w:instrText>
            </w:r>
            <w:r w:rsidR="004B324E">
              <w:rPr>
                <w:webHidden/>
              </w:rPr>
            </w:r>
            <w:r w:rsidR="004B324E">
              <w:rPr>
                <w:webHidden/>
              </w:rPr>
              <w:fldChar w:fldCharType="separate"/>
            </w:r>
            <w:r>
              <w:rPr>
                <w:webHidden/>
              </w:rPr>
              <w:t>13</w:t>
            </w:r>
            <w:r w:rsidR="004B324E">
              <w:rPr>
                <w:webHidden/>
              </w:rPr>
              <w:fldChar w:fldCharType="end"/>
            </w:r>
          </w:hyperlink>
        </w:p>
        <w:p w14:paraId="263541A5" w14:textId="6A224D84" w:rsidR="004B324E" w:rsidRDefault="004B57FF">
          <w:pPr>
            <w:pStyle w:val="TDC2"/>
            <w:rPr>
              <w:rFonts w:asciiTheme="minorHAnsi" w:eastAsiaTheme="minorEastAsia" w:hAnsiTheme="minorHAnsi" w:cstheme="minorBidi"/>
              <w:kern w:val="2"/>
              <w:sz w:val="22"/>
              <w:szCs w:val="22"/>
              <w:lang w:val="es-CO" w:eastAsia="es-CO"/>
              <w14:ligatures w14:val="standardContextual"/>
            </w:rPr>
          </w:pPr>
          <w:hyperlink w:anchor="_Toc153876847" w:history="1">
            <w:r w:rsidR="004B324E" w:rsidRPr="00192AB5">
              <w:rPr>
                <w:rStyle w:val="Hipervnculo"/>
              </w:rPr>
              <w:t>3.3</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lang w:val="es-CO"/>
              </w:rPr>
              <w:t>Comercializadores</w:t>
            </w:r>
            <w:r w:rsidR="004B324E">
              <w:rPr>
                <w:webHidden/>
              </w:rPr>
              <w:tab/>
            </w:r>
            <w:r w:rsidR="004B324E">
              <w:rPr>
                <w:webHidden/>
              </w:rPr>
              <w:fldChar w:fldCharType="begin"/>
            </w:r>
            <w:r w:rsidR="004B324E">
              <w:rPr>
                <w:webHidden/>
              </w:rPr>
              <w:instrText xml:space="preserve"> PAGEREF _Toc153876847 \h </w:instrText>
            </w:r>
            <w:r w:rsidR="004B324E">
              <w:rPr>
                <w:webHidden/>
              </w:rPr>
            </w:r>
            <w:r w:rsidR="004B324E">
              <w:rPr>
                <w:webHidden/>
              </w:rPr>
              <w:fldChar w:fldCharType="separate"/>
            </w:r>
            <w:r>
              <w:rPr>
                <w:webHidden/>
              </w:rPr>
              <w:t>15</w:t>
            </w:r>
            <w:r w:rsidR="004B324E">
              <w:rPr>
                <w:webHidden/>
              </w:rPr>
              <w:fldChar w:fldCharType="end"/>
            </w:r>
          </w:hyperlink>
        </w:p>
        <w:p w14:paraId="642419A0" w14:textId="6A14BF82" w:rsidR="004B324E" w:rsidRDefault="004B57FF">
          <w:pPr>
            <w:pStyle w:val="TDC2"/>
            <w:rPr>
              <w:rFonts w:asciiTheme="minorHAnsi" w:eastAsiaTheme="minorEastAsia" w:hAnsiTheme="minorHAnsi" w:cstheme="minorBidi"/>
              <w:kern w:val="2"/>
              <w:sz w:val="22"/>
              <w:szCs w:val="22"/>
              <w:lang w:val="es-CO" w:eastAsia="es-CO"/>
              <w14:ligatures w14:val="standardContextual"/>
            </w:rPr>
          </w:pPr>
          <w:hyperlink w:anchor="_Toc153876848" w:history="1">
            <w:r w:rsidR="004B324E" w:rsidRPr="00192AB5">
              <w:rPr>
                <w:rStyle w:val="Hipervnculo"/>
              </w:rPr>
              <w:t>3.4</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Pr>
              <w:t>Propuestas de tercero</w:t>
            </w:r>
            <w:r w:rsidR="004B324E">
              <w:rPr>
                <w:webHidden/>
              </w:rPr>
              <w:tab/>
            </w:r>
            <w:r w:rsidR="004B324E">
              <w:rPr>
                <w:webHidden/>
              </w:rPr>
              <w:fldChar w:fldCharType="begin"/>
            </w:r>
            <w:r w:rsidR="004B324E">
              <w:rPr>
                <w:webHidden/>
              </w:rPr>
              <w:instrText xml:space="preserve"> PAGEREF _Toc153876848 \h </w:instrText>
            </w:r>
            <w:r w:rsidR="004B324E">
              <w:rPr>
                <w:webHidden/>
              </w:rPr>
            </w:r>
            <w:r w:rsidR="004B324E">
              <w:rPr>
                <w:webHidden/>
              </w:rPr>
              <w:fldChar w:fldCharType="separate"/>
            </w:r>
            <w:r>
              <w:rPr>
                <w:webHidden/>
              </w:rPr>
              <w:t>17</w:t>
            </w:r>
            <w:r w:rsidR="004B324E">
              <w:rPr>
                <w:webHidden/>
              </w:rPr>
              <w:fldChar w:fldCharType="end"/>
            </w:r>
          </w:hyperlink>
        </w:p>
        <w:p w14:paraId="57F8024A" w14:textId="632E6281" w:rsidR="004B324E" w:rsidRDefault="004B57FF">
          <w:pPr>
            <w:pStyle w:val="TDC2"/>
            <w:rPr>
              <w:rFonts w:asciiTheme="minorHAnsi" w:eastAsiaTheme="minorEastAsia" w:hAnsiTheme="minorHAnsi" w:cstheme="minorBidi"/>
              <w:kern w:val="2"/>
              <w:sz w:val="22"/>
              <w:szCs w:val="22"/>
              <w:lang w:val="es-CO" w:eastAsia="es-CO"/>
              <w14:ligatures w14:val="standardContextual"/>
            </w:rPr>
          </w:pPr>
          <w:hyperlink w:anchor="_Toc153876849" w:history="1">
            <w:r w:rsidR="004B324E" w:rsidRPr="00192AB5">
              <w:rPr>
                <w:rStyle w:val="Hipervnculo"/>
              </w:rPr>
              <w:t>3.5</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lang w:val="es-CO"/>
              </w:rPr>
              <w:t>Indicadores</w:t>
            </w:r>
            <w:r w:rsidR="004B324E">
              <w:rPr>
                <w:webHidden/>
              </w:rPr>
              <w:tab/>
            </w:r>
            <w:r w:rsidR="004B324E">
              <w:rPr>
                <w:webHidden/>
              </w:rPr>
              <w:fldChar w:fldCharType="begin"/>
            </w:r>
            <w:r w:rsidR="004B324E">
              <w:rPr>
                <w:webHidden/>
              </w:rPr>
              <w:instrText xml:space="preserve"> PAGEREF _Toc153876849 \h </w:instrText>
            </w:r>
            <w:r w:rsidR="004B324E">
              <w:rPr>
                <w:webHidden/>
              </w:rPr>
            </w:r>
            <w:r w:rsidR="004B324E">
              <w:rPr>
                <w:webHidden/>
              </w:rPr>
              <w:fldChar w:fldCharType="separate"/>
            </w:r>
            <w:r>
              <w:rPr>
                <w:webHidden/>
              </w:rPr>
              <w:t>19</w:t>
            </w:r>
            <w:r w:rsidR="004B324E">
              <w:rPr>
                <w:webHidden/>
              </w:rPr>
              <w:fldChar w:fldCharType="end"/>
            </w:r>
          </w:hyperlink>
        </w:p>
        <w:p w14:paraId="607CB1B0" w14:textId="7A687C6D" w:rsidR="004B324E" w:rsidRDefault="004B57FF">
          <w:pPr>
            <w:pStyle w:val="TDC3"/>
            <w:rPr>
              <w:rFonts w:asciiTheme="minorHAnsi" w:eastAsiaTheme="minorEastAsia" w:hAnsiTheme="minorHAnsi" w:cstheme="minorBidi"/>
              <w:noProof/>
              <w:kern w:val="2"/>
              <w:sz w:val="22"/>
              <w:szCs w:val="22"/>
              <w:lang w:val="es-CO" w:eastAsia="es-CO"/>
              <w14:ligatures w14:val="standardContextual"/>
            </w:rPr>
          </w:pPr>
          <w:hyperlink w:anchor="_Toc153876850" w:history="1">
            <w:r w:rsidR="004B324E" w:rsidRPr="00192AB5">
              <w:rPr>
                <w:rStyle w:val="Hipervnculo"/>
                <w:noProof/>
              </w:rPr>
              <w:t>3.5.1</w:t>
            </w:r>
            <w:r w:rsidR="004B324E">
              <w:rPr>
                <w:rFonts w:asciiTheme="minorHAnsi" w:eastAsiaTheme="minorEastAsia" w:hAnsiTheme="minorHAnsi" w:cstheme="minorBidi"/>
                <w:noProof/>
                <w:kern w:val="2"/>
                <w:sz w:val="22"/>
                <w:szCs w:val="22"/>
                <w:lang w:val="es-CO" w:eastAsia="es-CO"/>
                <w14:ligatures w14:val="standardContextual"/>
              </w:rPr>
              <w:tab/>
            </w:r>
            <w:r w:rsidR="004B324E" w:rsidRPr="00192AB5">
              <w:rPr>
                <w:rStyle w:val="Hipervnculo"/>
                <w:noProof/>
              </w:rPr>
              <w:t>Porcentaje de fijación de precio</w:t>
            </w:r>
            <w:r w:rsidR="004B324E">
              <w:rPr>
                <w:noProof/>
                <w:webHidden/>
              </w:rPr>
              <w:tab/>
            </w:r>
            <w:r w:rsidR="004B324E">
              <w:rPr>
                <w:noProof/>
                <w:webHidden/>
              </w:rPr>
              <w:fldChar w:fldCharType="begin"/>
            </w:r>
            <w:r w:rsidR="004B324E">
              <w:rPr>
                <w:noProof/>
                <w:webHidden/>
              </w:rPr>
              <w:instrText xml:space="preserve"> PAGEREF _Toc153876850 \h </w:instrText>
            </w:r>
            <w:r w:rsidR="004B324E">
              <w:rPr>
                <w:noProof/>
                <w:webHidden/>
              </w:rPr>
            </w:r>
            <w:r w:rsidR="004B324E">
              <w:rPr>
                <w:noProof/>
                <w:webHidden/>
              </w:rPr>
              <w:fldChar w:fldCharType="separate"/>
            </w:r>
            <w:r>
              <w:rPr>
                <w:noProof/>
                <w:webHidden/>
              </w:rPr>
              <w:t>19</w:t>
            </w:r>
            <w:r w:rsidR="004B324E">
              <w:rPr>
                <w:noProof/>
                <w:webHidden/>
              </w:rPr>
              <w:fldChar w:fldCharType="end"/>
            </w:r>
          </w:hyperlink>
        </w:p>
        <w:p w14:paraId="2AB9A0DA" w14:textId="141D9A9A" w:rsidR="004B324E" w:rsidRDefault="004B57FF">
          <w:pPr>
            <w:pStyle w:val="TDC3"/>
            <w:rPr>
              <w:rFonts w:asciiTheme="minorHAnsi" w:eastAsiaTheme="minorEastAsia" w:hAnsiTheme="minorHAnsi" w:cstheme="minorBidi"/>
              <w:noProof/>
              <w:kern w:val="2"/>
              <w:sz w:val="22"/>
              <w:szCs w:val="22"/>
              <w:lang w:val="es-CO" w:eastAsia="es-CO"/>
              <w14:ligatures w14:val="standardContextual"/>
            </w:rPr>
          </w:pPr>
          <w:hyperlink w:anchor="_Toc153876851" w:history="1">
            <w:r w:rsidR="004B324E" w:rsidRPr="00192AB5">
              <w:rPr>
                <w:rStyle w:val="Hipervnculo"/>
                <w:noProof/>
              </w:rPr>
              <w:t>3.5.2</w:t>
            </w:r>
            <w:r w:rsidR="004B324E">
              <w:rPr>
                <w:rFonts w:asciiTheme="minorHAnsi" w:eastAsiaTheme="minorEastAsia" w:hAnsiTheme="minorHAnsi" w:cstheme="minorBidi"/>
                <w:noProof/>
                <w:kern w:val="2"/>
                <w:sz w:val="22"/>
                <w:szCs w:val="22"/>
                <w:lang w:val="es-CO" w:eastAsia="es-CO"/>
                <w14:ligatures w14:val="standardContextual"/>
              </w:rPr>
              <w:tab/>
            </w:r>
            <w:r w:rsidR="004B324E" w:rsidRPr="00192AB5">
              <w:rPr>
                <w:rStyle w:val="Hipervnculo"/>
                <w:noProof/>
              </w:rPr>
              <w:t>Índice de Lerner</w:t>
            </w:r>
            <w:r w:rsidR="004B324E">
              <w:rPr>
                <w:noProof/>
                <w:webHidden/>
              </w:rPr>
              <w:tab/>
            </w:r>
            <w:r w:rsidR="004B324E">
              <w:rPr>
                <w:noProof/>
                <w:webHidden/>
              </w:rPr>
              <w:fldChar w:fldCharType="begin"/>
            </w:r>
            <w:r w:rsidR="004B324E">
              <w:rPr>
                <w:noProof/>
                <w:webHidden/>
              </w:rPr>
              <w:instrText xml:space="preserve"> PAGEREF _Toc153876851 \h </w:instrText>
            </w:r>
            <w:r w:rsidR="004B324E">
              <w:rPr>
                <w:noProof/>
                <w:webHidden/>
              </w:rPr>
            </w:r>
            <w:r w:rsidR="004B324E">
              <w:rPr>
                <w:noProof/>
                <w:webHidden/>
              </w:rPr>
              <w:fldChar w:fldCharType="separate"/>
            </w:r>
            <w:r>
              <w:rPr>
                <w:noProof/>
                <w:webHidden/>
              </w:rPr>
              <w:t>20</w:t>
            </w:r>
            <w:r w:rsidR="004B324E">
              <w:rPr>
                <w:noProof/>
                <w:webHidden/>
              </w:rPr>
              <w:fldChar w:fldCharType="end"/>
            </w:r>
          </w:hyperlink>
        </w:p>
        <w:p w14:paraId="2E5CA4F6" w14:textId="55DAB045" w:rsidR="004B324E" w:rsidRDefault="004B57FF">
          <w:pPr>
            <w:pStyle w:val="TDC3"/>
            <w:rPr>
              <w:rFonts w:asciiTheme="minorHAnsi" w:eastAsiaTheme="minorEastAsia" w:hAnsiTheme="minorHAnsi" w:cstheme="minorBidi"/>
              <w:noProof/>
              <w:kern w:val="2"/>
              <w:sz w:val="22"/>
              <w:szCs w:val="22"/>
              <w:lang w:val="es-CO" w:eastAsia="es-CO"/>
              <w14:ligatures w14:val="standardContextual"/>
            </w:rPr>
          </w:pPr>
          <w:hyperlink w:anchor="_Toc153876852" w:history="1">
            <w:r w:rsidR="004B324E" w:rsidRPr="00192AB5">
              <w:rPr>
                <w:rStyle w:val="Hipervnculo"/>
                <w:noProof/>
              </w:rPr>
              <w:t>3.5.3</w:t>
            </w:r>
            <w:r w:rsidR="004B324E">
              <w:rPr>
                <w:rFonts w:asciiTheme="minorHAnsi" w:eastAsiaTheme="minorEastAsia" w:hAnsiTheme="minorHAnsi" w:cstheme="minorBidi"/>
                <w:noProof/>
                <w:kern w:val="2"/>
                <w:sz w:val="22"/>
                <w:szCs w:val="22"/>
                <w:lang w:val="es-CO" w:eastAsia="es-CO"/>
                <w14:ligatures w14:val="standardContextual"/>
              </w:rPr>
              <w:tab/>
            </w:r>
            <w:r w:rsidR="004B324E" w:rsidRPr="00192AB5">
              <w:rPr>
                <w:rStyle w:val="Hipervnculo"/>
                <w:noProof/>
              </w:rPr>
              <w:t>Margen de reserva corto plazo</w:t>
            </w:r>
            <w:r w:rsidR="004B324E">
              <w:rPr>
                <w:noProof/>
                <w:webHidden/>
              </w:rPr>
              <w:tab/>
            </w:r>
            <w:r w:rsidR="004B324E">
              <w:rPr>
                <w:noProof/>
                <w:webHidden/>
              </w:rPr>
              <w:fldChar w:fldCharType="begin"/>
            </w:r>
            <w:r w:rsidR="004B324E">
              <w:rPr>
                <w:noProof/>
                <w:webHidden/>
              </w:rPr>
              <w:instrText xml:space="preserve"> PAGEREF _Toc153876852 \h </w:instrText>
            </w:r>
            <w:r w:rsidR="004B324E">
              <w:rPr>
                <w:noProof/>
                <w:webHidden/>
              </w:rPr>
            </w:r>
            <w:r w:rsidR="004B324E">
              <w:rPr>
                <w:noProof/>
                <w:webHidden/>
              </w:rPr>
              <w:fldChar w:fldCharType="separate"/>
            </w:r>
            <w:r>
              <w:rPr>
                <w:noProof/>
                <w:webHidden/>
              </w:rPr>
              <w:t>22</w:t>
            </w:r>
            <w:r w:rsidR="004B324E">
              <w:rPr>
                <w:noProof/>
                <w:webHidden/>
              </w:rPr>
              <w:fldChar w:fldCharType="end"/>
            </w:r>
          </w:hyperlink>
        </w:p>
        <w:p w14:paraId="33313C12" w14:textId="149065B8" w:rsidR="004B324E" w:rsidRDefault="004B57FF">
          <w:pPr>
            <w:pStyle w:val="TDC1"/>
            <w:rPr>
              <w:rFonts w:asciiTheme="minorHAnsi" w:eastAsiaTheme="minorEastAsia" w:hAnsiTheme="minorHAnsi" w:cstheme="minorBidi"/>
              <w:kern w:val="2"/>
              <w:sz w:val="22"/>
              <w:szCs w:val="22"/>
              <w:lang w:val="es-CO" w:eastAsia="es-CO"/>
              <w14:ligatures w14:val="standardContextual"/>
            </w:rPr>
          </w:pPr>
          <w:hyperlink w:anchor="_Toc153876853" w:history="1">
            <w:r w:rsidR="004B324E" w:rsidRPr="00192AB5">
              <w:rPr>
                <w:rStyle w:val="Hipervnculo"/>
              </w:rPr>
              <w:t>4.</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Pr>
              <w:t>DEFINICIÓN DEL PROBLEMA</w:t>
            </w:r>
            <w:r w:rsidR="004B324E">
              <w:rPr>
                <w:webHidden/>
              </w:rPr>
              <w:tab/>
            </w:r>
            <w:r w:rsidR="004B324E">
              <w:rPr>
                <w:webHidden/>
              </w:rPr>
              <w:fldChar w:fldCharType="begin"/>
            </w:r>
            <w:r w:rsidR="004B324E">
              <w:rPr>
                <w:webHidden/>
              </w:rPr>
              <w:instrText xml:space="preserve"> PAGEREF _Toc153876853 \h </w:instrText>
            </w:r>
            <w:r w:rsidR="004B324E">
              <w:rPr>
                <w:webHidden/>
              </w:rPr>
            </w:r>
            <w:r w:rsidR="004B324E">
              <w:rPr>
                <w:webHidden/>
              </w:rPr>
              <w:fldChar w:fldCharType="separate"/>
            </w:r>
            <w:r>
              <w:rPr>
                <w:webHidden/>
              </w:rPr>
              <w:t>23</w:t>
            </w:r>
            <w:r w:rsidR="004B324E">
              <w:rPr>
                <w:webHidden/>
              </w:rPr>
              <w:fldChar w:fldCharType="end"/>
            </w:r>
          </w:hyperlink>
        </w:p>
        <w:p w14:paraId="02DA5C0E" w14:textId="0D98FBC4" w:rsidR="004B324E" w:rsidRDefault="004B57FF">
          <w:pPr>
            <w:pStyle w:val="TDC2"/>
            <w:rPr>
              <w:rFonts w:asciiTheme="minorHAnsi" w:eastAsiaTheme="minorEastAsia" w:hAnsiTheme="minorHAnsi" w:cstheme="minorBidi"/>
              <w:kern w:val="2"/>
              <w:sz w:val="22"/>
              <w:szCs w:val="22"/>
              <w:lang w:val="es-CO" w:eastAsia="es-CO"/>
              <w14:ligatures w14:val="standardContextual"/>
            </w:rPr>
          </w:pPr>
          <w:hyperlink w:anchor="_Toc153876854" w:history="1">
            <w:r w:rsidR="004B324E" w:rsidRPr="00192AB5">
              <w:rPr>
                <w:rStyle w:val="Hipervnculo"/>
              </w:rPr>
              <w:t>4.1</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Pr>
              <w:t>Consecuencias</w:t>
            </w:r>
            <w:r w:rsidR="004B324E">
              <w:rPr>
                <w:webHidden/>
              </w:rPr>
              <w:tab/>
            </w:r>
            <w:r w:rsidR="004B324E">
              <w:rPr>
                <w:webHidden/>
              </w:rPr>
              <w:fldChar w:fldCharType="begin"/>
            </w:r>
            <w:r w:rsidR="004B324E">
              <w:rPr>
                <w:webHidden/>
              </w:rPr>
              <w:instrText xml:space="preserve"> PAGEREF _Toc153876854 \h </w:instrText>
            </w:r>
            <w:r w:rsidR="004B324E">
              <w:rPr>
                <w:webHidden/>
              </w:rPr>
            </w:r>
            <w:r w:rsidR="004B324E">
              <w:rPr>
                <w:webHidden/>
              </w:rPr>
              <w:fldChar w:fldCharType="separate"/>
            </w:r>
            <w:r>
              <w:rPr>
                <w:webHidden/>
              </w:rPr>
              <w:t>23</w:t>
            </w:r>
            <w:r w:rsidR="004B324E">
              <w:rPr>
                <w:webHidden/>
              </w:rPr>
              <w:fldChar w:fldCharType="end"/>
            </w:r>
          </w:hyperlink>
        </w:p>
        <w:p w14:paraId="0E0A2C94" w14:textId="1DC95EE5" w:rsidR="004B324E" w:rsidRDefault="004B57FF">
          <w:pPr>
            <w:pStyle w:val="TDC2"/>
            <w:rPr>
              <w:rFonts w:asciiTheme="minorHAnsi" w:eastAsiaTheme="minorEastAsia" w:hAnsiTheme="minorHAnsi" w:cstheme="minorBidi"/>
              <w:kern w:val="2"/>
              <w:sz w:val="22"/>
              <w:szCs w:val="22"/>
              <w:lang w:val="es-CO" w:eastAsia="es-CO"/>
              <w14:ligatures w14:val="standardContextual"/>
            </w:rPr>
          </w:pPr>
          <w:hyperlink w:anchor="_Toc153876855" w:history="1">
            <w:r w:rsidR="004B324E" w:rsidRPr="00192AB5">
              <w:rPr>
                <w:rStyle w:val="Hipervnculo"/>
                <w:rFonts w:cs="Arial"/>
                <w:bCs/>
              </w:rPr>
              <w:t>4.2</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Fonts w:cs="Arial"/>
                <w:bCs/>
              </w:rPr>
              <w:t>Causa</w:t>
            </w:r>
            <w:r w:rsidR="004B324E">
              <w:rPr>
                <w:webHidden/>
              </w:rPr>
              <w:tab/>
            </w:r>
            <w:r w:rsidR="004B324E">
              <w:rPr>
                <w:webHidden/>
              </w:rPr>
              <w:fldChar w:fldCharType="begin"/>
            </w:r>
            <w:r w:rsidR="004B324E">
              <w:rPr>
                <w:webHidden/>
              </w:rPr>
              <w:instrText xml:space="preserve"> PAGEREF _Toc153876855 \h </w:instrText>
            </w:r>
            <w:r w:rsidR="004B324E">
              <w:rPr>
                <w:webHidden/>
              </w:rPr>
            </w:r>
            <w:r w:rsidR="004B324E">
              <w:rPr>
                <w:webHidden/>
              </w:rPr>
              <w:fldChar w:fldCharType="separate"/>
            </w:r>
            <w:r>
              <w:rPr>
                <w:webHidden/>
              </w:rPr>
              <w:t>24</w:t>
            </w:r>
            <w:r w:rsidR="004B324E">
              <w:rPr>
                <w:webHidden/>
              </w:rPr>
              <w:fldChar w:fldCharType="end"/>
            </w:r>
          </w:hyperlink>
        </w:p>
        <w:p w14:paraId="375CD2AE" w14:textId="263F6931" w:rsidR="004B324E" w:rsidRDefault="004B57FF">
          <w:pPr>
            <w:pStyle w:val="TDC2"/>
            <w:rPr>
              <w:rFonts w:asciiTheme="minorHAnsi" w:eastAsiaTheme="minorEastAsia" w:hAnsiTheme="minorHAnsi" w:cstheme="minorBidi"/>
              <w:kern w:val="2"/>
              <w:sz w:val="22"/>
              <w:szCs w:val="22"/>
              <w:lang w:val="es-CO" w:eastAsia="es-CO"/>
              <w14:ligatures w14:val="standardContextual"/>
            </w:rPr>
          </w:pPr>
          <w:hyperlink w:anchor="_Toc153876856" w:history="1">
            <w:r w:rsidR="004B324E" w:rsidRPr="00192AB5">
              <w:rPr>
                <w:rStyle w:val="Hipervnculo"/>
                <w:rFonts w:cs="Arial"/>
              </w:rPr>
              <w:t>4.3</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Fonts w:cs="Arial"/>
              </w:rPr>
              <w:t>Identificación del problema</w:t>
            </w:r>
            <w:r w:rsidR="004B324E">
              <w:rPr>
                <w:webHidden/>
              </w:rPr>
              <w:tab/>
            </w:r>
            <w:r w:rsidR="004B324E">
              <w:rPr>
                <w:webHidden/>
              </w:rPr>
              <w:fldChar w:fldCharType="begin"/>
            </w:r>
            <w:r w:rsidR="004B324E">
              <w:rPr>
                <w:webHidden/>
              </w:rPr>
              <w:instrText xml:space="preserve"> PAGEREF _Toc153876856 \h </w:instrText>
            </w:r>
            <w:r w:rsidR="004B324E">
              <w:rPr>
                <w:webHidden/>
              </w:rPr>
            </w:r>
            <w:r w:rsidR="004B324E">
              <w:rPr>
                <w:webHidden/>
              </w:rPr>
              <w:fldChar w:fldCharType="separate"/>
            </w:r>
            <w:r>
              <w:rPr>
                <w:webHidden/>
              </w:rPr>
              <w:t>24</w:t>
            </w:r>
            <w:r w:rsidR="004B324E">
              <w:rPr>
                <w:webHidden/>
              </w:rPr>
              <w:fldChar w:fldCharType="end"/>
            </w:r>
          </w:hyperlink>
        </w:p>
        <w:p w14:paraId="7F0B2E6E" w14:textId="1B585992" w:rsidR="004B324E" w:rsidRDefault="004B57FF">
          <w:pPr>
            <w:pStyle w:val="TDC1"/>
            <w:rPr>
              <w:rFonts w:asciiTheme="minorHAnsi" w:eastAsiaTheme="minorEastAsia" w:hAnsiTheme="minorHAnsi" w:cstheme="minorBidi"/>
              <w:kern w:val="2"/>
              <w:sz w:val="22"/>
              <w:szCs w:val="22"/>
              <w:lang w:val="es-CO" w:eastAsia="es-CO"/>
              <w14:ligatures w14:val="standardContextual"/>
            </w:rPr>
          </w:pPr>
          <w:hyperlink w:anchor="_Toc153876857" w:history="1">
            <w:r w:rsidR="004B324E" w:rsidRPr="00192AB5">
              <w:rPr>
                <w:rStyle w:val="Hipervnculo"/>
              </w:rPr>
              <w:t>5.</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Pr>
              <w:t>OBJETIVOS</w:t>
            </w:r>
            <w:r w:rsidR="004B324E">
              <w:rPr>
                <w:webHidden/>
              </w:rPr>
              <w:tab/>
            </w:r>
            <w:r w:rsidR="004B324E">
              <w:rPr>
                <w:webHidden/>
              </w:rPr>
              <w:fldChar w:fldCharType="begin"/>
            </w:r>
            <w:r w:rsidR="004B324E">
              <w:rPr>
                <w:webHidden/>
              </w:rPr>
              <w:instrText xml:space="preserve"> PAGEREF _Toc153876857 \h </w:instrText>
            </w:r>
            <w:r w:rsidR="004B324E">
              <w:rPr>
                <w:webHidden/>
              </w:rPr>
            </w:r>
            <w:r w:rsidR="004B324E">
              <w:rPr>
                <w:webHidden/>
              </w:rPr>
              <w:fldChar w:fldCharType="separate"/>
            </w:r>
            <w:r>
              <w:rPr>
                <w:webHidden/>
              </w:rPr>
              <w:t>24</w:t>
            </w:r>
            <w:r w:rsidR="004B324E">
              <w:rPr>
                <w:webHidden/>
              </w:rPr>
              <w:fldChar w:fldCharType="end"/>
            </w:r>
          </w:hyperlink>
        </w:p>
        <w:p w14:paraId="6B012E44" w14:textId="325677A4" w:rsidR="004B324E" w:rsidRDefault="004B57FF">
          <w:pPr>
            <w:pStyle w:val="TDC2"/>
            <w:rPr>
              <w:rFonts w:asciiTheme="minorHAnsi" w:eastAsiaTheme="minorEastAsia" w:hAnsiTheme="minorHAnsi" w:cstheme="minorBidi"/>
              <w:kern w:val="2"/>
              <w:sz w:val="22"/>
              <w:szCs w:val="22"/>
              <w:lang w:val="es-CO" w:eastAsia="es-CO"/>
              <w14:ligatures w14:val="standardContextual"/>
            </w:rPr>
          </w:pPr>
          <w:hyperlink w:anchor="_Toc153876858" w:history="1">
            <w:r w:rsidR="004B324E" w:rsidRPr="00192AB5">
              <w:rPr>
                <w:rStyle w:val="Hipervnculo"/>
                <w:rFonts w:cs="Arial"/>
              </w:rPr>
              <w:t>5.1</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Fonts w:cs="Arial"/>
              </w:rPr>
              <w:t>Objetivo de impacto</w:t>
            </w:r>
            <w:r w:rsidR="004B324E">
              <w:rPr>
                <w:webHidden/>
              </w:rPr>
              <w:tab/>
            </w:r>
            <w:r w:rsidR="004B324E">
              <w:rPr>
                <w:webHidden/>
              </w:rPr>
              <w:fldChar w:fldCharType="begin"/>
            </w:r>
            <w:r w:rsidR="004B324E">
              <w:rPr>
                <w:webHidden/>
              </w:rPr>
              <w:instrText xml:space="preserve"> PAGEREF _Toc153876858 \h </w:instrText>
            </w:r>
            <w:r w:rsidR="004B324E">
              <w:rPr>
                <w:webHidden/>
              </w:rPr>
            </w:r>
            <w:r w:rsidR="004B324E">
              <w:rPr>
                <w:webHidden/>
              </w:rPr>
              <w:fldChar w:fldCharType="separate"/>
            </w:r>
            <w:r>
              <w:rPr>
                <w:webHidden/>
              </w:rPr>
              <w:t>24</w:t>
            </w:r>
            <w:r w:rsidR="004B324E">
              <w:rPr>
                <w:webHidden/>
              </w:rPr>
              <w:fldChar w:fldCharType="end"/>
            </w:r>
          </w:hyperlink>
        </w:p>
        <w:p w14:paraId="2758CDBB" w14:textId="2BB5D621" w:rsidR="004B324E" w:rsidRDefault="004B57FF">
          <w:pPr>
            <w:pStyle w:val="TDC2"/>
            <w:rPr>
              <w:rFonts w:asciiTheme="minorHAnsi" w:eastAsiaTheme="minorEastAsia" w:hAnsiTheme="minorHAnsi" w:cstheme="minorBidi"/>
              <w:kern w:val="2"/>
              <w:sz w:val="22"/>
              <w:szCs w:val="22"/>
              <w:lang w:val="es-CO" w:eastAsia="es-CO"/>
              <w14:ligatures w14:val="standardContextual"/>
            </w:rPr>
          </w:pPr>
          <w:hyperlink w:anchor="_Toc153876859" w:history="1">
            <w:r w:rsidR="004B324E" w:rsidRPr="00192AB5">
              <w:rPr>
                <w:rStyle w:val="Hipervnculo"/>
                <w:rFonts w:cs="Arial"/>
              </w:rPr>
              <w:t>5.2</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Fonts w:cs="Arial"/>
              </w:rPr>
              <w:t>Objetivo de resultado</w:t>
            </w:r>
            <w:r w:rsidR="004B324E">
              <w:rPr>
                <w:webHidden/>
              </w:rPr>
              <w:tab/>
            </w:r>
            <w:r w:rsidR="004B324E">
              <w:rPr>
                <w:webHidden/>
              </w:rPr>
              <w:fldChar w:fldCharType="begin"/>
            </w:r>
            <w:r w:rsidR="004B324E">
              <w:rPr>
                <w:webHidden/>
              </w:rPr>
              <w:instrText xml:space="preserve"> PAGEREF _Toc153876859 \h </w:instrText>
            </w:r>
            <w:r w:rsidR="004B324E">
              <w:rPr>
                <w:webHidden/>
              </w:rPr>
            </w:r>
            <w:r w:rsidR="004B324E">
              <w:rPr>
                <w:webHidden/>
              </w:rPr>
              <w:fldChar w:fldCharType="separate"/>
            </w:r>
            <w:r>
              <w:rPr>
                <w:webHidden/>
              </w:rPr>
              <w:t>24</w:t>
            </w:r>
            <w:r w:rsidR="004B324E">
              <w:rPr>
                <w:webHidden/>
              </w:rPr>
              <w:fldChar w:fldCharType="end"/>
            </w:r>
          </w:hyperlink>
        </w:p>
        <w:p w14:paraId="14D94F7C" w14:textId="4DAB3128" w:rsidR="004B324E" w:rsidRDefault="004B57FF">
          <w:pPr>
            <w:pStyle w:val="TDC1"/>
            <w:rPr>
              <w:rFonts w:asciiTheme="minorHAnsi" w:eastAsiaTheme="minorEastAsia" w:hAnsiTheme="minorHAnsi" w:cstheme="minorBidi"/>
              <w:kern w:val="2"/>
              <w:sz w:val="22"/>
              <w:szCs w:val="22"/>
              <w:lang w:val="es-CO" w:eastAsia="es-CO"/>
              <w14:ligatures w14:val="standardContextual"/>
            </w:rPr>
          </w:pPr>
          <w:hyperlink w:anchor="_Toc153876860" w:history="1">
            <w:r w:rsidR="004B324E" w:rsidRPr="00192AB5">
              <w:rPr>
                <w:rStyle w:val="Hipervnculo"/>
              </w:rPr>
              <w:t>6.</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Pr>
              <w:t>ALTERNATIVAS</w:t>
            </w:r>
            <w:r w:rsidR="004B324E">
              <w:rPr>
                <w:webHidden/>
              </w:rPr>
              <w:tab/>
            </w:r>
            <w:r w:rsidR="004B324E">
              <w:rPr>
                <w:webHidden/>
              </w:rPr>
              <w:fldChar w:fldCharType="begin"/>
            </w:r>
            <w:r w:rsidR="004B324E">
              <w:rPr>
                <w:webHidden/>
              </w:rPr>
              <w:instrText xml:space="preserve"> PAGEREF _Toc153876860 \h </w:instrText>
            </w:r>
            <w:r w:rsidR="004B324E">
              <w:rPr>
                <w:webHidden/>
              </w:rPr>
            </w:r>
            <w:r w:rsidR="004B324E">
              <w:rPr>
                <w:webHidden/>
              </w:rPr>
              <w:fldChar w:fldCharType="separate"/>
            </w:r>
            <w:r>
              <w:rPr>
                <w:webHidden/>
              </w:rPr>
              <w:t>25</w:t>
            </w:r>
            <w:r w:rsidR="004B324E">
              <w:rPr>
                <w:webHidden/>
              </w:rPr>
              <w:fldChar w:fldCharType="end"/>
            </w:r>
          </w:hyperlink>
        </w:p>
        <w:p w14:paraId="6FCB05A3" w14:textId="29918B15" w:rsidR="004B324E" w:rsidRDefault="004B57FF">
          <w:pPr>
            <w:pStyle w:val="TDC2"/>
            <w:rPr>
              <w:rFonts w:asciiTheme="minorHAnsi" w:eastAsiaTheme="minorEastAsia" w:hAnsiTheme="minorHAnsi" w:cstheme="minorBidi"/>
              <w:kern w:val="2"/>
              <w:sz w:val="22"/>
              <w:szCs w:val="22"/>
              <w:lang w:val="es-CO" w:eastAsia="es-CO"/>
              <w14:ligatures w14:val="standardContextual"/>
            </w:rPr>
          </w:pPr>
          <w:hyperlink w:anchor="_Toc153876861" w:history="1">
            <w:r w:rsidR="004B324E" w:rsidRPr="00192AB5">
              <w:rPr>
                <w:rStyle w:val="Hipervnculo"/>
              </w:rPr>
              <w:t>6.1</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Pr>
              <w:t>Mantener las reglas vigentes</w:t>
            </w:r>
            <w:r w:rsidR="004B324E">
              <w:rPr>
                <w:webHidden/>
              </w:rPr>
              <w:tab/>
            </w:r>
            <w:r w:rsidR="004B324E">
              <w:rPr>
                <w:webHidden/>
              </w:rPr>
              <w:fldChar w:fldCharType="begin"/>
            </w:r>
            <w:r w:rsidR="004B324E">
              <w:rPr>
                <w:webHidden/>
              </w:rPr>
              <w:instrText xml:space="preserve"> PAGEREF _Toc153876861 \h </w:instrText>
            </w:r>
            <w:r w:rsidR="004B324E">
              <w:rPr>
                <w:webHidden/>
              </w:rPr>
            </w:r>
            <w:r w:rsidR="004B324E">
              <w:rPr>
                <w:webHidden/>
              </w:rPr>
              <w:fldChar w:fldCharType="separate"/>
            </w:r>
            <w:r>
              <w:rPr>
                <w:webHidden/>
              </w:rPr>
              <w:t>25</w:t>
            </w:r>
            <w:r w:rsidR="004B324E">
              <w:rPr>
                <w:webHidden/>
              </w:rPr>
              <w:fldChar w:fldCharType="end"/>
            </w:r>
          </w:hyperlink>
        </w:p>
        <w:p w14:paraId="5AA423E4" w14:textId="1AEFDBCE" w:rsidR="004B324E" w:rsidRDefault="004B57FF">
          <w:pPr>
            <w:pStyle w:val="TDC2"/>
            <w:rPr>
              <w:rFonts w:asciiTheme="minorHAnsi" w:eastAsiaTheme="minorEastAsia" w:hAnsiTheme="minorHAnsi" w:cstheme="minorBidi"/>
              <w:kern w:val="2"/>
              <w:sz w:val="22"/>
              <w:szCs w:val="22"/>
              <w:lang w:val="es-CO" w:eastAsia="es-CO"/>
              <w14:ligatures w14:val="standardContextual"/>
            </w:rPr>
          </w:pPr>
          <w:hyperlink w:anchor="_Toc153876862" w:history="1">
            <w:r w:rsidR="004B324E" w:rsidRPr="00192AB5">
              <w:rPr>
                <w:rStyle w:val="Hipervnculo"/>
              </w:rPr>
              <w:t>6.2</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Pr>
              <w:t>Ajustar a la metodología para definir el precio de bolsa temporal</w:t>
            </w:r>
            <w:r w:rsidR="004B324E">
              <w:rPr>
                <w:webHidden/>
              </w:rPr>
              <w:tab/>
            </w:r>
            <w:r w:rsidR="004B324E">
              <w:rPr>
                <w:webHidden/>
              </w:rPr>
              <w:fldChar w:fldCharType="begin"/>
            </w:r>
            <w:r w:rsidR="004B324E">
              <w:rPr>
                <w:webHidden/>
              </w:rPr>
              <w:instrText xml:space="preserve"> PAGEREF _Toc153876862 \h </w:instrText>
            </w:r>
            <w:r w:rsidR="004B324E">
              <w:rPr>
                <w:webHidden/>
              </w:rPr>
            </w:r>
            <w:r w:rsidR="004B324E">
              <w:rPr>
                <w:webHidden/>
              </w:rPr>
              <w:fldChar w:fldCharType="separate"/>
            </w:r>
            <w:r>
              <w:rPr>
                <w:webHidden/>
              </w:rPr>
              <w:t>25</w:t>
            </w:r>
            <w:r w:rsidR="004B324E">
              <w:rPr>
                <w:webHidden/>
              </w:rPr>
              <w:fldChar w:fldCharType="end"/>
            </w:r>
          </w:hyperlink>
        </w:p>
        <w:p w14:paraId="6601CE66" w14:textId="120DC690" w:rsidR="004B324E" w:rsidRDefault="004B57FF">
          <w:pPr>
            <w:pStyle w:val="TDC1"/>
            <w:rPr>
              <w:rFonts w:asciiTheme="minorHAnsi" w:eastAsiaTheme="minorEastAsia" w:hAnsiTheme="minorHAnsi" w:cstheme="minorBidi"/>
              <w:kern w:val="2"/>
              <w:sz w:val="22"/>
              <w:szCs w:val="22"/>
              <w:lang w:val="es-CO" w:eastAsia="es-CO"/>
              <w14:ligatures w14:val="standardContextual"/>
            </w:rPr>
          </w:pPr>
          <w:hyperlink w:anchor="_Toc153876863" w:history="1">
            <w:r w:rsidR="004B324E" w:rsidRPr="00192AB5">
              <w:rPr>
                <w:rStyle w:val="Hipervnculo"/>
              </w:rPr>
              <w:t>7.</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Pr>
              <w:t>ANÁLISIS DE IMPACTO</w:t>
            </w:r>
            <w:r w:rsidR="004B324E">
              <w:rPr>
                <w:webHidden/>
              </w:rPr>
              <w:tab/>
            </w:r>
            <w:r w:rsidR="004B324E">
              <w:rPr>
                <w:webHidden/>
              </w:rPr>
              <w:fldChar w:fldCharType="begin"/>
            </w:r>
            <w:r w:rsidR="004B324E">
              <w:rPr>
                <w:webHidden/>
              </w:rPr>
              <w:instrText xml:space="preserve"> PAGEREF _Toc153876863 \h </w:instrText>
            </w:r>
            <w:r w:rsidR="004B324E">
              <w:rPr>
                <w:webHidden/>
              </w:rPr>
            </w:r>
            <w:r w:rsidR="004B324E">
              <w:rPr>
                <w:webHidden/>
              </w:rPr>
              <w:fldChar w:fldCharType="separate"/>
            </w:r>
            <w:r>
              <w:rPr>
                <w:webHidden/>
              </w:rPr>
              <w:t>29</w:t>
            </w:r>
            <w:r w:rsidR="004B324E">
              <w:rPr>
                <w:webHidden/>
              </w:rPr>
              <w:fldChar w:fldCharType="end"/>
            </w:r>
          </w:hyperlink>
        </w:p>
        <w:p w14:paraId="6E580075" w14:textId="2326AA04" w:rsidR="004B324E" w:rsidRDefault="004B57FF">
          <w:pPr>
            <w:pStyle w:val="TDC1"/>
            <w:rPr>
              <w:rFonts w:asciiTheme="minorHAnsi" w:eastAsiaTheme="minorEastAsia" w:hAnsiTheme="minorHAnsi" w:cstheme="minorBidi"/>
              <w:kern w:val="2"/>
              <w:sz w:val="22"/>
              <w:szCs w:val="22"/>
              <w:lang w:val="es-CO" w:eastAsia="es-CO"/>
              <w14:ligatures w14:val="standardContextual"/>
            </w:rPr>
          </w:pPr>
          <w:hyperlink w:anchor="_Toc153876864" w:history="1">
            <w:r w:rsidR="004B324E" w:rsidRPr="00192AB5">
              <w:rPr>
                <w:rStyle w:val="Hipervnculo"/>
              </w:rPr>
              <w:t>8.</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Pr>
              <w:t>CONSULTA PÚBLICA</w:t>
            </w:r>
            <w:r w:rsidR="004B324E">
              <w:rPr>
                <w:webHidden/>
              </w:rPr>
              <w:tab/>
            </w:r>
            <w:r w:rsidR="004B324E">
              <w:rPr>
                <w:webHidden/>
              </w:rPr>
              <w:fldChar w:fldCharType="begin"/>
            </w:r>
            <w:r w:rsidR="004B324E">
              <w:rPr>
                <w:webHidden/>
              </w:rPr>
              <w:instrText xml:space="preserve"> PAGEREF _Toc153876864 \h </w:instrText>
            </w:r>
            <w:r w:rsidR="004B324E">
              <w:rPr>
                <w:webHidden/>
              </w:rPr>
            </w:r>
            <w:r w:rsidR="004B324E">
              <w:rPr>
                <w:webHidden/>
              </w:rPr>
              <w:fldChar w:fldCharType="separate"/>
            </w:r>
            <w:r>
              <w:rPr>
                <w:webHidden/>
              </w:rPr>
              <w:t>35</w:t>
            </w:r>
            <w:r w:rsidR="004B324E">
              <w:rPr>
                <w:webHidden/>
              </w:rPr>
              <w:fldChar w:fldCharType="end"/>
            </w:r>
          </w:hyperlink>
        </w:p>
        <w:p w14:paraId="41168DCD" w14:textId="6774A0BA" w:rsidR="004B324E" w:rsidRDefault="004B57FF">
          <w:pPr>
            <w:pStyle w:val="TDC1"/>
            <w:rPr>
              <w:rFonts w:asciiTheme="minorHAnsi" w:eastAsiaTheme="minorEastAsia" w:hAnsiTheme="minorHAnsi" w:cstheme="minorBidi"/>
              <w:kern w:val="2"/>
              <w:sz w:val="22"/>
              <w:szCs w:val="22"/>
              <w:lang w:val="es-CO" w:eastAsia="es-CO"/>
              <w14:ligatures w14:val="standardContextual"/>
            </w:rPr>
          </w:pPr>
          <w:hyperlink w:anchor="_Toc153876865" w:history="1">
            <w:r w:rsidR="004B324E" w:rsidRPr="00192AB5">
              <w:rPr>
                <w:rStyle w:val="Hipervnculo"/>
              </w:rPr>
              <w:t>9.</w:t>
            </w:r>
            <w:r w:rsidR="004B324E">
              <w:rPr>
                <w:rFonts w:asciiTheme="minorHAnsi" w:eastAsiaTheme="minorEastAsia" w:hAnsiTheme="minorHAnsi" w:cstheme="minorBidi"/>
                <w:kern w:val="2"/>
                <w:sz w:val="22"/>
                <w:szCs w:val="22"/>
                <w:lang w:val="es-CO" w:eastAsia="es-CO"/>
                <w14:ligatures w14:val="standardContextual"/>
              </w:rPr>
              <w:tab/>
            </w:r>
            <w:r w:rsidR="004B324E" w:rsidRPr="00192AB5">
              <w:rPr>
                <w:rStyle w:val="Hipervnculo"/>
              </w:rPr>
              <w:t>CONCLUSIONES</w:t>
            </w:r>
            <w:r w:rsidR="004B324E">
              <w:rPr>
                <w:webHidden/>
              </w:rPr>
              <w:tab/>
            </w:r>
            <w:r w:rsidR="004B324E">
              <w:rPr>
                <w:webHidden/>
              </w:rPr>
              <w:fldChar w:fldCharType="begin"/>
            </w:r>
            <w:r w:rsidR="004B324E">
              <w:rPr>
                <w:webHidden/>
              </w:rPr>
              <w:instrText xml:space="preserve"> PAGEREF _Toc153876865 \h </w:instrText>
            </w:r>
            <w:r w:rsidR="004B324E">
              <w:rPr>
                <w:webHidden/>
              </w:rPr>
            </w:r>
            <w:r w:rsidR="004B324E">
              <w:rPr>
                <w:webHidden/>
              </w:rPr>
              <w:fldChar w:fldCharType="separate"/>
            </w:r>
            <w:r>
              <w:rPr>
                <w:webHidden/>
              </w:rPr>
              <w:t>35</w:t>
            </w:r>
            <w:r w:rsidR="004B324E">
              <w:rPr>
                <w:webHidden/>
              </w:rPr>
              <w:fldChar w:fldCharType="end"/>
            </w:r>
          </w:hyperlink>
        </w:p>
        <w:p w14:paraId="669389C3" w14:textId="194AD0B6" w:rsidR="00DE477E" w:rsidRDefault="00DE477E">
          <w:r>
            <w:rPr>
              <w:b/>
              <w:bCs/>
              <w:lang w:val="es-ES"/>
            </w:rPr>
            <w:fldChar w:fldCharType="end"/>
          </w:r>
        </w:p>
      </w:sdtContent>
    </w:sdt>
    <w:p w14:paraId="151790FB" w14:textId="5F0B2FFC" w:rsidR="00F2644E" w:rsidRDefault="00F2644E" w:rsidP="003E39BA">
      <w:pPr>
        <w:pStyle w:val="TtuloTDC"/>
        <w:rPr>
          <w:lang w:val="es-ES"/>
        </w:rPr>
      </w:pPr>
      <w:r>
        <w:rPr>
          <w:lang w:val="es-ES"/>
        </w:rPr>
        <w:br w:type="page"/>
      </w:r>
    </w:p>
    <w:p w14:paraId="41C0F2B0" w14:textId="10717ECF" w:rsidR="00422F6C" w:rsidRDefault="0090732B" w:rsidP="005F0FD4">
      <w:pPr>
        <w:pStyle w:val="Tabladeilustraciones"/>
        <w:rPr>
          <w:rFonts w:asciiTheme="minorHAnsi" w:eastAsiaTheme="minorEastAsia" w:hAnsiTheme="minorHAnsi" w:cstheme="minorBidi"/>
          <w:kern w:val="2"/>
          <w:sz w:val="22"/>
          <w:szCs w:val="22"/>
          <w:lang w:val="es-CO" w:eastAsia="es-CO"/>
          <w14:ligatures w14:val="standardContextual"/>
        </w:rPr>
      </w:pPr>
      <w:r>
        <w:rPr>
          <w:lang w:val="es-ES"/>
        </w:rPr>
        <w:lastRenderedPageBreak/>
        <w:fldChar w:fldCharType="begin"/>
      </w:r>
      <w:r>
        <w:rPr>
          <w:lang w:val="es-ES"/>
        </w:rPr>
        <w:instrText xml:space="preserve"> TOC \h \z \c "Ecuación" </w:instrText>
      </w:r>
      <w:r>
        <w:rPr>
          <w:lang w:val="es-ES"/>
        </w:rPr>
        <w:fldChar w:fldCharType="separate"/>
      </w:r>
    </w:p>
    <w:p w14:paraId="54AFFF40" w14:textId="222B2833" w:rsidR="00346BC3" w:rsidRPr="005354BD" w:rsidRDefault="0090732B" w:rsidP="005354BD">
      <w:pPr>
        <w:pStyle w:val="TtuloTDC"/>
        <w:rPr>
          <w:lang w:val="es-ES"/>
        </w:rPr>
      </w:pPr>
      <w:r>
        <w:rPr>
          <w:lang w:val="es-ES"/>
        </w:rPr>
        <w:fldChar w:fldCharType="end"/>
      </w:r>
      <w:r w:rsidR="005354BD" w:rsidRPr="005354BD">
        <w:rPr>
          <w:lang w:val="es-ES"/>
        </w:rPr>
        <w:t>Ilustraciones</w:t>
      </w:r>
    </w:p>
    <w:p w14:paraId="4C192F6E" w14:textId="4CB2DAE4" w:rsidR="00DE477E" w:rsidRDefault="00DE477E" w:rsidP="0038050C">
      <w:pPr>
        <w:rPr>
          <w:sz w:val="22"/>
        </w:rPr>
      </w:pPr>
    </w:p>
    <w:p w14:paraId="16C21582" w14:textId="3A077FA9" w:rsidR="004B324E" w:rsidRDefault="00FC574A">
      <w:pPr>
        <w:pStyle w:val="Tabladeilustraciones"/>
        <w:rPr>
          <w:rFonts w:asciiTheme="minorHAnsi" w:eastAsiaTheme="minorEastAsia" w:hAnsiTheme="minorHAnsi" w:cstheme="minorBidi"/>
          <w:kern w:val="2"/>
          <w:sz w:val="22"/>
          <w:szCs w:val="22"/>
          <w:lang w:val="es-CO" w:eastAsia="es-CO"/>
          <w14:ligatures w14:val="standardContextual"/>
        </w:rPr>
      </w:pPr>
      <w:r>
        <w:rPr>
          <w:sz w:val="22"/>
        </w:rPr>
        <w:fldChar w:fldCharType="begin"/>
      </w:r>
      <w:r>
        <w:rPr>
          <w:sz w:val="22"/>
        </w:rPr>
        <w:instrText xml:space="preserve"> TOC \h \z \c "Ilustración" </w:instrText>
      </w:r>
      <w:r>
        <w:rPr>
          <w:sz w:val="22"/>
        </w:rPr>
        <w:fldChar w:fldCharType="separate"/>
      </w:r>
      <w:hyperlink w:anchor="_Toc153876866" w:history="1">
        <w:r w:rsidR="004B324E" w:rsidRPr="00B958E7">
          <w:rPr>
            <w:rStyle w:val="Hipervnculo"/>
          </w:rPr>
          <w:t>Ilustración 1. Porcentaje de participación en la capacidad instalada por tecnología</w:t>
        </w:r>
        <w:r w:rsidR="004B324E">
          <w:rPr>
            <w:webHidden/>
          </w:rPr>
          <w:tab/>
        </w:r>
        <w:r w:rsidR="004B324E">
          <w:rPr>
            <w:webHidden/>
          </w:rPr>
          <w:fldChar w:fldCharType="begin"/>
        </w:r>
        <w:r w:rsidR="004B324E">
          <w:rPr>
            <w:webHidden/>
          </w:rPr>
          <w:instrText xml:space="preserve"> PAGEREF _Toc153876866 \h </w:instrText>
        </w:r>
        <w:r w:rsidR="004B324E">
          <w:rPr>
            <w:webHidden/>
          </w:rPr>
        </w:r>
        <w:r w:rsidR="004B324E">
          <w:rPr>
            <w:webHidden/>
          </w:rPr>
          <w:fldChar w:fldCharType="separate"/>
        </w:r>
        <w:r w:rsidR="004B57FF">
          <w:rPr>
            <w:webHidden/>
          </w:rPr>
          <w:t>5</w:t>
        </w:r>
        <w:r w:rsidR="004B324E">
          <w:rPr>
            <w:webHidden/>
          </w:rPr>
          <w:fldChar w:fldCharType="end"/>
        </w:r>
      </w:hyperlink>
    </w:p>
    <w:p w14:paraId="2EBFE3A2" w14:textId="7BBB05CD"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67" w:history="1">
        <w:r w:rsidR="004B324E" w:rsidRPr="00B958E7">
          <w:rPr>
            <w:rStyle w:val="Hipervnculo"/>
          </w:rPr>
          <w:t>Ilustración 2. Concentración del mercado de generación</w:t>
        </w:r>
        <w:r w:rsidR="004B324E">
          <w:rPr>
            <w:webHidden/>
          </w:rPr>
          <w:tab/>
        </w:r>
        <w:r w:rsidR="004B324E">
          <w:rPr>
            <w:webHidden/>
          </w:rPr>
          <w:fldChar w:fldCharType="begin"/>
        </w:r>
        <w:r w:rsidR="004B324E">
          <w:rPr>
            <w:webHidden/>
          </w:rPr>
          <w:instrText xml:space="preserve"> PAGEREF _Toc153876867 \h </w:instrText>
        </w:r>
        <w:r w:rsidR="004B324E">
          <w:rPr>
            <w:webHidden/>
          </w:rPr>
        </w:r>
        <w:r w:rsidR="004B324E">
          <w:rPr>
            <w:webHidden/>
          </w:rPr>
          <w:fldChar w:fldCharType="separate"/>
        </w:r>
        <w:r>
          <w:rPr>
            <w:webHidden/>
          </w:rPr>
          <w:t>5</w:t>
        </w:r>
        <w:r w:rsidR="004B324E">
          <w:rPr>
            <w:webHidden/>
          </w:rPr>
          <w:fldChar w:fldCharType="end"/>
        </w:r>
      </w:hyperlink>
    </w:p>
    <w:p w14:paraId="128C9BAA" w14:textId="6C5352D6"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68" w:history="1">
        <w:r w:rsidR="004B324E" w:rsidRPr="00B958E7">
          <w:rPr>
            <w:rStyle w:val="Hipervnculo"/>
          </w:rPr>
          <w:t>Ilustración 3. Procedimiento para definir el precio de bolsa</w:t>
        </w:r>
        <w:r w:rsidR="004B324E">
          <w:rPr>
            <w:webHidden/>
          </w:rPr>
          <w:tab/>
        </w:r>
        <w:r w:rsidR="004B324E">
          <w:rPr>
            <w:webHidden/>
          </w:rPr>
          <w:fldChar w:fldCharType="begin"/>
        </w:r>
        <w:r w:rsidR="004B324E">
          <w:rPr>
            <w:webHidden/>
          </w:rPr>
          <w:instrText xml:space="preserve"> PAGEREF _Toc153876868 \h </w:instrText>
        </w:r>
        <w:r w:rsidR="004B324E">
          <w:rPr>
            <w:webHidden/>
          </w:rPr>
        </w:r>
        <w:r w:rsidR="004B324E">
          <w:rPr>
            <w:webHidden/>
          </w:rPr>
          <w:fldChar w:fldCharType="separate"/>
        </w:r>
        <w:r>
          <w:rPr>
            <w:webHidden/>
          </w:rPr>
          <w:t>8</w:t>
        </w:r>
        <w:r w:rsidR="004B324E">
          <w:rPr>
            <w:webHidden/>
          </w:rPr>
          <w:fldChar w:fldCharType="end"/>
        </w:r>
      </w:hyperlink>
    </w:p>
    <w:p w14:paraId="373C8C1F" w14:textId="650C7E49"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69" w:history="1">
        <w:r w:rsidR="004B324E" w:rsidRPr="00B958E7">
          <w:rPr>
            <w:rStyle w:val="Hipervnculo"/>
          </w:rPr>
          <w:t xml:space="preserve">Ilustración 4. Determinación del </w:t>
        </w:r>
        <w:r w:rsidR="004B324E" w:rsidRPr="00B958E7">
          <w:rPr>
            <w:rStyle w:val="Hipervnculo"/>
            <w:rFonts w:cs="Arial"/>
          </w:rPr>
          <w:t>∆</w:t>
        </w:r>
        <w:r w:rsidR="004B324E" w:rsidRPr="00B958E7">
          <w:rPr>
            <w:rStyle w:val="Hipervnculo"/>
          </w:rPr>
          <w:t>I</w:t>
        </w:r>
        <w:r w:rsidR="004B324E">
          <w:rPr>
            <w:webHidden/>
          </w:rPr>
          <w:tab/>
        </w:r>
        <w:r w:rsidR="004B324E">
          <w:rPr>
            <w:webHidden/>
          </w:rPr>
          <w:fldChar w:fldCharType="begin"/>
        </w:r>
        <w:r w:rsidR="004B324E">
          <w:rPr>
            <w:webHidden/>
          </w:rPr>
          <w:instrText xml:space="preserve"> PAGEREF _Toc153876869 \h </w:instrText>
        </w:r>
        <w:r w:rsidR="004B324E">
          <w:rPr>
            <w:webHidden/>
          </w:rPr>
        </w:r>
        <w:r w:rsidR="004B324E">
          <w:rPr>
            <w:webHidden/>
          </w:rPr>
          <w:fldChar w:fldCharType="separate"/>
        </w:r>
        <w:r>
          <w:rPr>
            <w:webHidden/>
          </w:rPr>
          <w:t>9</w:t>
        </w:r>
        <w:r w:rsidR="004B324E">
          <w:rPr>
            <w:webHidden/>
          </w:rPr>
          <w:fldChar w:fldCharType="end"/>
        </w:r>
      </w:hyperlink>
    </w:p>
    <w:p w14:paraId="28D8400E" w14:textId="0D7300E1"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70" w:history="1">
        <w:r w:rsidR="004B324E" w:rsidRPr="00B958E7">
          <w:rPr>
            <w:rStyle w:val="Hipervnculo"/>
          </w:rPr>
          <w:t>Ilustración 5: Aportes 2022-2024</w:t>
        </w:r>
        <w:r w:rsidR="004B324E">
          <w:rPr>
            <w:webHidden/>
          </w:rPr>
          <w:tab/>
        </w:r>
        <w:r w:rsidR="004B324E">
          <w:rPr>
            <w:webHidden/>
          </w:rPr>
          <w:fldChar w:fldCharType="begin"/>
        </w:r>
        <w:r w:rsidR="004B324E">
          <w:rPr>
            <w:webHidden/>
          </w:rPr>
          <w:instrText xml:space="preserve"> PAGEREF _Toc153876870 \h </w:instrText>
        </w:r>
        <w:r w:rsidR="004B324E">
          <w:rPr>
            <w:webHidden/>
          </w:rPr>
        </w:r>
        <w:r w:rsidR="004B324E">
          <w:rPr>
            <w:webHidden/>
          </w:rPr>
          <w:fldChar w:fldCharType="separate"/>
        </w:r>
        <w:r>
          <w:rPr>
            <w:webHidden/>
          </w:rPr>
          <w:t>11</w:t>
        </w:r>
        <w:r w:rsidR="004B324E">
          <w:rPr>
            <w:webHidden/>
          </w:rPr>
          <w:fldChar w:fldCharType="end"/>
        </w:r>
      </w:hyperlink>
    </w:p>
    <w:p w14:paraId="0B1E14CF" w14:textId="5801AD6A"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71" w:history="1">
        <w:r w:rsidR="004B324E" w:rsidRPr="00B958E7">
          <w:rPr>
            <w:rStyle w:val="Hipervnculo"/>
          </w:rPr>
          <w:t>Ilustración 6. Demanda del Sistema Interconectado Nacional</w:t>
        </w:r>
        <w:r w:rsidR="004B324E">
          <w:rPr>
            <w:webHidden/>
          </w:rPr>
          <w:tab/>
        </w:r>
        <w:r w:rsidR="004B324E">
          <w:rPr>
            <w:webHidden/>
          </w:rPr>
          <w:fldChar w:fldCharType="begin"/>
        </w:r>
        <w:r w:rsidR="004B324E">
          <w:rPr>
            <w:webHidden/>
          </w:rPr>
          <w:instrText xml:space="preserve"> PAGEREF _Toc153876871 \h </w:instrText>
        </w:r>
        <w:r w:rsidR="004B324E">
          <w:rPr>
            <w:webHidden/>
          </w:rPr>
        </w:r>
        <w:r w:rsidR="004B324E">
          <w:rPr>
            <w:webHidden/>
          </w:rPr>
          <w:fldChar w:fldCharType="separate"/>
        </w:r>
        <w:r>
          <w:rPr>
            <w:webHidden/>
          </w:rPr>
          <w:t>12</w:t>
        </w:r>
        <w:r w:rsidR="004B324E">
          <w:rPr>
            <w:webHidden/>
          </w:rPr>
          <w:fldChar w:fldCharType="end"/>
        </w:r>
      </w:hyperlink>
    </w:p>
    <w:p w14:paraId="1C10F3C3" w14:textId="23ACCFCA"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72" w:history="1">
        <w:r w:rsidR="004B324E" w:rsidRPr="00B958E7">
          <w:rPr>
            <w:rStyle w:val="Hipervnculo"/>
          </w:rPr>
          <w:t>Ilustración 7. Proyectos en construcción</w:t>
        </w:r>
        <w:r w:rsidR="004B324E">
          <w:rPr>
            <w:webHidden/>
          </w:rPr>
          <w:tab/>
        </w:r>
        <w:r w:rsidR="004B324E">
          <w:rPr>
            <w:webHidden/>
          </w:rPr>
          <w:fldChar w:fldCharType="begin"/>
        </w:r>
        <w:r w:rsidR="004B324E">
          <w:rPr>
            <w:webHidden/>
          </w:rPr>
          <w:instrText xml:space="preserve"> PAGEREF _Toc153876872 \h </w:instrText>
        </w:r>
        <w:r w:rsidR="004B324E">
          <w:rPr>
            <w:webHidden/>
          </w:rPr>
        </w:r>
        <w:r w:rsidR="004B324E">
          <w:rPr>
            <w:webHidden/>
          </w:rPr>
          <w:fldChar w:fldCharType="separate"/>
        </w:r>
        <w:r>
          <w:rPr>
            <w:webHidden/>
          </w:rPr>
          <w:t>13</w:t>
        </w:r>
        <w:r w:rsidR="004B324E">
          <w:rPr>
            <w:webHidden/>
          </w:rPr>
          <w:fldChar w:fldCharType="end"/>
        </w:r>
      </w:hyperlink>
    </w:p>
    <w:p w14:paraId="516439E9" w14:textId="6357C5E0"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73" w:history="1">
        <w:r w:rsidR="004B324E" w:rsidRPr="00B958E7">
          <w:rPr>
            <w:rStyle w:val="Hipervnculo"/>
          </w:rPr>
          <w:t>Ilustración 8. Precios de bolsa durante diferentes periodos de El Niño</w:t>
        </w:r>
        <w:r w:rsidR="004B324E">
          <w:rPr>
            <w:webHidden/>
          </w:rPr>
          <w:tab/>
        </w:r>
        <w:r w:rsidR="004B324E">
          <w:rPr>
            <w:webHidden/>
          </w:rPr>
          <w:fldChar w:fldCharType="begin"/>
        </w:r>
        <w:r w:rsidR="004B324E">
          <w:rPr>
            <w:webHidden/>
          </w:rPr>
          <w:instrText xml:space="preserve"> PAGEREF _Toc153876873 \h </w:instrText>
        </w:r>
        <w:r w:rsidR="004B324E">
          <w:rPr>
            <w:webHidden/>
          </w:rPr>
        </w:r>
        <w:r w:rsidR="004B324E">
          <w:rPr>
            <w:webHidden/>
          </w:rPr>
          <w:fldChar w:fldCharType="separate"/>
        </w:r>
        <w:r>
          <w:rPr>
            <w:webHidden/>
          </w:rPr>
          <w:t>14</w:t>
        </w:r>
        <w:r w:rsidR="004B324E">
          <w:rPr>
            <w:webHidden/>
          </w:rPr>
          <w:fldChar w:fldCharType="end"/>
        </w:r>
      </w:hyperlink>
    </w:p>
    <w:p w14:paraId="0D0E70B8" w14:textId="2A648B28"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74" w:history="1">
        <w:r w:rsidR="004B324E" w:rsidRPr="00B958E7">
          <w:rPr>
            <w:rStyle w:val="Hipervnculo"/>
          </w:rPr>
          <w:t>Ilustración 9: Precio de bolsa de agosto a inicios diciembre 2023</w:t>
        </w:r>
        <w:r w:rsidR="004B324E">
          <w:rPr>
            <w:webHidden/>
          </w:rPr>
          <w:tab/>
        </w:r>
        <w:r w:rsidR="004B324E">
          <w:rPr>
            <w:webHidden/>
          </w:rPr>
          <w:fldChar w:fldCharType="begin"/>
        </w:r>
        <w:r w:rsidR="004B324E">
          <w:rPr>
            <w:webHidden/>
          </w:rPr>
          <w:instrText xml:space="preserve"> PAGEREF _Toc153876874 \h </w:instrText>
        </w:r>
        <w:r w:rsidR="004B324E">
          <w:rPr>
            <w:webHidden/>
          </w:rPr>
        </w:r>
        <w:r w:rsidR="004B324E">
          <w:rPr>
            <w:webHidden/>
          </w:rPr>
          <w:fldChar w:fldCharType="separate"/>
        </w:r>
        <w:r>
          <w:rPr>
            <w:webHidden/>
          </w:rPr>
          <w:t>14</w:t>
        </w:r>
        <w:r w:rsidR="004B324E">
          <w:rPr>
            <w:webHidden/>
          </w:rPr>
          <w:fldChar w:fldCharType="end"/>
        </w:r>
      </w:hyperlink>
    </w:p>
    <w:p w14:paraId="7E070AD9" w14:textId="73E19CB5"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75" w:history="1">
        <w:r w:rsidR="004B324E" w:rsidRPr="00B958E7">
          <w:rPr>
            <w:rStyle w:val="Hipervnculo"/>
          </w:rPr>
          <w:t>Ilustración 10. Precios contratos</w:t>
        </w:r>
        <w:r w:rsidR="004B324E">
          <w:rPr>
            <w:webHidden/>
          </w:rPr>
          <w:tab/>
        </w:r>
        <w:r w:rsidR="004B324E">
          <w:rPr>
            <w:webHidden/>
          </w:rPr>
          <w:fldChar w:fldCharType="begin"/>
        </w:r>
        <w:r w:rsidR="004B324E">
          <w:rPr>
            <w:webHidden/>
          </w:rPr>
          <w:instrText xml:space="preserve"> PAGEREF _Toc153876875 \h </w:instrText>
        </w:r>
        <w:r w:rsidR="004B324E">
          <w:rPr>
            <w:webHidden/>
          </w:rPr>
        </w:r>
        <w:r w:rsidR="004B324E">
          <w:rPr>
            <w:webHidden/>
          </w:rPr>
          <w:fldChar w:fldCharType="separate"/>
        </w:r>
        <w:r>
          <w:rPr>
            <w:webHidden/>
          </w:rPr>
          <w:t>15</w:t>
        </w:r>
        <w:r w:rsidR="004B324E">
          <w:rPr>
            <w:webHidden/>
          </w:rPr>
          <w:fldChar w:fldCharType="end"/>
        </w:r>
      </w:hyperlink>
    </w:p>
    <w:p w14:paraId="6F381606" w14:textId="5EE4B9C8"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76" w:history="1">
        <w:r w:rsidR="004B324E" w:rsidRPr="00B958E7">
          <w:rPr>
            <w:rStyle w:val="Hipervnculo"/>
          </w:rPr>
          <w:t>Ilustración 11. Saldo acumulado por mercado de comercialización</w:t>
        </w:r>
        <w:r w:rsidR="004B324E">
          <w:rPr>
            <w:webHidden/>
          </w:rPr>
          <w:tab/>
        </w:r>
        <w:r w:rsidR="004B324E">
          <w:rPr>
            <w:webHidden/>
          </w:rPr>
          <w:fldChar w:fldCharType="begin"/>
        </w:r>
        <w:r w:rsidR="004B324E">
          <w:rPr>
            <w:webHidden/>
          </w:rPr>
          <w:instrText xml:space="preserve"> PAGEREF _Toc153876876 \h </w:instrText>
        </w:r>
        <w:r w:rsidR="004B324E">
          <w:rPr>
            <w:webHidden/>
          </w:rPr>
        </w:r>
        <w:r w:rsidR="004B324E">
          <w:rPr>
            <w:webHidden/>
          </w:rPr>
          <w:fldChar w:fldCharType="separate"/>
        </w:r>
        <w:r>
          <w:rPr>
            <w:webHidden/>
          </w:rPr>
          <w:t>16</w:t>
        </w:r>
        <w:r w:rsidR="004B324E">
          <w:rPr>
            <w:webHidden/>
          </w:rPr>
          <w:fldChar w:fldCharType="end"/>
        </w:r>
      </w:hyperlink>
    </w:p>
    <w:p w14:paraId="55B1D34C" w14:textId="3D48DF2D"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77" w:history="1">
        <w:r w:rsidR="004B324E" w:rsidRPr="00B958E7">
          <w:rPr>
            <w:rStyle w:val="Hipervnculo"/>
          </w:rPr>
          <w:t>Ilustración 12. Valores acumulados por el AJ de la fórmula tarifaria</w:t>
        </w:r>
        <w:r w:rsidR="004B324E">
          <w:rPr>
            <w:webHidden/>
          </w:rPr>
          <w:tab/>
        </w:r>
        <w:r w:rsidR="004B324E">
          <w:rPr>
            <w:webHidden/>
          </w:rPr>
          <w:fldChar w:fldCharType="begin"/>
        </w:r>
        <w:r w:rsidR="004B324E">
          <w:rPr>
            <w:webHidden/>
          </w:rPr>
          <w:instrText xml:space="preserve"> PAGEREF _Toc153876877 \h </w:instrText>
        </w:r>
        <w:r w:rsidR="004B324E">
          <w:rPr>
            <w:webHidden/>
          </w:rPr>
        </w:r>
        <w:r w:rsidR="004B324E">
          <w:rPr>
            <w:webHidden/>
          </w:rPr>
          <w:fldChar w:fldCharType="separate"/>
        </w:r>
        <w:r>
          <w:rPr>
            <w:webHidden/>
          </w:rPr>
          <w:t>17</w:t>
        </w:r>
        <w:r w:rsidR="004B324E">
          <w:rPr>
            <w:webHidden/>
          </w:rPr>
          <w:fldChar w:fldCharType="end"/>
        </w:r>
      </w:hyperlink>
    </w:p>
    <w:p w14:paraId="2203F2D6" w14:textId="240CC416"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78" w:history="1">
        <w:r w:rsidR="004B324E" w:rsidRPr="00B958E7">
          <w:rPr>
            <w:rStyle w:val="Hipervnculo"/>
          </w:rPr>
          <w:t>Ilustración 13. Disponibilidad real vs margen para el 2023</w:t>
        </w:r>
        <w:r w:rsidR="004B324E">
          <w:rPr>
            <w:webHidden/>
          </w:rPr>
          <w:tab/>
        </w:r>
        <w:r w:rsidR="004B324E">
          <w:rPr>
            <w:webHidden/>
          </w:rPr>
          <w:fldChar w:fldCharType="begin"/>
        </w:r>
        <w:r w:rsidR="004B324E">
          <w:rPr>
            <w:webHidden/>
          </w:rPr>
          <w:instrText xml:space="preserve"> PAGEREF _Toc153876878 \h </w:instrText>
        </w:r>
        <w:r w:rsidR="004B324E">
          <w:rPr>
            <w:webHidden/>
          </w:rPr>
        </w:r>
        <w:r w:rsidR="004B324E">
          <w:rPr>
            <w:webHidden/>
          </w:rPr>
          <w:fldChar w:fldCharType="separate"/>
        </w:r>
        <w:r>
          <w:rPr>
            <w:webHidden/>
          </w:rPr>
          <w:t>23</w:t>
        </w:r>
        <w:r w:rsidR="004B324E">
          <w:rPr>
            <w:webHidden/>
          </w:rPr>
          <w:fldChar w:fldCharType="end"/>
        </w:r>
      </w:hyperlink>
    </w:p>
    <w:p w14:paraId="0C87C89F" w14:textId="4BCC375A"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79" w:history="1">
        <w:r w:rsidR="004B324E" w:rsidRPr="00B958E7">
          <w:rPr>
            <w:rStyle w:val="Hipervnculo"/>
          </w:rPr>
          <w:t>Ilustración 14. Caso 1: El PBN menor que PEA</w:t>
        </w:r>
        <w:r w:rsidR="004B324E">
          <w:rPr>
            <w:webHidden/>
          </w:rPr>
          <w:tab/>
        </w:r>
        <w:r w:rsidR="004B324E">
          <w:rPr>
            <w:webHidden/>
          </w:rPr>
          <w:fldChar w:fldCharType="begin"/>
        </w:r>
        <w:r w:rsidR="004B324E">
          <w:rPr>
            <w:webHidden/>
          </w:rPr>
          <w:instrText xml:space="preserve"> PAGEREF _Toc153876879 \h </w:instrText>
        </w:r>
        <w:r w:rsidR="004B324E">
          <w:rPr>
            <w:webHidden/>
          </w:rPr>
        </w:r>
        <w:r w:rsidR="004B324E">
          <w:rPr>
            <w:webHidden/>
          </w:rPr>
          <w:fldChar w:fldCharType="separate"/>
        </w:r>
        <w:r>
          <w:rPr>
            <w:webHidden/>
          </w:rPr>
          <w:t>28</w:t>
        </w:r>
        <w:r w:rsidR="004B324E">
          <w:rPr>
            <w:webHidden/>
          </w:rPr>
          <w:fldChar w:fldCharType="end"/>
        </w:r>
      </w:hyperlink>
    </w:p>
    <w:p w14:paraId="50283D2C" w14:textId="2FAA8C73"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80" w:history="1">
        <w:r w:rsidR="004B324E" w:rsidRPr="00B958E7">
          <w:rPr>
            <w:rStyle w:val="Hipervnculo"/>
          </w:rPr>
          <w:t>Ilustración 15. Caso 2: El PBN mayor que PEA</w:t>
        </w:r>
        <w:r w:rsidR="004B324E">
          <w:rPr>
            <w:webHidden/>
          </w:rPr>
          <w:tab/>
        </w:r>
        <w:r w:rsidR="004B324E">
          <w:rPr>
            <w:webHidden/>
          </w:rPr>
          <w:fldChar w:fldCharType="begin"/>
        </w:r>
        <w:r w:rsidR="004B324E">
          <w:rPr>
            <w:webHidden/>
          </w:rPr>
          <w:instrText xml:space="preserve"> PAGEREF _Toc153876880 \h </w:instrText>
        </w:r>
        <w:r w:rsidR="004B324E">
          <w:rPr>
            <w:webHidden/>
          </w:rPr>
        </w:r>
        <w:r w:rsidR="004B324E">
          <w:rPr>
            <w:webHidden/>
          </w:rPr>
          <w:fldChar w:fldCharType="separate"/>
        </w:r>
        <w:r>
          <w:rPr>
            <w:webHidden/>
          </w:rPr>
          <w:t>29</w:t>
        </w:r>
        <w:r w:rsidR="004B324E">
          <w:rPr>
            <w:webHidden/>
          </w:rPr>
          <w:fldChar w:fldCharType="end"/>
        </w:r>
      </w:hyperlink>
    </w:p>
    <w:p w14:paraId="32BFB0C7" w14:textId="32FEB3E7"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81" w:history="1">
        <w:r w:rsidR="004B324E" w:rsidRPr="00B958E7">
          <w:rPr>
            <w:rStyle w:val="Hipervnculo"/>
          </w:rPr>
          <w:t>Ilustración 16. Porcentaje de compras en bolsa, contratos y contratos CLP por comercializador</w:t>
        </w:r>
        <w:r w:rsidR="004B324E">
          <w:rPr>
            <w:webHidden/>
          </w:rPr>
          <w:tab/>
        </w:r>
        <w:r w:rsidR="004B324E">
          <w:rPr>
            <w:webHidden/>
          </w:rPr>
          <w:fldChar w:fldCharType="begin"/>
        </w:r>
        <w:r w:rsidR="004B324E">
          <w:rPr>
            <w:webHidden/>
          </w:rPr>
          <w:instrText xml:space="preserve"> PAGEREF _Toc153876881 \h </w:instrText>
        </w:r>
        <w:r w:rsidR="004B324E">
          <w:rPr>
            <w:webHidden/>
          </w:rPr>
        </w:r>
        <w:r w:rsidR="004B324E">
          <w:rPr>
            <w:webHidden/>
          </w:rPr>
          <w:fldChar w:fldCharType="separate"/>
        </w:r>
        <w:r>
          <w:rPr>
            <w:webHidden/>
          </w:rPr>
          <w:t>32</w:t>
        </w:r>
        <w:r w:rsidR="004B324E">
          <w:rPr>
            <w:webHidden/>
          </w:rPr>
          <w:fldChar w:fldCharType="end"/>
        </w:r>
      </w:hyperlink>
    </w:p>
    <w:p w14:paraId="7EED9C6E" w14:textId="28A0E53C"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82" w:history="1">
        <w:r w:rsidR="004B324E" w:rsidRPr="00B958E7">
          <w:rPr>
            <w:rStyle w:val="Hipervnculo"/>
          </w:rPr>
          <w:t>Ilustración 17. Escenarios de precios de bolsa</w:t>
        </w:r>
        <w:r w:rsidR="004B324E">
          <w:rPr>
            <w:webHidden/>
          </w:rPr>
          <w:tab/>
        </w:r>
        <w:r w:rsidR="004B324E">
          <w:rPr>
            <w:webHidden/>
          </w:rPr>
          <w:fldChar w:fldCharType="begin"/>
        </w:r>
        <w:r w:rsidR="004B324E">
          <w:rPr>
            <w:webHidden/>
          </w:rPr>
          <w:instrText xml:space="preserve"> PAGEREF _Toc153876882 \h </w:instrText>
        </w:r>
        <w:r w:rsidR="004B324E">
          <w:rPr>
            <w:webHidden/>
          </w:rPr>
        </w:r>
        <w:r w:rsidR="004B324E">
          <w:rPr>
            <w:webHidden/>
          </w:rPr>
          <w:fldChar w:fldCharType="separate"/>
        </w:r>
        <w:r>
          <w:rPr>
            <w:webHidden/>
          </w:rPr>
          <w:t>33</w:t>
        </w:r>
        <w:r w:rsidR="004B324E">
          <w:rPr>
            <w:webHidden/>
          </w:rPr>
          <w:fldChar w:fldCharType="end"/>
        </w:r>
      </w:hyperlink>
    </w:p>
    <w:p w14:paraId="7C971581" w14:textId="39D92D18"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83" w:history="1">
        <w:r w:rsidR="004B324E" w:rsidRPr="00B958E7">
          <w:rPr>
            <w:rStyle w:val="Hipervnculo"/>
          </w:rPr>
          <w:t>Ilustración 18. Comportamiento del AJ para los escenarios de precios de bolsa descritos</w:t>
        </w:r>
        <w:r w:rsidR="004B324E">
          <w:rPr>
            <w:webHidden/>
          </w:rPr>
          <w:tab/>
        </w:r>
        <w:r w:rsidR="004B324E">
          <w:rPr>
            <w:webHidden/>
          </w:rPr>
          <w:fldChar w:fldCharType="begin"/>
        </w:r>
        <w:r w:rsidR="004B324E">
          <w:rPr>
            <w:webHidden/>
          </w:rPr>
          <w:instrText xml:space="preserve"> PAGEREF _Toc153876883 \h </w:instrText>
        </w:r>
        <w:r w:rsidR="004B324E">
          <w:rPr>
            <w:webHidden/>
          </w:rPr>
        </w:r>
        <w:r w:rsidR="004B324E">
          <w:rPr>
            <w:webHidden/>
          </w:rPr>
          <w:fldChar w:fldCharType="separate"/>
        </w:r>
        <w:r>
          <w:rPr>
            <w:webHidden/>
          </w:rPr>
          <w:t>34</w:t>
        </w:r>
        <w:r w:rsidR="004B324E">
          <w:rPr>
            <w:webHidden/>
          </w:rPr>
          <w:fldChar w:fldCharType="end"/>
        </w:r>
      </w:hyperlink>
    </w:p>
    <w:p w14:paraId="4B20E548" w14:textId="3699B50D"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84" w:history="1">
        <w:r w:rsidR="004B324E" w:rsidRPr="00B958E7">
          <w:rPr>
            <w:rStyle w:val="Hipervnculo"/>
          </w:rPr>
          <w:t>Ilustración 19. Efecto sobre la componente G para los escenarios Pb_Base y Pb_Esc1</w:t>
        </w:r>
        <w:r w:rsidR="004B324E">
          <w:rPr>
            <w:webHidden/>
          </w:rPr>
          <w:tab/>
        </w:r>
        <w:r w:rsidR="004B324E">
          <w:rPr>
            <w:webHidden/>
          </w:rPr>
          <w:fldChar w:fldCharType="begin"/>
        </w:r>
        <w:r w:rsidR="004B324E">
          <w:rPr>
            <w:webHidden/>
          </w:rPr>
          <w:instrText xml:space="preserve"> PAGEREF _Toc153876884 \h </w:instrText>
        </w:r>
        <w:r w:rsidR="004B324E">
          <w:rPr>
            <w:webHidden/>
          </w:rPr>
        </w:r>
        <w:r w:rsidR="004B324E">
          <w:rPr>
            <w:webHidden/>
          </w:rPr>
          <w:fldChar w:fldCharType="separate"/>
        </w:r>
        <w:r>
          <w:rPr>
            <w:webHidden/>
          </w:rPr>
          <w:t>34</w:t>
        </w:r>
        <w:r w:rsidR="004B324E">
          <w:rPr>
            <w:webHidden/>
          </w:rPr>
          <w:fldChar w:fldCharType="end"/>
        </w:r>
      </w:hyperlink>
    </w:p>
    <w:p w14:paraId="4808D8E4" w14:textId="06541C67"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85" w:history="1">
        <w:r w:rsidR="004B324E" w:rsidRPr="00B958E7">
          <w:rPr>
            <w:rStyle w:val="Hipervnculo"/>
          </w:rPr>
          <w:t>Ilustración 20. Comportamiento del CU para los escenarios Pb_Base y Pb_Esc1</w:t>
        </w:r>
        <w:r w:rsidR="004B324E">
          <w:rPr>
            <w:webHidden/>
          </w:rPr>
          <w:tab/>
        </w:r>
        <w:r w:rsidR="004B324E">
          <w:rPr>
            <w:webHidden/>
          </w:rPr>
          <w:fldChar w:fldCharType="begin"/>
        </w:r>
        <w:r w:rsidR="004B324E">
          <w:rPr>
            <w:webHidden/>
          </w:rPr>
          <w:instrText xml:space="preserve"> PAGEREF _Toc153876885 \h </w:instrText>
        </w:r>
        <w:r w:rsidR="004B324E">
          <w:rPr>
            <w:webHidden/>
          </w:rPr>
        </w:r>
        <w:r w:rsidR="004B324E">
          <w:rPr>
            <w:webHidden/>
          </w:rPr>
          <w:fldChar w:fldCharType="separate"/>
        </w:r>
        <w:r>
          <w:rPr>
            <w:webHidden/>
          </w:rPr>
          <w:t>34</w:t>
        </w:r>
        <w:r w:rsidR="004B324E">
          <w:rPr>
            <w:webHidden/>
          </w:rPr>
          <w:fldChar w:fldCharType="end"/>
        </w:r>
      </w:hyperlink>
    </w:p>
    <w:p w14:paraId="7EE00B78" w14:textId="16758596" w:rsidR="00346BC3" w:rsidRDefault="00FC574A" w:rsidP="0038050C">
      <w:pPr>
        <w:rPr>
          <w:sz w:val="22"/>
        </w:rPr>
      </w:pPr>
      <w:r>
        <w:rPr>
          <w:sz w:val="22"/>
        </w:rPr>
        <w:fldChar w:fldCharType="end"/>
      </w:r>
    </w:p>
    <w:p w14:paraId="73E389C6" w14:textId="43EB66B0" w:rsidR="008B4D0F" w:rsidRPr="005354BD" w:rsidRDefault="005354BD" w:rsidP="005354BD">
      <w:pPr>
        <w:pStyle w:val="TtuloTDC"/>
        <w:rPr>
          <w:lang w:val="es-ES"/>
        </w:rPr>
      </w:pPr>
      <w:r w:rsidRPr="005354BD">
        <w:rPr>
          <w:lang w:val="es-ES"/>
        </w:rPr>
        <w:t>Tablas</w:t>
      </w:r>
    </w:p>
    <w:p w14:paraId="048E1D1F" w14:textId="77777777" w:rsidR="005354BD" w:rsidRDefault="005354BD" w:rsidP="0038050C">
      <w:pPr>
        <w:rPr>
          <w:sz w:val="22"/>
        </w:rPr>
      </w:pPr>
    </w:p>
    <w:p w14:paraId="7722B7E8" w14:textId="153DC379" w:rsidR="004B324E" w:rsidRDefault="008B4D0F">
      <w:pPr>
        <w:pStyle w:val="Tabladeilustraciones"/>
        <w:rPr>
          <w:rFonts w:asciiTheme="minorHAnsi" w:eastAsiaTheme="minorEastAsia" w:hAnsiTheme="minorHAnsi" w:cstheme="minorBidi"/>
          <w:kern w:val="2"/>
          <w:sz w:val="22"/>
          <w:szCs w:val="22"/>
          <w:lang w:val="es-CO" w:eastAsia="es-CO"/>
          <w14:ligatures w14:val="standardContextual"/>
        </w:rPr>
      </w:pPr>
      <w:r>
        <w:rPr>
          <w:sz w:val="22"/>
        </w:rPr>
        <w:fldChar w:fldCharType="begin"/>
      </w:r>
      <w:r>
        <w:rPr>
          <w:sz w:val="22"/>
        </w:rPr>
        <w:instrText xml:space="preserve"> TOC \h \z \c "Tabla" </w:instrText>
      </w:r>
      <w:r>
        <w:rPr>
          <w:sz w:val="22"/>
        </w:rPr>
        <w:fldChar w:fldCharType="separate"/>
      </w:r>
      <w:hyperlink w:anchor="_Toc153876886" w:history="1">
        <w:r w:rsidR="004B324E" w:rsidRPr="00DF02E0">
          <w:rPr>
            <w:rStyle w:val="Hipervnculo"/>
          </w:rPr>
          <w:t>Tabla 1. Exposición a bolsa principales comercializadores</w:t>
        </w:r>
        <w:r w:rsidR="004B324E">
          <w:rPr>
            <w:webHidden/>
          </w:rPr>
          <w:tab/>
        </w:r>
        <w:r w:rsidR="004B324E">
          <w:rPr>
            <w:webHidden/>
          </w:rPr>
          <w:fldChar w:fldCharType="begin"/>
        </w:r>
        <w:r w:rsidR="004B324E">
          <w:rPr>
            <w:webHidden/>
          </w:rPr>
          <w:instrText xml:space="preserve"> PAGEREF _Toc153876886 \h </w:instrText>
        </w:r>
        <w:r w:rsidR="004B324E">
          <w:rPr>
            <w:webHidden/>
          </w:rPr>
        </w:r>
        <w:r w:rsidR="004B324E">
          <w:rPr>
            <w:webHidden/>
          </w:rPr>
          <w:fldChar w:fldCharType="separate"/>
        </w:r>
        <w:r w:rsidR="004B57FF">
          <w:rPr>
            <w:webHidden/>
          </w:rPr>
          <w:t>16</w:t>
        </w:r>
        <w:r w:rsidR="004B324E">
          <w:rPr>
            <w:webHidden/>
          </w:rPr>
          <w:fldChar w:fldCharType="end"/>
        </w:r>
      </w:hyperlink>
    </w:p>
    <w:p w14:paraId="09F63D17" w14:textId="4B38FD72"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87" w:history="1">
        <w:r w:rsidR="004B324E" w:rsidRPr="00DF02E0">
          <w:rPr>
            <w:rStyle w:val="Hipervnculo"/>
          </w:rPr>
          <w:t>Tabla 2. Porcentaje de participación de la fijación de precio por agente</w:t>
        </w:r>
        <w:r w:rsidR="004B324E">
          <w:rPr>
            <w:webHidden/>
          </w:rPr>
          <w:tab/>
        </w:r>
        <w:r w:rsidR="004B324E">
          <w:rPr>
            <w:webHidden/>
          </w:rPr>
          <w:fldChar w:fldCharType="begin"/>
        </w:r>
        <w:r w:rsidR="004B324E">
          <w:rPr>
            <w:webHidden/>
          </w:rPr>
          <w:instrText xml:space="preserve"> PAGEREF _Toc153876887 \h </w:instrText>
        </w:r>
        <w:r w:rsidR="004B324E">
          <w:rPr>
            <w:webHidden/>
          </w:rPr>
        </w:r>
        <w:r w:rsidR="004B324E">
          <w:rPr>
            <w:webHidden/>
          </w:rPr>
          <w:fldChar w:fldCharType="separate"/>
        </w:r>
        <w:r>
          <w:rPr>
            <w:webHidden/>
          </w:rPr>
          <w:t>19</w:t>
        </w:r>
        <w:r w:rsidR="004B324E">
          <w:rPr>
            <w:webHidden/>
          </w:rPr>
          <w:fldChar w:fldCharType="end"/>
        </w:r>
      </w:hyperlink>
    </w:p>
    <w:p w14:paraId="46924DEF" w14:textId="4CE97C6C"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88" w:history="1">
        <w:r w:rsidR="004B324E" w:rsidRPr="00DF02E0">
          <w:rPr>
            <w:rStyle w:val="Hipervnculo"/>
          </w:rPr>
          <w:t xml:space="preserve">Tabla 3. </w:t>
        </w:r>
        <w:r w:rsidR="004B324E" w:rsidRPr="00DF02E0">
          <w:rPr>
            <w:rStyle w:val="Hipervnculo"/>
            <w:lang w:val="es-CO"/>
          </w:rPr>
          <w:t>Índice de Lerner por recurso, como promedio para septiembre de 2023, en los escenarios con percentil 5, 95 y promedio</w:t>
        </w:r>
        <w:r w:rsidR="004B324E">
          <w:rPr>
            <w:webHidden/>
          </w:rPr>
          <w:tab/>
        </w:r>
        <w:r w:rsidR="004B324E">
          <w:rPr>
            <w:webHidden/>
          </w:rPr>
          <w:fldChar w:fldCharType="begin"/>
        </w:r>
        <w:r w:rsidR="004B324E">
          <w:rPr>
            <w:webHidden/>
          </w:rPr>
          <w:instrText xml:space="preserve"> PAGEREF _Toc153876888 \h </w:instrText>
        </w:r>
        <w:r w:rsidR="004B324E">
          <w:rPr>
            <w:webHidden/>
          </w:rPr>
        </w:r>
        <w:r w:rsidR="004B324E">
          <w:rPr>
            <w:webHidden/>
          </w:rPr>
          <w:fldChar w:fldCharType="separate"/>
        </w:r>
        <w:r>
          <w:rPr>
            <w:webHidden/>
          </w:rPr>
          <w:t>21</w:t>
        </w:r>
        <w:r w:rsidR="004B324E">
          <w:rPr>
            <w:webHidden/>
          </w:rPr>
          <w:fldChar w:fldCharType="end"/>
        </w:r>
      </w:hyperlink>
    </w:p>
    <w:p w14:paraId="75C4949A" w14:textId="0B9C8DE8" w:rsidR="004B324E" w:rsidRDefault="004B57FF">
      <w:pPr>
        <w:pStyle w:val="Tabladeilustraciones"/>
        <w:rPr>
          <w:rFonts w:asciiTheme="minorHAnsi" w:eastAsiaTheme="minorEastAsia" w:hAnsiTheme="minorHAnsi" w:cstheme="minorBidi"/>
          <w:kern w:val="2"/>
          <w:sz w:val="22"/>
          <w:szCs w:val="22"/>
          <w:lang w:val="es-CO" w:eastAsia="es-CO"/>
          <w14:ligatures w14:val="standardContextual"/>
        </w:rPr>
      </w:pPr>
      <w:hyperlink w:anchor="_Toc153876889" w:history="1">
        <w:r w:rsidR="004B324E" w:rsidRPr="00DF02E0">
          <w:rPr>
            <w:rStyle w:val="Hipervnculo"/>
          </w:rPr>
          <w:t xml:space="preserve">Tabla 4.. </w:t>
        </w:r>
        <w:r w:rsidR="004B324E" w:rsidRPr="00DF02E0">
          <w:rPr>
            <w:rStyle w:val="Hipervnculo"/>
            <w:lang w:val="es-CO"/>
          </w:rPr>
          <w:t>Índice de Lerner por recurso, como promedio para septiembre de 2023, en los escenarios con percentil 5, 95 y promedio</w:t>
        </w:r>
        <w:r w:rsidR="004B324E">
          <w:rPr>
            <w:webHidden/>
          </w:rPr>
          <w:tab/>
        </w:r>
        <w:r w:rsidR="004B324E">
          <w:rPr>
            <w:webHidden/>
          </w:rPr>
          <w:fldChar w:fldCharType="begin"/>
        </w:r>
        <w:r w:rsidR="004B324E">
          <w:rPr>
            <w:webHidden/>
          </w:rPr>
          <w:instrText xml:space="preserve"> PAGEREF _Toc153876889 \h </w:instrText>
        </w:r>
        <w:r w:rsidR="004B324E">
          <w:rPr>
            <w:webHidden/>
          </w:rPr>
        </w:r>
        <w:r w:rsidR="004B324E">
          <w:rPr>
            <w:webHidden/>
          </w:rPr>
          <w:fldChar w:fldCharType="separate"/>
        </w:r>
        <w:r>
          <w:rPr>
            <w:webHidden/>
          </w:rPr>
          <w:t>22</w:t>
        </w:r>
        <w:r w:rsidR="004B324E">
          <w:rPr>
            <w:webHidden/>
          </w:rPr>
          <w:fldChar w:fldCharType="end"/>
        </w:r>
      </w:hyperlink>
    </w:p>
    <w:p w14:paraId="7424F6E6" w14:textId="1185BC6D" w:rsidR="00346BC3" w:rsidRDefault="008B4D0F" w:rsidP="0038050C">
      <w:pPr>
        <w:rPr>
          <w:sz w:val="22"/>
        </w:rPr>
      </w:pPr>
      <w:r>
        <w:rPr>
          <w:sz w:val="22"/>
        </w:rPr>
        <w:fldChar w:fldCharType="end"/>
      </w:r>
    </w:p>
    <w:p w14:paraId="07EF70AE" w14:textId="4413EF69" w:rsidR="000333AD" w:rsidRDefault="000333AD">
      <w:pPr>
        <w:jc w:val="left"/>
        <w:rPr>
          <w:sz w:val="22"/>
        </w:rPr>
      </w:pPr>
      <w:r>
        <w:rPr>
          <w:sz w:val="22"/>
        </w:rPr>
        <w:br w:type="page"/>
      </w:r>
    </w:p>
    <w:p w14:paraId="25039CCC" w14:textId="77777777" w:rsidR="00346BC3" w:rsidRDefault="00346BC3" w:rsidP="0038050C">
      <w:pPr>
        <w:rPr>
          <w:sz w:val="22"/>
        </w:rPr>
      </w:pPr>
    </w:p>
    <w:p w14:paraId="15668A04" w14:textId="61F0E4E4" w:rsidR="00E7209B" w:rsidRDefault="00E7209B" w:rsidP="00E7209B">
      <w:pPr>
        <w:pStyle w:val="Ttulo"/>
      </w:pPr>
    </w:p>
    <w:p w14:paraId="72D0D2E2" w14:textId="0895E8DD" w:rsidR="00B73E75" w:rsidRDefault="00D1269E" w:rsidP="00B617FF">
      <w:pPr>
        <w:pStyle w:val="Ttulo"/>
        <w:rPr>
          <w:sz w:val="28"/>
          <w:szCs w:val="21"/>
        </w:rPr>
      </w:pPr>
      <w:r>
        <w:rPr>
          <w:sz w:val="28"/>
          <w:szCs w:val="21"/>
        </w:rPr>
        <w:t xml:space="preserve">METODOLOGÍA </w:t>
      </w:r>
      <w:r w:rsidR="00F87CFA">
        <w:rPr>
          <w:sz w:val="28"/>
          <w:szCs w:val="21"/>
        </w:rPr>
        <w:t>PARA LA DETERMINACIÓN DEL PRECIO DE BOLSA</w:t>
      </w:r>
    </w:p>
    <w:p w14:paraId="4920C766" w14:textId="489FC73B" w:rsidR="00F87CFA" w:rsidRPr="00C562ED" w:rsidRDefault="00F87CFA" w:rsidP="00B617FF">
      <w:pPr>
        <w:pStyle w:val="Ttulo"/>
        <w:rPr>
          <w:sz w:val="28"/>
          <w:szCs w:val="21"/>
        </w:rPr>
      </w:pPr>
      <w:r>
        <w:rPr>
          <w:sz w:val="28"/>
          <w:szCs w:val="21"/>
        </w:rPr>
        <w:t>-PROPUESTA DE AJUSTE</w:t>
      </w:r>
      <w:r w:rsidR="00C32476">
        <w:rPr>
          <w:sz w:val="28"/>
          <w:szCs w:val="21"/>
        </w:rPr>
        <w:t xml:space="preserve"> TEMPORAL</w:t>
      </w:r>
      <w:r>
        <w:rPr>
          <w:sz w:val="28"/>
          <w:szCs w:val="21"/>
        </w:rPr>
        <w:t>-</w:t>
      </w:r>
    </w:p>
    <w:p w14:paraId="41F45379" w14:textId="77777777" w:rsidR="00A0103E" w:rsidRDefault="00A0103E" w:rsidP="00E7209B">
      <w:pPr>
        <w:pStyle w:val="Ttulo"/>
      </w:pPr>
    </w:p>
    <w:p w14:paraId="6188005B" w14:textId="56F17189" w:rsidR="00A85D82" w:rsidRDefault="00A85D82" w:rsidP="00E7209B"/>
    <w:p w14:paraId="607F5863" w14:textId="77777777" w:rsidR="00A85D82" w:rsidRDefault="00A85D82" w:rsidP="00E7209B"/>
    <w:p w14:paraId="27888DC3" w14:textId="11F2D3FB" w:rsidR="00E7209B" w:rsidRPr="00C562ED" w:rsidRDefault="00E7209B">
      <w:pPr>
        <w:pStyle w:val="Ttulo1"/>
        <w:numPr>
          <w:ilvl w:val="0"/>
          <w:numId w:val="7"/>
        </w:numPr>
        <w:spacing w:after="0"/>
        <w:ind w:left="431" w:hanging="431"/>
        <w:rPr>
          <w:szCs w:val="21"/>
        </w:rPr>
      </w:pPr>
      <w:bookmarkStart w:id="3" w:name="_Toc41901972"/>
      <w:bookmarkStart w:id="4" w:name="_Toc506979468"/>
      <w:bookmarkStart w:id="5" w:name="_Toc494863466"/>
      <w:bookmarkStart w:id="6" w:name="_Toc153876835"/>
      <w:r w:rsidRPr="00C562ED">
        <w:rPr>
          <w:szCs w:val="21"/>
        </w:rPr>
        <w:t>ANTECEDENTES</w:t>
      </w:r>
      <w:bookmarkEnd w:id="3"/>
      <w:bookmarkEnd w:id="4"/>
      <w:bookmarkEnd w:id="5"/>
      <w:bookmarkEnd w:id="6"/>
      <w:r w:rsidRPr="00C562ED">
        <w:rPr>
          <w:szCs w:val="21"/>
        </w:rPr>
        <w:t xml:space="preserve"> </w:t>
      </w:r>
    </w:p>
    <w:p w14:paraId="3CB3350D" w14:textId="65615E12" w:rsidR="00E7209B" w:rsidRDefault="00E7209B" w:rsidP="00E7209B">
      <w:pPr>
        <w:rPr>
          <w:sz w:val="22"/>
        </w:rPr>
      </w:pPr>
    </w:p>
    <w:p w14:paraId="0C209183" w14:textId="27F4E2DB" w:rsidR="00021312" w:rsidRDefault="00117B10" w:rsidP="008944ED">
      <w:pPr>
        <w:jc w:val="left"/>
        <w:rPr>
          <w:rFonts w:cs="Arial"/>
        </w:rPr>
      </w:pPr>
      <w:r>
        <w:rPr>
          <w:rFonts w:cs="Arial"/>
        </w:rPr>
        <w:t>En el caso colombiano el precio de bolsa</w:t>
      </w:r>
      <w:r w:rsidR="00F138F8">
        <w:rPr>
          <w:rFonts w:cs="Arial"/>
        </w:rPr>
        <w:t xml:space="preserve"> fue diseñado para</w:t>
      </w:r>
      <w:r w:rsidR="008933F1">
        <w:rPr>
          <w:rFonts w:cs="Arial"/>
        </w:rPr>
        <w:t xml:space="preserve"> refleja</w:t>
      </w:r>
      <w:r w:rsidR="00F138F8">
        <w:rPr>
          <w:rFonts w:cs="Arial"/>
        </w:rPr>
        <w:t>r</w:t>
      </w:r>
      <w:r w:rsidR="008933F1">
        <w:rPr>
          <w:rFonts w:cs="Arial"/>
        </w:rPr>
        <w:t xml:space="preserve"> el precio de la energía en el mercado de corto plazo en donde </w:t>
      </w:r>
      <w:r w:rsidR="00D1048F">
        <w:rPr>
          <w:rFonts w:cs="Arial"/>
        </w:rPr>
        <w:t>diariamente con un</w:t>
      </w:r>
      <w:r w:rsidR="004B2341">
        <w:rPr>
          <w:rFonts w:cs="Arial"/>
        </w:rPr>
        <w:t>a</w:t>
      </w:r>
      <w:r w:rsidR="00D1048F">
        <w:rPr>
          <w:rFonts w:cs="Arial"/>
        </w:rPr>
        <w:t xml:space="preserve"> </w:t>
      </w:r>
      <w:r w:rsidR="00E62069">
        <w:rPr>
          <w:rFonts w:cs="Arial"/>
        </w:rPr>
        <w:t xml:space="preserve">discretización horaria se establece </w:t>
      </w:r>
      <w:r w:rsidR="0095293E">
        <w:rPr>
          <w:rFonts w:cs="Arial"/>
        </w:rPr>
        <w:t xml:space="preserve">el precio de </w:t>
      </w:r>
      <w:r w:rsidR="002B2D6E">
        <w:rPr>
          <w:rFonts w:cs="Arial"/>
        </w:rPr>
        <w:t xml:space="preserve">la </w:t>
      </w:r>
      <w:r w:rsidR="0095293E">
        <w:rPr>
          <w:rFonts w:cs="Arial"/>
        </w:rPr>
        <w:t>energía</w:t>
      </w:r>
      <w:r w:rsidR="00F6473E">
        <w:rPr>
          <w:rFonts w:cs="Arial"/>
        </w:rPr>
        <w:t>.</w:t>
      </w:r>
      <w:r w:rsidR="00C518EF">
        <w:rPr>
          <w:rFonts w:cs="Arial"/>
        </w:rPr>
        <w:t xml:space="preserve"> El precio de bolsa corresponde al </w:t>
      </w:r>
      <w:r w:rsidR="00627D5F">
        <w:rPr>
          <w:rFonts w:cs="Arial"/>
        </w:rPr>
        <w:t xml:space="preserve">punto de corte entre curva de oferta y la demanda </w:t>
      </w:r>
      <w:r w:rsidR="0082303B">
        <w:rPr>
          <w:rFonts w:cs="Arial"/>
        </w:rPr>
        <w:t>para el período horario.</w:t>
      </w:r>
    </w:p>
    <w:p w14:paraId="2B6E42D8" w14:textId="77777777" w:rsidR="0082303B" w:rsidRDefault="0082303B" w:rsidP="008944ED">
      <w:pPr>
        <w:jc w:val="left"/>
        <w:rPr>
          <w:rFonts w:cs="Arial"/>
        </w:rPr>
      </w:pPr>
    </w:p>
    <w:p w14:paraId="626ED0CF" w14:textId="78B3C5F7" w:rsidR="002B2D6E" w:rsidRDefault="0082303B" w:rsidP="008944ED">
      <w:pPr>
        <w:jc w:val="left"/>
        <w:rPr>
          <w:rFonts w:cs="Arial"/>
        </w:rPr>
      </w:pPr>
      <w:r>
        <w:rPr>
          <w:rFonts w:cs="Arial"/>
        </w:rPr>
        <w:t xml:space="preserve">La curva de oferta se construye </w:t>
      </w:r>
      <w:r w:rsidR="00BE1C48">
        <w:rPr>
          <w:rFonts w:cs="Arial"/>
        </w:rPr>
        <w:t xml:space="preserve">ordenando de mayor a menor </w:t>
      </w:r>
      <w:r>
        <w:rPr>
          <w:rFonts w:cs="Arial"/>
        </w:rPr>
        <w:t>las ofertas que hacen los agentes</w:t>
      </w:r>
      <w:r w:rsidR="007F7B6D">
        <w:rPr>
          <w:rFonts w:cs="Arial"/>
        </w:rPr>
        <w:t xml:space="preserve"> por cada recurso de generación </w:t>
      </w:r>
      <w:r w:rsidR="00694D43">
        <w:rPr>
          <w:rFonts w:cs="Arial"/>
        </w:rPr>
        <w:t>que representa ante el Mercado de Energía Mayorista</w:t>
      </w:r>
      <w:r w:rsidR="005952D8">
        <w:rPr>
          <w:rFonts w:cs="Arial"/>
        </w:rPr>
        <w:t xml:space="preserve"> (MEM)</w:t>
      </w:r>
      <w:r w:rsidR="00F23466">
        <w:rPr>
          <w:rFonts w:cs="Arial"/>
        </w:rPr>
        <w:t xml:space="preserve">, </w:t>
      </w:r>
      <w:r w:rsidR="00F34719">
        <w:rPr>
          <w:rFonts w:cs="Arial"/>
        </w:rPr>
        <w:t xml:space="preserve">y la demanda corresponde a la energía medida, </w:t>
      </w:r>
      <w:r w:rsidR="00F23466">
        <w:rPr>
          <w:rFonts w:cs="Arial"/>
        </w:rPr>
        <w:t xml:space="preserve">de tal forma que el precio de bolsa corresponde al último recurso </w:t>
      </w:r>
      <w:r w:rsidR="00A25388">
        <w:rPr>
          <w:rFonts w:cs="Arial"/>
        </w:rPr>
        <w:t xml:space="preserve">de generación </w:t>
      </w:r>
      <w:r w:rsidR="00F23466">
        <w:rPr>
          <w:rFonts w:cs="Arial"/>
        </w:rPr>
        <w:t xml:space="preserve">en mérito </w:t>
      </w:r>
      <w:r w:rsidR="00CC4C1D">
        <w:rPr>
          <w:rFonts w:cs="Arial"/>
        </w:rPr>
        <w:t>para atender la demanda</w:t>
      </w:r>
      <w:r w:rsidR="00694D43">
        <w:rPr>
          <w:rFonts w:cs="Arial"/>
        </w:rPr>
        <w:t>.</w:t>
      </w:r>
      <w:r w:rsidR="002734BA">
        <w:rPr>
          <w:rFonts w:cs="Arial"/>
        </w:rPr>
        <w:t xml:space="preserve"> Es decir, el precio de bolsa corresponde a</w:t>
      </w:r>
      <w:r w:rsidR="0051437E">
        <w:rPr>
          <w:rFonts w:cs="Arial"/>
        </w:rPr>
        <w:t>l</w:t>
      </w:r>
      <w:r w:rsidR="002734BA">
        <w:rPr>
          <w:rFonts w:cs="Arial"/>
        </w:rPr>
        <w:t xml:space="preserve"> último recurso más económico para atender la demanda.</w:t>
      </w:r>
      <w:r w:rsidR="00975A16">
        <w:rPr>
          <w:rFonts w:cs="Arial"/>
        </w:rPr>
        <w:t xml:space="preserve"> </w:t>
      </w:r>
    </w:p>
    <w:p w14:paraId="467B7ADD" w14:textId="77777777" w:rsidR="002B2D6E" w:rsidRDefault="002B2D6E" w:rsidP="008944ED">
      <w:pPr>
        <w:jc w:val="left"/>
        <w:rPr>
          <w:rFonts w:cs="Arial"/>
        </w:rPr>
      </w:pPr>
    </w:p>
    <w:p w14:paraId="6B985B1B" w14:textId="4F43B10A" w:rsidR="0082303B" w:rsidRDefault="00975A16" w:rsidP="008944ED">
      <w:pPr>
        <w:jc w:val="left"/>
        <w:rPr>
          <w:rFonts w:cs="Arial"/>
        </w:rPr>
      </w:pPr>
      <w:r>
        <w:rPr>
          <w:rFonts w:cs="Arial"/>
        </w:rPr>
        <w:t>Ahora bien,</w:t>
      </w:r>
      <w:r w:rsidR="00B070B0">
        <w:rPr>
          <w:rFonts w:cs="Arial"/>
        </w:rPr>
        <w:t xml:space="preserve"> </w:t>
      </w:r>
      <w:r w:rsidR="00FD3431">
        <w:rPr>
          <w:rFonts w:cs="Arial"/>
        </w:rPr>
        <w:t xml:space="preserve">en el MEM en la actualidad participan 2 tipos de recursos: plantas térmicas y plantas hidráulicas. </w:t>
      </w:r>
      <w:r w:rsidR="000F4CD6">
        <w:rPr>
          <w:rFonts w:cs="Arial"/>
        </w:rPr>
        <w:t>Las ofertas de los recursos térmicos se fundamentan</w:t>
      </w:r>
      <w:r w:rsidR="00FD3431">
        <w:rPr>
          <w:rFonts w:cs="Arial"/>
        </w:rPr>
        <w:t xml:space="preserve"> en los costos </w:t>
      </w:r>
      <w:r w:rsidR="00870BA7">
        <w:rPr>
          <w:rFonts w:cs="Arial"/>
        </w:rPr>
        <w:t xml:space="preserve">variables </w:t>
      </w:r>
      <w:r w:rsidR="004C1586">
        <w:rPr>
          <w:rFonts w:cs="Arial"/>
        </w:rPr>
        <w:t xml:space="preserve">para </w:t>
      </w:r>
      <w:r w:rsidR="00870BA7">
        <w:rPr>
          <w:rFonts w:cs="Arial"/>
        </w:rPr>
        <w:t xml:space="preserve">la </w:t>
      </w:r>
      <w:r w:rsidR="004C1586">
        <w:rPr>
          <w:rFonts w:cs="Arial"/>
        </w:rPr>
        <w:t>opera</w:t>
      </w:r>
      <w:r w:rsidR="00870BA7">
        <w:rPr>
          <w:rFonts w:cs="Arial"/>
        </w:rPr>
        <w:t xml:space="preserve">ción </w:t>
      </w:r>
      <w:r w:rsidR="004C1586">
        <w:rPr>
          <w:rFonts w:cs="Arial"/>
        </w:rPr>
        <w:t>más el riesgo, y en las plantas hidrá</w:t>
      </w:r>
      <w:r w:rsidR="00D03798">
        <w:rPr>
          <w:rFonts w:cs="Arial"/>
        </w:rPr>
        <w:t>ulicas corresponde al costo de oportunidad del recurso</w:t>
      </w:r>
      <w:r w:rsidR="000E56DB">
        <w:rPr>
          <w:rFonts w:cs="Arial"/>
        </w:rPr>
        <w:t xml:space="preserve"> más el riesgo.</w:t>
      </w:r>
    </w:p>
    <w:p w14:paraId="7055E687" w14:textId="77777777" w:rsidR="006D154C" w:rsidRDefault="006D154C" w:rsidP="008944ED">
      <w:pPr>
        <w:jc w:val="left"/>
        <w:rPr>
          <w:rFonts w:cs="Arial"/>
        </w:rPr>
      </w:pPr>
    </w:p>
    <w:p w14:paraId="188CDCB7" w14:textId="38D73BCC" w:rsidR="006D154C" w:rsidRDefault="006D154C" w:rsidP="008944ED">
      <w:pPr>
        <w:jc w:val="left"/>
        <w:rPr>
          <w:rFonts w:cs="Arial"/>
        </w:rPr>
      </w:pPr>
      <w:r>
        <w:rPr>
          <w:rFonts w:cs="Arial"/>
        </w:rPr>
        <w:t xml:space="preserve">El ejercicio de establecer los costos de operación de una planta hidráulica es </w:t>
      </w:r>
      <w:r w:rsidR="00F138F8">
        <w:rPr>
          <w:rFonts w:cs="Arial"/>
        </w:rPr>
        <w:t xml:space="preserve">menos evidente </w:t>
      </w:r>
      <w:r>
        <w:rPr>
          <w:rFonts w:cs="Arial"/>
        </w:rPr>
        <w:t>porque no</w:t>
      </w:r>
      <w:r w:rsidR="00F138F8">
        <w:rPr>
          <w:rFonts w:cs="Arial"/>
        </w:rPr>
        <w:t xml:space="preserve"> es posible determinar un valor monetario que</w:t>
      </w:r>
      <w:r w:rsidR="005C5C07">
        <w:rPr>
          <w:rFonts w:cs="Arial"/>
        </w:rPr>
        <w:t xml:space="preserve"> </w:t>
      </w:r>
      <w:r>
        <w:rPr>
          <w:rFonts w:cs="Arial"/>
        </w:rPr>
        <w:t>defin</w:t>
      </w:r>
      <w:r w:rsidR="00EF4EBD">
        <w:rPr>
          <w:rFonts w:cs="Arial"/>
        </w:rPr>
        <w:t>a</w:t>
      </w:r>
      <w:r w:rsidR="005C5C07">
        <w:rPr>
          <w:rFonts w:cs="Arial"/>
        </w:rPr>
        <w:t xml:space="preserve"> con </w:t>
      </w:r>
      <w:r w:rsidR="00697B22">
        <w:rPr>
          <w:rFonts w:cs="Arial"/>
        </w:rPr>
        <w:t>precisión el</w:t>
      </w:r>
      <w:r w:rsidR="00F97B07">
        <w:rPr>
          <w:rFonts w:cs="Arial"/>
        </w:rPr>
        <w:t xml:space="preserve"> </w:t>
      </w:r>
      <w:r w:rsidR="00F138F8">
        <w:rPr>
          <w:rFonts w:cs="Arial"/>
        </w:rPr>
        <w:t xml:space="preserve">costo </w:t>
      </w:r>
      <w:r w:rsidR="00F97B07">
        <w:rPr>
          <w:rFonts w:cs="Arial"/>
        </w:rPr>
        <w:t>de</w:t>
      </w:r>
      <w:r w:rsidR="00B56F38">
        <w:rPr>
          <w:rFonts w:cs="Arial"/>
        </w:rPr>
        <w:t xml:space="preserve">l </w:t>
      </w:r>
      <w:r w:rsidR="00F138F8">
        <w:rPr>
          <w:rFonts w:cs="Arial"/>
        </w:rPr>
        <w:t xml:space="preserve">recurso </w:t>
      </w:r>
      <w:r w:rsidR="00B56F38">
        <w:rPr>
          <w:rFonts w:cs="Arial"/>
        </w:rPr>
        <w:t>energético</w:t>
      </w:r>
      <w:r w:rsidR="00F138F8">
        <w:rPr>
          <w:rFonts w:cs="Arial"/>
        </w:rPr>
        <w:t xml:space="preserve"> primario que alimenta la central</w:t>
      </w:r>
      <w:r w:rsidR="00F97B07">
        <w:rPr>
          <w:rFonts w:cs="Arial"/>
        </w:rPr>
        <w:t xml:space="preserve">, como </w:t>
      </w:r>
      <w:r w:rsidR="005C5C07">
        <w:rPr>
          <w:rFonts w:cs="Arial"/>
        </w:rPr>
        <w:t xml:space="preserve">sí </w:t>
      </w:r>
      <w:r w:rsidR="00F97B07">
        <w:rPr>
          <w:rFonts w:cs="Arial"/>
        </w:rPr>
        <w:t xml:space="preserve">ocurre con </w:t>
      </w:r>
      <w:r w:rsidR="005C5C07">
        <w:rPr>
          <w:rFonts w:cs="Arial"/>
        </w:rPr>
        <w:t xml:space="preserve">el </w:t>
      </w:r>
      <w:r w:rsidR="00F97B07">
        <w:rPr>
          <w:rFonts w:cs="Arial"/>
        </w:rPr>
        <w:t>combustible</w:t>
      </w:r>
      <w:r w:rsidR="005C5C07">
        <w:rPr>
          <w:rFonts w:cs="Arial"/>
        </w:rPr>
        <w:t xml:space="preserve"> de una central termoeléctrica</w:t>
      </w:r>
      <w:r w:rsidR="00F138F8">
        <w:rPr>
          <w:rFonts w:cs="Arial"/>
        </w:rPr>
        <w:t xml:space="preserve">, con lo cual </w:t>
      </w:r>
      <w:r w:rsidR="005C5C07">
        <w:rPr>
          <w:rFonts w:cs="Arial"/>
        </w:rPr>
        <w:t xml:space="preserve">el “valor el agua” </w:t>
      </w:r>
      <w:r w:rsidR="00B56F38">
        <w:rPr>
          <w:rFonts w:cs="Arial"/>
        </w:rPr>
        <w:t xml:space="preserve">se define </w:t>
      </w:r>
      <w:r w:rsidR="00F138F8">
        <w:rPr>
          <w:rFonts w:cs="Arial"/>
        </w:rPr>
        <w:t>como</w:t>
      </w:r>
      <w:r w:rsidR="00B56F38">
        <w:rPr>
          <w:rFonts w:cs="Arial"/>
        </w:rPr>
        <w:t xml:space="preserve"> </w:t>
      </w:r>
      <w:r w:rsidR="00F138F8">
        <w:rPr>
          <w:rFonts w:cs="Arial"/>
        </w:rPr>
        <w:t xml:space="preserve">el </w:t>
      </w:r>
      <w:r w:rsidR="00B56F38">
        <w:rPr>
          <w:rFonts w:cs="Arial"/>
        </w:rPr>
        <w:t>costo oportunidad</w:t>
      </w:r>
      <w:r w:rsidR="00F138F8">
        <w:rPr>
          <w:rFonts w:cs="Arial"/>
        </w:rPr>
        <w:t xml:space="preserve"> a partir del </w:t>
      </w:r>
      <w:r w:rsidR="00DE0E98">
        <w:rPr>
          <w:rFonts w:cs="Arial"/>
        </w:rPr>
        <w:t xml:space="preserve">recurso que </w:t>
      </w:r>
      <w:r w:rsidR="00F138F8">
        <w:rPr>
          <w:rFonts w:cs="Arial"/>
        </w:rPr>
        <w:t xml:space="preserve">se espera </w:t>
      </w:r>
      <w:r w:rsidR="00DE0E98">
        <w:rPr>
          <w:rFonts w:cs="Arial"/>
        </w:rPr>
        <w:t>reemplazar.</w:t>
      </w:r>
      <w:r w:rsidR="00625E3E">
        <w:rPr>
          <w:rFonts w:cs="Arial"/>
        </w:rPr>
        <w:t xml:space="preserve"> </w:t>
      </w:r>
    </w:p>
    <w:p w14:paraId="32B12C97" w14:textId="77777777" w:rsidR="00E50EA8" w:rsidRDefault="00E50EA8" w:rsidP="008944ED">
      <w:pPr>
        <w:jc w:val="left"/>
        <w:rPr>
          <w:rFonts w:cs="Arial"/>
        </w:rPr>
      </w:pPr>
    </w:p>
    <w:p w14:paraId="20F17452" w14:textId="506F285B" w:rsidR="00550C13" w:rsidRDefault="00081814" w:rsidP="008944ED">
      <w:pPr>
        <w:jc w:val="left"/>
        <w:rPr>
          <w:rFonts w:cs="Arial"/>
        </w:rPr>
      </w:pPr>
      <w:r>
        <w:rPr>
          <w:rFonts w:cs="Arial"/>
        </w:rPr>
        <w:t xml:space="preserve">En </w:t>
      </w:r>
      <w:r w:rsidR="00625E3E">
        <w:rPr>
          <w:rFonts w:cs="Arial"/>
        </w:rPr>
        <w:t xml:space="preserve">relación con </w:t>
      </w:r>
      <w:r>
        <w:rPr>
          <w:rFonts w:cs="Arial"/>
        </w:rPr>
        <w:t xml:space="preserve">la capacidad instalada en el sistema se </w:t>
      </w:r>
      <w:r w:rsidR="00713A45">
        <w:rPr>
          <w:rFonts w:cs="Arial"/>
        </w:rPr>
        <w:t xml:space="preserve">tienen 19.988 MW </w:t>
      </w:r>
      <w:r w:rsidR="00440976">
        <w:rPr>
          <w:rFonts w:cs="Arial"/>
        </w:rPr>
        <w:t>que se distribuyen 5 tipos de tecnología</w:t>
      </w:r>
      <w:r w:rsidR="004D1F88">
        <w:rPr>
          <w:rFonts w:cs="Arial"/>
        </w:rPr>
        <w:t>s</w:t>
      </w:r>
      <w:r w:rsidR="00440976">
        <w:rPr>
          <w:rFonts w:cs="Arial"/>
        </w:rPr>
        <w:t xml:space="preserve">, tal como se </w:t>
      </w:r>
      <w:r w:rsidR="004A2FF9">
        <w:rPr>
          <w:rFonts w:cs="Arial"/>
        </w:rPr>
        <w:t xml:space="preserve">muestra </w:t>
      </w:r>
      <w:r w:rsidR="00440976">
        <w:rPr>
          <w:rFonts w:cs="Arial"/>
        </w:rPr>
        <w:t>en la ilustración</w:t>
      </w:r>
      <w:r w:rsidR="00042462">
        <w:rPr>
          <w:rFonts w:cs="Arial"/>
        </w:rPr>
        <w:t xml:space="preserve"> </w:t>
      </w:r>
      <w:r w:rsidR="00440976">
        <w:rPr>
          <w:rFonts w:cs="Arial"/>
        </w:rPr>
        <w:t>1</w:t>
      </w:r>
      <w:r w:rsidR="004A2FF9">
        <w:rPr>
          <w:rFonts w:cs="Arial"/>
        </w:rPr>
        <w:t>,</w:t>
      </w:r>
      <w:r w:rsidR="00440976">
        <w:rPr>
          <w:rFonts w:cs="Arial"/>
        </w:rPr>
        <w:t xml:space="preserve"> </w:t>
      </w:r>
      <w:r w:rsidR="004A2FF9">
        <w:rPr>
          <w:rFonts w:cs="Arial"/>
        </w:rPr>
        <w:t>s</w:t>
      </w:r>
      <w:r w:rsidR="00440976">
        <w:rPr>
          <w:rFonts w:cs="Arial"/>
        </w:rPr>
        <w:t>e puede ve</w:t>
      </w:r>
      <w:r w:rsidR="008F68F6">
        <w:rPr>
          <w:rFonts w:cs="Arial"/>
        </w:rPr>
        <w:t>r que la participación de las plantas hidroeléctricas e</w:t>
      </w:r>
      <w:r w:rsidR="004A2FF9">
        <w:rPr>
          <w:rFonts w:cs="Arial"/>
        </w:rPr>
        <w:t>s</w:t>
      </w:r>
      <w:r w:rsidR="008F68F6">
        <w:rPr>
          <w:rFonts w:cs="Arial"/>
        </w:rPr>
        <w:t xml:space="preserve"> mayoritaria</w:t>
      </w:r>
      <w:r w:rsidR="004A2FF9">
        <w:rPr>
          <w:rFonts w:cs="Arial"/>
        </w:rPr>
        <w:t>,</w:t>
      </w:r>
      <w:r w:rsidR="008F68F6">
        <w:rPr>
          <w:rFonts w:cs="Arial"/>
        </w:rPr>
        <w:t xml:space="preserve"> alcanzando el 67%.</w:t>
      </w:r>
    </w:p>
    <w:p w14:paraId="182C836A" w14:textId="77777777" w:rsidR="008F68F6" w:rsidRDefault="008F68F6" w:rsidP="008944ED">
      <w:pPr>
        <w:jc w:val="left"/>
        <w:rPr>
          <w:rFonts w:cs="Arial"/>
        </w:rPr>
      </w:pPr>
    </w:p>
    <w:p w14:paraId="46E6B685" w14:textId="1F9BDFAA" w:rsidR="008F68F6" w:rsidRDefault="009A2CA0" w:rsidP="009A2CA0">
      <w:pPr>
        <w:jc w:val="center"/>
        <w:rPr>
          <w:rFonts w:cs="Arial"/>
        </w:rPr>
      </w:pPr>
      <w:r>
        <w:rPr>
          <w:noProof/>
        </w:rPr>
        <w:lastRenderedPageBreak/>
        <w:drawing>
          <wp:inline distT="0" distB="0" distL="0" distR="0" wp14:anchorId="39E0473D" wp14:editId="5A336127">
            <wp:extent cx="3427563" cy="2059388"/>
            <wp:effectExtent l="0" t="0" r="1905" b="0"/>
            <wp:docPr id="268805542" name="Gráfico 26880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05542"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431686" cy="2061865"/>
                    </a:xfrm>
                    <a:prstGeom prst="rect">
                      <a:avLst/>
                    </a:prstGeom>
                  </pic:spPr>
                </pic:pic>
              </a:graphicData>
            </a:graphic>
          </wp:inline>
        </w:drawing>
      </w:r>
    </w:p>
    <w:p w14:paraId="567FF9AD" w14:textId="542DB75A" w:rsidR="009A2CA0" w:rsidRDefault="009A2CA0" w:rsidP="000F298C">
      <w:pPr>
        <w:pStyle w:val="Descripcin"/>
        <w:jc w:val="center"/>
        <w:rPr>
          <w:rFonts w:cs="Arial"/>
        </w:rPr>
      </w:pPr>
      <w:bookmarkStart w:id="7" w:name="_Toc153876866"/>
      <w:r>
        <w:t xml:space="preserve">Ilustración </w:t>
      </w:r>
      <w:r>
        <w:fldChar w:fldCharType="begin"/>
      </w:r>
      <w:r>
        <w:instrText xml:space="preserve"> SEQ Ilustración \* ARABIC </w:instrText>
      </w:r>
      <w:r>
        <w:fldChar w:fldCharType="separate"/>
      </w:r>
      <w:r w:rsidR="004B57FF">
        <w:rPr>
          <w:noProof/>
        </w:rPr>
        <w:t>1</w:t>
      </w:r>
      <w:r>
        <w:fldChar w:fldCharType="end"/>
      </w:r>
      <w:r>
        <w:t xml:space="preserve">. Porcentaje de participación </w:t>
      </w:r>
      <w:r w:rsidR="00D34B46">
        <w:t xml:space="preserve">en la capacidad </w:t>
      </w:r>
      <w:r w:rsidR="000F298C">
        <w:t xml:space="preserve">instalada </w:t>
      </w:r>
      <w:r>
        <w:t>por tecnología</w:t>
      </w:r>
      <w:bookmarkEnd w:id="7"/>
    </w:p>
    <w:p w14:paraId="6527780C" w14:textId="77777777" w:rsidR="009A2CA0" w:rsidRDefault="009A2CA0" w:rsidP="009A2CA0">
      <w:pPr>
        <w:jc w:val="center"/>
        <w:rPr>
          <w:rFonts w:cs="Arial"/>
        </w:rPr>
      </w:pPr>
    </w:p>
    <w:p w14:paraId="259F6BCD" w14:textId="74FE7522" w:rsidR="00E50EA8" w:rsidRDefault="00625E3E" w:rsidP="008944ED">
      <w:pPr>
        <w:jc w:val="left"/>
        <w:rPr>
          <w:rFonts w:cs="Arial"/>
        </w:rPr>
      </w:pPr>
      <w:r>
        <w:rPr>
          <w:rFonts w:cs="Arial"/>
        </w:rPr>
        <w:t xml:space="preserve">Por </w:t>
      </w:r>
      <w:r w:rsidR="00697B22">
        <w:rPr>
          <w:rFonts w:cs="Arial"/>
        </w:rPr>
        <w:t>otra parte</w:t>
      </w:r>
      <w:r>
        <w:rPr>
          <w:rFonts w:cs="Arial"/>
        </w:rPr>
        <w:t>, la</w:t>
      </w:r>
      <w:r w:rsidR="00C261D9">
        <w:rPr>
          <w:rFonts w:cs="Arial"/>
        </w:rPr>
        <w:t xml:space="preserve"> concentración </w:t>
      </w:r>
      <w:r>
        <w:rPr>
          <w:rFonts w:cs="Arial"/>
        </w:rPr>
        <w:t xml:space="preserve">de la oferta de generación </w:t>
      </w:r>
      <w:r w:rsidR="00C261D9">
        <w:rPr>
          <w:rFonts w:cs="Arial"/>
        </w:rPr>
        <w:t>del mercado</w:t>
      </w:r>
      <w:r>
        <w:rPr>
          <w:rFonts w:cs="Arial"/>
        </w:rPr>
        <w:t xml:space="preserve"> muestra que </w:t>
      </w:r>
      <w:r w:rsidR="00C261D9">
        <w:rPr>
          <w:rFonts w:cs="Arial"/>
        </w:rPr>
        <w:t xml:space="preserve">el 65% de </w:t>
      </w:r>
      <w:r w:rsidR="00501011">
        <w:rPr>
          <w:rFonts w:cs="Arial"/>
        </w:rPr>
        <w:t>la capacidad instalada está en tres (3)</w:t>
      </w:r>
      <w:r w:rsidR="00233A1A">
        <w:rPr>
          <w:rFonts w:cs="Arial"/>
        </w:rPr>
        <w:t xml:space="preserve"> agente</w:t>
      </w:r>
      <w:r w:rsidR="00213BBD">
        <w:rPr>
          <w:rFonts w:cs="Arial"/>
        </w:rPr>
        <w:t>s</w:t>
      </w:r>
      <w:r w:rsidR="00501011">
        <w:rPr>
          <w:rFonts w:cs="Arial"/>
        </w:rPr>
        <w:t xml:space="preserve">, tal como se presenta en la ilustración </w:t>
      </w:r>
      <w:r w:rsidR="000F298C">
        <w:rPr>
          <w:rFonts w:cs="Arial"/>
        </w:rPr>
        <w:t>2</w:t>
      </w:r>
      <w:r w:rsidR="00CB2F79">
        <w:rPr>
          <w:rFonts w:cs="Arial"/>
        </w:rPr>
        <w:t>.</w:t>
      </w:r>
      <w:r w:rsidR="00213BBD">
        <w:rPr>
          <w:rFonts w:cs="Arial"/>
        </w:rPr>
        <w:t xml:space="preserve"> </w:t>
      </w:r>
    </w:p>
    <w:p w14:paraId="0576916D" w14:textId="77777777" w:rsidR="00B7440A" w:rsidRDefault="00B7440A" w:rsidP="008944ED">
      <w:pPr>
        <w:jc w:val="left"/>
        <w:rPr>
          <w:rFonts w:cs="Arial"/>
        </w:rPr>
      </w:pPr>
    </w:p>
    <w:p w14:paraId="46B7C155" w14:textId="3B713B9C" w:rsidR="00B7440A" w:rsidRDefault="00233A1A" w:rsidP="00233A1A">
      <w:pPr>
        <w:jc w:val="center"/>
        <w:rPr>
          <w:rFonts w:cs="Arial"/>
        </w:rPr>
      </w:pPr>
      <w:r w:rsidRPr="00233A1A">
        <w:rPr>
          <w:rFonts w:cs="Arial"/>
          <w:noProof/>
        </w:rPr>
        <w:drawing>
          <wp:inline distT="0" distB="0" distL="0" distR="0" wp14:anchorId="0208A9AA" wp14:editId="52E04A6F">
            <wp:extent cx="4886325" cy="3392791"/>
            <wp:effectExtent l="0" t="0" r="0" b="0"/>
            <wp:docPr id="6" name="Imagen 6" descr="Gráfico&#10;&#10;Descripción generada automáticamente">
              <a:extLst xmlns:a="http://schemas.openxmlformats.org/drawingml/2006/main">
                <a:ext uri="{FF2B5EF4-FFF2-40B4-BE49-F238E27FC236}">
                  <a16:creationId xmlns:a16="http://schemas.microsoft.com/office/drawing/2014/main" id="{DB07527F-EB77-9613-7119-E8DE5E5FE7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Gráfico&#10;&#10;Descripción generada automáticamente">
                      <a:extLst>
                        <a:ext uri="{FF2B5EF4-FFF2-40B4-BE49-F238E27FC236}">
                          <a16:creationId xmlns:a16="http://schemas.microsoft.com/office/drawing/2014/main" id="{DB07527F-EB77-9613-7119-E8DE5E5FE701}"/>
                        </a:ext>
                      </a:extLst>
                    </pic:cNvPr>
                    <pic:cNvPicPr>
                      <a:picLocks noChangeAspect="1"/>
                    </pic:cNvPicPr>
                  </pic:nvPicPr>
                  <pic:blipFill>
                    <a:blip r:embed="rId14"/>
                    <a:stretch>
                      <a:fillRect/>
                    </a:stretch>
                  </pic:blipFill>
                  <pic:spPr>
                    <a:xfrm>
                      <a:off x="0" y="0"/>
                      <a:ext cx="4890916" cy="3395979"/>
                    </a:xfrm>
                    <a:prstGeom prst="rect">
                      <a:avLst/>
                    </a:prstGeom>
                  </pic:spPr>
                </pic:pic>
              </a:graphicData>
            </a:graphic>
          </wp:inline>
        </w:drawing>
      </w:r>
    </w:p>
    <w:p w14:paraId="33F022CD" w14:textId="19EA8C75" w:rsidR="00233A1A" w:rsidRDefault="00E43357" w:rsidP="00E43357">
      <w:pPr>
        <w:pStyle w:val="Descripcin"/>
        <w:jc w:val="center"/>
        <w:rPr>
          <w:rFonts w:cs="Arial"/>
        </w:rPr>
      </w:pPr>
      <w:bookmarkStart w:id="8" w:name="_Toc153876867"/>
      <w:r>
        <w:t xml:space="preserve">Ilustración </w:t>
      </w:r>
      <w:r>
        <w:fldChar w:fldCharType="begin"/>
      </w:r>
      <w:r>
        <w:instrText xml:space="preserve"> SEQ Ilustración \* ARABIC </w:instrText>
      </w:r>
      <w:r>
        <w:fldChar w:fldCharType="separate"/>
      </w:r>
      <w:r w:rsidR="004B57FF">
        <w:rPr>
          <w:noProof/>
        </w:rPr>
        <w:t>2</w:t>
      </w:r>
      <w:r>
        <w:fldChar w:fldCharType="end"/>
      </w:r>
      <w:r>
        <w:t>. Concentración del mercado de generación</w:t>
      </w:r>
      <w:bookmarkEnd w:id="8"/>
    </w:p>
    <w:p w14:paraId="774182AA" w14:textId="3E4CA444" w:rsidR="00843F6D" w:rsidRDefault="00B93B48" w:rsidP="008944ED">
      <w:pPr>
        <w:jc w:val="left"/>
        <w:rPr>
          <w:rFonts w:cs="Arial"/>
        </w:rPr>
      </w:pPr>
      <w:r>
        <w:rPr>
          <w:rFonts w:cs="Arial"/>
        </w:rPr>
        <w:t>De acuerdo con lo anterior, se puede identificar que el mercado de generación</w:t>
      </w:r>
      <w:r w:rsidR="00644749">
        <w:rPr>
          <w:rFonts w:cs="Arial"/>
        </w:rPr>
        <w:t xml:space="preserve"> colombiano</w:t>
      </w:r>
      <w:r>
        <w:rPr>
          <w:rFonts w:cs="Arial"/>
        </w:rPr>
        <w:t xml:space="preserve"> e</w:t>
      </w:r>
      <w:r w:rsidR="003C6CCC">
        <w:rPr>
          <w:rFonts w:cs="Arial"/>
        </w:rPr>
        <w:t>s</w:t>
      </w:r>
      <w:r>
        <w:rPr>
          <w:rFonts w:cs="Arial"/>
        </w:rPr>
        <w:t xml:space="preserve"> un mercado oli</w:t>
      </w:r>
      <w:r w:rsidR="003C6CCC">
        <w:rPr>
          <w:rFonts w:cs="Arial"/>
        </w:rPr>
        <w:t>g</w:t>
      </w:r>
      <w:r>
        <w:rPr>
          <w:rFonts w:cs="Arial"/>
        </w:rPr>
        <w:t>opó</w:t>
      </w:r>
      <w:r w:rsidR="003C6CCC">
        <w:rPr>
          <w:rFonts w:cs="Arial"/>
        </w:rPr>
        <w:t>lico</w:t>
      </w:r>
      <w:r w:rsidR="00625E3E">
        <w:rPr>
          <w:rFonts w:cs="Arial"/>
        </w:rPr>
        <w:t xml:space="preserve"> y en períodos de estiaje dificulta el funcionamiento eficiente del mercado facilitando trasladar a la demanda (los compradores en la bolsa) precios que no reflejan el verdadero valor económico de los recursos.</w:t>
      </w:r>
    </w:p>
    <w:p w14:paraId="4107AA97" w14:textId="77777777" w:rsidR="000E03B2" w:rsidRDefault="000E03B2" w:rsidP="008944ED">
      <w:pPr>
        <w:jc w:val="left"/>
        <w:rPr>
          <w:rFonts w:cs="Arial"/>
        </w:rPr>
      </w:pPr>
    </w:p>
    <w:p w14:paraId="4693C285" w14:textId="77777777" w:rsidR="000E03B2" w:rsidRDefault="000E03B2" w:rsidP="008944ED">
      <w:pPr>
        <w:jc w:val="left"/>
        <w:rPr>
          <w:rFonts w:cs="Arial"/>
        </w:rPr>
      </w:pPr>
    </w:p>
    <w:p w14:paraId="1BBDA92A" w14:textId="77777777" w:rsidR="003C6CCC" w:rsidRDefault="003C6CCC" w:rsidP="008944ED">
      <w:pPr>
        <w:jc w:val="left"/>
        <w:rPr>
          <w:rFonts w:cs="Arial"/>
        </w:rPr>
      </w:pPr>
    </w:p>
    <w:p w14:paraId="291881F6" w14:textId="77777777" w:rsidR="003C6CCC" w:rsidRDefault="003C6CCC" w:rsidP="008944ED">
      <w:pPr>
        <w:jc w:val="left"/>
        <w:rPr>
          <w:rFonts w:cs="Arial"/>
        </w:rPr>
      </w:pPr>
    </w:p>
    <w:p w14:paraId="732B1C13" w14:textId="77777777" w:rsidR="003C6CCC" w:rsidRDefault="003C6CCC" w:rsidP="008944ED">
      <w:pPr>
        <w:jc w:val="left"/>
        <w:rPr>
          <w:rFonts w:cs="Arial"/>
        </w:rPr>
      </w:pPr>
    </w:p>
    <w:p w14:paraId="6F59C572" w14:textId="471629D8" w:rsidR="003C6CCC" w:rsidRDefault="004F48D2" w:rsidP="008944ED">
      <w:pPr>
        <w:jc w:val="left"/>
        <w:rPr>
          <w:rFonts w:cs="Arial"/>
        </w:rPr>
      </w:pPr>
      <w:r>
        <w:rPr>
          <w:rFonts w:cs="Arial"/>
        </w:rPr>
        <w:t>En el sistema hidrotérmico</w:t>
      </w:r>
      <w:r w:rsidR="00625E3E">
        <w:rPr>
          <w:rFonts w:cs="Arial"/>
        </w:rPr>
        <w:t xml:space="preserve"> </w:t>
      </w:r>
      <w:r w:rsidR="00644749">
        <w:rPr>
          <w:rFonts w:cs="Arial"/>
        </w:rPr>
        <w:t>colombiano</w:t>
      </w:r>
      <w:r>
        <w:rPr>
          <w:rFonts w:cs="Arial"/>
        </w:rPr>
        <w:t xml:space="preserve"> </w:t>
      </w:r>
      <w:r w:rsidR="00FA51A6">
        <w:rPr>
          <w:rFonts w:cs="Arial"/>
        </w:rPr>
        <w:t>con las características señaladas, el período de sequía</w:t>
      </w:r>
      <w:r w:rsidR="00EE3B4F">
        <w:rPr>
          <w:rFonts w:cs="Arial"/>
        </w:rPr>
        <w:t xml:space="preserve"> como los que se presentan ante la </w:t>
      </w:r>
      <w:r w:rsidR="008C1E07">
        <w:rPr>
          <w:rFonts w:cs="Arial"/>
        </w:rPr>
        <w:t xml:space="preserve">ocurrencia </w:t>
      </w:r>
      <w:r w:rsidR="00EE3B4F">
        <w:rPr>
          <w:rFonts w:cs="Arial"/>
        </w:rPr>
        <w:t>del fenómeno de El Niño, la oferta</w:t>
      </w:r>
      <w:r w:rsidR="00B51E8B">
        <w:rPr>
          <w:rFonts w:cs="Arial"/>
        </w:rPr>
        <w:t xml:space="preserve"> disminuye de forma significativa, dado que en condiciones normales la contribución de las plantas hidroeléctricas oscila entre un 70% y 80%</w:t>
      </w:r>
      <w:r w:rsidR="00526A34">
        <w:rPr>
          <w:rFonts w:cs="Arial"/>
        </w:rPr>
        <w:t xml:space="preserve"> e</w:t>
      </w:r>
      <w:r w:rsidR="00BB5923">
        <w:rPr>
          <w:rFonts w:cs="Arial"/>
        </w:rPr>
        <w:t>n el</w:t>
      </w:r>
      <w:r w:rsidR="00526A34">
        <w:rPr>
          <w:rFonts w:cs="Arial"/>
        </w:rPr>
        <w:t xml:space="preserve"> </w:t>
      </w:r>
      <w:r w:rsidR="004124D3">
        <w:rPr>
          <w:rFonts w:cs="Arial"/>
        </w:rPr>
        <w:t>cubrimiento de la demanda</w:t>
      </w:r>
      <w:r w:rsidR="00526A34">
        <w:rPr>
          <w:rFonts w:cs="Arial"/>
        </w:rPr>
        <w:t xml:space="preserve">, pasando a cerca del 50% </w:t>
      </w:r>
      <w:r w:rsidR="004124D3">
        <w:rPr>
          <w:rFonts w:cs="Arial"/>
        </w:rPr>
        <w:t>de la generación para la atención de la demanda.</w:t>
      </w:r>
    </w:p>
    <w:p w14:paraId="49420513" w14:textId="77777777" w:rsidR="00983ED5" w:rsidRDefault="00983ED5" w:rsidP="008944ED">
      <w:pPr>
        <w:jc w:val="left"/>
        <w:rPr>
          <w:rFonts w:cs="Arial"/>
        </w:rPr>
      </w:pPr>
    </w:p>
    <w:p w14:paraId="2EF16F0B" w14:textId="7752AB04" w:rsidR="00BB5923" w:rsidRDefault="00AD0A82" w:rsidP="008944ED">
      <w:pPr>
        <w:jc w:val="left"/>
        <w:rPr>
          <w:rFonts w:cs="Arial"/>
        </w:rPr>
      </w:pPr>
      <w:r>
        <w:rPr>
          <w:rFonts w:cs="Arial"/>
        </w:rPr>
        <w:t>Además,</w:t>
      </w:r>
      <w:r w:rsidR="00BB5923">
        <w:rPr>
          <w:rFonts w:cs="Arial"/>
        </w:rPr>
        <w:t xml:space="preserve"> en la</w:t>
      </w:r>
      <w:r>
        <w:rPr>
          <w:rFonts w:cs="Arial"/>
        </w:rPr>
        <w:t>s</w:t>
      </w:r>
      <w:r w:rsidR="00BB5923">
        <w:rPr>
          <w:rFonts w:cs="Arial"/>
        </w:rPr>
        <w:t xml:space="preserve"> épocas secas se incrementa </w:t>
      </w:r>
      <w:r w:rsidR="00424ED6">
        <w:rPr>
          <w:rFonts w:cs="Arial"/>
        </w:rPr>
        <w:t xml:space="preserve">la demanda en valores que superan a las proyecciones esperadas, todo lo que conlleva a </w:t>
      </w:r>
      <w:r w:rsidR="00697B22">
        <w:rPr>
          <w:rFonts w:cs="Arial"/>
        </w:rPr>
        <w:t>que,</w:t>
      </w:r>
      <w:r w:rsidR="00FC1033">
        <w:rPr>
          <w:rFonts w:cs="Arial"/>
        </w:rPr>
        <w:t xml:space="preserve"> para el período de El Niño, tal como el que se </w:t>
      </w:r>
      <w:r w:rsidR="003156B4">
        <w:rPr>
          <w:rFonts w:cs="Arial"/>
        </w:rPr>
        <w:t xml:space="preserve">viene afrontando </w:t>
      </w:r>
      <w:r w:rsidR="00E2709A">
        <w:rPr>
          <w:rFonts w:cs="Arial"/>
        </w:rPr>
        <w:t xml:space="preserve">en la actualidad </w:t>
      </w:r>
      <w:r w:rsidR="00CC6937">
        <w:rPr>
          <w:rFonts w:cs="Arial"/>
        </w:rPr>
        <w:t xml:space="preserve">en </w:t>
      </w:r>
      <w:r w:rsidR="00E2709A">
        <w:rPr>
          <w:rFonts w:cs="Arial"/>
        </w:rPr>
        <w:t xml:space="preserve">el país, </w:t>
      </w:r>
      <w:r w:rsidR="00B07979">
        <w:rPr>
          <w:rFonts w:cs="Arial"/>
        </w:rPr>
        <w:t>el excedente de oferta disminuy</w:t>
      </w:r>
      <w:r w:rsidR="006309E0">
        <w:rPr>
          <w:rFonts w:cs="Arial"/>
        </w:rPr>
        <w:t>a</w:t>
      </w:r>
      <w:r w:rsidR="00B07979">
        <w:rPr>
          <w:rFonts w:cs="Arial"/>
        </w:rPr>
        <w:t xml:space="preserve">, lo que </w:t>
      </w:r>
      <w:r w:rsidR="00753866">
        <w:rPr>
          <w:rFonts w:cs="Arial"/>
        </w:rPr>
        <w:t>conlleva a</w:t>
      </w:r>
      <w:r w:rsidR="00796161">
        <w:rPr>
          <w:rFonts w:cs="Arial"/>
        </w:rPr>
        <w:t xml:space="preserve"> una </w:t>
      </w:r>
      <w:r w:rsidR="004C43AD">
        <w:rPr>
          <w:rFonts w:cs="Arial"/>
        </w:rPr>
        <w:t xml:space="preserve">menor </w:t>
      </w:r>
      <w:r w:rsidR="00753866">
        <w:rPr>
          <w:rFonts w:cs="Arial"/>
        </w:rPr>
        <w:t xml:space="preserve">competencia </w:t>
      </w:r>
      <w:r w:rsidR="004C43AD">
        <w:rPr>
          <w:rFonts w:cs="Arial"/>
        </w:rPr>
        <w:t xml:space="preserve">afectando </w:t>
      </w:r>
      <w:r w:rsidR="00796161">
        <w:rPr>
          <w:rFonts w:cs="Arial"/>
        </w:rPr>
        <w:t xml:space="preserve">la formación del precio de la energía en la </w:t>
      </w:r>
      <w:r w:rsidR="004C43AD">
        <w:rPr>
          <w:rFonts w:cs="Arial"/>
        </w:rPr>
        <w:t>bolsa.</w:t>
      </w:r>
    </w:p>
    <w:p w14:paraId="3268D918" w14:textId="77777777" w:rsidR="00644749" w:rsidRDefault="00644749" w:rsidP="008944ED">
      <w:pPr>
        <w:jc w:val="left"/>
        <w:rPr>
          <w:rFonts w:cs="Arial"/>
        </w:rPr>
      </w:pPr>
    </w:p>
    <w:p w14:paraId="5AFC3988" w14:textId="17B34C59" w:rsidR="00644749" w:rsidRDefault="00644749" w:rsidP="008944ED">
      <w:pPr>
        <w:jc w:val="left"/>
        <w:rPr>
          <w:rFonts w:cs="Arial"/>
        </w:rPr>
      </w:pPr>
      <w:r w:rsidRPr="00644749">
        <w:rPr>
          <w:rFonts w:cs="Arial"/>
        </w:rPr>
        <w:t>Aunque lo esperado en períodos de escasez de oferta en los mercados en competencia</w:t>
      </w:r>
      <w:r>
        <w:rPr>
          <w:rFonts w:cs="Arial"/>
        </w:rPr>
        <w:t xml:space="preserve"> es que tal escasez </w:t>
      </w:r>
      <w:r w:rsidRPr="00644749">
        <w:rPr>
          <w:rFonts w:cs="Arial"/>
        </w:rPr>
        <w:t>conduzca a precios superiores a los que ocurren en épocas de oferta normal, los incrementos mencionados</w:t>
      </w:r>
      <w:r>
        <w:rPr>
          <w:rFonts w:cs="Arial"/>
        </w:rPr>
        <w:t xml:space="preserve"> </w:t>
      </w:r>
      <w:r w:rsidRPr="00644749">
        <w:rPr>
          <w:rFonts w:cs="Arial"/>
        </w:rPr>
        <w:t>en la bolsa</w:t>
      </w:r>
      <w:r>
        <w:rPr>
          <w:rFonts w:cs="Arial"/>
        </w:rPr>
        <w:t xml:space="preserve"> ocurridos en el período más reciente</w:t>
      </w:r>
      <w:r w:rsidRPr="00644749">
        <w:rPr>
          <w:rFonts w:cs="Arial"/>
        </w:rPr>
        <w:t xml:space="preserve"> superan la expectativa y llevan al Comisión a actuar de manera preventiva para evitar trasladar a los consumidores precios ineficientes.</w:t>
      </w:r>
    </w:p>
    <w:p w14:paraId="45031CD6" w14:textId="77777777" w:rsidR="00983ED5" w:rsidRDefault="00983ED5" w:rsidP="008944ED">
      <w:pPr>
        <w:jc w:val="left"/>
        <w:rPr>
          <w:rFonts w:cs="Arial"/>
        </w:rPr>
      </w:pPr>
    </w:p>
    <w:p w14:paraId="4C38AED1" w14:textId="69A81FB0" w:rsidR="00EF3FBD" w:rsidRDefault="00FA6DF0" w:rsidP="008944ED">
      <w:pPr>
        <w:jc w:val="left"/>
        <w:rPr>
          <w:rFonts w:cs="Arial"/>
        </w:rPr>
      </w:pPr>
      <w:r>
        <w:rPr>
          <w:rFonts w:cs="Arial"/>
        </w:rPr>
        <w:t xml:space="preserve">Así las cosas, </w:t>
      </w:r>
      <w:r w:rsidR="008E0721">
        <w:rPr>
          <w:rFonts w:cs="Arial"/>
        </w:rPr>
        <w:t xml:space="preserve">la CREG ha considerado </w:t>
      </w:r>
      <w:r w:rsidR="00766DF8">
        <w:rPr>
          <w:rFonts w:cs="Arial"/>
        </w:rPr>
        <w:t xml:space="preserve">conveniente abordar </w:t>
      </w:r>
      <w:r w:rsidR="00700F9B">
        <w:rPr>
          <w:rFonts w:cs="Arial"/>
        </w:rPr>
        <w:t>el tema</w:t>
      </w:r>
      <w:r w:rsidR="0048004E">
        <w:rPr>
          <w:rFonts w:cs="Arial"/>
        </w:rPr>
        <w:t xml:space="preserve"> </w:t>
      </w:r>
      <w:r w:rsidR="00C13099">
        <w:rPr>
          <w:rFonts w:cs="Arial"/>
        </w:rPr>
        <w:t xml:space="preserve">del precio de bolsa </w:t>
      </w:r>
      <w:r w:rsidR="00A31798">
        <w:rPr>
          <w:rFonts w:cs="Arial"/>
        </w:rPr>
        <w:t xml:space="preserve">en el presente documento, </w:t>
      </w:r>
      <w:r w:rsidR="00C13099">
        <w:rPr>
          <w:rFonts w:cs="Arial"/>
        </w:rPr>
        <w:t xml:space="preserve">para hacer una propuesta que permita mantener la formación </w:t>
      </w:r>
      <w:r w:rsidR="00AD594C">
        <w:rPr>
          <w:rFonts w:cs="Arial"/>
        </w:rPr>
        <w:t xml:space="preserve">eficiente </w:t>
      </w:r>
      <w:r w:rsidR="00C13099">
        <w:rPr>
          <w:rFonts w:cs="Arial"/>
        </w:rPr>
        <w:t xml:space="preserve">del precio </w:t>
      </w:r>
      <w:r w:rsidR="00396CCA">
        <w:rPr>
          <w:rFonts w:cs="Arial"/>
        </w:rPr>
        <w:t>en bolsa</w:t>
      </w:r>
      <w:r w:rsidR="00041ACD">
        <w:rPr>
          <w:rFonts w:cs="Arial"/>
        </w:rPr>
        <w:t>, durante el período de el fenómeno de El Niño 2023-2024.</w:t>
      </w:r>
    </w:p>
    <w:p w14:paraId="04893B24" w14:textId="77777777" w:rsidR="00021312" w:rsidRPr="00454B35" w:rsidRDefault="00021312" w:rsidP="008944ED">
      <w:pPr>
        <w:jc w:val="left"/>
        <w:rPr>
          <w:rFonts w:cs="Arial"/>
        </w:rPr>
      </w:pPr>
    </w:p>
    <w:p w14:paraId="447A7295" w14:textId="77777777" w:rsidR="00454B35" w:rsidRDefault="00454B35" w:rsidP="008944ED">
      <w:pPr>
        <w:jc w:val="left"/>
        <w:rPr>
          <w:rFonts w:cs="Arial"/>
          <w:sz w:val="22"/>
          <w:szCs w:val="18"/>
        </w:rPr>
      </w:pPr>
    </w:p>
    <w:p w14:paraId="3D3108C3" w14:textId="199EE99A" w:rsidR="00E7209B" w:rsidRPr="00C562ED" w:rsidRDefault="00C50033">
      <w:pPr>
        <w:pStyle w:val="Ttulo1"/>
        <w:numPr>
          <w:ilvl w:val="0"/>
          <w:numId w:val="7"/>
        </w:numPr>
        <w:spacing w:after="0"/>
        <w:ind w:left="431" w:hanging="431"/>
        <w:rPr>
          <w:szCs w:val="21"/>
        </w:rPr>
      </w:pPr>
      <w:bookmarkStart w:id="9" w:name="_Toc153876836"/>
      <w:r w:rsidRPr="00C562ED">
        <w:rPr>
          <w:szCs w:val="21"/>
        </w:rPr>
        <w:t>INFORMACIÓN GENERAL</w:t>
      </w:r>
      <w:bookmarkEnd w:id="9"/>
    </w:p>
    <w:p w14:paraId="380C7453" w14:textId="6D542007" w:rsidR="00F0257B" w:rsidRDefault="00F0257B" w:rsidP="00793EEA">
      <w:pPr>
        <w:rPr>
          <w:szCs w:val="21"/>
        </w:rPr>
      </w:pPr>
    </w:p>
    <w:p w14:paraId="5BFCF614" w14:textId="2C81586C" w:rsidR="00A4381D" w:rsidRDefault="00D36E98" w:rsidP="00793EEA">
      <w:pPr>
        <w:rPr>
          <w:szCs w:val="21"/>
        </w:rPr>
      </w:pPr>
      <w:r>
        <w:rPr>
          <w:szCs w:val="21"/>
        </w:rPr>
        <w:t>En el present</w:t>
      </w:r>
      <w:r w:rsidR="00CE323C">
        <w:rPr>
          <w:szCs w:val="21"/>
        </w:rPr>
        <w:t>e</w:t>
      </w:r>
      <w:r>
        <w:rPr>
          <w:szCs w:val="21"/>
        </w:rPr>
        <w:t xml:space="preserve"> numeral se hace una descripción de la reglamentación </w:t>
      </w:r>
      <w:r w:rsidR="00971E6F">
        <w:rPr>
          <w:szCs w:val="21"/>
        </w:rPr>
        <w:t xml:space="preserve">vigente </w:t>
      </w:r>
      <w:r>
        <w:rPr>
          <w:szCs w:val="21"/>
        </w:rPr>
        <w:t>aplicable para la definición del precio de bolsa</w:t>
      </w:r>
      <w:r w:rsidR="00643114">
        <w:rPr>
          <w:szCs w:val="21"/>
        </w:rPr>
        <w:t>, la reconciliación positiva y el cargo por confiabilidad.</w:t>
      </w:r>
    </w:p>
    <w:p w14:paraId="535AB831" w14:textId="77777777" w:rsidR="00D36E98" w:rsidRDefault="00D36E98" w:rsidP="00793EEA">
      <w:pPr>
        <w:rPr>
          <w:szCs w:val="21"/>
        </w:rPr>
      </w:pPr>
    </w:p>
    <w:p w14:paraId="7A614FD6" w14:textId="068D844B" w:rsidR="008F37F5" w:rsidRDefault="006E232E" w:rsidP="008F37F5">
      <w:pPr>
        <w:pStyle w:val="Ttulo2"/>
        <w:numPr>
          <w:ilvl w:val="1"/>
          <w:numId w:val="1"/>
        </w:numPr>
        <w:ind w:left="567" w:hanging="567"/>
      </w:pPr>
      <w:bookmarkStart w:id="10" w:name="_Toc153876837"/>
      <w:r>
        <w:t>Reglamentación precio de bolsa</w:t>
      </w:r>
      <w:bookmarkEnd w:id="10"/>
    </w:p>
    <w:p w14:paraId="23C99667" w14:textId="1C670967" w:rsidR="005B13CF" w:rsidRDefault="00D203C6" w:rsidP="00793EEA">
      <w:pPr>
        <w:rPr>
          <w:szCs w:val="21"/>
        </w:rPr>
      </w:pPr>
      <w:r>
        <w:rPr>
          <w:szCs w:val="21"/>
        </w:rPr>
        <w:t xml:space="preserve">En la Resolución CREG 024 de 1995, modificada </w:t>
      </w:r>
      <w:r w:rsidR="004D3697">
        <w:rPr>
          <w:szCs w:val="21"/>
        </w:rPr>
        <w:t>por la Resolución CREG 011 de 2010, se def</w:t>
      </w:r>
      <w:r w:rsidR="00776BAD">
        <w:rPr>
          <w:szCs w:val="21"/>
        </w:rPr>
        <w:t xml:space="preserve">ine el procedimiento para la determinación de los precios horarios de bolsa. </w:t>
      </w:r>
      <w:r w:rsidR="00F6089B">
        <w:rPr>
          <w:szCs w:val="21"/>
        </w:rPr>
        <w:t>Al respecto, se destacan los siguientes pasos:</w:t>
      </w:r>
    </w:p>
    <w:p w14:paraId="5F4AA478" w14:textId="77777777" w:rsidR="00F6089B" w:rsidRDefault="00F6089B" w:rsidP="00793EEA">
      <w:pPr>
        <w:rPr>
          <w:szCs w:val="21"/>
        </w:rPr>
      </w:pPr>
    </w:p>
    <w:p w14:paraId="5657C28D" w14:textId="0A52221C" w:rsidR="00F6089B" w:rsidRDefault="00686F26" w:rsidP="00DB1960">
      <w:pPr>
        <w:pStyle w:val="Prrafodelista"/>
        <w:numPr>
          <w:ilvl w:val="0"/>
          <w:numId w:val="8"/>
        </w:numPr>
        <w:rPr>
          <w:szCs w:val="21"/>
        </w:rPr>
      </w:pPr>
      <w:r>
        <w:rPr>
          <w:szCs w:val="21"/>
        </w:rPr>
        <w:lastRenderedPageBreak/>
        <w:t>Se calcula</w:t>
      </w:r>
      <w:r w:rsidR="00726261">
        <w:rPr>
          <w:szCs w:val="21"/>
        </w:rPr>
        <w:t>n los precios de bolsa de energía a partir del Despacho Ideal</w:t>
      </w:r>
      <w:r w:rsidR="00FA4A0D">
        <w:rPr>
          <w:rStyle w:val="Refdenotaalpie"/>
          <w:szCs w:val="21"/>
        </w:rPr>
        <w:footnoteReference w:id="2"/>
      </w:r>
      <w:r w:rsidR="00726261">
        <w:rPr>
          <w:szCs w:val="21"/>
        </w:rPr>
        <w:t xml:space="preserve">, </w:t>
      </w:r>
      <w:r w:rsidR="002C419D">
        <w:rPr>
          <w:szCs w:val="21"/>
        </w:rPr>
        <w:t>estableci</w:t>
      </w:r>
      <w:r w:rsidR="00DA113F">
        <w:rPr>
          <w:szCs w:val="21"/>
        </w:rPr>
        <w:t>en</w:t>
      </w:r>
      <w:r w:rsidR="002C419D">
        <w:rPr>
          <w:szCs w:val="21"/>
        </w:rPr>
        <w:t xml:space="preserve">do un precio único para cada mercado según la demanda </w:t>
      </w:r>
      <w:r w:rsidR="00E15210">
        <w:rPr>
          <w:szCs w:val="21"/>
        </w:rPr>
        <w:t>que se atienda: demanda nacional y demanda internacional.</w:t>
      </w:r>
    </w:p>
    <w:p w14:paraId="21DE1679" w14:textId="77777777" w:rsidR="00E15210" w:rsidRPr="00E15210" w:rsidRDefault="00E15210" w:rsidP="00E15210">
      <w:pPr>
        <w:ind w:left="360"/>
        <w:rPr>
          <w:szCs w:val="21"/>
        </w:rPr>
      </w:pPr>
    </w:p>
    <w:p w14:paraId="0F10B410" w14:textId="1B723F4A" w:rsidR="00E15210" w:rsidRDefault="00943883" w:rsidP="00DB1960">
      <w:pPr>
        <w:pStyle w:val="Prrafodelista"/>
        <w:numPr>
          <w:ilvl w:val="0"/>
          <w:numId w:val="8"/>
        </w:numPr>
        <w:rPr>
          <w:szCs w:val="21"/>
        </w:rPr>
      </w:pPr>
      <w:r>
        <w:rPr>
          <w:szCs w:val="21"/>
        </w:rPr>
        <w:t>El des</w:t>
      </w:r>
      <w:r w:rsidR="00044E8A">
        <w:rPr>
          <w:szCs w:val="21"/>
        </w:rPr>
        <w:t xml:space="preserve">pacho ideal </w:t>
      </w:r>
      <w:r w:rsidR="00DA113F">
        <w:rPr>
          <w:szCs w:val="21"/>
        </w:rPr>
        <w:t xml:space="preserve">es </w:t>
      </w:r>
      <w:r w:rsidR="00FD07C4">
        <w:rPr>
          <w:szCs w:val="21"/>
        </w:rPr>
        <w:t xml:space="preserve">un proceso de optimización en </w:t>
      </w:r>
      <w:r w:rsidR="006F2107">
        <w:rPr>
          <w:szCs w:val="21"/>
        </w:rPr>
        <w:t xml:space="preserve">donde </w:t>
      </w:r>
      <w:r w:rsidR="00FD07C4">
        <w:rPr>
          <w:szCs w:val="21"/>
        </w:rPr>
        <w:t>se busca atender a</w:t>
      </w:r>
      <w:r w:rsidR="006F2107">
        <w:rPr>
          <w:szCs w:val="21"/>
        </w:rPr>
        <w:t>l</w:t>
      </w:r>
      <w:r w:rsidR="00FD07C4">
        <w:rPr>
          <w:szCs w:val="21"/>
        </w:rPr>
        <w:t xml:space="preserve"> mínimo costo la demanda</w:t>
      </w:r>
      <w:r w:rsidR="008931A7">
        <w:rPr>
          <w:szCs w:val="21"/>
        </w:rPr>
        <w:t xml:space="preserve"> para el día de operación</w:t>
      </w:r>
      <w:r w:rsidR="00FD07C4">
        <w:rPr>
          <w:szCs w:val="21"/>
        </w:rPr>
        <w:t>, consi</w:t>
      </w:r>
      <w:r w:rsidR="006F2107">
        <w:rPr>
          <w:szCs w:val="21"/>
        </w:rPr>
        <w:t>de</w:t>
      </w:r>
      <w:r w:rsidR="00FD07C4">
        <w:rPr>
          <w:szCs w:val="21"/>
        </w:rPr>
        <w:t>rando las ofertas de los recursos de generación</w:t>
      </w:r>
      <w:r w:rsidR="006F2107">
        <w:rPr>
          <w:szCs w:val="21"/>
        </w:rPr>
        <w:t xml:space="preserve">, </w:t>
      </w:r>
      <w:r w:rsidR="00562479">
        <w:rPr>
          <w:szCs w:val="21"/>
        </w:rPr>
        <w:t xml:space="preserve">los costos de arranque-parada de las plantas térmicas, </w:t>
      </w:r>
      <w:r w:rsidR="006F2107">
        <w:rPr>
          <w:szCs w:val="21"/>
        </w:rPr>
        <w:t>l</w:t>
      </w:r>
      <w:r w:rsidR="00FD07C4">
        <w:rPr>
          <w:szCs w:val="21"/>
        </w:rPr>
        <w:t>a demanda real</w:t>
      </w:r>
      <w:r w:rsidR="006F2107">
        <w:rPr>
          <w:szCs w:val="21"/>
        </w:rPr>
        <w:t xml:space="preserve">, las características técnicas </w:t>
      </w:r>
      <w:r w:rsidR="008931A7">
        <w:rPr>
          <w:szCs w:val="21"/>
        </w:rPr>
        <w:t>de las plantas</w:t>
      </w:r>
      <w:r w:rsidR="00735328">
        <w:rPr>
          <w:szCs w:val="21"/>
        </w:rPr>
        <w:t xml:space="preserve"> y sin </w:t>
      </w:r>
      <w:r w:rsidR="00044E8A">
        <w:rPr>
          <w:szCs w:val="21"/>
        </w:rPr>
        <w:t xml:space="preserve">la </w:t>
      </w:r>
      <w:r w:rsidR="00FD07C4">
        <w:rPr>
          <w:szCs w:val="21"/>
        </w:rPr>
        <w:t>red de transporte</w:t>
      </w:r>
      <w:r w:rsidR="00735328">
        <w:rPr>
          <w:szCs w:val="21"/>
        </w:rPr>
        <w:t>.</w:t>
      </w:r>
    </w:p>
    <w:p w14:paraId="6BD3D26D" w14:textId="77777777" w:rsidR="00562479" w:rsidRPr="00562479" w:rsidRDefault="00562479" w:rsidP="00562479">
      <w:pPr>
        <w:pStyle w:val="Prrafodelista"/>
        <w:rPr>
          <w:szCs w:val="21"/>
        </w:rPr>
      </w:pPr>
    </w:p>
    <w:p w14:paraId="6BC3D906" w14:textId="4A6525DE" w:rsidR="00562479" w:rsidRDefault="00562479" w:rsidP="009E470E">
      <w:pPr>
        <w:rPr>
          <w:szCs w:val="21"/>
        </w:rPr>
      </w:pPr>
      <w:r>
        <w:rPr>
          <w:szCs w:val="21"/>
        </w:rPr>
        <w:t>La ecuación que refleja lo anterior es la siguiente:</w:t>
      </w:r>
    </w:p>
    <w:p w14:paraId="0534B2E5" w14:textId="77777777" w:rsidR="00562479" w:rsidRDefault="00562479" w:rsidP="00562479">
      <w:pPr>
        <w:ind w:left="1080"/>
        <w:rPr>
          <w:szCs w:val="21"/>
        </w:rPr>
      </w:pPr>
    </w:p>
    <w:p w14:paraId="41CAA5B9" w14:textId="2A7B4812" w:rsidR="00562479" w:rsidRPr="00562479" w:rsidRDefault="00CA1F70" w:rsidP="00562479">
      <w:pPr>
        <w:ind w:left="1080"/>
        <w:rPr>
          <w:szCs w:val="21"/>
        </w:rPr>
      </w:pPr>
      <m:oMathPara>
        <m:oMath>
          <m:r>
            <w:rPr>
              <w:rFonts w:ascii="Cambria Math" w:hAnsi="Cambria Math"/>
              <w:szCs w:val="21"/>
            </w:rPr>
            <m:t>min</m:t>
          </m:r>
          <m:nary>
            <m:naryPr>
              <m:chr m:val="∑"/>
              <m:limLoc m:val="undOvr"/>
              <m:supHide m:val="1"/>
              <m:ctrlPr>
                <w:rPr>
                  <w:rFonts w:ascii="Cambria Math" w:hAnsi="Cambria Math"/>
                  <w:i/>
                  <w:szCs w:val="21"/>
                </w:rPr>
              </m:ctrlPr>
            </m:naryPr>
            <m:sub>
              <m:r>
                <w:rPr>
                  <w:rFonts w:ascii="Cambria Math" w:hAnsi="Cambria Math"/>
                  <w:szCs w:val="21"/>
                </w:rPr>
                <m:t>t</m:t>
              </m:r>
            </m:sub>
            <m:sup/>
            <m:e>
              <m:nary>
                <m:naryPr>
                  <m:chr m:val="∑"/>
                  <m:limLoc m:val="undOvr"/>
                  <m:supHide m:val="1"/>
                  <m:ctrlPr>
                    <w:rPr>
                      <w:rFonts w:ascii="Cambria Math" w:hAnsi="Cambria Math"/>
                      <w:i/>
                      <w:szCs w:val="21"/>
                    </w:rPr>
                  </m:ctrlPr>
                </m:naryPr>
                <m:sub>
                  <m:r>
                    <w:rPr>
                      <w:rFonts w:ascii="Cambria Math" w:hAnsi="Cambria Math"/>
                      <w:szCs w:val="21"/>
                    </w:rPr>
                    <m:t>i</m:t>
                  </m:r>
                </m:sub>
                <m:sup/>
                <m:e>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Pof</m:t>
                          </m:r>
                        </m:e>
                        <m:sub>
                          <m:r>
                            <w:rPr>
                              <w:rFonts w:ascii="Cambria Math" w:hAnsi="Cambria Math"/>
                              <w:szCs w:val="21"/>
                            </w:rPr>
                            <m:t>i</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Q</m:t>
                          </m:r>
                        </m:e>
                        <m:sub>
                          <m:r>
                            <w:rPr>
                              <w:rFonts w:ascii="Cambria Math" w:hAnsi="Cambria Math"/>
                              <w:szCs w:val="21"/>
                            </w:rPr>
                            <m:t>it</m:t>
                          </m:r>
                        </m:sub>
                      </m:sSub>
                    </m:e>
                  </m:d>
                  <m:r>
                    <w:rPr>
                      <w:rFonts w:ascii="Cambria Math" w:hAnsi="Cambria Math"/>
                      <w:szCs w:val="21"/>
                    </w:rPr>
                    <m:t>+</m:t>
                  </m:r>
                  <m:sSub>
                    <m:sSubPr>
                      <m:ctrlPr>
                        <w:rPr>
                          <w:rFonts w:ascii="Cambria Math" w:hAnsi="Cambria Math"/>
                          <w:i/>
                          <w:szCs w:val="21"/>
                        </w:rPr>
                      </m:ctrlPr>
                    </m:sSubPr>
                    <m:e>
                      <m:r>
                        <w:rPr>
                          <w:rFonts w:ascii="Cambria Math" w:hAnsi="Cambria Math"/>
                          <w:szCs w:val="21"/>
                        </w:rPr>
                        <m:t>Par</m:t>
                      </m:r>
                    </m:e>
                    <m:sub>
                      <m:r>
                        <w:rPr>
                          <w:rFonts w:ascii="Cambria Math" w:hAnsi="Cambria Math"/>
                          <w:szCs w:val="21"/>
                        </w:rPr>
                        <m:t>i</m:t>
                      </m:r>
                    </m:sub>
                  </m:sSub>
                </m:e>
              </m:nary>
            </m:e>
          </m:nary>
        </m:oMath>
      </m:oMathPara>
    </w:p>
    <w:p w14:paraId="3A084ECD" w14:textId="77777777" w:rsidR="00562479" w:rsidRPr="00562479" w:rsidRDefault="00562479" w:rsidP="00562479">
      <w:pPr>
        <w:rPr>
          <w:szCs w:val="21"/>
        </w:rPr>
      </w:pPr>
    </w:p>
    <w:p w14:paraId="7C2CD82F" w14:textId="789FAA3E" w:rsidR="005B13CF" w:rsidRDefault="00195482" w:rsidP="00195482">
      <w:pPr>
        <w:ind w:left="2124"/>
        <w:rPr>
          <w:i/>
          <w:iCs/>
          <w:szCs w:val="21"/>
        </w:rPr>
      </w:pPr>
      <w:r>
        <w:rPr>
          <w:i/>
          <w:iCs/>
          <w:szCs w:val="21"/>
        </w:rPr>
        <w:t>Sujet</w:t>
      </w:r>
      <w:r w:rsidR="00460BE2">
        <w:rPr>
          <w:i/>
          <w:iCs/>
          <w:szCs w:val="21"/>
        </w:rPr>
        <w:t xml:space="preserve">o </w:t>
      </w:r>
      <w:r w:rsidR="007131B9">
        <w:rPr>
          <w:i/>
          <w:iCs/>
          <w:szCs w:val="21"/>
        </w:rPr>
        <w:t xml:space="preserve">a: </w:t>
      </w: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t</m:t>
            </m:r>
          </m:sub>
        </m:sSub>
        <m:r>
          <w:rPr>
            <w:rFonts w:ascii="Cambria Math" w:hAnsi="Cambria Math"/>
            <w:szCs w:val="21"/>
          </w:rPr>
          <m:t>≤</m:t>
        </m:r>
        <m:nary>
          <m:naryPr>
            <m:chr m:val="∑"/>
            <m:limLoc m:val="undOvr"/>
            <m:supHide m:val="1"/>
            <m:ctrlPr>
              <w:rPr>
                <w:rFonts w:ascii="Cambria Math" w:hAnsi="Cambria Math"/>
                <w:i/>
                <w:iCs/>
                <w:szCs w:val="21"/>
              </w:rPr>
            </m:ctrlPr>
          </m:naryPr>
          <m:sub>
            <m:r>
              <w:rPr>
                <w:rFonts w:ascii="Cambria Math" w:hAnsi="Cambria Math"/>
                <w:szCs w:val="21"/>
              </w:rPr>
              <m:t>t</m:t>
            </m:r>
          </m:sub>
          <m:sup/>
          <m:e>
            <m:sSub>
              <m:sSubPr>
                <m:ctrlPr>
                  <w:rPr>
                    <w:rFonts w:ascii="Cambria Math" w:hAnsi="Cambria Math"/>
                    <w:i/>
                    <w:iCs/>
                    <w:szCs w:val="21"/>
                  </w:rPr>
                </m:ctrlPr>
              </m:sSubPr>
              <m:e>
                <m:r>
                  <w:rPr>
                    <w:rFonts w:ascii="Cambria Math" w:hAnsi="Cambria Math"/>
                    <w:szCs w:val="21"/>
                  </w:rPr>
                  <m:t>Q</m:t>
                </m:r>
              </m:e>
              <m:sub>
                <m:r>
                  <w:rPr>
                    <w:rFonts w:ascii="Cambria Math" w:hAnsi="Cambria Math"/>
                    <w:szCs w:val="21"/>
                  </w:rPr>
                  <m:t>it</m:t>
                </m:r>
              </m:sub>
            </m:sSub>
          </m:e>
        </m:nary>
      </m:oMath>
    </w:p>
    <w:p w14:paraId="0FE301F2" w14:textId="77777777" w:rsidR="00510BCB" w:rsidRDefault="00510BCB" w:rsidP="00195482">
      <w:pPr>
        <w:ind w:left="2124"/>
        <w:rPr>
          <w:i/>
          <w:iCs/>
          <w:szCs w:val="21"/>
        </w:rPr>
      </w:pPr>
    </w:p>
    <w:p w14:paraId="1342D294" w14:textId="06C919ED" w:rsidR="00510BCB" w:rsidRDefault="00510BCB" w:rsidP="00195482">
      <w:pPr>
        <w:ind w:left="2124"/>
        <w:rPr>
          <w:i/>
          <w:iCs/>
          <w:szCs w:val="21"/>
        </w:rPr>
      </w:pPr>
      <w:r>
        <w:rPr>
          <w:i/>
          <w:iCs/>
          <w:szCs w:val="21"/>
        </w:rPr>
        <w:t>Donde:</w:t>
      </w:r>
    </w:p>
    <w:p w14:paraId="17E81806" w14:textId="7FF320BF" w:rsidR="00510BCB" w:rsidRDefault="00510BCB" w:rsidP="00195482">
      <w:pPr>
        <w:ind w:left="2124"/>
        <w:rPr>
          <w:i/>
          <w:iCs/>
          <w:szCs w:val="21"/>
        </w:rPr>
      </w:pPr>
      <w:r>
        <w:rPr>
          <w:i/>
          <w:iCs/>
          <w:szCs w:val="21"/>
        </w:rPr>
        <w:t>i</w:t>
      </w:r>
      <w:r>
        <w:rPr>
          <w:i/>
          <w:iCs/>
          <w:szCs w:val="21"/>
        </w:rPr>
        <w:tab/>
        <w:t>Indexa a los generadores</w:t>
      </w:r>
    </w:p>
    <w:p w14:paraId="7BBC5176" w14:textId="06AD85EF" w:rsidR="00510BCB" w:rsidRDefault="001441DF" w:rsidP="00195482">
      <w:pPr>
        <w:ind w:left="2124"/>
        <w:rPr>
          <w:i/>
          <w:iCs/>
          <w:szCs w:val="21"/>
        </w:rPr>
      </w:pPr>
      <w:r>
        <w:rPr>
          <w:i/>
          <w:iCs/>
          <w:szCs w:val="21"/>
        </w:rPr>
        <w:t>t</w:t>
      </w:r>
      <w:r>
        <w:rPr>
          <w:i/>
          <w:iCs/>
          <w:szCs w:val="21"/>
        </w:rPr>
        <w:tab/>
        <w:t>Indexa las horas del día</w:t>
      </w:r>
    </w:p>
    <w:p w14:paraId="4279EB42" w14:textId="5CA72BE9" w:rsidR="001441DF" w:rsidRDefault="001441DF" w:rsidP="00195482">
      <w:pPr>
        <w:ind w:left="2124"/>
        <w:rPr>
          <w:i/>
          <w:iCs/>
          <w:szCs w:val="21"/>
        </w:rPr>
      </w:pPr>
      <w:r>
        <w:rPr>
          <w:i/>
          <w:iCs/>
          <w:szCs w:val="21"/>
        </w:rPr>
        <w:t>Q</w:t>
      </w:r>
      <w:r>
        <w:rPr>
          <w:i/>
          <w:iCs/>
          <w:szCs w:val="21"/>
        </w:rPr>
        <w:tab/>
        <w:t>Generadores</w:t>
      </w:r>
    </w:p>
    <w:p w14:paraId="53408A52" w14:textId="79D8B7C9" w:rsidR="001441DF" w:rsidRDefault="001441DF" w:rsidP="00195482">
      <w:pPr>
        <w:ind w:left="2124"/>
        <w:rPr>
          <w:i/>
          <w:iCs/>
          <w:szCs w:val="21"/>
        </w:rPr>
      </w:pPr>
      <w:r>
        <w:rPr>
          <w:i/>
          <w:iCs/>
          <w:szCs w:val="21"/>
        </w:rPr>
        <w:t>Pof</w:t>
      </w:r>
      <w:r>
        <w:rPr>
          <w:i/>
          <w:iCs/>
          <w:szCs w:val="21"/>
        </w:rPr>
        <w:tab/>
        <w:t xml:space="preserve">Precio de </w:t>
      </w:r>
      <w:r w:rsidR="009C3186">
        <w:rPr>
          <w:i/>
          <w:iCs/>
          <w:szCs w:val="21"/>
        </w:rPr>
        <w:t>oferta</w:t>
      </w:r>
    </w:p>
    <w:p w14:paraId="1400EA01" w14:textId="01E46564" w:rsidR="009C3186" w:rsidRDefault="009C3186" w:rsidP="00195482">
      <w:pPr>
        <w:ind w:left="2124"/>
        <w:rPr>
          <w:i/>
          <w:iCs/>
          <w:szCs w:val="21"/>
        </w:rPr>
      </w:pPr>
      <w:r>
        <w:rPr>
          <w:i/>
          <w:iCs/>
          <w:szCs w:val="21"/>
        </w:rPr>
        <w:t>Par</w:t>
      </w:r>
      <w:r>
        <w:rPr>
          <w:i/>
          <w:iCs/>
          <w:szCs w:val="21"/>
        </w:rPr>
        <w:tab/>
        <w:t>Oferta de precio de arranque parada de plantas térmicas</w:t>
      </w:r>
    </w:p>
    <w:p w14:paraId="41719186" w14:textId="13F35862" w:rsidR="0035404C" w:rsidRPr="00195482" w:rsidRDefault="0035404C" w:rsidP="00195482">
      <w:pPr>
        <w:ind w:left="2124"/>
        <w:rPr>
          <w:i/>
          <w:iCs/>
          <w:szCs w:val="21"/>
        </w:rPr>
      </w:pPr>
      <w:r>
        <w:rPr>
          <w:i/>
          <w:iCs/>
          <w:szCs w:val="21"/>
        </w:rPr>
        <w:t>D</w:t>
      </w:r>
      <w:r>
        <w:rPr>
          <w:i/>
          <w:iCs/>
          <w:szCs w:val="21"/>
        </w:rPr>
        <w:tab/>
        <w:t>Demanda</w:t>
      </w:r>
    </w:p>
    <w:p w14:paraId="2B08AB10" w14:textId="77777777" w:rsidR="005B13CF" w:rsidRPr="00C562ED" w:rsidRDefault="005B13CF" w:rsidP="00793EEA">
      <w:pPr>
        <w:rPr>
          <w:szCs w:val="21"/>
        </w:rPr>
      </w:pPr>
    </w:p>
    <w:p w14:paraId="750F1443" w14:textId="77777777" w:rsidR="00B12940" w:rsidRDefault="00B12940" w:rsidP="00A51C90">
      <w:pPr>
        <w:rPr>
          <w:szCs w:val="22"/>
        </w:rPr>
      </w:pPr>
    </w:p>
    <w:p w14:paraId="014F2253" w14:textId="07269B4D" w:rsidR="0035404C" w:rsidRDefault="006D55E7" w:rsidP="00DB1960">
      <w:pPr>
        <w:pStyle w:val="Prrafodelista"/>
        <w:numPr>
          <w:ilvl w:val="0"/>
          <w:numId w:val="8"/>
        </w:numPr>
        <w:rPr>
          <w:szCs w:val="22"/>
        </w:rPr>
      </w:pPr>
      <w:r>
        <w:rPr>
          <w:szCs w:val="22"/>
        </w:rPr>
        <w:t xml:space="preserve">Con los resultados de despacho ideal, </w:t>
      </w:r>
      <w:r w:rsidR="00DE557E">
        <w:rPr>
          <w:szCs w:val="22"/>
        </w:rPr>
        <w:t xml:space="preserve">para cada hora se ordenan las plantas despachadas de </w:t>
      </w:r>
      <w:r w:rsidR="00133826">
        <w:rPr>
          <w:szCs w:val="22"/>
        </w:rPr>
        <w:t xml:space="preserve">acuerdo con las ofertas de precios </w:t>
      </w:r>
      <w:r w:rsidR="001A597F">
        <w:rPr>
          <w:szCs w:val="22"/>
        </w:rPr>
        <w:t>a la Bolsa de menor a mayor.</w:t>
      </w:r>
    </w:p>
    <w:p w14:paraId="696C9E90" w14:textId="77777777" w:rsidR="001A597F" w:rsidRPr="001A597F" w:rsidRDefault="001A597F" w:rsidP="001A597F">
      <w:pPr>
        <w:ind w:left="360"/>
        <w:rPr>
          <w:szCs w:val="22"/>
        </w:rPr>
      </w:pPr>
    </w:p>
    <w:p w14:paraId="4F70E12C" w14:textId="57B04004" w:rsidR="001A597F" w:rsidRDefault="00C61026" w:rsidP="00DB1960">
      <w:pPr>
        <w:pStyle w:val="Prrafodelista"/>
        <w:numPr>
          <w:ilvl w:val="0"/>
          <w:numId w:val="8"/>
        </w:numPr>
        <w:rPr>
          <w:szCs w:val="22"/>
        </w:rPr>
      </w:pPr>
      <w:r>
        <w:rPr>
          <w:szCs w:val="22"/>
        </w:rPr>
        <w:t xml:space="preserve">El </w:t>
      </w:r>
      <w:r w:rsidR="00366409">
        <w:rPr>
          <w:szCs w:val="22"/>
        </w:rPr>
        <w:t>máximo precio ofertado (MPO) para el mercado nacional</w:t>
      </w:r>
      <w:r w:rsidR="00786104">
        <w:rPr>
          <w:szCs w:val="22"/>
        </w:rPr>
        <w:t xml:space="preserve"> corresponde a la última planta requerida para atender la demanda nacional. Y el MPO para el mercado internacional corresponde a la última planta requerida </w:t>
      </w:r>
      <w:r w:rsidR="00B93CCB">
        <w:rPr>
          <w:szCs w:val="22"/>
        </w:rPr>
        <w:t>para atender la demanda nacional más la demanda internacional.</w:t>
      </w:r>
    </w:p>
    <w:p w14:paraId="5D2D26DD" w14:textId="77777777" w:rsidR="00033F46" w:rsidRPr="00033F46" w:rsidRDefault="00033F46" w:rsidP="00033F46">
      <w:pPr>
        <w:pStyle w:val="Prrafodelista"/>
        <w:rPr>
          <w:szCs w:val="22"/>
        </w:rPr>
      </w:pPr>
    </w:p>
    <w:p w14:paraId="411EFF19" w14:textId="518EEB72" w:rsidR="00033F46" w:rsidRDefault="00B14BCB" w:rsidP="00DB1960">
      <w:pPr>
        <w:pStyle w:val="Prrafodelista"/>
        <w:numPr>
          <w:ilvl w:val="0"/>
          <w:numId w:val="8"/>
        </w:numPr>
        <w:rPr>
          <w:szCs w:val="22"/>
        </w:rPr>
      </w:pPr>
      <w:r>
        <w:rPr>
          <w:szCs w:val="22"/>
        </w:rPr>
        <w:t>Posteriormente, a</w:t>
      </w:r>
      <w:r w:rsidR="00AD2C24">
        <w:rPr>
          <w:szCs w:val="22"/>
        </w:rPr>
        <w:t xml:space="preserve">l MPO del mercado </w:t>
      </w:r>
      <w:r>
        <w:rPr>
          <w:szCs w:val="22"/>
        </w:rPr>
        <w:t xml:space="preserve">nacional e internacional se le adiciona un </w:t>
      </w:r>
      <w:r w:rsidR="002B445A">
        <w:rPr>
          <w:rFonts w:cs="Arial"/>
          <w:szCs w:val="22"/>
        </w:rPr>
        <w:t>Δ</w:t>
      </w:r>
      <w:r w:rsidR="002B445A">
        <w:rPr>
          <w:szCs w:val="22"/>
        </w:rPr>
        <w:t xml:space="preserve">I, que corresponde a los costos de las plantas térmicas que salen en el </w:t>
      </w:r>
      <w:r w:rsidR="002B445A">
        <w:rPr>
          <w:szCs w:val="22"/>
        </w:rPr>
        <w:lastRenderedPageBreak/>
        <w:t>despacho ideal</w:t>
      </w:r>
      <w:r w:rsidR="00AA6724">
        <w:rPr>
          <w:szCs w:val="22"/>
        </w:rPr>
        <w:t>,</w:t>
      </w:r>
      <w:r w:rsidR="002B445A">
        <w:rPr>
          <w:szCs w:val="22"/>
        </w:rPr>
        <w:t xml:space="preserve"> </w:t>
      </w:r>
      <w:r w:rsidR="00E74349">
        <w:rPr>
          <w:szCs w:val="22"/>
        </w:rPr>
        <w:t xml:space="preserve">pero en donde el MPO </w:t>
      </w:r>
      <w:r w:rsidR="00AA6724">
        <w:rPr>
          <w:szCs w:val="22"/>
        </w:rPr>
        <w:t xml:space="preserve">de todos los periodos horarios del día </w:t>
      </w:r>
      <w:r w:rsidR="00E74349">
        <w:rPr>
          <w:szCs w:val="22"/>
        </w:rPr>
        <w:t>n</w:t>
      </w:r>
      <w:r w:rsidR="002B445A">
        <w:rPr>
          <w:szCs w:val="22"/>
        </w:rPr>
        <w:t xml:space="preserve">o </w:t>
      </w:r>
      <w:r w:rsidR="000B0C75">
        <w:rPr>
          <w:szCs w:val="22"/>
        </w:rPr>
        <w:t xml:space="preserve">son </w:t>
      </w:r>
      <w:r w:rsidR="00AA6724">
        <w:rPr>
          <w:szCs w:val="22"/>
        </w:rPr>
        <w:t>sufi</w:t>
      </w:r>
      <w:r w:rsidR="000B0C75">
        <w:rPr>
          <w:szCs w:val="22"/>
        </w:rPr>
        <w:t>ci</w:t>
      </w:r>
      <w:r w:rsidR="00AA6724">
        <w:rPr>
          <w:szCs w:val="22"/>
        </w:rPr>
        <w:t>ente</w:t>
      </w:r>
      <w:r w:rsidR="000B0C75">
        <w:rPr>
          <w:szCs w:val="22"/>
        </w:rPr>
        <w:t>s</w:t>
      </w:r>
      <w:r w:rsidR="00AA6724">
        <w:rPr>
          <w:szCs w:val="22"/>
        </w:rPr>
        <w:t xml:space="preserve"> para cubrir </w:t>
      </w:r>
      <w:r w:rsidR="000B0C75">
        <w:rPr>
          <w:szCs w:val="22"/>
        </w:rPr>
        <w:t>los precios ofertados.</w:t>
      </w:r>
      <w:r w:rsidR="00AA6724">
        <w:rPr>
          <w:szCs w:val="22"/>
        </w:rPr>
        <w:t xml:space="preserve"> </w:t>
      </w:r>
    </w:p>
    <w:p w14:paraId="01F3414D" w14:textId="77777777" w:rsidR="0035404C" w:rsidRDefault="0035404C" w:rsidP="00A51C90">
      <w:pPr>
        <w:rPr>
          <w:szCs w:val="22"/>
        </w:rPr>
      </w:pPr>
    </w:p>
    <w:p w14:paraId="2D3C0A2A" w14:textId="08F2C21E" w:rsidR="00485851" w:rsidRDefault="005442C1" w:rsidP="00A51C90">
      <w:pPr>
        <w:rPr>
          <w:szCs w:val="22"/>
        </w:rPr>
      </w:pPr>
      <w:r>
        <w:rPr>
          <w:szCs w:val="22"/>
        </w:rPr>
        <w:t xml:space="preserve">El procedimiento anterior, se </w:t>
      </w:r>
      <w:r w:rsidR="009862BD">
        <w:rPr>
          <w:szCs w:val="22"/>
        </w:rPr>
        <w:t xml:space="preserve">puede ver de forma </w:t>
      </w:r>
      <w:r>
        <w:rPr>
          <w:szCs w:val="22"/>
        </w:rPr>
        <w:t xml:space="preserve">gráfica </w:t>
      </w:r>
      <w:r w:rsidR="009862BD">
        <w:rPr>
          <w:szCs w:val="22"/>
        </w:rPr>
        <w:t>e</w:t>
      </w:r>
      <w:r w:rsidR="00485851">
        <w:rPr>
          <w:szCs w:val="22"/>
        </w:rPr>
        <w:t xml:space="preserve">n la ilustración </w:t>
      </w:r>
      <w:r w:rsidR="00831CCC">
        <w:rPr>
          <w:szCs w:val="22"/>
        </w:rPr>
        <w:t>3</w:t>
      </w:r>
      <w:r w:rsidR="00485851">
        <w:rPr>
          <w:szCs w:val="22"/>
        </w:rPr>
        <w:t>.</w:t>
      </w:r>
    </w:p>
    <w:p w14:paraId="7BDA8372" w14:textId="77777777" w:rsidR="00B64F9C" w:rsidRDefault="00B64F9C" w:rsidP="00A51C90">
      <w:pPr>
        <w:rPr>
          <w:szCs w:val="22"/>
        </w:rPr>
      </w:pPr>
    </w:p>
    <w:p w14:paraId="3ACB5752" w14:textId="4E94A7FC" w:rsidR="00B64F9C" w:rsidRDefault="00F67662" w:rsidP="00A51C90">
      <w:pPr>
        <w:rPr>
          <w:szCs w:val="22"/>
        </w:rPr>
      </w:pPr>
      <w:r w:rsidRPr="00F67662">
        <w:rPr>
          <w:noProof/>
          <w:szCs w:val="22"/>
        </w:rPr>
        <w:drawing>
          <wp:inline distT="0" distB="0" distL="0" distR="0" wp14:anchorId="37FD4AC9" wp14:editId="72DC5309">
            <wp:extent cx="5972810" cy="2200275"/>
            <wp:effectExtent l="0" t="0" r="8890" b="0"/>
            <wp:docPr id="1864640772" name="Gráfico 186464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40772"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72810" cy="2200275"/>
                    </a:xfrm>
                    <a:prstGeom prst="rect">
                      <a:avLst/>
                    </a:prstGeom>
                  </pic:spPr>
                </pic:pic>
              </a:graphicData>
            </a:graphic>
          </wp:inline>
        </w:drawing>
      </w:r>
    </w:p>
    <w:p w14:paraId="76625010" w14:textId="77777777" w:rsidR="00485851" w:rsidRDefault="00485851" w:rsidP="00A51C90">
      <w:pPr>
        <w:rPr>
          <w:szCs w:val="22"/>
        </w:rPr>
      </w:pPr>
    </w:p>
    <w:p w14:paraId="6EF960FE" w14:textId="25EFDAC2" w:rsidR="00485851" w:rsidRPr="008C0F6D" w:rsidRDefault="00F67662" w:rsidP="008C0F6D">
      <w:pPr>
        <w:pStyle w:val="Descripcin"/>
        <w:jc w:val="center"/>
        <w:rPr>
          <w:sz w:val="20"/>
          <w:szCs w:val="24"/>
        </w:rPr>
      </w:pPr>
      <w:bookmarkStart w:id="11" w:name="_Toc153876868"/>
      <w:r w:rsidRPr="008C0F6D">
        <w:rPr>
          <w:sz w:val="20"/>
          <w:szCs w:val="20"/>
        </w:rPr>
        <w:t xml:space="preserve">Ilustración </w:t>
      </w:r>
      <w:r w:rsidRPr="008C0F6D">
        <w:rPr>
          <w:sz w:val="20"/>
          <w:szCs w:val="20"/>
        </w:rPr>
        <w:fldChar w:fldCharType="begin"/>
      </w:r>
      <w:r w:rsidRPr="008C0F6D">
        <w:rPr>
          <w:sz w:val="20"/>
          <w:szCs w:val="20"/>
        </w:rPr>
        <w:instrText xml:space="preserve"> SEQ Ilustración \* ARABIC </w:instrText>
      </w:r>
      <w:r w:rsidRPr="008C0F6D">
        <w:rPr>
          <w:sz w:val="20"/>
          <w:szCs w:val="20"/>
        </w:rPr>
        <w:fldChar w:fldCharType="separate"/>
      </w:r>
      <w:r w:rsidR="004B57FF">
        <w:rPr>
          <w:noProof/>
          <w:sz w:val="20"/>
          <w:szCs w:val="20"/>
        </w:rPr>
        <w:t>3</w:t>
      </w:r>
      <w:r w:rsidRPr="008C0F6D">
        <w:rPr>
          <w:sz w:val="20"/>
          <w:szCs w:val="20"/>
        </w:rPr>
        <w:fldChar w:fldCharType="end"/>
      </w:r>
      <w:r w:rsidRPr="008C0F6D">
        <w:rPr>
          <w:sz w:val="20"/>
          <w:szCs w:val="20"/>
        </w:rPr>
        <w:t>. Procedimiento para def</w:t>
      </w:r>
      <w:r w:rsidR="008C0F6D" w:rsidRPr="008C0F6D">
        <w:rPr>
          <w:sz w:val="20"/>
          <w:szCs w:val="20"/>
        </w:rPr>
        <w:t>inir el precio de bolsa</w:t>
      </w:r>
      <w:bookmarkEnd w:id="11"/>
    </w:p>
    <w:p w14:paraId="141A7200" w14:textId="77777777" w:rsidR="00485851" w:rsidRDefault="00485851" w:rsidP="00A51C90">
      <w:pPr>
        <w:rPr>
          <w:szCs w:val="22"/>
        </w:rPr>
      </w:pPr>
    </w:p>
    <w:p w14:paraId="7EAFF357" w14:textId="23933C32" w:rsidR="00642E82" w:rsidRDefault="005C3935" w:rsidP="00A51C90">
      <w:pPr>
        <w:rPr>
          <w:szCs w:val="22"/>
          <w:lang w:val="es-CO"/>
        </w:rPr>
      </w:pPr>
      <w:r>
        <w:rPr>
          <w:szCs w:val="22"/>
          <w:lang w:val="es-CO"/>
        </w:rPr>
        <w:t xml:space="preserve">En lo que respecta a las ofertas </w:t>
      </w:r>
      <w:r w:rsidR="00A9389C">
        <w:rPr>
          <w:szCs w:val="22"/>
          <w:lang w:val="es-CO"/>
        </w:rPr>
        <w:t xml:space="preserve">de precios </w:t>
      </w:r>
      <w:r>
        <w:rPr>
          <w:szCs w:val="22"/>
          <w:lang w:val="es-CO"/>
        </w:rPr>
        <w:t xml:space="preserve">que hacen </w:t>
      </w:r>
      <w:r w:rsidR="009C52FE">
        <w:rPr>
          <w:szCs w:val="22"/>
          <w:lang w:val="es-CO"/>
        </w:rPr>
        <w:t xml:space="preserve">diariamente </w:t>
      </w:r>
      <w:r>
        <w:rPr>
          <w:szCs w:val="22"/>
          <w:lang w:val="es-CO"/>
        </w:rPr>
        <w:t>lo</w:t>
      </w:r>
      <w:r w:rsidR="009C52FE">
        <w:rPr>
          <w:szCs w:val="22"/>
          <w:lang w:val="es-CO"/>
        </w:rPr>
        <w:t>s</w:t>
      </w:r>
      <w:r>
        <w:rPr>
          <w:szCs w:val="22"/>
          <w:lang w:val="es-CO"/>
        </w:rPr>
        <w:t xml:space="preserve"> agentes generadores</w:t>
      </w:r>
      <w:r w:rsidR="009C52FE">
        <w:rPr>
          <w:szCs w:val="22"/>
          <w:lang w:val="es-CO"/>
        </w:rPr>
        <w:t xml:space="preserve"> a la bolsa de energía</w:t>
      </w:r>
      <w:r>
        <w:rPr>
          <w:szCs w:val="22"/>
          <w:lang w:val="es-CO"/>
        </w:rPr>
        <w:t>, la Resoluci</w:t>
      </w:r>
      <w:r w:rsidR="00642E82">
        <w:rPr>
          <w:szCs w:val="22"/>
          <w:lang w:val="es-CO"/>
        </w:rPr>
        <w:t>ón</w:t>
      </w:r>
      <w:r>
        <w:rPr>
          <w:szCs w:val="22"/>
          <w:lang w:val="es-CO"/>
        </w:rPr>
        <w:t xml:space="preserve"> CREG 055 de 1994, modificada por la</w:t>
      </w:r>
      <w:r w:rsidR="00BA284D">
        <w:rPr>
          <w:szCs w:val="22"/>
          <w:lang w:val="es-CO"/>
        </w:rPr>
        <w:t>s</w:t>
      </w:r>
      <w:r>
        <w:rPr>
          <w:szCs w:val="22"/>
          <w:lang w:val="es-CO"/>
        </w:rPr>
        <w:t xml:space="preserve"> Resoluci</w:t>
      </w:r>
      <w:r w:rsidR="00BA284D">
        <w:rPr>
          <w:szCs w:val="22"/>
          <w:lang w:val="es-CO"/>
        </w:rPr>
        <w:t xml:space="preserve">ones </w:t>
      </w:r>
      <w:r>
        <w:rPr>
          <w:szCs w:val="22"/>
          <w:lang w:val="es-CO"/>
        </w:rPr>
        <w:t>CREG 060 de 2019</w:t>
      </w:r>
      <w:r w:rsidR="00642E82">
        <w:rPr>
          <w:szCs w:val="22"/>
          <w:lang w:val="es-CO"/>
        </w:rPr>
        <w:t xml:space="preserve">, establece </w:t>
      </w:r>
      <w:r w:rsidR="009C492B">
        <w:rPr>
          <w:szCs w:val="22"/>
          <w:lang w:val="es-CO"/>
        </w:rPr>
        <w:t>que se debe tener en cuenta</w:t>
      </w:r>
      <w:r w:rsidR="00642E82">
        <w:rPr>
          <w:szCs w:val="22"/>
          <w:lang w:val="es-CO"/>
        </w:rPr>
        <w:t>:</w:t>
      </w:r>
    </w:p>
    <w:p w14:paraId="56F7CAA1" w14:textId="77777777" w:rsidR="009C492B" w:rsidRDefault="009C492B" w:rsidP="00A51C90">
      <w:pPr>
        <w:rPr>
          <w:szCs w:val="22"/>
          <w:lang w:val="es-CO"/>
        </w:rPr>
      </w:pPr>
    </w:p>
    <w:p w14:paraId="04321197" w14:textId="2EDFB936" w:rsidR="009C492B" w:rsidRDefault="00E01137" w:rsidP="00DB1960">
      <w:pPr>
        <w:pStyle w:val="Prrafodelista"/>
        <w:numPr>
          <w:ilvl w:val="0"/>
          <w:numId w:val="9"/>
        </w:numPr>
        <w:rPr>
          <w:szCs w:val="22"/>
          <w:lang w:val="es-CO"/>
        </w:rPr>
      </w:pPr>
      <w:r>
        <w:rPr>
          <w:szCs w:val="22"/>
          <w:lang w:val="es-CO"/>
        </w:rPr>
        <w:t xml:space="preserve">Plantas térmicas: el costo incremental del combustible, el costo incremental de administración, operación y mantenimiento </w:t>
      </w:r>
      <w:r w:rsidR="00930179">
        <w:rPr>
          <w:szCs w:val="22"/>
          <w:lang w:val="es-CO"/>
        </w:rPr>
        <w:t>y la eficiencia térmica de la planta.</w:t>
      </w:r>
    </w:p>
    <w:p w14:paraId="42BBD0AA" w14:textId="77777777" w:rsidR="00930179" w:rsidRPr="00930179" w:rsidRDefault="00930179" w:rsidP="00930179">
      <w:pPr>
        <w:rPr>
          <w:szCs w:val="22"/>
          <w:lang w:val="es-CO"/>
        </w:rPr>
      </w:pPr>
    </w:p>
    <w:p w14:paraId="0A72EE12" w14:textId="179BD84E" w:rsidR="00930179" w:rsidRDefault="00896472" w:rsidP="00DB1960">
      <w:pPr>
        <w:pStyle w:val="Prrafodelista"/>
        <w:numPr>
          <w:ilvl w:val="0"/>
          <w:numId w:val="9"/>
        </w:numPr>
        <w:rPr>
          <w:szCs w:val="22"/>
          <w:lang w:val="es-CO"/>
        </w:rPr>
      </w:pPr>
      <w:r>
        <w:rPr>
          <w:szCs w:val="22"/>
          <w:lang w:val="es-CO"/>
        </w:rPr>
        <w:t>Plantas hidráulicas: el costo de oportunidad (valor del agua) de generar en el momento de la oferta</w:t>
      </w:r>
      <w:r w:rsidR="00971521">
        <w:rPr>
          <w:szCs w:val="22"/>
          <w:lang w:val="es-CO"/>
        </w:rPr>
        <w:t xml:space="preserve">, teniendo en cuenta </w:t>
      </w:r>
      <w:r w:rsidR="00316621">
        <w:rPr>
          <w:szCs w:val="22"/>
          <w:lang w:val="es-CO"/>
        </w:rPr>
        <w:t>la operación económica a mediano y largo plazo del SIN.</w:t>
      </w:r>
    </w:p>
    <w:p w14:paraId="62FEAE62" w14:textId="77777777" w:rsidR="0064195E" w:rsidRPr="0064195E" w:rsidRDefault="0064195E" w:rsidP="0064195E">
      <w:pPr>
        <w:pStyle w:val="Prrafodelista"/>
        <w:rPr>
          <w:szCs w:val="22"/>
          <w:lang w:val="es-CO"/>
        </w:rPr>
      </w:pPr>
    </w:p>
    <w:p w14:paraId="3FCE28C4" w14:textId="14981BBC" w:rsidR="0064195E" w:rsidRDefault="0064195E" w:rsidP="00DB1960">
      <w:pPr>
        <w:pStyle w:val="Prrafodelista"/>
        <w:numPr>
          <w:ilvl w:val="0"/>
          <w:numId w:val="9"/>
        </w:numPr>
        <w:rPr>
          <w:szCs w:val="22"/>
          <w:lang w:val="es-CO"/>
        </w:rPr>
      </w:pPr>
      <w:r>
        <w:rPr>
          <w:szCs w:val="22"/>
          <w:lang w:val="es-CO"/>
        </w:rPr>
        <w:t xml:space="preserve">Plantas de </w:t>
      </w:r>
      <w:r w:rsidR="00971521">
        <w:rPr>
          <w:szCs w:val="22"/>
          <w:lang w:val="es-CO"/>
        </w:rPr>
        <w:t xml:space="preserve">generación variable: </w:t>
      </w:r>
      <w:r w:rsidR="0072309B">
        <w:rPr>
          <w:szCs w:val="22"/>
          <w:lang w:val="es-CO"/>
        </w:rPr>
        <w:t>los costos de oportunidad de generar en el momento d</w:t>
      </w:r>
      <w:r w:rsidR="00AC0637">
        <w:rPr>
          <w:szCs w:val="22"/>
          <w:lang w:val="es-CO"/>
        </w:rPr>
        <w:t xml:space="preserve">e la oferta, teniendo en cuenta la operación económica </w:t>
      </w:r>
      <w:r w:rsidR="00B07E32">
        <w:rPr>
          <w:szCs w:val="22"/>
          <w:lang w:val="es-CO"/>
        </w:rPr>
        <w:t>para el día de operación del SIN.</w:t>
      </w:r>
    </w:p>
    <w:p w14:paraId="045FAC2F" w14:textId="77777777" w:rsidR="00B07E32" w:rsidRPr="00B07E32" w:rsidRDefault="00B07E32" w:rsidP="00B07E32">
      <w:pPr>
        <w:pStyle w:val="Prrafodelista"/>
        <w:rPr>
          <w:szCs w:val="22"/>
          <w:lang w:val="es-CO"/>
        </w:rPr>
      </w:pPr>
    </w:p>
    <w:p w14:paraId="26E6EEB0" w14:textId="36A4C84B" w:rsidR="00B07E32" w:rsidRDefault="00B07E32" w:rsidP="00B07E32">
      <w:pPr>
        <w:rPr>
          <w:szCs w:val="22"/>
          <w:lang w:val="es-CO"/>
        </w:rPr>
      </w:pPr>
      <w:r>
        <w:rPr>
          <w:szCs w:val="22"/>
          <w:lang w:val="es-CO"/>
        </w:rPr>
        <w:t xml:space="preserve">Además, </w:t>
      </w:r>
      <w:r w:rsidR="003973C9">
        <w:rPr>
          <w:szCs w:val="22"/>
          <w:lang w:val="es-CO"/>
        </w:rPr>
        <w:t xml:space="preserve">en lo que respecta al riesgo, </w:t>
      </w:r>
      <w:r>
        <w:rPr>
          <w:szCs w:val="22"/>
          <w:lang w:val="es-CO"/>
        </w:rPr>
        <w:t xml:space="preserve">en la </w:t>
      </w:r>
      <w:r w:rsidR="00FD310B">
        <w:rPr>
          <w:szCs w:val="22"/>
          <w:lang w:val="es-CO"/>
        </w:rPr>
        <w:t xml:space="preserve">Resolución CREG 024 de 1995, </w:t>
      </w:r>
      <w:r w:rsidR="003973C9">
        <w:rPr>
          <w:szCs w:val="22"/>
          <w:lang w:val="es-CO"/>
        </w:rPr>
        <w:t xml:space="preserve">modificada </w:t>
      </w:r>
      <w:r w:rsidR="00A442B8">
        <w:rPr>
          <w:szCs w:val="22"/>
          <w:lang w:val="es-CO"/>
        </w:rPr>
        <w:t>por la Resolución CREG 101 018</w:t>
      </w:r>
      <w:r w:rsidR="00A12662">
        <w:rPr>
          <w:szCs w:val="22"/>
          <w:lang w:val="es-CO"/>
        </w:rPr>
        <w:t xml:space="preserve"> de 2013, estable lo siguiente:</w:t>
      </w:r>
    </w:p>
    <w:p w14:paraId="4E297651" w14:textId="77777777" w:rsidR="00A12662" w:rsidRDefault="00A12662" w:rsidP="00B07E32">
      <w:pPr>
        <w:rPr>
          <w:szCs w:val="22"/>
          <w:lang w:val="es-CO"/>
        </w:rPr>
      </w:pPr>
    </w:p>
    <w:p w14:paraId="743BC970" w14:textId="3A0246C0" w:rsidR="005B5815" w:rsidRDefault="005B5815" w:rsidP="005B5815">
      <w:pPr>
        <w:ind w:left="708"/>
        <w:rPr>
          <w:i/>
          <w:iCs/>
          <w:szCs w:val="22"/>
          <w:lang w:val="es-CO"/>
        </w:rPr>
      </w:pPr>
      <w:r>
        <w:rPr>
          <w:i/>
          <w:iCs/>
          <w:szCs w:val="22"/>
          <w:lang w:val="es-CO"/>
        </w:rPr>
        <w:t>“</w:t>
      </w:r>
      <w:r w:rsidRPr="005B5815">
        <w:rPr>
          <w:i/>
          <w:iCs/>
          <w:szCs w:val="22"/>
          <w:lang w:val="es-CO"/>
        </w:rPr>
        <w:t>La oferta de precios en la Bolsa de Energía se hará de acuerdo con la Resolución CREG </w:t>
      </w:r>
      <w:hyperlink r:id="rId17" w:anchor="0" w:tgtFrame="_blank" w:history="1">
        <w:r w:rsidRPr="005B5815">
          <w:rPr>
            <w:i/>
            <w:iCs/>
            <w:szCs w:val="22"/>
            <w:lang w:val="es-CO"/>
          </w:rPr>
          <w:t>055</w:t>
        </w:r>
      </w:hyperlink>
      <w:r w:rsidRPr="005B5815">
        <w:rPr>
          <w:i/>
          <w:iCs/>
          <w:szCs w:val="22"/>
          <w:lang w:val="es-CO"/>
        </w:rPr>
        <w:t xml:space="preserve"> de 1994, o demás normas que la modifiquen o sustituyan. Sin embargo, para verificar si las cotizaciones de los generadores siguen el criterio definido en la resolución mencionada, la Comisión tomará en cuenta que los </w:t>
      </w:r>
      <w:r w:rsidRPr="005B5815">
        <w:rPr>
          <w:i/>
          <w:iCs/>
          <w:szCs w:val="22"/>
          <w:lang w:val="es-CO"/>
        </w:rPr>
        <w:lastRenderedPageBreak/>
        <w:t>precios serán flexibles e incluirán el efecto de la incertidumbre y las diferentes percepciones de riesgo de los generadores.</w:t>
      </w:r>
    </w:p>
    <w:p w14:paraId="46CF4BC8" w14:textId="77777777" w:rsidR="005B5815" w:rsidRPr="005B5815" w:rsidRDefault="005B5815" w:rsidP="005B5815">
      <w:pPr>
        <w:ind w:left="708"/>
        <w:rPr>
          <w:i/>
          <w:iCs/>
          <w:szCs w:val="22"/>
          <w:lang w:val="es-CO"/>
        </w:rPr>
      </w:pPr>
    </w:p>
    <w:p w14:paraId="34ABB4CA" w14:textId="77777777" w:rsidR="005B5815" w:rsidRPr="005B5815" w:rsidRDefault="005B5815" w:rsidP="005B5815">
      <w:pPr>
        <w:ind w:left="708"/>
        <w:rPr>
          <w:i/>
          <w:iCs/>
          <w:szCs w:val="22"/>
          <w:lang w:val="es-CO"/>
        </w:rPr>
      </w:pPr>
      <w:r w:rsidRPr="005B5815">
        <w:rPr>
          <w:i/>
          <w:iCs/>
          <w:szCs w:val="22"/>
          <w:lang w:val="es-CO"/>
        </w:rPr>
        <w:t>La incertidumbre y las diferentes percepciones de riesgo deberán estar fundamentadas en criterios objetivos, ya sea de análisis de los agentes basados en los fundamentales de los costos de generación, y/o tendencias históricas, observaciones o pronósticos de entidades de reconocida independencia a nivel nacional o internacional, tales como: Instituto de Hidrología, Meteorología y Estudios Ambientales -IDEAM, Operador del sistema y administrador del mercado -XM S.A. E.S.P., Unidad de Planeación Minero–Energética -UPME, Administración Atmosférica y Oceánica de los Estados Unidos – NOAA, entre otros.”</w:t>
      </w:r>
    </w:p>
    <w:p w14:paraId="2FA93741" w14:textId="77777777" w:rsidR="00A12662" w:rsidRDefault="00A12662" w:rsidP="00B07E32">
      <w:pPr>
        <w:rPr>
          <w:szCs w:val="22"/>
          <w:lang w:val="es-CO"/>
        </w:rPr>
      </w:pPr>
    </w:p>
    <w:p w14:paraId="1EECC5EF" w14:textId="78BEB14D" w:rsidR="00506712" w:rsidRDefault="001B13BD" w:rsidP="00B07E32">
      <w:pPr>
        <w:rPr>
          <w:szCs w:val="22"/>
          <w:lang w:val="es-CO"/>
        </w:rPr>
      </w:pPr>
      <w:r>
        <w:rPr>
          <w:szCs w:val="22"/>
          <w:lang w:val="es-CO"/>
        </w:rPr>
        <w:t xml:space="preserve">Con respecto al </w:t>
      </w:r>
      <w:r>
        <w:rPr>
          <w:rFonts w:cs="Arial"/>
          <w:szCs w:val="22"/>
          <w:lang w:val="es-CO"/>
        </w:rPr>
        <w:t>∆</w:t>
      </w:r>
      <w:r w:rsidR="00290864">
        <w:rPr>
          <w:szCs w:val="22"/>
          <w:lang w:val="es-CO"/>
        </w:rPr>
        <w:t xml:space="preserve">I, reglamentado inicialmente con la Resolución CREG 051 de 2009, </w:t>
      </w:r>
      <w:r w:rsidR="000A0DE1">
        <w:rPr>
          <w:szCs w:val="22"/>
          <w:lang w:val="es-CO"/>
        </w:rPr>
        <w:t>modificado por la Resolución CREG 101 028</w:t>
      </w:r>
      <w:r w:rsidR="006A19DC">
        <w:rPr>
          <w:szCs w:val="22"/>
          <w:lang w:val="es-CO"/>
        </w:rPr>
        <w:t xml:space="preserve"> de 2022, se estable</w:t>
      </w:r>
      <w:r w:rsidR="00A24AB3">
        <w:rPr>
          <w:szCs w:val="22"/>
          <w:lang w:val="es-CO"/>
        </w:rPr>
        <w:t xml:space="preserve"> que est</w:t>
      </w:r>
      <w:r w:rsidR="003C5EE1">
        <w:rPr>
          <w:szCs w:val="22"/>
          <w:lang w:val="es-CO"/>
        </w:rPr>
        <w:t>e</w:t>
      </w:r>
      <w:r w:rsidR="00A24AB3">
        <w:rPr>
          <w:szCs w:val="22"/>
          <w:lang w:val="es-CO"/>
        </w:rPr>
        <w:t xml:space="preserve"> valor surge </w:t>
      </w:r>
      <w:r w:rsidR="00B63CDB">
        <w:rPr>
          <w:szCs w:val="22"/>
          <w:lang w:val="es-CO"/>
        </w:rPr>
        <w:t xml:space="preserve">para </w:t>
      </w:r>
      <w:r w:rsidR="00A24AB3">
        <w:rPr>
          <w:szCs w:val="22"/>
          <w:lang w:val="es-CO"/>
        </w:rPr>
        <w:t>las plantas térmicas</w:t>
      </w:r>
      <w:r w:rsidR="00B63CDB">
        <w:rPr>
          <w:szCs w:val="22"/>
          <w:lang w:val="es-CO"/>
        </w:rPr>
        <w:t xml:space="preserve"> </w:t>
      </w:r>
      <w:r w:rsidR="003C5EE1">
        <w:rPr>
          <w:szCs w:val="22"/>
          <w:lang w:val="es-CO"/>
        </w:rPr>
        <w:t xml:space="preserve">que </w:t>
      </w:r>
      <w:r w:rsidR="00EE485D">
        <w:rPr>
          <w:szCs w:val="22"/>
          <w:lang w:val="es-CO"/>
        </w:rPr>
        <w:t xml:space="preserve">salen en el despacho ideal y cuyos </w:t>
      </w:r>
      <w:r w:rsidR="005353A1">
        <w:rPr>
          <w:szCs w:val="22"/>
          <w:lang w:val="es-CO"/>
        </w:rPr>
        <w:t>costos de operación</w:t>
      </w:r>
      <w:r w:rsidR="00EE485D">
        <w:rPr>
          <w:szCs w:val="22"/>
          <w:lang w:val="es-CO"/>
        </w:rPr>
        <w:t xml:space="preserve"> en el día son</w:t>
      </w:r>
      <w:r w:rsidR="005353A1">
        <w:rPr>
          <w:szCs w:val="22"/>
          <w:lang w:val="es-CO"/>
        </w:rPr>
        <w:t xml:space="preserve"> superior a los ingresos por MPO</w:t>
      </w:r>
      <w:r w:rsidR="00EE485D">
        <w:rPr>
          <w:szCs w:val="22"/>
          <w:lang w:val="es-CO"/>
        </w:rPr>
        <w:t xml:space="preserve"> </w:t>
      </w:r>
      <w:r w:rsidR="005D5FB8">
        <w:rPr>
          <w:szCs w:val="22"/>
          <w:lang w:val="es-CO"/>
        </w:rPr>
        <w:t xml:space="preserve">para </w:t>
      </w:r>
      <w:r w:rsidR="00EE485D">
        <w:rPr>
          <w:szCs w:val="22"/>
          <w:lang w:val="es-CO"/>
        </w:rPr>
        <w:t>el día</w:t>
      </w:r>
      <w:r w:rsidR="00CC10B5">
        <w:rPr>
          <w:szCs w:val="22"/>
          <w:lang w:val="es-CO"/>
        </w:rPr>
        <w:t xml:space="preserve">. En la siguiente ilustración se muestra las ecuaciones </w:t>
      </w:r>
      <w:r w:rsidR="00A83B15">
        <w:rPr>
          <w:szCs w:val="22"/>
          <w:lang w:val="es-CO"/>
        </w:rPr>
        <w:t xml:space="preserve">y la explicación gráfica del </w:t>
      </w:r>
      <w:r w:rsidR="00A83B15">
        <w:rPr>
          <w:rFonts w:cs="Arial"/>
          <w:szCs w:val="22"/>
          <w:lang w:val="es-CO"/>
        </w:rPr>
        <w:t>∆</w:t>
      </w:r>
      <w:r w:rsidR="00A83B15">
        <w:rPr>
          <w:szCs w:val="22"/>
          <w:lang w:val="es-CO"/>
        </w:rPr>
        <w:t>I.</w:t>
      </w:r>
    </w:p>
    <w:p w14:paraId="1C7448EA" w14:textId="77777777" w:rsidR="00A66694" w:rsidRDefault="00A66694" w:rsidP="00B07E32">
      <w:pPr>
        <w:rPr>
          <w:szCs w:val="22"/>
          <w:lang w:val="es-CO"/>
        </w:rPr>
      </w:pPr>
    </w:p>
    <w:tbl>
      <w:tblPr>
        <w:tblStyle w:val="Tablaconcuadrcula"/>
        <w:tblW w:w="0" w:type="auto"/>
        <w:tblLook w:val="04A0" w:firstRow="1" w:lastRow="0" w:firstColumn="1" w:lastColumn="0" w:noHBand="0" w:noVBand="1"/>
      </w:tblPr>
      <w:tblGrid>
        <w:gridCol w:w="4698"/>
        <w:gridCol w:w="4698"/>
      </w:tblGrid>
      <w:tr w:rsidR="005D5FB8" w14:paraId="46401032" w14:textId="77777777" w:rsidTr="005D5FB8">
        <w:tc>
          <w:tcPr>
            <w:tcW w:w="4698" w:type="dxa"/>
          </w:tcPr>
          <w:p w14:paraId="415F88E4" w14:textId="4088D27D" w:rsidR="005D5FB8" w:rsidRDefault="005D5FB8" w:rsidP="00B07E32">
            <w:pPr>
              <w:rPr>
                <w:szCs w:val="22"/>
                <w:lang w:val="es-CO"/>
              </w:rPr>
            </w:pPr>
            <w:r w:rsidRPr="005D5FB8">
              <w:rPr>
                <w:noProof/>
                <w:szCs w:val="22"/>
              </w:rPr>
              <w:drawing>
                <wp:inline distT="0" distB="0" distL="0" distR="0" wp14:anchorId="5BFFDF66" wp14:editId="1DAFE2E6">
                  <wp:extent cx="2743200" cy="1617747"/>
                  <wp:effectExtent l="0" t="0" r="0" b="1905"/>
                  <wp:docPr id="312485783" name="Gráfico 31248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85783"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747615" cy="1620351"/>
                          </a:xfrm>
                          <a:prstGeom prst="rect">
                            <a:avLst/>
                          </a:prstGeom>
                        </pic:spPr>
                      </pic:pic>
                    </a:graphicData>
                  </a:graphic>
                </wp:inline>
              </w:drawing>
            </w:r>
          </w:p>
        </w:tc>
        <w:tc>
          <w:tcPr>
            <w:tcW w:w="4698" w:type="dxa"/>
          </w:tcPr>
          <w:p w14:paraId="091358BD" w14:textId="39448877" w:rsidR="005D5FB8" w:rsidRDefault="00237D89" w:rsidP="00B07E32">
            <w:pPr>
              <w:rPr>
                <w:szCs w:val="22"/>
                <w:lang w:val="es-CO"/>
              </w:rPr>
            </w:pPr>
            <w:r w:rsidRPr="00237D89">
              <w:rPr>
                <w:noProof/>
                <w:szCs w:val="22"/>
              </w:rPr>
              <w:drawing>
                <wp:inline distT="0" distB="0" distL="0" distR="0" wp14:anchorId="153416C6" wp14:editId="5A6405AC">
                  <wp:extent cx="2601319" cy="1889436"/>
                  <wp:effectExtent l="0" t="0" r="8890" b="0"/>
                  <wp:docPr id="543887355" name="Gráfico 54388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87355"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604263" cy="1891574"/>
                          </a:xfrm>
                          <a:prstGeom prst="rect">
                            <a:avLst/>
                          </a:prstGeom>
                        </pic:spPr>
                      </pic:pic>
                    </a:graphicData>
                  </a:graphic>
                </wp:inline>
              </w:drawing>
            </w:r>
          </w:p>
        </w:tc>
      </w:tr>
    </w:tbl>
    <w:p w14:paraId="6EC8AC74" w14:textId="23AACCBB" w:rsidR="00A83B15" w:rsidRDefault="00A83B15" w:rsidP="00A358A1">
      <w:pPr>
        <w:pStyle w:val="Descripcin"/>
        <w:jc w:val="center"/>
      </w:pPr>
      <w:bookmarkStart w:id="12" w:name="_Toc153876869"/>
      <w:r>
        <w:t xml:space="preserve">Ilustración </w:t>
      </w:r>
      <w:r>
        <w:fldChar w:fldCharType="begin"/>
      </w:r>
      <w:r>
        <w:instrText xml:space="preserve"> SEQ Ilustración \* ARABIC </w:instrText>
      </w:r>
      <w:r>
        <w:fldChar w:fldCharType="separate"/>
      </w:r>
      <w:r w:rsidR="004B57FF">
        <w:rPr>
          <w:noProof/>
        </w:rPr>
        <w:t>4</w:t>
      </w:r>
      <w:r>
        <w:fldChar w:fldCharType="end"/>
      </w:r>
      <w:r>
        <w:t>. Determin</w:t>
      </w:r>
      <w:r w:rsidR="00A358A1">
        <w:t xml:space="preserve">ación del </w:t>
      </w:r>
      <w:r w:rsidR="00A358A1">
        <w:rPr>
          <w:rFonts w:cs="Arial"/>
        </w:rPr>
        <w:t>∆</w:t>
      </w:r>
      <w:r w:rsidR="00A358A1">
        <w:t>I</w:t>
      </w:r>
      <w:bookmarkEnd w:id="12"/>
    </w:p>
    <w:p w14:paraId="44998B44" w14:textId="77777777" w:rsidR="00A83B15" w:rsidRDefault="00A83B15" w:rsidP="00B07E32">
      <w:pPr>
        <w:rPr>
          <w:szCs w:val="22"/>
          <w:lang w:val="es-CO"/>
        </w:rPr>
      </w:pPr>
    </w:p>
    <w:p w14:paraId="13B05282" w14:textId="035242B0" w:rsidR="00A66694" w:rsidRDefault="00A66694" w:rsidP="00A66694">
      <w:pPr>
        <w:pStyle w:val="Ttulo2"/>
        <w:numPr>
          <w:ilvl w:val="1"/>
          <w:numId w:val="1"/>
        </w:numPr>
        <w:ind w:left="567" w:hanging="567"/>
      </w:pPr>
      <w:bookmarkStart w:id="13" w:name="_Toc153876838"/>
      <w:r>
        <w:t>Reconciliación positiva</w:t>
      </w:r>
      <w:bookmarkEnd w:id="13"/>
    </w:p>
    <w:p w14:paraId="7FEB6A54" w14:textId="1C186738" w:rsidR="00A66694" w:rsidRDefault="00B87824" w:rsidP="00B07E32">
      <w:pPr>
        <w:rPr>
          <w:szCs w:val="22"/>
          <w:lang w:val="es-CO"/>
        </w:rPr>
      </w:pPr>
      <w:r>
        <w:rPr>
          <w:szCs w:val="22"/>
          <w:lang w:val="es-CO"/>
        </w:rPr>
        <w:t xml:space="preserve">La reconciliación positiva se paga a aquellas plantas de generación </w:t>
      </w:r>
      <w:r w:rsidR="00055330">
        <w:rPr>
          <w:szCs w:val="22"/>
          <w:lang w:val="es-CO"/>
        </w:rPr>
        <w:t xml:space="preserve">que no salen en mérito en el despacho ideal y que se requieren para atender la </w:t>
      </w:r>
      <w:r w:rsidR="000007AC">
        <w:rPr>
          <w:szCs w:val="22"/>
          <w:lang w:val="es-CO"/>
        </w:rPr>
        <w:t xml:space="preserve">demanda. La generación de seguridad se da por los problemas de restricciones que se tienen </w:t>
      </w:r>
      <w:r w:rsidR="007C50CD">
        <w:rPr>
          <w:szCs w:val="22"/>
          <w:lang w:val="es-CO"/>
        </w:rPr>
        <w:t xml:space="preserve">en </w:t>
      </w:r>
      <w:r w:rsidR="000007AC">
        <w:rPr>
          <w:szCs w:val="22"/>
          <w:lang w:val="es-CO"/>
        </w:rPr>
        <w:t>el sistema, principalmente problemas de redes.</w:t>
      </w:r>
    </w:p>
    <w:p w14:paraId="6A4C358E" w14:textId="77777777" w:rsidR="00966F28" w:rsidRDefault="00966F28" w:rsidP="00B07E32">
      <w:pPr>
        <w:rPr>
          <w:szCs w:val="22"/>
          <w:lang w:val="es-CO"/>
        </w:rPr>
      </w:pPr>
    </w:p>
    <w:p w14:paraId="4C9BF30B" w14:textId="741796CB" w:rsidR="00966F28" w:rsidRDefault="00966F28" w:rsidP="00B07E32">
      <w:pPr>
        <w:rPr>
          <w:szCs w:val="22"/>
          <w:lang w:val="es-CO"/>
        </w:rPr>
      </w:pPr>
      <w:r>
        <w:rPr>
          <w:szCs w:val="22"/>
          <w:lang w:val="es-CO"/>
        </w:rPr>
        <w:t xml:space="preserve">La Resolución CREG 034 de 2001, modificada por la Resolución CREG 044 de 2020, define la metodología para el pago de </w:t>
      </w:r>
      <w:r w:rsidR="00B44F95">
        <w:rPr>
          <w:szCs w:val="22"/>
          <w:lang w:val="es-CO"/>
        </w:rPr>
        <w:t xml:space="preserve">las plantas de generación que se despachan por seguridad. </w:t>
      </w:r>
      <w:r w:rsidR="004C350E">
        <w:rPr>
          <w:szCs w:val="22"/>
          <w:lang w:val="es-CO"/>
        </w:rPr>
        <w:t xml:space="preserve">En lo que respecta a las plantas térmicas, la citada norma define </w:t>
      </w:r>
      <w:r w:rsidR="0072543C">
        <w:rPr>
          <w:szCs w:val="22"/>
          <w:lang w:val="es-CO"/>
        </w:rPr>
        <w:t>la siguiente formula:</w:t>
      </w:r>
    </w:p>
    <w:p w14:paraId="64589567" w14:textId="77777777" w:rsidR="0072543C" w:rsidRDefault="0072543C" w:rsidP="00B07E32">
      <w:pPr>
        <w:rPr>
          <w:szCs w:val="22"/>
          <w:lang w:val="es-CO"/>
        </w:rPr>
      </w:pPr>
    </w:p>
    <w:p w14:paraId="0300494C" w14:textId="77777777" w:rsidR="0072543C" w:rsidRDefault="0072543C" w:rsidP="00B07E32">
      <w:pPr>
        <w:rPr>
          <w:szCs w:val="22"/>
          <w:lang w:val="es-CO"/>
        </w:rPr>
      </w:pPr>
    </w:p>
    <w:p w14:paraId="61F373F9" w14:textId="208C82F9" w:rsidR="00A66694" w:rsidRDefault="00BF7848" w:rsidP="00B07E32">
      <w:pPr>
        <w:rPr>
          <w:szCs w:val="22"/>
          <w:lang w:val="es-CO"/>
        </w:rPr>
      </w:pPr>
      <w:r w:rsidRPr="00BF7848">
        <w:rPr>
          <w:noProof/>
          <w:szCs w:val="22"/>
        </w:rPr>
        <w:lastRenderedPageBreak/>
        <w:drawing>
          <wp:inline distT="0" distB="0" distL="0" distR="0" wp14:anchorId="49893B3C" wp14:editId="589DE2A5">
            <wp:extent cx="5972810" cy="2144395"/>
            <wp:effectExtent l="0" t="0" r="0" b="0"/>
            <wp:docPr id="1052916553" name="Gráfico 105291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16553"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972810" cy="2144395"/>
                    </a:xfrm>
                    <a:prstGeom prst="rect">
                      <a:avLst/>
                    </a:prstGeom>
                  </pic:spPr>
                </pic:pic>
              </a:graphicData>
            </a:graphic>
          </wp:inline>
        </w:drawing>
      </w:r>
    </w:p>
    <w:p w14:paraId="64652B0F" w14:textId="77777777" w:rsidR="00A66694" w:rsidRDefault="00A66694" w:rsidP="00B07E32">
      <w:pPr>
        <w:rPr>
          <w:szCs w:val="22"/>
          <w:lang w:val="es-CO"/>
        </w:rPr>
      </w:pPr>
    </w:p>
    <w:p w14:paraId="4FED7820" w14:textId="14B0B958" w:rsidR="00DA1CA5" w:rsidRDefault="00DA1CA5" w:rsidP="00B07E32">
      <w:pPr>
        <w:rPr>
          <w:szCs w:val="22"/>
          <w:lang w:val="es-CO"/>
        </w:rPr>
      </w:pPr>
      <w:r>
        <w:rPr>
          <w:szCs w:val="22"/>
          <w:lang w:val="es-CO"/>
        </w:rPr>
        <w:t>Los valores de CSC y CTC son valores que se auditar para verificar que reflejan los costos de los contratos.</w:t>
      </w:r>
    </w:p>
    <w:p w14:paraId="08BBC888" w14:textId="77777777" w:rsidR="00DA1CA5" w:rsidRDefault="00DA1CA5" w:rsidP="00B07E32">
      <w:pPr>
        <w:rPr>
          <w:szCs w:val="22"/>
          <w:lang w:val="es-CO"/>
        </w:rPr>
      </w:pPr>
    </w:p>
    <w:p w14:paraId="472718AA" w14:textId="77777777" w:rsidR="00A66694" w:rsidRDefault="00A66694" w:rsidP="00B07E32">
      <w:pPr>
        <w:rPr>
          <w:szCs w:val="22"/>
          <w:lang w:val="es-CO"/>
        </w:rPr>
      </w:pPr>
    </w:p>
    <w:p w14:paraId="57FD9DDD" w14:textId="1346A974" w:rsidR="00A66694" w:rsidRDefault="00A66694" w:rsidP="00A66694">
      <w:pPr>
        <w:pStyle w:val="Ttulo2"/>
        <w:numPr>
          <w:ilvl w:val="1"/>
          <w:numId w:val="1"/>
        </w:numPr>
        <w:ind w:left="567" w:hanging="567"/>
      </w:pPr>
      <w:bookmarkStart w:id="14" w:name="_Toc153876839"/>
      <w:r>
        <w:t>Cargo por Confiabilidad</w:t>
      </w:r>
      <w:bookmarkEnd w:id="14"/>
    </w:p>
    <w:p w14:paraId="013D7F0C" w14:textId="603517F3" w:rsidR="00712FFF" w:rsidRDefault="00E37460" w:rsidP="00712FFF">
      <w:r>
        <w:t>El Cargo por Confiabilidad</w:t>
      </w:r>
      <w:r w:rsidR="001A4AB5">
        <w:t xml:space="preserve"> que es mecanismo mediante el cual se asegura la confiabilidad en el suministro de energía para atender la demanda, </w:t>
      </w:r>
      <w:r w:rsidR="001F2FD2">
        <w:t xml:space="preserve">tiene reglas definidas en la Resolución CREG 071 de 2006 </w:t>
      </w:r>
      <w:r w:rsidR="00FC1124">
        <w:t>con las cuales el agente que participó en la asignación de Obligaciones de Energía Firme</w:t>
      </w:r>
      <w:r w:rsidR="00BF7C18">
        <w:t xml:space="preserve"> </w:t>
      </w:r>
      <w:r w:rsidR="00151CB9">
        <w:t xml:space="preserve">(OEF) </w:t>
      </w:r>
      <w:r w:rsidR="00BF7C18">
        <w:t>y con las cuales se definió la remuneración del cargo o prima.</w:t>
      </w:r>
    </w:p>
    <w:p w14:paraId="75C4AE92" w14:textId="77777777" w:rsidR="00642321" w:rsidRDefault="00642321" w:rsidP="00712FFF"/>
    <w:p w14:paraId="23242A99" w14:textId="4BC98150" w:rsidR="00642321" w:rsidRDefault="00642321" w:rsidP="00712FFF">
      <w:r>
        <w:t>Dentro de la</w:t>
      </w:r>
      <w:r w:rsidR="00175D5B">
        <w:t>s</w:t>
      </w:r>
      <w:r>
        <w:t xml:space="preserve"> reglas</w:t>
      </w:r>
      <w:r w:rsidR="00175D5B">
        <w:t xml:space="preserve"> del Cargo por Confiabilidad, </w:t>
      </w:r>
      <w:r w:rsidR="00151CB9">
        <w:t>destacamos</w:t>
      </w:r>
      <w:r w:rsidR="00A45ECD">
        <w:t xml:space="preserve"> en forma general</w:t>
      </w:r>
      <w:r w:rsidR="00151CB9">
        <w:t xml:space="preserve"> las que aplican cuando se hacen exigibles las </w:t>
      </w:r>
      <w:r w:rsidR="004807F7">
        <w:t>OEF</w:t>
      </w:r>
      <w:r w:rsidR="00E8709B">
        <w:t>:</w:t>
      </w:r>
    </w:p>
    <w:p w14:paraId="3DD4EAF1" w14:textId="77777777" w:rsidR="00E8709B" w:rsidRDefault="00E8709B" w:rsidP="00712FFF"/>
    <w:p w14:paraId="118359C4" w14:textId="6D14642A" w:rsidR="00E8709B" w:rsidRDefault="00873CB1" w:rsidP="00DB1960">
      <w:pPr>
        <w:pStyle w:val="Prrafodelista"/>
        <w:numPr>
          <w:ilvl w:val="0"/>
          <w:numId w:val="11"/>
        </w:numPr>
      </w:pPr>
      <w:r>
        <w:t xml:space="preserve">Cuando el precio nacional de bolsa </w:t>
      </w:r>
      <w:r w:rsidR="00877756">
        <w:t xml:space="preserve">(PBN) </w:t>
      </w:r>
      <w:r w:rsidR="00073818">
        <w:t>sea superior al precio de escasez</w:t>
      </w:r>
      <w:r w:rsidR="00073818">
        <w:rPr>
          <w:rStyle w:val="Refdenotaalpie"/>
        </w:rPr>
        <w:footnoteReference w:id="3"/>
      </w:r>
      <w:r w:rsidR="00073818">
        <w:t xml:space="preserve"> se ejercen las OEF.</w:t>
      </w:r>
    </w:p>
    <w:p w14:paraId="0EE29E66" w14:textId="77777777" w:rsidR="005205AE" w:rsidRDefault="005205AE" w:rsidP="005205AE"/>
    <w:p w14:paraId="55451195" w14:textId="164BD6AC" w:rsidR="00BB6D91" w:rsidRDefault="007225F9" w:rsidP="00DB1960">
      <w:pPr>
        <w:pStyle w:val="Prrafodelista"/>
        <w:numPr>
          <w:ilvl w:val="0"/>
          <w:numId w:val="11"/>
        </w:numPr>
      </w:pPr>
      <w:r>
        <w:t>L</w:t>
      </w:r>
      <w:r w:rsidR="005205AE">
        <w:t>as desviaciones de OEF</w:t>
      </w:r>
      <w:r w:rsidR="008A27B9">
        <w:t xml:space="preserve"> </w:t>
      </w:r>
      <w:r w:rsidR="000B3BC2">
        <w:t>se pagan a PNB.</w:t>
      </w:r>
    </w:p>
    <w:p w14:paraId="0F7AC2EC" w14:textId="77777777" w:rsidR="003B7217" w:rsidRDefault="003B7217" w:rsidP="003B7217">
      <w:pPr>
        <w:pStyle w:val="Prrafodelista"/>
      </w:pPr>
    </w:p>
    <w:p w14:paraId="1EA733CB" w14:textId="1DEE98BB" w:rsidR="003B7217" w:rsidRDefault="00E90851" w:rsidP="00DB1960">
      <w:pPr>
        <w:pStyle w:val="Prrafodelista"/>
        <w:numPr>
          <w:ilvl w:val="0"/>
          <w:numId w:val="11"/>
        </w:numPr>
      </w:pPr>
      <w:r>
        <w:t>Las transacciones de compra – venta en bolsa se liquida</w:t>
      </w:r>
      <w:r w:rsidR="00D065C6">
        <w:t>n</w:t>
      </w:r>
      <w:r>
        <w:t xml:space="preserve"> al precio de escasez ponderado.</w:t>
      </w:r>
    </w:p>
    <w:p w14:paraId="0298E470" w14:textId="77777777" w:rsidR="00E90851" w:rsidRDefault="00E90851" w:rsidP="00E90851">
      <w:pPr>
        <w:pStyle w:val="Prrafodelista"/>
      </w:pPr>
    </w:p>
    <w:p w14:paraId="309C98A6" w14:textId="26BA3E9C" w:rsidR="00E90851" w:rsidRPr="00712FFF" w:rsidRDefault="002C6982" w:rsidP="00DB1960">
      <w:pPr>
        <w:pStyle w:val="Prrafodelista"/>
        <w:numPr>
          <w:ilvl w:val="0"/>
          <w:numId w:val="11"/>
        </w:numPr>
      </w:pPr>
      <w:r>
        <w:t xml:space="preserve">A los generadores se </w:t>
      </w:r>
      <w:r w:rsidR="00A45ECD">
        <w:t>le</w:t>
      </w:r>
      <w:r>
        <w:t xml:space="preserve"> remunera la energía al precio de escasez asociado a la asignación</w:t>
      </w:r>
      <w:r w:rsidR="00A45ECD">
        <w:t>.</w:t>
      </w:r>
    </w:p>
    <w:p w14:paraId="428D9B47" w14:textId="77777777" w:rsidR="00506712" w:rsidRDefault="00506712" w:rsidP="00B07E32">
      <w:pPr>
        <w:rPr>
          <w:szCs w:val="22"/>
          <w:lang w:val="es-CO"/>
        </w:rPr>
      </w:pPr>
    </w:p>
    <w:p w14:paraId="626BA26A" w14:textId="77777777" w:rsidR="00506712" w:rsidRDefault="00506712" w:rsidP="00B07E32">
      <w:pPr>
        <w:rPr>
          <w:szCs w:val="22"/>
          <w:lang w:val="es-CO"/>
        </w:rPr>
      </w:pPr>
    </w:p>
    <w:p w14:paraId="34FE1BBC" w14:textId="5813B6DE" w:rsidR="00681735" w:rsidRPr="00C562ED" w:rsidRDefault="00FA3131" w:rsidP="00681735">
      <w:pPr>
        <w:pStyle w:val="Ttulo1"/>
        <w:numPr>
          <w:ilvl w:val="0"/>
          <w:numId w:val="7"/>
        </w:numPr>
        <w:spacing w:after="0"/>
        <w:ind w:left="431" w:hanging="431"/>
        <w:rPr>
          <w:szCs w:val="21"/>
        </w:rPr>
      </w:pPr>
      <w:bookmarkStart w:id="15" w:name="_Toc153876840"/>
      <w:r>
        <w:rPr>
          <w:szCs w:val="21"/>
        </w:rPr>
        <w:t>SITUACIÓN ACTUAL</w:t>
      </w:r>
      <w:bookmarkEnd w:id="15"/>
    </w:p>
    <w:p w14:paraId="41F10446" w14:textId="77777777" w:rsidR="00681735" w:rsidRDefault="00681735" w:rsidP="00B07E32">
      <w:pPr>
        <w:rPr>
          <w:szCs w:val="22"/>
          <w:lang w:val="es-CO"/>
        </w:rPr>
      </w:pPr>
    </w:p>
    <w:p w14:paraId="6A0C5BEF" w14:textId="447B4822" w:rsidR="00972AB2" w:rsidRDefault="00972AB2" w:rsidP="00B07E32">
      <w:pPr>
        <w:rPr>
          <w:szCs w:val="22"/>
          <w:lang w:val="es-CO"/>
        </w:rPr>
      </w:pPr>
      <w:r>
        <w:rPr>
          <w:szCs w:val="22"/>
          <w:lang w:val="es-CO"/>
        </w:rPr>
        <w:lastRenderedPageBreak/>
        <w:t>Para tener una referencia sobre la situación actual, damos un repa</w:t>
      </w:r>
      <w:r w:rsidR="002918C5">
        <w:rPr>
          <w:szCs w:val="22"/>
          <w:lang w:val="es-CO"/>
        </w:rPr>
        <w:t>so sobre las principales variables del sector:</w:t>
      </w:r>
    </w:p>
    <w:p w14:paraId="2B561D0A" w14:textId="77777777" w:rsidR="00F25D91" w:rsidRDefault="00F25D91" w:rsidP="00B07E32">
      <w:pPr>
        <w:rPr>
          <w:szCs w:val="22"/>
          <w:lang w:val="es-CO"/>
        </w:rPr>
      </w:pPr>
    </w:p>
    <w:p w14:paraId="394267AD" w14:textId="4F55FB40" w:rsidR="00375872" w:rsidRDefault="000F6EB2" w:rsidP="00375872">
      <w:pPr>
        <w:pStyle w:val="Ttulo2"/>
        <w:numPr>
          <w:ilvl w:val="1"/>
          <w:numId w:val="1"/>
        </w:numPr>
        <w:ind w:left="567" w:hanging="567"/>
        <w:rPr>
          <w:szCs w:val="22"/>
          <w:lang w:val="es-CO"/>
        </w:rPr>
      </w:pPr>
      <w:bookmarkStart w:id="16" w:name="_Toc153876841"/>
      <w:r>
        <w:rPr>
          <w:szCs w:val="22"/>
          <w:lang w:val="es-CO"/>
        </w:rPr>
        <w:t xml:space="preserve">Comportamiento de los </w:t>
      </w:r>
      <w:r w:rsidR="000E1603">
        <w:rPr>
          <w:szCs w:val="22"/>
          <w:lang w:val="es-CO"/>
        </w:rPr>
        <w:t>fundamentales</w:t>
      </w:r>
      <w:bookmarkEnd w:id="16"/>
    </w:p>
    <w:p w14:paraId="2C6DB557" w14:textId="2700FAF0" w:rsidR="000B532B" w:rsidRDefault="000B532B" w:rsidP="00B07E32">
      <w:pPr>
        <w:rPr>
          <w:szCs w:val="22"/>
          <w:lang w:val="es-CO"/>
        </w:rPr>
      </w:pPr>
      <w:r>
        <w:rPr>
          <w:szCs w:val="22"/>
          <w:lang w:val="es-CO"/>
        </w:rPr>
        <w:t>Con respecto a los principales fundamentales, nos permitimos destacar los siguientes:</w:t>
      </w:r>
    </w:p>
    <w:p w14:paraId="15ADDD2E" w14:textId="77777777" w:rsidR="000B532B" w:rsidRDefault="000B532B" w:rsidP="00B07E32">
      <w:pPr>
        <w:rPr>
          <w:szCs w:val="22"/>
          <w:lang w:val="es-CO"/>
        </w:rPr>
      </w:pPr>
    </w:p>
    <w:p w14:paraId="72A2F9CF" w14:textId="27FBB34A" w:rsidR="006E4E4F" w:rsidRPr="0078605D" w:rsidRDefault="00471DB3" w:rsidP="0078605D">
      <w:pPr>
        <w:pStyle w:val="Ttulo3"/>
      </w:pPr>
      <w:bookmarkStart w:id="17" w:name="_Toc153876842"/>
      <w:r w:rsidRPr="0078605D">
        <w:t>Aportes</w:t>
      </w:r>
      <w:bookmarkEnd w:id="17"/>
    </w:p>
    <w:p w14:paraId="4E20BF8F" w14:textId="77777777" w:rsidR="00471DB3" w:rsidRDefault="00471DB3" w:rsidP="00B07E32">
      <w:pPr>
        <w:rPr>
          <w:szCs w:val="22"/>
          <w:lang w:val="es-CO"/>
        </w:rPr>
      </w:pPr>
    </w:p>
    <w:p w14:paraId="76B42D92" w14:textId="543DF6C2" w:rsidR="00FD3BDF" w:rsidRDefault="003243FE" w:rsidP="00B07E32">
      <w:pPr>
        <w:rPr>
          <w:szCs w:val="22"/>
          <w:lang w:val="es-CO"/>
        </w:rPr>
      </w:pPr>
      <w:r>
        <w:rPr>
          <w:szCs w:val="22"/>
          <w:lang w:val="es-CO"/>
        </w:rPr>
        <w:t>Pasamos de aportes por encima de media en el 2022</w:t>
      </w:r>
      <w:r w:rsidR="00A141F4">
        <w:rPr>
          <w:szCs w:val="22"/>
          <w:lang w:val="es-CO"/>
        </w:rPr>
        <w:t xml:space="preserve"> a aportes deficitarios en el 2023, por debajo de la media </w:t>
      </w:r>
      <w:r w:rsidR="00F421F7">
        <w:rPr>
          <w:szCs w:val="22"/>
          <w:lang w:val="es-CO"/>
        </w:rPr>
        <w:t xml:space="preserve">a partir de mayo, </w:t>
      </w:r>
      <w:r w:rsidR="006C6E4D">
        <w:rPr>
          <w:szCs w:val="22"/>
          <w:lang w:val="es-CO"/>
        </w:rPr>
        <w:t xml:space="preserve">siendo que en lo corrido del </w:t>
      </w:r>
      <w:r w:rsidR="008F3DD9">
        <w:rPr>
          <w:szCs w:val="22"/>
          <w:lang w:val="es-CO"/>
        </w:rPr>
        <w:t xml:space="preserve">mes de </w:t>
      </w:r>
      <w:r w:rsidR="006C6E4D">
        <w:rPr>
          <w:szCs w:val="22"/>
          <w:lang w:val="es-CO"/>
        </w:rPr>
        <w:t xml:space="preserve">diciembre han caída a </w:t>
      </w:r>
      <w:r w:rsidR="008F3DD9">
        <w:rPr>
          <w:szCs w:val="22"/>
          <w:lang w:val="es-CO"/>
        </w:rPr>
        <w:t>cerca del 50%</w:t>
      </w:r>
      <w:r w:rsidR="00ED001E">
        <w:rPr>
          <w:szCs w:val="22"/>
          <w:lang w:val="es-CO"/>
        </w:rPr>
        <w:t xml:space="preserve"> </w:t>
      </w:r>
      <w:r w:rsidR="005A6143">
        <w:rPr>
          <w:szCs w:val="22"/>
          <w:lang w:val="es-CO"/>
        </w:rPr>
        <w:t xml:space="preserve">de la media histórica </w:t>
      </w:r>
      <w:r w:rsidR="00ED001E">
        <w:rPr>
          <w:szCs w:val="22"/>
          <w:lang w:val="es-CO"/>
        </w:rPr>
        <w:t xml:space="preserve">que es un valor por debajo del </w:t>
      </w:r>
      <w:r w:rsidR="00DA4959">
        <w:rPr>
          <w:szCs w:val="22"/>
          <w:lang w:val="es-CO"/>
        </w:rPr>
        <w:t xml:space="preserve">percentil </w:t>
      </w:r>
      <w:r w:rsidR="00ED001E">
        <w:rPr>
          <w:szCs w:val="22"/>
          <w:lang w:val="es-CO"/>
        </w:rPr>
        <w:t>10%.</w:t>
      </w:r>
    </w:p>
    <w:p w14:paraId="7BBF7F31" w14:textId="118C940F" w:rsidR="00EB7E30" w:rsidRDefault="00FD3BDF" w:rsidP="008F3DD9">
      <w:pPr>
        <w:jc w:val="center"/>
        <w:rPr>
          <w:szCs w:val="22"/>
          <w:lang w:val="es-CO"/>
        </w:rPr>
      </w:pPr>
      <w:r>
        <w:rPr>
          <w:noProof/>
        </w:rPr>
        <w:drawing>
          <wp:inline distT="0" distB="0" distL="0" distR="0" wp14:anchorId="5918C828" wp14:editId="55E8B1ED">
            <wp:extent cx="4436828" cy="2675965"/>
            <wp:effectExtent l="0" t="0" r="1905" b="0"/>
            <wp:docPr id="1700490350" name="Gráfico 170049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90350"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438201" cy="2676793"/>
                    </a:xfrm>
                    <a:prstGeom prst="rect">
                      <a:avLst/>
                    </a:prstGeom>
                  </pic:spPr>
                </pic:pic>
              </a:graphicData>
            </a:graphic>
          </wp:inline>
        </w:drawing>
      </w:r>
    </w:p>
    <w:p w14:paraId="40094DAC" w14:textId="43D44D25" w:rsidR="00110A15" w:rsidRDefault="00110A15" w:rsidP="003243FE">
      <w:pPr>
        <w:pStyle w:val="Descripcin"/>
        <w:jc w:val="center"/>
        <w:rPr>
          <w:szCs w:val="22"/>
          <w:lang w:val="es-CO"/>
        </w:rPr>
      </w:pPr>
      <w:bookmarkStart w:id="18" w:name="_Toc153876870"/>
      <w:r>
        <w:t xml:space="preserve">Ilustración </w:t>
      </w:r>
      <w:r>
        <w:fldChar w:fldCharType="begin"/>
      </w:r>
      <w:r>
        <w:instrText xml:space="preserve"> SEQ Ilustración \* ARABIC </w:instrText>
      </w:r>
      <w:r>
        <w:fldChar w:fldCharType="separate"/>
      </w:r>
      <w:r w:rsidR="004B57FF">
        <w:rPr>
          <w:noProof/>
        </w:rPr>
        <w:t>5</w:t>
      </w:r>
      <w:r>
        <w:fldChar w:fldCharType="end"/>
      </w:r>
      <w:r>
        <w:t>: Aportes 2022</w:t>
      </w:r>
      <w:r w:rsidR="003243FE">
        <w:t>-2024</w:t>
      </w:r>
      <w:bookmarkEnd w:id="18"/>
    </w:p>
    <w:p w14:paraId="1BC8A7C6" w14:textId="77777777" w:rsidR="008F3DD9" w:rsidRDefault="008F3DD9" w:rsidP="008F3DD9">
      <w:pPr>
        <w:jc w:val="center"/>
        <w:rPr>
          <w:szCs w:val="22"/>
          <w:lang w:val="es-CO"/>
        </w:rPr>
      </w:pPr>
    </w:p>
    <w:p w14:paraId="10F64F2C" w14:textId="1897FF24" w:rsidR="00471DB3" w:rsidRPr="0078605D" w:rsidRDefault="00471DB3" w:rsidP="0078605D">
      <w:pPr>
        <w:pStyle w:val="Ttulo3"/>
      </w:pPr>
      <w:bookmarkStart w:id="19" w:name="_Toc153876843"/>
      <w:r w:rsidRPr="0078605D">
        <w:t>Em</w:t>
      </w:r>
      <w:r w:rsidR="005E4C46" w:rsidRPr="0078605D">
        <w:t>balse</w:t>
      </w:r>
      <w:bookmarkEnd w:id="19"/>
    </w:p>
    <w:p w14:paraId="5822B875" w14:textId="77777777" w:rsidR="00766B27" w:rsidRDefault="00766B27" w:rsidP="00766B27">
      <w:pPr>
        <w:rPr>
          <w:szCs w:val="22"/>
          <w:lang w:val="es-CO"/>
        </w:rPr>
      </w:pPr>
    </w:p>
    <w:p w14:paraId="0F992079" w14:textId="075DDBD1" w:rsidR="00766B27" w:rsidRPr="00766B27" w:rsidRDefault="00766B27" w:rsidP="00766B27">
      <w:pPr>
        <w:rPr>
          <w:szCs w:val="22"/>
          <w:lang w:val="es-CO"/>
        </w:rPr>
      </w:pPr>
      <w:r>
        <w:rPr>
          <w:szCs w:val="22"/>
          <w:lang w:val="es-CO"/>
        </w:rPr>
        <w:t xml:space="preserve">El embalse </w:t>
      </w:r>
      <w:r w:rsidR="009C54B4">
        <w:rPr>
          <w:szCs w:val="22"/>
          <w:lang w:val="es-CO"/>
        </w:rPr>
        <w:t>en los primero</w:t>
      </w:r>
      <w:r w:rsidR="00DA4959">
        <w:rPr>
          <w:szCs w:val="22"/>
          <w:lang w:val="es-CO"/>
        </w:rPr>
        <w:t>s</w:t>
      </w:r>
      <w:r w:rsidR="009C54B4">
        <w:rPr>
          <w:szCs w:val="22"/>
          <w:lang w:val="es-CO"/>
        </w:rPr>
        <w:t xml:space="preserve"> meses de 2023 ha tenido un comportamiento</w:t>
      </w:r>
      <w:r w:rsidR="00DA4959">
        <w:rPr>
          <w:szCs w:val="22"/>
          <w:lang w:val="es-CO"/>
        </w:rPr>
        <w:t xml:space="preserve"> destacado</w:t>
      </w:r>
      <w:r w:rsidR="004D7F8E">
        <w:rPr>
          <w:szCs w:val="22"/>
          <w:lang w:val="es-CO"/>
        </w:rPr>
        <w:t xml:space="preserve"> dado que ha estado entre el </w:t>
      </w:r>
      <w:r w:rsidR="00DA4959">
        <w:rPr>
          <w:szCs w:val="22"/>
          <w:lang w:val="es-CO"/>
        </w:rPr>
        <w:t xml:space="preserve">percentil </w:t>
      </w:r>
      <w:r w:rsidR="004D7F8E">
        <w:rPr>
          <w:szCs w:val="22"/>
          <w:lang w:val="es-CO"/>
        </w:rPr>
        <w:t xml:space="preserve">50% y 90% de la media histórica. Sin embargo, en </w:t>
      </w:r>
      <w:r w:rsidR="009D6AE7">
        <w:rPr>
          <w:szCs w:val="22"/>
          <w:lang w:val="es-CO"/>
        </w:rPr>
        <w:t xml:space="preserve">el último mes se ha presentado </w:t>
      </w:r>
      <w:r w:rsidR="00472C33">
        <w:rPr>
          <w:szCs w:val="22"/>
          <w:lang w:val="es-CO"/>
        </w:rPr>
        <w:t>una caída notable</w:t>
      </w:r>
      <w:r w:rsidR="009E6709">
        <w:rPr>
          <w:szCs w:val="22"/>
          <w:lang w:val="es-CO"/>
        </w:rPr>
        <w:t xml:space="preserve"> ubicándose </w:t>
      </w:r>
      <w:r w:rsidR="00D936FC">
        <w:rPr>
          <w:szCs w:val="22"/>
          <w:lang w:val="es-CO"/>
        </w:rPr>
        <w:t xml:space="preserve">en un </w:t>
      </w:r>
      <w:r w:rsidR="00E251B2">
        <w:rPr>
          <w:szCs w:val="22"/>
          <w:lang w:val="es-CO"/>
        </w:rPr>
        <w:t>percentil cercano</w:t>
      </w:r>
      <w:r w:rsidR="00D936FC">
        <w:rPr>
          <w:szCs w:val="22"/>
          <w:lang w:val="es-CO"/>
        </w:rPr>
        <w:t xml:space="preserve"> al 20</w:t>
      </w:r>
      <w:r w:rsidR="00081985">
        <w:rPr>
          <w:szCs w:val="22"/>
          <w:lang w:val="es-CO"/>
        </w:rPr>
        <w:t>%.</w:t>
      </w:r>
    </w:p>
    <w:p w14:paraId="56E53C2C" w14:textId="77777777" w:rsidR="0021080E" w:rsidRDefault="0021080E" w:rsidP="0021080E">
      <w:pPr>
        <w:rPr>
          <w:szCs w:val="22"/>
          <w:lang w:val="es-CO"/>
        </w:rPr>
      </w:pPr>
    </w:p>
    <w:p w14:paraId="28F7114C" w14:textId="786368DD" w:rsidR="0021080E" w:rsidRDefault="00110A15" w:rsidP="00766B27">
      <w:pPr>
        <w:jc w:val="center"/>
        <w:rPr>
          <w:szCs w:val="22"/>
          <w:lang w:val="es-CO"/>
        </w:rPr>
      </w:pPr>
      <w:r>
        <w:rPr>
          <w:noProof/>
        </w:rPr>
        <w:lastRenderedPageBreak/>
        <w:drawing>
          <wp:inline distT="0" distB="0" distL="0" distR="0" wp14:anchorId="18BAECC9" wp14:editId="252529ED">
            <wp:extent cx="4357315" cy="3162597"/>
            <wp:effectExtent l="0" t="0" r="5715" b="0"/>
            <wp:docPr id="1377953943" name="Gráfico 137795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53943"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4360375" cy="3164818"/>
                    </a:xfrm>
                    <a:prstGeom prst="rect">
                      <a:avLst/>
                    </a:prstGeom>
                  </pic:spPr>
                </pic:pic>
              </a:graphicData>
            </a:graphic>
          </wp:inline>
        </w:drawing>
      </w:r>
    </w:p>
    <w:p w14:paraId="65D4A874" w14:textId="77777777" w:rsidR="00110A15" w:rsidRPr="0021080E" w:rsidRDefault="00110A15" w:rsidP="0021080E">
      <w:pPr>
        <w:rPr>
          <w:szCs w:val="22"/>
          <w:lang w:val="es-CO"/>
        </w:rPr>
      </w:pPr>
    </w:p>
    <w:p w14:paraId="52FABDB0" w14:textId="77777777" w:rsidR="005E4C46" w:rsidRDefault="005E4C46" w:rsidP="00B07E32">
      <w:pPr>
        <w:rPr>
          <w:szCs w:val="22"/>
          <w:lang w:val="es-CO"/>
        </w:rPr>
      </w:pPr>
    </w:p>
    <w:p w14:paraId="12647CAD" w14:textId="0B9C97E0" w:rsidR="005E4C46" w:rsidRPr="0078605D" w:rsidRDefault="005E4C46" w:rsidP="0078605D">
      <w:pPr>
        <w:pStyle w:val="Ttulo3"/>
      </w:pPr>
      <w:bookmarkStart w:id="20" w:name="_Toc153876844"/>
      <w:r w:rsidRPr="0078605D">
        <w:t>Demanda</w:t>
      </w:r>
      <w:bookmarkEnd w:id="20"/>
    </w:p>
    <w:p w14:paraId="4C198714" w14:textId="77777777" w:rsidR="00B300B2" w:rsidRDefault="00B300B2" w:rsidP="00B07E32">
      <w:pPr>
        <w:rPr>
          <w:szCs w:val="22"/>
          <w:lang w:val="es-CO"/>
        </w:rPr>
      </w:pPr>
    </w:p>
    <w:p w14:paraId="212B0065" w14:textId="11ADE941" w:rsidR="00B05B06" w:rsidRDefault="00EA1B9D" w:rsidP="00EA1B9D">
      <w:pPr>
        <w:jc w:val="center"/>
        <w:rPr>
          <w:szCs w:val="22"/>
          <w:lang w:val="es-CO"/>
        </w:rPr>
      </w:pPr>
      <w:r>
        <w:rPr>
          <w:noProof/>
        </w:rPr>
        <w:drawing>
          <wp:inline distT="0" distB="0" distL="0" distR="0" wp14:anchorId="57DA2FB7" wp14:editId="7712149A">
            <wp:extent cx="4420926" cy="2678594"/>
            <wp:effectExtent l="0" t="0" r="0" b="7620"/>
            <wp:docPr id="1182105885" name="Gráfico 118210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05885"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4422953" cy="2679822"/>
                    </a:xfrm>
                    <a:prstGeom prst="rect">
                      <a:avLst/>
                    </a:prstGeom>
                  </pic:spPr>
                </pic:pic>
              </a:graphicData>
            </a:graphic>
          </wp:inline>
        </w:drawing>
      </w:r>
    </w:p>
    <w:p w14:paraId="2B94D0DC" w14:textId="0B7EBB90" w:rsidR="00EA1B9D" w:rsidRDefault="00EA1B9D" w:rsidP="00B07E32">
      <w:pPr>
        <w:rPr>
          <w:szCs w:val="22"/>
          <w:lang w:val="es-CO"/>
        </w:rPr>
      </w:pPr>
    </w:p>
    <w:p w14:paraId="26FA2809" w14:textId="2CAD7570" w:rsidR="00EA1B9D" w:rsidRDefault="00EA1B9D" w:rsidP="0078605D">
      <w:pPr>
        <w:pStyle w:val="Descripcin"/>
        <w:jc w:val="center"/>
        <w:rPr>
          <w:szCs w:val="22"/>
          <w:lang w:val="es-CO"/>
        </w:rPr>
      </w:pPr>
      <w:bookmarkStart w:id="21" w:name="_Toc153876871"/>
      <w:r>
        <w:t xml:space="preserve">Ilustración </w:t>
      </w:r>
      <w:r>
        <w:fldChar w:fldCharType="begin"/>
      </w:r>
      <w:r>
        <w:instrText xml:space="preserve"> SEQ Ilustración \* ARABIC </w:instrText>
      </w:r>
      <w:r>
        <w:fldChar w:fldCharType="separate"/>
      </w:r>
      <w:r w:rsidR="004B57FF">
        <w:rPr>
          <w:noProof/>
        </w:rPr>
        <w:t>6</w:t>
      </w:r>
      <w:r>
        <w:fldChar w:fldCharType="end"/>
      </w:r>
      <w:r w:rsidR="00C932A7">
        <w:t>. Demanda del Sistema Interconectado Nacional</w:t>
      </w:r>
      <w:bookmarkEnd w:id="21"/>
    </w:p>
    <w:p w14:paraId="08D348E7" w14:textId="38689CCB" w:rsidR="00B9012A" w:rsidRDefault="00C932A7" w:rsidP="00B07E32">
      <w:pPr>
        <w:rPr>
          <w:lang w:val="es-CO"/>
        </w:rPr>
      </w:pPr>
      <w:r w:rsidRPr="31FBC989">
        <w:rPr>
          <w:lang w:val="es-CO"/>
        </w:rPr>
        <w:t>La demanda</w:t>
      </w:r>
      <w:r w:rsidR="003A10D3" w:rsidRPr="31FBC989">
        <w:rPr>
          <w:lang w:val="es-CO"/>
        </w:rPr>
        <w:t xml:space="preserve"> </w:t>
      </w:r>
      <w:r w:rsidR="005704E9" w:rsidRPr="31FBC989">
        <w:rPr>
          <w:lang w:val="es-CO"/>
        </w:rPr>
        <w:t xml:space="preserve">en </w:t>
      </w:r>
      <w:r w:rsidR="003A10D3" w:rsidRPr="31FBC989">
        <w:rPr>
          <w:lang w:val="es-CO"/>
        </w:rPr>
        <w:t xml:space="preserve">agosto y septiembre </w:t>
      </w:r>
      <w:r w:rsidR="003C7A8F" w:rsidRPr="31FBC989">
        <w:rPr>
          <w:lang w:val="es-CO"/>
        </w:rPr>
        <w:t xml:space="preserve">de 2023 </w:t>
      </w:r>
      <w:r w:rsidR="003A10D3" w:rsidRPr="31FBC989">
        <w:rPr>
          <w:lang w:val="es-CO"/>
        </w:rPr>
        <w:t>estuvo por encima del escenario medio de la UPME. En octubr</w:t>
      </w:r>
      <w:r w:rsidR="005704E9" w:rsidRPr="31FBC989">
        <w:rPr>
          <w:lang w:val="es-CO"/>
        </w:rPr>
        <w:t xml:space="preserve">e </w:t>
      </w:r>
      <w:r w:rsidR="003C7A8F" w:rsidRPr="31FBC989">
        <w:rPr>
          <w:lang w:val="es-CO"/>
        </w:rPr>
        <w:t xml:space="preserve">de 2023 </w:t>
      </w:r>
      <w:r w:rsidR="005704E9" w:rsidRPr="31FBC989">
        <w:rPr>
          <w:lang w:val="es-CO"/>
        </w:rPr>
        <w:t xml:space="preserve">al principio de mes estuvo alta y al final cayo por el aumento de aportes, y </w:t>
      </w:r>
      <w:r w:rsidR="5B3A5673" w:rsidRPr="31FBC989">
        <w:rPr>
          <w:lang w:val="es-CO"/>
        </w:rPr>
        <w:t>en</w:t>
      </w:r>
      <w:r w:rsidR="005704E9" w:rsidRPr="31FBC989">
        <w:rPr>
          <w:lang w:val="es-CO"/>
        </w:rPr>
        <w:t xml:space="preserve"> noviembre </w:t>
      </w:r>
      <w:r w:rsidR="003C7A8F" w:rsidRPr="31FBC989">
        <w:rPr>
          <w:lang w:val="es-CO"/>
        </w:rPr>
        <w:t xml:space="preserve">de 2023 </w:t>
      </w:r>
      <w:r w:rsidR="005704E9" w:rsidRPr="31FBC989">
        <w:rPr>
          <w:lang w:val="es-CO"/>
        </w:rPr>
        <w:t>con los aporte</w:t>
      </w:r>
      <w:r w:rsidR="00060F94" w:rsidRPr="31FBC989">
        <w:rPr>
          <w:lang w:val="es-CO"/>
        </w:rPr>
        <w:t>s</w:t>
      </w:r>
      <w:r w:rsidR="005704E9" w:rsidRPr="31FBC989">
        <w:rPr>
          <w:lang w:val="es-CO"/>
        </w:rPr>
        <w:t xml:space="preserve"> de se dieron estuvo por debajo de la </w:t>
      </w:r>
      <w:r w:rsidR="005704E9" w:rsidRPr="31FBC989">
        <w:rPr>
          <w:lang w:val="es-CO"/>
        </w:rPr>
        <w:lastRenderedPageBreak/>
        <w:t xml:space="preserve">media. </w:t>
      </w:r>
      <w:r w:rsidR="00060F94" w:rsidRPr="31FBC989">
        <w:rPr>
          <w:lang w:val="es-CO"/>
        </w:rPr>
        <w:t>Sin embargo</w:t>
      </w:r>
      <w:r w:rsidR="00D01FD2" w:rsidRPr="31FBC989">
        <w:rPr>
          <w:lang w:val="es-CO"/>
        </w:rPr>
        <w:t xml:space="preserve">, la demanda en diciembre con un periodo más seco </w:t>
      </w:r>
      <w:r w:rsidR="0014438A">
        <w:rPr>
          <w:lang w:val="es-CO"/>
        </w:rPr>
        <w:t xml:space="preserve">se </w:t>
      </w:r>
      <w:r w:rsidR="00F74736">
        <w:rPr>
          <w:lang w:val="es-CO"/>
        </w:rPr>
        <w:t xml:space="preserve">ve en </w:t>
      </w:r>
      <w:r w:rsidR="00D01FD2" w:rsidRPr="31FBC989">
        <w:rPr>
          <w:lang w:val="es-CO"/>
        </w:rPr>
        <w:t>aumento y en lo que va corrido del mes está por encima de</w:t>
      </w:r>
      <w:r w:rsidR="00060F94" w:rsidRPr="31FBC989">
        <w:rPr>
          <w:lang w:val="es-CO"/>
        </w:rPr>
        <w:t>l escenario medio proyectado por la UPME.</w:t>
      </w:r>
    </w:p>
    <w:p w14:paraId="365905AC" w14:textId="77777777" w:rsidR="00B9012A" w:rsidRDefault="00B9012A" w:rsidP="00B07E32">
      <w:pPr>
        <w:rPr>
          <w:szCs w:val="22"/>
          <w:lang w:val="es-CO"/>
        </w:rPr>
      </w:pPr>
    </w:p>
    <w:p w14:paraId="00146855" w14:textId="77777777" w:rsidR="00B9012A" w:rsidRDefault="00B9012A" w:rsidP="00B07E32">
      <w:pPr>
        <w:rPr>
          <w:szCs w:val="22"/>
          <w:lang w:val="es-CO"/>
        </w:rPr>
      </w:pPr>
    </w:p>
    <w:p w14:paraId="1ADE7B92" w14:textId="32E214DD" w:rsidR="00B300B2" w:rsidRPr="0078605D" w:rsidRDefault="00B300B2" w:rsidP="0078605D">
      <w:pPr>
        <w:pStyle w:val="Ttulo3"/>
      </w:pPr>
      <w:bookmarkStart w:id="22" w:name="_Toc153876845"/>
      <w:r w:rsidRPr="0078605D">
        <w:t>Expansión</w:t>
      </w:r>
      <w:bookmarkEnd w:id="22"/>
    </w:p>
    <w:p w14:paraId="14686303" w14:textId="77777777" w:rsidR="00375872" w:rsidRDefault="00375872" w:rsidP="00B07E32">
      <w:pPr>
        <w:rPr>
          <w:szCs w:val="22"/>
          <w:lang w:val="es-CO"/>
        </w:rPr>
      </w:pPr>
    </w:p>
    <w:p w14:paraId="20D549B3" w14:textId="79076CF5" w:rsidR="00E814CC" w:rsidRDefault="00E814CC" w:rsidP="00B07E32">
      <w:pPr>
        <w:rPr>
          <w:szCs w:val="22"/>
          <w:lang w:val="es-CO"/>
        </w:rPr>
      </w:pPr>
      <w:r>
        <w:rPr>
          <w:szCs w:val="22"/>
          <w:lang w:val="es-CO"/>
        </w:rPr>
        <w:t xml:space="preserve">Con respecto a la entrada </w:t>
      </w:r>
      <w:r w:rsidR="00F43130">
        <w:rPr>
          <w:szCs w:val="22"/>
          <w:lang w:val="es-CO"/>
        </w:rPr>
        <w:t>esper</w:t>
      </w:r>
      <w:r w:rsidR="00A30CCD">
        <w:rPr>
          <w:szCs w:val="22"/>
          <w:lang w:val="es-CO"/>
        </w:rPr>
        <w:t>a</w:t>
      </w:r>
      <w:r w:rsidR="00F43130">
        <w:rPr>
          <w:szCs w:val="22"/>
          <w:lang w:val="es-CO"/>
        </w:rPr>
        <w:t xml:space="preserve">da </w:t>
      </w:r>
      <w:r>
        <w:rPr>
          <w:szCs w:val="22"/>
          <w:lang w:val="es-CO"/>
        </w:rPr>
        <w:t xml:space="preserve">de </w:t>
      </w:r>
      <w:r w:rsidR="00555629">
        <w:rPr>
          <w:szCs w:val="22"/>
          <w:lang w:val="es-CO"/>
        </w:rPr>
        <w:t xml:space="preserve">plantas en construcción </w:t>
      </w:r>
      <w:r w:rsidR="00F43130">
        <w:rPr>
          <w:szCs w:val="22"/>
          <w:lang w:val="es-CO"/>
        </w:rPr>
        <w:t xml:space="preserve">con compromisos </w:t>
      </w:r>
      <w:r w:rsidR="00715978">
        <w:rPr>
          <w:szCs w:val="22"/>
          <w:lang w:val="es-CO"/>
        </w:rPr>
        <w:t>adquiridos en la subasta de 2019</w:t>
      </w:r>
      <w:r w:rsidR="00555629">
        <w:rPr>
          <w:szCs w:val="22"/>
          <w:lang w:val="es-CO"/>
        </w:rPr>
        <w:t xml:space="preserve">, se ha logrado la entrada la </w:t>
      </w:r>
      <w:r w:rsidR="00A30CCD">
        <w:rPr>
          <w:szCs w:val="22"/>
          <w:lang w:val="es-CO"/>
        </w:rPr>
        <w:t>H</w:t>
      </w:r>
      <w:r w:rsidR="00555629">
        <w:rPr>
          <w:szCs w:val="22"/>
          <w:lang w:val="es-CO"/>
        </w:rPr>
        <w:t>idroituango (1.200 MW)</w:t>
      </w:r>
      <w:r w:rsidR="00B503F9">
        <w:rPr>
          <w:szCs w:val="22"/>
          <w:lang w:val="es-CO"/>
        </w:rPr>
        <w:t xml:space="preserve"> y el cierre de ciclo de Termocandelaria (</w:t>
      </w:r>
      <w:r w:rsidR="00817F93">
        <w:rPr>
          <w:szCs w:val="22"/>
          <w:lang w:val="es-CO"/>
        </w:rPr>
        <w:t>236</w:t>
      </w:r>
      <w:r w:rsidR="00B503F9">
        <w:rPr>
          <w:szCs w:val="22"/>
          <w:lang w:val="es-CO"/>
        </w:rPr>
        <w:t xml:space="preserve"> MW). Sin embargo, los siguientes proyectos no lograron entrar por diferentes circunstancias.</w:t>
      </w:r>
    </w:p>
    <w:p w14:paraId="3C974325" w14:textId="77777777" w:rsidR="00B503F9" w:rsidRDefault="00B503F9" w:rsidP="00B07E32">
      <w:pPr>
        <w:rPr>
          <w:szCs w:val="22"/>
          <w:lang w:val="es-CO"/>
        </w:rPr>
      </w:pPr>
    </w:p>
    <w:p w14:paraId="7C9AE9C7" w14:textId="77777777" w:rsidR="00B503F9" w:rsidRDefault="00B503F9" w:rsidP="00B07E32">
      <w:pPr>
        <w:rPr>
          <w:szCs w:val="22"/>
          <w:lang w:val="es-CO"/>
        </w:rPr>
      </w:pPr>
    </w:p>
    <w:p w14:paraId="69C51364" w14:textId="195CDA10" w:rsidR="00B503F9" w:rsidRDefault="00817F93" w:rsidP="00810D20">
      <w:pPr>
        <w:jc w:val="center"/>
        <w:rPr>
          <w:szCs w:val="22"/>
          <w:lang w:val="es-CO"/>
        </w:rPr>
      </w:pPr>
      <w:r w:rsidRPr="00817F93">
        <w:rPr>
          <w:noProof/>
        </w:rPr>
        <w:drawing>
          <wp:inline distT="0" distB="0" distL="0" distR="0" wp14:anchorId="552DD502" wp14:editId="7050C89C">
            <wp:extent cx="2751152" cy="2478586"/>
            <wp:effectExtent l="0" t="0" r="0" b="0"/>
            <wp:docPr id="1124926367" name="Imagen 112492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3963" cy="2481119"/>
                    </a:xfrm>
                    <a:prstGeom prst="rect">
                      <a:avLst/>
                    </a:prstGeom>
                    <a:noFill/>
                    <a:ln>
                      <a:noFill/>
                    </a:ln>
                  </pic:spPr>
                </pic:pic>
              </a:graphicData>
            </a:graphic>
          </wp:inline>
        </w:drawing>
      </w:r>
    </w:p>
    <w:p w14:paraId="24B1201E" w14:textId="0D4A0629" w:rsidR="00810D20" w:rsidRDefault="00810D20" w:rsidP="00810D20">
      <w:pPr>
        <w:pStyle w:val="Descripcin"/>
        <w:jc w:val="center"/>
        <w:rPr>
          <w:szCs w:val="22"/>
          <w:lang w:val="es-CO"/>
        </w:rPr>
      </w:pPr>
      <w:bookmarkStart w:id="23" w:name="_Toc153876872"/>
      <w:r>
        <w:t xml:space="preserve">Ilustración </w:t>
      </w:r>
      <w:r>
        <w:fldChar w:fldCharType="begin"/>
      </w:r>
      <w:r>
        <w:instrText xml:space="preserve"> SEQ Ilustración \* ARABIC </w:instrText>
      </w:r>
      <w:r>
        <w:fldChar w:fldCharType="separate"/>
      </w:r>
      <w:r w:rsidR="004B57FF">
        <w:rPr>
          <w:noProof/>
        </w:rPr>
        <w:t>7</w:t>
      </w:r>
      <w:r>
        <w:fldChar w:fldCharType="end"/>
      </w:r>
      <w:r>
        <w:t>. Proyectos en construcción</w:t>
      </w:r>
      <w:bookmarkEnd w:id="23"/>
    </w:p>
    <w:p w14:paraId="1D2F9857" w14:textId="77777777" w:rsidR="006E4E4F" w:rsidRDefault="006E4E4F" w:rsidP="00B07E32">
      <w:pPr>
        <w:rPr>
          <w:szCs w:val="22"/>
          <w:lang w:val="es-CO"/>
        </w:rPr>
      </w:pPr>
    </w:p>
    <w:p w14:paraId="1599DDAE" w14:textId="10958689" w:rsidR="000E1603" w:rsidRDefault="005E4C46" w:rsidP="000E1603">
      <w:pPr>
        <w:pStyle w:val="Ttulo2"/>
        <w:numPr>
          <w:ilvl w:val="1"/>
          <w:numId w:val="1"/>
        </w:numPr>
        <w:ind w:left="567" w:hanging="567"/>
        <w:rPr>
          <w:szCs w:val="22"/>
          <w:lang w:val="es-CO"/>
        </w:rPr>
      </w:pPr>
      <w:bookmarkStart w:id="24" w:name="_Toc153876846"/>
      <w:r>
        <w:rPr>
          <w:szCs w:val="22"/>
          <w:lang w:val="es-CO"/>
        </w:rPr>
        <w:t>P</w:t>
      </w:r>
      <w:r w:rsidR="000E1603">
        <w:rPr>
          <w:szCs w:val="22"/>
          <w:lang w:val="es-CO"/>
        </w:rPr>
        <w:t>recio de bolsa</w:t>
      </w:r>
      <w:r w:rsidR="009416E3">
        <w:rPr>
          <w:szCs w:val="22"/>
          <w:lang w:val="es-CO"/>
        </w:rPr>
        <w:t xml:space="preserve"> y contratos</w:t>
      </w:r>
      <w:bookmarkEnd w:id="24"/>
    </w:p>
    <w:p w14:paraId="7C86DC62" w14:textId="4F1FBF20" w:rsidR="00131B8D" w:rsidRPr="00131B8D" w:rsidRDefault="00E94920" w:rsidP="00131B8D">
      <w:pPr>
        <w:rPr>
          <w:lang w:val="es-CO"/>
        </w:rPr>
      </w:pPr>
      <w:r>
        <w:rPr>
          <w:lang w:val="es-CO"/>
        </w:rPr>
        <w:t>Los precios de bolsa</w:t>
      </w:r>
      <w:r w:rsidR="009E68C1">
        <w:rPr>
          <w:lang w:val="es-CO"/>
        </w:rPr>
        <w:t xml:space="preserve"> para el 2023, cuando se ha considerado que se tienen condiciones de</w:t>
      </w:r>
      <w:r w:rsidR="00E81357">
        <w:rPr>
          <w:lang w:val="es-CO"/>
        </w:rPr>
        <w:t xml:space="preserve"> fenómeno de El Niño, han tenido incrementos </w:t>
      </w:r>
      <w:r w:rsidR="00ED7107">
        <w:rPr>
          <w:lang w:val="es-CO"/>
        </w:rPr>
        <w:t>significativos.</w:t>
      </w:r>
    </w:p>
    <w:p w14:paraId="2AD4F9D6" w14:textId="1E93A5EC" w:rsidR="00781DE9" w:rsidRDefault="00131B8D" w:rsidP="00781DE9">
      <w:pPr>
        <w:rPr>
          <w:lang w:val="es-CO"/>
        </w:rPr>
      </w:pPr>
      <w:r w:rsidRPr="00131B8D">
        <w:rPr>
          <w:noProof/>
        </w:rPr>
        <w:lastRenderedPageBreak/>
        <w:drawing>
          <wp:inline distT="0" distB="0" distL="0" distR="0" wp14:anchorId="215119F7" wp14:editId="45F7F0A7">
            <wp:extent cx="5972810" cy="2769870"/>
            <wp:effectExtent l="0" t="0" r="8890" b="0"/>
            <wp:docPr id="3" name="Imagen 3">
              <a:extLst xmlns:a="http://schemas.openxmlformats.org/drawingml/2006/main">
                <a:ext uri="{FF2B5EF4-FFF2-40B4-BE49-F238E27FC236}">
                  <a16:creationId xmlns:a16="http://schemas.microsoft.com/office/drawing/2014/main" id="{64C33531-7507-49BA-EDA7-673F74789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4C33531-7507-49BA-EDA7-673F74789B8F}"/>
                        </a:ext>
                      </a:extLst>
                    </pic:cNvPr>
                    <pic:cNvPicPr>
                      <a:picLocks noChangeAspect="1"/>
                    </pic:cNvPicPr>
                  </pic:nvPicPr>
                  <pic:blipFill>
                    <a:blip r:embed="rId31"/>
                    <a:stretch>
                      <a:fillRect/>
                    </a:stretch>
                  </pic:blipFill>
                  <pic:spPr>
                    <a:xfrm>
                      <a:off x="0" y="0"/>
                      <a:ext cx="5972810" cy="2769870"/>
                    </a:xfrm>
                    <a:prstGeom prst="rect">
                      <a:avLst/>
                    </a:prstGeom>
                  </pic:spPr>
                </pic:pic>
              </a:graphicData>
            </a:graphic>
          </wp:inline>
        </w:drawing>
      </w:r>
    </w:p>
    <w:p w14:paraId="2A307113" w14:textId="45518B5B" w:rsidR="00420007" w:rsidRDefault="00420007" w:rsidP="00420007">
      <w:pPr>
        <w:rPr>
          <w:sz w:val="14"/>
          <w:szCs w:val="10"/>
          <w:lang w:val="es-ES"/>
        </w:rPr>
      </w:pPr>
      <w:r w:rsidRPr="00420007">
        <w:rPr>
          <w:b/>
          <w:bCs/>
          <w:sz w:val="14"/>
          <w:szCs w:val="10"/>
          <w:lang w:val="es-ES"/>
        </w:rPr>
        <w:t>Fuente:</w:t>
      </w:r>
      <w:r w:rsidRPr="00420007">
        <w:rPr>
          <w:sz w:val="14"/>
          <w:szCs w:val="10"/>
          <w:lang w:val="es-ES"/>
        </w:rPr>
        <w:t xml:space="preserve"> SSPD con datos del portal de información de XM y la NOAA</w:t>
      </w:r>
    </w:p>
    <w:p w14:paraId="398995E4" w14:textId="77777777" w:rsidR="00420007" w:rsidRDefault="00420007" w:rsidP="00420007">
      <w:pPr>
        <w:rPr>
          <w:sz w:val="14"/>
          <w:szCs w:val="10"/>
          <w:lang w:val="es-ES"/>
        </w:rPr>
      </w:pPr>
    </w:p>
    <w:p w14:paraId="60D4230D" w14:textId="2EBA79B5" w:rsidR="00420007" w:rsidRPr="00420007" w:rsidRDefault="001C4E25" w:rsidP="00ED7107">
      <w:pPr>
        <w:pStyle w:val="Descripcin"/>
        <w:jc w:val="center"/>
        <w:rPr>
          <w:sz w:val="14"/>
          <w:szCs w:val="10"/>
          <w:lang w:val="es-ES"/>
        </w:rPr>
      </w:pPr>
      <w:bookmarkStart w:id="25" w:name="_Toc153876873"/>
      <w:r>
        <w:t xml:space="preserve">Ilustración </w:t>
      </w:r>
      <w:r>
        <w:fldChar w:fldCharType="begin"/>
      </w:r>
      <w:r>
        <w:instrText xml:space="preserve"> SEQ Ilustración \* ARABIC </w:instrText>
      </w:r>
      <w:r>
        <w:fldChar w:fldCharType="separate"/>
      </w:r>
      <w:r w:rsidR="004B57FF">
        <w:rPr>
          <w:noProof/>
        </w:rPr>
        <w:t>8</w:t>
      </w:r>
      <w:r>
        <w:fldChar w:fldCharType="end"/>
      </w:r>
      <w:r>
        <w:t>. Precios de bolsa durante diferentes periodos de El Niño</w:t>
      </w:r>
      <w:bookmarkEnd w:id="25"/>
    </w:p>
    <w:p w14:paraId="73D64BBC" w14:textId="77777777" w:rsidR="00E13DC0" w:rsidRDefault="00E13DC0" w:rsidP="00781DE9">
      <w:pPr>
        <w:rPr>
          <w:lang w:val="es-CO"/>
        </w:rPr>
      </w:pPr>
    </w:p>
    <w:p w14:paraId="5FDF4E51" w14:textId="47182CD6" w:rsidR="002C612A" w:rsidRDefault="002C612A" w:rsidP="00781DE9">
      <w:pPr>
        <w:rPr>
          <w:lang w:val="es-CO"/>
        </w:rPr>
      </w:pPr>
      <w:r>
        <w:rPr>
          <w:lang w:val="es-CO"/>
        </w:rPr>
        <w:t xml:space="preserve">En los </w:t>
      </w:r>
      <w:r w:rsidR="00080B06">
        <w:rPr>
          <w:lang w:val="es-CO"/>
        </w:rPr>
        <w:t xml:space="preserve">meses de septiembre y octubre </w:t>
      </w:r>
      <w:r w:rsidR="002A20F7">
        <w:rPr>
          <w:lang w:val="es-CO"/>
        </w:rPr>
        <w:t xml:space="preserve">de 2023, los precios de bolsa </w:t>
      </w:r>
      <w:r w:rsidR="00080B06">
        <w:rPr>
          <w:lang w:val="es-CO"/>
        </w:rPr>
        <w:t>estuv</w:t>
      </w:r>
      <w:r w:rsidR="002A20F7">
        <w:rPr>
          <w:lang w:val="es-CO"/>
        </w:rPr>
        <w:t>ieron</w:t>
      </w:r>
      <w:r w:rsidR="00080B06">
        <w:rPr>
          <w:lang w:val="es-CO"/>
        </w:rPr>
        <w:t xml:space="preserve"> bordeando el prec</w:t>
      </w:r>
      <w:r w:rsidR="00C12D4A">
        <w:rPr>
          <w:lang w:val="es-CO"/>
        </w:rPr>
        <w:t>io de escasez de activación. Incluso al final de octubre fueron superiores al precio de escasez de activación.</w:t>
      </w:r>
    </w:p>
    <w:p w14:paraId="20F84344" w14:textId="2A3DBB58" w:rsidR="00ED7107" w:rsidRDefault="005A058A" w:rsidP="005A058A">
      <w:pPr>
        <w:jc w:val="center"/>
        <w:rPr>
          <w:lang w:val="es-CO"/>
        </w:rPr>
      </w:pPr>
      <w:r w:rsidRPr="005A058A">
        <w:rPr>
          <w:noProof/>
        </w:rPr>
        <w:drawing>
          <wp:inline distT="0" distB="0" distL="0" distR="0" wp14:anchorId="1D48E255" wp14:editId="3B31516D">
            <wp:extent cx="5842696" cy="2671639"/>
            <wp:effectExtent l="0" t="0" r="5715" b="0"/>
            <wp:docPr id="52238537" name="Imagen 52238537">
              <a:extLst xmlns:a="http://schemas.openxmlformats.org/drawingml/2006/main">
                <a:ext uri="{FF2B5EF4-FFF2-40B4-BE49-F238E27FC236}">
                  <a16:creationId xmlns:a16="http://schemas.microsoft.com/office/drawing/2014/main" id="{B4339EB9-16AB-CFB6-78A5-4B72B8082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4339EB9-16AB-CFB6-78A5-4B72B80820FB}"/>
                        </a:ext>
                      </a:extLst>
                    </pic:cNvPr>
                    <pic:cNvPicPr>
                      <a:picLocks noChangeAspect="1"/>
                    </pic:cNvPicPr>
                  </pic:nvPicPr>
                  <pic:blipFill rotWithShape="1">
                    <a:blip r:embed="rId32">
                      <a:extLst>
                        <a:ext uri="{28A0092B-C50C-407E-A947-70E740481C1C}">
                          <a14:useLocalDpi xmlns:a14="http://schemas.microsoft.com/office/drawing/2010/main" val="0"/>
                        </a:ext>
                      </a:extLst>
                    </a:blip>
                    <a:srcRect l="977" t="2763" r="1794" b="2929"/>
                    <a:stretch/>
                  </pic:blipFill>
                  <pic:spPr bwMode="auto">
                    <a:xfrm>
                      <a:off x="0" y="0"/>
                      <a:ext cx="5872405" cy="2685224"/>
                    </a:xfrm>
                    <a:prstGeom prst="rect">
                      <a:avLst/>
                    </a:prstGeom>
                    <a:ln>
                      <a:noFill/>
                    </a:ln>
                    <a:extLst>
                      <a:ext uri="{53640926-AAD7-44d8-BBD7-CCE9431645EC}">
                        <a14:shadowObscured xmlns:asvg="http://schemas.microsoft.com/office/drawing/2016/SVG/main" xmlns:a16="http://schemas.microsoft.com/office/drawing/2014/main" xmlns:lc="http://schemas.openxmlformats.org/drawingml/2006/lockedCanvas"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http://schemas.openxmlformats.org/presentationml/2006/main" xmlns:arto="http://schemas.microsoft.com/office/word/2006/arto"/>
                      </a:ext>
                    </a:extLst>
                  </pic:spPr>
                </pic:pic>
              </a:graphicData>
            </a:graphic>
          </wp:inline>
        </w:drawing>
      </w:r>
    </w:p>
    <w:p w14:paraId="277CF073" w14:textId="0C6AFF8B" w:rsidR="004A7BEA" w:rsidRDefault="004A7BEA" w:rsidP="004A7BEA">
      <w:pPr>
        <w:rPr>
          <w:sz w:val="14"/>
          <w:szCs w:val="10"/>
          <w:lang w:val="es-ES"/>
        </w:rPr>
      </w:pPr>
      <w:r w:rsidRPr="00420007">
        <w:rPr>
          <w:b/>
          <w:bCs/>
          <w:sz w:val="14"/>
          <w:szCs w:val="10"/>
          <w:lang w:val="es-ES"/>
        </w:rPr>
        <w:t>Fuente:</w:t>
      </w:r>
      <w:r w:rsidRPr="00420007">
        <w:rPr>
          <w:sz w:val="14"/>
          <w:szCs w:val="10"/>
          <w:lang w:val="es-ES"/>
        </w:rPr>
        <w:t xml:space="preserve"> </w:t>
      </w:r>
      <w:r>
        <w:rPr>
          <w:sz w:val="14"/>
          <w:szCs w:val="10"/>
          <w:lang w:val="es-ES"/>
        </w:rPr>
        <w:t>XM</w:t>
      </w:r>
    </w:p>
    <w:p w14:paraId="6E9B708B" w14:textId="43305829" w:rsidR="004A7BEA" w:rsidRDefault="004A7BEA" w:rsidP="002C612A">
      <w:pPr>
        <w:pStyle w:val="Descripcin"/>
        <w:jc w:val="center"/>
        <w:rPr>
          <w:sz w:val="14"/>
          <w:szCs w:val="10"/>
          <w:lang w:val="es-ES"/>
        </w:rPr>
      </w:pPr>
      <w:bookmarkStart w:id="26" w:name="_Toc153876874"/>
      <w:r>
        <w:t xml:space="preserve">Ilustración </w:t>
      </w:r>
      <w:r>
        <w:fldChar w:fldCharType="begin"/>
      </w:r>
      <w:r>
        <w:instrText xml:space="preserve"> SEQ Ilustración \* ARABIC </w:instrText>
      </w:r>
      <w:r>
        <w:fldChar w:fldCharType="separate"/>
      </w:r>
      <w:r w:rsidR="004B57FF">
        <w:rPr>
          <w:noProof/>
        </w:rPr>
        <w:t>9</w:t>
      </w:r>
      <w:r>
        <w:fldChar w:fldCharType="end"/>
      </w:r>
      <w:r>
        <w:t xml:space="preserve">: Precio de bolsa de agosto a </w:t>
      </w:r>
      <w:r w:rsidR="002C612A">
        <w:t>inicios diciembre 2023</w:t>
      </w:r>
      <w:bookmarkEnd w:id="26"/>
    </w:p>
    <w:p w14:paraId="329BE1F4" w14:textId="77777777" w:rsidR="00ED7107" w:rsidRDefault="00ED7107" w:rsidP="00781DE9">
      <w:pPr>
        <w:rPr>
          <w:lang w:val="es-CO"/>
        </w:rPr>
      </w:pPr>
    </w:p>
    <w:p w14:paraId="388BAA19" w14:textId="63794F68" w:rsidR="004E4355" w:rsidRDefault="00FA273F" w:rsidP="00781DE9">
      <w:pPr>
        <w:rPr>
          <w:lang w:val="es-CO"/>
        </w:rPr>
      </w:pPr>
      <w:r>
        <w:rPr>
          <w:lang w:val="es-CO"/>
        </w:rPr>
        <w:t>En lo respecta a los precios de contratos</w:t>
      </w:r>
      <w:r w:rsidR="00CA5C15">
        <w:rPr>
          <w:lang w:val="es-CO"/>
        </w:rPr>
        <w:t>, para usuarios regulados y no regulados, tenemos precios que están entre 27</w:t>
      </w:r>
      <w:r w:rsidR="00BB04AE">
        <w:rPr>
          <w:lang w:val="es-CO"/>
        </w:rPr>
        <w:t>7</w:t>
      </w:r>
      <w:r w:rsidR="00CA5C15">
        <w:rPr>
          <w:lang w:val="es-CO"/>
        </w:rPr>
        <w:t xml:space="preserve"> </w:t>
      </w:r>
      <w:r w:rsidR="00727CE6">
        <w:rPr>
          <w:lang w:val="es-CO"/>
        </w:rPr>
        <w:t xml:space="preserve">$/kWh para no regulados y </w:t>
      </w:r>
      <w:r w:rsidR="00BB04AE">
        <w:rPr>
          <w:lang w:val="es-CO"/>
        </w:rPr>
        <w:t>285 $/kWh para regulados.</w:t>
      </w:r>
    </w:p>
    <w:p w14:paraId="080BF897" w14:textId="77777777" w:rsidR="00FA273F" w:rsidRDefault="00FA273F" w:rsidP="00781DE9">
      <w:pPr>
        <w:rPr>
          <w:lang w:val="es-CO"/>
        </w:rPr>
      </w:pPr>
    </w:p>
    <w:p w14:paraId="65800391" w14:textId="77777777" w:rsidR="00FA273F" w:rsidRDefault="00FA273F" w:rsidP="00781DE9">
      <w:pPr>
        <w:rPr>
          <w:lang w:val="es-CO"/>
        </w:rPr>
      </w:pPr>
    </w:p>
    <w:p w14:paraId="3BBBC665" w14:textId="51E758AB" w:rsidR="004E4355" w:rsidRDefault="004E4355" w:rsidP="00781DE9">
      <w:pPr>
        <w:rPr>
          <w:lang w:val="es-CO"/>
        </w:rPr>
      </w:pPr>
      <w:r w:rsidRPr="004E4355">
        <w:rPr>
          <w:noProof/>
        </w:rPr>
        <w:drawing>
          <wp:inline distT="0" distB="0" distL="0" distR="0" wp14:anchorId="334169F2" wp14:editId="1904B8DE">
            <wp:extent cx="5906246" cy="3216851"/>
            <wp:effectExtent l="0" t="0" r="0" b="3175"/>
            <wp:docPr id="4" name="Imagen 4">
              <a:extLst xmlns:a="http://schemas.openxmlformats.org/drawingml/2006/main">
                <a:ext uri="{FF2B5EF4-FFF2-40B4-BE49-F238E27FC236}">
                  <a16:creationId xmlns:a16="http://schemas.microsoft.com/office/drawing/2014/main" id="{64510CBF-139D-F913-5BF4-28B7B0762A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4510CBF-139D-F913-5BF4-28B7B0762A11}"/>
                        </a:ext>
                      </a:extLst>
                    </pic:cNvPr>
                    <pic:cNvPicPr>
                      <a:picLocks noChangeAspect="1"/>
                    </pic:cNvPicPr>
                  </pic:nvPicPr>
                  <pic:blipFill>
                    <a:blip r:embed="rId33"/>
                    <a:stretch>
                      <a:fillRect/>
                    </a:stretch>
                  </pic:blipFill>
                  <pic:spPr>
                    <a:xfrm>
                      <a:off x="0" y="0"/>
                      <a:ext cx="5914229" cy="3221199"/>
                    </a:xfrm>
                    <a:prstGeom prst="rect">
                      <a:avLst/>
                    </a:prstGeom>
                  </pic:spPr>
                </pic:pic>
              </a:graphicData>
            </a:graphic>
          </wp:inline>
        </w:drawing>
      </w:r>
    </w:p>
    <w:p w14:paraId="68DAC93D" w14:textId="2DB9015F" w:rsidR="004E4355" w:rsidRDefault="004E4355" w:rsidP="004E4355">
      <w:pPr>
        <w:pStyle w:val="Descripcin"/>
        <w:jc w:val="center"/>
        <w:rPr>
          <w:lang w:val="es-CO"/>
        </w:rPr>
      </w:pPr>
      <w:bookmarkStart w:id="27" w:name="_Toc153876875"/>
      <w:r>
        <w:t xml:space="preserve">Ilustración </w:t>
      </w:r>
      <w:r>
        <w:fldChar w:fldCharType="begin"/>
      </w:r>
      <w:r>
        <w:instrText xml:space="preserve"> SEQ Ilustración \* ARABIC </w:instrText>
      </w:r>
      <w:r>
        <w:fldChar w:fldCharType="separate"/>
      </w:r>
      <w:r w:rsidR="004B57FF">
        <w:rPr>
          <w:noProof/>
        </w:rPr>
        <w:t>10</w:t>
      </w:r>
      <w:r>
        <w:fldChar w:fldCharType="end"/>
      </w:r>
      <w:r>
        <w:t>. Precios contratos</w:t>
      </w:r>
      <w:bookmarkEnd w:id="27"/>
    </w:p>
    <w:p w14:paraId="3015A72F" w14:textId="77777777" w:rsidR="007B43F1" w:rsidRDefault="007B43F1" w:rsidP="00781DE9">
      <w:pPr>
        <w:rPr>
          <w:lang w:val="es-CO"/>
        </w:rPr>
      </w:pPr>
    </w:p>
    <w:p w14:paraId="61137917" w14:textId="77777777" w:rsidR="007B43F1" w:rsidRDefault="007B43F1" w:rsidP="00781DE9">
      <w:pPr>
        <w:rPr>
          <w:lang w:val="es-CO"/>
        </w:rPr>
      </w:pPr>
    </w:p>
    <w:p w14:paraId="452476B0" w14:textId="287BBF24" w:rsidR="00781DE9" w:rsidRDefault="00B300B2" w:rsidP="00B300B2">
      <w:pPr>
        <w:pStyle w:val="Ttulo2"/>
        <w:numPr>
          <w:ilvl w:val="1"/>
          <w:numId w:val="1"/>
        </w:numPr>
        <w:ind w:left="567" w:hanging="567"/>
        <w:rPr>
          <w:lang w:val="es-CO"/>
        </w:rPr>
      </w:pPr>
      <w:bookmarkStart w:id="28" w:name="_Toc153876847"/>
      <w:r>
        <w:rPr>
          <w:lang w:val="es-CO"/>
        </w:rPr>
        <w:t>Comercializadores</w:t>
      </w:r>
      <w:bookmarkEnd w:id="28"/>
    </w:p>
    <w:p w14:paraId="62FB0619" w14:textId="77777777" w:rsidR="00770962" w:rsidRDefault="00770962" w:rsidP="00770962">
      <w:pPr>
        <w:rPr>
          <w:lang w:val="es-CO"/>
        </w:rPr>
      </w:pPr>
    </w:p>
    <w:p w14:paraId="705D8314" w14:textId="320A040C" w:rsidR="00770962" w:rsidRDefault="00770962" w:rsidP="00770962">
      <w:pPr>
        <w:rPr>
          <w:lang w:val="es-CO"/>
        </w:rPr>
      </w:pPr>
      <w:r>
        <w:rPr>
          <w:lang w:val="es-CO"/>
        </w:rPr>
        <w:t xml:space="preserve">En cuanto a la exposición a bolsa de los comercializadores, </w:t>
      </w:r>
      <w:r w:rsidR="003508C9">
        <w:rPr>
          <w:lang w:val="es-CO"/>
        </w:rPr>
        <w:t xml:space="preserve">se encuentra que </w:t>
      </w:r>
      <w:r w:rsidR="002C0ECE">
        <w:rPr>
          <w:lang w:val="es-CO"/>
        </w:rPr>
        <w:t xml:space="preserve">la exposición de </w:t>
      </w:r>
      <w:r w:rsidR="003508C9">
        <w:rPr>
          <w:lang w:val="es-CO"/>
        </w:rPr>
        <w:t xml:space="preserve">las empresas </w:t>
      </w:r>
      <w:r w:rsidR="002C0ECE">
        <w:rPr>
          <w:lang w:val="es-CO"/>
        </w:rPr>
        <w:t xml:space="preserve">es cambiante </w:t>
      </w:r>
      <w:r w:rsidR="00D209E5">
        <w:rPr>
          <w:lang w:val="es-CO"/>
        </w:rPr>
        <w:t>entre los meses</w:t>
      </w:r>
      <w:r w:rsidR="002C0ECE">
        <w:rPr>
          <w:lang w:val="es-CO"/>
        </w:rPr>
        <w:t xml:space="preserve">. </w:t>
      </w:r>
      <w:r w:rsidR="00C433D1">
        <w:rPr>
          <w:lang w:val="es-CO"/>
        </w:rPr>
        <w:t xml:space="preserve">Por grupos se podría decir que </w:t>
      </w:r>
      <w:r w:rsidR="002424B4">
        <w:rPr>
          <w:lang w:val="es-CO"/>
        </w:rPr>
        <w:t xml:space="preserve">las empresas que tienen </w:t>
      </w:r>
      <w:r w:rsidR="00C433D1">
        <w:rPr>
          <w:lang w:val="es-CO"/>
        </w:rPr>
        <w:t xml:space="preserve">el </w:t>
      </w:r>
      <w:r w:rsidR="002424B4">
        <w:rPr>
          <w:lang w:val="es-CO"/>
        </w:rPr>
        <w:t>mayor</w:t>
      </w:r>
      <w:r w:rsidR="00C433D1">
        <w:rPr>
          <w:lang w:val="es-CO"/>
        </w:rPr>
        <w:t xml:space="preserve"> </w:t>
      </w:r>
      <w:r w:rsidR="002424B4">
        <w:rPr>
          <w:lang w:val="es-CO"/>
        </w:rPr>
        <w:t xml:space="preserve">número de usuarios </w:t>
      </w:r>
      <w:r w:rsidR="00C433D1">
        <w:rPr>
          <w:lang w:val="es-CO"/>
        </w:rPr>
        <w:t xml:space="preserve">tener una exposición </w:t>
      </w:r>
      <w:r w:rsidR="002917B5">
        <w:rPr>
          <w:lang w:val="es-CO"/>
        </w:rPr>
        <w:t xml:space="preserve">que </w:t>
      </w:r>
      <w:r w:rsidR="003177ED">
        <w:rPr>
          <w:lang w:val="es-CO"/>
        </w:rPr>
        <w:t xml:space="preserve">pueden estar entre el 20% y 30%. </w:t>
      </w:r>
      <w:r w:rsidR="001F22FD">
        <w:rPr>
          <w:lang w:val="es-CO"/>
        </w:rPr>
        <w:t xml:space="preserve">Después </w:t>
      </w:r>
      <w:r w:rsidR="002917B5">
        <w:rPr>
          <w:lang w:val="es-CO"/>
        </w:rPr>
        <w:t xml:space="preserve">los </w:t>
      </w:r>
      <w:r w:rsidR="001F22FD">
        <w:rPr>
          <w:lang w:val="es-CO"/>
        </w:rPr>
        <w:t>comercializadores</w:t>
      </w:r>
      <w:r w:rsidR="003506D7">
        <w:rPr>
          <w:lang w:val="es-CO"/>
        </w:rPr>
        <w:t xml:space="preserve"> medianos</w:t>
      </w:r>
      <w:r w:rsidR="001F22FD">
        <w:rPr>
          <w:lang w:val="es-CO"/>
        </w:rPr>
        <w:t xml:space="preserve"> tienen exposición </w:t>
      </w:r>
      <w:r w:rsidR="003506D7">
        <w:rPr>
          <w:lang w:val="es-CO"/>
        </w:rPr>
        <w:t xml:space="preserve">que pueden llegar entre el </w:t>
      </w:r>
      <w:r w:rsidR="005D705F">
        <w:rPr>
          <w:lang w:val="es-CO"/>
        </w:rPr>
        <w:t>3</w:t>
      </w:r>
      <w:r w:rsidR="003506D7">
        <w:rPr>
          <w:lang w:val="es-CO"/>
        </w:rPr>
        <w:t>0% y 70%.</w:t>
      </w:r>
      <w:r w:rsidR="002E6954">
        <w:rPr>
          <w:lang w:val="es-CO"/>
        </w:rPr>
        <w:t xml:space="preserve"> Incluso se tienen comercializadores pequeños con una exposición del 100%.</w:t>
      </w:r>
    </w:p>
    <w:p w14:paraId="058CC91B" w14:textId="77777777" w:rsidR="00770962" w:rsidRPr="00770962" w:rsidRDefault="00770962" w:rsidP="00770962">
      <w:pPr>
        <w:rPr>
          <w:lang w:val="es-CO"/>
        </w:rPr>
      </w:pPr>
    </w:p>
    <w:p w14:paraId="074919DE" w14:textId="2AD5E332" w:rsidR="00781DE9" w:rsidRPr="00781DE9" w:rsidRDefault="00050703" w:rsidP="00781DE9">
      <w:pPr>
        <w:rPr>
          <w:lang w:val="es-CO"/>
        </w:rPr>
      </w:pPr>
      <w:r w:rsidRPr="00050703">
        <w:rPr>
          <w:noProof/>
        </w:rPr>
        <w:lastRenderedPageBreak/>
        <w:drawing>
          <wp:inline distT="0" distB="0" distL="0" distR="0" wp14:anchorId="4660F826" wp14:editId="059776E7">
            <wp:extent cx="5972810" cy="3621405"/>
            <wp:effectExtent l="0" t="0" r="8890" b="0"/>
            <wp:docPr id="1888188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810" cy="3621405"/>
                    </a:xfrm>
                    <a:prstGeom prst="rect">
                      <a:avLst/>
                    </a:prstGeom>
                    <a:noFill/>
                    <a:ln>
                      <a:noFill/>
                    </a:ln>
                  </pic:spPr>
                </pic:pic>
              </a:graphicData>
            </a:graphic>
          </wp:inline>
        </w:drawing>
      </w:r>
    </w:p>
    <w:p w14:paraId="5A88ACBF" w14:textId="486A8AF1" w:rsidR="000B2901" w:rsidRPr="000B2901" w:rsidRDefault="000B2901" w:rsidP="000B2901">
      <w:pPr>
        <w:pStyle w:val="Descripcin"/>
        <w:rPr>
          <w:i w:val="0"/>
          <w:iCs w:val="0"/>
        </w:rPr>
      </w:pPr>
      <w:r w:rsidRPr="000B2901">
        <w:rPr>
          <w:i w:val="0"/>
          <w:iCs w:val="0"/>
        </w:rPr>
        <w:t xml:space="preserve">Fuente: </w:t>
      </w:r>
      <w:r w:rsidR="00A96050">
        <w:rPr>
          <w:i w:val="0"/>
          <w:iCs w:val="0"/>
        </w:rPr>
        <w:t>SUI</w:t>
      </w:r>
    </w:p>
    <w:p w14:paraId="3DBFD943" w14:textId="6B6DBBF9" w:rsidR="006E4E4F" w:rsidRDefault="000B2901" w:rsidP="000B2901">
      <w:pPr>
        <w:pStyle w:val="Descripcin"/>
        <w:jc w:val="center"/>
      </w:pPr>
      <w:bookmarkStart w:id="29" w:name="_Toc153876886"/>
      <w:r>
        <w:t xml:space="preserve">Tabla </w:t>
      </w:r>
      <w:r>
        <w:fldChar w:fldCharType="begin"/>
      </w:r>
      <w:r>
        <w:instrText xml:space="preserve"> SEQ Tabla \* ARABIC </w:instrText>
      </w:r>
      <w:r>
        <w:fldChar w:fldCharType="separate"/>
      </w:r>
      <w:r w:rsidR="004B57FF">
        <w:rPr>
          <w:noProof/>
        </w:rPr>
        <w:t>1</w:t>
      </w:r>
      <w:r>
        <w:fldChar w:fldCharType="end"/>
      </w:r>
      <w:r>
        <w:t>. Exposición a bolsa principales comercializadores</w:t>
      </w:r>
      <w:bookmarkEnd w:id="29"/>
    </w:p>
    <w:p w14:paraId="34EB082B" w14:textId="2DB891EF" w:rsidR="00AC4E7C" w:rsidRDefault="00964ACE" w:rsidP="00AC4E7C">
      <w:r>
        <w:t>En lo que respecta a los saldos acumulados de la opción tarifaria</w:t>
      </w:r>
      <w:r w:rsidR="004B076A">
        <w:rPr>
          <w:rStyle w:val="Refdenotaalpie"/>
        </w:rPr>
        <w:footnoteReference w:id="4"/>
      </w:r>
      <w:r>
        <w:t xml:space="preserve"> </w:t>
      </w:r>
      <w:r w:rsidR="005530DC">
        <w:t xml:space="preserve">a agosto de 2023, el Documento CREG </w:t>
      </w:r>
      <w:r w:rsidR="007550E1">
        <w:t>901 038 de 2023 muestra situación en la siguiente ilustración:</w:t>
      </w:r>
    </w:p>
    <w:p w14:paraId="4D4A5100" w14:textId="77777777" w:rsidR="007550E1" w:rsidRDefault="007550E1" w:rsidP="00AC4E7C"/>
    <w:p w14:paraId="55FA77D5" w14:textId="02FCE8C9" w:rsidR="007550E1" w:rsidRDefault="00875198" w:rsidP="00875198">
      <w:pPr>
        <w:jc w:val="center"/>
      </w:pPr>
      <w:r w:rsidRPr="00A610A9">
        <w:rPr>
          <w:noProof/>
        </w:rPr>
        <w:drawing>
          <wp:inline distT="0" distB="0" distL="0" distR="0" wp14:anchorId="3B7B176C" wp14:editId="49A4218A">
            <wp:extent cx="5635775" cy="2075291"/>
            <wp:effectExtent l="0" t="0" r="3175" b="1270"/>
            <wp:docPr id="457720721" name="Gráfico 457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20721" name="Imagen 457720721"/>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5645734" cy="2078958"/>
                    </a:xfrm>
                    <a:prstGeom prst="rect">
                      <a:avLst/>
                    </a:prstGeom>
                  </pic:spPr>
                </pic:pic>
              </a:graphicData>
            </a:graphic>
          </wp:inline>
        </w:drawing>
      </w:r>
    </w:p>
    <w:p w14:paraId="55DF7C9E" w14:textId="3167D5B7" w:rsidR="00AC4E7C" w:rsidRDefault="00875198" w:rsidP="00D74181">
      <w:pPr>
        <w:pStyle w:val="Descripcin"/>
        <w:jc w:val="center"/>
      </w:pPr>
      <w:bookmarkStart w:id="30" w:name="_Toc153876876"/>
      <w:r>
        <w:t xml:space="preserve">Ilustración </w:t>
      </w:r>
      <w:r>
        <w:fldChar w:fldCharType="begin"/>
      </w:r>
      <w:r>
        <w:instrText xml:space="preserve"> SEQ Ilustración \* ARABIC </w:instrText>
      </w:r>
      <w:r>
        <w:fldChar w:fldCharType="separate"/>
      </w:r>
      <w:r w:rsidR="004B57FF">
        <w:rPr>
          <w:noProof/>
        </w:rPr>
        <w:t>11</w:t>
      </w:r>
      <w:r>
        <w:fldChar w:fldCharType="end"/>
      </w:r>
      <w:r w:rsidR="00D74181">
        <w:t xml:space="preserve">. </w:t>
      </w:r>
      <w:r w:rsidR="00D74181" w:rsidRPr="00A96083">
        <w:t>Saldo acumulado por mercado de comercialización</w:t>
      </w:r>
      <w:bookmarkEnd w:id="30"/>
    </w:p>
    <w:p w14:paraId="3C15A98D" w14:textId="6081C987" w:rsidR="00D74181" w:rsidRDefault="00D74181" w:rsidP="00D74181">
      <w:r>
        <w:t xml:space="preserve">Además, por otra </w:t>
      </w:r>
      <w:proofErr w:type="gramStart"/>
      <w:r>
        <w:t>parte</w:t>
      </w:r>
      <w:proofErr w:type="gramEnd"/>
      <w:r>
        <w:t xml:space="preserve"> en la formula tari</w:t>
      </w:r>
      <w:r w:rsidR="00354972">
        <w:t>faria</w:t>
      </w:r>
      <w:r w:rsidR="00E1170A">
        <w:t>, Resolución CREG 119 de 20</w:t>
      </w:r>
      <w:r w:rsidR="00F26D9B">
        <w:t xml:space="preserve">07, </w:t>
      </w:r>
      <w:r w:rsidR="0028186A">
        <w:t xml:space="preserve">se </w:t>
      </w:r>
      <w:r w:rsidR="00F26D9B">
        <w:t xml:space="preserve">tiene previsto un factor denominado AJ para mitigar </w:t>
      </w:r>
      <w:r w:rsidR="00C66078">
        <w:t xml:space="preserve">el efecto de </w:t>
      </w:r>
      <w:r w:rsidR="0044750D">
        <w:t xml:space="preserve">los traslados de los altos </w:t>
      </w:r>
      <w:r w:rsidR="0044750D">
        <w:lastRenderedPageBreak/>
        <w:t>precios en bolsa</w:t>
      </w:r>
      <w:r w:rsidR="0028186A">
        <w:t xml:space="preserve"> al Costo Unitario de prestación del servicio</w:t>
      </w:r>
      <w:r w:rsidR="0044750D">
        <w:t xml:space="preserve">, </w:t>
      </w:r>
      <w:r w:rsidR="003E167B">
        <w:t xml:space="preserve">el cual </w:t>
      </w:r>
      <w:r w:rsidR="00586328">
        <w:t xml:space="preserve">ha presentado incrementos significativos </w:t>
      </w:r>
      <w:r w:rsidR="00CC48A6">
        <w:t xml:space="preserve">para </w:t>
      </w:r>
      <w:r w:rsidR="00DB60DD">
        <w:t xml:space="preserve">el mes </w:t>
      </w:r>
      <w:r w:rsidR="00CC48A6">
        <w:t xml:space="preserve">noviembre </w:t>
      </w:r>
      <w:r w:rsidR="00DB60DD">
        <w:t>de 2023</w:t>
      </w:r>
      <w:r w:rsidR="003E3CF3">
        <w:t>, llegando a los 388 mil millones,</w:t>
      </w:r>
      <w:r w:rsidR="00DB60DD">
        <w:t xml:space="preserve"> </w:t>
      </w:r>
      <w:r w:rsidR="00C66078">
        <w:t xml:space="preserve">a raíz de los altos precios </w:t>
      </w:r>
      <w:r w:rsidR="00CC48A6">
        <w:t xml:space="preserve">en bolsa </w:t>
      </w:r>
      <w:r w:rsidR="00DB60DD">
        <w:t>de</w:t>
      </w:r>
      <w:r w:rsidR="00C02370">
        <w:t xml:space="preserve"> los meses de septiembre y octubre, </w:t>
      </w:r>
      <w:r w:rsidR="00CC48A6">
        <w:t xml:space="preserve">y </w:t>
      </w:r>
      <w:r w:rsidR="003B3959">
        <w:t xml:space="preserve">al nivel de </w:t>
      </w:r>
      <w:r w:rsidR="00CC48A6">
        <w:t xml:space="preserve">exposición en bolsa </w:t>
      </w:r>
      <w:r w:rsidR="00C02370">
        <w:t>de los comercializadores.</w:t>
      </w:r>
      <w:r w:rsidR="003B3959">
        <w:t xml:space="preserve"> La última información reportada</w:t>
      </w:r>
      <w:r w:rsidR="0029434D">
        <w:t xml:space="preserve"> por las empresas</w:t>
      </w:r>
      <w:r w:rsidR="003B3959">
        <w:t xml:space="preserve"> es la sig</w:t>
      </w:r>
      <w:r w:rsidR="00EC4C10">
        <w:t>uiente:</w:t>
      </w:r>
    </w:p>
    <w:p w14:paraId="1FBC037C" w14:textId="77777777" w:rsidR="00EC4C10" w:rsidRDefault="00EC4C10" w:rsidP="00D74181"/>
    <w:p w14:paraId="0FA76D7E" w14:textId="7E0679A7" w:rsidR="00EC4C10" w:rsidRDefault="00BC7B7F" w:rsidP="00BC7B7F">
      <w:pPr>
        <w:jc w:val="center"/>
      </w:pPr>
      <w:r>
        <w:rPr>
          <w:noProof/>
        </w:rPr>
        <w:drawing>
          <wp:inline distT="0" distB="0" distL="0" distR="0" wp14:anchorId="5975EC6F" wp14:editId="6CFB607C">
            <wp:extent cx="3566501" cy="4118776"/>
            <wp:effectExtent l="0" t="0" r="0" b="0"/>
            <wp:docPr id="523184424" name="Gráfico 52318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84424"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3568089" cy="4120610"/>
                    </a:xfrm>
                    <a:prstGeom prst="rect">
                      <a:avLst/>
                    </a:prstGeom>
                  </pic:spPr>
                </pic:pic>
              </a:graphicData>
            </a:graphic>
          </wp:inline>
        </w:drawing>
      </w:r>
    </w:p>
    <w:p w14:paraId="6CBDEC10" w14:textId="7EA75FB8" w:rsidR="00BC7B7F" w:rsidRDefault="00163AC1" w:rsidP="00163AC1">
      <w:pPr>
        <w:pStyle w:val="Descripcin"/>
        <w:jc w:val="center"/>
      </w:pPr>
      <w:bookmarkStart w:id="31" w:name="_Toc153876877"/>
      <w:r>
        <w:t xml:space="preserve">Ilustración </w:t>
      </w:r>
      <w:r>
        <w:fldChar w:fldCharType="begin"/>
      </w:r>
      <w:r>
        <w:instrText xml:space="preserve"> SEQ Ilustración \* ARABIC </w:instrText>
      </w:r>
      <w:r>
        <w:fldChar w:fldCharType="separate"/>
      </w:r>
      <w:r w:rsidR="004B57FF">
        <w:rPr>
          <w:noProof/>
        </w:rPr>
        <w:t>12</w:t>
      </w:r>
      <w:r>
        <w:fldChar w:fldCharType="end"/>
      </w:r>
      <w:r>
        <w:t>. Valores acumulados por el AJ de la fórmula tarifaria</w:t>
      </w:r>
      <w:bookmarkEnd w:id="31"/>
    </w:p>
    <w:p w14:paraId="5C5EC20F" w14:textId="77777777" w:rsidR="00513511" w:rsidRPr="00513511" w:rsidRDefault="00513511" w:rsidP="00513511"/>
    <w:p w14:paraId="6E750CFA" w14:textId="02006EB7" w:rsidR="00C02370" w:rsidRDefault="00F8150F" w:rsidP="00A3397D">
      <w:pPr>
        <w:pStyle w:val="Ttulo2"/>
        <w:numPr>
          <w:ilvl w:val="1"/>
          <w:numId w:val="1"/>
        </w:numPr>
        <w:ind w:left="567" w:hanging="567"/>
      </w:pPr>
      <w:bookmarkStart w:id="32" w:name="_Toc153876848"/>
      <w:r>
        <w:t>Propuestas de tercero</w:t>
      </w:r>
      <w:bookmarkEnd w:id="32"/>
    </w:p>
    <w:p w14:paraId="645DF8FE" w14:textId="6E1D3A66" w:rsidR="00F8150F" w:rsidRDefault="00F8150F" w:rsidP="00F8150F">
      <w:r>
        <w:t xml:space="preserve">Ante el panorama </w:t>
      </w:r>
      <w:r w:rsidR="009F591D">
        <w:t xml:space="preserve">del sector, </w:t>
      </w:r>
      <w:r w:rsidR="00B26B17">
        <w:t xml:space="preserve">la SSPD y </w:t>
      </w:r>
      <w:r w:rsidR="009F591D">
        <w:t xml:space="preserve">algunos gremios, </w:t>
      </w:r>
      <w:r w:rsidR="00D23030">
        <w:t>comités</w:t>
      </w:r>
      <w:r w:rsidR="009F591D">
        <w:t xml:space="preserve"> y empresas</w:t>
      </w:r>
      <w:r w:rsidR="00543E19">
        <w:rPr>
          <w:rStyle w:val="Refdenotaalpie"/>
        </w:rPr>
        <w:footnoteReference w:id="5"/>
      </w:r>
      <w:r w:rsidR="009F591D">
        <w:t xml:space="preserve"> han realizado</w:t>
      </w:r>
      <w:r w:rsidR="00D23030">
        <w:t xml:space="preserve"> propuesta</w:t>
      </w:r>
      <w:r w:rsidR="1ABBE568">
        <w:t>s</w:t>
      </w:r>
      <w:r w:rsidR="00D23030">
        <w:t xml:space="preserve"> para mitigar la situación. Entre la propuesta que</w:t>
      </w:r>
      <w:r w:rsidR="005C6146">
        <w:t xml:space="preserve"> le han </w:t>
      </w:r>
      <w:r w:rsidR="28286B7C">
        <w:t>presentado</w:t>
      </w:r>
      <w:r w:rsidR="005C6146">
        <w:t xml:space="preserve"> al </w:t>
      </w:r>
      <w:r w:rsidR="003B0A4A">
        <w:t xml:space="preserve">Ministerio de Minas y Energía y </w:t>
      </w:r>
      <w:r w:rsidR="005C6146">
        <w:t>a la CREG destacamos las siguientes:</w:t>
      </w:r>
    </w:p>
    <w:p w14:paraId="67DBC4B0" w14:textId="77777777" w:rsidR="00513511" w:rsidRDefault="00513511" w:rsidP="00F8150F"/>
    <w:p w14:paraId="4A65948F" w14:textId="77777777" w:rsidR="005C6146" w:rsidRDefault="005C6146" w:rsidP="00F8150F"/>
    <w:p w14:paraId="0A27E4CC" w14:textId="2E409816" w:rsidR="007750F8" w:rsidRDefault="007750F8" w:rsidP="00DB1960">
      <w:pPr>
        <w:pStyle w:val="Prrafodelista"/>
        <w:numPr>
          <w:ilvl w:val="0"/>
          <w:numId w:val="14"/>
        </w:numPr>
      </w:pPr>
      <w:r>
        <w:t>SSPD</w:t>
      </w:r>
    </w:p>
    <w:p w14:paraId="3D809D2D" w14:textId="77777777" w:rsidR="008A2790" w:rsidRPr="00D555B9" w:rsidRDefault="007750F8" w:rsidP="008A2790">
      <w:pPr>
        <w:spacing w:before="240" w:after="240"/>
      </w:pPr>
      <w:r>
        <w:t xml:space="preserve">Ante la situación actual de </w:t>
      </w:r>
      <w:r w:rsidR="00264BD3">
        <w:t xml:space="preserve">los precios en bolsa, </w:t>
      </w:r>
      <w:r w:rsidR="00A910EA">
        <w:t>la SSPD con comunicación con radicado E</w:t>
      </w:r>
      <w:r w:rsidR="008A2790" w:rsidRPr="00D555B9">
        <w:t xml:space="preserve">20232204825411 del 8 de diciembre de 2023 hace un recuento del comportamiento del precio de bolsa actual y los fenómenos de El Niño anteriores, y sugiere a la Comisión </w:t>
      </w:r>
      <w:r w:rsidR="008A2790" w:rsidRPr="00D555B9">
        <w:rPr>
          <w:i/>
          <w:iCs/>
        </w:rPr>
        <w:t>“…tener en cuenta en el desarrollo de su gestión regulatoria, acciones y propuestas enfocadas en garantizar precios eficientes para el mercado con el fin de garantizar la prestación optima y confiable del servicio de energía eléctrica a los usuarios finales con precios adecuados para la demanda</w:t>
      </w:r>
      <w:r w:rsidR="008A2790" w:rsidRPr="00D555B9">
        <w:t>”.</w:t>
      </w:r>
    </w:p>
    <w:p w14:paraId="6136B5AA" w14:textId="0CDCB567" w:rsidR="005C6146" w:rsidRDefault="005C6146" w:rsidP="00DB1960">
      <w:pPr>
        <w:pStyle w:val="Prrafodelista"/>
        <w:numPr>
          <w:ilvl w:val="0"/>
          <w:numId w:val="14"/>
        </w:numPr>
      </w:pPr>
      <w:r>
        <w:t>Acolgen</w:t>
      </w:r>
    </w:p>
    <w:p w14:paraId="42537AAE" w14:textId="77777777" w:rsidR="005C6146" w:rsidRDefault="005C6146" w:rsidP="005C6146"/>
    <w:p w14:paraId="6ECB3727" w14:textId="10670C12" w:rsidR="005C6146" w:rsidRDefault="005C6146" w:rsidP="00F8150F">
      <w:r>
        <w:t xml:space="preserve">Acolgen </w:t>
      </w:r>
      <w:r w:rsidR="008D09D6">
        <w:t>remit</w:t>
      </w:r>
      <w:r w:rsidR="00066F61">
        <w:t>i</w:t>
      </w:r>
      <w:r w:rsidR="008D09D6">
        <w:t xml:space="preserve">ó comunicación </w:t>
      </w:r>
      <w:r w:rsidR="00ED7D2F">
        <w:t>(</w:t>
      </w:r>
      <w:r w:rsidR="00C03F23">
        <w:t xml:space="preserve">E2023004453) para reunirse </w:t>
      </w:r>
      <w:r w:rsidR="00ED7D2F">
        <w:t>con la CREG para presentar propuestas en las siguientes direcciones:</w:t>
      </w:r>
    </w:p>
    <w:p w14:paraId="20449D4B" w14:textId="77777777" w:rsidR="00A475C0" w:rsidRDefault="00A475C0" w:rsidP="00F8150F"/>
    <w:p w14:paraId="23230A49" w14:textId="7A0B84EF" w:rsidR="00A475C0" w:rsidRDefault="00A475C0" w:rsidP="00DB1960">
      <w:pPr>
        <w:pStyle w:val="Prrafodelista"/>
        <w:numPr>
          <w:ilvl w:val="0"/>
          <w:numId w:val="9"/>
        </w:numPr>
      </w:pPr>
      <w:r>
        <w:t xml:space="preserve">Propuesta sobre titularización </w:t>
      </w:r>
      <w:r w:rsidR="00624530">
        <w:t xml:space="preserve">de saldos de la opción tarifaria a través de Bonos de Alivio </w:t>
      </w:r>
      <w:r w:rsidR="00441D80">
        <w:t>Tarifario (BAT)</w:t>
      </w:r>
    </w:p>
    <w:p w14:paraId="0A798D6E" w14:textId="19F75E3E" w:rsidR="00441D80" w:rsidRDefault="00441D80" w:rsidP="00DB1960">
      <w:pPr>
        <w:pStyle w:val="Prrafodelista"/>
        <w:numPr>
          <w:ilvl w:val="0"/>
          <w:numId w:val="9"/>
        </w:numPr>
      </w:pPr>
      <w:r>
        <w:t xml:space="preserve">Disminución del impacto de los precios de bolsa </w:t>
      </w:r>
      <w:r w:rsidR="00B76168">
        <w:t xml:space="preserve">en el precio que pagan los consumidores, a través de soluciones </w:t>
      </w:r>
      <w:r w:rsidR="00F64617">
        <w:t xml:space="preserve">regulatorias temporales consistentes en: </w:t>
      </w:r>
      <w:r w:rsidR="004F7AED">
        <w:t>a</w:t>
      </w:r>
      <w:r w:rsidR="00F64617">
        <w:t>) subasta de contratos condicion</w:t>
      </w:r>
      <w:r w:rsidR="004F7AED">
        <w:t>a</w:t>
      </w:r>
      <w:r w:rsidR="00F64617">
        <w:t xml:space="preserve">da o especial y </w:t>
      </w:r>
      <w:r w:rsidR="004F7AED">
        <w:t>b</w:t>
      </w:r>
      <w:r w:rsidR="00F64617">
        <w:t>) revenue cap</w:t>
      </w:r>
      <w:r w:rsidR="00842BEB">
        <w:rPr>
          <w:rStyle w:val="Refdenotaalpie"/>
        </w:rPr>
        <w:footnoteReference w:id="6"/>
      </w:r>
      <w:r w:rsidR="00F64617">
        <w:t>.</w:t>
      </w:r>
    </w:p>
    <w:p w14:paraId="71A3A319" w14:textId="77777777" w:rsidR="00F64617" w:rsidRDefault="00F64617" w:rsidP="00F64617"/>
    <w:p w14:paraId="4C424466" w14:textId="3D030514" w:rsidR="003B45A4" w:rsidRDefault="00496590" w:rsidP="00DB1960">
      <w:pPr>
        <w:pStyle w:val="Prrafodelista"/>
        <w:numPr>
          <w:ilvl w:val="0"/>
          <w:numId w:val="14"/>
        </w:numPr>
      </w:pPr>
      <w:r>
        <w:t>Celsia (presentación al MME)</w:t>
      </w:r>
    </w:p>
    <w:p w14:paraId="255833A8" w14:textId="77777777" w:rsidR="00496590" w:rsidRDefault="00496590" w:rsidP="00496590"/>
    <w:p w14:paraId="1B7DB01B" w14:textId="38B71192" w:rsidR="00066F61" w:rsidRPr="00066F61" w:rsidRDefault="00066F61" w:rsidP="00066F61">
      <w:r w:rsidRPr="00066F61">
        <w:t>Con el objetivo de mitigar el efecto del incremento atípico de los precios de los combustibles, así como el incremento en la tasa de cambio que se reflejan en un costo atípico en los recursos marginales de la bolsa de energía, proponemos establecer de manera temporal un ajuste en la remuneración de la renta Inframarginal que corrija la distorsión mientras se vuelve a condiciones normales.</w:t>
      </w:r>
    </w:p>
    <w:p w14:paraId="7B37D1B1" w14:textId="77777777" w:rsidR="00496590" w:rsidRDefault="00496590" w:rsidP="00496590"/>
    <w:p w14:paraId="7A477036" w14:textId="4BFC9851" w:rsidR="00236300" w:rsidRPr="00236300" w:rsidRDefault="00236300" w:rsidP="00496590">
      <w:r>
        <w:t xml:space="preserve">Para lo anterior se propuesto como una de las medidas la definición </w:t>
      </w:r>
      <w:r w:rsidR="00EE029C">
        <w:t xml:space="preserve">de un techo máximo de renta inframarginal, </w:t>
      </w:r>
      <w:r w:rsidR="007179C7">
        <w:t>con base en el precio marginal de escasez de 2021.</w:t>
      </w:r>
    </w:p>
    <w:p w14:paraId="2AC2CEF7" w14:textId="77777777" w:rsidR="00066F61" w:rsidRPr="00066F61" w:rsidRDefault="00066F61" w:rsidP="00496590">
      <w:pPr>
        <w:rPr>
          <w:lang w:val="es-CO"/>
        </w:rPr>
      </w:pPr>
    </w:p>
    <w:p w14:paraId="18BA3A1E" w14:textId="0F70564E" w:rsidR="00ED7D2F" w:rsidRDefault="007179C7" w:rsidP="00DB1960">
      <w:pPr>
        <w:pStyle w:val="Prrafodelista"/>
        <w:numPr>
          <w:ilvl w:val="0"/>
          <w:numId w:val="14"/>
        </w:numPr>
      </w:pPr>
      <w:r>
        <w:t>Comité Asesor Comercialización (CAC)</w:t>
      </w:r>
    </w:p>
    <w:p w14:paraId="1A93898D" w14:textId="77777777" w:rsidR="007179C7" w:rsidRDefault="007179C7" w:rsidP="007179C7"/>
    <w:p w14:paraId="2A3D4F25" w14:textId="1DDF1A77" w:rsidR="00ED7D2F" w:rsidRDefault="0069572C" w:rsidP="00F8150F">
      <w:r>
        <w:t xml:space="preserve">EL CAC mediante comunicación E2023018169 a raíz de la problemática de la comercialización </w:t>
      </w:r>
      <w:r w:rsidR="00F7219E">
        <w:t>hizo las siguientes propuestas:</w:t>
      </w:r>
      <w:r w:rsidR="006B42C2">
        <w:t xml:space="preserve"> a) aumentar </w:t>
      </w:r>
      <w:r w:rsidR="007530A7">
        <w:t xml:space="preserve">los niveles de cobertura de los agentes comercializadores </w:t>
      </w:r>
      <w:r w:rsidR="00FE13E3">
        <w:t xml:space="preserve">que atienden demanda regulada, y b) acotar la volatilidad del precio de corto plazo </w:t>
      </w:r>
      <w:r w:rsidR="00610654">
        <w:t xml:space="preserve">que se traslada a los usuarios regulados, mediante la definición temporal de una liquidación transitoria </w:t>
      </w:r>
      <w:r w:rsidR="008E256C">
        <w:t xml:space="preserve">de las operaciones en bolsa de energía a un precio de referencia por debajo </w:t>
      </w:r>
      <w:r w:rsidR="0046491B">
        <w:t>del precio de bolsa.</w:t>
      </w:r>
      <w:r w:rsidR="008E256C">
        <w:t xml:space="preserve"> </w:t>
      </w:r>
    </w:p>
    <w:p w14:paraId="17655588" w14:textId="77777777" w:rsidR="005C6146" w:rsidRDefault="005C6146" w:rsidP="00F8150F"/>
    <w:p w14:paraId="49987DF1" w14:textId="189D25FD" w:rsidR="00A1700B" w:rsidRDefault="00A1700B" w:rsidP="00F8150F">
      <w:r>
        <w:lastRenderedPageBreak/>
        <w:t>Respec</w:t>
      </w:r>
      <w:r w:rsidR="009C1472">
        <w:t xml:space="preserve">to a algunos de los temas planteados </w:t>
      </w:r>
      <w:r w:rsidR="00E37A20">
        <w:t xml:space="preserve">anteriormente, la CREG ya </w:t>
      </w:r>
      <w:r w:rsidR="4547998D">
        <w:t>h</w:t>
      </w:r>
      <w:r w:rsidR="00E37A20">
        <w:t xml:space="preserve">a avanzado en algunos de </w:t>
      </w:r>
      <w:r w:rsidR="00513F13">
        <w:t>temas tales como: a) Saldos acumulados</w:t>
      </w:r>
      <w:r w:rsidR="000E6DE9">
        <w:t xml:space="preserve"> de la opción tarifaria</w:t>
      </w:r>
      <w:r w:rsidR="00513F13">
        <w:t xml:space="preserve">, se expidieron las resoluciones CREG 101 028 y 029 de 2023 mediante la cual </w:t>
      </w:r>
      <w:r w:rsidR="005F728C">
        <w:t>define una solución estructural a la problemática señalada, y ii) contratación temporal, se exp</w:t>
      </w:r>
      <w:r w:rsidR="005C2EE5">
        <w:t xml:space="preserve">idieron para consulta las Resoluciones CREG </w:t>
      </w:r>
      <w:r w:rsidR="005864B9">
        <w:t xml:space="preserve">701 </w:t>
      </w:r>
      <w:r w:rsidR="005C2EE5">
        <w:t xml:space="preserve">020 y 021 de 2023, para </w:t>
      </w:r>
      <w:r w:rsidR="00A231B4">
        <w:t xml:space="preserve">permitir </w:t>
      </w:r>
      <w:r w:rsidR="005C2EE5">
        <w:t xml:space="preserve">la contratación de los excedentes </w:t>
      </w:r>
      <w:r w:rsidR="00175915">
        <w:t>de las plantas menores y facilitar</w:t>
      </w:r>
      <w:r w:rsidR="00A231B4">
        <w:t xml:space="preserve"> y promover</w:t>
      </w:r>
      <w:r w:rsidR="00175915">
        <w:t xml:space="preserve"> el proceso de contratación a través de Sicep</w:t>
      </w:r>
      <w:r w:rsidR="005864B9">
        <w:t xml:space="preserve"> para la atención de demanda regulada</w:t>
      </w:r>
      <w:r w:rsidR="00175915">
        <w:t>.</w:t>
      </w:r>
      <w:r w:rsidR="005C2EE5">
        <w:t xml:space="preserve"> </w:t>
      </w:r>
      <w:r w:rsidR="005F728C">
        <w:t xml:space="preserve"> </w:t>
      </w:r>
    </w:p>
    <w:p w14:paraId="78E720E7" w14:textId="77777777" w:rsidR="00A1700B" w:rsidRPr="00F8150F" w:rsidRDefault="00A1700B" w:rsidP="00F8150F"/>
    <w:p w14:paraId="5F439DAC" w14:textId="22830737" w:rsidR="006E4E4F" w:rsidRDefault="00CE02EE" w:rsidP="00CE02EE">
      <w:pPr>
        <w:pStyle w:val="Ttulo2"/>
        <w:numPr>
          <w:ilvl w:val="1"/>
          <w:numId w:val="1"/>
        </w:numPr>
        <w:ind w:left="567" w:hanging="567"/>
        <w:rPr>
          <w:szCs w:val="22"/>
          <w:lang w:val="es-CO"/>
        </w:rPr>
      </w:pPr>
      <w:bookmarkStart w:id="33" w:name="_Toc153876849"/>
      <w:r>
        <w:rPr>
          <w:szCs w:val="22"/>
          <w:lang w:val="es-CO"/>
        </w:rPr>
        <w:t>Indicadores</w:t>
      </w:r>
      <w:bookmarkEnd w:id="33"/>
    </w:p>
    <w:p w14:paraId="3AE4ECB0" w14:textId="07AE8A38" w:rsidR="00CE02EE" w:rsidRDefault="006F0554" w:rsidP="00CE02EE">
      <w:pPr>
        <w:rPr>
          <w:lang w:val="es-CO"/>
        </w:rPr>
      </w:pPr>
      <w:r>
        <w:rPr>
          <w:lang w:val="es-CO"/>
        </w:rPr>
        <w:t>En el presente numeral, se presentan algunos indicadores relevantes de</w:t>
      </w:r>
      <w:r w:rsidR="00D36449">
        <w:rPr>
          <w:lang w:val="es-CO"/>
        </w:rPr>
        <w:t xml:space="preserve">l sector tales como: porcentaje de participación en la fijación de </w:t>
      </w:r>
      <w:r w:rsidR="00803FED">
        <w:rPr>
          <w:lang w:val="es-CO"/>
        </w:rPr>
        <w:t xml:space="preserve">los </w:t>
      </w:r>
      <w:r w:rsidR="00D36449">
        <w:rPr>
          <w:lang w:val="es-CO"/>
        </w:rPr>
        <w:t>p</w:t>
      </w:r>
      <w:r w:rsidR="001D76B1">
        <w:rPr>
          <w:lang w:val="es-CO"/>
        </w:rPr>
        <w:t>recios de bolsa por agentes, índice de Lerner y margen de reserva diario.</w:t>
      </w:r>
    </w:p>
    <w:p w14:paraId="6BAAE3AC" w14:textId="77777777" w:rsidR="001D76B1" w:rsidRDefault="001D76B1" w:rsidP="00CE02EE">
      <w:pPr>
        <w:rPr>
          <w:lang w:val="es-CO"/>
        </w:rPr>
      </w:pPr>
    </w:p>
    <w:p w14:paraId="56C958BC" w14:textId="77777777" w:rsidR="0078605D" w:rsidRDefault="0078605D" w:rsidP="00CE02EE">
      <w:pPr>
        <w:rPr>
          <w:lang w:val="es-CO"/>
        </w:rPr>
      </w:pPr>
    </w:p>
    <w:p w14:paraId="5BBAFE87" w14:textId="6A8FFF5E" w:rsidR="0078605D" w:rsidRDefault="00D90C4A" w:rsidP="00D90C4A">
      <w:pPr>
        <w:pStyle w:val="Ttulo3"/>
      </w:pPr>
      <w:bookmarkStart w:id="34" w:name="_Toc153876850"/>
      <w:r>
        <w:t>Porcentaje de fijación de precio</w:t>
      </w:r>
      <w:bookmarkEnd w:id="34"/>
    </w:p>
    <w:p w14:paraId="37D9B53E" w14:textId="77777777" w:rsidR="003579C3" w:rsidRDefault="00803FED" w:rsidP="00CE02EE">
      <w:pPr>
        <w:rPr>
          <w:lang w:val="es-CO"/>
        </w:rPr>
      </w:pPr>
      <w:r>
        <w:rPr>
          <w:lang w:val="es-CO"/>
        </w:rPr>
        <w:t xml:space="preserve">En lo que respecta a los porcentajes de participación en la fijación de los precios de bolsa por agente, la SSPD a través de la Unidad de Monitoreo </w:t>
      </w:r>
      <w:r w:rsidR="003579C3">
        <w:rPr>
          <w:lang w:val="es-CO"/>
        </w:rPr>
        <w:t>y su boletín de jun-ago de 2023 muestra los siguientes resultados:</w:t>
      </w:r>
    </w:p>
    <w:p w14:paraId="59F43F21" w14:textId="77777777" w:rsidR="003579C3" w:rsidRDefault="003579C3" w:rsidP="00CE02EE">
      <w:pPr>
        <w:rPr>
          <w:lang w:val="es-CO"/>
        </w:rPr>
      </w:pPr>
    </w:p>
    <w:tbl>
      <w:tblPr>
        <w:tblStyle w:val="Tablaconcuadrcula"/>
        <w:tblW w:w="0" w:type="auto"/>
        <w:tblLook w:val="04A0" w:firstRow="1" w:lastRow="0" w:firstColumn="1" w:lastColumn="0" w:noHBand="0" w:noVBand="1"/>
      </w:tblPr>
      <w:tblGrid>
        <w:gridCol w:w="4357"/>
        <w:gridCol w:w="5039"/>
      </w:tblGrid>
      <w:tr w:rsidR="00D742D6" w14:paraId="61BC05E4" w14:textId="77777777" w:rsidTr="00A12B42">
        <w:tc>
          <w:tcPr>
            <w:tcW w:w="4698" w:type="dxa"/>
          </w:tcPr>
          <w:p w14:paraId="55D03B81" w14:textId="2F9CE504" w:rsidR="00A12B42" w:rsidRDefault="00A12B42" w:rsidP="00CE02EE">
            <w:pPr>
              <w:rPr>
                <w:lang w:val="es-CO"/>
              </w:rPr>
            </w:pPr>
            <w:r w:rsidRPr="00A12B42">
              <w:rPr>
                <w:noProof/>
              </w:rPr>
              <w:drawing>
                <wp:inline distT="0" distB="0" distL="0" distR="0" wp14:anchorId="310A8FD7" wp14:editId="590DEE6A">
                  <wp:extent cx="2661354" cy="1789043"/>
                  <wp:effectExtent l="0" t="0" r="5715" b="1905"/>
                  <wp:docPr id="5" name="Imagen 5">
                    <a:extLst xmlns:a="http://schemas.openxmlformats.org/drawingml/2006/main">
                      <a:ext uri="{FF2B5EF4-FFF2-40B4-BE49-F238E27FC236}">
                        <a16:creationId xmlns:a16="http://schemas.microsoft.com/office/drawing/2014/main" id="{17FF86C5-4ED9-CF1F-619B-8F0FE4E7B6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7FF86C5-4ED9-CF1F-619B-8F0FE4E7B61C}"/>
                              </a:ext>
                            </a:extLst>
                          </pic:cNvPr>
                          <pic:cNvPicPr>
                            <a:picLocks noChangeAspect="1"/>
                          </pic:cNvPicPr>
                        </pic:nvPicPr>
                        <pic:blipFill>
                          <a:blip r:embed="rId39"/>
                          <a:stretch>
                            <a:fillRect/>
                          </a:stretch>
                        </pic:blipFill>
                        <pic:spPr>
                          <a:xfrm>
                            <a:off x="0" y="0"/>
                            <a:ext cx="2673069" cy="1796918"/>
                          </a:xfrm>
                          <a:prstGeom prst="rect">
                            <a:avLst/>
                          </a:prstGeom>
                        </pic:spPr>
                      </pic:pic>
                    </a:graphicData>
                  </a:graphic>
                </wp:inline>
              </w:drawing>
            </w:r>
          </w:p>
        </w:tc>
        <w:tc>
          <w:tcPr>
            <w:tcW w:w="4698" w:type="dxa"/>
          </w:tcPr>
          <w:p w14:paraId="3087B874" w14:textId="427630F6" w:rsidR="00A12B42" w:rsidRDefault="00D742D6" w:rsidP="00CE02EE">
            <w:pPr>
              <w:rPr>
                <w:lang w:val="es-CO"/>
              </w:rPr>
            </w:pPr>
            <w:r w:rsidRPr="00D742D6">
              <w:rPr>
                <w:noProof/>
              </w:rPr>
              <w:drawing>
                <wp:inline distT="0" distB="0" distL="0" distR="0" wp14:anchorId="4B412ED9" wp14:editId="5C60592C">
                  <wp:extent cx="3106387" cy="2504661"/>
                  <wp:effectExtent l="0" t="0" r="0" b="0"/>
                  <wp:docPr id="8" name="Imagen 8">
                    <a:extLst xmlns:a="http://schemas.openxmlformats.org/drawingml/2006/main">
                      <a:ext uri="{FF2B5EF4-FFF2-40B4-BE49-F238E27FC236}">
                        <a16:creationId xmlns:a16="http://schemas.microsoft.com/office/drawing/2014/main" id="{841D0506-5986-17A5-6C6B-520928C869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841D0506-5986-17A5-6C6B-520928C869AF}"/>
                              </a:ext>
                            </a:extLst>
                          </pic:cNvPr>
                          <pic:cNvPicPr>
                            <a:picLocks noChangeAspect="1"/>
                          </pic:cNvPicPr>
                        </pic:nvPicPr>
                        <pic:blipFill>
                          <a:blip r:embed="rId40"/>
                          <a:stretch>
                            <a:fillRect/>
                          </a:stretch>
                        </pic:blipFill>
                        <pic:spPr>
                          <a:xfrm>
                            <a:off x="0" y="0"/>
                            <a:ext cx="3125863" cy="2520364"/>
                          </a:xfrm>
                          <a:prstGeom prst="rect">
                            <a:avLst/>
                          </a:prstGeom>
                        </pic:spPr>
                      </pic:pic>
                    </a:graphicData>
                  </a:graphic>
                </wp:inline>
              </w:drawing>
            </w:r>
          </w:p>
        </w:tc>
      </w:tr>
    </w:tbl>
    <w:p w14:paraId="469E5A8E" w14:textId="360ADE05" w:rsidR="001D76B1" w:rsidRDefault="00803FED" w:rsidP="00CE02EE">
      <w:pPr>
        <w:rPr>
          <w:lang w:val="es-CO"/>
        </w:rPr>
      </w:pPr>
      <w:r>
        <w:rPr>
          <w:lang w:val="es-CO"/>
        </w:rPr>
        <w:t xml:space="preserve"> </w:t>
      </w:r>
    </w:p>
    <w:p w14:paraId="1EEAE431" w14:textId="03A0DBE2" w:rsidR="00CE02EE" w:rsidRDefault="00D742D6" w:rsidP="00D141EA">
      <w:pPr>
        <w:pStyle w:val="Descripcin"/>
        <w:jc w:val="center"/>
        <w:rPr>
          <w:lang w:val="es-CO"/>
        </w:rPr>
      </w:pPr>
      <w:bookmarkStart w:id="35" w:name="_Toc153876887"/>
      <w:r>
        <w:t xml:space="preserve">Tabla </w:t>
      </w:r>
      <w:r>
        <w:fldChar w:fldCharType="begin"/>
      </w:r>
      <w:r>
        <w:instrText xml:space="preserve"> SEQ Tabla \* ARABIC </w:instrText>
      </w:r>
      <w:r>
        <w:fldChar w:fldCharType="separate"/>
      </w:r>
      <w:r w:rsidR="004B57FF">
        <w:rPr>
          <w:noProof/>
        </w:rPr>
        <w:t>2</w:t>
      </w:r>
      <w:r>
        <w:fldChar w:fldCharType="end"/>
      </w:r>
      <w:r>
        <w:t xml:space="preserve">. </w:t>
      </w:r>
      <w:r w:rsidR="00DE4A7D">
        <w:t>Porcentaje de participación de la fijación de precio por agente</w:t>
      </w:r>
      <w:bookmarkEnd w:id="35"/>
    </w:p>
    <w:p w14:paraId="39BC61B4" w14:textId="7D0BA7A9" w:rsidR="00CE02EE" w:rsidRDefault="008C2DEF" w:rsidP="00CE02EE">
      <w:pPr>
        <w:rPr>
          <w:lang w:val="es-CO"/>
        </w:rPr>
      </w:pPr>
      <w:r>
        <w:rPr>
          <w:lang w:val="es-CO"/>
        </w:rPr>
        <w:t xml:space="preserve">De acuerdo con lo anterior, en el mes de agostos de 2023 en el 90% de los casos </w:t>
      </w:r>
      <w:r w:rsidR="002A0E05">
        <w:rPr>
          <w:lang w:val="es-CO"/>
        </w:rPr>
        <w:t>4 agentes fijaron el precio de bolsa.</w:t>
      </w:r>
    </w:p>
    <w:p w14:paraId="197F5F55" w14:textId="77777777" w:rsidR="00D141EA" w:rsidRDefault="00D141EA" w:rsidP="00CE02EE">
      <w:pPr>
        <w:rPr>
          <w:lang w:val="es-CO"/>
        </w:rPr>
      </w:pPr>
    </w:p>
    <w:p w14:paraId="2C3BD7C8" w14:textId="77777777" w:rsidR="00D141EA" w:rsidRDefault="00D141EA" w:rsidP="00CE02EE">
      <w:pPr>
        <w:rPr>
          <w:lang w:val="es-CO"/>
        </w:rPr>
      </w:pPr>
    </w:p>
    <w:p w14:paraId="776789A9" w14:textId="6CD26EEC" w:rsidR="00D90C4A" w:rsidRDefault="00D90C4A" w:rsidP="00D90C4A">
      <w:pPr>
        <w:pStyle w:val="Ttulo3"/>
      </w:pPr>
      <w:bookmarkStart w:id="36" w:name="_Toc153876851"/>
      <w:r>
        <w:lastRenderedPageBreak/>
        <w:t>Índice de Lerner</w:t>
      </w:r>
      <w:bookmarkEnd w:id="36"/>
    </w:p>
    <w:p w14:paraId="05081215" w14:textId="77777777" w:rsidR="00D90C4A" w:rsidRDefault="00D90C4A" w:rsidP="00CE02EE">
      <w:pPr>
        <w:rPr>
          <w:lang w:val="es-CO"/>
        </w:rPr>
      </w:pPr>
    </w:p>
    <w:p w14:paraId="40AD2481" w14:textId="3B6EA4F0" w:rsidR="001E3144" w:rsidRPr="001E3144" w:rsidRDefault="006210FE" w:rsidP="001E3144">
      <w:pPr>
        <w:rPr>
          <w:lang w:val="es-CO"/>
        </w:rPr>
      </w:pPr>
      <w:r>
        <w:rPr>
          <w:lang w:val="es-CO"/>
        </w:rPr>
        <w:t>E</w:t>
      </w:r>
      <w:r w:rsidR="001E3144" w:rsidRPr="001E3144">
        <w:rPr>
          <w:lang w:val="es-CO"/>
        </w:rPr>
        <w:t>l índice Lerner es una medida que se utiliza en análisis económico de competencia y organización industrial y que resulta útil para analizar la competencia en el mercado y el grado de poder de mercado de las empresas de un mercado. Este índice se calcula como la diferencia entre el precio y el costo marginal, dividida por el precio. Matemáticamente, se expresa como: </w:t>
      </w:r>
    </w:p>
    <w:p w14:paraId="4D5E31D8" w14:textId="77777777" w:rsidR="001E3144" w:rsidRDefault="001E3144" w:rsidP="001E3144">
      <w:pPr>
        <w:textAlignment w:val="baseline"/>
        <w:rPr>
          <w:rFonts w:ascii="Calibri" w:hAnsi="Calibri" w:cs="Calibri"/>
          <w:sz w:val="22"/>
          <w:szCs w:val="22"/>
          <w:lang w:val="es-CO" w:eastAsia="es-CO"/>
        </w:rPr>
      </w:pPr>
      <w:r w:rsidRPr="001E3144">
        <w:rPr>
          <w:rFonts w:ascii="Calibri" w:hAnsi="Calibri" w:cs="Calibri"/>
          <w:sz w:val="22"/>
          <w:szCs w:val="22"/>
          <w:lang w:val="es-CO" w:eastAsia="es-CO"/>
        </w:rPr>
        <w:t> </w:t>
      </w:r>
    </w:p>
    <w:p w14:paraId="087EBECE" w14:textId="78AC6CA9" w:rsidR="001E3144" w:rsidRPr="001E3144" w:rsidRDefault="00DB6486" w:rsidP="008E3647">
      <w:pPr>
        <w:shd w:val="clear" w:color="auto" w:fill="FFFFFF"/>
        <w:jc w:val="center"/>
        <w:rPr>
          <w:rFonts w:ascii="Segoe UI" w:hAnsi="Segoe UI" w:cs="Segoe UI"/>
          <w:color w:val="000000"/>
          <w:sz w:val="18"/>
          <w:szCs w:val="18"/>
          <w:lang w:val="es-CO" w:eastAsia="es-CO"/>
        </w:rPr>
      </w:pPr>
      <m:oMathPara>
        <m:oMath>
          <m:r>
            <w:rPr>
              <w:rFonts w:ascii="Cambria Math" w:hAnsi="Cambria Math" w:cs="Calibri"/>
              <w:color w:val="000000"/>
              <w:sz w:val="28"/>
              <w:szCs w:val="28"/>
              <w:lang w:val="es-CO" w:eastAsia="es-CO"/>
            </w:rPr>
            <m:t>Indice_Lerner=</m:t>
          </m:r>
          <m:f>
            <m:fPr>
              <m:ctrlPr>
                <w:rPr>
                  <w:rFonts w:ascii="Cambria Math" w:hAnsi="Cambria Math" w:cs="Calibri"/>
                  <w:i/>
                  <w:color w:val="000000"/>
                  <w:sz w:val="28"/>
                  <w:szCs w:val="28"/>
                  <w:lang w:val="es-CO" w:eastAsia="es-CO"/>
                </w:rPr>
              </m:ctrlPr>
            </m:fPr>
            <m:num>
              <m:r>
                <w:rPr>
                  <w:rFonts w:ascii="Cambria Math" w:hAnsi="Cambria Math" w:cs="Calibri"/>
                  <w:color w:val="000000"/>
                  <w:sz w:val="28"/>
                  <w:szCs w:val="28"/>
                  <w:lang w:val="es-CO" w:eastAsia="es-CO"/>
                </w:rPr>
                <m:t>P-CMg</m:t>
              </m:r>
            </m:num>
            <m:den>
              <m:r>
                <w:rPr>
                  <w:rFonts w:ascii="Cambria Math" w:hAnsi="Cambria Math" w:cs="Calibri"/>
                  <w:color w:val="000000"/>
                  <w:sz w:val="28"/>
                  <w:szCs w:val="28"/>
                  <w:lang w:val="es-CO" w:eastAsia="es-CO"/>
                </w:rPr>
                <m:t>P</m:t>
              </m:r>
            </m:den>
          </m:f>
        </m:oMath>
      </m:oMathPara>
    </w:p>
    <w:p w14:paraId="016AAB7F" w14:textId="77777777" w:rsidR="001E3144" w:rsidRPr="001E3144" w:rsidRDefault="001E3144" w:rsidP="001E3144">
      <w:pPr>
        <w:textAlignment w:val="baseline"/>
        <w:rPr>
          <w:rFonts w:cs="Arial"/>
          <w:szCs w:val="24"/>
          <w:lang w:val="es-CO" w:eastAsia="es-CO"/>
        </w:rPr>
      </w:pPr>
      <w:r w:rsidRPr="001E3144">
        <w:rPr>
          <w:rFonts w:ascii="Calibri" w:hAnsi="Calibri" w:cs="Calibri"/>
          <w:sz w:val="22"/>
          <w:szCs w:val="22"/>
          <w:lang w:val="es-CO" w:eastAsia="es-CO"/>
        </w:rPr>
        <w:t>​</w:t>
      </w:r>
      <w:r w:rsidRPr="001E3144">
        <w:rPr>
          <w:rFonts w:cs="Arial"/>
          <w:szCs w:val="24"/>
          <w:lang w:val="es-CO" w:eastAsia="es-CO"/>
        </w:rPr>
        <w:t>Donde: </w:t>
      </w:r>
    </w:p>
    <w:p w14:paraId="7441E5A0" w14:textId="77777777" w:rsidR="001E3144" w:rsidRPr="001E3144" w:rsidRDefault="001E3144" w:rsidP="001E3144">
      <w:pPr>
        <w:textAlignment w:val="baseline"/>
        <w:rPr>
          <w:rFonts w:cs="Arial"/>
          <w:szCs w:val="24"/>
          <w:lang w:val="es-CO" w:eastAsia="es-CO"/>
        </w:rPr>
      </w:pPr>
      <w:r w:rsidRPr="001E3144">
        <w:rPr>
          <w:rFonts w:cs="Arial"/>
          <w:szCs w:val="24"/>
          <w:lang w:val="es-CO" w:eastAsia="es-CO"/>
        </w:rPr>
        <w:t>P: Precio del bien o servicio. </w:t>
      </w:r>
    </w:p>
    <w:p w14:paraId="1F1317B3" w14:textId="77777777" w:rsidR="001E3144" w:rsidRPr="001E3144" w:rsidRDefault="001E3144" w:rsidP="001E3144">
      <w:pPr>
        <w:textAlignment w:val="baseline"/>
        <w:rPr>
          <w:rFonts w:cs="Arial"/>
          <w:szCs w:val="24"/>
          <w:lang w:val="es-CO" w:eastAsia="es-CO"/>
        </w:rPr>
      </w:pPr>
      <w:r w:rsidRPr="001E3144">
        <w:rPr>
          <w:rFonts w:cs="Arial"/>
          <w:szCs w:val="24"/>
          <w:lang w:val="es-CO" w:eastAsia="es-CO"/>
        </w:rPr>
        <w:t>CMg: Costo marginal de producción del bien o servicio. </w:t>
      </w:r>
    </w:p>
    <w:p w14:paraId="3A80F4AF" w14:textId="77777777" w:rsidR="001E3144" w:rsidRPr="001E3144" w:rsidRDefault="001E3144" w:rsidP="001E3144">
      <w:pPr>
        <w:textAlignment w:val="baseline"/>
        <w:rPr>
          <w:rFonts w:cs="Arial"/>
          <w:szCs w:val="24"/>
          <w:lang w:val="es-CO" w:eastAsia="es-CO"/>
        </w:rPr>
      </w:pPr>
      <w:r w:rsidRPr="001E3144">
        <w:rPr>
          <w:rFonts w:cs="Arial"/>
          <w:szCs w:val="24"/>
          <w:lang w:val="es-CO" w:eastAsia="es-CO"/>
        </w:rPr>
        <w:t> </w:t>
      </w:r>
    </w:p>
    <w:p w14:paraId="0037C26F" w14:textId="77777777" w:rsidR="001E3144" w:rsidRPr="001E3144" w:rsidRDefault="001E3144" w:rsidP="001E3144">
      <w:pPr>
        <w:textAlignment w:val="baseline"/>
        <w:rPr>
          <w:rFonts w:cs="Arial"/>
          <w:szCs w:val="24"/>
          <w:lang w:val="es-CO" w:eastAsia="es-CO"/>
        </w:rPr>
      </w:pPr>
      <w:r w:rsidRPr="001E3144">
        <w:rPr>
          <w:rFonts w:cs="Arial"/>
          <w:szCs w:val="24"/>
          <w:lang w:val="es-CO" w:eastAsia="es-CO"/>
        </w:rPr>
        <w:t>El índice Lerner varía entre 0 y 1. Un valor de 0 indica que la empresa está vendiendo al costo marginal, lo que resulta ser indicativo de una estrategia de precios competitiva, sin ejercicios unilaterales de poder de mercado. Por otro lado, un valor cercano a 1 sugiere un alto poder de mercado, lo cual podría indicar un comportamiento oligopólico, de monopolio o de fijación de precios por encima del costo marginal. </w:t>
      </w:r>
    </w:p>
    <w:p w14:paraId="762ABC2A" w14:textId="77777777" w:rsidR="001E3144" w:rsidRPr="001E3144" w:rsidRDefault="001E3144" w:rsidP="001E3144">
      <w:pPr>
        <w:textAlignment w:val="baseline"/>
        <w:rPr>
          <w:rFonts w:cs="Arial"/>
          <w:szCs w:val="24"/>
          <w:lang w:val="es-CO" w:eastAsia="es-CO"/>
        </w:rPr>
      </w:pPr>
      <w:r w:rsidRPr="001E3144">
        <w:rPr>
          <w:rFonts w:cs="Arial"/>
          <w:szCs w:val="24"/>
          <w:lang w:val="es-CO" w:eastAsia="es-CO"/>
        </w:rPr>
        <w:t> </w:t>
      </w:r>
    </w:p>
    <w:p w14:paraId="60819F07" w14:textId="77777777" w:rsidR="001E3144" w:rsidRPr="001E3144" w:rsidRDefault="001E3144" w:rsidP="001E3144">
      <w:pPr>
        <w:textAlignment w:val="baseline"/>
        <w:rPr>
          <w:rFonts w:cs="Arial"/>
          <w:szCs w:val="24"/>
          <w:lang w:val="es-CO" w:eastAsia="es-CO"/>
        </w:rPr>
      </w:pPr>
      <w:r w:rsidRPr="001E3144">
        <w:rPr>
          <w:rFonts w:cs="Arial"/>
          <w:szCs w:val="24"/>
          <w:lang w:val="es-CO" w:eastAsia="es-CO"/>
        </w:rPr>
        <w:t>Para el cálculo de este índice se requiere información detallada sobre los costos marginales y los precios de oferta de cada empresa. Así, para efectos de caracterizar las ofertas de los agentes generadores de energía eléctrica a partir de recursos de generación hidráulica, se tomó la información para el mes de septiembre de 2023 de las siguientes variables: </w:t>
      </w:r>
    </w:p>
    <w:p w14:paraId="67BEBCDC" w14:textId="77777777" w:rsidR="001E3144" w:rsidRPr="001E3144" w:rsidRDefault="001E3144" w:rsidP="001E3144">
      <w:pPr>
        <w:textAlignment w:val="baseline"/>
        <w:rPr>
          <w:rFonts w:cs="Arial"/>
          <w:szCs w:val="24"/>
          <w:lang w:val="es-CO" w:eastAsia="es-CO"/>
        </w:rPr>
      </w:pPr>
      <w:r w:rsidRPr="001E3144">
        <w:rPr>
          <w:rFonts w:cs="Arial"/>
          <w:szCs w:val="24"/>
          <w:lang w:val="es-CO" w:eastAsia="es-CO"/>
        </w:rPr>
        <w:t> </w:t>
      </w:r>
    </w:p>
    <w:p w14:paraId="1B6044A7" w14:textId="77777777" w:rsidR="001E3144" w:rsidRPr="001E3144" w:rsidRDefault="001E3144" w:rsidP="00DB1960">
      <w:pPr>
        <w:numPr>
          <w:ilvl w:val="0"/>
          <w:numId w:val="12"/>
        </w:numPr>
        <w:ind w:left="426" w:hanging="426"/>
        <w:textAlignment w:val="baseline"/>
        <w:rPr>
          <w:rFonts w:cs="Arial"/>
          <w:szCs w:val="24"/>
          <w:lang w:val="es-CO" w:eastAsia="es-CO"/>
        </w:rPr>
      </w:pPr>
      <w:r w:rsidRPr="001E3144">
        <w:rPr>
          <w:rFonts w:cs="Arial"/>
          <w:szCs w:val="24"/>
          <w:lang w:val="es-CO" w:eastAsia="es-CO"/>
        </w:rPr>
        <w:t>Precio de oferta declarado para cada recurso de generación</w:t>
      </w:r>
      <w:r w:rsidRPr="001E3144">
        <w:rPr>
          <w:rFonts w:cs="Arial"/>
          <w:szCs w:val="24"/>
          <w:vertAlign w:val="superscript"/>
          <w:lang w:val="es-CO" w:eastAsia="es-CO"/>
        </w:rPr>
        <w:t>1</w:t>
      </w:r>
      <w:r w:rsidRPr="001E3144">
        <w:rPr>
          <w:rFonts w:cs="Arial"/>
          <w:szCs w:val="24"/>
          <w:lang w:val="es-CO" w:eastAsia="es-CO"/>
        </w:rPr>
        <w:t>, en cada día del mes de septiembre de 2023, expresado en pesos colombianos COP$/kWh. </w:t>
      </w:r>
    </w:p>
    <w:p w14:paraId="57367064" w14:textId="77777777" w:rsidR="001E3144" w:rsidRPr="001E3144" w:rsidRDefault="001E3144" w:rsidP="001E3144">
      <w:pPr>
        <w:ind w:left="720"/>
        <w:textAlignment w:val="baseline"/>
        <w:rPr>
          <w:rFonts w:cs="Arial"/>
          <w:szCs w:val="24"/>
          <w:lang w:val="es-CO" w:eastAsia="es-CO"/>
        </w:rPr>
      </w:pPr>
      <w:r w:rsidRPr="001E3144">
        <w:rPr>
          <w:rFonts w:cs="Arial"/>
          <w:szCs w:val="24"/>
          <w:lang w:val="es-CO" w:eastAsia="es-CO"/>
        </w:rPr>
        <w:t> </w:t>
      </w:r>
    </w:p>
    <w:p w14:paraId="5E828F3B" w14:textId="77777777" w:rsidR="001E3144" w:rsidRPr="001E3144" w:rsidRDefault="001E3144" w:rsidP="00DB1960">
      <w:pPr>
        <w:numPr>
          <w:ilvl w:val="0"/>
          <w:numId w:val="13"/>
        </w:numPr>
        <w:ind w:left="426" w:hanging="426"/>
        <w:textAlignment w:val="baseline"/>
        <w:rPr>
          <w:rFonts w:cs="Arial"/>
          <w:szCs w:val="24"/>
          <w:lang w:val="es-CO" w:eastAsia="es-CO"/>
        </w:rPr>
      </w:pPr>
      <w:r w:rsidRPr="001E3144">
        <w:rPr>
          <w:rFonts w:cs="Arial"/>
          <w:szCs w:val="24"/>
          <w:lang w:val="es-CO" w:eastAsia="es-CO"/>
        </w:rPr>
        <w:t>Costo Marginal</w:t>
      </w:r>
      <w:r w:rsidRPr="001E3144">
        <w:rPr>
          <w:rFonts w:cs="Arial"/>
          <w:szCs w:val="24"/>
          <w:vertAlign w:val="superscript"/>
          <w:lang w:val="es-CO" w:eastAsia="es-CO"/>
        </w:rPr>
        <w:t>2</w:t>
      </w:r>
      <w:r w:rsidRPr="001E3144">
        <w:rPr>
          <w:rFonts w:cs="Arial"/>
          <w:szCs w:val="24"/>
          <w:lang w:val="es-CO" w:eastAsia="es-CO"/>
        </w:rPr>
        <w:t xml:space="preserve"> expresado como el valor del agua para cada semana del mes de septiembre de 2023, expresado en pesos colombianos COP$/kWh. </w:t>
      </w:r>
    </w:p>
    <w:p w14:paraId="51BDC1A5" w14:textId="77777777" w:rsidR="001E3144" w:rsidRPr="001E3144" w:rsidRDefault="001E3144" w:rsidP="001E3144">
      <w:pPr>
        <w:ind w:left="720"/>
        <w:jc w:val="left"/>
        <w:textAlignment w:val="baseline"/>
        <w:rPr>
          <w:rFonts w:cs="Arial"/>
          <w:szCs w:val="24"/>
          <w:lang w:val="es-CO" w:eastAsia="es-CO"/>
        </w:rPr>
      </w:pPr>
      <w:r w:rsidRPr="001E3144">
        <w:rPr>
          <w:rFonts w:cs="Arial"/>
          <w:szCs w:val="24"/>
          <w:lang w:val="es-CO" w:eastAsia="es-CO"/>
        </w:rPr>
        <w:t> </w:t>
      </w:r>
    </w:p>
    <w:p w14:paraId="77BAB067" w14:textId="4B4E1BB0" w:rsidR="001E3144" w:rsidRPr="001E3144" w:rsidRDefault="001E3144" w:rsidP="00B11885">
      <w:pPr>
        <w:ind w:left="426"/>
        <w:textAlignment w:val="baseline"/>
        <w:rPr>
          <w:rFonts w:cs="Arial"/>
          <w:szCs w:val="24"/>
          <w:lang w:val="es-CO" w:eastAsia="es-CO"/>
        </w:rPr>
      </w:pPr>
      <w:r w:rsidRPr="001E3144">
        <w:rPr>
          <w:rFonts w:cs="Arial"/>
          <w:szCs w:val="24"/>
          <w:lang w:val="es-CO" w:eastAsia="es-CO"/>
        </w:rPr>
        <w:t xml:space="preserve">Originalmente, los datos para esta variable se encuentran en USD$/MWh de manera que, es preciso aplicar el promedio de Tasa Representativa de Mercado (TRM) de los días del mes de septiembre de 2023 para hacer la conversión a pesos colombianos (COP$), así como aplicar la conversión de </w:t>
      </w:r>
      <w:r w:rsidR="00390C82">
        <w:rPr>
          <w:rFonts w:cs="Arial"/>
          <w:szCs w:val="24"/>
          <w:lang w:val="es-CO" w:eastAsia="es-CO"/>
        </w:rPr>
        <w:t>M</w:t>
      </w:r>
      <w:r w:rsidRPr="001E3144">
        <w:rPr>
          <w:rFonts w:cs="Arial"/>
          <w:szCs w:val="24"/>
          <w:lang w:val="es-CO" w:eastAsia="es-CO"/>
        </w:rPr>
        <w:t>Wh a kWh. </w:t>
      </w:r>
    </w:p>
    <w:p w14:paraId="500E5AF9" w14:textId="77777777" w:rsidR="001E3144" w:rsidRPr="001E3144" w:rsidRDefault="001E3144" w:rsidP="001E3144">
      <w:pPr>
        <w:ind w:left="720"/>
        <w:textAlignment w:val="baseline"/>
        <w:rPr>
          <w:rFonts w:cs="Arial"/>
          <w:szCs w:val="24"/>
          <w:lang w:val="es-CO" w:eastAsia="es-CO"/>
        </w:rPr>
      </w:pPr>
      <w:r w:rsidRPr="001E3144">
        <w:rPr>
          <w:rFonts w:cs="Arial"/>
          <w:szCs w:val="24"/>
          <w:lang w:val="es-CO" w:eastAsia="es-CO"/>
        </w:rPr>
        <w:t> </w:t>
      </w:r>
    </w:p>
    <w:p w14:paraId="51C4F087" w14:textId="2E582B68" w:rsidR="001E3144" w:rsidRPr="001E3144" w:rsidRDefault="001E3144" w:rsidP="00B11885">
      <w:pPr>
        <w:ind w:left="426"/>
        <w:textAlignment w:val="baseline"/>
        <w:rPr>
          <w:rFonts w:cs="Arial"/>
          <w:szCs w:val="24"/>
          <w:lang w:val="es-CO" w:eastAsia="es-CO"/>
        </w:rPr>
      </w:pPr>
      <w:r w:rsidRPr="001E3144">
        <w:rPr>
          <w:rFonts w:cs="Arial"/>
          <w:szCs w:val="24"/>
          <w:lang w:val="es-CO" w:eastAsia="es-CO"/>
        </w:rPr>
        <w:t xml:space="preserve">Así mismo, esta variable, obtenida por XM S.A. como resultado de un ejercicio estadístico, presenta valores para el percentil 5, percentil 95 y para el promedio de la distribución de valores de costo. Estos tres valores serán considerados para el </w:t>
      </w:r>
      <w:r w:rsidR="00B11885" w:rsidRPr="001E3144">
        <w:rPr>
          <w:rFonts w:cs="Arial"/>
          <w:szCs w:val="24"/>
          <w:lang w:val="es-CO" w:eastAsia="es-CO"/>
        </w:rPr>
        <w:t>cálculo</w:t>
      </w:r>
      <w:r w:rsidRPr="001E3144">
        <w:rPr>
          <w:rFonts w:cs="Arial"/>
          <w:szCs w:val="24"/>
          <w:lang w:val="es-CO" w:eastAsia="es-CO"/>
        </w:rPr>
        <w:t xml:space="preserve"> del índice de Lerner. </w:t>
      </w:r>
    </w:p>
    <w:p w14:paraId="0B4C3E5E" w14:textId="77777777" w:rsidR="001E3144" w:rsidRPr="001E3144" w:rsidRDefault="001E3144" w:rsidP="001E3144">
      <w:pPr>
        <w:textAlignment w:val="baseline"/>
        <w:rPr>
          <w:rFonts w:cs="Arial"/>
          <w:szCs w:val="24"/>
          <w:lang w:val="es-CO" w:eastAsia="es-CO"/>
        </w:rPr>
      </w:pPr>
      <w:r w:rsidRPr="001E3144">
        <w:rPr>
          <w:rFonts w:cs="Arial"/>
          <w:szCs w:val="24"/>
          <w:lang w:val="es-CO" w:eastAsia="es-CO"/>
        </w:rPr>
        <w:t> </w:t>
      </w:r>
    </w:p>
    <w:p w14:paraId="07014F07" w14:textId="77777777" w:rsidR="001E3144" w:rsidRPr="001E3144" w:rsidRDefault="001E3144" w:rsidP="001E3144">
      <w:pPr>
        <w:textAlignment w:val="baseline"/>
        <w:rPr>
          <w:rFonts w:cs="Arial"/>
          <w:szCs w:val="24"/>
          <w:lang w:val="es-CO" w:eastAsia="es-CO"/>
        </w:rPr>
      </w:pPr>
      <w:r w:rsidRPr="001E3144">
        <w:rPr>
          <w:rFonts w:cs="Arial"/>
          <w:szCs w:val="24"/>
          <w:lang w:val="es-CO" w:eastAsia="es-CO"/>
        </w:rPr>
        <w:lastRenderedPageBreak/>
        <w:t>Como se puede observar una de las variables tiene observaciones con periodicidad diaria, mientras que la otra variable presenta valores con periodicidad semanal. En consecuencia, se hizo la correspondencia de cada uno de los días del mes de septiembre con la semana correspondiente y, de esta forma, lograr relacionar los valores de costo de cada semana a cada uno de los días del mes. </w:t>
      </w:r>
    </w:p>
    <w:p w14:paraId="58417FD5" w14:textId="77777777" w:rsidR="001E3144" w:rsidRPr="001E3144" w:rsidRDefault="001E3144" w:rsidP="001E3144">
      <w:pPr>
        <w:textAlignment w:val="baseline"/>
        <w:rPr>
          <w:rFonts w:cs="Arial"/>
          <w:szCs w:val="24"/>
          <w:lang w:val="es-CO" w:eastAsia="es-CO"/>
        </w:rPr>
      </w:pPr>
      <w:r w:rsidRPr="001E3144">
        <w:rPr>
          <w:rFonts w:cs="Arial"/>
          <w:szCs w:val="24"/>
          <w:lang w:val="es-CO" w:eastAsia="es-CO"/>
        </w:rPr>
        <w:t> </w:t>
      </w:r>
    </w:p>
    <w:p w14:paraId="63D1E25F" w14:textId="77777777" w:rsidR="001E3144" w:rsidRPr="001E3144" w:rsidRDefault="001E3144" w:rsidP="001E3144">
      <w:pPr>
        <w:textAlignment w:val="baseline"/>
        <w:rPr>
          <w:rFonts w:cs="Arial"/>
          <w:szCs w:val="24"/>
          <w:lang w:val="es-CO" w:eastAsia="es-CO"/>
        </w:rPr>
      </w:pPr>
      <w:r w:rsidRPr="001E3144">
        <w:rPr>
          <w:rFonts w:cs="Arial"/>
          <w:szCs w:val="24"/>
          <w:lang w:val="es-CO" w:eastAsia="es-CO"/>
        </w:rPr>
        <w:t>Con lo anterior, para aquellos recursos de generación sobre los cuales se tenían datos para las variables anteriores, se calculó el índice Lerner de cada día del mes de septiembre de 2023 y se calculó el promedio de los índices diarios en cada uno de los escenarios con percentil 5, percentil 95 y promedio. La tabla presentada a continuación presenta los resultados obtenidos: </w:t>
      </w:r>
    </w:p>
    <w:p w14:paraId="0FBD582A" w14:textId="77777777" w:rsidR="00D90C4A" w:rsidRDefault="00D90C4A" w:rsidP="00CE02EE">
      <w:pPr>
        <w:rPr>
          <w:lang w:val="es-CO"/>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0"/>
        <w:gridCol w:w="1575"/>
        <w:gridCol w:w="1530"/>
        <w:gridCol w:w="1365"/>
        <w:gridCol w:w="1725"/>
        <w:gridCol w:w="1695"/>
      </w:tblGrid>
      <w:tr w:rsidR="00DC5DA6" w:rsidRPr="00DC5DA6" w14:paraId="5A7FCE7E" w14:textId="77777777" w:rsidTr="00DC5DA6">
        <w:trPr>
          <w:trHeight w:val="810"/>
        </w:trPr>
        <w:tc>
          <w:tcPr>
            <w:tcW w:w="990" w:type="dxa"/>
            <w:tcBorders>
              <w:top w:val="nil"/>
              <w:left w:val="nil"/>
              <w:bottom w:val="single" w:sz="6" w:space="0" w:color="95B3D7"/>
              <w:right w:val="nil"/>
            </w:tcBorders>
            <w:shd w:val="clear" w:color="auto" w:fill="DCE6F1"/>
            <w:vAlign w:val="center"/>
            <w:hideMark/>
          </w:tcPr>
          <w:p w14:paraId="60CF1D3E" w14:textId="77777777" w:rsidR="00DC5DA6" w:rsidRPr="00DC5DA6" w:rsidRDefault="00DC5DA6" w:rsidP="00DC5DA6">
            <w:pPr>
              <w:jc w:val="center"/>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Código Agente</w:t>
            </w:r>
            <w:r w:rsidRPr="00DC5DA6">
              <w:rPr>
                <w:rFonts w:ascii="Calibri" w:hAnsi="Calibri" w:cs="Calibri"/>
                <w:color w:val="000000"/>
                <w:sz w:val="22"/>
                <w:szCs w:val="22"/>
                <w:lang w:val="es-CO" w:eastAsia="es-CO"/>
              </w:rPr>
              <w:t> </w:t>
            </w:r>
          </w:p>
        </w:tc>
        <w:tc>
          <w:tcPr>
            <w:tcW w:w="1575" w:type="dxa"/>
            <w:tcBorders>
              <w:top w:val="nil"/>
              <w:left w:val="nil"/>
              <w:bottom w:val="single" w:sz="6" w:space="0" w:color="95B3D7"/>
              <w:right w:val="nil"/>
            </w:tcBorders>
            <w:shd w:val="clear" w:color="auto" w:fill="DCE6F1"/>
            <w:vAlign w:val="center"/>
            <w:hideMark/>
          </w:tcPr>
          <w:p w14:paraId="04A1B5FC" w14:textId="77777777" w:rsidR="00DC5DA6" w:rsidRPr="00DC5DA6" w:rsidRDefault="00DC5DA6" w:rsidP="00DC5DA6">
            <w:pPr>
              <w:jc w:val="center"/>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RECURSO</w:t>
            </w:r>
            <w:r w:rsidRPr="00DC5DA6">
              <w:rPr>
                <w:rFonts w:ascii="Calibri" w:hAnsi="Calibri" w:cs="Calibri"/>
                <w:color w:val="000000"/>
                <w:sz w:val="22"/>
                <w:szCs w:val="22"/>
                <w:lang w:val="es-CO" w:eastAsia="es-CO"/>
              </w:rPr>
              <w:t> </w:t>
            </w:r>
          </w:p>
        </w:tc>
        <w:tc>
          <w:tcPr>
            <w:tcW w:w="1530" w:type="dxa"/>
            <w:tcBorders>
              <w:top w:val="nil"/>
              <w:left w:val="nil"/>
              <w:bottom w:val="single" w:sz="6" w:space="0" w:color="95B3D7"/>
              <w:right w:val="nil"/>
            </w:tcBorders>
            <w:shd w:val="clear" w:color="auto" w:fill="DCE6F1"/>
            <w:vAlign w:val="center"/>
            <w:hideMark/>
          </w:tcPr>
          <w:p w14:paraId="4ACF2B96" w14:textId="77777777" w:rsidR="00DC5DA6" w:rsidRPr="00DC5DA6" w:rsidRDefault="00DC5DA6" w:rsidP="00DC5DA6">
            <w:pPr>
              <w:jc w:val="center"/>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EMBALSE</w:t>
            </w:r>
            <w:r w:rsidRPr="00DC5DA6">
              <w:rPr>
                <w:rFonts w:ascii="Calibri" w:hAnsi="Calibri" w:cs="Calibri"/>
                <w:color w:val="000000"/>
                <w:sz w:val="22"/>
                <w:szCs w:val="22"/>
                <w:lang w:val="es-CO" w:eastAsia="es-CO"/>
              </w:rPr>
              <w:t> </w:t>
            </w:r>
          </w:p>
        </w:tc>
        <w:tc>
          <w:tcPr>
            <w:tcW w:w="1365" w:type="dxa"/>
            <w:tcBorders>
              <w:top w:val="nil"/>
              <w:left w:val="nil"/>
              <w:bottom w:val="single" w:sz="6" w:space="0" w:color="95B3D7"/>
              <w:right w:val="nil"/>
            </w:tcBorders>
            <w:shd w:val="clear" w:color="auto" w:fill="DCE6F1"/>
            <w:vAlign w:val="center"/>
            <w:hideMark/>
          </w:tcPr>
          <w:p w14:paraId="08C7E553" w14:textId="77777777" w:rsidR="00DC5DA6" w:rsidRPr="00DC5DA6" w:rsidRDefault="00DC5DA6" w:rsidP="00DC5DA6">
            <w:pPr>
              <w:jc w:val="center"/>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 LERNER Promedio P5 </w:t>
            </w:r>
            <w:r w:rsidRPr="00DC5DA6">
              <w:rPr>
                <w:rFonts w:ascii="Calibri" w:hAnsi="Calibri" w:cs="Calibri"/>
                <w:color w:val="000000"/>
                <w:sz w:val="22"/>
                <w:szCs w:val="22"/>
                <w:lang w:val="es-CO" w:eastAsia="es-CO"/>
              </w:rPr>
              <w:t> </w:t>
            </w:r>
          </w:p>
        </w:tc>
        <w:tc>
          <w:tcPr>
            <w:tcW w:w="1725" w:type="dxa"/>
            <w:tcBorders>
              <w:top w:val="nil"/>
              <w:left w:val="nil"/>
              <w:bottom w:val="single" w:sz="6" w:space="0" w:color="95B3D7"/>
              <w:right w:val="nil"/>
            </w:tcBorders>
            <w:shd w:val="clear" w:color="auto" w:fill="DCE6F1"/>
            <w:vAlign w:val="center"/>
            <w:hideMark/>
          </w:tcPr>
          <w:p w14:paraId="77B54DBB" w14:textId="77777777" w:rsidR="00DC5DA6" w:rsidRPr="00DC5DA6" w:rsidRDefault="00DC5DA6" w:rsidP="00DC5DA6">
            <w:pPr>
              <w:jc w:val="center"/>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LERNER Promedio PROM </w:t>
            </w:r>
            <w:r w:rsidRPr="00DC5DA6">
              <w:rPr>
                <w:rFonts w:ascii="Calibri" w:hAnsi="Calibri" w:cs="Calibri"/>
                <w:color w:val="000000"/>
                <w:sz w:val="22"/>
                <w:szCs w:val="22"/>
                <w:lang w:val="es-CO" w:eastAsia="es-CO"/>
              </w:rPr>
              <w:t> </w:t>
            </w:r>
          </w:p>
        </w:tc>
        <w:tc>
          <w:tcPr>
            <w:tcW w:w="1695" w:type="dxa"/>
            <w:tcBorders>
              <w:top w:val="nil"/>
              <w:left w:val="nil"/>
              <w:bottom w:val="single" w:sz="6" w:space="0" w:color="95B3D7"/>
              <w:right w:val="nil"/>
            </w:tcBorders>
            <w:shd w:val="clear" w:color="auto" w:fill="DCE6F1"/>
            <w:vAlign w:val="center"/>
            <w:hideMark/>
          </w:tcPr>
          <w:p w14:paraId="01740210" w14:textId="77777777" w:rsidR="00DC5DA6" w:rsidRPr="00DC5DA6" w:rsidRDefault="00DC5DA6" w:rsidP="00DC5DA6">
            <w:pPr>
              <w:jc w:val="center"/>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LERNER Promedio P95 </w:t>
            </w:r>
            <w:r w:rsidRPr="00DC5DA6">
              <w:rPr>
                <w:rFonts w:ascii="Calibri" w:hAnsi="Calibri" w:cs="Calibri"/>
                <w:color w:val="000000"/>
                <w:sz w:val="22"/>
                <w:szCs w:val="22"/>
                <w:lang w:val="es-CO" w:eastAsia="es-CO"/>
              </w:rPr>
              <w:t> </w:t>
            </w:r>
          </w:p>
        </w:tc>
      </w:tr>
      <w:tr w:rsidR="00DC5DA6" w:rsidRPr="00DC5DA6" w14:paraId="4614C8D2" w14:textId="77777777" w:rsidTr="00DC5DA6">
        <w:trPr>
          <w:trHeight w:val="300"/>
        </w:trPr>
        <w:tc>
          <w:tcPr>
            <w:tcW w:w="990" w:type="dxa"/>
            <w:tcBorders>
              <w:top w:val="nil"/>
              <w:left w:val="nil"/>
              <w:bottom w:val="single" w:sz="6" w:space="0" w:color="95B3D7"/>
              <w:right w:val="nil"/>
            </w:tcBorders>
            <w:shd w:val="clear" w:color="auto" w:fill="auto"/>
            <w:vAlign w:val="bottom"/>
            <w:hideMark/>
          </w:tcPr>
          <w:p w14:paraId="742197D4"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EPMG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47CAA670"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ITUANGO</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445FEB6E"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ITUANGO </w:t>
            </w:r>
          </w:p>
        </w:tc>
        <w:tc>
          <w:tcPr>
            <w:tcW w:w="1365" w:type="dxa"/>
            <w:tcBorders>
              <w:top w:val="nil"/>
              <w:left w:val="nil"/>
              <w:bottom w:val="nil"/>
              <w:right w:val="nil"/>
            </w:tcBorders>
            <w:shd w:val="clear" w:color="auto" w:fill="auto"/>
            <w:vAlign w:val="bottom"/>
            <w:hideMark/>
          </w:tcPr>
          <w:p w14:paraId="2ED7C583"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1,00  </w:t>
            </w:r>
          </w:p>
        </w:tc>
        <w:tc>
          <w:tcPr>
            <w:tcW w:w="1725" w:type="dxa"/>
            <w:tcBorders>
              <w:top w:val="nil"/>
              <w:left w:val="nil"/>
              <w:bottom w:val="nil"/>
              <w:right w:val="nil"/>
            </w:tcBorders>
            <w:shd w:val="clear" w:color="auto" w:fill="auto"/>
            <w:vAlign w:val="bottom"/>
            <w:hideMark/>
          </w:tcPr>
          <w:p w14:paraId="26C0F14F"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1,00  </w:t>
            </w:r>
          </w:p>
        </w:tc>
        <w:tc>
          <w:tcPr>
            <w:tcW w:w="1695" w:type="dxa"/>
            <w:tcBorders>
              <w:top w:val="nil"/>
              <w:left w:val="nil"/>
              <w:bottom w:val="nil"/>
              <w:right w:val="nil"/>
            </w:tcBorders>
            <w:shd w:val="clear" w:color="auto" w:fill="auto"/>
            <w:vAlign w:val="bottom"/>
            <w:hideMark/>
          </w:tcPr>
          <w:p w14:paraId="52F61873"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1,00  </w:t>
            </w:r>
          </w:p>
        </w:tc>
      </w:tr>
      <w:tr w:rsidR="00DC5DA6" w:rsidRPr="00DC5DA6" w14:paraId="5E2D9249" w14:textId="77777777" w:rsidTr="00DC5DA6">
        <w:trPr>
          <w:trHeight w:val="300"/>
        </w:trPr>
        <w:tc>
          <w:tcPr>
            <w:tcW w:w="990" w:type="dxa"/>
            <w:tcBorders>
              <w:top w:val="nil"/>
              <w:left w:val="nil"/>
              <w:bottom w:val="single" w:sz="6" w:space="0" w:color="95B3D7"/>
              <w:right w:val="nil"/>
            </w:tcBorders>
            <w:shd w:val="clear" w:color="auto" w:fill="auto"/>
            <w:vAlign w:val="bottom"/>
            <w:hideMark/>
          </w:tcPr>
          <w:p w14:paraId="26690059"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EPSG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253F2AEE"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SALVAJINA</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035EA2B7"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SALVAJINA </w:t>
            </w:r>
          </w:p>
        </w:tc>
        <w:tc>
          <w:tcPr>
            <w:tcW w:w="1365" w:type="dxa"/>
            <w:tcBorders>
              <w:top w:val="nil"/>
              <w:left w:val="nil"/>
              <w:bottom w:val="nil"/>
              <w:right w:val="nil"/>
            </w:tcBorders>
            <w:shd w:val="clear" w:color="auto" w:fill="auto"/>
            <w:vAlign w:val="bottom"/>
            <w:hideMark/>
          </w:tcPr>
          <w:p w14:paraId="6094E713"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1,00  </w:t>
            </w:r>
          </w:p>
        </w:tc>
        <w:tc>
          <w:tcPr>
            <w:tcW w:w="1725" w:type="dxa"/>
            <w:tcBorders>
              <w:top w:val="nil"/>
              <w:left w:val="nil"/>
              <w:bottom w:val="nil"/>
              <w:right w:val="nil"/>
            </w:tcBorders>
            <w:shd w:val="clear" w:color="auto" w:fill="auto"/>
            <w:vAlign w:val="bottom"/>
            <w:hideMark/>
          </w:tcPr>
          <w:p w14:paraId="4B719E44"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0,99  </w:t>
            </w:r>
          </w:p>
        </w:tc>
        <w:tc>
          <w:tcPr>
            <w:tcW w:w="1695" w:type="dxa"/>
            <w:tcBorders>
              <w:top w:val="nil"/>
              <w:left w:val="nil"/>
              <w:bottom w:val="nil"/>
              <w:right w:val="nil"/>
            </w:tcBorders>
            <w:shd w:val="clear" w:color="auto" w:fill="auto"/>
            <w:vAlign w:val="bottom"/>
            <w:hideMark/>
          </w:tcPr>
          <w:p w14:paraId="60D172CA"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0,99  </w:t>
            </w:r>
          </w:p>
        </w:tc>
      </w:tr>
      <w:tr w:rsidR="00DC5DA6" w:rsidRPr="00DC5DA6" w14:paraId="58EDC1ED" w14:textId="77777777" w:rsidTr="00DC5DA6">
        <w:trPr>
          <w:trHeight w:val="300"/>
        </w:trPr>
        <w:tc>
          <w:tcPr>
            <w:tcW w:w="990" w:type="dxa"/>
            <w:tcBorders>
              <w:top w:val="nil"/>
              <w:left w:val="nil"/>
              <w:bottom w:val="nil"/>
              <w:right w:val="nil"/>
            </w:tcBorders>
            <w:shd w:val="clear" w:color="auto" w:fill="auto"/>
            <w:vAlign w:val="bottom"/>
            <w:hideMark/>
          </w:tcPr>
          <w:p w14:paraId="1551F1BC"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EPMG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03B36C67"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GUATRON</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15525A40"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MIRAFLORES </w:t>
            </w:r>
          </w:p>
        </w:tc>
        <w:tc>
          <w:tcPr>
            <w:tcW w:w="1365" w:type="dxa"/>
            <w:tcBorders>
              <w:top w:val="nil"/>
              <w:left w:val="nil"/>
              <w:bottom w:val="nil"/>
              <w:right w:val="nil"/>
            </w:tcBorders>
            <w:shd w:val="clear" w:color="auto" w:fill="auto"/>
            <w:vAlign w:val="bottom"/>
            <w:hideMark/>
          </w:tcPr>
          <w:p w14:paraId="135D10E2"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1,00  </w:t>
            </w:r>
          </w:p>
        </w:tc>
        <w:tc>
          <w:tcPr>
            <w:tcW w:w="1725" w:type="dxa"/>
            <w:tcBorders>
              <w:top w:val="nil"/>
              <w:left w:val="nil"/>
              <w:bottom w:val="nil"/>
              <w:right w:val="nil"/>
            </w:tcBorders>
            <w:shd w:val="clear" w:color="auto" w:fill="auto"/>
            <w:vAlign w:val="bottom"/>
            <w:hideMark/>
          </w:tcPr>
          <w:p w14:paraId="745D7A73"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0,99  </w:t>
            </w:r>
          </w:p>
        </w:tc>
        <w:tc>
          <w:tcPr>
            <w:tcW w:w="1695" w:type="dxa"/>
            <w:tcBorders>
              <w:top w:val="nil"/>
              <w:left w:val="nil"/>
              <w:bottom w:val="nil"/>
              <w:right w:val="nil"/>
            </w:tcBorders>
            <w:shd w:val="clear" w:color="auto" w:fill="auto"/>
            <w:vAlign w:val="bottom"/>
            <w:hideMark/>
          </w:tcPr>
          <w:p w14:paraId="412F9180"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r>
      <w:tr w:rsidR="00DC5DA6" w:rsidRPr="00DC5DA6" w14:paraId="4B75CB84" w14:textId="77777777" w:rsidTr="00DC5DA6">
        <w:trPr>
          <w:trHeight w:val="300"/>
        </w:trPr>
        <w:tc>
          <w:tcPr>
            <w:tcW w:w="990" w:type="dxa"/>
            <w:tcBorders>
              <w:top w:val="nil"/>
              <w:left w:val="nil"/>
              <w:bottom w:val="nil"/>
              <w:right w:val="nil"/>
            </w:tcBorders>
            <w:shd w:val="clear" w:color="auto" w:fill="auto"/>
            <w:vAlign w:val="bottom"/>
            <w:hideMark/>
          </w:tcPr>
          <w:p w14:paraId="3435868D"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ISGG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0477A6D1"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SOGAMOSO</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7D47605C"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SOGAMOSO </w:t>
            </w:r>
          </w:p>
        </w:tc>
        <w:tc>
          <w:tcPr>
            <w:tcW w:w="1365" w:type="dxa"/>
            <w:tcBorders>
              <w:top w:val="nil"/>
              <w:left w:val="nil"/>
              <w:bottom w:val="nil"/>
              <w:right w:val="nil"/>
            </w:tcBorders>
            <w:shd w:val="clear" w:color="auto" w:fill="auto"/>
            <w:vAlign w:val="bottom"/>
            <w:hideMark/>
          </w:tcPr>
          <w:p w14:paraId="3648B1B8"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1,00  </w:t>
            </w:r>
          </w:p>
        </w:tc>
        <w:tc>
          <w:tcPr>
            <w:tcW w:w="1725" w:type="dxa"/>
            <w:tcBorders>
              <w:top w:val="nil"/>
              <w:left w:val="nil"/>
              <w:bottom w:val="nil"/>
              <w:right w:val="nil"/>
            </w:tcBorders>
            <w:shd w:val="clear" w:color="auto" w:fill="auto"/>
            <w:vAlign w:val="bottom"/>
            <w:hideMark/>
          </w:tcPr>
          <w:p w14:paraId="1DD6A2E8"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695" w:type="dxa"/>
            <w:tcBorders>
              <w:top w:val="nil"/>
              <w:left w:val="nil"/>
              <w:bottom w:val="nil"/>
              <w:right w:val="nil"/>
            </w:tcBorders>
            <w:shd w:val="clear" w:color="auto" w:fill="auto"/>
            <w:vAlign w:val="bottom"/>
            <w:hideMark/>
          </w:tcPr>
          <w:p w14:paraId="4E346790"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r>
      <w:tr w:rsidR="00DC5DA6" w:rsidRPr="00DC5DA6" w14:paraId="59E155D3" w14:textId="77777777" w:rsidTr="00DC5DA6">
        <w:trPr>
          <w:trHeight w:val="300"/>
        </w:trPr>
        <w:tc>
          <w:tcPr>
            <w:tcW w:w="990" w:type="dxa"/>
            <w:tcBorders>
              <w:top w:val="nil"/>
              <w:left w:val="nil"/>
              <w:bottom w:val="nil"/>
              <w:right w:val="nil"/>
            </w:tcBorders>
            <w:shd w:val="clear" w:color="auto" w:fill="auto"/>
            <w:vAlign w:val="bottom"/>
            <w:hideMark/>
          </w:tcPr>
          <w:p w14:paraId="010D5662"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ENDG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77B78F64"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BETANIA</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5804EC75"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BETANIA </w:t>
            </w:r>
          </w:p>
        </w:tc>
        <w:tc>
          <w:tcPr>
            <w:tcW w:w="1365" w:type="dxa"/>
            <w:tcBorders>
              <w:top w:val="nil"/>
              <w:left w:val="nil"/>
              <w:bottom w:val="nil"/>
              <w:right w:val="nil"/>
            </w:tcBorders>
            <w:shd w:val="clear" w:color="auto" w:fill="auto"/>
            <w:vAlign w:val="bottom"/>
            <w:hideMark/>
          </w:tcPr>
          <w:p w14:paraId="4FF036EB"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725" w:type="dxa"/>
            <w:tcBorders>
              <w:top w:val="nil"/>
              <w:left w:val="nil"/>
              <w:bottom w:val="nil"/>
              <w:right w:val="nil"/>
            </w:tcBorders>
            <w:shd w:val="clear" w:color="auto" w:fill="auto"/>
            <w:vAlign w:val="bottom"/>
            <w:hideMark/>
          </w:tcPr>
          <w:p w14:paraId="4D77BD39"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695" w:type="dxa"/>
            <w:tcBorders>
              <w:top w:val="nil"/>
              <w:left w:val="nil"/>
              <w:bottom w:val="nil"/>
              <w:right w:val="nil"/>
            </w:tcBorders>
            <w:shd w:val="clear" w:color="auto" w:fill="auto"/>
            <w:vAlign w:val="bottom"/>
            <w:hideMark/>
          </w:tcPr>
          <w:p w14:paraId="05A3041C"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r>
      <w:tr w:rsidR="00DC5DA6" w:rsidRPr="00DC5DA6" w14:paraId="3C439F26" w14:textId="77777777" w:rsidTr="00DC5DA6">
        <w:trPr>
          <w:trHeight w:val="300"/>
        </w:trPr>
        <w:tc>
          <w:tcPr>
            <w:tcW w:w="990" w:type="dxa"/>
            <w:tcBorders>
              <w:top w:val="nil"/>
              <w:left w:val="nil"/>
              <w:bottom w:val="nil"/>
              <w:right w:val="nil"/>
            </w:tcBorders>
            <w:shd w:val="clear" w:color="auto" w:fill="auto"/>
            <w:vAlign w:val="bottom"/>
            <w:hideMark/>
          </w:tcPr>
          <w:p w14:paraId="34A66D93"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ISGG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6FC665C9"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MIEL I</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293BB181"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MIEL I </w:t>
            </w:r>
          </w:p>
        </w:tc>
        <w:tc>
          <w:tcPr>
            <w:tcW w:w="1365" w:type="dxa"/>
            <w:tcBorders>
              <w:top w:val="nil"/>
              <w:left w:val="nil"/>
              <w:bottom w:val="nil"/>
              <w:right w:val="nil"/>
            </w:tcBorders>
            <w:shd w:val="clear" w:color="auto" w:fill="auto"/>
            <w:vAlign w:val="bottom"/>
            <w:hideMark/>
          </w:tcPr>
          <w:p w14:paraId="7215617A"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725" w:type="dxa"/>
            <w:tcBorders>
              <w:top w:val="nil"/>
              <w:left w:val="nil"/>
              <w:bottom w:val="nil"/>
              <w:right w:val="nil"/>
            </w:tcBorders>
            <w:shd w:val="clear" w:color="auto" w:fill="auto"/>
            <w:vAlign w:val="bottom"/>
            <w:hideMark/>
          </w:tcPr>
          <w:p w14:paraId="39496754"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695" w:type="dxa"/>
            <w:tcBorders>
              <w:top w:val="nil"/>
              <w:left w:val="nil"/>
              <w:bottom w:val="nil"/>
              <w:right w:val="nil"/>
            </w:tcBorders>
            <w:shd w:val="clear" w:color="auto" w:fill="auto"/>
            <w:vAlign w:val="bottom"/>
            <w:hideMark/>
          </w:tcPr>
          <w:p w14:paraId="500DCB78"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r>
      <w:tr w:rsidR="00DC5DA6" w:rsidRPr="00DC5DA6" w14:paraId="128B3385" w14:textId="77777777" w:rsidTr="00DC5DA6">
        <w:trPr>
          <w:trHeight w:val="300"/>
        </w:trPr>
        <w:tc>
          <w:tcPr>
            <w:tcW w:w="990" w:type="dxa"/>
            <w:tcBorders>
              <w:top w:val="nil"/>
              <w:left w:val="nil"/>
              <w:bottom w:val="nil"/>
              <w:right w:val="nil"/>
            </w:tcBorders>
            <w:shd w:val="clear" w:color="auto" w:fill="auto"/>
            <w:vAlign w:val="bottom"/>
            <w:hideMark/>
          </w:tcPr>
          <w:p w14:paraId="093D4582"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ISGG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0EA03165"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SAN CARLOS</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3293A6C4"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SAN CARLOS </w:t>
            </w:r>
          </w:p>
        </w:tc>
        <w:tc>
          <w:tcPr>
            <w:tcW w:w="1365" w:type="dxa"/>
            <w:tcBorders>
              <w:top w:val="nil"/>
              <w:left w:val="nil"/>
              <w:bottom w:val="nil"/>
              <w:right w:val="nil"/>
            </w:tcBorders>
            <w:shd w:val="clear" w:color="auto" w:fill="auto"/>
            <w:vAlign w:val="bottom"/>
            <w:hideMark/>
          </w:tcPr>
          <w:p w14:paraId="65717415"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725" w:type="dxa"/>
            <w:tcBorders>
              <w:top w:val="nil"/>
              <w:left w:val="nil"/>
              <w:bottom w:val="nil"/>
              <w:right w:val="nil"/>
            </w:tcBorders>
            <w:shd w:val="clear" w:color="auto" w:fill="auto"/>
            <w:vAlign w:val="bottom"/>
            <w:hideMark/>
          </w:tcPr>
          <w:p w14:paraId="4C7F4363"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695" w:type="dxa"/>
            <w:tcBorders>
              <w:top w:val="nil"/>
              <w:left w:val="nil"/>
              <w:bottom w:val="nil"/>
              <w:right w:val="nil"/>
            </w:tcBorders>
            <w:shd w:val="clear" w:color="auto" w:fill="auto"/>
            <w:vAlign w:val="bottom"/>
            <w:hideMark/>
          </w:tcPr>
          <w:p w14:paraId="49490D2C"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r>
      <w:tr w:rsidR="00DC5DA6" w:rsidRPr="00DC5DA6" w14:paraId="436CCFFC" w14:textId="77777777" w:rsidTr="00DC5DA6">
        <w:trPr>
          <w:trHeight w:val="300"/>
        </w:trPr>
        <w:tc>
          <w:tcPr>
            <w:tcW w:w="990" w:type="dxa"/>
            <w:tcBorders>
              <w:top w:val="nil"/>
              <w:left w:val="nil"/>
              <w:bottom w:val="nil"/>
              <w:right w:val="nil"/>
            </w:tcBorders>
            <w:shd w:val="clear" w:color="auto" w:fill="auto"/>
            <w:vAlign w:val="bottom"/>
            <w:hideMark/>
          </w:tcPr>
          <w:p w14:paraId="01442354"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EPMG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2E0BEEDC"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PLAYAS</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1AD7413F"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PLAYAS </w:t>
            </w:r>
          </w:p>
        </w:tc>
        <w:tc>
          <w:tcPr>
            <w:tcW w:w="1365" w:type="dxa"/>
            <w:tcBorders>
              <w:top w:val="nil"/>
              <w:left w:val="nil"/>
              <w:bottom w:val="nil"/>
              <w:right w:val="nil"/>
            </w:tcBorders>
            <w:shd w:val="clear" w:color="auto" w:fill="auto"/>
            <w:vAlign w:val="bottom"/>
            <w:hideMark/>
          </w:tcPr>
          <w:p w14:paraId="4EEECC44"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725" w:type="dxa"/>
            <w:tcBorders>
              <w:top w:val="nil"/>
              <w:left w:val="nil"/>
              <w:bottom w:val="nil"/>
              <w:right w:val="nil"/>
            </w:tcBorders>
            <w:shd w:val="clear" w:color="auto" w:fill="auto"/>
            <w:vAlign w:val="bottom"/>
            <w:hideMark/>
          </w:tcPr>
          <w:p w14:paraId="3A1F1BA4"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695" w:type="dxa"/>
            <w:tcBorders>
              <w:top w:val="nil"/>
              <w:left w:val="nil"/>
              <w:bottom w:val="nil"/>
              <w:right w:val="nil"/>
            </w:tcBorders>
            <w:shd w:val="clear" w:color="auto" w:fill="auto"/>
            <w:vAlign w:val="bottom"/>
            <w:hideMark/>
          </w:tcPr>
          <w:p w14:paraId="567436F2"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r>
      <w:tr w:rsidR="00DC5DA6" w:rsidRPr="00DC5DA6" w14:paraId="63D48479" w14:textId="77777777" w:rsidTr="00DC5DA6">
        <w:trPr>
          <w:trHeight w:val="300"/>
        </w:trPr>
        <w:tc>
          <w:tcPr>
            <w:tcW w:w="990" w:type="dxa"/>
            <w:tcBorders>
              <w:top w:val="nil"/>
              <w:left w:val="nil"/>
              <w:bottom w:val="nil"/>
              <w:right w:val="nil"/>
            </w:tcBorders>
            <w:shd w:val="clear" w:color="auto" w:fill="auto"/>
            <w:vAlign w:val="bottom"/>
            <w:hideMark/>
          </w:tcPr>
          <w:p w14:paraId="4073C9DE"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EMUG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351422E4"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URRA</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608B451D"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URRA </w:t>
            </w:r>
          </w:p>
        </w:tc>
        <w:tc>
          <w:tcPr>
            <w:tcW w:w="1365" w:type="dxa"/>
            <w:tcBorders>
              <w:top w:val="nil"/>
              <w:left w:val="nil"/>
              <w:bottom w:val="nil"/>
              <w:right w:val="nil"/>
            </w:tcBorders>
            <w:shd w:val="clear" w:color="auto" w:fill="auto"/>
            <w:vAlign w:val="bottom"/>
            <w:hideMark/>
          </w:tcPr>
          <w:p w14:paraId="59E763E4"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725" w:type="dxa"/>
            <w:tcBorders>
              <w:top w:val="nil"/>
              <w:left w:val="nil"/>
              <w:bottom w:val="nil"/>
              <w:right w:val="nil"/>
            </w:tcBorders>
            <w:shd w:val="clear" w:color="auto" w:fill="auto"/>
            <w:vAlign w:val="bottom"/>
            <w:hideMark/>
          </w:tcPr>
          <w:p w14:paraId="1CF0136C"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c>
          <w:tcPr>
            <w:tcW w:w="1695" w:type="dxa"/>
            <w:tcBorders>
              <w:top w:val="nil"/>
              <w:left w:val="nil"/>
              <w:bottom w:val="nil"/>
              <w:right w:val="nil"/>
            </w:tcBorders>
            <w:shd w:val="clear" w:color="auto" w:fill="auto"/>
            <w:vAlign w:val="bottom"/>
            <w:hideMark/>
          </w:tcPr>
          <w:p w14:paraId="4125D7CC"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0,96  </w:t>
            </w:r>
          </w:p>
        </w:tc>
      </w:tr>
      <w:tr w:rsidR="00DC5DA6" w:rsidRPr="00DC5DA6" w14:paraId="577EF1E0" w14:textId="77777777" w:rsidTr="00DC5DA6">
        <w:trPr>
          <w:trHeight w:val="300"/>
        </w:trPr>
        <w:tc>
          <w:tcPr>
            <w:tcW w:w="990" w:type="dxa"/>
            <w:tcBorders>
              <w:top w:val="nil"/>
              <w:left w:val="nil"/>
              <w:bottom w:val="nil"/>
              <w:right w:val="nil"/>
            </w:tcBorders>
            <w:shd w:val="clear" w:color="auto" w:fill="auto"/>
            <w:vAlign w:val="bottom"/>
            <w:hideMark/>
          </w:tcPr>
          <w:p w14:paraId="6AEB0E37"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EPMG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568D4246"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PORCE II</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04345FA9"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PORCE II </w:t>
            </w:r>
          </w:p>
        </w:tc>
        <w:tc>
          <w:tcPr>
            <w:tcW w:w="1365" w:type="dxa"/>
            <w:tcBorders>
              <w:top w:val="nil"/>
              <w:left w:val="nil"/>
              <w:bottom w:val="nil"/>
              <w:right w:val="nil"/>
            </w:tcBorders>
            <w:shd w:val="clear" w:color="auto" w:fill="auto"/>
            <w:vAlign w:val="bottom"/>
            <w:hideMark/>
          </w:tcPr>
          <w:p w14:paraId="68467CE8"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c>
          <w:tcPr>
            <w:tcW w:w="1725" w:type="dxa"/>
            <w:tcBorders>
              <w:top w:val="nil"/>
              <w:left w:val="nil"/>
              <w:bottom w:val="nil"/>
              <w:right w:val="nil"/>
            </w:tcBorders>
            <w:shd w:val="clear" w:color="auto" w:fill="auto"/>
            <w:vAlign w:val="bottom"/>
            <w:hideMark/>
          </w:tcPr>
          <w:p w14:paraId="7332B80E"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c>
          <w:tcPr>
            <w:tcW w:w="1695" w:type="dxa"/>
            <w:tcBorders>
              <w:top w:val="nil"/>
              <w:left w:val="nil"/>
              <w:bottom w:val="nil"/>
              <w:right w:val="nil"/>
            </w:tcBorders>
            <w:shd w:val="clear" w:color="auto" w:fill="auto"/>
            <w:vAlign w:val="bottom"/>
            <w:hideMark/>
          </w:tcPr>
          <w:p w14:paraId="7BCBE0E0"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0,96  </w:t>
            </w:r>
          </w:p>
        </w:tc>
      </w:tr>
      <w:tr w:rsidR="00DC5DA6" w:rsidRPr="00DC5DA6" w14:paraId="593A1E64" w14:textId="77777777" w:rsidTr="00DC5DA6">
        <w:trPr>
          <w:trHeight w:val="300"/>
        </w:trPr>
        <w:tc>
          <w:tcPr>
            <w:tcW w:w="990" w:type="dxa"/>
            <w:tcBorders>
              <w:top w:val="nil"/>
              <w:left w:val="nil"/>
              <w:bottom w:val="nil"/>
              <w:right w:val="nil"/>
            </w:tcBorders>
            <w:shd w:val="clear" w:color="auto" w:fill="auto"/>
            <w:vAlign w:val="bottom"/>
            <w:hideMark/>
          </w:tcPr>
          <w:p w14:paraId="3C120BFF"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EPMG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1B630583"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PORCE III</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40D73E31"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PORCE III </w:t>
            </w:r>
          </w:p>
        </w:tc>
        <w:tc>
          <w:tcPr>
            <w:tcW w:w="1365" w:type="dxa"/>
            <w:tcBorders>
              <w:top w:val="nil"/>
              <w:left w:val="nil"/>
              <w:bottom w:val="nil"/>
              <w:right w:val="nil"/>
            </w:tcBorders>
            <w:shd w:val="clear" w:color="auto" w:fill="auto"/>
            <w:vAlign w:val="bottom"/>
            <w:hideMark/>
          </w:tcPr>
          <w:p w14:paraId="1C79C235"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c>
          <w:tcPr>
            <w:tcW w:w="1725" w:type="dxa"/>
            <w:tcBorders>
              <w:top w:val="nil"/>
              <w:left w:val="nil"/>
              <w:bottom w:val="nil"/>
              <w:right w:val="nil"/>
            </w:tcBorders>
            <w:shd w:val="clear" w:color="auto" w:fill="auto"/>
            <w:vAlign w:val="bottom"/>
            <w:hideMark/>
          </w:tcPr>
          <w:p w14:paraId="061C2E05"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c>
          <w:tcPr>
            <w:tcW w:w="1695" w:type="dxa"/>
            <w:tcBorders>
              <w:top w:val="nil"/>
              <w:left w:val="nil"/>
              <w:bottom w:val="nil"/>
              <w:right w:val="nil"/>
            </w:tcBorders>
            <w:shd w:val="clear" w:color="auto" w:fill="auto"/>
            <w:vAlign w:val="bottom"/>
            <w:hideMark/>
          </w:tcPr>
          <w:p w14:paraId="021E233A"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0,96  </w:t>
            </w:r>
          </w:p>
        </w:tc>
      </w:tr>
      <w:tr w:rsidR="00DC5DA6" w:rsidRPr="00DC5DA6" w14:paraId="4676DB73" w14:textId="77777777" w:rsidTr="00DC5DA6">
        <w:trPr>
          <w:trHeight w:val="300"/>
        </w:trPr>
        <w:tc>
          <w:tcPr>
            <w:tcW w:w="990" w:type="dxa"/>
            <w:tcBorders>
              <w:top w:val="nil"/>
              <w:left w:val="nil"/>
              <w:bottom w:val="nil"/>
              <w:right w:val="nil"/>
            </w:tcBorders>
            <w:shd w:val="clear" w:color="auto" w:fill="auto"/>
            <w:vAlign w:val="bottom"/>
            <w:hideMark/>
          </w:tcPr>
          <w:p w14:paraId="25ACD69F"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EPSG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72B258A4"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CALIMA</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3EFF8556"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CALIMA </w:t>
            </w:r>
          </w:p>
        </w:tc>
        <w:tc>
          <w:tcPr>
            <w:tcW w:w="1365" w:type="dxa"/>
            <w:tcBorders>
              <w:top w:val="nil"/>
              <w:left w:val="nil"/>
              <w:bottom w:val="nil"/>
              <w:right w:val="nil"/>
            </w:tcBorders>
            <w:shd w:val="clear" w:color="auto" w:fill="auto"/>
            <w:vAlign w:val="bottom"/>
            <w:hideMark/>
          </w:tcPr>
          <w:p w14:paraId="6BAB1486"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725" w:type="dxa"/>
            <w:tcBorders>
              <w:top w:val="nil"/>
              <w:left w:val="nil"/>
              <w:bottom w:val="nil"/>
              <w:right w:val="nil"/>
            </w:tcBorders>
            <w:shd w:val="clear" w:color="auto" w:fill="auto"/>
            <w:vAlign w:val="bottom"/>
            <w:hideMark/>
          </w:tcPr>
          <w:p w14:paraId="1D3F422E"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0,96  </w:t>
            </w:r>
          </w:p>
        </w:tc>
        <w:tc>
          <w:tcPr>
            <w:tcW w:w="1695" w:type="dxa"/>
            <w:tcBorders>
              <w:top w:val="nil"/>
              <w:left w:val="nil"/>
              <w:bottom w:val="nil"/>
              <w:right w:val="nil"/>
            </w:tcBorders>
            <w:shd w:val="clear" w:color="auto" w:fill="auto"/>
            <w:vAlign w:val="bottom"/>
            <w:hideMark/>
          </w:tcPr>
          <w:p w14:paraId="1EDAAEF6"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0,93  </w:t>
            </w:r>
          </w:p>
        </w:tc>
      </w:tr>
      <w:tr w:rsidR="00DC5DA6" w:rsidRPr="00DC5DA6" w14:paraId="6EE1E6FA" w14:textId="77777777" w:rsidTr="00DC5DA6">
        <w:trPr>
          <w:trHeight w:val="300"/>
        </w:trPr>
        <w:tc>
          <w:tcPr>
            <w:tcW w:w="990" w:type="dxa"/>
            <w:tcBorders>
              <w:top w:val="nil"/>
              <w:left w:val="nil"/>
              <w:bottom w:val="nil"/>
              <w:right w:val="nil"/>
            </w:tcBorders>
            <w:shd w:val="clear" w:color="auto" w:fill="auto"/>
            <w:vAlign w:val="bottom"/>
            <w:hideMark/>
          </w:tcPr>
          <w:p w14:paraId="58CD9A93"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ISGG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62AFE466"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JAGUAS</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10DA0595"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JAGUAS </w:t>
            </w:r>
          </w:p>
        </w:tc>
        <w:tc>
          <w:tcPr>
            <w:tcW w:w="1365" w:type="dxa"/>
            <w:tcBorders>
              <w:top w:val="nil"/>
              <w:left w:val="nil"/>
              <w:bottom w:val="nil"/>
              <w:right w:val="nil"/>
            </w:tcBorders>
            <w:shd w:val="clear" w:color="auto" w:fill="auto"/>
            <w:vAlign w:val="bottom"/>
            <w:hideMark/>
          </w:tcPr>
          <w:p w14:paraId="1714E785"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0,96  </w:t>
            </w:r>
          </w:p>
        </w:tc>
        <w:tc>
          <w:tcPr>
            <w:tcW w:w="1725" w:type="dxa"/>
            <w:tcBorders>
              <w:top w:val="nil"/>
              <w:left w:val="nil"/>
              <w:bottom w:val="nil"/>
              <w:right w:val="nil"/>
            </w:tcBorders>
            <w:shd w:val="clear" w:color="auto" w:fill="auto"/>
            <w:vAlign w:val="bottom"/>
            <w:hideMark/>
          </w:tcPr>
          <w:p w14:paraId="18028A3F"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0,95  </w:t>
            </w:r>
          </w:p>
        </w:tc>
        <w:tc>
          <w:tcPr>
            <w:tcW w:w="1695" w:type="dxa"/>
            <w:tcBorders>
              <w:top w:val="nil"/>
              <w:left w:val="nil"/>
              <w:bottom w:val="nil"/>
              <w:right w:val="nil"/>
            </w:tcBorders>
            <w:shd w:val="clear" w:color="auto" w:fill="auto"/>
            <w:vAlign w:val="bottom"/>
            <w:hideMark/>
          </w:tcPr>
          <w:p w14:paraId="347E5DD1"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0,94  </w:t>
            </w:r>
          </w:p>
        </w:tc>
      </w:tr>
      <w:tr w:rsidR="00DC5DA6" w:rsidRPr="00DC5DA6" w14:paraId="172AD0D2" w14:textId="77777777" w:rsidTr="00DC5DA6">
        <w:trPr>
          <w:trHeight w:val="300"/>
        </w:trPr>
        <w:tc>
          <w:tcPr>
            <w:tcW w:w="990" w:type="dxa"/>
            <w:tcBorders>
              <w:top w:val="nil"/>
              <w:left w:val="nil"/>
              <w:bottom w:val="nil"/>
              <w:right w:val="nil"/>
            </w:tcBorders>
            <w:shd w:val="clear" w:color="auto" w:fill="auto"/>
            <w:vAlign w:val="bottom"/>
            <w:hideMark/>
          </w:tcPr>
          <w:p w14:paraId="6B66ECAB"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EPMG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66925308"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GUATAPE</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16883DF0"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GUATAPE </w:t>
            </w:r>
          </w:p>
        </w:tc>
        <w:tc>
          <w:tcPr>
            <w:tcW w:w="1365" w:type="dxa"/>
            <w:tcBorders>
              <w:top w:val="nil"/>
              <w:left w:val="nil"/>
              <w:bottom w:val="nil"/>
              <w:right w:val="nil"/>
            </w:tcBorders>
            <w:shd w:val="clear" w:color="auto" w:fill="auto"/>
            <w:vAlign w:val="bottom"/>
            <w:hideMark/>
          </w:tcPr>
          <w:p w14:paraId="03BCE679"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0,94  </w:t>
            </w:r>
          </w:p>
        </w:tc>
        <w:tc>
          <w:tcPr>
            <w:tcW w:w="1725" w:type="dxa"/>
            <w:tcBorders>
              <w:top w:val="nil"/>
              <w:left w:val="nil"/>
              <w:bottom w:val="nil"/>
              <w:right w:val="nil"/>
            </w:tcBorders>
            <w:shd w:val="clear" w:color="auto" w:fill="auto"/>
            <w:vAlign w:val="bottom"/>
            <w:hideMark/>
          </w:tcPr>
          <w:p w14:paraId="00E271F9"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0,94  </w:t>
            </w:r>
          </w:p>
        </w:tc>
        <w:tc>
          <w:tcPr>
            <w:tcW w:w="1695" w:type="dxa"/>
            <w:tcBorders>
              <w:top w:val="nil"/>
              <w:left w:val="nil"/>
              <w:bottom w:val="nil"/>
              <w:right w:val="nil"/>
            </w:tcBorders>
            <w:shd w:val="clear" w:color="auto" w:fill="auto"/>
            <w:vAlign w:val="bottom"/>
            <w:hideMark/>
          </w:tcPr>
          <w:p w14:paraId="0A3B11E9"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0,93  </w:t>
            </w:r>
          </w:p>
        </w:tc>
      </w:tr>
      <w:tr w:rsidR="00DC5DA6" w:rsidRPr="00DC5DA6" w14:paraId="148A6180" w14:textId="77777777" w:rsidTr="00DC5DA6">
        <w:trPr>
          <w:trHeight w:val="300"/>
        </w:trPr>
        <w:tc>
          <w:tcPr>
            <w:tcW w:w="990" w:type="dxa"/>
            <w:tcBorders>
              <w:top w:val="nil"/>
              <w:left w:val="nil"/>
              <w:bottom w:val="single" w:sz="6" w:space="0" w:color="95B3D7"/>
              <w:right w:val="nil"/>
            </w:tcBorders>
            <w:shd w:val="clear" w:color="auto" w:fill="auto"/>
            <w:vAlign w:val="bottom"/>
            <w:hideMark/>
          </w:tcPr>
          <w:p w14:paraId="6099B79B"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EPMG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0425970E"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LA TASAJERA</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3120B8DF"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LA TASAJERA </w:t>
            </w:r>
          </w:p>
        </w:tc>
        <w:tc>
          <w:tcPr>
            <w:tcW w:w="1365" w:type="dxa"/>
            <w:tcBorders>
              <w:top w:val="nil"/>
              <w:left w:val="nil"/>
              <w:bottom w:val="nil"/>
              <w:right w:val="nil"/>
            </w:tcBorders>
            <w:shd w:val="clear" w:color="auto" w:fill="auto"/>
            <w:vAlign w:val="bottom"/>
            <w:hideMark/>
          </w:tcPr>
          <w:p w14:paraId="4F61131C"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0,95  </w:t>
            </w:r>
          </w:p>
        </w:tc>
        <w:tc>
          <w:tcPr>
            <w:tcW w:w="1725" w:type="dxa"/>
            <w:tcBorders>
              <w:top w:val="nil"/>
              <w:left w:val="nil"/>
              <w:bottom w:val="nil"/>
              <w:right w:val="nil"/>
            </w:tcBorders>
            <w:shd w:val="clear" w:color="auto" w:fill="auto"/>
            <w:vAlign w:val="bottom"/>
            <w:hideMark/>
          </w:tcPr>
          <w:p w14:paraId="5A26F9AE"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0,92  </w:t>
            </w:r>
          </w:p>
        </w:tc>
        <w:tc>
          <w:tcPr>
            <w:tcW w:w="1695" w:type="dxa"/>
            <w:tcBorders>
              <w:top w:val="nil"/>
              <w:left w:val="nil"/>
              <w:bottom w:val="nil"/>
              <w:right w:val="nil"/>
            </w:tcBorders>
            <w:shd w:val="clear" w:color="auto" w:fill="auto"/>
            <w:vAlign w:val="bottom"/>
            <w:hideMark/>
          </w:tcPr>
          <w:p w14:paraId="24456041"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0,90  </w:t>
            </w:r>
          </w:p>
        </w:tc>
      </w:tr>
      <w:tr w:rsidR="00DC5DA6" w:rsidRPr="00DC5DA6" w14:paraId="2937DB74" w14:textId="77777777" w:rsidTr="00DC5DA6">
        <w:trPr>
          <w:trHeight w:val="300"/>
        </w:trPr>
        <w:tc>
          <w:tcPr>
            <w:tcW w:w="990" w:type="dxa"/>
            <w:tcBorders>
              <w:top w:val="nil"/>
              <w:left w:val="nil"/>
              <w:bottom w:val="nil"/>
              <w:right w:val="nil"/>
            </w:tcBorders>
            <w:shd w:val="clear" w:color="auto" w:fill="auto"/>
            <w:vAlign w:val="bottom"/>
            <w:hideMark/>
          </w:tcPr>
          <w:p w14:paraId="1BCB34B5"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EPSG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5DB1C8FC"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ALBAN</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08786575"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ALTOANCHICAY </w:t>
            </w:r>
          </w:p>
        </w:tc>
        <w:tc>
          <w:tcPr>
            <w:tcW w:w="1365" w:type="dxa"/>
            <w:tcBorders>
              <w:top w:val="nil"/>
              <w:left w:val="nil"/>
              <w:bottom w:val="nil"/>
              <w:right w:val="nil"/>
            </w:tcBorders>
            <w:shd w:val="clear" w:color="auto" w:fill="auto"/>
            <w:vAlign w:val="bottom"/>
            <w:hideMark/>
          </w:tcPr>
          <w:p w14:paraId="0DD9014A"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725" w:type="dxa"/>
            <w:tcBorders>
              <w:top w:val="nil"/>
              <w:left w:val="nil"/>
              <w:bottom w:val="nil"/>
              <w:right w:val="nil"/>
            </w:tcBorders>
            <w:shd w:val="clear" w:color="auto" w:fill="auto"/>
            <w:vAlign w:val="bottom"/>
            <w:hideMark/>
          </w:tcPr>
          <w:p w14:paraId="591327CF"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0,92  </w:t>
            </w:r>
          </w:p>
        </w:tc>
        <w:tc>
          <w:tcPr>
            <w:tcW w:w="1695" w:type="dxa"/>
            <w:tcBorders>
              <w:top w:val="nil"/>
              <w:left w:val="nil"/>
              <w:bottom w:val="nil"/>
              <w:right w:val="nil"/>
            </w:tcBorders>
            <w:shd w:val="clear" w:color="auto" w:fill="auto"/>
            <w:vAlign w:val="bottom"/>
            <w:hideMark/>
          </w:tcPr>
          <w:p w14:paraId="4EEB0551"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0,32  </w:t>
            </w:r>
          </w:p>
        </w:tc>
      </w:tr>
      <w:tr w:rsidR="00DC5DA6" w:rsidRPr="00DC5DA6" w14:paraId="14F1F774" w14:textId="77777777" w:rsidTr="00DC5DA6">
        <w:trPr>
          <w:trHeight w:val="300"/>
        </w:trPr>
        <w:tc>
          <w:tcPr>
            <w:tcW w:w="990" w:type="dxa"/>
            <w:tcBorders>
              <w:top w:val="nil"/>
              <w:left w:val="nil"/>
              <w:bottom w:val="nil"/>
              <w:right w:val="nil"/>
            </w:tcBorders>
            <w:shd w:val="clear" w:color="auto" w:fill="auto"/>
            <w:vAlign w:val="bottom"/>
            <w:hideMark/>
          </w:tcPr>
          <w:p w14:paraId="5EEAC19D"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ENDG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6F128105"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EL QUIMBO</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33EC869E"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EL QUIMBO </w:t>
            </w:r>
          </w:p>
        </w:tc>
        <w:tc>
          <w:tcPr>
            <w:tcW w:w="1365" w:type="dxa"/>
            <w:tcBorders>
              <w:top w:val="nil"/>
              <w:left w:val="nil"/>
              <w:bottom w:val="nil"/>
              <w:right w:val="nil"/>
            </w:tcBorders>
            <w:shd w:val="clear" w:color="auto" w:fill="auto"/>
            <w:vAlign w:val="bottom"/>
            <w:hideMark/>
          </w:tcPr>
          <w:p w14:paraId="13F52129"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0,92  </w:t>
            </w:r>
          </w:p>
        </w:tc>
        <w:tc>
          <w:tcPr>
            <w:tcW w:w="1725" w:type="dxa"/>
            <w:tcBorders>
              <w:top w:val="nil"/>
              <w:left w:val="nil"/>
              <w:bottom w:val="nil"/>
              <w:right w:val="nil"/>
            </w:tcBorders>
            <w:shd w:val="clear" w:color="auto" w:fill="auto"/>
            <w:vAlign w:val="bottom"/>
            <w:hideMark/>
          </w:tcPr>
          <w:p w14:paraId="3E05D97E"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0,91  </w:t>
            </w:r>
          </w:p>
        </w:tc>
        <w:tc>
          <w:tcPr>
            <w:tcW w:w="1695" w:type="dxa"/>
            <w:tcBorders>
              <w:top w:val="nil"/>
              <w:left w:val="nil"/>
              <w:bottom w:val="nil"/>
              <w:right w:val="nil"/>
            </w:tcBorders>
            <w:shd w:val="clear" w:color="auto" w:fill="auto"/>
            <w:vAlign w:val="bottom"/>
            <w:hideMark/>
          </w:tcPr>
          <w:p w14:paraId="01758813"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0,90  </w:t>
            </w:r>
          </w:p>
        </w:tc>
      </w:tr>
      <w:tr w:rsidR="00DC5DA6" w:rsidRPr="00DC5DA6" w14:paraId="262D2074" w14:textId="77777777" w:rsidTr="00DC5DA6">
        <w:trPr>
          <w:trHeight w:val="300"/>
        </w:trPr>
        <w:tc>
          <w:tcPr>
            <w:tcW w:w="990" w:type="dxa"/>
            <w:tcBorders>
              <w:top w:val="nil"/>
              <w:left w:val="nil"/>
              <w:bottom w:val="nil"/>
              <w:right w:val="nil"/>
            </w:tcBorders>
            <w:shd w:val="clear" w:color="auto" w:fill="auto"/>
            <w:vAlign w:val="bottom"/>
            <w:hideMark/>
          </w:tcPr>
          <w:p w14:paraId="21AED99C"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ENDG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4BDF0B0D"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GUAVIO</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46B7DDF5"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GUAVIO </w:t>
            </w:r>
          </w:p>
        </w:tc>
        <w:tc>
          <w:tcPr>
            <w:tcW w:w="1365" w:type="dxa"/>
            <w:tcBorders>
              <w:top w:val="nil"/>
              <w:left w:val="nil"/>
              <w:bottom w:val="nil"/>
              <w:right w:val="nil"/>
            </w:tcBorders>
            <w:shd w:val="clear" w:color="auto" w:fill="auto"/>
            <w:vAlign w:val="bottom"/>
            <w:hideMark/>
          </w:tcPr>
          <w:p w14:paraId="16CAD546"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725" w:type="dxa"/>
            <w:tcBorders>
              <w:top w:val="nil"/>
              <w:left w:val="nil"/>
              <w:bottom w:val="nil"/>
              <w:right w:val="nil"/>
            </w:tcBorders>
            <w:shd w:val="clear" w:color="auto" w:fill="auto"/>
            <w:vAlign w:val="bottom"/>
            <w:hideMark/>
          </w:tcPr>
          <w:p w14:paraId="7E64AD07"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0,86  </w:t>
            </w:r>
          </w:p>
        </w:tc>
        <w:tc>
          <w:tcPr>
            <w:tcW w:w="1695" w:type="dxa"/>
            <w:tcBorders>
              <w:top w:val="nil"/>
              <w:left w:val="nil"/>
              <w:bottom w:val="nil"/>
              <w:right w:val="nil"/>
            </w:tcBorders>
            <w:shd w:val="clear" w:color="auto" w:fill="auto"/>
            <w:vAlign w:val="bottom"/>
            <w:hideMark/>
          </w:tcPr>
          <w:p w14:paraId="774ED422"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r>
      <w:tr w:rsidR="00DC5DA6" w:rsidRPr="00DC5DA6" w14:paraId="26BA1715" w14:textId="77777777" w:rsidTr="00DC5DA6">
        <w:trPr>
          <w:trHeight w:val="300"/>
        </w:trPr>
        <w:tc>
          <w:tcPr>
            <w:tcW w:w="990" w:type="dxa"/>
            <w:tcBorders>
              <w:top w:val="nil"/>
              <w:left w:val="nil"/>
              <w:bottom w:val="nil"/>
              <w:right w:val="nil"/>
            </w:tcBorders>
            <w:shd w:val="clear" w:color="auto" w:fill="auto"/>
            <w:vAlign w:val="bottom"/>
            <w:hideMark/>
          </w:tcPr>
          <w:p w14:paraId="2C42BE9C"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CHVG</w:t>
            </w:r>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1797308E"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CHIVOR</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1E2E6ECF"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CHIVOR </w:t>
            </w:r>
          </w:p>
        </w:tc>
        <w:tc>
          <w:tcPr>
            <w:tcW w:w="1365" w:type="dxa"/>
            <w:tcBorders>
              <w:top w:val="nil"/>
              <w:left w:val="nil"/>
              <w:bottom w:val="nil"/>
              <w:right w:val="nil"/>
            </w:tcBorders>
            <w:shd w:val="clear" w:color="auto" w:fill="auto"/>
            <w:vAlign w:val="bottom"/>
            <w:hideMark/>
          </w:tcPr>
          <w:p w14:paraId="765DD004"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0,83  </w:t>
            </w:r>
          </w:p>
        </w:tc>
        <w:tc>
          <w:tcPr>
            <w:tcW w:w="1725" w:type="dxa"/>
            <w:tcBorders>
              <w:top w:val="nil"/>
              <w:left w:val="nil"/>
              <w:bottom w:val="nil"/>
              <w:right w:val="nil"/>
            </w:tcBorders>
            <w:shd w:val="clear" w:color="auto" w:fill="auto"/>
            <w:vAlign w:val="bottom"/>
            <w:hideMark/>
          </w:tcPr>
          <w:p w14:paraId="08021AF9"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0,80  </w:t>
            </w:r>
          </w:p>
        </w:tc>
        <w:tc>
          <w:tcPr>
            <w:tcW w:w="1695" w:type="dxa"/>
            <w:tcBorders>
              <w:top w:val="nil"/>
              <w:left w:val="nil"/>
              <w:bottom w:val="nil"/>
              <w:right w:val="nil"/>
            </w:tcBorders>
            <w:shd w:val="clear" w:color="auto" w:fill="auto"/>
            <w:vAlign w:val="bottom"/>
            <w:hideMark/>
          </w:tcPr>
          <w:p w14:paraId="53D17D20" w14:textId="77777777" w:rsidR="00DC5DA6" w:rsidRPr="00DC5DA6" w:rsidRDefault="00DC5DA6" w:rsidP="00DC5DA6">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0,75  </w:t>
            </w:r>
          </w:p>
        </w:tc>
      </w:tr>
    </w:tbl>
    <w:p w14:paraId="4BC3BE1A" w14:textId="77777777" w:rsidR="00D90C4A" w:rsidRDefault="00D90C4A" w:rsidP="00CE02EE">
      <w:pPr>
        <w:rPr>
          <w:lang w:val="es-CO"/>
        </w:rPr>
      </w:pPr>
    </w:p>
    <w:p w14:paraId="525C345A" w14:textId="7B9E3FA5" w:rsidR="00DC5DA6" w:rsidRPr="00080371" w:rsidRDefault="00DC5DA6" w:rsidP="00DC5DA6">
      <w:pPr>
        <w:pStyle w:val="Descripcin"/>
        <w:rPr>
          <w:lang w:val="es-CO"/>
        </w:rPr>
      </w:pPr>
      <w:bookmarkStart w:id="37" w:name="_Toc153876888"/>
      <w:r>
        <w:t xml:space="preserve">Tabla </w:t>
      </w:r>
      <w:r>
        <w:fldChar w:fldCharType="begin"/>
      </w:r>
      <w:r>
        <w:instrText xml:space="preserve"> SEQ Tabla \* ARABIC </w:instrText>
      </w:r>
      <w:r>
        <w:fldChar w:fldCharType="separate"/>
      </w:r>
      <w:r w:rsidR="004B57FF">
        <w:rPr>
          <w:noProof/>
        </w:rPr>
        <w:t>3</w:t>
      </w:r>
      <w:r>
        <w:fldChar w:fldCharType="end"/>
      </w:r>
      <w:r>
        <w:t xml:space="preserve">. </w:t>
      </w:r>
      <w:r w:rsidR="00B81E36" w:rsidRPr="00080371">
        <w:rPr>
          <w:lang w:val="es-CO"/>
        </w:rPr>
        <w:t xml:space="preserve">Índice de Lerner por recurso, como </w:t>
      </w:r>
      <w:r w:rsidR="00080371" w:rsidRPr="00080371">
        <w:rPr>
          <w:lang w:val="es-CO"/>
        </w:rPr>
        <w:t>promedio para septiembre de 2023, en</w:t>
      </w:r>
      <w:r w:rsidR="00080371">
        <w:rPr>
          <w:lang w:val="es-CO"/>
        </w:rPr>
        <w:t xml:space="preserve"> los escenarios con percentil 5, 95 y promedio</w:t>
      </w:r>
      <w:bookmarkEnd w:id="37"/>
    </w:p>
    <w:p w14:paraId="725D847A" w14:textId="77777777" w:rsidR="007537C0" w:rsidRPr="007537C0" w:rsidRDefault="007537C0" w:rsidP="007537C0">
      <w:pPr>
        <w:pStyle w:val="paragraph"/>
        <w:spacing w:before="0" w:beforeAutospacing="0" w:after="0" w:afterAutospacing="0"/>
        <w:jc w:val="both"/>
        <w:textAlignment w:val="baseline"/>
        <w:rPr>
          <w:rFonts w:ascii="Arial" w:hAnsi="Arial" w:cs="Arial"/>
          <w:sz w:val="20"/>
          <w:szCs w:val="20"/>
        </w:rPr>
      </w:pPr>
      <w:r w:rsidRPr="007537C0">
        <w:rPr>
          <w:rStyle w:val="normaltextrun"/>
          <w:rFonts w:ascii="Arial" w:hAnsi="Arial" w:cs="Arial"/>
        </w:rPr>
        <w:t xml:space="preserve">Los resultados anteriores revelan de forma generalizada la existencia de valores del índice que son significativamente elevados para los tres escenarios de costos analizados (percentil 5, 95 y promedio). Así, se observa que: (i) para el escenario P5 el índice registra valor mínimo de 0,83, (ii) para el escenario P95, el índice Lerner calculado reporta un valor mínimo de 0,32 que en realidad es atípico si se tiene en cuenta que el segundo </w:t>
      </w:r>
      <w:r w:rsidRPr="007537C0">
        <w:rPr>
          <w:rStyle w:val="normaltextrun"/>
          <w:rFonts w:ascii="Arial" w:hAnsi="Arial" w:cs="Arial"/>
        </w:rPr>
        <w:lastRenderedPageBreak/>
        <w:t>menor valor es 0,75 y el promedio de valores en este escenario es 0,91 y, (iii) para el escenario PROMEDIO, el índice Lerner calculado registra un mínimo de 0,80. Para los tres escenarios, el valor máximo registrado para el índice calculado es 1.</w:t>
      </w:r>
      <w:r w:rsidRPr="007537C0">
        <w:rPr>
          <w:rStyle w:val="eop"/>
          <w:rFonts w:ascii="Arial" w:hAnsi="Arial" w:cs="Arial"/>
        </w:rPr>
        <w:t> </w:t>
      </w:r>
    </w:p>
    <w:p w14:paraId="08B03EED" w14:textId="77777777" w:rsidR="007537C0" w:rsidRPr="007537C0" w:rsidRDefault="007537C0" w:rsidP="007537C0">
      <w:pPr>
        <w:pStyle w:val="paragraph"/>
        <w:spacing w:before="0" w:beforeAutospacing="0" w:after="0" w:afterAutospacing="0"/>
        <w:textAlignment w:val="baseline"/>
        <w:rPr>
          <w:rFonts w:ascii="Arial" w:hAnsi="Arial" w:cs="Arial"/>
          <w:sz w:val="20"/>
          <w:szCs w:val="20"/>
        </w:rPr>
      </w:pPr>
      <w:r w:rsidRPr="007537C0">
        <w:rPr>
          <w:rStyle w:val="eop"/>
          <w:rFonts w:ascii="Arial" w:hAnsi="Arial" w:cs="Arial"/>
        </w:rPr>
        <w:t> </w:t>
      </w:r>
    </w:p>
    <w:p w14:paraId="6C6AAE49" w14:textId="77777777" w:rsidR="007537C0" w:rsidRDefault="007537C0" w:rsidP="007537C0">
      <w:pPr>
        <w:pStyle w:val="paragraph"/>
        <w:spacing w:before="0" w:beforeAutospacing="0" w:after="0" w:afterAutospacing="0"/>
        <w:textAlignment w:val="baseline"/>
        <w:rPr>
          <w:rStyle w:val="eop"/>
          <w:rFonts w:ascii="Arial" w:hAnsi="Arial" w:cs="Arial"/>
        </w:rPr>
      </w:pPr>
      <w:r w:rsidRPr="007537C0">
        <w:rPr>
          <w:rStyle w:val="normaltextrun"/>
          <w:rFonts w:ascii="Arial" w:hAnsi="Arial" w:cs="Arial"/>
        </w:rPr>
        <w:t>Adelantando un ejercicio similar, en el que se promediaron los índices Lerner obtenidos a nivel de empresa, se obtuvieron los siguientes resultados:</w:t>
      </w:r>
      <w:r w:rsidRPr="007537C0">
        <w:rPr>
          <w:rStyle w:val="eop"/>
          <w:rFonts w:ascii="Arial" w:hAnsi="Arial" w:cs="Arial"/>
        </w:rPr>
        <w:t> </w:t>
      </w:r>
    </w:p>
    <w:p w14:paraId="60C6562F" w14:textId="77777777" w:rsidR="00676828" w:rsidRDefault="00676828" w:rsidP="007537C0">
      <w:pPr>
        <w:pStyle w:val="paragraph"/>
        <w:spacing w:before="0" w:beforeAutospacing="0" w:after="0" w:afterAutospacing="0"/>
        <w:textAlignment w:val="baseline"/>
        <w:rPr>
          <w:rStyle w:val="eop"/>
          <w:rFonts w:ascii="Arial" w:hAnsi="Arial" w:cs="Arial"/>
        </w:rPr>
      </w:pPr>
    </w:p>
    <w:p w14:paraId="606DD65A" w14:textId="77777777" w:rsidR="00687A2E" w:rsidRDefault="00687A2E" w:rsidP="007537C0">
      <w:pPr>
        <w:pStyle w:val="paragraph"/>
        <w:spacing w:before="0" w:beforeAutospacing="0" w:after="0" w:afterAutospacing="0"/>
        <w:textAlignment w:val="baseline"/>
        <w:rPr>
          <w:rStyle w:val="eop"/>
          <w:rFonts w:ascii="Arial" w:hAnsi="Arial" w:cs="Arial"/>
        </w:rPr>
      </w:pPr>
    </w:p>
    <w:tbl>
      <w:tblPr>
        <w:tblW w:w="6075" w:type="dxa"/>
        <w:tblInd w:w="14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1560"/>
        <w:gridCol w:w="1695"/>
        <w:gridCol w:w="1695"/>
      </w:tblGrid>
      <w:tr w:rsidR="00687A2E" w:rsidRPr="00687A2E" w14:paraId="32DD0924" w14:textId="77777777" w:rsidTr="00687A2E">
        <w:trPr>
          <w:trHeight w:val="810"/>
        </w:trPr>
        <w:tc>
          <w:tcPr>
            <w:tcW w:w="1125" w:type="dxa"/>
            <w:tcBorders>
              <w:top w:val="nil"/>
              <w:left w:val="nil"/>
              <w:bottom w:val="single" w:sz="6" w:space="0" w:color="95B3D7"/>
              <w:right w:val="nil"/>
            </w:tcBorders>
            <w:shd w:val="clear" w:color="auto" w:fill="DCE6F1"/>
            <w:vAlign w:val="center"/>
            <w:hideMark/>
          </w:tcPr>
          <w:p w14:paraId="664ACE16" w14:textId="597BA6CF"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b/>
                <w:bCs/>
                <w:color w:val="000000"/>
                <w:sz w:val="22"/>
                <w:szCs w:val="22"/>
                <w:lang w:val="es-CO" w:eastAsia="es-CO"/>
              </w:rPr>
              <w:t>CÓDIGO AGENTE</w:t>
            </w:r>
          </w:p>
        </w:tc>
        <w:tc>
          <w:tcPr>
            <w:tcW w:w="1560" w:type="dxa"/>
            <w:tcBorders>
              <w:top w:val="nil"/>
              <w:left w:val="nil"/>
              <w:bottom w:val="single" w:sz="6" w:space="0" w:color="95B3D7"/>
              <w:right w:val="nil"/>
            </w:tcBorders>
            <w:shd w:val="clear" w:color="auto" w:fill="DCE6F1"/>
            <w:vAlign w:val="center"/>
            <w:hideMark/>
          </w:tcPr>
          <w:p w14:paraId="5ED10B7D" w14:textId="77BB29BD"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b/>
                <w:bCs/>
                <w:color w:val="000000"/>
                <w:sz w:val="22"/>
                <w:szCs w:val="22"/>
                <w:lang w:val="es-CO" w:eastAsia="es-CO"/>
              </w:rPr>
              <w:t>LERNER Promedio P5</w:t>
            </w:r>
          </w:p>
        </w:tc>
        <w:tc>
          <w:tcPr>
            <w:tcW w:w="1695" w:type="dxa"/>
            <w:tcBorders>
              <w:top w:val="nil"/>
              <w:left w:val="nil"/>
              <w:bottom w:val="single" w:sz="6" w:space="0" w:color="95B3D7"/>
              <w:right w:val="nil"/>
            </w:tcBorders>
            <w:shd w:val="clear" w:color="auto" w:fill="DCE6F1"/>
            <w:vAlign w:val="center"/>
            <w:hideMark/>
          </w:tcPr>
          <w:p w14:paraId="14B2B106" w14:textId="623D2FFE"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b/>
                <w:bCs/>
                <w:color w:val="000000"/>
                <w:sz w:val="22"/>
                <w:szCs w:val="22"/>
                <w:lang w:val="es-CO" w:eastAsia="es-CO"/>
              </w:rPr>
              <w:t>LERNER Promedio PROM</w:t>
            </w:r>
          </w:p>
        </w:tc>
        <w:tc>
          <w:tcPr>
            <w:tcW w:w="1695" w:type="dxa"/>
            <w:tcBorders>
              <w:top w:val="nil"/>
              <w:left w:val="nil"/>
              <w:bottom w:val="single" w:sz="6" w:space="0" w:color="95B3D7"/>
              <w:right w:val="nil"/>
            </w:tcBorders>
            <w:shd w:val="clear" w:color="auto" w:fill="DCE6F1"/>
            <w:vAlign w:val="center"/>
            <w:hideMark/>
          </w:tcPr>
          <w:p w14:paraId="263DFB43" w14:textId="606718AF"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b/>
                <w:bCs/>
                <w:color w:val="000000"/>
                <w:sz w:val="22"/>
                <w:szCs w:val="22"/>
                <w:lang w:val="es-CO" w:eastAsia="es-CO"/>
              </w:rPr>
              <w:t>LERNER Promedio P95</w:t>
            </w:r>
          </w:p>
        </w:tc>
      </w:tr>
      <w:tr w:rsidR="00687A2E" w:rsidRPr="00687A2E" w14:paraId="1FDF38DF" w14:textId="77777777" w:rsidTr="00687A2E">
        <w:trPr>
          <w:trHeight w:val="300"/>
        </w:trPr>
        <w:tc>
          <w:tcPr>
            <w:tcW w:w="1125" w:type="dxa"/>
            <w:tcBorders>
              <w:top w:val="nil"/>
              <w:left w:val="nil"/>
              <w:bottom w:val="nil"/>
              <w:right w:val="nil"/>
            </w:tcBorders>
            <w:shd w:val="clear" w:color="auto" w:fill="auto"/>
            <w:vAlign w:val="bottom"/>
            <w:hideMark/>
          </w:tcPr>
          <w:p w14:paraId="64B46EB6" w14:textId="6E2AE39D"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color w:val="000000"/>
                <w:sz w:val="22"/>
                <w:szCs w:val="22"/>
                <w:lang w:val="es-CO" w:eastAsia="es-CO"/>
              </w:rPr>
              <w:t>ISGG</w:t>
            </w:r>
          </w:p>
        </w:tc>
        <w:tc>
          <w:tcPr>
            <w:tcW w:w="1560" w:type="dxa"/>
            <w:tcBorders>
              <w:top w:val="nil"/>
              <w:left w:val="nil"/>
              <w:bottom w:val="nil"/>
              <w:right w:val="nil"/>
            </w:tcBorders>
            <w:shd w:val="clear" w:color="auto" w:fill="auto"/>
            <w:vAlign w:val="bottom"/>
            <w:hideMark/>
          </w:tcPr>
          <w:p w14:paraId="790824A4" w14:textId="66891FDC"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color w:val="000000"/>
                <w:sz w:val="22"/>
                <w:szCs w:val="22"/>
                <w:lang w:val="es-CO" w:eastAsia="es-CO"/>
              </w:rPr>
              <w:t>0,98</w:t>
            </w:r>
          </w:p>
        </w:tc>
        <w:tc>
          <w:tcPr>
            <w:tcW w:w="1695" w:type="dxa"/>
            <w:tcBorders>
              <w:top w:val="nil"/>
              <w:left w:val="nil"/>
              <w:bottom w:val="nil"/>
              <w:right w:val="nil"/>
            </w:tcBorders>
            <w:shd w:val="clear" w:color="auto" w:fill="auto"/>
            <w:vAlign w:val="bottom"/>
            <w:hideMark/>
          </w:tcPr>
          <w:p w14:paraId="48729054" w14:textId="26950C30"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color w:val="000000"/>
                <w:sz w:val="22"/>
                <w:szCs w:val="22"/>
                <w:lang w:val="es-CO" w:eastAsia="es-CO"/>
              </w:rPr>
              <w:t>0,97</w:t>
            </w:r>
          </w:p>
        </w:tc>
        <w:tc>
          <w:tcPr>
            <w:tcW w:w="1695" w:type="dxa"/>
            <w:tcBorders>
              <w:top w:val="nil"/>
              <w:left w:val="nil"/>
              <w:bottom w:val="nil"/>
              <w:right w:val="nil"/>
            </w:tcBorders>
            <w:shd w:val="clear" w:color="auto" w:fill="auto"/>
            <w:vAlign w:val="bottom"/>
            <w:hideMark/>
          </w:tcPr>
          <w:p w14:paraId="6E17BDF4" w14:textId="2E749F0F"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color w:val="000000"/>
                <w:sz w:val="22"/>
                <w:szCs w:val="22"/>
                <w:lang w:val="es-CO" w:eastAsia="es-CO"/>
              </w:rPr>
              <w:t>0,97</w:t>
            </w:r>
          </w:p>
        </w:tc>
      </w:tr>
      <w:tr w:rsidR="00687A2E" w:rsidRPr="00687A2E" w14:paraId="56624ACC" w14:textId="77777777" w:rsidTr="00687A2E">
        <w:trPr>
          <w:trHeight w:val="300"/>
        </w:trPr>
        <w:tc>
          <w:tcPr>
            <w:tcW w:w="1125" w:type="dxa"/>
            <w:tcBorders>
              <w:top w:val="nil"/>
              <w:left w:val="nil"/>
              <w:bottom w:val="nil"/>
              <w:right w:val="nil"/>
            </w:tcBorders>
            <w:shd w:val="clear" w:color="auto" w:fill="auto"/>
            <w:vAlign w:val="bottom"/>
            <w:hideMark/>
          </w:tcPr>
          <w:p w14:paraId="519586F9" w14:textId="4B06DB8A"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color w:val="000000"/>
                <w:sz w:val="22"/>
                <w:szCs w:val="22"/>
                <w:lang w:val="es-CO" w:eastAsia="es-CO"/>
              </w:rPr>
              <w:t>EMUG</w:t>
            </w:r>
          </w:p>
        </w:tc>
        <w:tc>
          <w:tcPr>
            <w:tcW w:w="1560" w:type="dxa"/>
            <w:tcBorders>
              <w:top w:val="nil"/>
              <w:left w:val="nil"/>
              <w:bottom w:val="nil"/>
              <w:right w:val="nil"/>
            </w:tcBorders>
            <w:shd w:val="clear" w:color="auto" w:fill="auto"/>
            <w:vAlign w:val="bottom"/>
            <w:hideMark/>
          </w:tcPr>
          <w:p w14:paraId="7067CEA1" w14:textId="4D500211"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color w:val="000000"/>
                <w:sz w:val="22"/>
                <w:szCs w:val="22"/>
                <w:lang w:val="es-CO" w:eastAsia="es-CO"/>
              </w:rPr>
              <w:t>0,98</w:t>
            </w:r>
          </w:p>
        </w:tc>
        <w:tc>
          <w:tcPr>
            <w:tcW w:w="1695" w:type="dxa"/>
            <w:tcBorders>
              <w:top w:val="nil"/>
              <w:left w:val="nil"/>
              <w:bottom w:val="nil"/>
              <w:right w:val="nil"/>
            </w:tcBorders>
            <w:shd w:val="clear" w:color="auto" w:fill="auto"/>
            <w:vAlign w:val="bottom"/>
            <w:hideMark/>
          </w:tcPr>
          <w:p w14:paraId="596EDDF7" w14:textId="7F87836B"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color w:val="000000"/>
                <w:sz w:val="22"/>
                <w:szCs w:val="22"/>
                <w:lang w:val="es-CO" w:eastAsia="es-CO"/>
              </w:rPr>
              <w:t>0,97</w:t>
            </w:r>
          </w:p>
        </w:tc>
        <w:tc>
          <w:tcPr>
            <w:tcW w:w="1695" w:type="dxa"/>
            <w:tcBorders>
              <w:top w:val="nil"/>
              <w:left w:val="nil"/>
              <w:bottom w:val="nil"/>
              <w:right w:val="nil"/>
            </w:tcBorders>
            <w:shd w:val="clear" w:color="auto" w:fill="auto"/>
            <w:vAlign w:val="bottom"/>
            <w:hideMark/>
          </w:tcPr>
          <w:p w14:paraId="0D4620BA" w14:textId="2E1D29EE"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color w:val="000000"/>
                <w:sz w:val="22"/>
                <w:szCs w:val="22"/>
                <w:lang w:val="es-CO" w:eastAsia="es-CO"/>
              </w:rPr>
              <w:t>0,96</w:t>
            </w:r>
          </w:p>
        </w:tc>
      </w:tr>
      <w:tr w:rsidR="00687A2E" w:rsidRPr="00687A2E" w14:paraId="588AE074" w14:textId="77777777" w:rsidTr="00687A2E">
        <w:trPr>
          <w:trHeight w:val="300"/>
        </w:trPr>
        <w:tc>
          <w:tcPr>
            <w:tcW w:w="1125" w:type="dxa"/>
            <w:tcBorders>
              <w:top w:val="nil"/>
              <w:left w:val="nil"/>
              <w:bottom w:val="nil"/>
              <w:right w:val="nil"/>
            </w:tcBorders>
            <w:shd w:val="clear" w:color="auto" w:fill="auto"/>
            <w:vAlign w:val="bottom"/>
            <w:hideMark/>
          </w:tcPr>
          <w:p w14:paraId="13DC5C0A" w14:textId="2FDE543F"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color w:val="000000"/>
                <w:sz w:val="22"/>
                <w:szCs w:val="22"/>
                <w:lang w:val="es-CO" w:eastAsia="es-CO"/>
              </w:rPr>
              <w:t>EPMG</w:t>
            </w:r>
          </w:p>
        </w:tc>
        <w:tc>
          <w:tcPr>
            <w:tcW w:w="1560" w:type="dxa"/>
            <w:tcBorders>
              <w:top w:val="nil"/>
              <w:left w:val="nil"/>
              <w:bottom w:val="nil"/>
              <w:right w:val="nil"/>
            </w:tcBorders>
            <w:shd w:val="clear" w:color="auto" w:fill="auto"/>
            <w:vAlign w:val="bottom"/>
            <w:hideMark/>
          </w:tcPr>
          <w:p w14:paraId="07C39CA4" w14:textId="255BD80E"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color w:val="000000"/>
                <w:sz w:val="22"/>
                <w:szCs w:val="22"/>
                <w:lang w:val="es-CO" w:eastAsia="es-CO"/>
              </w:rPr>
              <w:t>0,97</w:t>
            </w:r>
          </w:p>
        </w:tc>
        <w:tc>
          <w:tcPr>
            <w:tcW w:w="1695" w:type="dxa"/>
            <w:tcBorders>
              <w:top w:val="nil"/>
              <w:left w:val="nil"/>
              <w:bottom w:val="nil"/>
              <w:right w:val="nil"/>
            </w:tcBorders>
            <w:shd w:val="clear" w:color="auto" w:fill="auto"/>
            <w:vAlign w:val="bottom"/>
            <w:hideMark/>
          </w:tcPr>
          <w:p w14:paraId="765CEB1C" w14:textId="72D9DADF"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color w:val="000000"/>
                <w:sz w:val="22"/>
                <w:szCs w:val="22"/>
                <w:lang w:val="es-CO" w:eastAsia="es-CO"/>
              </w:rPr>
              <w:t>0,97</w:t>
            </w:r>
          </w:p>
        </w:tc>
        <w:tc>
          <w:tcPr>
            <w:tcW w:w="1695" w:type="dxa"/>
            <w:tcBorders>
              <w:top w:val="nil"/>
              <w:left w:val="nil"/>
              <w:bottom w:val="nil"/>
              <w:right w:val="nil"/>
            </w:tcBorders>
            <w:shd w:val="clear" w:color="auto" w:fill="auto"/>
            <w:vAlign w:val="bottom"/>
            <w:hideMark/>
          </w:tcPr>
          <w:p w14:paraId="65B47F77" w14:textId="0553F571"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color w:val="000000"/>
                <w:sz w:val="22"/>
                <w:szCs w:val="22"/>
                <w:lang w:val="es-CO" w:eastAsia="es-CO"/>
              </w:rPr>
              <w:t>0,96</w:t>
            </w:r>
          </w:p>
        </w:tc>
      </w:tr>
      <w:tr w:rsidR="00687A2E" w:rsidRPr="00687A2E" w14:paraId="6F13D5C7" w14:textId="77777777" w:rsidTr="00687A2E">
        <w:trPr>
          <w:trHeight w:val="300"/>
        </w:trPr>
        <w:tc>
          <w:tcPr>
            <w:tcW w:w="1125" w:type="dxa"/>
            <w:tcBorders>
              <w:top w:val="nil"/>
              <w:left w:val="nil"/>
              <w:bottom w:val="nil"/>
              <w:right w:val="nil"/>
            </w:tcBorders>
            <w:shd w:val="clear" w:color="auto" w:fill="auto"/>
            <w:vAlign w:val="bottom"/>
            <w:hideMark/>
          </w:tcPr>
          <w:p w14:paraId="62D1B561" w14:textId="00FBA434"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color w:val="000000"/>
                <w:sz w:val="22"/>
                <w:szCs w:val="22"/>
                <w:lang w:val="es-CO" w:eastAsia="es-CO"/>
              </w:rPr>
              <w:t>CHVG</w:t>
            </w:r>
          </w:p>
        </w:tc>
        <w:tc>
          <w:tcPr>
            <w:tcW w:w="1560" w:type="dxa"/>
            <w:tcBorders>
              <w:top w:val="nil"/>
              <w:left w:val="nil"/>
              <w:bottom w:val="nil"/>
              <w:right w:val="nil"/>
            </w:tcBorders>
            <w:shd w:val="clear" w:color="auto" w:fill="auto"/>
            <w:vAlign w:val="bottom"/>
            <w:hideMark/>
          </w:tcPr>
          <w:p w14:paraId="22283204" w14:textId="685555E3"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color w:val="000000"/>
                <w:sz w:val="22"/>
                <w:szCs w:val="22"/>
                <w:lang w:val="es-CO" w:eastAsia="es-CO"/>
              </w:rPr>
              <w:t>0,83</w:t>
            </w:r>
          </w:p>
        </w:tc>
        <w:tc>
          <w:tcPr>
            <w:tcW w:w="1695" w:type="dxa"/>
            <w:tcBorders>
              <w:top w:val="nil"/>
              <w:left w:val="nil"/>
              <w:bottom w:val="nil"/>
              <w:right w:val="nil"/>
            </w:tcBorders>
            <w:shd w:val="clear" w:color="auto" w:fill="auto"/>
            <w:vAlign w:val="bottom"/>
            <w:hideMark/>
          </w:tcPr>
          <w:p w14:paraId="7B138CE1" w14:textId="464F7F72"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color w:val="000000"/>
                <w:sz w:val="22"/>
                <w:szCs w:val="22"/>
                <w:lang w:val="es-CO" w:eastAsia="es-CO"/>
              </w:rPr>
              <w:t>0,80</w:t>
            </w:r>
          </w:p>
        </w:tc>
        <w:tc>
          <w:tcPr>
            <w:tcW w:w="1695" w:type="dxa"/>
            <w:tcBorders>
              <w:top w:val="nil"/>
              <w:left w:val="nil"/>
              <w:bottom w:val="nil"/>
              <w:right w:val="nil"/>
            </w:tcBorders>
            <w:shd w:val="clear" w:color="auto" w:fill="auto"/>
            <w:vAlign w:val="bottom"/>
            <w:hideMark/>
          </w:tcPr>
          <w:p w14:paraId="3810943E" w14:textId="0EBD60D9" w:rsidR="00687A2E" w:rsidRPr="00687A2E" w:rsidRDefault="00687A2E" w:rsidP="00687A2E">
            <w:pPr>
              <w:textAlignment w:val="baseline"/>
              <w:rPr>
                <w:rFonts w:ascii="Segoe UI" w:hAnsi="Segoe UI" w:cs="Segoe UI"/>
                <w:sz w:val="18"/>
                <w:szCs w:val="18"/>
                <w:lang w:val="es-CO" w:eastAsia="es-CO"/>
              </w:rPr>
            </w:pPr>
            <w:r w:rsidRPr="00687A2E">
              <w:rPr>
                <w:rFonts w:ascii="Calibri" w:hAnsi="Calibri" w:cs="Calibri"/>
                <w:color w:val="000000"/>
                <w:sz w:val="22"/>
                <w:szCs w:val="22"/>
                <w:lang w:val="es-CO" w:eastAsia="es-CO"/>
              </w:rPr>
              <w:t>0,75</w:t>
            </w:r>
          </w:p>
        </w:tc>
      </w:tr>
    </w:tbl>
    <w:p w14:paraId="58D90214" w14:textId="77777777" w:rsidR="00687A2E" w:rsidRPr="007537C0" w:rsidRDefault="00687A2E" w:rsidP="007537C0">
      <w:pPr>
        <w:pStyle w:val="paragraph"/>
        <w:spacing w:before="0" w:beforeAutospacing="0" w:after="0" w:afterAutospacing="0"/>
        <w:textAlignment w:val="baseline"/>
        <w:rPr>
          <w:rFonts w:ascii="Arial" w:hAnsi="Arial" w:cs="Arial"/>
          <w:sz w:val="20"/>
          <w:szCs w:val="20"/>
        </w:rPr>
      </w:pPr>
    </w:p>
    <w:p w14:paraId="143ED7EF" w14:textId="10597A45" w:rsidR="00242D91" w:rsidRPr="00080371" w:rsidRDefault="00687A2E" w:rsidP="00242D91">
      <w:pPr>
        <w:pStyle w:val="Descripcin"/>
        <w:rPr>
          <w:lang w:val="es-CO"/>
        </w:rPr>
      </w:pPr>
      <w:bookmarkStart w:id="38" w:name="_Toc153876889"/>
      <w:r>
        <w:t xml:space="preserve">Tabla </w:t>
      </w:r>
      <w:r>
        <w:fldChar w:fldCharType="begin"/>
      </w:r>
      <w:r>
        <w:instrText xml:space="preserve"> SEQ Tabla \* ARABIC </w:instrText>
      </w:r>
      <w:r>
        <w:fldChar w:fldCharType="separate"/>
      </w:r>
      <w:r w:rsidR="004B57FF">
        <w:rPr>
          <w:noProof/>
        </w:rPr>
        <w:t>4</w:t>
      </w:r>
      <w:r>
        <w:fldChar w:fldCharType="end"/>
      </w:r>
      <w:r>
        <w:t>.</w:t>
      </w:r>
      <w:r w:rsidR="00242D91">
        <w:t xml:space="preserve">. </w:t>
      </w:r>
      <w:r w:rsidR="00242D91" w:rsidRPr="00080371">
        <w:rPr>
          <w:lang w:val="es-CO"/>
        </w:rPr>
        <w:t>Índice de Lerner por recurso, como promedio para septiembre de 2023, en</w:t>
      </w:r>
      <w:r w:rsidR="00242D91">
        <w:rPr>
          <w:lang w:val="es-CO"/>
        </w:rPr>
        <w:t xml:space="preserve"> los escenarios con percentil 5, 95 y promedio</w:t>
      </w:r>
      <w:bookmarkEnd w:id="38"/>
    </w:p>
    <w:p w14:paraId="31B92DF2" w14:textId="4E39032E" w:rsidR="00D90C4A" w:rsidRPr="006210FE" w:rsidRDefault="006210FE" w:rsidP="006210FE">
      <w:pPr>
        <w:pStyle w:val="paragraph"/>
        <w:spacing w:before="0" w:beforeAutospacing="0" w:after="0" w:afterAutospacing="0"/>
        <w:jc w:val="both"/>
        <w:textAlignment w:val="baseline"/>
        <w:rPr>
          <w:rStyle w:val="normaltextrun"/>
          <w:rFonts w:ascii="Arial" w:hAnsi="Arial" w:cs="Arial"/>
        </w:rPr>
      </w:pPr>
      <w:r w:rsidRPr="006210FE">
        <w:rPr>
          <w:rStyle w:val="normaltextrun"/>
          <w:rFonts w:ascii="Arial" w:hAnsi="Arial" w:cs="Arial"/>
        </w:rPr>
        <w:t>El ejercicio de cálculo del índice, promediado a nivel empresa, revela que para las cuatro empresas referidas se tienen valores promedio de 0,93. Dicho valor resulta ser muy elevado y podría ser indicativo de ejercicios de poder de mercado en septiembre de 2023. </w:t>
      </w:r>
    </w:p>
    <w:p w14:paraId="21892CC0" w14:textId="77777777" w:rsidR="00D141EA" w:rsidRDefault="00D141EA" w:rsidP="00CE02EE">
      <w:pPr>
        <w:rPr>
          <w:lang w:val="es-CO"/>
        </w:rPr>
      </w:pPr>
    </w:p>
    <w:p w14:paraId="572EB69D" w14:textId="62574B61" w:rsidR="006210FE" w:rsidRDefault="00DF58B2" w:rsidP="006210FE">
      <w:pPr>
        <w:pStyle w:val="Ttulo3"/>
      </w:pPr>
      <w:bookmarkStart w:id="39" w:name="_Toc153876852"/>
      <w:r>
        <w:t>Margen de reserva</w:t>
      </w:r>
      <w:r w:rsidR="001F7190">
        <w:t xml:space="preserve"> corto plazo</w:t>
      </w:r>
      <w:bookmarkEnd w:id="39"/>
    </w:p>
    <w:p w14:paraId="35A0D432" w14:textId="154284B3" w:rsidR="006210FE" w:rsidRDefault="007A6DF8" w:rsidP="00CE02EE">
      <w:pPr>
        <w:rPr>
          <w:lang w:val="es-CO"/>
        </w:rPr>
      </w:pPr>
      <w:r>
        <w:rPr>
          <w:lang w:val="es-CO"/>
        </w:rPr>
        <w:t xml:space="preserve">El </w:t>
      </w:r>
      <w:r w:rsidR="00E1379B">
        <w:rPr>
          <w:lang w:val="es-CO"/>
        </w:rPr>
        <w:t xml:space="preserve">margen de reserva se estima </w:t>
      </w:r>
      <w:r w:rsidR="007C6F14">
        <w:rPr>
          <w:lang w:val="es-CO"/>
        </w:rPr>
        <w:t>a nivel horario utilizando la siguiente ecuación:</w:t>
      </w:r>
    </w:p>
    <w:p w14:paraId="1E893E7D" w14:textId="77777777" w:rsidR="007C6F14" w:rsidRDefault="007C6F14" w:rsidP="00CE02EE">
      <w:pPr>
        <w:rPr>
          <w:lang w:val="es-CO"/>
        </w:rPr>
      </w:pPr>
    </w:p>
    <w:p w14:paraId="2E0DFECB" w14:textId="40D9ECDF" w:rsidR="007C6F14" w:rsidRDefault="007C6F14" w:rsidP="00CE02EE">
      <w:pPr>
        <w:rPr>
          <w:lang w:val="es-CO"/>
        </w:rPr>
      </w:pPr>
      <m:oMathPara>
        <m:oMath>
          <m:r>
            <w:rPr>
              <w:rFonts w:ascii="Cambria Math" w:hAnsi="Cambria Math"/>
              <w:lang w:val="es-CO"/>
            </w:rPr>
            <m:t xml:space="preserve">Margen= </m:t>
          </m:r>
          <m:f>
            <m:fPr>
              <m:ctrlPr>
                <w:rPr>
                  <w:rFonts w:ascii="Cambria Math" w:hAnsi="Cambria Math"/>
                  <w:i/>
                  <w:lang w:val="es-CO"/>
                </w:rPr>
              </m:ctrlPr>
            </m:fPr>
            <m:num>
              <m:r>
                <w:rPr>
                  <w:rFonts w:ascii="Cambria Math" w:hAnsi="Cambria Math"/>
                  <w:lang w:val="es-CO"/>
                </w:rPr>
                <m:t>DispReal-Demanda</m:t>
              </m:r>
            </m:num>
            <m:den>
              <m:r>
                <w:rPr>
                  <w:rFonts w:ascii="Cambria Math" w:hAnsi="Cambria Math"/>
                  <w:lang w:val="es-CO"/>
                </w:rPr>
                <m:t>DispReal</m:t>
              </m:r>
            </m:den>
          </m:f>
        </m:oMath>
      </m:oMathPara>
    </w:p>
    <w:p w14:paraId="793D3030" w14:textId="77777777" w:rsidR="006210FE" w:rsidRDefault="006210FE" w:rsidP="00CE02EE">
      <w:pPr>
        <w:rPr>
          <w:lang w:val="es-CO"/>
        </w:rPr>
      </w:pPr>
    </w:p>
    <w:p w14:paraId="01C63AB6" w14:textId="79BFDCD6" w:rsidR="00B35F9C" w:rsidRDefault="00B35F9C" w:rsidP="00CE02EE">
      <w:pPr>
        <w:rPr>
          <w:lang w:val="es-CO"/>
        </w:rPr>
      </w:pPr>
      <w:r>
        <w:rPr>
          <w:lang w:val="es-CO"/>
        </w:rPr>
        <w:t xml:space="preserve">El </w:t>
      </w:r>
      <w:r w:rsidR="50057079" w:rsidRPr="5D042075">
        <w:rPr>
          <w:lang w:val="es-CO"/>
        </w:rPr>
        <w:t>cálculo</w:t>
      </w:r>
      <w:r>
        <w:rPr>
          <w:lang w:val="es-CO"/>
        </w:rPr>
        <w:t xml:space="preserve"> del margen para lo corrido del 2023 se presenta en la siguiente ilustración</w:t>
      </w:r>
      <w:r w:rsidR="00205EAA">
        <w:rPr>
          <w:lang w:val="es-CO"/>
        </w:rPr>
        <w:t>.</w:t>
      </w:r>
    </w:p>
    <w:p w14:paraId="0F4315A2" w14:textId="77777777" w:rsidR="00205EAA" w:rsidRDefault="00205EAA" w:rsidP="00CE02EE">
      <w:pPr>
        <w:rPr>
          <w:lang w:val="es-CO"/>
        </w:rPr>
      </w:pPr>
    </w:p>
    <w:p w14:paraId="232C878B" w14:textId="0E53B316" w:rsidR="00205EAA" w:rsidRDefault="00205EAA" w:rsidP="00205EAA">
      <w:pPr>
        <w:jc w:val="center"/>
        <w:rPr>
          <w:lang w:val="es-CO"/>
        </w:rPr>
      </w:pPr>
      <w:r>
        <w:rPr>
          <w:noProof/>
        </w:rPr>
        <w:lastRenderedPageBreak/>
        <w:drawing>
          <wp:inline distT="0" distB="0" distL="0" distR="0" wp14:anchorId="3C0A06C5" wp14:editId="6596B2CA">
            <wp:extent cx="5339795" cy="3880236"/>
            <wp:effectExtent l="0" t="0" r="0" b="6350"/>
            <wp:docPr id="1366304745" name="Gráfico 136630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04745"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342574" cy="3882255"/>
                    </a:xfrm>
                    <a:prstGeom prst="rect">
                      <a:avLst/>
                    </a:prstGeom>
                  </pic:spPr>
                </pic:pic>
              </a:graphicData>
            </a:graphic>
          </wp:inline>
        </w:drawing>
      </w:r>
    </w:p>
    <w:p w14:paraId="6D69F1B7" w14:textId="77777777" w:rsidR="007C6F14" w:rsidRDefault="007C6F14" w:rsidP="00CE02EE">
      <w:pPr>
        <w:rPr>
          <w:lang w:val="es-CO"/>
        </w:rPr>
      </w:pPr>
    </w:p>
    <w:p w14:paraId="0DF62CF4" w14:textId="29966233" w:rsidR="009D1846" w:rsidRDefault="009D1846" w:rsidP="00DD43AE">
      <w:pPr>
        <w:pStyle w:val="Descripcin"/>
        <w:jc w:val="center"/>
        <w:rPr>
          <w:lang w:val="es-CO"/>
        </w:rPr>
      </w:pPr>
      <w:bookmarkStart w:id="40" w:name="_Toc153876878"/>
      <w:r>
        <w:t xml:space="preserve">Ilustración </w:t>
      </w:r>
      <w:r>
        <w:fldChar w:fldCharType="begin"/>
      </w:r>
      <w:r>
        <w:instrText xml:space="preserve"> SEQ Ilustración \* ARABIC </w:instrText>
      </w:r>
      <w:r>
        <w:fldChar w:fldCharType="separate"/>
      </w:r>
      <w:r w:rsidR="004B57FF">
        <w:rPr>
          <w:noProof/>
        </w:rPr>
        <w:t>13</w:t>
      </w:r>
      <w:r>
        <w:fldChar w:fldCharType="end"/>
      </w:r>
      <w:r>
        <w:t xml:space="preserve">. </w:t>
      </w:r>
      <w:r w:rsidR="005424D7">
        <w:t>Disponibilidad</w:t>
      </w:r>
      <w:r>
        <w:t xml:space="preserve"> real vs margen para el 2023</w:t>
      </w:r>
      <w:bookmarkEnd w:id="40"/>
    </w:p>
    <w:p w14:paraId="65C5EE15" w14:textId="72FB8D75" w:rsidR="007C6F14" w:rsidRDefault="00101C4B" w:rsidP="00CE02EE">
      <w:pPr>
        <w:rPr>
          <w:lang w:val="es-CO"/>
        </w:rPr>
      </w:pPr>
      <w:r>
        <w:rPr>
          <w:lang w:val="es-CO"/>
        </w:rPr>
        <w:t xml:space="preserve">Con respecto a los resultados se puede comentar que el margen ha oscilado entre </w:t>
      </w:r>
      <w:r w:rsidR="00425E21">
        <w:rPr>
          <w:lang w:val="es-CO"/>
        </w:rPr>
        <w:t xml:space="preserve">el 50% y 15%. Siendo que </w:t>
      </w:r>
      <w:r w:rsidR="00CD5BA6">
        <w:rPr>
          <w:lang w:val="es-CO"/>
        </w:rPr>
        <w:t xml:space="preserve">para los períodos en donde el margen </w:t>
      </w:r>
      <w:r w:rsidR="00461C64">
        <w:rPr>
          <w:lang w:val="es-CO"/>
        </w:rPr>
        <w:t xml:space="preserve">se aprieta </w:t>
      </w:r>
      <w:r w:rsidR="00217EE5">
        <w:rPr>
          <w:lang w:val="es-CO"/>
        </w:rPr>
        <w:t xml:space="preserve">coincide con el período </w:t>
      </w:r>
      <w:r w:rsidR="00461C64">
        <w:rPr>
          <w:lang w:val="es-CO"/>
        </w:rPr>
        <w:t>de menores aportes y demanda mayor.</w:t>
      </w:r>
    </w:p>
    <w:p w14:paraId="1F974A0F" w14:textId="77777777" w:rsidR="009D1846" w:rsidRDefault="009D1846" w:rsidP="00CE02EE">
      <w:pPr>
        <w:rPr>
          <w:lang w:val="es-CO"/>
        </w:rPr>
      </w:pPr>
    </w:p>
    <w:p w14:paraId="41A3956B" w14:textId="77777777" w:rsidR="009079E7" w:rsidRPr="00C562ED" w:rsidRDefault="009079E7">
      <w:pPr>
        <w:pStyle w:val="Ttulo1"/>
        <w:numPr>
          <w:ilvl w:val="0"/>
          <w:numId w:val="7"/>
        </w:numPr>
        <w:spacing w:after="0"/>
        <w:ind w:left="431" w:hanging="431"/>
      </w:pPr>
      <w:bookmarkStart w:id="41" w:name="_Toc153876853"/>
      <w:r w:rsidRPr="00C562ED">
        <w:t>DEFINICIÓN DEL PROBLEMA</w:t>
      </w:r>
      <w:bookmarkEnd w:id="41"/>
    </w:p>
    <w:p w14:paraId="5C1C6A84" w14:textId="52224751" w:rsidR="00A51C90" w:rsidRDefault="00A51C90" w:rsidP="00A51C90">
      <w:pPr>
        <w:rPr>
          <w:szCs w:val="21"/>
        </w:rPr>
      </w:pPr>
    </w:p>
    <w:p w14:paraId="3D510FFB" w14:textId="7DF04EE5" w:rsidR="00C12E7B" w:rsidRPr="00F66398" w:rsidRDefault="00686773" w:rsidP="00A51C90">
      <w:pPr>
        <w:rPr>
          <w:szCs w:val="21"/>
        </w:rPr>
      </w:pPr>
      <w:r w:rsidRPr="00F66398">
        <w:rPr>
          <w:szCs w:val="21"/>
        </w:rPr>
        <w:t>E</w:t>
      </w:r>
      <w:r w:rsidR="00F66398" w:rsidRPr="00F66398">
        <w:rPr>
          <w:szCs w:val="21"/>
        </w:rPr>
        <w:t>sta sección presenta los resultados de la me</w:t>
      </w:r>
      <w:r w:rsidR="00374CE4">
        <w:rPr>
          <w:szCs w:val="21"/>
        </w:rPr>
        <w:t>todología seguida de análisis de impacto normativo (AIN), en la que, como primer paso se contempla identificación del problema</w:t>
      </w:r>
      <w:r w:rsidR="000A603E">
        <w:rPr>
          <w:szCs w:val="21"/>
        </w:rPr>
        <w:t xml:space="preserve"> par</w:t>
      </w:r>
      <w:r w:rsidR="00C6287A">
        <w:rPr>
          <w:szCs w:val="21"/>
        </w:rPr>
        <w:t xml:space="preserve">tiendo </w:t>
      </w:r>
      <w:r w:rsidR="00E5079A">
        <w:rPr>
          <w:szCs w:val="21"/>
        </w:rPr>
        <w:t>de los análisis presentados</w:t>
      </w:r>
      <w:r w:rsidR="00ED2CF8">
        <w:rPr>
          <w:szCs w:val="21"/>
        </w:rPr>
        <w:t xml:space="preserve"> en el numeral 3</w:t>
      </w:r>
      <w:r w:rsidR="00C6287A">
        <w:rPr>
          <w:szCs w:val="21"/>
        </w:rPr>
        <w:t>.</w:t>
      </w:r>
      <w:r w:rsidR="00374CE4">
        <w:rPr>
          <w:szCs w:val="21"/>
        </w:rPr>
        <w:t xml:space="preserve"> </w:t>
      </w:r>
      <w:r w:rsidR="00BD51CF">
        <w:rPr>
          <w:szCs w:val="21"/>
        </w:rPr>
        <w:t xml:space="preserve">Para ello, es necesario establecer cuáles son las consecuencias visibles del problema </w:t>
      </w:r>
      <w:r w:rsidR="005F5D73">
        <w:rPr>
          <w:szCs w:val="21"/>
        </w:rPr>
        <w:t>y posteriormente sus causas.</w:t>
      </w:r>
    </w:p>
    <w:p w14:paraId="27C48F7A" w14:textId="182778C6" w:rsidR="00C12E7B" w:rsidRDefault="00C12E7B" w:rsidP="00A51C90">
      <w:pPr>
        <w:rPr>
          <w:sz w:val="22"/>
        </w:rPr>
      </w:pPr>
      <w:r>
        <w:rPr>
          <w:sz w:val="22"/>
        </w:rPr>
        <w:t xml:space="preserve"> </w:t>
      </w:r>
    </w:p>
    <w:p w14:paraId="5118A8E8" w14:textId="4CFDBECA" w:rsidR="00DB33BC" w:rsidRDefault="00DB33BC" w:rsidP="00D02E7D">
      <w:pPr>
        <w:pStyle w:val="Ttulo2"/>
      </w:pPr>
      <w:bookmarkStart w:id="42" w:name="_Toc153876854"/>
      <w:r w:rsidRPr="00C562ED">
        <w:t>Consecuencias</w:t>
      </w:r>
      <w:bookmarkEnd w:id="42"/>
    </w:p>
    <w:p w14:paraId="07E89D95" w14:textId="7AC7C4D0" w:rsidR="00553A28" w:rsidRDefault="00553A28" w:rsidP="00DB33BC">
      <w:pPr>
        <w:rPr>
          <w:rFonts w:cs="Arial"/>
        </w:rPr>
      </w:pPr>
      <w:r>
        <w:rPr>
          <w:rFonts w:cs="Arial"/>
        </w:rPr>
        <w:t xml:space="preserve">Teniendo en cuenta la situación del sistema ante la presencia del fenómeno de El Niño, </w:t>
      </w:r>
      <w:r w:rsidR="008D3A7E">
        <w:rPr>
          <w:rFonts w:cs="Arial"/>
        </w:rPr>
        <w:t xml:space="preserve">el riesgo de </w:t>
      </w:r>
      <w:r w:rsidR="00D00A66">
        <w:rPr>
          <w:rFonts w:cs="Arial"/>
        </w:rPr>
        <w:t>formación ineficiente</w:t>
      </w:r>
      <w:r w:rsidR="008D3A7E">
        <w:rPr>
          <w:rFonts w:cs="Arial"/>
        </w:rPr>
        <w:t xml:space="preserve"> de los precios en la bolsa de energía</w:t>
      </w:r>
      <w:r w:rsidR="00E4505C">
        <w:rPr>
          <w:rFonts w:cs="Arial"/>
        </w:rPr>
        <w:t>, por la</w:t>
      </w:r>
      <w:r w:rsidR="0086763F">
        <w:rPr>
          <w:rFonts w:cs="Arial"/>
        </w:rPr>
        <w:t>s</w:t>
      </w:r>
      <w:r w:rsidR="00E4505C">
        <w:rPr>
          <w:rFonts w:cs="Arial"/>
        </w:rPr>
        <w:t xml:space="preserve"> situaciones señal</w:t>
      </w:r>
      <w:r w:rsidR="0089331A">
        <w:rPr>
          <w:rFonts w:cs="Arial"/>
        </w:rPr>
        <w:t>a</w:t>
      </w:r>
      <w:r w:rsidR="00E4505C">
        <w:rPr>
          <w:rFonts w:cs="Arial"/>
        </w:rPr>
        <w:t>das en el numeral 3,</w:t>
      </w:r>
      <w:r w:rsidR="008D3A7E">
        <w:rPr>
          <w:rFonts w:cs="Arial"/>
        </w:rPr>
        <w:t xml:space="preserve"> conllevaría a un </w:t>
      </w:r>
      <w:r w:rsidR="00E07182">
        <w:rPr>
          <w:rFonts w:cs="Arial"/>
        </w:rPr>
        <w:t>riesgo sistémi</w:t>
      </w:r>
      <w:r w:rsidR="00D27FD7">
        <w:rPr>
          <w:rFonts w:cs="Arial"/>
        </w:rPr>
        <w:t>co por problemas financieros</w:t>
      </w:r>
      <w:r w:rsidR="005E6624">
        <w:rPr>
          <w:rFonts w:cs="Arial"/>
        </w:rPr>
        <w:t xml:space="preserve"> de los </w:t>
      </w:r>
      <w:r w:rsidR="00F8103B">
        <w:rPr>
          <w:rFonts w:cs="Arial"/>
        </w:rPr>
        <w:t>comercializadores</w:t>
      </w:r>
      <w:r w:rsidR="0089331A">
        <w:rPr>
          <w:rFonts w:cs="Arial"/>
        </w:rPr>
        <w:t xml:space="preserve">, afectando la </w:t>
      </w:r>
      <w:r w:rsidR="004D61CC">
        <w:rPr>
          <w:rFonts w:cs="Arial"/>
        </w:rPr>
        <w:t xml:space="preserve">continuidad en la </w:t>
      </w:r>
      <w:r w:rsidR="0089331A">
        <w:rPr>
          <w:rFonts w:cs="Arial"/>
        </w:rPr>
        <w:t>prestación del servicio</w:t>
      </w:r>
      <w:r w:rsidR="00D27FD7">
        <w:rPr>
          <w:rFonts w:cs="Arial"/>
        </w:rPr>
        <w:t>.</w:t>
      </w:r>
    </w:p>
    <w:p w14:paraId="415C5A7C" w14:textId="77777777" w:rsidR="00553A28" w:rsidRDefault="00553A28" w:rsidP="00DB33BC">
      <w:pPr>
        <w:rPr>
          <w:rFonts w:cs="Arial"/>
        </w:rPr>
      </w:pPr>
    </w:p>
    <w:p w14:paraId="400D2432" w14:textId="77777777" w:rsidR="00C52367" w:rsidRDefault="00C52367" w:rsidP="00DB33BC">
      <w:pPr>
        <w:rPr>
          <w:rFonts w:cs="Arial"/>
          <w:sz w:val="22"/>
          <w:szCs w:val="18"/>
        </w:rPr>
      </w:pPr>
    </w:p>
    <w:p w14:paraId="671CFD5F" w14:textId="521E6B62" w:rsidR="006258AB" w:rsidRPr="00C562ED" w:rsidRDefault="006258AB" w:rsidP="002A181E">
      <w:pPr>
        <w:pStyle w:val="Ttulo2"/>
        <w:rPr>
          <w:rFonts w:cs="Arial"/>
          <w:bCs/>
          <w:szCs w:val="20"/>
        </w:rPr>
      </w:pPr>
      <w:bookmarkStart w:id="43" w:name="_Toc153876855"/>
      <w:r w:rsidRPr="00C562ED">
        <w:rPr>
          <w:rFonts w:cs="Arial"/>
          <w:bCs/>
          <w:szCs w:val="20"/>
        </w:rPr>
        <w:lastRenderedPageBreak/>
        <w:t>Causa</w:t>
      </w:r>
      <w:bookmarkEnd w:id="43"/>
    </w:p>
    <w:p w14:paraId="5376375C" w14:textId="47D7280A" w:rsidR="006731C6" w:rsidRDefault="0086763F" w:rsidP="006258AB">
      <w:pPr>
        <w:rPr>
          <w:rFonts w:cs="Arial"/>
        </w:rPr>
      </w:pPr>
      <w:r>
        <w:rPr>
          <w:rFonts w:cs="Arial"/>
        </w:rPr>
        <w:t xml:space="preserve">La </w:t>
      </w:r>
      <w:r w:rsidR="00684386">
        <w:rPr>
          <w:rFonts w:cs="Arial"/>
        </w:rPr>
        <w:t xml:space="preserve">disminución en la oferta ante la presencia del fenómeno de El </w:t>
      </w:r>
      <w:r w:rsidR="0020788E">
        <w:rPr>
          <w:rFonts w:cs="Arial"/>
        </w:rPr>
        <w:t>Niño</w:t>
      </w:r>
      <w:r w:rsidR="00684386">
        <w:rPr>
          <w:rFonts w:cs="Arial"/>
        </w:rPr>
        <w:t xml:space="preserve"> </w:t>
      </w:r>
      <w:r w:rsidR="00E63F7E">
        <w:rPr>
          <w:rFonts w:cs="Arial"/>
        </w:rPr>
        <w:t>con</w:t>
      </w:r>
      <w:r w:rsidR="00684386">
        <w:rPr>
          <w:rFonts w:cs="Arial"/>
        </w:rPr>
        <w:t xml:space="preserve">lleva a que </w:t>
      </w:r>
      <w:r w:rsidR="00E63F7E">
        <w:rPr>
          <w:rFonts w:cs="Arial"/>
        </w:rPr>
        <w:t>la competencia sea limitada</w:t>
      </w:r>
      <w:r w:rsidR="0020788E">
        <w:rPr>
          <w:rFonts w:cs="Arial"/>
        </w:rPr>
        <w:t>,</w:t>
      </w:r>
      <w:r w:rsidR="00D34C43">
        <w:rPr>
          <w:rFonts w:cs="Arial"/>
        </w:rPr>
        <w:t xml:space="preserve"> afectando la </w:t>
      </w:r>
      <w:r w:rsidR="007E403F">
        <w:rPr>
          <w:rFonts w:cs="Arial"/>
        </w:rPr>
        <w:t xml:space="preserve">formación </w:t>
      </w:r>
      <w:r w:rsidR="00802FE9">
        <w:rPr>
          <w:rFonts w:cs="Arial"/>
        </w:rPr>
        <w:t>eficiente</w:t>
      </w:r>
      <w:r w:rsidR="00CC7225">
        <w:rPr>
          <w:rFonts w:cs="Arial"/>
        </w:rPr>
        <w:t xml:space="preserve"> de los precios </w:t>
      </w:r>
      <w:r w:rsidR="008C1101">
        <w:rPr>
          <w:rFonts w:cs="Arial"/>
        </w:rPr>
        <w:t xml:space="preserve">en bolsa </w:t>
      </w:r>
      <w:r w:rsidR="00CC7225">
        <w:rPr>
          <w:rFonts w:cs="Arial"/>
        </w:rPr>
        <w:t>por los riesgos de ejercicio de poder de mercado</w:t>
      </w:r>
      <w:r w:rsidR="00B73B14">
        <w:rPr>
          <w:rFonts w:cs="Arial"/>
        </w:rPr>
        <w:t xml:space="preserve">, situación que se agrava por la exposición </w:t>
      </w:r>
      <w:r w:rsidR="00245AFF">
        <w:rPr>
          <w:rFonts w:cs="Arial"/>
        </w:rPr>
        <w:t>en</w:t>
      </w:r>
      <w:r w:rsidR="00B73B14">
        <w:rPr>
          <w:rFonts w:cs="Arial"/>
        </w:rPr>
        <w:t xml:space="preserve"> bolsa de l</w:t>
      </w:r>
      <w:r w:rsidR="00FD4A87">
        <w:rPr>
          <w:rFonts w:cs="Arial"/>
        </w:rPr>
        <w:t>a</w:t>
      </w:r>
      <w:r w:rsidR="00B73B14">
        <w:rPr>
          <w:rFonts w:cs="Arial"/>
        </w:rPr>
        <w:t xml:space="preserve">s </w:t>
      </w:r>
      <w:r w:rsidR="00FD4A87">
        <w:rPr>
          <w:rFonts w:cs="Arial"/>
        </w:rPr>
        <w:t xml:space="preserve">empresas </w:t>
      </w:r>
      <w:r w:rsidR="00B73B14">
        <w:rPr>
          <w:rFonts w:cs="Arial"/>
        </w:rPr>
        <w:t>comercializador</w:t>
      </w:r>
      <w:r w:rsidR="00CF6940">
        <w:rPr>
          <w:rFonts w:cs="Arial"/>
        </w:rPr>
        <w:t>a</w:t>
      </w:r>
      <w:r w:rsidR="00B73B14">
        <w:rPr>
          <w:rFonts w:cs="Arial"/>
        </w:rPr>
        <w:t>s</w:t>
      </w:r>
      <w:r w:rsidR="00E63F7E">
        <w:rPr>
          <w:rFonts w:cs="Arial"/>
        </w:rPr>
        <w:t>.</w:t>
      </w:r>
    </w:p>
    <w:p w14:paraId="4DF81A04" w14:textId="77777777" w:rsidR="00CE05AA" w:rsidRPr="00703AF4" w:rsidRDefault="00CE05AA" w:rsidP="006258AB">
      <w:pPr>
        <w:rPr>
          <w:rFonts w:cs="Arial"/>
        </w:rPr>
      </w:pPr>
    </w:p>
    <w:p w14:paraId="5AB4CD8E" w14:textId="77777777" w:rsidR="006731C6" w:rsidRDefault="006731C6" w:rsidP="006258AB">
      <w:pPr>
        <w:rPr>
          <w:rFonts w:cs="Arial"/>
          <w:sz w:val="22"/>
          <w:szCs w:val="18"/>
        </w:rPr>
      </w:pPr>
    </w:p>
    <w:p w14:paraId="3E18AB75" w14:textId="60BD9DA8" w:rsidR="00476B4B" w:rsidRPr="00C562ED" w:rsidRDefault="00D02E7D" w:rsidP="002A181E">
      <w:pPr>
        <w:pStyle w:val="Ttulo2"/>
        <w:rPr>
          <w:rFonts w:cs="Arial"/>
          <w:szCs w:val="20"/>
        </w:rPr>
      </w:pPr>
      <w:bookmarkStart w:id="44" w:name="_Toc153876856"/>
      <w:r w:rsidRPr="00C562ED">
        <w:rPr>
          <w:rFonts w:cs="Arial"/>
          <w:szCs w:val="20"/>
        </w:rPr>
        <w:t>Identificación del p</w:t>
      </w:r>
      <w:r w:rsidR="00791794" w:rsidRPr="00C562ED">
        <w:rPr>
          <w:rFonts w:cs="Arial"/>
          <w:szCs w:val="20"/>
        </w:rPr>
        <w:t>roblema</w:t>
      </w:r>
      <w:bookmarkEnd w:id="44"/>
    </w:p>
    <w:p w14:paraId="0FDCFA19" w14:textId="0B723D76" w:rsidR="009924F3" w:rsidRPr="0062487B" w:rsidRDefault="007A35E7" w:rsidP="1E4F8DA7">
      <w:r>
        <w:t>El problema que se identifica</w:t>
      </w:r>
      <w:r w:rsidR="0062487B">
        <w:t xml:space="preserve">, de acuerdo con </w:t>
      </w:r>
      <w:r w:rsidR="00184B1F">
        <w:t>los</w:t>
      </w:r>
      <w:r w:rsidR="00933F52">
        <w:t xml:space="preserve"> análisis del numeral 3</w:t>
      </w:r>
      <w:r w:rsidR="0062487B">
        <w:t xml:space="preserve">, es que </w:t>
      </w:r>
      <w:r w:rsidR="0015162B">
        <w:t xml:space="preserve">la falta de competencia </w:t>
      </w:r>
      <w:r w:rsidR="00177011">
        <w:t>por la disminución en la oferta pone el riesgo a</w:t>
      </w:r>
      <w:r w:rsidR="006D7FB0">
        <w:t xml:space="preserve">l mercado por una </w:t>
      </w:r>
      <w:r w:rsidR="0042421E">
        <w:t>inadecuada valoración</w:t>
      </w:r>
      <w:r w:rsidR="00CA41CB">
        <w:t xml:space="preserve"> de las ofertas</w:t>
      </w:r>
      <w:r w:rsidR="00997A48">
        <w:t>,</w:t>
      </w:r>
      <w:r w:rsidR="00CA41CB">
        <w:t xml:space="preserve"> conllevando a una formación ineficiente del precio en la bolsa, lo que </w:t>
      </w:r>
      <w:r w:rsidR="007E403F">
        <w:t xml:space="preserve">además </w:t>
      </w:r>
      <w:r w:rsidR="00CA713F">
        <w:t xml:space="preserve">incrementaría los problemas de los saldos </w:t>
      </w:r>
      <w:r w:rsidR="00C317DA">
        <w:t xml:space="preserve">acumulados </w:t>
      </w:r>
      <w:r w:rsidR="0079122D">
        <w:t>por la regla de transferencia máxima en el componente de generación (G) por parte de</w:t>
      </w:r>
      <w:r w:rsidR="00C317DA">
        <w:t xml:space="preserve"> </w:t>
      </w:r>
      <w:r w:rsidR="00CA713F">
        <w:t xml:space="preserve">los </w:t>
      </w:r>
      <w:r w:rsidR="00D12D61">
        <w:t>comercial</w:t>
      </w:r>
      <w:r w:rsidR="0079122D">
        <w:t>iz</w:t>
      </w:r>
      <w:r w:rsidR="00D12D61">
        <w:t xml:space="preserve">adores </w:t>
      </w:r>
      <w:r w:rsidR="0079122D">
        <w:t xml:space="preserve">expuestos </w:t>
      </w:r>
      <w:r w:rsidR="00C317DA">
        <w:t>en bolsa.</w:t>
      </w:r>
    </w:p>
    <w:p w14:paraId="1BDAFA4C" w14:textId="77777777" w:rsidR="00C6287A" w:rsidRDefault="00C6287A" w:rsidP="0038050C">
      <w:pPr>
        <w:rPr>
          <w:sz w:val="22"/>
        </w:rPr>
      </w:pPr>
    </w:p>
    <w:p w14:paraId="18868277" w14:textId="77777777" w:rsidR="00C6287A" w:rsidRDefault="00C6287A" w:rsidP="0038050C">
      <w:pPr>
        <w:rPr>
          <w:sz w:val="22"/>
        </w:rPr>
      </w:pPr>
    </w:p>
    <w:p w14:paraId="5CB10928" w14:textId="6F5EC19F" w:rsidR="00D1473F" w:rsidRPr="00C562ED" w:rsidRDefault="00D1473F">
      <w:pPr>
        <w:pStyle w:val="Ttulo1"/>
        <w:numPr>
          <w:ilvl w:val="0"/>
          <w:numId w:val="7"/>
        </w:numPr>
        <w:spacing w:after="0"/>
        <w:ind w:left="431" w:hanging="431"/>
      </w:pPr>
      <w:bookmarkStart w:id="45" w:name="_Toc153876857"/>
      <w:r w:rsidRPr="00C562ED">
        <w:t>OBJETIVOS</w:t>
      </w:r>
      <w:bookmarkEnd w:id="45"/>
    </w:p>
    <w:p w14:paraId="7BA4D496" w14:textId="4B06ECFC" w:rsidR="00D1473F" w:rsidRDefault="00D1473F" w:rsidP="0038050C">
      <w:pPr>
        <w:rPr>
          <w:szCs w:val="21"/>
        </w:rPr>
      </w:pPr>
    </w:p>
    <w:p w14:paraId="257F4717" w14:textId="3F7D7BD0" w:rsidR="00930A2F" w:rsidRPr="00B54BB7" w:rsidRDefault="00B54BB7" w:rsidP="00BE1712">
      <w:r w:rsidRPr="00B54BB7">
        <w:t xml:space="preserve">Partiendo </w:t>
      </w:r>
      <w:r>
        <w:t xml:space="preserve">del principio de que la prestación del servicio </w:t>
      </w:r>
      <w:r w:rsidR="00F65B55">
        <w:t xml:space="preserve">de energía eléctrica se </w:t>
      </w:r>
      <w:r w:rsidR="00532E43">
        <w:t xml:space="preserve">debe </w:t>
      </w:r>
      <w:r w:rsidR="009C6F7D">
        <w:t>remunerar a</w:t>
      </w:r>
      <w:r w:rsidR="00532E43">
        <w:t xml:space="preserve"> los precios eficientes</w:t>
      </w:r>
      <w:r w:rsidR="0035581B">
        <w:t xml:space="preserve">, la Comisión ha identificado una serie de objetivos que se quieren alcanzar </w:t>
      </w:r>
      <w:r w:rsidR="0054598B">
        <w:t>con la propuesta regulatoria.</w:t>
      </w:r>
    </w:p>
    <w:p w14:paraId="5A14589B" w14:textId="77777777" w:rsidR="00B54BB7" w:rsidRDefault="00B54BB7" w:rsidP="00BE1712">
      <w:pPr>
        <w:rPr>
          <w:sz w:val="22"/>
          <w:szCs w:val="18"/>
        </w:rPr>
      </w:pPr>
    </w:p>
    <w:p w14:paraId="5C61ED69" w14:textId="77777777" w:rsidR="00B54BB7" w:rsidRDefault="00B54BB7" w:rsidP="00BE1712">
      <w:pPr>
        <w:rPr>
          <w:sz w:val="22"/>
          <w:szCs w:val="18"/>
        </w:rPr>
      </w:pPr>
    </w:p>
    <w:p w14:paraId="4768096D" w14:textId="65E19F43" w:rsidR="005B3BB2" w:rsidRPr="00C562ED" w:rsidRDefault="005B3BB2" w:rsidP="005B3BB2">
      <w:pPr>
        <w:pStyle w:val="Ttulo2"/>
        <w:rPr>
          <w:rFonts w:cs="Arial"/>
          <w:szCs w:val="20"/>
        </w:rPr>
      </w:pPr>
      <w:bookmarkStart w:id="46" w:name="_Toc153876858"/>
      <w:r w:rsidRPr="00C562ED">
        <w:rPr>
          <w:rFonts w:cs="Arial"/>
          <w:szCs w:val="20"/>
        </w:rPr>
        <w:t>Objetivo de impacto</w:t>
      </w:r>
      <w:bookmarkEnd w:id="46"/>
    </w:p>
    <w:p w14:paraId="1F09D151" w14:textId="61F10D5E" w:rsidR="00CD58D2" w:rsidRPr="00CD58D2" w:rsidRDefault="00CD58D2" w:rsidP="1E4F8DA7">
      <w:pPr>
        <w:rPr>
          <w:lang w:val="es-CO"/>
        </w:rPr>
      </w:pPr>
      <w:r w:rsidRPr="1E4F8DA7">
        <w:rPr>
          <w:lang w:val="es-CO"/>
        </w:rPr>
        <w:t xml:space="preserve">Mantener la formación eficiente del precio </w:t>
      </w:r>
      <w:r w:rsidR="00D776A1" w:rsidRPr="1E4F8DA7">
        <w:rPr>
          <w:lang w:val="es-CO"/>
        </w:rPr>
        <w:t>en</w:t>
      </w:r>
      <w:r w:rsidRPr="1E4F8DA7">
        <w:rPr>
          <w:lang w:val="es-CO"/>
        </w:rPr>
        <w:t xml:space="preserve"> bolsa </w:t>
      </w:r>
      <w:r w:rsidR="00D776A1" w:rsidRPr="1E4F8DA7">
        <w:rPr>
          <w:lang w:val="es-CO"/>
        </w:rPr>
        <w:t xml:space="preserve">de energía, </w:t>
      </w:r>
      <w:r w:rsidRPr="1E4F8DA7">
        <w:rPr>
          <w:lang w:val="es-CO"/>
        </w:rPr>
        <w:t>durante el período del fenómeno de El Niño 2023-2024</w:t>
      </w:r>
      <w:r w:rsidR="00D776A1" w:rsidRPr="1E4F8DA7">
        <w:rPr>
          <w:lang w:val="es-CO"/>
        </w:rPr>
        <w:t>,</w:t>
      </w:r>
      <w:r w:rsidRPr="1E4F8DA7">
        <w:rPr>
          <w:lang w:val="es-CO"/>
        </w:rPr>
        <w:t xml:space="preserve"> dada la disminución en la oferta de energía en el sistema</w:t>
      </w:r>
      <w:r w:rsidR="006D0E4F">
        <w:rPr>
          <w:lang w:val="es-CO"/>
        </w:rPr>
        <w:t>,</w:t>
      </w:r>
      <w:r w:rsidR="003F153F">
        <w:rPr>
          <w:lang w:val="es-CO"/>
        </w:rPr>
        <w:t xml:space="preserve"> de tal manera </w:t>
      </w:r>
      <w:r w:rsidR="00B01532">
        <w:rPr>
          <w:lang w:val="es-CO"/>
        </w:rPr>
        <w:t xml:space="preserve">se mantengan </w:t>
      </w:r>
      <w:r w:rsidR="00C9447F">
        <w:rPr>
          <w:lang w:val="es-CO"/>
        </w:rPr>
        <w:t xml:space="preserve">los </w:t>
      </w:r>
      <w:r w:rsidR="009B1FE8">
        <w:rPr>
          <w:lang w:val="es-CO"/>
        </w:rPr>
        <w:t>principios definidos en la Ley 142 de 1994 sobre el régimen tarifario</w:t>
      </w:r>
      <w:r w:rsidRPr="1E4F8DA7">
        <w:rPr>
          <w:lang w:val="es-CO"/>
        </w:rPr>
        <w:t>.</w:t>
      </w:r>
    </w:p>
    <w:p w14:paraId="712F4770" w14:textId="77777777" w:rsidR="00246FC0" w:rsidRPr="00CD58D2" w:rsidRDefault="00246FC0" w:rsidP="0038050C">
      <w:pPr>
        <w:rPr>
          <w:szCs w:val="21"/>
          <w:lang w:val="es-CO"/>
        </w:rPr>
      </w:pPr>
    </w:p>
    <w:p w14:paraId="1F7C4828" w14:textId="597EFA74" w:rsidR="00F80D30" w:rsidRPr="00C562ED" w:rsidRDefault="00F80D30" w:rsidP="00F80D30">
      <w:pPr>
        <w:pStyle w:val="Ttulo2"/>
        <w:rPr>
          <w:rFonts w:cs="Arial"/>
          <w:szCs w:val="20"/>
        </w:rPr>
      </w:pPr>
      <w:bookmarkStart w:id="47" w:name="_Toc153876859"/>
      <w:r w:rsidRPr="00C562ED">
        <w:rPr>
          <w:rFonts w:cs="Arial"/>
          <w:szCs w:val="20"/>
        </w:rPr>
        <w:t>Objetivo de resultado</w:t>
      </w:r>
      <w:bookmarkEnd w:id="47"/>
    </w:p>
    <w:p w14:paraId="076D4F16" w14:textId="14ED800D" w:rsidR="00F161EC" w:rsidRDefault="001B2C0C" w:rsidP="0038050C">
      <w:pPr>
        <w:rPr>
          <w:szCs w:val="21"/>
        </w:rPr>
      </w:pPr>
      <w:r>
        <w:rPr>
          <w:szCs w:val="21"/>
        </w:rPr>
        <w:t>Al respecto se identifican los siguientes:</w:t>
      </w:r>
    </w:p>
    <w:p w14:paraId="21A9B549" w14:textId="77777777" w:rsidR="001B2C0C" w:rsidRDefault="001B2C0C" w:rsidP="0038050C">
      <w:pPr>
        <w:rPr>
          <w:szCs w:val="21"/>
        </w:rPr>
      </w:pPr>
    </w:p>
    <w:p w14:paraId="39EF4FE5" w14:textId="50BAA600" w:rsidR="001B2C0C" w:rsidRDefault="00241E3D" w:rsidP="00DB1960">
      <w:pPr>
        <w:pStyle w:val="Prrafodelista"/>
        <w:numPr>
          <w:ilvl w:val="0"/>
          <w:numId w:val="10"/>
        </w:numPr>
        <w:rPr>
          <w:szCs w:val="21"/>
        </w:rPr>
      </w:pPr>
      <w:r w:rsidRPr="00E60E0D">
        <w:rPr>
          <w:b/>
          <w:bCs/>
          <w:szCs w:val="21"/>
        </w:rPr>
        <w:t>General</w:t>
      </w:r>
      <w:r>
        <w:rPr>
          <w:szCs w:val="21"/>
        </w:rPr>
        <w:t xml:space="preserve">. </w:t>
      </w:r>
      <w:r w:rsidR="00E60E0D">
        <w:rPr>
          <w:szCs w:val="21"/>
        </w:rPr>
        <w:t xml:space="preserve">Establecer la metodología para la determinación el precio de bolsa </w:t>
      </w:r>
      <w:r w:rsidR="00873BF3">
        <w:rPr>
          <w:szCs w:val="21"/>
        </w:rPr>
        <w:t>para las transacciones</w:t>
      </w:r>
      <w:r w:rsidR="00252C33">
        <w:rPr>
          <w:szCs w:val="21"/>
        </w:rPr>
        <w:t>, dando cumplimiento a las obligaciones del Car</w:t>
      </w:r>
      <w:r w:rsidR="007B1813">
        <w:rPr>
          <w:szCs w:val="21"/>
        </w:rPr>
        <w:t>go por Confiabilidad cuando de eje</w:t>
      </w:r>
      <w:r w:rsidR="002956D3">
        <w:rPr>
          <w:szCs w:val="21"/>
        </w:rPr>
        <w:t>rzan</w:t>
      </w:r>
      <w:r w:rsidR="007B1813">
        <w:rPr>
          <w:szCs w:val="21"/>
        </w:rPr>
        <w:t xml:space="preserve"> las Obligaciones de Energía Firme (OEF)</w:t>
      </w:r>
      <w:r w:rsidR="00E60E0D">
        <w:rPr>
          <w:szCs w:val="21"/>
        </w:rPr>
        <w:t>.</w:t>
      </w:r>
    </w:p>
    <w:p w14:paraId="7A5B52E5" w14:textId="77777777" w:rsidR="005D5190" w:rsidRPr="005D5190" w:rsidRDefault="005D5190" w:rsidP="005D5190">
      <w:pPr>
        <w:ind w:left="360"/>
        <w:rPr>
          <w:szCs w:val="21"/>
        </w:rPr>
      </w:pPr>
    </w:p>
    <w:p w14:paraId="18F92254" w14:textId="5F593E16" w:rsidR="00333D2E" w:rsidRPr="00241E3D" w:rsidRDefault="002844DD" w:rsidP="00DB1960">
      <w:pPr>
        <w:pStyle w:val="Prrafodelista"/>
        <w:numPr>
          <w:ilvl w:val="0"/>
          <w:numId w:val="10"/>
        </w:numPr>
        <w:rPr>
          <w:szCs w:val="21"/>
        </w:rPr>
      </w:pPr>
      <w:r w:rsidRPr="00B67DC8">
        <w:rPr>
          <w:b/>
          <w:bCs/>
          <w:szCs w:val="21"/>
        </w:rPr>
        <w:t>Espe</w:t>
      </w:r>
      <w:r w:rsidR="00572348" w:rsidRPr="00B67DC8">
        <w:rPr>
          <w:b/>
          <w:bCs/>
          <w:szCs w:val="21"/>
        </w:rPr>
        <w:t>cífico</w:t>
      </w:r>
      <w:r w:rsidR="00572348">
        <w:rPr>
          <w:szCs w:val="21"/>
        </w:rPr>
        <w:t xml:space="preserve">. Ajustar </w:t>
      </w:r>
      <w:r w:rsidR="003D7C71">
        <w:rPr>
          <w:szCs w:val="21"/>
        </w:rPr>
        <w:t xml:space="preserve">temporalmente </w:t>
      </w:r>
      <w:r w:rsidR="00572348">
        <w:rPr>
          <w:szCs w:val="21"/>
        </w:rPr>
        <w:t xml:space="preserve">la metodología definida en la Resolución CREG 024 de 1995 para la determinación </w:t>
      </w:r>
      <w:r w:rsidR="005D5190">
        <w:rPr>
          <w:szCs w:val="21"/>
        </w:rPr>
        <w:t>del precio horario nacional en la bolsa de energía</w:t>
      </w:r>
      <w:r w:rsidR="00EE3792">
        <w:rPr>
          <w:szCs w:val="21"/>
        </w:rPr>
        <w:t xml:space="preserve"> para las transacciones</w:t>
      </w:r>
      <w:r w:rsidR="005D5190">
        <w:rPr>
          <w:szCs w:val="21"/>
        </w:rPr>
        <w:t>.</w:t>
      </w:r>
    </w:p>
    <w:p w14:paraId="61ECAB1A" w14:textId="77777777" w:rsidR="004C02DA" w:rsidRDefault="004C02DA" w:rsidP="0038050C">
      <w:pPr>
        <w:rPr>
          <w:szCs w:val="21"/>
        </w:rPr>
      </w:pPr>
    </w:p>
    <w:p w14:paraId="0E3D4097" w14:textId="77777777" w:rsidR="000358A3" w:rsidRDefault="000358A3" w:rsidP="0038050C">
      <w:pPr>
        <w:rPr>
          <w:szCs w:val="21"/>
        </w:rPr>
      </w:pPr>
    </w:p>
    <w:p w14:paraId="5BD271A5" w14:textId="77777777" w:rsidR="000358A3" w:rsidRPr="00C562ED" w:rsidRDefault="000358A3" w:rsidP="0038050C">
      <w:pPr>
        <w:rPr>
          <w:szCs w:val="21"/>
        </w:rPr>
      </w:pPr>
    </w:p>
    <w:p w14:paraId="439ABBF4" w14:textId="331DB78A" w:rsidR="00F161EC" w:rsidRPr="00C562ED" w:rsidRDefault="00F161EC">
      <w:pPr>
        <w:pStyle w:val="Ttulo1"/>
        <w:numPr>
          <w:ilvl w:val="0"/>
          <w:numId w:val="7"/>
        </w:numPr>
        <w:spacing w:after="0"/>
        <w:ind w:left="431" w:hanging="431"/>
      </w:pPr>
      <w:bookmarkStart w:id="48" w:name="_Toc153876860"/>
      <w:r w:rsidRPr="00C562ED">
        <w:t>ALTERNATIVAS</w:t>
      </w:r>
      <w:bookmarkEnd w:id="48"/>
    </w:p>
    <w:p w14:paraId="546A199B" w14:textId="29AC8EA1" w:rsidR="00DF699E" w:rsidRPr="00C562ED" w:rsidRDefault="00DF699E" w:rsidP="0038050C">
      <w:pPr>
        <w:rPr>
          <w:szCs w:val="21"/>
        </w:rPr>
      </w:pPr>
    </w:p>
    <w:p w14:paraId="2227CE5F" w14:textId="045F22F3" w:rsidR="009B0FD7" w:rsidRPr="00575408" w:rsidRDefault="00575408" w:rsidP="0038050C">
      <w:pPr>
        <w:rPr>
          <w:szCs w:val="21"/>
        </w:rPr>
      </w:pPr>
      <w:r w:rsidRPr="00575408">
        <w:rPr>
          <w:szCs w:val="21"/>
        </w:rPr>
        <w:t xml:space="preserve">Con el fin </w:t>
      </w:r>
      <w:r>
        <w:rPr>
          <w:szCs w:val="21"/>
        </w:rPr>
        <w:t>de alcanzar los objetivos regulatorios pla</w:t>
      </w:r>
      <w:r w:rsidR="00C43262">
        <w:rPr>
          <w:szCs w:val="21"/>
        </w:rPr>
        <w:t xml:space="preserve">nteados, las alternativas identificadas para la </w:t>
      </w:r>
      <w:r w:rsidR="00124B07">
        <w:rPr>
          <w:szCs w:val="21"/>
        </w:rPr>
        <w:t xml:space="preserve">definición </w:t>
      </w:r>
      <w:r w:rsidR="0037094A">
        <w:rPr>
          <w:szCs w:val="21"/>
        </w:rPr>
        <w:t>del Máximo Precio Ofertado utilizado para la definición del precio horario nacional en la bolsa de energía.</w:t>
      </w:r>
    </w:p>
    <w:p w14:paraId="3579D1A7" w14:textId="77777777" w:rsidR="00B67DC8" w:rsidRDefault="00B67DC8" w:rsidP="0038050C">
      <w:pPr>
        <w:rPr>
          <w:sz w:val="22"/>
        </w:rPr>
      </w:pPr>
    </w:p>
    <w:p w14:paraId="72BE5E44" w14:textId="77777777" w:rsidR="00B67DC8" w:rsidRDefault="00B67DC8" w:rsidP="0038050C">
      <w:pPr>
        <w:rPr>
          <w:sz w:val="22"/>
        </w:rPr>
      </w:pPr>
    </w:p>
    <w:p w14:paraId="45F21278" w14:textId="5DB5FA20" w:rsidR="00E84DBE" w:rsidRPr="00C562ED" w:rsidRDefault="00F325F5" w:rsidP="000D1065">
      <w:pPr>
        <w:pStyle w:val="Ttulo2"/>
        <w:numPr>
          <w:ilvl w:val="1"/>
          <w:numId w:val="1"/>
        </w:numPr>
        <w:rPr>
          <w:szCs w:val="28"/>
        </w:rPr>
      </w:pPr>
      <w:bookmarkStart w:id="49" w:name="_Toc153876861"/>
      <w:r w:rsidRPr="00C562ED">
        <w:rPr>
          <w:szCs w:val="28"/>
        </w:rPr>
        <w:t>Mantener las reglas vigentes</w:t>
      </w:r>
      <w:bookmarkEnd w:id="49"/>
    </w:p>
    <w:p w14:paraId="330E6260" w14:textId="15704793" w:rsidR="009749E9" w:rsidRDefault="00154B6E" w:rsidP="0038050C">
      <w:pPr>
        <w:rPr>
          <w:szCs w:val="21"/>
        </w:rPr>
      </w:pPr>
      <w:r>
        <w:rPr>
          <w:szCs w:val="21"/>
        </w:rPr>
        <w:t xml:space="preserve">Mantener las reglas vigentes </w:t>
      </w:r>
      <w:r w:rsidR="00C449DC">
        <w:rPr>
          <w:szCs w:val="21"/>
        </w:rPr>
        <w:t xml:space="preserve">para la determinación del precio de bolsa, numeral 2.1 del presente documento, </w:t>
      </w:r>
      <w:r w:rsidR="00183BF6">
        <w:rPr>
          <w:szCs w:val="21"/>
        </w:rPr>
        <w:t xml:space="preserve">no permitiría </w:t>
      </w:r>
      <w:r w:rsidR="00504D6C">
        <w:rPr>
          <w:szCs w:val="21"/>
        </w:rPr>
        <w:t>darles</w:t>
      </w:r>
      <w:r w:rsidR="00183BF6">
        <w:rPr>
          <w:szCs w:val="21"/>
        </w:rPr>
        <w:t xml:space="preserve"> manejo a los riesgos señalado </w:t>
      </w:r>
      <w:r w:rsidR="00504D6C">
        <w:rPr>
          <w:szCs w:val="21"/>
        </w:rPr>
        <w:t xml:space="preserve">en el presente análisis y </w:t>
      </w:r>
      <w:r w:rsidR="000908D2">
        <w:rPr>
          <w:szCs w:val="21"/>
        </w:rPr>
        <w:t>nos conduciría a un riesgo sistémico</w:t>
      </w:r>
      <w:r w:rsidR="00C71828">
        <w:rPr>
          <w:szCs w:val="21"/>
        </w:rPr>
        <w:t>, como se i</w:t>
      </w:r>
      <w:r w:rsidR="0095401A">
        <w:rPr>
          <w:szCs w:val="21"/>
        </w:rPr>
        <w:t>lustra más adelante en la evaluación de alternativas</w:t>
      </w:r>
      <w:r w:rsidR="002B5F8B">
        <w:rPr>
          <w:szCs w:val="21"/>
        </w:rPr>
        <w:t>.</w:t>
      </w:r>
    </w:p>
    <w:p w14:paraId="24AA0FE8" w14:textId="77777777" w:rsidR="003A03FF" w:rsidRDefault="003A03FF" w:rsidP="003A03FF">
      <w:pPr>
        <w:rPr>
          <w:szCs w:val="22"/>
        </w:rPr>
      </w:pPr>
    </w:p>
    <w:p w14:paraId="00F41E3D" w14:textId="3038BFE3" w:rsidR="005712D5" w:rsidRDefault="005712D5" w:rsidP="0038050C">
      <w:pPr>
        <w:rPr>
          <w:sz w:val="22"/>
        </w:rPr>
      </w:pPr>
    </w:p>
    <w:p w14:paraId="7DD03577" w14:textId="546A72D6" w:rsidR="00397B78" w:rsidRPr="00C562ED" w:rsidRDefault="001901EF" w:rsidP="00397B78">
      <w:pPr>
        <w:pStyle w:val="Ttulo2"/>
        <w:numPr>
          <w:ilvl w:val="1"/>
          <w:numId w:val="1"/>
        </w:numPr>
        <w:rPr>
          <w:szCs w:val="28"/>
        </w:rPr>
      </w:pPr>
      <w:bookmarkStart w:id="50" w:name="_Toc153876862"/>
      <w:r>
        <w:rPr>
          <w:szCs w:val="28"/>
        </w:rPr>
        <w:t>Ajust</w:t>
      </w:r>
      <w:r w:rsidR="00AB6FE8">
        <w:rPr>
          <w:szCs w:val="28"/>
        </w:rPr>
        <w:t xml:space="preserve">ar </w:t>
      </w:r>
      <w:r w:rsidR="003044C6">
        <w:rPr>
          <w:szCs w:val="28"/>
        </w:rPr>
        <w:t xml:space="preserve">a </w:t>
      </w:r>
      <w:r w:rsidR="00AB6FE8">
        <w:rPr>
          <w:szCs w:val="28"/>
        </w:rPr>
        <w:t xml:space="preserve">la metodología para definir el </w:t>
      </w:r>
      <w:r w:rsidR="00D92178">
        <w:rPr>
          <w:szCs w:val="28"/>
        </w:rPr>
        <w:t>precio de bolsa temporal</w:t>
      </w:r>
      <w:bookmarkEnd w:id="50"/>
    </w:p>
    <w:p w14:paraId="22F112EA" w14:textId="2007D357" w:rsidR="00284925" w:rsidRDefault="00284925" w:rsidP="00E61748">
      <w:pPr>
        <w:rPr>
          <w:szCs w:val="21"/>
          <w:lang w:val="es-CO"/>
        </w:rPr>
      </w:pPr>
    </w:p>
    <w:p w14:paraId="5126DA51" w14:textId="367A57FE" w:rsidR="002E2AF2" w:rsidRDefault="006C37DC" w:rsidP="00E61748">
      <w:pPr>
        <w:rPr>
          <w:szCs w:val="21"/>
          <w:lang w:val="es-CO"/>
        </w:rPr>
      </w:pPr>
      <w:r>
        <w:rPr>
          <w:szCs w:val="21"/>
          <w:lang w:val="es-CO"/>
        </w:rPr>
        <w:t xml:space="preserve">Para ajustar la metodología </w:t>
      </w:r>
      <w:r w:rsidR="00200A65">
        <w:rPr>
          <w:szCs w:val="21"/>
          <w:lang w:val="es-CO"/>
        </w:rPr>
        <w:t>precio de bolsa nacional</w:t>
      </w:r>
      <w:r w:rsidR="00D92178">
        <w:rPr>
          <w:szCs w:val="21"/>
          <w:lang w:val="es-CO"/>
        </w:rPr>
        <w:t xml:space="preserve"> temporal</w:t>
      </w:r>
      <w:r w:rsidR="006248DB">
        <w:rPr>
          <w:szCs w:val="21"/>
          <w:lang w:val="es-CO"/>
        </w:rPr>
        <w:t>, que denominaremos precio de bolsa nacional aju</w:t>
      </w:r>
      <w:r w:rsidR="00951C9A">
        <w:rPr>
          <w:szCs w:val="21"/>
          <w:lang w:val="es-CO"/>
        </w:rPr>
        <w:t>s</w:t>
      </w:r>
      <w:r w:rsidR="006248DB">
        <w:rPr>
          <w:szCs w:val="21"/>
          <w:lang w:val="es-CO"/>
        </w:rPr>
        <w:t>tad</w:t>
      </w:r>
      <w:r w:rsidR="00951C9A">
        <w:rPr>
          <w:szCs w:val="21"/>
          <w:lang w:val="es-CO"/>
        </w:rPr>
        <w:t>o</w:t>
      </w:r>
      <w:r w:rsidR="006248DB">
        <w:rPr>
          <w:szCs w:val="21"/>
          <w:lang w:val="es-CO"/>
        </w:rPr>
        <w:t xml:space="preserve"> (PBNA),</w:t>
      </w:r>
      <w:r w:rsidR="00200A65">
        <w:rPr>
          <w:szCs w:val="21"/>
          <w:lang w:val="es-CO"/>
        </w:rPr>
        <w:t xml:space="preserve"> para las transacciones </w:t>
      </w:r>
      <w:r w:rsidR="00951C9A">
        <w:rPr>
          <w:szCs w:val="21"/>
          <w:lang w:val="es-CO"/>
        </w:rPr>
        <w:t xml:space="preserve">en el mercado de corto plazo </w:t>
      </w:r>
      <w:r w:rsidR="00200A65">
        <w:rPr>
          <w:szCs w:val="21"/>
          <w:lang w:val="es-CO"/>
        </w:rPr>
        <w:t xml:space="preserve">se consideraran los siguientes </w:t>
      </w:r>
      <w:r w:rsidR="003A64B0">
        <w:rPr>
          <w:szCs w:val="21"/>
          <w:lang w:val="es-CO"/>
        </w:rPr>
        <w:t>pasos</w:t>
      </w:r>
      <w:r w:rsidR="00200A65">
        <w:rPr>
          <w:szCs w:val="21"/>
          <w:lang w:val="es-CO"/>
        </w:rPr>
        <w:t>:</w:t>
      </w:r>
    </w:p>
    <w:p w14:paraId="4815694E" w14:textId="77777777" w:rsidR="003A64B0" w:rsidRDefault="003A64B0" w:rsidP="00E61748">
      <w:pPr>
        <w:rPr>
          <w:szCs w:val="21"/>
          <w:lang w:val="es-CO"/>
        </w:rPr>
      </w:pPr>
    </w:p>
    <w:p w14:paraId="2B609645" w14:textId="44CB74A8" w:rsidR="003A64B0" w:rsidRPr="001104FE" w:rsidRDefault="000B05DE" w:rsidP="00DB1960">
      <w:pPr>
        <w:pStyle w:val="Prrafodelista"/>
        <w:numPr>
          <w:ilvl w:val="0"/>
          <w:numId w:val="18"/>
        </w:numPr>
        <w:rPr>
          <w:b/>
          <w:bCs/>
          <w:szCs w:val="21"/>
          <w:lang w:val="es-CO"/>
        </w:rPr>
      </w:pPr>
      <w:r w:rsidRPr="001104FE">
        <w:rPr>
          <w:b/>
          <w:bCs/>
          <w:szCs w:val="21"/>
          <w:lang w:val="es-CO"/>
        </w:rPr>
        <w:t>Ajuste de las ofertas</w:t>
      </w:r>
    </w:p>
    <w:p w14:paraId="4634BEDF" w14:textId="77777777" w:rsidR="002D69CA" w:rsidRPr="002D69CA" w:rsidRDefault="002D69CA" w:rsidP="002D69CA">
      <w:pPr>
        <w:pStyle w:val="Prrafodelista"/>
        <w:spacing w:before="240" w:after="240"/>
        <w:ind w:left="0"/>
        <w:rPr>
          <w:rFonts w:cs="Arial"/>
          <w:b/>
          <w:bCs/>
          <w:szCs w:val="24"/>
        </w:rPr>
      </w:pPr>
      <w:r w:rsidRPr="002D69CA">
        <w:rPr>
          <w:rFonts w:cs="Arial"/>
          <w:bCs/>
          <w:szCs w:val="24"/>
        </w:rPr>
        <w:t>Los precios de oferta que hacen los agentes generadores a la bolsa, de acuerdo con la Resolución CREG 025 de 1995, se ajustarán como sigue:</w:t>
      </w:r>
    </w:p>
    <w:p w14:paraId="20379EE8" w14:textId="77777777" w:rsidR="008109F4" w:rsidRDefault="008109F4" w:rsidP="008109F4">
      <w:pPr>
        <w:pStyle w:val="Prrafodelista"/>
        <w:numPr>
          <w:ilvl w:val="0"/>
          <w:numId w:val="17"/>
        </w:numPr>
        <w:spacing w:before="240" w:after="240"/>
        <w:rPr>
          <w:b/>
          <w:szCs w:val="24"/>
        </w:rPr>
      </w:pPr>
      <w:r w:rsidRPr="009E470E">
        <w:rPr>
          <w:b/>
          <w:szCs w:val="24"/>
        </w:rPr>
        <w:t>Plantas térmicas</w:t>
      </w:r>
      <w:r w:rsidRPr="00400814">
        <w:rPr>
          <w:bCs/>
          <w:szCs w:val="24"/>
        </w:rPr>
        <w:t xml:space="preserve">. </w:t>
      </w:r>
      <w:r w:rsidRPr="00400814">
        <w:rPr>
          <w:szCs w:val="24"/>
        </w:rPr>
        <w:t xml:space="preserve">La oferta ajustada de las plantas térmicas del día </w:t>
      </w:r>
      <w:r w:rsidRPr="00400814">
        <w:rPr>
          <w:i/>
          <w:iCs/>
          <w:szCs w:val="24"/>
        </w:rPr>
        <w:t>d</w:t>
      </w:r>
      <w:r w:rsidRPr="00400814">
        <w:rPr>
          <w:szCs w:val="24"/>
        </w:rPr>
        <w:t xml:space="preserve"> del mes </w:t>
      </w:r>
      <w:r w:rsidRPr="00400814">
        <w:rPr>
          <w:i/>
          <w:iCs/>
          <w:szCs w:val="24"/>
        </w:rPr>
        <w:t>m</w:t>
      </w:r>
      <w:r w:rsidRPr="00400814">
        <w:rPr>
          <w:szCs w:val="24"/>
        </w:rPr>
        <w:t xml:space="preserve"> corresponderá al menor valor entre la oferta presentada al CND de acuerdo con lo definido en la Resolución CREG 025 de 1995 y l</w:t>
      </w:r>
      <w:r>
        <w:rPr>
          <w:szCs w:val="24"/>
        </w:rPr>
        <w:t xml:space="preserve">os costos variables de las plantas térmicas, </w:t>
      </w:r>
      <w:r w:rsidRPr="00400814">
        <w:rPr>
          <w:szCs w:val="24"/>
        </w:rPr>
        <w:t xml:space="preserve">variable CVPT. </w:t>
      </w:r>
      <w:r>
        <w:rPr>
          <w:szCs w:val="24"/>
        </w:rPr>
        <w:t xml:space="preserve">La variable CVPT del día </w:t>
      </w:r>
      <w:r w:rsidRPr="00553540">
        <w:rPr>
          <w:i/>
          <w:iCs/>
          <w:szCs w:val="24"/>
        </w:rPr>
        <w:t>d</w:t>
      </w:r>
      <w:r>
        <w:rPr>
          <w:szCs w:val="24"/>
        </w:rPr>
        <w:t xml:space="preserve"> del mes </w:t>
      </w:r>
      <w:r w:rsidRPr="00553540">
        <w:rPr>
          <w:i/>
          <w:iCs/>
          <w:szCs w:val="24"/>
        </w:rPr>
        <w:t>m</w:t>
      </w:r>
      <w:r>
        <w:rPr>
          <w:szCs w:val="24"/>
        </w:rPr>
        <w:t xml:space="preserve"> corresponderá a lo siguiente:</w:t>
      </w:r>
    </w:p>
    <w:p w14:paraId="10D7FDD4" w14:textId="77777777" w:rsidR="008109F4" w:rsidRDefault="008109F4" w:rsidP="008109F4">
      <w:pPr>
        <w:pStyle w:val="Prrafodelista"/>
        <w:numPr>
          <w:ilvl w:val="0"/>
          <w:numId w:val="27"/>
        </w:numPr>
        <w:spacing w:before="240" w:after="240"/>
        <w:rPr>
          <w:b/>
          <w:bCs/>
          <w:szCs w:val="24"/>
        </w:rPr>
      </w:pPr>
      <w:r>
        <w:rPr>
          <w:bCs/>
          <w:szCs w:val="24"/>
        </w:rPr>
        <w:t>Se consideran los últimos valores declarados diariamente, en el marco del cumplimiento de la Resolución CREG 034 de 2021.</w:t>
      </w:r>
    </w:p>
    <w:p w14:paraId="493175CC" w14:textId="77777777" w:rsidR="008109F4" w:rsidRPr="00553540" w:rsidRDefault="008109F4" w:rsidP="008109F4">
      <w:pPr>
        <w:pStyle w:val="Prrafodelista"/>
        <w:numPr>
          <w:ilvl w:val="0"/>
          <w:numId w:val="27"/>
        </w:numPr>
        <w:spacing w:before="240" w:after="240"/>
        <w:rPr>
          <w:b/>
          <w:bCs/>
        </w:rPr>
      </w:pPr>
      <w:r>
        <w:rPr>
          <w:bCs/>
          <w:szCs w:val="24"/>
        </w:rPr>
        <w:t xml:space="preserve">Los costos variables corresponderán a: </w:t>
      </w:r>
      <w:r w:rsidRPr="00553540">
        <w:rPr>
          <w:bCs/>
        </w:rPr>
        <w:t xml:space="preserve">Costo de Suministro de Combustible (CSC), Costos de Transporte de Combustible (CTC), Costo de Operación Mantenimiento (COM) y Otros Costos Variables (OCV). </w:t>
      </w:r>
    </w:p>
    <w:p w14:paraId="0980ED67" w14:textId="77777777" w:rsidR="008109F4" w:rsidRDefault="008109F4" w:rsidP="008109F4">
      <w:pPr>
        <w:pStyle w:val="Prrafodelista"/>
        <w:numPr>
          <w:ilvl w:val="0"/>
          <w:numId w:val="27"/>
        </w:numPr>
        <w:spacing w:before="240" w:after="240"/>
        <w:rPr>
          <w:b/>
          <w:bCs/>
        </w:rPr>
      </w:pPr>
      <w:r>
        <w:rPr>
          <w:bCs/>
        </w:rPr>
        <w:t>Para las plantas térmicas que han reconciliado positivamente se tomaran los valores en $/MWh de acuerdo con lo definido en la Resolución CREG 034 de 2001.</w:t>
      </w:r>
    </w:p>
    <w:p w14:paraId="3220372D" w14:textId="77777777" w:rsidR="008109F4" w:rsidRDefault="008109F4" w:rsidP="008109F4">
      <w:pPr>
        <w:pStyle w:val="Prrafodelista"/>
        <w:numPr>
          <w:ilvl w:val="0"/>
          <w:numId w:val="27"/>
        </w:numPr>
        <w:spacing w:before="240" w:after="240"/>
        <w:rPr>
          <w:b/>
          <w:bCs/>
        </w:rPr>
      </w:pPr>
      <w:r>
        <w:rPr>
          <w:bCs/>
        </w:rPr>
        <w:lastRenderedPageBreak/>
        <w:t xml:space="preserve">Para las plantas térmicas que no han reconciliado positivamente, los valores de combustible en $/MWh se determinarán </w:t>
      </w:r>
      <w:r w:rsidRPr="00553540">
        <w:rPr>
          <w:bCs/>
        </w:rPr>
        <w:t xml:space="preserve">con la información operativa </w:t>
      </w:r>
      <w:r>
        <w:rPr>
          <w:bCs/>
        </w:rPr>
        <w:t>de la planta</w:t>
      </w:r>
      <w:r w:rsidRPr="00553540">
        <w:rPr>
          <w:bCs/>
        </w:rPr>
        <w:t xml:space="preserve">: cantidades </w:t>
      </w:r>
      <w:r>
        <w:rPr>
          <w:bCs/>
        </w:rPr>
        <w:t xml:space="preserve">de </w:t>
      </w:r>
      <w:r w:rsidRPr="00553540">
        <w:rPr>
          <w:bCs/>
        </w:rPr>
        <w:t>combustible y generación.</w:t>
      </w:r>
    </w:p>
    <w:p w14:paraId="18F17A03" w14:textId="77777777" w:rsidR="008109F4" w:rsidRPr="00553540" w:rsidRDefault="008109F4" w:rsidP="008109F4">
      <w:pPr>
        <w:pStyle w:val="Prrafodelista"/>
        <w:numPr>
          <w:ilvl w:val="0"/>
          <w:numId w:val="27"/>
        </w:numPr>
        <w:spacing w:before="240" w:after="240"/>
        <w:rPr>
          <w:b/>
          <w:bCs/>
        </w:rPr>
      </w:pPr>
      <w:r w:rsidRPr="00553540">
        <w:rPr>
          <w:bCs/>
        </w:rPr>
        <w:t>Para plantas térmicas que no ha</w:t>
      </w:r>
      <w:r>
        <w:rPr>
          <w:bCs/>
        </w:rPr>
        <w:t>n</w:t>
      </w:r>
      <w:r w:rsidRPr="00553540">
        <w:rPr>
          <w:bCs/>
        </w:rPr>
        <w:t xml:space="preserve"> declarado costos de combustibles, </w:t>
      </w:r>
      <w:r>
        <w:rPr>
          <w:bCs/>
        </w:rPr>
        <w:t>se mantendrá</w:t>
      </w:r>
      <w:r w:rsidRPr="00553540">
        <w:rPr>
          <w:bCs/>
        </w:rPr>
        <w:t xml:space="preserve"> la </w:t>
      </w:r>
      <w:r>
        <w:rPr>
          <w:bCs/>
        </w:rPr>
        <w:t>oferta presentada</w:t>
      </w:r>
      <w:r w:rsidRPr="00553540">
        <w:rPr>
          <w:bCs/>
        </w:rPr>
        <w:t xml:space="preserve">. </w:t>
      </w:r>
      <w:r>
        <w:rPr>
          <w:bCs/>
        </w:rPr>
        <w:t xml:space="preserve">Cuando tenga </w:t>
      </w:r>
      <w:r w:rsidRPr="00553540">
        <w:rPr>
          <w:bCs/>
        </w:rPr>
        <w:t>información, se aplicará el procedimiento definido anteriormente.</w:t>
      </w:r>
    </w:p>
    <w:p w14:paraId="02E29591" w14:textId="77777777" w:rsidR="008109F4" w:rsidRPr="00553540" w:rsidRDefault="008109F4" w:rsidP="008109F4">
      <w:pPr>
        <w:pStyle w:val="Prrafodelista"/>
        <w:numPr>
          <w:ilvl w:val="0"/>
          <w:numId w:val="27"/>
        </w:numPr>
        <w:spacing w:before="240" w:after="240"/>
        <w:rPr>
          <w:b/>
          <w:szCs w:val="24"/>
          <w:lang w:val="es-ES"/>
        </w:rPr>
      </w:pPr>
      <w:r w:rsidRPr="00553540">
        <w:rPr>
          <w:bCs/>
        </w:rPr>
        <w:t xml:space="preserve">En el caso de las plantas de ciclo combinado, los agentes deberán declarar el </w:t>
      </w:r>
      <w:r w:rsidRPr="00553540">
        <w:rPr>
          <w:bCs/>
          <w:i/>
          <w:iCs/>
        </w:rPr>
        <w:t>Heat Rate</w:t>
      </w:r>
      <w:r w:rsidRPr="00553540">
        <w:rPr>
          <w:bCs/>
        </w:rPr>
        <w:t xml:space="preserve"> de cada una de las configuraciones. </w:t>
      </w:r>
      <w:r>
        <w:rPr>
          <w:bCs/>
        </w:rPr>
        <w:t xml:space="preserve">El CND definirá el medio y formato para dicha declaración. </w:t>
      </w:r>
      <w:r w:rsidRPr="00553540">
        <w:rPr>
          <w:bCs/>
        </w:rPr>
        <w:t>Con dicha información y los costos declarados en el marco de la Resolución CREG 034 de 2001, el CND determinará los costos variables del combustible</w:t>
      </w:r>
      <w:r>
        <w:rPr>
          <w:bCs/>
        </w:rPr>
        <w:t xml:space="preserve"> en $/MWh para cada configuración</w:t>
      </w:r>
      <w:r w:rsidRPr="00553540">
        <w:rPr>
          <w:bCs/>
        </w:rPr>
        <w:t>.</w:t>
      </w:r>
      <w:r w:rsidRPr="00553540">
        <w:rPr>
          <w:szCs w:val="24"/>
          <w:lang w:val="es-ES"/>
        </w:rPr>
        <w:t xml:space="preserve"> </w:t>
      </w:r>
    </w:p>
    <w:p w14:paraId="4990924C" w14:textId="77777777" w:rsidR="008109F4" w:rsidRPr="009E470E" w:rsidRDefault="008109F4" w:rsidP="008109F4">
      <w:pPr>
        <w:spacing w:before="240" w:after="240"/>
        <w:ind w:left="1068"/>
        <w:rPr>
          <w:rFonts w:cs="Arial"/>
        </w:rPr>
      </w:pPr>
      <w:r w:rsidRPr="009E470E">
        <w:rPr>
          <w:rFonts w:cs="Arial"/>
        </w:rPr>
        <w:t>La suma de los costos variables en $/MWh, señalados anteriormente para cada caso, se les incrementará por un factor de 1,05. El valor obtenido será redondeado al entero más próximo.</w:t>
      </w:r>
    </w:p>
    <w:p w14:paraId="4A495769" w14:textId="77777777" w:rsidR="008109F4" w:rsidRPr="00400814" w:rsidRDefault="008109F4" w:rsidP="008109F4">
      <w:pPr>
        <w:pStyle w:val="Prrafodelista"/>
        <w:numPr>
          <w:ilvl w:val="0"/>
          <w:numId w:val="17"/>
        </w:numPr>
        <w:spacing w:before="240" w:after="240"/>
        <w:rPr>
          <w:b/>
          <w:szCs w:val="24"/>
        </w:rPr>
      </w:pPr>
      <w:r w:rsidRPr="009E470E">
        <w:rPr>
          <w:b/>
          <w:bCs/>
          <w:szCs w:val="24"/>
        </w:rPr>
        <w:t>Plantas variables (hidráulicas, eólicas y solares)</w:t>
      </w:r>
      <w:r w:rsidRPr="00400814">
        <w:rPr>
          <w:szCs w:val="24"/>
        </w:rPr>
        <w:t xml:space="preserve">. La oferta ajustada de las plantas variables del día </w:t>
      </w:r>
      <w:r w:rsidRPr="00200D67">
        <w:rPr>
          <w:i/>
          <w:iCs/>
          <w:szCs w:val="24"/>
        </w:rPr>
        <w:t>d</w:t>
      </w:r>
      <w:r w:rsidRPr="00400814">
        <w:rPr>
          <w:szCs w:val="24"/>
        </w:rPr>
        <w:t xml:space="preserve"> del mes </w:t>
      </w:r>
      <w:r w:rsidRPr="00200D67">
        <w:rPr>
          <w:i/>
          <w:iCs/>
          <w:szCs w:val="24"/>
        </w:rPr>
        <w:t>m</w:t>
      </w:r>
      <w:r w:rsidRPr="00400814">
        <w:rPr>
          <w:szCs w:val="24"/>
        </w:rPr>
        <w:t xml:space="preserve"> corresponderá al menor valor entre la oferta presentada al CND de acuerdo con lo definido en la Resolución CREG 025 de 1995 y </w:t>
      </w:r>
      <w:r>
        <w:rPr>
          <w:szCs w:val="24"/>
        </w:rPr>
        <w:t xml:space="preserve">los costos variables de las plantas variables, </w:t>
      </w:r>
      <w:r w:rsidRPr="00400814">
        <w:rPr>
          <w:szCs w:val="24"/>
        </w:rPr>
        <w:t xml:space="preserve">variable CVPV. </w:t>
      </w:r>
    </w:p>
    <w:p w14:paraId="7AAB33E7" w14:textId="77777777" w:rsidR="008109F4" w:rsidRPr="009E470E" w:rsidRDefault="008109F4" w:rsidP="008109F4">
      <w:pPr>
        <w:spacing w:before="240" w:after="240"/>
        <w:ind w:left="1068"/>
        <w:rPr>
          <w:rFonts w:cs="Arial"/>
        </w:rPr>
      </w:pPr>
      <w:r w:rsidRPr="009E470E">
        <w:rPr>
          <w:rFonts w:cs="Arial"/>
        </w:rPr>
        <w:t xml:space="preserve">La variable CVPV corresponderá al máximo valor de la variable CVPT del día </w:t>
      </w:r>
      <w:r w:rsidRPr="009E470E">
        <w:rPr>
          <w:rFonts w:cs="Arial"/>
          <w:i/>
          <w:iCs/>
        </w:rPr>
        <w:t>d</w:t>
      </w:r>
      <w:r w:rsidRPr="009E470E">
        <w:rPr>
          <w:rFonts w:cs="Arial"/>
        </w:rPr>
        <w:t xml:space="preserve"> del mes </w:t>
      </w:r>
      <w:r w:rsidRPr="009E470E">
        <w:rPr>
          <w:rFonts w:cs="Arial"/>
          <w:i/>
          <w:iCs/>
        </w:rPr>
        <w:t>m</w:t>
      </w:r>
      <w:r w:rsidRPr="009E470E">
        <w:rPr>
          <w:rFonts w:cs="Arial"/>
        </w:rPr>
        <w:t xml:space="preserve"> más 1 $/MWh. En caso de que se tengan ofertas ajustadas empatadas de plantas hidráulicas con embalse y con el nivel de Enficc Probabilístico -NEP-, se ordenaran considerando la diferencia entre: el nivel real del embalse (NEM) reportado al CND de conformidad con el Numeral 6.2. DECLARACIÓN DE DATOS HIDROLÓGICOS del Código de Operación de la Resolución CREG 025 de 1995, y el NEP, ordenando esta diferencia de mayor a menor.  A dichas ofertas ordenadas se les incrementa el valor de 1 $/MWh a partir de la segunda planta ordenada. </w:t>
      </w:r>
    </w:p>
    <w:p w14:paraId="14F3202E" w14:textId="77777777" w:rsidR="008109F4" w:rsidRPr="008109F4" w:rsidRDefault="008109F4" w:rsidP="008109F4">
      <w:pPr>
        <w:spacing w:before="240" w:after="240"/>
        <w:ind w:left="1068"/>
        <w:rPr>
          <w:rFonts w:cs="Arial"/>
        </w:rPr>
      </w:pPr>
      <w:r w:rsidRPr="009E470E">
        <w:rPr>
          <w:rFonts w:cs="Arial"/>
        </w:rPr>
        <w:t>Una vez aplicado el procedimiento anterior, el CND dará aplicación al criterio de desempate definido en la Resolución CREG 025 DE 1995 para todos los recursos de generación que estén empatados.</w:t>
      </w:r>
    </w:p>
    <w:p w14:paraId="0FD05F0B" w14:textId="77777777" w:rsidR="000B05DE" w:rsidRPr="002D69CA" w:rsidRDefault="000B05DE" w:rsidP="000B05DE">
      <w:pPr>
        <w:rPr>
          <w:szCs w:val="21"/>
        </w:rPr>
      </w:pPr>
    </w:p>
    <w:p w14:paraId="15561513" w14:textId="65BD2D13" w:rsidR="00692EA1" w:rsidRPr="002C639E" w:rsidRDefault="00295088" w:rsidP="00DB1960">
      <w:pPr>
        <w:pStyle w:val="Prrafodelista"/>
        <w:numPr>
          <w:ilvl w:val="0"/>
          <w:numId w:val="18"/>
        </w:numPr>
        <w:rPr>
          <w:b/>
          <w:bCs/>
          <w:szCs w:val="21"/>
          <w:lang w:val="es-CO"/>
        </w:rPr>
      </w:pPr>
      <w:r w:rsidRPr="002C639E">
        <w:rPr>
          <w:b/>
          <w:bCs/>
          <w:szCs w:val="21"/>
          <w:lang w:val="es-CO"/>
        </w:rPr>
        <w:t>Despacho económico y despacho ideal</w:t>
      </w:r>
    </w:p>
    <w:p w14:paraId="2F7F495D" w14:textId="07A761CB" w:rsidR="00E24A51" w:rsidRPr="00F46229" w:rsidRDefault="00E24A51" w:rsidP="00E24A51">
      <w:pPr>
        <w:spacing w:before="240" w:after="240"/>
        <w:rPr>
          <w:rFonts w:cs="Arial"/>
          <w:bCs/>
          <w:szCs w:val="24"/>
        </w:rPr>
      </w:pPr>
      <w:r w:rsidRPr="00F46229">
        <w:rPr>
          <w:rFonts w:cs="Arial"/>
          <w:bCs/>
          <w:szCs w:val="24"/>
        </w:rPr>
        <w:t>El CND y el ASIC deberá emplear tanto para el despacho económico como para el despacho ideal, las ofertas ajustadas de</w:t>
      </w:r>
      <w:r w:rsidR="00E849A2" w:rsidRPr="00F46229">
        <w:rPr>
          <w:rFonts w:cs="Arial"/>
          <w:bCs/>
          <w:szCs w:val="24"/>
        </w:rPr>
        <w:t>l paso anterior</w:t>
      </w:r>
      <w:r w:rsidRPr="00F46229">
        <w:rPr>
          <w:rFonts w:cs="Arial"/>
          <w:bCs/>
          <w:szCs w:val="24"/>
        </w:rPr>
        <w:t>.</w:t>
      </w:r>
    </w:p>
    <w:p w14:paraId="412E2F61" w14:textId="0B1DB15F" w:rsidR="00E24A51" w:rsidRDefault="00E24A51" w:rsidP="00E24A51">
      <w:pPr>
        <w:spacing w:before="240" w:after="240"/>
        <w:rPr>
          <w:rFonts w:cs="Arial"/>
          <w:bCs/>
        </w:rPr>
      </w:pPr>
      <w:r w:rsidRPr="00F46229">
        <w:rPr>
          <w:rFonts w:cs="Arial"/>
          <w:bCs/>
        </w:rPr>
        <w:lastRenderedPageBreak/>
        <w:t>El ASIC seguirá calculando el precio de bolsa nacional (PBN) de la manera definida en la Resolución CREG 024 de 1995.</w:t>
      </w:r>
    </w:p>
    <w:p w14:paraId="2A85D461" w14:textId="20B55B0E" w:rsidR="002C639E" w:rsidRPr="0056789F" w:rsidRDefault="0056789F" w:rsidP="00DB1960">
      <w:pPr>
        <w:pStyle w:val="Prrafodelista"/>
        <w:numPr>
          <w:ilvl w:val="0"/>
          <w:numId w:val="18"/>
        </w:numPr>
        <w:rPr>
          <w:rFonts w:cs="Arial"/>
          <w:b/>
        </w:rPr>
      </w:pPr>
      <w:r w:rsidRPr="0056789F">
        <w:rPr>
          <w:rFonts w:cs="Arial"/>
          <w:b/>
        </w:rPr>
        <w:t>Precio de bolsa nacional ajustado (PBNA)</w:t>
      </w:r>
    </w:p>
    <w:p w14:paraId="76E35AB6" w14:textId="04F2C6A3" w:rsidR="004A0365" w:rsidRPr="004A0365" w:rsidRDefault="004A0365" w:rsidP="009E470E">
      <w:pPr>
        <w:spacing w:before="240" w:after="240"/>
        <w:rPr>
          <w:rFonts w:cs="Arial"/>
          <w:b/>
          <w:bCs/>
          <w:szCs w:val="24"/>
        </w:rPr>
      </w:pPr>
      <w:r w:rsidRPr="004A0365">
        <w:rPr>
          <w:rFonts w:cs="Arial"/>
          <w:bCs/>
          <w:szCs w:val="24"/>
        </w:rPr>
        <w:t>El precio de bolsa nacional ajustado será de 532 $/kWh.</w:t>
      </w:r>
      <w:r w:rsidR="00EE5051">
        <w:rPr>
          <w:rFonts w:cs="Arial"/>
          <w:bCs/>
          <w:szCs w:val="24"/>
        </w:rPr>
        <w:t xml:space="preserve"> Dicho </w:t>
      </w:r>
      <w:r w:rsidR="000A3EBF">
        <w:rPr>
          <w:rFonts w:cs="Arial"/>
          <w:bCs/>
          <w:szCs w:val="24"/>
        </w:rPr>
        <w:t xml:space="preserve">valor </w:t>
      </w:r>
      <w:r w:rsidR="00EE5051">
        <w:rPr>
          <w:rFonts w:cs="Arial"/>
          <w:bCs/>
          <w:szCs w:val="24"/>
        </w:rPr>
        <w:t xml:space="preserve">corresponde </w:t>
      </w:r>
      <w:r w:rsidR="002B0321">
        <w:rPr>
          <w:rFonts w:cs="Arial"/>
          <w:bCs/>
          <w:szCs w:val="24"/>
        </w:rPr>
        <w:t>a los costos variables</w:t>
      </w:r>
      <w:r w:rsidR="00911EBC">
        <w:rPr>
          <w:rFonts w:cs="Arial"/>
          <w:bCs/>
          <w:szCs w:val="24"/>
        </w:rPr>
        <w:t xml:space="preserve"> </w:t>
      </w:r>
      <w:r w:rsidR="00883251">
        <w:rPr>
          <w:rFonts w:cs="Arial"/>
          <w:bCs/>
          <w:szCs w:val="24"/>
        </w:rPr>
        <w:t>declarados</w:t>
      </w:r>
      <w:r w:rsidR="00611717">
        <w:rPr>
          <w:rStyle w:val="Refdenotaalpie"/>
          <w:rFonts w:cs="Arial"/>
          <w:bCs/>
          <w:szCs w:val="24"/>
        </w:rPr>
        <w:footnoteReference w:id="7"/>
      </w:r>
      <w:r w:rsidR="00883251">
        <w:rPr>
          <w:rFonts w:cs="Arial"/>
          <w:bCs/>
          <w:szCs w:val="24"/>
        </w:rPr>
        <w:t xml:space="preserve"> </w:t>
      </w:r>
      <w:r w:rsidR="00911EBC">
        <w:rPr>
          <w:rFonts w:cs="Arial"/>
          <w:bCs/>
          <w:szCs w:val="24"/>
        </w:rPr>
        <w:t xml:space="preserve">de </w:t>
      </w:r>
      <w:r w:rsidR="000A3EBF">
        <w:rPr>
          <w:rFonts w:cs="Arial"/>
          <w:bCs/>
          <w:szCs w:val="24"/>
        </w:rPr>
        <w:t xml:space="preserve">la </w:t>
      </w:r>
      <w:r w:rsidR="00911EBC">
        <w:rPr>
          <w:rFonts w:cs="Arial"/>
          <w:bCs/>
          <w:szCs w:val="24"/>
        </w:rPr>
        <w:t>planta térmica que opera con gas nacional</w:t>
      </w:r>
      <w:r w:rsidR="006669E0">
        <w:rPr>
          <w:rFonts w:cs="Arial"/>
          <w:bCs/>
          <w:szCs w:val="24"/>
        </w:rPr>
        <w:t>, de acuerdo con la Resolución CREG 034 de 2001</w:t>
      </w:r>
      <w:r w:rsidR="00607984">
        <w:rPr>
          <w:rFonts w:cs="Arial"/>
          <w:bCs/>
          <w:szCs w:val="24"/>
        </w:rPr>
        <w:t>, modificada por la Resolución CREG 044 de 2020</w:t>
      </w:r>
      <w:r w:rsidR="006669E0">
        <w:rPr>
          <w:rFonts w:cs="Arial"/>
          <w:bCs/>
          <w:szCs w:val="24"/>
        </w:rPr>
        <w:t>,</w:t>
      </w:r>
      <w:r w:rsidR="002B0321">
        <w:rPr>
          <w:rFonts w:cs="Arial"/>
          <w:bCs/>
          <w:szCs w:val="24"/>
        </w:rPr>
        <w:t xml:space="preserve"> </w:t>
      </w:r>
      <w:r w:rsidR="00476CFC">
        <w:rPr>
          <w:rFonts w:cs="Arial"/>
          <w:bCs/>
          <w:szCs w:val="24"/>
        </w:rPr>
        <w:t>incrementado por el facto</w:t>
      </w:r>
      <w:r w:rsidR="00CC741D">
        <w:rPr>
          <w:rFonts w:cs="Arial"/>
          <w:bCs/>
          <w:szCs w:val="24"/>
        </w:rPr>
        <w:t>r</w:t>
      </w:r>
      <w:r w:rsidR="00476CFC">
        <w:rPr>
          <w:rFonts w:cs="Arial"/>
          <w:bCs/>
          <w:szCs w:val="24"/>
        </w:rPr>
        <w:t xml:space="preserve"> de 1,05.</w:t>
      </w:r>
    </w:p>
    <w:p w14:paraId="2F451CA5" w14:textId="77777777" w:rsidR="0056789F" w:rsidRPr="004A0365" w:rsidRDefault="0056789F" w:rsidP="0056789F">
      <w:pPr>
        <w:rPr>
          <w:rFonts w:cs="Arial"/>
          <w:bCs/>
          <w:lang w:val="es-CO"/>
        </w:rPr>
      </w:pPr>
    </w:p>
    <w:p w14:paraId="40E1AA36" w14:textId="4AB9F3FD" w:rsidR="002C639E" w:rsidRPr="00AF7492" w:rsidRDefault="00AF7492" w:rsidP="00DB6D74">
      <w:pPr>
        <w:pStyle w:val="Prrafodelista"/>
        <w:numPr>
          <w:ilvl w:val="0"/>
          <w:numId w:val="18"/>
        </w:numPr>
        <w:rPr>
          <w:rFonts w:cs="Arial"/>
          <w:b/>
        </w:rPr>
      </w:pPr>
      <w:r w:rsidRPr="00AF7492">
        <w:rPr>
          <w:rFonts w:cs="Arial"/>
          <w:b/>
        </w:rPr>
        <w:t xml:space="preserve">Remuneración </w:t>
      </w:r>
      <w:r>
        <w:rPr>
          <w:rFonts w:cs="Arial"/>
          <w:b/>
        </w:rPr>
        <w:t xml:space="preserve">plantas en el despacho </w:t>
      </w:r>
      <w:r w:rsidR="00A7510F">
        <w:rPr>
          <w:rFonts w:cs="Arial"/>
          <w:b/>
        </w:rPr>
        <w:t xml:space="preserve">ideal </w:t>
      </w:r>
      <w:r w:rsidRPr="00AF7492">
        <w:rPr>
          <w:rFonts w:cs="Arial"/>
          <w:b/>
        </w:rPr>
        <w:t>con precios m</w:t>
      </w:r>
      <w:r w:rsidR="000B260D">
        <w:rPr>
          <w:rFonts w:cs="Arial"/>
          <w:b/>
        </w:rPr>
        <w:t>enores</w:t>
      </w:r>
      <w:r w:rsidR="00345BCD">
        <w:rPr>
          <w:rFonts w:cs="Arial"/>
          <w:b/>
        </w:rPr>
        <w:t xml:space="preserve"> o iguales</w:t>
      </w:r>
      <w:r w:rsidR="000B260D">
        <w:rPr>
          <w:rFonts w:cs="Arial"/>
          <w:b/>
        </w:rPr>
        <w:t xml:space="preserve"> </w:t>
      </w:r>
      <w:r w:rsidRPr="00AF7492">
        <w:rPr>
          <w:rFonts w:cs="Arial"/>
          <w:b/>
        </w:rPr>
        <w:t>a PBNA</w:t>
      </w:r>
      <w:r w:rsidR="00B127D5">
        <w:rPr>
          <w:rFonts w:cs="Arial"/>
          <w:b/>
        </w:rPr>
        <w:t xml:space="preserve"> y el PB</w:t>
      </w:r>
      <w:r w:rsidR="00A51324">
        <w:rPr>
          <w:rFonts w:cs="Arial"/>
          <w:b/>
        </w:rPr>
        <w:t>N</w:t>
      </w:r>
      <w:r w:rsidR="00B127D5">
        <w:rPr>
          <w:rFonts w:cs="Arial"/>
          <w:b/>
        </w:rPr>
        <w:t xml:space="preserve"> es menor que </w:t>
      </w:r>
      <w:r w:rsidR="00A51324">
        <w:rPr>
          <w:rFonts w:cs="Arial"/>
          <w:b/>
        </w:rPr>
        <w:t xml:space="preserve">el </w:t>
      </w:r>
      <w:r w:rsidR="00B127D5">
        <w:rPr>
          <w:rFonts w:cs="Arial"/>
          <w:b/>
        </w:rPr>
        <w:t>PEA</w:t>
      </w:r>
    </w:p>
    <w:p w14:paraId="3F3C961A" w14:textId="77777777" w:rsidR="00AF7492" w:rsidRDefault="00AF7492" w:rsidP="00AF7492">
      <w:pPr>
        <w:rPr>
          <w:rFonts w:cs="Arial"/>
          <w:bCs/>
        </w:rPr>
      </w:pPr>
    </w:p>
    <w:p w14:paraId="68908DFB" w14:textId="77777777" w:rsidR="00980DEF" w:rsidRPr="005F3059" w:rsidRDefault="00980DEF" w:rsidP="005F3059">
      <w:pPr>
        <w:spacing w:before="240" w:after="240"/>
        <w:rPr>
          <w:szCs w:val="24"/>
        </w:rPr>
      </w:pPr>
      <w:r w:rsidRPr="005F3059">
        <w:rPr>
          <w:bCs/>
          <w:szCs w:val="24"/>
        </w:rPr>
        <w:t>Cuando el precio de bolsa nacional (PBN) sea menor o igual al precio de escasez de activación (PEA), Resolución CREG 140 de 2017, se aplicarán las siguientes reglas:</w:t>
      </w:r>
    </w:p>
    <w:p w14:paraId="1094ED08" w14:textId="77777777" w:rsidR="00344C39" w:rsidRPr="00400814" w:rsidRDefault="00344C39" w:rsidP="00344C39">
      <w:pPr>
        <w:pStyle w:val="Prrafodelista"/>
        <w:numPr>
          <w:ilvl w:val="1"/>
          <w:numId w:val="21"/>
        </w:numPr>
        <w:spacing w:before="240" w:after="240"/>
        <w:rPr>
          <w:b/>
          <w:bCs/>
          <w:szCs w:val="24"/>
        </w:rPr>
      </w:pPr>
      <w:r w:rsidRPr="00553540">
        <w:rPr>
          <w:szCs w:val="24"/>
        </w:rPr>
        <w:t>Plantas variables</w:t>
      </w:r>
      <w:r w:rsidRPr="00400814">
        <w:rPr>
          <w:bCs/>
          <w:szCs w:val="24"/>
        </w:rPr>
        <w:t xml:space="preserve">: La energía en mérito </w:t>
      </w:r>
      <w:r>
        <w:rPr>
          <w:bCs/>
          <w:szCs w:val="24"/>
        </w:rPr>
        <w:t xml:space="preserve">de estas plantas, descontando la energía en contratos, </w:t>
      </w:r>
      <w:r w:rsidRPr="00400814">
        <w:rPr>
          <w:bCs/>
          <w:szCs w:val="24"/>
        </w:rPr>
        <w:t>se remunera</w:t>
      </w:r>
      <w:r>
        <w:rPr>
          <w:bCs/>
          <w:szCs w:val="24"/>
        </w:rPr>
        <w:t>rá</w:t>
      </w:r>
      <w:r w:rsidRPr="00400814">
        <w:rPr>
          <w:bCs/>
          <w:szCs w:val="24"/>
        </w:rPr>
        <w:t xml:space="preserve"> al PBN</w:t>
      </w:r>
      <w:r>
        <w:rPr>
          <w:bCs/>
          <w:szCs w:val="24"/>
        </w:rPr>
        <w:t>A</w:t>
      </w:r>
      <w:r w:rsidRPr="00400814">
        <w:rPr>
          <w:bCs/>
          <w:szCs w:val="24"/>
        </w:rPr>
        <w:t>.</w:t>
      </w:r>
    </w:p>
    <w:p w14:paraId="3C55F63E" w14:textId="77777777" w:rsidR="00344C39" w:rsidRDefault="00344C39" w:rsidP="00344C39">
      <w:pPr>
        <w:pStyle w:val="Prrafodelista"/>
        <w:numPr>
          <w:ilvl w:val="1"/>
          <w:numId w:val="21"/>
        </w:numPr>
        <w:spacing w:before="240" w:after="240"/>
        <w:rPr>
          <w:b/>
          <w:bCs/>
          <w:szCs w:val="24"/>
        </w:rPr>
      </w:pPr>
      <w:r w:rsidRPr="00553540">
        <w:rPr>
          <w:szCs w:val="24"/>
        </w:rPr>
        <w:t>Plantas térmicas</w:t>
      </w:r>
      <w:r w:rsidRPr="00400814">
        <w:rPr>
          <w:bCs/>
          <w:szCs w:val="24"/>
        </w:rPr>
        <w:t>: La energía en mérito de estas plantas</w:t>
      </w:r>
      <w:r>
        <w:rPr>
          <w:bCs/>
          <w:szCs w:val="24"/>
        </w:rPr>
        <w:t xml:space="preserve">, descontando la energía en contratos, </w:t>
      </w:r>
      <w:r w:rsidRPr="00400814">
        <w:rPr>
          <w:bCs/>
          <w:szCs w:val="24"/>
        </w:rPr>
        <w:t>se remunera</w:t>
      </w:r>
      <w:r>
        <w:rPr>
          <w:bCs/>
          <w:szCs w:val="24"/>
        </w:rPr>
        <w:t>rá</w:t>
      </w:r>
      <w:r w:rsidRPr="00400814">
        <w:rPr>
          <w:bCs/>
          <w:szCs w:val="24"/>
        </w:rPr>
        <w:t xml:space="preserve"> con el último valor calculado de</w:t>
      </w:r>
      <w:r>
        <w:rPr>
          <w:bCs/>
          <w:szCs w:val="24"/>
        </w:rPr>
        <w:t xml:space="preserve">: </w:t>
      </w:r>
      <w:r w:rsidRPr="00C541D8">
        <w:rPr>
          <w:bCs/>
        </w:rPr>
        <w:t>Costo de Suministro de Combustible (CSC), Costos de Transporte de Combustible (CTC), Costo de Operación Mantenimiento (COM) y Otros Costos Variables (OCV)</w:t>
      </w:r>
      <w:r>
        <w:rPr>
          <w:bCs/>
        </w:rPr>
        <w:t>. La suma de dichos factores se incrementará en 1,05. Los costos de arranque – parada (CAP) se remuneran en la medida que se haya dado el arranque en la operación real y no está remunerado por reconciliación positiva</w:t>
      </w:r>
      <w:r>
        <w:rPr>
          <w:bCs/>
          <w:szCs w:val="24"/>
        </w:rPr>
        <w:t>.</w:t>
      </w:r>
    </w:p>
    <w:p w14:paraId="48D4740D" w14:textId="77777777" w:rsidR="00344C39" w:rsidRPr="00400814" w:rsidRDefault="00344C39" w:rsidP="00344C39">
      <w:pPr>
        <w:pStyle w:val="Prrafodelista"/>
        <w:numPr>
          <w:ilvl w:val="1"/>
          <w:numId w:val="21"/>
        </w:numPr>
        <w:spacing w:before="240" w:after="240"/>
        <w:rPr>
          <w:b/>
          <w:bCs/>
          <w:szCs w:val="24"/>
        </w:rPr>
      </w:pPr>
      <w:r w:rsidRPr="00553540">
        <w:rPr>
          <w:szCs w:val="24"/>
        </w:rPr>
        <w:t>Cubrimiento de contratos</w:t>
      </w:r>
      <w:r>
        <w:rPr>
          <w:bCs/>
          <w:szCs w:val="24"/>
        </w:rPr>
        <w:t>: A cada agente generador, el ASIC le ordenara sus recursos de generación en mérito de acuerdo con las ofertas ajustadas de que trata el artículo 4, para establecer el cubrimiento de contratos.</w:t>
      </w:r>
    </w:p>
    <w:p w14:paraId="1974F429" w14:textId="77777777" w:rsidR="00344C39" w:rsidRPr="009E470E" w:rsidRDefault="00344C39" w:rsidP="00344C39">
      <w:pPr>
        <w:pStyle w:val="Prrafodelista"/>
        <w:numPr>
          <w:ilvl w:val="0"/>
          <w:numId w:val="21"/>
        </w:numPr>
        <w:spacing w:before="240" w:after="240"/>
        <w:rPr>
          <w:b/>
          <w:szCs w:val="24"/>
        </w:rPr>
      </w:pPr>
      <w:r w:rsidRPr="00400814">
        <w:rPr>
          <w:szCs w:val="24"/>
        </w:rPr>
        <w:t>La diferencia entre la remuneración a las plantas térmicas y la remuneración con la variable PBN</w:t>
      </w:r>
      <w:r>
        <w:rPr>
          <w:szCs w:val="24"/>
        </w:rPr>
        <w:t>A</w:t>
      </w:r>
      <w:r w:rsidRPr="00400814">
        <w:rPr>
          <w:szCs w:val="24"/>
        </w:rPr>
        <w:t xml:space="preserve"> será asignada </w:t>
      </w:r>
      <w:r>
        <w:rPr>
          <w:szCs w:val="24"/>
        </w:rPr>
        <w:t xml:space="preserve">por el ASIC a </w:t>
      </w:r>
      <w:r w:rsidRPr="00400814">
        <w:rPr>
          <w:szCs w:val="24"/>
        </w:rPr>
        <w:t>l</w:t>
      </w:r>
      <w:r>
        <w:rPr>
          <w:szCs w:val="24"/>
        </w:rPr>
        <w:t>a</w:t>
      </w:r>
      <w:r w:rsidRPr="00400814">
        <w:rPr>
          <w:szCs w:val="24"/>
        </w:rPr>
        <w:t xml:space="preserve"> componente de restricciones</w:t>
      </w:r>
      <w:r>
        <w:rPr>
          <w:szCs w:val="24"/>
        </w:rPr>
        <w:t>,</w:t>
      </w:r>
      <w:r w:rsidRPr="00400814">
        <w:rPr>
          <w:szCs w:val="24"/>
        </w:rPr>
        <w:t xml:space="preserve"> a prorrata de la demanda comercial.</w:t>
      </w:r>
      <w:r>
        <w:rPr>
          <w:szCs w:val="24"/>
        </w:rPr>
        <w:t xml:space="preserve"> El comercializador incluirá esta diferencia en el Costo Unitario de prestación del servicio, Resolución CREG 119 de 2007.</w:t>
      </w:r>
    </w:p>
    <w:p w14:paraId="65D2DAFA" w14:textId="3DE1FC72" w:rsidR="002F3061" w:rsidRPr="002F3061" w:rsidRDefault="002F3061" w:rsidP="009E470E">
      <w:pPr>
        <w:ind w:left="708"/>
        <w:rPr>
          <w:bCs/>
          <w:szCs w:val="24"/>
        </w:rPr>
      </w:pPr>
      <w:r w:rsidRPr="002F3061">
        <w:rPr>
          <w:bCs/>
          <w:szCs w:val="24"/>
        </w:rPr>
        <w:t>En la siguiente ilustraci</w:t>
      </w:r>
      <w:r>
        <w:rPr>
          <w:bCs/>
          <w:szCs w:val="24"/>
        </w:rPr>
        <w:t xml:space="preserve">ón </w:t>
      </w:r>
      <w:r w:rsidRPr="002F3061">
        <w:rPr>
          <w:bCs/>
          <w:szCs w:val="24"/>
        </w:rPr>
        <w:t>se muestran la propuesta para los casos planteados anteriormente</w:t>
      </w:r>
      <w:r>
        <w:rPr>
          <w:bCs/>
          <w:szCs w:val="24"/>
        </w:rPr>
        <w:t>.</w:t>
      </w:r>
    </w:p>
    <w:p w14:paraId="2B601F82" w14:textId="77777777" w:rsidR="002F3061" w:rsidRPr="009E470E" w:rsidRDefault="002F3061" w:rsidP="009E470E">
      <w:pPr>
        <w:spacing w:before="240" w:after="240"/>
        <w:rPr>
          <w:b/>
          <w:szCs w:val="24"/>
        </w:rPr>
      </w:pPr>
    </w:p>
    <w:p w14:paraId="66F313ED" w14:textId="53462AD1" w:rsidR="00295088" w:rsidRDefault="00D15FFC" w:rsidP="00D15FFC">
      <w:pPr>
        <w:jc w:val="center"/>
        <w:rPr>
          <w:szCs w:val="21"/>
        </w:rPr>
      </w:pPr>
      <w:r w:rsidRPr="007D4F33">
        <w:rPr>
          <w:bCs/>
          <w:noProof/>
          <w:szCs w:val="24"/>
        </w:rPr>
        <w:drawing>
          <wp:inline distT="0" distB="0" distL="0" distR="0" wp14:anchorId="45E58046" wp14:editId="1076C9EF">
            <wp:extent cx="4516341" cy="2824273"/>
            <wp:effectExtent l="0" t="0" r="0" b="0"/>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32828"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4522894" cy="2828371"/>
                    </a:xfrm>
                    <a:prstGeom prst="rect">
                      <a:avLst/>
                    </a:prstGeom>
                  </pic:spPr>
                </pic:pic>
              </a:graphicData>
            </a:graphic>
          </wp:inline>
        </w:drawing>
      </w:r>
    </w:p>
    <w:p w14:paraId="027F4F1E" w14:textId="038DC1C1" w:rsidR="00D15FFC" w:rsidRDefault="00D15FFC" w:rsidP="00D15FFC">
      <w:pPr>
        <w:pStyle w:val="Descripcin"/>
        <w:jc w:val="center"/>
        <w:rPr>
          <w:bCs/>
          <w:szCs w:val="24"/>
        </w:rPr>
      </w:pPr>
      <w:bookmarkStart w:id="51" w:name="_Toc153876879"/>
      <w:r>
        <w:t xml:space="preserve">Ilustración </w:t>
      </w:r>
      <w:r>
        <w:fldChar w:fldCharType="begin"/>
      </w:r>
      <w:r>
        <w:instrText xml:space="preserve"> SEQ Ilustración \* ARABIC </w:instrText>
      </w:r>
      <w:r>
        <w:fldChar w:fldCharType="separate"/>
      </w:r>
      <w:r w:rsidR="004B57FF">
        <w:rPr>
          <w:noProof/>
        </w:rPr>
        <w:t>14</w:t>
      </w:r>
      <w:r>
        <w:fldChar w:fldCharType="end"/>
      </w:r>
      <w:r>
        <w:t>. Caso 1: El PBN menor que PEA</w:t>
      </w:r>
      <w:bookmarkEnd w:id="51"/>
    </w:p>
    <w:p w14:paraId="79BAC1F1" w14:textId="77777777" w:rsidR="00D15FFC" w:rsidRDefault="00D15FFC" w:rsidP="009E470E">
      <w:pPr>
        <w:jc w:val="center"/>
        <w:rPr>
          <w:szCs w:val="21"/>
        </w:rPr>
      </w:pPr>
    </w:p>
    <w:p w14:paraId="6114DCDF" w14:textId="6C60464F" w:rsidR="00D110C2" w:rsidRPr="00AF7492" w:rsidRDefault="00D110C2" w:rsidP="00D110C2">
      <w:pPr>
        <w:pStyle w:val="Prrafodelista"/>
        <w:numPr>
          <w:ilvl w:val="0"/>
          <w:numId w:val="18"/>
        </w:numPr>
        <w:rPr>
          <w:rFonts w:cs="Arial"/>
          <w:b/>
        </w:rPr>
      </w:pPr>
      <w:r w:rsidRPr="00AF7492">
        <w:rPr>
          <w:rFonts w:cs="Arial"/>
          <w:b/>
        </w:rPr>
        <w:t xml:space="preserve">Remuneración </w:t>
      </w:r>
      <w:r>
        <w:rPr>
          <w:rFonts w:cs="Arial"/>
          <w:b/>
        </w:rPr>
        <w:t xml:space="preserve">plantas en el despacho ideal </w:t>
      </w:r>
      <w:r w:rsidR="00B127D5">
        <w:rPr>
          <w:rFonts w:cs="Arial"/>
          <w:b/>
        </w:rPr>
        <w:t xml:space="preserve">cuando el </w:t>
      </w:r>
      <w:r w:rsidR="00A51324">
        <w:rPr>
          <w:rFonts w:cs="Arial"/>
          <w:b/>
        </w:rPr>
        <w:t>PBN es mayor que el PEA</w:t>
      </w:r>
    </w:p>
    <w:p w14:paraId="211B395A" w14:textId="0DFC4E8E" w:rsidR="00D93435" w:rsidRPr="00D93435" w:rsidRDefault="00D93435" w:rsidP="00D93435">
      <w:pPr>
        <w:spacing w:before="240" w:after="240"/>
        <w:rPr>
          <w:szCs w:val="24"/>
        </w:rPr>
      </w:pPr>
      <w:r w:rsidRPr="00D93435">
        <w:rPr>
          <w:bCs/>
          <w:szCs w:val="24"/>
          <w:lang w:val="es-ES"/>
        </w:rPr>
        <w:t xml:space="preserve">Durante la aplicación de lo señalado </w:t>
      </w:r>
      <w:r w:rsidR="00646481">
        <w:rPr>
          <w:bCs/>
          <w:szCs w:val="24"/>
          <w:lang w:val="es-ES"/>
        </w:rPr>
        <w:t xml:space="preserve">anterior, </w:t>
      </w:r>
      <w:r w:rsidRPr="00D93435">
        <w:rPr>
          <w:bCs/>
          <w:szCs w:val="24"/>
          <w:lang w:val="es-ES"/>
        </w:rPr>
        <w:t xml:space="preserve">se seguirán las siguientes reglas </w:t>
      </w:r>
      <w:r w:rsidR="00646481">
        <w:rPr>
          <w:bCs/>
          <w:szCs w:val="24"/>
          <w:lang w:val="es-ES"/>
        </w:rPr>
        <w:t>cuando se ejerzan las OEF</w:t>
      </w:r>
      <w:r w:rsidRPr="00D93435">
        <w:rPr>
          <w:bCs/>
          <w:szCs w:val="24"/>
          <w:lang w:val="es-ES"/>
        </w:rPr>
        <w:t>:</w:t>
      </w:r>
    </w:p>
    <w:p w14:paraId="02B413EA" w14:textId="0E4E2C2B" w:rsidR="00A12829" w:rsidRPr="00400814" w:rsidRDefault="00A373D3" w:rsidP="00A12829">
      <w:pPr>
        <w:pStyle w:val="Prrafodelista"/>
        <w:numPr>
          <w:ilvl w:val="0"/>
          <w:numId w:val="21"/>
        </w:numPr>
        <w:spacing w:before="240" w:after="240"/>
        <w:rPr>
          <w:b/>
          <w:bCs/>
          <w:szCs w:val="24"/>
        </w:rPr>
      </w:pPr>
      <w:r w:rsidRPr="00400814">
        <w:rPr>
          <w:bCs/>
          <w:szCs w:val="24"/>
        </w:rPr>
        <w:t xml:space="preserve">Las </w:t>
      </w:r>
      <w:r>
        <w:rPr>
          <w:bCs/>
          <w:szCs w:val="24"/>
        </w:rPr>
        <w:t>Obligaciones</w:t>
      </w:r>
      <w:r w:rsidR="00A12829">
        <w:rPr>
          <w:bCs/>
          <w:szCs w:val="24"/>
        </w:rPr>
        <w:t xml:space="preserve"> de Energía Firme- </w:t>
      </w:r>
      <w:r w:rsidR="00A12829" w:rsidRPr="00400814">
        <w:rPr>
          <w:bCs/>
          <w:szCs w:val="24"/>
        </w:rPr>
        <w:t>OEF</w:t>
      </w:r>
      <w:r w:rsidR="00A12829">
        <w:rPr>
          <w:bCs/>
          <w:szCs w:val="24"/>
        </w:rPr>
        <w:t>-</w:t>
      </w:r>
      <w:r w:rsidR="00A12829" w:rsidRPr="00400814">
        <w:rPr>
          <w:bCs/>
          <w:szCs w:val="24"/>
        </w:rPr>
        <w:t xml:space="preserve"> serán exigibles a cada generador con obligaciones con el cargo por confiabilidad, cuando el precio bolsa nacional (PBN) sea superior al precio de escasez de activación</w:t>
      </w:r>
      <w:r w:rsidR="00A12829">
        <w:rPr>
          <w:bCs/>
          <w:szCs w:val="24"/>
        </w:rPr>
        <w:t xml:space="preserve"> (PEA)</w:t>
      </w:r>
      <w:r w:rsidR="00A12829" w:rsidRPr="00400814">
        <w:rPr>
          <w:bCs/>
          <w:szCs w:val="24"/>
        </w:rPr>
        <w:t>.</w:t>
      </w:r>
    </w:p>
    <w:p w14:paraId="516C98D3" w14:textId="77777777" w:rsidR="00A12829" w:rsidRPr="00400814" w:rsidRDefault="00A12829" w:rsidP="00A12829">
      <w:pPr>
        <w:pStyle w:val="Prrafodelista"/>
        <w:numPr>
          <w:ilvl w:val="0"/>
          <w:numId w:val="21"/>
        </w:numPr>
        <w:spacing w:before="240" w:after="240"/>
        <w:rPr>
          <w:b/>
          <w:bCs/>
          <w:szCs w:val="24"/>
        </w:rPr>
      </w:pPr>
      <w:r w:rsidRPr="00400814">
        <w:rPr>
          <w:bCs/>
          <w:szCs w:val="24"/>
        </w:rPr>
        <w:t>Las desviaciones de OEF serán liquidadas de acuerdo con las reglas de las Resolución CREG 071 de 2006, considerando el PBN.</w:t>
      </w:r>
    </w:p>
    <w:p w14:paraId="4E2FC5EC" w14:textId="77777777" w:rsidR="00A12829" w:rsidRPr="00400814" w:rsidRDefault="00A12829" w:rsidP="00A12829">
      <w:pPr>
        <w:pStyle w:val="Prrafodelista"/>
        <w:numPr>
          <w:ilvl w:val="0"/>
          <w:numId w:val="21"/>
        </w:numPr>
        <w:spacing w:before="240" w:after="240"/>
        <w:rPr>
          <w:b/>
          <w:szCs w:val="24"/>
        </w:rPr>
      </w:pPr>
      <w:r w:rsidRPr="00400814">
        <w:rPr>
          <w:szCs w:val="24"/>
        </w:rPr>
        <w:t>Las transacciones del mercado nacional se liquida</w:t>
      </w:r>
      <w:r>
        <w:rPr>
          <w:szCs w:val="24"/>
        </w:rPr>
        <w:t>rán</w:t>
      </w:r>
      <w:r w:rsidRPr="00400814">
        <w:rPr>
          <w:szCs w:val="24"/>
        </w:rPr>
        <w:t xml:space="preserve"> con la variable PBN</w:t>
      </w:r>
      <w:r>
        <w:rPr>
          <w:szCs w:val="24"/>
        </w:rPr>
        <w:t>A</w:t>
      </w:r>
      <w:r w:rsidRPr="00400814">
        <w:rPr>
          <w:szCs w:val="24"/>
        </w:rPr>
        <w:t>.</w:t>
      </w:r>
    </w:p>
    <w:p w14:paraId="19C8D577" w14:textId="77777777" w:rsidR="00A12829" w:rsidRDefault="00A12829" w:rsidP="00A12829">
      <w:pPr>
        <w:pStyle w:val="Prrafodelista"/>
        <w:numPr>
          <w:ilvl w:val="0"/>
          <w:numId w:val="21"/>
        </w:numPr>
        <w:spacing w:before="240" w:after="240"/>
        <w:rPr>
          <w:b/>
          <w:szCs w:val="24"/>
        </w:rPr>
      </w:pPr>
      <w:r>
        <w:rPr>
          <w:bCs/>
          <w:szCs w:val="24"/>
        </w:rPr>
        <w:t>Para las transacciones de compra y venta en la bolsa que se realicen durante las horas en las cuales el PBN supera el PEA, l</w:t>
      </w:r>
      <w:r w:rsidRPr="00EE5CA7">
        <w:rPr>
          <w:bCs/>
          <w:szCs w:val="24"/>
        </w:rPr>
        <w:t>a diferencia entre la remuneración al precio de escasez ponderado (PEp) y la remuneración a la variable PBNA</w:t>
      </w:r>
      <w:r>
        <w:rPr>
          <w:bCs/>
          <w:szCs w:val="24"/>
        </w:rPr>
        <w:t xml:space="preserve">, </w:t>
      </w:r>
      <w:r w:rsidRPr="00EE5CA7">
        <w:rPr>
          <w:bCs/>
          <w:szCs w:val="24"/>
        </w:rPr>
        <w:t xml:space="preserve">será </w:t>
      </w:r>
      <w:r w:rsidRPr="00EE5CA7">
        <w:rPr>
          <w:szCs w:val="24"/>
        </w:rPr>
        <w:t>asignada al componente de restricciones del Costo Unitario de prestación del servicio,</w:t>
      </w:r>
      <w:r>
        <w:rPr>
          <w:szCs w:val="24"/>
        </w:rPr>
        <w:t xml:space="preserve"> como lo establece la</w:t>
      </w:r>
      <w:r w:rsidRPr="00EE5CA7">
        <w:rPr>
          <w:szCs w:val="24"/>
        </w:rPr>
        <w:t xml:space="preserve"> Resolución CREG 119 de 2007, a prorrata de la demanda comercial.</w:t>
      </w:r>
    </w:p>
    <w:p w14:paraId="48B1EAD4" w14:textId="77777777" w:rsidR="00A12829" w:rsidRPr="009E470E" w:rsidRDefault="00A12829" w:rsidP="00A12829">
      <w:pPr>
        <w:pStyle w:val="Prrafodelista"/>
        <w:numPr>
          <w:ilvl w:val="0"/>
          <w:numId w:val="21"/>
        </w:numPr>
        <w:spacing w:before="240" w:after="240"/>
        <w:rPr>
          <w:b/>
          <w:szCs w:val="24"/>
        </w:rPr>
      </w:pPr>
      <w:r w:rsidRPr="00400814">
        <w:rPr>
          <w:szCs w:val="24"/>
        </w:rPr>
        <w:t>Las demás reglas del cargo serán las previstas en la regulación vigente.</w:t>
      </w:r>
    </w:p>
    <w:p w14:paraId="1328C353" w14:textId="77777777" w:rsidR="002F3061" w:rsidRDefault="002F3061" w:rsidP="002F3061">
      <w:pPr>
        <w:spacing w:before="240" w:after="240"/>
        <w:rPr>
          <w:b/>
          <w:szCs w:val="24"/>
        </w:rPr>
      </w:pPr>
    </w:p>
    <w:p w14:paraId="49A6639B" w14:textId="77777777" w:rsidR="002F3061" w:rsidRPr="002F3061" w:rsidRDefault="002F3061" w:rsidP="002F3061">
      <w:pPr>
        <w:ind w:left="708"/>
        <w:rPr>
          <w:bCs/>
          <w:szCs w:val="24"/>
        </w:rPr>
      </w:pPr>
      <w:r w:rsidRPr="002F3061">
        <w:rPr>
          <w:bCs/>
          <w:szCs w:val="24"/>
        </w:rPr>
        <w:t>En la siguiente ilustraci</w:t>
      </w:r>
      <w:r>
        <w:rPr>
          <w:bCs/>
          <w:szCs w:val="24"/>
        </w:rPr>
        <w:t xml:space="preserve">ón </w:t>
      </w:r>
      <w:r w:rsidRPr="002F3061">
        <w:rPr>
          <w:bCs/>
          <w:szCs w:val="24"/>
        </w:rPr>
        <w:t>se muestran la propuesta para los casos planteados anteriormente</w:t>
      </w:r>
      <w:r>
        <w:rPr>
          <w:bCs/>
          <w:szCs w:val="24"/>
        </w:rPr>
        <w:t>.</w:t>
      </w:r>
    </w:p>
    <w:p w14:paraId="172A6779" w14:textId="15A72D81" w:rsidR="00235311" w:rsidRDefault="00D15FFC" w:rsidP="00235311">
      <w:pPr>
        <w:spacing w:before="240" w:after="240"/>
        <w:ind w:left="708"/>
        <w:rPr>
          <w:b/>
          <w:szCs w:val="24"/>
        </w:rPr>
      </w:pPr>
      <w:r w:rsidRPr="00FC0A69">
        <w:rPr>
          <w:bCs/>
          <w:noProof/>
          <w:szCs w:val="24"/>
        </w:rPr>
        <w:drawing>
          <wp:inline distT="0" distB="0" distL="0" distR="0" wp14:anchorId="49897306" wp14:editId="390E79C2">
            <wp:extent cx="5001370" cy="3097807"/>
            <wp:effectExtent l="0" t="0" r="0" b="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5765"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5005778" cy="3100537"/>
                    </a:xfrm>
                    <a:prstGeom prst="rect">
                      <a:avLst/>
                    </a:prstGeom>
                  </pic:spPr>
                </pic:pic>
              </a:graphicData>
            </a:graphic>
          </wp:inline>
        </w:drawing>
      </w:r>
    </w:p>
    <w:p w14:paraId="15BB6FC3" w14:textId="34F41819" w:rsidR="00D15FFC" w:rsidRPr="00235311" w:rsidRDefault="00750AAC" w:rsidP="009E470E">
      <w:pPr>
        <w:pStyle w:val="Descripcin"/>
        <w:jc w:val="center"/>
      </w:pPr>
      <w:bookmarkStart w:id="52" w:name="_Toc153876880"/>
      <w:r>
        <w:t xml:space="preserve">Ilustración </w:t>
      </w:r>
      <w:r>
        <w:fldChar w:fldCharType="begin"/>
      </w:r>
      <w:r>
        <w:instrText xml:space="preserve"> SEQ Ilustración \* ARABIC </w:instrText>
      </w:r>
      <w:r>
        <w:fldChar w:fldCharType="separate"/>
      </w:r>
      <w:r w:rsidR="004B57FF">
        <w:rPr>
          <w:noProof/>
        </w:rPr>
        <w:t>15</w:t>
      </w:r>
      <w:r>
        <w:fldChar w:fldCharType="end"/>
      </w:r>
      <w:r>
        <w:t>. Caso 2: El PBN mayor que PEA</w:t>
      </w:r>
      <w:bookmarkEnd w:id="52"/>
    </w:p>
    <w:p w14:paraId="2D6C8756" w14:textId="1A4CA787" w:rsidR="00235311" w:rsidRPr="00235311" w:rsidRDefault="00235311" w:rsidP="00235311">
      <w:pPr>
        <w:pStyle w:val="Prrafodelista"/>
        <w:numPr>
          <w:ilvl w:val="0"/>
          <w:numId w:val="18"/>
        </w:numPr>
        <w:rPr>
          <w:b/>
          <w:bCs/>
          <w:szCs w:val="21"/>
        </w:rPr>
      </w:pPr>
      <w:r w:rsidRPr="00235311">
        <w:rPr>
          <w:b/>
          <w:bCs/>
          <w:szCs w:val="21"/>
        </w:rPr>
        <w:t>Transacciones internacionales – TIE</w:t>
      </w:r>
    </w:p>
    <w:p w14:paraId="2A977151" w14:textId="77777777" w:rsidR="00D9572F" w:rsidRDefault="00D9572F" w:rsidP="00235311">
      <w:pPr>
        <w:rPr>
          <w:bCs/>
          <w:szCs w:val="24"/>
        </w:rPr>
      </w:pPr>
    </w:p>
    <w:p w14:paraId="0622F648" w14:textId="71321D35" w:rsidR="00235311" w:rsidRDefault="009D5C87" w:rsidP="00235311">
      <w:pPr>
        <w:rPr>
          <w:bCs/>
          <w:szCs w:val="24"/>
        </w:rPr>
      </w:pPr>
      <w:r w:rsidRPr="00EE5CA7">
        <w:rPr>
          <w:bCs/>
          <w:szCs w:val="24"/>
        </w:rPr>
        <w:t>Las reglas definidas en la Resolución CREG 004 de 2003 para las TIEs no tendrán ninguna modificación</w:t>
      </w:r>
      <w:r w:rsidR="00EA2E81">
        <w:rPr>
          <w:bCs/>
          <w:szCs w:val="24"/>
        </w:rPr>
        <w:t>.</w:t>
      </w:r>
    </w:p>
    <w:p w14:paraId="7A99877B" w14:textId="77777777" w:rsidR="00EA2E81" w:rsidRDefault="00EA2E81" w:rsidP="00235311">
      <w:pPr>
        <w:rPr>
          <w:bCs/>
          <w:szCs w:val="24"/>
        </w:rPr>
      </w:pPr>
    </w:p>
    <w:p w14:paraId="6AA503E5" w14:textId="5BEE5E2A" w:rsidR="001104FE" w:rsidRDefault="008A60A5" w:rsidP="00235311">
      <w:pPr>
        <w:rPr>
          <w:bCs/>
          <w:szCs w:val="24"/>
        </w:rPr>
      </w:pPr>
      <w:r>
        <w:rPr>
          <w:bCs/>
          <w:szCs w:val="24"/>
        </w:rPr>
        <w:t>En las siguientes ilustraciones se muestran la propuesta para los caso</w:t>
      </w:r>
      <w:r w:rsidR="004308EB">
        <w:rPr>
          <w:bCs/>
          <w:szCs w:val="24"/>
        </w:rPr>
        <w:t>s planteados anteriormente: caso 1 el PBN &lt; PEA y el caso 2: el PBN &gt; PEA.</w:t>
      </w:r>
    </w:p>
    <w:p w14:paraId="18C81971" w14:textId="77777777" w:rsidR="004308EB" w:rsidRDefault="004308EB" w:rsidP="00235311">
      <w:pPr>
        <w:rPr>
          <w:bCs/>
          <w:szCs w:val="24"/>
        </w:rPr>
      </w:pPr>
    </w:p>
    <w:p w14:paraId="7B0AE17E" w14:textId="77777777" w:rsidR="002E2AF2" w:rsidRPr="00A946B3" w:rsidRDefault="002E2AF2" w:rsidP="00E61748">
      <w:pPr>
        <w:rPr>
          <w:szCs w:val="21"/>
        </w:rPr>
      </w:pPr>
    </w:p>
    <w:p w14:paraId="4F104AFD" w14:textId="423FC6F9" w:rsidR="00EF11FE" w:rsidRPr="004B43C5" w:rsidRDefault="00EF11FE">
      <w:pPr>
        <w:pStyle w:val="Ttulo1"/>
        <w:numPr>
          <w:ilvl w:val="0"/>
          <w:numId w:val="7"/>
        </w:numPr>
        <w:spacing w:after="0"/>
        <w:ind w:left="431" w:hanging="431"/>
      </w:pPr>
      <w:bookmarkStart w:id="53" w:name="_Toc153876863"/>
      <w:r w:rsidRPr="004B43C5">
        <w:t>ANÁLISIS DE IMPACTO</w:t>
      </w:r>
      <w:bookmarkEnd w:id="53"/>
    </w:p>
    <w:p w14:paraId="09E3C466" w14:textId="01F2351B" w:rsidR="00EF11FE" w:rsidRDefault="00EF11FE" w:rsidP="0038050C">
      <w:pPr>
        <w:rPr>
          <w:szCs w:val="21"/>
        </w:rPr>
      </w:pPr>
    </w:p>
    <w:p w14:paraId="659F0999" w14:textId="09188E26" w:rsidR="00906976" w:rsidRDefault="00D91231" w:rsidP="0038050C">
      <w:pPr>
        <w:rPr>
          <w:szCs w:val="21"/>
        </w:rPr>
      </w:pPr>
      <w:r>
        <w:rPr>
          <w:szCs w:val="21"/>
        </w:rPr>
        <w:t xml:space="preserve">Con respecto a los impactos, </w:t>
      </w:r>
      <w:r w:rsidR="00D02850">
        <w:rPr>
          <w:szCs w:val="21"/>
        </w:rPr>
        <w:t>hacemos un análisis de acuerdo con la actividad en la cadena prestación del servicio de energía eléctrica.</w:t>
      </w:r>
    </w:p>
    <w:p w14:paraId="6101C06C" w14:textId="77777777" w:rsidR="00D02850" w:rsidRDefault="00D02850" w:rsidP="0038050C">
      <w:pPr>
        <w:rPr>
          <w:szCs w:val="21"/>
        </w:rPr>
      </w:pPr>
    </w:p>
    <w:p w14:paraId="1FEA5D6F" w14:textId="68A69157" w:rsidR="00C47C3A" w:rsidRDefault="00E411C4" w:rsidP="00C47C3A">
      <w:pPr>
        <w:pStyle w:val="Prrafodelista"/>
        <w:numPr>
          <w:ilvl w:val="0"/>
          <w:numId w:val="23"/>
        </w:numPr>
        <w:rPr>
          <w:szCs w:val="21"/>
          <w:lang w:val="es-CO"/>
        </w:rPr>
      </w:pPr>
      <w:r w:rsidRPr="00E411C4">
        <w:rPr>
          <w:b/>
          <w:bCs/>
          <w:szCs w:val="21"/>
        </w:rPr>
        <w:t>Generación</w:t>
      </w:r>
      <w:r w:rsidRPr="00E411C4">
        <w:rPr>
          <w:szCs w:val="21"/>
        </w:rPr>
        <w:t>.</w:t>
      </w:r>
      <w:r>
        <w:rPr>
          <w:szCs w:val="21"/>
        </w:rPr>
        <w:t xml:space="preserve"> </w:t>
      </w:r>
      <w:r w:rsidR="00C47C3A" w:rsidRPr="00C47C3A">
        <w:rPr>
          <w:szCs w:val="21"/>
          <w:lang w:val="es-CO"/>
        </w:rPr>
        <w:t xml:space="preserve">Teniendo en cuenta los conceptos de ingresos de los generadores, la propuesta </w:t>
      </w:r>
      <w:r w:rsidR="005B7B65">
        <w:rPr>
          <w:szCs w:val="21"/>
          <w:lang w:val="es-CO"/>
        </w:rPr>
        <w:t xml:space="preserve">podría tener </w:t>
      </w:r>
      <w:r w:rsidR="00C47C3A" w:rsidRPr="00C47C3A">
        <w:rPr>
          <w:szCs w:val="21"/>
          <w:lang w:val="es-CO"/>
        </w:rPr>
        <w:t>los siguientes efectos:</w:t>
      </w:r>
    </w:p>
    <w:p w14:paraId="58BEC604" w14:textId="77777777" w:rsidR="00667050" w:rsidRDefault="00667050" w:rsidP="00667050">
      <w:pPr>
        <w:ind w:left="708"/>
        <w:rPr>
          <w:szCs w:val="21"/>
          <w:lang w:val="es-CO"/>
        </w:rPr>
      </w:pPr>
    </w:p>
    <w:p w14:paraId="4218CAC7" w14:textId="67023736" w:rsidR="000062D5" w:rsidRDefault="00D753FD" w:rsidP="00D753FD">
      <w:pPr>
        <w:ind w:left="708"/>
        <w:jc w:val="center"/>
        <w:rPr>
          <w:szCs w:val="21"/>
          <w:lang w:val="es-CO"/>
        </w:rPr>
      </w:pPr>
      <w:r w:rsidRPr="00D753FD">
        <w:rPr>
          <w:noProof/>
          <w:szCs w:val="21"/>
        </w:rPr>
        <w:lastRenderedPageBreak/>
        <w:drawing>
          <wp:inline distT="0" distB="0" distL="0" distR="0" wp14:anchorId="5B0CF872" wp14:editId="6FC2C384">
            <wp:extent cx="4874150" cy="1350418"/>
            <wp:effectExtent l="0" t="0" r="0" b="0"/>
            <wp:docPr id="2141273404" name="Gráfico 214127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73404"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4879620" cy="1351933"/>
                    </a:xfrm>
                    <a:prstGeom prst="rect">
                      <a:avLst/>
                    </a:prstGeom>
                  </pic:spPr>
                </pic:pic>
              </a:graphicData>
            </a:graphic>
          </wp:inline>
        </w:drawing>
      </w:r>
    </w:p>
    <w:p w14:paraId="237FBF93" w14:textId="77777777" w:rsidR="000062D5" w:rsidRPr="00667050" w:rsidRDefault="000062D5" w:rsidP="00667050">
      <w:pPr>
        <w:ind w:left="708"/>
        <w:rPr>
          <w:szCs w:val="21"/>
          <w:lang w:val="es-CO"/>
        </w:rPr>
      </w:pPr>
    </w:p>
    <w:p w14:paraId="3AA9DDB6" w14:textId="77777777" w:rsidR="00491A0F" w:rsidRDefault="00491A0F" w:rsidP="00491A0F">
      <w:pPr>
        <w:pStyle w:val="Prrafodelista"/>
        <w:numPr>
          <w:ilvl w:val="1"/>
          <w:numId w:val="23"/>
        </w:numPr>
        <w:rPr>
          <w:szCs w:val="21"/>
          <w:lang w:val="es-CO"/>
        </w:rPr>
      </w:pPr>
      <w:r w:rsidRPr="00491A0F">
        <w:rPr>
          <w:szCs w:val="21"/>
          <w:lang w:val="es-CO"/>
        </w:rPr>
        <w:t>Sobre los 6 posibles conceptos de ingresos, la propuesta solamente tendría efecto sobre concepto de venta en bolsa.</w:t>
      </w:r>
    </w:p>
    <w:p w14:paraId="2D04DC3A" w14:textId="77777777" w:rsidR="00A406BD" w:rsidRPr="00A406BD" w:rsidRDefault="00A406BD" w:rsidP="00A406BD">
      <w:pPr>
        <w:ind w:left="1080"/>
        <w:rPr>
          <w:szCs w:val="21"/>
          <w:lang w:val="es-CO"/>
        </w:rPr>
      </w:pPr>
    </w:p>
    <w:p w14:paraId="19A8DD98" w14:textId="77777777" w:rsidR="000F3E6D" w:rsidRPr="000F3E6D" w:rsidRDefault="000F3E6D" w:rsidP="000F3E6D">
      <w:pPr>
        <w:pStyle w:val="Prrafodelista"/>
        <w:numPr>
          <w:ilvl w:val="1"/>
          <w:numId w:val="23"/>
        </w:numPr>
        <w:rPr>
          <w:szCs w:val="21"/>
          <w:lang w:val="es-CO"/>
        </w:rPr>
      </w:pPr>
      <w:r w:rsidRPr="000F3E6D">
        <w:rPr>
          <w:szCs w:val="21"/>
          <w:lang w:val="es-CO"/>
        </w:rPr>
        <w:t>Cuando el PBN &lt; PEA:</w:t>
      </w:r>
    </w:p>
    <w:p w14:paraId="7E49DFB7" w14:textId="1776E985" w:rsidR="000F3E6D" w:rsidRPr="000F3E6D" w:rsidRDefault="000F3E6D" w:rsidP="00F33C1A">
      <w:pPr>
        <w:pStyle w:val="Prrafodelista"/>
        <w:numPr>
          <w:ilvl w:val="2"/>
          <w:numId w:val="23"/>
        </w:numPr>
        <w:ind w:left="1701" w:hanging="283"/>
        <w:rPr>
          <w:szCs w:val="21"/>
          <w:lang w:val="es-CO"/>
        </w:rPr>
      </w:pPr>
      <w:r w:rsidRPr="000F3E6D">
        <w:rPr>
          <w:szCs w:val="21"/>
          <w:lang w:val="es-CO"/>
        </w:rPr>
        <w:t xml:space="preserve">Las plantas con ofertas menores al PBNA (532 $/kWh) se les disminuye la renta inframarginal. Es decir, </w:t>
      </w:r>
      <w:r w:rsidR="00AF2E4D">
        <w:rPr>
          <w:szCs w:val="21"/>
          <w:lang w:val="es-CO"/>
        </w:rPr>
        <w:t xml:space="preserve">pueden disminuir </w:t>
      </w:r>
      <w:r w:rsidRPr="000F3E6D">
        <w:rPr>
          <w:szCs w:val="21"/>
          <w:lang w:val="es-CO"/>
        </w:rPr>
        <w:t xml:space="preserve">las expectativas de ganancia. </w:t>
      </w:r>
    </w:p>
    <w:p w14:paraId="731864F7" w14:textId="77777777" w:rsidR="000F3E6D" w:rsidRDefault="000F3E6D" w:rsidP="00F33C1A">
      <w:pPr>
        <w:pStyle w:val="Prrafodelista"/>
        <w:numPr>
          <w:ilvl w:val="2"/>
          <w:numId w:val="23"/>
        </w:numPr>
        <w:ind w:left="1701" w:hanging="283"/>
        <w:rPr>
          <w:szCs w:val="21"/>
          <w:lang w:val="es-CO"/>
        </w:rPr>
      </w:pPr>
      <w:r w:rsidRPr="000F3E6D">
        <w:rPr>
          <w:szCs w:val="21"/>
          <w:lang w:val="es-CO"/>
        </w:rPr>
        <w:t>Las plantas con ofertas superiores al PBNA se les pagan sus costos variables más un margen. Es decir, ninguna planta opera a perdida.</w:t>
      </w:r>
    </w:p>
    <w:p w14:paraId="50E4FBAB" w14:textId="77777777" w:rsidR="00A406BD" w:rsidRPr="00A406BD" w:rsidRDefault="00A406BD" w:rsidP="00A406BD">
      <w:pPr>
        <w:ind w:left="1418"/>
        <w:rPr>
          <w:szCs w:val="21"/>
          <w:lang w:val="es-CO"/>
        </w:rPr>
      </w:pPr>
    </w:p>
    <w:p w14:paraId="7E671224" w14:textId="15DF6124" w:rsidR="00D02850" w:rsidRDefault="00F23615" w:rsidP="00F23615">
      <w:pPr>
        <w:pStyle w:val="Prrafodelista"/>
        <w:numPr>
          <w:ilvl w:val="1"/>
          <w:numId w:val="23"/>
        </w:numPr>
        <w:rPr>
          <w:szCs w:val="21"/>
          <w:lang w:val="es-CO"/>
        </w:rPr>
      </w:pPr>
      <w:r w:rsidRPr="00F23615">
        <w:rPr>
          <w:szCs w:val="21"/>
          <w:lang w:val="es-CO"/>
        </w:rPr>
        <w:t>Cuando el PBN &gt; PAE la propuesta mantiene los compromisos del Cargo por Confiabilidad. Es decir, se les paga a los generadores al precio de escasez.</w:t>
      </w:r>
    </w:p>
    <w:p w14:paraId="421AEAB1" w14:textId="77777777" w:rsidR="00C55CB9" w:rsidRPr="00C55CB9" w:rsidRDefault="00C55CB9" w:rsidP="00C55CB9">
      <w:pPr>
        <w:ind w:left="1080"/>
        <w:rPr>
          <w:szCs w:val="21"/>
          <w:lang w:val="es-CO"/>
        </w:rPr>
      </w:pPr>
    </w:p>
    <w:p w14:paraId="33B357BA" w14:textId="0633DED9" w:rsidR="00C55CB9" w:rsidRDefault="00C55CB9" w:rsidP="00C55CB9">
      <w:pPr>
        <w:pStyle w:val="Prrafodelista"/>
        <w:numPr>
          <w:ilvl w:val="0"/>
          <w:numId w:val="23"/>
        </w:numPr>
        <w:rPr>
          <w:szCs w:val="21"/>
          <w:lang w:val="es-CO"/>
        </w:rPr>
      </w:pPr>
      <w:r w:rsidRPr="00667735">
        <w:rPr>
          <w:b/>
          <w:bCs/>
          <w:szCs w:val="21"/>
          <w:lang w:val="es-CO"/>
        </w:rPr>
        <w:t>Comercializadores</w:t>
      </w:r>
      <w:r>
        <w:rPr>
          <w:szCs w:val="21"/>
          <w:lang w:val="es-CO"/>
        </w:rPr>
        <w:t xml:space="preserve">. </w:t>
      </w:r>
      <w:r w:rsidR="003C2820">
        <w:rPr>
          <w:szCs w:val="21"/>
          <w:lang w:val="es-CO"/>
        </w:rPr>
        <w:t xml:space="preserve">De acuerdo con los conceptos de la formula tarifaria definida en la Resolución CREG </w:t>
      </w:r>
      <w:r w:rsidR="000D19CC">
        <w:rPr>
          <w:szCs w:val="21"/>
          <w:lang w:val="es-CO"/>
        </w:rPr>
        <w:t>1</w:t>
      </w:r>
      <w:r w:rsidR="003C2820">
        <w:rPr>
          <w:szCs w:val="21"/>
          <w:lang w:val="es-CO"/>
        </w:rPr>
        <w:t>19 de 2007</w:t>
      </w:r>
      <w:r w:rsidR="005B7B65">
        <w:rPr>
          <w:szCs w:val="21"/>
          <w:lang w:val="es-CO"/>
        </w:rPr>
        <w:t>,</w:t>
      </w:r>
      <w:r w:rsidR="0043631F">
        <w:rPr>
          <w:szCs w:val="21"/>
          <w:lang w:val="es-CO"/>
        </w:rPr>
        <w:t xml:space="preserve"> para aplicación a los usuarios regulados por parte de los comercializadores,</w:t>
      </w:r>
      <w:r w:rsidR="005B7B65">
        <w:rPr>
          <w:szCs w:val="21"/>
          <w:lang w:val="es-CO"/>
        </w:rPr>
        <w:t xml:space="preserve"> la propuesta podría tener los siguientes efectos:</w:t>
      </w:r>
    </w:p>
    <w:p w14:paraId="64BBB272" w14:textId="77777777" w:rsidR="00667735" w:rsidRDefault="00667735" w:rsidP="00667735">
      <w:pPr>
        <w:rPr>
          <w:szCs w:val="21"/>
          <w:lang w:val="es-CO"/>
        </w:rPr>
      </w:pPr>
    </w:p>
    <w:p w14:paraId="235C806A" w14:textId="061E2C75" w:rsidR="007405B4" w:rsidRDefault="00D32152" w:rsidP="007405B4">
      <w:pPr>
        <w:ind w:left="1068"/>
        <w:jc w:val="center"/>
        <w:rPr>
          <w:szCs w:val="21"/>
          <w:lang w:val="es-CO"/>
        </w:rPr>
      </w:pPr>
      <w:r w:rsidRPr="00D32152">
        <w:rPr>
          <w:noProof/>
          <w:szCs w:val="21"/>
        </w:rPr>
        <w:drawing>
          <wp:inline distT="0" distB="0" distL="0" distR="0" wp14:anchorId="4E9C3EA6" wp14:editId="12674DC0">
            <wp:extent cx="4444779" cy="1206761"/>
            <wp:effectExtent l="0" t="0" r="0" b="0"/>
            <wp:docPr id="1874921986" name="Gráfico 187492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21986"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4450445" cy="1208299"/>
                    </a:xfrm>
                    <a:prstGeom prst="rect">
                      <a:avLst/>
                    </a:prstGeom>
                  </pic:spPr>
                </pic:pic>
              </a:graphicData>
            </a:graphic>
          </wp:inline>
        </w:drawing>
      </w:r>
    </w:p>
    <w:p w14:paraId="439EF604" w14:textId="77777777" w:rsidR="007405B4" w:rsidRDefault="007405B4" w:rsidP="00667735">
      <w:pPr>
        <w:rPr>
          <w:szCs w:val="21"/>
          <w:lang w:val="es-CO"/>
        </w:rPr>
      </w:pPr>
    </w:p>
    <w:p w14:paraId="09D67137" w14:textId="77777777" w:rsidR="00667735" w:rsidRPr="00667735" w:rsidRDefault="00667735" w:rsidP="00667735">
      <w:pPr>
        <w:rPr>
          <w:szCs w:val="21"/>
          <w:lang w:val="es-CO"/>
        </w:rPr>
      </w:pPr>
    </w:p>
    <w:p w14:paraId="09750AE5" w14:textId="3C3E8EDB" w:rsidR="003A760F" w:rsidRDefault="00653758" w:rsidP="00EF425A">
      <w:pPr>
        <w:ind w:left="360" w:firstLine="708"/>
        <w:rPr>
          <w:szCs w:val="21"/>
        </w:rPr>
      </w:pPr>
      <w:r w:rsidRPr="00EF425A">
        <w:rPr>
          <w:szCs w:val="21"/>
        </w:rPr>
        <w:t>El impacto la componente R</w:t>
      </w:r>
      <w:r w:rsidR="00F04D27" w:rsidRPr="00EF425A">
        <w:rPr>
          <w:szCs w:val="21"/>
        </w:rPr>
        <w:t xml:space="preserve"> </w:t>
      </w:r>
      <w:r w:rsidR="00445B5B">
        <w:rPr>
          <w:szCs w:val="21"/>
        </w:rPr>
        <w:t>se consideran los siguientes efectos:</w:t>
      </w:r>
    </w:p>
    <w:p w14:paraId="16C91BDC" w14:textId="77777777" w:rsidR="00445B5B" w:rsidRDefault="00445B5B" w:rsidP="00EF425A">
      <w:pPr>
        <w:ind w:left="360" w:firstLine="708"/>
        <w:rPr>
          <w:szCs w:val="21"/>
        </w:rPr>
      </w:pPr>
    </w:p>
    <w:p w14:paraId="2C70E11D" w14:textId="566EC01E" w:rsidR="00445B5B" w:rsidRDefault="00445B5B" w:rsidP="000B2255">
      <w:pPr>
        <w:ind w:left="1066"/>
        <w:rPr>
          <w:szCs w:val="21"/>
        </w:rPr>
      </w:pPr>
      <w:r w:rsidRPr="006E1658">
        <w:rPr>
          <w:b/>
          <w:bCs/>
          <w:szCs w:val="21"/>
        </w:rPr>
        <w:t xml:space="preserve">Caso 1. </w:t>
      </w:r>
      <w:r w:rsidR="009472C8" w:rsidRPr="006E1658">
        <w:rPr>
          <w:b/>
          <w:bCs/>
          <w:szCs w:val="21"/>
        </w:rPr>
        <w:t>PBN &lt; PEA</w:t>
      </w:r>
      <w:r w:rsidR="009472C8">
        <w:rPr>
          <w:szCs w:val="21"/>
        </w:rPr>
        <w:t xml:space="preserve">. Teniendo en cuenta que los análisis energéticos de XM muestran que en la condición de El Niño de requieren entre 80 GWh/día y 90 GWh/día, se </w:t>
      </w:r>
      <w:r w:rsidR="001567F1">
        <w:rPr>
          <w:szCs w:val="21"/>
        </w:rPr>
        <w:t xml:space="preserve">considera que se </w:t>
      </w:r>
      <w:r w:rsidR="003819FE">
        <w:rPr>
          <w:szCs w:val="21"/>
        </w:rPr>
        <w:t>va a</w:t>
      </w:r>
      <w:r w:rsidR="001567F1">
        <w:rPr>
          <w:szCs w:val="21"/>
        </w:rPr>
        <w:t xml:space="preserve"> requerir </w:t>
      </w:r>
      <w:r w:rsidR="00563993">
        <w:rPr>
          <w:szCs w:val="21"/>
        </w:rPr>
        <w:t xml:space="preserve">por </w:t>
      </w:r>
      <w:r w:rsidR="001567F1">
        <w:rPr>
          <w:szCs w:val="21"/>
        </w:rPr>
        <w:t>encima</w:t>
      </w:r>
      <w:r w:rsidR="007F6C7E">
        <w:rPr>
          <w:szCs w:val="21"/>
        </w:rPr>
        <w:t xml:space="preserve"> de carbón </w:t>
      </w:r>
      <w:r w:rsidR="00413E01">
        <w:rPr>
          <w:szCs w:val="21"/>
        </w:rPr>
        <w:t xml:space="preserve">y gas natural nacional 40 GWh de </w:t>
      </w:r>
      <w:r w:rsidR="006E1658">
        <w:rPr>
          <w:szCs w:val="21"/>
        </w:rPr>
        <w:t>plantas con gas natural importado</w:t>
      </w:r>
      <w:r w:rsidR="00763D71">
        <w:rPr>
          <w:szCs w:val="21"/>
        </w:rPr>
        <w:t>, c</w:t>
      </w:r>
      <w:r w:rsidR="0007355F">
        <w:rPr>
          <w:szCs w:val="21"/>
        </w:rPr>
        <w:t>u</w:t>
      </w:r>
      <w:r w:rsidR="00763D71">
        <w:rPr>
          <w:szCs w:val="21"/>
        </w:rPr>
        <w:t xml:space="preserve">yo precio de generación </w:t>
      </w:r>
      <w:r w:rsidR="00E3270A">
        <w:rPr>
          <w:szCs w:val="21"/>
        </w:rPr>
        <w:t xml:space="preserve">se estimó en </w:t>
      </w:r>
      <w:r w:rsidR="00763D71">
        <w:rPr>
          <w:szCs w:val="21"/>
        </w:rPr>
        <w:t>8</w:t>
      </w:r>
      <w:r w:rsidR="00E3270A">
        <w:rPr>
          <w:szCs w:val="21"/>
        </w:rPr>
        <w:t>62</w:t>
      </w:r>
      <w:r w:rsidR="00763D71">
        <w:rPr>
          <w:szCs w:val="21"/>
        </w:rPr>
        <w:t xml:space="preserve"> $/kWh</w:t>
      </w:r>
      <w:r w:rsidR="00756BA6">
        <w:rPr>
          <w:szCs w:val="21"/>
        </w:rPr>
        <w:t>, incluido el margen,</w:t>
      </w:r>
      <w:r w:rsidR="000C5D63">
        <w:rPr>
          <w:szCs w:val="21"/>
        </w:rPr>
        <w:t xml:space="preserve"> </w:t>
      </w:r>
      <w:r w:rsidR="00E3270A">
        <w:rPr>
          <w:szCs w:val="21"/>
        </w:rPr>
        <w:t xml:space="preserve">de acuerdo con </w:t>
      </w:r>
      <w:r w:rsidR="00E3270A">
        <w:rPr>
          <w:szCs w:val="21"/>
        </w:rPr>
        <w:lastRenderedPageBreak/>
        <w:t>información reportada a XM</w:t>
      </w:r>
      <w:r w:rsidR="00763D71">
        <w:rPr>
          <w:szCs w:val="21"/>
        </w:rPr>
        <w:t xml:space="preserve">. </w:t>
      </w:r>
      <w:r w:rsidR="00A26CDB">
        <w:rPr>
          <w:szCs w:val="21"/>
        </w:rPr>
        <w:t xml:space="preserve">Además, se considera una demanda de 220 GWh/día. </w:t>
      </w:r>
      <w:r w:rsidR="00A96854">
        <w:rPr>
          <w:szCs w:val="21"/>
        </w:rPr>
        <w:t>Con esto nos da el siguiente valor en las restricciones:</w:t>
      </w:r>
    </w:p>
    <w:p w14:paraId="2F1E72A0" w14:textId="77777777" w:rsidR="00A26CDB" w:rsidRDefault="00A26CDB" w:rsidP="001567F1">
      <w:pPr>
        <w:ind w:left="1134"/>
        <w:rPr>
          <w:szCs w:val="21"/>
        </w:rPr>
      </w:pPr>
    </w:p>
    <w:p w14:paraId="433AFC4E" w14:textId="71CD2134" w:rsidR="005C4708" w:rsidRDefault="004B57FF" w:rsidP="001567F1">
      <w:pPr>
        <w:ind w:left="1134"/>
        <w:rPr>
          <w:szCs w:val="21"/>
        </w:rPr>
      </w:pPr>
      <m:oMathPara>
        <m:oMath>
          <m:sSub>
            <m:sSubPr>
              <m:ctrlPr>
                <w:rPr>
                  <w:rFonts w:ascii="Cambria Math" w:hAnsi="Cambria Math"/>
                  <w:i/>
                  <w:szCs w:val="21"/>
                </w:rPr>
              </m:ctrlPr>
            </m:sSubPr>
            <m:e>
              <m:r>
                <w:rPr>
                  <w:rFonts w:ascii="Cambria Math" w:hAnsi="Cambria Math"/>
                  <w:szCs w:val="21"/>
                </w:rPr>
                <m:t>R</m:t>
              </m:r>
            </m:e>
            <m:sub>
              <m:r>
                <w:rPr>
                  <w:rFonts w:ascii="Cambria Math" w:hAnsi="Cambria Math"/>
                  <w:szCs w:val="21"/>
                </w:rPr>
                <m:t>caso</m:t>
              </m:r>
              <m:r>
                <w:rPr>
                  <w:rFonts w:ascii="Cambria Math" w:hAnsi="Cambria Math"/>
                  <w:szCs w:val="21"/>
                </w:rPr>
                <m:t>1</m:t>
              </m:r>
            </m:sub>
          </m:sSub>
          <m:r>
            <w:rPr>
              <w:rFonts w:ascii="Cambria Math" w:hAnsi="Cambria Math"/>
              <w:szCs w:val="21"/>
            </w:rPr>
            <m:t>=</m:t>
          </m:r>
          <m:f>
            <m:fPr>
              <m:ctrlPr>
                <w:rPr>
                  <w:rFonts w:ascii="Cambria Math" w:hAnsi="Cambria Math"/>
                  <w:i/>
                  <w:szCs w:val="21"/>
                </w:rPr>
              </m:ctrlPr>
            </m:fPr>
            <m:num>
              <m:d>
                <m:dPr>
                  <m:ctrlPr>
                    <w:rPr>
                      <w:rFonts w:ascii="Cambria Math" w:hAnsi="Cambria Math"/>
                      <w:i/>
                      <w:szCs w:val="21"/>
                    </w:rPr>
                  </m:ctrlPr>
                </m:dPr>
                <m:e>
                  <m:r>
                    <w:rPr>
                      <w:rFonts w:ascii="Cambria Math" w:hAnsi="Cambria Math"/>
                      <w:szCs w:val="21"/>
                    </w:rPr>
                    <m:t>862-532</m:t>
                  </m:r>
                </m:e>
              </m:d>
              <m:r>
                <w:rPr>
                  <w:rFonts w:ascii="Cambria Math" w:hAnsi="Cambria Math"/>
                  <w:szCs w:val="21"/>
                </w:rPr>
                <m:t>*40×</m:t>
              </m:r>
              <m:sSup>
                <m:sSupPr>
                  <m:ctrlPr>
                    <w:rPr>
                      <w:rFonts w:ascii="Cambria Math" w:hAnsi="Cambria Math"/>
                      <w:i/>
                      <w:szCs w:val="21"/>
                    </w:rPr>
                  </m:ctrlPr>
                </m:sSupPr>
                <m:e>
                  <m:r>
                    <w:rPr>
                      <w:rFonts w:ascii="Cambria Math" w:hAnsi="Cambria Math"/>
                      <w:szCs w:val="21"/>
                    </w:rPr>
                    <m:t>10</m:t>
                  </m:r>
                </m:e>
                <m:sup>
                  <m:r>
                    <w:rPr>
                      <w:rFonts w:ascii="Cambria Math" w:hAnsi="Cambria Math"/>
                      <w:szCs w:val="21"/>
                    </w:rPr>
                    <m:t>6</m:t>
                  </m:r>
                </m:sup>
              </m:sSup>
            </m:num>
            <m:den>
              <m:r>
                <w:rPr>
                  <w:rFonts w:ascii="Cambria Math" w:hAnsi="Cambria Math"/>
                  <w:szCs w:val="21"/>
                </w:rPr>
                <m:t>220 ×</m:t>
              </m:r>
              <m:sSup>
                <m:sSupPr>
                  <m:ctrlPr>
                    <w:rPr>
                      <w:rFonts w:ascii="Cambria Math" w:hAnsi="Cambria Math"/>
                      <w:i/>
                      <w:szCs w:val="21"/>
                    </w:rPr>
                  </m:ctrlPr>
                </m:sSupPr>
                <m:e>
                  <m:r>
                    <w:rPr>
                      <w:rFonts w:ascii="Cambria Math" w:hAnsi="Cambria Math"/>
                      <w:szCs w:val="21"/>
                    </w:rPr>
                    <m:t>10</m:t>
                  </m:r>
                </m:e>
                <m:sup>
                  <m:r>
                    <w:rPr>
                      <w:rFonts w:ascii="Cambria Math" w:hAnsi="Cambria Math"/>
                      <w:szCs w:val="21"/>
                    </w:rPr>
                    <m:t>6</m:t>
                  </m:r>
                </m:sup>
              </m:sSup>
            </m:den>
          </m:f>
          <m:r>
            <w:rPr>
              <w:rFonts w:ascii="Cambria Math" w:hAnsi="Cambria Math"/>
              <w:szCs w:val="21"/>
            </w:rPr>
            <m:t>=60 $/</m:t>
          </m:r>
          <m:r>
            <w:rPr>
              <w:rFonts w:ascii="Cambria Math" w:hAnsi="Cambria Math"/>
              <w:szCs w:val="21"/>
            </w:rPr>
            <m:t>kW</m:t>
          </m:r>
          <m:r>
            <w:rPr>
              <w:rFonts w:ascii="Cambria Math" w:hAnsi="Cambria Math"/>
              <w:szCs w:val="21"/>
            </w:rPr>
            <m:t>h</m:t>
          </m:r>
        </m:oMath>
      </m:oMathPara>
    </w:p>
    <w:p w14:paraId="6FC75A2C" w14:textId="77777777" w:rsidR="005C4708" w:rsidRDefault="005C4708" w:rsidP="001567F1">
      <w:pPr>
        <w:ind w:left="1134"/>
        <w:rPr>
          <w:szCs w:val="21"/>
        </w:rPr>
      </w:pPr>
    </w:p>
    <w:p w14:paraId="13DAF1B6" w14:textId="657FADB7" w:rsidR="00445B5B" w:rsidRDefault="00900B71" w:rsidP="00740131">
      <w:pPr>
        <w:ind w:left="1066"/>
        <w:rPr>
          <w:szCs w:val="21"/>
        </w:rPr>
      </w:pPr>
      <w:r w:rsidRPr="008E7AAC">
        <w:rPr>
          <w:b/>
          <w:bCs/>
          <w:szCs w:val="21"/>
        </w:rPr>
        <w:t>Caso 2. PBN &gt; PEA</w:t>
      </w:r>
      <w:r w:rsidR="009878C7">
        <w:rPr>
          <w:szCs w:val="21"/>
        </w:rPr>
        <w:t xml:space="preserve">. </w:t>
      </w:r>
      <w:r w:rsidR="005F4522">
        <w:rPr>
          <w:szCs w:val="21"/>
        </w:rPr>
        <w:t xml:space="preserve">Teniendo en cuenta que en este caso </w:t>
      </w:r>
      <w:r w:rsidR="0004562E">
        <w:rPr>
          <w:szCs w:val="21"/>
        </w:rPr>
        <w:t>s</w:t>
      </w:r>
      <w:r w:rsidR="005F4522">
        <w:rPr>
          <w:szCs w:val="21"/>
        </w:rPr>
        <w:t xml:space="preserve">e ejercen la OEF y que </w:t>
      </w:r>
      <w:r w:rsidR="000A6FC2">
        <w:rPr>
          <w:szCs w:val="21"/>
        </w:rPr>
        <w:t xml:space="preserve">a los generadores se </w:t>
      </w:r>
      <w:r w:rsidR="008E7AAC">
        <w:rPr>
          <w:szCs w:val="21"/>
        </w:rPr>
        <w:t>le</w:t>
      </w:r>
      <w:r w:rsidR="000A6FC2">
        <w:rPr>
          <w:szCs w:val="21"/>
        </w:rPr>
        <w:t xml:space="preserve"> paga al precio de escasez ponderado</w:t>
      </w:r>
      <w:r w:rsidR="00A56E40">
        <w:rPr>
          <w:szCs w:val="21"/>
        </w:rPr>
        <w:t xml:space="preserve"> PEp</w:t>
      </w:r>
      <w:r w:rsidR="000A6FC2">
        <w:rPr>
          <w:szCs w:val="21"/>
        </w:rPr>
        <w:t xml:space="preserve">, </w:t>
      </w:r>
      <w:r w:rsidR="00031646">
        <w:rPr>
          <w:szCs w:val="21"/>
        </w:rPr>
        <w:t>para lo cual tomamos el valor máximo que e</w:t>
      </w:r>
      <w:r w:rsidR="00A56E40">
        <w:rPr>
          <w:szCs w:val="21"/>
        </w:rPr>
        <w:t>s</w:t>
      </w:r>
      <w:r w:rsidR="00031646">
        <w:rPr>
          <w:szCs w:val="21"/>
        </w:rPr>
        <w:t xml:space="preserve"> PME = PEA, </w:t>
      </w:r>
      <w:r w:rsidR="00257179">
        <w:rPr>
          <w:szCs w:val="21"/>
        </w:rPr>
        <w:t xml:space="preserve">y que la contratación </w:t>
      </w:r>
      <w:r w:rsidR="005F7D46">
        <w:rPr>
          <w:szCs w:val="21"/>
        </w:rPr>
        <w:t xml:space="preserve">en promedio </w:t>
      </w:r>
      <w:r w:rsidR="00257179">
        <w:rPr>
          <w:szCs w:val="21"/>
        </w:rPr>
        <w:t xml:space="preserve">es del 80%, o sea por bolsa se remunera el 20% de la generación, </w:t>
      </w:r>
      <w:r w:rsidR="008E7AAC">
        <w:rPr>
          <w:szCs w:val="21"/>
        </w:rPr>
        <w:t>las restricciones sería</w:t>
      </w:r>
      <w:r w:rsidR="00257179">
        <w:rPr>
          <w:szCs w:val="21"/>
        </w:rPr>
        <w:t>n</w:t>
      </w:r>
      <w:r w:rsidR="008E7AAC">
        <w:rPr>
          <w:szCs w:val="21"/>
        </w:rPr>
        <w:t>:</w:t>
      </w:r>
    </w:p>
    <w:p w14:paraId="239FD2E7" w14:textId="77777777" w:rsidR="008E7AAC" w:rsidRDefault="008E7AAC" w:rsidP="008E7AAC">
      <w:pPr>
        <w:ind w:left="1134"/>
        <w:rPr>
          <w:szCs w:val="21"/>
        </w:rPr>
      </w:pPr>
    </w:p>
    <w:p w14:paraId="536E03F1" w14:textId="456722A5" w:rsidR="008E7AAC" w:rsidRDefault="004B57FF" w:rsidP="00EF425A">
      <w:pPr>
        <w:ind w:left="360" w:firstLine="708"/>
        <w:rPr>
          <w:szCs w:val="21"/>
        </w:rPr>
      </w:pPr>
      <m:oMathPara>
        <m:oMath>
          <m:sSub>
            <m:sSubPr>
              <m:ctrlPr>
                <w:rPr>
                  <w:rFonts w:ascii="Cambria Math" w:hAnsi="Cambria Math"/>
                  <w:i/>
                  <w:szCs w:val="21"/>
                </w:rPr>
              </m:ctrlPr>
            </m:sSubPr>
            <m:e>
              <m:r>
                <w:rPr>
                  <w:rFonts w:ascii="Cambria Math" w:hAnsi="Cambria Math"/>
                  <w:szCs w:val="21"/>
                </w:rPr>
                <m:t>R</m:t>
              </m:r>
            </m:e>
            <m:sub>
              <m:r>
                <w:rPr>
                  <w:rFonts w:ascii="Cambria Math" w:hAnsi="Cambria Math"/>
                  <w:szCs w:val="21"/>
                </w:rPr>
                <m:t>caso</m:t>
              </m:r>
              <m:r>
                <w:rPr>
                  <w:rFonts w:ascii="Cambria Math" w:hAnsi="Cambria Math"/>
                  <w:szCs w:val="21"/>
                </w:rPr>
                <m:t>2</m:t>
              </m:r>
            </m:sub>
          </m:sSub>
          <m:r>
            <w:rPr>
              <w:rFonts w:ascii="Cambria Math" w:hAnsi="Cambria Math"/>
              <w:szCs w:val="21"/>
            </w:rPr>
            <m:t>=</m:t>
          </m:r>
          <m:f>
            <m:fPr>
              <m:ctrlPr>
                <w:rPr>
                  <w:rFonts w:ascii="Cambria Math" w:hAnsi="Cambria Math"/>
                  <w:i/>
                  <w:szCs w:val="21"/>
                </w:rPr>
              </m:ctrlPr>
            </m:fPr>
            <m:num>
              <m:d>
                <m:dPr>
                  <m:ctrlPr>
                    <w:rPr>
                      <w:rFonts w:ascii="Cambria Math" w:hAnsi="Cambria Math"/>
                      <w:i/>
                      <w:szCs w:val="21"/>
                    </w:rPr>
                  </m:ctrlPr>
                </m:dPr>
                <m:e>
                  <m:r>
                    <w:rPr>
                      <w:rFonts w:ascii="Cambria Math" w:hAnsi="Cambria Math"/>
                      <w:szCs w:val="21"/>
                    </w:rPr>
                    <m:t>1.144-532</m:t>
                  </m:r>
                </m:e>
              </m:d>
              <m:r>
                <w:rPr>
                  <w:rFonts w:ascii="Cambria Math" w:hAnsi="Cambria Math"/>
                  <w:szCs w:val="21"/>
                </w:rPr>
                <m:t>*220×</m:t>
              </m:r>
              <m:sSup>
                <m:sSupPr>
                  <m:ctrlPr>
                    <w:rPr>
                      <w:rFonts w:ascii="Cambria Math" w:hAnsi="Cambria Math"/>
                      <w:i/>
                      <w:szCs w:val="21"/>
                    </w:rPr>
                  </m:ctrlPr>
                </m:sSupPr>
                <m:e>
                  <m:r>
                    <w:rPr>
                      <w:rFonts w:ascii="Cambria Math" w:hAnsi="Cambria Math"/>
                      <w:szCs w:val="21"/>
                    </w:rPr>
                    <m:t>10</m:t>
                  </m:r>
                </m:e>
                <m:sup>
                  <m:r>
                    <w:rPr>
                      <w:rFonts w:ascii="Cambria Math" w:hAnsi="Cambria Math"/>
                      <w:szCs w:val="21"/>
                    </w:rPr>
                    <m:t>6</m:t>
                  </m:r>
                </m:sup>
              </m:sSup>
              <m:r>
                <w:rPr>
                  <w:rFonts w:ascii="Cambria Math" w:hAnsi="Cambria Math"/>
                  <w:szCs w:val="21"/>
                </w:rPr>
                <m:t>*20%</m:t>
              </m:r>
            </m:num>
            <m:den>
              <m:r>
                <w:rPr>
                  <w:rFonts w:ascii="Cambria Math" w:hAnsi="Cambria Math"/>
                  <w:szCs w:val="21"/>
                </w:rPr>
                <m:t>220 ×</m:t>
              </m:r>
              <m:sSup>
                <m:sSupPr>
                  <m:ctrlPr>
                    <w:rPr>
                      <w:rFonts w:ascii="Cambria Math" w:hAnsi="Cambria Math"/>
                      <w:i/>
                      <w:szCs w:val="21"/>
                    </w:rPr>
                  </m:ctrlPr>
                </m:sSupPr>
                <m:e>
                  <m:r>
                    <w:rPr>
                      <w:rFonts w:ascii="Cambria Math" w:hAnsi="Cambria Math"/>
                      <w:szCs w:val="21"/>
                    </w:rPr>
                    <m:t>10</m:t>
                  </m:r>
                </m:e>
                <m:sup>
                  <m:r>
                    <w:rPr>
                      <w:rFonts w:ascii="Cambria Math" w:hAnsi="Cambria Math"/>
                      <w:szCs w:val="21"/>
                    </w:rPr>
                    <m:t>6</m:t>
                  </m:r>
                </m:sup>
              </m:sSup>
            </m:den>
          </m:f>
          <m:r>
            <w:rPr>
              <w:rFonts w:ascii="Cambria Math" w:hAnsi="Cambria Math"/>
              <w:szCs w:val="21"/>
            </w:rPr>
            <m:t>=122 $/</m:t>
          </m:r>
          <m:r>
            <w:rPr>
              <w:rFonts w:ascii="Cambria Math" w:hAnsi="Cambria Math"/>
              <w:szCs w:val="21"/>
            </w:rPr>
            <m:t>kW</m:t>
          </m:r>
          <m:r>
            <w:rPr>
              <w:rFonts w:ascii="Cambria Math" w:hAnsi="Cambria Math"/>
              <w:szCs w:val="21"/>
            </w:rPr>
            <m:t>h</m:t>
          </m:r>
        </m:oMath>
      </m:oMathPara>
    </w:p>
    <w:p w14:paraId="3B3D34ED" w14:textId="77777777" w:rsidR="008E7AAC" w:rsidRPr="00EF425A" w:rsidRDefault="008E7AAC" w:rsidP="00EF425A">
      <w:pPr>
        <w:ind w:left="360" w:firstLine="708"/>
        <w:rPr>
          <w:szCs w:val="21"/>
        </w:rPr>
      </w:pPr>
    </w:p>
    <w:p w14:paraId="4BC28EC0" w14:textId="77777777" w:rsidR="005C2570" w:rsidRDefault="005C2570" w:rsidP="003A760F">
      <w:pPr>
        <w:pStyle w:val="Prrafodelista"/>
        <w:rPr>
          <w:szCs w:val="21"/>
        </w:rPr>
      </w:pPr>
    </w:p>
    <w:p w14:paraId="0959B16A" w14:textId="6E34C353" w:rsidR="00BA44A8" w:rsidRDefault="007D357C" w:rsidP="003A760F">
      <w:pPr>
        <w:pStyle w:val="Prrafodelista"/>
        <w:rPr>
          <w:szCs w:val="21"/>
        </w:rPr>
      </w:pPr>
      <w:r>
        <w:rPr>
          <w:szCs w:val="21"/>
        </w:rPr>
        <w:t xml:space="preserve">Para evaluar </w:t>
      </w:r>
      <w:r w:rsidR="003D6157">
        <w:rPr>
          <w:szCs w:val="21"/>
        </w:rPr>
        <w:t xml:space="preserve">el impacto de </w:t>
      </w:r>
      <w:r>
        <w:rPr>
          <w:szCs w:val="21"/>
        </w:rPr>
        <w:t>las alternativa</w:t>
      </w:r>
      <w:r w:rsidR="00A35F8D">
        <w:rPr>
          <w:szCs w:val="21"/>
        </w:rPr>
        <w:t>s</w:t>
      </w:r>
      <w:r>
        <w:rPr>
          <w:szCs w:val="21"/>
        </w:rPr>
        <w:t xml:space="preserve"> planteadas </w:t>
      </w:r>
      <w:r w:rsidR="003D6157">
        <w:rPr>
          <w:szCs w:val="21"/>
        </w:rPr>
        <w:t>a nivel de los comercializ</w:t>
      </w:r>
      <w:r w:rsidR="00921065">
        <w:rPr>
          <w:szCs w:val="21"/>
        </w:rPr>
        <w:t>a</w:t>
      </w:r>
      <w:r w:rsidR="003D6157">
        <w:rPr>
          <w:szCs w:val="21"/>
        </w:rPr>
        <w:t>dores y el usu</w:t>
      </w:r>
      <w:r w:rsidR="00062317">
        <w:rPr>
          <w:szCs w:val="21"/>
        </w:rPr>
        <w:t xml:space="preserve">ario final </w:t>
      </w:r>
      <w:r w:rsidR="00C1512C">
        <w:rPr>
          <w:szCs w:val="21"/>
        </w:rPr>
        <w:t>se consideran los siguiente</w:t>
      </w:r>
      <w:r w:rsidR="001651E6">
        <w:rPr>
          <w:szCs w:val="21"/>
        </w:rPr>
        <w:t>s</w:t>
      </w:r>
      <w:r w:rsidR="00C1512C">
        <w:rPr>
          <w:szCs w:val="21"/>
        </w:rPr>
        <w:t xml:space="preserve"> supu</w:t>
      </w:r>
      <w:r w:rsidR="001651E6">
        <w:rPr>
          <w:szCs w:val="21"/>
        </w:rPr>
        <w:t>es</w:t>
      </w:r>
      <w:r w:rsidR="00C1512C">
        <w:rPr>
          <w:szCs w:val="21"/>
        </w:rPr>
        <w:t>tos:</w:t>
      </w:r>
    </w:p>
    <w:p w14:paraId="79714CF1" w14:textId="77777777" w:rsidR="00C1512C" w:rsidRDefault="00C1512C" w:rsidP="003A760F">
      <w:pPr>
        <w:pStyle w:val="Prrafodelista"/>
        <w:rPr>
          <w:szCs w:val="21"/>
        </w:rPr>
      </w:pPr>
    </w:p>
    <w:p w14:paraId="51360CF3" w14:textId="35C784BE" w:rsidR="00C1512C" w:rsidRDefault="004558A7" w:rsidP="00C1512C">
      <w:pPr>
        <w:pStyle w:val="Prrafodelista"/>
        <w:numPr>
          <w:ilvl w:val="1"/>
          <w:numId w:val="9"/>
        </w:numPr>
        <w:rPr>
          <w:szCs w:val="21"/>
        </w:rPr>
      </w:pPr>
      <w:r>
        <w:rPr>
          <w:szCs w:val="21"/>
        </w:rPr>
        <w:t>Exposición a bolsa</w:t>
      </w:r>
      <w:r w:rsidR="00ED71DF">
        <w:rPr>
          <w:szCs w:val="21"/>
        </w:rPr>
        <w:t xml:space="preserve">, </w:t>
      </w:r>
      <w:r>
        <w:rPr>
          <w:szCs w:val="21"/>
        </w:rPr>
        <w:t>contratos</w:t>
      </w:r>
      <w:r w:rsidR="00ED71DF">
        <w:rPr>
          <w:szCs w:val="21"/>
        </w:rPr>
        <w:t xml:space="preserve"> y contratos</w:t>
      </w:r>
      <w:r w:rsidR="005A18DF">
        <w:rPr>
          <w:szCs w:val="21"/>
        </w:rPr>
        <w:t xml:space="preserve"> derivados de la subasta</w:t>
      </w:r>
      <w:r w:rsidR="00ED71DF">
        <w:rPr>
          <w:szCs w:val="21"/>
        </w:rPr>
        <w:t xml:space="preserve"> FNCER</w:t>
      </w:r>
      <w:r>
        <w:rPr>
          <w:szCs w:val="21"/>
        </w:rPr>
        <w:t xml:space="preserve">. Se toma información reportada por los comercializadores al SUI </w:t>
      </w:r>
      <w:r w:rsidR="00006A09">
        <w:rPr>
          <w:szCs w:val="21"/>
        </w:rPr>
        <w:t>para</w:t>
      </w:r>
      <w:r w:rsidR="00BD5705">
        <w:rPr>
          <w:szCs w:val="21"/>
        </w:rPr>
        <w:t xml:space="preserve"> el mes de noviembre</w:t>
      </w:r>
      <w:r w:rsidR="00CF50F3">
        <w:rPr>
          <w:szCs w:val="21"/>
        </w:rPr>
        <w:t>, tal como se muestra en la siguiente ilustración.</w:t>
      </w:r>
    </w:p>
    <w:p w14:paraId="5D0E2AB8" w14:textId="10894FBB" w:rsidR="00CF50F3" w:rsidRPr="004A17F4" w:rsidRDefault="004A17F4" w:rsidP="009E470E">
      <w:pPr>
        <w:jc w:val="center"/>
        <w:rPr>
          <w:szCs w:val="21"/>
        </w:rPr>
      </w:pPr>
      <w:r w:rsidRPr="004A17F4">
        <w:rPr>
          <w:noProof/>
        </w:rPr>
        <w:lastRenderedPageBreak/>
        <w:drawing>
          <wp:inline distT="0" distB="0" distL="0" distR="0" wp14:anchorId="7EC46B0F" wp14:editId="66ED739A">
            <wp:extent cx="4031090" cy="4655834"/>
            <wp:effectExtent l="0" t="0" r="7620" b="0"/>
            <wp:docPr id="14" name="Imagen 13" descr="Gráfico&#10;&#10;Descripción generada automáticamente con confianza baja">
              <a:extLst xmlns:a="http://schemas.openxmlformats.org/drawingml/2006/main">
                <a:ext uri="{FF2B5EF4-FFF2-40B4-BE49-F238E27FC236}">
                  <a16:creationId xmlns:a16="http://schemas.microsoft.com/office/drawing/2014/main" id="{7C8EB58B-5F33-6271-FDBE-5E9CFC26B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Gráfico&#10;&#10;Descripción generada automáticamente con confianza baja">
                      <a:extLst>
                        <a:ext uri="{FF2B5EF4-FFF2-40B4-BE49-F238E27FC236}">
                          <a16:creationId xmlns:a16="http://schemas.microsoft.com/office/drawing/2014/main" id="{7C8EB58B-5F33-6271-FDBE-5E9CFC26BEB8}"/>
                        </a:ext>
                      </a:extLst>
                    </pic:cNvPr>
                    <pic:cNvPicPr>
                      <a:picLocks noChangeAspect="1"/>
                    </pic:cNvPicPr>
                  </pic:nvPicPr>
                  <pic:blipFill>
                    <a:blip r:embed="rId51"/>
                    <a:stretch>
                      <a:fillRect/>
                    </a:stretch>
                  </pic:blipFill>
                  <pic:spPr>
                    <a:xfrm>
                      <a:off x="0" y="0"/>
                      <a:ext cx="4031090" cy="4655834"/>
                    </a:xfrm>
                    <a:prstGeom prst="rect">
                      <a:avLst/>
                    </a:prstGeom>
                  </pic:spPr>
                </pic:pic>
              </a:graphicData>
            </a:graphic>
          </wp:inline>
        </w:drawing>
      </w:r>
    </w:p>
    <w:p w14:paraId="25370989" w14:textId="384A4AAF" w:rsidR="004A17F4" w:rsidRPr="004A17F4" w:rsidRDefault="004A17F4" w:rsidP="009E470E">
      <w:pPr>
        <w:pStyle w:val="Descripcin"/>
        <w:jc w:val="center"/>
        <w:rPr>
          <w:szCs w:val="21"/>
        </w:rPr>
      </w:pPr>
      <w:bookmarkStart w:id="54" w:name="_Toc153876881"/>
      <w:r>
        <w:t xml:space="preserve">Ilustración </w:t>
      </w:r>
      <w:r>
        <w:fldChar w:fldCharType="begin"/>
      </w:r>
      <w:r>
        <w:instrText xml:space="preserve"> SEQ Ilustración \* ARABIC </w:instrText>
      </w:r>
      <w:r>
        <w:fldChar w:fldCharType="separate"/>
      </w:r>
      <w:r w:rsidR="004B57FF">
        <w:rPr>
          <w:noProof/>
        </w:rPr>
        <w:t>16</w:t>
      </w:r>
      <w:r>
        <w:fldChar w:fldCharType="end"/>
      </w:r>
      <w:r>
        <w:t xml:space="preserve">. Porcentaje de compras en bolsa, contratos y </w:t>
      </w:r>
      <w:r w:rsidR="00721369">
        <w:t xml:space="preserve">contratos </w:t>
      </w:r>
      <w:r w:rsidR="002D2117">
        <w:t>CLP</w:t>
      </w:r>
      <w:r>
        <w:t xml:space="preserve"> por comercializador</w:t>
      </w:r>
      <w:bookmarkEnd w:id="54"/>
    </w:p>
    <w:p w14:paraId="481AD648" w14:textId="5699AAB7" w:rsidR="00FD7C40" w:rsidRDefault="00E546E3" w:rsidP="00FD7C40">
      <w:pPr>
        <w:pStyle w:val="Prrafodelista"/>
        <w:numPr>
          <w:ilvl w:val="1"/>
          <w:numId w:val="9"/>
        </w:numPr>
        <w:rPr>
          <w:szCs w:val="21"/>
        </w:rPr>
      </w:pPr>
      <w:r>
        <w:rPr>
          <w:szCs w:val="21"/>
        </w:rPr>
        <w:t>Esc</w:t>
      </w:r>
      <w:r w:rsidR="00F66E7F">
        <w:rPr>
          <w:szCs w:val="21"/>
        </w:rPr>
        <w:t>e</w:t>
      </w:r>
      <w:r>
        <w:rPr>
          <w:szCs w:val="21"/>
        </w:rPr>
        <w:t>n</w:t>
      </w:r>
      <w:r w:rsidR="00F66E7F">
        <w:rPr>
          <w:szCs w:val="21"/>
        </w:rPr>
        <w:t>a</w:t>
      </w:r>
      <w:r>
        <w:rPr>
          <w:szCs w:val="21"/>
        </w:rPr>
        <w:t>rio de precio de bolsa. Se consideran 3 escario e</w:t>
      </w:r>
      <w:r w:rsidR="00BA6076">
        <w:rPr>
          <w:szCs w:val="21"/>
        </w:rPr>
        <w:t xml:space="preserve">l escenario base se </w:t>
      </w:r>
      <w:r w:rsidR="006C4ACC">
        <w:rPr>
          <w:szCs w:val="21"/>
        </w:rPr>
        <w:t xml:space="preserve">denominado PB_base que corresponde </w:t>
      </w:r>
      <w:r w:rsidR="00C30E31">
        <w:rPr>
          <w:szCs w:val="21"/>
        </w:rPr>
        <w:t xml:space="preserve">una media de los precios esperados, </w:t>
      </w:r>
      <w:r w:rsidR="00A16694">
        <w:rPr>
          <w:szCs w:val="21"/>
        </w:rPr>
        <w:t xml:space="preserve">PB_Esc1 corresponde </w:t>
      </w:r>
      <w:r w:rsidR="000F1F20">
        <w:rPr>
          <w:szCs w:val="21"/>
        </w:rPr>
        <w:t>al escenario de precio considerando que la</w:t>
      </w:r>
      <w:r w:rsidR="004E0E3D">
        <w:rPr>
          <w:szCs w:val="21"/>
        </w:rPr>
        <w:t xml:space="preserve"> aplicación de la medida en sus 2 casos</w:t>
      </w:r>
      <w:r w:rsidR="003B208B">
        <w:rPr>
          <w:szCs w:val="21"/>
        </w:rPr>
        <w:t xml:space="preserve">, y finalmente el escenario 3, de menor probabilidad, corresponde al escenario P95 de la </w:t>
      </w:r>
      <w:r w:rsidR="00BF2B80">
        <w:rPr>
          <w:szCs w:val="21"/>
        </w:rPr>
        <w:t>semana 50 de</w:t>
      </w:r>
      <w:r w:rsidR="00E96E2B">
        <w:rPr>
          <w:szCs w:val="21"/>
        </w:rPr>
        <w:t>l análisis energético de mediano plazo adelantado por XM</w:t>
      </w:r>
      <w:r w:rsidR="00FD7C40">
        <w:rPr>
          <w:szCs w:val="21"/>
        </w:rPr>
        <w:t>, tal como presenta en la siguiente ilustración:</w:t>
      </w:r>
    </w:p>
    <w:p w14:paraId="6CE90C89" w14:textId="6CD44A82" w:rsidR="00FD7C40" w:rsidRDefault="00C101E9" w:rsidP="00FD7C40">
      <w:pPr>
        <w:ind w:left="720"/>
        <w:rPr>
          <w:szCs w:val="21"/>
        </w:rPr>
      </w:pPr>
      <w:r w:rsidRPr="00C101E9">
        <w:rPr>
          <w:noProof/>
          <w:szCs w:val="21"/>
        </w:rPr>
        <w:lastRenderedPageBreak/>
        <w:drawing>
          <wp:inline distT="0" distB="0" distL="0" distR="0" wp14:anchorId="273B40F6" wp14:editId="3EF66CF8">
            <wp:extent cx="5972810" cy="2988310"/>
            <wp:effectExtent l="0" t="0" r="8890" b="2540"/>
            <wp:docPr id="26" name="Imagen 25" descr="Gráfico&#10;&#10;Descripción generada automáticamente">
              <a:extLst xmlns:a="http://schemas.openxmlformats.org/drawingml/2006/main">
                <a:ext uri="{FF2B5EF4-FFF2-40B4-BE49-F238E27FC236}">
                  <a16:creationId xmlns:a16="http://schemas.microsoft.com/office/drawing/2014/main" id="{868C0563-2B0B-FEFD-CE37-1F2E8856E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descr="Gráfico&#10;&#10;Descripción generada automáticamente">
                      <a:extLst>
                        <a:ext uri="{FF2B5EF4-FFF2-40B4-BE49-F238E27FC236}">
                          <a16:creationId xmlns:a16="http://schemas.microsoft.com/office/drawing/2014/main" id="{868C0563-2B0B-FEFD-CE37-1F2E8856E30A}"/>
                        </a:ext>
                      </a:extLst>
                    </pic:cNvPr>
                    <pic:cNvPicPr>
                      <a:picLocks noChangeAspect="1"/>
                    </pic:cNvPicPr>
                  </pic:nvPicPr>
                  <pic:blipFill>
                    <a:blip r:embed="rId52"/>
                    <a:stretch>
                      <a:fillRect/>
                    </a:stretch>
                  </pic:blipFill>
                  <pic:spPr>
                    <a:xfrm>
                      <a:off x="0" y="0"/>
                      <a:ext cx="5972810" cy="2988310"/>
                    </a:xfrm>
                    <a:prstGeom prst="rect">
                      <a:avLst/>
                    </a:prstGeom>
                  </pic:spPr>
                </pic:pic>
              </a:graphicData>
            </a:graphic>
          </wp:inline>
        </w:drawing>
      </w:r>
    </w:p>
    <w:p w14:paraId="5268F2EC" w14:textId="5CCCF0A1" w:rsidR="00C101E9" w:rsidRPr="00FD7C40" w:rsidRDefault="00C101E9" w:rsidP="009E470E">
      <w:pPr>
        <w:pStyle w:val="Descripcin"/>
        <w:jc w:val="center"/>
        <w:rPr>
          <w:szCs w:val="21"/>
        </w:rPr>
      </w:pPr>
      <w:bookmarkStart w:id="55" w:name="_Toc153876882"/>
      <w:r>
        <w:t xml:space="preserve">Ilustración </w:t>
      </w:r>
      <w:r>
        <w:fldChar w:fldCharType="begin"/>
      </w:r>
      <w:r>
        <w:instrText xml:space="preserve"> SEQ Ilustración \* ARABIC </w:instrText>
      </w:r>
      <w:r>
        <w:fldChar w:fldCharType="separate"/>
      </w:r>
      <w:r w:rsidR="004B57FF">
        <w:rPr>
          <w:noProof/>
        </w:rPr>
        <w:t>17</w:t>
      </w:r>
      <w:r>
        <w:fldChar w:fldCharType="end"/>
      </w:r>
      <w:r>
        <w:t>. Escenarios de precios de bolsa</w:t>
      </w:r>
      <w:bookmarkEnd w:id="55"/>
    </w:p>
    <w:p w14:paraId="3C0515A4" w14:textId="77777777" w:rsidR="00F66E7F" w:rsidRPr="00F66E7F" w:rsidRDefault="00F66E7F" w:rsidP="009E470E">
      <w:pPr>
        <w:ind w:left="720"/>
        <w:rPr>
          <w:szCs w:val="21"/>
        </w:rPr>
      </w:pPr>
    </w:p>
    <w:p w14:paraId="3C7DC457" w14:textId="0B91EEE9" w:rsidR="007C1627" w:rsidRDefault="0021709A" w:rsidP="00DF7AF0">
      <w:pPr>
        <w:pStyle w:val="Prrafodelista"/>
        <w:numPr>
          <w:ilvl w:val="1"/>
          <w:numId w:val="9"/>
        </w:numPr>
        <w:rPr>
          <w:szCs w:val="21"/>
        </w:rPr>
      </w:pPr>
      <w:r>
        <w:rPr>
          <w:szCs w:val="21"/>
        </w:rPr>
        <w:t>En cuanto indexadores se considera que para el 2024 el IPC y el IPP estarán en 5.7% anual, que corresponde a la encueta publica por el Banco de la República para mes de diciembre</w:t>
      </w:r>
      <w:r w:rsidR="009501B7">
        <w:rPr>
          <w:szCs w:val="21"/>
        </w:rPr>
        <w:t xml:space="preserve"> sobre las expectativas de analistas económico.</w:t>
      </w:r>
    </w:p>
    <w:p w14:paraId="134EF651" w14:textId="304CC899" w:rsidR="00F66EA5" w:rsidRDefault="00445C8C" w:rsidP="00F66EA5">
      <w:pPr>
        <w:pStyle w:val="Prrafodelista"/>
        <w:numPr>
          <w:ilvl w:val="1"/>
          <w:numId w:val="9"/>
        </w:numPr>
        <w:rPr>
          <w:szCs w:val="21"/>
        </w:rPr>
      </w:pPr>
      <w:r>
        <w:rPr>
          <w:szCs w:val="21"/>
        </w:rPr>
        <w:t xml:space="preserve">Crecimiento de demanda corresponde al </w:t>
      </w:r>
      <w:r w:rsidR="00F66EA5">
        <w:rPr>
          <w:szCs w:val="21"/>
        </w:rPr>
        <w:t>definido por la UPME para el escenario medio: 2.6% anual.</w:t>
      </w:r>
    </w:p>
    <w:p w14:paraId="30474709" w14:textId="606C1641" w:rsidR="008173B6" w:rsidRDefault="00F66EA5" w:rsidP="003F1442">
      <w:pPr>
        <w:pStyle w:val="Prrafodelista"/>
        <w:numPr>
          <w:ilvl w:val="1"/>
          <w:numId w:val="9"/>
        </w:numPr>
        <w:rPr>
          <w:szCs w:val="21"/>
        </w:rPr>
      </w:pPr>
      <w:r>
        <w:rPr>
          <w:szCs w:val="21"/>
        </w:rPr>
        <w:t>Aplicación de la medida de</w:t>
      </w:r>
      <w:r w:rsidR="00CC66E2">
        <w:rPr>
          <w:szCs w:val="21"/>
        </w:rPr>
        <w:t xml:space="preserve"> recuperación de saldos acumulados prevista en las Resoluciones CREG 101 028 y 101 029 de 2023.</w:t>
      </w:r>
      <w:r w:rsidR="0085209F">
        <w:rPr>
          <w:szCs w:val="21"/>
        </w:rPr>
        <w:t xml:space="preserve"> Se toma variable COT del documento Creg 901 </w:t>
      </w:r>
      <w:r w:rsidR="007230C6">
        <w:rPr>
          <w:szCs w:val="21"/>
        </w:rPr>
        <w:t>037 de 2023.</w:t>
      </w:r>
    </w:p>
    <w:p w14:paraId="54513903" w14:textId="7890D048" w:rsidR="003F1442" w:rsidRDefault="00BB778E" w:rsidP="003F1442">
      <w:pPr>
        <w:pStyle w:val="Prrafodelista"/>
        <w:numPr>
          <w:ilvl w:val="1"/>
          <w:numId w:val="9"/>
        </w:numPr>
        <w:rPr>
          <w:szCs w:val="21"/>
        </w:rPr>
      </w:pPr>
      <w:r>
        <w:rPr>
          <w:szCs w:val="21"/>
        </w:rPr>
        <w:t xml:space="preserve">Se considera </w:t>
      </w:r>
      <w:r w:rsidR="00780F70">
        <w:rPr>
          <w:szCs w:val="21"/>
        </w:rPr>
        <w:t>que,</w:t>
      </w:r>
      <w:r>
        <w:rPr>
          <w:szCs w:val="21"/>
        </w:rPr>
        <w:t xml:space="preserve"> para el horizonte de análisis, hasta noviembre de 2024, se mantiene el mismo nivel de contratación.</w:t>
      </w:r>
    </w:p>
    <w:p w14:paraId="2B0BA1A9" w14:textId="77777777" w:rsidR="00BB778E" w:rsidRDefault="00BB778E" w:rsidP="00BB778E">
      <w:pPr>
        <w:rPr>
          <w:szCs w:val="21"/>
        </w:rPr>
      </w:pPr>
    </w:p>
    <w:p w14:paraId="3DBB797C" w14:textId="0B04D48E" w:rsidR="00530CED" w:rsidRDefault="00897A04" w:rsidP="00897A04">
      <w:pPr>
        <w:ind w:left="708"/>
        <w:rPr>
          <w:szCs w:val="21"/>
        </w:rPr>
      </w:pPr>
      <w:r>
        <w:rPr>
          <w:szCs w:val="21"/>
        </w:rPr>
        <w:t xml:space="preserve">Con </w:t>
      </w:r>
      <w:r w:rsidR="005127D1">
        <w:rPr>
          <w:szCs w:val="21"/>
        </w:rPr>
        <w:t xml:space="preserve">los anteriores </w:t>
      </w:r>
      <w:r w:rsidR="0085209F">
        <w:rPr>
          <w:szCs w:val="21"/>
        </w:rPr>
        <w:t xml:space="preserve">supuestos se calculó </w:t>
      </w:r>
      <w:r w:rsidR="00930C94">
        <w:rPr>
          <w:szCs w:val="21"/>
        </w:rPr>
        <w:t>la evalu</w:t>
      </w:r>
      <w:r w:rsidR="00000380">
        <w:rPr>
          <w:szCs w:val="21"/>
        </w:rPr>
        <w:t>a</w:t>
      </w:r>
      <w:r w:rsidR="00930C94">
        <w:rPr>
          <w:szCs w:val="21"/>
        </w:rPr>
        <w:t xml:space="preserve">ción de la variable </w:t>
      </w:r>
      <w:r w:rsidR="0085209F">
        <w:rPr>
          <w:szCs w:val="21"/>
        </w:rPr>
        <w:t>AJ</w:t>
      </w:r>
      <w:r w:rsidR="00EA2476">
        <w:rPr>
          <w:szCs w:val="21"/>
        </w:rPr>
        <w:t>, el efecto sobra la componente G,</w:t>
      </w:r>
      <w:r w:rsidR="00930C94">
        <w:rPr>
          <w:szCs w:val="21"/>
        </w:rPr>
        <w:t xml:space="preserve"> y </w:t>
      </w:r>
      <w:r w:rsidR="00C2708D">
        <w:rPr>
          <w:szCs w:val="21"/>
        </w:rPr>
        <w:t xml:space="preserve">sobre el </w:t>
      </w:r>
      <w:r w:rsidR="00930C94">
        <w:rPr>
          <w:szCs w:val="21"/>
        </w:rPr>
        <w:t>CU para cada los comercializadores</w:t>
      </w:r>
      <w:r w:rsidR="00974D8A">
        <w:rPr>
          <w:szCs w:val="21"/>
        </w:rPr>
        <w:t xml:space="preserve"> integrado en 24 mercados</w:t>
      </w:r>
      <w:r w:rsidR="00930C94">
        <w:rPr>
          <w:szCs w:val="21"/>
        </w:rPr>
        <w:t xml:space="preserve">, cuyos resultados agregados son los </w:t>
      </w:r>
      <w:r w:rsidR="00530CED">
        <w:rPr>
          <w:szCs w:val="21"/>
        </w:rPr>
        <w:t>siguientes:</w:t>
      </w:r>
    </w:p>
    <w:p w14:paraId="31EFA934" w14:textId="77777777" w:rsidR="00530CED" w:rsidRDefault="00530CED" w:rsidP="00897A04">
      <w:pPr>
        <w:ind w:left="708"/>
        <w:rPr>
          <w:szCs w:val="21"/>
        </w:rPr>
      </w:pPr>
    </w:p>
    <w:p w14:paraId="6C7905C6" w14:textId="491B288E" w:rsidR="00BB778E" w:rsidRPr="00BB778E" w:rsidRDefault="00930C94" w:rsidP="009E470E">
      <w:pPr>
        <w:ind w:left="708"/>
        <w:rPr>
          <w:szCs w:val="21"/>
        </w:rPr>
      </w:pPr>
      <w:r>
        <w:rPr>
          <w:szCs w:val="21"/>
        </w:rPr>
        <w:t xml:space="preserve"> </w:t>
      </w:r>
      <w:r w:rsidR="0085209F">
        <w:rPr>
          <w:szCs w:val="21"/>
        </w:rPr>
        <w:t xml:space="preserve"> </w:t>
      </w:r>
    </w:p>
    <w:p w14:paraId="0B805547" w14:textId="05015EF7" w:rsidR="00DF7AF0" w:rsidRDefault="001640B1" w:rsidP="001640B1">
      <w:pPr>
        <w:pStyle w:val="Prrafodelista"/>
        <w:jc w:val="center"/>
        <w:rPr>
          <w:szCs w:val="21"/>
        </w:rPr>
      </w:pPr>
      <w:r w:rsidRPr="001640B1">
        <w:rPr>
          <w:noProof/>
          <w:szCs w:val="21"/>
        </w:rPr>
        <w:lastRenderedPageBreak/>
        <w:drawing>
          <wp:inline distT="0" distB="0" distL="0" distR="0" wp14:anchorId="20A4D03F" wp14:editId="3FDA129D">
            <wp:extent cx="4191000" cy="2458274"/>
            <wp:effectExtent l="0" t="0" r="0" b="0"/>
            <wp:docPr id="9" name="Imagen 9" descr="Gráfico, Gráfico de superficie&#10;&#10;Descripción generada automáticamente">
              <a:extLst xmlns:a="http://schemas.openxmlformats.org/drawingml/2006/main">
                <a:ext uri="{FF2B5EF4-FFF2-40B4-BE49-F238E27FC236}">
                  <a16:creationId xmlns:a16="http://schemas.microsoft.com/office/drawing/2014/main" id="{7CBCA89D-05BB-CEFF-78B3-832233AFA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superficie&#10;&#10;Descripción generada automáticamente">
                      <a:extLst>
                        <a:ext uri="{FF2B5EF4-FFF2-40B4-BE49-F238E27FC236}">
                          <a16:creationId xmlns:a16="http://schemas.microsoft.com/office/drawing/2014/main" id="{7CBCA89D-05BB-CEFF-78B3-832233AFA02F}"/>
                        </a:ext>
                      </a:extLst>
                    </pic:cNvPr>
                    <pic:cNvPicPr>
                      <a:picLocks noChangeAspect="1"/>
                    </pic:cNvPicPr>
                  </pic:nvPicPr>
                  <pic:blipFill>
                    <a:blip r:embed="rId53"/>
                    <a:stretch>
                      <a:fillRect/>
                    </a:stretch>
                  </pic:blipFill>
                  <pic:spPr>
                    <a:xfrm>
                      <a:off x="0" y="0"/>
                      <a:ext cx="4197390" cy="2462022"/>
                    </a:xfrm>
                    <a:prstGeom prst="rect">
                      <a:avLst/>
                    </a:prstGeom>
                  </pic:spPr>
                </pic:pic>
              </a:graphicData>
            </a:graphic>
          </wp:inline>
        </w:drawing>
      </w:r>
    </w:p>
    <w:p w14:paraId="1D39A0D7" w14:textId="5332329B" w:rsidR="001640B1" w:rsidRDefault="001640B1" w:rsidP="009E470E">
      <w:pPr>
        <w:pStyle w:val="Descripcin"/>
        <w:jc w:val="center"/>
        <w:rPr>
          <w:szCs w:val="21"/>
        </w:rPr>
      </w:pPr>
      <w:bookmarkStart w:id="56" w:name="_Toc153876883"/>
      <w:r>
        <w:t xml:space="preserve">Ilustración </w:t>
      </w:r>
      <w:r>
        <w:fldChar w:fldCharType="begin"/>
      </w:r>
      <w:r>
        <w:instrText xml:space="preserve"> SEQ Ilustración \* ARABIC </w:instrText>
      </w:r>
      <w:r>
        <w:fldChar w:fldCharType="separate"/>
      </w:r>
      <w:r w:rsidR="004B57FF">
        <w:rPr>
          <w:noProof/>
        </w:rPr>
        <w:t>18</w:t>
      </w:r>
      <w:r>
        <w:fldChar w:fldCharType="end"/>
      </w:r>
      <w:r>
        <w:t>. Comportamiento del AJ para</w:t>
      </w:r>
      <w:r w:rsidR="00D97C17">
        <w:t xml:space="preserve"> los</w:t>
      </w:r>
      <w:r>
        <w:t xml:space="preserve"> escenarios de precios de bolsa descritos</w:t>
      </w:r>
      <w:bookmarkEnd w:id="56"/>
    </w:p>
    <w:p w14:paraId="7330A2BC" w14:textId="77777777" w:rsidR="00DF7AF0" w:rsidRDefault="00DF7AF0" w:rsidP="003A760F">
      <w:pPr>
        <w:pStyle w:val="Prrafodelista"/>
        <w:rPr>
          <w:szCs w:val="21"/>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52"/>
      </w:tblGrid>
      <w:tr w:rsidR="00DD110E" w14:paraId="5F949645" w14:textId="77777777" w:rsidTr="006B4C2F">
        <w:tc>
          <w:tcPr>
            <w:tcW w:w="4698" w:type="dxa"/>
          </w:tcPr>
          <w:p w14:paraId="04A0D4DF" w14:textId="19C5D43C" w:rsidR="00B23926" w:rsidRDefault="008F2755" w:rsidP="003A760F">
            <w:pPr>
              <w:pStyle w:val="Prrafodelista"/>
              <w:ind w:left="0"/>
              <w:rPr>
                <w:szCs w:val="21"/>
              </w:rPr>
            </w:pPr>
            <w:r w:rsidRPr="008F2755">
              <w:rPr>
                <w:noProof/>
                <w:szCs w:val="21"/>
              </w:rPr>
              <w:drawing>
                <wp:inline distT="0" distB="0" distL="0" distR="0" wp14:anchorId="556BC994" wp14:editId="45DF01E9">
                  <wp:extent cx="2758440" cy="1906790"/>
                  <wp:effectExtent l="0" t="0" r="3810" b="0"/>
                  <wp:docPr id="11" name="Imagen 11">
                    <a:extLst xmlns:a="http://schemas.openxmlformats.org/drawingml/2006/main">
                      <a:ext uri="{FF2B5EF4-FFF2-40B4-BE49-F238E27FC236}">
                        <a16:creationId xmlns:a16="http://schemas.microsoft.com/office/drawing/2014/main" id="{6CF1A909-0D3D-62FD-7B7D-7B8C1D677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6CF1A909-0D3D-62FD-7B7D-7B8C1D6778F7}"/>
                              </a:ext>
                            </a:extLst>
                          </pic:cNvPr>
                          <pic:cNvPicPr>
                            <a:picLocks noChangeAspect="1"/>
                          </pic:cNvPicPr>
                        </pic:nvPicPr>
                        <pic:blipFill>
                          <a:blip r:embed="rId54"/>
                          <a:stretch>
                            <a:fillRect/>
                          </a:stretch>
                        </pic:blipFill>
                        <pic:spPr>
                          <a:xfrm>
                            <a:off x="0" y="0"/>
                            <a:ext cx="2780174" cy="1921814"/>
                          </a:xfrm>
                          <a:prstGeom prst="rect">
                            <a:avLst/>
                          </a:prstGeom>
                        </pic:spPr>
                      </pic:pic>
                    </a:graphicData>
                  </a:graphic>
                </wp:inline>
              </w:drawing>
            </w:r>
          </w:p>
        </w:tc>
        <w:tc>
          <w:tcPr>
            <w:tcW w:w="4698" w:type="dxa"/>
          </w:tcPr>
          <w:p w14:paraId="29132C3B" w14:textId="6B528A83" w:rsidR="00B23926" w:rsidRDefault="00DD110E" w:rsidP="003A760F">
            <w:pPr>
              <w:pStyle w:val="Prrafodelista"/>
              <w:ind w:left="0"/>
              <w:rPr>
                <w:szCs w:val="21"/>
              </w:rPr>
            </w:pPr>
            <w:r w:rsidRPr="00DD110E">
              <w:rPr>
                <w:noProof/>
                <w:szCs w:val="21"/>
              </w:rPr>
              <w:drawing>
                <wp:inline distT="0" distB="0" distL="0" distR="0" wp14:anchorId="5898A25F" wp14:editId="7632AD6D">
                  <wp:extent cx="2767104" cy="1919182"/>
                  <wp:effectExtent l="0" t="0" r="0" b="5080"/>
                  <wp:docPr id="12" name="Imagen 12">
                    <a:extLst xmlns:a="http://schemas.openxmlformats.org/drawingml/2006/main">
                      <a:ext uri="{FF2B5EF4-FFF2-40B4-BE49-F238E27FC236}">
                        <a16:creationId xmlns:a16="http://schemas.microsoft.com/office/drawing/2014/main" id="{2593416F-C9D5-9F92-5440-ADBE4D3DA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2593416F-C9D5-9F92-5440-ADBE4D3DA565}"/>
                              </a:ext>
                            </a:extLst>
                          </pic:cNvPr>
                          <pic:cNvPicPr>
                            <a:picLocks noChangeAspect="1"/>
                          </pic:cNvPicPr>
                        </pic:nvPicPr>
                        <pic:blipFill>
                          <a:blip r:embed="rId55"/>
                          <a:stretch>
                            <a:fillRect/>
                          </a:stretch>
                        </pic:blipFill>
                        <pic:spPr>
                          <a:xfrm>
                            <a:off x="0" y="0"/>
                            <a:ext cx="2781213" cy="1928968"/>
                          </a:xfrm>
                          <a:prstGeom prst="rect">
                            <a:avLst/>
                          </a:prstGeom>
                        </pic:spPr>
                      </pic:pic>
                    </a:graphicData>
                  </a:graphic>
                </wp:inline>
              </w:drawing>
            </w:r>
          </w:p>
        </w:tc>
      </w:tr>
    </w:tbl>
    <w:p w14:paraId="1EA6BDA3" w14:textId="0C2F4D00" w:rsidR="00C2708D" w:rsidRDefault="00DD110E" w:rsidP="009E470E">
      <w:pPr>
        <w:pStyle w:val="Descripcin"/>
        <w:jc w:val="center"/>
        <w:rPr>
          <w:szCs w:val="21"/>
        </w:rPr>
      </w:pPr>
      <w:bookmarkStart w:id="57" w:name="_Toc153876884"/>
      <w:r>
        <w:t xml:space="preserve">Ilustración </w:t>
      </w:r>
      <w:r>
        <w:fldChar w:fldCharType="begin"/>
      </w:r>
      <w:r>
        <w:instrText xml:space="preserve"> SEQ Ilustración \* ARABIC </w:instrText>
      </w:r>
      <w:r>
        <w:fldChar w:fldCharType="separate"/>
      </w:r>
      <w:r w:rsidR="004B57FF">
        <w:rPr>
          <w:noProof/>
        </w:rPr>
        <w:t>19</w:t>
      </w:r>
      <w:r>
        <w:fldChar w:fldCharType="end"/>
      </w:r>
      <w:r>
        <w:t xml:space="preserve">. </w:t>
      </w:r>
      <w:r w:rsidR="00993492">
        <w:t xml:space="preserve">Efecto sobre </w:t>
      </w:r>
      <w:r w:rsidR="00BC219A">
        <w:t xml:space="preserve">la componente G para los </w:t>
      </w:r>
      <w:r w:rsidR="003C0092">
        <w:t>escenarios Pb_</w:t>
      </w:r>
      <w:r w:rsidR="00720330">
        <w:t>B</w:t>
      </w:r>
      <w:r w:rsidR="003C0092">
        <w:t>ase y Pb_Esc1</w:t>
      </w:r>
      <w:bookmarkEnd w:id="57"/>
    </w:p>
    <w:p w14:paraId="713916A4" w14:textId="77777777" w:rsidR="00C2708D" w:rsidRDefault="00C2708D" w:rsidP="003A760F">
      <w:pPr>
        <w:pStyle w:val="Prrafodelista"/>
        <w:rPr>
          <w:szCs w:val="21"/>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4"/>
        <w:gridCol w:w="4364"/>
      </w:tblGrid>
      <w:tr w:rsidR="0079519B" w14:paraId="34592EE8" w14:textId="77777777" w:rsidTr="006B4C2F">
        <w:tc>
          <w:tcPr>
            <w:tcW w:w="4698" w:type="dxa"/>
          </w:tcPr>
          <w:p w14:paraId="136DE733" w14:textId="64882666" w:rsidR="00274FE4" w:rsidRDefault="00D62645" w:rsidP="003A760F">
            <w:pPr>
              <w:pStyle w:val="Prrafodelista"/>
              <w:ind w:left="0"/>
              <w:rPr>
                <w:szCs w:val="21"/>
              </w:rPr>
            </w:pPr>
            <w:r>
              <w:rPr>
                <w:noProof/>
              </w:rPr>
              <w:drawing>
                <wp:inline distT="0" distB="0" distL="0" distR="0" wp14:anchorId="7568F8AF" wp14:editId="333D9AFD">
                  <wp:extent cx="2686566" cy="206248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99219" cy="2072194"/>
                          </a:xfrm>
                          <a:prstGeom prst="rect">
                            <a:avLst/>
                          </a:prstGeom>
                          <a:noFill/>
                          <a:ln>
                            <a:noFill/>
                          </a:ln>
                        </pic:spPr>
                      </pic:pic>
                    </a:graphicData>
                  </a:graphic>
                </wp:inline>
              </w:drawing>
            </w:r>
          </w:p>
        </w:tc>
        <w:tc>
          <w:tcPr>
            <w:tcW w:w="4698" w:type="dxa"/>
          </w:tcPr>
          <w:p w14:paraId="7A4B4313" w14:textId="6F704407" w:rsidR="00274FE4" w:rsidRDefault="0079519B" w:rsidP="003A760F">
            <w:pPr>
              <w:pStyle w:val="Prrafodelista"/>
              <w:ind w:left="0"/>
              <w:rPr>
                <w:szCs w:val="21"/>
              </w:rPr>
            </w:pPr>
            <w:r>
              <w:rPr>
                <w:noProof/>
              </w:rPr>
              <w:drawing>
                <wp:inline distT="0" distB="0" distL="0" distR="0" wp14:anchorId="00132EE6" wp14:editId="4C60A8EE">
                  <wp:extent cx="2703789" cy="206248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19327" cy="2074333"/>
                          </a:xfrm>
                          <a:prstGeom prst="rect">
                            <a:avLst/>
                          </a:prstGeom>
                          <a:noFill/>
                          <a:ln>
                            <a:noFill/>
                          </a:ln>
                        </pic:spPr>
                      </pic:pic>
                    </a:graphicData>
                  </a:graphic>
                </wp:inline>
              </w:drawing>
            </w:r>
          </w:p>
        </w:tc>
      </w:tr>
    </w:tbl>
    <w:p w14:paraId="2112FF13" w14:textId="77777777" w:rsidR="00C2708D" w:rsidRDefault="00C2708D" w:rsidP="003A760F">
      <w:pPr>
        <w:pStyle w:val="Prrafodelista"/>
        <w:rPr>
          <w:szCs w:val="21"/>
        </w:rPr>
      </w:pPr>
    </w:p>
    <w:p w14:paraId="21C0DADA" w14:textId="1B23F871" w:rsidR="00F12470" w:rsidRDefault="00B93C7F" w:rsidP="00F12470">
      <w:pPr>
        <w:pStyle w:val="Descripcin"/>
        <w:jc w:val="center"/>
        <w:rPr>
          <w:szCs w:val="21"/>
        </w:rPr>
      </w:pPr>
      <w:bookmarkStart w:id="58" w:name="_Toc153876885"/>
      <w:r>
        <w:t xml:space="preserve">Ilustración </w:t>
      </w:r>
      <w:r>
        <w:fldChar w:fldCharType="begin"/>
      </w:r>
      <w:r>
        <w:instrText xml:space="preserve"> SEQ Ilustración \* ARABIC </w:instrText>
      </w:r>
      <w:r>
        <w:fldChar w:fldCharType="separate"/>
      </w:r>
      <w:r w:rsidR="004B57FF">
        <w:rPr>
          <w:noProof/>
        </w:rPr>
        <w:t>20</w:t>
      </w:r>
      <w:r>
        <w:fldChar w:fldCharType="end"/>
      </w:r>
      <w:r>
        <w:t xml:space="preserve">. </w:t>
      </w:r>
      <w:r w:rsidR="00232642">
        <w:t xml:space="preserve">Comportamiento del CU </w:t>
      </w:r>
      <w:r w:rsidR="00F12470">
        <w:t>para los escenarios Pb_Base y Pb_Esc1</w:t>
      </w:r>
      <w:bookmarkEnd w:id="58"/>
    </w:p>
    <w:p w14:paraId="7C5C4666" w14:textId="7E98B35C" w:rsidR="00550C8C" w:rsidRDefault="00550C8C" w:rsidP="00451DCC">
      <w:pPr>
        <w:pStyle w:val="Descripcin"/>
        <w:jc w:val="center"/>
        <w:rPr>
          <w:i w:val="0"/>
          <w:iCs w:val="0"/>
          <w:sz w:val="24"/>
          <w:szCs w:val="28"/>
        </w:rPr>
      </w:pPr>
    </w:p>
    <w:p w14:paraId="3FE40201" w14:textId="7A991030" w:rsidR="00046205" w:rsidRDefault="00046205" w:rsidP="00046205">
      <w:r>
        <w:t>De acuerdo con lo anteriores análisis podemos concluir:</w:t>
      </w:r>
    </w:p>
    <w:p w14:paraId="2D4EF870" w14:textId="77777777" w:rsidR="00046205" w:rsidRDefault="00046205" w:rsidP="00046205"/>
    <w:p w14:paraId="4DE73410" w14:textId="6AE98B2C" w:rsidR="008D417A" w:rsidRDefault="00503748" w:rsidP="00F32719">
      <w:pPr>
        <w:pStyle w:val="Prrafodelista"/>
        <w:numPr>
          <w:ilvl w:val="0"/>
          <w:numId w:val="28"/>
        </w:numPr>
        <w:rPr>
          <w:szCs w:val="21"/>
          <w:lang w:val="es-CO"/>
        </w:rPr>
      </w:pPr>
      <w:r>
        <w:rPr>
          <w:szCs w:val="21"/>
          <w:lang w:val="es-CO"/>
        </w:rPr>
        <w:t xml:space="preserve">Con la medida </w:t>
      </w:r>
      <w:r w:rsidR="00006E50">
        <w:rPr>
          <w:szCs w:val="21"/>
          <w:lang w:val="es-CO"/>
        </w:rPr>
        <w:t xml:space="preserve">permite </w:t>
      </w:r>
      <w:r w:rsidR="00C70CC7">
        <w:rPr>
          <w:szCs w:val="21"/>
          <w:lang w:val="es-CO"/>
        </w:rPr>
        <w:t xml:space="preserve">mantener la formación la formación de precio en las condiciones de un mercado, </w:t>
      </w:r>
      <w:r w:rsidR="004F76E9">
        <w:rPr>
          <w:szCs w:val="21"/>
          <w:lang w:val="es-CO"/>
        </w:rPr>
        <w:t>bajo las condiciones descritas en el numeral 3.</w:t>
      </w:r>
    </w:p>
    <w:p w14:paraId="01C83796" w14:textId="77777777" w:rsidR="004F76E9" w:rsidRPr="004F76E9" w:rsidRDefault="004F76E9" w:rsidP="009E470E">
      <w:pPr>
        <w:ind w:left="360"/>
        <w:rPr>
          <w:szCs w:val="21"/>
          <w:lang w:val="es-CO"/>
        </w:rPr>
      </w:pPr>
    </w:p>
    <w:p w14:paraId="38515D7E" w14:textId="5F8A7AFC" w:rsidR="006F128B" w:rsidRDefault="00553704" w:rsidP="00F32719">
      <w:pPr>
        <w:pStyle w:val="Prrafodelista"/>
        <w:numPr>
          <w:ilvl w:val="0"/>
          <w:numId w:val="28"/>
        </w:numPr>
        <w:rPr>
          <w:szCs w:val="21"/>
          <w:lang w:val="es-CO"/>
        </w:rPr>
      </w:pPr>
      <w:r>
        <w:rPr>
          <w:szCs w:val="21"/>
          <w:lang w:val="es-CO"/>
        </w:rPr>
        <w:t xml:space="preserve">Sin la aplacación de la medida, si bien no se presentan aumento </w:t>
      </w:r>
      <w:r w:rsidR="006F128B">
        <w:rPr>
          <w:szCs w:val="21"/>
          <w:lang w:val="es-CO"/>
        </w:rPr>
        <w:t>significativo</w:t>
      </w:r>
      <w:r>
        <w:rPr>
          <w:szCs w:val="21"/>
          <w:lang w:val="es-CO"/>
        </w:rPr>
        <w:t xml:space="preserve"> en el CU, el saldo por la aplicación del AJ crece </w:t>
      </w:r>
      <w:r w:rsidR="001722BA">
        <w:rPr>
          <w:szCs w:val="21"/>
          <w:lang w:val="es-CO"/>
        </w:rPr>
        <w:t>en forma acel</w:t>
      </w:r>
      <w:r w:rsidR="004F22F0">
        <w:rPr>
          <w:szCs w:val="21"/>
          <w:lang w:val="es-CO"/>
        </w:rPr>
        <w:t>e</w:t>
      </w:r>
      <w:r w:rsidR="001722BA">
        <w:rPr>
          <w:szCs w:val="21"/>
          <w:lang w:val="es-CO"/>
        </w:rPr>
        <w:t>rada hasta llegar a cerca de 2 Billones</w:t>
      </w:r>
      <w:r w:rsidR="004F22F0">
        <w:rPr>
          <w:szCs w:val="21"/>
          <w:lang w:val="es-CO"/>
        </w:rPr>
        <w:t xml:space="preserve">, exigiendo de manera importante </w:t>
      </w:r>
      <w:r w:rsidR="001502A7">
        <w:rPr>
          <w:szCs w:val="21"/>
          <w:lang w:val="es-CO"/>
        </w:rPr>
        <w:t xml:space="preserve">el flujo de caja de </w:t>
      </w:r>
      <w:r w:rsidR="004F22F0">
        <w:rPr>
          <w:szCs w:val="21"/>
          <w:lang w:val="es-CO"/>
        </w:rPr>
        <w:t>los comercializadores</w:t>
      </w:r>
      <w:r w:rsidR="00820320">
        <w:rPr>
          <w:szCs w:val="21"/>
          <w:lang w:val="es-CO"/>
        </w:rPr>
        <w:t>.</w:t>
      </w:r>
      <w:r w:rsidR="00F32719">
        <w:rPr>
          <w:szCs w:val="21"/>
          <w:lang w:val="es-CO"/>
        </w:rPr>
        <w:t xml:space="preserve"> </w:t>
      </w:r>
      <w:r w:rsidR="00BC40E2">
        <w:rPr>
          <w:szCs w:val="21"/>
          <w:lang w:val="es-CO"/>
        </w:rPr>
        <w:t>Además,</w:t>
      </w:r>
      <w:r w:rsidR="00F32719">
        <w:rPr>
          <w:szCs w:val="21"/>
          <w:lang w:val="es-CO"/>
        </w:rPr>
        <w:t xml:space="preserve"> </w:t>
      </w:r>
      <w:r w:rsidR="00C6196B">
        <w:rPr>
          <w:szCs w:val="21"/>
          <w:lang w:val="es-CO"/>
        </w:rPr>
        <w:t>el</w:t>
      </w:r>
      <w:r w:rsidR="00F32719">
        <w:rPr>
          <w:szCs w:val="21"/>
          <w:lang w:val="es-CO"/>
        </w:rPr>
        <w:t xml:space="preserve"> período de recuperación de los saldos</w:t>
      </w:r>
      <w:r w:rsidR="00C6196B">
        <w:rPr>
          <w:szCs w:val="21"/>
          <w:lang w:val="es-CO"/>
        </w:rPr>
        <w:t xml:space="preserve"> por el AJ</w:t>
      </w:r>
      <w:r w:rsidR="00F32719">
        <w:rPr>
          <w:szCs w:val="21"/>
          <w:lang w:val="es-CO"/>
        </w:rPr>
        <w:t>, en algunos mercado</w:t>
      </w:r>
      <w:r w:rsidR="00C6196B">
        <w:rPr>
          <w:szCs w:val="21"/>
          <w:lang w:val="es-CO"/>
        </w:rPr>
        <w:t>s</w:t>
      </w:r>
      <w:r w:rsidR="00F32719">
        <w:rPr>
          <w:szCs w:val="21"/>
          <w:lang w:val="es-CO"/>
        </w:rPr>
        <w:t>, puede llegar a requerir varios años.</w:t>
      </w:r>
    </w:p>
    <w:p w14:paraId="38A9F0A7" w14:textId="77777777" w:rsidR="00BC40E2" w:rsidRPr="009E470E" w:rsidRDefault="00BC40E2" w:rsidP="009E470E">
      <w:pPr>
        <w:ind w:left="360"/>
        <w:rPr>
          <w:szCs w:val="21"/>
          <w:lang w:val="es-CO"/>
        </w:rPr>
      </w:pPr>
    </w:p>
    <w:p w14:paraId="55A0C739" w14:textId="47B9D3DD" w:rsidR="00D66B7B" w:rsidRPr="009E470E" w:rsidRDefault="00D66B7B" w:rsidP="00D66B7B">
      <w:pPr>
        <w:pStyle w:val="Prrafodelista"/>
        <w:numPr>
          <w:ilvl w:val="0"/>
          <w:numId w:val="28"/>
        </w:numPr>
        <w:rPr>
          <w:szCs w:val="21"/>
          <w:lang w:val="es-CO"/>
        </w:rPr>
      </w:pPr>
      <w:r w:rsidRPr="00D66B7B">
        <w:rPr>
          <w:szCs w:val="21"/>
          <w:lang w:val="es-MX"/>
        </w:rPr>
        <w:t>La medida favorece al comercializador que atiende usuarios regulados porque ayuda a reducir la deuda que tienen estos por el aumento del Precio de bolsa (Variable AJ)</w:t>
      </w:r>
      <w:r w:rsidR="00F56E39">
        <w:rPr>
          <w:szCs w:val="21"/>
          <w:lang w:val="es-MX"/>
        </w:rPr>
        <w:t xml:space="preserve"> mitigando el riesgo sistémico, por lo tanto, garantizando la continuidad en la prestación del servicio.</w:t>
      </w:r>
    </w:p>
    <w:p w14:paraId="7AB8407A" w14:textId="77777777" w:rsidR="00D66B7B" w:rsidRPr="00F56E39" w:rsidRDefault="00D66B7B" w:rsidP="009E470E">
      <w:pPr>
        <w:ind w:left="360"/>
        <w:rPr>
          <w:szCs w:val="21"/>
          <w:lang w:val="es-CO"/>
        </w:rPr>
      </w:pPr>
    </w:p>
    <w:p w14:paraId="1407B279" w14:textId="04D709C5" w:rsidR="00D66B7B" w:rsidRPr="009E470E" w:rsidRDefault="00D66B7B" w:rsidP="00D66B7B">
      <w:pPr>
        <w:pStyle w:val="Prrafodelista"/>
        <w:numPr>
          <w:ilvl w:val="0"/>
          <w:numId w:val="28"/>
        </w:numPr>
        <w:rPr>
          <w:szCs w:val="21"/>
          <w:lang w:val="es-CO"/>
        </w:rPr>
      </w:pPr>
      <w:r w:rsidRPr="00D66B7B">
        <w:rPr>
          <w:szCs w:val="21"/>
          <w:lang w:val="es-MX"/>
        </w:rPr>
        <w:t xml:space="preserve">Se identifica un aumento en el componente de restricciones de todos los usuarios tanto regulados como no regulados </w:t>
      </w:r>
      <w:r w:rsidR="003B17B6">
        <w:rPr>
          <w:szCs w:val="21"/>
          <w:lang w:val="es-MX"/>
        </w:rPr>
        <w:t xml:space="preserve">durante el periodo de aplicación de la medida. Eso para lograr </w:t>
      </w:r>
      <w:r w:rsidR="00D31B12">
        <w:rPr>
          <w:szCs w:val="21"/>
          <w:lang w:val="es-MX"/>
        </w:rPr>
        <w:t xml:space="preserve">un precio de bolsa para transacciones acorde </w:t>
      </w:r>
      <w:r w:rsidR="00A077A8">
        <w:rPr>
          <w:szCs w:val="21"/>
          <w:lang w:val="es-MX"/>
        </w:rPr>
        <w:t xml:space="preserve">con </w:t>
      </w:r>
      <w:r w:rsidR="000F7E90">
        <w:rPr>
          <w:szCs w:val="21"/>
          <w:lang w:val="es-MX"/>
        </w:rPr>
        <w:t>la situación que se presenta y manteniendo las condiciones de suficiencia de los generadores.</w:t>
      </w:r>
    </w:p>
    <w:p w14:paraId="588285BD" w14:textId="77777777" w:rsidR="00D66B7B" w:rsidRPr="000F7E90" w:rsidRDefault="00D66B7B" w:rsidP="009E470E">
      <w:pPr>
        <w:rPr>
          <w:szCs w:val="21"/>
          <w:lang w:val="es-CO"/>
        </w:rPr>
      </w:pPr>
    </w:p>
    <w:p w14:paraId="065685F5" w14:textId="1606C29F" w:rsidR="00D66B7B" w:rsidRPr="00D66B7B" w:rsidRDefault="00D66B7B" w:rsidP="00D66B7B">
      <w:pPr>
        <w:pStyle w:val="Prrafodelista"/>
        <w:numPr>
          <w:ilvl w:val="0"/>
          <w:numId w:val="28"/>
        </w:numPr>
        <w:rPr>
          <w:szCs w:val="21"/>
          <w:lang w:val="es-CO"/>
        </w:rPr>
      </w:pPr>
      <w:r w:rsidRPr="00D66B7B">
        <w:rPr>
          <w:szCs w:val="21"/>
          <w:lang w:val="es-MX"/>
        </w:rPr>
        <w:t xml:space="preserve">Para los que usuarios que tiene altos niveles de contratación, </w:t>
      </w:r>
      <w:r w:rsidR="00E105F2">
        <w:rPr>
          <w:szCs w:val="21"/>
          <w:lang w:val="es-MX"/>
        </w:rPr>
        <w:t xml:space="preserve">el componente G </w:t>
      </w:r>
      <w:r w:rsidR="004C15D9">
        <w:rPr>
          <w:szCs w:val="21"/>
          <w:lang w:val="es-MX"/>
        </w:rPr>
        <w:t>se mantiene</w:t>
      </w:r>
      <w:r w:rsidR="005A6F73">
        <w:rPr>
          <w:szCs w:val="21"/>
          <w:lang w:val="es-MX"/>
        </w:rPr>
        <w:t xml:space="preserve"> </w:t>
      </w:r>
      <w:r w:rsidR="0028098D">
        <w:rPr>
          <w:szCs w:val="21"/>
          <w:lang w:val="es-MX"/>
        </w:rPr>
        <w:t xml:space="preserve">relativamente </w:t>
      </w:r>
      <w:r w:rsidR="005A6F73">
        <w:rPr>
          <w:szCs w:val="21"/>
          <w:lang w:val="es-MX"/>
        </w:rPr>
        <w:t>estable</w:t>
      </w:r>
      <w:r w:rsidR="0028098D">
        <w:rPr>
          <w:szCs w:val="21"/>
          <w:lang w:val="es-MX"/>
        </w:rPr>
        <w:t xml:space="preserve">. Sin embargo, la componente </w:t>
      </w:r>
      <w:r w:rsidR="00EC0641">
        <w:rPr>
          <w:szCs w:val="21"/>
          <w:lang w:val="es-MX"/>
        </w:rPr>
        <w:t xml:space="preserve">de restricciones aumenta, como </w:t>
      </w:r>
      <w:r w:rsidR="00060D8F">
        <w:rPr>
          <w:szCs w:val="21"/>
          <w:lang w:val="es-MX"/>
        </w:rPr>
        <w:t xml:space="preserve">le </w:t>
      </w:r>
      <w:r w:rsidR="002A0FD8">
        <w:rPr>
          <w:szCs w:val="21"/>
          <w:lang w:val="es-MX"/>
        </w:rPr>
        <w:t>va a</w:t>
      </w:r>
      <w:r w:rsidR="00060D8F">
        <w:rPr>
          <w:szCs w:val="21"/>
          <w:lang w:val="es-MX"/>
        </w:rPr>
        <w:t xml:space="preserve"> ocurrir a todos los usuarios para lograr lo señalado </w:t>
      </w:r>
      <w:r w:rsidR="002A0FD8">
        <w:rPr>
          <w:szCs w:val="21"/>
          <w:lang w:val="es-MX"/>
        </w:rPr>
        <w:t xml:space="preserve">en la viñeta </w:t>
      </w:r>
      <w:r w:rsidR="00060D8F">
        <w:rPr>
          <w:szCs w:val="21"/>
          <w:lang w:val="es-MX"/>
        </w:rPr>
        <w:t>anterior.</w:t>
      </w:r>
    </w:p>
    <w:p w14:paraId="4A325787" w14:textId="77777777" w:rsidR="00244BBA" w:rsidRDefault="00244BBA" w:rsidP="003A760F">
      <w:pPr>
        <w:pStyle w:val="Prrafodelista"/>
        <w:rPr>
          <w:szCs w:val="21"/>
        </w:rPr>
      </w:pPr>
    </w:p>
    <w:p w14:paraId="584A9CE4" w14:textId="29E73921" w:rsidR="00685819" w:rsidRDefault="00685819" w:rsidP="00685819">
      <w:pPr>
        <w:rPr>
          <w:szCs w:val="21"/>
        </w:rPr>
      </w:pPr>
      <w:r w:rsidRPr="009E470E">
        <w:rPr>
          <w:szCs w:val="21"/>
        </w:rPr>
        <w:t xml:space="preserve">De </w:t>
      </w:r>
      <w:r w:rsidR="000F47F1">
        <w:rPr>
          <w:szCs w:val="21"/>
        </w:rPr>
        <w:t xml:space="preserve">acuerdo con lo anterior, </w:t>
      </w:r>
      <w:r w:rsidR="00502586">
        <w:rPr>
          <w:szCs w:val="21"/>
        </w:rPr>
        <w:t xml:space="preserve">encontramos </w:t>
      </w:r>
      <w:proofErr w:type="gramStart"/>
      <w:r w:rsidR="00502586">
        <w:rPr>
          <w:szCs w:val="21"/>
        </w:rPr>
        <w:t>que</w:t>
      </w:r>
      <w:proofErr w:type="gramEnd"/>
      <w:r w:rsidR="00502586">
        <w:rPr>
          <w:szCs w:val="21"/>
        </w:rPr>
        <w:t xml:space="preserve"> </w:t>
      </w:r>
      <w:r w:rsidR="002B1100">
        <w:rPr>
          <w:szCs w:val="21"/>
        </w:rPr>
        <w:t xml:space="preserve">en la </w:t>
      </w:r>
      <w:r w:rsidR="001965B2">
        <w:rPr>
          <w:szCs w:val="21"/>
        </w:rPr>
        <w:t>condición</w:t>
      </w:r>
      <w:r w:rsidR="002B1100">
        <w:rPr>
          <w:szCs w:val="21"/>
        </w:rPr>
        <w:t xml:space="preserve"> actual, con la presencia del fenómeno de El Niño 2023-2024 y la situación de los saldos por el AJ, </w:t>
      </w:r>
      <w:r w:rsidR="00FB00DE">
        <w:rPr>
          <w:szCs w:val="21"/>
        </w:rPr>
        <w:t xml:space="preserve">es conveniente </w:t>
      </w:r>
      <w:r w:rsidR="00E02BC5">
        <w:rPr>
          <w:szCs w:val="21"/>
        </w:rPr>
        <w:t xml:space="preserve">adoptar la alternativa </w:t>
      </w:r>
      <w:r w:rsidR="00F715BF">
        <w:rPr>
          <w:szCs w:val="21"/>
        </w:rPr>
        <w:t>descrita en el numeral 6.2.</w:t>
      </w:r>
    </w:p>
    <w:p w14:paraId="63AB17BD" w14:textId="77777777" w:rsidR="00685819" w:rsidRPr="00685819" w:rsidRDefault="00685819" w:rsidP="009E470E">
      <w:pPr>
        <w:rPr>
          <w:szCs w:val="21"/>
        </w:rPr>
      </w:pPr>
    </w:p>
    <w:p w14:paraId="4C9B7F2F" w14:textId="77777777" w:rsidR="006A49D5" w:rsidRPr="003A760F" w:rsidRDefault="006A49D5" w:rsidP="009E470E"/>
    <w:p w14:paraId="1FEF8704" w14:textId="41CDE7DF" w:rsidR="007C7C09" w:rsidRPr="004B43C5" w:rsidRDefault="007C7C09">
      <w:pPr>
        <w:pStyle w:val="Ttulo1"/>
        <w:numPr>
          <w:ilvl w:val="0"/>
          <w:numId w:val="7"/>
        </w:numPr>
        <w:spacing w:after="0"/>
        <w:ind w:left="431" w:hanging="431"/>
      </w:pPr>
      <w:bookmarkStart w:id="59" w:name="_Toc153876864"/>
      <w:r w:rsidRPr="004B43C5">
        <w:t>CONSULTA PÚBL</w:t>
      </w:r>
      <w:r w:rsidR="00DD4DF1" w:rsidRPr="004B43C5">
        <w:t>ICA</w:t>
      </w:r>
      <w:bookmarkEnd w:id="59"/>
    </w:p>
    <w:p w14:paraId="13452271" w14:textId="5E470704" w:rsidR="00DD4DF1" w:rsidRDefault="00DD4DF1" w:rsidP="00DD4DF1"/>
    <w:p w14:paraId="2A14A441" w14:textId="5E452BF5" w:rsidR="00001817" w:rsidRDefault="00001817" w:rsidP="00DD4DF1">
      <w:r>
        <w:t>La presente propuesta regulatoria se presenta para comentarios de los interesados durante un plazo de 5 días calendario desde su publicación en la página web de la CREG.</w:t>
      </w:r>
    </w:p>
    <w:p w14:paraId="47915211" w14:textId="77777777" w:rsidR="00C167C5" w:rsidRDefault="00C167C5" w:rsidP="00DD4DF1">
      <w:pPr>
        <w:rPr>
          <w:lang w:val="es-CO"/>
        </w:rPr>
      </w:pPr>
    </w:p>
    <w:p w14:paraId="4135633D" w14:textId="77777777" w:rsidR="00394D55" w:rsidRPr="00394D55" w:rsidRDefault="00394D55" w:rsidP="00DD4DF1">
      <w:pPr>
        <w:rPr>
          <w:lang w:val="es-CO"/>
        </w:rPr>
      </w:pPr>
    </w:p>
    <w:p w14:paraId="4C85F21F" w14:textId="72177C14" w:rsidR="00836932" w:rsidRPr="004B43C5" w:rsidRDefault="00836932">
      <w:pPr>
        <w:pStyle w:val="Ttulo1"/>
        <w:numPr>
          <w:ilvl w:val="0"/>
          <w:numId w:val="7"/>
        </w:numPr>
        <w:spacing w:after="0"/>
        <w:ind w:left="431" w:hanging="431"/>
      </w:pPr>
      <w:bookmarkStart w:id="60" w:name="_Toc153876865"/>
      <w:r w:rsidRPr="004B43C5">
        <w:t>CONCLUSIONES</w:t>
      </w:r>
      <w:bookmarkEnd w:id="60"/>
    </w:p>
    <w:p w14:paraId="55165B66" w14:textId="77777777" w:rsidR="002201ED" w:rsidRPr="00860821" w:rsidRDefault="002201ED" w:rsidP="002201ED">
      <w:pPr>
        <w:spacing w:before="240" w:after="240"/>
        <w:rPr>
          <w:rFonts w:cs="Arial"/>
        </w:rPr>
      </w:pPr>
      <w:r w:rsidRPr="00860821">
        <w:rPr>
          <w:rFonts w:cs="Arial"/>
        </w:rPr>
        <w:t>El 4 de noviembre de 2023 el Ideam declaró oficialmente el fenómeno de El Niño en el país luego de realizar seguimiento a la temperatura del océano Pacífico y establecer que durante cinco trimestres consecutivos se registraron valores superiores a 0.5 °C.</w:t>
      </w:r>
    </w:p>
    <w:p w14:paraId="55BD47C6" w14:textId="77777777" w:rsidR="002201ED" w:rsidRPr="00860821" w:rsidRDefault="002201ED" w:rsidP="002201ED">
      <w:pPr>
        <w:spacing w:before="240" w:after="240"/>
        <w:rPr>
          <w:rFonts w:cs="Arial"/>
        </w:rPr>
      </w:pPr>
      <w:r w:rsidRPr="00860821">
        <w:rPr>
          <w:rFonts w:cs="Arial"/>
        </w:rPr>
        <w:lastRenderedPageBreak/>
        <w:t>El mercado de generación colombiano es un mercado oligopólico en donde 3 agentes tienen el 65% de la capacidad instalada del sistema. Además, el 6</w:t>
      </w:r>
      <w:r>
        <w:rPr>
          <w:rFonts w:cs="Arial"/>
        </w:rPr>
        <w:t>7</w:t>
      </w:r>
      <w:r w:rsidRPr="00860821">
        <w:rPr>
          <w:rFonts w:cs="Arial"/>
        </w:rPr>
        <w:t xml:space="preserve">% de la capacidad instalada son plantas hidroeléctricas, que entregan al sistema entre el 70% y 80% de la energía requerida para atender la demanda en condiciones normales de aportes. En períodos alta sequía, tales como cuando se presenta el fenómeno de El Niño, las entregas de energía para atender la demanda disminuyen a cerca del 50%. </w:t>
      </w:r>
    </w:p>
    <w:p w14:paraId="59774A19" w14:textId="77777777" w:rsidR="002201ED" w:rsidRPr="00860821" w:rsidRDefault="002201ED" w:rsidP="002201ED">
      <w:pPr>
        <w:spacing w:before="240" w:after="240"/>
        <w:rPr>
          <w:rFonts w:cs="Arial"/>
        </w:rPr>
      </w:pPr>
      <w:r w:rsidRPr="00860821">
        <w:rPr>
          <w:rFonts w:cs="Arial"/>
        </w:rPr>
        <w:t>En el período de sequía, correspondiente al El Niño 2023-2024, la restricción en la oferta muestra que la oferta y la demanda están muy cerca, dado que la demanda ha crecido más de lo esperado, se estima que la demanda ha crecido 2% adicional por encima del escenario medio de la UPME, y se han presentado atrasos en la entrada de los proyectos previstos, en especial los proyectos FNCER que están dependiendo de la subestación colectora en la Guajira.</w:t>
      </w:r>
    </w:p>
    <w:p w14:paraId="506292BF" w14:textId="6530293A" w:rsidR="002201ED" w:rsidRPr="00860821" w:rsidRDefault="002201ED" w:rsidP="002201ED">
      <w:pPr>
        <w:spacing w:before="240" w:after="240"/>
        <w:rPr>
          <w:rFonts w:cs="Arial"/>
        </w:rPr>
      </w:pPr>
      <w:r w:rsidRPr="1E4F8DA7">
        <w:rPr>
          <w:rFonts w:cs="Arial"/>
        </w:rPr>
        <w:t>Teniendo en cuenta lo anterior, la situación de precios en la bolsa ha mostrado una tendencia al alza, como se evidenció en los meses de septiembre y octubre de 2023 en donde los precio en bolsa bordearon el precio de escasez. Lo que ha mostrado la estrechez de la oferta, que de acuerdo con los mercados en competencia p</w:t>
      </w:r>
      <w:r w:rsidR="00EA4405">
        <w:rPr>
          <w:rFonts w:cs="Arial"/>
        </w:rPr>
        <w:t xml:space="preserve">odría </w:t>
      </w:r>
      <w:r w:rsidRPr="1E4F8DA7">
        <w:rPr>
          <w:rFonts w:cs="Arial"/>
        </w:rPr>
        <w:t xml:space="preserve">conllevar a que pudieran presentarse situaciones </w:t>
      </w:r>
      <w:r w:rsidR="00C927B7">
        <w:rPr>
          <w:rFonts w:cs="Arial"/>
        </w:rPr>
        <w:t>de</w:t>
      </w:r>
      <w:r w:rsidRPr="1E4F8DA7">
        <w:rPr>
          <w:rFonts w:cs="Arial"/>
        </w:rPr>
        <w:t xml:space="preserve"> precios ineficientes</w:t>
      </w:r>
      <w:r w:rsidR="00CF18D7">
        <w:rPr>
          <w:rFonts w:cs="Arial"/>
        </w:rPr>
        <w:t>, afectando a los usuarios, lo que es contrario a los mandatos de ley</w:t>
      </w:r>
      <w:r w:rsidRPr="1E4F8DA7">
        <w:rPr>
          <w:rFonts w:cs="Arial"/>
        </w:rPr>
        <w:t>.</w:t>
      </w:r>
    </w:p>
    <w:p w14:paraId="70A49847" w14:textId="77777777" w:rsidR="002201ED" w:rsidRPr="00860821" w:rsidRDefault="002201ED" w:rsidP="002201ED">
      <w:pPr>
        <w:spacing w:before="240" w:after="240"/>
        <w:rPr>
          <w:rFonts w:cs="Arial"/>
        </w:rPr>
      </w:pPr>
      <w:r w:rsidRPr="00860821">
        <w:rPr>
          <w:rFonts w:cs="Arial"/>
        </w:rPr>
        <w:t>Por otro lado, una situación de precios altos en el mercado, que se origine por una incorrecta formación, y considerando el volumen de compras que se realiza en el mercado de corto por los comercializadores que atienden a los usuarios, algunos de los cuales tienen una situación financiera complicada por los saldos acumulados de la opción tarifaria</w:t>
      </w:r>
      <w:r>
        <w:rPr>
          <w:rFonts w:cs="Arial"/>
        </w:rPr>
        <w:t xml:space="preserve"> y el componente AJ del CU</w:t>
      </w:r>
      <w:r w:rsidRPr="00860821">
        <w:rPr>
          <w:rFonts w:cs="Arial"/>
        </w:rPr>
        <w:t>, puede conllevar a un riesgo sistémico que podría afectar la prestación del servicio de energía eléctrica en algunos mercados.</w:t>
      </w:r>
    </w:p>
    <w:p w14:paraId="7572D566" w14:textId="77777777" w:rsidR="002201ED" w:rsidRPr="00860821" w:rsidRDefault="002201ED" w:rsidP="002201ED">
      <w:pPr>
        <w:spacing w:before="240" w:after="240"/>
        <w:rPr>
          <w:rFonts w:cs="Arial"/>
          <w:b/>
          <w:bCs/>
        </w:rPr>
      </w:pPr>
      <w:r w:rsidRPr="00860821">
        <w:rPr>
          <w:rFonts w:cs="Arial"/>
        </w:rPr>
        <w:t>Al respecto, algunos gremios y agentes del sector ante la situación que ha presentado por el efecto combinado de los saldos acumulados y la presencia del fenómeno de El Niño, tales como: Acolgen, Celsia</w:t>
      </w:r>
      <w:r>
        <w:rPr>
          <w:rFonts w:cs="Arial"/>
        </w:rPr>
        <w:t xml:space="preserve"> y CAC</w:t>
      </w:r>
      <w:r w:rsidRPr="00860821">
        <w:rPr>
          <w:rFonts w:cs="Arial"/>
        </w:rPr>
        <w:t>, han propuesto al gobierno y al regulador diferentes medidas como: la recuperación de los saldos acumulados con la opción tarifaria, mecanismo que ya fue previsto en la Resolución CREG 101 028 y CREG 101 029 de 2023, habilitar un mecanismo centralizado y voluntario para la contratación</w:t>
      </w:r>
      <w:r>
        <w:rPr>
          <w:rFonts w:cs="Arial"/>
        </w:rPr>
        <w:t>, se han  presentado propuesta con la Resoluciones CREG 701 020 y 021 de 2023,</w:t>
      </w:r>
      <w:r w:rsidRPr="00860821">
        <w:rPr>
          <w:rFonts w:cs="Arial"/>
        </w:rPr>
        <w:t xml:space="preserve"> y la definición de un tope temporal a los precios en bolsa.</w:t>
      </w:r>
    </w:p>
    <w:p w14:paraId="5171A2C3" w14:textId="78599B46" w:rsidR="002201ED" w:rsidRPr="00900173" w:rsidRDefault="002201ED" w:rsidP="002201ED">
      <w:pPr>
        <w:spacing w:before="240" w:after="240"/>
        <w:rPr>
          <w:rFonts w:cs="Arial"/>
        </w:rPr>
      </w:pPr>
      <w:r w:rsidRPr="00860821">
        <w:rPr>
          <w:rFonts w:cs="Arial"/>
        </w:rPr>
        <w:t xml:space="preserve">Por otra parte, la SSPD en comunicación con radicado 20232204825411 del 8 de diciembre de 2023 hace un recuento del comportamiento del precio de bolsa actual y los fenómenos de El Niño anteriores, y sugiere a la Comisión </w:t>
      </w:r>
      <w:r w:rsidR="00900173">
        <w:rPr>
          <w:rFonts w:cs="Arial"/>
        </w:rPr>
        <w:t xml:space="preserve">que adelante </w:t>
      </w:r>
      <w:r w:rsidRPr="00900173">
        <w:rPr>
          <w:rStyle w:val="ui-provider"/>
          <w:rFonts w:cs="Arial"/>
        </w:rPr>
        <w:t>acciones y propuestas enfocadas en garantizar precios eficientes para el mercado con el fin de garantizar la prestación optima y confiable del servicio de energía eléctrica</w:t>
      </w:r>
      <w:r w:rsidRPr="00900173">
        <w:rPr>
          <w:rFonts w:cs="Arial"/>
        </w:rPr>
        <w:t>.</w:t>
      </w:r>
    </w:p>
    <w:p w14:paraId="065E225D" w14:textId="03AA8F9C" w:rsidR="006E02BB" w:rsidRPr="009E470E" w:rsidRDefault="00A763DE" w:rsidP="009E470E">
      <w:pPr>
        <w:spacing w:before="240" w:after="240"/>
        <w:rPr>
          <w:rFonts w:cs="Arial"/>
        </w:rPr>
      </w:pPr>
      <w:r w:rsidRPr="009E470E">
        <w:rPr>
          <w:rFonts w:cs="Arial"/>
        </w:rPr>
        <w:t>Teniendo en cuent</w:t>
      </w:r>
      <w:r w:rsidR="007956BC" w:rsidRPr="009E470E">
        <w:rPr>
          <w:rFonts w:cs="Arial"/>
        </w:rPr>
        <w:t>a lo anterior</w:t>
      </w:r>
      <w:r w:rsidR="00495934" w:rsidRPr="009E470E">
        <w:rPr>
          <w:rFonts w:cs="Arial"/>
        </w:rPr>
        <w:t xml:space="preserve"> y los riesgos que se identificaron</w:t>
      </w:r>
      <w:r w:rsidR="007956BC" w:rsidRPr="009E470E">
        <w:rPr>
          <w:rFonts w:cs="Arial"/>
        </w:rPr>
        <w:t>, la Comisión ha encontrado conveniente hacer un ajuste a la formación del precio de bolsa</w:t>
      </w:r>
      <w:r w:rsidR="00495934" w:rsidRPr="009E470E">
        <w:rPr>
          <w:rFonts w:cs="Arial"/>
        </w:rPr>
        <w:t xml:space="preserve"> para que no </w:t>
      </w:r>
      <w:r w:rsidR="00495934" w:rsidRPr="009E470E">
        <w:rPr>
          <w:rFonts w:cs="Arial"/>
        </w:rPr>
        <w:lastRenderedPageBreak/>
        <w:t xml:space="preserve">se presente </w:t>
      </w:r>
      <w:r w:rsidR="00E760E1" w:rsidRPr="009E470E">
        <w:rPr>
          <w:rFonts w:cs="Arial"/>
        </w:rPr>
        <w:t xml:space="preserve">situaciones </w:t>
      </w:r>
      <w:r w:rsidR="002F599A">
        <w:rPr>
          <w:rFonts w:cs="Arial"/>
        </w:rPr>
        <w:t>de formaci</w:t>
      </w:r>
      <w:r w:rsidR="00D72AAF">
        <w:rPr>
          <w:rFonts w:cs="Arial"/>
        </w:rPr>
        <w:t>ón ineficiente en la bolsa</w:t>
      </w:r>
      <w:r w:rsidR="00E760E1" w:rsidRPr="009E470E">
        <w:rPr>
          <w:rFonts w:cs="Arial"/>
        </w:rPr>
        <w:t xml:space="preserve"> que podrían conllevar a un riesgo sistémico</w:t>
      </w:r>
      <w:r w:rsidR="007A0364" w:rsidRPr="009E470E">
        <w:rPr>
          <w:rFonts w:cs="Arial"/>
        </w:rPr>
        <w:t>, mientras se mantenga la condición del fenómeno de El Niño</w:t>
      </w:r>
      <w:r w:rsidR="00E760E1" w:rsidRPr="009E470E">
        <w:rPr>
          <w:rFonts w:cs="Arial"/>
        </w:rPr>
        <w:t>. Además, define un precio de bolsa transitori</w:t>
      </w:r>
      <w:r w:rsidR="00ED1B82" w:rsidRPr="009E470E">
        <w:rPr>
          <w:rFonts w:cs="Arial"/>
        </w:rPr>
        <w:t>o</w:t>
      </w:r>
      <w:r w:rsidR="007A0364" w:rsidRPr="009E470E">
        <w:rPr>
          <w:rFonts w:cs="Arial"/>
        </w:rPr>
        <w:t xml:space="preserve"> para la</w:t>
      </w:r>
      <w:r w:rsidR="00ED1B82" w:rsidRPr="009E470E">
        <w:rPr>
          <w:rFonts w:cs="Arial"/>
        </w:rPr>
        <w:t>s</w:t>
      </w:r>
      <w:r w:rsidR="007A0364" w:rsidRPr="009E470E">
        <w:rPr>
          <w:rFonts w:cs="Arial"/>
        </w:rPr>
        <w:t xml:space="preserve"> transacciones</w:t>
      </w:r>
      <w:r w:rsidR="00CE6E15" w:rsidRPr="009E470E">
        <w:rPr>
          <w:rFonts w:cs="Arial"/>
        </w:rPr>
        <w:t>, lo que permite en un principio dar un alivio a los saldos acumulado por el AJ</w:t>
      </w:r>
      <w:r w:rsidR="00ED1B82" w:rsidRPr="009E470E">
        <w:rPr>
          <w:rFonts w:cs="Arial"/>
        </w:rPr>
        <w:t xml:space="preserve"> para los comercializadores con exposición a bolsa.</w:t>
      </w:r>
      <w:r w:rsidR="00E760E1" w:rsidRPr="009E470E">
        <w:rPr>
          <w:rFonts w:cs="Arial"/>
        </w:rPr>
        <w:t xml:space="preserve"> </w:t>
      </w:r>
    </w:p>
    <w:p w14:paraId="46C1D073" w14:textId="77777777" w:rsidR="006E02BB" w:rsidRDefault="006E02BB" w:rsidP="00FF5E55">
      <w:pPr>
        <w:rPr>
          <w:sz w:val="22"/>
          <w:szCs w:val="18"/>
        </w:rPr>
      </w:pPr>
    </w:p>
    <w:p w14:paraId="40655626" w14:textId="77777777" w:rsidR="006E02BB" w:rsidRDefault="006E02BB" w:rsidP="00FF5E55">
      <w:pPr>
        <w:rPr>
          <w:sz w:val="22"/>
          <w:szCs w:val="18"/>
        </w:rPr>
      </w:pPr>
    </w:p>
    <w:sectPr w:rsidR="006E02BB" w:rsidSect="003E675D">
      <w:headerReference w:type="default" r:id="rId58"/>
      <w:footerReference w:type="default" r:id="rId59"/>
      <w:pgSz w:w="12242" w:h="15842" w:code="1"/>
      <w:pgMar w:top="1418" w:right="1418" w:bottom="1418" w:left="1418" w:header="851"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E2EE5" w14:textId="77777777" w:rsidR="005A0CC1" w:rsidRDefault="005A0CC1">
      <w:r>
        <w:separator/>
      </w:r>
    </w:p>
  </w:endnote>
  <w:endnote w:type="continuationSeparator" w:id="0">
    <w:p w14:paraId="1D9320E1" w14:textId="77777777" w:rsidR="005A0CC1" w:rsidRDefault="005A0CC1">
      <w:r>
        <w:continuationSeparator/>
      </w:r>
    </w:p>
  </w:endnote>
  <w:endnote w:type="continuationNotice" w:id="1">
    <w:p w14:paraId="15E10FB1" w14:textId="77777777" w:rsidR="005A0CC1" w:rsidRDefault="005A0C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2BA3" w14:textId="78F5658B" w:rsidR="0077100C" w:rsidRDefault="003E675D" w:rsidP="00160ACD">
    <w:pPr>
      <w:pStyle w:val="Piedepgina"/>
      <w:rPr>
        <w:b/>
        <w:sz w:val="16"/>
        <w:lang w:val="es-CO"/>
      </w:rPr>
    </w:pPr>
    <w:r>
      <w:rPr>
        <w:sz w:val="16"/>
        <w:lang w:val="es-CO"/>
      </w:rPr>
      <w:t xml:space="preserve">D – 901 044 DE 2023 - </w:t>
    </w:r>
    <w:r w:rsidR="00B01949">
      <w:rPr>
        <w:sz w:val="16"/>
        <w:lang w:val="es-CO"/>
      </w:rPr>
      <w:t xml:space="preserve">METODOLOGÍA </w:t>
    </w:r>
    <w:r w:rsidR="00CB0AFB">
      <w:rPr>
        <w:sz w:val="16"/>
        <w:lang w:val="es-CO"/>
      </w:rPr>
      <w:t xml:space="preserve">PARA LA </w:t>
    </w:r>
    <w:r w:rsidR="00B01949">
      <w:rPr>
        <w:sz w:val="16"/>
        <w:lang w:val="es-CO"/>
      </w:rPr>
      <w:t xml:space="preserve">DETERMINACIÓN </w:t>
    </w:r>
    <w:r w:rsidR="00CB0AFB">
      <w:rPr>
        <w:sz w:val="16"/>
        <w:lang w:val="es-CO"/>
      </w:rPr>
      <w:t xml:space="preserve">DEL </w:t>
    </w:r>
    <w:r w:rsidR="00B01949">
      <w:rPr>
        <w:sz w:val="16"/>
        <w:lang w:val="es-CO"/>
      </w:rPr>
      <w:t>PRECIO DE BOLSA</w:t>
    </w:r>
    <w:r w:rsidR="00D1269E">
      <w:rPr>
        <w:sz w:val="16"/>
        <w:lang w:val="es-CO"/>
      </w:rPr>
      <w:t xml:space="preserve"> – PROPUESTA DE AJUSTE</w:t>
    </w:r>
    <w:r w:rsidR="004F48D2">
      <w:rPr>
        <w:sz w:val="16"/>
        <w:lang w:val="es-CO"/>
      </w:rPr>
      <w:t xml:space="preserve"> TEMPORAL</w:t>
    </w:r>
  </w:p>
  <w:p w14:paraId="3768D5B8" w14:textId="77777777" w:rsidR="001700C2" w:rsidRDefault="001700C2" w:rsidP="0077100C">
    <w:pPr>
      <w:pStyle w:val="Piedepgina"/>
      <w:rPr>
        <w:b/>
        <w:sz w:val="16"/>
        <w:lang w:val="es-CO"/>
      </w:rPr>
    </w:pP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2791"/>
      <w:gridCol w:w="2633"/>
    </w:tblGrid>
    <w:tr w:rsidR="00456730" w:rsidRPr="00456730" w14:paraId="05505BB1" w14:textId="77777777" w:rsidTr="008E4B18">
      <w:trPr>
        <w:cantSplit/>
        <w:trHeight w:val="254"/>
        <w:jc w:val="center"/>
      </w:trPr>
      <w:tc>
        <w:tcPr>
          <w:tcW w:w="2314" w:type="pct"/>
          <w:vAlign w:val="center"/>
        </w:tcPr>
        <w:p w14:paraId="4BDBD4F3" w14:textId="77777777" w:rsidR="00456730" w:rsidRPr="00456730" w:rsidRDefault="00456730" w:rsidP="00456730">
          <w:pPr>
            <w:contextualSpacing/>
            <w:rPr>
              <w:iCs/>
              <w:sz w:val="14"/>
            </w:rPr>
          </w:pPr>
          <w:r w:rsidRPr="00456730">
            <w:rPr>
              <w:rFonts w:cs="Arial"/>
              <w:iCs/>
              <w:sz w:val="14"/>
            </w:rPr>
            <w:t xml:space="preserve">Proceso        </w:t>
          </w:r>
          <w:r w:rsidRPr="00456730">
            <w:rPr>
              <w:rFonts w:cs="Arial"/>
              <w:b/>
              <w:iCs/>
              <w:sz w:val="14"/>
            </w:rPr>
            <w:t>REGULACIÓN</w:t>
          </w:r>
        </w:p>
      </w:tc>
      <w:tc>
        <w:tcPr>
          <w:tcW w:w="1382" w:type="pct"/>
          <w:vAlign w:val="center"/>
        </w:tcPr>
        <w:p w14:paraId="4B8557B3" w14:textId="77777777" w:rsidR="00456730" w:rsidRPr="00456730" w:rsidRDefault="00456730" w:rsidP="00456730">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55825DAB" w14:textId="77777777" w:rsidR="00456730" w:rsidRPr="00456730" w:rsidRDefault="00456730" w:rsidP="00456730">
          <w:pPr>
            <w:contextualSpacing/>
            <w:rPr>
              <w:rFonts w:cs="Arial"/>
              <w:iCs/>
              <w:sz w:val="14"/>
            </w:rPr>
          </w:pPr>
          <w:r w:rsidRPr="00456730">
            <w:rPr>
              <w:rFonts w:cs="Arial"/>
              <w:b/>
              <w:iCs/>
              <w:sz w:val="14"/>
            </w:rPr>
            <w:t xml:space="preserve">Versión: </w:t>
          </w:r>
          <w:r w:rsidR="008B734F">
            <w:rPr>
              <w:rFonts w:cs="Arial"/>
              <w:iCs/>
              <w:sz w:val="14"/>
            </w:rPr>
            <w:t>1</w:t>
          </w:r>
        </w:p>
      </w:tc>
    </w:tr>
    <w:tr w:rsidR="00456730" w:rsidRPr="00456730" w14:paraId="36E4732D" w14:textId="77777777" w:rsidTr="008E4B18">
      <w:trPr>
        <w:cantSplit/>
        <w:trHeight w:val="261"/>
        <w:jc w:val="center"/>
      </w:trPr>
      <w:tc>
        <w:tcPr>
          <w:tcW w:w="2314" w:type="pct"/>
          <w:vAlign w:val="center"/>
        </w:tcPr>
        <w:p w14:paraId="76DA3E5C" w14:textId="77777777" w:rsidR="00456730" w:rsidRPr="00456730" w:rsidRDefault="00456730" w:rsidP="00456730">
          <w:pPr>
            <w:ind w:left="923" w:hanging="923"/>
            <w:contextualSpacing/>
            <w:rPr>
              <w:rFonts w:cs="Arial"/>
              <w:bCs/>
              <w:iCs/>
              <w:sz w:val="14"/>
            </w:rPr>
          </w:pPr>
          <w:r w:rsidRPr="00456730">
            <w:rPr>
              <w:rFonts w:cs="Arial"/>
              <w:iCs/>
              <w:sz w:val="14"/>
            </w:rPr>
            <w:t xml:space="preserve">Documento   </w:t>
          </w:r>
          <w:r w:rsidRPr="00456730">
            <w:rPr>
              <w:rFonts w:cs="Arial"/>
              <w:b/>
              <w:iCs/>
              <w:sz w:val="14"/>
            </w:rPr>
            <w:t>DOCUMENTO CREG</w:t>
          </w:r>
        </w:p>
      </w:tc>
      <w:tc>
        <w:tcPr>
          <w:tcW w:w="1382" w:type="pct"/>
          <w:vAlign w:val="center"/>
        </w:tcPr>
        <w:p w14:paraId="2D973DF1" w14:textId="77777777" w:rsidR="00456730" w:rsidRPr="00456730" w:rsidRDefault="00456730" w:rsidP="008B734F">
          <w:pPr>
            <w:contextualSpacing/>
            <w:rPr>
              <w:rFonts w:cs="Arial"/>
              <w:iCs/>
              <w:sz w:val="14"/>
            </w:rPr>
          </w:pPr>
          <w:r w:rsidRPr="00456730">
            <w:rPr>
              <w:rFonts w:cs="Arial"/>
              <w:b/>
              <w:iCs/>
              <w:sz w:val="14"/>
            </w:rPr>
            <w:t xml:space="preserve">Fecha última revisión: </w:t>
          </w:r>
          <w:r w:rsidR="008B734F">
            <w:rPr>
              <w:rFonts w:cs="Arial"/>
              <w:b/>
              <w:iCs/>
              <w:sz w:val="14"/>
            </w:rPr>
            <w:t>14/11/2017</w:t>
          </w:r>
        </w:p>
      </w:tc>
      <w:tc>
        <w:tcPr>
          <w:tcW w:w="1304" w:type="pct"/>
          <w:vAlign w:val="center"/>
        </w:tcPr>
        <w:p w14:paraId="1E301D65" w14:textId="77777777" w:rsidR="00456730" w:rsidRPr="00456730" w:rsidRDefault="00456730" w:rsidP="00B60742">
          <w:pPr>
            <w:contextualSpacing/>
            <w:rPr>
              <w:rFonts w:cs="Arial"/>
              <w:iCs/>
              <w:sz w:val="14"/>
            </w:rPr>
          </w:pPr>
          <w:r w:rsidRPr="00456730">
            <w:rPr>
              <w:rFonts w:cs="Arial"/>
              <w:b/>
              <w:iCs/>
              <w:sz w:val="14"/>
            </w:rPr>
            <w:t>Página:</w:t>
          </w:r>
          <w:r w:rsidRPr="00456730">
            <w:rPr>
              <w:rFonts w:cs="Arial"/>
              <w:iCs/>
              <w:sz w:val="14"/>
            </w:rPr>
            <w:t xml:space="preserve"> </w:t>
          </w:r>
          <w:r w:rsidRPr="00456730">
            <w:rPr>
              <w:rFonts w:cs="Arial"/>
              <w:iCs/>
              <w:sz w:val="14"/>
            </w:rPr>
            <w:fldChar w:fldCharType="begin"/>
          </w:r>
          <w:r w:rsidRPr="00456730">
            <w:rPr>
              <w:rFonts w:cs="Arial"/>
              <w:iCs/>
              <w:sz w:val="14"/>
            </w:rPr>
            <w:instrText xml:space="preserve"> PAGE </w:instrText>
          </w:r>
          <w:r w:rsidRPr="00456730">
            <w:rPr>
              <w:rFonts w:cs="Arial"/>
              <w:iCs/>
              <w:sz w:val="14"/>
            </w:rPr>
            <w:fldChar w:fldCharType="separate"/>
          </w:r>
          <w:r w:rsidR="0003193D">
            <w:rPr>
              <w:rFonts w:cs="Arial"/>
              <w:iCs/>
              <w:noProof/>
              <w:sz w:val="14"/>
            </w:rPr>
            <w:t>6</w:t>
          </w:r>
          <w:r w:rsidRPr="00456730">
            <w:rPr>
              <w:rFonts w:cs="Arial"/>
              <w:iCs/>
              <w:sz w:val="14"/>
            </w:rPr>
            <w:fldChar w:fldCharType="end"/>
          </w:r>
          <w:r w:rsidR="0054039F">
            <w:rPr>
              <w:rFonts w:cs="Arial"/>
              <w:iCs/>
              <w:sz w:val="14"/>
            </w:rPr>
            <w:t xml:space="preserve"> </w:t>
          </w:r>
        </w:p>
      </w:tc>
    </w:tr>
  </w:tbl>
  <w:p w14:paraId="752343C3" w14:textId="77777777" w:rsidR="00456730" w:rsidRPr="00BE2C84" w:rsidRDefault="00456730" w:rsidP="00DD7346">
    <w:pPr>
      <w:ind w:right="-449"/>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83181" w14:textId="77777777" w:rsidR="005A0CC1" w:rsidRDefault="005A0CC1">
      <w:r>
        <w:separator/>
      </w:r>
    </w:p>
  </w:footnote>
  <w:footnote w:type="continuationSeparator" w:id="0">
    <w:p w14:paraId="209C5B60" w14:textId="77777777" w:rsidR="005A0CC1" w:rsidRDefault="005A0CC1">
      <w:r>
        <w:continuationSeparator/>
      </w:r>
    </w:p>
  </w:footnote>
  <w:footnote w:type="continuationNotice" w:id="1">
    <w:p w14:paraId="69838FB7" w14:textId="77777777" w:rsidR="005A0CC1" w:rsidRDefault="005A0CC1"/>
  </w:footnote>
  <w:footnote w:id="2">
    <w:p w14:paraId="3EDD8DD9" w14:textId="278B4B84" w:rsidR="00FA4A0D" w:rsidRPr="00FA4A0D" w:rsidRDefault="00FA4A0D">
      <w:pPr>
        <w:pStyle w:val="Textonotapie"/>
        <w:rPr>
          <w:lang w:val="es-MX"/>
        </w:rPr>
      </w:pPr>
      <w:r>
        <w:rPr>
          <w:rStyle w:val="Refdenotaalpie"/>
        </w:rPr>
        <w:footnoteRef/>
      </w:r>
      <w:r>
        <w:t xml:space="preserve"> </w:t>
      </w:r>
      <w:r w:rsidR="0076711A">
        <w:rPr>
          <w:lang w:val="es-MX"/>
        </w:rPr>
        <w:t xml:space="preserve">Es la programación de generación que se realiza a posteriori </w:t>
      </w:r>
      <w:r w:rsidR="008B7DB8">
        <w:rPr>
          <w:lang w:val="es-MX"/>
        </w:rPr>
        <w:t xml:space="preserve">por el Sistema de Intercambios Comerciales (SIC), en la cual se atiende la demanda </w:t>
      </w:r>
      <w:r w:rsidR="001B3AA5">
        <w:rPr>
          <w:lang w:val="es-MX"/>
        </w:rPr>
        <w:t>real con la disponibilidad real de las plantas de generación</w:t>
      </w:r>
      <w:r w:rsidR="00AD3C81">
        <w:rPr>
          <w:lang w:val="es-MX"/>
        </w:rPr>
        <w:t xml:space="preserve">. Este despacho se realiza considerando las ofertas de precios en la Bolsa de Energía, las </w:t>
      </w:r>
      <w:r w:rsidR="00836AE4">
        <w:rPr>
          <w:lang w:val="es-MX"/>
        </w:rPr>
        <w:t>ofertas de Precios de Arranque-Parada, las ofertas de los enlaces internacionales</w:t>
      </w:r>
      <w:r w:rsidR="006C7A73">
        <w:rPr>
          <w:lang w:val="es-MX"/>
        </w:rPr>
        <w:t xml:space="preserve"> y las características técnicas de las plantas o unidades para obtener </w:t>
      </w:r>
      <w:r w:rsidR="00C615B0">
        <w:rPr>
          <w:lang w:val="es-MX"/>
        </w:rPr>
        <w:t xml:space="preserve">la combinación de generación que resulte en mínimo costo para atender </w:t>
      </w:r>
      <w:r w:rsidR="000B0347">
        <w:rPr>
          <w:lang w:val="es-MX"/>
        </w:rPr>
        <w:t>la demanda total del día, sin considerar la red de transporte.</w:t>
      </w:r>
    </w:p>
  </w:footnote>
  <w:footnote w:id="3">
    <w:p w14:paraId="42539592" w14:textId="2255D781" w:rsidR="00073818" w:rsidRPr="00073818" w:rsidRDefault="00073818">
      <w:pPr>
        <w:pStyle w:val="Textonotapie"/>
        <w:rPr>
          <w:lang w:val="es-CO"/>
        </w:rPr>
      </w:pPr>
      <w:r>
        <w:rPr>
          <w:rStyle w:val="Refdenotaalpie"/>
        </w:rPr>
        <w:footnoteRef/>
      </w:r>
      <w:r>
        <w:t xml:space="preserve"> </w:t>
      </w:r>
      <w:r>
        <w:rPr>
          <w:lang w:val="es-CO"/>
        </w:rPr>
        <w:t>Con la Resolución CREG 140 de 2017</w:t>
      </w:r>
      <w:r w:rsidR="00FA343A">
        <w:rPr>
          <w:lang w:val="es-CO"/>
        </w:rPr>
        <w:t xml:space="preserve"> se definió el Precio</w:t>
      </w:r>
      <w:r w:rsidR="00BE01E7">
        <w:rPr>
          <w:lang w:val="es-CO"/>
        </w:rPr>
        <w:t xml:space="preserve"> de Escasez </w:t>
      </w:r>
      <w:r w:rsidR="005F24E9">
        <w:rPr>
          <w:lang w:val="es-CO"/>
        </w:rPr>
        <w:t xml:space="preserve">de </w:t>
      </w:r>
      <w:r w:rsidR="00BE01E7">
        <w:rPr>
          <w:lang w:val="es-CO"/>
        </w:rPr>
        <w:t>Activación.</w:t>
      </w:r>
      <w:r>
        <w:rPr>
          <w:lang w:val="es-CO"/>
        </w:rPr>
        <w:t xml:space="preserve"> </w:t>
      </w:r>
    </w:p>
  </w:footnote>
  <w:footnote w:id="4">
    <w:p w14:paraId="1CC33C51" w14:textId="75153198" w:rsidR="004B076A" w:rsidRPr="004B076A" w:rsidRDefault="004B076A">
      <w:pPr>
        <w:pStyle w:val="Textonotapie"/>
        <w:rPr>
          <w:lang w:val="es-CO"/>
        </w:rPr>
      </w:pPr>
      <w:r>
        <w:rPr>
          <w:rStyle w:val="Refdenotaalpie"/>
        </w:rPr>
        <w:footnoteRef/>
      </w:r>
      <w:r>
        <w:t xml:space="preserve"> </w:t>
      </w:r>
      <w:r>
        <w:rPr>
          <w:lang w:val="es-CO"/>
        </w:rPr>
        <w:t xml:space="preserve">Resolución CREG 012 de </w:t>
      </w:r>
      <w:r w:rsidR="00C2432F">
        <w:rPr>
          <w:lang w:val="es-CO"/>
        </w:rPr>
        <w:t>2023</w:t>
      </w:r>
    </w:p>
  </w:footnote>
  <w:footnote w:id="5">
    <w:p w14:paraId="17F16356" w14:textId="2E36203C" w:rsidR="00543E19" w:rsidRPr="00543E19" w:rsidRDefault="00543E19">
      <w:pPr>
        <w:pStyle w:val="Textonotapie"/>
      </w:pPr>
      <w:r>
        <w:rPr>
          <w:rStyle w:val="Refdenotaalpie"/>
        </w:rPr>
        <w:footnoteRef/>
      </w:r>
      <w:r>
        <w:t xml:space="preserve"> </w:t>
      </w:r>
      <w:r w:rsidR="00102674">
        <w:t xml:space="preserve">También ha existe declaraciones </w:t>
      </w:r>
      <w:r w:rsidR="006B6BB3">
        <w:t>en presta de algunas empresa</w:t>
      </w:r>
      <w:r w:rsidR="000B06A9">
        <w:t>s</w:t>
      </w:r>
      <w:r w:rsidR="006B6BB3">
        <w:t xml:space="preserve">, tal como </w:t>
      </w:r>
      <w:r w:rsidR="00A1700B">
        <w:t xml:space="preserve">las </w:t>
      </w:r>
      <w:r w:rsidR="006B6BB3">
        <w:t>dad</w:t>
      </w:r>
      <w:r w:rsidR="00A1700B">
        <w:t xml:space="preserve">as </w:t>
      </w:r>
      <w:r w:rsidR="006B6BB3">
        <w:t xml:space="preserve">por Isagen al diario la república </w:t>
      </w:r>
      <w:r w:rsidR="00FA3E5D">
        <w:t xml:space="preserve">del 7 de octubre de 2023, </w:t>
      </w:r>
      <w:r w:rsidR="006B6BB3">
        <w:t xml:space="preserve">en donde </w:t>
      </w:r>
      <w:r w:rsidR="00D40EE3">
        <w:t>se</w:t>
      </w:r>
      <w:r w:rsidR="00FA3E5D">
        <w:t xml:space="preserve">ñaló: </w:t>
      </w:r>
      <w:r w:rsidR="00FA3E5D" w:rsidRPr="000B06A9">
        <w:rPr>
          <w:i/>
          <w:iCs/>
        </w:rPr>
        <w:t>“</w:t>
      </w:r>
      <w:r w:rsidR="000B06A9" w:rsidRPr="000B06A9">
        <w:rPr>
          <w:i/>
          <w:iCs/>
        </w:rPr>
        <w:t>…Hemos planteado algunas alternativas al gobierno como que, a partir de un techo en los precios de bolsa, se destine el excedente a un programa de subsidios. Hemos manifestado nuestra disposición a ampliar la financiación los distribuidores de energía sí se nos otorgan garantías de pago idóneas, así como a construir con el gobierno un esquema que nos permita</w:t>
      </w:r>
      <w:r w:rsidR="000B06A9" w:rsidRPr="000B06A9">
        <w:rPr>
          <w:rFonts w:ascii="Montserrat" w:hAnsi="Montserrat"/>
          <w:i/>
          <w:iCs/>
          <w:color w:val="444444"/>
          <w:sz w:val="27"/>
          <w:szCs w:val="27"/>
          <w:shd w:val="clear" w:color="auto" w:fill="FFFFFF"/>
        </w:rPr>
        <w:t xml:space="preserve"> </w:t>
      </w:r>
      <w:r w:rsidR="000B06A9" w:rsidRPr="000B06A9">
        <w:rPr>
          <w:i/>
          <w:iCs/>
        </w:rPr>
        <w:t>vender los excedentes de generación a precios de contratos de largo plazo en vez de bolsa…”</w:t>
      </w:r>
    </w:p>
  </w:footnote>
  <w:footnote w:id="6">
    <w:p w14:paraId="41E71F47" w14:textId="78E05F86" w:rsidR="00842BEB" w:rsidRPr="00842BEB" w:rsidRDefault="00842BEB">
      <w:pPr>
        <w:pStyle w:val="Textonotapie"/>
        <w:rPr>
          <w:lang w:val="es-CO"/>
        </w:rPr>
      </w:pPr>
      <w:r>
        <w:rPr>
          <w:rStyle w:val="Refdenotaalpie"/>
        </w:rPr>
        <w:footnoteRef/>
      </w:r>
      <w:r>
        <w:t xml:space="preserve"> </w:t>
      </w:r>
      <w:r w:rsidR="003B45A4">
        <w:rPr>
          <w:lang w:val="es-CO"/>
        </w:rPr>
        <w:t>En la literatura económica se entiende como un ingreso máximo regulado</w:t>
      </w:r>
    </w:p>
  </w:footnote>
  <w:footnote w:id="7">
    <w:p w14:paraId="6EB67B86" w14:textId="660D5038" w:rsidR="00611717" w:rsidRPr="003B371E" w:rsidRDefault="00611717">
      <w:pPr>
        <w:pStyle w:val="Textonotapie"/>
        <w:rPr>
          <w:lang w:val="es-CO"/>
        </w:rPr>
      </w:pPr>
      <w:r>
        <w:rPr>
          <w:rStyle w:val="Refdenotaalpie"/>
        </w:rPr>
        <w:footnoteRef/>
      </w:r>
      <w:r w:rsidRPr="00B03803">
        <w:rPr>
          <w:lang w:val="pt-BR"/>
        </w:rPr>
        <w:t xml:space="preserve"> </w:t>
      </w:r>
      <w:r w:rsidR="0097572E" w:rsidRPr="00B03803">
        <w:rPr>
          <w:lang w:val="pt-BR"/>
        </w:rPr>
        <w:t xml:space="preserve">CSC+CTC = 402.51, COM = 15.77. </w:t>
      </w:r>
      <w:r w:rsidR="0097572E" w:rsidRPr="003B371E">
        <w:rPr>
          <w:lang w:val="es-CO"/>
        </w:rPr>
        <w:t xml:space="preserve">OCV = </w:t>
      </w:r>
      <w:r w:rsidR="00B03803" w:rsidRPr="003B371E">
        <w:rPr>
          <w:lang w:val="es-CO"/>
        </w:rPr>
        <w:t>87.59, HR = 9</w:t>
      </w:r>
      <w:r w:rsidR="003B371E" w:rsidRPr="003B371E">
        <w:rPr>
          <w:lang w:val="es-CO"/>
        </w:rPr>
        <w:t>, según datos publicados p</w:t>
      </w:r>
      <w:r w:rsidR="003B371E">
        <w:rPr>
          <w:lang w:val="es-CO"/>
        </w:rPr>
        <w:t>or XM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1FE13" w14:textId="5422DCE3" w:rsidR="00020441" w:rsidRDefault="00020441">
    <w:pPr>
      <w:pStyle w:val="Encabezado"/>
    </w:pPr>
    <w:r>
      <w:rPr>
        <w:rFonts w:cs="Arial"/>
        <w:b/>
        <w:i/>
        <w:color w:val="808080"/>
        <w:sz w:val="16"/>
      </w:rPr>
      <w:t>Sesión No.</w:t>
    </w:r>
    <w:r w:rsidR="003E675D">
      <w:rPr>
        <w:rFonts w:cs="Arial"/>
        <w:b/>
        <w:i/>
        <w:color w:val="808080"/>
        <w:sz w:val="16"/>
      </w:rPr>
      <w:t xml:space="preserve"> 1299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1496"/>
    <w:multiLevelType w:val="hybridMultilevel"/>
    <w:tmpl w:val="EB920148"/>
    <w:lvl w:ilvl="0" w:tplc="999A378E">
      <w:start w:val="1"/>
      <w:numFmt w:val="decimal"/>
      <w:lvlText w:val="%1."/>
      <w:lvlJc w:val="left"/>
      <w:pPr>
        <w:tabs>
          <w:tab w:val="num" w:pos="720"/>
        </w:tabs>
        <w:ind w:left="720" w:hanging="360"/>
      </w:pPr>
    </w:lvl>
    <w:lvl w:ilvl="1" w:tplc="C8006052" w:tentative="1">
      <w:start w:val="1"/>
      <w:numFmt w:val="decimal"/>
      <w:lvlText w:val="%2."/>
      <w:lvlJc w:val="left"/>
      <w:pPr>
        <w:tabs>
          <w:tab w:val="num" w:pos="1440"/>
        </w:tabs>
        <w:ind w:left="1440" w:hanging="360"/>
      </w:pPr>
    </w:lvl>
    <w:lvl w:ilvl="2" w:tplc="ACEAFBE4" w:tentative="1">
      <w:start w:val="1"/>
      <w:numFmt w:val="decimal"/>
      <w:lvlText w:val="%3."/>
      <w:lvlJc w:val="left"/>
      <w:pPr>
        <w:tabs>
          <w:tab w:val="num" w:pos="2160"/>
        </w:tabs>
        <w:ind w:left="2160" w:hanging="360"/>
      </w:pPr>
    </w:lvl>
    <w:lvl w:ilvl="3" w:tplc="E60C0E66" w:tentative="1">
      <w:start w:val="1"/>
      <w:numFmt w:val="decimal"/>
      <w:lvlText w:val="%4."/>
      <w:lvlJc w:val="left"/>
      <w:pPr>
        <w:tabs>
          <w:tab w:val="num" w:pos="2880"/>
        </w:tabs>
        <w:ind w:left="2880" w:hanging="360"/>
      </w:pPr>
    </w:lvl>
    <w:lvl w:ilvl="4" w:tplc="A906D754" w:tentative="1">
      <w:start w:val="1"/>
      <w:numFmt w:val="decimal"/>
      <w:lvlText w:val="%5."/>
      <w:lvlJc w:val="left"/>
      <w:pPr>
        <w:tabs>
          <w:tab w:val="num" w:pos="3600"/>
        </w:tabs>
        <w:ind w:left="3600" w:hanging="360"/>
      </w:pPr>
    </w:lvl>
    <w:lvl w:ilvl="5" w:tplc="321CDB20" w:tentative="1">
      <w:start w:val="1"/>
      <w:numFmt w:val="decimal"/>
      <w:lvlText w:val="%6."/>
      <w:lvlJc w:val="left"/>
      <w:pPr>
        <w:tabs>
          <w:tab w:val="num" w:pos="4320"/>
        </w:tabs>
        <w:ind w:left="4320" w:hanging="360"/>
      </w:pPr>
    </w:lvl>
    <w:lvl w:ilvl="6" w:tplc="D29E783C" w:tentative="1">
      <w:start w:val="1"/>
      <w:numFmt w:val="decimal"/>
      <w:lvlText w:val="%7."/>
      <w:lvlJc w:val="left"/>
      <w:pPr>
        <w:tabs>
          <w:tab w:val="num" w:pos="5040"/>
        </w:tabs>
        <w:ind w:left="5040" w:hanging="360"/>
      </w:pPr>
    </w:lvl>
    <w:lvl w:ilvl="7" w:tplc="2CB8168A" w:tentative="1">
      <w:start w:val="1"/>
      <w:numFmt w:val="decimal"/>
      <w:lvlText w:val="%8."/>
      <w:lvlJc w:val="left"/>
      <w:pPr>
        <w:tabs>
          <w:tab w:val="num" w:pos="5760"/>
        </w:tabs>
        <w:ind w:left="5760" w:hanging="360"/>
      </w:pPr>
    </w:lvl>
    <w:lvl w:ilvl="8" w:tplc="13840848" w:tentative="1">
      <w:start w:val="1"/>
      <w:numFmt w:val="decimal"/>
      <w:lvlText w:val="%9."/>
      <w:lvlJc w:val="left"/>
      <w:pPr>
        <w:tabs>
          <w:tab w:val="num" w:pos="6480"/>
        </w:tabs>
        <w:ind w:left="6480" w:hanging="360"/>
      </w:pPr>
    </w:lvl>
  </w:abstractNum>
  <w:abstractNum w:abstractNumId="1" w15:restartNumberingAfterBreak="0">
    <w:nsid w:val="05BE6958"/>
    <w:multiLevelType w:val="hybridMultilevel"/>
    <w:tmpl w:val="5D3E7C22"/>
    <w:lvl w:ilvl="0" w:tplc="D73CA404">
      <w:start w:val="1"/>
      <w:numFmt w:val="lowerRoman"/>
      <w:lvlText w:val="%1."/>
      <w:lvlJc w:val="righ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7868F5"/>
    <w:multiLevelType w:val="hybridMultilevel"/>
    <w:tmpl w:val="8C54F070"/>
    <w:lvl w:ilvl="0" w:tplc="898C2F36">
      <w:start w:val="1"/>
      <w:numFmt w:val="bullet"/>
      <w:lvlText w:val=""/>
      <w:lvlJc w:val="left"/>
      <w:pPr>
        <w:tabs>
          <w:tab w:val="num" w:pos="720"/>
        </w:tabs>
        <w:ind w:left="720" w:hanging="360"/>
      </w:pPr>
      <w:rPr>
        <w:rFonts w:ascii="Wingdings" w:hAnsi="Wingdings" w:hint="default"/>
      </w:rPr>
    </w:lvl>
    <w:lvl w:ilvl="1" w:tplc="78AE2C80">
      <w:numFmt w:val="bullet"/>
      <w:lvlText w:val="→"/>
      <w:lvlJc w:val="left"/>
      <w:pPr>
        <w:tabs>
          <w:tab w:val="num" w:pos="1440"/>
        </w:tabs>
        <w:ind w:left="1440" w:hanging="360"/>
      </w:pPr>
      <w:rPr>
        <w:rFonts w:ascii="Helvetica" w:hAnsi="Helvetica" w:hint="default"/>
      </w:rPr>
    </w:lvl>
    <w:lvl w:ilvl="2" w:tplc="A7166A56" w:tentative="1">
      <w:start w:val="1"/>
      <w:numFmt w:val="bullet"/>
      <w:lvlText w:val=""/>
      <w:lvlJc w:val="left"/>
      <w:pPr>
        <w:tabs>
          <w:tab w:val="num" w:pos="2160"/>
        </w:tabs>
        <w:ind w:left="2160" w:hanging="360"/>
      </w:pPr>
      <w:rPr>
        <w:rFonts w:ascii="Wingdings" w:hAnsi="Wingdings" w:hint="default"/>
      </w:rPr>
    </w:lvl>
    <w:lvl w:ilvl="3" w:tplc="CF8A5950" w:tentative="1">
      <w:start w:val="1"/>
      <w:numFmt w:val="bullet"/>
      <w:lvlText w:val=""/>
      <w:lvlJc w:val="left"/>
      <w:pPr>
        <w:tabs>
          <w:tab w:val="num" w:pos="2880"/>
        </w:tabs>
        <w:ind w:left="2880" w:hanging="360"/>
      </w:pPr>
      <w:rPr>
        <w:rFonts w:ascii="Wingdings" w:hAnsi="Wingdings" w:hint="default"/>
      </w:rPr>
    </w:lvl>
    <w:lvl w:ilvl="4" w:tplc="CB6A1B3E" w:tentative="1">
      <w:start w:val="1"/>
      <w:numFmt w:val="bullet"/>
      <w:lvlText w:val=""/>
      <w:lvlJc w:val="left"/>
      <w:pPr>
        <w:tabs>
          <w:tab w:val="num" w:pos="3600"/>
        </w:tabs>
        <w:ind w:left="3600" w:hanging="360"/>
      </w:pPr>
      <w:rPr>
        <w:rFonts w:ascii="Wingdings" w:hAnsi="Wingdings" w:hint="default"/>
      </w:rPr>
    </w:lvl>
    <w:lvl w:ilvl="5" w:tplc="7D8E17A4" w:tentative="1">
      <w:start w:val="1"/>
      <w:numFmt w:val="bullet"/>
      <w:lvlText w:val=""/>
      <w:lvlJc w:val="left"/>
      <w:pPr>
        <w:tabs>
          <w:tab w:val="num" w:pos="4320"/>
        </w:tabs>
        <w:ind w:left="4320" w:hanging="360"/>
      </w:pPr>
      <w:rPr>
        <w:rFonts w:ascii="Wingdings" w:hAnsi="Wingdings" w:hint="default"/>
      </w:rPr>
    </w:lvl>
    <w:lvl w:ilvl="6" w:tplc="722C60F8" w:tentative="1">
      <w:start w:val="1"/>
      <w:numFmt w:val="bullet"/>
      <w:lvlText w:val=""/>
      <w:lvlJc w:val="left"/>
      <w:pPr>
        <w:tabs>
          <w:tab w:val="num" w:pos="5040"/>
        </w:tabs>
        <w:ind w:left="5040" w:hanging="360"/>
      </w:pPr>
      <w:rPr>
        <w:rFonts w:ascii="Wingdings" w:hAnsi="Wingdings" w:hint="default"/>
      </w:rPr>
    </w:lvl>
    <w:lvl w:ilvl="7" w:tplc="86D07A5A" w:tentative="1">
      <w:start w:val="1"/>
      <w:numFmt w:val="bullet"/>
      <w:lvlText w:val=""/>
      <w:lvlJc w:val="left"/>
      <w:pPr>
        <w:tabs>
          <w:tab w:val="num" w:pos="5760"/>
        </w:tabs>
        <w:ind w:left="5760" w:hanging="360"/>
      </w:pPr>
      <w:rPr>
        <w:rFonts w:ascii="Wingdings" w:hAnsi="Wingdings" w:hint="default"/>
      </w:rPr>
    </w:lvl>
    <w:lvl w:ilvl="8" w:tplc="56962E5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1C47C1"/>
    <w:multiLevelType w:val="hybridMultilevel"/>
    <w:tmpl w:val="170A1BE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2F44159"/>
    <w:multiLevelType w:val="multilevel"/>
    <w:tmpl w:val="6A383DEC"/>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rPr>
        <w:lang w:val="es-ES_tradnl"/>
      </w:r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 w15:restartNumberingAfterBreak="0">
    <w:nsid w:val="1436003E"/>
    <w:multiLevelType w:val="hybridMultilevel"/>
    <w:tmpl w:val="0ECE479E"/>
    <w:lvl w:ilvl="0" w:tplc="D26AD998">
      <w:start w:val="1"/>
      <w:numFmt w:val="decimal"/>
      <w:lvlText w:val="Artículo %1."/>
      <w:lvlJc w:val="left"/>
      <w:pPr>
        <w:ind w:left="2062" w:hanging="360"/>
      </w:pPr>
      <w:rPr>
        <w:rFonts w:hint="default"/>
        <w:b/>
        <w:bCs w:val="0"/>
        <w:i w:val="0"/>
        <w:iCs/>
        <w:sz w:val="24"/>
        <w:szCs w:val="22"/>
      </w:rPr>
    </w:lvl>
    <w:lvl w:ilvl="1" w:tplc="240A0019" w:tentative="1">
      <w:start w:val="1"/>
      <w:numFmt w:val="lowerLetter"/>
      <w:lvlText w:val="%2."/>
      <w:lvlJc w:val="left"/>
      <w:pPr>
        <w:ind w:left="3065" w:hanging="360"/>
      </w:pPr>
    </w:lvl>
    <w:lvl w:ilvl="2" w:tplc="240A001B" w:tentative="1">
      <w:start w:val="1"/>
      <w:numFmt w:val="lowerRoman"/>
      <w:lvlText w:val="%3."/>
      <w:lvlJc w:val="right"/>
      <w:pPr>
        <w:ind w:left="3785" w:hanging="180"/>
      </w:pPr>
    </w:lvl>
    <w:lvl w:ilvl="3" w:tplc="240A000F" w:tentative="1">
      <w:start w:val="1"/>
      <w:numFmt w:val="decimal"/>
      <w:lvlText w:val="%4."/>
      <w:lvlJc w:val="left"/>
      <w:pPr>
        <w:ind w:left="4505" w:hanging="360"/>
      </w:pPr>
    </w:lvl>
    <w:lvl w:ilvl="4" w:tplc="240A0019" w:tentative="1">
      <w:start w:val="1"/>
      <w:numFmt w:val="lowerLetter"/>
      <w:lvlText w:val="%5."/>
      <w:lvlJc w:val="left"/>
      <w:pPr>
        <w:ind w:left="5225" w:hanging="360"/>
      </w:pPr>
    </w:lvl>
    <w:lvl w:ilvl="5" w:tplc="240A001B" w:tentative="1">
      <w:start w:val="1"/>
      <w:numFmt w:val="lowerRoman"/>
      <w:lvlText w:val="%6."/>
      <w:lvlJc w:val="right"/>
      <w:pPr>
        <w:ind w:left="5945" w:hanging="180"/>
      </w:pPr>
    </w:lvl>
    <w:lvl w:ilvl="6" w:tplc="240A000F" w:tentative="1">
      <w:start w:val="1"/>
      <w:numFmt w:val="decimal"/>
      <w:lvlText w:val="%7."/>
      <w:lvlJc w:val="left"/>
      <w:pPr>
        <w:ind w:left="6665" w:hanging="360"/>
      </w:pPr>
    </w:lvl>
    <w:lvl w:ilvl="7" w:tplc="240A0019" w:tentative="1">
      <w:start w:val="1"/>
      <w:numFmt w:val="lowerLetter"/>
      <w:lvlText w:val="%8."/>
      <w:lvlJc w:val="left"/>
      <w:pPr>
        <w:ind w:left="7385" w:hanging="360"/>
      </w:pPr>
    </w:lvl>
    <w:lvl w:ilvl="8" w:tplc="240A001B" w:tentative="1">
      <w:start w:val="1"/>
      <w:numFmt w:val="lowerRoman"/>
      <w:lvlText w:val="%9."/>
      <w:lvlJc w:val="right"/>
      <w:pPr>
        <w:ind w:left="8105" w:hanging="180"/>
      </w:pPr>
    </w:lvl>
  </w:abstractNum>
  <w:abstractNum w:abstractNumId="6" w15:restartNumberingAfterBreak="0">
    <w:nsid w:val="16F85C4F"/>
    <w:multiLevelType w:val="hybridMultilevel"/>
    <w:tmpl w:val="29424778"/>
    <w:lvl w:ilvl="0" w:tplc="9D7C284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66D4E36"/>
    <w:multiLevelType w:val="hybridMultilevel"/>
    <w:tmpl w:val="5240D3BC"/>
    <w:lvl w:ilvl="0" w:tplc="240A0019">
      <w:start w:val="1"/>
      <w:numFmt w:val="lowerLetter"/>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8" w15:restartNumberingAfterBreak="0">
    <w:nsid w:val="3334171F"/>
    <w:multiLevelType w:val="hybridMultilevel"/>
    <w:tmpl w:val="6FDCECA4"/>
    <w:lvl w:ilvl="0" w:tplc="0F188078">
      <w:start w:val="1"/>
      <w:numFmt w:val="lowerRoman"/>
      <w:lvlText w:val="%1."/>
      <w:lvlJc w:val="righ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47659C3"/>
    <w:multiLevelType w:val="hybridMultilevel"/>
    <w:tmpl w:val="B9B60D8A"/>
    <w:lvl w:ilvl="0" w:tplc="D668FC30">
      <w:start w:val="1"/>
      <w:numFmt w:val="bullet"/>
      <w:lvlText w:val=""/>
      <w:lvlJc w:val="left"/>
      <w:pPr>
        <w:tabs>
          <w:tab w:val="num" w:pos="720"/>
        </w:tabs>
        <w:ind w:left="720" w:hanging="360"/>
      </w:pPr>
      <w:rPr>
        <w:rFonts w:ascii="Wingdings" w:hAnsi="Wingdings" w:hint="default"/>
      </w:rPr>
    </w:lvl>
    <w:lvl w:ilvl="1" w:tplc="469AEE4A" w:tentative="1">
      <w:start w:val="1"/>
      <w:numFmt w:val="bullet"/>
      <w:lvlText w:val=""/>
      <w:lvlJc w:val="left"/>
      <w:pPr>
        <w:tabs>
          <w:tab w:val="num" w:pos="1440"/>
        </w:tabs>
        <w:ind w:left="1440" w:hanging="360"/>
      </w:pPr>
      <w:rPr>
        <w:rFonts w:ascii="Wingdings" w:hAnsi="Wingdings" w:hint="default"/>
      </w:rPr>
    </w:lvl>
    <w:lvl w:ilvl="2" w:tplc="183274BE" w:tentative="1">
      <w:start w:val="1"/>
      <w:numFmt w:val="bullet"/>
      <w:lvlText w:val=""/>
      <w:lvlJc w:val="left"/>
      <w:pPr>
        <w:tabs>
          <w:tab w:val="num" w:pos="2160"/>
        </w:tabs>
        <w:ind w:left="2160" w:hanging="360"/>
      </w:pPr>
      <w:rPr>
        <w:rFonts w:ascii="Wingdings" w:hAnsi="Wingdings" w:hint="default"/>
      </w:rPr>
    </w:lvl>
    <w:lvl w:ilvl="3" w:tplc="02721FDC" w:tentative="1">
      <w:start w:val="1"/>
      <w:numFmt w:val="bullet"/>
      <w:lvlText w:val=""/>
      <w:lvlJc w:val="left"/>
      <w:pPr>
        <w:tabs>
          <w:tab w:val="num" w:pos="2880"/>
        </w:tabs>
        <w:ind w:left="2880" w:hanging="360"/>
      </w:pPr>
      <w:rPr>
        <w:rFonts w:ascii="Wingdings" w:hAnsi="Wingdings" w:hint="default"/>
      </w:rPr>
    </w:lvl>
    <w:lvl w:ilvl="4" w:tplc="ADBEF6A4" w:tentative="1">
      <w:start w:val="1"/>
      <w:numFmt w:val="bullet"/>
      <w:lvlText w:val=""/>
      <w:lvlJc w:val="left"/>
      <w:pPr>
        <w:tabs>
          <w:tab w:val="num" w:pos="3600"/>
        </w:tabs>
        <w:ind w:left="3600" w:hanging="360"/>
      </w:pPr>
      <w:rPr>
        <w:rFonts w:ascii="Wingdings" w:hAnsi="Wingdings" w:hint="default"/>
      </w:rPr>
    </w:lvl>
    <w:lvl w:ilvl="5" w:tplc="A344FB0E" w:tentative="1">
      <w:start w:val="1"/>
      <w:numFmt w:val="bullet"/>
      <w:lvlText w:val=""/>
      <w:lvlJc w:val="left"/>
      <w:pPr>
        <w:tabs>
          <w:tab w:val="num" w:pos="4320"/>
        </w:tabs>
        <w:ind w:left="4320" w:hanging="360"/>
      </w:pPr>
      <w:rPr>
        <w:rFonts w:ascii="Wingdings" w:hAnsi="Wingdings" w:hint="default"/>
      </w:rPr>
    </w:lvl>
    <w:lvl w:ilvl="6" w:tplc="D42AE14E" w:tentative="1">
      <w:start w:val="1"/>
      <w:numFmt w:val="bullet"/>
      <w:lvlText w:val=""/>
      <w:lvlJc w:val="left"/>
      <w:pPr>
        <w:tabs>
          <w:tab w:val="num" w:pos="5040"/>
        </w:tabs>
        <w:ind w:left="5040" w:hanging="360"/>
      </w:pPr>
      <w:rPr>
        <w:rFonts w:ascii="Wingdings" w:hAnsi="Wingdings" w:hint="default"/>
      </w:rPr>
    </w:lvl>
    <w:lvl w:ilvl="7" w:tplc="1D8A76FE" w:tentative="1">
      <w:start w:val="1"/>
      <w:numFmt w:val="bullet"/>
      <w:lvlText w:val=""/>
      <w:lvlJc w:val="left"/>
      <w:pPr>
        <w:tabs>
          <w:tab w:val="num" w:pos="5760"/>
        </w:tabs>
        <w:ind w:left="5760" w:hanging="360"/>
      </w:pPr>
      <w:rPr>
        <w:rFonts w:ascii="Wingdings" w:hAnsi="Wingdings" w:hint="default"/>
      </w:rPr>
    </w:lvl>
    <w:lvl w:ilvl="8" w:tplc="6C56B36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C869B1"/>
    <w:multiLevelType w:val="hybridMultilevel"/>
    <w:tmpl w:val="6F90895E"/>
    <w:lvl w:ilvl="0" w:tplc="240A001B">
      <w:start w:val="1"/>
      <w:numFmt w:val="lowerRoman"/>
      <w:lvlText w:val="%1."/>
      <w:lvlJc w:val="righ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47E02362"/>
    <w:multiLevelType w:val="hybridMultilevel"/>
    <w:tmpl w:val="41F0F0D4"/>
    <w:lvl w:ilvl="0" w:tplc="BB24FD5C">
      <w:numFmt w:val="bullet"/>
      <w:lvlText w:val="-"/>
      <w:lvlJc w:val="left"/>
      <w:pPr>
        <w:ind w:left="360" w:hanging="360"/>
      </w:pPr>
      <w:rPr>
        <w:rFonts w:ascii="Arial" w:eastAsia="Times New Roman"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8BC07DC"/>
    <w:multiLevelType w:val="multilevel"/>
    <w:tmpl w:val="78E6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12481E"/>
    <w:multiLevelType w:val="hybridMultilevel"/>
    <w:tmpl w:val="D7AC96F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B9F53FF"/>
    <w:multiLevelType w:val="hybridMultilevel"/>
    <w:tmpl w:val="37947FCE"/>
    <w:lvl w:ilvl="0" w:tplc="6DDC2EDC">
      <w:start w:val="1"/>
      <w:numFmt w:val="bullet"/>
      <w:lvlText w:val=""/>
      <w:lvlJc w:val="left"/>
      <w:pPr>
        <w:tabs>
          <w:tab w:val="num" w:pos="720"/>
        </w:tabs>
        <w:ind w:left="720" w:hanging="360"/>
      </w:pPr>
      <w:rPr>
        <w:rFonts w:ascii="Wingdings" w:hAnsi="Wingdings" w:hint="default"/>
      </w:rPr>
    </w:lvl>
    <w:lvl w:ilvl="1" w:tplc="23E0A2BC" w:tentative="1">
      <w:start w:val="1"/>
      <w:numFmt w:val="bullet"/>
      <w:lvlText w:val=""/>
      <w:lvlJc w:val="left"/>
      <w:pPr>
        <w:tabs>
          <w:tab w:val="num" w:pos="1440"/>
        </w:tabs>
        <w:ind w:left="1440" w:hanging="360"/>
      </w:pPr>
      <w:rPr>
        <w:rFonts w:ascii="Wingdings" w:hAnsi="Wingdings" w:hint="default"/>
      </w:rPr>
    </w:lvl>
    <w:lvl w:ilvl="2" w:tplc="A4EA34AA" w:tentative="1">
      <w:start w:val="1"/>
      <w:numFmt w:val="bullet"/>
      <w:lvlText w:val=""/>
      <w:lvlJc w:val="left"/>
      <w:pPr>
        <w:tabs>
          <w:tab w:val="num" w:pos="2160"/>
        </w:tabs>
        <w:ind w:left="2160" w:hanging="360"/>
      </w:pPr>
      <w:rPr>
        <w:rFonts w:ascii="Wingdings" w:hAnsi="Wingdings" w:hint="default"/>
      </w:rPr>
    </w:lvl>
    <w:lvl w:ilvl="3" w:tplc="E8D85898" w:tentative="1">
      <w:start w:val="1"/>
      <w:numFmt w:val="bullet"/>
      <w:lvlText w:val=""/>
      <w:lvlJc w:val="left"/>
      <w:pPr>
        <w:tabs>
          <w:tab w:val="num" w:pos="2880"/>
        </w:tabs>
        <w:ind w:left="2880" w:hanging="360"/>
      </w:pPr>
      <w:rPr>
        <w:rFonts w:ascii="Wingdings" w:hAnsi="Wingdings" w:hint="default"/>
      </w:rPr>
    </w:lvl>
    <w:lvl w:ilvl="4" w:tplc="477816BE" w:tentative="1">
      <w:start w:val="1"/>
      <w:numFmt w:val="bullet"/>
      <w:lvlText w:val=""/>
      <w:lvlJc w:val="left"/>
      <w:pPr>
        <w:tabs>
          <w:tab w:val="num" w:pos="3600"/>
        </w:tabs>
        <w:ind w:left="3600" w:hanging="360"/>
      </w:pPr>
      <w:rPr>
        <w:rFonts w:ascii="Wingdings" w:hAnsi="Wingdings" w:hint="default"/>
      </w:rPr>
    </w:lvl>
    <w:lvl w:ilvl="5" w:tplc="CE949B0E" w:tentative="1">
      <w:start w:val="1"/>
      <w:numFmt w:val="bullet"/>
      <w:lvlText w:val=""/>
      <w:lvlJc w:val="left"/>
      <w:pPr>
        <w:tabs>
          <w:tab w:val="num" w:pos="4320"/>
        </w:tabs>
        <w:ind w:left="4320" w:hanging="360"/>
      </w:pPr>
      <w:rPr>
        <w:rFonts w:ascii="Wingdings" w:hAnsi="Wingdings" w:hint="default"/>
      </w:rPr>
    </w:lvl>
    <w:lvl w:ilvl="6" w:tplc="D500139C" w:tentative="1">
      <w:start w:val="1"/>
      <w:numFmt w:val="bullet"/>
      <w:lvlText w:val=""/>
      <w:lvlJc w:val="left"/>
      <w:pPr>
        <w:tabs>
          <w:tab w:val="num" w:pos="5040"/>
        </w:tabs>
        <w:ind w:left="5040" w:hanging="360"/>
      </w:pPr>
      <w:rPr>
        <w:rFonts w:ascii="Wingdings" w:hAnsi="Wingdings" w:hint="default"/>
      </w:rPr>
    </w:lvl>
    <w:lvl w:ilvl="7" w:tplc="C8DC2B48" w:tentative="1">
      <w:start w:val="1"/>
      <w:numFmt w:val="bullet"/>
      <w:lvlText w:val=""/>
      <w:lvlJc w:val="left"/>
      <w:pPr>
        <w:tabs>
          <w:tab w:val="num" w:pos="5760"/>
        </w:tabs>
        <w:ind w:left="5760" w:hanging="360"/>
      </w:pPr>
      <w:rPr>
        <w:rFonts w:ascii="Wingdings" w:hAnsi="Wingdings" w:hint="default"/>
      </w:rPr>
    </w:lvl>
    <w:lvl w:ilvl="8" w:tplc="D16C916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052177"/>
    <w:multiLevelType w:val="hybridMultilevel"/>
    <w:tmpl w:val="3AB48B9E"/>
    <w:lvl w:ilvl="0" w:tplc="809076E6">
      <w:start w:val="1"/>
      <w:numFmt w:val="lowerRoman"/>
      <w:lvlText w:val="%1."/>
      <w:lvlJc w:val="right"/>
      <w:pPr>
        <w:ind w:left="1068" w:hanging="360"/>
      </w:pPr>
      <w:rPr>
        <w:rFonts w:hint="default"/>
      </w:rPr>
    </w:lvl>
    <w:lvl w:ilvl="1" w:tplc="240A0019">
      <w:start w:val="1"/>
      <w:numFmt w:val="lowerLetter"/>
      <w:lvlText w:val="%2."/>
      <w:lvlJc w:val="left"/>
      <w:pPr>
        <w:ind w:left="1440" w:hanging="360"/>
      </w:pPr>
    </w:lvl>
    <w:lvl w:ilvl="2" w:tplc="240A0005">
      <w:start w:val="1"/>
      <w:numFmt w:val="bullet"/>
      <w:lvlText w:val=""/>
      <w:lvlJc w:val="left"/>
      <w:pPr>
        <w:ind w:left="2340" w:hanging="360"/>
      </w:pPr>
      <w:rPr>
        <w:rFonts w:ascii="Wingdings" w:hAnsi="Wingding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F9724B1"/>
    <w:multiLevelType w:val="hybridMultilevel"/>
    <w:tmpl w:val="930A679A"/>
    <w:lvl w:ilvl="0" w:tplc="EDCC4A8C">
      <w:start w:val="1"/>
      <w:numFmt w:val="decimal"/>
      <w:lvlText w:val="%1."/>
      <w:lvlJc w:val="left"/>
      <w:pPr>
        <w:tabs>
          <w:tab w:val="num" w:pos="720"/>
        </w:tabs>
        <w:ind w:left="720" w:hanging="360"/>
      </w:pPr>
    </w:lvl>
    <w:lvl w:ilvl="1" w:tplc="386ACACC" w:tentative="1">
      <w:start w:val="1"/>
      <w:numFmt w:val="decimal"/>
      <w:lvlText w:val="%2."/>
      <w:lvlJc w:val="left"/>
      <w:pPr>
        <w:tabs>
          <w:tab w:val="num" w:pos="1440"/>
        </w:tabs>
        <w:ind w:left="1440" w:hanging="360"/>
      </w:pPr>
    </w:lvl>
    <w:lvl w:ilvl="2" w:tplc="A9BE5F3A" w:tentative="1">
      <w:start w:val="1"/>
      <w:numFmt w:val="decimal"/>
      <w:lvlText w:val="%3."/>
      <w:lvlJc w:val="left"/>
      <w:pPr>
        <w:tabs>
          <w:tab w:val="num" w:pos="2160"/>
        </w:tabs>
        <w:ind w:left="2160" w:hanging="360"/>
      </w:pPr>
    </w:lvl>
    <w:lvl w:ilvl="3" w:tplc="B8DE8A54" w:tentative="1">
      <w:start w:val="1"/>
      <w:numFmt w:val="decimal"/>
      <w:lvlText w:val="%4."/>
      <w:lvlJc w:val="left"/>
      <w:pPr>
        <w:tabs>
          <w:tab w:val="num" w:pos="2880"/>
        </w:tabs>
        <w:ind w:left="2880" w:hanging="360"/>
      </w:pPr>
    </w:lvl>
    <w:lvl w:ilvl="4" w:tplc="5AEA4B44" w:tentative="1">
      <w:start w:val="1"/>
      <w:numFmt w:val="decimal"/>
      <w:lvlText w:val="%5."/>
      <w:lvlJc w:val="left"/>
      <w:pPr>
        <w:tabs>
          <w:tab w:val="num" w:pos="3600"/>
        </w:tabs>
        <w:ind w:left="3600" w:hanging="360"/>
      </w:pPr>
    </w:lvl>
    <w:lvl w:ilvl="5" w:tplc="E0B04A28" w:tentative="1">
      <w:start w:val="1"/>
      <w:numFmt w:val="decimal"/>
      <w:lvlText w:val="%6."/>
      <w:lvlJc w:val="left"/>
      <w:pPr>
        <w:tabs>
          <w:tab w:val="num" w:pos="4320"/>
        </w:tabs>
        <w:ind w:left="4320" w:hanging="360"/>
      </w:pPr>
    </w:lvl>
    <w:lvl w:ilvl="6" w:tplc="34DAD9C8" w:tentative="1">
      <w:start w:val="1"/>
      <w:numFmt w:val="decimal"/>
      <w:lvlText w:val="%7."/>
      <w:lvlJc w:val="left"/>
      <w:pPr>
        <w:tabs>
          <w:tab w:val="num" w:pos="5040"/>
        </w:tabs>
        <w:ind w:left="5040" w:hanging="360"/>
      </w:pPr>
    </w:lvl>
    <w:lvl w:ilvl="7" w:tplc="50A2D5BC" w:tentative="1">
      <w:start w:val="1"/>
      <w:numFmt w:val="decimal"/>
      <w:lvlText w:val="%8."/>
      <w:lvlJc w:val="left"/>
      <w:pPr>
        <w:tabs>
          <w:tab w:val="num" w:pos="5760"/>
        </w:tabs>
        <w:ind w:left="5760" w:hanging="360"/>
      </w:pPr>
    </w:lvl>
    <w:lvl w:ilvl="8" w:tplc="0AE4469C" w:tentative="1">
      <w:start w:val="1"/>
      <w:numFmt w:val="decimal"/>
      <w:lvlText w:val="%9."/>
      <w:lvlJc w:val="left"/>
      <w:pPr>
        <w:tabs>
          <w:tab w:val="num" w:pos="6480"/>
        </w:tabs>
        <w:ind w:left="6480" w:hanging="360"/>
      </w:pPr>
    </w:lvl>
  </w:abstractNum>
  <w:abstractNum w:abstractNumId="17" w15:restartNumberingAfterBreak="0">
    <w:nsid w:val="5099372F"/>
    <w:multiLevelType w:val="hybridMultilevel"/>
    <w:tmpl w:val="7702FC2A"/>
    <w:lvl w:ilvl="0" w:tplc="69845C5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1721843"/>
    <w:multiLevelType w:val="hybridMultilevel"/>
    <w:tmpl w:val="F66074FA"/>
    <w:lvl w:ilvl="0" w:tplc="0F188078">
      <w:start w:val="1"/>
      <w:numFmt w:val="lowerRoman"/>
      <w:lvlText w:val="%1."/>
      <w:lvlJc w:val="right"/>
      <w:pPr>
        <w:ind w:left="1068"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2495539"/>
    <w:multiLevelType w:val="hybridMultilevel"/>
    <w:tmpl w:val="8B5CB74A"/>
    <w:lvl w:ilvl="0" w:tplc="3B4EA6E0">
      <w:start w:val="1"/>
      <w:numFmt w:val="decimal"/>
      <w:lvlText w:val="%1."/>
      <w:lvlJc w:val="left"/>
      <w:pPr>
        <w:tabs>
          <w:tab w:val="num" w:pos="720"/>
        </w:tabs>
        <w:ind w:left="720" w:hanging="360"/>
      </w:pPr>
    </w:lvl>
    <w:lvl w:ilvl="1" w:tplc="914A4122">
      <w:start w:val="1"/>
      <w:numFmt w:val="lowerRoman"/>
      <w:lvlText w:val="%2."/>
      <w:lvlJc w:val="right"/>
      <w:pPr>
        <w:tabs>
          <w:tab w:val="num" w:pos="1440"/>
        </w:tabs>
        <w:ind w:left="1440" w:hanging="360"/>
      </w:pPr>
    </w:lvl>
    <w:lvl w:ilvl="2" w:tplc="0D18C862" w:tentative="1">
      <w:start w:val="1"/>
      <w:numFmt w:val="decimal"/>
      <w:lvlText w:val="%3."/>
      <w:lvlJc w:val="left"/>
      <w:pPr>
        <w:tabs>
          <w:tab w:val="num" w:pos="2160"/>
        </w:tabs>
        <w:ind w:left="2160" w:hanging="360"/>
      </w:pPr>
    </w:lvl>
    <w:lvl w:ilvl="3" w:tplc="15D84C96" w:tentative="1">
      <w:start w:val="1"/>
      <w:numFmt w:val="decimal"/>
      <w:lvlText w:val="%4."/>
      <w:lvlJc w:val="left"/>
      <w:pPr>
        <w:tabs>
          <w:tab w:val="num" w:pos="2880"/>
        </w:tabs>
        <w:ind w:left="2880" w:hanging="360"/>
      </w:pPr>
    </w:lvl>
    <w:lvl w:ilvl="4" w:tplc="6B540C9A" w:tentative="1">
      <w:start w:val="1"/>
      <w:numFmt w:val="decimal"/>
      <w:lvlText w:val="%5."/>
      <w:lvlJc w:val="left"/>
      <w:pPr>
        <w:tabs>
          <w:tab w:val="num" w:pos="3600"/>
        </w:tabs>
        <w:ind w:left="3600" w:hanging="360"/>
      </w:pPr>
    </w:lvl>
    <w:lvl w:ilvl="5" w:tplc="D5440E5E" w:tentative="1">
      <w:start w:val="1"/>
      <w:numFmt w:val="decimal"/>
      <w:lvlText w:val="%6."/>
      <w:lvlJc w:val="left"/>
      <w:pPr>
        <w:tabs>
          <w:tab w:val="num" w:pos="4320"/>
        </w:tabs>
        <w:ind w:left="4320" w:hanging="360"/>
      </w:pPr>
    </w:lvl>
    <w:lvl w:ilvl="6" w:tplc="6AACC074" w:tentative="1">
      <w:start w:val="1"/>
      <w:numFmt w:val="decimal"/>
      <w:lvlText w:val="%7."/>
      <w:lvlJc w:val="left"/>
      <w:pPr>
        <w:tabs>
          <w:tab w:val="num" w:pos="5040"/>
        </w:tabs>
        <w:ind w:left="5040" w:hanging="360"/>
      </w:pPr>
    </w:lvl>
    <w:lvl w:ilvl="7" w:tplc="B8C26978" w:tentative="1">
      <w:start w:val="1"/>
      <w:numFmt w:val="decimal"/>
      <w:lvlText w:val="%8."/>
      <w:lvlJc w:val="left"/>
      <w:pPr>
        <w:tabs>
          <w:tab w:val="num" w:pos="5760"/>
        </w:tabs>
        <w:ind w:left="5760" w:hanging="360"/>
      </w:pPr>
    </w:lvl>
    <w:lvl w:ilvl="8" w:tplc="7F1E3B22" w:tentative="1">
      <w:start w:val="1"/>
      <w:numFmt w:val="decimal"/>
      <w:lvlText w:val="%9."/>
      <w:lvlJc w:val="left"/>
      <w:pPr>
        <w:tabs>
          <w:tab w:val="num" w:pos="6480"/>
        </w:tabs>
        <w:ind w:left="6480" w:hanging="360"/>
      </w:pPr>
    </w:lvl>
  </w:abstractNum>
  <w:abstractNum w:abstractNumId="20" w15:restartNumberingAfterBreak="0">
    <w:nsid w:val="727254EB"/>
    <w:multiLevelType w:val="multilevel"/>
    <w:tmpl w:val="E8524CB4"/>
    <w:lvl w:ilvl="0">
      <w:start w:val="1"/>
      <w:numFmt w:val="bullet"/>
      <w:lvlText w:val=""/>
      <w:lvlJc w:val="left"/>
      <w:pPr>
        <w:tabs>
          <w:tab w:val="num" w:pos="-768"/>
        </w:tabs>
        <w:ind w:left="-768" w:hanging="360"/>
      </w:pPr>
      <w:rPr>
        <w:rFonts w:ascii="Symbol" w:hAnsi="Symbol" w:hint="default"/>
        <w:sz w:val="20"/>
      </w:rPr>
    </w:lvl>
    <w:lvl w:ilvl="1" w:tentative="1">
      <w:start w:val="1"/>
      <w:numFmt w:val="bullet"/>
      <w:lvlText w:val=""/>
      <w:lvlJc w:val="left"/>
      <w:pPr>
        <w:tabs>
          <w:tab w:val="num" w:pos="-48"/>
        </w:tabs>
        <w:ind w:left="-48" w:hanging="360"/>
      </w:pPr>
      <w:rPr>
        <w:rFonts w:ascii="Symbol" w:hAnsi="Symbol" w:hint="default"/>
        <w:sz w:val="20"/>
      </w:rPr>
    </w:lvl>
    <w:lvl w:ilvl="2" w:tentative="1">
      <w:start w:val="1"/>
      <w:numFmt w:val="bullet"/>
      <w:lvlText w:val=""/>
      <w:lvlJc w:val="left"/>
      <w:pPr>
        <w:tabs>
          <w:tab w:val="num" w:pos="672"/>
        </w:tabs>
        <w:ind w:left="672" w:hanging="360"/>
      </w:pPr>
      <w:rPr>
        <w:rFonts w:ascii="Symbol" w:hAnsi="Symbol" w:hint="default"/>
        <w:sz w:val="20"/>
      </w:rPr>
    </w:lvl>
    <w:lvl w:ilvl="3" w:tentative="1">
      <w:start w:val="1"/>
      <w:numFmt w:val="bullet"/>
      <w:lvlText w:val=""/>
      <w:lvlJc w:val="left"/>
      <w:pPr>
        <w:tabs>
          <w:tab w:val="num" w:pos="1392"/>
        </w:tabs>
        <w:ind w:left="1392" w:hanging="360"/>
      </w:pPr>
      <w:rPr>
        <w:rFonts w:ascii="Symbol" w:hAnsi="Symbol" w:hint="default"/>
        <w:sz w:val="20"/>
      </w:rPr>
    </w:lvl>
    <w:lvl w:ilvl="4" w:tentative="1">
      <w:start w:val="1"/>
      <w:numFmt w:val="bullet"/>
      <w:lvlText w:val=""/>
      <w:lvlJc w:val="left"/>
      <w:pPr>
        <w:tabs>
          <w:tab w:val="num" w:pos="2112"/>
        </w:tabs>
        <w:ind w:left="2112" w:hanging="360"/>
      </w:pPr>
      <w:rPr>
        <w:rFonts w:ascii="Symbol" w:hAnsi="Symbol" w:hint="default"/>
        <w:sz w:val="20"/>
      </w:rPr>
    </w:lvl>
    <w:lvl w:ilvl="5" w:tentative="1">
      <w:start w:val="1"/>
      <w:numFmt w:val="bullet"/>
      <w:lvlText w:val=""/>
      <w:lvlJc w:val="left"/>
      <w:pPr>
        <w:tabs>
          <w:tab w:val="num" w:pos="2832"/>
        </w:tabs>
        <w:ind w:left="2832" w:hanging="360"/>
      </w:pPr>
      <w:rPr>
        <w:rFonts w:ascii="Symbol" w:hAnsi="Symbol" w:hint="default"/>
        <w:sz w:val="20"/>
      </w:rPr>
    </w:lvl>
    <w:lvl w:ilvl="6" w:tentative="1">
      <w:start w:val="1"/>
      <w:numFmt w:val="bullet"/>
      <w:lvlText w:val=""/>
      <w:lvlJc w:val="left"/>
      <w:pPr>
        <w:tabs>
          <w:tab w:val="num" w:pos="3552"/>
        </w:tabs>
        <w:ind w:left="3552" w:hanging="360"/>
      </w:pPr>
      <w:rPr>
        <w:rFonts w:ascii="Symbol" w:hAnsi="Symbol" w:hint="default"/>
        <w:sz w:val="20"/>
      </w:rPr>
    </w:lvl>
    <w:lvl w:ilvl="7" w:tentative="1">
      <w:start w:val="1"/>
      <w:numFmt w:val="bullet"/>
      <w:lvlText w:val=""/>
      <w:lvlJc w:val="left"/>
      <w:pPr>
        <w:tabs>
          <w:tab w:val="num" w:pos="4272"/>
        </w:tabs>
        <w:ind w:left="4272" w:hanging="360"/>
      </w:pPr>
      <w:rPr>
        <w:rFonts w:ascii="Symbol" w:hAnsi="Symbol" w:hint="default"/>
        <w:sz w:val="20"/>
      </w:rPr>
    </w:lvl>
    <w:lvl w:ilvl="8" w:tentative="1">
      <w:start w:val="1"/>
      <w:numFmt w:val="bullet"/>
      <w:lvlText w:val=""/>
      <w:lvlJc w:val="left"/>
      <w:pPr>
        <w:tabs>
          <w:tab w:val="num" w:pos="4992"/>
        </w:tabs>
        <w:ind w:left="4992" w:hanging="360"/>
      </w:pPr>
      <w:rPr>
        <w:rFonts w:ascii="Symbol" w:hAnsi="Symbol" w:hint="default"/>
        <w:sz w:val="20"/>
      </w:rPr>
    </w:lvl>
  </w:abstractNum>
  <w:abstractNum w:abstractNumId="21" w15:restartNumberingAfterBreak="0">
    <w:nsid w:val="763510D0"/>
    <w:multiLevelType w:val="hybridMultilevel"/>
    <w:tmpl w:val="8B2EEE48"/>
    <w:lvl w:ilvl="0" w:tplc="240A0015">
      <w:start w:val="1"/>
      <w:numFmt w:val="upp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80593260">
    <w:abstractNumId w:val="4"/>
  </w:num>
  <w:num w:numId="2" w16cid:durableId="261307563">
    <w:abstractNumId w:val="4"/>
  </w:num>
  <w:num w:numId="3" w16cid:durableId="681902922">
    <w:abstractNumId w:val="4"/>
  </w:num>
  <w:num w:numId="4" w16cid:durableId="811672608">
    <w:abstractNumId w:val="4"/>
  </w:num>
  <w:num w:numId="5" w16cid:durableId="1053693681">
    <w:abstractNumId w:val="4"/>
  </w:num>
  <w:num w:numId="6" w16cid:durableId="1949854634">
    <w:abstractNumId w:val="4"/>
  </w:num>
  <w:num w:numId="7" w16cid:durableId="14785693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131838">
    <w:abstractNumId w:val="17"/>
  </w:num>
  <w:num w:numId="9" w16cid:durableId="414977310">
    <w:abstractNumId w:val="11"/>
  </w:num>
  <w:num w:numId="10" w16cid:durableId="16658463">
    <w:abstractNumId w:val="6"/>
  </w:num>
  <w:num w:numId="11" w16cid:durableId="2048991435">
    <w:abstractNumId w:val="13"/>
  </w:num>
  <w:num w:numId="12" w16cid:durableId="1946885037">
    <w:abstractNumId w:val="20"/>
  </w:num>
  <w:num w:numId="13" w16cid:durableId="558135231">
    <w:abstractNumId w:val="12"/>
  </w:num>
  <w:num w:numId="14" w16cid:durableId="1567380332">
    <w:abstractNumId w:val="3"/>
  </w:num>
  <w:num w:numId="15" w16cid:durableId="468478217">
    <w:abstractNumId w:val="9"/>
  </w:num>
  <w:num w:numId="16" w16cid:durableId="2131195731">
    <w:abstractNumId w:val="2"/>
  </w:num>
  <w:num w:numId="17" w16cid:durableId="765879730">
    <w:abstractNumId w:val="10"/>
  </w:num>
  <w:num w:numId="18" w16cid:durableId="545987386">
    <w:abstractNumId w:val="21"/>
  </w:num>
  <w:num w:numId="19" w16cid:durableId="1696686099">
    <w:abstractNumId w:val="5"/>
  </w:num>
  <w:num w:numId="20" w16cid:durableId="1356882583">
    <w:abstractNumId w:val="1"/>
  </w:num>
  <w:num w:numId="21" w16cid:durableId="272514751">
    <w:abstractNumId w:val="18"/>
  </w:num>
  <w:num w:numId="22" w16cid:durableId="2080974234">
    <w:abstractNumId w:val="8"/>
  </w:num>
  <w:num w:numId="23" w16cid:durableId="1704280430">
    <w:abstractNumId w:val="15"/>
  </w:num>
  <w:num w:numId="24" w16cid:durableId="2023513225">
    <w:abstractNumId w:val="0"/>
  </w:num>
  <w:num w:numId="25" w16cid:durableId="1803503013">
    <w:abstractNumId w:val="19"/>
  </w:num>
  <w:num w:numId="26" w16cid:durableId="286010769">
    <w:abstractNumId w:val="16"/>
  </w:num>
  <w:num w:numId="27" w16cid:durableId="282811655">
    <w:abstractNumId w:val="7"/>
  </w:num>
  <w:num w:numId="28" w16cid:durableId="1330015955">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852"/>
    <w:rsid w:val="00000080"/>
    <w:rsid w:val="00000380"/>
    <w:rsid w:val="00000520"/>
    <w:rsid w:val="0000066E"/>
    <w:rsid w:val="000007AC"/>
    <w:rsid w:val="00000962"/>
    <w:rsid w:val="00000B24"/>
    <w:rsid w:val="00000C89"/>
    <w:rsid w:val="00001136"/>
    <w:rsid w:val="00001817"/>
    <w:rsid w:val="00001D18"/>
    <w:rsid w:val="00001FD9"/>
    <w:rsid w:val="00002488"/>
    <w:rsid w:val="000024B6"/>
    <w:rsid w:val="00002C68"/>
    <w:rsid w:val="00002DF3"/>
    <w:rsid w:val="00003965"/>
    <w:rsid w:val="00003CE0"/>
    <w:rsid w:val="000042F5"/>
    <w:rsid w:val="000049E6"/>
    <w:rsid w:val="00004F77"/>
    <w:rsid w:val="000062D5"/>
    <w:rsid w:val="00006576"/>
    <w:rsid w:val="00006A09"/>
    <w:rsid w:val="00006C8E"/>
    <w:rsid w:val="00006E50"/>
    <w:rsid w:val="0000780B"/>
    <w:rsid w:val="000101C0"/>
    <w:rsid w:val="00011328"/>
    <w:rsid w:val="00011D75"/>
    <w:rsid w:val="0001226C"/>
    <w:rsid w:val="000122A9"/>
    <w:rsid w:val="00012511"/>
    <w:rsid w:val="00012AEE"/>
    <w:rsid w:val="00013173"/>
    <w:rsid w:val="00013203"/>
    <w:rsid w:val="000135AE"/>
    <w:rsid w:val="00013A04"/>
    <w:rsid w:val="00014053"/>
    <w:rsid w:val="0001423B"/>
    <w:rsid w:val="00014635"/>
    <w:rsid w:val="00014DA2"/>
    <w:rsid w:val="00016588"/>
    <w:rsid w:val="00017594"/>
    <w:rsid w:val="0001761E"/>
    <w:rsid w:val="00017C31"/>
    <w:rsid w:val="00020221"/>
    <w:rsid w:val="00020441"/>
    <w:rsid w:val="00020ABA"/>
    <w:rsid w:val="00021312"/>
    <w:rsid w:val="00021706"/>
    <w:rsid w:val="000219EC"/>
    <w:rsid w:val="00021DC3"/>
    <w:rsid w:val="00022110"/>
    <w:rsid w:val="000226A3"/>
    <w:rsid w:val="0002274C"/>
    <w:rsid w:val="0002339A"/>
    <w:rsid w:val="00023E6B"/>
    <w:rsid w:val="000248BE"/>
    <w:rsid w:val="00025101"/>
    <w:rsid w:val="000260AC"/>
    <w:rsid w:val="00026D93"/>
    <w:rsid w:val="00026FB9"/>
    <w:rsid w:val="0002766F"/>
    <w:rsid w:val="00027EA9"/>
    <w:rsid w:val="00030188"/>
    <w:rsid w:val="0003019E"/>
    <w:rsid w:val="000313AE"/>
    <w:rsid w:val="0003157A"/>
    <w:rsid w:val="00031646"/>
    <w:rsid w:val="0003193D"/>
    <w:rsid w:val="00031C08"/>
    <w:rsid w:val="00031EA9"/>
    <w:rsid w:val="00032835"/>
    <w:rsid w:val="000333AD"/>
    <w:rsid w:val="000333C0"/>
    <w:rsid w:val="0003382F"/>
    <w:rsid w:val="00033CCB"/>
    <w:rsid w:val="00033F46"/>
    <w:rsid w:val="0003411B"/>
    <w:rsid w:val="00034F71"/>
    <w:rsid w:val="000352C8"/>
    <w:rsid w:val="000358A3"/>
    <w:rsid w:val="00035DD5"/>
    <w:rsid w:val="00036207"/>
    <w:rsid w:val="00036797"/>
    <w:rsid w:val="000379D2"/>
    <w:rsid w:val="00037ABF"/>
    <w:rsid w:val="00040185"/>
    <w:rsid w:val="00040737"/>
    <w:rsid w:val="0004078F"/>
    <w:rsid w:val="00041ACD"/>
    <w:rsid w:val="00041BD8"/>
    <w:rsid w:val="00042378"/>
    <w:rsid w:val="00042462"/>
    <w:rsid w:val="00042923"/>
    <w:rsid w:val="00042973"/>
    <w:rsid w:val="00042B37"/>
    <w:rsid w:val="000432F2"/>
    <w:rsid w:val="00043826"/>
    <w:rsid w:val="00043EFD"/>
    <w:rsid w:val="0004420D"/>
    <w:rsid w:val="00044830"/>
    <w:rsid w:val="00044E8A"/>
    <w:rsid w:val="000455BD"/>
    <w:rsid w:val="0004562E"/>
    <w:rsid w:val="00045973"/>
    <w:rsid w:val="00045AA0"/>
    <w:rsid w:val="00046205"/>
    <w:rsid w:val="000466A1"/>
    <w:rsid w:val="00046987"/>
    <w:rsid w:val="00050703"/>
    <w:rsid w:val="00050F8C"/>
    <w:rsid w:val="000511B3"/>
    <w:rsid w:val="000515DC"/>
    <w:rsid w:val="000517D4"/>
    <w:rsid w:val="00051C06"/>
    <w:rsid w:val="0005224D"/>
    <w:rsid w:val="000524EA"/>
    <w:rsid w:val="00052517"/>
    <w:rsid w:val="00052C88"/>
    <w:rsid w:val="00052D8C"/>
    <w:rsid w:val="00053157"/>
    <w:rsid w:val="00053499"/>
    <w:rsid w:val="00053FC5"/>
    <w:rsid w:val="00055191"/>
    <w:rsid w:val="000552C9"/>
    <w:rsid w:val="00055330"/>
    <w:rsid w:val="00055371"/>
    <w:rsid w:val="00055A73"/>
    <w:rsid w:val="00055C9A"/>
    <w:rsid w:val="00055D27"/>
    <w:rsid w:val="00055D8A"/>
    <w:rsid w:val="00055E38"/>
    <w:rsid w:val="00056024"/>
    <w:rsid w:val="00056858"/>
    <w:rsid w:val="00056B18"/>
    <w:rsid w:val="00056DFC"/>
    <w:rsid w:val="000605D9"/>
    <w:rsid w:val="000607A0"/>
    <w:rsid w:val="00060C1B"/>
    <w:rsid w:val="00060D8F"/>
    <w:rsid w:val="00060EC7"/>
    <w:rsid w:val="00060F94"/>
    <w:rsid w:val="00061306"/>
    <w:rsid w:val="0006145D"/>
    <w:rsid w:val="000619C6"/>
    <w:rsid w:val="00061AB6"/>
    <w:rsid w:val="000620B6"/>
    <w:rsid w:val="00062317"/>
    <w:rsid w:val="000628C9"/>
    <w:rsid w:val="00062C2B"/>
    <w:rsid w:val="00063362"/>
    <w:rsid w:val="00064B0F"/>
    <w:rsid w:val="00064EA7"/>
    <w:rsid w:val="0006544D"/>
    <w:rsid w:val="00066F61"/>
    <w:rsid w:val="00067056"/>
    <w:rsid w:val="00067143"/>
    <w:rsid w:val="00070172"/>
    <w:rsid w:val="00070585"/>
    <w:rsid w:val="000709CC"/>
    <w:rsid w:val="00071856"/>
    <w:rsid w:val="00071E47"/>
    <w:rsid w:val="000720AC"/>
    <w:rsid w:val="000720F4"/>
    <w:rsid w:val="000726A6"/>
    <w:rsid w:val="00072992"/>
    <w:rsid w:val="0007355F"/>
    <w:rsid w:val="0007376E"/>
    <w:rsid w:val="00073818"/>
    <w:rsid w:val="00073824"/>
    <w:rsid w:val="00073A45"/>
    <w:rsid w:val="00074031"/>
    <w:rsid w:val="0007449C"/>
    <w:rsid w:val="000757FB"/>
    <w:rsid w:val="00075E51"/>
    <w:rsid w:val="0007610E"/>
    <w:rsid w:val="0007656B"/>
    <w:rsid w:val="000765F7"/>
    <w:rsid w:val="00076C1E"/>
    <w:rsid w:val="000771D4"/>
    <w:rsid w:val="00077A6B"/>
    <w:rsid w:val="000802D4"/>
    <w:rsid w:val="00080371"/>
    <w:rsid w:val="00080B06"/>
    <w:rsid w:val="00080C21"/>
    <w:rsid w:val="0008129A"/>
    <w:rsid w:val="00081814"/>
    <w:rsid w:val="000818D9"/>
    <w:rsid w:val="00081985"/>
    <w:rsid w:val="00081A35"/>
    <w:rsid w:val="00081D02"/>
    <w:rsid w:val="00081F0C"/>
    <w:rsid w:val="000820FD"/>
    <w:rsid w:val="000836EB"/>
    <w:rsid w:val="00084081"/>
    <w:rsid w:val="000840BD"/>
    <w:rsid w:val="00084749"/>
    <w:rsid w:val="000847CE"/>
    <w:rsid w:val="00084A8B"/>
    <w:rsid w:val="00085113"/>
    <w:rsid w:val="000852AA"/>
    <w:rsid w:val="00085CC6"/>
    <w:rsid w:val="0008642A"/>
    <w:rsid w:val="00087E48"/>
    <w:rsid w:val="000903E2"/>
    <w:rsid w:val="000908D2"/>
    <w:rsid w:val="00090B46"/>
    <w:rsid w:val="00090EC1"/>
    <w:rsid w:val="00091D75"/>
    <w:rsid w:val="0009223B"/>
    <w:rsid w:val="00092B28"/>
    <w:rsid w:val="00093282"/>
    <w:rsid w:val="00093292"/>
    <w:rsid w:val="00093A53"/>
    <w:rsid w:val="0009428E"/>
    <w:rsid w:val="000944B0"/>
    <w:rsid w:val="000944FC"/>
    <w:rsid w:val="0009491A"/>
    <w:rsid w:val="00094E94"/>
    <w:rsid w:val="0009506E"/>
    <w:rsid w:val="000956A0"/>
    <w:rsid w:val="00095828"/>
    <w:rsid w:val="000963A9"/>
    <w:rsid w:val="000966CE"/>
    <w:rsid w:val="0009692F"/>
    <w:rsid w:val="00097576"/>
    <w:rsid w:val="00097A71"/>
    <w:rsid w:val="00097BEF"/>
    <w:rsid w:val="00097BFB"/>
    <w:rsid w:val="00097D3F"/>
    <w:rsid w:val="000A047E"/>
    <w:rsid w:val="000A063E"/>
    <w:rsid w:val="000A0C30"/>
    <w:rsid w:val="000A0DE1"/>
    <w:rsid w:val="000A105B"/>
    <w:rsid w:val="000A132F"/>
    <w:rsid w:val="000A2163"/>
    <w:rsid w:val="000A2532"/>
    <w:rsid w:val="000A2682"/>
    <w:rsid w:val="000A3599"/>
    <w:rsid w:val="000A3C65"/>
    <w:rsid w:val="000A3EBF"/>
    <w:rsid w:val="000A3F9B"/>
    <w:rsid w:val="000A417B"/>
    <w:rsid w:val="000A4257"/>
    <w:rsid w:val="000A51D6"/>
    <w:rsid w:val="000A5551"/>
    <w:rsid w:val="000A603E"/>
    <w:rsid w:val="000A629A"/>
    <w:rsid w:val="000A6FC2"/>
    <w:rsid w:val="000A7930"/>
    <w:rsid w:val="000A7EE0"/>
    <w:rsid w:val="000B023C"/>
    <w:rsid w:val="000B0347"/>
    <w:rsid w:val="000B05DE"/>
    <w:rsid w:val="000B06A9"/>
    <w:rsid w:val="000B08D4"/>
    <w:rsid w:val="000B0C75"/>
    <w:rsid w:val="000B0E5B"/>
    <w:rsid w:val="000B1BE9"/>
    <w:rsid w:val="000B2255"/>
    <w:rsid w:val="000B260D"/>
    <w:rsid w:val="000B2901"/>
    <w:rsid w:val="000B2A07"/>
    <w:rsid w:val="000B3700"/>
    <w:rsid w:val="000B3BAE"/>
    <w:rsid w:val="000B3BC2"/>
    <w:rsid w:val="000B3F06"/>
    <w:rsid w:val="000B532B"/>
    <w:rsid w:val="000B63B8"/>
    <w:rsid w:val="000B69DD"/>
    <w:rsid w:val="000B7351"/>
    <w:rsid w:val="000C003F"/>
    <w:rsid w:val="000C014C"/>
    <w:rsid w:val="000C0287"/>
    <w:rsid w:val="000C04F8"/>
    <w:rsid w:val="000C0769"/>
    <w:rsid w:val="000C09B9"/>
    <w:rsid w:val="000C0E9E"/>
    <w:rsid w:val="000C32BF"/>
    <w:rsid w:val="000C4CAF"/>
    <w:rsid w:val="000C4F08"/>
    <w:rsid w:val="000C5350"/>
    <w:rsid w:val="000C5814"/>
    <w:rsid w:val="000C5D63"/>
    <w:rsid w:val="000C693C"/>
    <w:rsid w:val="000C70D1"/>
    <w:rsid w:val="000C798A"/>
    <w:rsid w:val="000C7B67"/>
    <w:rsid w:val="000D08DB"/>
    <w:rsid w:val="000D0C02"/>
    <w:rsid w:val="000D1065"/>
    <w:rsid w:val="000D19CC"/>
    <w:rsid w:val="000D1B67"/>
    <w:rsid w:val="000D21EF"/>
    <w:rsid w:val="000D2DD1"/>
    <w:rsid w:val="000D2E4B"/>
    <w:rsid w:val="000D3C7F"/>
    <w:rsid w:val="000D3ED7"/>
    <w:rsid w:val="000D4930"/>
    <w:rsid w:val="000D4994"/>
    <w:rsid w:val="000D5E82"/>
    <w:rsid w:val="000D6268"/>
    <w:rsid w:val="000D64B9"/>
    <w:rsid w:val="000D696D"/>
    <w:rsid w:val="000D7107"/>
    <w:rsid w:val="000D7F58"/>
    <w:rsid w:val="000E03B2"/>
    <w:rsid w:val="000E0C1B"/>
    <w:rsid w:val="000E0E02"/>
    <w:rsid w:val="000E1603"/>
    <w:rsid w:val="000E26D6"/>
    <w:rsid w:val="000E298B"/>
    <w:rsid w:val="000E2D4A"/>
    <w:rsid w:val="000E3C9D"/>
    <w:rsid w:val="000E4488"/>
    <w:rsid w:val="000E4CBD"/>
    <w:rsid w:val="000E5008"/>
    <w:rsid w:val="000E5379"/>
    <w:rsid w:val="000E56DB"/>
    <w:rsid w:val="000E6727"/>
    <w:rsid w:val="000E6782"/>
    <w:rsid w:val="000E6A9D"/>
    <w:rsid w:val="000E6DE9"/>
    <w:rsid w:val="000E70AA"/>
    <w:rsid w:val="000E74F8"/>
    <w:rsid w:val="000F0938"/>
    <w:rsid w:val="000F168A"/>
    <w:rsid w:val="000F16C0"/>
    <w:rsid w:val="000F1F20"/>
    <w:rsid w:val="000F21E0"/>
    <w:rsid w:val="000F23A0"/>
    <w:rsid w:val="000F23F1"/>
    <w:rsid w:val="000F298C"/>
    <w:rsid w:val="000F3E6D"/>
    <w:rsid w:val="000F4120"/>
    <w:rsid w:val="000F47F1"/>
    <w:rsid w:val="000F4A50"/>
    <w:rsid w:val="000F4C39"/>
    <w:rsid w:val="000F4CD6"/>
    <w:rsid w:val="000F4F1B"/>
    <w:rsid w:val="000F50FC"/>
    <w:rsid w:val="000F5A31"/>
    <w:rsid w:val="000F5B29"/>
    <w:rsid w:val="000F5BEC"/>
    <w:rsid w:val="000F66F0"/>
    <w:rsid w:val="000F6A02"/>
    <w:rsid w:val="000F6E03"/>
    <w:rsid w:val="000F6EB2"/>
    <w:rsid w:val="000F77E0"/>
    <w:rsid w:val="000F780A"/>
    <w:rsid w:val="000F7811"/>
    <w:rsid w:val="000F7B4A"/>
    <w:rsid w:val="000F7E90"/>
    <w:rsid w:val="000F7FCF"/>
    <w:rsid w:val="001000A7"/>
    <w:rsid w:val="00100C46"/>
    <w:rsid w:val="001010AE"/>
    <w:rsid w:val="00101121"/>
    <w:rsid w:val="001017B9"/>
    <w:rsid w:val="0010189D"/>
    <w:rsid w:val="0010192A"/>
    <w:rsid w:val="00101C4B"/>
    <w:rsid w:val="00102223"/>
    <w:rsid w:val="00102674"/>
    <w:rsid w:val="00103084"/>
    <w:rsid w:val="00103BE1"/>
    <w:rsid w:val="00103F6A"/>
    <w:rsid w:val="00104723"/>
    <w:rsid w:val="00104A6A"/>
    <w:rsid w:val="001051C7"/>
    <w:rsid w:val="00105769"/>
    <w:rsid w:val="0010616F"/>
    <w:rsid w:val="00106209"/>
    <w:rsid w:val="0010628B"/>
    <w:rsid w:val="001062DF"/>
    <w:rsid w:val="001071FD"/>
    <w:rsid w:val="00107472"/>
    <w:rsid w:val="00107A15"/>
    <w:rsid w:val="001104FE"/>
    <w:rsid w:val="00110A15"/>
    <w:rsid w:val="00110A1C"/>
    <w:rsid w:val="00110A66"/>
    <w:rsid w:val="00110B81"/>
    <w:rsid w:val="00110D42"/>
    <w:rsid w:val="0011104F"/>
    <w:rsid w:val="00111937"/>
    <w:rsid w:val="00111A48"/>
    <w:rsid w:val="001137F9"/>
    <w:rsid w:val="00114B29"/>
    <w:rsid w:val="00115378"/>
    <w:rsid w:val="00115A1B"/>
    <w:rsid w:val="00116437"/>
    <w:rsid w:val="001173AB"/>
    <w:rsid w:val="00117497"/>
    <w:rsid w:val="00117B10"/>
    <w:rsid w:val="00117D0B"/>
    <w:rsid w:val="0012009E"/>
    <w:rsid w:val="00121490"/>
    <w:rsid w:val="0012158A"/>
    <w:rsid w:val="00121DBE"/>
    <w:rsid w:val="00122843"/>
    <w:rsid w:val="00122915"/>
    <w:rsid w:val="0012312B"/>
    <w:rsid w:val="001235D1"/>
    <w:rsid w:val="001238C4"/>
    <w:rsid w:val="00123C1C"/>
    <w:rsid w:val="0012410D"/>
    <w:rsid w:val="0012439D"/>
    <w:rsid w:val="0012456F"/>
    <w:rsid w:val="00124B07"/>
    <w:rsid w:val="00124EA2"/>
    <w:rsid w:val="00124EC5"/>
    <w:rsid w:val="00125401"/>
    <w:rsid w:val="0012565B"/>
    <w:rsid w:val="00125843"/>
    <w:rsid w:val="0012600F"/>
    <w:rsid w:val="00126086"/>
    <w:rsid w:val="00126DD9"/>
    <w:rsid w:val="001316EC"/>
    <w:rsid w:val="0013185C"/>
    <w:rsid w:val="001318CA"/>
    <w:rsid w:val="00131B8D"/>
    <w:rsid w:val="0013224B"/>
    <w:rsid w:val="00132406"/>
    <w:rsid w:val="00132E40"/>
    <w:rsid w:val="001332F2"/>
    <w:rsid w:val="00133375"/>
    <w:rsid w:val="001337A8"/>
    <w:rsid w:val="00133826"/>
    <w:rsid w:val="00134042"/>
    <w:rsid w:val="001348E7"/>
    <w:rsid w:val="00134F4C"/>
    <w:rsid w:val="00136086"/>
    <w:rsid w:val="00136254"/>
    <w:rsid w:val="0013643F"/>
    <w:rsid w:val="00136963"/>
    <w:rsid w:val="0013718E"/>
    <w:rsid w:val="00137FCF"/>
    <w:rsid w:val="0014062E"/>
    <w:rsid w:val="0014134B"/>
    <w:rsid w:val="00141FCE"/>
    <w:rsid w:val="0014206C"/>
    <w:rsid w:val="0014229C"/>
    <w:rsid w:val="00142E2C"/>
    <w:rsid w:val="001431EB"/>
    <w:rsid w:val="00143819"/>
    <w:rsid w:val="00143953"/>
    <w:rsid w:val="001440BF"/>
    <w:rsid w:val="001441DF"/>
    <w:rsid w:val="0014438A"/>
    <w:rsid w:val="00144B4D"/>
    <w:rsid w:val="00145316"/>
    <w:rsid w:val="00145630"/>
    <w:rsid w:val="00145AF9"/>
    <w:rsid w:val="001469C8"/>
    <w:rsid w:val="0014702B"/>
    <w:rsid w:val="00147513"/>
    <w:rsid w:val="0014783A"/>
    <w:rsid w:val="00147D42"/>
    <w:rsid w:val="001502A7"/>
    <w:rsid w:val="001511AA"/>
    <w:rsid w:val="001512E1"/>
    <w:rsid w:val="00151606"/>
    <w:rsid w:val="0015162B"/>
    <w:rsid w:val="00151B4B"/>
    <w:rsid w:val="00151CB9"/>
    <w:rsid w:val="0015231C"/>
    <w:rsid w:val="001525C7"/>
    <w:rsid w:val="00152C95"/>
    <w:rsid w:val="00152CA7"/>
    <w:rsid w:val="001532C9"/>
    <w:rsid w:val="00153C2B"/>
    <w:rsid w:val="0015450E"/>
    <w:rsid w:val="00154B6E"/>
    <w:rsid w:val="00154FB9"/>
    <w:rsid w:val="0015529B"/>
    <w:rsid w:val="00155845"/>
    <w:rsid w:val="00155BCB"/>
    <w:rsid w:val="001567F1"/>
    <w:rsid w:val="0015688C"/>
    <w:rsid w:val="00157F6C"/>
    <w:rsid w:val="00160ACD"/>
    <w:rsid w:val="00161975"/>
    <w:rsid w:val="00161A16"/>
    <w:rsid w:val="00161C13"/>
    <w:rsid w:val="00161D2F"/>
    <w:rsid w:val="0016280B"/>
    <w:rsid w:val="001638E5"/>
    <w:rsid w:val="00163AC1"/>
    <w:rsid w:val="00163C60"/>
    <w:rsid w:val="00164038"/>
    <w:rsid w:val="001640B1"/>
    <w:rsid w:val="0016482B"/>
    <w:rsid w:val="00164C54"/>
    <w:rsid w:val="0016516F"/>
    <w:rsid w:val="001651E6"/>
    <w:rsid w:val="00166363"/>
    <w:rsid w:val="00166941"/>
    <w:rsid w:val="00166B0C"/>
    <w:rsid w:val="00166D66"/>
    <w:rsid w:val="001675DF"/>
    <w:rsid w:val="00167C25"/>
    <w:rsid w:val="00170095"/>
    <w:rsid w:val="001700C2"/>
    <w:rsid w:val="00171884"/>
    <w:rsid w:val="001722BA"/>
    <w:rsid w:val="001725F6"/>
    <w:rsid w:val="00172DD4"/>
    <w:rsid w:val="0017324C"/>
    <w:rsid w:val="00174671"/>
    <w:rsid w:val="001749B2"/>
    <w:rsid w:val="00174F0F"/>
    <w:rsid w:val="001752FB"/>
    <w:rsid w:val="00175334"/>
    <w:rsid w:val="001754ED"/>
    <w:rsid w:val="0017559D"/>
    <w:rsid w:val="00175915"/>
    <w:rsid w:val="00175D3A"/>
    <w:rsid w:val="00175D5B"/>
    <w:rsid w:val="001765CB"/>
    <w:rsid w:val="00177011"/>
    <w:rsid w:val="00177433"/>
    <w:rsid w:val="00177435"/>
    <w:rsid w:val="001778B2"/>
    <w:rsid w:val="00180162"/>
    <w:rsid w:val="001805A9"/>
    <w:rsid w:val="0018060B"/>
    <w:rsid w:val="00181660"/>
    <w:rsid w:val="00181AD1"/>
    <w:rsid w:val="00182428"/>
    <w:rsid w:val="001826B6"/>
    <w:rsid w:val="00182EE2"/>
    <w:rsid w:val="001831BE"/>
    <w:rsid w:val="001833EE"/>
    <w:rsid w:val="00183578"/>
    <w:rsid w:val="001835E3"/>
    <w:rsid w:val="00183BF6"/>
    <w:rsid w:val="0018422F"/>
    <w:rsid w:val="00184628"/>
    <w:rsid w:val="00184B1F"/>
    <w:rsid w:val="00184CA2"/>
    <w:rsid w:val="00185009"/>
    <w:rsid w:val="00185B93"/>
    <w:rsid w:val="00186477"/>
    <w:rsid w:val="00186D75"/>
    <w:rsid w:val="0018780A"/>
    <w:rsid w:val="001901EF"/>
    <w:rsid w:val="00190327"/>
    <w:rsid w:val="00191355"/>
    <w:rsid w:val="00191A42"/>
    <w:rsid w:val="0019207F"/>
    <w:rsid w:val="00192D57"/>
    <w:rsid w:val="001930A5"/>
    <w:rsid w:val="00193193"/>
    <w:rsid w:val="0019329B"/>
    <w:rsid w:val="00193CF7"/>
    <w:rsid w:val="00194190"/>
    <w:rsid w:val="001944FF"/>
    <w:rsid w:val="00194D43"/>
    <w:rsid w:val="001951A2"/>
    <w:rsid w:val="00195482"/>
    <w:rsid w:val="00195915"/>
    <w:rsid w:val="00196026"/>
    <w:rsid w:val="001965B2"/>
    <w:rsid w:val="0019781E"/>
    <w:rsid w:val="001A0260"/>
    <w:rsid w:val="001A0C55"/>
    <w:rsid w:val="001A14A2"/>
    <w:rsid w:val="001A1CEC"/>
    <w:rsid w:val="001A288A"/>
    <w:rsid w:val="001A4576"/>
    <w:rsid w:val="001A4A8F"/>
    <w:rsid w:val="001A4AB5"/>
    <w:rsid w:val="001A54C0"/>
    <w:rsid w:val="001A5827"/>
    <w:rsid w:val="001A597F"/>
    <w:rsid w:val="001A6D8A"/>
    <w:rsid w:val="001A705D"/>
    <w:rsid w:val="001A7CDA"/>
    <w:rsid w:val="001B06C3"/>
    <w:rsid w:val="001B09C7"/>
    <w:rsid w:val="001B0D50"/>
    <w:rsid w:val="001B13BD"/>
    <w:rsid w:val="001B18C4"/>
    <w:rsid w:val="001B19A8"/>
    <w:rsid w:val="001B19E1"/>
    <w:rsid w:val="001B1AE8"/>
    <w:rsid w:val="001B261F"/>
    <w:rsid w:val="001B27E9"/>
    <w:rsid w:val="001B2C0C"/>
    <w:rsid w:val="001B2DE3"/>
    <w:rsid w:val="001B3065"/>
    <w:rsid w:val="001B32E0"/>
    <w:rsid w:val="001B338F"/>
    <w:rsid w:val="001B373C"/>
    <w:rsid w:val="001B3AA5"/>
    <w:rsid w:val="001B3E38"/>
    <w:rsid w:val="001B42B9"/>
    <w:rsid w:val="001B47BD"/>
    <w:rsid w:val="001B582C"/>
    <w:rsid w:val="001B5996"/>
    <w:rsid w:val="001B5A36"/>
    <w:rsid w:val="001B5B29"/>
    <w:rsid w:val="001B5B80"/>
    <w:rsid w:val="001B5CDD"/>
    <w:rsid w:val="001B62F6"/>
    <w:rsid w:val="001B67C9"/>
    <w:rsid w:val="001B681C"/>
    <w:rsid w:val="001B7036"/>
    <w:rsid w:val="001B7444"/>
    <w:rsid w:val="001B7E3B"/>
    <w:rsid w:val="001C03A3"/>
    <w:rsid w:val="001C044A"/>
    <w:rsid w:val="001C051B"/>
    <w:rsid w:val="001C139A"/>
    <w:rsid w:val="001C148C"/>
    <w:rsid w:val="001C16D5"/>
    <w:rsid w:val="001C187B"/>
    <w:rsid w:val="001C1CB9"/>
    <w:rsid w:val="001C2A99"/>
    <w:rsid w:val="001C3421"/>
    <w:rsid w:val="001C3A04"/>
    <w:rsid w:val="001C4B2F"/>
    <w:rsid w:val="001C4E25"/>
    <w:rsid w:val="001C5098"/>
    <w:rsid w:val="001C50B0"/>
    <w:rsid w:val="001C5128"/>
    <w:rsid w:val="001C554F"/>
    <w:rsid w:val="001C5A1F"/>
    <w:rsid w:val="001C5CD7"/>
    <w:rsid w:val="001C6012"/>
    <w:rsid w:val="001C6748"/>
    <w:rsid w:val="001C6A11"/>
    <w:rsid w:val="001C749E"/>
    <w:rsid w:val="001C7DDC"/>
    <w:rsid w:val="001D08B9"/>
    <w:rsid w:val="001D0D31"/>
    <w:rsid w:val="001D127D"/>
    <w:rsid w:val="001D171D"/>
    <w:rsid w:val="001D185F"/>
    <w:rsid w:val="001D1EF6"/>
    <w:rsid w:val="001D1F7C"/>
    <w:rsid w:val="001D222D"/>
    <w:rsid w:val="001D37DD"/>
    <w:rsid w:val="001D42B4"/>
    <w:rsid w:val="001D454D"/>
    <w:rsid w:val="001D4817"/>
    <w:rsid w:val="001D49FD"/>
    <w:rsid w:val="001D4D05"/>
    <w:rsid w:val="001D4D11"/>
    <w:rsid w:val="001D61E8"/>
    <w:rsid w:val="001D76B1"/>
    <w:rsid w:val="001E12A4"/>
    <w:rsid w:val="001E1451"/>
    <w:rsid w:val="001E16BF"/>
    <w:rsid w:val="001E16E5"/>
    <w:rsid w:val="001E2105"/>
    <w:rsid w:val="001E23D3"/>
    <w:rsid w:val="001E3144"/>
    <w:rsid w:val="001E42FC"/>
    <w:rsid w:val="001E534C"/>
    <w:rsid w:val="001E57BF"/>
    <w:rsid w:val="001E5D97"/>
    <w:rsid w:val="001E6702"/>
    <w:rsid w:val="001E6E22"/>
    <w:rsid w:val="001E7C5A"/>
    <w:rsid w:val="001F047E"/>
    <w:rsid w:val="001F06A8"/>
    <w:rsid w:val="001F0BC4"/>
    <w:rsid w:val="001F0FE6"/>
    <w:rsid w:val="001F215B"/>
    <w:rsid w:val="001F22FD"/>
    <w:rsid w:val="001F2737"/>
    <w:rsid w:val="001F2FD2"/>
    <w:rsid w:val="001F3023"/>
    <w:rsid w:val="001F377E"/>
    <w:rsid w:val="001F37CC"/>
    <w:rsid w:val="001F3A7B"/>
    <w:rsid w:val="001F3FCC"/>
    <w:rsid w:val="001F431F"/>
    <w:rsid w:val="001F5D10"/>
    <w:rsid w:val="001F66A3"/>
    <w:rsid w:val="001F695B"/>
    <w:rsid w:val="001F6AF7"/>
    <w:rsid w:val="001F6EEE"/>
    <w:rsid w:val="001F7190"/>
    <w:rsid w:val="0020048F"/>
    <w:rsid w:val="00200A65"/>
    <w:rsid w:val="00200B51"/>
    <w:rsid w:val="002013DA"/>
    <w:rsid w:val="002014E5"/>
    <w:rsid w:val="002015B5"/>
    <w:rsid w:val="00201CDF"/>
    <w:rsid w:val="00202031"/>
    <w:rsid w:val="002022CA"/>
    <w:rsid w:val="002026FC"/>
    <w:rsid w:val="00203131"/>
    <w:rsid w:val="00203B89"/>
    <w:rsid w:val="00203F39"/>
    <w:rsid w:val="0020506C"/>
    <w:rsid w:val="00205332"/>
    <w:rsid w:val="00205575"/>
    <w:rsid w:val="00205EAA"/>
    <w:rsid w:val="00206693"/>
    <w:rsid w:val="00207255"/>
    <w:rsid w:val="0020742A"/>
    <w:rsid w:val="00207458"/>
    <w:rsid w:val="0020788E"/>
    <w:rsid w:val="00207F64"/>
    <w:rsid w:val="0021080E"/>
    <w:rsid w:val="00210CD5"/>
    <w:rsid w:val="00210E49"/>
    <w:rsid w:val="00210F5C"/>
    <w:rsid w:val="002111F7"/>
    <w:rsid w:val="0021166F"/>
    <w:rsid w:val="00211C01"/>
    <w:rsid w:val="00212007"/>
    <w:rsid w:val="002121DB"/>
    <w:rsid w:val="00212843"/>
    <w:rsid w:val="00213213"/>
    <w:rsid w:val="00213BBD"/>
    <w:rsid w:val="002145A2"/>
    <w:rsid w:val="00214BBC"/>
    <w:rsid w:val="00214E83"/>
    <w:rsid w:val="00215176"/>
    <w:rsid w:val="00215630"/>
    <w:rsid w:val="0021568E"/>
    <w:rsid w:val="00215AAB"/>
    <w:rsid w:val="00215BF2"/>
    <w:rsid w:val="00215D27"/>
    <w:rsid w:val="0021697A"/>
    <w:rsid w:val="0021709A"/>
    <w:rsid w:val="00217954"/>
    <w:rsid w:val="00217EE5"/>
    <w:rsid w:val="002201ED"/>
    <w:rsid w:val="0022028B"/>
    <w:rsid w:val="0022064B"/>
    <w:rsid w:val="00220877"/>
    <w:rsid w:val="00220A93"/>
    <w:rsid w:val="00220D0D"/>
    <w:rsid w:val="00220EBF"/>
    <w:rsid w:val="00221F28"/>
    <w:rsid w:val="0022267E"/>
    <w:rsid w:val="00223336"/>
    <w:rsid w:val="002246DD"/>
    <w:rsid w:val="00226195"/>
    <w:rsid w:val="00226FA8"/>
    <w:rsid w:val="00227411"/>
    <w:rsid w:val="0022790C"/>
    <w:rsid w:val="00230404"/>
    <w:rsid w:val="002308C1"/>
    <w:rsid w:val="00230BFB"/>
    <w:rsid w:val="00232642"/>
    <w:rsid w:val="00232E0D"/>
    <w:rsid w:val="002330C1"/>
    <w:rsid w:val="00233475"/>
    <w:rsid w:val="00233A1A"/>
    <w:rsid w:val="00233D80"/>
    <w:rsid w:val="00233F1E"/>
    <w:rsid w:val="00234D7A"/>
    <w:rsid w:val="00235311"/>
    <w:rsid w:val="0023592C"/>
    <w:rsid w:val="00235D08"/>
    <w:rsid w:val="00236300"/>
    <w:rsid w:val="00236873"/>
    <w:rsid w:val="0023755E"/>
    <w:rsid w:val="00237697"/>
    <w:rsid w:val="002376E3"/>
    <w:rsid w:val="00237D89"/>
    <w:rsid w:val="00237F49"/>
    <w:rsid w:val="00240630"/>
    <w:rsid w:val="00240D19"/>
    <w:rsid w:val="00241202"/>
    <w:rsid w:val="002412F4"/>
    <w:rsid w:val="0024199A"/>
    <w:rsid w:val="00241C10"/>
    <w:rsid w:val="00241E3D"/>
    <w:rsid w:val="00242106"/>
    <w:rsid w:val="002424B4"/>
    <w:rsid w:val="00242BC3"/>
    <w:rsid w:val="00242C3D"/>
    <w:rsid w:val="00242D91"/>
    <w:rsid w:val="002435D6"/>
    <w:rsid w:val="002435D8"/>
    <w:rsid w:val="002445BA"/>
    <w:rsid w:val="00244B15"/>
    <w:rsid w:val="00244BBA"/>
    <w:rsid w:val="00244BBB"/>
    <w:rsid w:val="00244EA5"/>
    <w:rsid w:val="00245047"/>
    <w:rsid w:val="002455E7"/>
    <w:rsid w:val="00245AFF"/>
    <w:rsid w:val="00245C93"/>
    <w:rsid w:val="00246166"/>
    <w:rsid w:val="00246485"/>
    <w:rsid w:val="0024682F"/>
    <w:rsid w:val="00246A25"/>
    <w:rsid w:val="00246FC0"/>
    <w:rsid w:val="00247409"/>
    <w:rsid w:val="00247A07"/>
    <w:rsid w:val="00247E64"/>
    <w:rsid w:val="00250390"/>
    <w:rsid w:val="00250528"/>
    <w:rsid w:val="00250653"/>
    <w:rsid w:val="002509B8"/>
    <w:rsid w:val="00250DB7"/>
    <w:rsid w:val="0025193D"/>
    <w:rsid w:val="002524D3"/>
    <w:rsid w:val="00252518"/>
    <w:rsid w:val="00252950"/>
    <w:rsid w:val="00252C26"/>
    <w:rsid w:val="00252C33"/>
    <w:rsid w:val="00252E9F"/>
    <w:rsid w:val="00253F05"/>
    <w:rsid w:val="00253F1B"/>
    <w:rsid w:val="002547FE"/>
    <w:rsid w:val="00254BA5"/>
    <w:rsid w:val="00254E10"/>
    <w:rsid w:val="00254E51"/>
    <w:rsid w:val="00255558"/>
    <w:rsid w:val="00255873"/>
    <w:rsid w:val="002569CA"/>
    <w:rsid w:val="00256DED"/>
    <w:rsid w:val="00257179"/>
    <w:rsid w:val="00257B03"/>
    <w:rsid w:val="00257C6A"/>
    <w:rsid w:val="00260146"/>
    <w:rsid w:val="002603E7"/>
    <w:rsid w:val="00260748"/>
    <w:rsid w:val="00262138"/>
    <w:rsid w:val="00262476"/>
    <w:rsid w:val="00262FF9"/>
    <w:rsid w:val="002638CF"/>
    <w:rsid w:val="002639FD"/>
    <w:rsid w:val="00263FBE"/>
    <w:rsid w:val="00264844"/>
    <w:rsid w:val="00264909"/>
    <w:rsid w:val="00264A45"/>
    <w:rsid w:val="00264BD3"/>
    <w:rsid w:val="002653AF"/>
    <w:rsid w:val="00266156"/>
    <w:rsid w:val="002663ED"/>
    <w:rsid w:val="00267328"/>
    <w:rsid w:val="00267620"/>
    <w:rsid w:val="00267E2B"/>
    <w:rsid w:val="00270F78"/>
    <w:rsid w:val="00271D14"/>
    <w:rsid w:val="00271D9C"/>
    <w:rsid w:val="00273160"/>
    <w:rsid w:val="002734BA"/>
    <w:rsid w:val="00273AA8"/>
    <w:rsid w:val="00273E3D"/>
    <w:rsid w:val="00274A85"/>
    <w:rsid w:val="00274CE7"/>
    <w:rsid w:val="00274F77"/>
    <w:rsid w:val="00274FE4"/>
    <w:rsid w:val="00275015"/>
    <w:rsid w:val="00275885"/>
    <w:rsid w:val="002759C1"/>
    <w:rsid w:val="00276023"/>
    <w:rsid w:val="0027653C"/>
    <w:rsid w:val="00276EC3"/>
    <w:rsid w:val="00277440"/>
    <w:rsid w:val="002776AD"/>
    <w:rsid w:val="002779EC"/>
    <w:rsid w:val="00277DD8"/>
    <w:rsid w:val="0028098D"/>
    <w:rsid w:val="00280E44"/>
    <w:rsid w:val="00281475"/>
    <w:rsid w:val="0028163A"/>
    <w:rsid w:val="0028186A"/>
    <w:rsid w:val="002819FF"/>
    <w:rsid w:val="00281A5F"/>
    <w:rsid w:val="00281F35"/>
    <w:rsid w:val="00282547"/>
    <w:rsid w:val="00282964"/>
    <w:rsid w:val="002836FA"/>
    <w:rsid w:val="00283841"/>
    <w:rsid w:val="00283EED"/>
    <w:rsid w:val="002844DD"/>
    <w:rsid w:val="00284875"/>
    <w:rsid w:val="00284925"/>
    <w:rsid w:val="00284B18"/>
    <w:rsid w:val="00285139"/>
    <w:rsid w:val="00285244"/>
    <w:rsid w:val="002879B3"/>
    <w:rsid w:val="00287B56"/>
    <w:rsid w:val="00290864"/>
    <w:rsid w:val="00291381"/>
    <w:rsid w:val="00291540"/>
    <w:rsid w:val="002917B5"/>
    <w:rsid w:val="002918C5"/>
    <w:rsid w:val="00291A8F"/>
    <w:rsid w:val="00291B3C"/>
    <w:rsid w:val="00291B53"/>
    <w:rsid w:val="002926DE"/>
    <w:rsid w:val="002929ED"/>
    <w:rsid w:val="00292B9D"/>
    <w:rsid w:val="00293C96"/>
    <w:rsid w:val="00293E8F"/>
    <w:rsid w:val="0029434D"/>
    <w:rsid w:val="002946FF"/>
    <w:rsid w:val="00294D5D"/>
    <w:rsid w:val="00294EC5"/>
    <w:rsid w:val="00295088"/>
    <w:rsid w:val="00295385"/>
    <w:rsid w:val="002956D3"/>
    <w:rsid w:val="00295C6B"/>
    <w:rsid w:val="00295EE7"/>
    <w:rsid w:val="002966CE"/>
    <w:rsid w:val="00296C7C"/>
    <w:rsid w:val="002971ED"/>
    <w:rsid w:val="0029732A"/>
    <w:rsid w:val="0029743A"/>
    <w:rsid w:val="00297768"/>
    <w:rsid w:val="00297A3B"/>
    <w:rsid w:val="002A0510"/>
    <w:rsid w:val="002A0E05"/>
    <w:rsid w:val="002A0FD8"/>
    <w:rsid w:val="002A11F8"/>
    <w:rsid w:val="002A181E"/>
    <w:rsid w:val="002A20F7"/>
    <w:rsid w:val="002A3328"/>
    <w:rsid w:val="002A3EE0"/>
    <w:rsid w:val="002A4343"/>
    <w:rsid w:val="002A4599"/>
    <w:rsid w:val="002A4FAE"/>
    <w:rsid w:val="002A55C2"/>
    <w:rsid w:val="002A5C22"/>
    <w:rsid w:val="002A5C33"/>
    <w:rsid w:val="002A6BDD"/>
    <w:rsid w:val="002A73C1"/>
    <w:rsid w:val="002A7869"/>
    <w:rsid w:val="002A7A1E"/>
    <w:rsid w:val="002B0321"/>
    <w:rsid w:val="002B08FA"/>
    <w:rsid w:val="002B1100"/>
    <w:rsid w:val="002B1360"/>
    <w:rsid w:val="002B242B"/>
    <w:rsid w:val="002B2586"/>
    <w:rsid w:val="002B2D6E"/>
    <w:rsid w:val="002B3A82"/>
    <w:rsid w:val="002B445A"/>
    <w:rsid w:val="002B45D7"/>
    <w:rsid w:val="002B4778"/>
    <w:rsid w:val="002B49A7"/>
    <w:rsid w:val="002B4EAB"/>
    <w:rsid w:val="002B5A9E"/>
    <w:rsid w:val="002B5D13"/>
    <w:rsid w:val="002B5F8B"/>
    <w:rsid w:val="002B6649"/>
    <w:rsid w:val="002B678C"/>
    <w:rsid w:val="002B74E9"/>
    <w:rsid w:val="002C070B"/>
    <w:rsid w:val="002C0B4B"/>
    <w:rsid w:val="002C0CCB"/>
    <w:rsid w:val="002C0ECE"/>
    <w:rsid w:val="002C1150"/>
    <w:rsid w:val="002C174B"/>
    <w:rsid w:val="002C2173"/>
    <w:rsid w:val="002C28F4"/>
    <w:rsid w:val="002C30C8"/>
    <w:rsid w:val="002C3C7C"/>
    <w:rsid w:val="002C3D09"/>
    <w:rsid w:val="002C419D"/>
    <w:rsid w:val="002C446C"/>
    <w:rsid w:val="002C4522"/>
    <w:rsid w:val="002C4994"/>
    <w:rsid w:val="002C4E3B"/>
    <w:rsid w:val="002C5119"/>
    <w:rsid w:val="002C612A"/>
    <w:rsid w:val="002C639E"/>
    <w:rsid w:val="002C6982"/>
    <w:rsid w:val="002C7052"/>
    <w:rsid w:val="002C75C2"/>
    <w:rsid w:val="002C7A6A"/>
    <w:rsid w:val="002C7F90"/>
    <w:rsid w:val="002D0162"/>
    <w:rsid w:val="002D080C"/>
    <w:rsid w:val="002D0FF4"/>
    <w:rsid w:val="002D100E"/>
    <w:rsid w:val="002D2117"/>
    <w:rsid w:val="002D2958"/>
    <w:rsid w:val="002D2D3A"/>
    <w:rsid w:val="002D2E00"/>
    <w:rsid w:val="002D3374"/>
    <w:rsid w:val="002D3E13"/>
    <w:rsid w:val="002D4A34"/>
    <w:rsid w:val="002D4C58"/>
    <w:rsid w:val="002D51C8"/>
    <w:rsid w:val="002D543A"/>
    <w:rsid w:val="002D5620"/>
    <w:rsid w:val="002D5D1B"/>
    <w:rsid w:val="002D5D70"/>
    <w:rsid w:val="002D658E"/>
    <w:rsid w:val="002D69CA"/>
    <w:rsid w:val="002D6D4B"/>
    <w:rsid w:val="002D6F9F"/>
    <w:rsid w:val="002D719F"/>
    <w:rsid w:val="002D7950"/>
    <w:rsid w:val="002D7F93"/>
    <w:rsid w:val="002E0E18"/>
    <w:rsid w:val="002E19C4"/>
    <w:rsid w:val="002E24CF"/>
    <w:rsid w:val="002E26F4"/>
    <w:rsid w:val="002E280C"/>
    <w:rsid w:val="002E2AF2"/>
    <w:rsid w:val="002E312F"/>
    <w:rsid w:val="002E361C"/>
    <w:rsid w:val="002E40B1"/>
    <w:rsid w:val="002E4797"/>
    <w:rsid w:val="002E4D5F"/>
    <w:rsid w:val="002E5093"/>
    <w:rsid w:val="002E5238"/>
    <w:rsid w:val="002E57D0"/>
    <w:rsid w:val="002E5EF8"/>
    <w:rsid w:val="002E6954"/>
    <w:rsid w:val="002E696C"/>
    <w:rsid w:val="002E6EB4"/>
    <w:rsid w:val="002E7656"/>
    <w:rsid w:val="002E7A29"/>
    <w:rsid w:val="002F043D"/>
    <w:rsid w:val="002F050A"/>
    <w:rsid w:val="002F0B33"/>
    <w:rsid w:val="002F161C"/>
    <w:rsid w:val="002F1FE9"/>
    <w:rsid w:val="002F24C2"/>
    <w:rsid w:val="002F2D86"/>
    <w:rsid w:val="002F3061"/>
    <w:rsid w:val="002F36B9"/>
    <w:rsid w:val="002F3BCE"/>
    <w:rsid w:val="002F3C3B"/>
    <w:rsid w:val="002F3CFD"/>
    <w:rsid w:val="002F48D7"/>
    <w:rsid w:val="002F4AB2"/>
    <w:rsid w:val="002F599A"/>
    <w:rsid w:val="002F622E"/>
    <w:rsid w:val="002F65F4"/>
    <w:rsid w:val="002F6D39"/>
    <w:rsid w:val="002F7541"/>
    <w:rsid w:val="002F7748"/>
    <w:rsid w:val="002F7769"/>
    <w:rsid w:val="002F7EB0"/>
    <w:rsid w:val="00300D19"/>
    <w:rsid w:val="00301359"/>
    <w:rsid w:val="00301A03"/>
    <w:rsid w:val="00301D33"/>
    <w:rsid w:val="00301F87"/>
    <w:rsid w:val="0030216B"/>
    <w:rsid w:val="00302724"/>
    <w:rsid w:val="00302A6B"/>
    <w:rsid w:val="00302B06"/>
    <w:rsid w:val="0030326B"/>
    <w:rsid w:val="00303930"/>
    <w:rsid w:val="003040FD"/>
    <w:rsid w:val="003044C6"/>
    <w:rsid w:val="003044DF"/>
    <w:rsid w:val="0030452F"/>
    <w:rsid w:val="00304B3A"/>
    <w:rsid w:val="00304CC8"/>
    <w:rsid w:val="00304E53"/>
    <w:rsid w:val="003050AD"/>
    <w:rsid w:val="00305140"/>
    <w:rsid w:val="003052CD"/>
    <w:rsid w:val="003052DF"/>
    <w:rsid w:val="00305344"/>
    <w:rsid w:val="00305820"/>
    <w:rsid w:val="00305A15"/>
    <w:rsid w:val="00305D99"/>
    <w:rsid w:val="003065C9"/>
    <w:rsid w:val="00306E1E"/>
    <w:rsid w:val="00306EB3"/>
    <w:rsid w:val="0030701C"/>
    <w:rsid w:val="00307608"/>
    <w:rsid w:val="0031011E"/>
    <w:rsid w:val="00310243"/>
    <w:rsid w:val="003103ED"/>
    <w:rsid w:val="00311322"/>
    <w:rsid w:val="003125C4"/>
    <w:rsid w:val="00312656"/>
    <w:rsid w:val="00312766"/>
    <w:rsid w:val="00312DE3"/>
    <w:rsid w:val="0031340D"/>
    <w:rsid w:val="0031367D"/>
    <w:rsid w:val="00313EF6"/>
    <w:rsid w:val="00313F98"/>
    <w:rsid w:val="00314A87"/>
    <w:rsid w:val="00315140"/>
    <w:rsid w:val="0031529F"/>
    <w:rsid w:val="003156B4"/>
    <w:rsid w:val="00315985"/>
    <w:rsid w:val="00315C8D"/>
    <w:rsid w:val="00316621"/>
    <w:rsid w:val="003167FD"/>
    <w:rsid w:val="00316F09"/>
    <w:rsid w:val="003177ED"/>
    <w:rsid w:val="00317895"/>
    <w:rsid w:val="003178D5"/>
    <w:rsid w:val="00317D72"/>
    <w:rsid w:val="00317E61"/>
    <w:rsid w:val="003203C8"/>
    <w:rsid w:val="003205B5"/>
    <w:rsid w:val="0032122A"/>
    <w:rsid w:val="0032124D"/>
    <w:rsid w:val="0032161D"/>
    <w:rsid w:val="00321BCE"/>
    <w:rsid w:val="0032232C"/>
    <w:rsid w:val="003226E3"/>
    <w:rsid w:val="00323172"/>
    <w:rsid w:val="003234D2"/>
    <w:rsid w:val="003243FE"/>
    <w:rsid w:val="0032463E"/>
    <w:rsid w:val="003248D1"/>
    <w:rsid w:val="003252C6"/>
    <w:rsid w:val="003266F1"/>
    <w:rsid w:val="00326985"/>
    <w:rsid w:val="0032699C"/>
    <w:rsid w:val="00326B02"/>
    <w:rsid w:val="00327295"/>
    <w:rsid w:val="0032755C"/>
    <w:rsid w:val="00327A7F"/>
    <w:rsid w:val="00330063"/>
    <w:rsid w:val="00330105"/>
    <w:rsid w:val="0033023A"/>
    <w:rsid w:val="003304BD"/>
    <w:rsid w:val="0033066C"/>
    <w:rsid w:val="00330A0A"/>
    <w:rsid w:val="00330E5D"/>
    <w:rsid w:val="003310FA"/>
    <w:rsid w:val="0033111C"/>
    <w:rsid w:val="00331328"/>
    <w:rsid w:val="0033310F"/>
    <w:rsid w:val="003332FC"/>
    <w:rsid w:val="00333D2E"/>
    <w:rsid w:val="003357D8"/>
    <w:rsid w:val="003358BF"/>
    <w:rsid w:val="00335B04"/>
    <w:rsid w:val="0033644E"/>
    <w:rsid w:val="003366FA"/>
    <w:rsid w:val="00340B7A"/>
    <w:rsid w:val="00341EDE"/>
    <w:rsid w:val="00342D19"/>
    <w:rsid w:val="003436B3"/>
    <w:rsid w:val="00343D3E"/>
    <w:rsid w:val="0034477A"/>
    <w:rsid w:val="00344C39"/>
    <w:rsid w:val="0034502C"/>
    <w:rsid w:val="00345BCD"/>
    <w:rsid w:val="00345FCE"/>
    <w:rsid w:val="003469A8"/>
    <w:rsid w:val="00346BC3"/>
    <w:rsid w:val="00346E37"/>
    <w:rsid w:val="003477B1"/>
    <w:rsid w:val="00347C32"/>
    <w:rsid w:val="003501DA"/>
    <w:rsid w:val="0035033F"/>
    <w:rsid w:val="003506D7"/>
    <w:rsid w:val="003508C9"/>
    <w:rsid w:val="00350930"/>
    <w:rsid w:val="00351240"/>
    <w:rsid w:val="003519E9"/>
    <w:rsid w:val="00351A66"/>
    <w:rsid w:val="0035268F"/>
    <w:rsid w:val="0035275B"/>
    <w:rsid w:val="00352CAC"/>
    <w:rsid w:val="00352D74"/>
    <w:rsid w:val="003530F1"/>
    <w:rsid w:val="0035404C"/>
    <w:rsid w:val="003543A1"/>
    <w:rsid w:val="00354562"/>
    <w:rsid w:val="00354972"/>
    <w:rsid w:val="00355605"/>
    <w:rsid w:val="0035581B"/>
    <w:rsid w:val="0035584C"/>
    <w:rsid w:val="00355954"/>
    <w:rsid w:val="00355A0F"/>
    <w:rsid w:val="00355BD6"/>
    <w:rsid w:val="003561C1"/>
    <w:rsid w:val="00356244"/>
    <w:rsid w:val="0035670A"/>
    <w:rsid w:val="00356E46"/>
    <w:rsid w:val="003576D0"/>
    <w:rsid w:val="003577C9"/>
    <w:rsid w:val="003579C3"/>
    <w:rsid w:val="00360317"/>
    <w:rsid w:val="0036117E"/>
    <w:rsid w:val="00361D0D"/>
    <w:rsid w:val="00362402"/>
    <w:rsid w:val="003628B1"/>
    <w:rsid w:val="003628DE"/>
    <w:rsid w:val="0036299E"/>
    <w:rsid w:val="00362DB4"/>
    <w:rsid w:val="00363311"/>
    <w:rsid w:val="003635DD"/>
    <w:rsid w:val="00364071"/>
    <w:rsid w:val="0036421F"/>
    <w:rsid w:val="003642B0"/>
    <w:rsid w:val="00364368"/>
    <w:rsid w:val="003646C0"/>
    <w:rsid w:val="003646D0"/>
    <w:rsid w:val="00364774"/>
    <w:rsid w:val="00364D16"/>
    <w:rsid w:val="00365D91"/>
    <w:rsid w:val="00366409"/>
    <w:rsid w:val="003669B8"/>
    <w:rsid w:val="0036759A"/>
    <w:rsid w:val="00367EF5"/>
    <w:rsid w:val="0037094A"/>
    <w:rsid w:val="0037126D"/>
    <w:rsid w:val="003712F9"/>
    <w:rsid w:val="00371617"/>
    <w:rsid w:val="00372A94"/>
    <w:rsid w:val="00373764"/>
    <w:rsid w:val="0037494E"/>
    <w:rsid w:val="00374CE4"/>
    <w:rsid w:val="00374D7D"/>
    <w:rsid w:val="00375425"/>
    <w:rsid w:val="003755EA"/>
    <w:rsid w:val="00375872"/>
    <w:rsid w:val="00375B48"/>
    <w:rsid w:val="0037606C"/>
    <w:rsid w:val="00376750"/>
    <w:rsid w:val="00376BB6"/>
    <w:rsid w:val="00377796"/>
    <w:rsid w:val="00377968"/>
    <w:rsid w:val="0038050C"/>
    <w:rsid w:val="003809E9"/>
    <w:rsid w:val="00380EBE"/>
    <w:rsid w:val="00381211"/>
    <w:rsid w:val="0038192B"/>
    <w:rsid w:val="003819FE"/>
    <w:rsid w:val="00382585"/>
    <w:rsid w:val="0038280D"/>
    <w:rsid w:val="003829B4"/>
    <w:rsid w:val="00382A3F"/>
    <w:rsid w:val="00383565"/>
    <w:rsid w:val="003839BC"/>
    <w:rsid w:val="00384469"/>
    <w:rsid w:val="003845BC"/>
    <w:rsid w:val="003853AF"/>
    <w:rsid w:val="003855F3"/>
    <w:rsid w:val="00385EB5"/>
    <w:rsid w:val="00386724"/>
    <w:rsid w:val="003877E8"/>
    <w:rsid w:val="00390B17"/>
    <w:rsid w:val="00390C70"/>
    <w:rsid w:val="00390C82"/>
    <w:rsid w:val="003915F8"/>
    <w:rsid w:val="00391970"/>
    <w:rsid w:val="00391C34"/>
    <w:rsid w:val="00392795"/>
    <w:rsid w:val="0039341F"/>
    <w:rsid w:val="00393CF0"/>
    <w:rsid w:val="0039401C"/>
    <w:rsid w:val="00394396"/>
    <w:rsid w:val="003945D8"/>
    <w:rsid w:val="00394B78"/>
    <w:rsid w:val="00394C8B"/>
    <w:rsid w:val="00394D55"/>
    <w:rsid w:val="0039540D"/>
    <w:rsid w:val="003954FA"/>
    <w:rsid w:val="003956F9"/>
    <w:rsid w:val="0039595B"/>
    <w:rsid w:val="003961D6"/>
    <w:rsid w:val="003964A9"/>
    <w:rsid w:val="00396511"/>
    <w:rsid w:val="00396CCA"/>
    <w:rsid w:val="00397361"/>
    <w:rsid w:val="003973C9"/>
    <w:rsid w:val="00397B78"/>
    <w:rsid w:val="00397E73"/>
    <w:rsid w:val="003A01F7"/>
    <w:rsid w:val="003A026F"/>
    <w:rsid w:val="003A02A4"/>
    <w:rsid w:val="003A03FF"/>
    <w:rsid w:val="003A07F9"/>
    <w:rsid w:val="003A0A4E"/>
    <w:rsid w:val="003A10B0"/>
    <w:rsid w:val="003A10D3"/>
    <w:rsid w:val="003A2315"/>
    <w:rsid w:val="003A23B0"/>
    <w:rsid w:val="003A281C"/>
    <w:rsid w:val="003A2947"/>
    <w:rsid w:val="003A331B"/>
    <w:rsid w:val="003A35C2"/>
    <w:rsid w:val="003A4045"/>
    <w:rsid w:val="003A483C"/>
    <w:rsid w:val="003A556C"/>
    <w:rsid w:val="003A58E9"/>
    <w:rsid w:val="003A5E52"/>
    <w:rsid w:val="003A64B0"/>
    <w:rsid w:val="003A66FD"/>
    <w:rsid w:val="003A6F0F"/>
    <w:rsid w:val="003A705C"/>
    <w:rsid w:val="003A760F"/>
    <w:rsid w:val="003A7646"/>
    <w:rsid w:val="003A7957"/>
    <w:rsid w:val="003B03EA"/>
    <w:rsid w:val="003B05D5"/>
    <w:rsid w:val="003B085F"/>
    <w:rsid w:val="003B0A4A"/>
    <w:rsid w:val="003B1171"/>
    <w:rsid w:val="003B17B6"/>
    <w:rsid w:val="003B1F75"/>
    <w:rsid w:val="003B208B"/>
    <w:rsid w:val="003B21DC"/>
    <w:rsid w:val="003B237F"/>
    <w:rsid w:val="003B2EA1"/>
    <w:rsid w:val="003B3181"/>
    <w:rsid w:val="003B3287"/>
    <w:rsid w:val="003B371E"/>
    <w:rsid w:val="003B3959"/>
    <w:rsid w:val="003B3EE4"/>
    <w:rsid w:val="003B45A4"/>
    <w:rsid w:val="003B4A4C"/>
    <w:rsid w:val="003B53C8"/>
    <w:rsid w:val="003B5D80"/>
    <w:rsid w:val="003B7217"/>
    <w:rsid w:val="003B73BF"/>
    <w:rsid w:val="003B7D9A"/>
    <w:rsid w:val="003C0092"/>
    <w:rsid w:val="003C037C"/>
    <w:rsid w:val="003C2594"/>
    <w:rsid w:val="003C2820"/>
    <w:rsid w:val="003C2C8E"/>
    <w:rsid w:val="003C2EF5"/>
    <w:rsid w:val="003C397F"/>
    <w:rsid w:val="003C4896"/>
    <w:rsid w:val="003C55ED"/>
    <w:rsid w:val="003C5B1F"/>
    <w:rsid w:val="003C5EE1"/>
    <w:rsid w:val="003C6CCC"/>
    <w:rsid w:val="003C7083"/>
    <w:rsid w:val="003C747A"/>
    <w:rsid w:val="003C75F8"/>
    <w:rsid w:val="003C7629"/>
    <w:rsid w:val="003C7A8F"/>
    <w:rsid w:val="003D07BE"/>
    <w:rsid w:val="003D0908"/>
    <w:rsid w:val="003D0A2F"/>
    <w:rsid w:val="003D0BF9"/>
    <w:rsid w:val="003D0D0D"/>
    <w:rsid w:val="003D0F43"/>
    <w:rsid w:val="003D159A"/>
    <w:rsid w:val="003D168A"/>
    <w:rsid w:val="003D2D7D"/>
    <w:rsid w:val="003D3D7A"/>
    <w:rsid w:val="003D401A"/>
    <w:rsid w:val="003D43FD"/>
    <w:rsid w:val="003D46F8"/>
    <w:rsid w:val="003D4E5E"/>
    <w:rsid w:val="003D4FE3"/>
    <w:rsid w:val="003D5FA5"/>
    <w:rsid w:val="003D6157"/>
    <w:rsid w:val="003D72B9"/>
    <w:rsid w:val="003D7306"/>
    <w:rsid w:val="003D7C71"/>
    <w:rsid w:val="003E0836"/>
    <w:rsid w:val="003E0874"/>
    <w:rsid w:val="003E14AE"/>
    <w:rsid w:val="003E167B"/>
    <w:rsid w:val="003E1692"/>
    <w:rsid w:val="003E179D"/>
    <w:rsid w:val="003E1E57"/>
    <w:rsid w:val="003E1F8D"/>
    <w:rsid w:val="003E318D"/>
    <w:rsid w:val="003E3279"/>
    <w:rsid w:val="003E39BA"/>
    <w:rsid w:val="003E3B02"/>
    <w:rsid w:val="003E3CA0"/>
    <w:rsid w:val="003E3CF3"/>
    <w:rsid w:val="003E3E4E"/>
    <w:rsid w:val="003E4227"/>
    <w:rsid w:val="003E4520"/>
    <w:rsid w:val="003E4858"/>
    <w:rsid w:val="003E4CD9"/>
    <w:rsid w:val="003E5073"/>
    <w:rsid w:val="003E5CA6"/>
    <w:rsid w:val="003E675D"/>
    <w:rsid w:val="003E681D"/>
    <w:rsid w:val="003E699D"/>
    <w:rsid w:val="003E6C7E"/>
    <w:rsid w:val="003E75B6"/>
    <w:rsid w:val="003E7DCD"/>
    <w:rsid w:val="003F010F"/>
    <w:rsid w:val="003F0D31"/>
    <w:rsid w:val="003F0DA5"/>
    <w:rsid w:val="003F134B"/>
    <w:rsid w:val="003F139F"/>
    <w:rsid w:val="003F1442"/>
    <w:rsid w:val="003F153F"/>
    <w:rsid w:val="003F1A77"/>
    <w:rsid w:val="003F316F"/>
    <w:rsid w:val="003F4179"/>
    <w:rsid w:val="003F488B"/>
    <w:rsid w:val="003F5320"/>
    <w:rsid w:val="003F5592"/>
    <w:rsid w:val="003F5711"/>
    <w:rsid w:val="003F5F1F"/>
    <w:rsid w:val="003F6151"/>
    <w:rsid w:val="003F655E"/>
    <w:rsid w:val="003F6B26"/>
    <w:rsid w:val="003F7188"/>
    <w:rsid w:val="003F7860"/>
    <w:rsid w:val="003F7EBA"/>
    <w:rsid w:val="00400077"/>
    <w:rsid w:val="0040037F"/>
    <w:rsid w:val="00400807"/>
    <w:rsid w:val="00400A98"/>
    <w:rsid w:val="00400D21"/>
    <w:rsid w:val="004019B1"/>
    <w:rsid w:val="00401D47"/>
    <w:rsid w:val="00402A7B"/>
    <w:rsid w:val="00402C47"/>
    <w:rsid w:val="00403531"/>
    <w:rsid w:val="00403A26"/>
    <w:rsid w:val="00403B24"/>
    <w:rsid w:val="00403C44"/>
    <w:rsid w:val="00403EF3"/>
    <w:rsid w:val="0040480E"/>
    <w:rsid w:val="0040539F"/>
    <w:rsid w:val="00405617"/>
    <w:rsid w:val="00405DA3"/>
    <w:rsid w:val="00405E59"/>
    <w:rsid w:val="00405FE0"/>
    <w:rsid w:val="0040753A"/>
    <w:rsid w:val="00407790"/>
    <w:rsid w:val="00407C98"/>
    <w:rsid w:val="00407CBE"/>
    <w:rsid w:val="00410169"/>
    <w:rsid w:val="0041091C"/>
    <w:rsid w:val="00411115"/>
    <w:rsid w:val="004124D3"/>
    <w:rsid w:val="00412C1E"/>
    <w:rsid w:val="00413E01"/>
    <w:rsid w:val="00413F00"/>
    <w:rsid w:val="00414530"/>
    <w:rsid w:val="00414582"/>
    <w:rsid w:val="00414EEE"/>
    <w:rsid w:val="00415A9B"/>
    <w:rsid w:val="00415FE0"/>
    <w:rsid w:val="00416644"/>
    <w:rsid w:val="00416918"/>
    <w:rsid w:val="00416C90"/>
    <w:rsid w:val="004173C2"/>
    <w:rsid w:val="004174CB"/>
    <w:rsid w:val="004177B2"/>
    <w:rsid w:val="004179CF"/>
    <w:rsid w:val="00417B65"/>
    <w:rsid w:val="00420007"/>
    <w:rsid w:val="00420698"/>
    <w:rsid w:val="00420769"/>
    <w:rsid w:val="00420F87"/>
    <w:rsid w:val="00421560"/>
    <w:rsid w:val="00421956"/>
    <w:rsid w:val="004219EB"/>
    <w:rsid w:val="00422F6C"/>
    <w:rsid w:val="004236B2"/>
    <w:rsid w:val="00423BC5"/>
    <w:rsid w:val="00423C86"/>
    <w:rsid w:val="00423D5E"/>
    <w:rsid w:val="0042421E"/>
    <w:rsid w:val="004244B8"/>
    <w:rsid w:val="00424661"/>
    <w:rsid w:val="004248A0"/>
    <w:rsid w:val="00424DAB"/>
    <w:rsid w:val="00424ED6"/>
    <w:rsid w:val="004256C8"/>
    <w:rsid w:val="0042571F"/>
    <w:rsid w:val="00425E21"/>
    <w:rsid w:val="004261F7"/>
    <w:rsid w:val="00427C0C"/>
    <w:rsid w:val="00430046"/>
    <w:rsid w:val="004303CC"/>
    <w:rsid w:val="004308AA"/>
    <w:rsid w:val="004308EB"/>
    <w:rsid w:val="00430B0C"/>
    <w:rsid w:val="00430CD6"/>
    <w:rsid w:val="0043165D"/>
    <w:rsid w:val="00431B89"/>
    <w:rsid w:val="00431FD6"/>
    <w:rsid w:val="004323B5"/>
    <w:rsid w:val="004329ED"/>
    <w:rsid w:val="00432FCE"/>
    <w:rsid w:val="00433418"/>
    <w:rsid w:val="00433503"/>
    <w:rsid w:val="0043399F"/>
    <w:rsid w:val="00433A35"/>
    <w:rsid w:val="00433CC0"/>
    <w:rsid w:val="004343D4"/>
    <w:rsid w:val="004345B9"/>
    <w:rsid w:val="00434648"/>
    <w:rsid w:val="004348BC"/>
    <w:rsid w:val="00434CB8"/>
    <w:rsid w:val="0043500B"/>
    <w:rsid w:val="004350E5"/>
    <w:rsid w:val="0043527F"/>
    <w:rsid w:val="0043539C"/>
    <w:rsid w:val="0043566E"/>
    <w:rsid w:val="00435829"/>
    <w:rsid w:val="00435AC5"/>
    <w:rsid w:val="0043631F"/>
    <w:rsid w:val="00436590"/>
    <w:rsid w:val="0043677F"/>
    <w:rsid w:val="00436948"/>
    <w:rsid w:val="004369E4"/>
    <w:rsid w:val="00436C2F"/>
    <w:rsid w:val="00437560"/>
    <w:rsid w:val="00437624"/>
    <w:rsid w:val="00440647"/>
    <w:rsid w:val="004407B5"/>
    <w:rsid w:val="00440976"/>
    <w:rsid w:val="00440A3F"/>
    <w:rsid w:val="00440B0F"/>
    <w:rsid w:val="00440B7A"/>
    <w:rsid w:val="00441D80"/>
    <w:rsid w:val="00442303"/>
    <w:rsid w:val="00442974"/>
    <w:rsid w:val="00442E65"/>
    <w:rsid w:val="00442F63"/>
    <w:rsid w:val="00442FED"/>
    <w:rsid w:val="00443847"/>
    <w:rsid w:val="004438A9"/>
    <w:rsid w:val="00443901"/>
    <w:rsid w:val="00444470"/>
    <w:rsid w:val="00444EA5"/>
    <w:rsid w:val="00445B5B"/>
    <w:rsid w:val="00445C8C"/>
    <w:rsid w:val="00446305"/>
    <w:rsid w:val="00446983"/>
    <w:rsid w:val="0044704E"/>
    <w:rsid w:val="0044750D"/>
    <w:rsid w:val="0044759E"/>
    <w:rsid w:val="00447828"/>
    <w:rsid w:val="00447DE7"/>
    <w:rsid w:val="00447E97"/>
    <w:rsid w:val="00447F39"/>
    <w:rsid w:val="00450388"/>
    <w:rsid w:val="00450471"/>
    <w:rsid w:val="00450D11"/>
    <w:rsid w:val="004519E1"/>
    <w:rsid w:val="00451DCC"/>
    <w:rsid w:val="00451E7A"/>
    <w:rsid w:val="00452EA9"/>
    <w:rsid w:val="00452EC2"/>
    <w:rsid w:val="00454218"/>
    <w:rsid w:val="00454256"/>
    <w:rsid w:val="00454B35"/>
    <w:rsid w:val="00454C2C"/>
    <w:rsid w:val="00454D01"/>
    <w:rsid w:val="00455156"/>
    <w:rsid w:val="004558A7"/>
    <w:rsid w:val="00456141"/>
    <w:rsid w:val="0045627A"/>
    <w:rsid w:val="00456437"/>
    <w:rsid w:val="00456730"/>
    <w:rsid w:val="00456C95"/>
    <w:rsid w:val="00456FF3"/>
    <w:rsid w:val="004571E2"/>
    <w:rsid w:val="00457255"/>
    <w:rsid w:val="004573F8"/>
    <w:rsid w:val="00457657"/>
    <w:rsid w:val="0045765A"/>
    <w:rsid w:val="004606E4"/>
    <w:rsid w:val="00460BE2"/>
    <w:rsid w:val="004611B2"/>
    <w:rsid w:val="0046160D"/>
    <w:rsid w:val="00461C64"/>
    <w:rsid w:val="00461EAD"/>
    <w:rsid w:val="004621E8"/>
    <w:rsid w:val="00462AA4"/>
    <w:rsid w:val="0046377C"/>
    <w:rsid w:val="004639D0"/>
    <w:rsid w:val="00463A74"/>
    <w:rsid w:val="00463CBF"/>
    <w:rsid w:val="00463FAD"/>
    <w:rsid w:val="00464260"/>
    <w:rsid w:val="00464263"/>
    <w:rsid w:val="0046491B"/>
    <w:rsid w:val="00465395"/>
    <w:rsid w:val="004653D4"/>
    <w:rsid w:val="0046547B"/>
    <w:rsid w:val="004658BC"/>
    <w:rsid w:val="00465BA9"/>
    <w:rsid w:val="00465C06"/>
    <w:rsid w:val="00465E20"/>
    <w:rsid w:val="0046670E"/>
    <w:rsid w:val="00466FEE"/>
    <w:rsid w:val="00467926"/>
    <w:rsid w:val="00467C45"/>
    <w:rsid w:val="004702A0"/>
    <w:rsid w:val="004702CA"/>
    <w:rsid w:val="0047053A"/>
    <w:rsid w:val="004713C7"/>
    <w:rsid w:val="00471B5B"/>
    <w:rsid w:val="00471DB3"/>
    <w:rsid w:val="004726EC"/>
    <w:rsid w:val="00472C33"/>
    <w:rsid w:val="00472E69"/>
    <w:rsid w:val="004733FC"/>
    <w:rsid w:val="004742EA"/>
    <w:rsid w:val="004746A2"/>
    <w:rsid w:val="004749ED"/>
    <w:rsid w:val="00474C53"/>
    <w:rsid w:val="00474E61"/>
    <w:rsid w:val="004755E1"/>
    <w:rsid w:val="00475CE7"/>
    <w:rsid w:val="0047615E"/>
    <w:rsid w:val="00476208"/>
    <w:rsid w:val="00476623"/>
    <w:rsid w:val="00476B4B"/>
    <w:rsid w:val="00476CFC"/>
    <w:rsid w:val="004771BB"/>
    <w:rsid w:val="0047736E"/>
    <w:rsid w:val="004776C5"/>
    <w:rsid w:val="004777BD"/>
    <w:rsid w:val="00477E5B"/>
    <w:rsid w:val="00477E6A"/>
    <w:rsid w:val="0048004E"/>
    <w:rsid w:val="0048009C"/>
    <w:rsid w:val="0048014A"/>
    <w:rsid w:val="00480425"/>
    <w:rsid w:val="004807F7"/>
    <w:rsid w:val="00480AD3"/>
    <w:rsid w:val="00480DD9"/>
    <w:rsid w:val="00481634"/>
    <w:rsid w:val="004821A7"/>
    <w:rsid w:val="00482276"/>
    <w:rsid w:val="00484581"/>
    <w:rsid w:val="0048479F"/>
    <w:rsid w:val="00484A75"/>
    <w:rsid w:val="00484D1D"/>
    <w:rsid w:val="004850E4"/>
    <w:rsid w:val="0048514D"/>
    <w:rsid w:val="00485851"/>
    <w:rsid w:val="00486747"/>
    <w:rsid w:val="00486925"/>
    <w:rsid w:val="004879F8"/>
    <w:rsid w:val="004908E4"/>
    <w:rsid w:val="004914A6"/>
    <w:rsid w:val="004914CA"/>
    <w:rsid w:val="00491A0F"/>
    <w:rsid w:val="00493098"/>
    <w:rsid w:val="00493874"/>
    <w:rsid w:val="00494081"/>
    <w:rsid w:val="004944BF"/>
    <w:rsid w:val="00494917"/>
    <w:rsid w:val="004949E8"/>
    <w:rsid w:val="00495101"/>
    <w:rsid w:val="00495171"/>
    <w:rsid w:val="004957CA"/>
    <w:rsid w:val="00495934"/>
    <w:rsid w:val="00496590"/>
    <w:rsid w:val="00496685"/>
    <w:rsid w:val="004971C2"/>
    <w:rsid w:val="00497CB3"/>
    <w:rsid w:val="004A0365"/>
    <w:rsid w:val="004A0378"/>
    <w:rsid w:val="004A17F4"/>
    <w:rsid w:val="004A1D84"/>
    <w:rsid w:val="004A1F6F"/>
    <w:rsid w:val="004A25F4"/>
    <w:rsid w:val="004A2BA5"/>
    <w:rsid w:val="004A2FAC"/>
    <w:rsid w:val="004A2FF9"/>
    <w:rsid w:val="004A370C"/>
    <w:rsid w:val="004A3DD5"/>
    <w:rsid w:val="004A4825"/>
    <w:rsid w:val="004A5299"/>
    <w:rsid w:val="004A54E9"/>
    <w:rsid w:val="004A5656"/>
    <w:rsid w:val="004A579C"/>
    <w:rsid w:val="004A5BB9"/>
    <w:rsid w:val="004A6723"/>
    <w:rsid w:val="004A6793"/>
    <w:rsid w:val="004A67A6"/>
    <w:rsid w:val="004A6A9C"/>
    <w:rsid w:val="004A6E58"/>
    <w:rsid w:val="004A734E"/>
    <w:rsid w:val="004A7752"/>
    <w:rsid w:val="004A7BEA"/>
    <w:rsid w:val="004B076A"/>
    <w:rsid w:val="004B0959"/>
    <w:rsid w:val="004B0F92"/>
    <w:rsid w:val="004B10D9"/>
    <w:rsid w:val="004B13AD"/>
    <w:rsid w:val="004B1AFA"/>
    <w:rsid w:val="004B2341"/>
    <w:rsid w:val="004B2DFF"/>
    <w:rsid w:val="004B314F"/>
    <w:rsid w:val="004B324E"/>
    <w:rsid w:val="004B3637"/>
    <w:rsid w:val="004B3A0E"/>
    <w:rsid w:val="004B3C36"/>
    <w:rsid w:val="004B3D53"/>
    <w:rsid w:val="004B43C5"/>
    <w:rsid w:val="004B4690"/>
    <w:rsid w:val="004B5340"/>
    <w:rsid w:val="004B54C7"/>
    <w:rsid w:val="004B54D9"/>
    <w:rsid w:val="004B57FF"/>
    <w:rsid w:val="004B588D"/>
    <w:rsid w:val="004B5F48"/>
    <w:rsid w:val="004B62ED"/>
    <w:rsid w:val="004B6FBA"/>
    <w:rsid w:val="004B7340"/>
    <w:rsid w:val="004B798B"/>
    <w:rsid w:val="004B7BDA"/>
    <w:rsid w:val="004B7FF7"/>
    <w:rsid w:val="004C02DA"/>
    <w:rsid w:val="004C04F4"/>
    <w:rsid w:val="004C07CB"/>
    <w:rsid w:val="004C0D75"/>
    <w:rsid w:val="004C1586"/>
    <w:rsid w:val="004C15D9"/>
    <w:rsid w:val="004C197C"/>
    <w:rsid w:val="004C1C7C"/>
    <w:rsid w:val="004C324F"/>
    <w:rsid w:val="004C350E"/>
    <w:rsid w:val="004C360C"/>
    <w:rsid w:val="004C3B0E"/>
    <w:rsid w:val="004C3BB3"/>
    <w:rsid w:val="004C43AD"/>
    <w:rsid w:val="004C48F0"/>
    <w:rsid w:val="004C4CAE"/>
    <w:rsid w:val="004C4DED"/>
    <w:rsid w:val="004C7ECD"/>
    <w:rsid w:val="004C7F8B"/>
    <w:rsid w:val="004D061F"/>
    <w:rsid w:val="004D0817"/>
    <w:rsid w:val="004D0C9C"/>
    <w:rsid w:val="004D0CDC"/>
    <w:rsid w:val="004D12A7"/>
    <w:rsid w:val="004D1CE1"/>
    <w:rsid w:val="004D1F88"/>
    <w:rsid w:val="004D266F"/>
    <w:rsid w:val="004D2B46"/>
    <w:rsid w:val="004D3383"/>
    <w:rsid w:val="004D35C6"/>
    <w:rsid w:val="004D3697"/>
    <w:rsid w:val="004D36FE"/>
    <w:rsid w:val="004D3B44"/>
    <w:rsid w:val="004D3F38"/>
    <w:rsid w:val="004D40F9"/>
    <w:rsid w:val="004D4270"/>
    <w:rsid w:val="004D4FAD"/>
    <w:rsid w:val="004D52F5"/>
    <w:rsid w:val="004D5584"/>
    <w:rsid w:val="004D5DE3"/>
    <w:rsid w:val="004D5F39"/>
    <w:rsid w:val="004D5F85"/>
    <w:rsid w:val="004D61CC"/>
    <w:rsid w:val="004D7E2A"/>
    <w:rsid w:val="004D7F8E"/>
    <w:rsid w:val="004E02B4"/>
    <w:rsid w:val="004E08CF"/>
    <w:rsid w:val="004E0E3D"/>
    <w:rsid w:val="004E1060"/>
    <w:rsid w:val="004E1363"/>
    <w:rsid w:val="004E20AB"/>
    <w:rsid w:val="004E2177"/>
    <w:rsid w:val="004E2279"/>
    <w:rsid w:val="004E2300"/>
    <w:rsid w:val="004E334A"/>
    <w:rsid w:val="004E3722"/>
    <w:rsid w:val="004E3965"/>
    <w:rsid w:val="004E3F33"/>
    <w:rsid w:val="004E4022"/>
    <w:rsid w:val="004E4355"/>
    <w:rsid w:val="004E4D27"/>
    <w:rsid w:val="004E51C6"/>
    <w:rsid w:val="004E5A25"/>
    <w:rsid w:val="004E60F7"/>
    <w:rsid w:val="004E6202"/>
    <w:rsid w:val="004E6458"/>
    <w:rsid w:val="004E6AE7"/>
    <w:rsid w:val="004E6E5E"/>
    <w:rsid w:val="004E727C"/>
    <w:rsid w:val="004E780C"/>
    <w:rsid w:val="004F01B2"/>
    <w:rsid w:val="004F0E6A"/>
    <w:rsid w:val="004F11F3"/>
    <w:rsid w:val="004F15D3"/>
    <w:rsid w:val="004F1A7F"/>
    <w:rsid w:val="004F22F0"/>
    <w:rsid w:val="004F2486"/>
    <w:rsid w:val="004F252D"/>
    <w:rsid w:val="004F2B58"/>
    <w:rsid w:val="004F2BB9"/>
    <w:rsid w:val="004F3645"/>
    <w:rsid w:val="004F3A88"/>
    <w:rsid w:val="004F41A9"/>
    <w:rsid w:val="004F48D2"/>
    <w:rsid w:val="004F4B71"/>
    <w:rsid w:val="004F4C2A"/>
    <w:rsid w:val="004F4CF9"/>
    <w:rsid w:val="004F50BD"/>
    <w:rsid w:val="004F51BD"/>
    <w:rsid w:val="004F5225"/>
    <w:rsid w:val="004F53D3"/>
    <w:rsid w:val="004F54DE"/>
    <w:rsid w:val="004F67DF"/>
    <w:rsid w:val="004F6CC2"/>
    <w:rsid w:val="004F7154"/>
    <w:rsid w:val="004F768F"/>
    <w:rsid w:val="004F76E9"/>
    <w:rsid w:val="004F7AED"/>
    <w:rsid w:val="00500403"/>
    <w:rsid w:val="0050041F"/>
    <w:rsid w:val="00500F01"/>
    <w:rsid w:val="00501011"/>
    <w:rsid w:val="00501214"/>
    <w:rsid w:val="00501803"/>
    <w:rsid w:val="00502136"/>
    <w:rsid w:val="00502586"/>
    <w:rsid w:val="00502EE4"/>
    <w:rsid w:val="00503748"/>
    <w:rsid w:val="005037AC"/>
    <w:rsid w:val="00503B65"/>
    <w:rsid w:val="00503EFE"/>
    <w:rsid w:val="00503FE3"/>
    <w:rsid w:val="005042D3"/>
    <w:rsid w:val="00504D6C"/>
    <w:rsid w:val="005052EE"/>
    <w:rsid w:val="00506712"/>
    <w:rsid w:val="00506EEF"/>
    <w:rsid w:val="00507371"/>
    <w:rsid w:val="005074C3"/>
    <w:rsid w:val="0051020C"/>
    <w:rsid w:val="00510AC9"/>
    <w:rsid w:val="00510BCB"/>
    <w:rsid w:val="00511021"/>
    <w:rsid w:val="0051130D"/>
    <w:rsid w:val="0051134A"/>
    <w:rsid w:val="00511BFD"/>
    <w:rsid w:val="00511E67"/>
    <w:rsid w:val="005127D1"/>
    <w:rsid w:val="00513511"/>
    <w:rsid w:val="00513741"/>
    <w:rsid w:val="00513E5C"/>
    <w:rsid w:val="00513F13"/>
    <w:rsid w:val="0051437E"/>
    <w:rsid w:val="00514E75"/>
    <w:rsid w:val="00514FB5"/>
    <w:rsid w:val="005151F6"/>
    <w:rsid w:val="005157AF"/>
    <w:rsid w:val="005163D7"/>
    <w:rsid w:val="00516BDF"/>
    <w:rsid w:val="00516C0C"/>
    <w:rsid w:val="00517002"/>
    <w:rsid w:val="0051719E"/>
    <w:rsid w:val="005172D9"/>
    <w:rsid w:val="0051782C"/>
    <w:rsid w:val="005205AE"/>
    <w:rsid w:val="0052087C"/>
    <w:rsid w:val="00520BB3"/>
    <w:rsid w:val="00520DAC"/>
    <w:rsid w:val="005212A2"/>
    <w:rsid w:val="005213B0"/>
    <w:rsid w:val="0052183D"/>
    <w:rsid w:val="005218D0"/>
    <w:rsid w:val="005219BD"/>
    <w:rsid w:val="00521F8E"/>
    <w:rsid w:val="0052292D"/>
    <w:rsid w:val="00523830"/>
    <w:rsid w:val="00523B97"/>
    <w:rsid w:val="00524A15"/>
    <w:rsid w:val="00524AEB"/>
    <w:rsid w:val="00525247"/>
    <w:rsid w:val="0052569A"/>
    <w:rsid w:val="0052610C"/>
    <w:rsid w:val="00526A34"/>
    <w:rsid w:val="00526DAE"/>
    <w:rsid w:val="005273B2"/>
    <w:rsid w:val="0052785A"/>
    <w:rsid w:val="00530493"/>
    <w:rsid w:val="005307B8"/>
    <w:rsid w:val="00530B80"/>
    <w:rsid w:val="00530BD8"/>
    <w:rsid w:val="00530CED"/>
    <w:rsid w:val="00531C55"/>
    <w:rsid w:val="00531DEF"/>
    <w:rsid w:val="00532E43"/>
    <w:rsid w:val="005330D5"/>
    <w:rsid w:val="00533720"/>
    <w:rsid w:val="00533CDE"/>
    <w:rsid w:val="005343DA"/>
    <w:rsid w:val="00534594"/>
    <w:rsid w:val="00534826"/>
    <w:rsid w:val="00534FB6"/>
    <w:rsid w:val="0053535B"/>
    <w:rsid w:val="005353A1"/>
    <w:rsid w:val="005354BD"/>
    <w:rsid w:val="00535B92"/>
    <w:rsid w:val="00535D16"/>
    <w:rsid w:val="00535FC9"/>
    <w:rsid w:val="005366A6"/>
    <w:rsid w:val="00536B80"/>
    <w:rsid w:val="00536BBC"/>
    <w:rsid w:val="00536E2A"/>
    <w:rsid w:val="005373B2"/>
    <w:rsid w:val="00537832"/>
    <w:rsid w:val="00537A07"/>
    <w:rsid w:val="00537FCA"/>
    <w:rsid w:val="005401D6"/>
    <w:rsid w:val="0054039F"/>
    <w:rsid w:val="0054042C"/>
    <w:rsid w:val="005408B3"/>
    <w:rsid w:val="00540FD3"/>
    <w:rsid w:val="0054170E"/>
    <w:rsid w:val="0054216F"/>
    <w:rsid w:val="005424D7"/>
    <w:rsid w:val="005426CF"/>
    <w:rsid w:val="00542755"/>
    <w:rsid w:val="00542ED5"/>
    <w:rsid w:val="0054381C"/>
    <w:rsid w:val="00543C77"/>
    <w:rsid w:val="00543C86"/>
    <w:rsid w:val="00543E19"/>
    <w:rsid w:val="00543F79"/>
    <w:rsid w:val="005442C1"/>
    <w:rsid w:val="00544855"/>
    <w:rsid w:val="00544C0C"/>
    <w:rsid w:val="0054581E"/>
    <w:rsid w:val="0054598B"/>
    <w:rsid w:val="00545BE6"/>
    <w:rsid w:val="00545E28"/>
    <w:rsid w:val="00546358"/>
    <w:rsid w:val="0054645B"/>
    <w:rsid w:val="00546907"/>
    <w:rsid w:val="005469D0"/>
    <w:rsid w:val="00546FAE"/>
    <w:rsid w:val="00547360"/>
    <w:rsid w:val="00547F13"/>
    <w:rsid w:val="00550477"/>
    <w:rsid w:val="0055050D"/>
    <w:rsid w:val="0055095E"/>
    <w:rsid w:val="00550C13"/>
    <w:rsid w:val="00550C8C"/>
    <w:rsid w:val="005515D7"/>
    <w:rsid w:val="00551C02"/>
    <w:rsid w:val="005522C4"/>
    <w:rsid w:val="00552365"/>
    <w:rsid w:val="005530DC"/>
    <w:rsid w:val="00553704"/>
    <w:rsid w:val="00553931"/>
    <w:rsid w:val="005539D1"/>
    <w:rsid w:val="00553A28"/>
    <w:rsid w:val="00553D97"/>
    <w:rsid w:val="0055433B"/>
    <w:rsid w:val="00554501"/>
    <w:rsid w:val="005549EC"/>
    <w:rsid w:val="00555249"/>
    <w:rsid w:val="005552AB"/>
    <w:rsid w:val="00555629"/>
    <w:rsid w:val="005558E7"/>
    <w:rsid w:val="00555DCE"/>
    <w:rsid w:val="005566C9"/>
    <w:rsid w:val="00556CAA"/>
    <w:rsid w:val="00557D77"/>
    <w:rsid w:val="005600DD"/>
    <w:rsid w:val="00561072"/>
    <w:rsid w:val="00561E8F"/>
    <w:rsid w:val="00561FAC"/>
    <w:rsid w:val="00562479"/>
    <w:rsid w:val="005626F8"/>
    <w:rsid w:val="0056291F"/>
    <w:rsid w:val="0056295C"/>
    <w:rsid w:val="00562E08"/>
    <w:rsid w:val="00563000"/>
    <w:rsid w:val="00563579"/>
    <w:rsid w:val="00563993"/>
    <w:rsid w:val="00563AE3"/>
    <w:rsid w:val="00563DC9"/>
    <w:rsid w:val="0056411F"/>
    <w:rsid w:val="00564317"/>
    <w:rsid w:val="00564428"/>
    <w:rsid w:val="005644CE"/>
    <w:rsid w:val="00564B69"/>
    <w:rsid w:val="00564B9E"/>
    <w:rsid w:val="00565865"/>
    <w:rsid w:val="00565B15"/>
    <w:rsid w:val="00565BCA"/>
    <w:rsid w:val="00565F62"/>
    <w:rsid w:val="00566D36"/>
    <w:rsid w:val="00567642"/>
    <w:rsid w:val="0056789F"/>
    <w:rsid w:val="00567DF9"/>
    <w:rsid w:val="00570066"/>
    <w:rsid w:val="005704E9"/>
    <w:rsid w:val="00570A61"/>
    <w:rsid w:val="00570B4C"/>
    <w:rsid w:val="00570FE5"/>
    <w:rsid w:val="005712D5"/>
    <w:rsid w:val="00571E94"/>
    <w:rsid w:val="00572348"/>
    <w:rsid w:val="00572367"/>
    <w:rsid w:val="005726B2"/>
    <w:rsid w:val="0057312E"/>
    <w:rsid w:val="0057405D"/>
    <w:rsid w:val="00574476"/>
    <w:rsid w:val="005744CD"/>
    <w:rsid w:val="005747FD"/>
    <w:rsid w:val="00574B83"/>
    <w:rsid w:val="00575408"/>
    <w:rsid w:val="00575A4E"/>
    <w:rsid w:val="00575BD9"/>
    <w:rsid w:val="00575BF6"/>
    <w:rsid w:val="005760B9"/>
    <w:rsid w:val="005775FD"/>
    <w:rsid w:val="0057781A"/>
    <w:rsid w:val="005778CB"/>
    <w:rsid w:val="00577A5C"/>
    <w:rsid w:val="005801BD"/>
    <w:rsid w:val="0058146E"/>
    <w:rsid w:val="00582201"/>
    <w:rsid w:val="005824A7"/>
    <w:rsid w:val="00582D98"/>
    <w:rsid w:val="00583C93"/>
    <w:rsid w:val="00584142"/>
    <w:rsid w:val="00584383"/>
    <w:rsid w:val="00584BED"/>
    <w:rsid w:val="00584F25"/>
    <w:rsid w:val="005850A7"/>
    <w:rsid w:val="00585632"/>
    <w:rsid w:val="00585B2C"/>
    <w:rsid w:val="00585E8F"/>
    <w:rsid w:val="0058603A"/>
    <w:rsid w:val="00586181"/>
    <w:rsid w:val="00586328"/>
    <w:rsid w:val="005864B9"/>
    <w:rsid w:val="005864EA"/>
    <w:rsid w:val="00586A29"/>
    <w:rsid w:val="00586A7C"/>
    <w:rsid w:val="0058702A"/>
    <w:rsid w:val="00587047"/>
    <w:rsid w:val="00587630"/>
    <w:rsid w:val="005879B6"/>
    <w:rsid w:val="00587C09"/>
    <w:rsid w:val="00587FDD"/>
    <w:rsid w:val="00590007"/>
    <w:rsid w:val="0059020C"/>
    <w:rsid w:val="00590F79"/>
    <w:rsid w:val="005928FC"/>
    <w:rsid w:val="00593487"/>
    <w:rsid w:val="00593FA5"/>
    <w:rsid w:val="0059472D"/>
    <w:rsid w:val="005948F8"/>
    <w:rsid w:val="0059513F"/>
    <w:rsid w:val="0059515D"/>
    <w:rsid w:val="005952D8"/>
    <w:rsid w:val="0059579F"/>
    <w:rsid w:val="00596706"/>
    <w:rsid w:val="0059676E"/>
    <w:rsid w:val="00596B80"/>
    <w:rsid w:val="0059760A"/>
    <w:rsid w:val="00597CF6"/>
    <w:rsid w:val="005A058A"/>
    <w:rsid w:val="005A07F3"/>
    <w:rsid w:val="005A0894"/>
    <w:rsid w:val="005A0A67"/>
    <w:rsid w:val="005A0CC1"/>
    <w:rsid w:val="005A0E9F"/>
    <w:rsid w:val="005A0FC7"/>
    <w:rsid w:val="005A1499"/>
    <w:rsid w:val="005A18DF"/>
    <w:rsid w:val="005A1EE8"/>
    <w:rsid w:val="005A22FA"/>
    <w:rsid w:val="005A2AD8"/>
    <w:rsid w:val="005A31A6"/>
    <w:rsid w:val="005A369B"/>
    <w:rsid w:val="005A3C2C"/>
    <w:rsid w:val="005A3EDF"/>
    <w:rsid w:val="005A4808"/>
    <w:rsid w:val="005A4DF6"/>
    <w:rsid w:val="005A4F26"/>
    <w:rsid w:val="005A5050"/>
    <w:rsid w:val="005A59C3"/>
    <w:rsid w:val="005A6081"/>
    <w:rsid w:val="005A6143"/>
    <w:rsid w:val="005A6F73"/>
    <w:rsid w:val="005A7079"/>
    <w:rsid w:val="005A7D2E"/>
    <w:rsid w:val="005A7FB3"/>
    <w:rsid w:val="005B0785"/>
    <w:rsid w:val="005B1194"/>
    <w:rsid w:val="005B12AD"/>
    <w:rsid w:val="005B13CF"/>
    <w:rsid w:val="005B1D45"/>
    <w:rsid w:val="005B1D75"/>
    <w:rsid w:val="005B25C6"/>
    <w:rsid w:val="005B2E54"/>
    <w:rsid w:val="005B2F8F"/>
    <w:rsid w:val="005B37D6"/>
    <w:rsid w:val="005B3A42"/>
    <w:rsid w:val="005B3BB2"/>
    <w:rsid w:val="005B412A"/>
    <w:rsid w:val="005B4618"/>
    <w:rsid w:val="005B567C"/>
    <w:rsid w:val="005B5815"/>
    <w:rsid w:val="005B5B56"/>
    <w:rsid w:val="005B648C"/>
    <w:rsid w:val="005B6627"/>
    <w:rsid w:val="005B6818"/>
    <w:rsid w:val="005B688C"/>
    <w:rsid w:val="005B6E4E"/>
    <w:rsid w:val="005B7B65"/>
    <w:rsid w:val="005C0396"/>
    <w:rsid w:val="005C065E"/>
    <w:rsid w:val="005C0695"/>
    <w:rsid w:val="005C0992"/>
    <w:rsid w:val="005C09BD"/>
    <w:rsid w:val="005C0F6B"/>
    <w:rsid w:val="005C1137"/>
    <w:rsid w:val="005C1D46"/>
    <w:rsid w:val="005C2417"/>
    <w:rsid w:val="005C2570"/>
    <w:rsid w:val="005C259C"/>
    <w:rsid w:val="005C2EE5"/>
    <w:rsid w:val="005C3445"/>
    <w:rsid w:val="005C3935"/>
    <w:rsid w:val="005C4708"/>
    <w:rsid w:val="005C50EA"/>
    <w:rsid w:val="005C5266"/>
    <w:rsid w:val="005C5C07"/>
    <w:rsid w:val="005C6146"/>
    <w:rsid w:val="005C692F"/>
    <w:rsid w:val="005C71CC"/>
    <w:rsid w:val="005C7277"/>
    <w:rsid w:val="005C77A0"/>
    <w:rsid w:val="005C7866"/>
    <w:rsid w:val="005C7C48"/>
    <w:rsid w:val="005C7E5F"/>
    <w:rsid w:val="005C7FC8"/>
    <w:rsid w:val="005D02B7"/>
    <w:rsid w:val="005D060A"/>
    <w:rsid w:val="005D1034"/>
    <w:rsid w:val="005D1B2D"/>
    <w:rsid w:val="005D20D1"/>
    <w:rsid w:val="005D26BC"/>
    <w:rsid w:val="005D3888"/>
    <w:rsid w:val="005D3A7B"/>
    <w:rsid w:val="005D4156"/>
    <w:rsid w:val="005D5190"/>
    <w:rsid w:val="005D57EA"/>
    <w:rsid w:val="005D5FB8"/>
    <w:rsid w:val="005D6363"/>
    <w:rsid w:val="005D6EF7"/>
    <w:rsid w:val="005D705F"/>
    <w:rsid w:val="005D7CBA"/>
    <w:rsid w:val="005E09C2"/>
    <w:rsid w:val="005E0D5F"/>
    <w:rsid w:val="005E11A7"/>
    <w:rsid w:val="005E185E"/>
    <w:rsid w:val="005E21FD"/>
    <w:rsid w:val="005E2DD4"/>
    <w:rsid w:val="005E452B"/>
    <w:rsid w:val="005E4C46"/>
    <w:rsid w:val="005E51FD"/>
    <w:rsid w:val="005E52D7"/>
    <w:rsid w:val="005E582B"/>
    <w:rsid w:val="005E5DEF"/>
    <w:rsid w:val="005E6381"/>
    <w:rsid w:val="005E642A"/>
    <w:rsid w:val="005E6540"/>
    <w:rsid w:val="005E6624"/>
    <w:rsid w:val="005E667E"/>
    <w:rsid w:val="005E68C5"/>
    <w:rsid w:val="005E6D0A"/>
    <w:rsid w:val="005E74C4"/>
    <w:rsid w:val="005E7716"/>
    <w:rsid w:val="005F043E"/>
    <w:rsid w:val="005F07F7"/>
    <w:rsid w:val="005F0DCF"/>
    <w:rsid w:val="005F0FD4"/>
    <w:rsid w:val="005F24E9"/>
    <w:rsid w:val="005F279B"/>
    <w:rsid w:val="005F2F19"/>
    <w:rsid w:val="005F3059"/>
    <w:rsid w:val="005F35A5"/>
    <w:rsid w:val="005F3885"/>
    <w:rsid w:val="005F390F"/>
    <w:rsid w:val="005F4522"/>
    <w:rsid w:val="005F46E6"/>
    <w:rsid w:val="005F47A1"/>
    <w:rsid w:val="005F4C37"/>
    <w:rsid w:val="005F4CF0"/>
    <w:rsid w:val="005F4D3D"/>
    <w:rsid w:val="005F4E2E"/>
    <w:rsid w:val="005F4EC5"/>
    <w:rsid w:val="005F56BF"/>
    <w:rsid w:val="005F57B0"/>
    <w:rsid w:val="005F58A1"/>
    <w:rsid w:val="005F5AA7"/>
    <w:rsid w:val="005F5D73"/>
    <w:rsid w:val="005F6AF5"/>
    <w:rsid w:val="005F6BCD"/>
    <w:rsid w:val="005F6BDF"/>
    <w:rsid w:val="005F728C"/>
    <w:rsid w:val="005F7C2D"/>
    <w:rsid w:val="005F7D46"/>
    <w:rsid w:val="00600028"/>
    <w:rsid w:val="0060113B"/>
    <w:rsid w:val="00601BE5"/>
    <w:rsid w:val="00601F17"/>
    <w:rsid w:val="0060207B"/>
    <w:rsid w:val="0060266E"/>
    <w:rsid w:val="00603221"/>
    <w:rsid w:val="006037CF"/>
    <w:rsid w:val="00603C9E"/>
    <w:rsid w:val="006045C5"/>
    <w:rsid w:val="00605396"/>
    <w:rsid w:val="00605671"/>
    <w:rsid w:val="00605F6D"/>
    <w:rsid w:val="00606592"/>
    <w:rsid w:val="00606D80"/>
    <w:rsid w:val="00606E21"/>
    <w:rsid w:val="00606F98"/>
    <w:rsid w:val="006070C4"/>
    <w:rsid w:val="00607984"/>
    <w:rsid w:val="00607B3D"/>
    <w:rsid w:val="00607BE7"/>
    <w:rsid w:val="00610026"/>
    <w:rsid w:val="00610654"/>
    <w:rsid w:val="00610777"/>
    <w:rsid w:val="00610C9A"/>
    <w:rsid w:val="006110AB"/>
    <w:rsid w:val="006112E7"/>
    <w:rsid w:val="00611717"/>
    <w:rsid w:val="006119A2"/>
    <w:rsid w:val="00611A64"/>
    <w:rsid w:val="00612D6A"/>
    <w:rsid w:val="00612E5D"/>
    <w:rsid w:val="006132FC"/>
    <w:rsid w:val="006134D5"/>
    <w:rsid w:val="006139C9"/>
    <w:rsid w:val="00613EA3"/>
    <w:rsid w:val="00614247"/>
    <w:rsid w:val="00614585"/>
    <w:rsid w:val="006148F3"/>
    <w:rsid w:val="00614ABF"/>
    <w:rsid w:val="00614DD2"/>
    <w:rsid w:val="0061508E"/>
    <w:rsid w:val="006157E3"/>
    <w:rsid w:val="006162E5"/>
    <w:rsid w:val="006165DF"/>
    <w:rsid w:val="0061722E"/>
    <w:rsid w:val="0061769D"/>
    <w:rsid w:val="00617A1F"/>
    <w:rsid w:val="00617B6E"/>
    <w:rsid w:val="00617D43"/>
    <w:rsid w:val="00617E22"/>
    <w:rsid w:val="006207A6"/>
    <w:rsid w:val="006210FE"/>
    <w:rsid w:val="006216BE"/>
    <w:rsid w:val="00621736"/>
    <w:rsid w:val="006221D3"/>
    <w:rsid w:val="006222D1"/>
    <w:rsid w:val="00622311"/>
    <w:rsid w:val="006227C8"/>
    <w:rsid w:val="0062286A"/>
    <w:rsid w:val="00622913"/>
    <w:rsid w:val="00622A34"/>
    <w:rsid w:val="00622CB9"/>
    <w:rsid w:val="00624530"/>
    <w:rsid w:val="0062487B"/>
    <w:rsid w:val="006248DB"/>
    <w:rsid w:val="00624D59"/>
    <w:rsid w:val="00624E88"/>
    <w:rsid w:val="006258AB"/>
    <w:rsid w:val="00625931"/>
    <w:rsid w:val="00625E3E"/>
    <w:rsid w:val="00626017"/>
    <w:rsid w:val="00626583"/>
    <w:rsid w:val="00626653"/>
    <w:rsid w:val="00626848"/>
    <w:rsid w:val="00626C3D"/>
    <w:rsid w:val="006271D7"/>
    <w:rsid w:val="0062756F"/>
    <w:rsid w:val="00627C36"/>
    <w:rsid w:val="00627D5F"/>
    <w:rsid w:val="0063062C"/>
    <w:rsid w:val="00630871"/>
    <w:rsid w:val="006308D0"/>
    <w:rsid w:val="006309E0"/>
    <w:rsid w:val="00630BC7"/>
    <w:rsid w:val="00630DDE"/>
    <w:rsid w:val="00630E10"/>
    <w:rsid w:val="00631C29"/>
    <w:rsid w:val="00631D89"/>
    <w:rsid w:val="00631DDC"/>
    <w:rsid w:val="00631E09"/>
    <w:rsid w:val="006323D3"/>
    <w:rsid w:val="00632453"/>
    <w:rsid w:val="00632BC4"/>
    <w:rsid w:val="00635214"/>
    <w:rsid w:val="00635A71"/>
    <w:rsid w:val="0063688F"/>
    <w:rsid w:val="00636C78"/>
    <w:rsid w:val="00637321"/>
    <w:rsid w:val="00637465"/>
    <w:rsid w:val="00637572"/>
    <w:rsid w:val="00637656"/>
    <w:rsid w:val="00637AA5"/>
    <w:rsid w:val="00637E30"/>
    <w:rsid w:val="00640187"/>
    <w:rsid w:val="00640243"/>
    <w:rsid w:val="0064038A"/>
    <w:rsid w:val="00640798"/>
    <w:rsid w:val="00640BB1"/>
    <w:rsid w:val="00640CE0"/>
    <w:rsid w:val="00641464"/>
    <w:rsid w:val="00641806"/>
    <w:rsid w:val="0064195E"/>
    <w:rsid w:val="0064224B"/>
    <w:rsid w:val="00642321"/>
    <w:rsid w:val="00642813"/>
    <w:rsid w:val="00642D2F"/>
    <w:rsid w:val="00642E4F"/>
    <w:rsid w:val="00642E82"/>
    <w:rsid w:val="00642FAB"/>
    <w:rsid w:val="00643114"/>
    <w:rsid w:val="006436C7"/>
    <w:rsid w:val="006439D6"/>
    <w:rsid w:val="00643A83"/>
    <w:rsid w:val="006441FB"/>
    <w:rsid w:val="00644749"/>
    <w:rsid w:val="00644D78"/>
    <w:rsid w:val="00646297"/>
    <w:rsid w:val="00646481"/>
    <w:rsid w:val="00646A8A"/>
    <w:rsid w:val="0064722A"/>
    <w:rsid w:val="00650214"/>
    <w:rsid w:val="00650478"/>
    <w:rsid w:val="00650563"/>
    <w:rsid w:val="00650B03"/>
    <w:rsid w:val="00651075"/>
    <w:rsid w:val="00651489"/>
    <w:rsid w:val="00651804"/>
    <w:rsid w:val="00652010"/>
    <w:rsid w:val="00652049"/>
    <w:rsid w:val="0065292E"/>
    <w:rsid w:val="00652996"/>
    <w:rsid w:val="00652B84"/>
    <w:rsid w:val="00652F2D"/>
    <w:rsid w:val="00652FAA"/>
    <w:rsid w:val="006530BF"/>
    <w:rsid w:val="0065357F"/>
    <w:rsid w:val="00653616"/>
    <w:rsid w:val="00653758"/>
    <w:rsid w:val="00653BCF"/>
    <w:rsid w:val="00653D54"/>
    <w:rsid w:val="00654A2A"/>
    <w:rsid w:val="006550BE"/>
    <w:rsid w:val="00655962"/>
    <w:rsid w:val="00656345"/>
    <w:rsid w:val="006575F5"/>
    <w:rsid w:val="00660384"/>
    <w:rsid w:val="0066080E"/>
    <w:rsid w:val="00660A9E"/>
    <w:rsid w:val="00660FF2"/>
    <w:rsid w:val="006618AC"/>
    <w:rsid w:val="00661BD3"/>
    <w:rsid w:val="00661D6A"/>
    <w:rsid w:val="00661E2C"/>
    <w:rsid w:val="00661E9F"/>
    <w:rsid w:val="00662E77"/>
    <w:rsid w:val="00662E7F"/>
    <w:rsid w:val="006630B9"/>
    <w:rsid w:val="00663191"/>
    <w:rsid w:val="0066356F"/>
    <w:rsid w:val="00663C6B"/>
    <w:rsid w:val="00664236"/>
    <w:rsid w:val="006642BE"/>
    <w:rsid w:val="0066453F"/>
    <w:rsid w:val="00664A70"/>
    <w:rsid w:val="006653F2"/>
    <w:rsid w:val="00665A51"/>
    <w:rsid w:val="006669E0"/>
    <w:rsid w:val="00667050"/>
    <w:rsid w:val="006675DA"/>
    <w:rsid w:val="00667735"/>
    <w:rsid w:val="00671CD5"/>
    <w:rsid w:val="00671EC5"/>
    <w:rsid w:val="00671FD9"/>
    <w:rsid w:val="006722F0"/>
    <w:rsid w:val="006723E0"/>
    <w:rsid w:val="00672BF6"/>
    <w:rsid w:val="006731C6"/>
    <w:rsid w:val="0067335F"/>
    <w:rsid w:val="00674A2D"/>
    <w:rsid w:val="00675259"/>
    <w:rsid w:val="00676828"/>
    <w:rsid w:val="0067759F"/>
    <w:rsid w:val="00677891"/>
    <w:rsid w:val="00680891"/>
    <w:rsid w:val="006808F7"/>
    <w:rsid w:val="00680FB2"/>
    <w:rsid w:val="00681735"/>
    <w:rsid w:val="0068200D"/>
    <w:rsid w:val="006820CE"/>
    <w:rsid w:val="00682283"/>
    <w:rsid w:val="00682851"/>
    <w:rsid w:val="00682B01"/>
    <w:rsid w:val="00682CB0"/>
    <w:rsid w:val="0068312E"/>
    <w:rsid w:val="0068375F"/>
    <w:rsid w:val="00684386"/>
    <w:rsid w:val="006853A5"/>
    <w:rsid w:val="006855A6"/>
    <w:rsid w:val="00685819"/>
    <w:rsid w:val="006859BF"/>
    <w:rsid w:val="00685DF8"/>
    <w:rsid w:val="00686773"/>
    <w:rsid w:val="006867FA"/>
    <w:rsid w:val="00686ACE"/>
    <w:rsid w:val="00686AE3"/>
    <w:rsid w:val="00686F26"/>
    <w:rsid w:val="00687466"/>
    <w:rsid w:val="00687A2E"/>
    <w:rsid w:val="00687CB2"/>
    <w:rsid w:val="00690906"/>
    <w:rsid w:val="00691050"/>
    <w:rsid w:val="00691469"/>
    <w:rsid w:val="00691759"/>
    <w:rsid w:val="0069195D"/>
    <w:rsid w:val="00691FD7"/>
    <w:rsid w:val="0069249E"/>
    <w:rsid w:val="00692D3C"/>
    <w:rsid w:val="00692E01"/>
    <w:rsid w:val="00692EA1"/>
    <w:rsid w:val="006931B3"/>
    <w:rsid w:val="0069340A"/>
    <w:rsid w:val="0069377F"/>
    <w:rsid w:val="00693E4C"/>
    <w:rsid w:val="00694065"/>
    <w:rsid w:val="006940BD"/>
    <w:rsid w:val="00694403"/>
    <w:rsid w:val="006949C1"/>
    <w:rsid w:val="00694CBC"/>
    <w:rsid w:val="00694D43"/>
    <w:rsid w:val="00695151"/>
    <w:rsid w:val="006951D1"/>
    <w:rsid w:val="00695351"/>
    <w:rsid w:val="0069572C"/>
    <w:rsid w:val="00696A18"/>
    <w:rsid w:val="006976D5"/>
    <w:rsid w:val="00697B22"/>
    <w:rsid w:val="00697C18"/>
    <w:rsid w:val="00697EFD"/>
    <w:rsid w:val="006A06B8"/>
    <w:rsid w:val="006A0905"/>
    <w:rsid w:val="006A1004"/>
    <w:rsid w:val="006A17D4"/>
    <w:rsid w:val="006A19DC"/>
    <w:rsid w:val="006A1A0A"/>
    <w:rsid w:val="006A21CC"/>
    <w:rsid w:val="006A27B6"/>
    <w:rsid w:val="006A2BD2"/>
    <w:rsid w:val="006A2C71"/>
    <w:rsid w:val="006A2DA1"/>
    <w:rsid w:val="006A32FB"/>
    <w:rsid w:val="006A3316"/>
    <w:rsid w:val="006A34E3"/>
    <w:rsid w:val="006A3E04"/>
    <w:rsid w:val="006A42AE"/>
    <w:rsid w:val="006A49D5"/>
    <w:rsid w:val="006A560D"/>
    <w:rsid w:val="006A5F4A"/>
    <w:rsid w:val="006A5F6F"/>
    <w:rsid w:val="006A617C"/>
    <w:rsid w:val="006A6A8B"/>
    <w:rsid w:val="006A6EE9"/>
    <w:rsid w:val="006A6FF0"/>
    <w:rsid w:val="006A768F"/>
    <w:rsid w:val="006A777E"/>
    <w:rsid w:val="006B013E"/>
    <w:rsid w:val="006B072C"/>
    <w:rsid w:val="006B0D66"/>
    <w:rsid w:val="006B1136"/>
    <w:rsid w:val="006B1476"/>
    <w:rsid w:val="006B15C1"/>
    <w:rsid w:val="006B1DC0"/>
    <w:rsid w:val="006B2D42"/>
    <w:rsid w:val="006B3246"/>
    <w:rsid w:val="006B3610"/>
    <w:rsid w:val="006B38F0"/>
    <w:rsid w:val="006B42C2"/>
    <w:rsid w:val="006B45FF"/>
    <w:rsid w:val="006B4900"/>
    <w:rsid w:val="006B4C2F"/>
    <w:rsid w:val="006B4CCE"/>
    <w:rsid w:val="006B5480"/>
    <w:rsid w:val="006B5D35"/>
    <w:rsid w:val="006B5D6A"/>
    <w:rsid w:val="006B64E9"/>
    <w:rsid w:val="006B6742"/>
    <w:rsid w:val="006B6BB3"/>
    <w:rsid w:val="006C0CA7"/>
    <w:rsid w:val="006C0E45"/>
    <w:rsid w:val="006C0ED9"/>
    <w:rsid w:val="006C15E6"/>
    <w:rsid w:val="006C1702"/>
    <w:rsid w:val="006C2EB7"/>
    <w:rsid w:val="006C32F6"/>
    <w:rsid w:val="006C33D9"/>
    <w:rsid w:val="006C37DC"/>
    <w:rsid w:val="006C38F1"/>
    <w:rsid w:val="006C3C2B"/>
    <w:rsid w:val="006C4752"/>
    <w:rsid w:val="006C4ACC"/>
    <w:rsid w:val="006C4F30"/>
    <w:rsid w:val="006C5708"/>
    <w:rsid w:val="006C5A7E"/>
    <w:rsid w:val="006C6AA5"/>
    <w:rsid w:val="006C6C88"/>
    <w:rsid w:val="006C6DE7"/>
    <w:rsid w:val="006C6E4D"/>
    <w:rsid w:val="006C784E"/>
    <w:rsid w:val="006C7A73"/>
    <w:rsid w:val="006C7AE5"/>
    <w:rsid w:val="006D0B86"/>
    <w:rsid w:val="006D0E4F"/>
    <w:rsid w:val="006D109F"/>
    <w:rsid w:val="006D154C"/>
    <w:rsid w:val="006D1BC6"/>
    <w:rsid w:val="006D1F26"/>
    <w:rsid w:val="006D21A7"/>
    <w:rsid w:val="006D21E3"/>
    <w:rsid w:val="006D2DDF"/>
    <w:rsid w:val="006D3094"/>
    <w:rsid w:val="006D31DB"/>
    <w:rsid w:val="006D3847"/>
    <w:rsid w:val="006D3B41"/>
    <w:rsid w:val="006D4A27"/>
    <w:rsid w:val="006D517D"/>
    <w:rsid w:val="006D5365"/>
    <w:rsid w:val="006D5566"/>
    <w:rsid w:val="006D55E7"/>
    <w:rsid w:val="006D6A5B"/>
    <w:rsid w:val="006D7BEF"/>
    <w:rsid w:val="006D7FB0"/>
    <w:rsid w:val="006E0069"/>
    <w:rsid w:val="006E02BB"/>
    <w:rsid w:val="006E09BE"/>
    <w:rsid w:val="006E1029"/>
    <w:rsid w:val="006E1658"/>
    <w:rsid w:val="006E169F"/>
    <w:rsid w:val="006E1910"/>
    <w:rsid w:val="006E1AB3"/>
    <w:rsid w:val="006E1CE6"/>
    <w:rsid w:val="006E1D7D"/>
    <w:rsid w:val="006E232E"/>
    <w:rsid w:val="006E266B"/>
    <w:rsid w:val="006E30E9"/>
    <w:rsid w:val="006E330D"/>
    <w:rsid w:val="006E3E96"/>
    <w:rsid w:val="006E3EFA"/>
    <w:rsid w:val="006E3F3B"/>
    <w:rsid w:val="006E402D"/>
    <w:rsid w:val="006E4324"/>
    <w:rsid w:val="006E4821"/>
    <w:rsid w:val="006E4D12"/>
    <w:rsid w:val="006E4E4F"/>
    <w:rsid w:val="006E4E89"/>
    <w:rsid w:val="006E5C9D"/>
    <w:rsid w:val="006E62BD"/>
    <w:rsid w:val="006E7689"/>
    <w:rsid w:val="006E7A30"/>
    <w:rsid w:val="006F01C6"/>
    <w:rsid w:val="006F03D3"/>
    <w:rsid w:val="006F0554"/>
    <w:rsid w:val="006F0945"/>
    <w:rsid w:val="006F10F2"/>
    <w:rsid w:val="006F128B"/>
    <w:rsid w:val="006F12AE"/>
    <w:rsid w:val="006F2107"/>
    <w:rsid w:val="006F2194"/>
    <w:rsid w:val="006F22ED"/>
    <w:rsid w:val="006F325A"/>
    <w:rsid w:val="006F399D"/>
    <w:rsid w:val="006F3C33"/>
    <w:rsid w:val="006F44FF"/>
    <w:rsid w:val="006F46BA"/>
    <w:rsid w:val="006F4A51"/>
    <w:rsid w:val="006F526A"/>
    <w:rsid w:val="006F5773"/>
    <w:rsid w:val="006F6017"/>
    <w:rsid w:val="006F62C8"/>
    <w:rsid w:val="006F63F0"/>
    <w:rsid w:val="006F6C61"/>
    <w:rsid w:val="006F761C"/>
    <w:rsid w:val="006F7DD1"/>
    <w:rsid w:val="006F7DE0"/>
    <w:rsid w:val="006F7F47"/>
    <w:rsid w:val="00700F9B"/>
    <w:rsid w:val="007014E3"/>
    <w:rsid w:val="00702AF9"/>
    <w:rsid w:val="00702DF0"/>
    <w:rsid w:val="0070349E"/>
    <w:rsid w:val="007034C4"/>
    <w:rsid w:val="0070375F"/>
    <w:rsid w:val="00703AF4"/>
    <w:rsid w:val="00703D85"/>
    <w:rsid w:val="00704473"/>
    <w:rsid w:val="00704614"/>
    <w:rsid w:val="00705ED3"/>
    <w:rsid w:val="007060A4"/>
    <w:rsid w:val="00706CEA"/>
    <w:rsid w:val="007073F2"/>
    <w:rsid w:val="007078DA"/>
    <w:rsid w:val="007110D8"/>
    <w:rsid w:val="00711405"/>
    <w:rsid w:val="007115A9"/>
    <w:rsid w:val="00711990"/>
    <w:rsid w:val="00711A4D"/>
    <w:rsid w:val="00711B47"/>
    <w:rsid w:val="00712FFF"/>
    <w:rsid w:val="007131B9"/>
    <w:rsid w:val="007132DB"/>
    <w:rsid w:val="007135C6"/>
    <w:rsid w:val="00713A45"/>
    <w:rsid w:val="00713B38"/>
    <w:rsid w:val="00714218"/>
    <w:rsid w:val="00714DD7"/>
    <w:rsid w:val="00715042"/>
    <w:rsid w:val="00715056"/>
    <w:rsid w:val="00715978"/>
    <w:rsid w:val="007169FB"/>
    <w:rsid w:val="00717541"/>
    <w:rsid w:val="00717554"/>
    <w:rsid w:val="00717861"/>
    <w:rsid w:val="00717865"/>
    <w:rsid w:val="007179C7"/>
    <w:rsid w:val="00717CB8"/>
    <w:rsid w:val="00720330"/>
    <w:rsid w:val="007207EA"/>
    <w:rsid w:val="00721076"/>
    <w:rsid w:val="00721369"/>
    <w:rsid w:val="0072138B"/>
    <w:rsid w:val="007225F9"/>
    <w:rsid w:val="00722827"/>
    <w:rsid w:val="00722ACE"/>
    <w:rsid w:val="0072309B"/>
    <w:rsid w:val="007230C6"/>
    <w:rsid w:val="007234BB"/>
    <w:rsid w:val="00723883"/>
    <w:rsid w:val="00723BF5"/>
    <w:rsid w:val="00723FA3"/>
    <w:rsid w:val="007242A4"/>
    <w:rsid w:val="00724563"/>
    <w:rsid w:val="0072543C"/>
    <w:rsid w:val="00725D42"/>
    <w:rsid w:val="00725E31"/>
    <w:rsid w:val="00726261"/>
    <w:rsid w:val="007262AB"/>
    <w:rsid w:val="00726707"/>
    <w:rsid w:val="0072693D"/>
    <w:rsid w:val="00726D2C"/>
    <w:rsid w:val="00727257"/>
    <w:rsid w:val="007272A6"/>
    <w:rsid w:val="007276F7"/>
    <w:rsid w:val="00727BBE"/>
    <w:rsid w:val="00727CE6"/>
    <w:rsid w:val="0073009F"/>
    <w:rsid w:val="007303C2"/>
    <w:rsid w:val="00730444"/>
    <w:rsid w:val="00730C70"/>
    <w:rsid w:val="00731002"/>
    <w:rsid w:val="00731578"/>
    <w:rsid w:val="007319DB"/>
    <w:rsid w:val="0073231F"/>
    <w:rsid w:val="0073249F"/>
    <w:rsid w:val="00732549"/>
    <w:rsid w:val="00732A82"/>
    <w:rsid w:val="00732D25"/>
    <w:rsid w:val="007338E8"/>
    <w:rsid w:val="00733C19"/>
    <w:rsid w:val="00733E11"/>
    <w:rsid w:val="007345C9"/>
    <w:rsid w:val="00735328"/>
    <w:rsid w:val="00735A90"/>
    <w:rsid w:val="00735B15"/>
    <w:rsid w:val="00735E17"/>
    <w:rsid w:val="00735F62"/>
    <w:rsid w:val="007360A2"/>
    <w:rsid w:val="007362A2"/>
    <w:rsid w:val="0073634F"/>
    <w:rsid w:val="00736400"/>
    <w:rsid w:val="00736B7D"/>
    <w:rsid w:val="00736E1D"/>
    <w:rsid w:val="00736E94"/>
    <w:rsid w:val="00736F87"/>
    <w:rsid w:val="00737AEA"/>
    <w:rsid w:val="00740090"/>
    <w:rsid w:val="00740131"/>
    <w:rsid w:val="007405B4"/>
    <w:rsid w:val="007407F5"/>
    <w:rsid w:val="00740941"/>
    <w:rsid w:val="007410A8"/>
    <w:rsid w:val="00742407"/>
    <w:rsid w:val="007436B3"/>
    <w:rsid w:val="0074376E"/>
    <w:rsid w:val="00743B33"/>
    <w:rsid w:val="00744028"/>
    <w:rsid w:val="00744BE8"/>
    <w:rsid w:val="00744C7E"/>
    <w:rsid w:val="00744D6A"/>
    <w:rsid w:val="00746449"/>
    <w:rsid w:val="0074683C"/>
    <w:rsid w:val="00746A4B"/>
    <w:rsid w:val="00746C69"/>
    <w:rsid w:val="007474B0"/>
    <w:rsid w:val="00747F73"/>
    <w:rsid w:val="007502C0"/>
    <w:rsid w:val="007504CA"/>
    <w:rsid w:val="0075095C"/>
    <w:rsid w:val="00750AAC"/>
    <w:rsid w:val="00750E8E"/>
    <w:rsid w:val="0075118C"/>
    <w:rsid w:val="00751364"/>
    <w:rsid w:val="00751923"/>
    <w:rsid w:val="00751A3B"/>
    <w:rsid w:val="00751B90"/>
    <w:rsid w:val="00751FD1"/>
    <w:rsid w:val="00752FB4"/>
    <w:rsid w:val="007530A7"/>
    <w:rsid w:val="007537C0"/>
    <w:rsid w:val="00753866"/>
    <w:rsid w:val="00753A33"/>
    <w:rsid w:val="0075444B"/>
    <w:rsid w:val="007546C9"/>
    <w:rsid w:val="007550E1"/>
    <w:rsid w:val="00756555"/>
    <w:rsid w:val="0075665B"/>
    <w:rsid w:val="00756BA6"/>
    <w:rsid w:val="00756E47"/>
    <w:rsid w:val="00757D00"/>
    <w:rsid w:val="00760C24"/>
    <w:rsid w:val="00761BF7"/>
    <w:rsid w:val="00762420"/>
    <w:rsid w:val="00762423"/>
    <w:rsid w:val="00762879"/>
    <w:rsid w:val="00762EA6"/>
    <w:rsid w:val="0076362D"/>
    <w:rsid w:val="00763C3D"/>
    <w:rsid w:val="00763D71"/>
    <w:rsid w:val="00763D9D"/>
    <w:rsid w:val="007640D8"/>
    <w:rsid w:val="00764318"/>
    <w:rsid w:val="00764E82"/>
    <w:rsid w:val="0076598D"/>
    <w:rsid w:val="00765B90"/>
    <w:rsid w:val="0076663A"/>
    <w:rsid w:val="00766A5F"/>
    <w:rsid w:val="00766B27"/>
    <w:rsid w:val="00766DB9"/>
    <w:rsid w:val="00766DF8"/>
    <w:rsid w:val="0076705B"/>
    <w:rsid w:val="0076711A"/>
    <w:rsid w:val="00767749"/>
    <w:rsid w:val="00770028"/>
    <w:rsid w:val="007708B8"/>
    <w:rsid w:val="00770962"/>
    <w:rsid w:val="0077100C"/>
    <w:rsid w:val="007718F0"/>
    <w:rsid w:val="00772294"/>
    <w:rsid w:val="00772E01"/>
    <w:rsid w:val="007731F6"/>
    <w:rsid w:val="007737BC"/>
    <w:rsid w:val="00773FF7"/>
    <w:rsid w:val="00774122"/>
    <w:rsid w:val="0077419B"/>
    <w:rsid w:val="00774D6B"/>
    <w:rsid w:val="00774FD1"/>
    <w:rsid w:val="007750F8"/>
    <w:rsid w:val="00775A44"/>
    <w:rsid w:val="00775A7D"/>
    <w:rsid w:val="007763CD"/>
    <w:rsid w:val="0077685C"/>
    <w:rsid w:val="00776BAD"/>
    <w:rsid w:val="00780009"/>
    <w:rsid w:val="00780C4B"/>
    <w:rsid w:val="00780ED9"/>
    <w:rsid w:val="00780F70"/>
    <w:rsid w:val="007810D1"/>
    <w:rsid w:val="007813B3"/>
    <w:rsid w:val="00781DE9"/>
    <w:rsid w:val="00782C11"/>
    <w:rsid w:val="007837DC"/>
    <w:rsid w:val="00783ED6"/>
    <w:rsid w:val="00784BAC"/>
    <w:rsid w:val="00785716"/>
    <w:rsid w:val="0078589A"/>
    <w:rsid w:val="00785BC3"/>
    <w:rsid w:val="00785DE2"/>
    <w:rsid w:val="0078605D"/>
    <w:rsid w:val="00786104"/>
    <w:rsid w:val="007868A0"/>
    <w:rsid w:val="00787A2F"/>
    <w:rsid w:val="00787C58"/>
    <w:rsid w:val="0079072D"/>
    <w:rsid w:val="00790D41"/>
    <w:rsid w:val="0079122D"/>
    <w:rsid w:val="00791461"/>
    <w:rsid w:val="00791672"/>
    <w:rsid w:val="00791794"/>
    <w:rsid w:val="00791DDB"/>
    <w:rsid w:val="007928BA"/>
    <w:rsid w:val="0079369F"/>
    <w:rsid w:val="00793B11"/>
    <w:rsid w:val="00793CA7"/>
    <w:rsid w:val="00793EEA"/>
    <w:rsid w:val="00794184"/>
    <w:rsid w:val="00794266"/>
    <w:rsid w:val="00794632"/>
    <w:rsid w:val="00794727"/>
    <w:rsid w:val="0079519B"/>
    <w:rsid w:val="007956AF"/>
    <w:rsid w:val="007956BC"/>
    <w:rsid w:val="00795C01"/>
    <w:rsid w:val="00796161"/>
    <w:rsid w:val="007961C6"/>
    <w:rsid w:val="007963CB"/>
    <w:rsid w:val="007963FB"/>
    <w:rsid w:val="00796B34"/>
    <w:rsid w:val="00797119"/>
    <w:rsid w:val="00797619"/>
    <w:rsid w:val="00797676"/>
    <w:rsid w:val="00797E1F"/>
    <w:rsid w:val="007A0152"/>
    <w:rsid w:val="007A0364"/>
    <w:rsid w:val="007A0A0F"/>
    <w:rsid w:val="007A1591"/>
    <w:rsid w:val="007A1820"/>
    <w:rsid w:val="007A1DF7"/>
    <w:rsid w:val="007A2461"/>
    <w:rsid w:val="007A322D"/>
    <w:rsid w:val="007A34F0"/>
    <w:rsid w:val="007A35E7"/>
    <w:rsid w:val="007A3C41"/>
    <w:rsid w:val="007A4ACD"/>
    <w:rsid w:val="007A4E20"/>
    <w:rsid w:val="007A5ABE"/>
    <w:rsid w:val="007A603D"/>
    <w:rsid w:val="007A62EF"/>
    <w:rsid w:val="007A6925"/>
    <w:rsid w:val="007A6DF8"/>
    <w:rsid w:val="007A74F2"/>
    <w:rsid w:val="007A7BFF"/>
    <w:rsid w:val="007B00A7"/>
    <w:rsid w:val="007B041E"/>
    <w:rsid w:val="007B1671"/>
    <w:rsid w:val="007B1813"/>
    <w:rsid w:val="007B1819"/>
    <w:rsid w:val="007B21FE"/>
    <w:rsid w:val="007B2285"/>
    <w:rsid w:val="007B2646"/>
    <w:rsid w:val="007B27EC"/>
    <w:rsid w:val="007B2CB0"/>
    <w:rsid w:val="007B34E0"/>
    <w:rsid w:val="007B434C"/>
    <w:rsid w:val="007B43F1"/>
    <w:rsid w:val="007B45B8"/>
    <w:rsid w:val="007B4B1B"/>
    <w:rsid w:val="007B512A"/>
    <w:rsid w:val="007B5411"/>
    <w:rsid w:val="007B5A7A"/>
    <w:rsid w:val="007B5F58"/>
    <w:rsid w:val="007B6237"/>
    <w:rsid w:val="007B6B36"/>
    <w:rsid w:val="007B6DF3"/>
    <w:rsid w:val="007B71AA"/>
    <w:rsid w:val="007B747B"/>
    <w:rsid w:val="007B7A30"/>
    <w:rsid w:val="007B7AC5"/>
    <w:rsid w:val="007C1148"/>
    <w:rsid w:val="007C1463"/>
    <w:rsid w:val="007C1627"/>
    <w:rsid w:val="007C1C39"/>
    <w:rsid w:val="007C2225"/>
    <w:rsid w:val="007C2406"/>
    <w:rsid w:val="007C24A3"/>
    <w:rsid w:val="007C2CD2"/>
    <w:rsid w:val="007C399A"/>
    <w:rsid w:val="007C4775"/>
    <w:rsid w:val="007C50CD"/>
    <w:rsid w:val="007C568C"/>
    <w:rsid w:val="007C5862"/>
    <w:rsid w:val="007C65E4"/>
    <w:rsid w:val="007C66EB"/>
    <w:rsid w:val="007C68A2"/>
    <w:rsid w:val="007C6A7D"/>
    <w:rsid w:val="007C6C61"/>
    <w:rsid w:val="007C6E77"/>
    <w:rsid w:val="007C6F14"/>
    <w:rsid w:val="007C7987"/>
    <w:rsid w:val="007C7C09"/>
    <w:rsid w:val="007C7D42"/>
    <w:rsid w:val="007D00AB"/>
    <w:rsid w:val="007D0A84"/>
    <w:rsid w:val="007D0A9E"/>
    <w:rsid w:val="007D0BCA"/>
    <w:rsid w:val="007D188A"/>
    <w:rsid w:val="007D2373"/>
    <w:rsid w:val="007D2658"/>
    <w:rsid w:val="007D2BE3"/>
    <w:rsid w:val="007D2DB7"/>
    <w:rsid w:val="007D3282"/>
    <w:rsid w:val="007D357C"/>
    <w:rsid w:val="007D3A8F"/>
    <w:rsid w:val="007D4351"/>
    <w:rsid w:val="007D45D2"/>
    <w:rsid w:val="007D4650"/>
    <w:rsid w:val="007D493A"/>
    <w:rsid w:val="007D4DFF"/>
    <w:rsid w:val="007D4F33"/>
    <w:rsid w:val="007D64F0"/>
    <w:rsid w:val="007D6839"/>
    <w:rsid w:val="007D6C4E"/>
    <w:rsid w:val="007D6EB7"/>
    <w:rsid w:val="007D74F8"/>
    <w:rsid w:val="007D76A7"/>
    <w:rsid w:val="007D76AD"/>
    <w:rsid w:val="007D7A0B"/>
    <w:rsid w:val="007D7B85"/>
    <w:rsid w:val="007D7D0E"/>
    <w:rsid w:val="007D7D10"/>
    <w:rsid w:val="007E04E3"/>
    <w:rsid w:val="007E04E7"/>
    <w:rsid w:val="007E0711"/>
    <w:rsid w:val="007E08E4"/>
    <w:rsid w:val="007E0C92"/>
    <w:rsid w:val="007E13BF"/>
    <w:rsid w:val="007E1BEA"/>
    <w:rsid w:val="007E27A7"/>
    <w:rsid w:val="007E27C4"/>
    <w:rsid w:val="007E3E22"/>
    <w:rsid w:val="007E403F"/>
    <w:rsid w:val="007E4D9A"/>
    <w:rsid w:val="007E563B"/>
    <w:rsid w:val="007E6A79"/>
    <w:rsid w:val="007E7123"/>
    <w:rsid w:val="007E7C80"/>
    <w:rsid w:val="007E7D2A"/>
    <w:rsid w:val="007F0046"/>
    <w:rsid w:val="007F0B5F"/>
    <w:rsid w:val="007F0CE8"/>
    <w:rsid w:val="007F0D2A"/>
    <w:rsid w:val="007F0FB6"/>
    <w:rsid w:val="007F0FC2"/>
    <w:rsid w:val="007F1018"/>
    <w:rsid w:val="007F41B0"/>
    <w:rsid w:val="007F4265"/>
    <w:rsid w:val="007F473D"/>
    <w:rsid w:val="007F47BE"/>
    <w:rsid w:val="007F5226"/>
    <w:rsid w:val="007F532A"/>
    <w:rsid w:val="007F58AF"/>
    <w:rsid w:val="007F6011"/>
    <w:rsid w:val="007F673D"/>
    <w:rsid w:val="007F6C68"/>
    <w:rsid w:val="007F6C7E"/>
    <w:rsid w:val="007F72D4"/>
    <w:rsid w:val="007F7B6D"/>
    <w:rsid w:val="00800AEA"/>
    <w:rsid w:val="00800D61"/>
    <w:rsid w:val="008013FE"/>
    <w:rsid w:val="00801467"/>
    <w:rsid w:val="00801C94"/>
    <w:rsid w:val="00802C73"/>
    <w:rsid w:val="00802FE9"/>
    <w:rsid w:val="0080398A"/>
    <w:rsid w:val="00803C4C"/>
    <w:rsid w:val="00803E16"/>
    <w:rsid w:val="00803FED"/>
    <w:rsid w:val="00804508"/>
    <w:rsid w:val="00804F3B"/>
    <w:rsid w:val="0080581F"/>
    <w:rsid w:val="0080612F"/>
    <w:rsid w:val="00806519"/>
    <w:rsid w:val="0080688C"/>
    <w:rsid w:val="00806D23"/>
    <w:rsid w:val="00807D01"/>
    <w:rsid w:val="0081024B"/>
    <w:rsid w:val="008106E3"/>
    <w:rsid w:val="00810827"/>
    <w:rsid w:val="008108FD"/>
    <w:rsid w:val="008109F4"/>
    <w:rsid w:val="00810A54"/>
    <w:rsid w:val="00810D20"/>
    <w:rsid w:val="0081137D"/>
    <w:rsid w:val="00811F2F"/>
    <w:rsid w:val="00812222"/>
    <w:rsid w:val="0081231C"/>
    <w:rsid w:val="00812DC4"/>
    <w:rsid w:val="0081350E"/>
    <w:rsid w:val="0081351C"/>
    <w:rsid w:val="00813FF4"/>
    <w:rsid w:val="00814D37"/>
    <w:rsid w:val="00814F12"/>
    <w:rsid w:val="0081608E"/>
    <w:rsid w:val="0081618C"/>
    <w:rsid w:val="00816DF2"/>
    <w:rsid w:val="008170C0"/>
    <w:rsid w:val="008173B6"/>
    <w:rsid w:val="00817F93"/>
    <w:rsid w:val="00820320"/>
    <w:rsid w:val="00820794"/>
    <w:rsid w:val="00820E85"/>
    <w:rsid w:val="008214BA"/>
    <w:rsid w:val="0082185F"/>
    <w:rsid w:val="00821D1A"/>
    <w:rsid w:val="00821D49"/>
    <w:rsid w:val="008225B1"/>
    <w:rsid w:val="0082303B"/>
    <w:rsid w:val="0082341E"/>
    <w:rsid w:val="0082362C"/>
    <w:rsid w:val="0082390B"/>
    <w:rsid w:val="008248BC"/>
    <w:rsid w:val="00824B6C"/>
    <w:rsid w:val="00824D9F"/>
    <w:rsid w:val="00825148"/>
    <w:rsid w:val="00825154"/>
    <w:rsid w:val="00825378"/>
    <w:rsid w:val="008257F3"/>
    <w:rsid w:val="00825BB2"/>
    <w:rsid w:val="00825CBF"/>
    <w:rsid w:val="008262BB"/>
    <w:rsid w:val="00826D11"/>
    <w:rsid w:val="008277E2"/>
    <w:rsid w:val="00830636"/>
    <w:rsid w:val="00830903"/>
    <w:rsid w:val="00830C43"/>
    <w:rsid w:val="00830DA0"/>
    <w:rsid w:val="0083123A"/>
    <w:rsid w:val="008318C4"/>
    <w:rsid w:val="00831CCC"/>
    <w:rsid w:val="0083222F"/>
    <w:rsid w:val="008325CC"/>
    <w:rsid w:val="00832B8C"/>
    <w:rsid w:val="008334CB"/>
    <w:rsid w:val="008337D6"/>
    <w:rsid w:val="008339F7"/>
    <w:rsid w:val="00833E72"/>
    <w:rsid w:val="00833ED8"/>
    <w:rsid w:val="00833F24"/>
    <w:rsid w:val="0083476B"/>
    <w:rsid w:val="00834EF9"/>
    <w:rsid w:val="0083654A"/>
    <w:rsid w:val="00836932"/>
    <w:rsid w:val="00836AE4"/>
    <w:rsid w:val="00836DB7"/>
    <w:rsid w:val="00836F8C"/>
    <w:rsid w:val="0083764E"/>
    <w:rsid w:val="00837C15"/>
    <w:rsid w:val="00840019"/>
    <w:rsid w:val="008400F4"/>
    <w:rsid w:val="00840E3B"/>
    <w:rsid w:val="00841606"/>
    <w:rsid w:val="00841EAF"/>
    <w:rsid w:val="00841F2F"/>
    <w:rsid w:val="00842099"/>
    <w:rsid w:val="00842447"/>
    <w:rsid w:val="00842BEB"/>
    <w:rsid w:val="00842BF9"/>
    <w:rsid w:val="00842EFD"/>
    <w:rsid w:val="00842F15"/>
    <w:rsid w:val="00843138"/>
    <w:rsid w:val="00843BFA"/>
    <w:rsid w:val="00843F6D"/>
    <w:rsid w:val="00844067"/>
    <w:rsid w:val="008445A6"/>
    <w:rsid w:val="00844796"/>
    <w:rsid w:val="00845E6F"/>
    <w:rsid w:val="00846294"/>
    <w:rsid w:val="00846359"/>
    <w:rsid w:val="008469DC"/>
    <w:rsid w:val="00846DAB"/>
    <w:rsid w:val="008470B7"/>
    <w:rsid w:val="00847862"/>
    <w:rsid w:val="00847A86"/>
    <w:rsid w:val="00847ABC"/>
    <w:rsid w:val="008510B8"/>
    <w:rsid w:val="00851EF7"/>
    <w:rsid w:val="0085209F"/>
    <w:rsid w:val="00852A65"/>
    <w:rsid w:val="00852ADB"/>
    <w:rsid w:val="00853070"/>
    <w:rsid w:val="0085374F"/>
    <w:rsid w:val="008537FE"/>
    <w:rsid w:val="00853FE0"/>
    <w:rsid w:val="00853FE5"/>
    <w:rsid w:val="00854584"/>
    <w:rsid w:val="00855FBC"/>
    <w:rsid w:val="0085664D"/>
    <w:rsid w:val="008566B7"/>
    <w:rsid w:val="008568BE"/>
    <w:rsid w:val="00856C22"/>
    <w:rsid w:val="00857104"/>
    <w:rsid w:val="00857FED"/>
    <w:rsid w:val="00860678"/>
    <w:rsid w:val="008606D2"/>
    <w:rsid w:val="00860821"/>
    <w:rsid w:val="00860B0C"/>
    <w:rsid w:val="00860BE3"/>
    <w:rsid w:val="00860FA3"/>
    <w:rsid w:val="0086188E"/>
    <w:rsid w:val="00861AB8"/>
    <w:rsid w:val="00861AE2"/>
    <w:rsid w:val="00861DC3"/>
    <w:rsid w:val="0086232B"/>
    <w:rsid w:val="00862CF4"/>
    <w:rsid w:val="00862EBF"/>
    <w:rsid w:val="00862F29"/>
    <w:rsid w:val="008637B7"/>
    <w:rsid w:val="008638F2"/>
    <w:rsid w:val="00863907"/>
    <w:rsid w:val="00863A52"/>
    <w:rsid w:val="00863F6E"/>
    <w:rsid w:val="00864329"/>
    <w:rsid w:val="008649B1"/>
    <w:rsid w:val="008649C6"/>
    <w:rsid w:val="00864DD2"/>
    <w:rsid w:val="0086598F"/>
    <w:rsid w:val="00866CB0"/>
    <w:rsid w:val="0086763F"/>
    <w:rsid w:val="008676DF"/>
    <w:rsid w:val="008677A6"/>
    <w:rsid w:val="008709B9"/>
    <w:rsid w:val="00870B1A"/>
    <w:rsid w:val="00870BA7"/>
    <w:rsid w:val="00871B99"/>
    <w:rsid w:val="0087282C"/>
    <w:rsid w:val="00873111"/>
    <w:rsid w:val="00873167"/>
    <w:rsid w:val="00873BF3"/>
    <w:rsid w:val="00873CB1"/>
    <w:rsid w:val="00874A81"/>
    <w:rsid w:val="00874ECB"/>
    <w:rsid w:val="00875198"/>
    <w:rsid w:val="00875268"/>
    <w:rsid w:val="00875924"/>
    <w:rsid w:val="0087621D"/>
    <w:rsid w:val="00877053"/>
    <w:rsid w:val="00877756"/>
    <w:rsid w:val="00880568"/>
    <w:rsid w:val="00880642"/>
    <w:rsid w:val="00880B5F"/>
    <w:rsid w:val="00881549"/>
    <w:rsid w:val="00881667"/>
    <w:rsid w:val="008817CF"/>
    <w:rsid w:val="00881F9F"/>
    <w:rsid w:val="00882D96"/>
    <w:rsid w:val="00883251"/>
    <w:rsid w:val="008835A5"/>
    <w:rsid w:val="00883A59"/>
    <w:rsid w:val="00883C54"/>
    <w:rsid w:val="00884335"/>
    <w:rsid w:val="00884D05"/>
    <w:rsid w:val="00885175"/>
    <w:rsid w:val="008856AD"/>
    <w:rsid w:val="0088592B"/>
    <w:rsid w:val="00885AC9"/>
    <w:rsid w:val="00885AED"/>
    <w:rsid w:val="00885B77"/>
    <w:rsid w:val="00885F4F"/>
    <w:rsid w:val="00886124"/>
    <w:rsid w:val="008865C0"/>
    <w:rsid w:val="00886658"/>
    <w:rsid w:val="008875CC"/>
    <w:rsid w:val="00887756"/>
    <w:rsid w:val="00887A75"/>
    <w:rsid w:val="0089076A"/>
    <w:rsid w:val="00890770"/>
    <w:rsid w:val="00890D89"/>
    <w:rsid w:val="0089134B"/>
    <w:rsid w:val="00891865"/>
    <w:rsid w:val="00892AD7"/>
    <w:rsid w:val="00892C65"/>
    <w:rsid w:val="00892D29"/>
    <w:rsid w:val="008931A7"/>
    <w:rsid w:val="0089331A"/>
    <w:rsid w:val="008933F1"/>
    <w:rsid w:val="00893B7D"/>
    <w:rsid w:val="00893DF7"/>
    <w:rsid w:val="008941C8"/>
    <w:rsid w:val="008944ED"/>
    <w:rsid w:val="00894862"/>
    <w:rsid w:val="00895D4F"/>
    <w:rsid w:val="00896472"/>
    <w:rsid w:val="00896714"/>
    <w:rsid w:val="00897298"/>
    <w:rsid w:val="008978BA"/>
    <w:rsid w:val="008979AB"/>
    <w:rsid w:val="00897A04"/>
    <w:rsid w:val="008A003F"/>
    <w:rsid w:val="008A03FB"/>
    <w:rsid w:val="008A0D80"/>
    <w:rsid w:val="008A1FDD"/>
    <w:rsid w:val="008A2790"/>
    <w:rsid w:val="008A27B9"/>
    <w:rsid w:val="008A3936"/>
    <w:rsid w:val="008A405F"/>
    <w:rsid w:val="008A45A6"/>
    <w:rsid w:val="008A4750"/>
    <w:rsid w:val="008A4CAD"/>
    <w:rsid w:val="008A50CC"/>
    <w:rsid w:val="008A522B"/>
    <w:rsid w:val="008A5625"/>
    <w:rsid w:val="008A60A5"/>
    <w:rsid w:val="008A61F2"/>
    <w:rsid w:val="008A626C"/>
    <w:rsid w:val="008A6437"/>
    <w:rsid w:val="008A66E7"/>
    <w:rsid w:val="008A720A"/>
    <w:rsid w:val="008A74A9"/>
    <w:rsid w:val="008A76E1"/>
    <w:rsid w:val="008B08E0"/>
    <w:rsid w:val="008B0A60"/>
    <w:rsid w:val="008B14A7"/>
    <w:rsid w:val="008B1B33"/>
    <w:rsid w:val="008B2B91"/>
    <w:rsid w:val="008B2CDB"/>
    <w:rsid w:val="008B3C33"/>
    <w:rsid w:val="008B3CFC"/>
    <w:rsid w:val="008B45B4"/>
    <w:rsid w:val="008B4D0F"/>
    <w:rsid w:val="008B54CE"/>
    <w:rsid w:val="008B5580"/>
    <w:rsid w:val="008B5903"/>
    <w:rsid w:val="008B5CF5"/>
    <w:rsid w:val="008B5D91"/>
    <w:rsid w:val="008B65DD"/>
    <w:rsid w:val="008B734F"/>
    <w:rsid w:val="008B7544"/>
    <w:rsid w:val="008B7DB8"/>
    <w:rsid w:val="008C0239"/>
    <w:rsid w:val="008C0AFB"/>
    <w:rsid w:val="008C0F6D"/>
    <w:rsid w:val="008C1101"/>
    <w:rsid w:val="008C1A35"/>
    <w:rsid w:val="008C1C23"/>
    <w:rsid w:val="008C1E07"/>
    <w:rsid w:val="008C256C"/>
    <w:rsid w:val="008C2BA0"/>
    <w:rsid w:val="008C2DEF"/>
    <w:rsid w:val="008C307B"/>
    <w:rsid w:val="008C389E"/>
    <w:rsid w:val="008C3DAC"/>
    <w:rsid w:val="008C451E"/>
    <w:rsid w:val="008C4E63"/>
    <w:rsid w:val="008C4F7E"/>
    <w:rsid w:val="008C5C3E"/>
    <w:rsid w:val="008C5DC7"/>
    <w:rsid w:val="008C613C"/>
    <w:rsid w:val="008C68DA"/>
    <w:rsid w:val="008C7053"/>
    <w:rsid w:val="008C72F4"/>
    <w:rsid w:val="008C75C1"/>
    <w:rsid w:val="008C79D5"/>
    <w:rsid w:val="008C7BB2"/>
    <w:rsid w:val="008C7C82"/>
    <w:rsid w:val="008C7DED"/>
    <w:rsid w:val="008C7EB8"/>
    <w:rsid w:val="008D0873"/>
    <w:rsid w:val="008D09D6"/>
    <w:rsid w:val="008D0A5B"/>
    <w:rsid w:val="008D0C51"/>
    <w:rsid w:val="008D10D1"/>
    <w:rsid w:val="008D1137"/>
    <w:rsid w:val="008D1379"/>
    <w:rsid w:val="008D1572"/>
    <w:rsid w:val="008D15F5"/>
    <w:rsid w:val="008D1971"/>
    <w:rsid w:val="008D1AC9"/>
    <w:rsid w:val="008D1C73"/>
    <w:rsid w:val="008D2350"/>
    <w:rsid w:val="008D25D0"/>
    <w:rsid w:val="008D2C1A"/>
    <w:rsid w:val="008D3A7E"/>
    <w:rsid w:val="008D417A"/>
    <w:rsid w:val="008D47A3"/>
    <w:rsid w:val="008D4C00"/>
    <w:rsid w:val="008D573A"/>
    <w:rsid w:val="008D5770"/>
    <w:rsid w:val="008D5EAA"/>
    <w:rsid w:val="008D61D0"/>
    <w:rsid w:val="008D656A"/>
    <w:rsid w:val="008D6A4B"/>
    <w:rsid w:val="008D7038"/>
    <w:rsid w:val="008D779C"/>
    <w:rsid w:val="008D7DB5"/>
    <w:rsid w:val="008D7DE4"/>
    <w:rsid w:val="008E0721"/>
    <w:rsid w:val="008E1AC7"/>
    <w:rsid w:val="008E256C"/>
    <w:rsid w:val="008E29E1"/>
    <w:rsid w:val="008E3647"/>
    <w:rsid w:val="008E3D67"/>
    <w:rsid w:val="008E43E8"/>
    <w:rsid w:val="008E4628"/>
    <w:rsid w:val="008E4B18"/>
    <w:rsid w:val="008E4D7D"/>
    <w:rsid w:val="008E4F3D"/>
    <w:rsid w:val="008E503B"/>
    <w:rsid w:val="008E5310"/>
    <w:rsid w:val="008E546E"/>
    <w:rsid w:val="008E63BB"/>
    <w:rsid w:val="008E63F2"/>
    <w:rsid w:val="008E6B32"/>
    <w:rsid w:val="008E6D7F"/>
    <w:rsid w:val="008E7084"/>
    <w:rsid w:val="008E708B"/>
    <w:rsid w:val="008E7AAC"/>
    <w:rsid w:val="008F05C7"/>
    <w:rsid w:val="008F0AB6"/>
    <w:rsid w:val="008F0C42"/>
    <w:rsid w:val="008F0C43"/>
    <w:rsid w:val="008F1227"/>
    <w:rsid w:val="008F1367"/>
    <w:rsid w:val="008F24A6"/>
    <w:rsid w:val="008F2755"/>
    <w:rsid w:val="008F27FE"/>
    <w:rsid w:val="008F37F5"/>
    <w:rsid w:val="008F3988"/>
    <w:rsid w:val="008F3DD9"/>
    <w:rsid w:val="008F509A"/>
    <w:rsid w:val="008F5669"/>
    <w:rsid w:val="008F574C"/>
    <w:rsid w:val="008F5AA3"/>
    <w:rsid w:val="008F6018"/>
    <w:rsid w:val="008F64A2"/>
    <w:rsid w:val="008F68F6"/>
    <w:rsid w:val="008F78DA"/>
    <w:rsid w:val="008F7D49"/>
    <w:rsid w:val="00900173"/>
    <w:rsid w:val="009003E1"/>
    <w:rsid w:val="009009F4"/>
    <w:rsid w:val="00900B71"/>
    <w:rsid w:val="00901058"/>
    <w:rsid w:val="0090182C"/>
    <w:rsid w:val="00901CA1"/>
    <w:rsid w:val="00901D16"/>
    <w:rsid w:val="00902A57"/>
    <w:rsid w:val="009037CF"/>
    <w:rsid w:val="00903906"/>
    <w:rsid w:val="00904700"/>
    <w:rsid w:val="0090482D"/>
    <w:rsid w:val="00904B64"/>
    <w:rsid w:val="00905491"/>
    <w:rsid w:val="0090585F"/>
    <w:rsid w:val="00905BF3"/>
    <w:rsid w:val="00905C45"/>
    <w:rsid w:val="00905C84"/>
    <w:rsid w:val="00905E6C"/>
    <w:rsid w:val="00906976"/>
    <w:rsid w:val="00906A85"/>
    <w:rsid w:val="00906A9D"/>
    <w:rsid w:val="00907157"/>
    <w:rsid w:val="0090732B"/>
    <w:rsid w:val="00907345"/>
    <w:rsid w:val="009079E7"/>
    <w:rsid w:val="00907B66"/>
    <w:rsid w:val="00907DC4"/>
    <w:rsid w:val="009100FC"/>
    <w:rsid w:val="00910774"/>
    <w:rsid w:val="00910B8D"/>
    <w:rsid w:val="009110BF"/>
    <w:rsid w:val="00911172"/>
    <w:rsid w:val="00911182"/>
    <w:rsid w:val="009112E5"/>
    <w:rsid w:val="009113BC"/>
    <w:rsid w:val="00911964"/>
    <w:rsid w:val="00911A0D"/>
    <w:rsid w:val="00911A90"/>
    <w:rsid w:val="00911EBC"/>
    <w:rsid w:val="0091230F"/>
    <w:rsid w:val="009126FF"/>
    <w:rsid w:val="009139A5"/>
    <w:rsid w:val="00913BA0"/>
    <w:rsid w:val="00913BB3"/>
    <w:rsid w:val="0091564B"/>
    <w:rsid w:val="00915B52"/>
    <w:rsid w:val="00916FE8"/>
    <w:rsid w:val="0091720E"/>
    <w:rsid w:val="009173A2"/>
    <w:rsid w:val="0091765F"/>
    <w:rsid w:val="00917A1A"/>
    <w:rsid w:val="00917A6C"/>
    <w:rsid w:val="009206E0"/>
    <w:rsid w:val="00921065"/>
    <w:rsid w:val="009219EB"/>
    <w:rsid w:val="00921DC8"/>
    <w:rsid w:val="009224A0"/>
    <w:rsid w:val="00922B66"/>
    <w:rsid w:val="00922EDC"/>
    <w:rsid w:val="0092312E"/>
    <w:rsid w:val="0092399B"/>
    <w:rsid w:val="0092450A"/>
    <w:rsid w:val="009251A6"/>
    <w:rsid w:val="00925200"/>
    <w:rsid w:val="009257E6"/>
    <w:rsid w:val="00926603"/>
    <w:rsid w:val="00926A13"/>
    <w:rsid w:val="00926E2D"/>
    <w:rsid w:val="009271D2"/>
    <w:rsid w:val="0092768A"/>
    <w:rsid w:val="009279A9"/>
    <w:rsid w:val="00930179"/>
    <w:rsid w:val="00930828"/>
    <w:rsid w:val="00930924"/>
    <w:rsid w:val="00930A2F"/>
    <w:rsid w:val="00930BD2"/>
    <w:rsid w:val="00930C94"/>
    <w:rsid w:val="0093191E"/>
    <w:rsid w:val="0093193C"/>
    <w:rsid w:val="00932031"/>
    <w:rsid w:val="00933069"/>
    <w:rsid w:val="009335C5"/>
    <w:rsid w:val="00933F52"/>
    <w:rsid w:val="00934210"/>
    <w:rsid w:val="00935637"/>
    <w:rsid w:val="00935D8A"/>
    <w:rsid w:val="00936769"/>
    <w:rsid w:val="0093676B"/>
    <w:rsid w:val="009368C1"/>
    <w:rsid w:val="00936DD0"/>
    <w:rsid w:val="00937DB6"/>
    <w:rsid w:val="00940834"/>
    <w:rsid w:val="0094090E"/>
    <w:rsid w:val="00940E85"/>
    <w:rsid w:val="00941364"/>
    <w:rsid w:val="009416E3"/>
    <w:rsid w:val="00941C9C"/>
    <w:rsid w:val="00942309"/>
    <w:rsid w:val="0094280D"/>
    <w:rsid w:val="00943248"/>
    <w:rsid w:val="00943883"/>
    <w:rsid w:val="009439E0"/>
    <w:rsid w:val="00943C76"/>
    <w:rsid w:val="00943E34"/>
    <w:rsid w:val="00943F54"/>
    <w:rsid w:val="00944D95"/>
    <w:rsid w:val="00945452"/>
    <w:rsid w:val="0094671F"/>
    <w:rsid w:val="00946923"/>
    <w:rsid w:val="00946ADE"/>
    <w:rsid w:val="00946FF7"/>
    <w:rsid w:val="009472C8"/>
    <w:rsid w:val="0094752C"/>
    <w:rsid w:val="00947E73"/>
    <w:rsid w:val="00947F10"/>
    <w:rsid w:val="009501B7"/>
    <w:rsid w:val="0095024E"/>
    <w:rsid w:val="00950415"/>
    <w:rsid w:val="00950D64"/>
    <w:rsid w:val="00950D79"/>
    <w:rsid w:val="0095105D"/>
    <w:rsid w:val="009511EF"/>
    <w:rsid w:val="00951B60"/>
    <w:rsid w:val="00951C9A"/>
    <w:rsid w:val="009520FD"/>
    <w:rsid w:val="00952841"/>
    <w:rsid w:val="0095293E"/>
    <w:rsid w:val="00953252"/>
    <w:rsid w:val="00953985"/>
    <w:rsid w:val="0095401A"/>
    <w:rsid w:val="009549A9"/>
    <w:rsid w:val="00954AC4"/>
    <w:rsid w:val="00954B4E"/>
    <w:rsid w:val="00954E80"/>
    <w:rsid w:val="00955A63"/>
    <w:rsid w:val="00955B41"/>
    <w:rsid w:val="00956538"/>
    <w:rsid w:val="00956B0F"/>
    <w:rsid w:val="00956F71"/>
    <w:rsid w:val="00957570"/>
    <w:rsid w:val="0096085B"/>
    <w:rsid w:val="009608AA"/>
    <w:rsid w:val="009614C5"/>
    <w:rsid w:val="00961DDB"/>
    <w:rsid w:val="00962138"/>
    <w:rsid w:val="009628ED"/>
    <w:rsid w:val="00963242"/>
    <w:rsid w:val="0096328E"/>
    <w:rsid w:val="00964731"/>
    <w:rsid w:val="00964ACE"/>
    <w:rsid w:val="00964B3F"/>
    <w:rsid w:val="009659B8"/>
    <w:rsid w:val="00965DB4"/>
    <w:rsid w:val="00965E11"/>
    <w:rsid w:val="00965E30"/>
    <w:rsid w:val="00966DBC"/>
    <w:rsid w:val="00966F28"/>
    <w:rsid w:val="00966F30"/>
    <w:rsid w:val="00967C41"/>
    <w:rsid w:val="00967D98"/>
    <w:rsid w:val="0097026F"/>
    <w:rsid w:val="00970FA3"/>
    <w:rsid w:val="00971521"/>
    <w:rsid w:val="00971A56"/>
    <w:rsid w:val="00971DD9"/>
    <w:rsid w:val="00971E6F"/>
    <w:rsid w:val="00972755"/>
    <w:rsid w:val="00972AB2"/>
    <w:rsid w:val="00972BDB"/>
    <w:rsid w:val="009734AA"/>
    <w:rsid w:val="009749E9"/>
    <w:rsid w:val="00974A07"/>
    <w:rsid w:val="00974C91"/>
    <w:rsid w:val="00974D8A"/>
    <w:rsid w:val="0097572E"/>
    <w:rsid w:val="00975941"/>
    <w:rsid w:val="00975A16"/>
    <w:rsid w:val="009764A3"/>
    <w:rsid w:val="00976567"/>
    <w:rsid w:val="00977931"/>
    <w:rsid w:val="00977F4A"/>
    <w:rsid w:val="00980671"/>
    <w:rsid w:val="00980DEF"/>
    <w:rsid w:val="0098131D"/>
    <w:rsid w:val="0098175C"/>
    <w:rsid w:val="009817F4"/>
    <w:rsid w:val="00981832"/>
    <w:rsid w:val="0098189F"/>
    <w:rsid w:val="0098215B"/>
    <w:rsid w:val="009830E8"/>
    <w:rsid w:val="0098320F"/>
    <w:rsid w:val="00983352"/>
    <w:rsid w:val="00983E01"/>
    <w:rsid w:val="00983ED5"/>
    <w:rsid w:val="00984A8D"/>
    <w:rsid w:val="00984C85"/>
    <w:rsid w:val="009852F3"/>
    <w:rsid w:val="00985948"/>
    <w:rsid w:val="00985A11"/>
    <w:rsid w:val="00986101"/>
    <w:rsid w:val="009862BD"/>
    <w:rsid w:val="009868FD"/>
    <w:rsid w:val="0098698E"/>
    <w:rsid w:val="00986F68"/>
    <w:rsid w:val="00987095"/>
    <w:rsid w:val="00987313"/>
    <w:rsid w:val="009878C7"/>
    <w:rsid w:val="00990038"/>
    <w:rsid w:val="0099047E"/>
    <w:rsid w:val="00991263"/>
    <w:rsid w:val="009912E5"/>
    <w:rsid w:val="00992351"/>
    <w:rsid w:val="009923FD"/>
    <w:rsid w:val="009924F3"/>
    <w:rsid w:val="0099292C"/>
    <w:rsid w:val="00992A1D"/>
    <w:rsid w:val="00992CDE"/>
    <w:rsid w:val="00992EF8"/>
    <w:rsid w:val="00993492"/>
    <w:rsid w:val="009934B8"/>
    <w:rsid w:val="00994797"/>
    <w:rsid w:val="0099495D"/>
    <w:rsid w:val="0099569E"/>
    <w:rsid w:val="00995723"/>
    <w:rsid w:val="00995903"/>
    <w:rsid w:val="00995EE1"/>
    <w:rsid w:val="00996377"/>
    <w:rsid w:val="009967B7"/>
    <w:rsid w:val="00997273"/>
    <w:rsid w:val="00997A1D"/>
    <w:rsid w:val="00997A48"/>
    <w:rsid w:val="00997E63"/>
    <w:rsid w:val="009A0974"/>
    <w:rsid w:val="009A0E17"/>
    <w:rsid w:val="009A0F3E"/>
    <w:rsid w:val="009A0F94"/>
    <w:rsid w:val="009A1176"/>
    <w:rsid w:val="009A14DB"/>
    <w:rsid w:val="009A15CA"/>
    <w:rsid w:val="009A17B2"/>
    <w:rsid w:val="009A23E3"/>
    <w:rsid w:val="009A2622"/>
    <w:rsid w:val="009A2CA0"/>
    <w:rsid w:val="009A2D4A"/>
    <w:rsid w:val="009A3D0E"/>
    <w:rsid w:val="009A3D78"/>
    <w:rsid w:val="009A4AB3"/>
    <w:rsid w:val="009A4ECE"/>
    <w:rsid w:val="009A5492"/>
    <w:rsid w:val="009A5571"/>
    <w:rsid w:val="009A5CBA"/>
    <w:rsid w:val="009A6765"/>
    <w:rsid w:val="009A7916"/>
    <w:rsid w:val="009B0ED2"/>
    <w:rsid w:val="009B0FD7"/>
    <w:rsid w:val="009B17B5"/>
    <w:rsid w:val="009B1BB2"/>
    <w:rsid w:val="009B1CAD"/>
    <w:rsid w:val="009B1FE8"/>
    <w:rsid w:val="009B2A80"/>
    <w:rsid w:val="009B2FDF"/>
    <w:rsid w:val="009B3234"/>
    <w:rsid w:val="009B4475"/>
    <w:rsid w:val="009B4ADB"/>
    <w:rsid w:val="009B5781"/>
    <w:rsid w:val="009B6380"/>
    <w:rsid w:val="009B65DC"/>
    <w:rsid w:val="009B68DE"/>
    <w:rsid w:val="009B6B29"/>
    <w:rsid w:val="009B6DF7"/>
    <w:rsid w:val="009B6FF0"/>
    <w:rsid w:val="009B7076"/>
    <w:rsid w:val="009B71B7"/>
    <w:rsid w:val="009B776F"/>
    <w:rsid w:val="009B77A7"/>
    <w:rsid w:val="009B791E"/>
    <w:rsid w:val="009B7D5E"/>
    <w:rsid w:val="009C0154"/>
    <w:rsid w:val="009C03BC"/>
    <w:rsid w:val="009C0421"/>
    <w:rsid w:val="009C0567"/>
    <w:rsid w:val="009C0C39"/>
    <w:rsid w:val="009C1472"/>
    <w:rsid w:val="009C150E"/>
    <w:rsid w:val="009C18AF"/>
    <w:rsid w:val="009C1E1D"/>
    <w:rsid w:val="009C2A0B"/>
    <w:rsid w:val="009C2CFC"/>
    <w:rsid w:val="009C3173"/>
    <w:rsid w:val="009C3186"/>
    <w:rsid w:val="009C3248"/>
    <w:rsid w:val="009C334B"/>
    <w:rsid w:val="009C3E22"/>
    <w:rsid w:val="009C3FB1"/>
    <w:rsid w:val="009C41CA"/>
    <w:rsid w:val="009C492B"/>
    <w:rsid w:val="009C49E3"/>
    <w:rsid w:val="009C52FE"/>
    <w:rsid w:val="009C54B4"/>
    <w:rsid w:val="009C5F54"/>
    <w:rsid w:val="009C6711"/>
    <w:rsid w:val="009C67F0"/>
    <w:rsid w:val="009C686C"/>
    <w:rsid w:val="009C6F7D"/>
    <w:rsid w:val="009C746F"/>
    <w:rsid w:val="009C7970"/>
    <w:rsid w:val="009C7C18"/>
    <w:rsid w:val="009D0F40"/>
    <w:rsid w:val="009D0F9C"/>
    <w:rsid w:val="009D10DE"/>
    <w:rsid w:val="009D161D"/>
    <w:rsid w:val="009D1789"/>
    <w:rsid w:val="009D1846"/>
    <w:rsid w:val="009D3ADF"/>
    <w:rsid w:val="009D3F98"/>
    <w:rsid w:val="009D42B8"/>
    <w:rsid w:val="009D4CE0"/>
    <w:rsid w:val="009D5416"/>
    <w:rsid w:val="009D5C87"/>
    <w:rsid w:val="009D600C"/>
    <w:rsid w:val="009D6AAF"/>
    <w:rsid w:val="009D6AE7"/>
    <w:rsid w:val="009D777C"/>
    <w:rsid w:val="009D77B3"/>
    <w:rsid w:val="009D7A71"/>
    <w:rsid w:val="009D7F6A"/>
    <w:rsid w:val="009E03C6"/>
    <w:rsid w:val="009E0CE8"/>
    <w:rsid w:val="009E13AD"/>
    <w:rsid w:val="009E143B"/>
    <w:rsid w:val="009E21CA"/>
    <w:rsid w:val="009E21CE"/>
    <w:rsid w:val="009E2B0E"/>
    <w:rsid w:val="009E348E"/>
    <w:rsid w:val="009E34B9"/>
    <w:rsid w:val="009E35A5"/>
    <w:rsid w:val="009E3825"/>
    <w:rsid w:val="009E3BAA"/>
    <w:rsid w:val="009E3C40"/>
    <w:rsid w:val="009E4351"/>
    <w:rsid w:val="009E470E"/>
    <w:rsid w:val="009E5337"/>
    <w:rsid w:val="009E6412"/>
    <w:rsid w:val="009E6709"/>
    <w:rsid w:val="009E68C1"/>
    <w:rsid w:val="009E6BF4"/>
    <w:rsid w:val="009E7F1A"/>
    <w:rsid w:val="009F07AE"/>
    <w:rsid w:val="009F0811"/>
    <w:rsid w:val="009F0A11"/>
    <w:rsid w:val="009F0FD0"/>
    <w:rsid w:val="009F11EE"/>
    <w:rsid w:val="009F14FE"/>
    <w:rsid w:val="009F1F25"/>
    <w:rsid w:val="009F230E"/>
    <w:rsid w:val="009F2494"/>
    <w:rsid w:val="009F28CE"/>
    <w:rsid w:val="009F2D0B"/>
    <w:rsid w:val="009F2E8E"/>
    <w:rsid w:val="009F33E9"/>
    <w:rsid w:val="009F355D"/>
    <w:rsid w:val="009F386D"/>
    <w:rsid w:val="009F4130"/>
    <w:rsid w:val="009F4192"/>
    <w:rsid w:val="009F44D1"/>
    <w:rsid w:val="009F4874"/>
    <w:rsid w:val="009F4922"/>
    <w:rsid w:val="009F5539"/>
    <w:rsid w:val="009F55D8"/>
    <w:rsid w:val="009F57D9"/>
    <w:rsid w:val="009F591D"/>
    <w:rsid w:val="009F6176"/>
    <w:rsid w:val="009F68D3"/>
    <w:rsid w:val="009F7652"/>
    <w:rsid w:val="009F79DB"/>
    <w:rsid w:val="009F7D54"/>
    <w:rsid w:val="00A00639"/>
    <w:rsid w:val="00A008CF"/>
    <w:rsid w:val="00A00939"/>
    <w:rsid w:val="00A00E3C"/>
    <w:rsid w:val="00A0103E"/>
    <w:rsid w:val="00A011B6"/>
    <w:rsid w:val="00A014E3"/>
    <w:rsid w:val="00A015CF"/>
    <w:rsid w:val="00A01C5A"/>
    <w:rsid w:val="00A0268C"/>
    <w:rsid w:val="00A03C8C"/>
    <w:rsid w:val="00A03EA8"/>
    <w:rsid w:val="00A04CDF"/>
    <w:rsid w:val="00A04D39"/>
    <w:rsid w:val="00A04FFD"/>
    <w:rsid w:val="00A0563E"/>
    <w:rsid w:val="00A0636E"/>
    <w:rsid w:val="00A0692C"/>
    <w:rsid w:val="00A06A95"/>
    <w:rsid w:val="00A0731B"/>
    <w:rsid w:val="00A077A8"/>
    <w:rsid w:val="00A07F0F"/>
    <w:rsid w:val="00A10028"/>
    <w:rsid w:val="00A10B47"/>
    <w:rsid w:val="00A10C21"/>
    <w:rsid w:val="00A111E4"/>
    <w:rsid w:val="00A1131F"/>
    <w:rsid w:val="00A11915"/>
    <w:rsid w:val="00A1193A"/>
    <w:rsid w:val="00A120DA"/>
    <w:rsid w:val="00A12662"/>
    <w:rsid w:val="00A12829"/>
    <w:rsid w:val="00A1292B"/>
    <w:rsid w:val="00A12B42"/>
    <w:rsid w:val="00A12B80"/>
    <w:rsid w:val="00A13DFA"/>
    <w:rsid w:val="00A141F4"/>
    <w:rsid w:val="00A1433F"/>
    <w:rsid w:val="00A15852"/>
    <w:rsid w:val="00A15B2F"/>
    <w:rsid w:val="00A15C76"/>
    <w:rsid w:val="00A1647B"/>
    <w:rsid w:val="00A1651B"/>
    <w:rsid w:val="00A16694"/>
    <w:rsid w:val="00A1676A"/>
    <w:rsid w:val="00A1700B"/>
    <w:rsid w:val="00A177D7"/>
    <w:rsid w:val="00A202A9"/>
    <w:rsid w:val="00A202D2"/>
    <w:rsid w:val="00A208DB"/>
    <w:rsid w:val="00A2170A"/>
    <w:rsid w:val="00A21831"/>
    <w:rsid w:val="00A21DC0"/>
    <w:rsid w:val="00A21E7B"/>
    <w:rsid w:val="00A2276C"/>
    <w:rsid w:val="00A22898"/>
    <w:rsid w:val="00A22BB6"/>
    <w:rsid w:val="00A231B4"/>
    <w:rsid w:val="00A237DB"/>
    <w:rsid w:val="00A23CCE"/>
    <w:rsid w:val="00A23DE2"/>
    <w:rsid w:val="00A2419A"/>
    <w:rsid w:val="00A242AF"/>
    <w:rsid w:val="00A245D0"/>
    <w:rsid w:val="00A24AB3"/>
    <w:rsid w:val="00A251E5"/>
    <w:rsid w:val="00A25388"/>
    <w:rsid w:val="00A2588D"/>
    <w:rsid w:val="00A25E90"/>
    <w:rsid w:val="00A26767"/>
    <w:rsid w:val="00A26945"/>
    <w:rsid w:val="00A26CDB"/>
    <w:rsid w:val="00A27460"/>
    <w:rsid w:val="00A276ED"/>
    <w:rsid w:val="00A27D05"/>
    <w:rsid w:val="00A27D10"/>
    <w:rsid w:val="00A27D93"/>
    <w:rsid w:val="00A30280"/>
    <w:rsid w:val="00A308B7"/>
    <w:rsid w:val="00A30CCD"/>
    <w:rsid w:val="00A30D43"/>
    <w:rsid w:val="00A30E62"/>
    <w:rsid w:val="00A31798"/>
    <w:rsid w:val="00A31A92"/>
    <w:rsid w:val="00A31C51"/>
    <w:rsid w:val="00A3221A"/>
    <w:rsid w:val="00A3293C"/>
    <w:rsid w:val="00A33264"/>
    <w:rsid w:val="00A3397D"/>
    <w:rsid w:val="00A33D56"/>
    <w:rsid w:val="00A33E81"/>
    <w:rsid w:val="00A346E1"/>
    <w:rsid w:val="00A34ECB"/>
    <w:rsid w:val="00A358A1"/>
    <w:rsid w:val="00A35F0E"/>
    <w:rsid w:val="00A35F8D"/>
    <w:rsid w:val="00A363C7"/>
    <w:rsid w:val="00A363ED"/>
    <w:rsid w:val="00A36553"/>
    <w:rsid w:val="00A366F4"/>
    <w:rsid w:val="00A3719C"/>
    <w:rsid w:val="00A373D3"/>
    <w:rsid w:val="00A37B7C"/>
    <w:rsid w:val="00A402A0"/>
    <w:rsid w:val="00A406BD"/>
    <w:rsid w:val="00A40DA5"/>
    <w:rsid w:val="00A41AD9"/>
    <w:rsid w:val="00A41BAE"/>
    <w:rsid w:val="00A41DC3"/>
    <w:rsid w:val="00A425EA"/>
    <w:rsid w:val="00A4293E"/>
    <w:rsid w:val="00A4381D"/>
    <w:rsid w:val="00A442B8"/>
    <w:rsid w:val="00A44610"/>
    <w:rsid w:val="00A44765"/>
    <w:rsid w:val="00A45AE8"/>
    <w:rsid w:val="00A45ECD"/>
    <w:rsid w:val="00A45F83"/>
    <w:rsid w:val="00A475C0"/>
    <w:rsid w:val="00A505B2"/>
    <w:rsid w:val="00A507FE"/>
    <w:rsid w:val="00A51290"/>
    <w:rsid w:val="00A5131A"/>
    <w:rsid w:val="00A51324"/>
    <w:rsid w:val="00A51C90"/>
    <w:rsid w:val="00A525C2"/>
    <w:rsid w:val="00A530DB"/>
    <w:rsid w:val="00A5375F"/>
    <w:rsid w:val="00A538AB"/>
    <w:rsid w:val="00A5396D"/>
    <w:rsid w:val="00A53A4C"/>
    <w:rsid w:val="00A53BF7"/>
    <w:rsid w:val="00A54256"/>
    <w:rsid w:val="00A547D5"/>
    <w:rsid w:val="00A54BD3"/>
    <w:rsid w:val="00A54C0F"/>
    <w:rsid w:val="00A54C24"/>
    <w:rsid w:val="00A552A7"/>
    <w:rsid w:val="00A554A2"/>
    <w:rsid w:val="00A5658C"/>
    <w:rsid w:val="00A566C6"/>
    <w:rsid w:val="00A56E40"/>
    <w:rsid w:val="00A570F0"/>
    <w:rsid w:val="00A577F9"/>
    <w:rsid w:val="00A57907"/>
    <w:rsid w:val="00A57A38"/>
    <w:rsid w:val="00A6107B"/>
    <w:rsid w:val="00A623B9"/>
    <w:rsid w:val="00A62932"/>
    <w:rsid w:val="00A629BD"/>
    <w:rsid w:val="00A62B08"/>
    <w:rsid w:val="00A639A7"/>
    <w:rsid w:val="00A63F02"/>
    <w:rsid w:val="00A64046"/>
    <w:rsid w:val="00A643E1"/>
    <w:rsid w:val="00A64D9A"/>
    <w:rsid w:val="00A64DB8"/>
    <w:rsid w:val="00A64F26"/>
    <w:rsid w:val="00A654D7"/>
    <w:rsid w:val="00A6600C"/>
    <w:rsid w:val="00A66694"/>
    <w:rsid w:val="00A6781A"/>
    <w:rsid w:val="00A679A5"/>
    <w:rsid w:val="00A67E7A"/>
    <w:rsid w:val="00A70644"/>
    <w:rsid w:val="00A726BE"/>
    <w:rsid w:val="00A72E75"/>
    <w:rsid w:val="00A7342D"/>
    <w:rsid w:val="00A7396F"/>
    <w:rsid w:val="00A740E2"/>
    <w:rsid w:val="00A7510F"/>
    <w:rsid w:val="00A75117"/>
    <w:rsid w:val="00A754C2"/>
    <w:rsid w:val="00A75B0A"/>
    <w:rsid w:val="00A75B11"/>
    <w:rsid w:val="00A763DE"/>
    <w:rsid w:val="00A77584"/>
    <w:rsid w:val="00A77B06"/>
    <w:rsid w:val="00A77DAC"/>
    <w:rsid w:val="00A801F4"/>
    <w:rsid w:val="00A8076C"/>
    <w:rsid w:val="00A81524"/>
    <w:rsid w:val="00A81729"/>
    <w:rsid w:val="00A81B99"/>
    <w:rsid w:val="00A82F56"/>
    <w:rsid w:val="00A83B15"/>
    <w:rsid w:val="00A84CA2"/>
    <w:rsid w:val="00A85247"/>
    <w:rsid w:val="00A85250"/>
    <w:rsid w:val="00A85293"/>
    <w:rsid w:val="00A8590C"/>
    <w:rsid w:val="00A85D82"/>
    <w:rsid w:val="00A86F9A"/>
    <w:rsid w:val="00A90119"/>
    <w:rsid w:val="00A910EA"/>
    <w:rsid w:val="00A91283"/>
    <w:rsid w:val="00A91367"/>
    <w:rsid w:val="00A92455"/>
    <w:rsid w:val="00A9246A"/>
    <w:rsid w:val="00A92EBD"/>
    <w:rsid w:val="00A933AB"/>
    <w:rsid w:val="00A9389C"/>
    <w:rsid w:val="00A944D9"/>
    <w:rsid w:val="00A946B3"/>
    <w:rsid w:val="00A94958"/>
    <w:rsid w:val="00A949E5"/>
    <w:rsid w:val="00A94E40"/>
    <w:rsid w:val="00A95319"/>
    <w:rsid w:val="00A95CE1"/>
    <w:rsid w:val="00A96050"/>
    <w:rsid w:val="00A9622A"/>
    <w:rsid w:val="00A9659E"/>
    <w:rsid w:val="00A967CC"/>
    <w:rsid w:val="00A96854"/>
    <w:rsid w:val="00A972CC"/>
    <w:rsid w:val="00A9749E"/>
    <w:rsid w:val="00A975AA"/>
    <w:rsid w:val="00A97709"/>
    <w:rsid w:val="00A97B2A"/>
    <w:rsid w:val="00AA00E2"/>
    <w:rsid w:val="00AA087B"/>
    <w:rsid w:val="00AA14A1"/>
    <w:rsid w:val="00AA1B17"/>
    <w:rsid w:val="00AA1C50"/>
    <w:rsid w:val="00AA2989"/>
    <w:rsid w:val="00AA298A"/>
    <w:rsid w:val="00AA2D6C"/>
    <w:rsid w:val="00AA3561"/>
    <w:rsid w:val="00AA3A7B"/>
    <w:rsid w:val="00AA427C"/>
    <w:rsid w:val="00AA44D3"/>
    <w:rsid w:val="00AA4CBE"/>
    <w:rsid w:val="00AA586F"/>
    <w:rsid w:val="00AA5CEB"/>
    <w:rsid w:val="00AA6724"/>
    <w:rsid w:val="00AA6B7C"/>
    <w:rsid w:val="00AA6E8B"/>
    <w:rsid w:val="00AA6FE2"/>
    <w:rsid w:val="00AA72BE"/>
    <w:rsid w:val="00AA7D14"/>
    <w:rsid w:val="00AA7F89"/>
    <w:rsid w:val="00AB00DE"/>
    <w:rsid w:val="00AB0330"/>
    <w:rsid w:val="00AB0993"/>
    <w:rsid w:val="00AB13EB"/>
    <w:rsid w:val="00AB1430"/>
    <w:rsid w:val="00AB1510"/>
    <w:rsid w:val="00AB154D"/>
    <w:rsid w:val="00AB165E"/>
    <w:rsid w:val="00AB1CF7"/>
    <w:rsid w:val="00AB23B8"/>
    <w:rsid w:val="00AB3B91"/>
    <w:rsid w:val="00AB4B05"/>
    <w:rsid w:val="00AB5CA2"/>
    <w:rsid w:val="00AB629D"/>
    <w:rsid w:val="00AB6B8D"/>
    <w:rsid w:val="00AB6FE8"/>
    <w:rsid w:val="00AB76F4"/>
    <w:rsid w:val="00AC0637"/>
    <w:rsid w:val="00AC0724"/>
    <w:rsid w:val="00AC0CE5"/>
    <w:rsid w:val="00AC0D11"/>
    <w:rsid w:val="00AC142A"/>
    <w:rsid w:val="00AC14A2"/>
    <w:rsid w:val="00AC1722"/>
    <w:rsid w:val="00AC27B5"/>
    <w:rsid w:val="00AC2805"/>
    <w:rsid w:val="00AC311C"/>
    <w:rsid w:val="00AC4700"/>
    <w:rsid w:val="00AC48FE"/>
    <w:rsid w:val="00AC4919"/>
    <w:rsid w:val="00AC4A27"/>
    <w:rsid w:val="00AC4DE1"/>
    <w:rsid w:val="00AC4E18"/>
    <w:rsid w:val="00AC4E7C"/>
    <w:rsid w:val="00AC4FBF"/>
    <w:rsid w:val="00AC54E4"/>
    <w:rsid w:val="00AC59D2"/>
    <w:rsid w:val="00AC6264"/>
    <w:rsid w:val="00AC6545"/>
    <w:rsid w:val="00AC6BAE"/>
    <w:rsid w:val="00AC6D05"/>
    <w:rsid w:val="00AC720F"/>
    <w:rsid w:val="00AC77C3"/>
    <w:rsid w:val="00AC7DB3"/>
    <w:rsid w:val="00AC7E71"/>
    <w:rsid w:val="00AC7EDA"/>
    <w:rsid w:val="00AD0205"/>
    <w:rsid w:val="00AD0485"/>
    <w:rsid w:val="00AD0780"/>
    <w:rsid w:val="00AD0A82"/>
    <w:rsid w:val="00AD15FA"/>
    <w:rsid w:val="00AD1976"/>
    <w:rsid w:val="00AD2C24"/>
    <w:rsid w:val="00AD2DA4"/>
    <w:rsid w:val="00AD359F"/>
    <w:rsid w:val="00AD3625"/>
    <w:rsid w:val="00AD3C81"/>
    <w:rsid w:val="00AD41A0"/>
    <w:rsid w:val="00AD4247"/>
    <w:rsid w:val="00AD47D9"/>
    <w:rsid w:val="00AD4ACF"/>
    <w:rsid w:val="00AD4E9E"/>
    <w:rsid w:val="00AD5332"/>
    <w:rsid w:val="00AD5384"/>
    <w:rsid w:val="00AD594C"/>
    <w:rsid w:val="00AD6420"/>
    <w:rsid w:val="00AD6F5E"/>
    <w:rsid w:val="00AD76A2"/>
    <w:rsid w:val="00AD7A02"/>
    <w:rsid w:val="00AD7A64"/>
    <w:rsid w:val="00AD7ADB"/>
    <w:rsid w:val="00AE0133"/>
    <w:rsid w:val="00AE01FE"/>
    <w:rsid w:val="00AE05AB"/>
    <w:rsid w:val="00AE0860"/>
    <w:rsid w:val="00AE0D41"/>
    <w:rsid w:val="00AE1204"/>
    <w:rsid w:val="00AE1239"/>
    <w:rsid w:val="00AE2084"/>
    <w:rsid w:val="00AE2284"/>
    <w:rsid w:val="00AE2971"/>
    <w:rsid w:val="00AE2E04"/>
    <w:rsid w:val="00AE3597"/>
    <w:rsid w:val="00AE38E0"/>
    <w:rsid w:val="00AE3AC6"/>
    <w:rsid w:val="00AE4538"/>
    <w:rsid w:val="00AE4628"/>
    <w:rsid w:val="00AE473B"/>
    <w:rsid w:val="00AE4C8B"/>
    <w:rsid w:val="00AE4DA0"/>
    <w:rsid w:val="00AE6458"/>
    <w:rsid w:val="00AE6A99"/>
    <w:rsid w:val="00AE6C69"/>
    <w:rsid w:val="00AE6DE2"/>
    <w:rsid w:val="00AE6F02"/>
    <w:rsid w:val="00AF0714"/>
    <w:rsid w:val="00AF16F7"/>
    <w:rsid w:val="00AF1A65"/>
    <w:rsid w:val="00AF2843"/>
    <w:rsid w:val="00AF2C7B"/>
    <w:rsid w:val="00AF2E4D"/>
    <w:rsid w:val="00AF3254"/>
    <w:rsid w:val="00AF3502"/>
    <w:rsid w:val="00AF4249"/>
    <w:rsid w:val="00AF432A"/>
    <w:rsid w:val="00AF4AA3"/>
    <w:rsid w:val="00AF4D83"/>
    <w:rsid w:val="00AF5558"/>
    <w:rsid w:val="00AF5830"/>
    <w:rsid w:val="00AF5CF1"/>
    <w:rsid w:val="00AF5D2B"/>
    <w:rsid w:val="00AF67B8"/>
    <w:rsid w:val="00AF6C52"/>
    <w:rsid w:val="00AF6CC8"/>
    <w:rsid w:val="00AF6D94"/>
    <w:rsid w:val="00AF73B4"/>
    <w:rsid w:val="00AF7492"/>
    <w:rsid w:val="00AF7923"/>
    <w:rsid w:val="00AF7ACC"/>
    <w:rsid w:val="00AF7C2F"/>
    <w:rsid w:val="00B00171"/>
    <w:rsid w:val="00B00752"/>
    <w:rsid w:val="00B00D65"/>
    <w:rsid w:val="00B01227"/>
    <w:rsid w:val="00B012A5"/>
    <w:rsid w:val="00B012C1"/>
    <w:rsid w:val="00B01532"/>
    <w:rsid w:val="00B01949"/>
    <w:rsid w:val="00B01AA7"/>
    <w:rsid w:val="00B02D1C"/>
    <w:rsid w:val="00B02E3E"/>
    <w:rsid w:val="00B02F8D"/>
    <w:rsid w:val="00B03803"/>
    <w:rsid w:val="00B03BAF"/>
    <w:rsid w:val="00B05911"/>
    <w:rsid w:val="00B05A97"/>
    <w:rsid w:val="00B05B06"/>
    <w:rsid w:val="00B05CDA"/>
    <w:rsid w:val="00B06154"/>
    <w:rsid w:val="00B062C1"/>
    <w:rsid w:val="00B0671B"/>
    <w:rsid w:val="00B06E77"/>
    <w:rsid w:val="00B070B0"/>
    <w:rsid w:val="00B074E0"/>
    <w:rsid w:val="00B07979"/>
    <w:rsid w:val="00B07E32"/>
    <w:rsid w:val="00B10979"/>
    <w:rsid w:val="00B11239"/>
    <w:rsid w:val="00B11885"/>
    <w:rsid w:val="00B120CF"/>
    <w:rsid w:val="00B125DF"/>
    <w:rsid w:val="00B127D5"/>
    <w:rsid w:val="00B12900"/>
    <w:rsid w:val="00B12940"/>
    <w:rsid w:val="00B142DC"/>
    <w:rsid w:val="00B143D7"/>
    <w:rsid w:val="00B146E6"/>
    <w:rsid w:val="00B14B58"/>
    <w:rsid w:val="00B14BCB"/>
    <w:rsid w:val="00B14EE6"/>
    <w:rsid w:val="00B167C2"/>
    <w:rsid w:val="00B1789B"/>
    <w:rsid w:val="00B17AC2"/>
    <w:rsid w:val="00B17C67"/>
    <w:rsid w:val="00B17DB7"/>
    <w:rsid w:val="00B17E81"/>
    <w:rsid w:val="00B2072C"/>
    <w:rsid w:val="00B21314"/>
    <w:rsid w:val="00B22CE7"/>
    <w:rsid w:val="00B23007"/>
    <w:rsid w:val="00B2306B"/>
    <w:rsid w:val="00B231A9"/>
    <w:rsid w:val="00B237AA"/>
    <w:rsid w:val="00B23926"/>
    <w:rsid w:val="00B26B17"/>
    <w:rsid w:val="00B26D87"/>
    <w:rsid w:val="00B27181"/>
    <w:rsid w:val="00B300B2"/>
    <w:rsid w:val="00B30367"/>
    <w:rsid w:val="00B305F7"/>
    <w:rsid w:val="00B30697"/>
    <w:rsid w:val="00B30984"/>
    <w:rsid w:val="00B310CD"/>
    <w:rsid w:val="00B31461"/>
    <w:rsid w:val="00B314F0"/>
    <w:rsid w:val="00B315EB"/>
    <w:rsid w:val="00B318D7"/>
    <w:rsid w:val="00B32A95"/>
    <w:rsid w:val="00B32AB4"/>
    <w:rsid w:val="00B32E90"/>
    <w:rsid w:val="00B33250"/>
    <w:rsid w:val="00B334CA"/>
    <w:rsid w:val="00B33866"/>
    <w:rsid w:val="00B339CC"/>
    <w:rsid w:val="00B33A7D"/>
    <w:rsid w:val="00B34231"/>
    <w:rsid w:val="00B34466"/>
    <w:rsid w:val="00B3472F"/>
    <w:rsid w:val="00B3499D"/>
    <w:rsid w:val="00B358CE"/>
    <w:rsid w:val="00B35AB9"/>
    <w:rsid w:val="00B35B48"/>
    <w:rsid w:val="00B35D70"/>
    <w:rsid w:val="00B35E3C"/>
    <w:rsid w:val="00B35F9C"/>
    <w:rsid w:val="00B361E8"/>
    <w:rsid w:val="00B3648F"/>
    <w:rsid w:val="00B36635"/>
    <w:rsid w:val="00B3710E"/>
    <w:rsid w:val="00B37935"/>
    <w:rsid w:val="00B37F0C"/>
    <w:rsid w:val="00B4045E"/>
    <w:rsid w:val="00B407E2"/>
    <w:rsid w:val="00B41C42"/>
    <w:rsid w:val="00B42A51"/>
    <w:rsid w:val="00B42DBD"/>
    <w:rsid w:val="00B43592"/>
    <w:rsid w:val="00B437B6"/>
    <w:rsid w:val="00B43BF2"/>
    <w:rsid w:val="00B4408B"/>
    <w:rsid w:val="00B44749"/>
    <w:rsid w:val="00B44B6E"/>
    <w:rsid w:val="00B44BE9"/>
    <w:rsid w:val="00B44F95"/>
    <w:rsid w:val="00B465B5"/>
    <w:rsid w:val="00B46FBC"/>
    <w:rsid w:val="00B47413"/>
    <w:rsid w:val="00B47C9A"/>
    <w:rsid w:val="00B503F9"/>
    <w:rsid w:val="00B51DBC"/>
    <w:rsid w:val="00B51E8B"/>
    <w:rsid w:val="00B52192"/>
    <w:rsid w:val="00B521AF"/>
    <w:rsid w:val="00B52864"/>
    <w:rsid w:val="00B52EFE"/>
    <w:rsid w:val="00B532AD"/>
    <w:rsid w:val="00B53459"/>
    <w:rsid w:val="00B53D79"/>
    <w:rsid w:val="00B54456"/>
    <w:rsid w:val="00B54BB7"/>
    <w:rsid w:val="00B55529"/>
    <w:rsid w:val="00B5554F"/>
    <w:rsid w:val="00B5595A"/>
    <w:rsid w:val="00B56153"/>
    <w:rsid w:val="00B56279"/>
    <w:rsid w:val="00B56484"/>
    <w:rsid w:val="00B565CD"/>
    <w:rsid w:val="00B565E9"/>
    <w:rsid w:val="00B56DBC"/>
    <w:rsid w:val="00B56F38"/>
    <w:rsid w:val="00B57F3C"/>
    <w:rsid w:val="00B600E8"/>
    <w:rsid w:val="00B60240"/>
    <w:rsid w:val="00B60482"/>
    <w:rsid w:val="00B60742"/>
    <w:rsid w:val="00B607B0"/>
    <w:rsid w:val="00B607BD"/>
    <w:rsid w:val="00B60C56"/>
    <w:rsid w:val="00B6141E"/>
    <w:rsid w:val="00B617FF"/>
    <w:rsid w:val="00B63382"/>
    <w:rsid w:val="00B6346D"/>
    <w:rsid w:val="00B6361F"/>
    <w:rsid w:val="00B63628"/>
    <w:rsid w:val="00B63A61"/>
    <w:rsid w:val="00B63CDB"/>
    <w:rsid w:val="00B64645"/>
    <w:rsid w:val="00B64A65"/>
    <w:rsid w:val="00B64E62"/>
    <w:rsid w:val="00B64F9C"/>
    <w:rsid w:val="00B65074"/>
    <w:rsid w:val="00B6513D"/>
    <w:rsid w:val="00B65722"/>
    <w:rsid w:val="00B65A34"/>
    <w:rsid w:val="00B65AD6"/>
    <w:rsid w:val="00B66B8E"/>
    <w:rsid w:val="00B66ECC"/>
    <w:rsid w:val="00B6754A"/>
    <w:rsid w:val="00B67DC8"/>
    <w:rsid w:val="00B70A4B"/>
    <w:rsid w:val="00B70CBC"/>
    <w:rsid w:val="00B70E48"/>
    <w:rsid w:val="00B710C8"/>
    <w:rsid w:val="00B71A93"/>
    <w:rsid w:val="00B72B0C"/>
    <w:rsid w:val="00B72B5C"/>
    <w:rsid w:val="00B72EAA"/>
    <w:rsid w:val="00B7377C"/>
    <w:rsid w:val="00B73B14"/>
    <w:rsid w:val="00B73DD2"/>
    <w:rsid w:val="00B73E75"/>
    <w:rsid w:val="00B7440A"/>
    <w:rsid w:val="00B748C9"/>
    <w:rsid w:val="00B750B5"/>
    <w:rsid w:val="00B755C9"/>
    <w:rsid w:val="00B75A5F"/>
    <w:rsid w:val="00B75AD5"/>
    <w:rsid w:val="00B75FDA"/>
    <w:rsid w:val="00B76168"/>
    <w:rsid w:val="00B763BD"/>
    <w:rsid w:val="00B76802"/>
    <w:rsid w:val="00B77AAB"/>
    <w:rsid w:val="00B77CAC"/>
    <w:rsid w:val="00B80440"/>
    <w:rsid w:val="00B8094C"/>
    <w:rsid w:val="00B80D60"/>
    <w:rsid w:val="00B8145E"/>
    <w:rsid w:val="00B81BF9"/>
    <w:rsid w:val="00B81E36"/>
    <w:rsid w:val="00B824DF"/>
    <w:rsid w:val="00B82EE9"/>
    <w:rsid w:val="00B831F1"/>
    <w:rsid w:val="00B833CE"/>
    <w:rsid w:val="00B83677"/>
    <w:rsid w:val="00B83E0C"/>
    <w:rsid w:val="00B84EE9"/>
    <w:rsid w:val="00B85726"/>
    <w:rsid w:val="00B8672C"/>
    <w:rsid w:val="00B876CB"/>
    <w:rsid w:val="00B87824"/>
    <w:rsid w:val="00B87BF6"/>
    <w:rsid w:val="00B87EC2"/>
    <w:rsid w:val="00B87F0D"/>
    <w:rsid w:val="00B9012A"/>
    <w:rsid w:val="00B90142"/>
    <w:rsid w:val="00B90179"/>
    <w:rsid w:val="00B91D70"/>
    <w:rsid w:val="00B921E2"/>
    <w:rsid w:val="00B92565"/>
    <w:rsid w:val="00B927E9"/>
    <w:rsid w:val="00B93295"/>
    <w:rsid w:val="00B93700"/>
    <w:rsid w:val="00B93B48"/>
    <w:rsid w:val="00B93C7F"/>
    <w:rsid w:val="00B93CCB"/>
    <w:rsid w:val="00B94CF0"/>
    <w:rsid w:val="00B94F7A"/>
    <w:rsid w:val="00B95AFB"/>
    <w:rsid w:val="00B95FBD"/>
    <w:rsid w:val="00B96229"/>
    <w:rsid w:val="00B96276"/>
    <w:rsid w:val="00B96719"/>
    <w:rsid w:val="00B976FE"/>
    <w:rsid w:val="00B97D6B"/>
    <w:rsid w:val="00BA0FF1"/>
    <w:rsid w:val="00BA1835"/>
    <w:rsid w:val="00BA1CA1"/>
    <w:rsid w:val="00BA1DE1"/>
    <w:rsid w:val="00BA1FB9"/>
    <w:rsid w:val="00BA284D"/>
    <w:rsid w:val="00BA2E50"/>
    <w:rsid w:val="00BA3585"/>
    <w:rsid w:val="00BA3702"/>
    <w:rsid w:val="00BA3C5A"/>
    <w:rsid w:val="00BA44A8"/>
    <w:rsid w:val="00BA4C8F"/>
    <w:rsid w:val="00BA5084"/>
    <w:rsid w:val="00BA51CF"/>
    <w:rsid w:val="00BA541E"/>
    <w:rsid w:val="00BA55E0"/>
    <w:rsid w:val="00BA5BAE"/>
    <w:rsid w:val="00BA6076"/>
    <w:rsid w:val="00BA61AD"/>
    <w:rsid w:val="00BA6A02"/>
    <w:rsid w:val="00BA6DE4"/>
    <w:rsid w:val="00BA72B9"/>
    <w:rsid w:val="00BA741D"/>
    <w:rsid w:val="00BA79B2"/>
    <w:rsid w:val="00BA7C14"/>
    <w:rsid w:val="00BB0111"/>
    <w:rsid w:val="00BB04AE"/>
    <w:rsid w:val="00BB0675"/>
    <w:rsid w:val="00BB0866"/>
    <w:rsid w:val="00BB0D6F"/>
    <w:rsid w:val="00BB1535"/>
    <w:rsid w:val="00BB1700"/>
    <w:rsid w:val="00BB18EC"/>
    <w:rsid w:val="00BB1E0A"/>
    <w:rsid w:val="00BB2231"/>
    <w:rsid w:val="00BB237D"/>
    <w:rsid w:val="00BB27C2"/>
    <w:rsid w:val="00BB30E5"/>
    <w:rsid w:val="00BB37F9"/>
    <w:rsid w:val="00BB390F"/>
    <w:rsid w:val="00BB3B51"/>
    <w:rsid w:val="00BB44A2"/>
    <w:rsid w:val="00BB4AC5"/>
    <w:rsid w:val="00BB4CF5"/>
    <w:rsid w:val="00BB521F"/>
    <w:rsid w:val="00BB5923"/>
    <w:rsid w:val="00BB5CE1"/>
    <w:rsid w:val="00BB6184"/>
    <w:rsid w:val="00BB6219"/>
    <w:rsid w:val="00BB690E"/>
    <w:rsid w:val="00BB6989"/>
    <w:rsid w:val="00BB6D91"/>
    <w:rsid w:val="00BB7410"/>
    <w:rsid w:val="00BB778E"/>
    <w:rsid w:val="00BC07EF"/>
    <w:rsid w:val="00BC09E9"/>
    <w:rsid w:val="00BC0ABF"/>
    <w:rsid w:val="00BC0AC2"/>
    <w:rsid w:val="00BC101A"/>
    <w:rsid w:val="00BC1551"/>
    <w:rsid w:val="00BC16DD"/>
    <w:rsid w:val="00BC219A"/>
    <w:rsid w:val="00BC2364"/>
    <w:rsid w:val="00BC2C9F"/>
    <w:rsid w:val="00BC337D"/>
    <w:rsid w:val="00BC392F"/>
    <w:rsid w:val="00BC39E3"/>
    <w:rsid w:val="00BC40E2"/>
    <w:rsid w:val="00BC4315"/>
    <w:rsid w:val="00BC45DA"/>
    <w:rsid w:val="00BC576F"/>
    <w:rsid w:val="00BC58BE"/>
    <w:rsid w:val="00BC59B2"/>
    <w:rsid w:val="00BC6082"/>
    <w:rsid w:val="00BC6938"/>
    <w:rsid w:val="00BC6B05"/>
    <w:rsid w:val="00BC75D2"/>
    <w:rsid w:val="00BC79CD"/>
    <w:rsid w:val="00BC7A42"/>
    <w:rsid w:val="00BC7B7F"/>
    <w:rsid w:val="00BC7CAD"/>
    <w:rsid w:val="00BC7D1B"/>
    <w:rsid w:val="00BD1074"/>
    <w:rsid w:val="00BD1102"/>
    <w:rsid w:val="00BD171A"/>
    <w:rsid w:val="00BD197D"/>
    <w:rsid w:val="00BD1C7E"/>
    <w:rsid w:val="00BD1E37"/>
    <w:rsid w:val="00BD1FF8"/>
    <w:rsid w:val="00BD2241"/>
    <w:rsid w:val="00BD287A"/>
    <w:rsid w:val="00BD2D87"/>
    <w:rsid w:val="00BD2F55"/>
    <w:rsid w:val="00BD3A9B"/>
    <w:rsid w:val="00BD463A"/>
    <w:rsid w:val="00BD46F7"/>
    <w:rsid w:val="00BD4A72"/>
    <w:rsid w:val="00BD4B64"/>
    <w:rsid w:val="00BD5011"/>
    <w:rsid w:val="00BD51CF"/>
    <w:rsid w:val="00BD5705"/>
    <w:rsid w:val="00BD5E1A"/>
    <w:rsid w:val="00BD627D"/>
    <w:rsid w:val="00BD69A7"/>
    <w:rsid w:val="00BD6C2D"/>
    <w:rsid w:val="00BE0199"/>
    <w:rsid w:val="00BE01E7"/>
    <w:rsid w:val="00BE02A3"/>
    <w:rsid w:val="00BE0410"/>
    <w:rsid w:val="00BE08CC"/>
    <w:rsid w:val="00BE1712"/>
    <w:rsid w:val="00BE1900"/>
    <w:rsid w:val="00BE1C48"/>
    <w:rsid w:val="00BE1D5F"/>
    <w:rsid w:val="00BE21EA"/>
    <w:rsid w:val="00BE29D3"/>
    <w:rsid w:val="00BE2C84"/>
    <w:rsid w:val="00BE2ED0"/>
    <w:rsid w:val="00BE336B"/>
    <w:rsid w:val="00BE420C"/>
    <w:rsid w:val="00BE4349"/>
    <w:rsid w:val="00BE4B44"/>
    <w:rsid w:val="00BE4B5D"/>
    <w:rsid w:val="00BE4BE6"/>
    <w:rsid w:val="00BE5298"/>
    <w:rsid w:val="00BE57C1"/>
    <w:rsid w:val="00BE5B14"/>
    <w:rsid w:val="00BE5D5C"/>
    <w:rsid w:val="00BE5F54"/>
    <w:rsid w:val="00BE6EE4"/>
    <w:rsid w:val="00BE727C"/>
    <w:rsid w:val="00BF1560"/>
    <w:rsid w:val="00BF2B80"/>
    <w:rsid w:val="00BF354A"/>
    <w:rsid w:val="00BF4532"/>
    <w:rsid w:val="00BF4B8A"/>
    <w:rsid w:val="00BF5682"/>
    <w:rsid w:val="00BF5758"/>
    <w:rsid w:val="00BF5AFF"/>
    <w:rsid w:val="00BF5DE4"/>
    <w:rsid w:val="00BF669E"/>
    <w:rsid w:val="00BF697C"/>
    <w:rsid w:val="00BF6B36"/>
    <w:rsid w:val="00BF6BA8"/>
    <w:rsid w:val="00BF6D73"/>
    <w:rsid w:val="00BF7848"/>
    <w:rsid w:val="00BF795B"/>
    <w:rsid w:val="00BF7962"/>
    <w:rsid w:val="00BF7C18"/>
    <w:rsid w:val="00C00148"/>
    <w:rsid w:val="00C00BB7"/>
    <w:rsid w:val="00C00D31"/>
    <w:rsid w:val="00C011C9"/>
    <w:rsid w:val="00C01CF9"/>
    <w:rsid w:val="00C01EAA"/>
    <w:rsid w:val="00C021F8"/>
    <w:rsid w:val="00C02370"/>
    <w:rsid w:val="00C02F8C"/>
    <w:rsid w:val="00C035BD"/>
    <w:rsid w:val="00C03F23"/>
    <w:rsid w:val="00C04CD9"/>
    <w:rsid w:val="00C04D2E"/>
    <w:rsid w:val="00C04F1C"/>
    <w:rsid w:val="00C05011"/>
    <w:rsid w:val="00C053E2"/>
    <w:rsid w:val="00C05EA2"/>
    <w:rsid w:val="00C064A2"/>
    <w:rsid w:val="00C06D3A"/>
    <w:rsid w:val="00C101E9"/>
    <w:rsid w:val="00C104B5"/>
    <w:rsid w:val="00C1066E"/>
    <w:rsid w:val="00C10793"/>
    <w:rsid w:val="00C10E3D"/>
    <w:rsid w:val="00C10ECA"/>
    <w:rsid w:val="00C111B0"/>
    <w:rsid w:val="00C11383"/>
    <w:rsid w:val="00C115A2"/>
    <w:rsid w:val="00C11C0F"/>
    <w:rsid w:val="00C11FAA"/>
    <w:rsid w:val="00C122E0"/>
    <w:rsid w:val="00C12515"/>
    <w:rsid w:val="00C128DD"/>
    <w:rsid w:val="00C12B4E"/>
    <w:rsid w:val="00C12D4A"/>
    <w:rsid w:val="00C12E23"/>
    <w:rsid w:val="00C12E7B"/>
    <w:rsid w:val="00C13099"/>
    <w:rsid w:val="00C13544"/>
    <w:rsid w:val="00C13C9D"/>
    <w:rsid w:val="00C14341"/>
    <w:rsid w:val="00C143EA"/>
    <w:rsid w:val="00C14CF6"/>
    <w:rsid w:val="00C1512C"/>
    <w:rsid w:val="00C15CA0"/>
    <w:rsid w:val="00C15F85"/>
    <w:rsid w:val="00C16143"/>
    <w:rsid w:val="00C167C5"/>
    <w:rsid w:val="00C16A4F"/>
    <w:rsid w:val="00C16AF0"/>
    <w:rsid w:val="00C172A8"/>
    <w:rsid w:val="00C17428"/>
    <w:rsid w:val="00C174C1"/>
    <w:rsid w:val="00C1761C"/>
    <w:rsid w:val="00C17D05"/>
    <w:rsid w:val="00C2094D"/>
    <w:rsid w:val="00C20C29"/>
    <w:rsid w:val="00C2396B"/>
    <w:rsid w:val="00C2432F"/>
    <w:rsid w:val="00C243A1"/>
    <w:rsid w:val="00C249C7"/>
    <w:rsid w:val="00C2563A"/>
    <w:rsid w:val="00C25A39"/>
    <w:rsid w:val="00C25BD6"/>
    <w:rsid w:val="00C2616F"/>
    <w:rsid w:val="00C261D9"/>
    <w:rsid w:val="00C26249"/>
    <w:rsid w:val="00C263EC"/>
    <w:rsid w:val="00C26F4E"/>
    <w:rsid w:val="00C2708D"/>
    <w:rsid w:val="00C2725E"/>
    <w:rsid w:val="00C27370"/>
    <w:rsid w:val="00C30C60"/>
    <w:rsid w:val="00C30E31"/>
    <w:rsid w:val="00C30ED2"/>
    <w:rsid w:val="00C3135E"/>
    <w:rsid w:val="00C317DA"/>
    <w:rsid w:val="00C31CBC"/>
    <w:rsid w:val="00C31CFA"/>
    <w:rsid w:val="00C31EDE"/>
    <w:rsid w:val="00C321A1"/>
    <w:rsid w:val="00C321D9"/>
    <w:rsid w:val="00C32356"/>
    <w:rsid w:val="00C32476"/>
    <w:rsid w:val="00C32956"/>
    <w:rsid w:val="00C33879"/>
    <w:rsid w:val="00C339EE"/>
    <w:rsid w:val="00C34AFB"/>
    <w:rsid w:val="00C34CD9"/>
    <w:rsid w:val="00C34D22"/>
    <w:rsid w:val="00C350EF"/>
    <w:rsid w:val="00C35A5E"/>
    <w:rsid w:val="00C36112"/>
    <w:rsid w:val="00C36CD8"/>
    <w:rsid w:val="00C373F8"/>
    <w:rsid w:val="00C37410"/>
    <w:rsid w:val="00C37DEF"/>
    <w:rsid w:val="00C402BA"/>
    <w:rsid w:val="00C40736"/>
    <w:rsid w:val="00C415F8"/>
    <w:rsid w:val="00C42BE9"/>
    <w:rsid w:val="00C43262"/>
    <w:rsid w:val="00C433D1"/>
    <w:rsid w:val="00C4375B"/>
    <w:rsid w:val="00C43E47"/>
    <w:rsid w:val="00C449DC"/>
    <w:rsid w:val="00C453D1"/>
    <w:rsid w:val="00C45D06"/>
    <w:rsid w:val="00C45D2D"/>
    <w:rsid w:val="00C462B6"/>
    <w:rsid w:val="00C46539"/>
    <w:rsid w:val="00C46821"/>
    <w:rsid w:val="00C472F4"/>
    <w:rsid w:val="00C4737C"/>
    <w:rsid w:val="00C476E9"/>
    <w:rsid w:val="00C479D0"/>
    <w:rsid w:val="00C47BC4"/>
    <w:rsid w:val="00C47C3A"/>
    <w:rsid w:val="00C47E44"/>
    <w:rsid w:val="00C5001C"/>
    <w:rsid w:val="00C50023"/>
    <w:rsid w:val="00C50033"/>
    <w:rsid w:val="00C501D3"/>
    <w:rsid w:val="00C50472"/>
    <w:rsid w:val="00C50874"/>
    <w:rsid w:val="00C50B14"/>
    <w:rsid w:val="00C518EF"/>
    <w:rsid w:val="00C51F77"/>
    <w:rsid w:val="00C52367"/>
    <w:rsid w:val="00C53399"/>
    <w:rsid w:val="00C5346F"/>
    <w:rsid w:val="00C53AC2"/>
    <w:rsid w:val="00C5424D"/>
    <w:rsid w:val="00C54581"/>
    <w:rsid w:val="00C547E1"/>
    <w:rsid w:val="00C548B7"/>
    <w:rsid w:val="00C54CF0"/>
    <w:rsid w:val="00C54D6F"/>
    <w:rsid w:val="00C554F7"/>
    <w:rsid w:val="00C55830"/>
    <w:rsid w:val="00C558E1"/>
    <w:rsid w:val="00C55CB9"/>
    <w:rsid w:val="00C562ED"/>
    <w:rsid w:val="00C565E7"/>
    <w:rsid w:val="00C56606"/>
    <w:rsid w:val="00C5679A"/>
    <w:rsid w:val="00C5742E"/>
    <w:rsid w:val="00C60D41"/>
    <w:rsid w:val="00C61026"/>
    <w:rsid w:val="00C615B0"/>
    <w:rsid w:val="00C6196B"/>
    <w:rsid w:val="00C61B80"/>
    <w:rsid w:val="00C61BF6"/>
    <w:rsid w:val="00C6287A"/>
    <w:rsid w:val="00C628E0"/>
    <w:rsid w:val="00C63596"/>
    <w:rsid w:val="00C637CC"/>
    <w:rsid w:val="00C63D4B"/>
    <w:rsid w:val="00C64279"/>
    <w:rsid w:val="00C644B3"/>
    <w:rsid w:val="00C645F4"/>
    <w:rsid w:val="00C64FAC"/>
    <w:rsid w:val="00C6539A"/>
    <w:rsid w:val="00C6565C"/>
    <w:rsid w:val="00C656FF"/>
    <w:rsid w:val="00C657CA"/>
    <w:rsid w:val="00C66078"/>
    <w:rsid w:val="00C6621A"/>
    <w:rsid w:val="00C6662A"/>
    <w:rsid w:val="00C667D4"/>
    <w:rsid w:val="00C677D1"/>
    <w:rsid w:val="00C67ECB"/>
    <w:rsid w:val="00C706F4"/>
    <w:rsid w:val="00C707A7"/>
    <w:rsid w:val="00C70834"/>
    <w:rsid w:val="00C70CC7"/>
    <w:rsid w:val="00C71828"/>
    <w:rsid w:val="00C71B9E"/>
    <w:rsid w:val="00C7263F"/>
    <w:rsid w:val="00C735B9"/>
    <w:rsid w:val="00C73B20"/>
    <w:rsid w:val="00C73E6E"/>
    <w:rsid w:val="00C742D8"/>
    <w:rsid w:val="00C74F07"/>
    <w:rsid w:val="00C7529D"/>
    <w:rsid w:val="00C75857"/>
    <w:rsid w:val="00C75AC5"/>
    <w:rsid w:val="00C768F7"/>
    <w:rsid w:val="00C76938"/>
    <w:rsid w:val="00C76A3D"/>
    <w:rsid w:val="00C77540"/>
    <w:rsid w:val="00C77957"/>
    <w:rsid w:val="00C801B0"/>
    <w:rsid w:val="00C805C4"/>
    <w:rsid w:val="00C80AE7"/>
    <w:rsid w:val="00C80C04"/>
    <w:rsid w:val="00C80DCB"/>
    <w:rsid w:val="00C81213"/>
    <w:rsid w:val="00C8150D"/>
    <w:rsid w:val="00C82055"/>
    <w:rsid w:val="00C8208F"/>
    <w:rsid w:val="00C826F4"/>
    <w:rsid w:val="00C8271B"/>
    <w:rsid w:val="00C82E5E"/>
    <w:rsid w:val="00C837CA"/>
    <w:rsid w:val="00C846B8"/>
    <w:rsid w:val="00C84DA2"/>
    <w:rsid w:val="00C84E8A"/>
    <w:rsid w:val="00C85174"/>
    <w:rsid w:val="00C8522F"/>
    <w:rsid w:val="00C85721"/>
    <w:rsid w:val="00C857DC"/>
    <w:rsid w:val="00C85C01"/>
    <w:rsid w:val="00C8611A"/>
    <w:rsid w:val="00C868F9"/>
    <w:rsid w:val="00C86C16"/>
    <w:rsid w:val="00C86EA0"/>
    <w:rsid w:val="00C9065F"/>
    <w:rsid w:val="00C90BD7"/>
    <w:rsid w:val="00C90EEB"/>
    <w:rsid w:val="00C9115D"/>
    <w:rsid w:val="00C927B7"/>
    <w:rsid w:val="00C92E8C"/>
    <w:rsid w:val="00C9317A"/>
    <w:rsid w:val="00C932A7"/>
    <w:rsid w:val="00C93E70"/>
    <w:rsid w:val="00C93EC7"/>
    <w:rsid w:val="00C943F8"/>
    <w:rsid w:val="00C94416"/>
    <w:rsid w:val="00C9447F"/>
    <w:rsid w:val="00C94555"/>
    <w:rsid w:val="00C94844"/>
    <w:rsid w:val="00C94BF6"/>
    <w:rsid w:val="00C94ED4"/>
    <w:rsid w:val="00C95D2E"/>
    <w:rsid w:val="00C961BD"/>
    <w:rsid w:val="00C96438"/>
    <w:rsid w:val="00C977F9"/>
    <w:rsid w:val="00CA0878"/>
    <w:rsid w:val="00CA095E"/>
    <w:rsid w:val="00CA0A27"/>
    <w:rsid w:val="00CA0C96"/>
    <w:rsid w:val="00CA18DD"/>
    <w:rsid w:val="00CA1E8C"/>
    <w:rsid w:val="00CA1F33"/>
    <w:rsid w:val="00CA1F70"/>
    <w:rsid w:val="00CA242C"/>
    <w:rsid w:val="00CA259A"/>
    <w:rsid w:val="00CA2D58"/>
    <w:rsid w:val="00CA2E72"/>
    <w:rsid w:val="00CA31C1"/>
    <w:rsid w:val="00CA3486"/>
    <w:rsid w:val="00CA3E48"/>
    <w:rsid w:val="00CA40B1"/>
    <w:rsid w:val="00CA41CB"/>
    <w:rsid w:val="00CA55C3"/>
    <w:rsid w:val="00CA5C15"/>
    <w:rsid w:val="00CA5CE2"/>
    <w:rsid w:val="00CA5D92"/>
    <w:rsid w:val="00CA5F21"/>
    <w:rsid w:val="00CA6221"/>
    <w:rsid w:val="00CA6598"/>
    <w:rsid w:val="00CA65FE"/>
    <w:rsid w:val="00CA6727"/>
    <w:rsid w:val="00CA6DF8"/>
    <w:rsid w:val="00CA713F"/>
    <w:rsid w:val="00CB0000"/>
    <w:rsid w:val="00CB0AFB"/>
    <w:rsid w:val="00CB126A"/>
    <w:rsid w:val="00CB12B8"/>
    <w:rsid w:val="00CB23C2"/>
    <w:rsid w:val="00CB29C1"/>
    <w:rsid w:val="00CB2F79"/>
    <w:rsid w:val="00CB3767"/>
    <w:rsid w:val="00CB4006"/>
    <w:rsid w:val="00CB4865"/>
    <w:rsid w:val="00CB4B33"/>
    <w:rsid w:val="00CB4D2D"/>
    <w:rsid w:val="00CB4E0A"/>
    <w:rsid w:val="00CB4EB4"/>
    <w:rsid w:val="00CB5C97"/>
    <w:rsid w:val="00CB60BA"/>
    <w:rsid w:val="00CB6217"/>
    <w:rsid w:val="00CB6258"/>
    <w:rsid w:val="00CB6277"/>
    <w:rsid w:val="00CB655D"/>
    <w:rsid w:val="00CB67B8"/>
    <w:rsid w:val="00CB7081"/>
    <w:rsid w:val="00CB7291"/>
    <w:rsid w:val="00CB76C7"/>
    <w:rsid w:val="00CB7AD8"/>
    <w:rsid w:val="00CC0117"/>
    <w:rsid w:val="00CC01EF"/>
    <w:rsid w:val="00CC037C"/>
    <w:rsid w:val="00CC07BC"/>
    <w:rsid w:val="00CC0C35"/>
    <w:rsid w:val="00CC0CCC"/>
    <w:rsid w:val="00CC10B5"/>
    <w:rsid w:val="00CC142E"/>
    <w:rsid w:val="00CC1D34"/>
    <w:rsid w:val="00CC20E5"/>
    <w:rsid w:val="00CC39AF"/>
    <w:rsid w:val="00CC3B65"/>
    <w:rsid w:val="00CC43AC"/>
    <w:rsid w:val="00CC48A6"/>
    <w:rsid w:val="00CC490E"/>
    <w:rsid w:val="00CC4C1D"/>
    <w:rsid w:val="00CC51A2"/>
    <w:rsid w:val="00CC5497"/>
    <w:rsid w:val="00CC66E2"/>
    <w:rsid w:val="00CC6937"/>
    <w:rsid w:val="00CC70C4"/>
    <w:rsid w:val="00CC718B"/>
    <w:rsid w:val="00CC7225"/>
    <w:rsid w:val="00CC741D"/>
    <w:rsid w:val="00CC7E1C"/>
    <w:rsid w:val="00CD036B"/>
    <w:rsid w:val="00CD0401"/>
    <w:rsid w:val="00CD0CF7"/>
    <w:rsid w:val="00CD1794"/>
    <w:rsid w:val="00CD1CD1"/>
    <w:rsid w:val="00CD21A4"/>
    <w:rsid w:val="00CD2467"/>
    <w:rsid w:val="00CD249E"/>
    <w:rsid w:val="00CD2A39"/>
    <w:rsid w:val="00CD2EDC"/>
    <w:rsid w:val="00CD3398"/>
    <w:rsid w:val="00CD3AA7"/>
    <w:rsid w:val="00CD3E0C"/>
    <w:rsid w:val="00CD3E97"/>
    <w:rsid w:val="00CD4DAB"/>
    <w:rsid w:val="00CD5572"/>
    <w:rsid w:val="00CD58D2"/>
    <w:rsid w:val="00CD5BA6"/>
    <w:rsid w:val="00CD77B6"/>
    <w:rsid w:val="00CD790B"/>
    <w:rsid w:val="00CD7A67"/>
    <w:rsid w:val="00CD7F47"/>
    <w:rsid w:val="00CE02EE"/>
    <w:rsid w:val="00CE05A7"/>
    <w:rsid w:val="00CE05AA"/>
    <w:rsid w:val="00CE1540"/>
    <w:rsid w:val="00CE2449"/>
    <w:rsid w:val="00CE2512"/>
    <w:rsid w:val="00CE323C"/>
    <w:rsid w:val="00CE38D6"/>
    <w:rsid w:val="00CE43C1"/>
    <w:rsid w:val="00CE4CD1"/>
    <w:rsid w:val="00CE4D13"/>
    <w:rsid w:val="00CE4E4D"/>
    <w:rsid w:val="00CE4E94"/>
    <w:rsid w:val="00CE50DB"/>
    <w:rsid w:val="00CE51B1"/>
    <w:rsid w:val="00CE5575"/>
    <w:rsid w:val="00CE6C94"/>
    <w:rsid w:val="00CE6D0E"/>
    <w:rsid w:val="00CE6D54"/>
    <w:rsid w:val="00CE6E15"/>
    <w:rsid w:val="00CE78F8"/>
    <w:rsid w:val="00CE7922"/>
    <w:rsid w:val="00CF02DF"/>
    <w:rsid w:val="00CF067F"/>
    <w:rsid w:val="00CF0871"/>
    <w:rsid w:val="00CF0CF9"/>
    <w:rsid w:val="00CF1012"/>
    <w:rsid w:val="00CF14DD"/>
    <w:rsid w:val="00CF18D7"/>
    <w:rsid w:val="00CF1917"/>
    <w:rsid w:val="00CF21D2"/>
    <w:rsid w:val="00CF2404"/>
    <w:rsid w:val="00CF2441"/>
    <w:rsid w:val="00CF2574"/>
    <w:rsid w:val="00CF2D4F"/>
    <w:rsid w:val="00CF3D94"/>
    <w:rsid w:val="00CF3E36"/>
    <w:rsid w:val="00CF50F3"/>
    <w:rsid w:val="00CF5111"/>
    <w:rsid w:val="00CF6940"/>
    <w:rsid w:val="00CF69ED"/>
    <w:rsid w:val="00CF6CBA"/>
    <w:rsid w:val="00CF6D25"/>
    <w:rsid w:val="00CF6D85"/>
    <w:rsid w:val="00CF73E7"/>
    <w:rsid w:val="00CF7431"/>
    <w:rsid w:val="00CF7438"/>
    <w:rsid w:val="00CF752F"/>
    <w:rsid w:val="00CF7A3B"/>
    <w:rsid w:val="00D004CE"/>
    <w:rsid w:val="00D00883"/>
    <w:rsid w:val="00D00A2A"/>
    <w:rsid w:val="00D00A66"/>
    <w:rsid w:val="00D00FAA"/>
    <w:rsid w:val="00D0138D"/>
    <w:rsid w:val="00D0155D"/>
    <w:rsid w:val="00D01FD2"/>
    <w:rsid w:val="00D0208B"/>
    <w:rsid w:val="00D02469"/>
    <w:rsid w:val="00D02850"/>
    <w:rsid w:val="00D02A6C"/>
    <w:rsid w:val="00D02E7D"/>
    <w:rsid w:val="00D03798"/>
    <w:rsid w:val="00D03876"/>
    <w:rsid w:val="00D03BF9"/>
    <w:rsid w:val="00D049C6"/>
    <w:rsid w:val="00D05A21"/>
    <w:rsid w:val="00D05C67"/>
    <w:rsid w:val="00D05EC3"/>
    <w:rsid w:val="00D064A0"/>
    <w:rsid w:val="00D065C6"/>
    <w:rsid w:val="00D066DF"/>
    <w:rsid w:val="00D0798C"/>
    <w:rsid w:val="00D1048F"/>
    <w:rsid w:val="00D107C1"/>
    <w:rsid w:val="00D1080F"/>
    <w:rsid w:val="00D10A64"/>
    <w:rsid w:val="00D10BC9"/>
    <w:rsid w:val="00D110C2"/>
    <w:rsid w:val="00D1269E"/>
    <w:rsid w:val="00D12860"/>
    <w:rsid w:val="00D12D61"/>
    <w:rsid w:val="00D1360A"/>
    <w:rsid w:val="00D141EA"/>
    <w:rsid w:val="00D141F7"/>
    <w:rsid w:val="00D1473F"/>
    <w:rsid w:val="00D14FFE"/>
    <w:rsid w:val="00D153E3"/>
    <w:rsid w:val="00D15535"/>
    <w:rsid w:val="00D156F4"/>
    <w:rsid w:val="00D1579C"/>
    <w:rsid w:val="00D15887"/>
    <w:rsid w:val="00D15CD1"/>
    <w:rsid w:val="00D15FFC"/>
    <w:rsid w:val="00D1614D"/>
    <w:rsid w:val="00D163B4"/>
    <w:rsid w:val="00D1664F"/>
    <w:rsid w:val="00D1684E"/>
    <w:rsid w:val="00D16868"/>
    <w:rsid w:val="00D16B4C"/>
    <w:rsid w:val="00D16BB1"/>
    <w:rsid w:val="00D16CD3"/>
    <w:rsid w:val="00D16F03"/>
    <w:rsid w:val="00D170FB"/>
    <w:rsid w:val="00D17F81"/>
    <w:rsid w:val="00D2039B"/>
    <w:rsid w:val="00D203C6"/>
    <w:rsid w:val="00D209E5"/>
    <w:rsid w:val="00D20CE5"/>
    <w:rsid w:val="00D216B2"/>
    <w:rsid w:val="00D21CFE"/>
    <w:rsid w:val="00D21F5A"/>
    <w:rsid w:val="00D23030"/>
    <w:rsid w:val="00D23052"/>
    <w:rsid w:val="00D24025"/>
    <w:rsid w:val="00D2406F"/>
    <w:rsid w:val="00D25593"/>
    <w:rsid w:val="00D255EE"/>
    <w:rsid w:val="00D25CE8"/>
    <w:rsid w:val="00D25D2A"/>
    <w:rsid w:val="00D26554"/>
    <w:rsid w:val="00D26B11"/>
    <w:rsid w:val="00D26B33"/>
    <w:rsid w:val="00D27191"/>
    <w:rsid w:val="00D27425"/>
    <w:rsid w:val="00D275DF"/>
    <w:rsid w:val="00D27966"/>
    <w:rsid w:val="00D27DEE"/>
    <w:rsid w:val="00D27FD7"/>
    <w:rsid w:val="00D30169"/>
    <w:rsid w:val="00D3052B"/>
    <w:rsid w:val="00D3083E"/>
    <w:rsid w:val="00D30975"/>
    <w:rsid w:val="00D310DA"/>
    <w:rsid w:val="00D3123C"/>
    <w:rsid w:val="00D314A3"/>
    <w:rsid w:val="00D3165B"/>
    <w:rsid w:val="00D31B12"/>
    <w:rsid w:val="00D31E3F"/>
    <w:rsid w:val="00D31F04"/>
    <w:rsid w:val="00D32152"/>
    <w:rsid w:val="00D321CF"/>
    <w:rsid w:val="00D3288B"/>
    <w:rsid w:val="00D32B72"/>
    <w:rsid w:val="00D3441A"/>
    <w:rsid w:val="00D3467B"/>
    <w:rsid w:val="00D346C6"/>
    <w:rsid w:val="00D34B46"/>
    <w:rsid w:val="00D34C3A"/>
    <w:rsid w:val="00D34C43"/>
    <w:rsid w:val="00D356C7"/>
    <w:rsid w:val="00D35784"/>
    <w:rsid w:val="00D35A28"/>
    <w:rsid w:val="00D35ADD"/>
    <w:rsid w:val="00D35E65"/>
    <w:rsid w:val="00D36449"/>
    <w:rsid w:val="00D36E98"/>
    <w:rsid w:val="00D372B8"/>
    <w:rsid w:val="00D37E91"/>
    <w:rsid w:val="00D40178"/>
    <w:rsid w:val="00D40D4F"/>
    <w:rsid w:val="00D40EE3"/>
    <w:rsid w:val="00D419E7"/>
    <w:rsid w:val="00D41A9F"/>
    <w:rsid w:val="00D421BA"/>
    <w:rsid w:val="00D437E3"/>
    <w:rsid w:val="00D44341"/>
    <w:rsid w:val="00D44ED3"/>
    <w:rsid w:val="00D45984"/>
    <w:rsid w:val="00D45A36"/>
    <w:rsid w:val="00D45D8A"/>
    <w:rsid w:val="00D46953"/>
    <w:rsid w:val="00D469F8"/>
    <w:rsid w:val="00D46CA8"/>
    <w:rsid w:val="00D46FB4"/>
    <w:rsid w:val="00D47584"/>
    <w:rsid w:val="00D4782C"/>
    <w:rsid w:val="00D479CA"/>
    <w:rsid w:val="00D5039D"/>
    <w:rsid w:val="00D5099A"/>
    <w:rsid w:val="00D50C5F"/>
    <w:rsid w:val="00D50DE8"/>
    <w:rsid w:val="00D5106C"/>
    <w:rsid w:val="00D51725"/>
    <w:rsid w:val="00D51763"/>
    <w:rsid w:val="00D51AA9"/>
    <w:rsid w:val="00D51ACD"/>
    <w:rsid w:val="00D51E83"/>
    <w:rsid w:val="00D521E4"/>
    <w:rsid w:val="00D526F2"/>
    <w:rsid w:val="00D52B28"/>
    <w:rsid w:val="00D5301E"/>
    <w:rsid w:val="00D53480"/>
    <w:rsid w:val="00D53511"/>
    <w:rsid w:val="00D54195"/>
    <w:rsid w:val="00D54253"/>
    <w:rsid w:val="00D54425"/>
    <w:rsid w:val="00D54B87"/>
    <w:rsid w:val="00D54DEF"/>
    <w:rsid w:val="00D555B9"/>
    <w:rsid w:val="00D55ECC"/>
    <w:rsid w:val="00D562E7"/>
    <w:rsid w:val="00D564F5"/>
    <w:rsid w:val="00D56F0B"/>
    <w:rsid w:val="00D57349"/>
    <w:rsid w:val="00D57383"/>
    <w:rsid w:val="00D57463"/>
    <w:rsid w:val="00D579A2"/>
    <w:rsid w:val="00D57ABA"/>
    <w:rsid w:val="00D60C18"/>
    <w:rsid w:val="00D60C5B"/>
    <w:rsid w:val="00D611B7"/>
    <w:rsid w:val="00D62071"/>
    <w:rsid w:val="00D62279"/>
    <w:rsid w:val="00D62645"/>
    <w:rsid w:val="00D62748"/>
    <w:rsid w:val="00D62AF3"/>
    <w:rsid w:val="00D6367A"/>
    <w:rsid w:val="00D63BD5"/>
    <w:rsid w:val="00D64FEF"/>
    <w:rsid w:val="00D655F5"/>
    <w:rsid w:val="00D6576A"/>
    <w:rsid w:val="00D65924"/>
    <w:rsid w:val="00D65CB8"/>
    <w:rsid w:val="00D66B7B"/>
    <w:rsid w:val="00D66CEA"/>
    <w:rsid w:val="00D66D20"/>
    <w:rsid w:val="00D66D69"/>
    <w:rsid w:val="00D67AB6"/>
    <w:rsid w:val="00D70D6E"/>
    <w:rsid w:val="00D70D95"/>
    <w:rsid w:val="00D70E20"/>
    <w:rsid w:val="00D714D9"/>
    <w:rsid w:val="00D720A6"/>
    <w:rsid w:val="00D72619"/>
    <w:rsid w:val="00D7275E"/>
    <w:rsid w:val="00D72AAF"/>
    <w:rsid w:val="00D74181"/>
    <w:rsid w:val="00D74186"/>
    <w:rsid w:val="00D742D6"/>
    <w:rsid w:val="00D74B33"/>
    <w:rsid w:val="00D75081"/>
    <w:rsid w:val="00D753FD"/>
    <w:rsid w:val="00D75664"/>
    <w:rsid w:val="00D75FC9"/>
    <w:rsid w:val="00D763D3"/>
    <w:rsid w:val="00D76AC8"/>
    <w:rsid w:val="00D76DF7"/>
    <w:rsid w:val="00D7749C"/>
    <w:rsid w:val="00D77656"/>
    <w:rsid w:val="00D776A1"/>
    <w:rsid w:val="00D7B8F2"/>
    <w:rsid w:val="00D806DA"/>
    <w:rsid w:val="00D80B82"/>
    <w:rsid w:val="00D80DB8"/>
    <w:rsid w:val="00D80E0B"/>
    <w:rsid w:val="00D81B61"/>
    <w:rsid w:val="00D81EE6"/>
    <w:rsid w:val="00D822B2"/>
    <w:rsid w:val="00D83085"/>
    <w:rsid w:val="00D83122"/>
    <w:rsid w:val="00D8332B"/>
    <w:rsid w:val="00D84381"/>
    <w:rsid w:val="00D84717"/>
    <w:rsid w:val="00D859A9"/>
    <w:rsid w:val="00D85EBA"/>
    <w:rsid w:val="00D86FB6"/>
    <w:rsid w:val="00D87639"/>
    <w:rsid w:val="00D901AB"/>
    <w:rsid w:val="00D901E5"/>
    <w:rsid w:val="00D90C4A"/>
    <w:rsid w:val="00D90C8B"/>
    <w:rsid w:val="00D90EE6"/>
    <w:rsid w:val="00D9100A"/>
    <w:rsid w:val="00D91231"/>
    <w:rsid w:val="00D912DD"/>
    <w:rsid w:val="00D92178"/>
    <w:rsid w:val="00D92521"/>
    <w:rsid w:val="00D92F90"/>
    <w:rsid w:val="00D932A2"/>
    <w:rsid w:val="00D93435"/>
    <w:rsid w:val="00D93513"/>
    <w:rsid w:val="00D9355D"/>
    <w:rsid w:val="00D936FC"/>
    <w:rsid w:val="00D93FD1"/>
    <w:rsid w:val="00D944D9"/>
    <w:rsid w:val="00D94D40"/>
    <w:rsid w:val="00D94DD5"/>
    <w:rsid w:val="00D955A3"/>
    <w:rsid w:val="00D9572F"/>
    <w:rsid w:val="00D959EC"/>
    <w:rsid w:val="00D95A8B"/>
    <w:rsid w:val="00D95B0E"/>
    <w:rsid w:val="00D95E77"/>
    <w:rsid w:val="00D96540"/>
    <w:rsid w:val="00D97523"/>
    <w:rsid w:val="00D97577"/>
    <w:rsid w:val="00D9771A"/>
    <w:rsid w:val="00D97C17"/>
    <w:rsid w:val="00D97CA2"/>
    <w:rsid w:val="00DA0396"/>
    <w:rsid w:val="00DA0E40"/>
    <w:rsid w:val="00DA113F"/>
    <w:rsid w:val="00DA19A9"/>
    <w:rsid w:val="00DA1CA5"/>
    <w:rsid w:val="00DA22A4"/>
    <w:rsid w:val="00DA27CE"/>
    <w:rsid w:val="00DA33D1"/>
    <w:rsid w:val="00DA3640"/>
    <w:rsid w:val="00DA38BF"/>
    <w:rsid w:val="00DA3A02"/>
    <w:rsid w:val="00DA4959"/>
    <w:rsid w:val="00DA4E16"/>
    <w:rsid w:val="00DA5D91"/>
    <w:rsid w:val="00DA5F7D"/>
    <w:rsid w:val="00DA5F91"/>
    <w:rsid w:val="00DA6137"/>
    <w:rsid w:val="00DA6584"/>
    <w:rsid w:val="00DA6EDD"/>
    <w:rsid w:val="00DA7503"/>
    <w:rsid w:val="00DB0232"/>
    <w:rsid w:val="00DB0250"/>
    <w:rsid w:val="00DB0658"/>
    <w:rsid w:val="00DB089A"/>
    <w:rsid w:val="00DB0ABB"/>
    <w:rsid w:val="00DB1884"/>
    <w:rsid w:val="00DB1902"/>
    <w:rsid w:val="00DB1960"/>
    <w:rsid w:val="00DB3270"/>
    <w:rsid w:val="00DB33BC"/>
    <w:rsid w:val="00DB39A3"/>
    <w:rsid w:val="00DB39C8"/>
    <w:rsid w:val="00DB4824"/>
    <w:rsid w:val="00DB4B04"/>
    <w:rsid w:val="00DB4F19"/>
    <w:rsid w:val="00DB5916"/>
    <w:rsid w:val="00DB5C42"/>
    <w:rsid w:val="00DB5EA0"/>
    <w:rsid w:val="00DB5FB9"/>
    <w:rsid w:val="00DB60DD"/>
    <w:rsid w:val="00DB6372"/>
    <w:rsid w:val="00DB63A0"/>
    <w:rsid w:val="00DB6486"/>
    <w:rsid w:val="00DB6D74"/>
    <w:rsid w:val="00DB7AA9"/>
    <w:rsid w:val="00DC078B"/>
    <w:rsid w:val="00DC087D"/>
    <w:rsid w:val="00DC13F3"/>
    <w:rsid w:val="00DC201A"/>
    <w:rsid w:val="00DC2AE6"/>
    <w:rsid w:val="00DC3715"/>
    <w:rsid w:val="00DC44BA"/>
    <w:rsid w:val="00DC4BEB"/>
    <w:rsid w:val="00DC4ECB"/>
    <w:rsid w:val="00DC5766"/>
    <w:rsid w:val="00DC5DA6"/>
    <w:rsid w:val="00DC5F91"/>
    <w:rsid w:val="00DC6870"/>
    <w:rsid w:val="00DC6963"/>
    <w:rsid w:val="00DC6B04"/>
    <w:rsid w:val="00DD0A7B"/>
    <w:rsid w:val="00DD0F35"/>
    <w:rsid w:val="00DD110E"/>
    <w:rsid w:val="00DD11B3"/>
    <w:rsid w:val="00DD12AF"/>
    <w:rsid w:val="00DD19AB"/>
    <w:rsid w:val="00DD2291"/>
    <w:rsid w:val="00DD2A3E"/>
    <w:rsid w:val="00DD43AE"/>
    <w:rsid w:val="00DD4790"/>
    <w:rsid w:val="00DD48DE"/>
    <w:rsid w:val="00DD4D0B"/>
    <w:rsid w:val="00DD4DF1"/>
    <w:rsid w:val="00DD56B5"/>
    <w:rsid w:val="00DD64DF"/>
    <w:rsid w:val="00DD6C59"/>
    <w:rsid w:val="00DD7346"/>
    <w:rsid w:val="00DE0208"/>
    <w:rsid w:val="00DE0E98"/>
    <w:rsid w:val="00DE0FF5"/>
    <w:rsid w:val="00DE132E"/>
    <w:rsid w:val="00DE143F"/>
    <w:rsid w:val="00DE1D6E"/>
    <w:rsid w:val="00DE2BAD"/>
    <w:rsid w:val="00DE346E"/>
    <w:rsid w:val="00DE3852"/>
    <w:rsid w:val="00DE402F"/>
    <w:rsid w:val="00DE477E"/>
    <w:rsid w:val="00DE49DF"/>
    <w:rsid w:val="00DE4A7D"/>
    <w:rsid w:val="00DE4B18"/>
    <w:rsid w:val="00DE4C97"/>
    <w:rsid w:val="00DE4DC5"/>
    <w:rsid w:val="00DE557E"/>
    <w:rsid w:val="00DE569C"/>
    <w:rsid w:val="00DE685D"/>
    <w:rsid w:val="00DE6BC2"/>
    <w:rsid w:val="00DE6EE6"/>
    <w:rsid w:val="00DF0C44"/>
    <w:rsid w:val="00DF19EB"/>
    <w:rsid w:val="00DF2223"/>
    <w:rsid w:val="00DF23A9"/>
    <w:rsid w:val="00DF25B4"/>
    <w:rsid w:val="00DF2D15"/>
    <w:rsid w:val="00DF30D5"/>
    <w:rsid w:val="00DF3103"/>
    <w:rsid w:val="00DF3763"/>
    <w:rsid w:val="00DF3B49"/>
    <w:rsid w:val="00DF42A0"/>
    <w:rsid w:val="00DF4489"/>
    <w:rsid w:val="00DF4497"/>
    <w:rsid w:val="00DF45A6"/>
    <w:rsid w:val="00DF4B85"/>
    <w:rsid w:val="00DF573C"/>
    <w:rsid w:val="00DF58AB"/>
    <w:rsid w:val="00DF58B2"/>
    <w:rsid w:val="00DF5F3C"/>
    <w:rsid w:val="00DF5F64"/>
    <w:rsid w:val="00DF634C"/>
    <w:rsid w:val="00DF6778"/>
    <w:rsid w:val="00DF699E"/>
    <w:rsid w:val="00DF6CC8"/>
    <w:rsid w:val="00DF7479"/>
    <w:rsid w:val="00DF7733"/>
    <w:rsid w:val="00DF7892"/>
    <w:rsid w:val="00DF7AF0"/>
    <w:rsid w:val="00E000AC"/>
    <w:rsid w:val="00E00998"/>
    <w:rsid w:val="00E01137"/>
    <w:rsid w:val="00E012DF"/>
    <w:rsid w:val="00E0144C"/>
    <w:rsid w:val="00E01474"/>
    <w:rsid w:val="00E0165C"/>
    <w:rsid w:val="00E01837"/>
    <w:rsid w:val="00E02463"/>
    <w:rsid w:val="00E02BC5"/>
    <w:rsid w:val="00E02E13"/>
    <w:rsid w:val="00E04A62"/>
    <w:rsid w:val="00E04BF0"/>
    <w:rsid w:val="00E05BE4"/>
    <w:rsid w:val="00E05CCD"/>
    <w:rsid w:val="00E05ED6"/>
    <w:rsid w:val="00E0678E"/>
    <w:rsid w:val="00E06BD3"/>
    <w:rsid w:val="00E06E21"/>
    <w:rsid w:val="00E06FBA"/>
    <w:rsid w:val="00E07182"/>
    <w:rsid w:val="00E07AC2"/>
    <w:rsid w:val="00E07D23"/>
    <w:rsid w:val="00E07D6B"/>
    <w:rsid w:val="00E07E7E"/>
    <w:rsid w:val="00E07FCB"/>
    <w:rsid w:val="00E100C1"/>
    <w:rsid w:val="00E10243"/>
    <w:rsid w:val="00E105F2"/>
    <w:rsid w:val="00E1081F"/>
    <w:rsid w:val="00E10C47"/>
    <w:rsid w:val="00E11706"/>
    <w:rsid w:val="00E1170A"/>
    <w:rsid w:val="00E11797"/>
    <w:rsid w:val="00E11945"/>
    <w:rsid w:val="00E11CD1"/>
    <w:rsid w:val="00E11E42"/>
    <w:rsid w:val="00E12614"/>
    <w:rsid w:val="00E13454"/>
    <w:rsid w:val="00E1379B"/>
    <w:rsid w:val="00E13DC0"/>
    <w:rsid w:val="00E13EBE"/>
    <w:rsid w:val="00E14177"/>
    <w:rsid w:val="00E141A5"/>
    <w:rsid w:val="00E148ED"/>
    <w:rsid w:val="00E14F2E"/>
    <w:rsid w:val="00E150FB"/>
    <w:rsid w:val="00E15210"/>
    <w:rsid w:val="00E152FA"/>
    <w:rsid w:val="00E1575B"/>
    <w:rsid w:val="00E15AC2"/>
    <w:rsid w:val="00E16155"/>
    <w:rsid w:val="00E1648A"/>
    <w:rsid w:val="00E16786"/>
    <w:rsid w:val="00E16C29"/>
    <w:rsid w:val="00E16F24"/>
    <w:rsid w:val="00E176AD"/>
    <w:rsid w:val="00E176BA"/>
    <w:rsid w:val="00E17723"/>
    <w:rsid w:val="00E178C5"/>
    <w:rsid w:val="00E17DF0"/>
    <w:rsid w:val="00E201AC"/>
    <w:rsid w:val="00E20446"/>
    <w:rsid w:val="00E20727"/>
    <w:rsid w:val="00E20B55"/>
    <w:rsid w:val="00E20EA9"/>
    <w:rsid w:val="00E21539"/>
    <w:rsid w:val="00E2164C"/>
    <w:rsid w:val="00E21A87"/>
    <w:rsid w:val="00E21B82"/>
    <w:rsid w:val="00E21D90"/>
    <w:rsid w:val="00E225BA"/>
    <w:rsid w:val="00E23519"/>
    <w:rsid w:val="00E235AA"/>
    <w:rsid w:val="00E23B96"/>
    <w:rsid w:val="00E23BBC"/>
    <w:rsid w:val="00E2416E"/>
    <w:rsid w:val="00E24A51"/>
    <w:rsid w:val="00E251B2"/>
    <w:rsid w:val="00E2560A"/>
    <w:rsid w:val="00E260C3"/>
    <w:rsid w:val="00E2611C"/>
    <w:rsid w:val="00E26613"/>
    <w:rsid w:val="00E2671F"/>
    <w:rsid w:val="00E26A8B"/>
    <w:rsid w:val="00E2709A"/>
    <w:rsid w:val="00E303EE"/>
    <w:rsid w:val="00E3080D"/>
    <w:rsid w:val="00E30AA4"/>
    <w:rsid w:val="00E31109"/>
    <w:rsid w:val="00E313AA"/>
    <w:rsid w:val="00E3182B"/>
    <w:rsid w:val="00E325AC"/>
    <w:rsid w:val="00E3270A"/>
    <w:rsid w:val="00E32BCC"/>
    <w:rsid w:val="00E34E15"/>
    <w:rsid w:val="00E359DC"/>
    <w:rsid w:val="00E36601"/>
    <w:rsid w:val="00E36607"/>
    <w:rsid w:val="00E37460"/>
    <w:rsid w:val="00E37800"/>
    <w:rsid w:val="00E37A20"/>
    <w:rsid w:val="00E4040A"/>
    <w:rsid w:val="00E4090D"/>
    <w:rsid w:val="00E40C8C"/>
    <w:rsid w:val="00E40D45"/>
    <w:rsid w:val="00E411C4"/>
    <w:rsid w:val="00E411C6"/>
    <w:rsid w:val="00E41228"/>
    <w:rsid w:val="00E41F74"/>
    <w:rsid w:val="00E42DE3"/>
    <w:rsid w:val="00E43357"/>
    <w:rsid w:val="00E446F0"/>
    <w:rsid w:val="00E447E5"/>
    <w:rsid w:val="00E4495B"/>
    <w:rsid w:val="00E44AE5"/>
    <w:rsid w:val="00E44C31"/>
    <w:rsid w:val="00E4505C"/>
    <w:rsid w:val="00E45A54"/>
    <w:rsid w:val="00E4655A"/>
    <w:rsid w:val="00E4661D"/>
    <w:rsid w:val="00E46A39"/>
    <w:rsid w:val="00E46DCF"/>
    <w:rsid w:val="00E47A91"/>
    <w:rsid w:val="00E47C56"/>
    <w:rsid w:val="00E47DD4"/>
    <w:rsid w:val="00E50192"/>
    <w:rsid w:val="00E5079A"/>
    <w:rsid w:val="00E50EA8"/>
    <w:rsid w:val="00E50F6A"/>
    <w:rsid w:val="00E51258"/>
    <w:rsid w:val="00E51BC0"/>
    <w:rsid w:val="00E527FA"/>
    <w:rsid w:val="00E528E4"/>
    <w:rsid w:val="00E52AF5"/>
    <w:rsid w:val="00E52D2E"/>
    <w:rsid w:val="00E52FC2"/>
    <w:rsid w:val="00E53D51"/>
    <w:rsid w:val="00E5451A"/>
    <w:rsid w:val="00E546E3"/>
    <w:rsid w:val="00E54752"/>
    <w:rsid w:val="00E5490F"/>
    <w:rsid w:val="00E55465"/>
    <w:rsid w:val="00E55874"/>
    <w:rsid w:val="00E572AE"/>
    <w:rsid w:val="00E57696"/>
    <w:rsid w:val="00E57F7B"/>
    <w:rsid w:val="00E600E0"/>
    <w:rsid w:val="00E60E0D"/>
    <w:rsid w:val="00E6173A"/>
    <w:rsid w:val="00E61748"/>
    <w:rsid w:val="00E61E05"/>
    <w:rsid w:val="00E62069"/>
    <w:rsid w:val="00E623EC"/>
    <w:rsid w:val="00E628DF"/>
    <w:rsid w:val="00E63154"/>
    <w:rsid w:val="00E6362F"/>
    <w:rsid w:val="00E63813"/>
    <w:rsid w:val="00E63870"/>
    <w:rsid w:val="00E63F7E"/>
    <w:rsid w:val="00E64088"/>
    <w:rsid w:val="00E64DD9"/>
    <w:rsid w:val="00E65527"/>
    <w:rsid w:val="00E65EF6"/>
    <w:rsid w:val="00E66039"/>
    <w:rsid w:val="00E665D6"/>
    <w:rsid w:val="00E66A11"/>
    <w:rsid w:val="00E66C0C"/>
    <w:rsid w:val="00E66D02"/>
    <w:rsid w:val="00E66D1C"/>
    <w:rsid w:val="00E66DB1"/>
    <w:rsid w:val="00E6771C"/>
    <w:rsid w:val="00E67729"/>
    <w:rsid w:val="00E67B6E"/>
    <w:rsid w:val="00E70C41"/>
    <w:rsid w:val="00E70D5C"/>
    <w:rsid w:val="00E71011"/>
    <w:rsid w:val="00E71127"/>
    <w:rsid w:val="00E7209B"/>
    <w:rsid w:val="00E72158"/>
    <w:rsid w:val="00E722A7"/>
    <w:rsid w:val="00E73A8A"/>
    <w:rsid w:val="00E73B8D"/>
    <w:rsid w:val="00E74349"/>
    <w:rsid w:val="00E74816"/>
    <w:rsid w:val="00E74A7E"/>
    <w:rsid w:val="00E751DF"/>
    <w:rsid w:val="00E760E1"/>
    <w:rsid w:val="00E769AB"/>
    <w:rsid w:val="00E76BB1"/>
    <w:rsid w:val="00E7726C"/>
    <w:rsid w:val="00E774C2"/>
    <w:rsid w:val="00E775A0"/>
    <w:rsid w:val="00E77A20"/>
    <w:rsid w:val="00E77A62"/>
    <w:rsid w:val="00E805BF"/>
    <w:rsid w:val="00E80772"/>
    <w:rsid w:val="00E81357"/>
    <w:rsid w:val="00E814CC"/>
    <w:rsid w:val="00E8279D"/>
    <w:rsid w:val="00E827CD"/>
    <w:rsid w:val="00E82AAA"/>
    <w:rsid w:val="00E82E0B"/>
    <w:rsid w:val="00E83C44"/>
    <w:rsid w:val="00E83F6D"/>
    <w:rsid w:val="00E84247"/>
    <w:rsid w:val="00E84298"/>
    <w:rsid w:val="00E846F9"/>
    <w:rsid w:val="00E849A2"/>
    <w:rsid w:val="00E84DBE"/>
    <w:rsid w:val="00E84F69"/>
    <w:rsid w:val="00E85601"/>
    <w:rsid w:val="00E86321"/>
    <w:rsid w:val="00E864ED"/>
    <w:rsid w:val="00E86AE2"/>
    <w:rsid w:val="00E86F00"/>
    <w:rsid w:val="00E8709B"/>
    <w:rsid w:val="00E871A8"/>
    <w:rsid w:val="00E87324"/>
    <w:rsid w:val="00E87A16"/>
    <w:rsid w:val="00E9033B"/>
    <w:rsid w:val="00E90458"/>
    <w:rsid w:val="00E90851"/>
    <w:rsid w:val="00E9085B"/>
    <w:rsid w:val="00E91CBF"/>
    <w:rsid w:val="00E920B0"/>
    <w:rsid w:val="00E9223D"/>
    <w:rsid w:val="00E92919"/>
    <w:rsid w:val="00E93FE4"/>
    <w:rsid w:val="00E94047"/>
    <w:rsid w:val="00E94183"/>
    <w:rsid w:val="00E94920"/>
    <w:rsid w:val="00E94BAE"/>
    <w:rsid w:val="00E94CAA"/>
    <w:rsid w:val="00E9571C"/>
    <w:rsid w:val="00E959D4"/>
    <w:rsid w:val="00E95B74"/>
    <w:rsid w:val="00E95BFC"/>
    <w:rsid w:val="00E96E2B"/>
    <w:rsid w:val="00E96ED9"/>
    <w:rsid w:val="00E9781A"/>
    <w:rsid w:val="00E97C78"/>
    <w:rsid w:val="00E97FB7"/>
    <w:rsid w:val="00EA1777"/>
    <w:rsid w:val="00EA1B9D"/>
    <w:rsid w:val="00EA1FFC"/>
    <w:rsid w:val="00EA2099"/>
    <w:rsid w:val="00EA2476"/>
    <w:rsid w:val="00EA2E81"/>
    <w:rsid w:val="00EA3178"/>
    <w:rsid w:val="00EA3201"/>
    <w:rsid w:val="00EA3397"/>
    <w:rsid w:val="00EA424C"/>
    <w:rsid w:val="00EA4405"/>
    <w:rsid w:val="00EA4904"/>
    <w:rsid w:val="00EA50A0"/>
    <w:rsid w:val="00EA596B"/>
    <w:rsid w:val="00EA6A61"/>
    <w:rsid w:val="00EA7729"/>
    <w:rsid w:val="00EA7AFB"/>
    <w:rsid w:val="00EA7FA6"/>
    <w:rsid w:val="00EB0538"/>
    <w:rsid w:val="00EB0926"/>
    <w:rsid w:val="00EB0A97"/>
    <w:rsid w:val="00EB0DFF"/>
    <w:rsid w:val="00EB0E3A"/>
    <w:rsid w:val="00EB17BB"/>
    <w:rsid w:val="00EB17DD"/>
    <w:rsid w:val="00EB1A85"/>
    <w:rsid w:val="00EB1FF7"/>
    <w:rsid w:val="00EB20B7"/>
    <w:rsid w:val="00EB2223"/>
    <w:rsid w:val="00EB26DC"/>
    <w:rsid w:val="00EB466D"/>
    <w:rsid w:val="00EB480B"/>
    <w:rsid w:val="00EB4C62"/>
    <w:rsid w:val="00EB5365"/>
    <w:rsid w:val="00EB5413"/>
    <w:rsid w:val="00EB5F20"/>
    <w:rsid w:val="00EB625A"/>
    <w:rsid w:val="00EB648B"/>
    <w:rsid w:val="00EB64DA"/>
    <w:rsid w:val="00EB6DFA"/>
    <w:rsid w:val="00EB7285"/>
    <w:rsid w:val="00EB7A32"/>
    <w:rsid w:val="00EB7E10"/>
    <w:rsid w:val="00EB7E30"/>
    <w:rsid w:val="00EC0207"/>
    <w:rsid w:val="00EC03A2"/>
    <w:rsid w:val="00EC046F"/>
    <w:rsid w:val="00EC0612"/>
    <w:rsid w:val="00EC0641"/>
    <w:rsid w:val="00EC0AA5"/>
    <w:rsid w:val="00EC0BE4"/>
    <w:rsid w:val="00EC0C75"/>
    <w:rsid w:val="00EC0D2B"/>
    <w:rsid w:val="00EC1774"/>
    <w:rsid w:val="00EC1816"/>
    <w:rsid w:val="00EC18DF"/>
    <w:rsid w:val="00EC4C10"/>
    <w:rsid w:val="00EC54E6"/>
    <w:rsid w:val="00EC5A53"/>
    <w:rsid w:val="00EC5F17"/>
    <w:rsid w:val="00EC6136"/>
    <w:rsid w:val="00EC6210"/>
    <w:rsid w:val="00EC65D5"/>
    <w:rsid w:val="00EC7C10"/>
    <w:rsid w:val="00ED001E"/>
    <w:rsid w:val="00ED0A1F"/>
    <w:rsid w:val="00ED120B"/>
    <w:rsid w:val="00ED158D"/>
    <w:rsid w:val="00ED1B82"/>
    <w:rsid w:val="00ED2593"/>
    <w:rsid w:val="00ED2CF8"/>
    <w:rsid w:val="00ED2E8E"/>
    <w:rsid w:val="00ED30C8"/>
    <w:rsid w:val="00ED32D8"/>
    <w:rsid w:val="00ED3409"/>
    <w:rsid w:val="00ED3785"/>
    <w:rsid w:val="00ED3A07"/>
    <w:rsid w:val="00ED4341"/>
    <w:rsid w:val="00ED4A40"/>
    <w:rsid w:val="00ED4D3E"/>
    <w:rsid w:val="00ED4E4F"/>
    <w:rsid w:val="00ED5F75"/>
    <w:rsid w:val="00ED601A"/>
    <w:rsid w:val="00ED7107"/>
    <w:rsid w:val="00ED71DF"/>
    <w:rsid w:val="00ED7D2F"/>
    <w:rsid w:val="00EE029C"/>
    <w:rsid w:val="00EE031D"/>
    <w:rsid w:val="00EE0E92"/>
    <w:rsid w:val="00EE181F"/>
    <w:rsid w:val="00EE19AC"/>
    <w:rsid w:val="00EE1D1D"/>
    <w:rsid w:val="00EE342B"/>
    <w:rsid w:val="00EE3792"/>
    <w:rsid w:val="00EE3B4F"/>
    <w:rsid w:val="00EE3BB4"/>
    <w:rsid w:val="00EE485D"/>
    <w:rsid w:val="00EE5051"/>
    <w:rsid w:val="00EE7395"/>
    <w:rsid w:val="00EE739B"/>
    <w:rsid w:val="00EE7A2C"/>
    <w:rsid w:val="00EF0AD3"/>
    <w:rsid w:val="00EF0B19"/>
    <w:rsid w:val="00EF0DBF"/>
    <w:rsid w:val="00EF0F87"/>
    <w:rsid w:val="00EF11FE"/>
    <w:rsid w:val="00EF1408"/>
    <w:rsid w:val="00EF146A"/>
    <w:rsid w:val="00EF3D4B"/>
    <w:rsid w:val="00EF3FBD"/>
    <w:rsid w:val="00EF4136"/>
    <w:rsid w:val="00EF417F"/>
    <w:rsid w:val="00EF4193"/>
    <w:rsid w:val="00EF425A"/>
    <w:rsid w:val="00EF47E6"/>
    <w:rsid w:val="00EF49CD"/>
    <w:rsid w:val="00EF4C46"/>
    <w:rsid w:val="00EF4EBD"/>
    <w:rsid w:val="00EF4F7C"/>
    <w:rsid w:val="00EF52AF"/>
    <w:rsid w:val="00EF5947"/>
    <w:rsid w:val="00EF6506"/>
    <w:rsid w:val="00EF6809"/>
    <w:rsid w:val="00EF6835"/>
    <w:rsid w:val="00EF7184"/>
    <w:rsid w:val="00EF727E"/>
    <w:rsid w:val="00EF7497"/>
    <w:rsid w:val="00EF7B32"/>
    <w:rsid w:val="00EF7BC7"/>
    <w:rsid w:val="00F0058B"/>
    <w:rsid w:val="00F005AC"/>
    <w:rsid w:val="00F00E1A"/>
    <w:rsid w:val="00F00ECE"/>
    <w:rsid w:val="00F00FD7"/>
    <w:rsid w:val="00F01343"/>
    <w:rsid w:val="00F013F4"/>
    <w:rsid w:val="00F01A94"/>
    <w:rsid w:val="00F01FC6"/>
    <w:rsid w:val="00F0257B"/>
    <w:rsid w:val="00F02659"/>
    <w:rsid w:val="00F03A5A"/>
    <w:rsid w:val="00F03B24"/>
    <w:rsid w:val="00F03FEA"/>
    <w:rsid w:val="00F04A1E"/>
    <w:rsid w:val="00F04B23"/>
    <w:rsid w:val="00F04B79"/>
    <w:rsid w:val="00F04B84"/>
    <w:rsid w:val="00F04D27"/>
    <w:rsid w:val="00F05E62"/>
    <w:rsid w:val="00F068C0"/>
    <w:rsid w:val="00F06AC8"/>
    <w:rsid w:val="00F06D7A"/>
    <w:rsid w:val="00F071BE"/>
    <w:rsid w:val="00F10093"/>
    <w:rsid w:val="00F10437"/>
    <w:rsid w:val="00F10638"/>
    <w:rsid w:val="00F10E67"/>
    <w:rsid w:val="00F10E68"/>
    <w:rsid w:val="00F113B1"/>
    <w:rsid w:val="00F1162B"/>
    <w:rsid w:val="00F11B9A"/>
    <w:rsid w:val="00F11C28"/>
    <w:rsid w:val="00F12470"/>
    <w:rsid w:val="00F12950"/>
    <w:rsid w:val="00F129E3"/>
    <w:rsid w:val="00F12D6B"/>
    <w:rsid w:val="00F130A3"/>
    <w:rsid w:val="00F138F8"/>
    <w:rsid w:val="00F13910"/>
    <w:rsid w:val="00F13DCE"/>
    <w:rsid w:val="00F152C5"/>
    <w:rsid w:val="00F15539"/>
    <w:rsid w:val="00F155EF"/>
    <w:rsid w:val="00F15C2E"/>
    <w:rsid w:val="00F161EC"/>
    <w:rsid w:val="00F179B9"/>
    <w:rsid w:val="00F17EC9"/>
    <w:rsid w:val="00F2027B"/>
    <w:rsid w:val="00F2086C"/>
    <w:rsid w:val="00F20A35"/>
    <w:rsid w:val="00F20DBC"/>
    <w:rsid w:val="00F21AA9"/>
    <w:rsid w:val="00F22080"/>
    <w:rsid w:val="00F22A99"/>
    <w:rsid w:val="00F22FED"/>
    <w:rsid w:val="00F23466"/>
    <w:rsid w:val="00F23615"/>
    <w:rsid w:val="00F23E85"/>
    <w:rsid w:val="00F24455"/>
    <w:rsid w:val="00F24EDA"/>
    <w:rsid w:val="00F24FD1"/>
    <w:rsid w:val="00F251EC"/>
    <w:rsid w:val="00F25D91"/>
    <w:rsid w:val="00F262AB"/>
    <w:rsid w:val="00F2644E"/>
    <w:rsid w:val="00F26606"/>
    <w:rsid w:val="00F26D9B"/>
    <w:rsid w:val="00F26DA8"/>
    <w:rsid w:val="00F2720D"/>
    <w:rsid w:val="00F2749B"/>
    <w:rsid w:val="00F309AA"/>
    <w:rsid w:val="00F309F3"/>
    <w:rsid w:val="00F31200"/>
    <w:rsid w:val="00F31B0D"/>
    <w:rsid w:val="00F325F5"/>
    <w:rsid w:val="00F32719"/>
    <w:rsid w:val="00F32DC3"/>
    <w:rsid w:val="00F33A73"/>
    <w:rsid w:val="00F33C1A"/>
    <w:rsid w:val="00F33E1F"/>
    <w:rsid w:val="00F34045"/>
    <w:rsid w:val="00F34249"/>
    <w:rsid w:val="00F3444F"/>
    <w:rsid w:val="00F34719"/>
    <w:rsid w:val="00F352A4"/>
    <w:rsid w:val="00F36157"/>
    <w:rsid w:val="00F37220"/>
    <w:rsid w:val="00F3767F"/>
    <w:rsid w:val="00F37A67"/>
    <w:rsid w:val="00F401A3"/>
    <w:rsid w:val="00F40258"/>
    <w:rsid w:val="00F40597"/>
    <w:rsid w:val="00F40E43"/>
    <w:rsid w:val="00F414B8"/>
    <w:rsid w:val="00F421F7"/>
    <w:rsid w:val="00F4233F"/>
    <w:rsid w:val="00F43130"/>
    <w:rsid w:val="00F432B1"/>
    <w:rsid w:val="00F44542"/>
    <w:rsid w:val="00F44784"/>
    <w:rsid w:val="00F44E0A"/>
    <w:rsid w:val="00F45872"/>
    <w:rsid w:val="00F459DE"/>
    <w:rsid w:val="00F45BC9"/>
    <w:rsid w:val="00F45E87"/>
    <w:rsid w:val="00F46229"/>
    <w:rsid w:val="00F46425"/>
    <w:rsid w:val="00F4699E"/>
    <w:rsid w:val="00F47033"/>
    <w:rsid w:val="00F47E89"/>
    <w:rsid w:val="00F50449"/>
    <w:rsid w:val="00F505CA"/>
    <w:rsid w:val="00F50D1D"/>
    <w:rsid w:val="00F50EC4"/>
    <w:rsid w:val="00F51917"/>
    <w:rsid w:val="00F51CD7"/>
    <w:rsid w:val="00F521B4"/>
    <w:rsid w:val="00F5362D"/>
    <w:rsid w:val="00F53D34"/>
    <w:rsid w:val="00F54DC1"/>
    <w:rsid w:val="00F551F5"/>
    <w:rsid w:val="00F553CF"/>
    <w:rsid w:val="00F55A08"/>
    <w:rsid w:val="00F56D1A"/>
    <w:rsid w:val="00F56E39"/>
    <w:rsid w:val="00F5743D"/>
    <w:rsid w:val="00F57497"/>
    <w:rsid w:val="00F57719"/>
    <w:rsid w:val="00F60621"/>
    <w:rsid w:val="00F6089B"/>
    <w:rsid w:val="00F6126D"/>
    <w:rsid w:val="00F61C16"/>
    <w:rsid w:val="00F62AB3"/>
    <w:rsid w:val="00F6339D"/>
    <w:rsid w:val="00F634B7"/>
    <w:rsid w:val="00F6397F"/>
    <w:rsid w:val="00F63C97"/>
    <w:rsid w:val="00F6440F"/>
    <w:rsid w:val="00F64617"/>
    <w:rsid w:val="00F6473E"/>
    <w:rsid w:val="00F6521F"/>
    <w:rsid w:val="00F654F2"/>
    <w:rsid w:val="00F65987"/>
    <w:rsid w:val="00F65B55"/>
    <w:rsid w:val="00F662E9"/>
    <w:rsid w:val="00F66398"/>
    <w:rsid w:val="00F66E7F"/>
    <w:rsid w:val="00F66EA5"/>
    <w:rsid w:val="00F67662"/>
    <w:rsid w:val="00F70413"/>
    <w:rsid w:val="00F70646"/>
    <w:rsid w:val="00F7119A"/>
    <w:rsid w:val="00F715BF"/>
    <w:rsid w:val="00F71B5A"/>
    <w:rsid w:val="00F72125"/>
    <w:rsid w:val="00F7219E"/>
    <w:rsid w:val="00F72702"/>
    <w:rsid w:val="00F72764"/>
    <w:rsid w:val="00F7282B"/>
    <w:rsid w:val="00F72D3D"/>
    <w:rsid w:val="00F734DC"/>
    <w:rsid w:val="00F73749"/>
    <w:rsid w:val="00F74608"/>
    <w:rsid w:val="00F74667"/>
    <w:rsid w:val="00F74736"/>
    <w:rsid w:val="00F749CD"/>
    <w:rsid w:val="00F75172"/>
    <w:rsid w:val="00F7536D"/>
    <w:rsid w:val="00F76095"/>
    <w:rsid w:val="00F760C5"/>
    <w:rsid w:val="00F7709C"/>
    <w:rsid w:val="00F77AC2"/>
    <w:rsid w:val="00F80456"/>
    <w:rsid w:val="00F80D30"/>
    <w:rsid w:val="00F8103B"/>
    <w:rsid w:val="00F81295"/>
    <w:rsid w:val="00F813EB"/>
    <w:rsid w:val="00F8150F"/>
    <w:rsid w:val="00F81FED"/>
    <w:rsid w:val="00F825FE"/>
    <w:rsid w:val="00F82DEA"/>
    <w:rsid w:val="00F82E7C"/>
    <w:rsid w:val="00F835C6"/>
    <w:rsid w:val="00F83A30"/>
    <w:rsid w:val="00F83DE5"/>
    <w:rsid w:val="00F849A0"/>
    <w:rsid w:val="00F84AD9"/>
    <w:rsid w:val="00F8514F"/>
    <w:rsid w:val="00F85246"/>
    <w:rsid w:val="00F852E3"/>
    <w:rsid w:val="00F8534B"/>
    <w:rsid w:val="00F85553"/>
    <w:rsid w:val="00F861A7"/>
    <w:rsid w:val="00F86276"/>
    <w:rsid w:val="00F8672A"/>
    <w:rsid w:val="00F86B36"/>
    <w:rsid w:val="00F86DDC"/>
    <w:rsid w:val="00F87BB7"/>
    <w:rsid w:val="00F87CFA"/>
    <w:rsid w:val="00F90194"/>
    <w:rsid w:val="00F9034B"/>
    <w:rsid w:val="00F91A98"/>
    <w:rsid w:val="00F920C7"/>
    <w:rsid w:val="00F924C2"/>
    <w:rsid w:val="00F92926"/>
    <w:rsid w:val="00F9395D"/>
    <w:rsid w:val="00F945EE"/>
    <w:rsid w:val="00F94C41"/>
    <w:rsid w:val="00F959AB"/>
    <w:rsid w:val="00F95CE6"/>
    <w:rsid w:val="00F967DF"/>
    <w:rsid w:val="00F96C16"/>
    <w:rsid w:val="00F96E0B"/>
    <w:rsid w:val="00F97B07"/>
    <w:rsid w:val="00FA03F0"/>
    <w:rsid w:val="00FA2136"/>
    <w:rsid w:val="00FA25BD"/>
    <w:rsid w:val="00FA273F"/>
    <w:rsid w:val="00FA2D2F"/>
    <w:rsid w:val="00FA2DE8"/>
    <w:rsid w:val="00FA2EE8"/>
    <w:rsid w:val="00FA3125"/>
    <w:rsid w:val="00FA3131"/>
    <w:rsid w:val="00FA343A"/>
    <w:rsid w:val="00FA36F8"/>
    <w:rsid w:val="00FA378D"/>
    <w:rsid w:val="00FA3DAF"/>
    <w:rsid w:val="00FA3E5D"/>
    <w:rsid w:val="00FA496D"/>
    <w:rsid w:val="00FA4A0D"/>
    <w:rsid w:val="00FA51A6"/>
    <w:rsid w:val="00FA5459"/>
    <w:rsid w:val="00FA5DF2"/>
    <w:rsid w:val="00FA613B"/>
    <w:rsid w:val="00FA61B5"/>
    <w:rsid w:val="00FA640D"/>
    <w:rsid w:val="00FA643D"/>
    <w:rsid w:val="00FA6501"/>
    <w:rsid w:val="00FA676C"/>
    <w:rsid w:val="00FA6971"/>
    <w:rsid w:val="00FA6DF0"/>
    <w:rsid w:val="00FA6E36"/>
    <w:rsid w:val="00FB00C9"/>
    <w:rsid w:val="00FB00DE"/>
    <w:rsid w:val="00FB04DD"/>
    <w:rsid w:val="00FB1945"/>
    <w:rsid w:val="00FB1CC8"/>
    <w:rsid w:val="00FB247F"/>
    <w:rsid w:val="00FB2481"/>
    <w:rsid w:val="00FB2792"/>
    <w:rsid w:val="00FB2A04"/>
    <w:rsid w:val="00FB3971"/>
    <w:rsid w:val="00FB39AD"/>
    <w:rsid w:val="00FB3A37"/>
    <w:rsid w:val="00FB3BC8"/>
    <w:rsid w:val="00FB3DB3"/>
    <w:rsid w:val="00FB4035"/>
    <w:rsid w:val="00FB4EEE"/>
    <w:rsid w:val="00FB658D"/>
    <w:rsid w:val="00FB7808"/>
    <w:rsid w:val="00FB7A3E"/>
    <w:rsid w:val="00FB7D67"/>
    <w:rsid w:val="00FB7DB1"/>
    <w:rsid w:val="00FC0445"/>
    <w:rsid w:val="00FC0563"/>
    <w:rsid w:val="00FC05DD"/>
    <w:rsid w:val="00FC06DC"/>
    <w:rsid w:val="00FC0A49"/>
    <w:rsid w:val="00FC0A69"/>
    <w:rsid w:val="00FC0E0B"/>
    <w:rsid w:val="00FC0E13"/>
    <w:rsid w:val="00FC1033"/>
    <w:rsid w:val="00FC1124"/>
    <w:rsid w:val="00FC14C9"/>
    <w:rsid w:val="00FC18BE"/>
    <w:rsid w:val="00FC1E3D"/>
    <w:rsid w:val="00FC1FF6"/>
    <w:rsid w:val="00FC2C8F"/>
    <w:rsid w:val="00FC32A7"/>
    <w:rsid w:val="00FC388B"/>
    <w:rsid w:val="00FC3925"/>
    <w:rsid w:val="00FC3C2D"/>
    <w:rsid w:val="00FC4247"/>
    <w:rsid w:val="00FC4659"/>
    <w:rsid w:val="00FC4AEA"/>
    <w:rsid w:val="00FC4F08"/>
    <w:rsid w:val="00FC574A"/>
    <w:rsid w:val="00FC6266"/>
    <w:rsid w:val="00FC6A90"/>
    <w:rsid w:val="00FC6EC5"/>
    <w:rsid w:val="00FC7C59"/>
    <w:rsid w:val="00FC7CB5"/>
    <w:rsid w:val="00FC7F34"/>
    <w:rsid w:val="00FD0525"/>
    <w:rsid w:val="00FD07C4"/>
    <w:rsid w:val="00FD0B30"/>
    <w:rsid w:val="00FD0E3D"/>
    <w:rsid w:val="00FD15A6"/>
    <w:rsid w:val="00FD1C46"/>
    <w:rsid w:val="00FD2889"/>
    <w:rsid w:val="00FD2B07"/>
    <w:rsid w:val="00FD310B"/>
    <w:rsid w:val="00FD3431"/>
    <w:rsid w:val="00FD34CB"/>
    <w:rsid w:val="00FD3AC0"/>
    <w:rsid w:val="00FD3BDF"/>
    <w:rsid w:val="00FD3EE6"/>
    <w:rsid w:val="00FD3F57"/>
    <w:rsid w:val="00FD3FEE"/>
    <w:rsid w:val="00FD4A87"/>
    <w:rsid w:val="00FD4F28"/>
    <w:rsid w:val="00FD5250"/>
    <w:rsid w:val="00FD5558"/>
    <w:rsid w:val="00FD5852"/>
    <w:rsid w:val="00FD5C75"/>
    <w:rsid w:val="00FD6271"/>
    <w:rsid w:val="00FD6495"/>
    <w:rsid w:val="00FD6B48"/>
    <w:rsid w:val="00FD6DB0"/>
    <w:rsid w:val="00FD729B"/>
    <w:rsid w:val="00FD775C"/>
    <w:rsid w:val="00FD7802"/>
    <w:rsid w:val="00FD7C40"/>
    <w:rsid w:val="00FE010C"/>
    <w:rsid w:val="00FE05EE"/>
    <w:rsid w:val="00FE079B"/>
    <w:rsid w:val="00FE13E3"/>
    <w:rsid w:val="00FE1B29"/>
    <w:rsid w:val="00FE26CE"/>
    <w:rsid w:val="00FE285B"/>
    <w:rsid w:val="00FE28F5"/>
    <w:rsid w:val="00FE491E"/>
    <w:rsid w:val="00FE4E1B"/>
    <w:rsid w:val="00FE4EC4"/>
    <w:rsid w:val="00FE4F3B"/>
    <w:rsid w:val="00FE53CC"/>
    <w:rsid w:val="00FE54F5"/>
    <w:rsid w:val="00FE56CC"/>
    <w:rsid w:val="00FE5B68"/>
    <w:rsid w:val="00FE5C1C"/>
    <w:rsid w:val="00FE5F6A"/>
    <w:rsid w:val="00FE6793"/>
    <w:rsid w:val="00FE6FE1"/>
    <w:rsid w:val="00FE7038"/>
    <w:rsid w:val="00FE71E5"/>
    <w:rsid w:val="00FE74B9"/>
    <w:rsid w:val="00FE7B92"/>
    <w:rsid w:val="00FE7BC1"/>
    <w:rsid w:val="00FF082F"/>
    <w:rsid w:val="00FF08F2"/>
    <w:rsid w:val="00FF11C9"/>
    <w:rsid w:val="00FF1247"/>
    <w:rsid w:val="00FF1EB9"/>
    <w:rsid w:val="00FF2138"/>
    <w:rsid w:val="00FF2E4B"/>
    <w:rsid w:val="00FF33FB"/>
    <w:rsid w:val="00FF367F"/>
    <w:rsid w:val="00FF3E2D"/>
    <w:rsid w:val="00FF42A6"/>
    <w:rsid w:val="00FF42FE"/>
    <w:rsid w:val="00FF448A"/>
    <w:rsid w:val="00FF450E"/>
    <w:rsid w:val="00FF4AAF"/>
    <w:rsid w:val="00FF4B4E"/>
    <w:rsid w:val="00FF5E55"/>
    <w:rsid w:val="00FF5FB0"/>
    <w:rsid w:val="00FF608A"/>
    <w:rsid w:val="00FF6641"/>
    <w:rsid w:val="00FF6756"/>
    <w:rsid w:val="00FF6851"/>
    <w:rsid w:val="00FF6C07"/>
    <w:rsid w:val="00FF71F3"/>
    <w:rsid w:val="00FF7BF6"/>
    <w:rsid w:val="0290154C"/>
    <w:rsid w:val="04A906B4"/>
    <w:rsid w:val="05F91446"/>
    <w:rsid w:val="0EDC2C95"/>
    <w:rsid w:val="12206E1B"/>
    <w:rsid w:val="1260E6D5"/>
    <w:rsid w:val="140F2240"/>
    <w:rsid w:val="18902856"/>
    <w:rsid w:val="1A121B9C"/>
    <w:rsid w:val="1ABBE568"/>
    <w:rsid w:val="1D0B9A03"/>
    <w:rsid w:val="1E4F8DA7"/>
    <w:rsid w:val="1F750867"/>
    <w:rsid w:val="202C1269"/>
    <w:rsid w:val="207D1544"/>
    <w:rsid w:val="22A8C429"/>
    <w:rsid w:val="22FC6639"/>
    <w:rsid w:val="24F1CDDF"/>
    <w:rsid w:val="2695193F"/>
    <w:rsid w:val="27E07BB6"/>
    <w:rsid w:val="27E444E1"/>
    <w:rsid w:val="28286B7C"/>
    <w:rsid w:val="2834B443"/>
    <w:rsid w:val="292622E1"/>
    <w:rsid w:val="2B313B09"/>
    <w:rsid w:val="31893DA0"/>
    <w:rsid w:val="31FBC989"/>
    <w:rsid w:val="3417276D"/>
    <w:rsid w:val="390B4F0F"/>
    <w:rsid w:val="3AEC054C"/>
    <w:rsid w:val="3B4E5382"/>
    <w:rsid w:val="3D42C2AF"/>
    <w:rsid w:val="400767D1"/>
    <w:rsid w:val="44E31085"/>
    <w:rsid w:val="4547998D"/>
    <w:rsid w:val="46B3F09F"/>
    <w:rsid w:val="47085CF8"/>
    <w:rsid w:val="47CA0202"/>
    <w:rsid w:val="49210C5E"/>
    <w:rsid w:val="4F58B1D9"/>
    <w:rsid w:val="50057079"/>
    <w:rsid w:val="54281F52"/>
    <w:rsid w:val="58D3E8BF"/>
    <w:rsid w:val="5A229807"/>
    <w:rsid w:val="5A336DB4"/>
    <w:rsid w:val="5B3A5673"/>
    <w:rsid w:val="5C508B03"/>
    <w:rsid w:val="5D042075"/>
    <w:rsid w:val="5E8CED23"/>
    <w:rsid w:val="62080970"/>
    <w:rsid w:val="63312AEE"/>
    <w:rsid w:val="63B97921"/>
    <w:rsid w:val="67EA6DB2"/>
    <w:rsid w:val="6849B8D5"/>
    <w:rsid w:val="6B815997"/>
    <w:rsid w:val="6CC987E8"/>
    <w:rsid w:val="6CE37BB5"/>
    <w:rsid w:val="70FC5682"/>
    <w:rsid w:val="72327338"/>
    <w:rsid w:val="7753251B"/>
    <w:rsid w:val="7814D77A"/>
    <w:rsid w:val="7821A446"/>
    <w:rsid w:val="78D395A4"/>
    <w:rsid w:val="7F3B05AD"/>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F0116"/>
  <w15:chartTrackingRefBased/>
  <w15:docId w15:val="{AB9B4D31-5A26-4519-842B-BD09D68FB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hAnsi="Arial"/>
      <w:sz w:val="24"/>
      <w:lang w:val="es-ES_tradnl" w:eastAsia="es-ES"/>
    </w:rPr>
  </w:style>
  <w:style w:type="paragraph" w:styleId="Ttulo1">
    <w:name w:val="heading 1"/>
    <w:basedOn w:val="Normal"/>
    <w:next w:val="Normal"/>
    <w:link w:val="Ttulo1Car"/>
    <w:qFormat/>
    <w:pPr>
      <w:keepNext/>
      <w:numPr>
        <w:numId w:val="3"/>
      </w:numPr>
      <w:suppressAutoHyphens/>
      <w:spacing w:after="240"/>
      <w:outlineLvl w:val="0"/>
    </w:pPr>
    <w:rPr>
      <w:b/>
    </w:rPr>
  </w:style>
  <w:style w:type="paragraph" w:styleId="Ttulo2">
    <w:name w:val="heading 2"/>
    <w:basedOn w:val="Normal"/>
    <w:next w:val="Normal"/>
    <w:link w:val="Ttulo2Car"/>
    <w:qFormat/>
    <w:pPr>
      <w:keepNext/>
      <w:numPr>
        <w:ilvl w:val="1"/>
        <w:numId w:val="2"/>
      </w:numPr>
      <w:spacing w:after="240"/>
      <w:outlineLvl w:val="1"/>
    </w:pPr>
    <w:rPr>
      <w:b/>
      <w:szCs w:val="24"/>
    </w:rPr>
  </w:style>
  <w:style w:type="paragraph" w:styleId="Ttulo3">
    <w:name w:val="heading 3"/>
    <w:basedOn w:val="Normal"/>
    <w:next w:val="Normal"/>
    <w:qFormat/>
    <w:pPr>
      <w:keepNext/>
      <w:numPr>
        <w:ilvl w:val="2"/>
        <w:numId w:val="4"/>
      </w:numPr>
      <w:tabs>
        <w:tab w:val="left" w:pos="0"/>
      </w:tabs>
      <w:suppressAutoHyphens/>
      <w:spacing w:after="240"/>
      <w:outlineLvl w:val="2"/>
    </w:pPr>
    <w:rPr>
      <w:b/>
      <w:lang w:val="es-ES"/>
    </w:rPr>
  </w:style>
  <w:style w:type="paragraph" w:styleId="Ttulo4">
    <w:name w:val="heading 4"/>
    <w:basedOn w:val="Normal"/>
    <w:next w:val="Normal"/>
    <w:qFormat/>
    <w:pPr>
      <w:keepNext/>
      <w:numPr>
        <w:ilvl w:val="3"/>
        <w:numId w:val="5"/>
      </w:numPr>
      <w:spacing w:after="240"/>
      <w:outlineLvl w:val="3"/>
    </w:pPr>
    <w:rPr>
      <w:b/>
    </w:rPr>
  </w:style>
  <w:style w:type="paragraph" w:styleId="Ttulo5">
    <w:name w:val="heading 5"/>
    <w:basedOn w:val="Normal"/>
    <w:next w:val="Normal"/>
    <w:qFormat/>
    <w:pPr>
      <w:keepNext/>
      <w:numPr>
        <w:ilvl w:val="4"/>
        <w:numId w:val="6"/>
      </w:numPr>
      <w:spacing w:after="240"/>
      <w:ind w:left="1009" w:hanging="1009"/>
      <w:outlineLvl w:val="4"/>
    </w:pPr>
    <w:rPr>
      <w:sz w:val="22"/>
    </w:rPr>
  </w:style>
  <w:style w:type="paragraph" w:styleId="Ttulo6">
    <w:name w:val="heading 6"/>
    <w:basedOn w:val="Normal"/>
    <w:next w:val="Normal"/>
    <w:qFormat/>
    <w:pPr>
      <w:numPr>
        <w:ilvl w:val="5"/>
        <w:numId w:val="1"/>
      </w:numPr>
      <w:spacing w:before="240" w:after="60"/>
      <w:outlineLvl w:val="5"/>
    </w:pPr>
    <w:rPr>
      <w:rFonts w:ascii="Times New Roman" w:hAnsi="Times New Roman"/>
      <w:i/>
      <w:sz w:val="22"/>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b/>
    </w:rPr>
  </w:style>
  <w:style w:type="paragraph" w:styleId="TDC1">
    <w:name w:val="toc 1"/>
    <w:basedOn w:val="Normal"/>
    <w:next w:val="Normal"/>
    <w:autoRedefine/>
    <w:uiPriority w:val="39"/>
    <w:rsid w:val="00A64046"/>
    <w:pPr>
      <w:tabs>
        <w:tab w:val="left" w:pos="480"/>
        <w:tab w:val="right" w:leader="dot" w:pos="9356"/>
      </w:tabs>
      <w:spacing w:before="120"/>
    </w:pPr>
    <w:rPr>
      <w:noProof/>
      <w:szCs w:val="24"/>
      <w:lang w:val="es-ES"/>
    </w:rPr>
  </w:style>
  <w:style w:type="paragraph" w:styleId="TDC2">
    <w:name w:val="toc 2"/>
    <w:basedOn w:val="Normal"/>
    <w:next w:val="Normal"/>
    <w:autoRedefine/>
    <w:uiPriority w:val="39"/>
    <w:pPr>
      <w:tabs>
        <w:tab w:val="left" w:pos="960"/>
        <w:tab w:val="right" w:leader="dot" w:pos="8820"/>
      </w:tabs>
      <w:ind w:left="960" w:right="378" w:hanging="720"/>
      <w:jc w:val="left"/>
    </w:pPr>
    <w:rPr>
      <w:noProof/>
      <w:szCs w:val="24"/>
      <w:lang w:val="es-ES"/>
    </w:rPr>
  </w:style>
  <w:style w:type="paragraph" w:styleId="TDC3">
    <w:name w:val="toc 3"/>
    <w:basedOn w:val="Normal"/>
    <w:next w:val="Normal"/>
    <w:autoRedefine/>
    <w:uiPriority w:val="39"/>
    <w:rsid w:val="00A64046"/>
    <w:pPr>
      <w:tabs>
        <w:tab w:val="left" w:pos="1440"/>
        <w:tab w:val="left" w:pos="8647"/>
      </w:tabs>
      <w:ind w:left="480" w:right="50"/>
    </w:pPr>
    <w:rPr>
      <w:szCs w:val="24"/>
      <w:lang w:val="es-ES"/>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emiHidden/>
    <w:rPr>
      <w:sz w:val="20"/>
    </w:rPr>
  </w:style>
  <w:style w:type="paragraph" w:customStyle="1" w:styleId="Epgrafe">
    <w:name w:val="Epígrafe"/>
    <w:basedOn w:val="Normal"/>
    <w:next w:val="Normal"/>
    <w:qFormat/>
    <w:pPr>
      <w:spacing w:before="120" w:after="120"/>
    </w:pPr>
    <w:rPr>
      <w:b/>
    </w:rPr>
  </w:style>
  <w:style w:type="paragraph" w:styleId="Sangra2detindependiente">
    <w:name w:val="Body Text Indent 2"/>
    <w:basedOn w:val="Normal"/>
    <w:semiHidden/>
    <w:pPr>
      <w:ind w:left="567" w:hanging="567"/>
      <w:outlineLvl w:val="0"/>
    </w:pPr>
    <w:rPr>
      <w:b/>
      <w:sz w:val="20"/>
      <w:szCs w:val="24"/>
      <w:lang w:val="es-CO"/>
    </w:rPr>
  </w:style>
  <w:style w:type="paragraph" w:styleId="Textoindependiente">
    <w:name w:val="Body Text"/>
    <w:basedOn w:val="Normal"/>
    <w:semiHidden/>
    <w:pPr>
      <w:jc w:val="center"/>
    </w:pPr>
    <w:rPr>
      <w:b/>
      <w:sz w:val="48"/>
    </w:r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styleId="Refdenotaalpie">
    <w:name w:val="footnote reference"/>
    <w:semiHidden/>
    <w:rPr>
      <w:vertAlign w:val="superscript"/>
    </w:rPr>
  </w:style>
  <w:style w:type="paragraph" w:styleId="Textoindependiente2">
    <w:name w:val="Body Text 2"/>
    <w:basedOn w:val="Normal"/>
    <w:link w:val="Textoindependiente2Car"/>
    <w:semiHidden/>
    <w:pPr>
      <w:tabs>
        <w:tab w:val="left" w:pos="-720"/>
        <w:tab w:val="left" w:pos="0"/>
      </w:tabs>
      <w:suppressAutoHyphens/>
    </w:pPr>
    <w:rPr>
      <w:color w:val="000000"/>
      <w:spacing w:val="-3"/>
    </w:rPr>
  </w:style>
  <w:style w:type="paragraph" w:styleId="Textoindependiente3">
    <w:name w:val="Body Text 3"/>
    <w:basedOn w:val="Normal"/>
    <w:semiHidden/>
    <w:pPr>
      <w:jc w:val="center"/>
    </w:pPr>
    <w:rPr>
      <w:b/>
      <w:bCs/>
      <w:sz w:val="22"/>
    </w:rPr>
  </w:style>
  <w:style w:type="paragraph" w:styleId="Textodebloque">
    <w:name w:val="Block Text"/>
    <w:basedOn w:val="Normal"/>
    <w:semiHidden/>
    <w:pPr>
      <w:ind w:left="709" w:right="901"/>
      <w:jc w:val="center"/>
    </w:pPr>
    <w:rPr>
      <w:rFonts w:ascii="Bookman Old Style" w:hAnsi="Bookman Old Style"/>
      <w:sz w:val="22"/>
      <w:szCs w:val="24"/>
    </w:rPr>
  </w:style>
  <w:style w:type="paragraph" w:styleId="Tabladeilustraciones">
    <w:name w:val="table of figures"/>
    <w:basedOn w:val="Normal"/>
    <w:next w:val="Normal"/>
    <w:uiPriority w:val="99"/>
    <w:pPr>
      <w:tabs>
        <w:tab w:val="right" w:leader="dot" w:pos="8828"/>
      </w:tabs>
      <w:ind w:left="480" w:hanging="480"/>
    </w:pPr>
    <w:rPr>
      <w:noProof/>
    </w:rPr>
  </w:style>
  <w:style w:type="character" w:styleId="Refdecomentario">
    <w:name w:val="annotation reference"/>
    <w:semiHidden/>
    <w:rPr>
      <w:sz w:val="16"/>
      <w:szCs w:val="16"/>
    </w:rPr>
  </w:style>
  <w:style w:type="paragraph" w:styleId="Textocomentario">
    <w:name w:val="annotation text"/>
    <w:basedOn w:val="Normal"/>
    <w:link w:val="TextocomentarioCar"/>
    <w:uiPriority w:val="99"/>
    <w:rPr>
      <w:sz w:val="20"/>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character" w:customStyle="1" w:styleId="PiedepginaCar">
    <w:name w:val="Pie de página Car"/>
    <w:link w:val="Piedepgina"/>
    <w:uiPriority w:val="99"/>
    <w:rsid w:val="0077100C"/>
    <w:rPr>
      <w:rFonts w:ascii="Arial" w:hAnsi="Arial"/>
      <w:sz w:val="24"/>
      <w:lang w:val="es-ES_tradnl" w:eastAsia="es-ES"/>
    </w:rPr>
  </w:style>
  <w:style w:type="character" w:customStyle="1" w:styleId="TextocomentarioCar">
    <w:name w:val="Texto comentario Car"/>
    <w:link w:val="Textocomentario"/>
    <w:uiPriority w:val="99"/>
    <w:rsid w:val="004E3965"/>
    <w:rPr>
      <w:rFonts w:ascii="Arial" w:hAnsi="Arial"/>
      <w:lang w:val="es-ES_tradnl" w:eastAsia="es-ES"/>
    </w:rPr>
  </w:style>
  <w:style w:type="paragraph" w:styleId="Prrafodelista">
    <w:name w:val="List Paragraph"/>
    <w:basedOn w:val="Normal"/>
    <w:link w:val="PrrafodelistaCar"/>
    <w:uiPriority w:val="34"/>
    <w:qFormat/>
    <w:rsid w:val="003C55ED"/>
    <w:pPr>
      <w:ind w:left="708"/>
    </w:pPr>
  </w:style>
  <w:style w:type="paragraph" w:styleId="NormalWeb">
    <w:name w:val="Normal (Web)"/>
    <w:basedOn w:val="Normal"/>
    <w:uiPriority w:val="99"/>
    <w:semiHidden/>
    <w:unhideWhenUsed/>
    <w:rsid w:val="00DB6372"/>
    <w:pPr>
      <w:spacing w:before="100" w:beforeAutospacing="1" w:after="100" w:afterAutospacing="1"/>
      <w:jc w:val="left"/>
    </w:pPr>
    <w:rPr>
      <w:rFonts w:ascii="Times New Roman" w:hAnsi="Times New Roman"/>
      <w:szCs w:val="24"/>
      <w:lang w:val="es-CO" w:eastAsia="es-CO"/>
    </w:rPr>
  </w:style>
  <w:style w:type="character" w:customStyle="1" w:styleId="Ttulo1Car">
    <w:name w:val="Título 1 Car"/>
    <w:basedOn w:val="Fuentedeprrafopredeter"/>
    <w:link w:val="Ttulo1"/>
    <w:rsid w:val="00E7209B"/>
    <w:rPr>
      <w:rFonts w:ascii="Arial" w:hAnsi="Arial"/>
      <w:b/>
      <w:sz w:val="24"/>
      <w:lang w:val="es-ES_tradnl" w:eastAsia="es-ES"/>
    </w:rPr>
  </w:style>
  <w:style w:type="character" w:customStyle="1" w:styleId="Ttulo2Car">
    <w:name w:val="Título 2 Car"/>
    <w:basedOn w:val="Fuentedeprrafopredeter"/>
    <w:link w:val="Ttulo2"/>
    <w:rsid w:val="00E7209B"/>
    <w:rPr>
      <w:rFonts w:ascii="Arial" w:hAnsi="Arial"/>
      <w:b/>
      <w:sz w:val="24"/>
      <w:szCs w:val="24"/>
      <w:lang w:val="es-ES_tradnl" w:eastAsia="es-ES"/>
    </w:rPr>
  </w:style>
  <w:style w:type="character" w:customStyle="1" w:styleId="TextonotapieCar">
    <w:name w:val="Texto nota pie Car"/>
    <w:basedOn w:val="Fuentedeprrafopredeter"/>
    <w:link w:val="Textonotapie"/>
    <w:uiPriority w:val="99"/>
    <w:semiHidden/>
    <w:rsid w:val="00E7209B"/>
    <w:rPr>
      <w:rFonts w:ascii="Arial" w:hAnsi="Arial"/>
      <w:lang w:val="es-ES_tradnl" w:eastAsia="es-ES"/>
    </w:rPr>
  </w:style>
  <w:style w:type="character" w:customStyle="1" w:styleId="TtuloCar">
    <w:name w:val="Título Car"/>
    <w:basedOn w:val="Fuentedeprrafopredeter"/>
    <w:link w:val="Ttulo"/>
    <w:rsid w:val="00E7209B"/>
    <w:rPr>
      <w:rFonts w:ascii="Arial" w:hAnsi="Arial"/>
      <w:b/>
      <w:sz w:val="24"/>
      <w:lang w:val="es-ES_tradnl" w:eastAsia="es-ES"/>
    </w:rPr>
  </w:style>
  <w:style w:type="character" w:customStyle="1" w:styleId="Textoindependiente2Car">
    <w:name w:val="Texto independiente 2 Car"/>
    <w:basedOn w:val="Fuentedeprrafopredeter"/>
    <w:link w:val="Textoindependiente2"/>
    <w:semiHidden/>
    <w:rsid w:val="00E7209B"/>
    <w:rPr>
      <w:rFonts w:ascii="Arial" w:hAnsi="Arial"/>
      <w:color w:val="000000"/>
      <w:spacing w:val="-3"/>
      <w:sz w:val="24"/>
      <w:lang w:val="es-ES_tradnl" w:eastAsia="es-ES"/>
    </w:rPr>
  </w:style>
  <w:style w:type="character" w:customStyle="1" w:styleId="PrrafodelistaCar">
    <w:name w:val="Párrafo de lista Car"/>
    <w:link w:val="Prrafodelista"/>
    <w:uiPriority w:val="34"/>
    <w:rsid w:val="003D43FD"/>
    <w:rPr>
      <w:rFonts w:ascii="Arial" w:hAnsi="Arial"/>
      <w:sz w:val="24"/>
      <w:lang w:val="es-ES_tradnl" w:eastAsia="es-ES"/>
    </w:rPr>
  </w:style>
  <w:style w:type="paragraph" w:styleId="Descripcin">
    <w:name w:val="caption"/>
    <w:basedOn w:val="Normal"/>
    <w:next w:val="Normal"/>
    <w:uiPriority w:val="35"/>
    <w:qFormat/>
    <w:rsid w:val="00885175"/>
    <w:pPr>
      <w:spacing w:after="200"/>
    </w:pPr>
    <w:rPr>
      <w:i/>
      <w:iCs/>
      <w:color w:val="44546A" w:themeColor="text2"/>
      <w:sz w:val="18"/>
      <w:szCs w:val="18"/>
    </w:rPr>
  </w:style>
  <w:style w:type="table" w:styleId="Tablaconcuadrcula">
    <w:name w:val="Table Grid"/>
    <w:basedOn w:val="Tablanormal"/>
    <w:uiPriority w:val="59"/>
    <w:rsid w:val="00986F68"/>
    <w:rPr>
      <w:rFonts w:ascii="Arial" w:eastAsiaTheme="minorHAnsi" w:hAnsi="Arial" w:cs="Arial"/>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DE477E"/>
    <w:pPr>
      <w:keepLines/>
      <w:numPr>
        <w:numId w:val="0"/>
      </w:numPr>
      <w:suppressAutoHyphens w:val="0"/>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s-CO" w:eastAsia="es-CO"/>
    </w:rPr>
  </w:style>
  <w:style w:type="character" w:styleId="Mencinsinresolver">
    <w:name w:val="Unresolved Mention"/>
    <w:basedOn w:val="Fuentedeprrafopredeter"/>
    <w:uiPriority w:val="99"/>
    <w:semiHidden/>
    <w:unhideWhenUsed/>
    <w:rsid w:val="00E572AE"/>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EC18DF"/>
    <w:rPr>
      <w:b/>
      <w:bCs/>
    </w:rPr>
  </w:style>
  <w:style w:type="character" w:customStyle="1" w:styleId="AsuntodelcomentarioCar">
    <w:name w:val="Asunto del comentario Car"/>
    <w:basedOn w:val="TextocomentarioCar"/>
    <w:link w:val="Asuntodelcomentario"/>
    <w:uiPriority w:val="99"/>
    <w:semiHidden/>
    <w:rsid w:val="00EC18DF"/>
    <w:rPr>
      <w:rFonts w:ascii="Arial" w:hAnsi="Arial"/>
      <w:b/>
      <w:bCs/>
      <w:lang w:val="es-ES_tradnl" w:eastAsia="es-ES"/>
    </w:rPr>
  </w:style>
  <w:style w:type="paragraph" w:styleId="Revisin">
    <w:name w:val="Revision"/>
    <w:hidden/>
    <w:uiPriority w:val="99"/>
    <w:semiHidden/>
    <w:rsid w:val="00722827"/>
    <w:rPr>
      <w:rFonts w:ascii="Arial" w:hAnsi="Arial"/>
      <w:sz w:val="24"/>
      <w:lang w:val="es-ES_tradnl" w:eastAsia="es-ES"/>
    </w:rPr>
  </w:style>
  <w:style w:type="character" w:customStyle="1" w:styleId="busq">
    <w:name w:val="busq"/>
    <w:basedOn w:val="Fuentedeprrafopredeter"/>
    <w:rsid w:val="000F0938"/>
  </w:style>
  <w:style w:type="character" w:styleId="Textodelmarcadordeposicin">
    <w:name w:val="Placeholder Text"/>
    <w:basedOn w:val="Fuentedeprrafopredeter"/>
    <w:uiPriority w:val="99"/>
    <w:semiHidden/>
    <w:rsid w:val="005F6BCD"/>
    <w:rPr>
      <w:color w:val="808080"/>
    </w:rPr>
  </w:style>
  <w:style w:type="character" w:customStyle="1" w:styleId="iaj">
    <w:name w:val="i_aj"/>
    <w:basedOn w:val="Fuentedeprrafopredeter"/>
    <w:rsid w:val="005B5815"/>
  </w:style>
  <w:style w:type="paragraph" w:customStyle="1" w:styleId="paragraph">
    <w:name w:val="paragraph"/>
    <w:basedOn w:val="Normal"/>
    <w:rsid w:val="001E3144"/>
    <w:pPr>
      <w:spacing w:before="100" w:beforeAutospacing="1" w:after="100" w:afterAutospacing="1"/>
      <w:jc w:val="left"/>
    </w:pPr>
    <w:rPr>
      <w:rFonts w:ascii="Times New Roman" w:hAnsi="Times New Roman"/>
      <w:szCs w:val="24"/>
      <w:lang w:val="es-CO" w:eastAsia="es-CO"/>
    </w:rPr>
  </w:style>
  <w:style w:type="character" w:customStyle="1" w:styleId="normaltextrun">
    <w:name w:val="normaltextrun"/>
    <w:basedOn w:val="Fuentedeprrafopredeter"/>
    <w:rsid w:val="001E3144"/>
  </w:style>
  <w:style w:type="character" w:customStyle="1" w:styleId="eop">
    <w:name w:val="eop"/>
    <w:basedOn w:val="Fuentedeprrafopredeter"/>
    <w:rsid w:val="001E3144"/>
  </w:style>
  <w:style w:type="character" w:customStyle="1" w:styleId="mi">
    <w:name w:val="mi"/>
    <w:basedOn w:val="Fuentedeprrafopredeter"/>
    <w:rsid w:val="001E3144"/>
  </w:style>
  <w:style w:type="character" w:customStyle="1" w:styleId="mo">
    <w:name w:val="mo"/>
    <w:basedOn w:val="Fuentedeprrafopredeter"/>
    <w:rsid w:val="001E3144"/>
  </w:style>
  <w:style w:type="character" w:customStyle="1" w:styleId="mjxassistivemathml">
    <w:name w:val="mjx_assistive_mathml"/>
    <w:basedOn w:val="Fuentedeprrafopredeter"/>
    <w:rsid w:val="001E3144"/>
  </w:style>
  <w:style w:type="character" w:customStyle="1" w:styleId="superscript">
    <w:name w:val="superscript"/>
    <w:basedOn w:val="Fuentedeprrafopredeter"/>
    <w:rsid w:val="001E3144"/>
  </w:style>
  <w:style w:type="character" w:customStyle="1" w:styleId="ui-provider">
    <w:name w:val="ui-provider"/>
    <w:basedOn w:val="Fuentedeprrafopredeter"/>
    <w:rsid w:val="00C24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554">
      <w:bodyDiv w:val="1"/>
      <w:marLeft w:val="0"/>
      <w:marRight w:val="0"/>
      <w:marTop w:val="0"/>
      <w:marBottom w:val="0"/>
      <w:divBdr>
        <w:top w:val="none" w:sz="0" w:space="0" w:color="auto"/>
        <w:left w:val="none" w:sz="0" w:space="0" w:color="auto"/>
        <w:bottom w:val="none" w:sz="0" w:space="0" w:color="auto"/>
        <w:right w:val="none" w:sz="0" w:space="0" w:color="auto"/>
      </w:divBdr>
      <w:divsChild>
        <w:div w:id="349265159">
          <w:marLeft w:val="0"/>
          <w:marRight w:val="0"/>
          <w:marTop w:val="0"/>
          <w:marBottom w:val="0"/>
          <w:divBdr>
            <w:top w:val="none" w:sz="0" w:space="0" w:color="auto"/>
            <w:left w:val="none" w:sz="0" w:space="0" w:color="auto"/>
            <w:bottom w:val="none" w:sz="0" w:space="0" w:color="auto"/>
            <w:right w:val="none" w:sz="0" w:space="0" w:color="auto"/>
          </w:divBdr>
        </w:div>
        <w:div w:id="1747603745">
          <w:marLeft w:val="0"/>
          <w:marRight w:val="0"/>
          <w:marTop w:val="0"/>
          <w:marBottom w:val="0"/>
          <w:divBdr>
            <w:top w:val="none" w:sz="0" w:space="0" w:color="auto"/>
            <w:left w:val="none" w:sz="0" w:space="0" w:color="auto"/>
            <w:bottom w:val="none" w:sz="0" w:space="0" w:color="auto"/>
            <w:right w:val="none" w:sz="0" w:space="0" w:color="auto"/>
          </w:divBdr>
        </w:div>
        <w:div w:id="137572195">
          <w:marLeft w:val="0"/>
          <w:marRight w:val="0"/>
          <w:marTop w:val="0"/>
          <w:marBottom w:val="0"/>
          <w:divBdr>
            <w:top w:val="none" w:sz="0" w:space="0" w:color="auto"/>
            <w:left w:val="none" w:sz="0" w:space="0" w:color="auto"/>
            <w:bottom w:val="none" w:sz="0" w:space="0" w:color="auto"/>
            <w:right w:val="none" w:sz="0" w:space="0" w:color="auto"/>
          </w:divBdr>
        </w:div>
      </w:divsChild>
    </w:div>
    <w:div w:id="82145562">
      <w:bodyDiv w:val="1"/>
      <w:marLeft w:val="0"/>
      <w:marRight w:val="0"/>
      <w:marTop w:val="0"/>
      <w:marBottom w:val="0"/>
      <w:divBdr>
        <w:top w:val="none" w:sz="0" w:space="0" w:color="auto"/>
        <w:left w:val="none" w:sz="0" w:space="0" w:color="auto"/>
        <w:bottom w:val="none" w:sz="0" w:space="0" w:color="auto"/>
        <w:right w:val="none" w:sz="0" w:space="0" w:color="auto"/>
      </w:divBdr>
      <w:divsChild>
        <w:div w:id="1539538552">
          <w:marLeft w:val="0"/>
          <w:marRight w:val="0"/>
          <w:marTop w:val="0"/>
          <w:marBottom w:val="0"/>
          <w:divBdr>
            <w:top w:val="none" w:sz="0" w:space="0" w:color="auto"/>
            <w:left w:val="none" w:sz="0" w:space="0" w:color="auto"/>
            <w:bottom w:val="none" w:sz="0" w:space="0" w:color="auto"/>
            <w:right w:val="none" w:sz="0" w:space="0" w:color="auto"/>
          </w:divBdr>
          <w:divsChild>
            <w:div w:id="2059669417">
              <w:marLeft w:val="0"/>
              <w:marRight w:val="0"/>
              <w:marTop w:val="0"/>
              <w:marBottom w:val="0"/>
              <w:divBdr>
                <w:top w:val="none" w:sz="0" w:space="0" w:color="auto"/>
                <w:left w:val="none" w:sz="0" w:space="0" w:color="auto"/>
                <w:bottom w:val="none" w:sz="0" w:space="0" w:color="auto"/>
                <w:right w:val="none" w:sz="0" w:space="0" w:color="auto"/>
              </w:divBdr>
            </w:div>
          </w:divsChild>
        </w:div>
        <w:div w:id="1056971945">
          <w:marLeft w:val="0"/>
          <w:marRight w:val="0"/>
          <w:marTop w:val="0"/>
          <w:marBottom w:val="0"/>
          <w:divBdr>
            <w:top w:val="none" w:sz="0" w:space="0" w:color="auto"/>
            <w:left w:val="none" w:sz="0" w:space="0" w:color="auto"/>
            <w:bottom w:val="none" w:sz="0" w:space="0" w:color="auto"/>
            <w:right w:val="none" w:sz="0" w:space="0" w:color="auto"/>
          </w:divBdr>
          <w:divsChild>
            <w:div w:id="1679960302">
              <w:marLeft w:val="0"/>
              <w:marRight w:val="0"/>
              <w:marTop w:val="0"/>
              <w:marBottom w:val="0"/>
              <w:divBdr>
                <w:top w:val="none" w:sz="0" w:space="0" w:color="auto"/>
                <w:left w:val="none" w:sz="0" w:space="0" w:color="auto"/>
                <w:bottom w:val="none" w:sz="0" w:space="0" w:color="auto"/>
                <w:right w:val="none" w:sz="0" w:space="0" w:color="auto"/>
              </w:divBdr>
            </w:div>
          </w:divsChild>
        </w:div>
        <w:div w:id="1147429136">
          <w:marLeft w:val="0"/>
          <w:marRight w:val="0"/>
          <w:marTop w:val="0"/>
          <w:marBottom w:val="0"/>
          <w:divBdr>
            <w:top w:val="none" w:sz="0" w:space="0" w:color="auto"/>
            <w:left w:val="none" w:sz="0" w:space="0" w:color="auto"/>
            <w:bottom w:val="none" w:sz="0" w:space="0" w:color="auto"/>
            <w:right w:val="none" w:sz="0" w:space="0" w:color="auto"/>
          </w:divBdr>
          <w:divsChild>
            <w:div w:id="239874513">
              <w:marLeft w:val="0"/>
              <w:marRight w:val="0"/>
              <w:marTop w:val="0"/>
              <w:marBottom w:val="0"/>
              <w:divBdr>
                <w:top w:val="none" w:sz="0" w:space="0" w:color="auto"/>
                <w:left w:val="none" w:sz="0" w:space="0" w:color="auto"/>
                <w:bottom w:val="none" w:sz="0" w:space="0" w:color="auto"/>
                <w:right w:val="none" w:sz="0" w:space="0" w:color="auto"/>
              </w:divBdr>
            </w:div>
          </w:divsChild>
        </w:div>
        <w:div w:id="2038039836">
          <w:marLeft w:val="0"/>
          <w:marRight w:val="0"/>
          <w:marTop w:val="0"/>
          <w:marBottom w:val="0"/>
          <w:divBdr>
            <w:top w:val="none" w:sz="0" w:space="0" w:color="auto"/>
            <w:left w:val="none" w:sz="0" w:space="0" w:color="auto"/>
            <w:bottom w:val="none" w:sz="0" w:space="0" w:color="auto"/>
            <w:right w:val="none" w:sz="0" w:space="0" w:color="auto"/>
          </w:divBdr>
          <w:divsChild>
            <w:div w:id="1043553410">
              <w:marLeft w:val="0"/>
              <w:marRight w:val="0"/>
              <w:marTop w:val="0"/>
              <w:marBottom w:val="0"/>
              <w:divBdr>
                <w:top w:val="none" w:sz="0" w:space="0" w:color="auto"/>
                <w:left w:val="none" w:sz="0" w:space="0" w:color="auto"/>
                <w:bottom w:val="none" w:sz="0" w:space="0" w:color="auto"/>
                <w:right w:val="none" w:sz="0" w:space="0" w:color="auto"/>
              </w:divBdr>
            </w:div>
          </w:divsChild>
        </w:div>
        <w:div w:id="1190534927">
          <w:marLeft w:val="0"/>
          <w:marRight w:val="0"/>
          <w:marTop w:val="0"/>
          <w:marBottom w:val="0"/>
          <w:divBdr>
            <w:top w:val="none" w:sz="0" w:space="0" w:color="auto"/>
            <w:left w:val="none" w:sz="0" w:space="0" w:color="auto"/>
            <w:bottom w:val="none" w:sz="0" w:space="0" w:color="auto"/>
            <w:right w:val="none" w:sz="0" w:space="0" w:color="auto"/>
          </w:divBdr>
          <w:divsChild>
            <w:div w:id="276957446">
              <w:marLeft w:val="0"/>
              <w:marRight w:val="0"/>
              <w:marTop w:val="0"/>
              <w:marBottom w:val="0"/>
              <w:divBdr>
                <w:top w:val="none" w:sz="0" w:space="0" w:color="auto"/>
                <w:left w:val="none" w:sz="0" w:space="0" w:color="auto"/>
                <w:bottom w:val="none" w:sz="0" w:space="0" w:color="auto"/>
                <w:right w:val="none" w:sz="0" w:space="0" w:color="auto"/>
              </w:divBdr>
            </w:div>
          </w:divsChild>
        </w:div>
        <w:div w:id="377629471">
          <w:marLeft w:val="0"/>
          <w:marRight w:val="0"/>
          <w:marTop w:val="0"/>
          <w:marBottom w:val="0"/>
          <w:divBdr>
            <w:top w:val="none" w:sz="0" w:space="0" w:color="auto"/>
            <w:left w:val="none" w:sz="0" w:space="0" w:color="auto"/>
            <w:bottom w:val="none" w:sz="0" w:space="0" w:color="auto"/>
            <w:right w:val="none" w:sz="0" w:space="0" w:color="auto"/>
          </w:divBdr>
          <w:divsChild>
            <w:div w:id="529300960">
              <w:marLeft w:val="0"/>
              <w:marRight w:val="0"/>
              <w:marTop w:val="0"/>
              <w:marBottom w:val="0"/>
              <w:divBdr>
                <w:top w:val="none" w:sz="0" w:space="0" w:color="auto"/>
                <w:left w:val="none" w:sz="0" w:space="0" w:color="auto"/>
                <w:bottom w:val="none" w:sz="0" w:space="0" w:color="auto"/>
                <w:right w:val="none" w:sz="0" w:space="0" w:color="auto"/>
              </w:divBdr>
            </w:div>
          </w:divsChild>
        </w:div>
        <w:div w:id="2126346171">
          <w:marLeft w:val="0"/>
          <w:marRight w:val="0"/>
          <w:marTop w:val="0"/>
          <w:marBottom w:val="0"/>
          <w:divBdr>
            <w:top w:val="none" w:sz="0" w:space="0" w:color="auto"/>
            <w:left w:val="none" w:sz="0" w:space="0" w:color="auto"/>
            <w:bottom w:val="none" w:sz="0" w:space="0" w:color="auto"/>
            <w:right w:val="none" w:sz="0" w:space="0" w:color="auto"/>
          </w:divBdr>
          <w:divsChild>
            <w:div w:id="1428308593">
              <w:marLeft w:val="0"/>
              <w:marRight w:val="0"/>
              <w:marTop w:val="0"/>
              <w:marBottom w:val="0"/>
              <w:divBdr>
                <w:top w:val="none" w:sz="0" w:space="0" w:color="auto"/>
                <w:left w:val="none" w:sz="0" w:space="0" w:color="auto"/>
                <w:bottom w:val="none" w:sz="0" w:space="0" w:color="auto"/>
                <w:right w:val="none" w:sz="0" w:space="0" w:color="auto"/>
              </w:divBdr>
            </w:div>
          </w:divsChild>
        </w:div>
        <w:div w:id="785659140">
          <w:marLeft w:val="0"/>
          <w:marRight w:val="0"/>
          <w:marTop w:val="0"/>
          <w:marBottom w:val="0"/>
          <w:divBdr>
            <w:top w:val="none" w:sz="0" w:space="0" w:color="auto"/>
            <w:left w:val="none" w:sz="0" w:space="0" w:color="auto"/>
            <w:bottom w:val="none" w:sz="0" w:space="0" w:color="auto"/>
            <w:right w:val="none" w:sz="0" w:space="0" w:color="auto"/>
          </w:divBdr>
          <w:divsChild>
            <w:div w:id="1845124257">
              <w:marLeft w:val="0"/>
              <w:marRight w:val="0"/>
              <w:marTop w:val="0"/>
              <w:marBottom w:val="0"/>
              <w:divBdr>
                <w:top w:val="none" w:sz="0" w:space="0" w:color="auto"/>
                <w:left w:val="none" w:sz="0" w:space="0" w:color="auto"/>
                <w:bottom w:val="none" w:sz="0" w:space="0" w:color="auto"/>
                <w:right w:val="none" w:sz="0" w:space="0" w:color="auto"/>
              </w:divBdr>
            </w:div>
          </w:divsChild>
        </w:div>
        <w:div w:id="1444154704">
          <w:marLeft w:val="0"/>
          <w:marRight w:val="0"/>
          <w:marTop w:val="0"/>
          <w:marBottom w:val="0"/>
          <w:divBdr>
            <w:top w:val="none" w:sz="0" w:space="0" w:color="auto"/>
            <w:left w:val="none" w:sz="0" w:space="0" w:color="auto"/>
            <w:bottom w:val="none" w:sz="0" w:space="0" w:color="auto"/>
            <w:right w:val="none" w:sz="0" w:space="0" w:color="auto"/>
          </w:divBdr>
          <w:divsChild>
            <w:div w:id="2140683717">
              <w:marLeft w:val="0"/>
              <w:marRight w:val="0"/>
              <w:marTop w:val="0"/>
              <w:marBottom w:val="0"/>
              <w:divBdr>
                <w:top w:val="none" w:sz="0" w:space="0" w:color="auto"/>
                <w:left w:val="none" w:sz="0" w:space="0" w:color="auto"/>
                <w:bottom w:val="none" w:sz="0" w:space="0" w:color="auto"/>
                <w:right w:val="none" w:sz="0" w:space="0" w:color="auto"/>
              </w:divBdr>
            </w:div>
          </w:divsChild>
        </w:div>
        <w:div w:id="1615794079">
          <w:marLeft w:val="0"/>
          <w:marRight w:val="0"/>
          <w:marTop w:val="0"/>
          <w:marBottom w:val="0"/>
          <w:divBdr>
            <w:top w:val="none" w:sz="0" w:space="0" w:color="auto"/>
            <w:left w:val="none" w:sz="0" w:space="0" w:color="auto"/>
            <w:bottom w:val="none" w:sz="0" w:space="0" w:color="auto"/>
            <w:right w:val="none" w:sz="0" w:space="0" w:color="auto"/>
          </w:divBdr>
          <w:divsChild>
            <w:div w:id="912620745">
              <w:marLeft w:val="0"/>
              <w:marRight w:val="0"/>
              <w:marTop w:val="0"/>
              <w:marBottom w:val="0"/>
              <w:divBdr>
                <w:top w:val="none" w:sz="0" w:space="0" w:color="auto"/>
                <w:left w:val="none" w:sz="0" w:space="0" w:color="auto"/>
                <w:bottom w:val="none" w:sz="0" w:space="0" w:color="auto"/>
                <w:right w:val="none" w:sz="0" w:space="0" w:color="auto"/>
              </w:divBdr>
            </w:div>
          </w:divsChild>
        </w:div>
        <w:div w:id="807208673">
          <w:marLeft w:val="0"/>
          <w:marRight w:val="0"/>
          <w:marTop w:val="0"/>
          <w:marBottom w:val="0"/>
          <w:divBdr>
            <w:top w:val="none" w:sz="0" w:space="0" w:color="auto"/>
            <w:left w:val="none" w:sz="0" w:space="0" w:color="auto"/>
            <w:bottom w:val="none" w:sz="0" w:space="0" w:color="auto"/>
            <w:right w:val="none" w:sz="0" w:space="0" w:color="auto"/>
          </w:divBdr>
          <w:divsChild>
            <w:div w:id="1524511659">
              <w:marLeft w:val="0"/>
              <w:marRight w:val="0"/>
              <w:marTop w:val="0"/>
              <w:marBottom w:val="0"/>
              <w:divBdr>
                <w:top w:val="none" w:sz="0" w:space="0" w:color="auto"/>
                <w:left w:val="none" w:sz="0" w:space="0" w:color="auto"/>
                <w:bottom w:val="none" w:sz="0" w:space="0" w:color="auto"/>
                <w:right w:val="none" w:sz="0" w:space="0" w:color="auto"/>
              </w:divBdr>
            </w:div>
          </w:divsChild>
        </w:div>
        <w:div w:id="198469391">
          <w:marLeft w:val="0"/>
          <w:marRight w:val="0"/>
          <w:marTop w:val="0"/>
          <w:marBottom w:val="0"/>
          <w:divBdr>
            <w:top w:val="none" w:sz="0" w:space="0" w:color="auto"/>
            <w:left w:val="none" w:sz="0" w:space="0" w:color="auto"/>
            <w:bottom w:val="none" w:sz="0" w:space="0" w:color="auto"/>
            <w:right w:val="none" w:sz="0" w:space="0" w:color="auto"/>
          </w:divBdr>
          <w:divsChild>
            <w:div w:id="1952394644">
              <w:marLeft w:val="0"/>
              <w:marRight w:val="0"/>
              <w:marTop w:val="0"/>
              <w:marBottom w:val="0"/>
              <w:divBdr>
                <w:top w:val="none" w:sz="0" w:space="0" w:color="auto"/>
                <w:left w:val="none" w:sz="0" w:space="0" w:color="auto"/>
                <w:bottom w:val="none" w:sz="0" w:space="0" w:color="auto"/>
                <w:right w:val="none" w:sz="0" w:space="0" w:color="auto"/>
              </w:divBdr>
            </w:div>
          </w:divsChild>
        </w:div>
        <w:div w:id="275646775">
          <w:marLeft w:val="0"/>
          <w:marRight w:val="0"/>
          <w:marTop w:val="0"/>
          <w:marBottom w:val="0"/>
          <w:divBdr>
            <w:top w:val="none" w:sz="0" w:space="0" w:color="auto"/>
            <w:left w:val="none" w:sz="0" w:space="0" w:color="auto"/>
            <w:bottom w:val="none" w:sz="0" w:space="0" w:color="auto"/>
            <w:right w:val="none" w:sz="0" w:space="0" w:color="auto"/>
          </w:divBdr>
          <w:divsChild>
            <w:div w:id="1571965631">
              <w:marLeft w:val="0"/>
              <w:marRight w:val="0"/>
              <w:marTop w:val="0"/>
              <w:marBottom w:val="0"/>
              <w:divBdr>
                <w:top w:val="none" w:sz="0" w:space="0" w:color="auto"/>
                <w:left w:val="none" w:sz="0" w:space="0" w:color="auto"/>
                <w:bottom w:val="none" w:sz="0" w:space="0" w:color="auto"/>
                <w:right w:val="none" w:sz="0" w:space="0" w:color="auto"/>
              </w:divBdr>
            </w:div>
          </w:divsChild>
        </w:div>
        <w:div w:id="1386173593">
          <w:marLeft w:val="0"/>
          <w:marRight w:val="0"/>
          <w:marTop w:val="0"/>
          <w:marBottom w:val="0"/>
          <w:divBdr>
            <w:top w:val="none" w:sz="0" w:space="0" w:color="auto"/>
            <w:left w:val="none" w:sz="0" w:space="0" w:color="auto"/>
            <w:bottom w:val="none" w:sz="0" w:space="0" w:color="auto"/>
            <w:right w:val="none" w:sz="0" w:space="0" w:color="auto"/>
          </w:divBdr>
          <w:divsChild>
            <w:div w:id="525483885">
              <w:marLeft w:val="0"/>
              <w:marRight w:val="0"/>
              <w:marTop w:val="0"/>
              <w:marBottom w:val="0"/>
              <w:divBdr>
                <w:top w:val="none" w:sz="0" w:space="0" w:color="auto"/>
                <w:left w:val="none" w:sz="0" w:space="0" w:color="auto"/>
                <w:bottom w:val="none" w:sz="0" w:space="0" w:color="auto"/>
                <w:right w:val="none" w:sz="0" w:space="0" w:color="auto"/>
              </w:divBdr>
            </w:div>
          </w:divsChild>
        </w:div>
        <w:div w:id="1172331839">
          <w:marLeft w:val="0"/>
          <w:marRight w:val="0"/>
          <w:marTop w:val="0"/>
          <w:marBottom w:val="0"/>
          <w:divBdr>
            <w:top w:val="none" w:sz="0" w:space="0" w:color="auto"/>
            <w:left w:val="none" w:sz="0" w:space="0" w:color="auto"/>
            <w:bottom w:val="none" w:sz="0" w:space="0" w:color="auto"/>
            <w:right w:val="none" w:sz="0" w:space="0" w:color="auto"/>
          </w:divBdr>
          <w:divsChild>
            <w:div w:id="243807461">
              <w:marLeft w:val="0"/>
              <w:marRight w:val="0"/>
              <w:marTop w:val="0"/>
              <w:marBottom w:val="0"/>
              <w:divBdr>
                <w:top w:val="none" w:sz="0" w:space="0" w:color="auto"/>
                <w:left w:val="none" w:sz="0" w:space="0" w:color="auto"/>
                <w:bottom w:val="none" w:sz="0" w:space="0" w:color="auto"/>
                <w:right w:val="none" w:sz="0" w:space="0" w:color="auto"/>
              </w:divBdr>
            </w:div>
          </w:divsChild>
        </w:div>
        <w:div w:id="1875843395">
          <w:marLeft w:val="0"/>
          <w:marRight w:val="0"/>
          <w:marTop w:val="0"/>
          <w:marBottom w:val="0"/>
          <w:divBdr>
            <w:top w:val="none" w:sz="0" w:space="0" w:color="auto"/>
            <w:left w:val="none" w:sz="0" w:space="0" w:color="auto"/>
            <w:bottom w:val="none" w:sz="0" w:space="0" w:color="auto"/>
            <w:right w:val="none" w:sz="0" w:space="0" w:color="auto"/>
          </w:divBdr>
          <w:divsChild>
            <w:div w:id="1568374445">
              <w:marLeft w:val="0"/>
              <w:marRight w:val="0"/>
              <w:marTop w:val="0"/>
              <w:marBottom w:val="0"/>
              <w:divBdr>
                <w:top w:val="none" w:sz="0" w:space="0" w:color="auto"/>
                <w:left w:val="none" w:sz="0" w:space="0" w:color="auto"/>
                <w:bottom w:val="none" w:sz="0" w:space="0" w:color="auto"/>
                <w:right w:val="none" w:sz="0" w:space="0" w:color="auto"/>
              </w:divBdr>
            </w:div>
          </w:divsChild>
        </w:div>
        <w:div w:id="600184736">
          <w:marLeft w:val="0"/>
          <w:marRight w:val="0"/>
          <w:marTop w:val="0"/>
          <w:marBottom w:val="0"/>
          <w:divBdr>
            <w:top w:val="none" w:sz="0" w:space="0" w:color="auto"/>
            <w:left w:val="none" w:sz="0" w:space="0" w:color="auto"/>
            <w:bottom w:val="none" w:sz="0" w:space="0" w:color="auto"/>
            <w:right w:val="none" w:sz="0" w:space="0" w:color="auto"/>
          </w:divBdr>
          <w:divsChild>
            <w:div w:id="521239244">
              <w:marLeft w:val="0"/>
              <w:marRight w:val="0"/>
              <w:marTop w:val="0"/>
              <w:marBottom w:val="0"/>
              <w:divBdr>
                <w:top w:val="none" w:sz="0" w:space="0" w:color="auto"/>
                <w:left w:val="none" w:sz="0" w:space="0" w:color="auto"/>
                <w:bottom w:val="none" w:sz="0" w:space="0" w:color="auto"/>
                <w:right w:val="none" w:sz="0" w:space="0" w:color="auto"/>
              </w:divBdr>
            </w:div>
          </w:divsChild>
        </w:div>
        <w:div w:id="1669557728">
          <w:marLeft w:val="0"/>
          <w:marRight w:val="0"/>
          <w:marTop w:val="0"/>
          <w:marBottom w:val="0"/>
          <w:divBdr>
            <w:top w:val="none" w:sz="0" w:space="0" w:color="auto"/>
            <w:left w:val="none" w:sz="0" w:space="0" w:color="auto"/>
            <w:bottom w:val="none" w:sz="0" w:space="0" w:color="auto"/>
            <w:right w:val="none" w:sz="0" w:space="0" w:color="auto"/>
          </w:divBdr>
          <w:divsChild>
            <w:div w:id="1370566145">
              <w:marLeft w:val="0"/>
              <w:marRight w:val="0"/>
              <w:marTop w:val="0"/>
              <w:marBottom w:val="0"/>
              <w:divBdr>
                <w:top w:val="none" w:sz="0" w:space="0" w:color="auto"/>
                <w:left w:val="none" w:sz="0" w:space="0" w:color="auto"/>
                <w:bottom w:val="none" w:sz="0" w:space="0" w:color="auto"/>
                <w:right w:val="none" w:sz="0" w:space="0" w:color="auto"/>
              </w:divBdr>
            </w:div>
          </w:divsChild>
        </w:div>
        <w:div w:id="1822388602">
          <w:marLeft w:val="0"/>
          <w:marRight w:val="0"/>
          <w:marTop w:val="0"/>
          <w:marBottom w:val="0"/>
          <w:divBdr>
            <w:top w:val="none" w:sz="0" w:space="0" w:color="auto"/>
            <w:left w:val="none" w:sz="0" w:space="0" w:color="auto"/>
            <w:bottom w:val="none" w:sz="0" w:space="0" w:color="auto"/>
            <w:right w:val="none" w:sz="0" w:space="0" w:color="auto"/>
          </w:divBdr>
          <w:divsChild>
            <w:div w:id="1366758464">
              <w:marLeft w:val="0"/>
              <w:marRight w:val="0"/>
              <w:marTop w:val="0"/>
              <w:marBottom w:val="0"/>
              <w:divBdr>
                <w:top w:val="none" w:sz="0" w:space="0" w:color="auto"/>
                <w:left w:val="none" w:sz="0" w:space="0" w:color="auto"/>
                <w:bottom w:val="none" w:sz="0" w:space="0" w:color="auto"/>
                <w:right w:val="none" w:sz="0" w:space="0" w:color="auto"/>
              </w:divBdr>
            </w:div>
          </w:divsChild>
        </w:div>
        <w:div w:id="1324360599">
          <w:marLeft w:val="0"/>
          <w:marRight w:val="0"/>
          <w:marTop w:val="0"/>
          <w:marBottom w:val="0"/>
          <w:divBdr>
            <w:top w:val="none" w:sz="0" w:space="0" w:color="auto"/>
            <w:left w:val="none" w:sz="0" w:space="0" w:color="auto"/>
            <w:bottom w:val="none" w:sz="0" w:space="0" w:color="auto"/>
            <w:right w:val="none" w:sz="0" w:space="0" w:color="auto"/>
          </w:divBdr>
          <w:divsChild>
            <w:div w:id="19335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8237">
      <w:bodyDiv w:val="1"/>
      <w:marLeft w:val="0"/>
      <w:marRight w:val="0"/>
      <w:marTop w:val="0"/>
      <w:marBottom w:val="0"/>
      <w:divBdr>
        <w:top w:val="none" w:sz="0" w:space="0" w:color="auto"/>
        <w:left w:val="none" w:sz="0" w:space="0" w:color="auto"/>
        <w:bottom w:val="none" w:sz="0" w:space="0" w:color="auto"/>
        <w:right w:val="none" w:sz="0" w:space="0" w:color="auto"/>
      </w:divBdr>
      <w:divsChild>
        <w:div w:id="150829895">
          <w:marLeft w:val="446"/>
          <w:marRight w:val="0"/>
          <w:marTop w:val="0"/>
          <w:marBottom w:val="0"/>
          <w:divBdr>
            <w:top w:val="none" w:sz="0" w:space="0" w:color="auto"/>
            <w:left w:val="none" w:sz="0" w:space="0" w:color="auto"/>
            <w:bottom w:val="none" w:sz="0" w:space="0" w:color="auto"/>
            <w:right w:val="none" w:sz="0" w:space="0" w:color="auto"/>
          </w:divBdr>
        </w:div>
        <w:div w:id="405301670">
          <w:marLeft w:val="446"/>
          <w:marRight w:val="0"/>
          <w:marTop w:val="0"/>
          <w:marBottom w:val="0"/>
          <w:divBdr>
            <w:top w:val="none" w:sz="0" w:space="0" w:color="auto"/>
            <w:left w:val="none" w:sz="0" w:space="0" w:color="auto"/>
            <w:bottom w:val="none" w:sz="0" w:space="0" w:color="auto"/>
            <w:right w:val="none" w:sz="0" w:space="0" w:color="auto"/>
          </w:divBdr>
        </w:div>
        <w:div w:id="617569021">
          <w:marLeft w:val="1166"/>
          <w:marRight w:val="0"/>
          <w:marTop w:val="0"/>
          <w:marBottom w:val="0"/>
          <w:divBdr>
            <w:top w:val="none" w:sz="0" w:space="0" w:color="auto"/>
            <w:left w:val="none" w:sz="0" w:space="0" w:color="auto"/>
            <w:bottom w:val="none" w:sz="0" w:space="0" w:color="auto"/>
            <w:right w:val="none" w:sz="0" w:space="0" w:color="auto"/>
          </w:divBdr>
        </w:div>
        <w:div w:id="271789751">
          <w:marLeft w:val="1166"/>
          <w:marRight w:val="0"/>
          <w:marTop w:val="0"/>
          <w:marBottom w:val="0"/>
          <w:divBdr>
            <w:top w:val="none" w:sz="0" w:space="0" w:color="auto"/>
            <w:left w:val="none" w:sz="0" w:space="0" w:color="auto"/>
            <w:bottom w:val="none" w:sz="0" w:space="0" w:color="auto"/>
            <w:right w:val="none" w:sz="0" w:space="0" w:color="auto"/>
          </w:divBdr>
        </w:div>
        <w:div w:id="106199743">
          <w:marLeft w:val="446"/>
          <w:marRight w:val="0"/>
          <w:marTop w:val="0"/>
          <w:marBottom w:val="0"/>
          <w:divBdr>
            <w:top w:val="none" w:sz="0" w:space="0" w:color="auto"/>
            <w:left w:val="none" w:sz="0" w:space="0" w:color="auto"/>
            <w:bottom w:val="none" w:sz="0" w:space="0" w:color="auto"/>
            <w:right w:val="none" w:sz="0" w:space="0" w:color="auto"/>
          </w:divBdr>
        </w:div>
        <w:div w:id="487482848">
          <w:marLeft w:val="446"/>
          <w:marRight w:val="0"/>
          <w:marTop w:val="0"/>
          <w:marBottom w:val="0"/>
          <w:divBdr>
            <w:top w:val="none" w:sz="0" w:space="0" w:color="auto"/>
            <w:left w:val="none" w:sz="0" w:space="0" w:color="auto"/>
            <w:bottom w:val="none" w:sz="0" w:space="0" w:color="auto"/>
            <w:right w:val="none" w:sz="0" w:space="0" w:color="auto"/>
          </w:divBdr>
        </w:div>
        <w:div w:id="1325813724">
          <w:marLeft w:val="446"/>
          <w:marRight w:val="0"/>
          <w:marTop w:val="0"/>
          <w:marBottom w:val="0"/>
          <w:divBdr>
            <w:top w:val="none" w:sz="0" w:space="0" w:color="auto"/>
            <w:left w:val="none" w:sz="0" w:space="0" w:color="auto"/>
            <w:bottom w:val="none" w:sz="0" w:space="0" w:color="auto"/>
            <w:right w:val="none" w:sz="0" w:space="0" w:color="auto"/>
          </w:divBdr>
        </w:div>
        <w:div w:id="1808475325">
          <w:marLeft w:val="446"/>
          <w:marRight w:val="0"/>
          <w:marTop w:val="0"/>
          <w:marBottom w:val="0"/>
          <w:divBdr>
            <w:top w:val="none" w:sz="0" w:space="0" w:color="auto"/>
            <w:left w:val="none" w:sz="0" w:space="0" w:color="auto"/>
            <w:bottom w:val="none" w:sz="0" w:space="0" w:color="auto"/>
            <w:right w:val="none" w:sz="0" w:space="0" w:color="auto"/>
          </w:divBdr>
        </w:div>
      </w:divsChild>
    </w:div>
    <w:div w:id="203714445">
      <w:bodyDiv w:val="1"/>
      <w:marLeft w:val="0"/>
      <w:marRight w:val="0"/>
      <w:marTop w:val="0"/>
      <w:marBottom w:val="0"/>
      <w:divBdr>
        <w:top w:val="none" w:sz="0" w:space="0" w:color="auto"/>
        <w:left w:val="none" w:sz="0" w:space="0" w:color="auto"/>
        <w:bottom w:val="none" w:sz="0" w:space="0" w:color="auto"/>
        <w:right w:val="none" w:sz="0" w:space="0" w:color="auto"/>
      </w:divBdr>
    </w:div>
    <w:div w:id="310258614">
      <w:bodyDiv w:val="1"/>
      <w:marLeft w:val="0"/>
      <w:marRight w:val="0"/>
      <w:marTop w:val="0"/>
      <w:marBottom w:val="0"/>
      <w:divBdr>
        <w:top w:val="none" w:sz="0" w:space="0" w:color="auto"/>
        <w:left w:val="none" w:sz="0" w:space="0" w:color="auto"/>
        <w:bottom w:val="none" w:sz="0" w:space="0" w:color="auto"/>
        <w:right w:val="none" w:sz="0" w:space="0" w:color="auto"/>
      </w:divBdr>
    </w:div>
    <w:div w:id="318658639">
      <w:bodyDiv w:val="1"/>
      <w:marLeft w:val="0"/>
      <w:marRight w:val="0"/>
      <w:marTop w:val="0"/>
      <w:marBottom w:val="0"/>
      <w:divBdr>
        <w:top w:val="none" w:sz="0" w:space="0" w:color="auto"/>
        <w:left w:val="none" w:sz="0" w:space="0" w:color="auto"/>
        <w:bottom w:val="none" w:sz="0" w:space="0" w:color="auto"/>
        <w:right w:val="none" w:sz="0" w:space="0" w:color="auto"/>
      </w:divBdr>
      <w:divsChild>
        <w:div w:id="332226592">
          <w:marLeft w:val="0"/>
          <w:marRight w:val="0"/>
          <w:marTop w:val="0"/>
          <w:marBottom w:val="0"/>
          <w:divBdr>
            <w:top w:val="none" w:sz="0" w:space="0" w:color="auto"/>
            <w:left w:val="none" w:sz="0" w:space="0" w:color="auto"/>
            <w:bottom w:val="none" w:sz="0" w:space="0" w:color="auto"/>
            <w:right w:val="none" w:sz="0" w:space="0" w:color="auto"/>
          </w:divBdr>
          <w:divsChild>
            <w:div w:id="417214161">
              <w:marLeft w:val="0"/>
              <w:marRight w:val="0"/>
              <w:marTop w:val="0"/>
              <w:marBottom w:val="0"/>
              <w:divBdr>
                <w:top w:val="none" w:sz="0" w:space="0" w:color="auto"/>
                <w:left w:val="none" w:sz="0" w:space="0" w:color="auto"/>
                <w:bottom w:val="none" w:sz="0" w:space="0" w:color="auto"/>
                <w:right w:val="none" w:sz="0" w:space="0" w:color="auto"/>
              </w:divBdr>
            </w:div>
          </w:divsChild>
        </w:div>
        <w:div w:id="242882268">
          <w:marLeft w:val="0"/>
          <w:marRight w:val="0"/>
          <w:marTop w:val="0"/>
          <w:marBottom w:val="0"/>
          <w:divBdr>
            <w:top w:val="none" w:sz="0" w:space="0" w:color="auto"/>
            <w:left w:val="none" w:sz="0" w:space="0" w:color="auto"/>
            <w:bottom w:val="none" w:sz="0" w:space="0" w:color="auto"/>
            <w:right w:val="none" w:sz="0" w:space="0" w:color="auto"/>
          </w:divBdr>
          <w:divsChild>
            <w:div w:id="1612317573">
              <w:marLeft w:val="0"/>
              <w:marRight w:val="0"/>
              <w:marTop w:val="0"/>
              <w:marBottom w:val="0"/>
              <w:divBdr>
                <w:top w:val="none" w:sz="0" w:space="0" w:color="auto"/>
                <w:left w:val="none" w:sz="0" w:space="0" w:color="auto"/>
                <w:bottom w:val="none" w:sz="0" w:space="0" w:color="auto"/>
                <w:right w:val="none" w:sz="0" w:space="0" w:color="auto"/>
              </w:divBdr>
            </w:div>
          </w:divsChild>
        </w:div>
        <w:div w:id="165636826">
          <w:marLeft w:val="0"/>
          <w:marRight w:val="0"/>
          <w:marTop w:val="0"/>
          <w:marBottom w:val="0"/>
          <w:divBdr>
            <w:top w:val="none" w:sz="0" w:space="0" w:color="auto"/>
            <w:left w:val="none" w:sz="0" w:space="0" w:color="auto"/>
            <w:bottom w:val="none" w:sz="0" w:space="0" w:color="auto"/>
            <w:right w:val="none" w:sz="0" w:space="0" w:color="auto"/>
          </w:divBdr>
          <w:divsChild>
            <w:div w:id="345711699">
              <w:marLeft w:val="0"/>
              <w:marRight w:val="0"/>
              <w:marTop w:val="0"/>
              <w:marBottom w:val="0"/>
              <w:divBdr>
                <w:top w:val="none" w:sz="0" w:space="0" w:color="auto"/>
                <w:left w:val="none" w:sz="0" w:space="0" w:color="auto"/>
                <w:bottom w:val="none" w:sz="0" w:space="0" w:color="auto"/>
                <w:right w:val="none" w:sz="0" w:space="0" w:color="auto"/>
              </w:divBdr>
            </w:div>
          </w:divsChild>
        </w:div>
        <w:div w:id="872616789">
          <w:marLeft w:val="0"/>
          <w:marRight w:val="0"/>
          <w:marTop w:val="0"/>
          <w:marBottom w:val="0"/>
          <w:divBdr>
            <w:top w:val="none" w:sz="0" w:space="0" w:color="auto"/>
            <w:left w:val="none" w:sz="0" w:space="0" w:color="auto"/>
            <w:bottom w:val="none" w:sz="0" w:space="0" w:color="auto"/>
            <w:right w:val="none" w:sz="0" w:space="0" w:color="auto"/>
          </w:divBdr>
          <w:divsChild>
            <w:div w:id="1271935688">
              <w:marLeft w:val="0"/>
              <w:marRight w:val="0"/>
              <w:marTop w:val="0"/>
              <w:marBottom w:val="0"/>
              <w:divBdr>
                <w:top w:val="none" w:sz="0" w:space="0" w:color="auto"/>
                <w:left w:val="none" w:sz="0" w:space="0" w:color="auto"/>
                <w:bottom w:val="none" w:sz="0" w:space="0" w:color="auto"/>
                <w:right w:val="none" w:sz="0" w:space="0" w:color="auto"/>
              </w:divBdr>
            </w:div>
          </w:divsChild>
        </w:div>
        <w:div w:id="1093551333">
          <w:marLeft w:val="0"/>
          <w:marRight w:val="0"/>
          <w:marTop w:val="0"/>
          <w:marBottom w:val="0"/>
          <w:divBdr>
            <w:top w:val="none" w:sz="0" w:space="0" w:color="auto"/>
            <w:left w:val="none" w:sz="0" w:space="0" w:color="auto"/>
            <w:bottom w:val="none" w:sz="0" w:space="0" w:color="auto"/>
            <w:right w:val="none" w:sz="0" w:space="0" w:color="auto"/>
          </w:divBdr>
          <w:divsChild>
            <w:div w:id="518392991">
              <w:marLeft w:val="0"/>
              <w:marRight w:val="0"/>
              <w:marTop w:val="0"/>
              <w:marBottom w:val="0"/>
              <w:divBdr>
                <w:top w:val="none" w:sz="0" w:space="0" w:color="auto"/>
                <w:left w:val="none" w:sz="0" w:space="0" w:color="auto"/>
                <w:bottom w:val="none" w:sz="0" w:space="0" w:color="auto"/>
                <w:right w:val="none" w:sz="0" w:space="0" w:color="auto"/>
              </w:divBdr>
            </w:div>
          </w:divsChild>
        </w:div>
        <w:div w:id="929504909">
          <w:marLeft w:val="0"/>
          <w:marRight w:val="0"/>
          <w:marTop w:val="0"/>
          <w:marBottom w:val="0"/>
          <w:divBdr>
            <w:top w:val="none" w:sz="0" w:space="0" w:color="auto"/>
            <w:left w:val="none" w:sz="0" w:space="0" w:color="auto"/>
            <w:bottom w:val="none" w:sz="0" w:space="0" w:color="auto"/>
            <w:right w:val="none" w:sz="0" w:space="0" w:color="auto"/>
          </w:divBdr>
          <w:divsChild>
            <w:div w:id="371466814">
              <w:marLeft w:val="0"/>
              <w:marRight w:val="0"/>
              <w:marTop w:val="0"/>
              <w:marBottom w:val="0"/>
              <w:divBdr>
                <w:top w:val="none" w:sz="0" w:space="0" w:color="auto"/>
                <w:left w:val="none" w:sz="0" w:space="0" w:color="auto"/>
                <w:bottom w:val="none" w:sz="0" w:space="0" w:color="auto"/>
                <w:right w:val="none" w:sz="0" w:space="0" w:color="auto"/>
              </w:divBdr>
            </w:div>
          </w:divsChild>
        </w:div>
        <w:div w:id="2062242548">
          <w:marLeft w:val="0"/>
          <w:marRight w:val="0"/>
          <w:marTop w:val="0"/>
          <w:marBottom w:val="0"/>
          <w:divBdr>
            <w:top w:val="none" w:sz="0" w:space="0" w:color="auto"/>
            <w:left w:val="none" w:sz="0" w:space="0" w:color="auto"/>
            <w:bottom w:val="none" w:sz="0" w:space="0" w:color="auto"/>
            <w:right w:val="none" w:sz="0" w:space="0" w:color="auto"/>
          </w:divBdr>
          <w:divsChild>
            <w:div w:id="183517088">
              <w:marLeft w:val="0"/>
              <w:marRight w:val="0"/>
              <w:marTop w:val="0"/>
              <w:marBottom w:val="0"/>
              <w:divBdr>
                <w:top w:val="none" w:sz="0" w:space="0" w:color="auto"/>
                <w:left w:val="none" w:sz="0" w:space="0" w:color="auto"/>
                <w:bottom w:val="none" w:sz="0" w:space="0" w:color="auto"/>
                <w:right w:val="none" w:sz="0" w:space="0" w:color="auto"/>
              </w:divBdr>
            </w:div>
          </w:divsChild>
        </w:div>
        <w:div w:id="643782296">
          <w:marLeft w:val="0"/>
          <w:marRight w:val="0"/>
          <w:marTop w:val="0"/>
          <w:marBottom w:val="0"/>
          <w:divBdr>
            <w:top w:val="none" w:sz="0" w:space="0" w:color="auto"/>
            <w:left w:val="none" w:sz="0" w:space="0" w:color="auto"/>
            <w:bottom w:val="none" w:sz="0" w:space="0" w:color="auto"/>
            <w:right w:val="none" w:sz="0" w:space="0" w:color="auto"/>
          </w:divBdr>
          <w:divsChild>
            <w:div w:id="146017732">
              <w:marLeft w:val="0"/>
              <w:marRight w:val="0"/>
              <w:marTop w:val="0"/>
              <w:marBottom w:val="0"/>
              <w:divBdr>
                <w:top w:val="none" w:sz="0" w:space="0" w:color="auto"/>
                <w:left w:val="none" w:sz="0" w:space="0" w:color="auto"/>
                <w:bottom w:val="none" w:sz="0" w:space="0" w:color="auto"/>
                <w:right w:val="none" w:sz="0" w:space="0" w:color="auto"/>
              </w:divBdr>
            </w:div>
          </w:divsChild>
        </w:div>
        <w:div w:id="1288396456">
          <w:marLeft w:val="0"/>
          <w:marRight w:val="0"/>
          <w:marTop w:val="0"/>
          <w:marBottom w:val="0"/>
          <w:divBdr>
            <w:top w:val="none" w:sz="0" w:space="0" w:color="auto"/>
            <w:left w:val="none" w:sz="0" w:space="0" w:color="auto"/>
            <w:bottom w:val="none" w:sz="0" w:space="0" w:color="auto"/>
            <w:right w:val="none" w:sz="0" w:space="0" w:color="auto"/>
          </w:divBdr>
          <w:divsChild>
            <w:div w:id="373701791">
              <w:marLeft w:val="0"/>
              <w:marRight w:val="0"/>
              <w:marTop w:val="0"/>
              <w:marBottom w:val="0"/>
              <w:divBdr>
                <w:top w:val="none" w:sz="0" w:space="0" w:color="auto"/>
                <w:left w:val="none" w:sz="0" w:space="0" w:color="auto"/>
                <w:bottom w:val="none" w:sz="0" w:space="0" w:color="auto"/>
                <w:right w:val="none" w:sz="0" w:space="0" w:color="auto"/>
              </w:divBdr>
            </w:div>
          </w:divsChild>
        </w:div>
        <w:div w:id="782264108">
          <w:marLeft w:val="0"/>
          <w:marRight w:val="0"/>
          <w:marTop w:val="0"/>
          <w:marBottom w:val="0"/>
          <w:divBdr>
            <w:top w:val="none" w:sz="0" w:space="0" w:color="auto"/>
            <w:left w:val="none" w:sz="0" w:space="0" w:color="auto"/>
            <w:bottom w:val="none" w:sz="0" w:space="0" w:color="auto"/>
            <w:right w:val="none" w:sz="0" w:space="0" w:color="auto"/>
          </w:divBdr>
          <w:divsChild>
            <w:div w:id="126241702">
              <w:marLeft w:val="0"/>
              <w:marRight w:val="0"/>
              <w:marTop w:val="0"/>
              <w:marBottom w:val="0"/>
              <w:divBdr>
                <w:top w:val="none" w:sz="0" w:space="0" w:color="auto"/>
                <w:left w:val="none" w:sz="0" w:space="0" w:color="auto"/>
                <w:bottom w:val="none" w:sz="0" w:space="0" w:color="auto"/>
                <w:right w:val="none" w:sz="0" w:space="0" w:color="auto"/>
              </w:divBdr>
            </w:div>
          </w:divsChild>
        </w:div>
        <w:div w:id="1175917179">
          <w:marLeft w:val="0"/>
          <w:marRight w:val="0"/>
          <w:marTop w:val="0"/>
          <w:marBottom w:val="0"/>
          <w:divBdr>
            <w:top w:val="none" w:sz="0" w:space="0" w:color="auto"/>
            <w:left w:val="none" w:sz="0" w:space="0" w:color="auto"/>
            <w:bottom w:val="none" w:sz="0" w:space="0" w:color="auto"/>
            <w:right w:val="none" w:sz="0" w:space="0" w:color="auto"/>
          </w:divBdr>
          <w:divsChild>
            <w:div w:id="836730540">
              <w:marLeft w:val="0"/>
              <w:marRight w:val="0"/>
              <w:marTop w:val="0"/>
              <w:marBottom w:val="0"/>
              <w:divBdr>
                <w:top w:val="none" w:sz="0" w:space="0" w:color="auto"/>
                <w:left w:val="none" w:sz="0" w:space="0" w:color="auto"/>
                <w:bottom w:val="none" w:sz="0" w:space="0" w:color="auto"/>
                <w:right w:val="none" w:sz="0" w:space="0" w:color="auto"/>
              </w:divBdr>
            </w:div>
          </w:divsChild>
        </w:div>
        <w:div w:id="1689599602">
          <w:marLeft w:val="0"/>
          <w:marRight w:val="0"/>
          <w:marTop w:val="0"/>
          <w:marBottom w:val="0"/>
          <w:divBdr>
            <w:top w:val="none" w:sz="0" w:space="0" w:color="auto"/>
            <w:left w:val="none" w:sz="0" w:space="0" w:color="auto"/>
            <w:bottom w:val="none" w:sz="0" w:space="0" w:color="auto"/>
            <w:right w:val="none" w:sz="0" w:space="0" w:color="auto"/>
          </w:divBdr>
          <w:divsChild>
            <w:div w:id="2053574212">
              <w:marLeft w:val="0"/>
              <w:marRight w:val="0"/>
              <w:marTop w:val="0"/>
              <w:marBottom w:val="0"/>
              <w:divBdr>
                <w:top w:val="none" w:sz="0" w:space="0" w:color="auto"/>
                <w:left w:val="none" w:sz="0" w:space="0" w:color="auto"/>
                <w:bottom w:val="none" w:sz="0" w:space="0" w:color="auto"/>
                <w:right w:val="none" w:sz="0" w:space="0" w:color="auto"/>
              </w:divBdr>
            </w:div>
          </w:divsChild>
        </w:div>
        <w:div w:id="1919820630">
          <w:marLeft w:val="0"/>
          <w:marRight w:val="0"/>
          <w:marTop w:val="0"/>
          <w:marBottom w:val="0"/>
          <w:divBdr>
            <w:top w:val="none" w:sz="0" w:space="0" w:color="auto"/>
            <w:left w:val="none" w:sz="0" w:space="0" w:color="auto"/>
            <w:bottom w:val="none" w:sz="0" w:space="0" w:color="auto"/>
            <w:right w:val="none" w:sz="0" w:space="0" w:color="auto"/>
          </w:divBdr>
          <w:divsChild>
            <w:div w:id="828205617">
              <w:marLeft w:val="0"/>
              <w:marRight w:val="0"/>
              <w:marTop w:val="0"/>
              <w:marBottom w:val="0"/>
              <w:divBdr>
                <w:top w:val="none" w:sz="0" w:space="0" w:color="auto"/>
                <w:left w:val="none" w:sz="0" w:space="0" w:color="auto"/>
                <w:bottom w:val="none" w:sz="0" w:space="0" w:color="auto"/>
                <w:right w:val="none" w:sz="0" w:space="0" w:color="auto"/>
              </w:divBdr>
            </w:div>
          </w:divsChild>
        </w:div>
        <w:div w:id="166016272">
          <w:marLeft w:val="0"/>
          <w:marRight w:val="0"/>
          <w:marTop w:val="0"/>
          <w:marBottom w:val="0"/>
          <w:divBdr>
            <w:top w:val="none" w:sz="0" w:space="0" w:color="auto"/>
            <w:left w:val="none" w:sz="0" w:space="0" w:color="auto"/>
            <w:bottom w:val="none" w:sz="0" w:space="0" w:color="auto"/>
            <w:right w:val="none" w:sz="0" w:space="0" w:color="auto"/>
          </w:divBdr>
          <w:divsChild>
            <w:div w:id="852689293">
              <w:marLeft w:val="0"/>
              <w:marRight w:val="0"/>
              <w:marTop w:val="0"/>
              <w:marBottom w:val="0"/>
              <w:divBdr>
                <w:top w:val="none" w:sz="0" w:space="0" w:color="auto"/>
                <w:left w:val="none" w:sz="0" w:space="0" w:color="auto"/>
                <w:bottom w:val="none" w:sz="0" w:space="0" w:color="auto"/>
                <w:right w:val="none" w:sz="0" w:space="0" w:color="auto"/>
              </w:divBdr>
            </w:div>
          </w:divsChild>
        </w:div>
        <w:div w:id="1812019846">
          <w:marLeft w:val="0"/>
          <w:marRight w:val="0"/>
          <w:marTop w:val="0"/>
          <w:marBottom w:val="0"/>
          <w:divBdr>
            <w:top w:val="none" w:sz="0" w:space="0" w:color="auto"/>
            <w:left w:val="none" w:sz="0" w:space="0" w:color="auto"/>
            <w:bottom w:val="none" w:sz="0" w:space="0" w:color="auto"/>
            <w:right w:val="none" w:sz="0" w:space="0" w:color="auto"/>
          </w:divBdr>
          <w:divsChild>
            <w:div w:id="1062867615">
              <w:marLeft w:val="0"/>
              <w:marRight w:val="0"/>
              <w:marTop w:val="0"/>
              <w:marBottom w:val="0"/>
              <w:divBdr>
                <w:top w:val="none" w:sz="0" w:space="0" w:color="auto"/>
                <w:left w:val="none" w:sz="0" w:space="0" w:color="auto"/>
                <w:bottom w:val="none" w:sz="0" w:space="0" w:color="auto"/>
                <w:right w:val="none" w:sz="0" w:space="0" w:color="auto"/>
              </w:divBdr>
            </w:div>
          </w:divsChild>
        </w:div>
        <w:div w:id="755907585">
          <w:marLeft w:val="0"/>
          <w:marRight w:val="0"/>
          <w:marTop w:val="0"/>
          <w:marBottom w:val="0"/>
          <w:divBdr>
            <w:top w:val="none" w:sz="0" w:space="0" w:color="auto"/>
            <w:left w:val="none" w:sz="0" w:space="0" w:color="auto"/>
            <w:bottom w:val="none" w:sz="0" w:space="0" w:color="auto"/>
            <w:right w:val="none" w:sz="0" w:space="0" w:color="auto"/>
          </w:divBdr>
          <w:divsChild>
            <w:div w:id="798457155">
              <w:marLeft w:val="0"/>
              <w:marRight w:val="0"/>
              <w:marTop w:val="0"/>
              <w:marBottom w:val="0"/>
              <w:divBdr>
                <w:top w:val="none" w:sz="0" w:space="0" w:color="auto"/>
                <w:left w:val="none" w:sz="0" w:space="0" w:color="auto"/>
                <w:bottom w:val="none" w:sz="0" w:space="0" w:color="auto"/>
                <w:right w:val="none" w:sz="0" w:space="0" w:color="auto"/>
              </w:divBdr>
            </w:div>
          </w:divsChild>
        </w:div>
        <w:div w:id="1188569042">
          <w:marLeft w:val="0"/>
          <w:marRight w:val="0"/>
          <w:marTop w:val="0"/>
          <w:marBottom w:val="0"/>
          <w:divBdr>
            <w:top w:val="none" w:sz="0" w:space="0" w:color="auto"/>
            <w:left w:val="none" w:sz="0" w:space="0" w:color="auto"/>
            <w:bottom w:val="none" w:sz="0" w:space="0" w:color="auto"/>
            <w:right w:val="none" w:sz="0" w:space="0" w:color="auto"/>
          </w:divBdr>
          <w:divsChild>
            <w:div w:id="187330006">
              <w:marLeft w:val="0"/>
              <w:marRight w:val="0"/>
              <w:marTop w:val="0"/>
              <w:marBottom w:val="0"/>
              <w:divBdr>
                <w:top w:val="none" w:sz="0" w:space="0" w:color="auto"/>
                <w:left w:val="none" w:sz="0" w:space="0" w:color="auto"/>
                <w:bottom w:val="none" w:sz="0" w:space="0" w:color="auto"/>
                <w:right w:val="none" w:sz="0" w:space="0" w:color="auto"/>
              </w:divBdr>
            </w:div>
          </w:divsChild>
        </w:div>
        <w:div w:id="1065908253">
          <w:marLeft w:val="0"/>
          <w:marRight w:val="0"/>
          <w:marTop w:val="0"/>
          <w:marBottom w:val="0"/>
          <w:divBdr>
            <w:top w:val="none" w:sz="0" w:space="0" w:color="auto"/>
            <w:left w:val="none" w:sz="0" w:space="0" w:color="auto"/>
            <w:bottom w:val="none" w:sz="0" w:space="0" w:color="auto"/>
            <w:right w:val="none" w:sz="0" w:space="0" w:color="auto"/>
          </w:divBdr>
          <w:divsChild>
            <w:div w:id="1552840550">
              <w:marLeft w:val="0"/>
              <w:marRight w:val="0"/>
              <w:marTop w:val="0"/>
              <w:marBottom w:val="0"/>
              <w:divBdr>
                <w:top w:val="none" w:sz="0" w:space="0" w:color="auto"/>
                <w:left w:val="none" w:sz="0" w:space="0" w:color="auto"/>
                <w:bottom w:val="none" w:sz="0" w:space="0" w:color="auto"/>
                <w:right w:val="none" w:sz="0" w:space="0" w:color="auto"/>
              </w:divBdr>
            </w:div>
          </w:divsChild>
        </w:div>
        <w:div w:id="325010766">
          <w:marLeft w:val="0"/>
          <w:marRight w:val="0"/>
          <w:marTop w:val="0"/>
          <w:marBottom w:val="0"/>
          <w:divBdr>
            <w:top w:val="none" w:sz="0" w:space="0" w:color="auto"/>
            <w:left w:val="none" w:sz="0" w:space="0" w:color="auto"/>
            <w:bottom w:val="none" w:sz="0" w:space="0" w:color="auto"/>
            <w:right w:val="none" w:sz="0" w:space="0" w:color="auto"/>
          </w:divBdr>
          <w:divsChild>
            <w:div w:id="768040206">
              <w:marLeft w:val="0"/>
              <w:marRight w:val="0"/>
              <w:marTop w:val="0"/>
              <w:marBottom w:val="0"/>
              <w:divBdr>
                <w:top w:val="none" w:sz="0" w:space="0" w:color="auto"/>
                <w:left w:val="none" w:sz="0" w:space="0" w:color="auto"/>
                <w:bottom w:val="none" w:sz="0" w:space="0" w:color="auto"/>
                <w:right w:val="none" w:sz="0" w:space="0" w:color="auto"/>
              </w:divBdr>
            </w:div>
          </w:divsChild>
        </w:div>
        <w:div w:id="299771981">
          <w:marLeft w:val="0"/>
          <w:marRight w:val="0"/>
          <w:marTop w:val="0"/>
          <w:marBottom w:val="0"/>
          <w:divBdr>
            <w:top w:val="none" w:sz="0" w:space="0" w:color="auto"/>
            <w:left w:val="none" w:sz="0" w:space="0" w:color="auto"/>
            <w:bottom w:val="none" w:sz="0" w:space="0" w:color="auto"/>
            <w:right w:val="none" w:sz="0" w:space="0" w:color="auto"/>
          </w:divBdr>
          <w:divsChild>
            <w:div w:id="1594439577">
              <w:marLeft w:val="0"/>
              <w:marRight w:val="0"/>
              <w:marTop w:val="0"/>
              <w:marBottom w:val="0"/>
              <w:divBdr>
                <w:top w:val="none" w:sz="0" w:space="0" w:color="auto"/>
                <w:left w:val="none" w:sz="0" w:space="0" w:color="auto"/>
                <w:bottom w:val="none" w:sz="0" w:space="0" w:color="auto"/>
                <w:right w:val="none" w:sz="0" w:space="0" w:color="auto"/>
              </w:divBdr>
            </w:div>
          </w:divsChild>
        </w:div>
        <w:div w:id="1819878521">
          <w:marLeft w:val="0"/>
          <w:marRight w:val="0"/>
          <w:marTop w:val="0"/>
          <w:marBottom w:val="0"/>
          <w:divBdr>
            <w:top w:val="none" w:sz="0" w:space="0" w:color="auto"/>
            <w:left w:val="none" w:sz="0" w:space="0" w:color="auto"/>
            <w:bottom w:val="none" w:sz="0" w:space="0" w:color="auto"/>
            <w:right w:val="none" w:sz="0" w:space="0" w:color="auto"/>
          </w:divBdr>
          <w:divsChild>
            <w:div w:id="413742500">
              <w:marLeft w:val="0"/>
              <w:marRight w:val="0"/>
              <w:marTop w:val="0"/>
              <w:marBottom w:val="0"/>
              <w:divBdr>
                <w:top w:val="none" w:sz="0" w:space="0" w:color="auto"/>
                <w:left w:val="none" w:sz="0" w:space="0" w:color="auto"/>
                <w:bottom w:val="none" w:sz="0" w:space="0" w:color="auto"/>
                <w:right w:val="none" w:sz="0" w:space="0" w:color="auto"/>
              </w:divBdr>
            </w:div>
          </w:divsChild>
        </w:div>
        <w:div w:id="160968505">
          <w:marLeft w:val="0"/>
          <w:marRight w:val="0"/>
          <w:marTop w:val="0"/>
          <w:marBottom w:val="0"/>
          <w:divBdr>
            <w:top w:val="none" w:sz="0" w:space="0" w:color="auto"/>
            <w:left w:val="none" w:sz="0" w:space="0" w:color="auto"/>
            <w:bottom w:val="none" w:sz="0" w:space="0" w:color="auto"/>
            <w:right w:val="none" w:sz="0" w:space="0" w:color="auto"/>
          </w:divBdr>
          <w:divsChild>
            <w:div w:id="964310524">
              <w:marLeft w:val="0"/>
              <w:marRight w:val="0"/>
              <w:marTop w:val="0"/>
              <w:marBottom w:val="0"/>
              <w:divBdr>
                <w:top w:val="none" w:sz="0" w:space="0" w:color="auto"/>
                <w:left w:val="none" w:sz="0" w:space="0" w:color="auto"/>
                <w:bottom w:val="none" w:sz="0" w:space="0" w:color="auto"/>
                <w:right w:val="none" w:sz="0" w:space="0" w:color="auto"/>
              </w:divBdr>
            </w:div>
          </w:divsChild>
        </w:div>
        <w:div w:id="1208571590">
          <w:marLeft w:val="0"/>
          <w:marRight w:val="0"/>
          <w:marTop w:val="0"/>
          <w:marBottom w:val="0"/>
          <w:divBdr>
            <w:top w:val="none" w:sz="0" w:space="0" w:color="auto"/>
            <w:left w:val="none" w:sz="0" w:space="0" w:color="auto"/>
            <w:bottom w:val="none" w:sz="0" w:space="0" w:color="auto"/>
            <w:right w:val="none" w:sz="0" w:space="0" w:color="auto"/>
          </w:divBdr>
          <w:divsChild>
            <w:div w:id="1136681636">
              <w:marLeft w:val="0"/>
              <w:marRight w:val="0"/>
              <w:marTop w:val="0"/>
              <w:marBottom w:val="0"/>
              <w:divBdr>
                <w:top w:val="none" w:sz="0" w:space="0" w:color="auto"/>
                <w:left w:val="none" w:sz="0" w:space="0" w:color="auto"/>
                <w:bottom w:val="none" w:sz="0" w:space="0" w:color="auto"/>
                <w:right w:val="none" w:sz="0" w:space="0" w:color="auto"/>
              </w:divBdr>
            </w:div>
          </w:divsChild>
        </w:div>
        <w:div w:id="1020277848">
          <w:marLeft w:val="0"/>
          <w:marRight w:val="0"/>
          <w:marTop w:val="0"/>
          <w:marBottom w:val="0"/>
          <w:divBdr>
            <w:top w:val="none" w:sz="0" w:space="0" w:color="auto"/>
            <w:left w:val="none" w:sz="0" w:space="0" w:color="auto"/>
            <w:bottom w:val="none" w:sz="0" w:space="0" w:color="auto"/>
            <w:right w:val="none" w:sz="0" w:space="0" w:color="auto"/>
          </w:divBdr>
          <w:divsChild>
            <w:div w:id="298656201">
              <w:marLeft w:val="0"/>
              <w:marRight w:val="0"/>
              <w:marTop w:val="0"/>
              <w:marBottom w:val="0"/>
              <w:divBdr>
                <w:top w:val="none" w:sz="0" w:space="0" w:color="auto"/>
                <w:left w:val="none" w:sz="0" w:space="0" w:color="auto"/>
                <w:bottom w:val="none" w:sz="0" w:space="0" w:color="auto"/>
                <w:right w:val="none" w:sz="0" w:space="0" w:color="auto"/>
              </w:divBdr>
            </w:div>
          </w:divsChild>
        </w:div>
        <w:div w:id="1290819690">
          <w:marLeft w:val="0"/>
          <w:marRight w:val="0"/>
          <w:marTop w:val="0"/>
          <w:marBottom w:val="0"/>
          <w:divBdr>
            <w:top w:val="none" w:sz="0" w:space="0" w:color="auto"/>
            <w:left w:val="none" w:sz="0" w:space="0" w:color="auto"/>
            <w:bottom w:val="none" w:sz="0" w:space="0" w:color="auto"/>
            <w:right w:val="none" w:sz="0" w:space="0" w:color="auto"/>
          </w:divBdr>
          <w:divsChild>
            <w:div w:id="1034771311">
              <w:marLeft w:val="0"/>
              <w:marRight w:val="0"/>
              <w:marTop w:val="0"/>
              <w:marBottom w:val="0"/>
              <w:divBdr>
                <w:top w:val="none" w:sz="0" w:space="0" w:color="auto"/>
                <w:left w:val="none" w:sz="0" w:space="0" w:color="auto"/>
                <w:bottom w:val="none" w:sz="0" w:space="0" w:color="auto"/>
                <w:right w:val="none" w:sz="0" w:space="0" w:color="auto"/>
              </w:divBdr>
            </w:div>
          </w:divsChild>
        </w:div>
        <w:div w:id="1215198934">
          <w:marLeft w:val="0"/>
          <w:marRight w:val="0"/>
          <w:marTop w:val="0"/>
          <w:marBottom w:val="0"/>
          <w:divBdr>
            <w:top w:val="none" w:sz="0" w:space="0" w:color="auto"/>
            <w:left w:val="none" w:sz="0" w:space="0" w:color="auto"/>
            <w:bottom w:val="none" w:sz="0" w:space="0" w:color="auto"/>
            <w:right w:val="none" w:sz="0" w:space="0" w:color="auto"/>
          </w:divBdr>
          <w:divsChild>
            <w:div w:id="2082943939">
              <w:marLeft w:val="0"/>
              <w:marRight w:val="0"/>
              <w:marTop w:val="0"/>
              <w:marBottom w:val="0"/>
              <w:divBdr>
                <w:top w:val="none" w:sz="0" w:space="0" w:color="auto"/>
                <w:left w:val="none" w:sz="0" w:space="0" w:color="auto"/>
                <w:bottom w:val="none" w:sz="0" w:space="0" w:color="auto"/>
                <w:right w:val="none" w:sz="0" w:space="0" w:color="auto"/>
              </w:divBdr>
            </w:div>
          </w:divsChild>
        </w:div>
        <w:div w:id="217664734">
          <w:marLeft w:val="0"/>
          <w:marRight w:val="0"/>
          <w:marTop w:val="0"/>
          <w:marBottom w:val="0"/>
          <w:divBdr>
            <w:top w:val="none" w:sz="0" w:space="0" w:color="auto"/>
            <w:left w:val="none" w:sz="0" w:space="0" w:color="auto"/>
            <w:bottom w:val="none" w:sz="0" w:space="0" w:color="auto"/>
            <w:right w:val="none" w:sz="0" w:space="0" w:color="auto"/>
          </w:divBdr>
          <w:divsChild>
            <w:div w:id="602685298">
              <w:marLeft w:val="0"/>
              <w:marRight w:val="0"/>
              <w:marTop w:val="0"/>
              <w:marBottom w:val="0"/>
              <w:divBdr>
                <w:top w:val="none" w:sz="0" w:space="0" w:color="auto"/>
                <w:left w:val="none" w:sz="0" w:space="0" w:color="auto"/>
                <w:bottom w:val="none" w:sz="0" w:space="0" w:color="auto"/>
                <w:right w:val="none" w:sz="0" w:space="0" w:color="auto"/>
              </w:divBdr>
            </w:div>
          </w:divsChild>
        </w:div>
        <w:div w:id="1208371998">
          <w:marLeft w:val="0"/>
          <w:marRight w:val="0"/>
          <w:marTop w:val="0"/>
          <w:marBottom w:val="0"/>
          <w:divBdr>
            <w:top w:val="none" w:sz="0" w:space="0" w:color="auto"/>
            <w:left w:val="none" w:sz="0" w:space="0" w:color="auto"/>
            <w:bottom w:val="none" w:sz="0" w:space="0" w:color="auto"/>
            <w:right w:val="none" w:sz="0" w:space="0" w:color="auto"/>
          </w:divBdr>
          <w:divsChild>
            <w:div w:id="153687524">
              <w:marLeft w:val="0"/>
              <w:marRight w:val="0"/>
              <w:marTop w:val="0"/>
              <w:marBottom w:val="0"/>
              <w:divBdr>
                <w:top w:val="none" w:sz="0" w:space="0" w:color="auto"/>
                <w:left w:val="none" w:sz="0" w:space="0" w:color="auto"/>
                <w:bottom w:val="none" w:sz="0" w:space="0" w:color="auto"/>
                <w:right w:val="none" w:sz="0" w:space="0" w:color="auto"/>
              </w:divBdr>
            </w:div>
          </w:divsChild>
        </w:div>
        <w:div w:id="1882009951">
          <w:marLeft w:val="0"/>
          <w:marRight w:val="0"/>
          <w:marTop w:val="0"/>
          <w:marBottom w:val="0"/>
          <w:divBdr>
            <w:top w:val="none" w:sz="0" w:space="0" w:color="auto"/>
            <w:left w:val="none" w:sz="0" w:space="0" w:color="auto"/>
            <w:bottom w:val="none" w:sz="0" w:space="0" w:color="auto"/>
            <w:right w:val="none" w:sz="0" w:space="0" w:color="auto"/>
          </w:divBdr>
          <w:divsChild>
            <w:div w:id="1235048627">
              <w:marLeft w:val="0"/>
              <w:marRight w:val="0"/>
              <w:marTop w:val="0"/>
              <w:marBottom w:val="0"/>
              <w:divBdr>
                <w:top w:val="none" w:sz="0" w:space="0" w:color="auto"/>
                <w:left w:val="none" w:sz="0" w:space="0" w:color="auto"/>
                <w:bottom w:val="none" w:sz="0" w:space="0" w:color="auto"/>
                <w:right w:val="none" w:sz="0" w:space="0" w:color="auto"/>
              </w:divBdr>
            </w:div>
          </w:divsChild>
        </w:div>
        <w:div w:id="593513235">
          <w:marLeft w:val="0"/>
          <w:marRight w:val="0"/>
          <w:marTop w:val="0"/>
          <w:marBottom w:val="0"/>
          <w:divBdr>
            <w:top w:val="none" w:sz="0" w:space="0" w:color="auto"/>
            <w:left w:val="none" w:sz="0" w:space="0" w:color="auto"/>
            <w:bottom w:val="none" w:sz="0" w:space="0" w:color="auto"/>
            <w:right w:val="none" w:sz="0" w:space="0" w:color="auto"/>
          </w:divBdr>
          <w:divsChild>
            <w:div w:id="286206279">
              <w:marLeft w:val="0"/>
              <w:marRight w:val="0"/>
              <w:marTop w:val="0"/>
              <w:marBottom w:val="0"/>
              <w:divBdr>
                <w:top w:val="none" w:sz="0" w:space="0" w:color="auto"/>
                <w:left w:val="none" w:sz="0" w:space="0" w:color="auto"/>
                <w:bottom w:val="none" w:sz="0" w:space="0" w:color="auto"/>
                <w:right w:val="none" w:sz="0" w:space="0" w:color="auto"/>
              </w:divBdr>
            </w:div>
          </w:divsChild>
        </w:div>
        <w:div w:id="1705060353">
          <w:marLeft w:val="0"/>
          <w:marRight w:val="0"/>
          <w:marTop w:val="0"/>
          <w:marBottom w:val="0"/>
          <w:divBdr>
            <w:top w:val="none" w:sz="0" w:space="0" w:color="auto"/>
            <w:left w:val="none" w:sz="0" w:space="0" w:color="auto"/>
            <w:bottom w:val="none" w:sz="0" w:space="0" w:color="auto"/>
            <w:right w:val="none" w:sz="0" w:space="0" w:color="auto"/>
          </w:divBdr>
          <w:divsChild>
            <w:div w:id="1167475596">
              <w:marLeft w:val="0"/>
              <w:marRight w:val="0"/>
              <w:marTop w:val="0"/>
              <w:marBottom w:val="0"/>
              <w:divBdr>
                <w:top w:val="none" w:sz="0" w:space="0" w:color="auto"/>
                <w:left w:val="none" w:sz="0" w:space="0" w:color="auto"/>
                <w:bottom w:val="none" w:sz="0" w:space="0" w:color="auto"/>
                <w:right w:val="none" w:sz="0" w:space="0" w:color="auto"/>
              </w:divBdr>
            </w:div>
          </w:divsChild>
        </w:div>
        <w:div w:id="663123667">
          <w:marLeft w:val="0"/>
          <w:marRight w:val="0"/>
          <w:marTop w:val="0"/>
          <w:marBottom w:val="0"/>
          <w:divBdr>
            <w:top w:val="none" w:sz="0" w:space="0" w:color="auto"/>
            <w:left w:val="none" w:sz="0" w:space="0" w:color="auto"/>
            <w:bottom w:val="none" w:sz="0" w:space="0" w:color="auto"/>
            <w:right w:val="none" w:sz="0" w:space="0" w:color="auto"/>
          </w:divBdr>
          <w:divsChild>
            <w:div w:id="873076372">
              <w:marLeft w:val="0"/>
              <w:marRight w:val="0"/>
              <w:marTop w:val="0"/>
              <w:marBottom w:val="0"/>
              <w:divBdr>
                <w:top w:val="none" w:sz="0" w:space="0" w:color="auto"/>
                <w:left w:val="none" w:sz="0" w:space="0" w:color="auto"/>
                <w:bottom w:val="none" w:sz="0" w:space="0" w:color="auto"/>
                <w:right w:val="none" w:sz="0" w:space="0" w:color="auto"/>
              </w:divBdr>
            </w:div>
          </w:divsChild>
        </w:div>
        <w:div w:id="1099453019">
          <w:marLeft w:val="0"/>
          <w:marRight w:val="0"/>
          <w:marTop w:val="0"/>
          <w:marBottom w:val="0"/>
          <w:divBdr>
            <w:top w:val="none" w:sz="0" w:space="0" w:color="auto"/>
            <w:left w:val="none" w:sz="0" w:space="0" w:color="auto"/>
            <w:bottom w:val="none" w:sz="0" w:space="0" w:color="auto"/>
            <w:right w:val="none" w:sz="0" w:space="0" w:color="auto"/>
          </w:divBdr>
          <w:divsChild>
            <w:div w:id="428159842">
              <w:marLeft w:val="0"/>
              <w:marRight w:val="0"/>
              <w:marTop w:val="0"/>
              <w:marBottom w:val="0"/>
              <w:divBdr>
                <w:top w:val="none" w:sz="0" w:space="0" w:color="auto"/>
                <w:left w:val="none" w:sz="0" w:space="0" w:color="auto"/>
                <w:bottom w:val="none" w:sz="0" w:space="0" w:color="auto"/>
                <w:right w:val="none" w:sz="0" w:space="0" w:color="auto"/>
              </w:divBdr>
            </w:div>
          </w:divsChild>
        </w:div>
        <w:div w:id="72894537">
          <w:marLeft w:val="0"/>
          <w:marRight w:val="0"/>
          <w:marTop w:val="0"/>
          <w:marBottom w:val="0"/>
          <w:divBdr>
            <w:top w:val="none" w:sz="0" w:space="0" w:color="auto"/>
            <w:left w:val="none" w:sz="0" w:space="0" w:color="auto"/>
            <w:bottom w:val="none" w:sz="0" w:space="0" w:color="auto"/>
            <w:right w:val="none" w:sz="0" w:space="0" w:color="auto"/>
          </w:divBdr>
          <w:divsChild>
            <w:div w:id="46344929">
              <w:marLeft w:val="0"/>
              <w:marRight w:val="0"/>
              <w:marTop w:val="0"/>
              <w:marBottom w:val="0"/>
              <w:divBdr>
                <w:top w:val="none" w:sz="0" w:space="0" w:color="auto"/>
                <w:left w:val="none" w:sz="0" w:space="0" w:color="auto"/>
                <w:bottom w:val="none" w:sz="0" w:space="0" w:color="auto"/>
                <w:right w:val="none" w:sz="0" w:space="0" w:color="auto"/>
              </w:divBdr>
            </w:div>
          </w:divsChild>
        </w:div>
        <w:div w:id="873732724">
          <w:marLeft w:val="0"/>
          <w:marRight w:val="0"/>
          <w:marTop w:val="0"/>
          <w:marBottom w:val="0"/>
          <w:divBdr>
            <w:top w:val="none" w:sz="0" w:space="0" w:color="auto"/>
            <w:left w:val="none" w:sz="0" w:space="0" w:color="auto"/>
            <w:bottom w:val="none" w:sz="0" w:space="0" w:color="auto"/>
            <w:right w:val="none" w:sz="0" w:space="0" w:color="auto"/>
          </w:divBdr>
          <w:divsChild>
            <w:div w:id="769394229">
              <w:marLeft w:val="0"/>
              <w:marRight w:val="0"/>
              <w:marTop w:val="0"/>
              <w:marBottom w:val="0"/>
              <w:divBdr>
                <w:top w:val="none" w:sz="0" w:space="0" w:color="auto"/>
                <w:left w:val="none" w:sz="0" w:space="0" w:color="auto"/>
                <w:bottom w:val="none" w:sz="0" w:space="0" w:color="auto"/>
                <w:right w:val="none" w:sz="0" w:space="0" w:color="auto"/>
              </w:divBdr>
            </w:div>
          </w:divsChild>
        </w:div>
        <w:div w:id="1742093321">
          <w:marLeft w:val="0"/>
          <w:marRight w:val="0"/>
          <w:marTop w:val="0"/>
          <w:marBottom w:val="0"/>
          <w:divBdr>
            <w:top w:val="none" w:sz="0" w:space="0" w:color="auto"/>
            <w:left w:val="none" w:sz="0" w:space="0" w:color="auto"/>
            <w:bottom w:val="none" w:sz="0" w:space="0" w:color="auto"/>
            <w:right w:val="none" w:sz="0" w:space="0" w:color="auto"/>
          </w:divBdr>
          <w:divsChild>
            <w:div w:id="1436554401">
              <w:marLeft w:val="0"/>
              <w:marRight w:val="0"/>
              <w:marTop w:val="0"/>
              <w:marBottom w:val="0"/>
              <w:divBdr>
                <w:top w:val="none" w:sz="0" w:space="0" w:color="auto"/>
                <w:left w:val="none" w:sz="0" w:space="0" w:color="auto"/>
                <w:bottom w:val="none" w:sz="0" w:space="0" w:color="auto"/>
                <w:right w:val="none" w:sz="0" w:space="0" w:color="auto"/>
              </w:divBdr>
            </w:div>
          </w:divsChild>
        </w:div>
        <w:div w:id="1899122597">
          <w:marLeft w:val="0"/>
          <w:marRight w:val="0"/>
          <w:marTop w:val="0"/>
          <w:marBottom w:val="0"/>
          <w:divBdr>
            <w:top w:val="none" w:sz="0" w:space="0" w:color="auto"/>
            <w:left w:val="none" w:sz="0" w:space="0" w:color="auto"/>
            <w:bottom w:val="none" w:sz="0" w:space="0" w:color="auto"/>
            <w:right w:val="none" w:sz="0" w:space="0" w:color="auto"/>
          </w:divBdr>
          <w:divsChild>
            <w:div w:id="803616401">
              <w:marLeft w:val="0"/>
              <w:marRight w:val="0"/>
              <w:marTop w:val="0"/>
              <w:marBottom w:val="0"/>
              <w:divBdr>
                <w:top w:val="none" w:sz="0" w:space="0" w:color="auto"/>
                <w:left w:val="none" w:sz="0" w:space="0" w:color="auto"/>
                <w:bottom w:val="none" w:sz="0" w:space="0" w:color="auto"/>
                <w:right w:val="none" w:sz="0" w:space="0" w:color="auto"/>
              </w:divBdr>
            </w:div>
          </w:divsChild>
        </w:div>
        <w:div w:id="863445275">
          <w:marLeft w:val="0"/>
          <w:marRight w:val="0"/>
          <w:marTop w:val="0"/>
          <w:marBottom w:val="0"/>
          <w:divBdr>
            <w:top w:val="none" w:sz="0" w:space="0" w:color="auto"/>
            <w:left w:val="none" w:sz="0" w:space="0" w:color="auto"/>
            <w:bottom w:val="none" w:sz="0" w:space="0" w:color="auto"/>
            <w:right w:val="none" w:sz="0" w:space="0" w:color="auto"/>
          </w:divBdr>
          <w:divsChild>
            <w:div w:id="97987328">
              <w:marLeft w:val="0"/>
              <w:marRight w:val="0"/>
              <w:marTop w:val="0"/>
              <w:marBottom w:val="0"/>
              <w:divBdr>
                <w:top w:val="none" w:sz="0" w:space="0" w:color="auto"/>
                <w:left w:val="none" w:sz="0" w:space="0" w:color="auto"/>
                <w:bottom w:val="none" w:sz="0" w:space="0" w:color="auto"/>
                <w:right w:val="none" w:sz="0" w:space="0" w:color="auto"/>
              </w:divBdr>
            </w:div>
          </w:divsChild>
        </w:div>
        <w:div w:id="575672892">
          <w:marLeft w:val="0"/>
          <w:marRight w:val="0"/>
          <w:marTop w:val="0"/>
          <w:marBottom w:val="0"/>
          <w:divBdr>
            <w:top w:val="none" w:sz="0" w:space="0" w:color="auto"/>
            <w:left w:val="none" w:sz="0" w:space="0" w:color="auto"/>
            <w:bottom w:val="none" w:sz="0" w:space="0" w:color="auto"/>
            <w:right w:val="none" w:sz="0" w:space="0" w:color="auto"/>
          </w:divBdr>
          <w:divsChild>
            <w:div w:id="607548989">
              <w:marLeft w:val="0"/>
              <w:marRight w:val="0"/>
              <w:marTop w:val="0"/>
              <w:marBottom w:val="0"/>
              <w:divBdr>
                <w:top w:val="none" w:sz="0" w:space="0" w:color="auto"/>
                <w:left w:val="none" w:sz="0" w:space="0" w:color="auto"/>
                <w:bottom w:val="none" w:sz="0" w:space="0" w:color="auto"/>
                <w:right w:val="none" w:sz="0" w:space="0" w:color="auto"/>
              </w:divBdr>
            </w:div>
          </w:divsChild>
        </w:div>
        <w:div w:id="1049183107">
          <w:marLeft w:val="0"/>
          <w:marRight w:val="0"/>
          <w:marTop w:val="0"/>
          <w:marBottom w:val="0"/>
          <w:divBdr>
            <w:top w:val="none" w:sz="0" w:space="0" w:color="auto"/>
            <w:left w:val="none" w:sz="0" w:space="0" w:color="auto"/>
            <w:bottom w:val="none" w:sz="0" w:space="0" w:color="auto"/>
            <w:right w:val="none" w:sz="0" w:space="0" w:color="auto"/>
          </w:divBdr>
          <w:divsChild>
            <w:div w:id="435441708">
              <w:marLeft w:val="0"/>
              <w:marRight w:val="0"/>
              <w:marTop w:val="0"/>
              <w:marBottom w:val="0"/>
              <w:divBdr>
                <w:top w:val="none" w:sz="0" w:space="0" w:color="auto"/>
                <w:left w:val="none" w:sz="0" w:space="0" w:color="auto"/>
                <w:bottom w:val="none" w:sz="0" w:space="0" w:color="auto"/>
                <w:right w:val="none" w:sz="0" w:space="0" w:color="auto"/>
              </w:divBdr>
            </w:div>
          </w:divsChild>
        </w:div>
        <w:div w:id="158228211">
          <w:marLeft w:val="0"/>
          <w:marRight w:val="0"/>
          <w:marTop w:val="0"/>
          <w:marBottom w:val="0"/>
          <w:divBdr>
            <w:top w:val="none" w:sz="0" w:space="0" w:color="auto"/>
            <w:left w:val="none" w:sz="0" w:space="0" w:color="auto"/>
            <w:bottom w:val="none" w:sz="0" w:space="0" w:color="auto"/>
            <w:right w:val="none" w:sz="0" w:space="0" w:color="auto"/>
          </w:divBdr>
          <w:divsChild>
            <w:div w:id="576329510">
              <w:marLeft w:val="0"/>
              <w:marRight w:val="0"/>
              <w:marTop w:val="0"/>
              <w:marBottom w:val="0"/>
              <w:divBdr>
                <w:top w:val="none" w:sz="0" w:space="0" w:color="auto"/>
                <w:left w:val="none" w:sz="0" w:space="0" w:color="auto"/>
                <w:bottom w:val="none" w:sz="0" w:space="0" w:color="auto"/>
                <w:right w:val="none" w:sz="0" w:space="0" w:color="auto"/>
              </w:divBdr>
            </w:div>
          </w:divsChild>
        </w:div>
        <w:div w:id="17433284">
          <w:marLeft w:val="0"/>
          <w:marRight w:val="0"/>
          <w:marTop w:val="0"/>
          <w:marBottom w:val="0"/>
          <w:divBdr>
            <w:top w:val="none" w:sz="0" w:space="0" w:color="auto"/>
            <w:left w:val="none" w:sz="0" w:space="0" w:color="auto"/>
            <w:bottom w:val="none" w:sz="0" w:space="0" w:color="auto"/>
            <w:right w:val="none" w:sz="0" w:space="0" w:color="auto"/>
          </w:divBdr>
          <w:divsChild>
            <w:div w:id="973488973">
              <w:marLeft w:val="0"/>
              <w:marRight w:val="0"/>
              <w:marTop w:val="0"/>
              <w:marBottom w:val="0"/>
              <w:divBdr>
                <w:top w:val="none" w:sz="0" w:space="0" w:color="auto"/>
                <w:left w:val="none" w:sz="0" w:space="0" w:color="auto"/>
                <w:bottom w:val="none" w:sz="0" w:space="0" w:color="auto"/>
                <w:right w:val="none" w:sz="0" w:space="0" w:color="auto"/>
              </w:divBdr>
            </w:div>
          </w:divsChild>
        </w:div>
        <w:div w:id="674918744">
          <w:marLeft w:val="0"/>
          <w:marRight w:val="0"/>
          <w:marTop w:val="0"/>
          <w:marBottom w:val="0"/>
          <w:divBdr>
            <w:top w:val="none" w:sz="0" w:space="0" w:color="auto"/>
            <w:left w:val="none" w:sz="0" w:space="0" w:color="auto"/>
            <w:bottom w:val="none" w:sz="0" w:space="0" w:color="auto"/>
            <w:right w:val="none" w:sz="0" w:space="0" w:color="auto"/>
          </w:divBdr>
          <w:divsChild>
            <w:div w:id="594360762">
              <w:marLeft w:val="0"/>
              <w:marRight w:val="0"/>
              <w:marTop w:val="0"/>
              <w:marBottom w:val="0"/>
              <w:divBdr>
                <w:top w:val="none" w:sz="0" w:space="0" w:color="auto"/>
                <w:left w:val="none" w:sz="0" w:space="0" w:color="auto"/>
                <w:bottom w:val="none" w:sz="0" w:space="0" w:color="auto"/>
                <w:right w:val="none" w:sz="0" w:space="0" w:color="auto"/>
              </w:divBdr>
            </w:div>
          </w:divsChild>
        </w:div>
        <w:div w:id="2067755065">
          <w:marLeft w:val="0"/>
          <w:marRight w:val="0"/>
          <w:marTop w:val="0"/>
          <w:marBottom w:val="0"/>
          <w:divBdr>
            <w:top w:val="none" w:sz="0" w:space="0" w:color="auto"/>
            <w:left w:val="none" w:sz="0" w:space="0" w:color="auto"/>
            <w:bottom w:val="none" w:sz="0" w:space="0" w:color="auto"/>
            <w:right w:val="none" w:sz="0" w:space="0" w:color="auto"/>
          </w:divBdr>
          <w:divsChild>
            <w:div w:id="1585994985">
              <w:marLeft w:val="0"/>
              <w:marRight w:val="0"/>
              <w:marTop w:val="0"/>
              <w:marBottom w:val="0"/>
              <w:divBdr>
                <w:top w:val="none" w:sz="0" w:space="0" w:color="auto"/>
                <w:left w:val="none" w:sz="0" w:space="0" w:color="auto"/>
                <w:bottom w:val="none" w:sz="0" w:space="0" w:color="auto"/>
                <w:right w:val="none" w:sz="0" w:space="0" w:color="auto"/>
              </w:divBdr>
            </w:div>
          </w:divsChild>
        </w:div>
        <w:div w:id="1109355993">
          <w:marLeft w:val="0"/>
          <w:marRight w:val="0"/>
          <w:marTop w:val="0"/>
          <w:marBottom w:val="0"/>
          <w:divBdr>
            <w:top w:val="none" w:sz="0" w:space="0" w:color="auto"/>
            <w:left w:val="none" w:sz="0" w:space="0" w:color="auto"/>
            <w:bottom w:val="none" w:sz="0" w:space="0" w:color="auto"/>
            <w:right w:val="none" w:sz="0" w:space="0" w:color="auto"/>
          </w:divBdr>
          <w:divsChild>
            <w:div w:id="1941914393">
              <w:marLeft w:val="0"/>
              <w:marRight w:val="0"/>
              <w:marTop w:val="0"/>
              <w:marBottom w:val="0"/>
              <w:divBdr>
                <w:top w:val="none" w:sz="0" w:space="0" w:color="auto"/>
                <w:left w:val="none" w:sz="0" w:space="0" w:color="auto"/>
                <w:bottom w:val="none" w:sz="0" w:space="0" w:color="auto"/>
                <w:right w:val="none" w:sz="0" w:space="0" w:color="auto"/>
              </w:divBdr>
            </w:div>
          </w:divsChild>
        </w:div>
        <w:div w:id="1250188944">
          <w:marLeft w:val="0"/>
          <w:marRight w:val="0"/>
          <w:marTop w:val="0"/>
          <w:marBottom w:val="0"/>
          <w:divBdr>
            <w:top w:val="none" w:sz="0" w:space="0" w:color="auto"/>
            <w:left w:val="none" w:sz="0" w:space="0" w:color="auto"/>
            <w:bottom w:val="none" w:sz="0" w:space="0" w:color="auto"/>
            <w:right w:val="none" w:sz="0" w:space="0" w:color="auto"/>
          </w:divBdr>
          <w:divsChild>
            <w:div w:id="1076976935">
              <w:marLeft w:val="0"/>
              <w:marRight w:val="0"/>
              <w:marTop w:val="0"/>
              <w:marBottom w:val="0"/>
              <w:divBdr>
                <w:top w:val="none" w:sz="0" w:space="0" w:color="auto"/>
                <w:left w:val="none" w:sz="0" w:space="0" w:color="auto"/>
                <w:bottom w:val="none" w:sz="0" w:space="0" w:color="auto"/>
                <w:right w:val="none" w:sz="0" w:space="0" w:color="auto"/>
              </w:divBdr>
            </w:div>
          </w:divsChild>
        </w:div>
        <w:div w:id="679236462">
          <w:marLeft w:val="0"/>
          <w:marRight w:val="0"/>
          <w:marTop w:val="0"/>
          <w:marBottom w:val="0"/>
          <w:divBdr>
            <w:top w:val="none" w:sz="0" w:space="0" w:color="auto"/>
            <w:left w:val="none" w:sz="0" w:space="0" w:color="auto"/>
            <w:bottom w:val="none" w:sz="0" w:space="0" w:color="auto"/>
            <w:right w:val="none" w:sz="0" w:space="0" w:color="auto"/>
          </w:divBdr>
          <w:divsChild>
            <w:div w:id="1718578735">
              <w:marLeft w:val="0"/>
              <w:marRight w:val="0"/>
              <w:marTop w:val="0"/>
              <w:marBottom w:val="0"/>
              <w:divBdr>
                <w:top w:val="none" w:sz="0" w:space="0" w:color="auto"/>
                <w:left w:val="none" w:sz="0" w:space="0" w:color="auto"/>
                <w:bottom w:val="none" w:sz="0" w:space="0" w:color="auto"/>
                <w:right w:val="none" w:sz="0" w:space="0" w:color="auto"/>
              </w:divBdr>
            </w:div>
          </w:divsChild>
        </w:div>
        <w:div w:id="1669013959">
          <w:marLeft w:val="0"/>
          <w:marRight w:val="0"/>
          <w:marTop w:val="0"/>
          <w:marBottom w:val="0"/>
          <w:divBdr>
            <w:top w:val="none" w:sz="0" w:space="0" w:color="auto"/>
            <w:left w:val="none" w:sz="0" w:space="0" w:color="auto"/>
            <w:bottom w:val="none" w:sz="0" w:space="0" w:color="auto"/>
            <w:right w:val="none" w:sz="0" w:space="0" w:color="auto"/>
          </w:divBdr>
          <w:divsChild>
            <w:div w:id="1014310146">
              <w:marLeft w:val="0"/>
              <w:marRight w:val="0"/>
              <w:marTop w:val="0"/>
              <w:marBottom w:val="0"/>
              <w:divBdr>
                <w:top w:val="none" w:sz="0" w:space="0" w:color="auto"/>
                <w:left w:val="none" w:sz="0" w:space="0" w:color="auto"/>
                <w:bottom w:val="none" w:sz="0" w:space="0" w:color="auto"/>
                <w:right w:val="none" w:sz="0" w:space="0" w:color="auto"/>
              </w:divBdr>
            </w:div>
          </w:divsChild>
        </w:div>
        <w:div w:id="1980181355">
          <w:marLeft w:val="0"/>
          <w:marRight w:val="0"/>
          <w:marTop w:val="0"/>
          <w:marBottom w:val="0"/>
          <w:divBdr>
            <w:top w:val="none" w:sz="0" w:space="0" w:color="auto"/>
            <w:left w:val="none" w:sz="0" w:space="0" w:color="auto"/>
            <w:bottom w:val="none" w:sz="0" w:space="0" w:color="auto"/>
            <w:right w:val="none" w:sz="0" w:space="0" w:color="auto"/>
          </w:divBdr>
          <w:divsChild>
            <w:div w:id="1638753257">
              <w:marLeft w:val="0"/>
              <w:marRight w:val="0"/>
              <w:marTop w:val="0"/>
              <w:marBottom w:val="0"/>
              <w:divBdr>
                <w:top w:val="none" w:sz="0" w:space="0" w:color="auto"/>
                <w:left w:val="none" w:sz="0" w:space="0" w:color="auto"/>
                <w:bottom w:val="none" w:sz="0" w:space="0" w:color="auto"/>
                <w:right w:val="none" w:sz="0" w:space="0" w:color="auto"/>
              </w:divBdr>
            </w:div>
          </w:divsChild>
        </w:div>
        <w:div w:id="1874225494">
          <w:marLeft w:val="0"/>
          <w:marRight w:val="0"/>
          <w:marTop w:val="0"/>
          <w:marBottom w:val="0"/>
          <w:divBdr>
            <w:top w:val="none" w:sz="0" w:space="0" w:color="auto"/>
            <w:left w:val="none" w:sz="0" w:space="0" w:color="auto"/>
            <w:bottom w:val="none" w:sz="0" w:space="0" w:color="auto"/>
            <w:right w:val="none" w:sz="0" w:space="0" w:color="auto"/>
          </w:divBdr>
          <w:divsChild>
            <w:div w:id="839662095">
              <w:marLeft w:val="0"/>
              <w:marRight w:val="0"/>
              <w:marTop w:val="0"/>
              <w:marBottom w:val="0"/>
              <w:divBdr>
                <w:top w:val="none" w:sz="0" w:space="0" w:color="auto"/>
                <w:left w:val="none" w:sz="0" w:space="0" w:color="auto"/>
                <w:bottom w:val="none" w:sz="0" w:space="0" w:color="auto"/>
                <w:right w:val="none" w:sz="0" w:space="0" w:color="auto"/>
              </w:divBdr>
            </w:div>
          </w:divsChild>
        </w:div>
        <w:div w:id="1250237176">
          <w:marLeft w:val="0"/>
          <w:marRight w:val="0"/>
          <w:marTop w:val="0"/>
          <w:marBottom w:val="0"/>
          <w:divBdr>
            <w:top w:val="none" w:sz="0" w:space="0" w:color="auto"/>
            <w:left w:val="none" w:sz="0" w:space="0" w:color="auto"/>
            <w:bottom w:val="none" w:sz="0" w:space="0" w:color="auto"/>
            <w:right w:val="none" w:sz="0" w:space="0" w:color="auto"/>
          </w:divBdr>
          <w:divsChild>
            <w:div w:id="722487980">
              <w:marLeft w:val="0"/>
              <w:marRight w:val="0"/>
              <w:marTop w:val="0"/>
              <w:marBottom w:val="0"/>
              <w:divBdr>
                <w:top w:val="none" w:sz="0" w:space="0" w:color="auto"/>
                <w:left w:val="none" w:sz="0" w:space="0" w:color="auto"/>
                <w:bottom w:val="none" w:sz="0" w:space="0" w:color="auto"/>
                <w:right w:val="none" w:sz="0" w:space="0" w:color="auto"/>
              </w:divBdr>
            </w:div>
          </w:divsChild>
        </w:div>
        <w:div w:id="719132439">
          <w:marLeft w:val="0"/>
          <w:marRight w:val="0"/>
          <w:marTop w:val="0"/>
          <w:marBottom w:val="0"/>
          <w:divBdr>
            <w:top w:val="none" w:sz="0" w:space="0" w:color="auto"/>
            <w:left w:val="none" w:sz="0" w:space="0" w:color="auto"/>
            <w:bottom w:val="none" w:sz="0" w:space="0" w:color="auto"/>
            <w:right w:val="none" w:sz="0" w:space="0" w:color="auto"/>
          </w:divBdr>
          <w:divsChild>
            <w:div w:id="694504958">
              <w:marLeft w:val="0"/>
              <w:marRight w:val="0"/>
              <w:marTop w:val="0"/>
              <w:marBottom w:val="0"/>
              <w:divBdr>
                <w:top w:val="none" w:sz="0" w:space="0" w:color="auto"/>
                <w:left w:val="none" w:sz="0" w:space="0" w:color="auto"/>
                <w:bottom w:val="none" w:sz="0" w:space="0" w:color="auto"/>
                <w:right w:val="none" w:sz="0" w:space="0" w:color="auto"/>
              </w:divBdr>
            </w:div>
          </w:divsChild>
        </w:div>
        <w:div w:id="243148288">
          <w:marLeft w:val="0"/>
          <w:marRight w:val="0"/>
          <w:marTop w:val="0"/>
          <w:marBottom w:val="0"/>
          <w:divBdr>
            <w:top w:val="none" w:sz="0" w:space="0" w:color="auto"/>
            <w:left w:val="none" w:sz="0" w:space="0" w:color="auto"/>
            <w:bottom w:val="none" w:sz="0" w:space="0" w:color="auto"/>
            <w:right w:val="none" w:sz="0" w:space="0" w:color="auto"/>
          </w:divBdr>
          <w:divsChild>
            <w:div w:id="1621644237">
              <w:marLeft w:val="0"/>
              <w:marRight w:val="0"/>
              <w:marTop w:val="0"/>
              <w:marBottom w:val="0"/>
              <w:divBdr>
                <w:top w:val="none" w:sz="0" w:space="0" w:color="auto"/>
                <w:left w:val="none" w:sz="0" w:space="0" w:color="auto"/>
                <w:bottom w:val="none" w:sz="0" w:space="0" w:color="auto"/>
                <w:right w:val="none" w:sz="0" w:space="0" w:color="auto"/>
              </w:divBdr>
            </w:div>
          </w:divsChild>
        </w:div>
        <w:div w:id="545917230">
          <w:marLeft w:val="0"/>
          <w:marRight w:val="0"/>
          <w:marTop w:val="0"/>
          <w:marBottom w:val="0"/>
          <w:divBdr>
            <w:top w:val="none" w:sz="0" w:space="0" w:color="auto"/>
            <w:left w:val="none" w:sz="0" w:space="0" w:color="auto"/>
            <w:bottom w:val="none" w:sz="0" w:space="0" w:color="auto"/>
            <w:right w:val="none" w:sz="0" w:space="0" w:color="auto"/>
          </w:divBdr>
          <w:divsChild>
            <w:div w:id="1577128091">
              <w:marLeft w:val="0"/>
              <w:marRight w:val="0"/>
              <w:marTop w:val="0"/>
              <w:marBottom w:val="0"/>
              <w:divBdr>
                <w:top w:val="none" w:sz="0" w:space="0" w:color="auto"/>
                <w:left w:val="none" w:sz="0" w:space="0" w:color="auto"/>
                <w:bottom w:val="none" w:sz="0" w:space="0" w:color="auto"/>
                <w:right w:val="none" w:sz="0" w:space="0" w:color="auto"/>
              </w:divBdr>
            </w:div>
          </w:divsChild>
        </w:div>
        <w:div w:id="292447658">
          <w:marLeft w:val="0"/>
          <w:marRight w:val="0"/>
          <w:marTop w:val="0"/>
          <w:marBottom w:val="0"/>
          <w:divBdr>
            <w:top w:val="none" w:sz="0" w:space="0" w:color="auto"/>
            <w:left w:val="none" w:sz="0" w:space="0" w:color="auto"/>
            <w:bottom w:val="none" w:sz="0" w:space="0" w:color="auto"/>
            <w:right w:val="none" w:sz="0" w:space="0" w:color="auto"/>
          </w:divBdr>
          <w:divsChild>
            <w:div w:id="1025904848">
              <w:marLeft w:val="0"/>
              <w:marRight w:val="0"/>
              <w:marTop w:val="0"/>
              <w:marBottom w:val="0"/>
              <w:divBdr>
                <w:top w:val="none" w:sz="0" w:space="0" w:color="auto"/>
                <w:left w:val="none" w:sz="0" w:space="0" w:color="auto"/>
                <w:bottom w:val="none" w:sz="0" w:space="0" w:color="auto"/>
                <w:right w:val="none" w:sz="0" w:space="0" w:color="auto"/>
              </w:divBdr>
            </w:div>
          </w:divsChild>
        </w:div>
        <w:div w:id="290064499">
          <w:marLeft w:val="0"/>
          <w:marRight w:val="0"/>
          <w:marTop w:val="0"/>
          <w:marBottom w:val="0"/>
          <w:divBdr>
            <w:top w:val="none" w:sz="0" w:space="0" w:color="auto"/>
            <w:left w:val="none" w:sz="0" w:space="0" w:color="auto"/>
            <w:bottom w:val="none" w:sz="0" w:space="0" w:color="auto"/>
            <w:right w:val="none" w:sz="0" w:space="0" w:color="auto"/>
          </w:divBdr>
          <w:divsChild>
            <w:div w:id="1650288664">
              <w:marLeft w:val="0"/>
              <w:marRight w:val="0"/>
              <w:marTop w:val="0"/>
              <w:marBottom w:val="0"/>
              <w:divBdr>
                <w:top w:val="none" w:sz="0" w:space="0" w:color="auto"/>
                <w:left w:val="none" w:sz="0" w:space="0" w:color="auto"/>
                <w:bottom w:val="none" w:sz="0" w:space="0" w:color="auto"/>
                <w:right w:val="none" w:sz="0" w:space="0" w:color="auto"/>
              </w:divBdr>
            </w:div>
          </w:divsChild>
        </w:div>
        <w:div w:id="1366977746">
          <w:marLeft w:val="0"/>
          <w:marRight w:val="0"/>
          <w:marTop w:val="0"/>
          <w:marBottom w:val="0"/>
          <w:divBdr>
            <w:top w:val="none" w:sz="0" w:space="0" w:color="auto"/>
            <w:left w:val="none" w:sz="0" w:space="0" w:color="auto"/>
            <w:bottom w:val="none" w:sz="0" w:space="0" w:color="auto"/>
            <w:right w:val="none" w:sz="0" w:space="0" w:color="auto"/>
          </w:divBdr>
          <w:divsChild>
            <w:div w:id="1045567048">
              <w:marLeft w:val="0"/>
              <w:marRight w:val="0"/>
              <w:marTop w:val="0"/>
              <w:marBottom w:val="0"/>
              <w:divBdr>
                <w:top w:val="none" w:sz="0" w:space="0" w:color="auto"/>
                <w:left w:val="none" w:sz="0" w:space="0" w:color="auto"/>
                <w:bottom w:val="none" w:sz="0" w:space="0" w:color="auto"/>
                <w:right w:val="none" w:sz="0" w:space="0" w:color="auto"/>
              </w:divBdr>
            </w:div>
          </w:divsChild>
        </w:div>
        <w:div w:id="619916686">
          <w:marLeft w:val="0"/>
          <w:marRight w:val="0"/>
          <w:marTop w:val="0"/>
          <w:marBottom w:val="0"/>
          <w:divBdr>
            <w:top w:val="none" w:sz="0" w:space="0" w:color="auto"/>
            <w:left w:val="none" w:sz="0" w:space="0" w:color="auto"/>
            <w:bottom w:val="none" w:sz="0" w:space="0" w:color="auto"/>
            <w:right w:val="none" w:sz="0" w:space="0" w:color="auto"/>
          </w:divBdr>
          <w:divsChild>
            <w:div w:id="1251043526">
              <w:marLeft w:val="0"/>
              <w:marRight w:val="0"/>
              <w:marTop w:val="0"/>
              <w:marBottom w:val="0"/>
              <w:divBdr>
                <w:top w:val="none" w:sz="0" w:space="0" w:color="auto"/>
                <w:left w:val="none" w:sz="0" w:space="0" w:color="auto"/>
                <w:bottom w:val="none" w:sz="0" w:space="0" w:color="auto"/>
                <w:right w:val="none" w:sz="0" w:space="0" w:color="auto"/>
              </w:divBdr>
            </w:div>
          </w:divsChild>
        </w:div>
        <w:div w:id="1017734974">
          <w:marLeft w:val="0"/>
          <w:marRight w:val="0"/>
          <w:marTop w:val="0"/>
          <w:marBottom w:val="0"/>
          <w:divBdr>
            <w:top w:val="none" w:sz="0" w:space="0" w:color="auto"/>
            <w:left w:val="none" w:sz="0" w:space="0" w:color="auto"/>
            <w:bottom w:val="none" w:sz="0" w:space="0" w:color="auto"/>
            <w:right w:val="none" w:sz="0" w:space="0" w:color="auto"/>
          </w:divBdr>
          <w:divsChild>
            <w:div w:id="891233751">
              <w:marLeft w:val="0"/>
              <w:marRight w:val="0"/>
              <w:marTop w:val="0"/>
              <w:marBottom w:val="0"/>
              <w:divBdr>
                <w:top w:val="none" w:sz="0" w:space="0" w:color="auto"/>
                <w:left w:val="none" w:sz="0" w:space="0" w:color="auto"/>
                <w:bottom w:val="none" w:sz="0" w:space="0" w:color="auto"/>
                <w:right w:val="none" w:sz="0" w:space="0" w:color="auto"/>
              </w:divBdr>
            </w:div>
          </w:divsChild>
        </w:div>
        <w:div w:id="88237831">
          <w:marLeft w:val="0"/>
          <w:marRight w:val="0"/>
          <w:marTop w:val="0"/>
          <w:marBottom w:val="0"/>
          <w:divBdr>
            <w:top w:val="none" w:sz="0" w:space="0" w:color="auto"/>
            <w:left w:val="none" w:sz="0" w:space="0" w:color="auto"/>
            <w:bottom w:val="none" w:sz="0" w:space="0" w:color="auto"/>
            <w:right w:val="none" w:sz="0" w:space="0" w:color="auto"/>
          </w:divBdr>
          <w:divsChild>
            <w:div w:id="1613972441">
              <w:marLeft w:val="0"/>
              <w:marRight w:val="0"/>
              <w:marTop w:val="0"/>
              <w:marBottom w:val="0"/>
              <w:divBdr>
                <w:top w:val="none" w:sz="0" w:space="0" w:color="auto"/>
                <w:left w:val="none" w:sz="0" w:space="0" w:color="auto"/>
                <w:bottom w:val="none" w:sz="0" w:space="0" w:color="auto"/>
                <w:right w:val="none" w:sz="0" w:space="0" w:color="auto"/>
              </w:divBdr>
            </w:div>
          </w:divsChild>
        </w:div>
        <w:div w:id="1209368455">
          <w:marLeft w:val="0"/>
          <w:marRight w:val="0"/>
          <w:marTop w:val="0"/>
          <w:marBottom w:val="0"/>
          <w:divBdr>
            <w:top w:val="none" w:sz="0" w:space="0" w:color="auto"/>
            <w:left w:val="none" w:sz="0" w:space="0" w:color="auto"/>
            <w:bottom w:val="none" w:sz="0" w:space="0" w:color="auto"/>
            <w:right w:val="none" w:sz="0" w:space="0" w:color="auto"/>
          </w:divBdr>
          <w:divsChild>
            <w:div w:id="337856826">
              <w:marLeft w:val="0"/>
              <w:marRight w:val="0"/>
              <w:marTop w:val="0"/>
              <w:marBottom w:val="0"/>
              <w:divBdr>
                <w:top w:val="none" w:sz="0" w:space="0" w:color="auto"/>
                <w:left w:val="none" w:sz="0" w:space="0" w:color="auto"/>
                <w:bottom w:val="none" w:sz="0" w:space="0" w:color="auto"/>
                <w:right w:val="none" w:sz="0" w:space="0" w:color="auto"/>
              </w:divBdr>
            </w:div>
          </w:divsChild>
        </w:div>
        <w:div w:id="2071538399">
          <w:marLeft w:val="0"/>
          <w:marRight w:val="0"/>
          <w:marTop w:val="0"/>
          <w:marBottom w:val="0"/>
          <w:divBdr>
            <w:top w:val="none" w:sz="0" w:space="0" w:color="auto"/>
            <w:left w:val="none" w:sz="0" w:space="0" w:color="auto"/>
            <w:bottom w:val="none" w:sz="0" w:space="0" w:color="auto"/>
            <w:right w:val="none" w:sz="0" w:space="0" w:color="auto"/>
          </w:divBdr>
          <w:divsChild>
            <w:div w:id="2136486035">
              <w:marLeft w:val="0"/>
              <w:marRight w:val="0"/>
              <w:marTop w:val="0"/>
              <w:marBottom w:val="0"/>
              <w:divBdr>
                <w:top w:val="none" w:sz="0" w:space="0" w:color="auto"/>
                <w:left w:val="none" w:sz="0" w:space="0" w:color="auto"/>
                <w:bottom w:val="none" w:sz="0" w:space="0" w:color="auto"/>
                <w:right w:val="none" w:sz="0" w:space="0" w:color="auto"/>
              </w:divBdr>
            </w:div>
          </w:divsChild>
        </w:div>
        <w:div w:id="872184337">
          <w:marLeft w:val="0"/>
          <w:marRight w:val="0"/>
          <w:marTop w:val="0"/>
          <w:marBottom w:val="0"/>
          <w:divBdr>
            <w:top w:val="none" w:sz="0" w:space="0" w:color="auto"/>
            <w:left w:val="none" w:sz="0" w:space="0" w:color="auto"/>
            <w:bottom w:val="none" w:sz="0" w:space="0" w:color="auto"/>
            <w:right w:val="none" w:sz="0" w:space="0" w:color="auto"/>
          </w:divBdr>
          <w:divsChild>
            <w:div w:id="1089931663">
              <w:marLeft w:val="0"/>
              <w:marRight w:val="0"/>
              <w:marTop w:val="0"/>
              <w:marBottom w:val="0"/>
              <w:divBdr>
                <w:top w:val="none" w:sz="0" w:space="0" w:color="auto"/>
                <w:left w:val="none" w:sz="0" w:space="0" w:color="auto"/>
                <w:bottom w:val="none" w:sz="0" w:space="0" w:color="auto"/>
                <w:right w:val="none" w:sz="0" w:space="0" w:color="auto"/>
              </w:divBdr>
            </w:div>
          </w:divsChild>
        </w:div>
        <w:div w:id="1107772561">
          <w:marLeft w:val="0"/>
          <w:marRight w:val="0"/>
          <w:marTop w:val="0"/>
          <w:marBottom w:val="0"/>
          <w:divBdr>
            <w:top w:val="none" w:sz="0" w:space="0" w:color="auto"/>
            <w:left w:val="none" w:sz="0" w:space="0" w:color="auto"/>
            <w:bottom w:val="none" w:sz="0" w:space="0" w:color="auto"/>
            <w:right w:val="none" w:sz="0" w:space="0" w:color="auto"/>
          </w:divBdr>
          <w:divsChild>
            <w:div w:id="2079354205">
              <w:marLeft w:val="0"/>
              <w:marRight w:val="0"/>
              <w:marTop w:val="0"/>
              <w:marBottom w:val="0"/>
              <w:divBdr>
                <w:top w:val="none" w:sz="0" w:space="0" w:color="auto"/>
                <w:left w:val="none" w:sz="0" w:space="0" w:color="auto"/>
                <w:bottom w:val="none" w:sz="0" w:space="0" w:color="auto"/>
                <w:right w:val="none" w:sz="0" w:space="0" w:color="auto"/>
              </w:divBdr>
            </w:div>
          </w:divsChild>
        </w:div>
        <w:div w:id="1516001185">
          <w:marLeft w:val="0"/>
          <w:marRight w:val="0"/>
          <w:marTop w:val="0"/>
          <w:marBottom w:val="0"/>
          <w:divBdr>
            <w:top w:val="none" w:sz="0" w:space="0" w:color="auto"/>
            <w:left w:val="none" w:sz="0" w:space="0" w:color="auto"/>
            <w:bottom w:val="none" w:sz="0" w:space="0" w:color="auto"/>
            <w:right w:val="none" w:sz="0" w:space="0" w:color="auto"/>
          </w:divBdr>
          <w:divsChild>
            <w:div w:id="48577703">
              <w:marLeft w:val="0"/>
              <w:marRight w:val="0"/>
              <w:marTop w:val="0"/>
              <w:marBottom w:val="0"/>
              <w:divBdr>
                <w:top w:val="none" w:sz="0" w:space="0" w:color="auto"/>
                <w:left w:val="none" w:sz="0" w:space="0" w:color="auto"/>
                <w:bottom w:val="none" w:sz="0" w:space="0" w:color="auto"/>
                <w:right w:val="none" w:sz="0" w:space="0" w:color="auto"/>
              </w:divBdr>
            </w:div>
          </w:divsChild>
        </w:div>
        <w:div w:id="2113893909">
          <w:marLeft w:val="0"/>
          <w:marRight w:val="0"/>
          <w:marTop w:val="0"/>
          <w:marBottom w:val="0"/>
          <w:divBdr>
            <w:top w:val="none" w:sz="0" w:space="0" w:color="auto"/>
            <w:left w:val="none" w:sz="0" w:space="0" w:color="auto"/>
            <w:bottom w:val="none" w:sz="0" w:space="0" w:color="auto"/>
            <w:right w:val="none" w:sz="0" w:space="0" w:color="auto"/>
          </w:divBdr>
          <w:divsChild>
            <w:div w:id="1888835416">
              <w:marLeft w:val="0"/>
              <w:marRight w:val="0"/>
              <w:marTop w:val="0"/>
              <w:marBottom w:val="0"/>
              <w:divBdr>
                <w:top w:val="none" w:sz="0" w:space="0" w:color="auto"/>
                <w:left w:val="none" w:sz="0" w:space="0" w:color="auto"/>
                <w:bottom w:val="none" w:sz="0" w:space="0" w:color="auto"/>
                <w:right w:val="none" w:sz="0" w:space="0" w:color="auto"/>
              </w:divBdr>
            </w:div>
          </w:divsChild>
        </w:div>
        <w:div w:id="1444569032">
          <w:marLeft w:val="0"/>
          <w:marRight w:val="0"/>
          <w:marTop w:val="0"/>
          <w:marBottom w:val="0"/>
          <w:divBdr>
            <w:top w:val="none" w:sz="0" w:space="0" w:color="auto"/>
            <w:left w:val="none" w:sz="0" w:space="0" w:color="auto"/>
            <w:bottom w:val="none" w:sz="0" w:space="0" w:color="auto"/>
            <w:right w:val="none" w:sz="0" w:space="0" w:color="auto"/>
          </w:divBdr>
          <w:divsChild>
            <w:div w:id="695809270">
              <w:marLeft w:val="0"/>
              <w:marRight w:val="0"/>
              <w:marTop w:val="0"/>
              <w:marBottom w:val="0"/>
              <w:divBdr>
                <w:top w:val="none" w:sz="0" w:space="0" w:color="auto"/>
                <w:left w:val="none" w:sz="0" w:space="0" w:color="auto"/>
                <w:bottom w:val="none" w:sz="0" w:space="0" w:color="auto"/>
                <w:right w:val="none" w:sz="0" w:space="0" w:color="auto"/>
              </w:divBdr>
            </w:div>
          </w:divsChild>
        </w:div>
        <w:div w:id="786898430">
          <w:marLeft w:val="0"/>
          <w:marRight w:val="0"/>
          <w:marTop w:val="0"/>
          <w:marBottom w:val="0"/>
          <w:divBdr>
            <w:top w:val="none" w:sz="0" w:space="0" w:color="auto"/>
            <w:left w:val="none" w:sz="0" w:space="0" w:color="auto"/>
            <w:bottom w:val="none" w:sz="0" w:space="0" w:color="auto"/>
            <w:right w:val="none" w:sz="0" w:space="0" w:color="auto"/>
          </w:divBdr>
          <w:divsChild>
            <w:div w:id="493448658">
              <w:marLeft w:val="0"/>
              <w:marRight w:val="0"/>
              <w:marTop w:val="0"/>
              <w:marBottom w:val="0"/>
              <w:divBdr>
                <w:top w:val="none" w:sz="0" w:space="0" w:color="auto"/>
                <w:left w:val="none" w:sz="0" w:space="0" w:color="auto"/>
                <w:bottom w:val="none" w:sz="0" w:space="0" w:color="auto"/>
                <w:right w:val="none" w:sz="0" w:space="0" w:color="auto"/>
              </w:divBdr>
            </w:div>
          </w:divsChild>
        </w:div>
        <w:div w:id="514152583">
          <w:marLeft w:val="0"/>
          <w:marRight w:val="0"/>
          <w:marTop w:val="0"/>
          <w:marBottom w:val="0"/>
          <w:divBdr>
            <w:top w:val="none" w:sz="0" w:space="0" w:color="auto"/>
            <w:left w:val="none" w:sz="0" w:space="0" w:color="auto"/>
            <w:bottom w:val="none" w:sz="0" w:space="0" w:color="auto"/>
            <w:right w:val="none" w:sz="0" w:space="0" w:color="auto"/>
          </w:divBdr>
          <w:divsChild>
            <w:div w:id="794102232">
              <w:marLeft w:val="0"/>
              <w:marRight w:val="0"/>
              <w:marTop w:val="0"/>
              <w:marBottom w:val="0"/>
              <w:divBdr>
                <w:top w:val="none" w:sz="0" w:space="0" w:color="auto"/>
                <w:left w:val="none" w:sz="0" w:space="0" w:color="auto"/>
                <w:bottom w:val="none" w:sz="0" w:space="0" w:color="auto"/>
                <w:right w:val="none" w:sz="0" w:space="0" w:color="auto"/>
              </w:divBdr>
            </w:div>
          </w:divsChild>
        </w:div>
        <w:div w:id="1850832732">
          <w:marLeft w:val="0"/>
          <w:marRight w:val="0"/>
          <w:marTop w:val="0"/>
          <w:marBottom w:val="0"/>
          <w:divBdr>
            <w:top w:val="none" w:sz="0" w:space="0" w:color="auto"/>
            <w:left w:val="none" w:sz="0" w:space="0" w:color="auto"/>
            <w:bottom w:val="none" w:sz="0" w:space="0" w:color="auto"/>
            <w:right w:val="none" w:sz="0" w:space="0" w:color="auto"/>
          </w:divBdr>
          <w:divsChild>
            <w:div w:id="1490899713">
              <w:marLeft w:val="0"/>
              <w:marRight w:val="0"/>
              <w:marTop w:val="0"/>
              <w:marBottom w:val="0"/>
              <w:divBdr>
                <w:top w:val="none" w:sz="0" w:space="0" w:color="auto"/>
                <w:left w:val="none" w:sz="0" w:space="0" w:color="auto"/>
                <w:bottom w:val="none" w:sz="0" w:space="0" w:color="auto"/>
                <w:right w:val="none" w:sz="0" w:space="0" w:color="auto"/>
              </w:divBdr>
            </w:div>
          </w:divsChild>
        </w:div>
        <w:div w:id="1270698033">
          <w:marLeft w:val="0"/>
          <w:marRight w:val="0"/>
          <w:marTop w:val="0"/>
          <w:marBottom w:val="0"/>
          <w:divBdr>
            <w:top w:val="none" w:sz="0" w:space="0" w:color="auto"/>
            <w:left w:val="none" w:sz="0" w:space="0" w:color="auto"/>
            <w:bottom w:val="none" w:sz="0" w:space="0" w:color="auto"/>
            <w:right w:val="none" w:sz="0" w:space="0" w:color="auto"/>
          </w:divBdr>
          <w:divsChild>
            <w:div w:id="527911713">
              <w:marLeft w:val="0"/>
              <w:marRight w:val="0"/>
              <w:marTop w:val="0"/>
              <w:marBottom w:val="0"/>
              <w:divBdr>
                <w:top w:val="none" w:sz="0" w:space="0" w:color="auto"/>
                <w:left w:val="none" w:sz="0" w:space="0" w:color="auto"/>
                <w:bottom w:val="none" w:sz="0" w:space="0" w:color="auto"/>
                <w:right w:val="none" w:sz="0" w:space="0" w:color="auto"/>
              </w:divBdr>
            </w:div>
          </w:divsChild>
        </w:div>
        <w:div w:id="1816532603">
          <w:marLeft w:val="0"/>
          <w:marRight w:val="0"/>
          <w:marTop w:val="0"/>
          <w:marBottom w:val="0"/>
          <w:divBdr>
            <w:top w:val="none" w:sz="0" w:space="0" w:color="auto"/>
            <w:left w:val="none" w:sz="0" w:space="0" w:color="auto"/>
            <w:bottom w:val="none" w:sz="0" w:space="0" w:color="auto"/>
            <w:right w:val="none" w:sz="0" w:space="0" w:color="auto"/>
          </w:divBdr>
          <w:divsChild>
            <w:div w:id="75636801">
              <w:marLeft w:val="0"/>
              <w:marRight w:val="0"/>
              <w:marTop w:val="0"/>
              <w:marBottom w:val="0"/>
              <w:divBdr>
                <w:top w:val="none" w:sz="0" w:space="0" w:color="auto"/>
                <w:left w:val="none" w:sz="0" w:space="0" w:color="auto"/>
                <w:bottom w:val="none" w:sz="0" w:space="0" w:color="auto"/>
                <w:right w:val="none" w:sz="0" w:space="0" w:color="auto"/>
              </w:divBdr>
            </w:div>
          </w:divsChild>
        </w:div>
        <w:div w:id="1951936358">
          <w:marLeft w:val="0"/>
          <w:marRight w:val="0"/>
          <w:marTop w:val="0"/>
          <w:marBottom w:val="0"/>
          <w:divBdr>
            <w:top w:val="none" w:sz="0" w:space="0" w:color="auto"/>
            <w:left w:val="none" w:sz="0" w:space="0" w:color="auto"/>
            <w:bottom w:val="none" w:sz="0" w:space="0" w:color="auto"/>
            <w:right w:val="none" w:sz="0" w:space="0" w:color="auto"/>
          </w:divBdr>
          <w:divsChild>
            <w:div w:id="210580547">
              <w:marLeft w:val="0"/>
              <w:marRight w:val="0"/>
              <w:marTop w:val="0"/>
              <w:marBottom w:val="0"/>
              <w:divBdr>
                <w:top w:val="none" w:sz="0" w:space="0" w:color="auto"/>
                <w:left w:val="none" w:sz="0" w:space="0" w:color="auto"/>
                <w:bottom w:val="none" w:sz="0" w:space="0" w:color="auto"/>
                <w:right w:val="none" w:sz="0" w:space="0" w:color="auto"/>
              </w:divBdr>
            </w:div>
          </w:divsChild>
        </w:div>
        <w:div w:id="1797799689">
          <w:marLeft w:val="0"/>
          <w:marRight w:val="0"/>
          <w:marTop w:val="0"/>
          <w:marBottom w:val="0"/>
          <w:divBdr>
            <w:top w:val="none" w:sz="0" w:space="0" w:color="auto"/>
            <w:left w:val="none" w:sz="0" w:space="0" w:color="auto"/>
            <w:bottom w:val="none" w:sz="0" w:space="0" w:color="auto"/>
            <w:right w:val="none" w:sz="0" w:space="0" w:color="auto"/>
          </w:divBdr>
          <w:divsChild>
            <w:div w:id="1598710333">
              <w:marLeft w:val="0"/>
              <w:marRight w:val="0"/>
              <w:marTop w:val="0"/>
              <w:marBottom w:val="0"/>
              <w:divBdr>
                <w:top w:val="none" w:sz="0" w:space="0" w:color="auto"/>
                <w:left w:val="none" w:sz="0" w:space="0" w:color="auto"/>
                <w:bottom w:val="none" w:sz="0" w:space="0" w:color="auto"/>
                <w:right w:val="none" w:sz="0" w:space="0" w:color="auto"/>
              </w:divBdr>
            </w:div>
          </w:divsChild>
        </w:div>
        <w:div w:id="1328677209">
          <w:marLeft w:val="0"/>
          <w:marRight w:val="0"/>
          <w:marTop w:val="0"/>
          <w:marBottom w:val="0"/>
          <w:divBdr>
            <w:top w:val="none" w:sz="0" w:space="0" w:color="auto"/>
            <w:left w:val="none" w:sz="0" w:space="0" w:color="auto"/>
            <w:bottom w:val="none" w:sz="0" w:space="0" w:color="auto"/>
            <w:right w:val="none" w:sz="0" w:space="0" w:color="auto"/>
          </w:divBdr>
          <w:divsChild>
            <w:div w:id="1767773314">
              <w:marLeft w:val="0"/>
              <w:marRight w:val="0"/>
              <w:marTop w:val="0"/>
              <w:marBottom w:val="0"/>
              <w:divBdr>
                <w:top w:val="none" w:sz="0" w:space="0" w:color="auto"/>
                <w:left w:val="none" w:sz="0" w:space="0" w:color="auto"/>
                <w:bottom w:val="none" w:sz="0" w:space="0" w:color="auto"/>
                <w:right w:val="none" w:sz="0" w:space="0" w:color="auto"/>
              </w:divBdr>
            </w:div>
          </w:divsChild>
        </w:div>
        <w:div w:id="1680964327">
          <w:marLeft w:val="0"/>
          <w:marRight w:val="0"/>
          <w:marTop w:val="0"/>
          <w:marBottom w:val="0"/>
          <w:divBdr>
            <w:top w:val="none" w:sz="0" w:space="0" w:color="auto"/>
            <w:left w:val="none" w:sz="0" w:space="0" w:color="auto"/>
            <w:bottom w:val="none" w:sz="0" w:space="0" w:color="auto"/>
            <w:right w:val="none" w:sz="0" w:space="0" w:color="auto"/>
          </w:divBdr>
          <w:divsChild>
            <w:div w:id="1071193076">
              <w:marLeft w:val="0"/>
              <w:marRight w:val="0"/>
              <w:marTop w:val="0"/>
              <w:marBottom w:val="0"/>
              <w:divBdr>
                <w:top w:val="none" w:sz="0" w:space="0" w:color="auto"/>
                <w:left w:val="none" w:sz="0" w:space="0" w:color="auto"/>
                <w:bottom w:val="none" w:sz="0" w:space="0" w:color="auto"/>
                <w:right w:val="none" w:sz="0" w:space="0" w:color="auto"/>
              </w:divBdr>
            </w:div>
          </w:divsChild>
        </w:div>
        <w:div w:id="1501115511">
          <w:marLeft w:val="0"/>
          <w:marRight w:val="0"/>
          <w:marTop w:val="0"/>
          <w:marBottom w:val="0"/>
          <w:divBdr>
            <w:top w:val="none" w:sz="0" w:space="0" w:color="auto"/>
            <w:left w:val="none" w:sz="0" w:space="0" w:color="auto"/>
            <w:bottom w:val="none" w:sz="0" w:space="0" w:color="auto"/>
            <w:right w:val="none" w:sz="0" w:space="0" w:color="auto"/>
          </w:divBdr>
          <w:divsChild>
            <w:div w:id="267084362">
              <w:marLeft w:val="0"/>
              <w:marRight w:val="0"/>
              <w:marTop w:val="0"/>
              <w:marBottom w:val="0"/>
              <w:divBdr>
                <w:top w:val="none" w:sz="0" w:space="0" w:color="auto"/>
                <w:left w:val="none" w:sz="0" w:space="0" w:color="auto"/>
                <w:bottom w:val="none" w:sz="0" w:space="0" w:color="auto"/>
                <w:right w:val="none" w:sz="0" w:space="0" w:color="auto"/>
              </w:divBdr>
            </w:div>
          </w:divsChild>
        </w:div>
        <w:div w:id="248078130">
          <w:marLeft w:val="0"/>
          <w:marRight w:val="0"/>
          <w:marTop w:val="0"/>
          <w:marBottom w:val="0"/>
          <w:divBdr>
            <w:top w:val="none" w:sz="0" w:space="0" w:color="auto"/>
            <w:left w:val="none" w:sz="0" w:space="0" w:color="auto"/>
            <w:bottom w:val="none" w:sz="0" w:space="0" w:color="auto"/>
            <w:right w:val="none" w:sz="0" w:space="0" w:color="auto"/>
          </w:divBdr>
          <w:divsChild>
            <w:div w:id="1663511298">
              <w:marLeft w:val="0"/>
              <w:marRight w:val="0"/>
              <w:marTop w:val="0"/>
              <w:marBottom w:val="0"/>
              <w:divBdr>
                <w:top w:val="none" w:sz="0" w:space="0" w:color="auto"/>
                <w:left w:val="none" w:sz="0" w:space="0" w:color="auto"/>
                <w:bottom w:val="none" w:sz="0" w:space="0" w:color="auto"/>
                <w:right w:val="none" w:sz="0" w:space="0" w:color="auto"/>
              </w:divBdr>
            </w:div>
          </w:divsChild>
        </w:div>
        <w:div w:id="424569613">
          <w:marLeft w:val="0"/>
          <w:marRight w:val="0"/>
          <w:marTop w:val="0"/>
          <w:marBottom w:val="0"/>
          <w:divBdr>
            <w:top w:val="none" w:sz="0" w:space="0" w:color="auto"/>
            <w:left w:val="none" w:sz="0" w:space="0" w:color="auto"/>
            <w:bottom w:val="none" w:sz="0" w:space="0" w:color="auto"/>
            <w:right w:val="none" w:sz="0" w:space="0" w:color="auto"/>
          </w:divBdr>
          <w:divsChild>
            <w:div w:id="323431921">
              <w:marLeft w:val="0"/>
              <w:marRight w:val="0"/>
              <w:marTop w:val="0"/>
              <w:marBottom w:val="0"/>
              <w:divBdr>
                <w:top w:val="none" w:sz="0" w:space="0" w:color="auto"/>
                <w:left w:val="none" w:sz="0" w:space="0" w:color="auto"/>
                <w:bottom w:val="none" w:sz="0" w:space="0" w:color="auto"/>
                <w:right w:val="none" w:sz="0" w:space="0" w:color="auto"/>
              </w:divBdr>
            </w:div>
          </w:divsChild>
        </w:div>
        <w:div w:id="133959718">
          <w:marLeft w:val="0"/>
          <w:marRight w:val="0"/>
          <w:marTop w:val="0"/>
          <w:marBottom w:val="0"/>
          <w:divBdr>
            <w:top w:val="none" w:sz="0" w:space="0" w:color="auto"/>
            <w:left w:val="none" w:sz="0" w:space="0" w:color="auto"/>
            <w:bottom w:val="none" w:sz="0" w:space="0" w:color="auto"/>
            <w:right w:val="none" w:sz="0" w:space="0" w:color="auto"/>
          </w:divBdr>
          <w:divsChild>
            <w:div w:id="1886212065">
              <w:marLeft w:val="0"/>
              <w:marRight w:val="0"/>
              <w:marTop w:val="0"/>
              <w:marBottom w:val="0"/>
              <w:divBdr>
                <w:top w:val="none" w:sz="0" w:space="0" w:color="auto"/>
                <w:left w:val="none" w:sz="0" w:space="0" w:color="auto"/>
                <w:bottom w:val="none" w:sz="0" w:space="0" w:color="auto"/>
                <w:right w:val="none" w:sz="0" w:space="0" w:color="auto"/>
              </w:divBdr>
            </w:div>
          </w:divsChild>
        </w:div>
        <w:div w:id="1932011285">
          <w:marLeft w:val="0"/>
          <w:marRight w:val="0"/>
          <w:marTop w:val="0"/>
          <w:marBottom w:val="0"/>
          <w:divBdr>
            <w:top w:val="none" w:sz="0" w:space="0" w:color="auto"/>
            <w:left w:val="none" w:sz="0" w:space="0" w:color="auto"/>
            <w:bottom w:val="none" w:sz="0" w:space="0" w:color="auto"/>
            <w:right w:val="none" w:sz="0" w:space="0" w:color="auto"/>
          </w:divBdr>
          <w:divsChild>
            <w:div w:id="399866127">
              <w:marLeft w:val="0"/>
              <w:marRight w:val="0"/>
              <w:marTop w:val="0"/>
              <w:marBottom w:val="0"/>
              <w:divBdr>
                <w:top w:val="none" w:sz="0" w:space="0" w:color="auto"/>
                <w:left w:val="none" w:sz="0" w:space="0" w:color="auto"/>
                <w:bottom w:val="none" w:sz="0" w:space="0" w:color="auto"/>
                <w:right w:val="none" w:sz="0" w:space="0" w:color="auto"/>
              </w:divBdr>
            </w:div>
          </w:divsChild>
        </w:div>
        <w:div w:id="975064095">
          <w:marLeft w:val="0"/>
          <w:marRight w:val="0"/>
          <w:marTop w:val="0"/>
          <w:marBottom w:val="0"/>
          <w:divBdr>
            <w:top w:val="none" w:sz="0" w:space="0" w:color="auto"/>
            <w:left w:val="none" w:sz="0" w:space="0" w:color="auto"/>
            <w:bottom w:val="none" w:sz="0" w:space="0" w:color="auto"/>
            <w:right w:val="none" w:sz="0" w:space="0" w:color="auto"/>
          </w:divBdr>
          <w:divsChild>
            <w:div w:id="1842550260">
              <w:marLeft w:val="0"/>
              <w:marRight w:val="0"/>
              <w:marTop w:val="0"/>
              <w:marBottom w:val="0"/>
              <w:divBdr>
                <w:top w:val="none" w:sz="0" w:space="0" w:color="auto"/>
                <w:left w:val="none" w:sz="0" w:space="0" w:color="auto"/>
                <w:bottom w:val="none" w:sz="0" w:space="0" w:color="auto"/>
                <w:right w:val="none" w:sz="0" w:space="0" w:color="auto"/>
              </w:divBdr>
            </w:div>
          </w:divsChild>
        </w:div>
        <w:div w:id="21709051">
          <w:marLeft w:val="0"/>
          <w:marRight w:val="0"/>
          <w:marTop w:val="0"/>
          <w:marBottom w:val="0"/>
          <w:divBdr>
            <w:top w:val="none" w:sz="0" w:space="0" w:color="auto"/>
            <w:left w:val="none" w:sz="0" w:space="0" w:color="auto"/>
            <w:bottom w:val="none" w:sz="0" w:space="0" w:color="auto"/>
            <w:right w:val="none" w:sz="0" w:space="0" w:color="auto"/>
          </w:divBdr>
          <w:divsChild>
            <w:div w:id="1724448878">
              <w:marLeft w:val="0"/>
              <w:marRight w:val="0"/>
              <w:marTop w:val="0"/>
              <w:marBottom w:val="0"/>
              <w:divBdr>
                <w:top w:val="none" w:sz="0" w:space="0" w:color="auto"/>
                <w:left w:val="none" w:sz="0" w:space="0" w:color="auto"/>
                <w:bottom w:val="none" w:sz="0" w:space="0" w:color="auto"/>
                <w:right w:val="none" w:sz="0" w:space="0" w:color="auto"/>
              </w:divBdr>
            </w:div>
          </w:divsChild>
        </w:div>
        <w:div w:id="1444225335">
          <w:marLeft w:val="0"/>
          <w:marRight w:val="0"/>
          <w:marTop w:val="0"/>
          <w:marBottom w:val="0"/>
          <w:divBdr>
            <w:top w:val="none" w:sz="0" w:space="0" w:color="auto"/>
            <w:left w:val="none" w:sz="0" w:space="0" w:color="auto"/>
            <w:bottom w:val="none" w:sz="0" w:space="0" w:color="auto"/>
            <w:right w:val="none" w:sz="0" w:space="0" w:color="auto"/>
          </w:divBdr>
          <w:divsChild>
            <w:div w:id="2095122898">
              <w:marLeft w:val="0"/>
              <w:marRight w:val="0"/>
              <w:marTop w:val="0"/>
              <w:marBottom w:val="0"/>
              <w:divBdr>
                <w:top w:val="none" w:sz="0" w:space="0" w:color="auto"/>
                <w:left w:val="none" w:sz="0" w:space="0" w:color="auto"/>
                <w:bottom w:val="none" w:sz="0" w:space="0" w:color="auto"/>
                <w:right w:val="none" w:sz="0" w:space="0" w:color="auto"/>
              </w:divBdr>
            </w:div>
          </w:divsChild>
        </w:div>
        <w:div w:id="1863543925">
          <w:marLeft w:val="0"/>
          <w:marRight w:val="0"/>
          <w:marTop w:val="0"/>
          <w:marBottom w:val="0"/>
          <w:divBdr>
            <w:top w:val="none" w:sz="0" w:space="0" w:color="auto"/>
            <w:left w:val="none" w:sz="0" w:space="0" w:color="auto"/>
            <w:bottom w:val="none" w:sz="0" w:space="0" w:color="auto"/>
            <w:right w:val="none" w:sz="0" w:space="0" w:color="auto"/>
          </w:divBdr>
          <w:divsChild>
            <w:div w:id="1401097456">
              <w:marLeft w:val="0"/>
              <w:marRight w:val="0"/>
              <w:marTop w:val="0"/>
              <w:marBottom w:val="0"/>
              <w:divBdr>
                <w:top w:val="none" w:sz="0" w:space="0" w:color="auto"/>
                <w:left w:val="none" w:sz="0" w:space="0" w:color="auto"/>
                <w:bottom w:val="none" w:sz="0" w:space="0" w:color="auto"/>
                <w:right w:val="none" w:sz="0" w:space="0" w:color="auto"/>
              </w:divBdr>
            </w:div>
          </w:divsChild>
        </w:div>
        <w:div w:id="1706255314">
          <w:marLeft w:val="0"/>
          <w:marRight w:val="0"/>
          <w:marTop w:val="0"/>
          <w:marBottom w:val="0"/>
          <w:divBdr>
            <w:top w:val="none" w:sz="0" w:space="0" w:color="auto"/>
            <w:left w:val="none" w:sz="0" w:space="0" w:color="auto"/>
            <w:bottom w:val="none" w:sz="0" w:space="0" w:color="auto"/>
            <w:right w:val="none" w:sz="0" w:space="0" w:color="auto"/>
          </w:divBdr>
          <w:divsChild>
            <w:div w:id="1804227833">
              <w:marLeft w:val="0"/>
              <w:marRight w:val="0"/>
              <w:marTop w:val="0"/>
              <w:marBottom w:val="0"/>
              <w:divBdr>
                <w:top w:val="none" w:sz="0" w:space="0" w:color="auto"/>
                <w:left w:val="none" w:sz="0" w:space="0" w:color="auto"/>
                <w:bottom w:val="none" w:sz="0" w:space="0" w:color="auto"/>
                <w:right w:val="none" w:sz="0" w:space="0" w:color="auto"/>
              </w:divBdr>
            </w:div>
          </w:divsChild>
        </w:div>
        <w:div w:id="2088184224">
          <w:marLeft w:val="0"/>
          <w:marRight w:val="0"/>
          <w:marTop w:val="0"/>
          <w:marBottom w:val="0"/>
          <w:divBdr>
            <w:top w:val="none" w:sz="0" w:space="0" w:color="auto"/>
            <w:left w:val="none" w:sz="0" w:space="0" w:color="auto"/>
            <w:bottom w:val="none" w:sz="0" w:space="0" w:color="auto"/>
            <w:right w:val="none" w:sz="0" w:space="0" w:color="auto"/>
          </w:divBdr>
          <w:divsChild>
            <w:div w:id="169835642">
              <w:marLeft w:val="0"/>
              <w:marRight w:val="0"/>
              <w:marTop w:val="0"/>
              <w:marBottom w:val="0"/>
              <w:divBdr>
                <w:top w:val="none" w:sz="0" w:space="0" w:color="auto"/>
                <w:left w:val="none" w:sz="0" w:space="0" w:color="auto"/>
                <w:bottom w:val="none" w:sz="0" w:space="0" w:color="auto"/>
                <w:right w:val="none" w:sz="0" w:space="0" w:color="auto"/>
              </w:divBdr>
            </w:div>
          </w:divsChild>
        </w:div>
        <w:div w:id="1965039885">
          <w:marLeft w:val="0"/>
          <w:marRight w:val="0"/>
          <w:marTop w:val="0"/>
          <w:marBottom w:val="0"/>
          <w:divBdr>
            <w:top w:val="none" w:sz="0" w:space="0" w:color="auto"/>
            <w:left w:val="none" w:sz="0" w:space="0" w:color="auto"/>
            <w:bottom w:val="none" w:sz="0" w:space="0" w:color="auto"/>
            <w:right w:val="none" w:sz="0" w:space="0" w:color="auto"/>
          </w:divBdr>
          <w:divsChild>
            <w:div w:id="2073386814">
              <w:marLeft w:val="0"/>
              <w:marRight w:val="0"/>
              <w:marTop w:val="0"/>
              <w:marBottom w:val="0"/>
              <w:divBdr>
                <w:top w:val="none" w:sz="0" w:space="0" w:color="auto"/>
                <w:left w:val="none" w:sz="0" w:space="0" w:color="auto"/>
                <w:bottom w:val="none" w:sz="0" w:space="0" w:color="auto"/>
                <w:right w:val="none" w:sz="0" w:space="0" w:color="auto"/>
              </w:divBdr>
            </w:div>
          </w:divsChild>
        </w:div>
        <w:div w:id="1323779344">
          <w:marLeft w:val="0"/>
          <w:marRight w:val="0"/>
          <w:marTop w:val="0"/>
          <w:marBottom w:val="0"/>
          <w:divBdr>
            <w:top w:val="none" w:sz="0" w:space="0" w:color="auto"/>
            <w:left w:val="none" w:sz="0" w:space="0" w:color="auto"/>
            <w:bottom w:val="none" w:sz="0" w:space="0" w:color="auto"/>
            <w:right w:val="none" w:sz="0" w:space="0" w:color="auto"/>
          </w:divBdr>
          <w:divsChild>
            <w:div w:id="121923853">
              <w:marLeft w:val="0"/>
              <w:marRight w:val="0"/>
              <w:marTop w:val="0"/>
              <w:marBottom w:val="0"/>
              <w:divBdr>
                <w:top w:val="none" w:sz="0" w:space="0" w:color="auto"/>
                <w:left w:val="none" w:sz="0" w:space="0" w:color="auto"/>
                <w:bottom w:val="none" w:sz="0" w:space="0" w:color="auto"/>
                <w:right w:val="none" w:sz="0" w:space="0" w:color="auto"/>
              </w:divBdr>
            </w:div>
          </w:divsChild>
        </w:div>
        <w:div w:id="1686666361">
          <w:marLeft w:val="0"/>
          <w:marRight w:val="0"/>
          <w:marTop w:val="0"/>
          <w:marBottom w:val="0"/>
          <w:divBdr>
            <w:top w:val="none" w:sz="0" w:space="0" w:color="auto"/>
            <w:left w:val="none" w:sz="0" w:space="0" w:color="auto"/>
            <w:bottom w:val="none" w:sz="0" w:space="0" w:color="auto"/>
            <w:right w:val="none" w:sz="0" w:space="0" w:color="auto"/>
          </w:divBdr>
          <w:divsChild>
            <w:div w:id="323433198">
              <w:marLeft w:val="0"/>
              <w:marRight w:val="0"/>
              <w:marTop w:val="0"/>
              <w:marBottom w:val="0"/>
              <w:divBdr>
                <w:top w:val="none" w:sz="0" w:space="0" w:color="auto"/>
                <w:left w:val="none" w:sz="0" w:space="0" w:color="auto"/>
                <w:bottom w:val="none" w:sz="0" w:space="0" w:color="auto"/>
                <w:right w:val="none" w:sz="0" w:space="0" w:color="auto"/>
              </w:divBdr>
            </w:div>
          </w:divsChild>
        </w:div>
        <w:div w:id="1542592598">
          <w:marLeft w:val="0"/>
          <w:marRight w:val="0"/>
          <w:marTop w:val="0"/>
          <w:marBottom w:val="0"/>
          <w:divBdr>
            <w:top w:val="none" w:sz="0" w:space="0" w:color="auto"/>
            <w:left w:val="none" w:sz="0" w:space="0" w:color="auto"/>
            <w:bottom w:val="none" w:sz="0" w:space="0" w:color="auto"/>
            <w:right w:val="none" w:sz="0" w:space="0" w:color="auto"/>
          </w:divBdr>
          <w:divsChild>
            <w:div w:id="1646616775">
              <w:marLeft w:val="0"/>
              <w:marRight w:val="0"/>
              <w:marTop w:val="0"/>
              <w:marBottom w:val="0"/>
              <w:divBdr>
                <w:top w:val="none" w:sz="0" w:space="0" w:color="auto"/>
                <w:left w:val="none" w:sz="0" w:space="0" w:color="auto"/>
                <w:bottom w:val="none" w:sz="0" w:space="0" w:color="auto"/>
                <w:right w:val="none" w:sz="0" w:space="0" w:color="auto"/>
              </w:divBdr>
            </w:div>
          </w:divsChild>
        </w:div>
        <w:div w:id="1263344055">
          <w:marLeft w:val="0"/>
          <w:marRight w:val="0"/>
          <w:marTop w:val="0"/>
          <w:marBottom w:val="0"/>
          <w:divBdr>
            <w:top w:val="none" w:sz="0" w:space="0" w:color="auto"/>
            <w:left w:val="none" w:sz="0" w:space="0" w:color="auto"/>
            <w:bottom w:val="none" w:sz="0" w:space="0" w:color="auto"/>
            <w:right w:val="none" w:sz="0" w:space="0" w:color="auto"/>
          </w:divBdr>
          <w:divsChild>
            <w:div w:id="950164455">
              <w:marLeft w:val="0"/>
              <w:marRight w:val="0"/>
              <w:marTop w:val="0"/>
              <w:marBottom w:val="0"/>
              <w:divBdr>
                <w:top w:val="none" w:sz="0" w:space="0" w:color="auto"/>
                <w:left w:val="none" w:sz="0" w:space="0" w:color="auto"/>
                <w:bottom w:val="none" w:sz="0" w:space="0" w:color="auto"/>
                <w:right w:val="none" w:sz="0" w:space="0" w:color="auto"/>
              </w:divBdr>
            </w:div>
          </w:divsChild>
        </w:div>
        <w:div w:id="1129662483">
          <w:marLeft w:val="0"/>
          <w:marRight w:val="0"/>
          <w:marTop w:val="0"/>
          <w:marBottom w:val="0"/>
          <w:divBdr>
            <w:top w:val="none" w:sz="0" w:space="0" w:color="auto"/>
            <w:left w:val="none" w:sz="0" w:space="0" w:color="auto"/>
            <w:bottom w:val="none" w:sz="0" w:space="0" w:color="auto"/>
            <w:right w:val="none" w:sz="0" w:space="0" w:color="auto"/>
          </w:divBdr>
          <w:divsChild>
            <w:div w:id="187986397">
              <w:marLeft w:val="0"/>
              <w:marRight w:val="0"/>
              <w:marTop w:val="0"/>
              <w:marBottom w:val="0"/>
              <w:divBdr>
                <w:top w:val="none" w:sz="0" w:space="0" w:color="auto"/>
                <w:left w:val="none" w:sz="0" w:space="0" w:color="auto"/>
                <w:bottom w:val="none" w:sz="0" w:space="0" w:color="auto"/>
                <w:right w:val="none" w:sz="0" w:space="0" w:color="auto"/>
              </w:divBdr>
            </w:div>
          </w:divsChild>
        </w:div>
        <w:div w:id="53823966">
          <w:marLeft w:val="0"/>
          <w:marRight w:val="0"/>
          <w:marTop w:val="0"/>
          <w:marBottom w:val="0"/>
          <w:divBdr>
            <w:top w:val="none" w:sz="0" w:space="0" w:color="auto"/>
            <w:left w:val="none" w:sz="0" w:space="0" w:color="auto"/>
            <w:bottom w:val="none" w:sz="0" w:space="0" w:color="auto"/>
            <w:right w:val="none" w:sz="0" w:space="0" w:color="auto"/>
          </w:divBdr>
          <w:divsChild>
            <w:div w:id="403066529">
              <w:marLeft w:val="0"/>
              <w:marRight w:val="0"/>
              <w:marTop w:val="0"/>
              <w:marBottom w:val="0"/>
              <w:divBdr>
                <w:top w:val="none" w:sz="0" w:space="0" w:color="auto"/>
                <w:left w:val="none" w:sz="0" w:space="0" w:color="auto"/>
                <w:bottom w:val="none" w:sz="0" w:space="0" w:color="auto"/>
                <w:right w:val="none" w:sz="0" w:space="0" w:color="auto"/>
              </w:divBdr>
            </w:div>
          </w:divsChild>
        </w:div>
        <w:div w:id="928781641">
          <w:marLeft w:val="0"/>
          <w:marRight w:val="0"/>
          <w:marTop w:val="0"/>
          <w:marBottom w:val="0"/>
          <w:divBdr>
            <w:top w:val="none" w:sz="0" w:space="0" w:color="auto"/>
            <w:left w:val="none" w:sz="0" w:space="0" w:color="auto"/>
            <w:bottom w:val="none" w:sz="0" w:space="0" w:color="auto"/>
            <w:right w:val="none" w:sz="0" w:space="0" w:color="auto"/>
          </w:divBdr>
          <w:divsChild>
            <w:div w:id="1644192616">
              <w:marLeft w:val="0"/>
              <w:marRight w:val="0"/>
              <w:marTop w:val="0"/>
              <w:marBottom w:val="0"/>
              <w:divBdr>
                <w:top w:val="none" w:sz="0" w:space="0" w:color="auto"/>
                <w:left w:val="none" w:sz="0" w:space="0" w:color="auto"/>
                <w:bottom w:val="none" w:sz="0" w:space="0" w:color="auto"/>
                <w:right w:val="none" w:sz="0" w:space="0" w:color="auto"/>
              </w:divBdr>
            </w:div>
          </w:divsChild>
        </w:div>
        <w:div w:id="1163200907">
          <w:marLeft w:val="0"/>
          <w:marRight w:val="0"/>
          <w:marTop w:val="0"/>
          <w:marBottom w:val="0"/>
          <w:divBdr>
            <w:top w:val="none" w:sz="0" w:space="0" w:color="auto"/>
            <w:left w:val="none" w:sz="0" w:space="0" w:color="auto"/>
            <w:bottom w:val="none" w:sz="0" w:space="0" w:color="auto"/>
            <w:right w:val="none" w:sz="0" w:space="0" w:color="auto"/>
          </w:divBdr>
          <w:divsChild>
            <w:div w:id="336158678">
              <w:marLeft w:val="0"/>
              <w:marRight w:val="0"/>
              <w:marTop w:val="0"/>
              <w:marBottom w:val="0"/>
              <w:divBdr>
                <w:top w:val="none" w:sz="0" w:space="0" w:color="auto"/>
                <w:left w:val="none" w:sz="0" w:space="0" w:color="auto"/>
                <w:bottom w:val="none" w:sz="0" w:space="0" w:color="auto"/>
                <w:right w:val="none" w:sz="0" w:space="0" w:color="auto"/>
              </w:divBdr>
            </w:div>
          </w:divsChild>
        </w:div>
        <w:div w:id="2066250125">
          <w:marLeft w:val="0"/>
          <w:marRight w:val="0"/>
          <w:marTop w:val="0"/>
          <w:marBottom w:val="0"/>
          <w:divBdr>
            <w:top w:val="none" w:sz="0" w:space="0" w:color="auto"/>
            <w:left w:val="none" w:sz="0" w:space="0" w:color="auto"/>
            <w:bottom w:val="none" w:sz="0" w:space="0" w:color="auto"/>
            <w:right w:val="none" w:sz="0" w:space="0" w:color="auto"/>
          </w:divBdr>
          <w:divsChild>
            <w:div w:id="564537453">
              <w:marLeft w:val="0"/>
              <w:marRight w:val="0"/>
              <w:marTop w:val="0"/>
              <w:marBottom w:val="0"/>
              <w:divBdr>
                <w:top w:val="none" w:sz="0" w:space="0" w:color="auto"/>
                <w:left w:val="none" w:sz="0" w:space="0" w:color="auto"/>
                <w:bottom w:val="none" w:sz="0" w:space="0" w:color="auto"/>
                <w:right w:val="none" w:sz="0" w:space="0" w:color="auto"/>
              </w:divBdr>
            </w:div>
          </w:divsChild>
        </w:div>
        <w:div w:id="278688637">
          <w:marLeft w:val="0"/>
          <w:marRight w:val="0"/>
          <w:marTop w:val="0"/>
          <w:marBottom w:val="0"/>
          <w:divBdr>
            <w:top w:val="none" w:sz="0" w:space="0" w:color="auto"/>
            <w:left w:val="none" w:sz="0" w:space="0" w:color="auto"/>
            <w:bottom w:val="none" w:sz="0" w:space="0" w:color="auto"/>
            <w:right w:val="none" w:sz="0" w:space="0" w:color="auto"/>
          </w:divBdr>
          <w:divsChild>
            <w:div w:id="1033069252">
              <w:marLeft w:val="0"/>
              <w:marRight w:val="0"/>
              <w:marTop w:val="0"/>
              <w:marBottom w:val="0"/>
              <w:divBdr>
                <w:top w:val="none" w:sz="0" w:space="0" w:color="auto"/>
                <w:left w:val="none" w:sz="0" w:space="0" w:color="auto"/>
                <w:bottom w:val="none" w:sz="0" w:space="0" w:color="auto"/>
                <w:right w:val="none" w:sz="0" w:space="0" w:color="auto"/>
              </w:divBdr>
            </w:div>
          </w:divsChild>
        </w:div>
        <w:div w:id="635455981">
          <w:marLeft w:val="0"/>
          <w:marRight w:val="0"/>
          <w:marTop w:val="0"/>
          <w:marBottom w:val="0"/>
          <w:divBdr>
            <w:top w:val="none" w:sz="0" w:space="0" w:color="auto"/>
            <w:left w:val="none" w:sz="0" w:space="0" w:color="auto"/>
            <w:bottom w:val="none" w:sz="0" w:space="0" w:color="auto"/>
            <w:right w:val="none" w:sz="0" w:space="0" w:color="auto"/>
          </w:divBdr>
          <w:divsChild>
            <w:div w:id="1010571387">
              <w:marLeft w:val="0"/>
              <w:marRight w:val="0"/>
              <w:marTop w:val="0"/>
              <w:marBottom w:val="0"/>
              <w:divBdr>
                <w:top w:val="none" w:sz="0" w:space="0" w:color="auto"/>
                <w:left w:val="none" w:sz="0" w:space="0" w:color="auto"/>
                <w:bottom w:val="none" w:sz="0" w:space="0" w:color="auto"/>
                <w:right w:val="none" w:sz="0" w:space="0" w:color="auto"/>
              </w:divBdr>
            </w:div>
          </w:divsChild>
        </w:div>
        <w:div w:id="1553618317">
          <w:marLeft w:val="0"/>
          <w:marRight w:val="0"/>
          <w:marTop w:val="0"/>
          <w:marBottom w:val="0"/>
          <w:divBdr>
            <w:top w:val="none" w:sz="0" w:space="0" w:color="auto"/>
            <w:left w:val="none" w:sz="0" w:space="0" w:color="auto"/>
            <w:bottom w:val="none" w:sz="0" w:space="0" w:color="auto"/>
            <w:right w:val="none" w:sz="0" w:space="0" w:color="auto"/>
          </w:divBdr>
          <w:divsChild>
            <w:div w:id="950287467">
              <w:marLeft w:val="0"/>
              <w:marRight w:val="0"/>
              <w:marTop w:val="0"/>
              <w:marBottom w:val="0"/>
              <w:divBdr>
                <w:top w:val="none" w:sz="0" w:space="0" w:color="auto"/>
                <w:left w:val="none" w:sz="0" w:space="0" w:color="auto"/>
                <w:bottom w:val="none" w:sz="0" w:space="0" w:color="auto"/>
                <w:right w:val="none" w:sz="0" w:space="0" w:color="auto"/>
              </w:divBdr>
            </w:div>
          </w:divsChild>
        </w:div>
        <w:div w:id="646476378">
          <w:marLeft w:val="0"/>
          <w:marRight w:val="0"/>
          <w:marTop w:val="0"/>
          <w:marBottom w:val="0"/>
          <w:divBdr>
            <w:top w:val="none" w:sz="0" w:space="0" w:color="auto"/>
            <w:left w:val="none" w:sz="0" w:space="0" w:color="auto"/>
            <w:bottom w:val="none" w:sz="0" w:space="0" w:color="auto"/>
            <w:right w:val="none" w:sz="0" w:space="0" w:color="auto"/>
          </w:divBdr>
          <w:divsChild>
            <w:div w:id="733240187">
              <w:marLeft w:val="0"/>
              <w:marRight w:val="0"/>
              <w:marTop w:val="0"/>
              <w:marBottom w:val="0"/>
              <w:divBdr>
                <w:top w:val="none" w:sz="0" w:space="0" w:color="auto"/>
                <w:left w:val="none" w:sz="0" w:space="0" w:color="auto"/>
                <w:bottom w:val="none" w:sz="0" w:space="0" w:color="auto"/>
                <w:right w:val="none" w:sz="0" w:space="0" w:color="auto"/>
              </w:divBdr>
            </w:div>
          </w:divsChild>
        </w:div>
        <w:div w:id="1095172760">
          <w:marLeft w:val="0"/>
          <w:marRight w:val="0"/>
          <w:marTop w:val="0"/>
          <w:marBottom w:val="0"/>
          <w:divBdr>
            <w:top w:val="none" w:sz="0" w:space="0" w:color="auto"/>
            <w:left w:val="none" w:sz="0" w:space="0" w:color="auto"/>
            <w:bottom w:val="none" w:sz="0" w:space="0" w:color="auto"/>
            <w:right w:val="none" w:sz="0" w:space="0" w:color="auto"/>
          </w:divBdr>
          <w:divsChild>
            <w:div w:id="497429345">
              <w:marLeft w:val="0"/>
              <w:marRight w:val="0"/>
              <w:marTop w:val="0"/>
              <w:marBottom w:val="0"/>
              <w:divBdr>
                <w:top w:val="none" w:sz="0" w:space="0" w:color="auto"/>
                <w:left w:val="none" w:sz="0" w:space="0" w:color="auto"/>
                <w:bottom w:val="none" w:sz="0" w:space="0" w:color="auto"/>
                <w:right w:val="none" w:sz="0" w:space="0" w:color="auto"/>
              </w:divBdr>
            </w:div>
          </w:divsChild>
        </w:div>
        <w:div w:id="1378697854">
          <w:marLeft w:val="0"/>
          <w:marRight w:val="0"/>
          <w:marTop w:val="0"/>
          <w:marBottom w:val="0"/>
          <w:divBdr>
            <w:top w:val="none" w:sz="0" w:space="0" w:color="auto"/>
            <w:left w:val="none" w:sz="0" w:space="0" w:color="auto"/>
            <w:bottom w:val="none" w:sz="0" w:space="0" w:color="auto"/>
            <w:right w:val="none" w:sz="0" w:space="0" w:color="auto"/>
          </w:divBdr>
          <w:divsChild>
            <w:div w:id="76635915">
              <w:marLeft w:val="0"/>
              <w:marRight w:val="0"/>
              <w:marTop w:val="0"/>
              <w:marBottom w:val="0"/>
              <w:divBdr>
                <w:top w:val="none" w:sz="0" w:space="0" w:color="auto"/>
                <w:left w:val="none" w:sz="0" w:space="0" w:color="auto"/>
                <w:bottom w:val="none" w:sz="0" w:space="0" w:color="auto"/>
                <w:right w:val="none" w:sz="0" w:space="0" w:color="auto"/>
              </w:divBdr>
            </w:div>
          </w:divsChild>
        </w:div>
        <w:div w:id="1848710672">
          <w:marLeft w:val="0"/>
          <w:marRight w:val="0"/>
          <w:marTop w:val="0"/>
          <w:marBottom w:val="0"/>
          <w:divBdr>
            <w:top w:val="none" w:sz="0" w:space="0" w:color="auto"/>
            <w:left w:val="none" w:sz="0" w:space="0" w:color="auto"/>
            <w:bottom w:val="none" w:sz="0" w:space="0" w:color="auto"/>
            <w:right w:val="none" w:sz="0" w:space="0" w:color="auto"/>
          </w:divBdr>
          <w:divsChild>
            <w:div w:id="1787190435">
              <w:marLeft w:val="0"/>
              <w:marRight w:val="0"/>
              <w:marTop w:val="0"/>
              <w:marBottom w:val="0"/>
              <w:divBdr>
                <w:top w:val="none" w:sz="0" w:space="0" w:color="auto"/>
                <w:left w:val="none" w:sz="0" w:space="0" w:color="auto"/>
                <w:bottom w:val="none" w:sz="0" w:space="0" w:color="auto"/>
                <w:right w:val="none" w:sz="0" w:space="0" w:color="auto"/>
              </w:divBdr>
            </w:div>
          </w:divsChild>
        </w:div>
        <w:div w:id="344938236">
          <w:marLeft w:val="0"/>
          <w:marRight w:val="0"/>
          <w:marTop w:val="0"/>
          <w:marBottom w:val="0"/>
          <w:divBdr>
            <w:top w:val="none" w:sz="0" w:space="0" w:color="auto"/>
            <w:left w:val="none" w:sz="0" w:space="0" w:color="auto"/>
            <w:bottom w:val="none" w:sz="0" w:space="0" w:color="auto"/>
            <w:right w:val="none" w:sz="0" w:space="0" w:color="auto"/>
          </w:divBdr>
          <w:divsChild>
            <w:div w:id="1646666908">
              <w:marLeft w:val="0"/>
              <w:marRight w:val="0"/>
              <w:marTop w:val="0"/>
              <w:marBottom w:val="0"/>
              <w:divBdr>
                <w:top w:val="none" w:sz="0" w:space="0" w:color="auto"/>
                <w:left w:val="none" w:sz="0" w:space="0" w:color="auto"/>
                <w:bottom w:val="none" w:sz="0" w:space="0" w:color="auto"/>
                <w:right w:val="none" w:sz="0" w:space="0" w:color="auto"/>
              </w:divBdr>
            </w:div>
          </w:divsChild>
        </w:div>
        <w:div w:id="2109111054">
          <w:marLeft w:val="0"/>
          <w:marRight w:val="0"/>
          <w:marTop w:val="0"/>
          <w:marBottom w:val="0"/>
          <w:divBdr>
            <w:top w:val="none" w:sz="0" w:space="0" w:color="auto"/>
            <w:left w:val="none" w:sz="0" w:space="0" w:color="auto"/>
            <w:bottom w:val="none" w:sz="0" w:space="0" w:color="auto"/>
            <w:right w:val="none" w:sz="0" w:space="0" w:color="auto"/>
          </w:divBdr>
          <w:divsChild>
            <w:div w:id="886140392">
              <w:marLeft w:val="0"/>
              <w:marRight w:val="0"/>
              <w:marTop w:val="0"/>
              <w:marBottom w:val="0"/>
              <w:divBdr>
                <w:top w:val="none" w:sz="0" w:space="0" w:color="auto"/>
                <w:left w:val="none" w:sz="0" w:space="0" w:color="auto"/>
                <w:bottom w:val="none" w:sz="0" w:space="0" w:color="auto"/>
                <w:right w:val="none" w:sz="0" w:space="0" w:color="auto"/>
              </w:divBdr>
            </w:div>
          </w:divsChild>
        </w:div>
        <w:div w:id="2100784489">
          <w:marLeft w:val="0"/>
          <w:marRight w:val="0"/>
          <w:marTop w:val="0"/>
          <w:marBottom w:val="0"/>
          <w:divBdr>
            <w:top w:val="none" w:sz="0" w:space="0" w:color="auto"/>
            <w:left w:val="none" w:sz="0" w:space="0" w:color="auto"/>
            <w:bottom w:val="none" w:sz="0" w:space="0" w:color="auto"/>
            <w:right w:val="none" w:sz="0" w:space="0" w:color="auto"/>
          </w:divBdr>
          <w:divsChild>
            <w:div w:id="1964457308">
              <w:marLeft w:val="0"/>
              <w:marRight w:val="0"/>
              <w:marTop w:val="0"/>
              <w:marBottom w:val="0"/>
              <w:divBdr>
                <w:top w:val="none" w:sz="0" w:space="0" w:color="auto"/>
                <w:left w:val="none" w:sz="0" w:space="0" w:color="auto"/>
                <w:bottom w:val="none" w:sz="0" w:space="0" w:color="auto"/>
                <w:right w:val="none" w:sz="0" w:space="0" w:color="auto"/>
              </w:divBdr>
            </w:div>
          </w:divsChild>
        </w:div>
        <w:div w:id="54398823">
          <w:marLeft w:val="0"/>
          <w:marRight w:val="0"/>
          <w:marTop w:val="0"/>
          <w:marBottom w:val="0"/>
          <w:divBdr>
            <w:top w:val="none" w:sz="0" w:space="0" w:color="auto"/>
            <w:left w:val="none" w:sz="0" w:space="0" w:color="auto"/>
            <w:bottom w:val="none" w:sz="0" w:space="0" w:color="auto"/>
            <w:right w:val="none" w:sz="0" w:space="0" w:color="auto"/>
          </w:divBdr>
          <w:divsChild>
            <w:div w:id="1884638493">
              <w:marLeft w:val="0"/>
              <w:marRight w:val="0"/>
              <w:marTop w:val="0"/>
              <w:marBottom w:val="0"/>
              <w:divBdr>
                <w:top w:val="none" w:sz="0" w:space="0" w:color="auto"/>
                <w:left w:val="none" w:sz="0" w:space="0" w:color="auto"/>
                <w:bottom w:val="none" w:sz="0" w:space="0" w:color="auto"/>
                <w:right w:val="none" w:sz="0" w:space="0" w:color="auto"/>
              </w:divBdr>
            </w:div>
          </w:divsChild>
        </w:div>
        <w:div w:id="309945185">
          <w:marLeft w:val="0"/>
          <w:marRight w:val="0"/>
          <w:marTop w:val="0"/>
          <w:marBottom w:val="0"/>
          <w:divBdr>
            <w:top w:val="none" w:sz="0" w:space="0" w:color="auto"/>
            <w:left w:val="none" w:sz="0" w:space="0" w:color="auto"/>
            <w:bottom w:val="none" w:sz="0" w:space="0" w:color="auto"/>
            <w:right w:val="none" w:sz="0" w:space="0" w:color="auto"/>
          </w:divBdr>
          <w:divsChild>
            <w:div w:id="1778673912">
              <w:marLeft w:val="0"/>
              <w:marRight w:val="0"/>
              <w:marTop w:val="0"/>
              <w:marBottom w:val="0"/>
              <w:divBdr>
                <w:top w:val="none" w:sz="0" w:space="0" w:color="auto"/>
                <w:left w:val="none" w:sz="0" w:space="0" w:color="auto"/>
                <w:bottom w:val="none" w:sz="0" w:space="0" w:color="auto"/>
                <w:right w:val="none" w:sz="0" w:space="0" w:color="auto"/>
              </w:divBdr>
            </w:div>
          </w:divsChild>
        </w:div>
        <w:div w:id="1771731354">
          <w:marLeft w:val="0"/>
          <w:marRight w:val="0"/>
          <w:marTop w:val="0"/>
          <w:marBottom w:val="0"/>
          <w:divBdr>
            <w:top w:val="none" w:sz="0" w:space="0" w:color="auto"/>
            <w:left w:val="none" w:sz="0" w:space="0" w:color="auto"/>
            <w:bottom w:val="none" w:sz="0" w:space="0" w:color="auto"/>
            <w:right w:val="none" w:sz="0" w:space="0" w:color="auto"/>
          </w:divBdr>
          <w:divsChild>
            <w:div w:id="589002022">
              <w:marLeft w:val="0"/>
              <w:marRight w:val="0"/>
              <w:marTop w:val="0"/>
              <w:marBottom w:val="0"/>
              <w:divBdr>
                <w:top w:val="none" w:sz="0" w:space="0" w:color="auto"/>
                <w:left w:val="none" w:sz="0" w:space="0" w:color="auto"/>
                <w:bottom w:val="none" w:sz="0" w:space="0" w:color="auto"/>
                <w:right w:val="none" w:sz="0" w:space="0" w:color="auto"/>
              </w:divBdr>
            </w:div>
          </w:divsChild>
        </w:div>
        <w:div w:id="918826204">
          <w:marLeft w:val="0"/>
          <w:marRight w:val="0"/>
          <w:marTop w:val="0"/>
          <w:marBottom w:val="0"/>
          <w:divBdr>
            <w:top w:val="none" w:sz="0" w:space="0" w:color="auto"/>
            <w:left w:val="none" w:sz="0" w:space="0" w:color="auto"/>
            <w:bottom w:val="none" w:sz="0" w:space="0" w:color="auto"/>
            <w:right w:val="none" w:sz="0" w:space="0" w:color="auto"/>
          </w:divBdr>
          <w:divsChild>
            <w:div w:id="1119908033">
              <w:marLeft w:val="0"/>
              <w:marRight w:val="0"/>
              <w:marTop w:val="0"/>
              <w:marBottom w:val="0"/>
              <w:divBdr>
                <w:top w:val="none" w:sz="0" w:space="0" w:color="auto"/>
                <w:left w:val="none" w:sz="0" w:space="0" w:color="auto"/>
                <w:bottom w:val="none" w:sz="0" w:space="0" w:color="auto"/>
                <w:right w:val="none" w:sz="0" w:space="0" w:color="auto"/>
              </w:divBdr>
            </w:div>
          </w:divsChild>
        </w:div>
        <w:div w:id="1852987226">
          <w:marLeft w:val="0"/>
          <w:marRight w:val="0"/>
          <w:marTop w:val="0"/>
          <w:marBottom w:val="0"/>
          <w:divBdr>
            <w:top w:val="none" w:sz="0" w:space="0" w:color="auto"/>
            <w:left w:val="none" w:sz="0" w:space="0" w:color="auto"/>
            <w:bottom w:val="none" w:sz="0" w:space="0" w:color="auto"/>
            <w:right w:val="none" w:sz="0" w:space="0" w:color="auto"/>
          </w:divBdr>
          <w:divsChild>
            <w:div w:id="1988630359">
              <w:marLeft w:val="0"/>
              <w:marRight w:val="0"/>
              <w:marTop w:val="0"/>
              <w:marBottom w:val="0"/>
              <w:divBdr>
                <w:top w:val="none" w:sz="0" w:space="0" w:color="auto"/>
                <w:left w:val="none" w:sz="0" w:space="0" w:color="auto"/>
                <w:bottom w:val="none" w:sz="0" w:space="0" w:color="auto"/>
                <w:right w:val="none" w:sz="0" w:space="0" w:color="auto"/>
              </w:divBdr>
            </w:div>
          </w:divsChild>
        </w:div>
        <w:div w:id="765267419">
          <w:marLeft w:val="0"/>
          <w:marRight w:val="0"/>
          <w:marTop w:val="0"/>
          <w:marBottom w:val="0"/>
          <w:divBdr>
            <w:top w:val="none" w:sz="0" w:space="0" w:color="auto"/>
            <w:left w:val="none" w:sz="0" w:space="0" w:color="auto"/>
            <w:bottom w:val="none" w:sz="0" w:space="0" w:color="auto"/>
            <w:right w:val="none" w:sz="0" w:space="0" w:color="auto"/>
          </w:divBdr>
          <w:divsChild>
            <w:div w:id="786201610">
              <w:marLeft w:val="0"/>
              <w:marRight w:val="0"/>
              <w:marTop w:val="0"/>
              <w:marBottom w:val="0"/>
              <w:divBdr>
                <w:top w:val="none" w:sz="0" w:space="0" w:color="auto"/>
                <w:left w:val="none" w:sz="0" w:space="0" w:color="auto"/>
                <w:bottom w:val="none" w:sz="0" w:space="0" w:color="auto"/>
                <w:right w:val="none" w:sz="0" w:space="0" w:color="auto"/>
              </w:divBdr>
            </w:div>
          </w:divsChild>
        </w:div>
        <w:div w:id="2022583090">
          <w:marLeft w:val="0"/>
          <w:marRight w:val="0"/>
          <w:marTop w:val="0"/>
          <w:marBottom w:val="0"/>
          <w:divBdr>
            <w:top w:val="none" w:sz="0" w:space="0" w:color="auto"/>
            <w:left w:val="none" w:sz="0" w:space="0" w:color="auto"/>
            <w:bottom w:val="none" w:sz="0" w:space="0" w:color="auto"/>
            <w:right w:val="none" w:sz="0" w:space="0" w:color="auto"/>
          </w:divBdr>
          <w:divsChild>
            <w:div w:id="697240533">
              <w:marLeft w:val="0"/>
              <w:marRight w:val="0"/>
              <w:marTop w:val="0"/>
              <w:marBottom w:val="0"/>
              <w:divBdr>
                <w:top w:val="none" w:sz="0" w:space="0" w:color="auto"/>
                <w:left w:val="none" w:sz="0" w:space="0" w:color="auto"/>
                <w:bottom w:val="none" w:sz="0" w:space="0" w:color="auto"/>
                <w:right w:val="none" w:sz="0" w:space="0" w:color="auto"/>
              </w:divBdr>
            </w:div>
          </w:divsChild>
        </w:div>
        <w:div w:id="1098912343">
          <w:marLeft w:val="0"/>
          <w:marRight w:val="0"/>
          <w:marTop w:val="0"/>
          <w:marBottom w:val="0"/>
          <w:divBdr>
            <w:top w:val="none" w:sz="0" w:space="0" w:color="auto"/>
            <w:left w:val="none" w:sz="0" w:space="0" w:color="auto"/>
            <w:bottom w:val="none" w:sz="0" w:space="0" w:color="auto"/>
            <w:right w:val="none" w:sz="0" w:space="0" w:color="auto"/>
          </w:divBdr>
          <w:divsChild>
            <w:div w:id="578714854">
              <w:marLeft w:val="0"/>
              <w:marRight w:val="0"/>
              <w:marTop w:val="0"/>
              <w:marBottom w:val="0"/>
              <w:divBdr>
                <w:top w:val="none" w:sz="0" w:space="0" w:color="auto"/>
                <w:left w:val="none" w:sz="0" w:space="0" w:color="auto"/>
                <w:bottom w:val="none" w:sz="0" w:space="0" w:color="auto"/>
                <w:right w:val="none" w:sz="0" w:space="0" w:color="auto"/>
              </w:divBdr>
            </w:div>
          </w:divsChild>
        </w:div>
        <w:div w:id="463621251">
          <w:marLeft w:val="0"/>
          <w:marRight w:val="0"/>
          <w:marTop w:val="0"/>
          <w:marBottom w:val="0"/>
          <w:divBdr>
            <w:top w:val="none" w:sz="0" w:space="0" w:color="auto"/>
            <w:left w:val="none" w:sz="0" w:space="0" w:color="auto"/>
            <w:bottom w:val="none" w:sz="0" w:space="0" w:color="auto"/>
            <w:right w:val="none" w:sz="0" w:space="0" w:color="auto"/>
          </w:divBdr>
          <w:divsChild>
            <w:div w:id="671371223">
              <w:marLeft w:val="0"/>
              <w:marRight w:val="0"/>
              <w:marTop w:val="0"/>
              <w:marBottom w:val="0"/>
              <w:divBdr>
                <w:top w:val="none" w:sz="0" w:space="0" w:color="auto"/>
                <w:left w:val="none" w:sz="0" w:space="0" w:color="auto"/>
                <w:bottom w:val="none" w:sz="0" w:space="0" w:color="auto"/>
                <w:right w:val="none" w:sz="0" w:space="0" w:color="auto"/>
              </w:divBdr>
            </w:div>
          </w:divsChild>
        </w:div>
        <w:div w:id="2090418969">
          <w:marLeft w:val="0"/>
          <w:marRight w:val="0"/>
          <w:marTop w:val="0"/>
          <w:marBottom w:val="0"/>
          <w:divBdr>
            <w:top w:val="none" w:sz="0" w:space="0" w:color="auto"/>
            <w:left w:val="none" w:sz="0" w:space="0" w:color="auto"/>
            <w:bottom w:val="none" w:sz="0" w:space="0" w:color="auto"/>
            <w:right w:val="none" w:sz="0" w:space="0" w:color="auto"/>
          </w:divBdr>
          <w:divsChild>
            <w:div w:id="1630895800">
              <w:marLeft w:val="0"/>
              <w:marRight w:val="0"/>
              <w:marTop w:val="0"/>
              <w:marBottom w:val="0"/>
              <w:divBdr>
                <w:top w:val="none" w:sz="0" w:space="0" w:color="auto"/>
                <w:left w:val="none" w:sz="0" w:space="0" w:color="auto"/>
                <w:bottom w:val="none" w:sz="0" w:space="0" w:color="auto"/>
                <w:right w:val="none" w:sz="0" w:space="0" w:color="auto"/>
              </w:divBdr>
            </w:div>
          </w:divsChild>
        </w:div>
        <w:div w:id="604920484">
          <w:marLeft w:val="0"/>
          <w:marRight w:val="0"/>
          <w:marTop w:val="0"/>
          <w:marBottom w:val="0"/>
          <w:divBdr>
            <w:top w:val="none" w:sz="0" w:space="0" w:color="auto"/>
            <w:left w:val="none" w:sz="0" w:space="0" w:color="auto"/>
            <w:bottom w:val="none" w:sz="0" w:space="0" w:color="auto"/>
            <w:right w:val="none" w:sz="0" w:space="0" w:color="auto"/>
          </w:divBdr>
          <w:divsChild>
            <w:div w:id="746926031">
              <w:marLeft w:val="0"/>
              <w:marRight w:val="0"/>
              <w:marTop w:val="0"/>
              <w:marBottom w:val="0"/>
              <w:divBdr>
                <w:top w:val="none" w:sz="0" w:space="0" w:color="auto"/>
                <w:left w:val="none" w:sz="0" w:space="0" w:color="auto"/>
                <w:bottom w:val="none" w:sz="0" w:space="0" w:color="auto"/>
                <w:right w:val="none" w:sz="0" w:space="0" w:color="auto"/>
              </w:divBdr>
            </w:div>
          </w:divsChild>
        </w:div>
        <w:div w:id="669335613">
          <w:marLeft w:val="0"/>
          <w:marRight w:val="0"/>
          <w:marTop w:val="0"/>
          <w:marBottom w:val="0"/>
          <w:divBdr>
            <w:top w:val="none" w:sz="0" w:space="0" w:color="auto"/>
            <w:left w:val="none" w:sz="0" w:space="0" w:color="auto"/>
            <w:bottom w:val="none" w:sz="0" w:space="0" w:color="auto"/>
            <w:right w:val="none" w:sz="0" w:space="0" w:color="auto"/>
          </w:divBdr>
          <w:divsChild>
            <w:div w:id="1719010662">
              <w:marLeft w:val="0"/>
              <w:marRight w:val="0"/>
              <w:marTop w:val="0"/>
              <w:marBottom w:val="0"/>
              <w:divBdr>
                <w:top w:val="none" w:sz="0" w:space="0" w:color="auto"/>
                <w:left w:val="none" w:sz="0" w:space="0" w:color="auto"/>
                <w:bottom w:val="none" w:sz="0" w:space="0" w:color="auto"/>
                <w:right w:val="none" w:sz="0" w:space="0" w:color="auto"/>
              </w:divBdr>
            </w:div>
          </w:divsChild>
        </w:div>
        <w:div w:id="898059602">
          <w:marLeft w:val="0"/>
          <w:marRight w:val="0"/>
          <w:marTop w:val="0"/>
          <w:marBottom w:val="0"/>
          <w:divBdr>
            <w:top w:val="none" w:sz="0" w:space="0" w:color="auto"/>
            <w:left w:val="none" w:sz="0" w:space="0" w:color="auto"/>
            <w:bottom w:val="none" w:sz="0" w:space="0" w:color="auto"/>
            <w:right w:val="none" w:sz="0" w:space="0" w:color="auto"/>
          </w:divBdr>
          <w:divsChild>
            <w:div w:id="20277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3526">
      <w:bodyDiv w:val="1"/>
      <w:marLeft w:val="0"/>
      <w:marRight w:val="0"/>
      <w:marTop w:val="0"/>
      <w:marBottom w:val="0"/>
      <w:divBdr>
        <w:top w:val="none" w:sz="0" w:space="0" w:color="auto"/>
        <w:left w:val="none" w:sz="0" w:space="0" w:color="auto"/>
        <w:bottom w:val="none" w:sz="0" w:space="0" w:color="auto"/>
        <w:right w:val="none" w:sz="0" w:space="0" w:color="auto"/>
      </w:divBdr>
    </w:div>
    <w:div w:id="384380247">
      <w:bodyDiv w:val="1"/>
      <w:marLeft w:val="0"/>
      <w:marRight w:val="0"/>
      <w:marTop w:val="0"/>
      <w:marBottom w:val="0"/>
      <w:divBdr>
        <w:top w:val="none" w:sz="0" w:space="0" w:color="auto"/>
        <w:left w:val="none" w:sz="0" w:space="0" w:color="auto"/>
        <w:bottom w:val="none" w:sz="0" w:space="0" w:color="auto"/>
        <w:right w:val="none" w:sz="0" w:space="0" w:color="auto"/>
      </w:divBdr>
    </w:div>
    <w:div w:id="417867961">
      <w:bodyDiv w:val="1"/>
      <w:marLeft w:val="0"/>
      <w:marRight w:val="0"/>
      <w:marTop w:val="0"/>
      <w:marBottom w:val="0"/>
      <w:divBdr>
        <w:top w:val="none" w:sz="0" w:space="0" w:color="auto"/>
        <w:left w:val="none" w:sz="0" w:space="0" w:color="auto"/>
        <w:bottom w:val="none" w:sz="0" w:space="0" w:color="auto"/>
        <w:right w:val="none" w:sz="0" w:space="0" w:color="auto"/>
      </w:divBdr>
      <w:divsChild>
        <w:div w:id="778720352">
          <w:marLeft w:val="446"/>
          <w:marRight w:val="0"/>
          <w:marTop w:val="240"/>
          <w:marBottom w:val="240"/>
          <w:divBdr>
            <w:top w:val="none" w:sz="0" w:space="0" w:color="auto"/>
            <w:left w:val="none" w:sz="0" w:space="0" w:color="auto"/>
            <w:bottom w:val="none" w:sz="0" w:space="0" w:color="auto"/>
            <w:right w:val="none" w:sz="0" w:space="0" w:color="auto"/>
          </w:divBdr>
        </w:div>
        <w:div w:id="1561862596">
          <w:marLeft w:val="446"/>
          <w:marRight w:val="0"/>
          <w:marTop w:val="240"/>
          <w:marBottom w:val="240"/>
          <w:divBdr>
            <w:top w:val="none" w:sz="0" w:space="0" w:color="auto"/>
            <w:left w:val="none" w:sz="0" w:space="0" w:color="auto"/>
            <w:bottom w:val="none" w:sz="0" w:space="0" w:color="auto"/>
            <w:right w:val="none" w:sz="0" w:space="0" w:color="auto"/>
          </w:divBdr>
        </w:div>
        <w:div w:id="1959947582">
          <w:marLeft w:val="446"/>
          <w:marRight w:val="0"/>
          <w:marTop w:val="240"/>
          <w:marBottom w:val="240"/>
          <w:divBdr>
            <w:top w:val="none" w:sz="0" w:space="0" w:color="auto"/>
            <w:left w:val="none" w:sz="0" w:space="0" w:color="auto"/>
            <w:bottom w:val="none" w:sz="0" w:space="0" w:color="auto"/>
            <w:right w:val="none" w:sz="0" w:space="0" w:color="auto"/>
          </w:divBdr>
        </w:div>
        <w:div w:id="1120032432">
          <w:marLeft w:val="446"/>
          <w:marRight w:val="0"/>
          <w:marTop w:val="240"/>
          <w:marBottom w:val="240"/>
          <w:divBdr>
            <w:top w:val="none" w:sz="0" w:space="0" w:color="auto"/>
            <w:left w:val="none" w:sz="0" w:space="0" w:color="auto"/>
            <w:bottom w:val="none" w:sz="0" w:space="0" w:color="auto"/>
            <w:right w:val="none" w:sz="0" w:space="0" w:color="auto"/>
          </w:divBdr>
        </w:div>
        <w:div w:id="1946303619">
          <w:marLeft w:val="446"/>
          <w:marRight w:val="0"/>
          <w:marTop w:val="240"/>
          <w:marBottom w:val="240"/>
          <w:divBdr>
            <w:top w:val="none" w:sz="0" w:space="0" w:color="auto"/>
            <w:left w:val="none" w:sz="0" w:space="0" w:color="auto"/>
            <w:bottom w:val="none" w:sz="0" w:space="0" w:color="auto"/>
            <w:right w:val="none" w:sz="0" w:space="0" w:color="auto"/>
          </w:divBdr>
        </w:div>
      </w:divsChild>
    </w:div>
    <w:div w:id="419328459">
      <w:bodyDiv w:val="1"/>
      <w:marLeft w:val="0"/>
      <w:marRight w:val="0"/>
      <w:marTop w:val="0"/>
      <w:marBottom w:val="0"/>
      <w:divBdr>
        <w:top w:val="none" w:sz="0" w:space="0" w:color="auto"/>
        <w:left w:val="none" w:sz="0" w:space="0" w:color="auto"/>
        <w:bottom w:val="none" w:sz="0" w:space="0" w:color="auto"/>
        <w:right w:val="none" w:sz="0" w:space="0" w:color="auto"/>
      </w:divBdr>
      <w:divsChild>
        <w:div w:id="669262">
          <w:marLeft w:val="547"/>
          <w:marRight w:val="0"/>
          <w:marTop w:val="0"/>
          <w:marBottom w:val="120"/>
          <w:divBdr>
            <w:top w:val="none" w:sz="0" w:space="0" w:color="auto"/>
            <w:left w:val="none" w:sz="0" w:space="0" w:color="auto"/>
            <w:bottom w:val="none" w:sz="0" w:space="0" w:color="auto"/>
            <w:right w:val="none" w:sz="0" w:space="0" w:color="auto"/>
          </w:divBdr>
        </w:div>
        <w:div w:id="119686830">
          <w:marLeft w:val="547"/>
          <w:marRight w:val="0"/>
          <w:marTop w:val="0"/>
          <w:marBottom w:val="120"/>
          <w:divBdr>
            <w:top w:val="none" w:sz="0" w:space="0" w:color="auto"/>
            <w:left w:val="none" w:sz="0" w:space="0" w:color="auto"/>
            <w:bottom w:val="none" w:sz="0" w:space="0" w:color="auto"/>
            <w:right w:val="none" w:sz="0" w:space="0" w:color="auto"/>
          </w:divBdr>
        </w:div>
        <w:div w:id="165436976">
          <w:marLeft w:val="547"/>
          <w:marRight w:val="0"/>
          <w:marTop w:val="0"/>
          <w:marBottom w:val="120"/>
          <w:divBdr>
            <w:top w:val="none" w:sz="0" w:space="0" w:color="auto"/>
            <w:left w:val="none" w:sz="0" w:space="0" w:color="auto"/>
            <w:bottom w:val="none" w:sz="0" w:space="0" w:color="auto"/>
            <w:right w:val="none" w:sz="0" w:space="0" w:color="auto"/>
          </w:divBdr>
        </w:div>
        <w:div w:id="554587136">
          <w:marLeft w:val="547"/>
          <w:marRight w:val="0"/>
          <w:marTop w:val="0"/>
          <w:marBottom w:val="120"/>
          <w:divBdr>
            <w:top w:val="none" w:sz="0" w:space="0" w:color="auto"/>
            <w:left w:val="none" w:sz="0" w:space="0" w:color="auto"/>
            <w:bottom w:val="none" w:sz="0" w:space="0" w:color="auto"/>
            <w:right w:val="none" w:sz="0" w:space="0" w:color="auto"/>
          </w:divBdr>
        </w:div>
        <w:div w:id="1006980489">
          <w:marLeft w:val="547"/>
          <w:marRight w:val="0"/>
          <w:marTop w:val="0"/>
          <w:marBottom w:val="120"/>
          <w:divBdr>
            <w:top w:val="none" w:sz="0" w:space="0" w:color="auto"/>
            <w:left w:val="none" w:sz="0" w:space="0" w:color="auto"/>
            <w:bottom w:val="none" w:sz="0" w:space="0" w:color="auto"/>
            <w:right w:val="none" w:sz="0" w:space="0" w:color="auto"/>
          </w:divBdr>
        </w:div>
        <w:div w:id="1128936521">
          <w:marLeft w:val="547"/>
          <w:marRight w:val="0"/>
          <w:marTop w:val="0"/>
          <w:marBottom w:val="120"/>
          <w:divBdr>
            <w:top w:val="none" w:sz="0" w:space="0" w:color="auto"/>
            <w:left w:val="none" w:sz="0" w:space="0" w:color="auto"/>
            <w:bottom w:val="none" w:sz="0" w:space="0" w:color="auto"/>
            <w:right w:val="none" w:sz="0" w:space="0" w:color="auto"/>
          </w:divBdr>
        </w:div>
        <w:div w:id="1602296581">
          <w:marLeft w:val="547"/>
          <w:marRight w:val="0"/>
          <w:marTop w:val="0"/>
          <w:marBottom w:val="120"/>
          <w:divBdr>
            <w:top w:val="none" w:sz="0" w:space="0" w:color="auto"/>
            <w:left w:val="none" w:sz="0" w:space="0" w:color="auto"/>
            <w:bottom w:val="none" w:sz="0" w:space="0" w:color="auto"/>
            <w:right w:val="none" w:sz="0" w:space="0" w:color="auto"/>
          </w:divBdr>
        </w:div>
      </w:divsChild>
    </w:div>
    <w:div w:id="532033150">
      <w:bodyDiv w:val="1"/>
      <w:marLeft w:val="0"/>
      <w:marRight w:val="0"/>
      <w:marTop w:val="0"/>
      <w:marBottom w:val="0"/>
      <w:divBdr>
        <w:top w:val="none" w:sz="0" w:space="0" w:color="auto"/>
        <w:left w:val="none" w:sz="0" w:space="0" w:color="auto"/>
        <w:bottom w:val="none" w:sz="0" w:space="0" w:color="auto"/>
        <w:right w:val="none" w:sz="0" w:space="0" w:color="auto"/>
      </w:divBdr>
    </w:div>
    <w:div w:id="554313772">
      <w:bodyDiv w:val="1"/>
      <w:marLeft w:val="0"/>
      <w:marRight w:val="0"/>
      <w:marTop w:val="0"/>
      <w:marBottom w:val="0"/>
      <w:divBdr>
        <w:top w:val="none" w:sz="0" w:space="0" w:color="auto"/>
        <w:left w:val="none" w:sz="0" w:space="0" w:color="auto"/>
        <w:bottom w:val="none" w:sz="0" w:space="0" w:color="auto"/>
        <w:right w:val="none" w:sz="0" w:space="0" w:color="auto"/>
      </w:divBdr>
    </w:div>
    <w:div w:id="587083874">
      <w:bodyDiv w:val="1"/>
      <w:marLeft w:val="0"/>
      <w:marRight w:val="0"/>
      <w:marTop w:val="0"/>
      <w:marBottom w:val="0"/>
      <w:divBdr>
        <w:top w:val="none" w:sz="0" w:space="0" w:color="auto"/>
        <w:left w:val="none" w:sz="0" w:space="0" w:color="auto"/>
        <w:bottom w:val="none" w:sz="0" w:space="0" w:color="auto"/>
        <w:right w:val="none" w:sz="0" w:space="0" w:color="auto"/>
      </w:divBdr>
    </w:div>
    <w:div w:id="615723121">
      <w:bodyDiv w:val="1"/>
      <w:marLeft w:val="0"/>
      <w:marRight w:val="0"/>
      <w:marTop w:val="0"/>
      <w:marBottom w:val="0"/>
      <w:divBdr>
        <w:top w:val="none" w:sz="0" w:space="0" w:color="auto"/>
        <w:left w:val="none" w:sz="0" w:space="0" w:color="auto"/>
        <w:bottom w:val="none" w:sz="0" w:space="0" w:color="auto"/>
        <w:right w:val="none" w:sz="0" w:space="0" w:color="auto"/>
      </w:divBdr>
    </w:div>
    <w:div w:id="770900303">
      <w:bodyDiv w:val="1"/>
      <w:marLeft w:val="0"/>
      <w:marRight w:val="0"/>
      <w:marTop w:val="0"/>
      <w:marBottom w:val="0"/>
      <w:divBdr>
        <w:top w:val="none" w:sz="0" w:space="0" w:color="auto"/>
        <w:left w:val="none" w:sz="0" w:space="0" w:color="auto"/>
        <w:bottom w:val="none" w:sz="0" w:space="0" w:color="auto"/>
        <w:right w:val="none" w:sz="0" w:space="0" w:color="auto"/>
      </w:divBdr>
    </w:div>
    <w:div w:id="773553795">
      <w:bodyDiv w:val="1"/>
      <w:marLeft w:val="0"/>
      <w:marRight w:val="0"/>
      <w:marTop w:val="0"/>
      <w:marBottom w:val="0"/>
      <w:divBdr>
        <w:top w:val="none" w:sz="0" w:space="0" w:color="auto"/>
        <w:left w:val="none" w:sz="0" w:space="0" w:color="auto"/>
        <w:bottom w:val="none" w:sz="0" w:space="0" w:color="auto"/>
        <w:right w:val="none" w:sz="0" w:space="0" w:color="auto"/>
      </w:divBdr>
    </w:div>
    <w:div w:id="819927621">
      <w:bodyDiv w:val="1"/>
      <w:marLeft w:val="0"/>
      <w:marRight w:val="0"/>
      <w:marTop w:val="0"/>
      <w:marBottom w:val="0"/>
      <w:divBdr>
        <w:top w:val="none" w:sz="0" w:space="0" w:color="auto"/>
        <w:left w:val="none" w:sz="0" w:space="0" w:color="auto"/>
        <w:bottom w:val="none" w:sz="0" w:space="0" w:color="auto"/>
        <w:right w:val="none" w:sz="0" w:space="0" w:color="auto"/>
      </w:divBdr>
    </w:div>
    <w:div w:id="831991473">
      <w:bodyDiv w:val="1"/>
      <w:marLeft w:val="0"/>
      <w:marRight w:val="0"/>
      <w:marTop w:val="0"/>
      <w:marBottom w:val="0"/>
      <w:divBdr>
        <w:top w:val="none" w:sz="0" w:space="0" w:color="auto"/>
        <w:left w:val="none" w:sz="0" w:space="0" w:color="auto"/>
        <w:bottom w:val="none" w:sz="0" w:space="0" w:color="auto"/>
        <w:right w:val="none" w:sz="0" w:space="0" w:color="auto"/>
      </w:divBdr>
    </w:div>
    <w:div w:id="832835729">
      <w:bodyDiv w:val="1"/>
      <w:marLeft w:val="0"/>
      <w:marRight w:val="0"/>
      <w:marTop w:val="0"/>
      <w:marBottom w:val="0"/>
      <w:divBdr>
        <w:top w:val="none" w:sz="0" w:space="0" w:color="auto"/>
        <w:left w:val="none" w:sz="0" w:space="0" w:color="auto"/>
        <w:bottom w:val="none" w:sz="0" w:space="0" w:color="auto"/>
        <w:right w:val="none" w:sz="0" w:space="0" w:color="auto"/>
      </w:divBdr>
    </w:div>
    <w:div w:id="918904202">
      <w:bodyDiv w:val="1"/>
      <w:marLeft w:val="0"/>
      <w:marRight w:val="0"/>
      <w:marTop w:val="0"/>
      <w:marBottom w:val="0"/>
      <w:divBdr>
        <w:top w:val="none" w:sz="0" w:space="0" w:color="auto"/>
        <w:left w:val="none" w:sz="0" w:space="0" w:color="auto"/>
        <w:bottom w:val="none" w:sz="0" w:space="0" w:color="auto"/>
        <w:right w:val="none" w:sz="0" w:space="0" w:color="auto"/>
      </w:divBdr>
    </w:div>
    <w:div w:id="941838314">
      <w:bodyDiv w:val="1"/>
      <w:marLeft w:val="0"/>
      <w:marRight w:val="0"/>
      <w:marTop w:val="0"/>
      <w:marBottom w:val="0"/>
      <w:divBdr>
        <w:top w:val="none" w:sz="0" w:space="0" w:color="auto"/>
        <w:left w:val="none" w:sz="0" w:space="0" w:color="auto"/>
        <w:bottom w:val="none" w:sz="0" w:space="0" w:color="auto"/>
        <w:right w:val="none" w:sz="0" w:space="0" w:color="auto"/>
      </w:divBdr>
    </w:div>
    <w:div w:id="958878885">
      <w:bodyDiv w:val="1"/>
      <w:marLeft w:val="0"/>
      <w:marRight w:val="0"/>
      <w:marTop w:val="0"/>
      <w:marBottom w:val="0"/>
      <w:divBdr>
        <w:top w:val="none" w:sz="0" w:space="0" w:color="auto"/>
        <w:left w:val="none" w:sz="0" w:space="0" w:color="auto"/>
        <w:bottom w:val="none" w:sz="0" w:space="0" w:color="auto"/>
        <w:right w:val="none" w:sz="0" w:space="0" w:color="auto"/>
      </w:divBdr>
    </w:div>
    <w:div w:id="976564814">
      <w:bodyDiv w:val="1"/>
      <w:marLeft w:val="0"/>
      <w:marRight w:val="0"/>
      <w:marTop w:val="0"/>
      <w:marBottom w:val="0"/>
      <w:divBdr>
        <w:top w:val="none" w:sz="0" w:space="0" w:color="auto"/>
        <w:left w:val="none" w:sz="0" w:space="0" w:color="auto"/>
        <w:bottom w:val="none" w:sz="0" w:space="0" w:color="auto"/>
        <w:right w:val="none" w:sz="0" w:space="0" w:color="auto"/>
      </w:divBdr>
    </w:div>
    <w:div w:id="1122190863">
      <w:bodyDiv w:val="1"/>
      <w:marLeft w:val="0"/>
      <w:marRight w:val="0"/>
      <w:marTop w:val="0"/>
      <w:marBottom w:val="0"/>
      <w:divBdr>
        <w:top w:val="none" w:sz="0" w:space="0" w:color="auto"/>
        <w:left w:val="none" w:sz="0" w:space="0" w:color="auto"/>
        <w:bottom w:val="none" w:sz="0" w:space="0" w:color="auto"/>
        <w:right w:val="none" w:sz="0" w:space="0" w:color="auto"/>
      </w:divBdr>
    </w:div>
    <w:div w:id="1189181914">
      <w:bodyDiv w:val="1"/>
      <w:marLeft w:val="0"/>
      <w:marRight w:val="0"/>
      <w:marTop w:val="0"/>
      <w:marBottom w:val="0"/>
      <w:divBdr>
        <w:top w:val="none" w:sz="0" w:space="0" w:color="auto"/>
        <w:left w:val="none" w:sz="0" w:space="0" w:color="auto"/>
        <w:bottom w:val="none" w:sz="0" w:space="0" w:color="auto"/>
        <w:right w:val="none" w:sz="0" w:space="0" w:color="auto"/>
      </w:divBdr>
      <w:divsChild>
        <w:div w:id="1663118731">
          <w:marLeft w:val="634"/>
          <w:marRight w:val="0"/>
          <w:marTop w:val="0"/>
          <w:marBottom w:val="0"/>
          <w:divBdr>
            <w:top w:val="none" w:sz="0" w:space="0" w:color="auto"/>
            <w:left w:val="none" w:sz="0" w:space="0" w:color="auto"/>
            <w:bottom w:val="none" w:sz="0" w:space="0" w:color="auto"/>
            <w:right w:val="none" w:sz="0" w:space="0" w:color="auto"/>
          </w:divBdr>
        </w:div>
      </w:divsChild>
    </w:div>
    <w:div w:id="1207598807">
      <w:bodyDiv w:val="1"/>
      <w:marLeft w:val="0"/>
      <w:marRight w:val="0"/>
      <w:marTop w:val="0"/>
      <w:marBottom w:val="0"/>
      <w:divBdr>
        <w:top w:val="none" w:sz="0" w:space="0" w:color="auto"/>
        <w:left w:val="none" w:sz="0" w:space="0" w:color="auto"/>
        <w:bottom w:val="none" w:sz="0" w:space="0" w:color="auto"/>
        <w:right w:val="none" w:sz="0" w:space="0" w:color="auto"/>
      </w:divBdr>
    </w:div>
    <w:div w:id="1221743098">
      <w:bodyDiv w:val="1"/>
      <w:marLeft w:val="0"/>
      <w:marRight w:val="0"/>
      <w:marTop w:val="0"/>
      <w:marBottom w:val="0"/>
      <w:divBdr>
        <w:top w:val="none" w:sz="0" w:space="0" w:color="auto"/>
        <w:left w:val="none" w:sz="0" w:space="0" w:color="auto"/>
        <w:bottom w:val="none" w:sz="0" w:space="0" w:color="auto"/>
        <w:right w:val="none" w:sz="0" w:space="0" w:color="auto"/>
      </w:divBdr>
    </w:div>
    <w:div w:id="1263881320">
      <w:bodyDiv w:val="1"/>
      <w:marLeft w:val="0"/>
      <w:marRight w:val="0"/>
      <w:marTop w:val="0"/>
      <w:marBottom w:val="0"/>
      <w:divBdr>
        <w:top w:val="none" w:sz="0" w:space="0" w:color="auto"/>
        <w:left w:val="none" w:sz="0" w:space="0" w:color="auto"/>
        <w:bottom w:val="none" w:sz="0" w:space="0" w:color="auto"/>
        <w:right w:val="none" w:sz="0" w:space="0" w:color="auto"/>
      </w:divBdr>
    </w:div>
    <w:div w:id="1299535181">
      <w:bodyDiv w:val="1"/>
      <w:marLeft w:val="0"/>
      <w:marRight w:val="0"/>
      <w:marTop w:val="0"/>
      <w:marBottom w:val="0"/>
      <w:divBdr>
        <w:top w:val="none" w:sz="0" w:space="0" w:color="auto"/>
        <w:left w:val="none" w:sz="0" w:space="0" w:color="auto"/>
        <w:bottom w:val="none" w:sz="0" w:space="0" w:color="auto"/>
        <w:right w:val="none" w:sz="0" w:space="0" w:color="auto"/>
      </w:divBdr>
    </w:div>
    <w:div w:id="1367632235">
      <w:bodyDiv w:val="1"/>
      <w:marLeft w:val="0"/>
      <w:marRight w:val="0"/>
      <w:marTop w:val="0"/>
      <w:marBottom w:val="0"/>
      <w:divBdr>
        <w:top w:val="none" w:sz="0" w:space="0" w:color="auto"/>
        <w:left w:val="none" w:sz="0" w:space="0" w:color="auto"/>
        <w:bottom w:val="none" w:sz="0" w:space="0" w:color="auto"/>
        <w:right w:val="none" w:sz="0" w:space="0" w:color="auto"/>
      </w:divBdr>
    </w:div>
    <w:div w:id="1384527270">
      <w:bodyDiv w:val="1"/>
      <w:marLeft w:val="0"/>
      <w:marRight w:val="0"/>
      <w:marTop w:val="0"/>
      <w:marBottom w:val="0"/>
      <w:divBdr>
        <w:top w:val="none" w:sz="0" w:space="0" w:color="auto"/>
        <w:left w:val="none" w:sz="0" w:space="0" w:color="auto"/>
        <w:bottom w:val="none" w:sz="0" w:space="0" w:color="auto"/>
        <w:right w:val="none" w:sz="0" w:space="0" w:color="auto"/>
      </w:divBdr>
    </w:div>
    <w:div w:id="1393844093">
      <w:bodyDiv w:val="1"/>
      <w:marLeft w:val="0"/>
      <w:marRight w:val="0"/>
      <w:marTop w:val="0"/>
      <w:marBottom w:val="0"/>
      <w:divBdr>
        <w:top w:val="none" w:sz="0" w:space="0" w:color="auto"/>
        <w:left w:val="none" w:sz="0" w:space="0" w:color="auto"/>
        <w:bottom w:val="none" w:sz="0" w:space="0" w:color="auto"/>
        <w:right w:val="none" w:sz="0" w:space="0" w:color="auto"/>
      </w:divBdr>
    </w:div>
    <w:div w:id="1442603951">
      <w:bodyDiv w:val="1"/>
      <w:marLeft w:val="0"/>
      <w:marRight w:val="0"/>
      <w:marTop w:val="0"/>
      <w:marBottom w:val="0"/>
      <w:divBdr>
        <w:top w:val="none" w:sz="0" w:space="0" w:color="auto"/>
        <w:left w:val="none" w:sz="0" w:space="0" w:color="auto"/>
        <w:bottom w:val="none" w:sz="0" w:space="0" w:color="auto"/>
        <w:right w:val="none" w:sz="0" w:space="0" w:color="auto"/>
      </w:divBdr>
    </w:div>
    <w:div w:id="1526284800">
      <w:bodyDiv w:val="1"/>
      <w:marLeft w:val="0"/>
      <w:marRight w:val="0"/>
      <w:marTop w:val="0"/>
      <w:marBottom w:val="0"/>
      <w:divBdr>
        <w:top w:val="none" w:sz="0" w:space="0" w:color="auto"/>
        <w:left w:val="none" w:sz="0" w:space="0" w:color="auto"/>
        <w:bottom w:val="none" w:sz="0" w:space="0" w:color="auto"/>
        <w:right w:val="none" w:sz="0" w:space="0" w:color="auto"/>
      </w:divBdr>
      <w:divsChild>
        <w:div w:id="1290740697">
          <w:marLeft w:val="547"/>
          <w:marRight w:val="0"/>
          <w:marTop w:val="0"/>
          <w:marBottom w:val="0"/>
          <w:divBdr>
            <w:top w:val="none" w:sz="0" w:space="0" w:color="auto"/>
            <w:left w:val="none" w:sz="0" w:space="0" w:color="auto"/>
            <w:bottom w:val="none" w:sz="0" w:space="0" w:color="auto"/>
            <w:right w:val="none" w:sz="0" w:space="0" w:color="auto"/>
          </w:divBdr>
        </w:div>
      </w:divsChild>
    </w:div>
    <w:div w:id="1534801581">
      <w:bodyDiv w:val="1"/>
      <w:marLeft w:val="0"/>
      <w:marRight w:val="0"/>
      <w:marTop w:val="0"/>
      <w:marBottom w:val="0"/>
      <w:divBdr>
        <w:top w:val="none" w:sz="0" w:space="0" w:color="auto"/>
        <w:left w:val="none" w:sz="0" w:space="0" w:color="auto"/>
        <w:bottom w:val="none" w:sz="0" w:space="0" w:color="auto"/>
        <w:right w:val="none" w:sz="0" w:space="0" w:color="auto"/>
      </w:divBdr>
      <w:divsChild>
        <w:div w:id="914633651">
          <w:marLeft w:val="547"/>
          <w:marRight w:val="0"/>
          <w:marTop w:val="0"/>
          <w:marBottom w:val="0"/>
          <w:divBdr>
            <w:top w:val="none" w:sz="0" w:space="0" w:color="auto"/>
            <w:left w:val="none" w:sz="0" w:space="0" w:color="auto"/>
            <w:bottom w:val="none" w:sz="0" w:space="0" w:color="auto"/>
            <w:right w:val="none" w:sz="0" w:space="0" w:color="auto"/>
          </w:divBdr>
        </w:div>
        <w:div w:id="749813807">
          <w:marLeft w:val="1354"/>
          <w:marRight w:val="0"/>
          <w:marTop w:val="0"/>
          <w:marBottom w:val="0"/>
          <w:divBdr>
            <w:top w:val="none" w:sz="0" w:space="0" w:color="auto"/>
            <w:left w:val="none" w:sz="0" w:space="0" w:color="auto"/>
            <w:bottom w:val="none" w:sz="0" w:space="0" w:color="auto"/>
            <w:right w:val="none" w:sz="0" w:space="0" w:color="auto"/>
          </w:divBdr>
        </w:div>
        <w:div w:id="584920139">
          <w:marLeft w:val="1354"/>
          <w:marRight w:val="0"/>
          <w:marTop w:val="0"/>
          <w:marBottom w:val="0"/>
          <w:divBdr>
            <w:top w:val="none" w:sz="0" w:space="0" w:color="auto"/>
            <w:left w:val="none" w:sz="0" w:space="0" w:color="auto"/>
            <w:bottom w:val="none" w:sz="0" w:space="0" w:color="auto"/>
            <w:right w:val="none" w:sz="0" w:space="0" w:color="auto"/>
          </w:divBdr>
        </w:div>
      </w:divsChild>
    </w:div>
    <w:div w:id="1606158492">
      <w:bodyDiv w:val="1"/>
      <w:marLeft w:val="0"/>
      <w:marRight w:val="0"/>
      <w:marTop w:val="0"/>
      <w:marBottom w:val="0"/>
      <w:divBdr>
        <w:top w:val="none" w:sz="0" w:space="0" w:color="auto"/>
        <w:left w:val="none" w:sz="0" w:space="0" w:color="auto"/>
        <w:bottom w:val="none" w:sz="0" w:space="0" w:color="auto"/>
        <w:right w:val="none" w:sz="0" w:space="0" w:color="auto"/>
      </w:divBdr>
    </w:div>
    <w:div w:id="1637027963">
      <w:bodyDiv w:val="1"/>
      <w:marLeft w:val="0"/>
      <w:marRight w:val="0"/>
      <w:marTop w:val="0"/>
      <w:marBottom w:val="0"/>
      <w:divBdr>
        <w:top w:val="none" w:sz="0" w:space="0" w:color="auto"/>
        <w:left w:val="none" w:sz="0" w:space="0" w:color="auto"/>
        <w:bottom w:val="none" w:sz="0" w:space="0" w:color="auto"/>
        <w:right w:val="none" w:sz="0" w:space="0" w:color="auto"/>
      </w:divBdr>
    </w:div>
    <w:div w:id="1680280072">
      <w:bodyDiv w:val="1"/>
      <w:marLeft w:val="0"/>
      <w:marRight w:val="0"/>
      <w:marTop w:val="0"/>
      <w:marBottom w:val="0"/>
      <w:divBdr>
        <w:top w:val="none" w:sz="0" w:space="0" w:color="auto"/>
        <w:left w:val="none" w:sz="0" w:space="0" w:color="auto"/>
        <w:bottom w:val="none" w:sz="0" w:space="0" w:color="auto"/>
        <w:right w:val="none" w:sz="0" w:space="0" w:color="auto"/>
      </w:divBdr>
    </w:div>
    <w:div w:id="1757749216">
      <w:bodyDiv w:val="1"/>
      <w:marLeft w:val="0"/>
      <w:marRight w:val="0"/>
      <w:marTop w:val="0"/>
      <w:marBottom w:val="0"/>
      <w:divBdr>
        <w:top w:val="none" w:sz="0" w:space="0" w:color="auto"/>
        <w:left w:val="none" w:sz="0" w:space="0" w:color="auto"/>
        <w:bottom w:val="none" w:sz="0" w:space="0" w:color="auto"/>
        <w:right w:val="none" w:sz="0" w:space="0" w:color="auto"/>
      </w:divBdr>
    </w:div>
    <w:div w:id="1810130442">
      <w:bodyDiv w:val="1"/>
      <w:marLeft w:val="0"/>
      <w:marRight w:val="0"/>
      <w:marTop w:val="0"/>
      <w:marBottom w:val="0"/>
      <w:divBdr>
        <w:top w:val="none" w:sz="0" w:space="0" w:color="auto"/>
        <w:left w:val="none" w:sz="0" w:space="0" w:color="auto"/>
        <w:bottom w:val="none" w:sz="0" w:space="0" w:color="auto"/>
        <w:right w:val="none" w:sz="0" w:space="0" w:color="auto"/>
      </w:divBdr>
    </w:div>
    <w:div w:id="1859192746">
      <w:bodyDiv w:val="1"/>
      <w:marLeft w:val="0"/>
      <w:marRight w:val="0"/>
      <w:marTop w:val="0"/>
      <w:marBottom w:val="0"/>
      <w:divBdr>
        <w:top w:val="none" w:sz="0" w:space="0" w:color="auto"/>
        <w:left w:val="none" w:sz="0" w:space="0" w:color="auto"/>
        <w:bottom w:val="none" w:sz="0" w:space="0" w:color="auto"/>
        <w:right w:val="none" w:sz="0" w:space="0" w:color="auto"/>
      </w:divBdr>
    </w:div>
    <w:div w:id="1860898503">
      <w:bodyDiv w:val="1"/>
      <w:marLeft w:val="0"/>
      <w:marRight w:val="0"/>
      <w:marTop w:val="0"/>
      <w:marBottom w:val="0"/>
      <w:divBdr>
        <w:top w:val="none" w:sz="0" w:space="0" w:color="auto"/>
        <w:left w:val="none" w:sz="0" w:space="0" w:color="auto"/>
        <w:bottom w:val="none" w:sz="0" w:space="0" w:color="auto"/>
        <w:right w:val="none" w:sz="0" w:space="0" w:color="auto"/>
      </w:divBdr>
      <w:divsChild>
        <w:div w:id="102726170">
          <w:marLeft w:val="547"/>
          <w:marRight w:val="0"/>
          <w:marTop w:val="0"/>
          <w:marBottom w:val="120"/>
          <w:divBdr>
            <w:top w:val="none" w:sz="0" w:space="0" w:color="auto"/>
            <w:left w:val="none" w:sz="0" w:space="0" w:color="auto"/>
            <w:bottom w:val="none" w:sz="0" w:space="0" w:color="auto"/>
            <w:right w:val="none" w:sz="0" w:space="0" w:color="auto"/>
          </w:divBdr>
        </w:div>
        <w:div w:id="337195752">
          <w:marLeft w:val="547"/>
          <w:marRight w:val="0"/>
          <w:marTop w:val="0"/>
          <w:marBottom w:val="120"/>
          <w:divBdr>
            <w:top w:val="none" w:sz="0" w:space="0" w:color="auto"/>
            <w:left w:val="none" w:sz="0" w:space="0" w:color="auto"/>
            <w:bottom w:val="none" w:sz="0" w:space="0" w:color="auto"/>
            <w:right w:val="none" w:sz="0" w:space="0" w:color="auto"/>
          </w:divBdr>
        </w:div>
        <w:div w:id="482352555">
          <w:marLeft w:val="547"/>
          <w:marRight w:val="0"/>
          <w:marTop w:val="0"/>
          <w:marBottom w:val="120"/>
          <w:divBdr>
            <w:top w:val="none" w:sz="0" w:space="0" w:color="auto"/>
            <w:left w:val="none" w:sz="0" w:space="0" w:color="auto"/>
            <w:bottom w:val="none" w:sz="0" w:space="0" w:color="auto"/>
            <w:right w:val="none" w:sz="0" w:space="0" w:color="auto"/>
          </w:divBdr>
        </w:div>
        <w:div w:id="922228390">
          <w:marLeft w:val="547"/>
          <w:marRight w:val="0"/>
          <w:marTop w:val="0"/>
          <w:marBottom w:val="120"/>
          <w:divBdr>
            <w:top w:val="none" w:sz="0" w:space="0" w:color="auto"/>
            <w:left w:val="none" w:sz="0" w:space="0" w:color="auto"/>
            <w:bottom w:val="none" w:sz="0" w:space="0" w:color="auto"/>
            <w:right w:val="none" w:sz="0" w:space="0" w:color="auto"/>
          </w:divBdr>
        </w:div>
        <w:div w:id="1118791200">
          <w:marLeft w:val="547"/>
          <w:marRight w:val="0"/>
          <w:marTop w:val="0"/>
          <w:marBottom w:val="120"/>
          <w:divBdr>
            <w:top w:val="none" w:sz="0" w:space="0" w:color="auto"/>
            <w:left w:val="none" w:sz="0" w:space="0" w:color="auto"/>
            <w:bottom w:val="none" w:sz="0" w:space="0" w:color="auto"/>
            <w:right w:val="none" w:sz="0" w:space="0" w:color="auto"/>
          </w:divBdr>
        </w:div>
        <w:div w:id="1355421258">
          <w:marLeft w:val="547"/>
          <w:marRight w:val="0"/>
          <w:marTop w:val="0"/>
          <w:marBottom w:val="120"/>
          <w:divBdr>
            <w:top w:val="none" w:sz="0" w:space="0" w:color="auto"/>
            <w:left w:val="none" w:sz="0" w:space="0" w:color="auto"/>
            <w:bottom w:val="none" w:sz="0" w:space="0" w:color="auto"/>
            <w:right w:val="none" w:sz="0" w:space="0" w:color="auto"/>
          </w:divBdr>
        </w:div>
        <w:div w:id="1496145297">
          <w:marLeft w:val="547"/>
          <w:marRight w:val="0"/>
          <w:marTop w:val="0"/>
          <w:marBottom w:val="120"/>
          <w:divBdr>
            <w:top w:val="none" w:sz="0" w:space="0" w:color="auto"/>
            <w:left w:val="none" w:sz="0" w:space="0" w:color="auto"/>
            <w:bottom w:val="none" w:sz="0" w:space="0" w:color="auto"/>
            <w:right w:val="none" w:sz="0" w:space="0" w:color="auto"/>
          </w:divBdr>
        </w:div>
        <w:div w:id="1677533075">
          <w:marLeft w:val="547"/>
          <w:marRight w:val="0"/>
          <w:marTop w:val="0"/>
          <w:marBottom w:val="120"/>
          <w:divBdr>
            <w:top w:val="none" w:sz="0" w:space="0" w:color="auto"/>
            <w:left w:val="none" w:sz="0" w:space="0" w:color="auto"/>
            <w:bottom w:val="none" w:sz="0" w:space="0" w:color="auto"/>
            <w:right w:val="none" w:sz="0" w:space="0" w:color="auto"/>
          </w:divBdr>
        </w:div>
      </w:divsChild>
    </w:div>
    <w:div w:id="1868787871">
      <w:bodyDiv w:val="1"/>
      <w:marLeft w:val="0"/>
      <w:marRight w:val="0"/>
      <w:marTop w:val="0"/>
      <w:marBottom w:val="0"/>
      <w:divBdr>
        <w:top w:val="none" w:sz="0" w:space="0" w:color="auto"/>
        <w:left w:val="none" w:sz="0" w:space="0" w:color="auto"/>
        <w:bottom w:val="none" w:sz="0" w:space="0" w:color="auto"/>
        <w:right w:val="none" w:sz="0" w:space="0" w:color="auto"/>
      </w:divBdr>
    </w:div>
    <w:div w:id="1926572258">
      <w:bodyDiv w:val="1"/>
      <w:marLeft w:val="0"/>
      <w:marRight w:val="0"/>
      <w:marTop w:val="0"/>
      <w:marBottom w:val="0"/>
      <w:divBdr>
        <w:top w:val="none" w:sz="0" w:space="0" w:color="auto"/>
        <w:left w:val="none" w:sz="0" w:space="0" w:color="auto"/>
        <w:bottom w:val="none" w:sz="0" w:space="0" w:color="auto"/>
        <w:right w:val="none" w:sz="0" w:space="0" w:color="auto"/>
      </w:divBdr>
    </w:div>
    <w:div w:id="1941251906">
      <w:bodyDiv w:val="1"/>
      <w:marLeft w:val="0"/>
      <w:marRight w:val="0"/>
      <w:marTop w:val="0"/>
      <w:marBottom w:val="0"/>
      <w:divBdr>
        <w:top w:val="none" w:sz="0" w:space="0" w:color="auto"/>
        <w:left w:val="none" w:sz="0" w:space="0" w:color="auto"/>
        <w:bottom w:val="none" w:sz="0" w:space="0" w:color="auto"/>
        <w:right w:val="none" w:sz="0" w:space="0" w:color="auto"/>
      </w:divBdr>
    </w:div>
    <w:div w:id="1957372893">
      <w:bodyDiv w:val="1"/>
      <w:marLeft w:val="0"/>
      <w:marRight w:val="0"/>
      <w:marTop w:val="0"/>
      <w:marBottom w:val="0"/>
      <w:divBdr>
        <w:top w:val="none" w:sz="0" w:space="0" w:color="auto"/>
        <w:left w:val="none" w:sz="0" w:space="0" w:color="auto"/>
        <w:bottom w:val="none" w:sz="0" w:space="0" w:color="auto"/>
        <w:right w:val="none" w:sz="0" w:space="0" w:color="auto"/>
      </w:divBdr>
    </w:div>
    <w:div w:id="2016876266">
      <w:bodyDiv w:val="1"/>
      <w:marLeft w:val="0"/>
      <w:marRight w:val="0"/>
      <w:marTop w:val="0"/>
      <w:marBottom w:val="0"/>
      <w:divBdr>
        <w:top w:val="none" w:sz="0" w:space="0" w:color="auto"/>
        <w:left w:val="none" w:sz="0" w:space="0" w:color="auto"/>
        <w:bottom w:val="none" w:sz="0" w:space="0" w:color="auto"/>
        <w:right w:val="none" w:sz="0" w:space="0" w:color="auto"/>
      </w:divBdr>
      <w:divsChild>
        <w:div w:id="523860099">
          <w:marLeft w:val="0"/>
          <w:marRight w:val="0"/>
          <w:marTop w:val="0"/>
          <w:marBottom w:val="0"/>
          <w:divBdr>
            <w:top w:val="none" w:sz="0" w:space="0" w:color="auto"/>
            <w:left w:val="none" w:sz="0" w:space="0" w:color="auto"/>
            <w:bottom w:val="none" w:sz="0" w:space="0" w:color="auto"/>
            <w:right w:val="none" w:sz="0" w:space="0" w:color="auto"/>
          </w:divBdr>
          <w:divsChild>
            <w:div w:id="478228808">
              <w:marLeft w:val="0"/>
              <w:marRight w:val="0"/>
              <w:marTop w:val="0"/>
              <w:marBottom w:val="0"/>
              <w:divBdr>
                <w:top w:val="none" w:sz="0" w:space="0" w:color="auto"/>
                <w:left w:val="none" w:sz="0" w:space="0" w:color="auto"/>
                <w:bottom w:val="none" w:sz="0" w:space="0" w:color="auto"/>
                <w:right w:val="none" w:sz="0" w:space="0" w:color="auto"/>
              </w:divBdr>
            </w:div>
            <w:div w:id="639572800">
              <w:marLeft w:val="0"/>
              <w:marRight w:val="0"/>
              <w:marTop w:val="0"/>
              <w:marBottom w:val="0"/>
              <w:divBdr>
                <w:top w:val="none" w:sz="0" w:space="0" w:color="auto"/>
                <w:left w:val="none" w:sz="0" w:space="0" w:color="auto"/>
                <w:bottom w:val="none" w:sz="0" w:space="0" w:color="auto"/>
                <w:right w:val="none" w:sz="0" w:space="0" w:color="auto"/>
              </w:divBdr>
            </w:div>
            <w:div w:id="2014992381">
              <w:marLeft w:val="0"/>
              <w:marRight w:val="0"/>
              <w:marTop w:val="0"/>
              <w:marBottom w:val="0"/>
              <w:divBdr>
                <w:top w:val="none" w:sz="0" w:space="0" w:color="auto"/>
                <w:left w:val="none" w:sz="0" w:space="0" w:color="auto"/>
                <w:bottom w:val="none" w:sz="0" w:space="0" w:color="auto"/>
                <w:right w:val="none" w:sz="0" w:space="0" w:color="auto"/>
              </w:divBdr>
            </w:div>
            <w:div w:id="359400349">
              <w:marLeft w:val="0"/>
              <w:marRight w:val="0"/>
              <w:marTop w:val="0"/>
              <w:marBottom w:val="0"/>
              <w:divBdr>
                <w:top w:val="none" w:sz="0" w:space="0" w:color="auto"/>
                <w:left w:val="none" w:sz="0" w:space="0" w:color="auto"/>
                <w:bottom w:val="none" w:sz="0" w:space="0" w:color="auto"/>
                <w:right w:val="none" w:sz="0" w:space="0" w:color="auto"/>
              </w:divBdr>
            </w:div>
            <w:div w:id="477460211">
              <w:marLeft w:val="0"/>
              <w:marRight w:val="0"/>
              <w:marTop w:val="0"/>
              <w:marBottom w:val="0"/>
              <w:divBdr>
                <w:top w:val="none" w:sz="0" w:space="0" w:color="auto"/>
                <w:left w:val="none" w:sz="0" w:space="0" w:color="auto"/>
                <w:bottom w:val="none" w:sz="0" w:space="0" w:color="auto"/>
                <w:right w:val="none" w:sz="0" w:space="0" w:color="auto"/>
              </w:divBdr>
            </w:div>
            <w:div w:id="1930311983">
              <w:marLeft w:val="0"/>
              <w:marRight w:val="0"/>
              <w:marTop w:val="0"/>
              <w:marBottom w:val="0"/>
              <w:divBdr>
                <w:top w:val="none" w:sz="0" w:space="0" w:color="auto"/>
                <w:left w:val="none" w:sz="0" w:space="0" w:color="auto"/>
                <w:bottom w:val="none" w:sz="0" w:space="0" w:color="auto"/>
                <w:right w:val="none" w:sz="0" w:space="0" w:color="auto"/>
              </w:divBdr>
            </w:div>
            <w:div w:id="1184201966">
              <w:marLeft w:val="0"/>
              <w:marRight w:val="0"/>
              <w:marTop w:val="0"/>
              <w:marBottom w:val="0"/>
              <w:divBdr>
                <w:top w:val="none" w:sz="0" w:space="0" w:color="auto"/>
                <w:left w:val="none" w:sz="0" w:space="0" w:color="auto"/>
                <w:bottom w:val="none" w:sz="0" w:space="0" w:color="auto"/>
                <w:right w:val="none" w:sz="0" w:space="0" w:color="auto"/>
              </w:divBdr>
            </w:div>
            <w:div w:id="1813910855">
              <w:marLeft w:val="0"/>
              <w:marRight w:val="0"/>
              <w:marTop w:val="0"/>
              <w:marBottom w:val="0"/>
              <w:divBdr>
                <w:top w:val="none" w:sz="0" w:space="0" w:color="auto"/>
                <w:left w:val="none" w:sz="0" w:space="0" w:color="auto"/>
                <w:bottom w:val="none" w:sz="0" w:space="0" w:color="auto"/>
                <w:right w:val="none" w:sz="0" w:space="0" w:color="auto"/>
              </w:divBdr>
            </w:div>
            <w:div w:id="1131705100">
              <w:marLeft w:val="0"/>
              <w:marRight w:val="0"/>
              <w:marTop w:val="0"/>
              <w:marBottom w:val="0"/>
              <w:divBdr>
                <w:top w:val="none" w:sz="0" w:space="0" w:color="auto"/>
                <w:left w:val="none" w:sz="0" w:space="0" w:color="auto"/>
                <w:bottom w:val="none" w:sz="0" w:space="0" w:color="auto"/>
                <w:right w:val="none" w:sz="0" w:space="0" w:color="auto"/>
              </w:divBdr>
            </w:div>
            <w:div w:id="784155592">
              <w:marLeft w:val="0"/>
              <w:marRight w:val="0"/>
              <w:marTop w:val="0"/>
              <w:marBottom w:val="0"/>
              <w:divBdr>
                <w:top w:val="none" w:sz="0" w:space="0" w:color="auto"/>
                <w:left w:val="none" w:sz="0" w:space="0" w:color="auto"/>
                <w:bottom w:val="none" w:sz="0" w:space="0" w:color="auto"/>
                <w:right w:val="none" w:sz="0" w:space="0" w:color="auto"/>
              </w:divBdr>
            </w:div>
            <w:div w:id="1910340316">
              <w:marLeft w:val="0"/>
              <w:marRight w:val="0"/>
              <w:marTop w:val="0"/>
              <w:marBottom w:val="0"/>
              <w:divBdr>
                <w:top w:val="none" w:sz="0" w:space="0" w:color="auto"/>
                <w:left w:val="none" w:sz="0" w:space="0" w:color="auto"/>
                <w:bottom w:val="none" w:sz="0" w:space="0" w:color="auto"/>
                <w:right w:val="none" w:sz="0" w:space="0" w:color="auto"/>
              </w:divBdr>
            </w:div>
            <w:div w:id="1787433120">
              <w:marLeft w:val="0"/>
              <w:marRight w:val="0"/>
              <w:marTop w:val="0"/>
              <w:marBottom w:val="0"/>
              <w:divBdr>
                <w:top w:val="none" w:sz="0" w:space="0" w:color="auto"/>
                <w:left w:val="none" w:sz="0" w:space="0" w:color="auto"/>
                <w:bottom w:val="none" w:sz="0" w:space="0" w:color="auto"/>
                <w:right w:val="none" w:sz="0" w:space="0" w:color="auto"/>
              </w:divBdr>
            </w:div>
            <w:div w:id="1172447796">
              <w:marLeft w:val="0"/>
              <w:marRight w:val="0"/>
              <w:marTop w:val="0"/>
              <w:marBottom w:val="0"/>
              <w:divBdr>
                <w:top w:val="none" w:sz="0" w:space="0" w:color="auto"/>
                <w:left w:val="none" w:sz="0" w:space="0" w:color="auto"/>
                <w:bottom w:val="none" w:sz="0" w:space="0" w:color="auto"/>
                <w:right w:val="none" w:sz="0" w:space="0" w:color="auto"/>
              </w:divBdr>
            </w:div>
            <w:div w:id="824857352">
              <w:marLeft w:val="0"/>
              <w:marRight w:val="0"/>
              <w:marTop w:val="0"/>
              <w:marBottom w:val="0"/>
              <w:divBdr>
                <w:top w:val="none" w:sz="0" w:space="0" w:color="auto"/>
                <w:left w:val="none" w:sz="0" w:space="0" w:color="auto"/>
                <w:bottom w:val="none" w:sz="0" w:space="0" w:color="auto"/>
                <w:right w:val="none" w:sz="0" w:space="0" w:color="auto"/>
              </w:divBdr>
            </w:div>
            <w:div w:id="115637605">
              <w:marLeft w:val="0"/>
              <w:marRight w:val="0"/>
              <w:marTop w:val="0"/>
              <w:marBottom w:val="0"/>
              <w:divBdr>
                <w:top w:val="none" w:sz="0" w:space="0" w:color="auto"/>
                <w:left w:val="none" w:sz="0" w:space="0" w:color="auto"/>
                <w:bottom w:val="none" w:sz="0" w:space="0" w:color="auto"/>
                <w:right w:val="none" w:sz="0" w:space="0" w:color="auto"/>
              </w:divBdr>
            </w:div>
            <w:div w:id="659775217">
              <w:marLeft w:val="0"/>
              <w:marRight w:val="0"/>
              <w:marTop w:val="0"/>
              <w:marBottom w:val="0"/>
              <w:divBdr>
                <w:top w:val="none" w:sz="0" w:space="0" w:color="auto"/>
                <w:left w:val="none" w:sz="0" w:space="0" w:color="auto"/>
                <w:bottom w:val="none" w:sz="0" w:space="0" w:color="auto"/>
                <w:right w:val="none" w:sz="0" w:space="0" w:color="auto"/>
              </w:divBdr>
            </w:div>
            <w:div w:id="1736586089">
              <w:marLeft w:val="0"/>
              <w:marRight w:val="0"/>
              <w:marTop w:val="0"/>
              <w:marBottom w:val="0"/>
              <w:divBdr>
                <w:top w:val="none" w:sz="0" w:space="0" w:color="auto"/>
                <w:left w:val="none" w:sz="0" w:space="0" w:color="auto"/>
                <w:bottom w:val="none" w:sz="0" w:space="0" w:color="auto"/>
                <w:right w:val="none" w:sz="0" w:space="0" w:color="auto"/>
              </w:divBdr>
            </w:div>
            <w:div w:id="1717387760">
              <w:marLeft w:val="0"/>
              <w:marRight w:val="0"/>
              <w:marTop w:val="0"/>
              <w:marBottom w:val="0"/>
              <w:divBdr>
                <w:top w:val="none" w:sz="0" w:space="0" w:color="auto"/>
                <w:left w:val="none" w:sz="0" w:space="0" w:color="auto"/>
                <w:bottom w:val="none" w:sz="0" w:space="0" w:color="auto"/>
                <w:right w:val="none" w:sz="0" w:space="0" w:color="auto"/>
              </w:divBdr>
            </w:div>
          </w:divsChild>
        </w:div>
        <w:div w:id="1490709911">
          <w:marLeft w:val="0"/>
          <w:marRight w:val="0"/>
          <w:marTop w:val="0"/>
          <w:marBottom w:val="0"/>
          <w:divBdr>
            <w:top w:val="none" w:sz="0" w:space="0" w:color="auto"/>
            <w:left w:val="none" w:sz="0" w:space="0" w:color="auto"/>
            <w:bottom w:val="none" w:sz="0" w:space="0" w:color="auto"/>
            <w:right w:val="none" w:sz="0" w:space="0" w:color="auto"/>
          </w:divBdr>
        </w:div>
        <w:div w:id="1575554503">
          <w:marLeft w:val="0"/>
          <w:marRight w:val="0"/>
          <w:marTop w:val="0"/>
          <w:marBottom w:val="0"/>
          <w:divBdr>
            <w:top w:val="none" w:sz="0" w:space="0" w:color="auto"/>
            <w:left w:val="none" w:sz="0" w:space="0" w:color="auto"/>
            <w:bottom w:val="none" w:sz="0" w:space="0" w:color="auto"/>
            <w:right w:val="none" w:sz="0" w:space="0" w:color="auto"/>
          </w:divBdr>
        </w:div>
        <w:div w:id="309404628">
          <w:marLeft w:val="0"/>
          <w:marRight w:val="0"/>
          <w:marTop w:val="0"/>
          <w:marBottom w:val="0"/>
          <w:divBdr>
            <w:top w:val="none" w:sz="0" w:space="0" w:color="auto"/>
            <w:left w:val="none" w:sz="0" w:space="0" w:color="auto"/>
            <w:bottom w:val="none" w:sz="0" w:space="0" w:color="auto"/>
            <w:right w:val="none" w:sz="0" w:space="0" w:color="auto"/>
          </w:divBdr>
        </w:div>
        <w:div w:id="50079820">
          <w:marLeft w:val="0"/>
          <w:marRight w:val="0"/>
          <w:marTop w:val="0"/>
          <w:marBottom w:val="0"/>
          <w:divBdr>
            <w:top w:val="none" w:sz="0" w:space="0" w:color="auto"/>
            <w:left w:val="none" w:sz="0" w:space="0" w:color="auto"/>
            <w:bottom w:val="none" w:sz="0" w:space="0" w:color="auto"/>
            <w:right w:val="none" w:sz="0" w:space="0" w:color="auto"/>
          </w:divBdr>
        </w:div>
      </w:divsChild>
    </w:div>
    <w:div w:id="2036880221">
      <w:bodyDiv w:val="1"/>
      <w:marLeft w:val="0"/>
      <w:marRight w:val="0"/>
      <w:marTop w:val="0"/>
      <w:marBottom w:val="0"/>
      <w:divBdr>
        <w:top w:val="none" w:sz="0" w:space="0" w:color="auto"/>
        <w:left w:val="none" w:sz="0" w:space="0" w:color="auto"/>
        <w:bottom w:val="none" w:sz="0" w:space="0" w:color="auto"/>
        <w:right w:val="none" w:sz="0" w:space="0" w:color="auto"/>
      </w:divBdr>
    </w:div>
    <w:div w:id="2045134746">
      <w:bodyDiv w:val="1"/>
      <w:marLeft w:val="0"/>
      <w:marRight w:val="0"/>
      <w:marTop w:val="0"/>
      <w:marBottom w:val="0"/>
      <w:divBdr>
        <w:top w:val="none" w:sz="0" w:space="0" w:color="auto"/>
        <w:left w:val="none" w:sz="0" w:space="0" w:color="auto"/>
        <w:bottom w:val="none" w:sz="0" w:space="0" w:color="auto"/>
        <w:right w:val="none" w:sz="0" w:space="0" w:color="auto"/>
      </w:divBdr>
    </w:div>
    <w:div w:id="2058386849">
      <w:bodyDiv w:val="1"/>
      <w:marLeft w:val="0"/>
      <w:marRight w:val="0"/>
      <w:marTop w:val="0"/>
      <w:marBottom w:val="0"/>
      <w:divBdr>
        <w:top w:val="none" w:sz="0" w:space="0" w:color="auto"/>
        <w:left w:val="none" w:sz="0" w:space="0" w:color="auto"/>
        <w:bottom w:val="none" w:sz="0" w:space="0" w:color="auto"/>
        <w:right w:val="none" w:sz="0" w:space="0" w:color="auto"/>
      </w:divBdr>
    </w:div>
    <w:div w:id="2083213230">
      <w:bodyDiv w:val="1"/>
      <w:marLeft w:val="0"/>
      <w:marRight w:val="0"/>
      <w:marTop w:val="0"/>
      <w:marBottom w:val="0"/>
      <w:divBdr>
        <w:top w:val="none" w:sz="0" w:space="0" w:color="auto"/>
        <w:left w:val="none" w:sz="0" w:space="0" w:color="auto"/>
        <w:bottom w:val="none" w:sz="0" w:space="0" w:color="auto"/>
        <w:right w:val="none" w:sz="0" w:space="0" w:color="auto"/>
      </w:divBdr>
    </w:div>
    <w:div w:id="2124573716">
      <w:bodyDiv w:val="1"/>
      <w:marLeft w:val="0"/>
      <w:marRight w:val="0"/>
      <w:marTop w:val="0"/>
      <w:marBottom w:val="0"/>
      <w:divBdr>
        <w:top w:val="none" w:sz="0" w:space="0" w:color="auto"/>
        <w:left w:val="none" w:sz="0" w:space="0" w:color="auto"/>
        <w:bottom w:val="none" w:sz="0" w:space="0" w:color="auto"/>
        <w:right w:val="none" w:sz="0" w:space="0" w:color="auto"/>
      </w:divBdr>
    </w:div>
    <w:div w:id="2131122209">
      <w:bodyDiv w:val="1"/>
      <w:marLeft w:val="0"/>
      <w:marRight w:val="0"/>
      <w:marTop w:val="0"/>
      <w:marBottom w:val="0"/>
      <w:divBdr>
        <w:top w:val="none" w:sz="0" w:space="0" w:color="auto"/>
        <w:left w:val="none" w:sz="0" w:space="0" w:color="auto"/>
        <w:bottom w:val="none" w:sz="0" w:space="0" w:color="auto"/>
        <w:right w:val="none" w:sz="0" w:space="0" w:color="auto"/>
      </w:divBdr>
    </w:div>
    <w:div w:id="214715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svg"/><Relationship Id="rId34" Type="http://schemas.openxmlformats.org/officeDocument/2006/relationships/image" Target="media/image23.emf"/><Relationship Id="rId42" Type="http://schemas.openxmlformats.org/officeDocument/2006/relationships/image" Target="media/image31.svg"/><Relationship Id="rId47" Type="http://schemas.openxmlformats.org/officeDocument/2006/relationships/image" Target="media/image36.png"/><Relationship Id="rId50" Type="http://schemas.openxmlformats.org/officeDocument/2006/relationships/image" Target="media/image39.svg"/><Relationship Id="rId55" Type="http://schemas.openxmlformats.org/officeDocument/2006/relationships/image" Target="media/image4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8.sv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8.sv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svg"/><Relationship Id="rId56"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gestornormativo.creg.gov.co/gestor/entorno/docs/resolucion_creg_0055_1994.htm" TargetMode="External"/><Relationship Id="rId25" Type="http://schemas.openxmlformats.org/officeDocument/2006/relationships/image" Target="media/image14.svg"/><Relationship Id="rId33" Type="http://schemas.openxmlformats.org/officeDocument/2006/relationships/image" Target="media/image22.png"/><Relationship Id="rId38" Type="http://schemas.openxmlformats.org/officeDocument/2006/relationships/image" Target="media/image27.svg"/><Relationship Id="rId46" Type="http://schemas.openxmlformats.org/officeDocument/2006/relationships/image" Target="media/image35.svg"/><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image" Target="media/image25.sv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sv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90cc45-9d06-4234-8034-eeec6c0c7cc1">
      <Terms xmlns="http://schemas.microsoft.com/office/infopath/2007/PartnerControls"/>
    </lcf76f155ced4ddcb4097134ff3c332f>
    <TaxCatchAll xmlns="309f6219-a73f-4366-a00d-6bacb1e9f8e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7D4FDF199FE64438732850D4FBE260F" ma:contentTypeVersion="15" ma:contentTypeDescription="Crear nuevo documento." ma:contentTypeScope="" ma:versionID="17f2a170d553fb93ad4ee4bdf6a16c42">
  <xsd:schema xmlns:xsd="http://www.w3.org/2001/XMLSchema" xmlns:xs="http://www.w3.org/2001/XMLSchema" xmlns:p="http://schemas.microsoft.com/office/2006/metadata/properties" xmlns:ns2="0f90cc45-9d06-4234-8034-eeec6c0c7cc1" xmlns:ns3="309f6219-a73f-4366-a00d-6bacb1e9f8e0" targetNamespace="http://schemas.microsoft.com/office/2006/metadata/properties" ma:root="true" ma:fieldsID="b59e0bb1a8da7664ae293ee389bee3f9" ns2:_="" ns3:_="">
    <xsd:import namespace="0f90cc45-9d06-4234-8034-eeec6c0c7cc1"/>
    <xsd:import namespace="309f6219-a73f-4366-a00d-6bacb1e9f8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0cc45-9d06-4234-8034-eeec6c0c7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9f6219-a73f-4366-a00d-6bacb1e9f8e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02a0a591-6e08-4792-bc2c-079f6227fde3}" ma:internalName="TaxCatchAll" ma:showField="CatchAllData" ma:web="309f6219-a73f-4366-a00d-6bacb1e9f8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1AD0FE-1DAB-48B2-A284-A7F1653888B2}">
  <ds:schemaRefs>
    <ds:schemaRef ds:uri="http://purl.org/dc/elements/1.1/"/>
    <ds:schemaRef ds:uri="http://purl.org/dc/dcmitype/"/>
    <ds:schemaRef ds:uri="0f90cc45-9d06-4234-8034-eeec6c0c7cc1"/>
    <ds:schemaRef ds:uri="http://www.w3.org/XML/1998/namespace"/>
    <ds:schemaRef ds:uri="http://schemas.microsoft.com/office/2006/documentManagement/types"/>
    <ds:schemaRef ds:uri="http://purl.org/dc/terms/"/>
    <ds:schemaRef ds:uri="309f6219-a73f-4366-a00d-6bacb1e9f8e0"/>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A6E7C3EB-43D3-4F9F-B24C-0A2DE6013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0cc45-9d06-4234-8034-eeec6c0c7cc1"/>
    <ds:schemaRef ds:uri="309f6219-a73f-4366-a00d-6bacb1e9f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C4A0CB-EBFB-4B55-9D1F-B5A207BA02D3}">
  <ds:schemaRefs>
    <ds:schemaRef ds:uri="http://schemas.openxmlformats.org/officeDocument/2006/bibliography"/>
  </ds:schemaRefs>
</ds:datastoreItem>
</file>

<file path=customXml/itemProps4.xml><?xml version="1.0" encoding="utf-8"?>
<ds:datastoreItem xmlns:ds="http://schemas.openxmlformats.org/officeDocument/2006/customXml" ds:itemID="{CFE15245-B743-4602-82BE-04DA5DBE42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7564</Words>
  <Characters>43966</Characters>
  <Application>Microsoft Office Word</Application>
  <DocSecurity>0</DocSecurity>
  <Lines>366</Lines>
  <Paragraphs>102</Paragraphs>
  <ScaleCrop>false</ScaleCrop>
  <HeadingPairs>
    <vt:vector size="2" baseType="variant">
      <vt:variant>
        <vt:lpstr>Título</vt:lpstr>
      </vt:variant>
      <vt:variant>
        <vt:i4>1</vt:i4>
      </vt:variant>
    </vt:vector>
  </HeadingPairs>
  <TitlesOfParts>
    <vt:vector size="1" baseType="lpstr">
      <vt:lpstr>3 espacios (Interlineado sencillo)</vt:lpstr>
    </vt:vector>
  </TitlesOfParts>
  <Company>CREG</Company>
  <LinksUpToDate>false</LinksUpToDate>
  <CharactersWithSpaces>51428</CharactersWithSpaces>
  <SharedDoc>false</SharedDoc>
  <HLinks>
    <vt:vector size="336" baseType="variant">
      <vt:variant>
        <vt:i4>2424938</vt:i4>
      </vt:variant>
      <vt:variant>
        <vt:i4>357</vt:i4>
      </vt:variant>
      <vt:variant>
        <vt:i4>0</vt:i4>
      </vt:variant>
      <vt:variant>
        <vt:i4>5</vt:i4>
      </vt:variant>
      <vt:variant>
        <vt:lpwstr>https://gestornormativo.creg.gov.co/gestor/entorno/docs/resolucion_creg_0055_1994.htm</vt:lpwstr>
      </vt:variant>
      <vt:variant>
        <vt:lpwstr>0</vt:lpwstr>
      </vt:variant>
      <vt:variant>
        <vt:i4>1703985</vt:i4>
      </vt:variant>
      <vt:variant>
        <vt:i4>341</vt:i4>
      </vt:variant>
      <vt:variant>
        <vt:i4>0</vt:i4>
      </vt:variant>
      <vt:variant>
        <vt:i4>5</vt:i4>
      </vt:variant>
      <vt:variant>
        <vt:lpwstr/>
      </vt:variant>
      <vt:variant>
        <vt:lpwstr>_Toc153876465</vt:lpwstr>
      </vt:variant>
      <vt:variant>
        <vt:i4>1703985</vt:i4>
      </vt:variant>
      <vt:variant>
        <vt:i4>335</vt:i4>
      </vt:variant>
      <vt:variant>
        <vt:i4>0</vt:i4>
      </vt:variant>
      <vt:variant>
        <vt:i4>5</vt:i4>
      </vt:variant>
      <vt:variant>
        <vt:lpwstr/>
      </vt:variant>
      <vt:variant>
        <vt:lpwstr>_Toc153876464</vt:lpwstr>
      </vt:variant>
      <vt:variant>
        <vt:i4>1703985</vt:i4>
      </vt:variant>
      <vt:variant>
        <vt:i4>329</vt:i4>
      </vt:variant>
      <vt:variant>
        <vt:i4>0</vt:i4>
      </vt:variant>
      <vt:variant>
        <vt:i4>5</vt:i4>
      </vt:variant>
      <vt:variant>
        <vt:lpwstr/>
      </vt:variant>
      <vt:variant>
        <vt:lpwstr>_Toc153876463</vt:lpwstr>
      </vt:variant>
      <vt:variant>
        <vt:i4>1703985</vt:i4>
      </vt:variant>
      <vt:variant>
        <vt:i4>323</vt:i4>
      </vt:variant>
      <vt:variant>
        <vt:i4>0</vt:i4>
      </vt:variant>
      <vt:variant>
        <vt:i4>5</vt:i4>
      </vt:variant>
      <vt:variant>
        <vt:lpwstr/>
      </vt:variant>
      <vt:variant>
        <vt:lpwstr>_Toc153876462</vt:lpwstr>
      </vt:variant>
      <vt:variant>
        <vt:i4>1703985</vt:i4>
      </vt:variant>
      <vt:variant>
        <vt:i4>314</vt:i4>
      </vt:variant>
      <vt:variant>
        <vt:i4>0</vt:i4>
      </vt:variant>
      <vt:variant>
        <vt:i4>5</vt:i4>
      </vt:variant>
      <vt:variant>
        <vt:lpwstr/>
      </vt:variant>
      <vt:variant>
        <vt:lpwstr>_Toc153876461</vt:lpwstr>
      </vt:variant>
      <vt:variant>
        <vt:i4>1703985</vt:i4>
      </vt:variant>
      <vt:variant>
        <vt:i4>308</vt:i4>
      </vt:variant>
      <vt:variant>
        <vt:i4>0</vt:i4>
      </vt:variant>
      <vt:variant>
        <vt:i4>5</vt:i4>
      </vt:variant>
      <vt:variant>
        <vt:lpwstr/>
      </vt:variant>
      <vt:variant>
        <vt:lpwstr>_Toc153876460</vt:lpwstr>
      </vt:variant>
      <vt:variant>
        <vt:i4>1638449</vt:i4>
      </vt:variant>
      <vt:variant>
        <vt:i4>302</vt:i4>
      </vt:variant>
      <vt:variant>
        <vt:i4>0</vt:i4>
      </vt:variant>
      <vt:variant>
        <vt:i4>5</vt:i4>
      </vt:variant>
      <vt:variant>
        <vt:lpwstr/>
      </vt:variant>
      <vt:variant>
        <vt:lpwstr>_Toc153876459</vt:lpwstr>
      </vt:variant>
      <vt:variant>
        <vt:i4>1638449</vt:i4>
      </vt:variant>
      <vt:variant>
        <vt:i4>296</vt:i4>
      </vt:variant>
      <vt:variant>
        <vt:i4>0</vt:i4>
      </vt:variant>
      <vt:variant>
        <vt:i4>5</vt:i4>
      </vt:variant>
      <vt:variant>
        <vt:lpwstr/>
      </vt:variant>
      <vt:variant>
        <vt:lpwstr>_Toc153876458</vt:lpwstr>
      </vt:variant>
      <vt:variant>
        <vt:i4>1638449</vt:i4>
      </vt:variant>
      <vt:variant>
        <vt:i4>290</vt:i4>
      </vt:variant>
      <vt:variant>
        <vt:i4>0</vt:i4>
      </vt:variant>
      <vt:variant>
        <vt:i4>5</vt:i4>
      </vt:variant>
      <vt:variant>
        <vt:lpwstr/>
      </vt:variant>
      <vt:variant>
        <vt:lpwstr>_Toc153876457</vt:lpwstr>
      </vt:variant>
      <vt:variant>
        <vt:i4>1638449</vt:i4>
      </vt:variant>
      <vt:variant>
        <vt:i4>284</vt:i4>
      </vt:variant>
      <vt:variant>
        <vt:i4>0</vt:i4>
      </vt:variant>
      <vt:variant>
        <vt:i4>5</vt:i4>
      </vt:variant>
      <vt:variant>
        <vt:lpwstr/>
      </vt:variant>
      <vt:variant>
        <vt:lpwstr>_Toc153876456</vt:lpwstr>
      </vt:variant>
      <vt:variant>
        <vt:i4>1638449</vt:i4>
      </vt:variant>
      <vt:variant>
        <vt:i4>278</vt:i4>
      </vt:variant>
      <vt:variant>
        <vt:i4>0</vt:i4>
      </vt:variant>
      <vt:variant>
        <vt:i4>5</vt:i4>
      </vt:variant>
      <vt:variant>
        <vt:lpwstr/>
      </vt:variant>
      <vt:variant>
        <vt:lpwstr>_Toc153876455</vt:lpwstr>
      </vt:variant>
      <vt:variant>
        <vt:i4>1638449</vt:i4>
      </vt:variant>
      <vt:variant>
        <vt:i4>272</vt:i4>
      </vt:variant>
      <vt:variant>
        <vt:i4>0</vt:i4>
      </vt:variant>
      <vt:variant>
        <vt:i4>5</vt:i4>
      </vt:variant>
      <vt:variant>
        <vt:lpwstr/>
      </vt:variant>
      <vt:variant>
        <vt:lpwstr>_Toc153876454</vt:lpwstr>
      </vt:variant>
      <vt:variant>
        <vt:i4>1638449</vt:i4>
      </vt:variant>
      <vt:variant>
        <vt:i4>266</vt:i4>
      </vt:variant>
      <vt:variant>
        <vt:i4>0</vt:i4>
      </vt:variant>
      <vt:variant>
        <vt:i4>5</vt:i4>
      </vt:variant>
      <vt:variant>
        <vt:lpwstr/>
      </vt:variant>
      <vt:variant>
        <vt:lpwstr>_Toc153876453</vt:lpwstr>
      </vt:variant>
      <vt:variant>
        <vt:i4>1638449</vt:i4>
      </vt:variant>
      <vt:variant>
        <vt:i4>260</vt:i4>
      </vt:variant>
      <vt:variant>
        <vt:i4>0</vt:i4>
      </vt:variant>
      <vt:variant>
        <vt:i4>5</vt:i4>
      </vt:variant>
      <vt:variant>
        <vt:lpwstr/>
      </vt:variant>
      <vt:variant>
        <vt:lpwstr>_Toc153876452</vt:lpwstr>
      </vt:variant>
      <vt:variant>
        <vt:i4>1638449</vt:i4>
      </vt:variant>
      <vt:variant>
        <vt:i4>254</vt:i4>
      </vt:variant>
      <vt:variant>
        <vt:i4>0</vt:i4>
      </vt:variant>
      <vt:variant>
        <vt:i4>5</vt:i4>
      </vt:variant>
      <vt:variant>
        <vt:lpwstr/>
      </vt:variant>
      <vt:variant>
        <vt:lpwstr>_Toc153876451</vt:lpwstr>
      </vt:variant>
      <vt:variant>
        <vt:i4>1638449</vt:i4>
      </vt:variant>
      <vt:variant>
        <vt:i4>248</vt:i4>
      </vt:variant>
      <vt:variant>
        <vt:i4>0</vt:i4>
      </vt:variant>
      <vt:variant>
        <vt:i4>5</vt:i4>
      </vt:variant>
      <vt:variant>
        <vt:lpwstr/>
      </vt:variant>
      <vt:variant>
        <vt:lpwstr>_Toc153876450</vt:lpwstr>
      </vt:variant>
      <vt:variant>
        <vt:i4>1572913</vt:i4>
      </vt:variant>
      <vt:variant>
        <vt:i4>242</vt:i4>
      </vt:variant>
      <vt:variant>
        <vt:i4>0</vt:i4>
      </vt:variant>
      <vt:variant>
        <vt:i4>5</vt:i4>
      </vt:variant>
      <vt:variant>
        <vt:lpwstr/>
      </vt:variant>
      <vt:variant>
        <vt:lpwstr>_Toc153876449</vt:lpwstr>
      </vt:variant>
      <vt:variant>
        <vt:i4>1572913</vt:i4>
      </vt:variant>
      <vt:variant>
        <vt:i4>236</vt:i4>
      </vt:variant>
      <vt:variant>
        <vt:i4>0</vt:i4>
      </vt:variant>
      <vt:variant>
        <vt:i4>5</vt:i4>
      </vt:variant>
      <vt:variant>
        <vt:lpwstr/>
      </vt:variant>
      <vt:variant>
        <vt:lpwstr>_Toc153876448</vt:lpwstr>
      </vt:variant>
      <vt:variant>
        <vt:i4>1572913</vt:i4>
      </vt:variant>
      <vt:variant>
        <vt:i4>230</vt:i4>
      </vt:variant>
      <vt:variant>
        <vt:i4>0</vt:i4>
      </vt:variant>
      <vt:variant>
        <vt:i4>5</vt:i4>
      </vt:variant>
      <vt:variant>
        <vt:lpwstr/>
      </vt:variant>
      <vt:variant>
        <vt:lpwstr>_Toc153876447</vt:lpwstr>
      </vt:variant>
      <vt:variant>
        <vt:i4>1572913</vt:i4>
      </vt:variant>
      <vt:variant>
        <vt:i4>224</vt:i4>
      </vt:variant>
      <vt:variant>
        <vt:i4>0</vt:i4>
      </vt:variant>
      <vt:variant>
        <vt:i4>5</vt:i4>
      </vt:variant>
      <vt:variant>
        <vt:lpwstr/>
      </vt:variant>
      <vt:variant>
        <vt:lpwstr>_Toc153876446</vt:lpwstr>
      </vt:variant>
      <vt:variant>
        <vt:i4>1572913</vt:i4>
      </vt:variant>
      <vt:variant>
        <vt:i4>218</vt:i4>
      </vt:variant>
      <vt:variant>
        <vt:i4>0</vt:i4>
      </vt:variant>
      <vt:variant>
        <vt:i4>5</vt:i4>
      </vt:variant>
      <vt:variant>
        <vt:lpwstr/>
      </vt:variant>
      <vt:variant>
        <vt:lpwstr>_Toc153876445</vt:lpwstr>
      </vt:variant>
      <vt:variant>
        <vt:i4>1572913</vt:i4>
      </vt:variant>
      <vt:variant>
        <vt:i4>212</vt:i4>
      </vt:variant>
      <vt:variant>
        <vt:i4>0</vt:i4>
      </vt:variant>
      <vt:variant>
        <vt:i4>5</vt:i4>
      </vt:variant>
      <vt:variant>
        <vt:lpwstr/>
      </vt:variant>
      <vt:variant>
        <vt:lpwstr>_Toc153876444</vt:lpwstr>
      </vt:variant>
      <vt:variant>
        <vt:i4>1572913</vt:i4>
      </vt:variant>
      <vt:variant>
        <vt:i4>206</vt:i4>
      </vt:variant>
      <vt:variant>
        <vt:i4>0</vt:i4>
      </vt:variant>
      <vt:variant>
        <vt:i4>5</vt:i4>
      </vt:variant>
      <vt:variant>
        <vt:lpwstr/>
      </vt:variant>
      <vt:variant>
        <vt:lpwstr>_Toc153876443</vt:lpwstr>
      </vt:variant>
      <vt:variant>
        <vt:i4>1572913</vt:i4>
      </vt:variant>
      <vt:variant>
        <vt:i4>200</vt:i4>
      </vt:variant>
      <vt:variant>
        <vt:i4>0</vt:i4>
      </vt:variant>
      <vt:variant>
        <vt:i4>5</vt:i4>
      </vt:variant>
      <vt:variant>
        <vt:lpwstr/>
      </vt:variant>
      <vt:variant>
        <vt:lpwstr>_Toc153876442</vt:lpwstr>
      </vt:variant>
      <vt:variant>
        <vt:i4>1572913</vt:i4>
      </vt:variant>
      <vt:variant>
        <vt:i4>188</vt:i4>
      </vt:variant>
      <vt:variant>
        <vt:i4>0</vt:i4>
      </vt:variant>
      <vt:variant>
        <vt:i4>5</vt:i4>
      </vt:variant>
      <vt:variant>
        <vt:lpwstr/>
      </vt:variant>
      <vt:variant>
        <vt:lpwstr>_Toc153876441</vt:lpwstr>
      </vt:variant>
      <vt:variant>
        <vt:i4>1572913</vt:i4>
      </vt:variant>
      <vt:variant>
        <vt:i4>182</vt:i4>
      </vt:variant>
      <vt:variant>
        <vt:i4>0</vt:i4>
      </vt:variant>
      <vt:variant>
        <vt:i4>5</vt:i4>
      </vt:variant>
      <vt:variant>
        <vt:lpwstr/>
      </vt:variant>
      <vt:variant>
        <vt:lpwstr>_Toc153876440</vt:lpwstr>
      </vt:variant>
      <vt:variant>
        <vt:i4>2031665</vt:i4>
      </vt:variant>
      <vt:variant>
        <vt:i4>176</vt:i4>
      </vt:variant>
      <vt:variant>
        <vt:i4>0</vt:i4>
      </vt:variant>
      <vt:variant>
        <vt:i4>5</vt:i4>
      </vt:variant>
      <vt:variant>
        <vt:lpwstr/>
      </vt:variant>
      <vt:variant>
        <vt:lpwstr>_Toc153876439</vt:lpwstr>
      </vt:variant>
      <vt:variant>
        <vt:i4>2031665</vt:i4>
      </vt:variant>
      <vt:variant>
        <vt:i4>170</vt:i4>
      </vt:variant>
      <vt:variant>
        <vt:i4>0</vt:i4>
      </vt:variant>
      <vt:variant>
        <vt:i4>5</vt:i4>
      </vt:variant>
      <vt:variant>
        <vt:lpwstr/>
      </vt:variant>
      <vt:variant>
        <vt:lpwstr>_Toc153876438</vt:lpwstr>
      </vt:variant>
      <vt:variant>
        <vt:i4>2031665</vt:i4>
      </vt:variant>
      <vt:variant>
        <vt:i4>164</vt:i4>
      </vt:variant>
      <vt:variant>
        <vt:i4>0</vt:i4>
      </vt:variant>
      <vt:variant>
        <vt:i4>5</vt:i4>
      </vt:variant>
      <vt:variant>
        <vt:lpwstr/>
      </vt:variant>
      <vt:variant>
        <vt:lpwstr>_Toc153876437</vt:lpwstr>
      </vt:variant>
      <vt:variant>
        <vt:i4>2031665</vt:i4>
      </vt:variant>
      <vt:variant>
        <vt:i4>158</vt:i4>
      </vt:variant>
      <vt:variant>
        <vt:i4>0</vt:i4>
      </vt:variant>
      <vt:variant>
        <vt:i4>5</vt:i4>
      </vt:variant>
      <vt:variant>
        <vt:lpwstr/>
      </vt:variant>
      <vt:variant>
        <vt:lpwstr>_Toc153876436</vt:lpwstr>
      </vt:variant>
      <vt:variant>
        <vt:i4>2031665</vt:i4>
      </vt:variant>
      <vt:variant>
        <vt:i4>152</vt:i4>
      </vt:variant>
      <vt:variant>
        <vt:i4>0</vt:i4>
      </vt:variant>
      <vt:variant>
        <vt:i4>5</vt:i4>
      </vt:variant>
      <vt:variant>
        <vt:lpwstr/>
      </vt:variant>
      <vt:variant>
        <vt:lpwstr>_Toc153876435</vt:lpwstr>
      </vt:variant>
      <vt:variant>
        <vt:i4>2031665</vt:i4>
      </vt:variant>
      <vt:variant>
        <vt:i4>146</vt:i4>
      </vt:variant>
      <vt:variant>
        <vt:i4>0</vt:i4>
      </vt:variant>
      <vt:variant>
        <vt:i4>5</vt:i4>
      </vt:variant>
      <vt:variant>
        <vt:lpwstr/>
      </vt:variant>
      <vt:variant>
        <vt:lpwstr>_Toc153876434</vt:lpwstr>
      </vt:variant>
      <vt:variant>
        <vt:i4>2031665</vt:i4>
      </vt:variant>
      <vt:variant>
        <vt:i4>140</vt:i4>
      </vt:variant>
      <vt:variant>
        <vt:i4>0</vt:i4>
      </vt:variant>
      <vt:variant>
        <vt:i4>5</vt:i4>
      </vt:variant>
      <vt:variant>
        <vt:lpwstr/>
      </vt:variant>
      <vt:variant>
        <vt:lpwstr>_Toc153876433</vt:lpwstr>
      </vt:variant>
      <vt:variant>
        <vt:i4>2031665</vt:i4>
      </vt:variant>
      <vt:variant>
        <vt:i4>134</vt:i4>
      </vt:variant>
      <vt:variant>
        <vt:i4>0</vt:i4>
      </vt:variant>
      <vt:variant>
        <vt:i4>5</vt:i4>
      </vt:variant>
      <vt:variant>
        <vt:lpwstr/>
      </vt:variant>
      <vt:variant>
        <vt:lpwstr>_Toc153876432</vt:lpwstr>
      </vt:variant>
      <vt:variant>
        <vt:i4>2031665</vt:i4>
      </vt:variant>
      <vt:variant>
        <vt:i4>128</vt:i4>
      </vt:variant>
      <vt:variant>
        <vt:i4>0</vt:i4>
      </vt:variant>
      <vt:variant>
        <vt:i4>5</vt:i4>
      </vt:variant>
      <vt:variant>
        <vt:lpwstr/>
      </vt:variant>
      <vt:variant>
        <vt:lpwstr>_Toc153876431</vt:lpwstr>
      </vt:variant>
      <vt:variant>
        <vt:i4>2031665</vt:i4>
      </vt:variant>
      <vt:variant>
        <vt:i4>122</vt:i4>
      </vt:variant>
      <vt:variant>
        <vt:i4>0</vt:i4>
      </vt:variant>
      <vt:variant>
        <vt:i4>5</vt:i4>
      </vt:variant>
      <vt:variant>
        <vt:lpwstr/>
      </vt:variant>
      <vt:variant>
        <vt:lpwstr>_Toc153876430</vt:lpwstr>
      </vt:variant>
      <vt:variant>
        <vt:i4>1966129</vt:i4>
      </vt:variant>
      <vt:variant>
        <vt:i4>116</vt:i4>
      </vt:variant>
      <vt:variant>
        <vt:i4>0</vt:i4>
      </vt:variant>
      <vt:variant>
        <vt:i4>5</vt:i4>
      </vt:variant>
      <vt:variant>
        <vt:lpwstr/>
      </vt:variant>
      <vt:variant>
        <vt:lpwstr>_Toc153876429</vt:lpwstr>
      </vt:variant>
      <vt:variant>
        <vt:i4>1966129</vt:i4>
      </vt:variant>
      <vt:variant>
        <vt:i4>110</vt:i4>
      </vt:variant>
      <vt:variant>
        <vt:i4>0</vt:i4>
      </vt:variant>
      <vt:variant>
        <vt:i4>5</vt:i4>
      </vt:variant>
      <vt:variant>
        <vt:lpwstr/>
      </vt:variant>
      <vt:variant>
        <vt:lpwstr>_Toc153876428</vt:lpwstr>
      </vt:variant>
      <vt:variant>
        <vt:i4>1966129</vt:i4>
      </vt:variant>
      <vt:variant>
        <vt:i4>104</vt:i4>
      </vt:variant>
      <vt:variant>
        <vt:i4>0</vt:i4>
      </vt:variant>
      <vt:variant>
        <vt:i4>5</vt:i4>
      </vt:variant>
      <vt:variant>
        <vt:lpwstr/>
      </vt:variant>
      <vt:variant>
        <vt:lpwstr>_Toc153876427</vt:lpwstr>
      </vt:variant>
      <vt:variant>
        <vt:i4>1966129</vt:i4>
      </vt:variant>
      <vt:variant>
        <vt:i4>98</vt:i4>
      </vt:variant>
      <vt:variant>
        <vt:i4>0</vt:i4>
      </vt:variant>
      <vt:variant>
        <vt:i4>5</vt:i4>
      </vt:variant>
      <vt:variant>
        <vt:lpwstr/>
      </vt:variant>
      <vt:variant>
        <vt:lpwstr>_Toc153876426</vt:lpwstr>
      </vt:variant>
      <vt:variant>
        <vt:i4>1966129</vt:i4>
      </vt:variant>
      <vt:variant>
        <vt:i4>92</vt:i4>
      </vt:variant>
      <vt:variant>
        <vt:i4>0</vt:i4>
      </vt:variant>
      <vt:variant>
        <vt:i4>5</vt:i4>
      </vt:variant>
      <vt:variant>
        <vt:lpwstr/>
      </vt:variant>
      <vt:variant>
        <vt:lpwstr>_Toc153876425</vt:lpwstr>
      </vt:variant>
      <vt:variant>
        <vt:i4>1966129</vt:i4>
      </vt:variant>
      <vt:variant>
        <vt:i4>86</vt:i4>
      </vt:variant>
      <vt:variant>
        <vt:i4>0</vt:i4>
      </vt:variant>
      <vt:variant>
        <vt:i4>5</vt:i4>
      </vt:variant>
      <vt:variant>
        <vt:lpwstr/>
      </vt:variant>
      <vt:variant>
        <vt:lpwstr>_Toc153876424</vt:lpwstr>
      </vt:variant>
      <vt:variant>
        <vt:i4>1966129</vt:i4>
      </vt:variant>
      <vt:variant>
        <vt:i4>80</vt:i4>
      </vt:variant>
      <vt:variant>
        <vt:i4>0</vt:i4>
      </vt:variant>
      <vt:variant>
        <vt:i4>5</vt:i4>
      </vt:variant>
      <vt:variant>
        <vt:lpwstr/>
      </vt:variant>
      <vt:variant>
        <vt:lpwstr>_Toc153876423</vt:lpwstr>
      </vt:variant>
      <vt:variant>
        <vt:i4>1966129</vt:i4>
      </vt:variant>
      <vt:variant>
        <vt:i4>74</vt:i4>
      </vt:variant>
      <vt:variant>
        <vt:i4>0</vt:i4>
      </vt:variant>
      <vt:variant>
        <vt:i4>5</vt:i4>
      </vt:variant>
      <vt:variant>
        <vt:lpwstr/>
      </vt:variant>
      <vt:variant>
        <vt:lpwstr>_Toc153876422</vt:lpwstr>
      </vt:variant>
      <vt:variant>
        <vt:i4>1966129</vt:i4>
      </vt:variant>
      <vt:variant>
        <vt:i4>68</vt:i4>
      </vt:variant>
      <vt:variant>
        <vt:i4>0</vt:i4>
      </vt:variant>
      <vt:variant>
        <vt:i4>5</vt:i4>
      </vt:variant>
      <vt:variant>
        <vt:lpwstr/>
      </vt:variant>
      <vt:variant>
        <vt:lpwstr>_Toc153876421</vt:lpwstr>
      </vt:variant>
      <vt:variant>
        <vt:i4>1966129</vt:i4>
      </vt:variant>
      <vt:variant>
        <vt:i4>62</vt:i4>
      </vt:variant>
      <vt:variant>
        <vt:i4>0</vt:i4>
      </vt:variant>
      <vt:variant>
        <vt:i4>5</vt:i4>
      </vt:variant>
      <vt:variant>
        <vt:lpwstr/>
      </vt:variant>
      <vt:variant>
        <vt:lpwstr>_Toc153876420</vt:lpwstr>
      </vt:variant>
      <vt:variant>
        <vt:i4>1900593</vt:i4>
      </vt:variant>
      <vt:variant>
        <vt:i4>56</vt:i4>
      </vt:variant>
      <vt:variant>
        <vt:i4>0</vt:i4>
      </vt:variant>
      <vt:variant>
        <vt:i4>5</vt:i4>
      </vt:variant>
      <vt:variant>
        <vt:lpwstr/>
      </vt:variant>
      <vt:variant>
        <vt:lpwstr>_Toc153876419</vt:lpwstr>
      </vt:variant>
      <vt:variant>
        <vt:i4>1900593</vt:i4>
      </vt:variant>
      <vt:variant>
        <vt:i4>50</vt:i4>
      </vt:variant>
      <vt:variant>
        <vt:i4>0</vt:i4>
      </vt:variant>
      <vt:variant>
        <vt:i4>5</vt:i4>
      </vt:variant>
      <vt:variant>
        <vt:lpwstr/>
      </vt:variant>
      <vt:variant>
        <vt:lpwstr>_Toc153876418</vt:lpwstr>
      </vt:variant>
      <vt:variant>
        <vt:i4>1900593</vt:i4>
      </vt:variant>
      <vt:variant>
        <vt:i4>44</vt:i4>
      </vt:variant>
      <vt:variant>
        <vt:i4>0</vt:i4>
      </vt:variant>
      <vt:variant>
        <vt:i4>5</vt:i4>
      </vt:variant>
      <vt:variant>
        <vt:lpwstr/>
      </vt:variant>
      <vt:variant>
        <vt:lpwstr>_Toc153876417</vt:lpwstr>
      </vt:variant>
      <vt:variant>
        <vt:i4>1900593</vt:i4>
      </vt:variant>
      <vt:variant>
        <vt:i4>38</vt:i4>
      </vt:variant>
      <vt:variant>
        <vt:i4>0</vt:i4>
      </vt:variant>
      <vt:variant>
        <vt:i4>5</vt:i4>
      </vt:variant>
      <vt:variant>
        <vt:lpwstr/>
      </vt:variant>
      <vt:variant>
        <vt:lpwstr>_Toc153876416</vt:lpwstr>
      </vt:variant>
      <vt:variant>
        <vt:i4>1900593</vt:i4>
      </vt:variant>
      <vt:variant>
        <vt:i4>32</vt:i4>
      </vt:variant>
      <vt:variant>
        <vt:i4>0</vt:i4>
      </vt:variant>
      <vt:variant>
        <vt:i4>5</vt:i4>
      </vt:variant>
      <vt:variant>
        <vt:lpwstr/>
      </vt:variant>
      <vt:variant>
        <vt:lpwstr>_Toc153876415</vt:lpwstr>
      </vt:variant>
      <vt:variant>
        <vt:i4>1900593</vt:i4>
      </vt:variant>
      <vt:variant>
        <vt:i4>26</vt:i4>
      </vt:variant>
      <vt:variant>
        <vt:i4>0</vt:i4>
      </vt:variant>
      <vt:variant>
        <vt:i4>5</vt:i4>
      </vt:variant>
      <vt:variant>
        <vt:lpwstr/>
      </vt:variant>
      <vt:variant>
        <vt:lpwstr>_Toc153876414</vt:lpwstr>
      </vt:variant>
      <vt:variant>
        <vt:i4>1900593</vt:i4>
      </vt:variant>
      <vt:variant>
        <vt:i4>20</vt:i4>
      </vt:variant>
      <vt:variant>
        <vt:i4>0</vt:i4>
      </vt:variant>
      <vt:variant>
        <vt:i4>5</vt:i4>
      </vt:variant>
      <vt:variant>
        <vt:lpwstr/>
      </vt:variant>
      <vt:variant>
        <vt:lpwstr>_Toc153876413</vt:lpwstr>
      </vt:variant>
      <vt:variant>
        <vt:i4>1900593</vt:i4>
      </vt:variant>
      <vt:variant>
        <vt:i4>14</vt:i4>
      </vt:variant>
      <vt:variant>
        <vt:i4>0</vt:i4>
      </vt:variant>
      <vt:variant>
        <vt:i4>5</vt:i4>
      </vt:variant>
      <vt:variant>
        <vt:lpwstr/>
      </vt:variant>
      <vt:variant>
        <vt:lpwstr>_Toc153876412</vt:lpwstr>
      </vt:variant>
      <vt:variant>
        <vt:i4>1900593</vt:i4>
      </vt:variant>
      <vt:variant>
        <vt:i4>8</vt:i4>
      </vt:variant>
      <vt:variant>
        <vt:i4>0</vt:i4>
      </vt:variant>
      <vt:variant>
        <vt:i4>5</vt:i4>
      </vt:variant>
      <vt:variant>
        <vt:lpwstr/>
      </vt:variant>
      <vt:variant>
        <vt:lpwstr>_Toc153876411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espacios (Interlineado sencillo)</dc:title>
  <dc:subject/>
  <dc:creator>Trabajo</dc:creator>
  <cp:keywords/>
  <cp:lastModifiedBy>Eliana Rodriguez Fonseca</cp:lastModifiedBy>
  <cp:revision>3</cp:revision>
  <cp:lastPrinted>2023-12-22T14:13:00Z</cp:lastPrinted>
  <dcterms:created xsi:type="dcterms:W3CDTF">2023-12-22T14:13:00Z</dcterms:created>
  <dcterms:modified xsi:type="dcterms:W3CDTF">2023-12-22T14:15:00Z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0x010100A7D4FDF199FE64438732850D4FBE260F</vt:lpwstr>
  </property>
  <property fmtid="{D5CDD505-2E9C-101B-9397-08002B2CF9AE}" pid="3" name="MediaServiceImageTags">
    <vt:lpwstr/>
  </property>
</Properties>
</file>