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A1BF" w14:textId="77777777" w:rsidR="00625DC6" w:rsidRPr="00E060BE" w:rsidRDefault="00A920D3" w:rsidP="00012259">
      <w:pPr>
        <w:pStyle w:val="Encabezado"/>
        <w:tabs>
          <w:tab w:val="clear" w:pos="8504"/>
          <w:tab w:val="left" w:pos="0"/>
          <w:tab w:val="right" w:pos="9356"/>
        </w:tabs>
        <w:ind w:left="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noProof/>
          <w:szCs w:val="24"/>
        </w:rPr>
        <w:object w:dxaOrig="1440" w:dyaOrig="1440" w14:anchorId="51E2E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2.4pt;margin-top:-53.35pt;width:52.5pt;height:48.75pt;z-index:251657728" fillcolor="#0c9">
            <v:imagedata r:id="rId7" o:title=""/>
          </v:shape>
          <o:OLEObject Type="Embed" ProgID="PBrush" ShapeID="_x0000_s2050" DrawAspect="Content" ObjectID="_1764675017" r:id="rId8"/>
        </w:object>
      </w:r>
    </w:p>
    <w:p w14:paraId="67770A74" w14:textId="77777777" w:rsidR="00625DC6" w:rsidRPr="00E060BE" w:rsidRDefault="00625DC6" w:rsidP="00012259">
      <w:pPr>
        <w:pStyle w:val="Encabezado"/>
        <w:tabs>
          <w:tab w:val="clear" w:pos="8504"/>
          <w:tab w:val="left" w:pos="0"/>
          <w:tab w:val="right" w:pos="9356"/>
        </w:tabs>
        <w:ind w:left="0"/>
        <w:jc w:val="both"/>
        <w:rPr>
          <w:rFonts w:ascii="Bookman Old Style" w:hAnsi="Bookman Old Style"/>
          <w:szCs w:val="24"/>
        </w:rPr>
      </w:pPr>
    </w:p>
    <w:p w14:paraId="5CD8FDD3" w14:textId="77777777" w:rsidR="00CA77FB" w:rsidRPr="00E060BE" w:rsidRDefault="00CA77FB" w:rsidP="00012259">
      <w:pPr>
        <w:pStyle w:val="Ttulo4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bCs/>
          <w:noProof/>
          <w:sz w:val="24"/>
          <w:szCs w:val="24"/>
          <w:lang w:val="es-ES"/>
        </w:rPr>
      </w:pPr>
      <w:r w:rsidRPr="00E060BE">
        <w:rPr>
          <w:rFonts w:ascii="Bookman Old Style" w:hAnsi="Bookman Old Style"/>
          <w:b w:val="0"/>
          <w:bCs/>
          <w:sz w:val="24"/>
          <w:szCs w:val="24"/>
        </w:rPr>
        <w:t>Ministerio de Minas y Energía</w:t>
      </w:r>
    </w:p>
    <w:p w14:paraId="0B8E60E5" w14:textId="77777777" w:rsidR="00CA77FB" w:rsidRPr="00E060BE" w:rsidRDefault="00CA77FB" w:rsidP="00012259">
      <w:pPr>
        <w:pStyle w:val="Ttulo4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bCs/>
          <w:sz w:val="24"/>
          <w:szCs w:val="24"/>
        </w:rPr>
      </w:pPr>
    </w:p>
    <w:p w14:paraId="7027F17A" w14:textId="77777777" w:rsidR="00CA77FB" w:rsidRPr="00E060BE" w:rsidRDefault="00CA77FB" w:rsidP="00012259">
      <w:pPr>
        <w:pStyle w:val="Ttulo3"/>
        <w:tabs>
          <w:tab w:val="left" w:pos="0"/>
          <w:tab w:val="right" w:pos="9356"/>
        </w:tabs>
        <w:ind w:left="0"/>
        <w:rPr>
          <w:rFonts w:ascii="Bookman Old Style" w:hAnsi="Bookman Old Style" w:cs="Arial"/>
          <w:spacing w:val="20"/>
          <w:szCs w:val="24"/>
        </w:rPr>
      </w:pPr>
      <w:r w:rsidRPr="00E060BE">
        <w:rPr>
          <w:rFonts w:ascii="Bookman Old Style" w:hAnsi="Bookman Old Style" w:cs="Arial"/>
          <w:spacing w:val="20"/>
          <w:szCs w:val="24"/>
        </w:rPr>
        <w:t>COMISIÓN DE REGULACIÓN DE ENERGÍA Y GAS</w:t>
      </w:r>
    </w:p>
    <w:p w14:paraId="4767CFAE" w14:textId="77777777" w:rsidR="00CA77FB" w:rsidRPr="00E060BE" w:rsidRDefault="00CA77FB" w:rsidP="00012259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</w:p>
    <w:p w14:paraId="74971183" w14:textId="77777777" w:rsidR="00CA77FB" w:rsidRPr="00E060BE" w:rsidRDefault="00CA77FB" w:rsidP="00012259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</w:p>
    <w:p w14:paraId="67AC44F2" w14:textId="191B85F0" w:rsidR="00A06511" w:rsidRPr="00E060BE" w:rsidRDefault="002C32F6" w:rsidP="00A06511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PROYECTO DE </w:t>
      </w:r>
      <w:r w:rsidR="00A06511" w:rsidRPr="00E060BE">
        <w:rPr>
          <w:rFonts w:ascii="Bookman Old Style" w:hAnsi="Bookman Old Style"/>
          <w:sz w:val="24"/>
          <w:szCs w:val="24"/>
        </w:rPr>
        <w:t xml:space="preserve">RESOLUCIÓN No. </w:t>
      </w:r>
      <w:r w:rsidR="00A920D3" w:rsidRPr="00A920D3">
        <w:rPr>
          <w:rFonts w:ascii="Bookman Old Style" w:hAnsi="Bookman Old Style"/>
          <w:szCs w:val="28"/>
        </w:rPr>
        <w:t>701 027 DE 2023</w:t>
      </w:r>
    </w:p>
    <w:p w14:paraId="0C7D114C" w14:textId="77777777" w:rsidR="00CA77FB" w:rsidRPr="00E060BE" w:rsidRDefault="00CA77FB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 w:cs="Arial"/>
          <w:b/>
          <w:snapToGrid w:val="0"/>
          <w:color w:val="000000"/>
          <w:lang w:val="es-ES_tradnl"/>
        </w:rPr>
      </w:pPr>
    </w:p>
    <w:p w14:paraId="350D3C85" w14:textId="52DB195A" w:rsidR="00CA77FB" w:rsidRPr="00A920D3" w:rsidRDefault="00CA77FB" w:rsidP="00012259">
      <w:pPr>
        <w:pStyle w:val="Ttulo3"/>
        <w:tabs>
          <w:tab w:val="left" w:pos="0"/>
          <w:tab w:val="right" w:pos="9356"/>
        </w:tabs>
        <w:ind w:left="0"/>
        <w:rPr>
          <w:rFonts w:ascii="Bookman Old Style" w:hAnsi="Bookman Old Style"/>
          <w:bCs/>
          <w:szCs w:val="24"/>
        </w:rPr>
      </w:pPr>
      <w:r w:rsidRPr="00A920D3">
        <w:rPr>
          <w:rFonts w:ascii="Bookman Old Style" w:hAnsi="Bookman Old Style"/>
          <w:bCs/>
          <w:szCs w:val="24"/>
        </w:rPr>
        <w:t>(</w:t>
      </w:r>
      <w:r w:rsidR="00A920D3" w:rsidRPr="00A920D3">
        <w:rPr>
          <w:rFonts w:ascii="Bookman Old Style" w:hAnsi="Bookman Old Style"/>
          <w:bCs/>
          <w:szCs w:val="24"/>
        </w:rPr>
        <w:t>13 DIC. 2023</w:t>
      </w:r>
      <w:r w:rsidRPr="00A920D3">
        <w:rPr>
          <w:rFonts w:ascii="Bookman Old Style" w:hAnsi="Bookman Old Style"/>
          <w:bCs/>
          <w:szCs w:val="24"/>
        </w:rPr>
        <w:t>)</w:t>
      </w:r>
    </w:p>
    <w:p w14:paraId="57D77EBA" w14:textId="77777777" w:rsidR="00CA77FB" w:rsidRPr="00E060BE" w:rsidRDefault="00CA77FB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/>
          <w:lang w:val="es-ES_tradnl"/>
        </w:rPr>
      </w:pPr>
    </w:p>
    <w:p w14:paraId="08ADBF8F" w14:textId="4FD7E53A" w:rsidR="002C32F6" w:rsidRPr="0091532F" w:rsidRDefault="002C32F6" w:rsidP="002C32F6">
      <w:pPr>
        <w:spacing w:line="259" w:lineRule="auto"/>
        <w:ind w:left="142" w:right="142"/>
        <w:jc w:val="both"/>
        <w:rPr>
          <w:rFonts w:ascii="Bookman Old Style" w:hAnsi="Bookman Old Style"/>
        </w:rPr>
      </w:pPr>
      <w:r w:rsidRPr="001B51F4">
        <w:rPr>
          <w:rFonts w:ascii="Bookman Old Style" w:hAnsi="Bookman Old Style"/>
        </w:rPr>
        <w:t xml:space="preserve">La Comisión de Regulación de Energía y Gas, </w:t>
      </w:r>
      <w:r w:rsidRPr="00D83A35">
        <w:rPr>
          <w:rFonts w:ascii="Bookman Old Style" w:hAnsi="Bookman Old Style"/>
        </w:rPr>
        <w:t xml:space="preserve">en su sesión </w:t>
      </w:r>
      <w:r w:rsidR="00D83A35">
        <w:rPr>
          <w:rFonts w:ascii="Bookman Old Style" w:hAnsi="Bookman Old Style"/>
        </w:rPr>
        <w:t>1298</w:t>
      </w:r>
      <w:r w:rsidRPr="00D83A35">
        <w:rPr>
          <w:rFonts w:ascii="Bookman Old Style" w:hAnsi="Bookman Old Style"/>
        </w:rPr>
        <w:t xml:space="preserve"> del </w:t>
      </w:r>
      <w:r w:rsidR="00D83A35">
        <w:rPr>
          <w:rFonts w:ascii="Bookman Old Style" w:hAnsi="Bookman Old Style"/>
        </w:rPr>
        <w:t>13</w:t>
      </w:r>
      <w:r w:rsidRPr="00D83A35">
        <w:rPr>
          <w:rFonts w:ascii="Bookman Old Style" w:hAnsi="Bookman Old Style"/>
        </w:rPr>
        <w:t xml:space="preserve"> de diciembre de 2023, aprobó someter a consulta</w:t>
      </w:r>
      <w:r w:rsidRPr="00AA6790">
        <w:rPr>
          <w:rFonts w:ascii="Bookman Old Style" w:hAnsi="Bookman Old Style"/>
        </w:rPr>
        <w:t xml:space="preserve"> pública el presente proyecto</w:t>
      </w:r>
      <w:r w:rsidRPr="008F328A">
        <w:rPr>
          <w:rFonts w:ascii="Bookman Old Style" w:hAnsi="Bookman Old Style"/>
        </w:rPr>
        <w:t xml:space="preserve"> de resolución </w:t>
      </w:r>
      <w:r w:rsidRPr="0091532F">
        <w:rPr>
          <w:rFonts w:ascii="Bookman Old Style" w:hAnsi="Bookman Old Style"/>
        </w:rPr>
        <w:t xml:space="preserve">por el término de </w:t>
      </w:r>
      <w:r>
        <w:rPr>
          <w:rFonts w:ascii="Bookman Old Style" w:hAnsi="Bookman Old Style"/>
        </w:rPr>
        <w:t>diez (10)</w:t>
      </w:r>
      <w:r w:rsidRPr="0091532F">
        <w:rPr>
          <w:rFonts w:ascii="Bookman Old Style" w:hAnsi="Bookman Old Style"/>
        </w:rPr>
        <w:t xml:space="preserve"> días hábiles contados a partir del día siguiente a su publicación en el portal web de la CREG.</w:t>
      </w:r>
    </w:p>
    <w:p w14:paraId="0C9A7AB0" w14:textId="77777777" w:rsidR="002C32F6" w:rsidRPr="0091532F" w:rsidRDefault="002C32F6" w:rsidP="002C32F6">
      <w:pPr>
        <w:spacing w:line="259" w:lineRule="auto"/>
        <w:ind w:left="142" w:right="142"/>
        <w:jc w:val="both"/>
        <w:rPr>
          <w:rFonts w:ascii="Bookman Old Style" w:hAnsi="Bookman Old Style"/>
        </w:rPr>
      </w:pPr>
    </w:p>
    <w:p w14:paraId="1D616C16" w14:textId="77777777" w:rsidR="002C32F6" w:rsidRPr="0091532F" w:rsidRDefault="002C32F6" w:rsidP="002C32F6">
      <w:pPr>
        <w:spacing w:line="259" w:lineRule="auto"/>
        <w:ind w:left="142" w:right="142"/>
        <w:jc w:val="both"/>
        <w:rPr>
          <w:rFonts w:ascii="Bookman Old Style" w:hAnsi="Bookman Old Style"/>
        </w:rPr>
      </w:pPr>
      <w:r w:rsidRPr="0091532F">
        <w:rPr>
          <w:rFonts w:ascii="Bookman Old Style" w:hAnsi="Bookman Old Style"/>
        </w:rPr>
        <w:t xml:space="preserve">Se invita a las empresas, los usuarios las autoridades y demás partes interesadas a presentar sus observaciones y sugerencias dentro del plazo establecido, mediante comunicaciones electrónicas dirigidas al </w:t>
      </w:r>
      <w:proofErr w:type="gramStart"/>
      <w:r w:rsidRPr="0091532F">
        <w:rPr>
          <w:rFonts w:ascii="Bookman Old Style" w:hAnsi="Bookman Old Style"/>
        </w:rPr>
        <w:t>Director Ejecutivo</w:t>
      </w:r>
      <w:proofErr w:type="gramEnd"/>
      <w:r w:rsidRPr="0091532F">
        <w:rPr>
          <w:rFonts w:ascii="Bookman Old Style" w:hAnsi="Bookman Old Style"/>
        </w:rPr>
        <w:t xml:space="preserve"> de la CREG, a la cuenta </w:t>
      </w:r>
      <w:hyperlink r:id="rId9" w:history="1">
        <w:r w:rsidRPr="00522D41">
          <w:rPr>
            <w:rStyle w:val="Hipervnculo"/>
            <w:rFonts w:ascii="Bookman Old Style" w:hAnsi="Bookman Old Style"/>
          </w:rPr>
          <w:t>creg@creg.gov.co</w:t>
        </w:r>
      </w:hyperlink>
      <w:r>
        <w:rPr>
          <w:rFonts w:ascii="Bookman Old Style" w:hAnsi="Bookman Old Style"/>
        </w:rPr>
        <w:t>,</w:t>
      </w:r>
      <w:r w:rsidRPr="0091532F">
        <w:rPr>
          <w:rFonts w:ascii="Bookman Old Style" w:hAnsi="Bookman Old Style"/>
        </w:rPr>
        <w:t xml:space="preserve"> con asunto: “Comentarios</w:t>
      </w:r>
      <w:r>
        <w:rPr>
          <w:rFonts w:ascii="Bookman Old Style" w:hAnsi="Bookman Old Style"/>
        </w:rPr>
        <w:t xml:space="preserve"> ajustes lineamientos NPV y NEP</w:t>
      </w:r>
      <w:r w:rsidRPr="0091532F">
        <w:rPr>
          <w:rFonts w:ascii="Bookman Old Style" w:hAnsi="Bookman Old Style"/>
        </w:rPr>
        <w:t xml:space="preserve">”, utilizando </w:t>
      </w:r>
      <w:r w:rsidRPr="0051020D">
        <w:rPr>
          <w:rFonts w:ascii="Bookman Old Style" w:hAnsi="Bookman Old Style"/>
        </w:rPr>
        <w:t>el formato anexo.</w:t>
      </w:r>
    </w:p>
    <w:p w14:paraId="3D7C39AC" w14:textId="77777777" w:rsidR="002C32F6" w:rsidRPr="0091532F" w:rsidRDefault="002C32F6" w:rsidP="002C32F6">
      <w:pPr>
        <w:spacing w:line="259" w:lineRule="auto"/>
        <w:ind w:left="142" w:right="142"/>
        <w:jc w:val="both"/>
        <w:rPr>
          <w:rFonts w:ascii="Bookman Old Style" w:hAnsi="Bookman Old Style"/>
        </w:rPr>
      </w:pPr>
    </w:p>
    <w:p w14:paraId="61BD3F5E" w14:textId="77777777" w:rsidR="002C32F6" w:rsidRPr="0091532F" w:rsidRDefault="002C32F6" w:rsidP="002C32F6">
      <w:pPr>
        <w:spacing w:line="259" w:lineRule="auto"/>
        <w:ind w:left="142" w:right="142"/>
        <w:jc w:val="both"/>
        <w:rPr>
          <w:rFonts w:ascii="Bookman Old Style" w:hAnsi="Bookman Old Style"/>
        </w:rPr>
      </w:pPr>
      <w:r w:rsidRPr="0091532F">
        <w:rPr>
          <w:rFonts w:ascii="Bookman Old Style" w:hAnsi="Bookman Old Style"/>
        </w:rPr>
        <w:t>Al vencimiento de la consulta pública, la CREG determinará si el proyecto debe ser informado a la Superintendencia de Industria y Comercio, para el ejercicio de la Abogacía de la Competencia, con fundamento en las disposiciones del Decreto 1074 de 2015, Artículo 2.2.2.30.5.</w:t>
      </w:r>
    </w:p>
    <w:p w14:paraId="01257932" w14:textId="29B10F89" w:rsidR="00C034CB" w:rsidRPr="00F940B2" w:rsidRDefault="00C034CB" w:rsidP="00012259">
      <w:pPr>
        <w:ind w:left="0"/>
        <w:rPr>
          <w:rFonts w:ascii="Bookman Old Style" w:hAnsi="Bookman Old Style"/>
          <w:bCs/>
          <w:color w:val="FF0000"/>
          <w:lang w:val="es-CO"/>
        </w:rPr>
      </w:pPr>
    </w:p>
    <w:p w14:paraId="15A71B8E" w14:textId="77777777" w:rsidR="00B351B4" w:rsidRPr="00E060BE" w:rsidRDefault="00B351B4" w:rsidP="00012259">
      <w:pPr>
        <w:ind w:left="0"/>
        <w:rPr>
          <w:rFonts w:ascii="Bookman Old Style" w:hAnsi="Bookman Old Style"/>
          <w:bCs/>
          <w:lang w:val="es-CO"/>
        </w:rPr>
      </w:pPr>
    </w:p>
    <w:p w14:paraId="62261CC2" w14:textId="5F0DE82A" w:rsidR="002C32F6" w:rsidRDefault="002C32F6" w:rsidP="00045D3D">
      <w:pPr>
        <w:ind w:right="5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PROYECTO DE RESOLUCIÓN</w:t>
      </w:r>
    </w:p>
    <w:p w14:paraId="4B4B0BFE" w14:textId="77777777" w:rsidR="002C32F6" w:rsidRDefault="002C32F6" w:rsidP="002C32F6">
      <w:pPr>
        <w:ind w:right="51"/>
        <w:rPr>
          <w:rFonts w:ascii="Bookman Old Style" w:hAnsi="Bookman Old Style"/>
          <w:b/>
        </w:rPr>
      </w:pPr>
    </w:p>
    <w:p w14:paraId="6ED1DF80" w14:textId="74368499" w:rsidR="002C32F6" w:rsidRPr="00902AFC" w:rsidRDefault="002C32F6" w:rsidP="002C32F6">
      <w:pPr>
        <w:ind w:left="0"/>
        <w:jc w:val="center"/>
        <w:rPr>
          <w:rFonts w:ascii="Bookman Old Style" w:hAnsi="Bookman Old Style" w:cs="Arial"/>
          <w:color w:val="000000"/>
        </w:rPr>
      </w:pPr>
      <w:r w:rsidRPr="00E30F97">
        <w:rPr>
          <w:rFonts w:ascii="Bookman Old Style" w:hAnsi="Bookman Old Style" w:cs="Arial"/>
          <w:color w:val="000000"/>
        </w:rPr>
        <w:t xml:space="preserve">Por la cual </w:t>
      </w:r>
      <w:r>
        <w:rPr>
          <w:rFonts w:ascii="Bookman Old Style" w:hAnsi="Bookman Old Style" w:cs="Arial"/>
          <w:color w:val="000000"/>
        </w:rPr>
        <w:t xml:space="preserve">se ajustan los lineamientos de la declaración y actualización </w:t>
      </w:r>
      <w:proofErr w:type="gramStart"/>
      <w:r>
        <w:rPr>
          <w:rFonts w:ascii="Bookman Old Style" w:hAnsi="Bookman Old Style" w:cs="Arial"/>
          <w:color w:val="000000"/>
        </w:rPr>
        <w:t xml:space="preserve">del </w:t>
      </w:r>
      <w:r w:rsidR="00045550">
        <w:rPr>
          <w:rFonts w:ascii="Bookman Old Style" w:hAnsi="Bookman Old Style" w:cs="Arial"/>
          <w:color w:val="000000"/>
        </w:rPr>
        <w:t xml:space="preserve"> Nivel</w:t>
      </w:r>
      <w:proofErr w:type="gramEnd"/>
      <w:r w:rsidR="00045550">
        <w:rPr>
          <w:rFonts w:ascii="Bookman Old Style" w:hAnsi="Bookman Old Style" w:cs="Arial"/>
          <w:color w:val="000000"/>
        </w:rPr>
        <w:t xml:space="preserve"> de Probabilidad de Vertimiento-</w:t>
      </w:r>
      <w:r>
        <w:rPr>
          <w:rFonts w:ascii="Bookman Old Style" w:hAnsi="Bookman Old Style" w:cs="Arial"/>
          <w:color w:val="000000"/>
        </w:rPr>
        <w:t>NPV</w:t>
      </w:r>
      <w:r w:rsidR="00045550">
        <w:rPr>
          <w:rFonts w:ascii="Bookman Old Style" w:hAnsi="Bookman Old Style" w:cs="Arial"/>
          <w:color w:val="000000"/>
        </w:rPr>
        <w:t>-</w:t>
      </w:r>
      <w:r>
        <w:rPr>
          <w:rFonts w:ascii="Bookman Old Style" w:hAnsi="Bookman Old Style" w:cs="Arial"/>
          <w:color w:val="000000"/>
        </w:rPr>
        <w:t xml:space="preserve"> y</w:t>
      </w:r>
      <w:r w:rsidR="00045550">
        <w:rPr>
          <w:rFonts w:ascii="Bookman Old Style" w:hAnsi="Bookman Old Style" w:cs="Arial"/>
          <w:color w:val="000000"/>
        </w:rPr>
        <w:t xml:space="preserve"> </w:t>
      </w:r>
      <w:bookmarkStart w:id="0" w:name="_Hlk153375427"/>
      <w:r w:rsidR="00045550">
        <w:rPr>
          <w:rFonts w:ascii="Bookman Old Style" w:hAnsi="Bookman Old Style" w:cs="Arial"/>
          <w:color w:val="000000"/>
        </w:rPr>
        <w:t>Nivel de ENFICC probabilístico</w:t>
      </w:r>
      <w:bookmarkEnd w:id="0"/>
      <w:r>
        <w:rPr>
          <w:rFonts w:ascii="Bookman Old Style" w:hAnsi="Bookman Old Style" w:cs="Arial"/>
          <w:color w:val="000000"/>
        </w:rPr>
        <w:t xml:space="preserve"> </w:t>
      </w:r>
      <w:r w:rsidR="00045550">
        <w:rPr>
          <w:rFonts w:ascii="Bookman Old Style" w:hAnsi="Bookman Old Style" w:cs="Arial"/>
          <w:color w:val="000000"/>
        </w:rPr>
        <w:t>-</w:t>
      </w:r>
      <w:r>
        <w:rPr>
          <w:rFonts w:ascii="Bookman Old Style" w:hAnsi="Bookman Old Style" w:cs="Arial"/>
          <w:color w:val="000000"/>
        </w:rPr>
        <w:t>NEP</w:t>
      </w:r>
      <w:r w:rsidR="00045550">
        <w:rPr>
          <w:rFonts w:ascii="Bookman Old Style" w:hAnsi="Bookman Old Style" w:cs="Arial"/>
          <w:color w:val="000000"/>
        </w:rPr>
        <w:t>-</w:t>
      </w:r>
      <w:r>
        <w:rPr>
          <w:rFonts w:ascii="Bookman Old Style" w:hAnsi="Bookman Old Style" w:cs="Arial"/>
          <w:color w:val="000000"/>
        </w:rPr>
        <w:t xml:space="preserve"> de que trata la Resolución CREG 036 de 2010</w:t>
      </w:r>
    </w:p>
    <w:p w14:paraId="44E6B440" w14:textId="77777777" w:rsidR="002C32F6" w:rsidRDefault="002C32F6" w:rsidP="002C32F6">
      <w:pPr>
        <w:ind w:right="51"/>
        <w:rPr>
          <w:rFonts w:ascii="Bookman Old Style" w:hAnsi="Bookman Old Style"/>
          <w:b/>
        </w:rPr>
      </w:pPr>
    </w:p>
    <w:p w14:paraId="4A04C0D0" w14:textId="77777777" w:rsidR="002C32F6" w:rsidRDefault="002C32F6" w:rsidP="00045D3D">
      <w:pPr>
        <w:ind w:right="51"/>
        <w:jc w:val="center"/>
        <w:rPr>
          <w:rFonts w:ascii="Bookman Old Style" w:hAnsi="Bookman Old Style"/>
          <w:b/>
        </w:rPr>
      </w:pPr>
    </w:p>
    <w:p w14:paraId="7B67FAFA" w14:textId="6B2A1F6E" w:rsidR="00045D3D" w:rsidRPr="00C435C3" w:rsidRDefault="00045D3D" w:rsidP="00045D3D">
      <w:pPr>
        <w:ind w:right="51"/>
        <w:jc w:val="center"/>
        <w:rPr>
          <w:rFonts w:ascii="Bookman Old Style" w:hAnsi="Bookman Old Style"/>
          <w:b/>
        </w:rPr>
      </w:pPr>
      <w:r w:rsidRPr="00C435C3">
        <w:rPr>
          <w:rFonts w:ascii="Bookman Old Style" w:hAnsi="Bookman Old Style"/>
          <w:b/>
        </w:rPr>
        <w:t xml:space="preserve">LA COMISIÓN DE REGULACIÓN </w:t>
      </w:r>
      <w:r w:rsidR="007B5A60" w:rsidRPr="00C435C3">
        <w:rPr>
          <w:rFonts w:ascii="Bookman Old Style" w:hAnsi="Bookman Old Style"/>
          <w:b/>
        </w:rPr>
        <w:t>DE ENERGÍA</w:t>
      </w:r>
      <w:r w:rsidRPr="00C435C3">
        <w:rPr>
          <w:rFonts w:ascii="Bookman Old Style" w:hAnsi="Bookman Old Style"/>
          <w:b/>
        </w:rPr>
        <w:t xml:space="preserve"> Y GAS</w:t>
      </w:r>
    </w:p>
    <w:p w14:paraId="5F144221" w14:textId="77777777" w:rsidR="00045D3D" w:rsidRPr="00C435C3" w:rsidRDefault="00045D3D" w:rsidP="00045D3D">
      <w:pPr>
        <w:ind w:left="0" w:right="51"/>
        <w:rPr>
          <w:rFonts w:ascii="Bookman Old Style" w:hAnsi="Bookman Old Style"/>
        </w:rPr>
      </w:pPr>
    </w:p>
    <w:p w14:paraId="2739C8D4" w14:textId="77777777" w:rsidR="00045D3D" w:rsidRPr="00C435C3" w:rsidRDefault="00045D3D" w:rsidP="00045D3D">
      <w:pPr>
        <w:ind w:left="0" w:right="51"/>
        <w:rPr>
          <w:rFonts w:ascii="Bookman Old Style" w:hAnsi="Bookman Old Style"/>
        </w:rPr>
      </w:pPr>
    </w:p>
    <w:p w14:paraId="57E2BE6B" w14:textId="77777777" w:rsidR="002C32F6" w:rsidRPr="00717AFB" w:rsidRDefault="002C32F6" w:rsidP="002C32F6">
      <w:pPr>
        <w:tabs>
          <w:tab w:val="left" w:pos="142"/>
        </w:tabs>
        <w:ind w:left="142"/>
        <w:jc w:val="center"/>
        <w:rPr>
          <w:rFonts w:ascii="Bookman Old Style" w:hAnsi="Bookman Old Style" w:cs="Arial"/>
          <w:color w:val="000000"/>
        </w:rPr>
      </w:pPr>
      <w:r w:rsidRPr="00060697">
        <w:rPr>
          <w:rFonts w:ascii="Bookman Old Style" w:hAnsi="Bookman Old Style" w:cs="Arial"/>
          <w:color w:val="000000"/>
        </w:rPr>
        <w:t xml:space="preserve">En ejercicio de sus atribuciones constitucionales y legales, en especial las conferidas por las Leyes 142 y 143 de 1994, y en desarrollo de los Decretos 1524 y 2253 de 1994, y </w:t>
      </w:r>
      <w:r>
        <w:rPr>
          <w:rFonts w:ascii="Bookman Old Style" w:hAnsi="Bookman Old Style" w:cs="Arial"/>
          <w:color w:val="000000"/>
        </w:rPr>
        <w:t xml:space="preserve">el </w:t>
      </w:r>
      <w:r w:rsidRPr="00060697">
        <w:rPr>
          <w:rFonts w:ascii="Bookman Old Style" w:hAnsi="Bookman Old Style" w:cs="Arial"/>
          <w:color w:val="000000"/>
        </w:rPr>
        <w:t>Decreto 1260 de 2013</w:t>
      </w:r>
      <w:r>
        <w:rPr>
          <w:rFonts w:ascii="Bookman Old Style" w:hAnsi="Bookman Old Style" w:cs="Arial"/>
          <w:color w:val="000000"/>
        </w:rPr>
        <w:t>.</w:t>
      </w:r>
    </w:p>
    <w:p w14:paraId="416AEFF4" w14:textId="77777777" w:rsidR="00045D3D" w:rsidRDefault="00045D3D" w:rsidP="00045D3D">
      <w:pPr>
        <w:ind w:right="51"/>
        <w:rPr>
          <w:rFonts w:ascii="Bookman Old Style" w:hAnsi="Bookman Old Style"/>
        </w:rPr>
      </w:pPr>
    </w:p>
    <w:p w14:paraId="3E8440ED" w14:textId="77777777" w:rsidR="00045D3D" w:rsidRDefault="00045D3D" w:rsidP="00045D3D">
      <w:pPr>
        <w:ind w:right="51"/>
        <w:rPr>
          <w:rFonts w:ascii="Bookman Old Style" w:hAnsi="Bookman Old Style"/>
        </w:rPr>
      </w:pPr>
    </w:p>
    <w:p w14:paraId="72BBA367" w14:textId="77777777" w:rsidR="00045D3D" w:rsidRPr="00C435C3" w:rsidRDefault="00045D3D" w:rsidP="00045D3D">
      <w:pPr>
        <w:ind w:right="51"/>
        <w:jc w:val="center"/>
        <w:rPr>
          <w:rFonts w:ascii="Bookman Old Style" w:hAnsi="Bookman Old Style"/>
          <w:b/>
        </w:rPr>
      </w:pPr>
      <w:r w:rsidRPr="00C435C3">
        <w:rPr>
          <w:rFonts w:ascii="Bookman Old Style" w:hAnsi="Bookman Old Style"/>
          <w:b/>
        </w:rPr>
        <w:t xml:space="preserve">C O N S I D E R A N D </w:t>
      </w:r>
      <w:r w:rsidR="007B5A60" w:rsidRPr="00C435C3">
        <w:rPr>
          <w:rFonts w:ascii="Bookman Old Style" w:hAnsi="Bookman Old Style"/>
          <w:b/>
        </w:rPr>
        <w:t>O</w:t>
      </w:r>
      <w:r w:rsidR="007B5A60">
        <w:rPr>
          <w:rFonts w:ascii="Bookman Old Style" w:hAnsi="Bookman Old Style"/>
          <w:b/>
        </w:rPr>
        <w:t xml:space="preserve"> Q</w:t>
      </w:r>
      <w:r>
        <w:rPr>
          <w:rFonts w:ascii="Bookman Old Style" w:hAnsi="Bookman Old Style"/>
          <w:b/>
        </w:rPr>
        <w:t xml:space="preserve"> U E</w:t>
      </w:r>
      <w:r w:rsidRPr="00C435C3">
        <w:rPr>
          <w:rFonts w:ascii="Bookman Old Style" w:hAnsi="Bookman Old Style"/>
          <w:b/>
        </w:rPr>
        <w:t>:</w:t>
      </w:r>
    </w:p>
    <w:p w14:paraId="2378A86C" w14:textId="77777777" w:rsidR="00045D3D" w:rsidRPr="00C435C3" w:rsidRDefault="00045D3D" w:rsidP="00045D3D">
      <w:pPr>
        <w:ind w:right="51"/>
        <w:jc w:val="center"/>
        <w:rPr>
          <w:rFonts w:ascii="Bookman Old Style" w:hAnsi="Bookman Old Style"/>
          <w:b/>
        </w:rPr>
      </w:pPr>
    </w:p>
    <w:p w14:paraId="77E29E42" w14:textId="77777777" w:rsidR="002C32F6" w:rsidRPr="00DE6FA2" w:rsidRDefault="002C32F6" w:rsidP="002C32F6">
      <w:pPr>
        <w:ind w:left="0"/>
        <w:jc w:val="both"/>
        <w:rPr>
          <w:rFonts w:ascii="Bookman Old Style" w:hAnsi="Bookman Old Style" w:cs="Arial"/>
        </w:rPr>
      </w:pPr>
      <w:r>
        <w:rPr>
          <w:rStyle w:val="normaltextrun"/>
          <w:rFonts w:ascii="Bookman Old Style" w:hAnsi="Bookman Old Style" w:cs="Segoe UI"/>
        </w:rPr>
        <w:t>El artículo 365 de la Constitución Política establece que los servicios públicos son inherentes a la finalidad social del Estado, y es deber de este asegurar su prestación eficiente a todos los habitantes del territorio nacional.</w:t>
      </w:r>
    </w:p>
    <w:p w14:paraId="4BDE338D" w14:textId="77777777" w:rsidR="002C32F6" w:rsidRDefault="002C32F6" w:rsidP="002C32F6">
      <w:pPr>
        <w:spacing w:before="120" w:after="120"/>
        <w:ind w:left="0"/>
        <w:jc w:val="both"/>
        <w:rPr>
          <w:rFonts w:ascii="Bookman Old Style" w:hAnsi="Bookman Old Style" w:cs="Arial"/>
        </w:rPr>
      </w:pPr>
      <w:r w:rsidRPr="00DE6FA2">
        <w:rPr>
          <w:rFonts w:ascii="Bookman Old Style" w:hAnsi="Bookman Old Style" w:cs="Arial"/>
        </w:rPr>
        <w:t xml:space="preserve">La Constitución Política, en su artículo 333, señala que el Estado, por mandato de la ley, impedirá que se restrinja la libertad económica y evitará o controlará </w:t>
      </w:r>
      <w:r w:rsidRPr="00DE6FA2">
        <w:rPr>
          <w:rFonts w:ascii="Bookman Old Style" w:hAnsi="Bookman Old Style" w:cs="Arial"/>
        </w:rPr>
        <w:lastRenderedPageBreak/>
        <w:t>cualquier abuso que personas o empresas hagan de su posición dominante en el mercado nacional.</w:t>
      </w:r>
    </w:p>
    <w:p w14:paraId="266C7F84" w14:textId="77777777" w:rsidR="002C32F6" w:rsidRPr="007C5107" w:rsidRDefault="002C32F6" w:rsidP="002C32F6">
      <w:pPr>
        <w:spacing w:before="120" w:after="120"/>
        <w:ind w:left="0"/>
        <w:jc w:val="both"/>
        <w:rPr>
          <w:rFonts w:ascii="Bookman Old Style" w:hAnsi="Bookman Old Style" w:cs="Arial"/>
          <w:lang w:val="es-CO"/>
        </w:rPr>
      </w:pPr>
      <w:r>
        <w:rPr>
          <w:rFonts w:ascii="Bookman Old Style" w:hAnsi="Bookman Old Style" w:cs="Arial"/>
          <w:lang w:val="es-CO"/>
        </w:rPr>
        <w:t>El citado a</w:t>
      </w:r>
      <w:r w:rsidRPr="007C5107">
        <w:rPr>
          <w:rFonts w:ascii="Bookman Old Style" w:hAnsi="Bookman Old Style" w:cs="Arial"/>
          <w:lang w:val="es-CO"/>
        </w:rPr>
        <w:t xml:space="preserve">rtículo 333 de la Constitución Política, </w:t>
      </w:r>
      <w:r>
        <w:rPr>
          <w:rFonts w:ascii="Bookman Old Style" w:hAnsi="Bookman Old Style" w:cs="Arial"/>
          <w:lang w:val="es-CO"/>
        </w:rPr>
        <w:t xml:space="preserve">prevé que </w:t>
      </w:r>
      <w:r w:rsidRPr="007C5107">
        <w:rPr>
          <w:rFonts w:ascii="Bookman Old Style" w:hAnsi="Bookman Old Style" w:cs="Arial"/>
          <w:lang w:val="es-CO"/>
        </w:rPr>
        <w:t>la libre competencia económica es un derecho de todo</w:t>
      </w:r>
      <w:r>
        <w:rPr>
          <w:rFonts w:ascii="Bookman Old Style" w:hAnsi="Bookman Old Style" w:cs="Arial"/>
          <w:lang w:val="es-CO"/>
        </w:rPr>
        <w:t>s, que supone responsabilidades.</w:t>
      </w:r>
    </w:p>
    <w:p w14:paraId="2B64B5E2" w14:textId="77777777" w:rsidR="002C32F6" w:rsidRPr="007C5107" w:rsidRDefault="002C32F6" w:rsidP="002C32F6">
      <w:pPr>
        <w:spacing w:before="120" w:after="120"/>
        <w:ind w:left="0"/>
        <w:jc w:val="both"/>
        <w:rPr>
          <w:rFonts w:ascii="Bookman Old Style" w:hAnsi="Bookman Old Style" w:cs="Arial"/>
          <w:lang w:val="es-CO"/>
        </w:rPr>
      </w:pPr>
      <w:r>
        <w:rPr>
          <w:rFonts w:ascii="Bookman Old Style" w:hAnsi="Bookman Old Style" w:cs="Arial"/>
          <w:lang w:val="es-CO"/>
        </w:rPr>
        <w:t>De igual forma, el artículo 334 de la Constitución Política</w:t>
      </w:r>
      <w:r w:rsidRPr="007C5107">
        <w:rPr>
          <w:rFonts w:ascii="Bookman Old Style" w:hAnsi="Bookman Old Style" w:cs="Arial"/>
          <w:lang w:val="es-CO"/>
        </w:rPr>
        <w:t xml:space="preserve">, </w:t>
      </w:r>
      <w:r>
        <w:rPr>
          <w:rFonts w:ascii="Bookman Old Style" w:hAnsi="Bookman Old Style" w:cs="Arial"/>
          <w:lang w:val="es-CO"/>
        </w:rPr>
        <w:t xml:space="preserve">dispone que </w:t>
      </w:r>
      <w:r w:rsidRPr="007C5107">
        <w:rPr>
          <w:rFonts w:ascii="Bookman Old Style" w:hAnsi="Bookman Old Style" w:cs="Arial"/>
          <w:lang w:val="es-CO"/>
        </w:rPr>
        <w:t xml:space="preserve">el Estado intervendrá, </w:t>
      </w:r>
      <w:r>
        <w:rPr>
          <w:rFonts w:ascii="Bookman Old Style" w:hAnsi="Bookman Old Style" w:cs="Arial"/>
          <w:lang w:val="es-CO"/>
        </w:rPr>
        <w:t xml:space="preserve">también </w:t>
      </w:r>
      <w:r w:rsidRPr="007C5107">
        <w:rPr>
          <w:rFonts w:ascii="Bookman Old Style" w:hAnsi="Bookman Old Style" w:cs="Arial"/>
          <w:lang w:val="es-CO"/>
        </w:rPr>
        <w:t>por mandato de la ley, en los servicios públicos y privados, para racionalizar la economía con el fin de conseguir el mejoramiento de la calidad de vida de los habitantes, la distribución equitativa de oportunidades y los beneficios del desarrollo y la p</w:t>
      </w:r>
      <w:r>
        <w:rPr>
          <w:rFonts w:ascii="Bookman Old Style" w:hAnsi="Bookman Old Style" w:cs="Arial"/>
          <w:lang w:val="es-CO"/>
        </w:rPr>
        <w:t>reservación de un ambiente sano.</w:t>
      </w:r>
    </w:p>
    <w:p w14:paraId="51A26B27" w14:textId="69740D0D" w:rsidR="002C32F6" w:rsidRDefault="002C32F6" w:rsidP="002C32F6">
      <w:pPr>
        <w:pStyle w:val="paragraph"/>
        <w:spacing w:before="120" w:beforeAutospacing="0" w:after="120" w:afterAutospacing="0"/>
        <w:ind w:right="13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</w:rPr>
        <w:t xml:space="preserve">El artículo 370 de la Constitución Política </w:t>
      </w:r>
      <w:r w:rsidRPr="00DE6FA2">
        <w:rPr>
          <w:rStyle w:val="normaltextrun"/>
          <w:rFonts w:ascii="Bookman Old Style" w:hAnsi="Bookman Old Style" w:cs="Segoe UI"/>
        </w:rPr>
        <w:t>confiere</w:t>
      </w:r>
      <w:r w:rsidR="008A6BD7">
        <w:rPr>
          <w:rStyle w:val="normaltextrun"/>
          <w:rFonts w:ascii="Bookman Old Style" w:hAnsi="Bookman Old Style" w:cs="Segoe UI"/>
        </w:rPr>
        <w:t xml:space="preserve"> </w:t>
      </w:r>
      <w:r>
        <w:rPr>
          <w:rStyle w:val="normaltextrun"/>
          <w:rFonts w:ascii="Bookman Old Style" w:hAnsi="Bookman Old Style" w:cs="Segoe UI"/>
        </w:rPr>
        <w:t xml:space="preserve">al </w:t>
      </w:r>
      <w:proofErr w:type="gramStart"/>
      <w:r>
        <w:rPr>
          <w:rStyle w:val="normaltextrun"/>
          <w:rFonts w:ascii="Bookman Old Style" w:hAnsi="Bookman Old Style" w:cs="Segoe UI"/>
        </w:rPr>
        <w:t>Presidente</w:t>
      </w:r>
      <w:proofErr w:type="gramEnd"/>
      <w:r>
        <w:rPr>
          <w:rStyle w:val="normaltextrun"/>
          <w:rFonts w:ascii="Bookman Old Style" w:hAnsi="Bookman Old Style" w:cs="Segoe UI"/>
        </w:rPr>
        <w:t xml:space="preserve"> de la República la función de señalar, con sujeción a la ley, las políticas generales de administración y control de eficiencia de los servicios públicos domiciliarios.</w:t>
      </w:r>
    </w:p>
    <w:p w14:paraId="5EF59F04" w14:textId="77777777" w:rsidR="002C32F6" w:rsidRPr="007C5107" w:rsidRDefault="002C32F6" w:rsidP="002C32F6">
      <w:pPr>
        <w:spacing w:before="120" w:after="120"/>
        <w:ind w:left="0"/>
        <w:jc w:val="both"/>
        <w:rPr>
          <w:rFonts w:ascii="Bookman Old Style" w:hAnsi="Bookman Old Style" w:cs="Arial"/>
          <w:lang w:val="es-CO"/>
        </w:rPr>
      </w:pPr>
      <w:r>
        <w:rPr>
          <w:rFonts w:ascii="Bookman Old Style" w:hAnsi="Bookman Old Style" w:cs="Arial"/>
          <w:lang w:val="es-CO"/>
        </w:rPr>
        <w:t>La Ley 142 de 1994, artículo 2</w:t>
      </w:r>
      <w:r w:rsidRPr="007C5107">
        <w:rPr>
          <w:rFonts w:ascii="Bookman Old Style" w:hAnsi="Bookman Old Style" w:cs="Arial"/>
          <w:lang w:val="es-CO"/>
        </w:rPr>
        <w:t xml:space="preserve">, </w:t>
      </w:r>
      <w:r>
        <w:rPr>
          <w:rFonts w:ascii="Bookman Old Style" w:hAnsi="Bookman Old Style" w:cs="Arial"/>
          <w:lang w:val="es-CO"/>
        </w:rPr>
        <w:t xml:space="preserve">señaló </w:t>
      </w:r>
      <w:r w:rsidRPr="007C5107">
        <w:rPr>
          <w:rFonts w:ascii="Bookman Old Style" w:hAnsi="Bookman Old Style" w:cs="Arial"/>
          <w:lang w:val="es-CO"/>
        </w:rPr>
        <w:t>la intervención del Estado en los servicios públicos, conforme a las reglas de competencia de que trata dicha ley, en el</w:t>
      </w:r>
      <w:r>
        <w:rPr>
          <w:rFonts w:ascii="Bookman Old Style" w:hAnsi="Bookman Old Style" w:cs="Arial"/>
          <w:lang w:val="es-CO"/>
        </w:rPr>
        <w:t xml:space="preserve"> marco de lo dispuesto por los a</w:t>
      </w:r>
      <w:r w:rsidRPr="007C5107">
        <w:rPr>
          <w:rFonts w:ascii="Bookman Old Style" w:hAnsi="Bookman Old Style" w:cs="Arial"/>
          <w:lang w:val="es-CO"/>
        </w:rPr>
        <w:t xml:space="preserve">rtículos 334, 336, y 365 a 370 de la Constitución Política, para lograr entre otros fines, la libertad de competencia y </w:t>
      </w:r>
      <w:r>
        <w:rPr>
          <w:rFonts w:ascii="Bookman Old Style" w:hAnsi="Bookman Old Style" w:cs="Arial"/>
          <w:lang w:val="es-CO"/>
        </w:rPr>
        <w:t xml:space="preserve">la </w:t>
      </w:r>
      <w:r w:rsidRPr="007C5107">
        <w:rPr>
          <w:rFonts w:ascii="Bookman Old Style" w:hAnsi="Bookman Old Style" w:cs="Arial"/>
          <w:lang w:val="es-CO"/>
        </w:rPr>
        <w:t>no utilización a</w:t>
      </w:r>
      <w:r>
        <w:rPr>
          <w:rFonts w:ascii="Bookman Old Style" w:hAnsi="Bookman Old Style" w:cs="Arial"/>
          <w:lang w:val="es-CO"/>
        </w:rPr>
        <w:t>busiva de la posición dominante.</w:t>
      </w:r>
    </w:p>
    <w:p w14:paraId="0FE25338" w14:textId="24258C3B" w:rsidR="002C32F6" w:rsidRPr="007C5107" w:rsidRDefault="002C32F6" w:rsidP="002C32F6">
      <w:pPr>
        <w:spacing w:before="120" w:after="120"/>
        <w:ind w:left="0"/>
        <w:jc w:val="both"/>
        <w:rPr>
          <w:rFonts w:ascii="Bookman Old Style" w:hAnsi="Bookman Old Style" w:cs="Arial"/>
          <w:lang w:val="es-CO"/>
        </w:rPr>
      </w:pPr>
      <w:r>
        <w:rPr>
          <w:rFonts w:ascii="Bookman Old Style" w:hAnsi="Bookman Old Style" w:cs="Arial"/>
          <w:lang w:val="es-CO"/>
        </w:rPr>
        <w:t>S</w:t>
      </w:r>
      <w:r w:rsidRPr="007C5107">
        <w:rPr>
          <w:rFonts w:ascii="Bookman Old Style" w:hAnsi="Bookman Old Style" w:cs="Arial"/>
          <w:lang w:val="es-CO"/>
        </w:rPr>
        <w:t xml:space="preserve">egún lo dispuesto </w:t>
      </w:r>
      <w:r>
        <w:rPr>
          <w:rFonts w:ascii="Bookman Old Style" w:hAnsi="Bookman Old Style" w:cs="Arial"/>
          <w:lang w:val="es-CO"/>
        </w:rPr>
        <w:t xml:space="preserve">en el artículo 3 de </w:t>
      </w:r>
      <w:r w:rsidRPr="007C5107">
        <w:rPr>
          <w:rFonts w:ascii="Bookman Old Style" w:hAnsi="Bookman Old Style" w:cs="Arial"/>
          <w:lang w:val="es-CO"/>
        </w:rPr>
        <w:t>la Ley 143 de 1994, en relación con el servicio público de electricidad</w:t>
      </w:r>
      <w:r>
        <w:rPr>
          <w:rFonts w:ascii="Bookman Old Style" w:hAnsi="Bookman Old Style" w:cs="Arial"/>
          <w:lang w:val="es-CO"/>
        </w:rPr>
        <w:t>,</w:t>
      </w:r>
      <w:r w:rsidRPr="007C5107">
        <w:rPr>
          <w:rFonts w:ascii="Bookman Old Style" w:hAnsi="Bookman Old Style" w:cs="Arial"/>
          <w:lang w:val="es-CO"/>
        </w:rPr>
        <w:t xml:space="preserve"> al Estado le corresponde, entre otros aspectos, promover la libre competencia en las actividades del sector, e impedir prácticas que constituyan competencia desleal o abuso de p</w:t>
      </w:r>
      <w:r>
        <w:rPr>
          <w:rFonts w:ascii="Bookman Old Style" w:hAnsi="Bookman Old Style" w:cs="Arial"/>
          <w:lang w:val="es-CO"/>
        </w:rPr>
        <w:t>osición dominante en el mercado.</w:t>
      </w:r>
    </w:p>
    <w:p w14:paraId="789F3AFF" w14:textId="77777777" w:rsidR="002C32F6" w:rsidRPr="007C5107" w:rsidRDefault="002C32F6" w:rsidP="002C32F6">
      <w:pPr>
        <w:spacing w:before="120" w:after="120"/>
        <w:ind w:left="0"/>
        <w:jc w:val="both"/>
        <w:rPr>
          <w:rFonts w:ascii="Bookman Old Style" w:hAnsi="Bookman Old Style" w:cs="Arial"/>
          <w:lang w:val="es-CO"/>
        </w:rPr>
      </w:pPr>
      <w:r>
        <w:rPr>
          <w:rFonts w:ascii="Bookman Old Style" w:hAnsi="Bookman Old Style" w:cs="Arial"/>
          <w:lang w:val="es-CO"/>
        </w:rPr>
        <w:t>El a</w:t>
      </w:r>
      <w:r w:rsidRPr="007C5107">
        <w:rPr>
          <w:rFonts w:ascii="Bookman Old Style" w:hAnsi="Bookman Old Style" w:cs="Arial"/>
          <w:lang w:val="es-CO"/>
        </w:rPr>
        <w:t xml:space="preserve">rtículo 4 de la Ley 143 de 1994 </w:t>
      </w:r>
      <w:r>
        <w:rPr>
          <w:rFonts w:ascii="Bookman Old Style" w:hAnsi="Bookman Old Style" w:cs="Arial"/>
          <w:lang w:val="es-CO"/>
        </w:rPr>
        <w:t xml:space="preserve">dispone que </w:t>
      </w:r>
      <w:r w:rsidRPr="007C5107">
        <w:rPr>
          <w:rFonts w:ascii="Bookman Old Style" w:hAnsi="Bookman Old Style" w:cs="Arial"/>
          <w:lang w:val="es-CO"/>
        </w:rPr>
        <w:t>el Estado, en relación con el servicio de electricidad</w:t>
      </w:r>
      <w:r>
        <w:rPr>
          <w:rFonts w:ascii="Bookman Old Style" w:hAnsi="Bookman Old Style" w:cs="Arial"/>
          <w:lang w:val="es-CO"/>
        </w:rPr>
        <w:t>, tiene dentro de sus objetivos</w:t>
      </w:r>
      <w:r w:rsidRPr="007C5107">
        <w:rPr>
          <w:rFonts w:ascii="Bookman Old Style" w:hAnsi="Bookman Old Style" w:cs="Arial"/>
          <w:lang w:val="es-CO"/>
        </w:rPr>
        <w:t xml:space="preserve"> abastecer la demanda de electricidad de la comunidad bajo criterios económicos y de viabilidad financiera, asegurando su cubrimiento en un marco de uso racional y eficiente de los diferentes recursos energ</w:t>
      </w:r>
      <w:r>
        <w:rPr>
          <w:rFonts w:ascii="Bookman Old Style" w:hAnsi="Bookman Old Style" w:cs="Arial"/>
          <w:lang w:val="es-CO"/>
        </w:rPr>
        <w:t>éticos del país.</w:t>
      </w:r>
    </w:p>
    <w:p w14:paraId="0FA7368F" w14:textId="77777777" w:rsidR="002C32F6" w:rsidRPr="007C5107" w:rsidRDefault="002C32F6" w:rsidP="002C32F6">
      <w:pPr>
        <w:spacing w:before="120" w:after="120"/>
        <w:ind w:left="0"/>
        <w:jc w:val="both"/>
        <w:rPr>
          <w:rFonts w:ascii="Bookman Old Style" w:hAnsi="Bookman Old Style" w:cs="Arial"/>
          <w:lang w:val="es-CO"/>
        </w:rPr>
      </w:pPr>
      <w:r>
        <w:rPr>
          <w:rFonts w:ascii="Bookman Old Style" w:hAnsi="Bookman Old Style" w:cs="Arial"/>
          <w:lang w:val="es-CO"/>
        </w:rPr>
        <w:t>Igualmente, el citado a</w:t>
      </w:r>
      <w:r w:rsidRPr="007C5107">
        <w:rPr>
          <w:rFonts w:ascii="Bookman Old Style" w:hAnsi="Bookman Old Style" w:cs="Arial"/>
          <w:lang w:val="es-CO"/>
        </w:rPr>
        <w:t>rtículo 4</w:t>
      </w:r>
      <w:r>
        <w:rPr>
          <w:rFonts w:ascii="Bookman Old Style" w:hAnsi="Bookman Old Style" w:cs="Arial"/>
          <w:lang w:val="es-CO"/>
        </w:rPr>
        <w:t xml:space="preserve"> </w:t>
      </w:r>
      <w:r w:rsidRPr="007C5107">
        <w:rPr>
          <w:rFonts w:ascii="Bookman Old Style" w:hAnsi="Bookman Old Style" w:cs="Arial"/>
          <w:lang w:val="es-CO"/>
        </w:rPr>
        <w:t>de la Ley 143 de 1994 define como objetivo del Estado asegurar una operación eficiente, segura y confiabl</w:t>
      </w:r>
      <w:r>
        <w:rPr>
          <w:rFonts w:ascii="Bookman Old Style" w:hAnsi="Bookman Old Style" w:cs="Arial"/>
          <w:lang w:val="es-CO"/>
        </w:rPr>
        <w:t xml:space="preserve">e en las actividades del sector, y </w:t>
      </w:r>
      <w:r w:rsidRPr="00576D9E">
        <w:rPr>
          <w:rFonts w:ascii="Bookman Old Style" w:hAnsi="Bookman Old Style" w:cs="Arial"/>
        </w:rPr>
        <w:t>mantener los niveles de calidad y seguridad establecidos</w:t>
      </w:r>
      <w:r>
        <w:rPr>
          <w:rFonts w:ascii="Bookman Old Style" w:hAnsi="Bookman Old Style" w:cs="Arial"/>
        </w:rPr>
        <w:t>.</w:t>
      </w:r>
    </w:p>
    <w:p w14:paraId="1CE4D169" w14:textId="77777777" w:rsidR="002C32F6" w:rsidRDefault="002C32F6" w:rsidP="002C32F6">
      <w:pPr>
        <w:spacing w:before="120" w:after="120"/>
        <w:ind w:left="0"/>
        <w:jc w:val="both"/>
        <w:rPr>
          <w:rFonts w:ascii="Bookman Old Style" w:hAnsi="Bookman Old Style" w:cs="Arial"/>
          <w:lang w:val="es-CO"/>
        </w:rPr>
      </w:pPr>
      <w:r>
        <w:rPr>
          <w:rFonts w:ascii="Bookman Old Style" w:hAnsi="Bookman Old Style" w:cs="Arial"/>
          <w:lang w:val="es-CO"/>
        </w:rPr>
        <w:t>La</w:t>
      </w:r>
      <w:r w:rsidRPr="007C5107">
        <w:rPr>
          <w:rFonts w:ascii="Bookman Old Style" w:hAnsi="Bookman Old Style" w:cs="Arial"/>
          <w:lang w:val="es-CO"/>
        </w:rPr>
        <w:t xml:space="preserve"> Ley </w:t>
      </w:r>
      <w:r>
        <w:rPr>
          <w:rFonts w:ascii="Bookman Old Style" w:hAnsi="Bookman Old Style" w:cs="Arial"/>
          <w:lang w:val="es-CO"/>
        </w:rPr>
        <w:t>143 de 1994, artículo 6</w:t>
      </w:r>
      <w:r w:rsidRPr="007C5107">
        <w:rPr>
          <w:rFonts w:ascii="Bookman Old Style" w:hAnsi="Bookman Old Style" w:cs="Arial"/>
          <w:lang w:val="es-CO"/>
        </w:rPr>
        <w:t>, dispuso que las actividades relacionadas con el servicio de electricidad se regirán, entre otros principios, por el de eficiencia, el cual “</w:t>
      </w:r>
      <w:r w:rsidRPr="00E60CE3">
        <w:rPr>
          <w:rFonts w:ascii="Bookman Old Style" w:hAnsi="Bookman Old Style" w:cs="Arial"/>
          <w:i/>
          <w:lang w:val="es-CO"/>
        </w:rPr>
        <w:t>obliga a la correcta asignación y utilización de los recursos de tal forma que se garantice la prestación del servicio al menor costo económico</w:t>
      </w:r>
      <w:r>
        <w:rPr>
          <w:rFonts w:ascii="Bookman Old Style" w:hAnsi="Bookman Old Style" w:cs="Arial"/>
          <w:lang w:val="es-CO"/>
        </w:rPr>
        <w:t>”.</w:t>
      </w:r>
    </w:p>
    <w:p w14:paraId="11426B3C" w14:textId="77777777" w:rsidR="002C32F6" w:rsidRPr="00576D9E" w:rsidRDefault="002C32F6" w:rsidP="002C32F6">
      <w:pPr>
        <w:spacing w:before="120" w:after="120"/>
        <w:ind w:left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El artículo 20 de l</w:t>
      </w:r>
      <w:r w:rsidRPr="00576D9E">
        <w:rPr>
          <w:rFonts w:ascii="Bookman Old Style" w:hAnsi="Bookman Old Style" w:cs="Arial"/>
        </w:rPr>
        <w:t xml:space="preserve">a Ley 143 de 1994 definió como objetivo fundamental de la </w:t>
      </w:r>
      <w:r>
        <w:rPr>
          <w:rFonts w:ascii="Bookman Old Style" w:hAnsi="Bookman Old Style" w:cs="Arial"/>
        </w:rPr>
        <w:t>r</w:t>
      </w:r>
      <w:r w:rsidRPr="00576D9E">
        <w:rPr>
          <w:rFonts w:ascii="Bookman Old Style" w:hAnsi="Bookman Old Style" w:cs="Arial"/>
        </w:rPr>
        <w:t xml:space="preserve">egulación en el sector eléctrico, asegurar una adecuada prestación del servicio mediante el aprovechamiento eficiente de los diferentes recursos energéticos, en beneficio del usuario en términos de calidad, oportunidad y costo del servicio. </w:t>
      </w:r>
    </w:p>
    <w:p w14:paraId="3C189837" w14:textId="77777777" w:rsidR="002C32F6" w:rsidRDefault="002C32F6" w:rsidP="002C32F6">
      <w:pPr>
        <w:spacing w:before="120" w:after="120"/>
        <w:ind w:left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La Resolución CREG 024 de 1995 </w:t>
      </w:r>
      <w:r w:rsidRPr="005168D4">
        <w:rPr>
          <w:rFonts w:ascii="Bookman Old Style" w:hAnsi="Bookman Old Style" w:cs="Arial"/>
          <w:bCs/>
        </w:rPr>
        <w:t>reglamenta los aspectos comerciales del mercado mayorista de energía en el sistema interconectado nacional, que hacen parte del Reglamento de Operación.</w:t>
      </w:r>
    </w:p>
    <w:p w14:paraId="16945165" w14:textId="77777777" w:rsidR="002C32F6" w:rsidRDefault="002C32F6" w:rsidP="002C32F6">
      <w:pPr>
        <w:pStyle w:val="Vietaletra"/>
        <w:numPr>
          <w:ilvl w:val="0"/>
          <w:numId w:val="0"/>
        </w:numPr>
        <w:suppressAutoHyphens w:val="0"/>
        <w:overflowPunct/>
        <w:autoSpaceDE/>
        <w:spacing w:before="120" w:after="120"/>
        <w:textAlignment w:val="auto"/>
        <w:rPr>
          <w:rFonts w:ascii="Bookman Old Style" w:hAnsi="Bookman Old Style" w:cs="Arial"/>
          <w:bCs/>
          <w:szCs w:val="24"/>
          <w:lang w:val="es-CO" w:eastAsia="es-ES"/>
        </w:rPr>
      </w:pPr>
      <w:r>
        <w:rPr>
          <w:rFonts w:ascii="Bookman Old Style" w:hAnsi="Bookman Old Style" w:cs="Arial"/>
          <w:bCs/>
          <w:szCs w:val="24"/>
          <w:lang w:val="es-CO" w:eastAsia="es-ES"/>
        </w:rPr>
        <w:t xml:space="preserve">La </w:t>
      </w:r>
      <w:r w:rsidRPr="00576D9E">
        <w:rPr>
          <w:rFonts w:ascii="Bookman Old Style" w:hAnsi="Bookman Old Style" w:cs="Arial"/>
          <w:bCs/>
          <w:szCs w:val="24"/>
          <w:lang w:val="es-CO" w:eastAsia="es-ES"/>
        </w:rPr>
        <w:t xml:space="preserve">Resolución </w:t>
      </w:r>
      <w:r>
        <w:rPr>
          <w:rFonts w:ascii="Bookman Old Style" w:hAnsi="Bookman Old Style" w:cs="Arial"/>
          <w:bCs/>
          <w:szCs w:val="24"/>
          <w:lang w:val="es-CO" w:eastAsia="es-ES"/>
        </w:rPr>
        <w:t>CREG 025</w:t>
      </w:r>
      <w:r w:rsidRPr="00576D9E">
        <w:rPr>
          <w:rFonts w:ascii="Bookman Old Style" w:hAnsi="Bookman Old Style" w:cs="Arial"/>
          <w:bCs/>
          <w:szCs w:val="24"/>
          <w:lang w:val="es-CO" w:eastAsia="es-ES"/>
        </w:rPr>
        <w:t xml:space="preserve"> de </w:t>
      </w:r>
      <w:r>
        <w:rPr>
          <w:rFonts w:ascii="Bookman Old Style" w:hAnsi="Bookman Old Style" w:cs="Arial"/>
          <w:bCs/>
          <w:szCs w:val="24"/>
          <w:lang w:val="es-CO" w:eastAsia="es-ES"/>
        </w:rPr>
        <w:t xml:space="preserve">1995 </w:t>
      </w:r>
      <w:r w:rsidRPr="003001B6">
        <w:rPr>
          <w:rFonts w:ascii="Bookman Old Style" w:hAnsi="Bookman Old Style" w:cs="Arial"/>
          <w:bCs/>
          <w:szCs w:val="24"/>
          <w:lang w:val="es-CO" w:eastAsia="es-ES"/>
        </w:rPr>
        <w:t>establec</w:t>
      </w:r>
      <w:r>
        <w:rPr>
          <w:rFonts w:ascii="Bookman Old Style" w:hAnsi="Bookman Old Style" w:cs="Arial"/>
          <w:bCs/>
          <w:szCs w:val="24"/>
          <w:lang w:val="es-CO" w:eastAsia="es-ES"/>
        </w:rPr>
        <w:t>ió</w:t>
      </w:r>
      <w:r w:rsidRPr="003001B6">
        <w:rPr>
          <w:rFonts w:ascii="Bookman Old Style" w:hAnsi="Bookman Old Style" w:cs="Arial"/>
          <w:bCs/>
          <w:szCs w:val="24"/>
          <w:lang w:val="es-CO" w:eastAsia="es-ES"/>
        </w:rPr>
        <w:t xml:space="preserve"> el Código de Redes, como parte del Reglamento de Operación del Sistema Interconectado Nacional</w:t>
      </w:r>
      <w:r>
        <w:rPr>
          <w:rFonts w:ascii="Bookman Old Style" w:hAnsi="Bookman Old Style" w:cs="Arial"/>
          <w:bCs/>
          <w:szCs w:val="24"/>
          <w:lang w:val="es-CO" w:eastAsia="es-ES"/>
        </w:rPr>
        <w:t>, que contiene los reglamentos de Código de Planeamiento, Código de Conexión, Código de Medida y Código de Operación.</w:t>
      </w:r>
    </w:p>
    <w:p w14:paraId="42A9F276" w14:textId="0D0D3FE8" w:rsidR="002C32F6" w:rsidRDefault="00FC1336" w:rsidP="002C32F6">
      <w:pPr>
        <w:spacing w:before="120" w:after="120"/>
        <w:ind w:left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lastRenderedPageBreak/>
        <w:t>E</w:t>
      </w:r>
      <w:r w:rsidR="002C32F6" w:rsidRPr="00736CE9">
        <w:rPr>
          <w:rFonts w:ascii="Bookman Old Style" w:hAnsi="Bookman Old Style" w:cs="Arial"/>
          <w:bCs/>
        </w:rPr>
        <w:t xml:space="preserve">l </w:t>
      </w:r>
      <w:r w:rsidR="002C32F6">
        <w:rPr>
          <w:rFonts w:ascii="Bookman Old Style" w:hAnsi="Bookman Old Style" w:cs="Arial"/>
          <w:bCs/>
        </w:rPr>
        <w:t xml:space="preserve">numeral </w:t>
      </w:r>
      <w:r w:rsidR="002C32F6" w:rsidRPr="00736CE9">
        <w:rPr>
          <w:rFonts w:ascii="Bookman Old Style" w:hAnsi="Bookman Old Style" w:cs="Arial"/>
          <w:bCs/>
        </w:rPr>
        <w:t>3.1 del Anexo Código de Operación de la Resolución CREG 025 de 1995, modificado por el artículo 1 de la Resolución 101-28 de 2022</w:t>
      </w:r>
      <w:r w:rsidR="002C32F6">
        <w:rPr>
          <w:rFonts w:ascii="Bookman Old Style" w:hAnsi="Bookman Old Style" w:cs="Arial"/>
          <w:bCs/>
        </w:rPr>
        <w:t>,</w:t>
      </w:r>
      <w:r w:rsidR="002C32F6" w:rsidRPr="00736CE9">
        <w:rPr>
          <w:rFonts w:ascii="Bookman Old Style" w:hAnsi="Bookman Old Style" w:cs="Arial"/>
          <w:bCs/>
        </w:rPr>
        <w:t xml:space="preserve"> estableció las condiciones en que se declara la oferta de precios para el Despacho Económico Horario.</w:t>
      </w:r>
    </w:p>
    <w:p w14:paraId="51E22489" w14:textId="77777777" w:rsidR="00720168" w:rsidRDefault="00720168" w:rsidP="00720168">
      <w:pPr>
        <w:spacing w:before="120" w:after="120"/>
        <w:ind w:left="0"/>
        <w:jc w:val="both"/>
        <w:rPr>
          <w:rFonts w:ascii="Bookman Old Style" w:hAnsi="Bookman Old Style" w:cs="Arial"/>
          <w:bCs/>
        </w:rPr>
      </w:pPr>
      <w:r w:rsidRPr="00736CE9">
        <w:rPr>
          <w:rFonts w:ascii="Bookman Old Style" w:hAnsi="Bookman Old Style" w:cs="Arial"/>
          <w:bCs/>
        </w:rPr>
        <w:t xml:space="preserve">El numeral 6.2 del </w:t>
      </w:r>
      <w:r>
        <w:rPr>
          <w:rFonts w:ascii="Bookman Old Style" w:hAnsi="Bookman Old Style" w:cs="Arial"/>
          <w:bCs/>
        </w:rPr>
        <w:t xml:space="preserve">Anexo </w:t>
      </w:r>
      <w:r w:rsidRPr="00736CE9">
        <w:rPr>
          <w:rFonts w:ascii="Bookman Old Style" w:hAnsi="Bookman Old Style" w:cs="Arial"/>
          <w:bCs/>
        </w:rPr>
        <w:t xml:space="preserve">Código de Operación </w:t>
      </w:r>
      <w:r>
        <w:rPr>
          <w:rFonts w:ascii="Bookman Old Style" w:hAnsi="Bookman Old Style" w:cs="Arial"/>
          <w:bCs/>
        </w:rPr>
        <w:t xml:space="preserve">de la </w:t>
      </w:r>
      <w:r w:rsidRPr="00736CE9">
        <w:rPr>
          <w:rFonts w:ascii="Bookman Old Style" w:hAnsi="Bookman Old Style" w:cs="Arial"/>
          <w:bCs/>
        </w:rPr>
        <w:t>Resolución CREG 025 de 1995 estableció las condiciones, oportunidad y tipo de datos hidrológicos que deben declarar las empresas de generación propietarias de plantas hidráulicas</w:t>
      </w:r>
      <w:r>
        <w:rPr>
          <w:rFonts w:ascii="Bookman Old Style" w:hAnsi="Bookman Old Style" w:cs="Arial"/>
          <w:bCs/>
        </w:rPr>
        <w:t xml:space="preserve"> para la operación del SIN</w:t>
      </w:r>
      <w:r w:rsidRPr="00736CE9">
        <w:rPr>
          <w:rFonts w:ascii="Bookman Old Style" w:hAnsi="Bookman Old Style" w:cs="Arial"/>
          <w:bCs/>
        </w:rPr>
        <w:t>, entre ellos el nivel de embalse.</w:t>
      </w:r>
    </w:p>
    <w:p w14:paraId="0CC76EF7" w14:textId="77777777" w:rsidR="002C32F6" w:rsidRDefault="002C32F6" w:rsidP="002C32F6">
      <w:pPr>
        <w:spacing w:before="120" w:after="120"/>
        <w:ind w:left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La Resolución CREG 036 de 2010 incluye entre sus reglas, la definición y declaración de la variable </w:t>
      </w:r>
      <w:r w:rsidRPr="00300634">
        <w:rPr>
          <w:rFonts w:ascii="Bookman Old Style" w:hAnsi="Bookman Old Style" w:cs="Arial"/>
          <w:bCs/>
        </w:rPr>
        <w:t xml:space="preserve">Nivel de Probabilidad de Vertimiento - NPV, entendido este como el nivel a partir del cual el embalse entra en riesgo de </w:t>
      </w:r>
      <w:r w:rsidRPr="00345748">
        <w:rPr>
          <w:rFonts w:ascii="Bookman Old Style" w:hAnsi="Bookman Old Style" w:cs="Arial"/>
        </w:rPr>
        <w:t>verter</w:t>
      </w:r>
      <w:r>
        <w:rPr>
          <w:rFonts w:ascii="Bookman Old Style" w:hAnsi="Bookman Old Style" w:cs="Arial"/>
        </w:rPr>
        <w:t>,</w:t>
      </w:r>
      <w:r w:rsidRPr="00300634">
        <w:rPr>
          <w:rFonts w:ascii="Bookman Old Style" w:hAnsi="Bookman Old Style" w:cs="Arial"/>
          <w:bCs/>
        </w:rPr>
        <w:t xml:space="preserve"> según los análisis del agente</w:t>
      </w:r>
      <w:r>
        <w:rPr>
          <w:rFonts w:ascii="Bookman Old Style" w:hAnsi="Bookman Old Style" w:cs="Arial"/>
          <w:bCs/>
        </w:rPr>
        <w:t xml:space="preserve"> generador con plantas hidráulicas despachadas centralmente.</w:t>
      </w:r>
    </w:p>
    <w:p w14:paraId="59F8A1E4" w14:textId="4CFF8A37" w:rsidR="002C32F6" w:rsidRDefault="00FC1336" w:rsidP="002C32F6">
      <w:pPr>
        <w:spacing w:before="120" w:after="120"/>
        <w:ind w:left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L</w:t>
      </w:r>
      <w:r w:rsidR="002C32F6">
        <w:rPr>
          <w:rFonts w:ascii="Bookman Old Style" w:hAnsi="Bookman Old Style" w:cs="Arial"/>
          <w:bCs/>
        </w:rPr>
        <w:t>a</w:t>
      </w:r>
      <w:r w:rsidR="00546617">
        <w:rPr>
          <w:rFonts w:ascii="Bookman Old Style" w:hAnsi="Bookman Old Style" w:cs="Arial"/>
          <w:bCs/>
        </w:rPr>
        <w:t xml:space="preserve"> precitada</w:t>
      </w:r>
      <w:r w:rsidR="002C32F6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 xml:space="preserve">también </w:t>
      </w:r>
      <w:r w:rsidR="002C32F6">
        <w:rPr>
          <w:rFonts w:ascii="Bookman Old Style" w:hAnsi="Bookman Old Style" w:cs="Arial"/>
          <w:bCs/>
        </w:rPr>
        <w:t xml:space="preserve">incluye entre sus reglas, la definición de la metodología de cálculo y reglas de declaración del </w:t>
      </w:r>
      <w:r w:rsidR="002C32F6" w:rsidRPr="00300634">
        <w:rPr>
          <w:rFonts w:ascii="Bookman Old Style" w:hAnsi="Bookman Old Style" w:cs="Arial"/>
          <w:bCs/>
        </w:rPr>
        <w:t xml:space="preserve">Nivel de </w:t>
      </w:r>
      <w:r w:rsidR="002C32F6">
        <w:rPr>
          <w:rFonts w:ascii="Bookman Old Style" w:hAnsi="Bookman Old Style" w:cs="Arial"/>
          <w:bCs/>
        </w:rPr>
        <w:t>ENFICC probabilístico –</w:t>
      </w:r>
      <w:r w:rsidR="002C32F6" w:rsidRPr="00300634">
        <w:rPr>
          <w:rFonts w:ascii="Bookman Old Style" w:hAnsi="Bookman Old Style" w:cs="Arial"/>
          <w:bCs/>
        </w:rPr>
        <w:t xml:space="preserve"> N</w:t>
      </w:r>
      <w:r w:rsidR="002C32F6">
        <w:rPr>
          <w:rFonts w:ascii="Bookman Old Style" w:hAnsi="Bookman Old Style" w:cs="Arial"/>
          <w:bCs/>
        </w:rPr>
        <w:t xml:space="preserve">EP, entendido este como el valor del embalse que es </w:t>
      </w:r>
      <w:r w:rsidR="002C32F6" w:rsidRPr="008673DD">
        <w:rPr>
          <w:rFonts w:ascii="Bookman Old Style" w:hAnsi="Bookman Old Style" w:cs="Arial"/>
          <w:bCs/>
        </w:rPr>
        <w:t>suficiente para generar la ENFICC Base de la planta aún en la condición más crítica de aportes históricos</w:t>
      </w:r>
      <w:r w:rsidR="002C32F6">
        <w:rPr>
          <w:rFonts w:ascii="Bookman Old Style" w:hAnsi="Bookman Old Style" w:cs="Arial"/>
          <w:bCs/>
        </w:rPr>
        <w:t>.</w:t>
      </w:r>
    </w:p>
    <w:p w14:paraId="5A3C1935" w14:textId="02663361" w:rsidR="00E052D4" w:rsidRDefault="009B3A70" w:rsidP="002C32F6">
      <w:pPr>
        <w:spacing w:before="120" w:after="120"/>
        <w:ind w:left="0"/>
        <w:jc w:val="both"/>
        <w:rPr>
          <w:rFonts w:ascii="Bookman Old Style" w:hAnsi="Bookman Old Style"/>
          <w:lang w:val="es-CO"/>
        </w:rPr>
      </w:pPr>
      <w:r>
        <w:rPr>
          <w:rFonts w:ascii="Bookman Old Style" w:hAnsi="Bookman Old Style"/>
          <w:lang w:val="es-CO"/>
        </w:rPr>
        <w:t>Se recib</w:t>
      </w:r>
      <w:r w:rsidR="00E052D4">
        <w:rPr>
          <w:rFonts w:ascii="Bookman Old Style" w:hAnsi="Bookman Old Style"/>
          <w:lang w:val="es-CO"/>
        </w:rPr>
        <w:t xml:space="preserve">ieron las siguientes </w:t>
      </w:r>
      <w:r>
        <w:rPr>
          <w:rFonts w:ascii="Bookman Old Style" w:hAnsi="Bookman Old Style"/>
          <w:lang w:val="es-CO"/>
        </w:rPr>
        <w:t>comunicaci</w:t>
      </w:r>
      <w:r w:rsidR="00E052D4">
        <w:rPr>
          <w:rFonts w:ascii="Bookman Old Style" w:hAnsi="Bookman Old Style"/>
          <w:lang w:val="es-CO"/>
        </w:rPr>
        <w:t>ones:</w:t>
      </w:r>
      <w:r w:rsidR="00C438BB">
        <w:rPr>
          <w:rFonts w:ascii="Bookman Old Style" w:hAnsi="Bookman Old Style"/>
          <w:lang w:val="es-CO"/>
        </w:rPr>
        <w:t xml:space="preserve"> </w:t>
      </w:r>
    </w:p>
    <w:p w14:paraId="4481D811" w14:textId="44B0A549" w:rsidR="009B3A70" w:rsidRDefault="00C438BB" w:rsidP="002C32F6">
      <w:pPr>
        <w:spacing w:before="120" w:after="120"/>
        <w:ind w:left="0"/>
        <w:jc w:val="both"/>
        <w:rPr>
          <w:rFonts w:ascii="Bookman Old Style" w:hAnsi="Bookman Old Style"/>
          <w:lang w:val="es-CO"/>
        </w:rPr>
      </w:pPr>
      <w:r>
        <w:rPr>
          <w:rFonts w:ascii="Bookman Old Style" w:hAnsi="Bookman Old Style"/>
          <w:lang w:val="es-CO"/>
        </w:rPr>
        <w:t>Empresa Públicas de Medellín</w:t>
      </w:r>
      <w:r w:rsidR="009B3A70">
        <w:rPr>
          <w:rFonts w:ascii="Bookman Old Style" w:hAnsi="Bookman Old Style"/>
          <w:lang w:val="es-CO"/>
        </w:rPr>
        <w:t xml:space="preserve"> </w:t>
      </w:r>
      <w:r>
        <w:rPr>
          <w:rFonts w:ascii="Bookman Old Style" w:hAnsi="Bookman Old Style"/>
          <w:lang w:val="es-CO"/>
        </w:rPr>
        <w:t>-</w:t>
      </w:r>
      <w:r w:rsidR="009B3A70">
        <w:rPr>
          <w:rFonts w:ascii="Bookman Old Style" w:hAnsi="Bookman Old Style"/>
          <w:lang w:val="es-CO"/>
        </w:rPr>
        <w:t>EPM E.S.P</w:t>
      </w:r>
      <w:r w:rsidR="00A30FF8">
        <w:rPr>
          <w:rFonts w:ascii="Bookman Old Style" w:hAnsi="Bookman Old Style"/>
          <w:lang w:val="es-CO"/>
        </w:rPr>
        <w:t>-</w:t>
      </w:r>
      <w:r w:rsidR="009B3A70">
        <w:rPr>
          <w:rFonts w:ascii="Bookman Old Style" w:hAnsi="Bookman Old Style"/>
          <w:lang w:val="es-CO"/>
        </w:rPr>
        <w:t xml:space="preserve">. con radicado CREG </w:t>
      </w:r>
      <w:r w:rsidR="009B3A70" w:rsidRPr="0086654E">
        <w:rPr>
          <w:rFonts w:ascii="Bookman Old Style" w:hAnsi="Bookman Old Style"/>
          <w:lang w:val="es-CO"/>
        </w:rPr>
        <w:t>E2022008681</w:t>
      </w:r>
      <w:r w:rsidR="009B3A70">
        <w:rPr>
          <w:rFonts w:ascii="Bookman Old Style" w:hAnsi="Bookman Old Style"/>
          <w:lang w:val="es-CO"/>
        </w:rPr>
        <w:t xml:space="preserve">, donde se identifica </w:t>
      </w:r>
      <w:r w:rsidR="0096030D">
        <w:rPr>
          <w:rFonts w:ascii="Bookman Old Style" w:hAnsi="Bookman Old Style"/>
          <w:lang w:val="es-CO"/>
        </w:rPr>
        <w:t>que,</w:t>
      </w:r>
      <w:r w:rsidR="009B3A70">
        <w:rPr>
          <w:rFonts w:ascii="Bookman Old Style" w:hAnsi="Bookman Old Style"/>
          <w:lang w:val="es-CO"/>
        </w:rPr>
        <w:t xml:space="preserve"> si un embalse incrementa su volumen útil, puede no tener cambios en ENFICC de </w:t>
      </w:r>
      <w:r w:rsidR="00FC1336">
        <w:rPr>
          <w:rFonts w:ascii="Bookman Old Style" w:hAnsi="Bookman Old Style"/>
          <w:lang w:val="es-CO"/>
        </w:rPr>
        <w:t>más</w:t>
      </w:r>
      <w:r w:rsidR="009B3A70">
        <w:rPr>
          <w:rFonts w:ascii="Bookman Old Style" w:hAnsi="Bookman Old Style"/>
          <w:lang w:val="es-CO"/>
        </w:rPr>
        <w:t xml:space="preserve"> del 10%, sin embargo</w:t>
      </w:r>
      <w:r w:rsidR="00A33C8A">
        <w:rPr>
          <w:rFonts w:ascii="Bookman Old Style" w:hAnsi="Bookman Old Style"/>
          <w:lang w:val="es-CO"/>
        </w:rPr>
        <w:t>,</w:t>
      </w:r>
      <w:r w:rsidR="009B3A70">
        <w:rPr>
          <w:rFonts w:ascii="Bookman Old Style" w:hAnsi="Bookman Old Style"/>
          <w:lang w:val="es-CO"/>
        </w:rPr>
        <w:t xml:space="preserve"> su NEP y NPV pueden verse incrementados en un valor porcentual que no obedece a la realidad operativa del embalse.</w:t>
      </w:r>
    </w:p>
    <w:p w14:paraId="250A5993" w14:textId="5B27E104" w:rsidR="009B3A70" w:rsidRDefault="009B3A70" w:rsidP="002C32F6">
      <w:pPr>
        <w:spacing w:before="120" w:after="120"/>
        <w:ind w:left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/>
          <w:lang w:val="es-CO"/>
        </w:rPr>
        <w:t>XM S.A. E.S.P.</w:t>
      </w:r>
      <w:r w:rsidR="00FC1336">
        <w:rPr>
          <w:rFonts w:ascii="Bookman Old Style" w:hAnsi="Bookman Old Style"/>
          <w:lang w:val="es-CO"/>
        </w:rPr>
        <w:t>,</w:t>
      </w:r>
      <w:r>
        <w:rPr>
          <w:rFonts w:ascii="Bookman Old Style" w:hAnsi="Bookman Old Style"/>
          <w:lang w:val="es-CO"/>
        </w:rPr>
        <w:t xml:space="preserve"> </w:t>
      </w:r>
      <w:r w:rsidR="00FC1336">
        <w:rPr>
          <w:rFonts w:ascii="Bookman Old Style" w:hAnsi="Bookman Old Style"/>
          <w:lang w:val="es-CO"/>
        </w:rPr>
        <w:t xml:space="preserve">mediante radicado CREG </w:t>
      </w:r>
      <w:r w:rsidR="00FC1336" w:rsidRPr="008224FB">
        <w:rPr>
          <w:rFonts w:ascii="Bookman Old Style" w:hAnsi="Bookman Old Style"/>
          <w:lang w:val="es-CO"/>
        </w:rPr>
        <w:t>E2023011955</w:t>
      </w:r>
      <w:r w:rsidR="00FC1336">
        <w:rPr>
          <w:rFonts w:ascii="Bookman Old Style" w:hAnsi="Bookman Old Style"/>
          <w:lang w:val="es-CO"/>
        </w:rPr>
        <w:t xml:space="preserve">, con </w:t>
      </w:r>
      <w:r>
        <w:rPr>
          <w:rFonts w:ascii="Bookman Old Style" w:hAnsi="Bookman Old Style"/>
          <w:lang w:val="es-CO"/>
        </w:rPr>
        <w:t xml:space="preserve">comentarios y sugerencias de la actualización del NEP, en donde se advierte que pueden presentarse cambios significativos en el NEP de las plantas, esto cuando se comparan los valores declarados </w:t>
      </w:r>
      <w:r w:rsidR="00FC1336">
        <w:rPr>
          <w:rFonts w:ascii="Bookman Old Style" w:hAnsi="Bookman Old Style"/>
          <w:lang w:val="es-CO"/>
        </w:rPr>
        <w:t xml:space="preserve">con </w:t>
      </w:r>
      <w:r>
        <w:rPr>
          <w:rFonts w:ascii="Bookman Old Style" w:hAnsi="Bookman Old Style"/>
          <w:lang w:val="es-CO"/>
        </w:rPr>
        <w:t xml:space="preserve">los que sean calculados actualmente; lo anterior debido a </w:t>
      </w:r>
      <w:r w:rsidRPr="0024719A">
        <w:rPr>
          <w:rFonts w:ascii="Bookman Old Style" w:hAnsi="Bookman Old Style"/>
          <w:lang w:val="es-CO"/>
        </w:rPr>
        <w:t>la nueva historia hidrológica,</w:t>
      </w:r>
      <w:r>
        <w:rPr>
          <w:rFonts w:ascii="Bookman Old Style" w:hAnsi="Bookman Old Style"/>
          <w:lang w:val="es-CO"/>
        </w:rPr>
        <w:t xml:space="preserve"> cambios en</w:t>
      </w:r>
      <w:r w:rsidRPr="0024719A">
        <w:rPr>
          <w:rFonts w:ascii="Bookman Old Style" w:hAnsi="Bookman Old Style"/>
          <w:lang w:val="es-CO"/>
        </w:rPr>
        <w:t xml:space="preserve"> factores de conversión, entre otros</w:t>
      </w:r>
      <w:r>
        <w:rPr>
          <w:rFonts w:ascii="Bookman Old Style" w:hAnsi="Bookman Old Style"/>
          <w:lang w:val="es-CO"/>
        </w:rPr>
        <w:t xml:space="preserve"> cambios que se hayan presentado</w:t>
      </w:r>
      <w:r w:rsidRPr="0024719A">
        <w:rPr>
          <w:rFonts w:ascii="Bookman Old Style" w:hAnsi="Bookman Old Style"/>
          <w:lang w:val="es-CO"/>
        </w:rPr>
        <w:t>.</w:t>
      </w:r>
      <w:r w:rsidR="00FC1336">
        <w:rPr>
          <w:rFonts w:ascii="Bookman Old Style" w:hAnsi="Bookman Old Style"/>
          <w:lang w:val="es-CO"/>
        </w:rPr>
        <w:t xml:space="preserve"> También incluyen una sugerencia para la actualización del NPV.</w:t>
      </w:r>
    </w:p>
    <w:p w14:paraId="1276FFC5" w14:textId="09517967" w:rsidR="00784F8D" w:rsidRDefault="00784F8D" w:rsidP="00784F8D">
      <w:pPr>
        <w:spacing w:before="120" w:after="120"/>
        <w:ind w:left="0"/>
        <w:jc w:val="both"/>
        <w:rPr>
          <w:rFonts w:ascii="Bookman Old Style" w:hAnsi="Bookman Old Style"/>
          <w:lang w:val="es-CO"/>
        </w:rPr>
      </w:pPr>
      <w:r>
        <w:rPr>
          <w:rFonts w:ascii="Bookman Old Style" w:hAnsi="Bookman Old Style" w:cs="Arial"/>
          <w:bCs/>
        </w:rPr>
        <w:t>E</w:t>
      </w:r>
      <w:r w:rsidR="002C32F6">
        <w:rPr>
          <w:rFonts w:ascii="Bookman Old Style" w:hAnsi="Bookman Old Style" w:cs="Arial"/>
          <w:bCs/>
        </w:rPr>
        <w:t xml:space="preserve">n el Proyecto de Resolución CREG 701 016 de 2023 se </w:t>
      </w:r>
      <w:r>
        <w:rPr>
          <w:rFonts w:ascii="Bookman Old Style" w:hAnsi="Bookman Old Style" w:cs="Arial"/>
          <w:bCs/>
        </w:rPr>
        <w:t>publicó</w:t>
      </w:r>
      <w:r w:rsidR="002C32F6">
        <w:rPr>
          <w:rFonts w:ascii="Bookman Old Style" w:hAnsi="Bookman Old Style" w:cs="Arial"/>
          <w:bCs/>
        </w:rPr>
        <w:t xml:space="preserve"> una propuesta </w:t>
      </w:r>
      <w:r w:rsidR="005D52F3">
        <w:rPr>
          <w:rFonts w:ascii="Bookman Old Style" w:hAnsi="Bookman Old Style" w:cs="Arial"/>
          <w:bCs/>
        </w:rPr>
        <w:t xml:space="preserve">que contenía los </w:t>
      </w:r>
      <w:r w:rsidR="00900E81">
        <w:rPr>
          <w:rFonts w:ascii="Bookman Old Style" w:hAnsi="Bookman Old Style" w:cs="Arial"/>
          <w:bCs/>
        </w:rPr>
        <w:t>siguientes temas</w:t>
      </w:r>
      <w:r w:rsidR="00FC1336">
        <w:rPr>
          <w:rFonts w:ascii="Bookman Old Style" w:hAnsi="Bookman Old Style" w:cs="Arial"/>
          <w:bCs/>
        </w:rPr>
        <w:t>: i)</w:t>
      </w:r>
      <w:r w:rsidR="002C32F6">
        <w:rPr>
          <w:rFonts w:ascii="Bookman Old Style" w:hAnsi="Bookman Old Style" w:cs="Arial"/>
          <w:bCs/>
        </w:rPr>
        <w:t xml:space="preserve"> actualizar el valor del NPV</w:t>
      </w:r>
      <w:r>
        <w:rPr>
          <w:rFonts w:ascii="Bookman Old Style" w:hAnsi="Bookman Old Style" w:cs="Arial"/>
          <w:bCs/>
        </w:rPr>
        <w:t xml:space="preserve">, </w:t>
      </w:r>
      <w:proofErr w:type="spellStart"/>
      <w:r w:rsidR="00FC1336">
        <w:rPr>
          <w:rFonts w:ascii="Bookman Old Style" w:hAnsi="Bookman Old Style" w:cs="Arial"/>
          <w:bCs/>
        </w:rPr>
        <w:t>ii</w:t>
      </w:r>
      <w:proofErr w:type="spellEnd"/>
      <w:r w:rsidR="00FC1336">
        <w:rPr>
          <w:rFonts w:ascii="Bookman Old Style" w:hAnsi="Bookman Old Style" w:cs="Arial"/>
          <w:bCs/>
        </w:rPr>
        <w:t xml:space="preserve">) tener </w:t>
      </w:r>
      <w:r>
        <w:rPr>
          <w:rFonts w:ascii="Bookman Old Style" w:hAnsi="Bookman Old Style" w:cs="Arial"/>
          <w:bCs/>
        </w:rPr>
        <w:t>reglamentación de remuneración de plantas en pruebas</w:t>
      </w:r>
      <w:r w:rsidR="0096030D">
        <w:rPr>
          <w:rFonts w:ascii="Bookman Old Style" w:hAnsi="Bookman Old Style" w:cs="Arial"/>
          <w:bCs/>
        </w:rPr>
        <w:t>,</w:t>
      </w:r>
      <w:r>
        <w:rPr>
          <w:rFonts w:ascii="Bookman Old Style" w:hAnsi="Bookman Old Style" w:cs="Arial"/>
          <w:bCs/>
        </w:rPr>
        <w:t xml:space="preserve"> y </w:t>
      </w:r>
      <w:proofErr w:type="spellStart"/>
      <w:r w:rsidR="00FC1336">
        <w:rPr>
          <w:rFonts w:ascii="Bookman Old Style" w:hAnsi="Bookman Old Style" w:cs="Arial"/>
          <w:bCs/>
        </w:rPr>
        <w:t>iii</w:t>
      </w:r>
      <w:proofErr w:type="spellEnd"/>
      <w:r w:rsidR="00A33C8A">
        <w:rPr>
          <w:rFonts w:ascii="Bookman Old Style" w:hAnsi="Bookman Old Style" w:cs="Arial"/>
          <w:bCs/>
        </w:rPr>
        <w:t>) reglas</w:t>
      </w:r>
      <w:r>
        <w:rPr>
          <w:rFonts w:ascii="Bookman Old Style" w:hAnsi="Bookman Old Style" w:cs="Arial"/>
          <w:bCs/>
        </w:rPr>
        <w:t xml:space="preserve"> asociadas al artículo 8 </w:t>
      </w:r>
      <w:r>
        <w:rPr>
          <w:rFonts w:ascii="Bookman Old Style" w:hAnsi="Bookman Old Style"/>
          <w:color w:val="000000"/>
        </w:rPr>
        <w:t>literales b) y c) del artículo 8 del Decreto 0929 de 2023.</w:t>
      </w:r>
      <w:r w:rsidR="002C32F6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 xml:space="preserve"> </w:t>
      </w:r>
      <w:r w:rsidRPr="009A27DC">
        <w:rPr>
          <w:rFonts w:ascii="Bookman Old Style" w:hAnsi="Bookman Old Style"/>
          <w:lang w:val="es-CO"/>
        </w:rPr>
        <w:t xml:space="preserve">Hasta el día </w:t>
      </w:r>
      <w:r>
        <w:rPr>
          <w:rFonts w:ascii="Bookman Old Style" w:hAnsi="Bookman Old Style"/>
          <w:lang w:val="es-CO"/>
        </w:rPr>
        <w:t>17</w:t>
      </w:r>
      <w:r w:rsidRPr="009A27DC">
        <w:rPr>
          <w:rFonts w:ascii="Bookman Old Style" w:hAnsi="Bookman Old Style"/>
          <w:lang w:val="es-CO"/>
        </w:rPr>
        <w:t xml:space="preserve"> de agosto de 202</w:t>
      </w:r>
      <w:r>
        <w:rPr>
          <w:rFonts w:ascii="Bookman Old Style" w:hAnsi="Bookman Old Style"/>
          <w:lang w:val="es-CO"/>
        </w:rPr>
        <w:t>3</w:t>
      </w:r>
      <w:r w:rsidRPr="009A27DC">
        <w:rPr>
          <w:rFonts w:ascii="Bookman Old Style" w:hAnsi="Bookman Old Style"/>
          <w:lang w:val="es-CO"/>
        </w:rPr>
        <w:t xml:space="preserve"> en que finalizó la consulta de la Resolución CREG 701 </w:t>
      </w:r>
      <w:r>
        <w:rPr>
          <w:rFonts w:ascii="Bookman Old Style" w:hAnsi="Bookman Old Style"/>
          <w:lang w:val="es-CO"/>
        </w:rPr>
        <w:t>016</w:t>
      </w:r>
      <w:r w:rsidRPr="009A27DC">
        <w:rPr>
          <w:rFonts w:ascii="Bookman Old Style" w:hAnsi="Bookman Old Style"/>
          <w:lang w:val="es-CO"/>
        </w:rPr>
        <w:t xml:space="preserve"> de 202</w:t>
      </w:r>
      <w:r>
        <w:rPr>
          <w:rFonts w:ascii="Bookman Old Style" w:hAnsi="Bookman Old Style"/>
          <w:lang w:val="es-CO"/>
        </w:rPr>
        <w:t>3</w:t>
      </w:r>
      <w:r w:rsidRPr="009A27DC">
        <w:rPr>
          <w:rFonts w:ascii="Bookman Old Style" w:hAnsi="Bookman Old Style"/>
          <w:lang w:val="es-CO"/>
        </w:rPr>
        <w:t xml:space="preserve">, se recibieron comentarios de </w:t>
      </w:r>
      <w:r w:rsidR="009B3A70">
        <w:rPr>
          <w:rFonts w:ascii="Bookman Old Style" w:hAnsi="Bookman Old Style"/>
          <w:lang w:val="es-CO"/>
        </w:rPr>
        <w:t xml:space="preserve">a los temas anteriores, entre ellos, </w:t>
      </w:r>
      <w:r w:rsidR="0096030D">
        <w:rPr>
          <w:rFonts w:ascii="Bookman Old Style" w:hAnsi="Bookman Old Style"/>
          <w:lang w:val="es-CO"/>
        </w:rPr>
        <w:t>se tienen</w:t>
      </w:r>
      <w:r w:rsidR="009B3A70">
        <w:rPr>
          <w:rFonts w:ascii="Bookman Old Style" w:hAnsi="Bookman Old Style"/>
          <w:lang w:val="es-CO"/>
        </w:rPr>
        <w:t xml:space="preserve"> asociados a la actualización del NPV</w:t>
      </w:r>
      <w:r w:rsidR="004F579E">
        <w:rPr>
          <w:rFonts w:ascii="Bookman Old Style" w:hAnsi="Bookman Old Style"/>
          <w:lang w:val="es-CO"/>
        </w:rPr>
        <w:t>.</w:t>
      </w:r>
    </w:p>
    <w:p w14:paraId="05A16537" w14:textId="1BB56EDD" w:rsidR="009B3A70" w:rsidRDefault="009B3A70" w:rsidP="0069353C">
      <w:pPr>
        <w:spacing w:before="120" w:after="120"/>
        <w:ind w:left="0"/>
        <w:jc w:val="both"/>
        <w:rPr>
          <w:rFonts w:ascii="Bookman Old Style" w:hAnsi="Bookman Old Style"/>
          <w:lang w:val="es-CO"/>
        </w:rPr>
      </w:pPr>
      <w:r w:rsidRPr="001A5D25">
        <w:rPr>
          <w:rFonts w:ascii="Bookman Old Style" w:hAnsi="Bookman Old Style"/>
          <w:lang w:val="es-CO"/>
        </w:rPr>
        <w:t xml:space="preserve">En el </w:t>
      </w:r>
      <w:r w:rsidRPr="00A920D3">
        <w:rPr>
          <w:rFonts w:ascii="Bookman Old Style" w:hAnsi="Bookman Old Style"/>
          <w:lang w:val="es-CO"/>
        </w:rPr>
        <w:t xml:space="preserve">Documento Soporte CREG </w:t>
      </w:r>
      <w:r w:rsidR="00A920D3" w:rsidRPr="00A920D3">
        <w:rPr>
          <w:rFonts w:ascii="Bookman Old Style" w:hAnsi="Bookman Old Style"/>
          <w:lang w:val="es-CO"/>
        </w:rPr>
        <w:t>901 043</w:t>
      </w:r>
      <w:r w:rsidRPr="00A920D3">
        <w:rPr>
          <w:rFonts w:ascii="Bookman Old Style" w:hAnsi="Bookman Old Style"/>
          <w:lang w:val="es-CO"/>
        </w:rPr>
        <w:t xml:space="preserve"> de 2023,</w:t>
      </w:r>
      <w:r w:rsidRPr="001A5D25">
        <w:rPr>
          <w:rFonts w:ascii="Bookman Old Style" w:hAnsi="Bookman Old Style"/>
          <w:lang w:val="es-CO"/>
        </w:rPr>
        <w:t xml:space="preserve"> se exponen los análisis que sustentan la presente resolución.</w:t>
      </w:r>
    </w:p>
    <w:p w14:paraId="4E9ED091" w14:textId="4430B2FF" w:rsidR="00045D3D" w:rsidRDefault="0096030D" w:rsidP="00045D3D">
      <w:pPr>
        <w:ind w:left="0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>En mérito de lo anteriormente expuesto, la Comisión</w:t>
      </w:r>
    </w:p>
    <w:p w14:paraId="5CFF4880" w14:textId="77777777" w:rsidR="0096030D" w:rsidRPr="00C435C3" w:rsidRDefault="0096030D" w:rsidP="00045D3D">
      <w:pPr>
        <w:ind w:left="0"/>
        <w:rPr>
          <w:rFonts w:ascii="Bookman Old Style" w:hAnsi="Bookman Old Style"/>
        </w:rPr>
      </w:pPr>
    </w:p>
    <w:p w14:paraId="3DB41754" w14:textId="77777777" w:rsidR="00045D3D" w:rsidRDefault="00045D3D" w:rsidP="00045D3D">
      <w:pPr>
        <w:suppressAutoHyphens/>
        <w:jc w:val="center"/>
        <w:rPr>
          <w:rFonts w:ascii="Bookman Old Style" w:hAnsi="Bookman Old Style"/>
          <w:b/>
          <w:spacing w:val="-3"/>
        </w:rPr>
      </w:pPr>
    </w:p>
    <w:p w14:paraId="40EFC463" w14:textId="77777777" w:rsidR="00045D3D" w:rsidRPr="00C435C3" w:rsidRDefault="00045D3D" w:rsidP="00045D3D">
      <w:pPr>
        <w:suppressAutoHyphens/>
        <w:jc w:val="center"/>
        <w:rPr>
          <w:rFonts w:ascii="Bookman Old Style" w:hAnsi="Bookman Old Style"/>
          <w:spacing w:val="-3"/>
        </w:rPr>
      </w:pPr>
      <w:r w:rsidRPr="00C435C3">
        <w:rPr>
          <w:rFonts w:ascii="Bookman Old Style" w:hAnsi="Bookman Old Style"/>
          <w:b/>
          <w:spacing w:val="-3"/>
        </w:rPr>
        <w:t>R E S U E L V E:</w:t>
      </w:r>
    </w:p>
    <w:p w14:paraId="494DDFC2" w14:textId="77777777" w:rsidR="00045D3D" w:rsidRDefault="00045D3D" w:rsidP="00045D3D">
      <w:pPr>
        <w:jc w:val="center"/>
        <w:rPr>
          <w:rFonts w:ascii="Bookman Old Style" w:hAnsi="Bookman Old Style"/>
        </w:rPr>
      </w:pPr>
    </w:p>
    <w:p w14:paraId="0D35A5FC" w14:textId="354B6B67" w:rsidR="004F579E" w:rsidRDefault="004F579E" w:rsidP="0069353C">
      <w:pPr>
        <w:numPr>
          <w:ilvl w:val="0"/>
          <w:numId w:val="7"/>
        </w:numPr>
        <w:tabs>
          <w:tab w:val="clear" w:pos="1440"/>
          <w:tab w:val="num" w:pos="1560"/>
          <w:tab w:val="num" w:pos="2150"/>
        </w:tabs>
        <w:spacing w:before="240" w:after="240"/>
        <w:jc w:val="both"/>
        <w:rPr>
          <w:rFonts w:ascii="Bookman Old Style" w:hAnsi="Bookman Old Style" w:cs="Arial"/>
        </w:rPr>
      </w:pPr>
      <w:bookmarkStart w:id="1" w:name="_Ref98939091"/>
      <w:r w:rsidRPr="00C66191">
        <w:rPr>
          <w:rFonts w:ascii="Bookman Old Style" w:hAnsi="Bookman Old Style" w:cs="Arial"/>
          <w:b/>
          <w:bCs/>
        </w:rPr>
        <w:t>Modifíquese el artículo 2 de la Resolución CREG 036 de 2010</w:t>
      </w:r>
      <w:r>
        <w:rPr>
          <w:rFonts w:ascii="Bookman Old Style" w:hAnsi="Bookman Old Style" w:cs="Arial"/>
        </w:rPr>
        <w:t xml:space="preserve">. El artículo 2 de la Resolución CREG 036 de 2010 quedará </w:t>
      </w:r>
      <w:r w:rsidR="00C66191">
        <w:rPr>
          <w:rFonts w:ascii="Bookman Old Style" w:hAnsi="Bookman Old Style" w:cs="Arial"/>
        </w:rPr>
        <w:t>así</w:t>
      </w:r>
      <w:r>
        <w:rPr>
          <w:rFonts w:ascii="Bookman Old Style" w:hAnsi="Bookman Old Style" w:cs="Arial"/>
        </w:rPr>
        <w:t>:</w:t>
      </w:r>
    </w:p>
    <w:p w14:paraId="6161D8C5" w14:textId="25F6EB86" w:rsidR="004A74A0" w:rsidRDefault="004F579E" w:rsidP="004F579E">
      <w:pPr>
        <w:tabs>
          <w:tab w:val="num" w:pos="2150"/>
        </w:tabs>
        <w:spacing w:before="240" w:after="240"/>
        <w:ind w:left="284"/>
        <w:jc w:val="both"/>
        <w:rPr>
          <w:rFonts w:ascii="Bookman Old Style" w:hAnsi="Bookman Old Style" w:cs="Arial"/>
          <w:i/>
          <w:iCs/>
        </w:rPr>
      </w:pPr>
      <w:r w:rsidRPr="004F579E">
        <w:rPr>
          <w:rFonts w:ascii="Bookman Old Style" w:hAnsi="Bookman Old Style" w:cs="Arial"/>
          <w:i/>
          <w:iCs/>
        </w:rPr>
        <w:lastRenderedPageBreak/>
        <w:t>“</w:t>
      </w:r>
      <w:r w:rsidR="004A74A0" w:rsidRPr="002F0417">
        <w:rPr>
          <w:rFonts w:ascii="Bookman Old Style" w:hAnsi="Bookman Old Style" w:cs="Arial"/>
          <w:b/>
          <w:bCs/>
          <w:i/>
          <w:iCs/>
        </w:rPr>
        <w:t>Artículo 2. Nivel de Probabilidad de Vertimiento, NPV</w:t>
      </w:r>
      <w:r w:rsidR="004A74A0">
        <w:rPr>
          <w:rFonts w:ascii="Bookman Old Style" w:hAnsi="Bookman Old Style" w:cs="Arial"/>
          <w:i/>
          <w:iCs/>
        </w:rPr>
        <w:t xml:space="preserve">. </w:t>
      </w:r>
      <w:r w:rsidR="004A74A0" w:rsidRPr="004A74A0">
        <w:rPr>
          <w:rFonts w:ascii="Bookman Old Style" w:hAnsi="Bookman Old Style" w:cs="Arial"/>
          <w:i/>
          <w:iCs/>
        </w:rPr>
        <w:t>Los agentes generadores con plantas hidráulicas despachadas centralmente deberán reportar al Centro Nacional de Despacho el Nivel de Probabilidad de Vertimiento - NPV, entendido este como el nivel a partir del cual el embalse entra en riesgo de verter según los análisis del agente, con sujeción a las siguientes reglas:</w:t>
      </w:r>
      <w:r w:rsidR="004A74A0">
        <w:rPr>
          <w:rFonts w:ascii="Bookman Old Style" w:hAnsi="Bookman Old Style" w:cs="Arial"/>
          <w:i/>
          <w:iCs/>
        </w:rPr>
        <w:t xml:space="preserve"> </w:t>
      </w:r>
    </w:p>
    <w:p w14:paraId="7821E4EC" w14:textId="73F02BE3" w:rsidR="004F579E" w:rsidRPr="002F0417" w:rsidRDefault="004F579E" w:rsidP="002F0417">
      <w:pPr>
        <w:pStyle w:val="Prrafodelista"/>
        <w:numPr>
          <w:ilvl w:val="0"/>
          <w:numId w:val="24"/>
        </w:numPr>
        <w:spacing w:before="240" w:after="240"/>
        <w:ind w:left="993"/>
        <w:jc w:val="both"/>
        <w:rPr>
          <w:rFonts w:ascii="Bookman Old Style" w:hAnsi="Bookman Old Style" w:cs="Arial"/>
          <w:i/>
          <w:iCs/>
        </w:rPr>
      </w:pPr>
      <w:r w:rsidRPr="002F0417">
        <w:rPr>
          <w:rFonts w:ascii="Bookman Old Style" w:hAnsi="Bookman Old Style" w:cs="Arial"/>
          <w:i/>
          <w:iCs/>
          <w:sz w:val="24"/>
          <w:szCs w:val="24"/>
        </w:rPr>
        <w:t xml:space="preserve">El reporte deberá hacerse al Centro Nacional de Despacho </w:t>
      </w:r>
      <w:r w:rsidR="00C66191" w:rsidRPr="002F0417">
        <w:rPr>
          <w:rFonts w:ascii="Bookman Old Style" w:hAnsi="Bookman Old Style" w:cs="Arial"/>
          <w:i/>
          <w:iCs/>
          <w:sz w:val="24"/>
          <w:szCs w:val="24"/>
        </w:rPr>
        <w:t xml:space="preserve">antes de entrar en operación comercial </w:t>
      </w:r>
      <w:r w:rsidR="004A74A0" w:rsidRPr="002F0417">
        <w:rPr>
          <w:rFonts w:ascii="Bookman Old Style" w:hAnsi="Bookman Old Style" w:cs="Arial"/>
          <w:i/>
          <w:iCs/>
          <w:sz w:val="24"/>
          <w:szCs w:val="24"/>
        </w:rPr>
        <w:t>y</w:t>
      </w:r>
      <w:r w:rsidR="00C66191" w:rsidRPr="002F0417">
        <w:rPr>
          <w:rFonts w:ascii="Bookman Old Style" w:hAnsi="Bookman Old Style" w:cs="Arial"/>
          <w:i/>
          <w:iCs/>
          <w:sz w:val="24"/>
          <w:szCs w:val="24"/>
        </w:rPr>
        <w:t xml:space="preserve"> cuando se identifiquen cambios conforme </w:t>
      </w:r>
      <w:r w:rsidR="004A74A0" w:rsidRPr="002F0417">
        <w:rPr>
          <w:rFonts w:ascii="Bookman Old Style" w:hAnsi="Bookman Old Style" w:cs="Arial"/>
          <w:i/>
          <w:iCs/>
          <w:sz w:val="24"/>
          <w:szCs w:val="24"/>
        </w:rPr>
        <w:t xml:space="preserve">el </w:t>
      </w:r>
      <w:r w:rsidR="00C66191" w:rsidRPr="002F0417">
        <w:rPr>
          <w:rFonts w:ascii="Bookman Old Style" w:hAnsi="Bookman Old Style" w:cs="Arial"/>
          <w:i/>
          <w:iCs/>
          <w:sz w:val="24"/>
          <w:szCs w:val="24"/>
        </w:rPr>
        <w:t xml:space="preserve">parágrafo </w:t>
      </w:r>
      <w:r w:rsidR="00CB1D78" w:rsidRPr="002F0417">
        <w:rPr>
          <w:rFonts w:ascii="Bookman Old Style" w:hAnsi="Bookman Old Style" w:cs="Arial"/>
          <w:i/>
          <w:iCs/>
          <w:sz w:val="24"/>
          <w:szCs w:val="24"/>
        </w:rPr>
        <w:t>1</w:t>
      </w:r>
      <w:r w:rsidR="00C66191" w:rsidRPr="002F041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="004A74A0" w:rsidRPr="002F0417">
        <w:rPr>
          <w:rFonts w:ascii="Bookman Old Style" w:hAnsi="Bookman Old Style" w:cs="Arial"/>
          <w:i/>
          <w:iCs/>
          <w:sz w:val="24"/>
          <w:szCs w:val="24"/>
        </w:rPr>
        <w:t>d</w:t>
      </w:r>
      <w:r w:rsidR="00C66191" w:rsidRPr="002F0417">
        <w:rPr>
          <w:rFonts w:ascii="Bookman Old Style" w:hAnsi="Bookman Old Style" w:cs="Arial"/>
          <w:i/>
          <w:iCs/>
          <w:sz w:val="24"/>
          <w:szCs w:val="24"/>
        </w:rPr>
        <w:t>e este artículo.</w:t>
      </w:r>
    </w:p>
    <w:p w14:paraId="4A740BDA" w14:textId="3D5FF799" w:rsidR="004A74A0" w:rsidRPr="00E87FA0" w:rsidRDefault="004A74A0" w:rsidP="002F0417">
      <w:pPr>
        <w:pStyle w:val="Prrafodelista"/>
        <w:numPr>
          <w:ilvl w:val="0"/>
          <w:numId w:val="24"/>
        </w:numPr>
        <w:spacing w:before="240" w:after="240"/>
        <w:ind w:left="993"/>
        <w:jc w:val="both"/>
        <w:rPr>
          <w:rFonts w:ascii="Bookman Old Style" w:hAnsi="Bookman Old Style" w:cs="Arial"/>
          <w:i/>
          <w:iCs/>
        </w:rPr>
      </w:pPr>
      <w:r w:rsidRPr="002F0417">
        <w:rPr>
          <w:rFonts w:ascii="Bookman Old Style" w:hAnsi="Bookman Old Style" w:cs="Arial"/>
          <w:i/>
          <w:iCs/>
          <w:sz w:val="24"/>
          <w:szCs w:val="24"/>
        </w:rPr>
        <w:t>El NPV se reportará como un porcentaje del embalse útil, sin decimales.</w:t>
      </w:r>
    </w:p>
    <w:p w14:paraId="1CE54EC6" w14:textId="73C8236F" w:rsidR="004A74A0" w:rsidRPr="00E87FA0" w:rsidRDefault="004A74A0" w:rsidP="002F0417">
      <w:pPr>
        <w:pStyle w:val="Prrafodelista"/>
        <w:numPr>
          <w:ilvl w:val="0"/>
          <w:numId w:val="24"/>
        </w:numPr>
        <w:spacing w:before="240" w:after="240"/>
        <w:ind w:left="993"/>
        <w:jc w:val="both"/>
        <w:rPr>
          <w:rFonts w:ascii="Bookman Old Style" w:hAnsi="Bookman Old Style" w:cs="Arial"/>
          <w:i/>
          <w:iCs/>
        </w:rPr>
      </w:pPr>
      <w:r w:rsidRPr="002F0417">
        <w:rPr>
          <w:rFonts w:ascii="Bookman Old Style" w:hAnsi="Bookman Old Style" w:cs="Arial"/>
          <w:i/>
          <w:iCs/>
          <w:sz w:val="24"/>
          <w:szCs w:val="24"/>
        </w:rPr>
        <w:t>Se deberá declarar un valor de NPV por cada uno de los meses del año. Este valor será constante durante todos los días del mes.</w:t>
      </w:r>
    </w:p>
    <w:p w14:paraId="3C010781" w14:textId="38E8DAB9" w:rsidR="004A74A0" w:rsidRPr="00E87FA0" w:rsidRDefault="004A74A0" w:rsidP="002F0417">
      <w:pPr>
        <w:pStyle w:val="Prrafodelista"/>
        <w:numPr>
          <w:ilvl w:val="0"/>
          <w:numId w:val="24"/>
        </w:numPr>
        <w:spacing w:before="240" w:after="240"/>
        <w:ind w:left="993"/>
        <w:jc w:val="both"/>
        <w:rPr>
          <w:rFonts w:ascii="Bookman Old Style" w:hAnsi="Bookman Old Style" w:cs="Arial"/>
          <w:i/>
          <w:iCs/>
        </w:rPr>
      </w:pPr>
      <w:r w:rsidRPr="002F0417">
        <w:rPr>
          <w:rFonts w:ascii="Bookman Old Style" w:hAnsi="Bookman Old Style" w:cs="Arial"/>
          <w:i/>
          <w:iCs/>
          <w:sz w:val="24"/>
          <w:szCs w:val="24"/>
        </w:rPr>
        <w:t>Para los meses en que no se declare NPV, se tomará el 70%.</w:t>
      </w:r>
    </w:p>
    <w:p w14:paraId="3D94BE21" w14:textId="34785DEC" w:rsidR="0069353C" w:rsidRPr="00C212AB" w:rsidRDefault="0069353C" w:rsidP="0069353C">
      <w:pPr>
        <w:tabs>
          <w:tab w:val="num" w:pos="2150"/>
        </w:tabs>
        <w:spacing w:before="240" w:after="240"/>
        <w:ind w:left="284"/>
        <w:jc w:val="both"/>
        <w:rPr>
          <w:rFonts w:ascii="Bookman Old Style" w:hAnsi="Bookman Old Style" w:cs="Arial"/>
          <w:i/>
          <w:iCs/>
        </w:rPr>
      </w:pPr>
      <w:r w:rsidRPr="002F0417">
        <w:rPr>
          <w:rFonts w:ascii="Bookman Old Style" w:hAnsi="Bookman Old Style" w:cs="Arial"/>
          <w:b/>
          <w:bCs/>
          <w:i/>
          <w:iCs/>
        </w:rPr>
        <w:t>Parágrafo 1</w:t>
      </w:r>
      <w:r>
        <w:rPr>
          <w:rFonts w:ascii="Bookman Old Style" w:hAnsi="Bookman Old Style" w:cs="Arial"/>
          <w:i/>
          <w:iCs/>
        </w:rPr>
        <w:t xml:space="preserve">. </w:t>
      </w:r>
      <w:r w:rsidR="00CB1D78">
        <w:rPr>
          <w:rFonts w:ascii="Bookman Old Style" w:hAnsi="Bookman Old Style" w:cs="Arial"/>
          <w:i/>
          <w:iCs/>
        </w:rPr>
        <w:t>El</w:t>
      </w:r>
      <w:r w:rsidRPr="00C212AB">
        <w:rPr>
          <w:rFonts w:ascii="Bookman Old Style" w:hAnsi="Bookman Old Style" w:cs="Arial"/>
          <w:i/>
          <w:iCs/>
        </w:rPr>
        <w:t xml:space="preserve"> valor de NPV se </w:t>
      </w:r>
      <w:r w:rsidR="00CB1D78">
        <w:rPr>
          <w:rFonts w:ascii="Bookman Old Style" w:hAnsi="Bookman Old Style" w:cs="Arial"/>
          <w:i/>
          <w:iCs/>
        </w:rPr>
        <w:t>podrá modificar cuando:</w:t>
      </w:r>
    </w:p>
    <w:p w14:paraId="0F854F30" w14:textId="77777777" w:rsidR="0069353C" w:rsidRDefault="0069353C" w:rsidP="0069353C">
      <w:pPr>
        <w:pStyle w:val="Prrafodelista"/>
        <w:numPr>
          <w:ilvl w:val="0"/>
          <w:numId w:val="23"/>
        </w:numPr>
        <w:tabs>
          <w:tab w:val="num" w:pos="2150"/>
        </w:tabs>
        <w:spacing w:before="240" w:after="240"/>
        <w:ind w:left="709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4E5953">
        <w:rPr>
          <w:rFonts w:ascii="Bookman Old Style" w:hAnsi="Bookman Old Style" w:cs="Arial"/>
          <w:i/>
          <w:iCs/>
          <w:sz w:val="24"/>
          <w:szCs w:val="24"/>
        </w:rPr>
        <w:t xml:space="preserve">La ENFICC de una planta hidráulica se incremente o disminuya por: i) obras en el embalse, </w:t>
      </w:r>
      <w:proofErr w:type="spellStart"/>
      <w:r w:rsidRPr="004E5953">
        <w:rPr>
          <w:rFonts w:ascii="Bookman Old Style" w:hAnsi="Bookman Old Style" w:cs="Arial"/>
          <w:i/>
          <w:iCs/>
          <w:sz w:val="24"/>
          <w:szCs w:val="24"/>
        </w:rPr>
        <w:t>ii</w:t>
      </w:r>
      <w:proofErr w:type="spellEnd"/>
      <w:r w:rsidRPr="004E5953">
        <w:rPr>
          <w:rFonts w:ascii="Bookman Old Style" w:hAnsi="Bookman Old Style" w:cs="Arial"/>
          <w:i/>
          <w:iCs/>
          <w:sz w:val="24"/>
          <w:szCs w:val="24"/>
        </w:rPr>
        <w:t xml:space="preserve">) una restricción ambiental sustentada en un acto administrativo de una autoridad ambiental, </w:t>
      </w:r>
      <w:proofErr w:type="spellStart"/>
      <w:r w:rsidRPr="004E5953">
        <w:rPr>
          <w:rFonts w:ascii="Bookman Old Style" w:hAnsi="Bookman Old Style" w:cs="Arial"/>
          <w:i/>
          <w:iCs/>
          <w:sz w:val="24"/>
          <w:szCs w:val="24"/>
        </w:rPr>
        <w:t>iii</w:t>
      </w:r>
      <w:proofErr w:type="spellEnd"/>
      <w:r w:rsidRPr="004E5953">
        <w:rPr>
          <w:rFonts w:ascii="Bookman Old Style" w:hAnsi="Bookman Old Style" w:cs="Arial"/>
          <w:i/>
          <w:iCs/>
          <w:sz w:val="24"/>
          <w:szCs w:val="24"/>
        </w:rPr>
        <w:t xml:space="preserve">) condición física en el embalse sustentada en estudios con mediciones que demuestren el cambio o </w:t>
      </w:r>
      <w:proofErr w:type="spellStart"/>
      <w:r w:rsidRPr="004E5953">
        <w:rPr>
          <w:rFonts w:ascii="Bookman Old Style" w:hAnsi="Bookman Old Style" w:cs="Arial"/>
          <w:i/>
          <w:iCs/>
          <w:sz w:val="24"/>
          <w:szCs w:val="24"/>
        </w:rPr>
        <w:t>iv</w:t>
      </w:r>
      <w:proofErr w:type="spellEnd"/>
      <w:r w:rsidRPr="004E5953">
        <w:rPr>
          <w:rFonts w:ascii="Bookman Old Style" w:hAnsi="Bookman Old Style" w:cs="Arial"/>
          <w:i/>
          <w:iCs/>
          <w:sz w:val="24"/>
          <w:szCs w:val="24"/>
        </w:rPr>
        <w:t>) trasvases</w:t>
      </w:r>
      <w:r>
        <w:rPr>
          <w:rFonts w:ascii="Bookman Old Style" w:hAnsi="Bookman Old Style" w:cs="Arial"/>
          <w:i/>
          <w:iCs/>
          <w:sz w:val="24"/>
          <w:szCs w:val="24"/>
        </w:rPr>
        <w:t>.</w:t>
      </w:r>
    </w:p>
    <w:p w14:paraId="083B9452" w14:textId="51DB5C6B" w:rsidR="0069353C" w:rsidRDefault="0069353C" w:rsidP="0069353C">
      <w:pPr>
        <w:pStyle w:val="Prrafodelista"/>
        <w:spacing w:before="240" w:after="240"/>
        <w:ind w:left="709"/>
        <w:jc w:val="both"/>
        <w:rPr>
          <w:rFonts w:ascii="Bookman Old Style" w:hAnsi="Bookman Old Style" w:cs="Arial"/>
          <w:i/>
          <w:iCs/>
          <w:sz w:val="24"/>
          <w:szCs w:val="24"/>
        </w:rPr>
      </w:pPr>
      <w:r>
        <w:rPr>
          <w:rFonts w:ascii="Bookman Old Style" w:hAnsi="Bookman Old Style" w:cs="Arial"/>
          <w:i/>
          <w:iCs/>
          <w:sz w:val="24"/>
          <w:szCs w:val="24"/>
        </w:rPr>
        <w:t>Cuando se presente alguna de las causales anteriores el agente deberá</w:t>
      </w:r>
      <w:r w:rsidRPr="004E5953">
        <w:rPr>
          <w:rFonts w:ascii="Bookman Old Style" w:hAnsi="Bookman Old Style" w:cs="Arial"/>
          <w:i/>
          <w:iCs/>
          <w:sz w:val="24"/>
          <w:szCs w:val="24"/>
        </w:rPr>
        <w:t xml:space="preserve"> declarar un nuevo NPV al CND, en un plazo de cinco (5) días hábiles, una vez el CND haya </w:t>
      </w:r>
      <w:r w:rsidR="00C6724D">
        <w:rPr>
          <w:rFonts w:ascii="Bookman Old Style" w:hAnsi="Bookman Old Style" w:cs="Arial"/>
          <w:i/>
          <w:iCs/>
          <w:sz w:val="24"/>
          <w:szCs w:val="24"/>
        </w:rPr>
        <w:t>verificado la nueva ENFICC y esta cumpla con el cambio definido</w:t>
      </w:r>
      <w:r w:rsidR="00B145A2">
        <w:rPr>
          <w:rFonts w:ascii="Bookman Old Style" w:hAnsi="Bookman Old Style" w:cs="Arial"/>
          <w:i/>
          <w:iCs/>
          <w:sz w:val="24"/>
          <w:szCs w:val="24"/>
        </w:rPr>
        <w:t>.</w:t>
      </w:r>
    </w:p>
    <w:p w14:paraId="70B5C3E2" w14:textId="3756699D" w:rsidR="0069353C" w:rsidRPr="004E5953" w:rsidRDefault="0069353C" w:rsidP="0069353C">
      <w:pPr>
        <w:pStyle w:val="Prrafodelista"/>
        <w:spacing w:before="240" w:after="240"/>
        <w:ind w:left="709"/>
        <w:jc w:val="both"/>
        <w:rPr>
          <w:rFonts w:ascii="Bookman Old Style" w:hAnsi="Bookman Old Style" w:cs="Arial"/>
          <w:i/>
          <w:iCs/>
          <w:sz w:val="24"/>
          <w:szCs w:val="24"/>
        </w:rPr>
      </w:pPr>
      <w:r>
        <w:rPr>
          <w:rFonts w:ascii="Bookman Old Style" w:hAnsi="Bookman Old Style" w:cs="Arial"/>
          <w:i/>
          <w:iCs/>
          <w:sz w:val="24"/>
          <w:szCs w:val="24"/>
        </w:rPr>
        <w:t xml:space="preserve">Cuando sea el caso de una planta hidráulica que no tenga cálculo de ENFICC, deberá declarar un nuevo NPV al CND, con el mismo plazo anterior y cuando </w:t>
      </w:r>
      <w:r w:rsidR="00625AC8">
        <w:rPr>
          <w:rFonts w:ascii="Bookman Old Style" w:hAnsi="Bookman Old Style" w:cs="Arial"/>
          <w:i/>
          <w:iCs/>
          <w:sz w:val="24"/>
          <w:szCs w:val="24"/>
        </w:rPr>
        <w:t>e</w:t>
      </w:r>
      <w:r>
        <w:rPr>
          <w:rFonts w:ascii="Bookman Old Style" w:hAnsi="Bookman Old Style" w:cs="Arial"/>
          <w:i/>
          <w:iCs/>
          <w:sz w:val="24"/>
          <w:szCs w:val="24"/>
        </w:rPr>
        <w:t xml:space="preserve">se presente alguna de las causales de los literales i) a </w:t>
      </w:r>
      <w:proofErr w:type="spellStart"/>
      <w:r>
        <w:rPr>
          <w:rFonts w:ascii="Bookman Old Style" w:hAnsi="Bookman Old Style" w:cs="Arial"/>
          <w:i/>
          <w:iCs/>
          <w:sz w:val="24"/>
          <w:szCs w:val="24"/>
        </w:rPr>
        <w:t>iv</w:t>
      </w:r>
      <w:proofErr w:type="spellEnd"/>
      <w:r>
        <w:rPr>
          <w:rFonts w:ascii="Bookman Old Style" w:hAnsi="Bookman Old Style" w:cs="Arial"/>
          <w:i/>
          <w:iCs/>
          <w:sz w:val="24"/>
          <w:szCs w:val="24"/>
        </w:rPr>
        <w:t>) anteriores.</w:t>
      </w:r>
    </w:p>
    <w:p w14:paraId="0828BADA" w14:textId="338E463D" w:rsidR="0069353C" w:rsidRDefault="0069353C" w:rsidP="0069353C">
      <w:pPr>
        <w:pStyle w:val="Prrafodelista"/>
        <w:numPr>
          <w:ilvl w:val="0"/>
          <w:numId w:val="23"/>
        </w:numPr>
        <w:tabs>
          <w:tab w:val="num" w:pos="2150"/>
        </w:tabs>
        <w:spacing w:before="240" w:after="240"/>
        <w:ind w:left="709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4E5953">
        <w:rPr>
          <w:rFonts w:ascii="Bookman Old Style" w:hAnsi="Bookman Old Style" w:cs="Arial"/>
          <w:i/>
          <w:iCs/>
          <w:sz w:val="24"/>
          <w:szCs w:val="24"/>
        </w:rPr>
        <w:t>La Comisión determine</w:t>
      </w:r>
      <w:r>
        <w:rPr>
          <w:rFonts w:ascii="Bookman Old Style" w:hAnsi="Bookman Old Style" w:cs="Arial"/>
          <w:i/>
          <w:iCs/>
          <w:sz w:val="24"/>
          <w:szCs w:val="24"/>
        </w:rPr>
        <w:t xml:space="preserve"> que debe realizarse una actualización del NPV </w:t>
      </w:r>
      <w:r w:rsidRPr="004E5953">
        <w:rPr>
          <w:rFonts w:ascii="Bookman Old Style" w:hAnsi="Bookman Old Style" w:cs="Arial"/>
          <w:i/>
          <w:iCs/>
          <w:sz w:val="24"/>
          <w:szCs w:val="24"/>
        </w:rPr>
        <w:t xml:space="preserve">mediante Circular </w:t>
      </w:r>
      <w:r>
        <w:rPr>
          <w:rFonts w:ascii="Bookman Old Style" w:hAnsi="Bookman Old Style" w:cs="Arial"/>
          <w:i/>
          <w:iCs/>
          <w:sz w:val="24"/>
          <w:szCs w:val="24"/>
        </w:rPr>
        <w:t xml:space="preserve">expedida por el </w:t>
      </w:r>
      <w:r w:rsidR="0087540D">
        <w:rPr>
          <w:rFonts w:ascii="Bookman Old Style" w:hAnsi="Bookman Old Style" w:cs="Arial"/>
          <w:i/>
          <w:iCs/>
          <w:sz w:val="24"/>
          <w:szCs w:val="24"/>
        </w:rPr>
        <w:t>director ejecutivo</w:t>
      </w:r>
      <w:r>
        <w:rPr>
          <w:rFonts w:ascii="Bookman Old Style" w:hAnsi="Bookman Old Style" w:cs="Arial"/>
          <w:i/>
          <w:iCs/>
          <w:sz w:val="24"/>
          <w:szCs w:val="24"/>
        </w:rPr>
        <w:t xml:space="preserve"> de la </w:t>
      </w:r>
      <w:r w:rsidRPr="004E5953">
        <w:rPr>
          <w:rFonts w:ascii="Bookman Old Style" w:hAnsi="Bookman Old Style" w:cs="Arial"/>
          <w:i/>
          <w:iCs/>
          <w:sz w:val="24"/>
          <w:szCs w:val="24"/>
        </w:rPr>
        <w:t>CREG</w:t>
      </w:r>
      <w:r>
        <w:rPr>
          <w:rFonts w:ascii="Bookman Old Style" w:hAnsi="Bookman Old Style" w:cs="Arial"/>
          <w:i/>
          <w:iCs/>
          <w:sz w:val="24"/>
          <w:szCs w:val="24"/>
        </w:rPr>
        <w:t xml:space="preserve"> y aprobada por el comité de expertos</w:t>
      </w:r>
      <w:r w:rsidRPr="004E5953">
        <w:rPr>
          <w:rFonts w:ascii="Bookman Old Style" w:hAnsi="Bookman Old Style" w:cs="Arial"/>
          <w:i/>
          <w:iCs/>
          <w:sz w:val="24"/>
          <w:szCs w:val="24"/>
        </w:rPr>
        <w:t>.</w:t>
      </w:r>
      <w:r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</w:p>
    <w:p w14:paraId="1D94F984" w14:textId="5310BCA4" w:rsidR="0069353C" w:rsidRDefault="0069353C" w:rsidP="0069353C">
      <w:pPr>
        <w:pStyle w:val="Prrafodelista"/>
        <w:spacing w:before="240" w:after="240"/>
        <w:ind w:left="709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4E5953">
        <w:rPr>
          <w:rFonts w:ascii="Bookman Old Style" w:hAnsi="Bookman Old Style" w:cs="Arial"/>
          <w:i/>
          <w:iCs/>
          <w:sz w:val="24"/>
          <w:szCs w:val="24"/>
        </w:rPr>
        <w:t>En este caso</w:t>
      </w:r>
      <w:r>
        <w:rPr>
          <w:rFonts w:ascii="Bookman Old Style" w:hAnsi="Bookman Old Style" w:cs="Arial"/>
          <w:i/>
          <w:iCs/>
          <w:sz w:val="24"/>
          <w:szCs w:val="24"/>
        </w:rPr>
        <w:t xml:space="preserve">, se aplicará el mismo plazo del </w:t>
      </w:r>
      <w:r w:rsidR="00625AC8">
        <w:rPr>
          <w:rFonts w:ascii="Bookman Old Style" w:hAnsi="Bookman Old Style" w:cs="Arial"/>
          <w:i/>
          <w:iCs/>
          <w:sz w:val="24"/>
          <w:szCs w:val="24"/>
        </w:rPr>
        <w:t>numeral 1)</w:t>
      </w:r>
      <w:r>
        <w:rPr>
          <w:rFonts w:ascii="Bookman Old Style" w:hAnsi="Bookman Old Style" w:cs="Arial"/>
          <w:i/>
          <w:iCs/>
          <w:sz w:val="24"/>
          <w:szCs w:val="24"/>
        </w:rPr>
        <w:t xml:space="preserve"> anterior para su actualización ante el CND o para ratificar </w:t>
      </w:r>
      <w:r w:rsidR="0003542B">
        <w:rPr>
          <w:rFonts w:ascii="Bookman Old Style" w:hAnsi="Bookman Old Style" w:cs="Arial"/>
          <w:i/>
          <w:iCs/>
          <w:sz w:val="24"/>
          <w:szCs w:val="24"/>
        </w:rPr>
        <w:t xml:space="preserve">ante el CND </w:t>
      </w:r>
      <w:r>
        <w:rPr>
          <w:rFonts w:ascii="Bookman Old Style" w:hAnsi="Bookman Old Style" w:cs="Arial"/>
          <w:i/>
          <w:iCs/>
          <w:sz w:val="24"/>
          <w:szCs w:val="24"/>
        </w:rPr>
        <w:t>que se tiene el mismo valor del NPV. En el caso de que el NPV cambié, deberá ser por alguna de las causales de que trata</w:t>
      </w:r>
      <w:r w:rsidR="00625AC8">
        <w:rPr>
          <w:rFonts w:ascii="Bookman Old Style" w:hAnsi="Bookman Old Style" w:cs="Arial"/>
          <w:i/>
          <w:iCs/>
          <w:sz w:val="24"/>
          <w:szCs w:val="24"/>
        </w:rPr>
        <w:t xml:space="preserve">n los literales i) a </w:t>
      </w:r>
      <w:proofErr w:type="spellStart"/>
      <w:r w:rsidR="00625AC8">
        <w:rPr>
          <w:rFonts w:ascii="Bookman Old Style" w:hAnsi="Bookman Old Style" w:cs="Arial"/>
          <w:i/>
          <w:iCs/>
          <w:sz w:val="24"/>
          <w:szCs w:val="24"/>
        </w:rPr>
        <w:t>iv</w:t>
      </w:r>
      <w:proofErr w:type="spellEnd"/>
      <w:r w:rsidR="00625AC8">
        <w:rPr>
          <w:rFonts w:ascii="Bookman Old Style" w:hAnsi="Bookman Old Style" w:cs="Arial"/>
          <w:i/>
          <w:iCs/>
          <w:sz w:val="24"/>
          <w:szCs w:val="24"/>
        </w:rPr>
        <w:t>) del numeral 1</w:t>
      </w:r>
      <w:r>
        <w:rPr>
          <w:rFonts w:ascii="Bookman Old Style" w:hAnsi="Bookman Old Style" w:cs="Arial"/>
          <w:i/>
          <w:iCs/>
          <w:sz w:val="24"/>
          <w:szCs w:val="24"/>
        </w:rPr>
        <w:t>) anterior.</w:t>
      </w:r>
    </w:p>
    <w:p w14:paraId="7734F8E5" w14:textId="5F59D271" w:rsidR="0069353C" w:rsidRPr="001B0752" w:rsidRDefault="0069353C" w:rsidP="0069353C">
      <w:pPr>
        <w:spacing w:before="240" w:after="240"/>
        <w:ind w:left="349"/>
        <w:jc w:val="both"/>
        <w:rPr>
          <w:rFonts w:ascii="Bookman Old Style" w:hAnsi="Bookman Old Style" w:cs="Arial"/>
          <w:i/>
          <w:iCs/>
        </w:rPr>
      </w:pPr>
      <w:r w:rsidRPr="001B0752">
        <w:rPr>
          <w:rFonts w:ascii="Bookman Old Style" w:hAnsi="Bookman Old Style" w:cs="Arial"/>
          <w:i/>
          <w:iCs/>
        </w:rPr>
        <w:t>En cualquier caso, los agentes deberán tener diseñada una metodología de cálculo del NPV incluyendo todos los análisis técnicos</w:t>
      </w:r>
      <w:r>
        <w:rPr>
          <w:rFonts w:ascii="Bookman Old Style" w:hAnsi="Bookman Old Style" w:cs="Arial"/>
          <w:i/>
          <w:iCs/>
        </w:rPr>
        <w:t xml:space="preserve"> y soportes </w:t>
      </w:r>
      <w:r w:rsidRPr="001B0752">
        <w:rPr>
          <w:rFonts w:ascii="Bookman Old Style" w:hAnsi="Bookman Old Style" w:cs="Arial"/>
          <w:i/>
          <w:iCs/>
        </w:rPr>
        <w:t xml:space="preserve">que demuestren el valor </w:t>
      </w:r>
      <w:r w:rsidR="00B70508">
        <w:rPr>
          <w:rFonts w:ascii="Bookman Old Style" w:hAnsi="Bookman Old Style" w:cs="Arial"/>
          <w:i/>
          <w:iCs/>
        </w:rPr>
        <w:t>declarado</w:t>
      </w:r>
      <w:r w:rsidR="003B52DE">
        <w:rPr>
          <w:rFonts w:ascii="Bookman Old Style" w:hAnsi="Bookman Old Style" w:cs="Arial"/>
          <w:i/>
          <w:iCs/>
        </w:rPr>
        <w:t xml:space="preserve">. </w:t>
      </w:r>
      <w:r w:rsidR="00625AC8">
        <w:rPr>
          <w:rFonts w:ascii="Bookman Old Style" w:hAnsi="Bookman Old Style" w:cs="Arial"/>
          <w:i/>
          <w:iCs/>
        </w:rPr>
        <w:t>Los análisis técnicos y soportes que se utilicen</w:t>
      </w:r>
      <w:r w:rsidR="003B52DE">
        <w:rPr>
          <w:rFonts w:ascii="Bookman Old Style" w:hAnsi="Bookman Old Style" w:cs="Arial"/>
          <w:i/>
          <w:iCs/>
        </w:rPr>
        <w:t xml:space="preserve"> debe</w:t>
      </w:r>
      <w:r w:rsidR="00625AC8">
        <w:rPr>
          <w:rFonts w:ascii="Bookman Old Style" w:hAnsi="Bookman Old Style" w:cs="Arial"/>
          <w:i/>
          <w:iCs/>
        </w:rPr>
        <w:t>n</w:t>
      </w:r>
      <w:r w:rsidR="003B52DE">
        <w:rPr>
          <w:rFonts w:ascii="Bookman Old Style" w:hAnsi="Bookman Old Style" w:cs="Arial"/>
          <w:i/>
          <w:iCs/>
        </w:rPr>
        <w:t xml:space="preserve"> explicar las causales de modificación utilizadas o la justificación de que no se tienen cambios</w:t>
      </w:r>
      <w:r w:rsidRPr="001B0752">
        <w:rPr>
          <w:rFonts w:ascii="Bookman Old Style" w:hAnsi="Bookman Old Style" w:cs="Arial"/>
          <w:i/>
          <w:iCs/>
        </w:rPr>
        <w:t xml:space="preserve">. Dicha metodología es responsabilidad del agente y deberá ser enviada a la </w:t>
      </w:r>
      <w:r>
        <w:rPr>
          <w:rFonts w:ascii="Bookman Old Style" w:hAnsi="Bookman Old Style" w:cs="Arial"/>
          <w:i/>
          <w:iCs/>
        </w:rPr>
        <w:t>Superintendencia de Servicios Públicos Domiciliarios (</w:t>
      </w:r>
      <w:r w:rsidRPr="001B0752">
        <w:rPr>
          <w:rFonts w:ascii="Bookman Old Style" w:hAnsi="Bookman Old Style" w:cs="Arial"/>
          <w:i/>
          <w:iCs/>
        </w:rPr>
        <w:t>SSPD</w:t>
      </w:r>
      <w:r>
        <w:rPr>
          <w:rFonts w:ascii="Bookman Old Style" w:hAnsi="Bookman Old Style" w:cs="Arial"/>
          <w:i/>
          <w:iCs/>
        </w:rPr>
        <w:t>)</w:t>
      </w:r>
      <w:r w:rsidRPr="001B0752">
        <w:rPr>
          <w:rFonts w:ascii="Bookman Old Style" w:hAnsi="Bookman Old Style" w:cs="Arial"/>
          <w:i/>
          <w:iCs/>
        </w:rPr>
        <w:t xml:space="preserve"> cuando esta lo requiera para lo de su competencia. </w:t>
      </w:r>
      <w:r>
        <w:rPr>
          <w:rFonts w:ascii="Bookman Old Style" w:hAnsi="Bookman Old Style" w:cs="Arial"/>
          <w:i/>
          <w:iCs/>
        </w:rPr>
        <w:t>La metodología debe ser diseñada para que sea replicable por la SSPD.</w:t>
      </w:r>
      <w:r w:rsidRPr="001B0752">
        <w:rPr>
          <w:rFonts w:ascii="Bookman Old Style" w:hAnsi="Bookman Old Style" w:cs="Arial"/>
          <w:i/>
          <w:iCs/>
        </w:rPr>
        <w:t>”</w:t>
      </w:r>
    </w:p>
    <w:p w14:paraId="390D46F6" w14:textId="6DF5E967" w:rsidR="0069353C" w:rsidRPr="00E51316" w:rsidRDefault="0069353C" w:rsidP="00B145A2">
      <w:pPr>
        <w:tabs>
          <w:tab w:val="num" w:pos="2150"/>
        </w:tabs>
        <w:spacing w:before="240" w:after="240"/>
        <w:ind w:left="284"/>
        <w:jc w:val="both"/>
        <w:rPr>
          <w:rFonts w:ascii="Bookman Old Style" w:hAnsi="Bookman Old Style" w:cs="Arial"/>
          <w:i/>
          <w:iCs/>
        </w:rPr>
      </w:pPr>
      <w:r w:rsidRPr="002F0417">
        <w:rPr>
          <w:rFonts w:ascii="Bookman Old Style" w:hAnsi="Bookman Old Style" w:cs="Arial"/>
          <w:b/>
          <w:bCs/>
          <w:i/>
          <w:iCs/>
        </w:rPr>
        <w:lastRenderedPageBreak/>
        <w:t xml:space="preserve">Parágrafo </w:t>
      </w:r>
      <w:r w:rsidR="00625AC8">
        <w:rPr>
          <w:rFonts w:ascii="Bookman Old Style" w:hAnsi="Bookman Old Style" w:cs="Arial"/>
          <w:b/>
          <w:bCs/>
          <w:i/>
          <w:iCs/>
        </w:rPr>
        <w:t>2</w:t>
      </w:r>
      <w:r>
        <w:rPr>
          <w:rFonts w:ascii="Bookman Old Style" w:hAnsi="Bookman Old Style" w:cs="Arial"/>
          <w:i/>
          <w:iCs/>
        </w:rPr>
        <w:t xml:space="preserve">. </w:t>
      </w:r>
      <w:r w:rsidRPr="00E51316">
        <w:rPr>
          <w:rFonts w:ascii="Bookman Old Style" w:hAnsi="Bookman Old Style" w:cs="Arial"/>
          <w:i/>
          <w:iCs/>
        </w:rPr>
        <w:t xml:space="preserve">Cuando una planta </w:t>
      </w:r>
      <w:r w:rsidR="00B21812" w:rsidRPr="00173EFD">
        <w:rPr>
          <w:rFonts w:ascii="Bookman Old Style" w:hAnsi="Bookman Old Style" w:cs="Arial"/>
          <w:i/>
          <w:iCs/>
        </w:rPr>
        <w:t>hidráulica</w:t>
      </w:r>
      <w:r w:rsidR="00141AD9">
        <w:rPr>
          <w:rFonts w:ascii="Bookman Old Style" w:hAnsi="Bookman Old Style" w:cs="Arial"/>
          <w:i/>
          <w:iCs/>
        </w:rPr>
        <w:t xml:space="preserve"> nueva o especial</w:t>
      </w:r>
      <w:r w:rsidR="00B21812">
        <w:rPr>
          <w:rFonts w:ascii="Bookman Old Style" w:hAnsi="Bookman Old Style" w:cs="Arial"/>
          <w:i/>
          <w:iCs/>
        </w:rPr>
        <w:t xml:space="preserve"> </w:t>
      </w:r>
      <w:r w:rsidRPr="00E51316">
        <w:rPr>
          <w:rFonts w:ascii="Bookman Old Style" w:hAnsi="Bookman Old Style" w:cs="Arial"/>
          <w:i/>
          <w:iCs/>
        </w:rPr>
        <w:t xml:space="preserve">vaya a entrar en operación en el SIN, </w:t>
      </w:r>
      <w:r>
        <w:rPr>
          <w:rFonts w:ascii="Bookman Old Style" w:hAnsi="Bookman Old Style" w:cs="Arial"/>
          <w:i/>
          <w:iCs/>
        </w:rPr>
        <w:t>deberá</w:t>
      </w:r>
      <w:r w:rsidRPr="00E51316">
        <w:rPr>
          <w:rFonts w:ascii="Bookman Old Style" w:hAnsi="Bookman Old Style" w:cs="Arial"/>
          <w:i/>
          <w:iCs/>
        </w:rPr>
        <w:t xml:space="preserve"> declarar el NPV al CND antes de entrar en operación comercial. En caso de que no se haga la declaración se aplicará lo definido en el literal d</w:t>
      </w:r>
      <w:r w:rsidR="00B145A2">
        <w:rPr>
          <w:rFonts w:ascii="Bookman Old Style" w:hAnsi="Bookman Old Style" w:cs="Arial"/>
          <w:i/>
          <w:iCs/>
        </w:rPr>
        <w:t>)</w:t>
      </w:r>
      <w:r w:rsidRPr="00E51316">
        <w:rPr>
          <w:rFonts w:ascii="Bookman Old Style" w:hAnsi="Bookman Old Style" w:cs="Arial"/>
          <w:i/>
          <w:iCs/>
        </w:rPr>
        <w:t xml:space="preserve"> del presente artículo.</w:t>
      </w:r>
      <w:r>
        <w:rPr>
          <w:rFonts w:ascii="Bookman Old Style" w:hAnsi="Bookman Old Style" w:cs="Arial"/>
          <w:i/>
          <w:iCs/>
        </w:rPr>
        <w:t>”</w:t>
      </w:r>
    </w:p>
    <w:p w14:paraId="4D682488" w14:textId="77777777" w:rsidR="0069353C" w:rsidRDefault="0069353C" w:rsidP="0069353C">
      <w:pPr>
        <w:numPr>
          <w:ilvl w:val="0"/>
          <w:numId w:val="7"/>
        </w:numPr>
        <w:tabs>
          <w:tab w:val="clear" w:pos="1440"/>
          <w:tab w:val="num" w:pos="1560"/>
          <w:tab w:val="left" w:pos="1701"/>
          <w:tab w:val="num" w:pos="2150"/>
        </w:tabs>
        <w:spacing w:before="240" w:after="240"/>
        <w:jc w:val="both"/>
        <w:rPr>
          <w:rFonts w:ascii="Bookman Old Style" w:hAnsi="Bookman Old Style" w:cs="Arial"/>
        </w:rPr>
      </w:pPr>
      <w:r w:rsidRPr="00E93669">
        <w:rPr>
          <w:rFonts w:ascii="Bookman Old Style" w:hAnsi="Bookman Old Style" w:cs="Arial"/>
          <w:b/>
          <w:bCs/>
        </w:rPr>
        <w:t>Modifíquese el literal i) del literal b) del artículo 3 de la Resolución CREG 036 de 2010</w:t>
      </w:r>
      <w:r>
        <w:rPr>
          <w:rFonts w:ascii="Bookman Old Style" w:hAnsi="Bookman Old Style" w:cs="Arial"/>
        </w:rPr>
        <w:t>. El literal i) del literal b) del artículo 3 de la Resolución CREG 036 de 2010 quedará así:</w:t>
      </w:r>
    </w:p>
    <w:p w14:paraId="2F4E5517" w14:textId="580832A7" w:rsidR="0069353C" w:rsidRDefault="0069353C" w:rsidP="00B145A2">
      <w:pPr>
        <w:tabs>
          <w:tab w:val="num" w:pos="2150"/>
        </w:tabs>
        <w:spacing w:before="240" w:after="240"/>
        <w:ind w:left="284"/>
        <w:jc w:val="both"/>
        <w:rPr>
          <w:rFonts w:ascii="Bookman Old Style" w:hAnsi="Bookman Old Style" w:cs="Arial"/>
          <w:i/>
          <w:iCs/>
        </w:rPr>
      </w:pPr>
      <w:r w:rsidRPr="00173EFD">
        <w:rPr>
          <w:rFonts w:ascii="Bookman Old Style" w:hAnsi="Bookman Old Style" w:cs="Arial"/>
          <w:i/>
          <w:iCs/>
        </w:rPr>
        <w:t xml:space="preserve">“i) </w:t>
      </w:r>
      <w:r w:rsidR="00B21812">
        <w:rPr>
          <w:rFonts w:ascii="Bookman Old Style" w:hAnsi="Bookman Old Style" w:cs="Arial"/>
          <w:i/>
          <w:iCs/>
        </w:rPr>
        <w:t>Cuando una planta</w:t>
      </w:r>
      <w:r w:rsidRPr="00173EFD">
        <w:rPr>
          <w:rFonts w:ascii="Bookman Old Style" w:hAnsi="Bookman Old Style" w:cs="Arial"/>
          <w:i/>
          <w:iCs/>
        </w:rPr>
        <w:t xml:space="preserve"> hidráulica</w:t>
      </w:r>
      <w:r w:rsidR="00B21812">
        <w:rPr>
          <w:rFonts w:ascii="Bookman Old Style" w:hAnsi="Bookman Old Style" w:cs="Arial"/>
          <w:i/>
          <w:iCs/>
        </w:rPr>
        <w:t xml:space="preserve"> vaya a entrar en operación comercial en el SIN, deberá declarar antes de su entrada en operación comercial </w:t>
      </w:r>
      <w:r w:rsidRPr="00173EFD">
        <w:rPr>
          <w:rFonts w:ascii="Bookman Old Style" w:hAnsi="Bookman Old Style" w:cs="Arial"/>
          <w:i/>
          <w:iCs/>
        </w:rPr>
        <w:t>al Centro Nacional de Despacho, CND, los valores de Nivel ENFICC Probabilístico</w:t>
      </w:r>
      <w:r w:rsidR="00D70E3F">
        <w:rPr>
          <w:rFonts w:ascii="Bookman Old Style" w:hAnsi="Bookman Old Style" w:cs="Arial"/>
          <w:i/>
          <w:iCs/>
        </w:rPr>
        <w:t xml:space="preserve"> (NEP)</w:t>
      </w:r>
      <w:r w:rsidRPr="00173EFD">
        <w:rPr>
          <w:rFonts w:ascii="Bookman Old Style" w:hAnsi="Bookman Old Style" w:cs="Arial"/>
          <w:i/>
          <w:iCs/>
        </w:rPr>
        <w:t>, uno por cada mes del año</w:t>
      </w:r>
      <w:r>
        <w:rPr>
          <w:rFonts w:ascii="Bookman Old Style" w:hAnsi="Bookman Old Style" w:cs="Arial"/>
          <w:i/>
          <w:iCs/>
        </w:rPr>
        <w:t>.</w:t>
      </w:r>
    </w:p>
    <w:p w14:paraId="6B232B78" w14:textId="01CC459B" w:rsidR="0069353C" w:rsidRPr="00173EFD" w:rsidRDefault="00B21812" w:rsidP="00B145A2">
      <w:pPr>
        <w:tabs>
          <w:tab w:val="num" w:pos="2150"/>
        </w:tabs>
        <w:spacing w:before="240" w:after="240"/>
        <w:ind w:left="284"/>
        <w:jc w:val="both"/>
        <w:rPr>
          <w:rFonts w:ascii="Bookman Old Style" w:hAnsi="Bookman Old Style" w:cs="Arial"/>
          <w:i/>
          <w:iCs/>
        </w:rPr>
      </w:pPr>
      <w:r>
        <w:rPr>
          <w:rFonts w:ascii="Bookman Old Style" w:hAnsi="Bookman Old Style" w:cs="Arial"/>
          <w:i/>
          <w:iCs/>
        </w:rPr>
        <w:t>Además, s</w:t>
      </w:r>
      <w:r w:rsidR="0069353C" w:rsidRPr="00BD40C4">
        <w:rPr>
          <w:rFonts w:ascii="Bookman Old Style" w:hAnsi="Bookman Old Style" w:cs="Arial"/>
          <w:i/>
          <w:iCs/>
        </w:rPr>
        <w:t>e deberá declarar</w:t>
      </w:r>
      <w:r>
        <w:rPr>
          <w:rFonts w:ascii="Bookman Old Style" w:hAnsi="Bookman Old Style" w:cs="Arial"/>
          <w:i/>
          <w:iCs/>
        </w:rPr>
        <w:t xml:space="preserve"> y actualizar</w:t>
      </w:r>
      <w:r w:rsidR="0069353C" w:rsidRPr="00BD40C4">
        <w:rPr>
          <w:rFonts w:ascii="Bookman Old Style" w:hAnsi="Bookman Old Style" w:cs="Arial"/>
          <w:i/>
          <w:iCs/>
        </w:rPr>
        <w:t xml:space="preserve"> un nuevo NEP cuando la ENFICC Base de</w:t>
      </w:r>
      <w:r w:rsidR="0069353C">
        <w:rPr>
          <w:rFonts w:ascii="Bookman Old Style" w:hAnsi="Bookman Old Style" w:cs="Arial"/>
          <w:i/>
          <w:iCs/>
        </w:rPr>
        <w:t xml:space="preserve"> </w:t>
      </w:r>
      <w:r w:rsidR="0069353C" w:rsidRPr="00BD40C4">
        <w:rPr>
          <w:rFonts w:ascii="Bookman Old Style" w:hAnsi="Bookman Old Style" w:cs="Arial"/>
          <w:i/>
          <w:iCs/>
        </w:rPr>
        <w:t>una planta hidráulica cambie</w:t>
      </w:r>
      <w:r w:rsidR="00B70508">
        <w:rPr>
          <w:rFonts w:ascii="Bookman Old Style" w:hAnsi="Bookman Old Style" w:cs="Arial"/>
          <w:i/>
          <w:iCs/>
        </w:rPr>
        <w:t>,</w:t>
      </w:r>
      <w:r w:rsidR="0069353C">
        <w:rPr>
          <w:rFonts w:ascii="Bookman Old Style" w:hAnsi="Bookman Old Style" w:cs="Arial"/>
          <w:i/>
          <w:iCs/>
        </w:rPr>
        <w:t xml:space="preserve"> </w:t>
      </w:r>
      <w:r w:rsidR="0069353C" w:rsidRPr="00BD40C4">
        <w:rPr>
          <w:rFonts w:ascii="Bookman Old Style" w:hAnsi="Bookman Old Style" w:cs="Arial"/>
          <w:i/>
          <w:iCs/>
        </w:rPr>
        <w:t>o</w:t>
      </w:r>
      <w:r w:rsidR="00D70E3F">
        <w:rPr>
          <w:rFonts w:ascii="Bookman Old Style" w:hAnsi="Bookman Old Style" w:cs="Arial"/>
          <w:i/>
          <w:iCs/>
        </w:rPr>
        <w:t xml:space="preserve"> cuando</w:t>
      </w:r>
      <w:r w:rsidR="0069353C" w:rsidRPr="00BD40C4">
        <w:rPr>
          <w:rFonts w:ascii="Bookman Old Style" w:hAnsi="Bookman Old Style" w:cs="Arial"/>
          <w:i/>
          <w:iCs/>
        </w:rPr>
        <w:t xml:space="preserve"> los agentes tengan restricciones temporales de tipo operativo en sus embalses. En este último caso la restricción deberá ser declarada junto con una curva guía máxima y mínima del embalse, que será considerada para el cálculo del NEP</w:t>
      </w:r>
      <w:r w:rsidR="0069353C" w:rsidRPr="00173EFD">
        <w:rPr>
          <w:rFonts w:ascii="Bookman Old Style" w:hAnsi="Bookman Old Style" w:cs="Arial"/>
          <w:i/>
          <w:iCs/>
        </w:rPr>
        <w:t>”</w:t>
      </w:r>
    </w:p>
    <w:bookmarkEnd w:id="1"/>
    <w:p w14:paraId="3F478BD0" w14:textId="638912FD" w:rsidR="0069353C" w:rsidRDefault="0069353C" w:rsidP="0069353C">
      <w:pPr>
        <w:numPr>
          <w:ilvl w:val="0"/>
          <w:numId w:val="7"/>
        </w:numPr>
        <w:tabs>
          <w:tab w:val="clear" w:pos="1440"/>
          <w:tab w:val="num" w:pos="1560"/>
          <w:tab w:val="left" w:pos="1701"/>
          <w:tab w:val="num" w:pos="2150"/>
        </w:tabs>
        <w:spacing w:before="240" w:after="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Solicitud de actualización </w:t>
      </w:r>
      <w:r w:rsidRPr="00AF61D6">
        <w:rPr>
          <w:rFonts w:ascii="Bookman Old Style" w:hAnsi="Bookman Old Style" w:cs="Arial"/>
          <w:b/>
        </w:rPr>
        <w:t>del Nivel de Probabilidad de Vertimiento – NPV</w:t>
      </w:r>
      <w:r>
        <w:rPr>
          <w:rFonts w:ascii="Bookman Old Style" w:hAnsi="Bookman Old Style" w:cs="Arial"/>
          <w:b/>
        </w:rPr>
        <w:t xml:space="preserve"> y del Nivel de ENFICC probabilístico </w:t>
      </w:r>
      <w:r w:rsidRPr="00564255">
        <w:rPr>
          <w:rFonts w:ascii="Bookman Old Style" w:hAnsi="Bookman Old Style" w:cs="Arial"/>
          <w:b/>
        </w:rPr>
        <w:t>– NEP</w:t>
      </w:r>
      <w:r w:rsidRPr="00AF61D6">
        <w:rPr>
          <w:rFonts w:ascii="Bookman Old Style" w:hAnsi="Bookman Old Style" w:cs="Arial"/>
          <w:b/>
        </w:rPr>
        <w:t xml:space="preserve">. </w:t>
      </w:r>
      <w:r w:rsidRPr="00AF61D6">
        <w:rPr>
          <w:rFonts w:ascii="Bookman Old Style" w:hAnsi="Bookman Old Style" w:cs="Arial"/>
        </w:rPr>
        <w:t xml:space="preserve">Los agentes generadores con plantas hidráulicas despachadas centralmente </w:t>
      </w:r>
      <w:r>
        <w:rPr>
          <w:rFonts w:ascii="Bookman Old Style" w:hAnsi="Bookman Old Style" w:cs="Arial"/>
        </w:rPr>
        <w:t>deberán</w:t>
      </w:r>
      <w:r w:rsidRPr="00AF61D6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actualizar</w:t>
      </w:r>
      <w:r w:rsidR="00BA7025">
        <w:rPr>
          <w:rFonts w:ascii="Bookman Old Style" w:hAnsi="Bookman Old Style" w:cs="Arial"/>
        </w:rPr>
        <w:t xml:space="preserve"> </w:t>
      </w:r>
      <w:r w:rsidR="00E87FA0">
        <w:rPr>
          <w:rFonts w:ascii="Bookman Old Style" w:hAnsi="Bookman Old Style" w:cs="Arial"/>
        </w:rPr>
        <w:t xml:space="preserve">a </w:t>
      </w:r>
      <w:r w:rsidR="00BA7025">
        <w:rPr>
          <w:rFonts w:ascii="Bookman Old Style" w:hAnsi="Bookman Old Style" w:cs="Arial"/>
        </w:rPr>
        <w:t>XM S.A ESP en su función de Centro Nacional de Despacho</w:t>
      </w:r>
      <w:r w:rsidRPr="00AF61D6">
        <w:rPr>
          <w:rFonts w:ascii="Bookman Old Style" w:hAnsi="Bookman Old Style" w:cs="Arial"/>
        </w:rPr>
        <w:t xml:space="preserve"> </w:t>
      </w:r>
      <w:r w:rsidR="00BA7025">
        <w:rPr>
          <w:rFonts w:ascii="Bookman Old Style" w:hAnsi="Bookman Old Style" w:cs="Arial"/>
        </w:rPr>
        <w:t>-</w:t>
      </w:r>
      <w:r w:rsidRPr="00AF61D6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CND</w:t>
      </w:r>
      <w:r w:rsidR="00BA7025">
        <w:rPr>
          <w:rFonts w:ascii="Bookman Old Style" w:hAnsi="Bookman Old Style" w:cs="Arial"/>
        </w:rPr>
        <w:t>-</w:t>
      </w:r>
      <w:r w:rsidRPr="00AF61D6">
        <w:rPr>
          <w:rFonts w:ascii="Bookman Old Style" w:hAnsi="Bookman Old Style" w:cs="Arial"/>
        </w:rPr>
        <w:t xml:space="preserve"> el Nivel de Probabilidad de Vertimiento </w:t>
      </w:r>
      <w:r>
        <w:rPr>
          <w:rFonts w:ascii="Bookman Old Style" w:hAnsi="Bookman Old Style" w:cs="Arial"/>
        </w:rPr>
        <w:t>–</w:t>
      </w:r>
      <w:r w:rsidRPr="00AF61D6">
        <w:rPr>
          <w:rFonts w:ascii="Bookman Old Style" w:hAnsi="Bookman Old Style" w:cs="Arial"/>
        </w:rPr>
        <w:t xml:space="preserve"> NPV</w:t>
      </w:r>
      <w:r>
        <w:rPr>
          <w:rFonts w:ascii="Bookman Old Style" w:hAnsi="Bookman Old Style" w:cs="Arial"/>
        </w:rPr>
        <w:t xml:space="preserve"> de que trata el artículo 2 de la Resolución CREG 036 de 2010, o aquellas que la modifiquen adicionen o sustituyan, con base en los lineamientos de que tratan los literales b), c) y d) del citado artículo y </w:t>
      </w:r>
      <w:r w:rsidR="003B52DE">
        <w:rPr>
          <w:rFonts w:ascii="Bookman Old Style" w:hAnsi="Bookman Old Style" w:cs="Arial"/>
        </w:rPr>
        <w:t>la metodología de que trata el</w:t>
      </w:r>
      <w:r>
        <w:rPr>
          <w:rFonts w:ascii="Bookman Old Style" w:hAnsi="Bookman Old Style" w:cs="Arial"/>
        </w:rPr>
        <w:t xml:space="preserve"> parágrafo</w:t>
      </w:r>
      <w:r w:rsidR="00B70508">
        <w:rPr>
          <w:rFonts w:ascii="Bookman Old Style" w:hAnsi="Bookman Old Style" w:cs="Arial"/>
        </w:rPr>
        <w:t xml:space="preserve"> </w:t>
      </w:r>
      <w:r w:rsidR="0068024C">
        <w:rPr>
          <w:rFonts w:ascii="Bookman Old Style" w:hAnsi="Bookman Old Style" w:cs="Arial"/>
        </w:rPr>
        <w:t>1</w:t>
      </w:r>
      <w:r w:rsidR="003B52DE">
        <w:rPr>
          <w:rFonts w:ascii="Bookman Old Style" w:hAnsi="Bookman Old Style" w:cs="Arial"/>
        </w:rPr>
        <w:t xml:space="preserve"> del mismo artículo</w:t>
      </w:r>
      <w:r>
        <w:rPr>
          <w:rFonts w:ascii="Bookman Old Style" w:hAnsi="Bookman Old Style" w:cs="Arial"/>
        </w:rPr>
        <w:t>.</w:t>
      </w:r>
      <w:r w:rsidR="007E0D83">
        <w:rPr>
          <w:rFonts w:ascii="Bookman Old Style" w:hAnsi="Bookman Old Style" w:cs="Arial"/>
        </w:rPr>
        <w:t xml:space="preserve"> </w:t>
      </w:r>
    </w:p>
    <w:p w14:paraId="36CB6FB9" w14:textId="08D83E99" w:rsidR="0069353C" w:rsidRDefault="0069353C" w:rsidP="0069353C">
      <w:pPr>
        <w:tabs>
          <w:tab w:val="left" w:pos="1701"/>
          <w:tab w:val="num" w:pos="2150"/>
        </w:tabs>
        <w:spacing w:before="240" w:after="240"/>
        <w:ind w:left="0"/>
        <w:jc w:val="both"/>
        <w:rPr>
          <w:rFonts w:ascii="Bookman Old Style" w:hAnsi="Bookman Old Style" w:cs="Arial"/>
          <w:b/>
        </w:rPr>
      </w:pPr>
      <w:r w:rsidRPr="0050308F">
        <w:rPr>
          <w:rFonts w:ascii="Bookman Old Style" w:hAnsi="Bookman Old Style" w:cs="Arial"/>
        </w:rPr>
        <w:t>As</w:t>
      </w:r>
      <w:r w:rsidR="00836D7D">
        <w:rPr>
          <w:rFonts w:ascii="Bookman Old Style" w:hAnsi="Bookman Old Style" w:cs="Arial"/>
        </w:rPr>
        <w:t>í</w:t>
      </w:r>
      <w:r w:rsidRPr="0050308F">
        <w:rPr>
          <w:rFonts w:ascii="Bookman Old Style" w:hAnsi="Bookman Old Style" w:cs="Arial"/>
        </w:rPr>
        <w:t xml:space="preserve"> mismo, </w:t>
      </w:r>
      <w:r>
        <w:rPr>
          <w:rFonts w:ascii="Bookman Old Style" w:hAnsi="Bookman Old Style" w:cs="Arial"/>
        </w:rPr>
        <w:t>l</w:t>
      </w:r>
      <w:r w:rsidRPr="00564255">
        <w:rPr>
          <w:rFonts w:ascii="Bookman Old Style" w:hAnsi="Bookman Old Style" w:cs="Arial"/>
        </w:rPr>
        <w:t>os agentes generadores con plantas hidráulicas despachadas centralmente</w:t>
      </w:r>
      <w:r>
        <w:rPr>
          <w:rFonts w:ascii="Bookman Old Style" w:hAnsi="Bookman Old Style" w:cs="Arial"/>
        </w:rPr>
        <w:t xml:space="preserve"> que cuenten con cálculo de ENFICC </w:t>
      </w:r>
      <w:r w:rsidRPr="00564255">
        <w:rPr>
          <w:rFonts w:ascii="Bookman Old Style" w:hAnsi="Bookman Old Style" w:cs="Arial"/>
        </w:rPr>
        <w:t>deberán actualizar al CND el Nivel de ENFICC Probabilístico – NEP de que trata el artículo 3 de la Resolución CREG 036 de 2010</w:t>
      </w:r>
      <w:r>
        <w:rPr>
          <w:rFonts w:ascii="Bookman Old Style" w:hAnsi="Bookman Old Style" w:cs="Arial"/>
        </w:rPr>
        <w:t xml:space="preserve"> o aquellas que la modifiquen adicionen o sustituyan,</w:t>
      </w:r>
      <w:r w:rsidRPr="00564255">
        <w:rPr>
          <w:rFonts w:ascii="Bookman Old Style" w:hAnsi="Bookman Old Style" w:cs="Arial"/>
        </w:rPr>
        <w:t xml:space="preserve"> con base en los lineamientos del citado artículo y de acuerdo con los parámetros actuales y la ENFICC vigente de las plantas</w:t>
      </w:r>
      <w:r>
        <w:rPr>
          <w:rFonts w:ascii="Bookman Old Style" w:hAnsi="Bookman Old Style" w:cs="Arial"/>
        </w:rPr>
        <w:t>.</w:t>
      </w:r>
    </w:p>
    <w:p w14:paraId="3589D8C9" w14:textId="1CAA5159" w:rsidR="0069353C" w:rsidRDefault="0069353C" w:rsidP="0069353C">
      <w:pPr>
        <w:tabs>
          <w:tab w:val="left" w:pos="1701"/>
          <w:tab w:val="num" w:pos="2150"/>
        </w:tabs>
        <w:spacing w:before="240" w:after="240"/>
        <w:ind w:left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Para el caso específico de este artículo, </w:t>
      </w:r>
      <w:r w:rsidR="0003542B">
        <w:rPr>
          <w:rFonts w:ascii="Bookman Old Style" w:hAnsi="Bookman Old Style" w:cs="Arial"/>
        </w:rPr>
        <w:t xml:space="preserve">la declaración del NPV y NEP </w:t>
      </w:r>
      <w:r w:rsidRPr="00A87DE6">
        <w:rPr>
          <w:rFonts w:ascii="Bookman Old Style" w:hAnsi="Bookman Old Style" w:cs="Arial"/>
        </w:rPr>
        <w:t xml:space="preserve">deberá hacerse al </w:t>
      </w:r>
      <w:r>
        <w:rPr>
          <w:rFonts w:ascii="Bookman Old Style" w:hAnsi="Bookman Old Style" w:cs="Arial"/>
        </w:rPr>
        <w:t>CND</w:t>
      </w:r>
      <w:r w:rsidRPr="00A87DE6">
        <w:rPr>
          <w:rFonts w:ascii="Bookman Old Style" w:hAnsi="Bookman Old Style" w:cs="Arial"/>
        </w:rPr>
        <w:t xml:space="preserve"> a más tardar dentro de los </w:t>
      </w:r>
      <w:r>
        <w:rPr>
          <w:rFonts w:ascii="Bookman Old Style" w:hAnsi="Bookman Old Style" w:cs="Arial"/>
        </w:rPr>
        <w:t>treinta (30)</w:t>
      </w:r>
      <w:r w:rsidRPr="00A87DE6">
        <w:rPr>
          <w:rFonts w:ascii="Bookman Old Style" w:hAnsi="Bookman Old Style" w:cs="Arial"/>
        </w:rPr>
        <w:t xml:space="preserve"> días </w:t>
      </w:r>
      <w:r>
        <w:rPr>
          <w:rFonts w:ascii="Bookman Old Style" w:hAnsi="Bookman Old Style" w:cs="Arial"/>
        </w:rPr>
        <w:t xml:space="preserve">calendario </w:t>
      </w:r>
      <w:r w:rsidRPr="00A87DE6">
        <w:rPr>
          <w:rFonts w:ascii="Bookman Old Style" w:hAnsi="Bookman Old Style" w:cs="Arial"/>
        </w:rPr>
        <w:t xml:space="preserve">siguientes </w:t>
      </w:r>
      <w:r>
        <w:rPr>
          <w:rFonts w:ascii="Bookman Old Style" w:hAnsi="Bookman Old Style" w:cs="Arial"/>
        </w:rPr>
        <w:t xml:space="preserve">a la </w:t>
      </w:r>
      <w:proofErr w:type="gramStart"/>
      <w:r>
        <w:rPr>
          <w:rFonts w:ascii="Bookman Old Style" w:hAnsi="Bookman Old Style" w:cs="Arial"/>
        </w:rPr>
        <w:t>entrada en vigencia</w:t>
      </w:r>
      <w:proofErr w:type="gramEnd"/>
      <w:r>
        <w:rPr>
          <w:rFonts w:ascii="Bookman Old Style" w:hAnsi="Bookman Old Style" w:cs="Arial"/>
        </w:rPr>
        <w:t xml:space="preserve"> de la presente resolución.</w:t>
      </w:r>
      <w:r w:rsidR="007E0D83">
        <w:rPr>
          <w:rFonts w:ascii="Bookman Old Style" w:hAnsi="Bookman Old Style" w:cs="Arial"/>
        </w:rPr>
        <w:t xml:space="preserve"> Este tiempo incluye el del diseño de la metodología de que trata el parágrafo </w:t>
      </w:r>
      <w:r w:rsidR="0068024C">
        <w:rPr>
          <w:rFonts w:ascii="Bookman Old Style" w:hAnsi="Bookman Old Style" w:cs="Arial"/>
        </w:rPr>
        <w:t>1</w:t>
      </w:r>
      <w:r w:rsidR="007E0D83">
        <w:rPr>
          <w:rFonts w:ascii="Bookman Old Style" w:hAnsi="Bookman Old Style" w:cs="Arial"/>
        </w:rPr>
        <w:t xml:space="preserve"> del artículo 2 de la Resolución CREG 036 de 2010, o aquellas que la modifiquen adicionen o sustituyan.</w:t>
      </w:r>
    </w:p>
    <w:p w14:paraId="044E62ED" w14:textId="77777777" w:rsidR="0069353C" w:rsidRDefault="0069353C" w:rsidP="0069353C">
      <w:pPr>
        <w:numPr>
          <w:ilvl w:val="0"/>
          <w:numId w:val="7"/>
        </w:numPr>
        <w:tabs>
          <w:tab w:val="clear" w:pos="1440"/>
          <w:tab w:val="num" w:pos="1560"/>
          <w:tab w:val="left" w:pos="1701"/>
          <w:tab w:val="num" w:pos="2150"/>
        </w:tabs>
        <w:spacing w:before="240" w:after="240"/>
        <w:jc w:val="both"/>
        <w:rPr>
          <w:rFonts w:ascii="Bookman Old Style" w:hAnsi="Bookman Old Style" w:cs="Arial"/>
        </w:rPr>
      </w:pPr>
      <w:r w:rsidRPr="00E30F97">
        <w:rPr>
          <w:rFonts w:ascii="Bookman Old Style" w:hAnsi="Bookman Old Style" w:cs="Arial"/>
          <w:b/>
          <w:bCs/>
        </w:rPr>
        <w:t>Vigencia y derogatorias.</w:t>
      </w:r>
      <w:r w:rsidRPr="00E30F97">
        <w:rPr>
          <w:rFonts w:ascii="Bookman Old Style" w:hAnsi="Bookman Old Style" w:cs="Arial"/>
        </w:rPr>
        <w:t xml:space="preserve"> La presente resolución rige a partir de su publicación en el </w:t>
      </w:r>
      <w:r w:rsidRPr="003F0F63">
        <w:rPr>
          <w:rFonts w:ascii="Bookman Old Style" w:hAnsi="Bookman Old Style" w:cs="Arial"/>
          <w:i/>
          <w:iCs/>
        </w:rPr>
        <w:t>Diario Oficial</w:t>
      </w:r>
      <w:r>
        <w:rPr>
          <w:rFonts w:ascii="Bookman Old Style" w:hAnsi="Bookman Old Style" w:cs="Arial"/>
          <w:i/>
          <w:iCs/>
        </w:rPr>
        <w:t xml:space="preserve"> </w:t>
      </w:r>
      <w:r w:rsidRPr="000F04CD">
        <w:rPr>
          <w:rFonts w:ascii="Bookman Old Style" w:hAnsi="Bookman Old Style" w:cs="Arial"/>
        </w:rPr>
        <w:t xml:space="preserve">y deroga </w:t>
      </w:r>
      <w:r>
        <w:rPr>
          <w:rFonts w:ascii="Bookman Old Style" w:hAnsi="Bookman Old Style" w:cs="Arial"/>
        </w:rPr>
        <w:t>todas las normas que le sean contrarias</w:t>
      </w:r>
      <w:r w:rsidRPr="00E30F97">
        <w:rPr>
          <w:rFonts w:ascii="Bookman Old Style" w:hAnsi="Bookman Old Style" w:cs="Arial"/>
        </w:rPr>
        <w:t>.</w:t>
      </w:r>
    </w:p>
    <w:p w14:paraId="1A65BDF4" w14:textId="77777777" w:rsidR="00045D3D" w:rsidRDefault="00045D3D" w:rsidP="00045D3D">
      <w:pPr>
        <w:jc w:val="both"/>
        <w:rPr>
          <w:rFonts w:ascii="Bookman Old Style" w:hAnsi="Bookman Old Style"/>
          <w:i/>
          <w:sz w:val="22"/>
        </w:rPr>
      </w:pPr>
    </w:p>
    <w:p w14:paraId="4C3505C4" w14:textId="77777777" w:rsidR="00045D3D" w:rsidRPr="00C435C3" w:rsidRDefault="00045D3D" w:rsidP="00045D3D">
      <w:pPr>
        <w:ind w:left="0"/>
        <w:rPr>
          <w:rFonts w:ascii="Bookman Old Style" w:hAnsi="Bookman Old Style"/>
        </w:rPr>
      </w:pPr>
    </w:p>
    <w:p w14:paraId="57C771DE" w14:textId="096A1837" w:rsidR="002C32F6" w:rsidRPr="00E060BE" w:rsidRDefault="00045D3D" w:rsidP="00A9484F">
      <w:pPr>
        <w:jc w:val="center"/>
        <w:rPr>
          <w:rFonts w:ascii="Bookman Old Style" w:hAnsi="Bookman Old Style" w:cs="Arial"/>
        </w:rPr>
      </w:pPr>
      <w:r w:rsidRPr="00C435C3">
        <w:rPr>
          <w:rFonts w:ascii="Bookman Old Style" w:hAnsi="Bookman Old Style"/>
          <w:b/>
        </w:rPr>
        <w:t>PU</w:t>
      </w:r>
      <w:r w:rsidR="00CA03C8">
        <w:rPr>
          <w:rFonts w:ascii="Bookman Old Style" w:hAnsi="Bookman Old Style"/>
          <w:b/>
        </w:rPr>
        <w:t>B</w:t>
      </w:r>
      <w:r w:rsidRPr="00C435C3">
        <w:rPr>
          <w:rFonts w:ascii="Bookman Old Style" w:hAnsi="Bookman Old Style"/>
          <w:b/>
        </w:rPr>
        <w:t>LÍQUESE Y CÚMPLASE</w:t>
      </w:r>
    </w:p>
    <w:sectPr w:rsidR="002C32F6" w:rsidRPr="00E060BE" w:rsidSect="005A59EF">
      <w:headerReference w:type="default" r:id="rId10"/>
      <w:headerReference w:type="first" r:id="rId11"/>
      <w:type w:val="continuous"/>
      <w:pgSz w:w="12242" w:h="18722" w:code="123"/>
      <w:pgMar w:top="2341" w:right="1185" w:bottom="17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EF47" w14:textId="77777777" w:rsidR="00C747EC" w:rsidRDefault="00C747EC">
      <w:r>
        <w:separator/>
      </w:r>
    </w:p>
  </w:endnote>
  <w:endnote w:type="continuationSeparator" w:id="0">
    <w:p w14:paraId="59BBC508" w14:textId="77777777" w:rsidR="00C747EC" w:rsidRDefault="00C7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FF02" w14:textId="77777777" w:rsidR="00C747EC" w:rsidRDefault="00C747EC">
      <w:r>
        <w:separator/>
      </w:r>
    </w:p>
  </w:footnote>
  <w:footnote w:type="continuationSeparator" w:id="0">
    <w:p w14:paraId="6CB208BD" w14:textId="77777777" w:rsidR="00C747EC" w:rsidRDefault="00C74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87ED" w14:textId="77777777" w:rsidR="00CC51D4" w:rsidRDefault="00CC51D4" w:rsidP="00951F79">
    <w:pPr>
      <w:pStyle w:val="Ttulo1"/>
      <w:ind w:right="6"/>
      <w:jc w:val="left"/>
      <w:rPr>
        <w:rFonts w:ascii="Bookman Old Style" w:hAnsi="Bookman Old Style" w:cs="Arial"/>
        <w:b w:val="0"/>
        <w:sz w:val="22"/>
        <w:szCs w:val="22"/>
      </w:rPr>
    </w:pPr>
  </w:p>
  <w:p w14:paraId="267D8AF5" w14:textId="7D0B8DF6" w:rsidR="0087657D" w:rsidRPr="00951F79" w:rsidRDefault="00725FA4" w:rsidP="009F4BEC">
    <w:pPr>
      <w:pStyle w:val="Ttulo1"/>
      <w:ind w:left="0" w:right="6"/>
      <w:jc w:val="left"/>
      <w:rPr>
        <w:rFonts w:ascii="Bookman Old Style" w:hAnsi="Bookman Old Style" w:cs="Arial"/>
        <w:b w:val="0"/>
        <w:sz w:val="22"/>
        <w:szCs w:val="22"/>
      </w:rPr>
    </w:pPr>
    <w:r w:rsidRPr="00654384">
      <w:rPr>
        <w:rFonts w:ascii="Bookman Old Style" w:hAnsi="Bookman Old Style" w:cs="Arial"/>
        <w:b w:val="0"/>
        <w:sz w:val="22"/>
        <w:szCs w:val="22"/>
      </w:rPr>
      <w:t>RESOLUCIÓN No.</w:t>
    </w:r>
    <w:r w:rsidR="00951F79">
      <w:rPr>
        <w:rFonts w:ascii="Bookman Old Style" w:hAnsi="Bookman Old Style" w:cs="Arial"/>
        <w:b w:val="0"/>
        <w:sz w:val="22"/>
        <w:szCs w:val="22"/>
      </w:rPr>
      <w:t xml:space="preserve"> </w:t>
    </w:r>
    <w:r w:rsidR="00A920D3" w:rsidRPr="00A920D3">
      <w:rPr>
        <w:rFonts w:ascii="Bookman Old Style" w:hAnsi="Bookman Old Style" w:cs="Arial"/>
        <w:bCs/>
        <w:szCs w:val="24"/>
        <w:u w:val="single"/>
      </w:rPr>
      <w:t>701 027</w:t>
    </w:r>
    <w:r w:rsidRPr="00654384">
      <w:rPr>
        <w:rFonts w:ascii="Bookman Old Style" w:hAnsi="Bookman Old Style" w:cs="Arial"/>
        <w:b w:val="0"/>
        <w:sz w:val="22"/>
        <w:szCs w:val="22"/>
      </w:rPr>
      <w:tab/>
    </w:r>
    <w:r w:rsidR="00886EE1">
      <w:rPr>
        <w:rFonts w:ascii="Bookman Old Style" w:hAnsi="Bookman Old Style" w:cs="Arial"/>
        <w:b w:val="0"/>
        <w:sz w:val="22"/>
        <w:szCs w:val="22"/>
      </w:rPr>
      <w:t>DE</w:t>
    </w:r>
    <w:r w:rsidR="000D26F8">
      <w:rPr>
        <w:rFonts w:ascii="Bookman Old Style" w:hAnsi="Bookman Old Style" w:cs="Arial"/>
        <w:b w:val="0"/>
        <w:sz w:val="22"/>
        <w:szCs w:val="22"/>
      </w:rPr>
      <w:t xml:space="preserve"> </w:t>
    </w:r>
    <w:r w:rsidR="00A920D3">
      <w:rPr>
        <w:rFonts w:ascii="Bookman Old Style" w:hAnsi="Bookman Old Style" w:cs="Arial"/>
        <w:b w:val="0"/>
        <w:sz w:val="22"/>
        <w:szCs w:val="22"/>
      </w:rPr>
      <w:t xml:space="preserve">  </w:t>
    </w:r>
    <w:r w:rsidR="00A920D3" w:rsidRPr="00A920D3">
      <w:rPr>
        <w:rFonts w:ascii="Bookman Old Style" w:hAnsi="Bookman Old Style" w:cs="Arial"/>
        <w:bCs/>
        <w:szCs w:val="24"/>
        <w:u w:val="single"/>
      </w:rPr>
      <w:t>13 DIC. 2023</w:t>
    </w:r>
    <w:r w:rsidR="003D076C">
      <w:rPr>
        <w:rFonts w:ascii="Bookman Old Style" w:hAnsi="Bookman Old Style" w:cs="Arial"/>
        <w:b w:val="0"/>
        <w:sz w:val="22"/>
        <w:szCs w:val="22"/>
      </w:rPr>
      <w:tab/>
    </w:r>
    <w:r w:rsidR="00A920D3">
      <w:rPr>
        <w:rFonts w:ascii="Bookman Old Style" w:hAnsi="Bookman Old Style" w:cs="Arial"/>
        <w:b w:val="0"/>
        <w:sz w:val="22"/>
        <w:szCs w:val="22"/>
      </w:rPr>
      <w:t xml:space="preserve">                 </w:t>
    </w:r>
    <w:r w:rsidRPr="00654384">
      <w:rPr>
        <w:rFonts w:ascii="Bookman Old Style" w:hAnsi="Bookman Old Style" w:cs="Arial"/>
        <w:b w:val="0"/>
        <w:sz w:val="22"/>
        <w:szCs w:val="22"/>
      </w:rPr>
      <w:t>HOJA No.</w:t>
    </w:r>
    <w:r w:rsidR="00593C4F" w:rsidRPr="00654384">
      <w:rPr>
        <w:rFonts w:ascii="Bookman Old Style" w:hAnsi="Bookman Old Style" w:cs="Arial"/>
        <w:b w:val="0"/>
        <w:sz w:val="22"/>
        <w:szCs w:val="22"/>
      </w:rPr>
      <w:t xml:space="preserve"> </w: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begin"/>
    </w:r>
    <w:r w:rsidR="00593C4F" w:rsidRPr="00654384">
      <w:rPr>
        <w:rFonts w:ascii="Bookman Old Style" w:hAnsi="Bookman Old Style" w:cs="Arial"/>
        <w:b w:val="0"/>
        <w:sz w:val="22"/>
        <w:szCs w:val="22"/>
      </w:rPr>
      <w:instrText xml:space="preserve"> PAGE   \* MERGEFORMAT </w:instrTex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separate"/>
    </w:r>
    <w:r w:rsidR="00F77D2D">
      <w:rPr>
        <w:rFonts w:ascii="Bookman Old Style" w:hAnsi="Bookman Old Style" w:cs="Arial"/>
        <w:b w:val="0"/>
        <w:noProof/>
        <w:sz w:val="22"/>
        <w:szCs w:val="22"/>
      </w:rPr>
      <w:t>2</w: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end"/>
    </w:r>
    <w:r w:rsidRPr="00654384">
      <w:rPr>
        <w:rFonts w:ascii="Bookman Old Style" w:hAnsi="Bookman Old Style" w:cs="Arial"/>
        <w:b w:val="0"/>
        <w:sz w:val="22"/>
        <w:szCs w:val="22"/>
      </w:rPr>
      <w:t>/</w:t>
    </w:r>
    <w:r w:rsidR="00A920D3">
      <w:fldChar w:fldCharType="begin"/>
    </w:r>
    <w:r w:rsidR="00A920D3">
      <w:instrText xml:space="preserve"> NUMPAGES  \* MERGEFORMAT </w:instrText>
    </w:r>
    <w:r w:rsidR="00A920D3">
      <w:fldChar w:fldCharType="separate"/>
    </w:r>
    <w:r w:rsidR="00F77D2D" w:rsidRPr="00F77D2D">
      <w:rPr>
        <w:rFonts w:ascii="Bookman Old Style" w:hAnsi="Bookman Old Style" w:cs="Arial"/>
        <w:b w:val="0"/>
        <w:noProof/>
        <w:sz w:val="22"/>
        <w:szCs w:val="22"/>
      </w:rPr>
      <w:t>2</w:t>
    </w:r>
    <w:r w:rsidR="00A920D3">
      <w:rPr>
        <w:rFonts w:ascii="Bookman Old Style" w:hAnsi="Bookman Old Style" w:cs="Arial"/>
        <w:b w:val="0"/>
        <w:noProof/>
        <w:sz w:val="22"/>
        <w:szCs w:val="22"/>
      </w:rPr>
      <w:fldChar w:fldCharType="end"/>
    </w:r>
  </w:p>
  <w:p w14:paraId="39489639" w14:textId="4A2B8A3C" w:rsidR="006F6D95" w:rsidRDefault="00DF16F5" w:rsidP="00AD01E4">
    <w:pPr>
      <w:ind w:left="142" w:right="148"/>
      <w:rPr>
        <w:rFonts w:ascii="Bookman Old Style" w:hAnsi="Bookman Old Style" w:cs="Arial"/>
      </w:rPr>
    </w:pPr>
    <w:r w:rsidRPr="0042068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ACA9D" wp14:editId="1EC6C2CA">
              <wp:simplePos x="0" y="0"/>
              <wp:positionH relativeFrom="column">
                <wp:posOffset>-175260</wp:posOffset>
              </wp:positionH>
              <wp:positionV relativeFrom="paragraph">
                <wp:posOffset>139065</wp:posOffset>
              </wp:positionV>
              <wp:extent cx="6267450" cy="9900920"/>
              <wp:effectExtent l="15240" t="15240" r="13335" b="184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0" cy="990092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73C70F" id="Rectangle 1" o:spid="_x0000_s1026" style="position:absolute;margin-left:-13.8pt;margin-top:10.95pt;width:493.5pt;height:77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" filled="f" strokeweight="1.5pt"/>
          </w:pict>
        </mc:Fallback>
      </mc:AlternateContent>
    </w:r>
  </w:p>
  <w:p w14:paraId="16086E3D" w14:textId="77777777" w:rsidR="0044318E" w:rsidRPr="00045D3D" w:rsidRDefault="0044318E" w:rsidP="00AD01E4">
    <w:pPr>
      <w:pBdr>
        <w:bottom w:val="single" w:sz="4" w:space="1" w:color="auto"/>
      </w:pBdr>
      <w:ind w:left="142" w:right="148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DA16" w14:textId="77777777" w:rsidR="00725FA4" w:rsidRDefault="00025383" w:rsidP="00025383">
    <w:pPr>
      <w:pStyle w:val="Encabezado"/>
      <w:jc w:val="both"/>
      <w:rPr>
        <w:rFonts w:ascii="Arial" w:hAnsi="Arial" w:cs="Arial"/>
        <w:spacing w:val="20"/>
        <w:sz w:val="20"/>
      </w:rPr>
    </w:pPr>
    <w:r>
      <w:rPr>
        <w:rFonts w:ascii="Arial" w:hAnsi="Arial" w:cs="Arial"/>
        <w:spacing w:val="20"/>
        <w:sz w:val="20"/>
      </w:rPr>
      <w:t xml:space="preserve">                                   </w:t>
    </w:r>
    <w:r w:rsidR="00725FA4">
      <w:rPr>
        <w:rFonts w:ascii="Arial" w:hAnsi="Arial" w:cs="Arial"/>
        <w:spacing w:val="20"/>
        <w:sz w:val="20"/>
      </w:rPr>
      <w:t>República de Colombia</w:t>
    </w:r>
  </w:p>
  <w:p w14:paraId="273850B7" w14:textId="77777777" w:rsidR="00725FA4" w:rsidRDefault="00725FA4">
    <w:pPr>
      <w:pStyle w:val="Encabezado"/>
      <w:jc w:val="center"/>
      <w:rPr>
        <w:rFonts w:ascii="Arial" w:hAnsi="Arial" w:cs="Arial"/>
        <w:spacing w:val="20"/>
        <w:sz w:val="20"/>
      </w:rPr>
    </w:pPr>
  </w:p>
  <w:p w14:paraId="367D4456" w14:textId="76DA3229" w:rsidR="00725FA4" w:rsidRDefault="00DF16F5" w:rsidP="00CA77FB">
    <w:pPr>
      <w:pStyle w:val="Encabezado"/>
      <w:jc w:val="center"/>
    </w:pPr>
    <w:r w:rsidRPr="0042068C">
      <w:rPr>
        <w:rFonts w:ascii="Arial" w:hAnsi="Arial" w:cs="Arial"/>
        <w:noProof/>
        <w:spacing w:val="20"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DBBCF4" wp14:editId="53AB8A01">
              <wp:simplePos x="0" y="0"/>
              <wp:positionH relativeFrom="column">
                <wp:posOffset>-213360</wp:posOffset>
              </wp:positionH>
              <wp:positionV relativeFrom="paragraph">
                <wp:posOffset>377190</wp:posOffset>
              </wp:positionV>
              <wp:extent cx="6343650" cy="9839325"/>
              <wp:effectExtent l="9525" t="14605" r="9525" b="1397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3650" cy="98393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6678AB" id="Rectangle 2" o:spid="_x0000_s1026" style="position:absolute;margin-left:-16.8pt;margin-top:29.7pt;width:499.5pt;height:7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2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1F"/>
    <w:multiLevelType w:val="multilevel"/>
    <w:tmpl w:val="0000001F"/>
    <w:name w:val="WW8StyleNum"/>
    <w:lvl w:ilvl="0">
      <w:start w:val="1"/>
      <w:numFmt w:val="lowerLetter"/>
      <w:pStyle w:val="Vietaletra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1E67325"/>
    <w:multiLevelType w:val="hybridMultilevel"/>
    <w:tmpl w:val="66568F00"/>
    <w:lvl w:ilvl="0" w:tplc="DB8C2DD0">
      <w:start w:val="1"/>
      <w:numFmt w:val="decimal"/>
      <w:lvlText w:val="Artículo %1. "/>
      <w:lvlJc w:val="left"/>
      <w:pPr>
        <w:ind w:left="578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3061BFF"/>
    <w:multiLevelType w:val="hybridMultilevel"/>
    <w:tmpl w:val="78C4842A"/>
    <w:lvl w:ilvl="0" w:tplc="CB589430">
      <w:start w:val="1"/>
      <w:numFmt w:val="decimal"/>
      <w:lvlText w:val="Artículo %1.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E0429"/>
    <w:multiLevelType w:val="hybridMultilevel"/>
    <w:tmpl w:val="F5D2FE3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F36714"/>
    <w:multiLevelType w:val="hybridMultilevel"/>
    <w:tmpl w:val="0F70A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5F6A33A">
      <w:start w:val="1"/>
      <w:numFmt w:val="lowerLetter"/>
      <w:lvlText w:val="%3)"/>
      <w:lvlJc w:val="left"/>
      <w:pPr>
        <w:ind w:left="2160" w:hanging="360"/>
      </w:pPr>
      <w:rPr>
        <w:rFonts w:ascii="Arial" w:eastAsia="Times New Roman" w:hAnsi="Arial" w:cs="Arial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00DC7"/>
    <w:multiLevelType w:val="hybridMultilevel"/>
    <w:tmpl w:val="51F81D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05D51"/>
    <w:multiLevelType w:val="hybridMultilevel"/>
    <w:tmpl w:val="80327F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23142"/>
    <w:multiLevelType w:val="hybridMultilevel"/>
    <w:tmpl w:val="556225CE"/>
    <w:lvl w:ilvl="0" w:tplc="240A001B">
      <w:start w:val="1"/>
      <w:numFmt w:val="lowerRoman"/>
      <w:lvlText w:val="%1."/>
      <w:lvlJc w:val="righ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6E4A64"/>
    <w:multiLevelType w:val="hybridMultilevel"/>
    <w:tmpl w:val="33FE05F6"/>
    <w:lvl w:ilvl="0" w:tplc="240A0017">
      <w:start w:val="1"/>
      <w:numFmt w:val="lowerLetter"/>
      <w:lvlText w:val="%1)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8D670D"/>
    <w:multiLevelType w:val="hybridMultilevel"/>
    <w:tmpl w:val="619AD000"/>
    <w:lvl w:ilvl="0" w:tplc="2C8EB58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5278E"/>
    <w:multiLevelType w:val="hybridMultilevel"/>
    <w:tmpl w:val="EFD8B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C7569"/>
    <w:multiLevelType w:val="hybridMultilevel"/>
    <w:tmpl w:val="F7400AF2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9BD2712"/>
    <w:multiLevelType w:val="hybridMultilevel"/>
    <w:tmpl w:val="5E24EA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0D2F"/>
    <w:multiLevelType w:val="multilevel"/>
    <w:tmpl w:val="F0CC82C2"/>
    <w:lvl w:ilvl="0">
      <w:start w:val="1"/>
      <w:numFmt w:val="decimal"/>
      <w:lvlText w:val="Artículo %1."/>
      <w:lvlJc w:val="right"/>
      <w:pPr>
        <w:tabs>
          <w:tab w:val="num" w:pos="1721"/>
        </w:tabs>
        <w:ind w:left="0" w:firstLine="1361"/>
      </w:pPr>
      <w:rPr>
        <w:rFonts w:ascii="Bookman Old Style" w:hAnsi="Bookman Old Style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5">
      <w:start w:val="1"/>
      <w:numFmt w:val="lowerRoman"/>
      <w:lvlText w:val="%6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7.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 w15:restartNumberingAfterBreak="0">
    <w:nsid w:val="51A03520"/>
    <w:multiLevelType w:val="hybridMultilevel"/>
    <w:tmpl w:val="1F2E890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B4D29"/>
    <w:multiLevelType w:val="hybridMultilevel"/>
    <w:tmpl w:val="556225CE"/>
    <w:lvl w:ilvl="0" w:tplc="240A001B">
      <w:start w:val="1"/>
      <w:numFmt w:val="lowerRoman"/>
      <w:lvlText w:val="%1."/>
      <w:lvlJc w:val="righ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701BA2"/>
    <w:multiLevelType w:val="hybridMultilevel"/>
    <w:tmpl w:val="7BAE5532"/>
    <w:lvl w:ilvl="0" w:tplc="FDAEAC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10510"/>
    <w:multiLevelType w:val="hybridMultilevel"/>
    <w:tmpl w:val="0BE8FE34"/>
    <w:lvl w:ilvl="0" w:tplc="BA307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CD0C41"/>
    <w:multiLevelType w:val="hybridMultilevel"/>
    <w:tmpl w:val="69D48B7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D92CEC"/>
    <w:multiLevelType w:val="hybridMultilevel"/>
    <w:tmpl w:val="2C20241E"/>
    <w:lvl w:ilvl="0" w:tplc="137491D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F420DC0"/>
    <w:multiLevelType w:val="hybridMultilevel"/>
    <w:tmpl w:val="6C241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601F8"/>
    <w:multiLevelType w:val="hybridMultilevel"/>
    <w:tmpl w:val="51F81D2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5D0067"/>
    <w:multiLevelType w:val="hybridMultilevel"/>
    <w:tmpl w:val="60AAD7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953670">
    <w:abstractNumId w:val="12"/>
  </w:num>
  <w:num w:numId="2" w16cid:durableId="1497382030">
    <w:abstractNumId w:val="5"/>
  </w:num>
  <w:num w:numId="3" w16cid:durableId="1643658739">
    <w:abstractNumId w:val="22"/>
  </w:num>
  <w:num w:numId="4" w16cid:durableId="1416053916">
    <w:abstractNumId w:val="6"/>
  </w:num>
  <w:num w:numId="5" w16cid:durableId="1460681335">
    <w:abstractNumId w:val="17"/>
  </w:num>
  <w:num w:numId="6" w16cid:durableId="432214895">
    <w:abstractNumId w:val="4"/>
  </w:num>
  <w:num w:numId="7" w16cid:durableId="845751384">
    <w:abstractNumId w:val="3"/>
  </w:num>
  <w:num w:numId="8" w16cid:durableId="29301030">
    <w:abstractNumId w:val="19"/>
  </w:num>
  <w:num w:numId="9" w16cid:durableId="2003662021">
    <w:abstractNumId w:val="18"/>
  </w:num>
  <w:num w:numId="10" w16cid:durableId="2014674860">
    <w:abstractNumId w:val="13"/>
  </w:num>
  <w:num w:numId="11" w16cid:durableId="958032325">
    <w:abstractNumId w:val="23"/>
  </w:num>
  <w:num w:numId="12" w16cid:durableId="1838691975">
    <w:abstractNumId w:val="21"/>
  </w:num>
  <w:num w:numId="13" w16cid:durableId="273679532">
    <w:abstractNumId w:val="11"/>
  </w:num>
  <w:num w:numId="14" w16cid:durableId="2070683866">
    <w:abstractNumId w:val="2"/>
  </w:num>
  <w:num w:numId="15" w16cid:durableId="1975476040">
    <w:abstractNumId w:val="14"/>
  </w:num>
  <w:num w:numId="16" w16cid:durableId="83963299">
    <w:abstractNumId w:val="1"/>
  </w:num>
  <w:num w:numId="17" w16cid:durableId="353533871">
    <w:abstractNumId w:val="10"/>
  </w:num>
  <w:num w:numId="18" w16cid:durableId="788664195">
    <w:abstractNumId w:val="0"/>
  </w:num>
  <w:num w:numId="19" w16cid:durableId="1454788596">
    <w:abstractNumId w:val="20"/>
  </w:num>
  <w:num w:numId="20" w16cid:durableId="1999069271">
    <w:abstractNumId w:val="16"/>
  </w:num>
  <w:num w:numId="21" w16cid:durableId="1075667280">
    <w:abstractNumId w:val="7"/>
  </w:num>
  <w:num w:numId="22" w16cid:durableId="40371620">
    <w:abstractNumId w:val="8"/>
  </w:num>
  <w:num w:numId="23" w16cid:durableId="1226451336">
    <w:abstractNumId w:val="15"/>
  </w:num>
  <w:num w:numId="24" w16cid:durableId="73934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40"/>
    <w:rsid w:val="00006AE2"/>
    <w:rsid w:val="000076A1"/>
    <w:rsid w:val="00012259"/>
    <w:rsid w:val="00025383"/>
    <w:rsid w:val="0003542B"/>
    <w:rsid w:val="00045550"/>
    <w:rsid w:val="00045D3D"/>
    <w:rsid w:val="00063657"/>
    <w:rsid w:val="00076680"/>
    <w:rsid w:val="00076A1D"/>
    <w:rsid w:val="0008073E"/>
    <w:rsid w:val="00091CDB"/>
    <w:rsid w:val="000A19AC"/>
    <w:rsid w:val="000B2EC9"/>
    <w:rsid w:val="000D26F8"/>
    <w:rsid w:val="00106654"/>
    <w:rsid w:val="0013526C"/>
    <w:rsid w:val="001405C6"/>
    <w:rsid w:val="00141013"/>
    <w:rsid w:val="00141AD9"/>
    <w:rsid w:val="00192CBF"/>
    <w:rsid w:val="00192FF1"/>
    <w:rsid w:val="001A5F1B"/>
    <w:rsid w:val="001B1C22"/>
    <w:rsid w:val="001B34C6"/>
    <w:rsid w:val="001D0A9A"/>
    <w:rsid w:val="001D7832"/>
    <w:rsid w:val="00210DC1"/>
    <w:rsid w:val="00211D34"/>
    <w:rsid w:val="00214F04"/>
    <w:rsid w:val="002352B9"/>
    <w:rsid w:val="00266CD6"/>
    <w:rsid w:val="002673AC"/>
    <w:rsid w:val="00275DAB"/>
    <w:rsid w:val="002903C0"/>
    <w:rsid w:val="002A782A"/>
    <w:rsid w:val="002B11E2"/>
    <w:rsid w:val="002B24B8"/>
    <w:rsid w:val="002C32F6"/>
    <w:rsid w:val="002D3AE9"/>
    <w:rsid w:val="002D4510"/>
    <w:rsid w:val="002E504C"/>
    <w:rsid w:val="002F0417"/>
    <w:rsid w:val="002F0734"/>
    <w:rsid w:val="002F175F"/>
    <w:rsid w:val="002F46E7"/>
    <w:rsid w:val="003101DA"/>
    <w:rsid w:val="003111C3"/>
    <w:rsid w:val="00314757"/>
    <w:rsid w:val="003163BC"/>
    <w:rsid w:val="003211CE"/>
    <w:rsid w:val="0035403A"/>
    <w:rsid w:val="0036394B"/>
    <w:rsid w:val="00366DB6"/>
    <w:rsid w:val="003709B5"/>
    <w:rsid w:val="003759C2"/>
    <w:rsid w:val="003856E2"/>
    <w:rsid w:val="0039053A"/>
    <w:rsid w:val="00397365"/>
    <w:rsid w:val="003A31F6"/>
    <w:rsid w:val="003B52DE"/>
    <w:rsid w:val="003C3447"/>
    <w:rsid w:val="003D076C"/>
    <w:rsid w:val="003E78B5"/>
    <w:rsid w:val="00415BAB"/>
    <w:rsid w:val="00415ED2"/>
    <w:rsid w:val="0042068C"/>
    <w:rsid w:val="0044318E"/>
    <w:rsid w:val="00443B35"/>
    <w:rsid w:val="0045488D"/>
    <w:rsid w:val="0047122B"/>
    <w:rsid w:val="00473B7A"/>
    <w:rsid w:val="004960E9"/>
    <w:rsid w:val="004A2E88"/>
    <w:rsid w:val="004A5305"/>
    <w:rsid w:val="004A74A0"/>
    <w:rsid w:val="004D7634"/>
    <w:rsid w:val="004E611A"/>
    <w:rsid w:val="004F579E"/>
    <w:rsid w:val="004F6460"/>
    <w:rsid w:val="00500E9D"/>
    <w:rsid w:val="005300D3"/>
    <w:rsid w:val="00542A10"/>
    <w:rsid w:val="00544F82"/>
    <w:rsid w:val="00546617"/>
    <w:rsid w:val="005509D2"/>
    <w:rsid w:val="00593C4F"/>
    <w:rsid w:val="005946A8"/>
    <w:rsid w:val="005A4407"/>
    <w:rsid w:val="005A59EF"/>
    <w:rsid w:val="005B1C7E"/>
    <w:rsid w:val="005C6976"/>
    <w:rsid w:val="005D52F3"/>
    <w:rsid w:val="005F6F41"/>
    <w:rsid w:val="00625AC8"/>
    <w:rsid w:val="00625DC6"/>
    <w:rsid w:val="0064391D"/>
    <w:rsid w:val="00651821"/>
    <w:rsid w:val="00654384"/>
    <w:rsid w:val="006675CD"/>
    <w:rsid w:val="0068024C"/>
    <w:rsid w:val="00684D9B"/>
    <w:rsid w:val="0068510A"/>
    <w:rsid w:val="0069353C"/>
    <w:rsid w:val="00697556"/>
    <w:rsid w:val="006B4647"/>
    <w:rsid w:val="006B4C2B"/>
    <w:rsid w:val="006B6194"/>
    <w:rsid w:val="006B6D47"/>
    <w:rsid w:val="006C5AFE"/>
    <w:rsid w:val="006E2C86"/>
    <w:rsid w:val="006F2EC8"/>
    <w:rsid w:val="006F6D95"/>
    <w:rsid w:val="00706F13"/>
    <w:rsid w:val="007072E8"/>
    <w:rsid w:val="0071618D"/>
    <w:rsid w:val="00720168"/>
    <w:rsid w:val="00725FA4"/>
    <w:rsid w:val="00734893"/>
    <w:rsid w:val="00740446"/>
    <w:rsid w:val="007438A9"/>
    <w:rsid w:val="0074491E"/>
    <w:rsid w:val="0076247A"/>
    <w:rsid w:val="00775964"/>
    <w:rsid w:val="007765FE"/>
    <w:rsid w:val="00784F8D"/>
    <w:rsid w:val="00794E2E"/>
    <w:rsid w:val="00795BFB"/>
    <w:rsid w:val="007A6181"/>
    <w:rsid w:val="007B2760"/>
    <w:rsid w:val="007B5A60"/>
    <w:rsid w:val="007E0D83"/>
    <w:rsid w:val="007F2E8E"/>
    <w:rsid w:val="00806C01"/>
    <w:rsid w:val="008148CC"/>
    <w:rsid w:val="008211A4"/>
    <w:rsid w:val="00836D7D"/>
    <w:rsid w:val="0084693A"/>
    <w:rsid w:val="00873150"/>
    <w:rsid w:val="0087540D"/>
    <w:rsid w:val="0087657D"/>
    <w:rsid w:val="008807D5"/>
    <w:rsid w:val="00880832"/>
    <w:rsid w:val="00886EE1"/>
    <w:rsid w:val="0088727D"/>
    <w:rsid w:val="00897C75"/>
    <w:rsid w:val="008A6BD7"/>
    <w:rsid w:val="008C1130"/>
    <w:rsid w:val="008D18E6"/>
    <w:rsid w:val="008D7A9B"/>
    <w:rsid w:val="008E0060"/>
    <w:rsid w:val="008E7091"/>
    <w:rsid w:val="008E76AC"/>
    <w:rsid w:val="008F21F6"/>
    <w:rsid w:val="00900E81"/>
    <w:rsid w:val="00951F79"/>
    <w:rsid w:val="0096030D"/>
    <w:rsid w:val="00974AB5"/>
    <w:rsid w:val="0098706D"/>
    <w:rsid w:val="009935FB"/>
    <w:rsid w:val="009B3A70"/>
    <w:rsid w:val="009F4A54"/>
    <w:rsid w:val="009F4BEC"/>
    <w:rsid w:val="009F5874"/>
    <w:rsid w:val="00A06511"/>
    <w:rsid w:val="00A25FD7"/>
    <w:rsid w:val="00A30FF8"/>
    <w:rsid w:val="00A33C8A"/>
    <w:rsid w:val="00A43AFF"/>
    <w:rsid w:val="00A4412A"/>
    <w:rsid w:val="00A55F7F"/>
    <w:rsid w:val="00A73615"/>
    <w:rsid w:val="00A7793A"/>
    <w:rsid w:val="00A920D3"/>
    <w:rsid w:val="00A9484F"/>
    <w:rsid w:val="00AA4CC7"/>
    <w:rsid w:val="00AA5E8E"/>
    <w:rsid w:val="00AB2BAD"/>
    <w:rsid w:val="00AB6CA7"/>
    <w:rsid w:val="00AD01E4"/>
    <w:rsid w:val="00AD0858"/>
    <w:rsid w:val="00AE02E3"/>
    <w:rsid w:val="00AE7340"/>
    <w:rsid w:val="00AF1BBD"/>
    <w:rsid w:val="00B10207"/>
    <w:rsid w:val="00B141E7"/>
    <w:rsid w:val="00B145A2"/>
    <w:rsid w:val="00B15DAF"/>
    <w:rsid w:val="00B21812"/>
    <w:rsid w:val="00B351B4"/>
    <w:rsid w:val="00B46BCA"/>
    <w:rsid w:val="00B478AA"/>
    <w:rsid w:val="00B56F10"/>
    <w:rsid w:val="00B70508"/>
    <w:rsid w:val="00B87806"/>
    <w:rsid w:val="00B87EC9"/>
    <w:rsid w:val="00BA7025"/>
    <w:rsid w:val="00BC38FD"/>
    <w:rsid w:val="00C034CB"/>
    <w:rsid w:val="00C051A8"/>
    <w:rsid w:val="00C054BC"/>
    <w:rsid w:val="00C17897"/>
    <w:rsid w:val="00C409D5"/>
    <w:rsid w:val="00C435C3"/>
    <w:rsid w:val="00C438BB"/>
    <w:rsid w:val="00C44E5F"/>
    <w:rsid w:val="00C51B7C"/>
    <w:rsid w:val="00C6234B"/>
    <w:rsid w:val="00C63EAE"/>
    <w:rsid w:val="00C66191"/>
    <w:rsid w:val="00C6724D"/>
    <w:rsid w:val="00C73260"/>
    <w:rsid w:val="00C747EC"/>
    <w:rsid w:val="00C7629F"/>
    <w:rsid w:val="00C8661B"/>
    <w:rsid w:val="00CA03C8"/>
    <w:rsid w:val="00CA139A"/>
    <w:rsid w:val="00CA2899"/>
    <w:rsid w:val="00CA3A3D"/>
    <w:rsid w:val="00CA3AA6"/>
    <w:rsid w:val="00CA77FB"/>
    <w:rsid w:val="00CB1D78"/>
    <w:rsid w:val="00CB379B"/>
    <w:rsid w:val="00CB5DD0"/>
    <w:rsid w:val="00CB70B9"/>
    <w:rsid w:val="00CC51D4"/>
    <w:rsid w:val="00CC65DA"/>
    <w:rsid w:val="00CF21B9"/>
    <w:rsid w:val="00CF6BF9"/>
    <w:rsid w:val="00D03800"/>
    <w:rsid w:val="00D065D3"/>
    <w:rsid w:val="00D14C94"/>
    <w:rsid w:val="00D342A6"/>
    <w:rsid w:val="00D45CA6"/>
    <w:rsid w:val="00D464BF"/>
    <w:rsid w:val="00D53E26"/>
    <w:rsid w:val="00D6098E"/>
    <w:rsid w:val="00D70E3F"/>
    <w:rsid w:val="00D83A35"/>
    <w:rsid w:val="00D83F43"/>
    <w:rsid w:val="00DB182C"/>
    <w:rsid w:val="00DB255F"/>
    <w:rsid w:val="00DC05ED"/>
    <w:rsid w:val="00DD4F0E"/>
    <w:rsid w:val="00DF0BF0"/>
    <w:rsid w:val="00DF16F5"/>
    <w:rsid w:val="00DF3CA2"/>
    <w:rsid w:val="00DF753F"/>
    <w:rsid w:val="00E01463"/>
    <w:rsid w:val="00E052D4"/>
    <w:rsid w:val="00E0576E"/>
    <w:rsid w:val="00E05E0A"/>
    <w:rsid w:val="00E060BE"/>
    <w:rsid w:val="00E534CF"/>
    <w:rsid w:val="00E63920"/>
    <w:rsid w:val="00E81CB4"/>
    <w:rsid w:val="00E8585B"/>
    <w:rsid w:val="00E87F41"/>
    <w:rsid w:val="00E87FA0"/>
    <w:rsid w:val="00EA3F15"/>
    <w:rsid w:val="00EA7847"/>
    <w:rsid w:val="00EB4C2F"/>
    <w:rsid w:val="00EE2E6E"/>
    <w:rsid w:val="00F0759E"/>
    <w:rsid w:val="00F16A43"/>
    <w:rsid w:val="00F46780"/>
    <w:rsid w:val="00F55DB1"/>
    <w:rsid w:val="00F77D2D"/>
    <w:rsid w:val="00F821A3"/>
    <w:rsid w:val="00F9314A"/>
    <w:rsid w:val="00F940B2"/>
    <w:rsid w:val="00FC1336"/>
    <w:rsid w:val="00FC58EF"/>
    <w:rsid w:val="00FD33DF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9E9890C"/>
  <w15:chartTrackingRefBased/>
  <w15:docId w15:val="{9A204BFE-BF51-470B-9C8D-5FFD1F03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1DA"/>
    <w:pPr>
      <w:ind w:left="567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101DA"/>
    <w:pPr>
      <w:keepNext/>
      <w:jc w:val="center"/>
      <w:outlineLvl w:val="0"/>
    </w:pPr>
    <w:rPr>
      <w:rFonts w:ascii="CG Times" w:hAnsi="CG Times"/>
      <w:b/>
      <w:szCs w:val="20"/>
      <w:lang w:val="es-CO"/>
    </w:rPr>
  </w:style>
  <w:style w:type="paragraph" w:styleId="Ttulo3">
    <w:name w:val="heading 3"/>
    <w:basedOn w:val="Normal"/>
    <w:next w:val="Normal"/>
    <w:link w:val="Ttulo3Car"/>
    <w:qFormat/>
    <w:rsid w:val="003101DA"/>
    <w:pPr>
      <w:keepNext/>
      <w:jc w:val="center"/>
      <w:outlineLvl w:val="2"/>
    </w:pPr>
    <w:rPr>
      <w:rFonts w:ascii="CG Times" w:hAnsi="CG Times"/>
      <w:b/>
      <w:snapToGrid w:val="0"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101DA"/>
    <w:pPr>
      <w:keepNext/>
      <w:jc w:val="center"/>
      <w:outlineLvl w:val="3"/>
    </w:pPr>
    <w:rPr>
      <w:rFonts w:ascii="Arial" w:hAnsi="Arial" w:cs="Arial"/>
      <w:b/>
      <w:snapToGrid w:val="0"/>
      <w:color w:val="000000"/>
      <w:spacing w:val="20"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101DA"/>
    <w:pPr>
      <w:keepNext/>
      <w:jc w:val="center"/>
      <w:outlineLvl w:val="4"/>
    </w:pPr>
    <w:rPr>
      <w:rFonts w:ascii="Arial" w:hAnsi="Arial" w:cs="Arial"/>
      <w:b/>
      <w:snapToGrid w:val="0"/>
      <w:color w:val="000000"/>
      <w:spacing w:val="2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795B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647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01DA"/>
    <w:pPr>
      <w:tabs>
        <w:tab w:val="center" w:pos="4252"/>
        <w:tab w:val="right" w:pos="8504"/>
      </w:tabs>
    </w:pPr>
    <w:rPr>
      <w:rFonts w:ascii="CG Times" w:hAnsi="CG Times"/>
      <w:szCs w:val="20"/>
      <w:lang w:val="es-CO"/>
    </w:rPr>
  </w:style>
  <w:style w:type="paragraph" w:styleId="Piedepgina">
    <w:name w:val="footer"/>
    <w:basedOn w:val="Normal"/>
    <w:semiHidden/>
    <w:rsid w:val="003101DA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3101DA"/>
    <w:pPr>
      <w:shd w:val="clear" w:color="auto" w:fill="C0C0C0"/>
      <w:jc w:val="center"/>
    </w:pPr>
    <w:rPr>
      <w:rFonts w:ascii="Comic Sans MS" w:hAnsi="Comic Sans MS"/>
      <w:color w:val="0000FF"/>
      <w:sz w:val="36"/>
      <w:szCs w:val="20"/>
      <w:lang w:val="es-CO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merodepgina">
    <w:name w:val="page number"/>
    <w:basedOn w:val="Fuentedeprrafopredeter"/>
    <w:semiHidden/>
    <w:rsid w:val="003101DA"/>
  </w:style>
  <w:style w:type="paragraph" w:styleId="Textoindependiente">
    <w:name w:val="Body Text"/>
    <w:basedOn w:val="Normal"/>
    <w:link w:val="TextoindependienteCar"/>
    <w:semiHidden/>
    <w:rsid w:val="003101DA"/>
    <w:pPr>
      <w:jc w:val="center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link w:val="Textoindependiente3Car"/>
    <w:semiHidden/>
    <w:rsid w:val="003101DA"/>
    <w:pPr>
      <w:jc w:val="center"/>
      <w:outlineLvl w:val="0"/>
    </w:pPr>
    <w:rPr>
      <w:rFonts w:ascii="Arial" w:hAnsi="Arial" w:cs="Arial"/>
      <w:b/>
      <w:bCs/>
      <w:spacing w:val="-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25FA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593C4F"/>
    <w:rPr>
      <w:rFonts w:ascii="CG Times" w:hAnsi="CG Times"/>
      <w:sz w:val="24"/>
      <w:lang w:val="es-CO"/>
    </w:rPr>
  </w:style>
  <w:style w:type="character" w:customStyle="1" w:styleId="Ttulo3Car">
    <w:name w:val="Título 3 Car"/>
    <w:link w:val="Ttulo3"/>
    <w:rsid w:val="00141013"/>
    <w:rPr>
      <w:rFonts w:ascii="CG Times" w:hAnsi="CG Times"/>
      <w:b/>
      <w:snapToGrid w:val="0"/>
      <w:color w:val="000000"/>
      <w:sz w:val="24"/>
      <w:lang w:val="es-ES_tradnl"/>
    </w:rPr>
  </w:style>
  <w:style w:type="character" w:customStyle="1" w:styleId="Ttulo4Car">
    <w:name w:val="Título 4 Car"/>
    <w:link w:val="Ttulo4"/>
    <w:rsid w:val="00141013"/>
    <w:rPr>
      <w:rFonts w:ascii="Arial" w:hAnsi="Arial" w:cs="Arial"/>
      <w:b/>
      <w:snapToGrid w:val="0"/>
      <w:color w:val="000000"/>
      <w:spacing w:val="20"/>
      <w:lang w:val="es-ES_tradnl"/>
    </w:rPr>
  </w:style>
  <w:style w:type="character" w:customStyle="1" w:styleId="Ttulo5Car">
    <w:name w:val="Título 5 Car"/>
    <w:link w:val="Ttulo5"/>
    <w:rsid w:val="00141013"/>
    <w:rPr>
      <w:rFonts w:ascii="Arial" w:hAnsi="Arial" w:cs="Arial"/>
      <w:b/>
      <w:snapToGrid w:val="0"/>
      <w:color w:val="000000"/>
      <w:spacing w:val="20"/>
      <w:sz w:val="28"/>
      <w:lang w:val="es-ES_tradnl"/>
    </w:rPr>
  </w:style>
  <w:style w:type="character" w:customStyle="1" w:styleId="TextoindependienteCar">
    <w:name w:val="Texto independiente Car"/>
    <w:link w:val="Textoindependiente"/>
    <w:semiHidden/>
    <w:rsid w:val="00141013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semiHidden/>
    <w:rsid w:val="00141013"/>
    <w:rPr>
      <w:rFonts w:ascii="Arial" w:hAnsi="Arial" w:cs="Arial"/>
      <w:b/>
      <w:bCs/>
      <w:spacing w:val="-3"/>
      <w:sz w:val="24"/>
      <w:szCs w:val="24"/>
    </w:rPr>
  </w:style>
  <w:style w:type="table" w:styleId="Tablaconcuadrcula">
    <w:name w:val="Table Grid"/>
    <w:basedOn w:val="Tablanormal"/>
    <w:uiPriority w:val="59"/>
    <w:rsid w:val="00141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ar">
    <w:name w:val="Título 6 Car"/>
    <w:link w:val="Ttulo6"/>
    <w:rsid w:val="00795BFB"/>
    <w:rPr>
      <w:rFonts w:ascii="Calibri" w:eastAsia="Times New Roman" w:hAnsi="Calibri" w:cs="Times New Roman"/>
      <w:b/>
      <w:bCs/>
      <w:sz w:val="22"/>
      <w:szCs w:val="22"/>
    </w:rPr>
  </w:style>
  <w:style w:type="paragraph" w:styleId="Ttulo">
    <w:name w:val="Title"/>
    <w:basedOn w:val="Normal"/>
    <w:link w:val="TtuloCar"/>
    <w:qFormat/>
    <w:rsid w:val="00795BFB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rsid w:val="00795BFB"/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link w:val="PrrafodelistaCar"/>
    <w:qFormat/>
    <w:rsid w:val="001405C6"/>
    <w:pPr>
      <w:ind w:left="708"/>
    </w:pPr>
    <w:rPr>
      <w:sz w:val="20"/>
      <w:szCs w:val="20"/>
      <w:lang w:val="es-CO"/>
    </w:rPr>
  </w:style>
  <w:style w:type="character" w:customStyle="1" w:styleId="PrrafodelistaCar">
    <w:name w:val="Párrafo de lista Car"/>
    <w:link w:val="Prrafodelista"/>
    <w:rsid w:val="001405C6"/>
    <w:rPr>
      <w:lang w:val="es-CO"/>
    </w:rPr>
  </w:style>
  <w:style w:type="paragraph" w:styleId="TDC1">
    <w:name w:val="toc 1"/>
    <w:basedOn w:val="Normal"/>
    <w:next w:val="Normal"/>
    <w:autoRedefine/>
    <w:semiHidden/>
    <w:rsid w:val="00D03800"/>
    <w:pPr>
      <w:tabs>
        <w:tab w:val="left" w:pos="480"/>
        <w:tab w:val="right" w:leader="dot" w:pos="8828"/>
      </w:tabs>
      <w:spacing w:before="120"/>
      <w:jc w:val="both"/>
    </w:pPr>
    <w:rPr>
      <w:rFonts w:ascii="Arial" w:hAnsi="Arial"/>
      <w:noProof/>
    </w:rPr>
  </w:style>
  <w:style w:type="paragraph" w:styleId="Textodebloque">
    <w:name w:val="Block Text"/>
    <w:basedOn w:val="Normal"/>
    <w:rsid w:val="00D03800"/>
    <w:pPr>
      <w:suppressAutoHyphens/>
      <w:spacing w:after="240"/>
      <w:ind w:right="788"/>
      <w:jc w:val="both"/>
    </w:pPr>
    <w:rPr>
      <w:rFonts w:ascii="Arial" w:hAnsi="Arial"/>
      <w:spacing w:val="-3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6AE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6AE2"/>
    <w:rPr>
      <w:sz w:val="24"/>
      <w:szCs w:val="24"/>
    </w:rPr>
  </w:style>
  <w:style w:type="paragraph" w:customStyle="1" w:styleId="Epgrafe">
    <w:name w:val="Epígrafe"/>
    <w:basedOn w:val="Normal"/>
    <w:next w:val="Normal"/>
    <w:uiPriority w:val="35"/>
    <w:qFormat/>
    <w:rsid w:val="003A31F6"/>
    <w:pPr>
      <w:widowControl w:val="0"/>
      <w:adjustRightInd w:val="0"/>
      <w:spacing w:before="120" w:after="120" w:line="360" w:lineRule="atLeast"/>
      <w:ind w:left="0"/>
      <w:jc w:val="center"/>
      <w:textAlignment w:val="baseline"/>
    </w:pPr>
    <w:rPr>
      <w:rFonts w:ascii="Arial" w:hAnsi="Arial"/>
      <w:sz w:val="20"/>
      <w:szCs w:val="20"/>
    </w:rPr>
  </w:style>
  <w:style w:type="paragraph" w:styleId="Sinespaciado">
    <w:name w:val="No Spacing"/>
    <w:uiPriority w:val="1"/>
    <w:qFormat/>
    <w:rsid w:val="003A31F6"/>
    <w:rPr>
      <w:rFonts w:ascii="Calibri" w:hAnsi="Calibri" w:cs="Calibri"/>
      <w:sz w:val="22"/>
      <w:szCs w:val="22"/>
      <w:lang w:val="es-ES" w:eastAsia="en-US"/>
    </w:rPr>
  </w:style>
  <w:style w:type="character" w:customStyle="1" w:styleId="apple-style-span">
    <w:name w:val="apple-style-span"/>
    <w:rsid w:val="003A31F6"/>
    <w:rPr>
      <w:rFonts w:ascii="Times New Roman" w:hAnsi="Times New Roman" w:cs="Times New Roman"/>
    </w:rPr>
  </w:style>
  <w:style w:type="paragraph" w:styleId="Subttulo">
    <w:name w:val="Subtitle"/>
    <w:basedOn w:val="Normal"/>
    <w:link w:val="SubttuloCar"/>
    <w:qFormat/>
    <w:rsid w:val="003A31F6"/>
    <w:pPr>
      <w:ind w:left="0"/>
    </w:pPr>
    <w:rPr>
      <w:rFonts w:ascii="Century Gothic" w:hAnsi="Century Gothic"/>
      <w:b/>
      <w:bCs/>
    </w:rPr>
  </w:style>
  <w:style w:type="character" w:customStyle="1" w:styleId="SubttuloCar">
    <w:name w:val="Subtítulo Car"/>
    <w:link w:val="Subttulo"/>
    <w:rsid w:val="003A31F6"/>
    <w:rPr>
      <w:rFonts w:ascii="Century Gothic" w:hAnsi="Century Gothic"/>
      <w:b/>
      <w:bCs/>
      <w:sz w:val="24"/>
      <w:szCs w:val="24"/>
    </w:rPr>
  </w:style>
  <w:style w:type="character" w:customStyle="1" w:styleId="apple-converted-space">
    <w:name w:val="apple-converted-space"/>
    <w:basedOn w:val="Fuentedeprrafopredeter"/>
    <w:rsid w:val="003A31F6"/>
  </w:style>
  <w:style w:type="paragraph" w:customStyle="1" w:styleId="BodyText21">
    <w:name w:val="Body Text 21"/>
    <w:basedOn w:val="Normal"/>
    <w:uiPriority w:val="99"/>
    <w:rsid w:val="00C034CB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djustRightInd w:val="0"/>
      <w:spacing w:before="120" w:after="120" w:line="240" w:lineRule="exact"/>
      <w:ind w:left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tulo7Car">
    <w:name w:val="Título 7 Car"/>
    <w:link w:val="Ttulo7"/>
    <w:uiPriority w:val="9"/>
    <w:semiHidden/>
    <w:rsid w:val="006B4647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146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01463"/>
    <w:rPr>
      <w:sz w:val="24"/>
      <w:szCs w:val="24"/>
      <w:lang w:val="es-ES" w:eastAsia="es-ES"/>
    </w:rPr>
  </w:style>
  <w:style w:type="paragraph" w:customStyle="1" w:styleId="Vietaletra">
    <w:name w:val="Viñeta letra"/>
    <w:basedOn w:val="Normal"/>
    <w:next w:val="Normal"/>
    <w:rsid w:val="00E01463"/>
    <w:pPr>
      <w:numPr>
        <w:numId w:val="16"/>
      </w:numPr>
      <w:suppressAutoHyphens/>
      <w:overflowPunct w:val="0"/>
      <w:autoSpaceDE w:val="0"/>
      <w:ind w:left="0"/>
      <w:jc w:val="both"/>
      <w:textAlignment w:val="baseline"/>
    </w:pPr>
    <w:rPr>
      <w:rFonts w:ascii="Arial" w:hAnsi="Arial"/>
      <w:szCs w:val="20"/>
      <w:lang w:val="es-ES_tradnl" w:eastAsia="ar-SA"/>
    </w:rPr>
  </w:style>
  <w:style w:type="paragraph" w:customStyle="1" w:styleId="TableHeading">
    <w:name w:val="Table Heading"/>
    <w:basedOn w:val="Normal"/>
    <w:rsid w:val="00E01463"/>
    <w:pPr>
      <w:suppressLineNumbers/>
      <w:suppressAutoHyphens/>
      <w:ind w:left="0"/>
      <w:jc w:val="center"/>
    </w:pPr>
    <w:rPr>
      <w:rFonts w:ascii="Arial" w:hAnsi="Arial"/>
      <w:b/>
      <w:bCs/>
      <w:sz w:val="22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060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060BE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C32F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C32F6"/>
    <w:pPr>
      <w:spacing w:before="100" w:beforeAutospacing="1" w:after="100" w:afterAutospacing="1"/>
      <w:ind w:left="0"/>
    </w:pPr>
    <w:rPr>
      <w:lang w:val="es-CO" w:eastAsia="es-CO"/>
    </w:rPr>
  </w:style>
  <w:style w:type="character" w:customStyle="1" w:styleId="normaltextrun">
    <w:name w:val="normaltextrun"/>
    <w:basedOn w:val="Fuentedeprrafopredeter"/>
    <w:rsid w:val="002C32F6"/>
  </w:style>
  <w:style w:type="paragraph" w:styleId="Revisin">
    <w:name w:val="Revision"/>
    <w:hidden/>
    <w:uiPriority w:val="99"/>
    <w:semiHidden/>
    <w:rsid w:val="00045550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0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0E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0E9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E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E9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eg@creg.gov.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ella%20Rojas\Nueva%20carpeta\PLANTILLA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PLANTILLA1</Template>
  <TotalTime>10</TotalTime>
  <Pages>5</Pages>
  <Words>2221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CREG</Company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LSROJAS</dc:creator>
  <cp:keywords/>
  <cp:lastModifiedBy>Eliana Rodriguez Fonseca</cp:lastModifiedBy>
  <cp:revision>2</cp:revision>
  <cp:lastPrinted>2011-07-21T13:53:00Z</cp:lastPrinted>
  <dcterms:created xsi:type="dcterms:W3CDTF">2023-12-21T19:44:00Z</dcterms:created>
  <dcterms:modified xsi:type="dcterms:W3CDTF">2023-12-21T19:44:00Z</dcterms:modified>
</cp:coreProperties>
</file>